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6D9C" w:rsidRDefault="00106D9C" w:rsidP="006E1AD8">
      <w:pPr>
        <w:jc w:val="center"/>
        <w:rPr>
          <w:rFonts w:ascii="Arial" w:hAnsi="Arial" w:cs="Arial"/>
          <w:b/>
          <w:sz w:val="28"/>
        </w:rPr>
      </w:pPr>
      <w:bookmarkStart w:id="0" w:name="_GoBack"/>
      <w:bookmarkEnd w:id="0"/>
    </w:p>
    <w:p w:rsidR="00106D9C" w:rsidRDefault="00106D9C" w:rsidP="00106D9C">
      <w:pPr>
        <w:jc w:val="center"/>
        <w:rPr>
          <w:rFonts w:ascii="Arial" w:hAnsi="Arial" w:cs="Arial"/>
          <w:b/>
          <w:sz w:val="28"/>
        </w:rPr>
      </w:pPr>
    </w:p>
    <w:p w:rsidR="00106D9C" w:rsidRDefault="00106D9C" w:rsidP="00106D9C">
      <w:pPr>
        <w:jc w:val="center"/>
        <w:rPr>
          <w:rFonts w:ascii="Arial" w:hAnsi="Arial" w:cs="Arial"/>
          <w:b/>
          <w:sz w:val="28"/>
        </w:rPr>
      </w:pPr>
    </w:p>
    <w:p w:rsidR="00106D9C" w:rsidRDefault="00106D9C" w:rsidP="00106D9C">
      <w:pPr>
        <w:jc w:val="center"/>
        <w:rPr>
          <w:rFonts w:ascii="Arial" w:hAnsi="Arial" w:cs="Arial"/>
          <w:b/>
          <w:sz w:val="28"/>
        </w:rPr>
      </w:pPr>
    </w:p>
    <w:p w:rsidR="00106D9C" w:rsidRDefault="00106D9C" w:rsidP="00106D9C">
      <w:pPr>
        <w:jc w:val="center"/>
        <w:rPr>
          <w:rFonts w:ascii="Arial" w:hAnsi="Arial" w:cs="Arial"/>
          <w:b/>
          <w:sz w:val="28"/>
        </w:rPr>
      </w:pPr>
    </w:p>
    <w:p w:rsidR="00106D9C" w:rsidRDefault="00106D9C" w:rsidP="00106D9C">
      <w:pPr>
        <w:jc w:val="center"/>
        <w:rPr>
          <w:rFonts w:ascii="Arial" w:hAnsi="Arial" w:cs="Arial"/>
          <w:b/>
          <w:sz w:val="28"/>
        </w:rPr>
      </w:pPr>
    </w:p>
    <w:p w:rsidR="00106D9C" w:rsidRDefault="00106D9C" w:rsidP="00106D9C">
      <w:pPr>
        <w:jc w:val="center"/>
        <w:rPr>
          <w:rFonts w:ascii="Arial" w:hAnsi="Arial" w:cs="Arial"/>
          <w:b/>
          <w:sz w:val="28"/>
        </w:rPr>
      </w:pPr>
    </w:p>
    <w:p w:rsidR="00106D9C" w:rsidRDefault="00106D9C" w:rsidP="00106D9C">
      <w:pPr>
        <w:jc w:val="center"/>
        <w:rPr>
          <w:rFonts w:ascii="Arial" w:hAnsi="Arial" w:cs="Arial"/>
          <w:b/>
          <w:sz w:val="28"/>
        </w:rPr>
      </w:pPr>
    </w:p>
    <w:p w:rsidR="00106D9C" w:rsidRDefault="00106D9C" w:rsidP="00106D9C">
      <w:pPr>
        <w:jc w:val="center"/>
        <w:rPr>
          <w:rFonts w:ascii="Arial" w:hAnsi="Arial" w:cs="Arial"/>
          <w:b/>
          <w:sz w:val="28"/>
        </w:rPr>
      </w:pPr>
    </w:p>
    <w:p w:rsidR="00106D9C" w:rsidRDefault="00106D9C" w:rsidP="00106D9C">
      <w:pPr>
        <w:jc w:val="center"/>
        <w:rPr>
          <w:rFonts w:ascii="Arial" w:hAnsi="Arial" w:cs="Arial"/>
          <w:b/>
          <w:sz w:val="28"/>
        </w:rPr>
      </w:pPr>
    </w:p>
    <w:p w:rsidR="00106D9C" w:rsidRDefault="00106D9C" w:rsidP="00106D9C">
      <w:pPr>
        <w:jc w:val="center"/>
        <w:rPr>
          <w:rFonts w:ascii="Arial" w:hAnsi="Arial" w:cs="Arial"/>
          <w:b/>
          <w:sz w:val="28"/>
        </w:rPr>
      </w:pPr>
    </w:p>
    <w:p w:rsidR="00106D9C" w:rsidRDefault="00106D9C" w:rsidP="00106D9C">
      <w:pPr>
        <w:jc w:val="center"/>
        <w:rPr>
          <w:rFonts w:ascii="Arial" w:hAnsi="Arial" w:cs="Arial"/>
          <w:b/>
          <w:sz w:val="28"/>
        </w:rPr>
      </w:pPr>
    </w:p>
    <w:p w:rsidR="00106D9C" w:rsidRDefault="00106D9C" w:rsidP="00106D9C">
      <w:pPr>
        <w:jc w:val="center"/>
        <w:rPr>
          <w:rFonts w:ascii="Arial" w:hAnsi="Arial" w:cs="Arial"/>
          <w:b/>
          <w:sz w:val="28"/>
        </w:rPr>
      </w:pPr>
    </w:p>
    <w:p w:rsidR="00106D9C" w:rsidRDefault="00106D9C" w:rsidP="00106D9C">
      <w:pPr>
        <w:jc w:val="center"/>
        <w:rPr>
          <w:rFonts w:ascii="Arial" w:hAnsi="Arial" w:cs="Arial"/>
          <w:b/>
          <w:sz w:val="28"/>
        </w:rPr>
      </w:pPr>
    </w:p>
    <w:p w:rsidR="00106D9C" w:rsidRDefault="00106D9C" w:rsidP="00106D9C">
      <w:pPr>
        <w:jc w:val="center"/>
        <w:rPr>
          <w:rFonts w:ascii="Arial" w:hAnsi="Arial" w:cs="Arial"/>
          <w:b/>
          <w:sz w:val="28"/>
        </w:rPr>
      </w:pPr>
    </w:p>
    <w:p w:rsidR="00106D9C" w:rsidRDefault="00106D9C" w:rsidP="00106D9C">
      <w:pPr>
        <w:jc w:val="center"/>
        <w:rPr>
          <w:rFonts w:ascii="Arial" w:hAnsi="Arial" w:cs="Arial"/>
          <w:b/>
          <w:sz w:val="28"/>
        </w:rPr>
      </w:pPr>
    </w:p>
    <w:p w:rsidR="00106D9C" w:rsidRDefault="00106D9C" w:rsidP="00106D9C">
      <w:pPr>
        <w:jc w:val="center"/>
        <w:rPr>
          <w:rFonts w:ascii="Arial" w:hAnsi="Arial" w:cs="Arial"/>
          <w:b/>
          <w:sz w:val="28"/>
        </w:rPr>
      </w:pPr>
    </w:p>
    <w:p w:rsidR="00106D9C" w:rsidRDefault="00106D9C" w:rsidP="00106D9C">
      <w:pPr>
        <w:jc w:val="center"/>
        <w:rPr>
          <w:rFonts w:ascii="Arial" w:hAnsi="Arial" w:cs="Arial"/>
          <w:b/>
          <w:sz w:val="28"/>
        </w:rPr>
      </w:pPr>
    </w:p>
    <w:p w:rsidR="00106D9C" w:rsidRDefault="00106D9C" w:rsidP="00106D9C">
      <w:pPr>
        <w:jc w:val="center"/>
        <w:rPr>
          <w:rFonts w:ascii="Arial" w:hAnsi="Arial" w:cs="Arial"/>
          <w:b/>
          <w:sz w:val="28"/>
        </w:rPr>
      </w:pPr>
      <w:r w:rsidRPr="00651AAA">
        <w:rPr>
          <w:rFonts w:ascii="Arial" w:hAnsi="Arial" w:cs="Arial"/>
          <w:b/>
          <w:sz w:val="28"/>
        </w:rPr>
        <w:t xml:space="preserve">REVISION DE LA EVALUACION </w:t>
      </w:r>
      <w:r w:rsidR="00355BB7">
        <w:rPr>
          <w:rFonts w:ascii="Arial" w:hAnsi="Arial" w:cs="Arial"/>
          <w:b/>
          <w:sz w:val="28"/>
        </w:rPr>
        <w:t>FINANCIERA</w:t>
      </w:r>
      <w:r w:rsidRPr="00651AAA">
        <w:rPr>
          <w:rFonts w:ascii="Arial" w:hAnsi="Arial" w:cs="Arial"/>
          <w:b/>
          <w:sz w:val="28"/>
        </w:rPr>
        <w:t xml:space="preserve"> DEL PROYECTO PRIMERA LINEA DEL METRO DE QUITO</w:t>
      </w:r>
    </w:p>
    <w:p w:rsidR="00106D9C" w:rsidRPr="00106D9C" w:rsidRDefault="00106D9C" w:rsidP="00106D9C">
      <w:pPr>
        <w:jc w:val="center"/>
        <w:rPr>
          <w:rFonts w:ascii="Arial" w:hAnsi="Arial" w:cs="Arial"/>
          <w:sz w:val="24"/>
          <w:szCs w:val="24"/>
        </w:rPr>
      </w:pPr>
      <w:r w:rsidRPr="00106D9C">
        <w:rPr>
          <w:rFonts w:ascii="Arial" w:hAnsi="Arial" w:cs="Arial"/>
          <w:sz w:val="24"/>
          <w:szCs w:val="24"/>
        </w:rPr>
        <w:t>Versión 0</w:t>
      </w:r>
      <w:r w:rsidR="008A631B">
        <w:rPr>
          <w:rFonts w:ascii="Arial" w:hAnsi="Arial" w:cs="Arial"/>
          <w:sz w:val="24"/>
          <w:szCs w:val="24"/>
        </w:rPr>
        <w:t>5</w:t>
      </w:r>
      <w:r w:rsidRPr="00106D9C">
        <w:rPr>
          <w:rFonts w:ascii="Arial" w:hAnsi="Arial" w:cs="Arial"/>
          <w:sz w:val="24"/>
          <w:szCs w:val="24"/>
        </w:rPr>
        <w:t>, Septiembre 2012</w:t>
      </w:r>
    </w:p>
    <w:p w:rsidR="00106D9C" w:rsidRDefault="00106D9C">
      <w:pPr>
        <w:rPr>
          <w:rFonts w:ascii="Arial" w:hAnsi="Arial" w:cs="Arial"/>
          <w:b/>
          <w:sz w:val="28"/>
        </w:rPr>
      </w:pPr>
      <w:r>
        <w:rPr>
          <w:rFonts w:ascii="Arial" w:hAnsi="Arial" w:cs="Arial"/>
          <w:b/>
          <w:sz w:val="28"/>
        </w:rPr>
        <w:br w:type="page"/>
      </w:r>
    </w:p>
    <w:p w:rsidR="006E1AD8" w:rsidRPr="00651AAA" w:rsidRDefault="006E1AD8" w:rsidP="006E1AD8">
      <w:pPr>
        <w:jc w:val="center"/>
        <w:rPr>
          <w:rFonts w:ascii="Arial" w:hAnsi="Arial" w:cs="Arial"/>
          <w:b/>
          <w:sz w:val="28"/>
        </w:rPr>
      </w:pPr>
      <w:r w:rsidRPr="00651AAA">
        <w:rPr>
          <w:rFonts w:ascii="Arial" w:hAnsi="Arial" w:cs="Arial"/>
          <w:b/>
          <w:sz w:val="28"/>
        </w:rPr>
        <w:lastRenderedPageBreak/>
        <w:t xml:space="preserve">REVISION DE LA EVALUACION </w:t>
      </w:r>
      <w:r w:rsidR="00355BB7">
        <w:rPr>
          <w:rFonts w:ascii="Arial" w:hAnsi="Arial" w:cs="Arial"/>
          <w:b/>
          <w:sz w:val="28"/>
        </w:rPr>
        <w:t xml:space="preserve">FINANCIERA </w:t>
      </w:r>
      <w:r w:rsidRPr="00651AAA">
        <w:rPr>
          <w:rFonts w:ascii="Arial" w:hAnsi="Arial" w:cs="Arial"/>
          <w:b/>
          <w:sz w:val="28"/>
        </w:rPr>
        <w:t>DEL PROYECTO PRIMERA LINEA DEL METRO DE QUITO</w:t>
      </w:r>
    </w:p>
    <w:p w:rsidR="006E1AD8" w:rsidRPr="00F415D3" w:rsidRDefault="006E1AD8" w:rsidP="006E1AD8">
      <w:pPr>
        <w:rPr>
          <w:rFonts w:ascii="Arial" w:hAnsi="Arial" w:cs="Arial"/>
        </w:rPr>
      </w:pPr>
    </w:p>
    <w:p w:rsidR="00E02242" w:rsidRDefault="00E02242" w:rsidP="006E1AD8">
      <w:pPr>
        <w:rPr>
          <w:rFonts w:ascii="Arial" w:hAnsi="Arial" w:cs="Arial"/>
        </w:rPr>
      </w:pPr>
    </w:p>
    <w:p w:rsidR="00E02242" w:rsidRPr="00E02242" w:rsidRDefault="00E02242" w:rsidP="00E02242">
      <w:pPr>
        <w:jc w:val="center"/>
        <w:rPr>
          <w:rFonts w:ascii="Arial" w:hAnsi="Arial" w:cs="Arial"/>
          <w:b/>
        </w:rPr>
      </w:pPr>
      <w:r>
        <w:rPr>
          <w:rFonts w:ascii="Arial" w:hAnsi="Arial" w:cs="Arial"/>
          <w:b/>
        </w:rPr>
        <w:t>TABLA DE CONTENIDO</w:t>
      </w:r>
    </w:p>
    <w:p w:rsidR="00E02242" w:rsidRDefault="00E02242" w:rsidP="006E1AD8">
      <w:pPr>
        <w:rPr>
          <w:rFonts w:ascii="Arial" w:hAnsi="Arial" w:cs="Arial"/>
        </w:rPr>
      </w:pPr>
    </w:p>
    <w:p w:rsidR="00D10547" w:rsidRDefault="006028B1">
      <w:pPr>
        <w:pStyle w:val="TOC1"/>
        <w:tabs>
          <w:tab w:val="left" w:pos="440"/>
          <w:tab w:val="right" w:leader="dot" w:pos="8828"/>
        </w:tabs>
        <w:rPr>
          <w:rFonts w:eastAsiaTheme="minorEastAsia"/>
          <w:noProof/>
          <w:lang w:eastAsia="es-CO"/>
        </w:rPr>
      </w:pPr>
      <w:r>
        <w:rPr>
          <w:rFonts w:ascii="Arial" w:hAnsi="Arial" w:cs="Arial"/>
        </w:rPr>
        <w:fldChar w:fldCharType="begin"/>
      </w:r>
      <w:r w:rsidR="00E02242">
        <w:rPr>
          <w:rFonts w:ascii="Arial" w:hAnsi="Arial" w:cs="Arial"/>
        </w:rPr>
        <w:instrText xml:space="preserve"> TOC \o "1-3" </w:instrText>
      </w:r>
      <w:r>
        <w:rPr>
          <w:rFonts w:ascii="Arial" w:hAnsi="Arial" w:cs="Arial"/>
        </w:rPr>
        <w:fldChar w:fldCharType="separate"/>
      </w:r>
      <w:r w:rsidR="00D10547" w:rsidRPr="00326103">
        <w:rPr>
          <w:rFonts w:ascii="Arial" w:hAnsi="Arial"/>
          <w:noProof/>
        </w:rPr>
        <w:t>1.</w:t>
      </w:r>
      <w:r w:rsidR="00D10547">
        <w:rPr>
          <w:rFonts w:eastAsiaTheme="minorEastAsia"/>
          <w:noProof/>
          <w:lang w:eastAsia="es-CO"/>
        </w:rPr>
        <w:tab/>
      </w:r>
      <w:r w:rsidR="00D10547" w:rsidRPr="00326103">
        <w:rPr>
          <w:rFonts w:ascii="Arial" w:hAnsi="Arial"/>
          <w:noProof/>
        </w:rPr>
        <w:t>ANTECEDENTES</w:t>
      </w:r>
      <w:r w:rsidR="00D10547">
        <w:rPr>
          <w:noProof/>
        </w:rPr>
        <w:tab/>
      </w:r>
      <w:r w:rsidR="00D10547">
        <w:rPr>
          <w:noProof/>
        </w:rPr>
        <w:fldChar w:fldCharType="begin"/>
      </w:r>
      <w:r w:rsidR="00D10547">
        <w:rPr>
          <w:noProof/>
        </w:rPr>
        <w:instrText xml:space="preserve"> PAGEREF _Toc336368600 \h </w:instrText>
      </w:r>
      <w:r w:rsidR="00D10547">
        <w:rPr>
          <w:noProof/>
        </w:rPr>
      </w:r>
      <w:r w:rsidR="00D10547">
        <w:rPr>
          <w:noProof/>
        </w:rPr>
        <w:fldChar w:fldCharType="separate"/>
      </w:r>
      <w:r w:rsidR="00D10547">
        <w:rPr>
          <w:noProof/>
        </w:rPr>
        <w:t>3</w:t>
      </w:r>
      <w:r w:rsidR="00D10547">
        <w:rPr>
          <w:noProof/>
        </w:rPr>
        <w:fldChar w:fldCharType="end"/>
      </w:r>
    </w:p>
    <w:p w:rsidR="00D10547" w:rsidRDefault="00D10547">
      <w:pPr>
        <w:pStyle w:val="TOC1"/>
        <w:tabs>
          <w:tab w:val="left" w:pos="440"/>
          <w:tab w:val="right" w:leader="dot" w:pos="8828"/>
        </w:tabs>
        <w:rPr>
          <w:rFonts w:eastAsiaTheme="minorEastAsia"/>
          <w:noProof/>
          <w:lang w:eastAsia="es-CO"/>
        </w:rPr>
      </w:pPr>
      <w:r w:rsidRPr="00326103">
        <w:rPr>
          <w:rFonts w:ascii="Arial" w:hAnsi="Arial"/>
          <w:noProof/>
        </w:rPr>
        <w:t>2.</w:t>
      </w:r>
      <w:r>
        <w:rPr>
          <w:rFonts w:eastAsiaTheme="minorEastAsia"/>
          <w:noProof/>
          <w:lang w:eastAsia="es-CO"/>
        </w:rPr>
        <w:tab/>
      </w:r>
      <w:r w:rsidRPr="00326103">
        <w:rPr>
          <w:rFonts w:ascii="Arial" w:hAnsi="Arial"/>
          <w:noProof/>
        </w:rPr>
        <w:t>DOCUMENTACION REVISADA</w:t>
      </w:r>
      <w:r>
        <w:rPr>
          <w:noProof/>
        </w:rPr>
        <w:tab/>
      </w:r>
      <w:r>
        <w:rPr>
          <w:noProof/>
        </w:rPr>
        <w:fldChar w:fldCharType="begin"/>
      </w:r>
      <w:r>
        <w:rPr>
          <w:noProof/>
        </w:rPr>
        <w:instrText xml:space="preserve"> PAGEREF _Toc336368601 \h </w:instrText>
      </w:r>
      <w:r>
        <w:rPr>
          <w:noProof/>
        </w:rPr>
      </w:r>
      <w:r>
        <w:rPr>
          <w:noProof/>
        </w:rPr>
        <w:fldChar w:fldCharType="separate"/>
      </w:r>
      <w:r>
        <w:rPr>
          <w:noProof/>
        </w:rPr>
        <w:t>4</w:t>
      </w:r>
      <w:r>
        <w:rPr>
          <w:noProof/>
        </w:rPr>
        <w:fldChar w:fldCharType="end"/>
      </w:r>
    </w:p>
    <w:p w:rsidR="00D10547" w:rsidRDefault="00D10547">
      <w:pPr>
        <w:pStyle w:val="TOC1"/>
        <w:tabs>
          <w:tab w:val="left" w:pos="440"/>
          <w:tab w:val="right" w:leader="dot" w:pos="8828"/>
        </w:tabs>
        <w:rPr>
          <w:rFonts w:eastAsiaTheme="minorEastAsia"/>
          <w:noProof/>
          <w:lang w:eastAsia="es-CO"/>
        </w:rPr>
      </w:pPr>
      <w:r w:rsidRPr="00326103">
        <w:rPr>
          <w:rFonts w:ascii="Arial" w:hAnsi="Arial"/>
          <w:noProof/>
        </w:rPr>
        <w:t>3.</w:t>
      </w:r>
      <w:r>
        <w:rPr>
          <w:rFonts w:eastAsiaTheme="minorEastAsia"/>
          <w:noProof/>
          <w:lang w:eastAsia="es-CO"/>
        </w:rPr>
        <w:tab/>
      </w:r>
      <w:r w:rsidRPr="00326103">
        <w:rPr>
          <w:rFonts w:ascii="Arial" w:hAnsi="Arial"/>
          <w:noProof/>
        </w:rPr>
        <w:t>EVALUACION DE LA PLM REALIZADA POR EL METRO DE MADRID. DOCUMENTO “ESTUDIO DE VIABILIDAD ECONOMICO-FINANCIERA”</w:t>
      </w:r>
      <w:r>
        <w:rPr>
          <w:noProof/>
        </w:rPr>
        <w:tab/>
      </w:r>
      <w:r>
        <w:rPr>
          <w:noProof/>
        </w:rPr>
        <w:fldChar w:fldCharType="begin"/>
      </w:r>
      <w:r>
        <w:rPr>
          <w:noProof/>
        </w:rPr>
        <w:instrText xml:space="preserve"> PAGEREF _Toc336368602 \h </w:instrText>
      </w:r>
      <w:r>
        <w:rPr>
          <w:noProof/>
        </w:rPr>
      </w:r>
      <w:r>
        <w:rPr>
          <w:noProof/>
        </w:rPr>
        <w:fldChar w:fldCharType="separate"/>
      </w:r>
      <w:r>
        <w:rPr>
          <w:noProof/>
        </w:rPr>
        <w:t>4</w:t>
      </w:r>
      <w:r>
        <w:rPr>
          <w:noProof/>
        </w:rPr>
        <w:fldChar w:fldCharType="end"/>
      </w:r>
    </w:p>
    <w:p w:rsidR="00D10547" w:rsidRDefault="00D10547">
      <w:pPr>
        <w:pStyle w:val="TOC1"/>
        <w:tabs>
          <w:tab w:val="left" w:pos="440"/>
          <w:tab w:val="right" w:leader="dot" w:pos="8828"/>
        </w:tabs>
        <w:rPr>
          <w:rFonts w:eastAsiaTheme="minorEastAsia"/>
          <w:noProof/>
          <w:lang w:eastAsia="es-CO"/>
        </w:rPr>
      </w:pPr>
      <w:r w:rsidRPr="00326103">
        <w:rPr>
          <w:rFonts w:ascii="Arial" w:hAnsi="Arial"/>
          <w:noProof/>
        </w:rPr>
        <w:t>4.</w:t>
      </w:r>
      <w:r>
        <w:rPr>
          <w:rFonts w:eastAsiaTheme="minorEastAsia"/>
          <w:noProof/>
          <w:lang w:eastAsia="es-CO"/>
        </w:rPr>
        <w:tab/>
      </w:r>
      <w:r w:rsidRPr="00326103">
        <w:rPr>
          <w:rFonts w:ascii="Arial" w:hAnsi="Arial"/>
          <w:noProof/>
        </w:rPr>
        <w:t>ESQUEMA DE FINANCIAMIENTO DE LAS OBRAS PARA LA PLM DE QUITO</w:t>
      </w:r>
      <w:r>
        <w:rPr>
          <w:noProof/>
        </w:rPr>
        <w:tab/>
      </w:r>
      <w:r>
        <w:rPr>
          <w:noProof/>
        </w:rPr>
        <w:fldChar w:fldCharType="begin"/>
      </w:r>
      <w:r>
        <w:rPr>
          <w:noProof/>
        </w:rPr>
        <w:instrText xml:space="preserve"> PAGEREF _Toc336368603 \h </w:instrText>
      </w:r>
      <w:r>
        <w:rPr>
          <w:noProof/>
        </w:rPr>
      </w:r>
      <w:r>
        <w:rPr>
          <w:noProof/>
        </w:rPr>
        <w:fldChar w:fldCharType="separate"/>
      </w:r>
      <w:r>
        <w:rPr>
          <w:noProof/>
        </w:rPr>
        <w:t>5</w:t>
      </w:r>
      <w:r>
        <w:rPr>
          <w:noProof/>
        </w:rPr>
        <w:fldChar w:fldCharType="end"/>
      </w:r>
    </w:p>
    <w:p w:rsidR="00D10547" w:rsidRDefault="00D10547">
      <w:pPr>
        <w:pStyle w:val="TOC1"/>
        <w:tabs>
          <w:tab w:val="left" w:pos="440"/>
          <w:tab w:val="right" w:leader="dot" w:pos="8828"/>
        </w:tabs>
        <w:rPr>
          <w:rFonts w:eastAsiaTheme="minorEastAsia"/>
          <w:noProof/>
          <w:lang w:eastAsia="es-CO"/>
        </w:rPr>
      </w:pPr>
      <w:r w:rsidRPr="00326103">
        <w:rPr>
          <w:rFonts w:ascii="Arial" w:hAnsi="Arial"/>
          <w:noProof/>
        </w:rPr>
        <w:t>5.</w:t>
      </w:r>
      <w:r>
        <w:rPr>
          <w:rFonts w:eastAsiaTheme="minorEastAsia"/>
          <w:noProof/>
          <w:lang w:eastAsia="es-CO"/>
        </w:rPr>
        <w:tab/>
      </w:r>
      <w:r w:rsidRPr="00326103">
        <w:rPr>
          <w:rFonts w:ascii="Arial" w:hAnsi="Arial"/>
          <w:noProof/>
        </w:rPr>
        <w:t>CONCLUSIONES</w:t>
      </w:r>
      <w:r>
        <w:rPr>
          <w:noProof/>
        </w:rPr>
        <w:tab/>
      </w:r>
      <w:r>
        <w:rPr>
          <w:noProof/>
        </w:rPr>
        <w:fldChar w:fldCharType="begin"/>
      </w:r>
      <w:r>
        <w:rPr>
          <w:noProof/>
        </w:rPr>
        <w:instrText xml:space="preserve"> PAGEREF _Toc336368604 \h </w:instrText>
      </w:r>
      <w:r>
        <w:rPr>
          <w:noProof/>
        </w:rPr>
      </w:r>
      <w:r>
        <w:rPr>
          <w:noProof/>
        </w:rPr>
        <w:fldChar w:fldCharType="separate"/>
      </w:r>
      <w:r>
        <w:rPr>
          <w:noProof/>
        </w:rPr>
        <w:t>11</w:t>
      </w:r>
      <w:r>
        <w:rPr>
          <w:noProof/>
        </w:rPr>
        <w:fldChar w:fldCharType="end"/>
      </w:r>
    </w:p>
    <w:p w:rsidR="00D10547" w:rsidRDefault="00D10547">
      <w:pPr>
        <w:pStyle w:val="TOC1"/>
        <w:tabs>
          <w:tab w:val="left" w:pos="440"/>
          <w:tab w:val="right" w:leader="dot" w:pos="8828"/>
        </w:tabs>
        <w:rPr>
          <w:rFonts w:eastAsiaTheme="minorEastAsia"/>
          <w:noProof/>
          <w:lang w:eastAsia="es-CO"/>
        </w:rPr>
      </w:pPr>
      <w:r w:rsidRPr="00326103">
        <w:rPr>
          <w:rFonts w:ascii="Arial" w:hAnsi="Arial"/>
          <w:noProof/>
        </w:rPr>
        <w:t>6.</w:t>
      </w:r>
      <w:r>
        <w:rPr>
          <w:rFonts w:eastAsiaTheme="minorEastAsia"/>
          <w:noProof/>
          <w:lang w:eastAsia="es-CO"/>
        </w:rPr>
        <w:tab/>
      </w:r>
      <w:r w:rsidRPr="00326103">
        <w:rPr>
          <w:rFonts w:ascii="Arial" w:hAnsi="Arial"/>
          <w:noProof/>
        </w:rPr>
        <w:t>ANEXOS</w:t>
      </w:r>
      <w:r>
        <w:rPr>
          <w:noProof/>
        </w:rPr>
        <w:tab/>
      </w:r>
      <w:r>
        <w:rPr>
          <w:noProof/>
        </w:rPr>
        <w:fldChar w:fldCharType="begin"/>
      </w:r>
      <w:r>
        <w:rPr>
          <w:noProof/>
        </w:rPr>
        <w:instrText xml:space="preserve"> PAGEREF _Toc336368605 \h </w:instrText>
      </w:r>
      <w:r>
        <w:rPr>
          <w:noProof/>
        </w:rPr>
      </w:r>
      <w:r>
        <w:rPr>
          <w:noProof/>
        </w:rPr>
        <w:fldChar w:fldCharType="separate"/>
      </w:r>
      <w:r>
        <w:rPr>
          <w:noProof/>
        </w:rPr>
        <w:t>11</w:t>
      </w:r>
      <w:r>
        <w:rPr>
          <w:noProof/>
        </w:rPr>
        <w:fldChar w:fldCharType="end"/>
      </w:r>
    </w:p>
    <w:p w:rsidR="00E15C1F" w:rsidRDefault="006028B1" w:rsidP="006E1AD8">
      <w:pPr>
        <w:rPr>
          <w:rFonts w:ascii="Arial" w:hAnsi="Arial" w:cs="Arial"/>
        </w:rPr>
      </w:pPr>
      <w:r>
        <w:rPr>
          <w:rFonts w:ascii="Arial" w:hAnsi="Arial" w:cs="Arial"/>
        </w:rPr>
        <w:fldChar w:fldCharType="end"/>
      </w:r>
    </w:p>
    <w:p w:rsidR="00E02242" w:rsidRDefault="00E02242" w:rsidP="006E1AD8">
      <w:pPr>
        <w:rPr>
          <w:rFonts w:ascii="Arial" w:hAnsi="Arial" w:cs="Arial"/>
        </w:rPr>
      </w:pPr>
    </w:p>
    <w:p w:rsidR="00E02242" w:rsidRPr="00E02242" w:rsidRDefault="00E02242" w:rsidP="00E02242">
      <w:pPr>
        <w:jc w:val="center"/>
        <w:rPr>
          <w:rFonts w:ascii="Arial" w:hAnsi="Arial" w:cs="Arial"/>
          <w:b/>
        </w:rPr>
      </w:pPr>
      <w:r w:rsidRPr="00E02242">
        <w:rPr>
          <w:rFonts w:ascii="Arial" w:hAnsi="Arial" w:cs="Arial"/>
          <w:b/>
        </w:rPr>
        <w:t>TABLAS</w:t>
      </w:r>
    </w:p>
    <w:p w:rsidR="00E02242" w:rsidRDefault="00E02242" w:rsidP="006E1AD8">
      <w:pPr>
        <w:rPr>
          <w:rFonts w:ascii="Arial" w:hAnsi="Arial" w:cs="Arial"/>
        </w:rPr>
      </w:pPr>
    </w:p>
    <w:p w:rsidR="00D10547" w:rsidRDefault="006028B1">
      <w:pPr>
        <w:pStyle w:val="TableofFigures"/>
        <w:tabs>
          <w:tab w:val="right" w:leader="dot" w:pos="8828"/>
        </w:tabs>
        <w:rPr>
          <w:rFonts w:eastAsiaTheme="minorEastAsia"/>
          <w:noProof/>
          <w:lang w:eastAsia="es-CO"/>
        </w:rPr>
      </w:pPr>
      <w:r>
        <w:rPr>
          <w:rFonts w:ascii="Arial" w:hAnsi="Arial" w:cs="Arial"/>
        </w:rPr>
        <w:fldChar w:fldCharType="begin"/>
      </w:r>
      <w:r w:rsidR="00E02242">
        <w:rPr>
          <w:rFonts w:ascii="Arial" w:hAnsi="Arial" w:cs="Arial"/>
        </w:rPr>
        <w:instrText xml:space="preserve"> TOC \c "Tabla" </w:instrText>
      </w:r>
      <w:r>
        <w:rPr>
          <w:rFonts w:ascii="Arial" w:hAnsi="Arial" w:cs="Arial"/>
        </w:rPr>
        <w:fldChar w:fldCharType="separate"/>
      </w:r>
      <w:r w:rsidR="00D10547" w:rsidRPr="00E827B4">
        <w:rPr>
          <w:rFonts w:ascii="Arial" w:hAnsi="Arial"/>
          <w:noProof/>
        </w:rPr>
        <w:t>Tabla 1. Descripción del esquema de financiamiento de obras para la PLM</w:t>
      </w:r>
      <w:r w:rsidR="00D10547">
        <w:rPr>
          <w:noProof/>
        </w:rPr>
        <w:tab/>
      </w:r>
      <w:r w:rsidR="00D10547">
        <w:rPr>
          <w:noProof/>
        </w:rPr>
        <w:fldChar w:fldCharType="begin"/>
      </w:r>
      <w:r w:rsidR="00D10547">
        <w:rPr>
          <w:noProof/>
        </w:rPr>
        <w:instrText xml:space="preserve"> PAGEREF _Toc336368593 \h </w:instrText>
      </w:r>
      <w:r w:rsidR="00D10547">
        <w:rPr>
          <w:noProof/>
        </w:rPr>
      </w:r>
      <w:r w:rsidR="00D10547">
        <w:rPr>
          <w:noProof/>
        </w:rPr>
        <w:fldChar w:fldCharType="separate"/>
      </w:r>
      <w:r w:rsidR="00D10547">
        <w:rPr>
          <w:noProof/>
        </w:rPr>
        <w:t>5</w:t>
      </w:r>
      <w:r w:rsidR="00D10547">
        <w:rPr>
          <w:noProof/>
        </w:rPr>
        <w:fldChar w:fldCharType="end"/>
      </w:r>
    </w:p>
    <w:p w:rsidR="00D10547" w:rsidRDefault="00D10547">
      <w:pPr>
        <w:pStyle w:val="TableofFigures"/>
        <w:tabs>
          <w:tab w:val="right" w:leader="dot" w:pos="8828"/>
        </w:tabs>
        <w:rPr>
          <w:rFonts w:eastAsiaTheme="minorEastAsia"/>
          <w:noProof/>
          <w:lang w:eastAsia="es-CO"/>
        </w:rPr>
      </w:pPr>
      <w:r>
        <w:rPr>
          <w:noProof/>
        </w:rPr>
        <w:t>Tabla 2. Resultados de diferencias en ingresos con respecto al punto de equilibrio</w:t>
      </w:r>
      <w:r>
        <w:rPr>
          <w:noProof/>
        </w:rPr>
        <w:tab/>
      </w:r>
      <w:r>
        <w:rPr>
          <w:noProof/>
        </w:rPr>
        <w:fldChar w:fldCharType="begin"/>
      </w:r>
      <w:r>
        <w:rPr>
          <w:noProof/>
        </w:rPr>
        <w:instrText xml:space="preserve"> PAGEREF _Toc336368594 \h </w:instrText>
      </w:r>
      <w:r>
        <w:rPr>
          <w:noProof/>
        </w:rPr>
      </w:r>
      <w:r>
        <w:rPr>
          <w:noProof/>
        </w:rPr>
        <w:fldChar w:fldCharType="separate"/>
      </w:r>
      <w:r>
        <w:rPr>
          <w:noProof/>
        </w:rPr>
        <w:t>8</w:t>
      </w:r>
      <w:r>
        <w:rPr>
          <w:noProof/>
        </w:rPr>
        <w:fldChar w:fldCharType="end"/>
      </w:r>
    </w:p>
    <w:p w:rsidR="00E02242" w:rsidRDefault="006028B1" w:rsidP="006E1AD8">
      <w:pPr>
        <w:rPr>
          <w:rFonts w:ascii="Arial" w:hAnsi="Arial" w:cs="Arial"/>
        </w:rPr>
      </w:pPr>
      <w:r>
        <w:rPr>
          <w:rFonts w:ascii="Arial" w:hAnsi="Arial" w:cs="Arial"/>
        </w:rPr>
        <w:fldChar w:fldCharType="end"/>
      </w:r>
    </w:p>
    <w:p w:rsidR="00E02242" w:rsidRPr="00E02242" w:rsidRDefault="00E02242" w:rsidP="00E02242">
      <w:pPr>
        <w:jc w:val="center"/>
        <w:rPr>
          <w:rFonts w:ascii="Arial" w:hAnsi="Arial" w:cs="Arial"/>
          <w:b/>
        </w:rPr>
      </w:pPr>
      <w:r w:rsidRPr="00E02242">
        <w:rPr>
          <w:rFonts w:ascii="Arial" w:hAnsi="Arial" w:cs="Arial"/>
          <w:b/>
        </w:rPr>
        <w:t>ILUSTRACIONES</w:t>
      </w:r>
    </w:p>
    <w:p w:rsidR="00E02242" w:rsidRDefault="00E02242" w:rsidP="006E1AD8">
      <w:pPr>
        <w:rPr>
          <w:rFonts w:ascii="Arial" w:hAnsi="Arial" w:cs="Arial"/>
        </w:rPr>
      </w:pPr>
    </w:p>
    <w:p w:rsidR="00D10547" w:rsidRDefault="006028B1">
      <w:pPr>
        <w:pStyle w:val="TableofFigures"/>
        <w:tabs>
          <w:tab w:val="right" w:leader="dot" w:pos="8828"/>
        </w:tabs>
        <w:rPr>
          <w:rFonts w:eastAsiaTheme="minorEastAsia"/>
          <w:noProof/>
          <w:lang w:eastAsia="es-CO"/>
        </w:rPr>
      </w:pPr>
      <w:r>
        <w:rPr>
          <w:rFonts w:ascii="Arial" w:hAnsi="Arial" w:cs="Arial"/>
        </w:rPr>
        <w:fldChar w:fldCharType="begin"/>
      </w:r>
      <w:r w:rsidR="00E02242">
        <w:rPr>
          <w:rFonts w:ascii="Arial" w:hAnsi="Arial" w:cs="Arial"/>
        </w:rPr>
        <w:instrText xml:space="preserve"> TOC \c "Ilustración" </w:instrText>
      </w:r>
      <w:r>
        <w:rPr>
          <w:rFonts w:ascii="Arial" w:hAnsi="Arial" w:cs="Arial"/>
        </w:rPr>
        <w:fldChar w:fldCharType="separate"/>
      </w:r>
      <w:r w:rsidR="00D10547">
        <w:rPr>
          <w:noProof/>
        </w:rPr>
        <w:t>Ilustración 1. Representación gráfica de las diferencias entre los ingresos de cada escenario y el punto de equilibrio</w:t>
      </w:r>
      <w:r w:rsidR="00D10547">
        <w:rPr>
          <w:noProof/>
        </w:rPr>
        <w:tab/>
      </w:r>
      <w:r w:rsidR="00D10547">
        <w:rPr>
          <w:noProof/>
        </w:rPr>
        <w:fldChar w:fldCharType="begin"/>
      </w:r>
      <w:r w:rsidR="00D10547">
        <w:rPr>
          <w:noProof/>
        </w:rPr>
        <w:instrText xml:space="preserve"> PAGEREF _Toc336368609 \h </w:instrText>
      </w:r>
      <w:r w:rsidR="00D10547">
        <w:rPr>
          <w:noProof/>
        </w:rPr>
      </w:r>
      <w:r w:rsidR="00D10547">
        <w:rPr>
          <w:noProof/>
        </w:rPr>
        <w:fldChar w:fldCharType="separate"/>
      </w:r>
      <w:r w:rsidR="00D10547">
        <w:rPr>
          <w:noProof/>
        </w:rPr>
        <w:t>9</w:t>
      </w:r>
      <w:r w:rsidR="00D10547">
        <w:rPr>
          <w:noProof/>
        </w:rPr>
        <w:fldChar w:fldCharType="end"/>
      </w:r>
    </w:p>
    <w:p w:rsidR="00D10547" w:rsidRDefault="00D10547">
      <w:pPr>
        <w:pStyle w:val="TableofFigures"/>
        <w:tabs>
          <w:tab w:val="right" w:leader="dot" w:pos="8828"/>
        </w:tabs>
        <w:rPr>
          <w:rFonts w:eastAsiaTheme="minorEastAsia"/>
          <w:noProof/>
          <w:lang w:eastAsia="es-CO"/>
        </w:rPr>
      </w:pPr>
      <w:r>
        <w:rPr>
          <w:noProof/>
        </w:rPr>
        <w:t>Ilustración 2. Relación Ingresos por escenarios con costos operacionales</w:t>
      </w:r>
      <w:r>
        <w:rPr>
          <w:noProof/>
        </w:rPr>
        <w:tab/>
      </w:r>
      <w:r>
        <w:rPr>
          <w:noProof/>
        </w:rPr>
        <w:fldChar w:fldCharType="begin"/>
      </w:r>
      <w:r>
        <w:rPr>
          <w:noProof/>
        </w:rPr>
        <w:instrText xml:space="preserve"> PAGEREF _Toc336368610 \h </w:instrText>
      </w:r>
      <w:r>
        <w:rPr>
          <w:noProof/>
        </w:rPr>
      </w:r>
      <w:r>
        <w:rPr>
          <w:noProof/>
        </w:rPr>
        <w:fldChar w:fldCharType="separate"/>
      </w:r>
      <w:r>
        <w:rPr>
          <w:noProof/>
        </w:rPr>
        <w:t>10</w:t>
      </w:r>
      <w:r>
        <w:rPr>
          <w:noProof/>
        </w:rPr>
        <w:fldChar w:fldCharType="end"/>
      </w:r>
    </w:p>
    <w:p w:rsidR="00D10547" w:rsidRDefault="00D10547">
      <w:pPr>
        <w:pStyle w:val="TableofFigures"/>
        <w:tabs>
          <w:tab w:val="right" w:leader="dot" w:pos="8828"/>
        </w:tabs>
        <w:rPr>
          <w:rFonts w:eastAsiaTheme="minorEastAsia"/>
          <w:noProof/>
          <w:lang w:eastAsia="es-CO"/>
        </w:rPr>
      </w:pPr>
      <w:r>
        <w:rPr>
          <w:noProof/>
        </w:rPr>
        <w:t>Ilustración 3. Proyección de demanda contra viajes de equilibrio</w:t>
      </w:r>
      <w:r>
        <w:rPr>
          <w:noProof/>
        </w:rPr>
        <w:tab/>
      </w:r>
      <w:r>
        <w:rPr>
          <w:noProof/>
        </w:rPr>
        <w:fldChar w:fldCharType="begin"/>
      </w:r>
      <w:r>
        <w:rPr>
          <w:noProof/>
        </w:rPr>
        <w:instrText xml:space="preserve"> PAGEREF _Toc336368611 \h </w:instrText>
      </w:r>
      <w:r>
        <w:rPr>
          <w:noProof/>
        </w:rPr>
      </w:r>
      <w:r>
        <w:rPr>
          <w:noProof/>
        </w:rPr>
        <w:fldChar w:fldCharType="separate"/>
      </w:r>
      <w:r>
        <w:rPr>
          <w:noProof/>
        </w:rPr>
        <w:t>11</w:t>
      </w:r>
      <w:r>
        <w:rPr>
          <w:noProof/>
        </w:rPr>
        <w:fldChar w:fldCharType="end"/>
      </w:r>
    </w:p>
    <w:p w:rsidR="00E02242" w:rsidRDefault="006028B1" w:rsidP="006E1AD8">
      <w:pPr>
        <w:rPr>
          <w:rFonts w:ascii="Arial" w:hAnsi="Arial" w:cs="Arial"/>
        </w:rPr>
      </w:pPr>
      <w:r>
        <w:rPr>
          <w:rFonts w:ascii="Arial" w:hAnsi="Arial" w:cs="Arial"/>
        </w:rPr>
        <w:fldChar w:fldCharType="end"/>
      </w:r>
    </w:p>
    <w:p w:rsidR="002F2259" w:rsidRDefault="002F2259" w:rsidP="006E1AD8">
      <w:pPr>
        <w:rPr>
          <w:rFonts w:ascii="Arial" w:hAnsi="Arial" w:cs="Arial"/>
        </w:rPr>
        <w:sectPr w:rsidR="002F2259" w:rsidSect="007E0B38">
          <w:footerReference w:type="default" r:id="rId9"/>
          <w:pgSz w:w="12240" w:h="15840"/>
          <w:pgMar w:top="1417" w:right="1701" w:bottom="1417" w:left="1701" w:header="708" w:footer="708" w:gutter="0"/>
          <w:cols w:space="708"/>
          <w:docGrid w:linePitch="360"/>
        </w:sectPr>
      </w:pPr>
    </w:p>
    <w:p w:rsidR="00107EAA" w:rsidRPr="00F415D3" w:rsidRDefault="00107EAA" w:rsidP="006E1AD8">
      <w:pPr>
        <w:rPr>
          <w:rFonts w:ascii="Arial" w:hAnsi="Arial" w:cs="Arial"/>
        </w:rPr>
      </w:pPr>
    </w:p>
    <w:p w:rsidR="006E1AD8" w:rsidRPr="00F415D3" w:rsidRDefault="006E1AD8" w:rsidP="009B786A">
      <w:pPr>
        <w:pStyle w:val="Heading1"/>
        <w:numPr>
          <w:ilvl w:val="0"/>
          <w:numId w:val="7"/>
        </w:numPr>
        <w:rPr>
          <w:rFonts w:ascii="Arial" w:hAnsi="Arial"/>
          <w:color w:val="auto"/>
          <w:sz w:val="24"/>
        </w:rPr>
      </w:pPr>
      <w:bookmarkStart w:id="1" w:name="_Toc336368600"/>
      <w:r w:rsidRPr="00F415D3">
        <w:rPr>
          <w:rFonts w:ascii="Arial" w:hAnsi="Arial"/>
          <w:color w:val="auto"/>
          <w:sz w:val="24"/>
        </w:rPr>
        <w:t>ANTECEDENTES</w:t>
      </w:r>
      <w:bookmarkEnd w:id="1"/>
    </w:p>
    <w:p w:rsidR="006E1AD8" w:rsidRDefault="006E1AD8" w:rsidP="006E1AD8">
      <w:pPr>
        <w:rPr>
          <w:rFonts w:ascii="Arial" w:hAnsi="Arial" w:cs="Arial"/>
        </w:rPr>
      </w:pPr>
    </w:p>
    <w:p w:rsidR="00162A41" w:rsidRPr="00F415D3" w:rsidRDefault="00162A41" w:rsidP="006E1AD8">
      <w:pPr>
        <w:rPr>
          <w:rFonts w:ascii="Arial" w:hAnsi="Arial" w:cs="Arial"/>
        </w:rPr>
      </w:pPr>
    </w:p>
    <w:p w:rsidR="000723F4" w:rsidRPr="00F415D3" w:rsidRDefault="006E1AD8" w:rsidP="006E1AD8">
      <w:pPr>
        <w:rPr>
          <w:rFonts w:ascii="Arial" w:hAnsi="Arial" w:cs="Arial"/>
        </w:rPr>
      </w:pPr>
      <w:r w:rsidRPr="00F415D3">
        <w:rPr>
          <w:rFonts w:ascii="Arial" w:hAnsi="Arial" w:cs="Arial"/>
        </w:rPr>
        <w:t>El Distrito Metropolitano de Quito (DMQ) ti</w:t>
      </w:r>
      <w:r w:rsidR="00031FE9" w:rsidRPr="00F415D3">
        <w:rPr>
          <w:rFonts w:ascii="Arial" w:hAnsi="Arial" w:cs="Arial"/>
        </w:rPr>
        <w:t>e</w:t>
      </w:r>
      <w:r w:rsidRPr="00F415D3">
        <w:rPr>
          <w:rFonts w:ascii="Arial" w:hAnsi="Arial" w:cs="Arial"/>
        </w:rPr>
        <w:t>ne una población aproximada de 2,3 millones de habitantes</w:t>
      </w:r>
      <w:r w:rsidR="00AD6975">
        <w:rPr>
          <w:rFonts w:ascii="Arial" w:hAnsi="Arial" w:cs="Arial"/>
        </w:rPr>
        <w:t>,</w:t>
      </w:r>
      <w:r w:rsidR="00031FE9" w:rsidRPr="00F415D3">
        <w:rPr>
          <w:rFonts w:ascii="Arial" w:hAnsi="Arial" w:cs="Arial"/>
        </w:rPr>
        <w:t xml:space="preserve"> lo cual equivale al </w:t>
      </w:r>
      <w:r w:rsidR="006E28DA">
        <w:rPr>
          <w:rFonts w:ascii="Arial" w:hAnsi="Arial" w:cs="Arial"/>
        </w:rPr>
        <w:t>15</w:t>
      </w:r>
      <w:r w:rsidR="00031FE9" w:rsidRPr="00F415D3">
        <w:rPr>
          <w:rFonts w:ascii="Arial" w:hAnsi="Arial" w:cs="Arial"/>
        </w:rPr>
        <w:t xml:space="preserve">% de la población de Ecuador. El </w:t>
      </w:r>
      <w:r w:rsidR="006E28DA">
        <w:rPr>
          <w:rFonts w:ascii="Arial" w:hAnsi="Arial" w:cs="Arial"/>
        </w:rPr>
        <w:t>75</w:t>
      </w:r>
      <w:r w:rsidR="00031FE9" w:rsidRPr="00F415D3">
        <w:rPr>
          <w:rFonts w:ascii="Arial" w:hAnsi="Arial" w:cs="Arial"/>
        </w:rPr>
        <w:t xml:space="preserve">% de esta población se considera urbana y el resto es de carácter rural. La densidad en el </w:t>
      </w:r>
      <w:r w:rsidR="00355BB7" w:rsidRPr="00F415D3">
        <w:rPr>
          <w:rFonts w:ascii="Arial" w:hAnsi="Arial" w:cs="Arial"/>
        </w:rPr>
        <w:t>área</w:t>
      </w:r>
      <w:r w:rsidR="00832C1F" w:rsidRPr="00F415D3">
        <w:rPr>
          <w:rFonts w:ascii="Arial" w:hAnsi="Arial" w:cs="Arial"/>
        </w:rPr>
        <w:t xml:space="preserve"> urbana</w:t>
      </w:r>
      <w:r w:rsidR="00031FE9" w:rsidRPr="00F415D3">
        <w:rPr>
          <w:rFonts w:ascii="Arial" w:hAnsi="Arial" w:cs="Arial"/>
        </w:rPr>
        <w:t xml:space="preserve"> es de 91 habitantes/</w:t>
      </w:r>
      <w:r w:rsidR="0013369B" w:rsidRPr="00F415D3">
        <w:rPr>
          <w:rFonts w:ascii="Arial" w:hAnsi="Arial" w:cs="Arial"/>
        </w:rPr>
        <w:t>Ha</w:t>
      </w:r>
      <w:r w:rsidR="00031FE9" w:rsidRPr="00F415D3">
        <w:rPr>
          <w:rFonts w:ascii="Arial" w:hAnsi="Arial" w:cs="Arial"/>
        </w:rPr>
        <w:t xml:space="preserve">. </w:t>
      </w:r>
    </w:p>
    <w:p w:rsidR="000723F4" w:rsidRPr="00F415D3" w:rsidRDefault="000723F4" w:rsidP="006E1AD8">
      <w:pPr>
        <w:rPr>
          <w:rFonts w:ascii="Arial" w:hAnsi="Arial" w:cs="Arial"/>
        </w:rPr>
      </w:pPr>
    </w:p>
    <w:p w:rsidR="006E1AD8" w:rsidRPr="00F415D3" w:rsidRDefault="00D61E83" w:rsidP="006E1AD8">
      <w:pPr>
        <w:rPr>
          <w:rFonts w:ascii="Arial" w:hAnsi="Arial" w:cs="Arial"/>
        </w:rPr>
      </w:pPr>
      <w:r w:rsidRPr="00F415D3">
        <w:rPr>
          <w:rFonts w:ascii="Arial" w:hAnsi="Arial" w:cs="Arial"/>
        </w:rPr>
        <w:t xml:space="preserve">En </w:t>
      </w:r>
      <w:r w:rsidR="00AD6975">
        <w:rPr>
          <w:rFonts w:ascii="Arial" w:hAnsi="Arial" w:cs="Arial"/>
        </w:rPr>
        <w:t xml:space="preserve">el </w:t>
      </w:r>
      <w:r w:rsidRPr="00F415D3">
        <w:rPr>
          <w:rFonts w:ascii="Arial" w:hAnsi="Arial" w:cs="Arial"/>
        </w:rPr>
        <w:t xml:space="preserve">DMQ se </w:t>
      </w:r>
      <w:r w:rsidR="006E28DA">
        <w:rPr>
          <w:rFonts w:ascii="Arial" w:hAnsi="Arial" w:cs="Arial"/>
        </w:rPr>
        <w:t xml:space="preserve">encuentran registrados cerca de 450.000 </w:t>
      </w:r>
      <w:r w:rsidR="0013369B">
        <w:rPr>
          <w:rFonts w:ascii="Arial" w:hAnsi="Arial" w:cs="Arial"/>
        </w:rPr>
        <w:t>vehículos</w:t>
      </w:r>
      <w:r w:rsidR="006E28DA">
        <w:rPr>
          <w:rFonts w:ascii="Arial" w:hAnsi="Arial" w:cs="Arial"/>
        </w:rPr>
        <w:t xml:space="preserve">, de los cuales 330.000 son </w:t>
      </w:r>
      <w:r w:rsidR="00832C1F" w:rsidRPr="00F415D3">
        <w:rPr>
          <w:rFonts w:ascii="Arial" w:hAnsi="Arial" w:cs="Arial"/>
        </w:rPr>
        <w:t>vehículos</w:t>
      </w:r>
      <w:r w:rsidRPr="00F415D3">
        <w:rPr>
          <w:rFonts w:ascii="Arial" w:hAnsi="Arial" w:cs="Arial"/>
        </w:rPr>
        <w:t xml:space="preserve"> particulares</w:t>
      </w:r>
      <w:r w:rsidR="006E28DA">
        <w:rPr>
          <w:rStyle w:val="FootnoteReference"/>
          <w:rFonts w:ascii="Arial" w:hAnsi="Arial" w:cs="Arial"/>
        </w:rPr>
        <w:footnoteReference w:id="1"/>
      </w:r>
      <w:r w:rsidRPr="00F415D3">
        <w:rPr>
          <w:rFonts w:ascii="Arial" w:hAnsi="Arial" w:cs="Arial"/>
        </w:rPr>
        <w:t>.</w:t>
      </w:r>
      <w:r w:rsidR="000723F4" w:rsidRPr="00F415D3">
        <w:rPr>
          <w:rFonts w:ascii="Arial" w:hAnsi="Arial" w:cs="Arial"/>
        </w:rPr>
        <w:t xml:space="preserve"> </w:t>
      </w:r>
      <w:r w:rsidR="00FF4C11" w:rsidRPr="00F415D3">
        <w:rPr>
          <w:rFonts w:ascii="Arial" w:hAnsi="Arial" w:cs="Arial"/>
        </w:rPr>
        <w:t xml:space="preserve">El parque vehicular particular ha tenido un acelerado crecimiento en los últimos años </w:t>
      </w:r>
      <w:r w:rsidR="00941CDE" w:rsidRPr="00F415D3">
        <w:rPr>
          <w:rFonts w:ascii="Arial" w:hAnsi="Arial" w:cs="Arial"/>
        </w:rPr>
        <w:t xml:space="preserve">y esto unido a una limitada oferta vial y una débil </w:t>
      </w:r>
      <w:r w:rsidR="00832C1F" w:rsidRPr="00F415D3">
        <w:rPr>
          <w:rFonts w:ascii="Arial" w:hAnsi="Arial" w:cs="Arial"/>
        </w:rPr>
        <w:t>gestión</w:t>
      </w:r>
      <w:r w:rsidR="00941CDE" w:rsidRPr="00F415D3">
        <w:rPr>
          <w:rFonts w:ascii="Arial" w:hAnsi="Arial" w:cs="Arial"/>
        </w:rPr>
        <w:t xml:space="preserve"> de transporte y </w:t>
      </w:r>
      <w:r w:rsidR="00832C1F" w:rsidRPr="00F415D3">
        <w:rPr>
          <w:rFonts w:ascii="Arial" w:hAnsi="Arial" w:cs="Arial"/>
        </w:rPr>
        <w:t>tránsito</w:t>
      </w:r>
      <w:r w:rsidR="00941CDE" w:rsidRPr="00F415D3">
        <w:rPr>
          <w:rFonts w:ascii="Arial" w:hAnsi="Arial" w:cs="Arial"/>
        </w:rPr>
        <w:t xml:space="preserve">, se ha traducido en niveles de </w:t>
      </w:r>
      <w:r w:rsidR="00832C1F" w:rsidRPr="00F415D3">
        <w:rPr>
          <w:rFonts w:ascii="Arial" w:hAnsi="Arial" w:cs="Arial"/>
        </w:rPr>
        <w:t>congestión</w:t>
      </w:r>
      <w:r w:rsidR="00941CDE" w:rsidRPr="00F415D3">
        <w:rPr>
          <w:rFonts w:ascii="Arial" w:hAnsi="Arial" w:cs="Arial"/>
        </w:rPr>
        <w:t xml:space="preserve"> que afectan a importantes sectores de la ciudad. </w:t>
      </w:r>
    </w:p>
    <w:p w:rsidR="00920CBA" w:rsidRPr="00F415D3" w:rsidRDefault="00920CBA" w:rsidP="006E1AD8">
      <w:pPr>
        <w:rPr>
          <w:rFonts w:ascii="Arial" w:hAnsi="Arial" w:cs="Arial"/>
        </w:rPr>
      </w:pPr>
    </w:p>
    <w:p w:rsidR="00D61E83" w:rsidRPr="00F415D3" w:rsidRDefault="00920CBA" w:rsidP="006E1AD8">
      <w:pPr>
        <w:rPr>
          <w:rFonts w:ascii="Arial" w:hAnsi="Arial" w:cs="Arial"/>
        </w:rPr>
      </w:pPr>
      <w:r w:rsidRPr="00F415D3">
        <w:rPr>
          <w:rFonts w:ascii="Arial" w:hAnsi="Arial" w:cs="Arial"/>
        </w:rPr>
        <w:t xml:space="preserve">En el DMQ se realizan diariamente </w:t>
      </w:r>
      <w:r w:rsidR="0013369B">
        <w:rPr>
          <w:rFonts w:ascii="Arial" w:hAnsi="Arial" w:cs="Arial"/>
        </w:rPr>
        <w:t>4,3</w:t>
      </w:r>
      <w:r w:rsidRPr="00F415D3">
        <w:rPr>
          <w:rFonts w:ascii="Arial" w:hAnsi="Arial" w:cs="Arial"/>
        </w:rPr>
        <w:t xml:space="preserve"> millones de viajes aproximadamente</w:t>
      </w:r>
      <w:r w:rsidR="00AD6975">
        <w:rPr>
          <w:rFonts w:ascii="Arial" w:hAnsi="Arial" w:cs="Arial"/>
        </w:rPr>
        <w:t>,</w:t>
      </w:r>
      <w:r w:rsidRPr="00F415D3">
        <w:rPr>
          <w:rFonts w:ascii="Arial" w:hAnsi="Arial" w:cs="Arial"/>
        </w:rPr>
        <w:t xml:space="preserve"> de los cuales</w:t>
      </w:r>
      <w:r w:rsidR="00AD6975">
        <w:rPr>
          <w:rFonts w:ascii="Arial" w:hAnsi="Arial" w:cs="Arial"/>
        </w:rPr>
        <w:t>,</w:t>
      </w:r>
      <w:r w:rsidRPr="00F415D3">
        <w:rPr>
          <w:rFonts w:ascii="Arial" w:hAnsi="Arial" w:cs="Arial"/>
        </w:rPr>
        <w:t xml:space="preserve"> </w:t>
      </w:r>
      <w:r w:rsidR="0013369B">
        <w:rPr>
          <w:rFonts w:ascii="Arial" w:hAnsi="Arial" w:cs="Arial"/>
        </w:rPr>
        <w:t xml:space="preserve">el 84,4% </w:t>
      </w:r>
      <w:r w:rsidRPr="00F415D3">
        <w:rPr>
          <w:rFonts w:ascii="Arial" w:hAnsi="Arial" w:cs="Arial"/>
        </w:rPr>
        <w:t>% son de carácter mecanizado y el resto corresponde a viajes a pié</w:t>
      </w:r>
      <w:r w:rsidR="0013369B">
        <w:rPr>
          <w:rFonts w:ascii="Arial" w:hAnsi="Arial" w:cs="Arial"/>
        </w:rPr>
        <w:t xml:space="preserve"> y </w:t>
      </w:r>
      <w:r w:rsidRPr="00F415D3">
        <w:rPr>
          <w:rFonts w:ascii="Arial" w:hAnsi="Arial" w:cs="Arial"/>
        </w:rPr>
        <w:t>bicicleta</w:t>
      </w:r>
      <w:r w:rsidR="0013369B">
        <w:rPr>
          <w:rStyle w:val="FootnoteReference"/>
          <w:rFonts w:ascii="Arial" w:hAnsi="Arial" w:cs="Arial"/>
        </w:rPr>
        <w:footnoteReference w:id="2"/>
      </w:r>
      <w:r w:rsidRPr="00F415D3">
        <w:rPr>
          <w:rFonts w:ascii="Arial" w:hAnsi="Arial" w:cs="Arial"/>
        </w:rPr>
        <w:t xml:space="preserve">. Los viajes mecanizados a su vez, se distribuyen entre transporte individual (27%) y colectivo (73%). El transporte colectivo incluye el transporte </w:t>
      </w:r>
      <w:r w:rsidR="00D61E83" w:rsidRPr="00F415D3">
        <w:rPr>
          <w:rFonts w:ascii="Arial" w:hAnsi="Arial" w:cs="Arial"/>
        </w:rPr>
        <w:t>tradicional en buses (</w:t>
      </w:r>
      <w:r w:rsidR="0013369B">
        <w:rPr>
          <w:rFonts w:ascii="Arial" w:hAnsi="Arial" w:cs="Arial"/>
        </w:rPr>
        <w:t>63,5%</w:t>
      </w:r>
      <w:r w:rsidR="00D61E83" w:rsidRPr="00F415D3">
        <w:rPr>
          <w:rFonts w:ascii="Arial" w:hAnsi="Arial" w:cs="Arial"/>
        </w:rPr>
        <w:t>)  el correspondiente a los sistemas BRT (</w:t>
      </w:r>
      <w:r w:rsidR="0013369B">
        <w:rPr>
          <w:rFonts w:ascii="Arial" w:hAnsi="Arial" w:cs="Arial"/>
        </w:rPr>
        <w:t>14,8</w:t>
      </w:r>
      <w:r w:rsidR="00D61E83" w:rsidRPr="00F415D3">
        <w:rPr>
          <w:rFonts w:ascii="Arial" w:hAnsi="Arial" w:cs="Arial"/>
        </w:rPr>
        <w:t>%)</w:t>
      </w:r>
      <w:r w:rsidR="00D61E83" w:rsidRPr="00F415D3">
        <w:rPr>
          <w:rStyle w:val="FootnoteReference"/>
          <w:rFonts w:ascii="Arial" w:hAnsi="Arial" w:cs="Arial"/>
        </w:rPr>
        <w:footnoteReference w:id="3"/>
      </w:r>
      <w:r w:rsidR="0013369B">
        <w:rPr>
          <w:rFonts w:ascii="Arial" w:hAnsi="Arial" w:cs="Arial"/>
        </w:rPr>
        <w:t>, buses alimentadores (7,9%), buses escolares (</w:t>
      </w:r>
      <w:r w:rsidR="00980393">
        <w:rPr>
          <w:rFonts w:ascii="Arial" w:hAnsi="Arial" w:cs="Arial"/>
        </w:rPr>
        <w:t xml:space="preserve">125) y camionetas informales </w:t>
      </w:r>
      <w:r w:rsidR="007B3ABE">
        <w:rPr>
          <w:rFonts w:ascii="Arial" w:hAnsi="Arial" w:cs="Arial"/>
        </w:rPr>
        <w:t>(</w:t>
      </w:r>
      <w:r w:rsidR="00980393">
        <w:rPr>
          <w:rFonts w:ascii="Arial" w:hAnsi="Arial" w:cs="Arial"/>
        </w:rPr>
        <w:t>81,8%)</w:t>
      </w:r>
      <w:r w:rsidR="00D61E83" w:rsidRPr="00F415D3">
        <w:rPr>
          <w:rFonts w:ascii="Arial" w:hAnsi="Arial" w:cs="Arial"/>
        </w:rPr>
        <w:t>.</w:t>
      </w:r>
      <w:r w:rsidR="000723F4" w:rsidRPr="00F415D3">
        <w:rPr>
          <w:rFonts w:ascii="Arial" w:hAnsi="Arial" w:cs="Arial"/>
        </w:rPr>
        <w:t xml:space="preserve"> </w:t>
      </w:r>
      <w:r w:rsidR="00980393">
        <w:rPr>
          <w:rFonts w:ascii="Arial" w:hAnsi="Arial" w:cs="Arial"/>
        </w:rPr>
        <w:t xml:space="preserve">Hay diferentes quejas sobre la calidad del </w:t>
      </w:r>
      <w:r w:rsidR="000723F4" w:rsidRPr="00F415D3">
        <w:rPr>
          <w:rFonts w:ascii="Arial" w:hAnsi="Arial" w:cs="Arial"/>
        </w:rPr>
        <w:t xml:space="preserve">servicio que se presta en el transporte </w:t>
      </w:r>
      <w:r w:rsidR="00980393">
        <w:rPr>
          <w:rFonts w:ascii="Arial" w:hAnsi="Arial" w:cs="Arial"/>
        </w:rPr>
        <w:t>público (congestión, desorden, estaciones, paraderos y otras).</w:t>
      </w:r>
    </w:p>
    <w:p w:rsidR="00941CDE" w:rsidRPr="00F415D3" w:rsidRDefault="00941CDE" w:rsidP="006E1AD8">
      <w:pPr>
        <w:rPr>
          <w:rFonts w:ascii="Arial" w:hAnsi="Arial" w:cs="Arial"/>
        </w:rPr>
      </w:pPr>
    </w:p>
    <w:p w:rsidR="00483C29" w:rsidRPr="00F415D3" w:rsidRDefault="00CC7597" w:rsidP="006E1AD8">
      <w:pPr>
        <w:rPr>
          <w:rFonts w:ascii="Arial" w:hAnsi="Arial" w:cs="Arial"/>
        </w:rPr>
      </w:pPr>
      <w:r w:rsidRPr="00F415D3">
        <w:rPr>
          <w:rFonts w:ascii="Arial" w:hAnsi="Arial" w:cs="Arial"/>
        </w:rPr>
        <w:t>En materia de transporte urbano</w:t>
      </w:r>
      <w:r w:rsidR="007B3ABE">
        <w:rPr>
          <w:rFonts w:ascii="Arial" w:hAnsi="Arial" w:cs="Arial"/>
        </w:rPr>
        <w:t>,</w:t>
      </w:r>
      <w:r w:rsidRPr="00F415D3">
        <w:rPr>
          <w:rFonts w:ascii="Arial" w:hAnsi="Arial" w:cs="Arial"/>
        </w:rPr>
        <w:t xml:space="preserve"> </w:t>
      </w:r>
      <w:r w:rsidR="00483C29" w:rsidRPr="00F415D3">
        <w:rPr>
          <w:rFonts w:ascii="Arial" w:hAnsi="Arial" w:cs="Arial"/>
        </w:rPr>
        <w:t>se están realizando realizado importantes reformas administrativas e institucionales, las cuales le permitirán al DMQ asumir nuevas competencias en el sector transporte y fortalecer aquellas ya existentes</w:t>
      </w:r>
      <w:r w:rsidR="00483C29" w:rsidRPr="00F415D3">
        <w:rPr>
          <w:rStyle w:val="FootnoteReference"/>
          <w:rFonts w:ascii="Arial" w:hAnsi="Arial" w:cs="Arial"/>
        </w:rPr>
        <w:footnoteReference w:id="4"/>
      </w:r>
      <w:r w:rsidR="00483C29" w:rsidRPr="00F415D3">
        <w:rPr>
          <w:rFonts w:ascii="Arial" w:hAnsi="Arial" w:cs="Arial"/>
        </w:rPr>
        <w:t xml:space="preserve">. Este importante paso se ha complementado con </w:t>
      </w:r>
      <w:r w:rsidR="00D61E83" w:rsidRPr="00F415D3">
        <w:rPr>
          <w:rFonts w:ascii="Arial" w:hAnsi="Arial" w:cs="Arial"/>
        </w:rPr>
        <w:t xml:space="preserve">una restructuración del transporte urbano </w:t>
      </w:r>
      <w:r w:rsidR="00FE17A3" w:rsidRPr="00F415D3">
        <w:rPr>
          <w:rFonts w:ascii="Arial" w:hAnsi="Arial" w:cs="Arial"/>
        </w:rPr>
        <w:t xml:space="preserve">de pasajeros </w:t>
      </w:r>
      <w:r w:rsidR="00D61E83" w:rsidRPr="00F415D3">
        <w:rPr>
          <w:rFonts w:ascii="Arial" w:hAnsi="Arial" w:cs="Arial"/>
        </w:rPr>
        <w:t>mediante el establecimiento de un Sistema Integrado de Transporte Masivo (SITM)</w:t>
      </w:r>
      <w:r w:rsidR="007B3ABE">
        <w:rPr>
          <w:rFonts w:ascii="Arial" w:hAnsi="Arial" w:cs="Arial"/>
        </w:rPr>
        <w:t>,</w:t>
      </w:r>
      <w:r w:rsidR="00D61E83" w:rsidRPr="00F415D3">
        <w:rPr>
          <w:rFonts w:ascii="Arial" w:hAnsi="Arial" w:cs="Arial"/>
        </w:rPr>
        <w:t xml:space="preserve"> </w:t>
      </w:r>
      <w:r w:rsidR="000723F4" w:rsidRPr="00F415D3">
        <w:rPr>
          <w:rFonts w:ascii="Arial" w:hAnsi="Arial" w:cs="Arial"/>
        </w:rPr>
        <w:t>el cual busca integrar los diferentes modos de transporte</w:t>
      </w:r>
      <w:r w:rsidR="00941CDE" w:rsidRPr="00F415D3">
        <w:rPr>
          <w:rFonts w:ascii="Arial" w:hAnsi="Arial" w:cs="Arial"/>
        </w:rPr>
        <w:t xml:space="preserve"> y ofrecer una mejor calidad de servicio a todos los habitantes. </w:t>
      </w:r>
    </w:p>
    <w:p w:rsidR="00483C29" w:rsidRPr="00F415D3" w:rsidRDefault="00483C29" w:rsidP="006E1AD8">
      <w:pPr>
        <w:rPr>
          <w:rFonts w:ascii="Arial" w:hAnsi="Arial" w:cs="Arial"/>
        </w:rPr>
      </w:pPr>
    </w:p>
    <w:p w:rsidR="00920CBA" w:rsidRDefault="00941CDE" w:rsidP="006E1AD8">
      <w:pPr>
        <w:rPr>
          <w:rFonts w:ascii="Arial" w:hAnsi="Arial" w:cs="Arial"/>
        </w:rPr>
      </w:pPr>
      <w:r w:rsidRPr="00F415D3">
        <w:rPr>
          <w:rFonts w:ascii="Arial" w:hAnsi="Arial" w:cs="Arial"/>
        </w:rPr>
        <w:t xml:space="preserve">En el SITM el proyecto de la Primera </w:t>
      </w:r>
      <w:r w:rsidR="00832C1F" w:rsidRPr="00F415D3">
        <w:rPr>
          <w:rFonts w:ascii="Arial" w:hAnsi="Arial" w:cs="Arial"/>
        </w:rPr>
        <w:t>Línea</w:t>
      </w:r>
      <w:r w:rsidRPr="00F415D3">
        <w:rPr>
          <w:rFonts w:ascii="Arial" w:hAnsi="Arial" w:cs="Arial"/>
        </w:rPr>
        <w:t xml:space="preserve"> del Metro (PLM) ha sido identificado como el “eje vertebrador” del transporte en la ciudad.</w:t>
      </w:r>
      <w:r w:rsidR="00483C29" w:rsidRPr="00F415D3">
        <w:rPr>
          <w:rFonts w:ascii="Arial" w:hAnsi="Arial" w:cs="Arial"/>
        </w:rPr>
        <w:t xml:space="preserve"> </w:t>
      </w:r>
      <w:r w:rsidR="00FE17A3" w:rsidRPr="00F415D3">
        <w:rPr>
          <w:rFonts w:ascii="Arial" w:hAnsi="Arial" w:cs="Arial"/>
        </w:rPr>
        <w:t>En este sentido</w:t>
      </w:r>
      <w:r w:rsidR="007B3ABE">
        <w:rPr>
          <w:rFonts w:ascii="Arial" w:hAnsi="Arial" w:cs="Arial"/>
        </w:rPr>
        <w:t>,</w:t>
      </w:r>
      <w:r w:rsidR="00FE17A3" w:rsidRPr="00F415D3">
        <w:rPr>
          <w:rFonts w:ascii="Arial" w:hAnsi="Arial" w:cs="Arial"/>
        </w:rPr>
        <w:t xml:space="preserve"> desde el año 2008 las autoridades locales han venido realizando diferentes </w:t>
      </w:r>
      <w:r w:rsidR="00832C1F" w:rsidRPr="00F415D3">
        <w:rPr>
          <w:rFonts w:ascii="Arial" w:hAnsi="Arial" w:cs="Arial"/>
        </w:rPr>
        <w:t>análisis</w:t>
      </w:r>
      <w:r w:rsidR="00FE17A3" w:rsidRPr="00F415D3">
        <w:rPr>
          <w:rFonts w:ascii="Arial" w:hAnsi="Arial" w:cs="Arial"/>
        </w:rPr>
        <w:t xml:space="preserve"> y estudios </w:t>
      </w:r>
      <w:r w:rsidR="001849CE" w:rsidRPr="00F415D3">
        <w:rPr>
          <w:rFonts w:ascii="Arial" w:hAnsi="Arial" w:cs="Arial"/>
        </w:rPr>
        <w:t xml:space="preserve">coordinados </w:t>
      </w:r>
      <w:r w:rsidR="00FE17A3" w:rsidRPr="00F415D3">
        <w:rPr>
          <w:rFonts w:ascii="Arial" w:hAnsi="Arial" w:cs="Arial"/>
        </w:rPr>
        <w:t xml:space="preserve">primero a través de la Unidad de Negocios del Metro de Quito (UNMQ) y </w:t>
      </w:r>
      <w:r w:rsidR="00832C1F" w:rsidRPr="00F415D3">
        <w:rPr>
          <w:rFonts w:ascii="Arial" w:hAnsi="Arial" w:cs="Arial"/>
        </w:rPr>
        <w:t>más</w:t>
      </w:r>
      <w:r w:rsidR="00FE17A3" w:rsidRPr="00F415D3">
        <w:rPr>
          <w:rFonts w:ascii="Arial" w:hAnsi="Arial" w:cs="Arial"/>
        </w:rPr>
        <w:t xml:space="preserve"> recientemente </w:t>
      </w:r>
      <w:r w:rsidR="001849CE" w:rsidRPr="00F415D3">
        <w:rPr>
          <w:rFonts w:ascii="Arial" w:hAnsi="Arial" w:cs="Arial"/>
        </w:rPr>
        <w:t xml:space="preserve">por </w:t>
      </w:r>
      <w:r w:rsidR="00FE17A3" w:rsidRPr="00F415D3">
        <w:rPr>
          <w:rFonts w:ascii="Arial" w:hAnsi="Arial" w:cs="Arial"/>
        </w:rPr>
        <w:t xml:space="preserve">la Empresa </w:t>
      </w:r>
      <w:r w:rsidR="00832C1F" w:rsidRPr="00F415D3">
        <w:rPr>
          <w:rFonts w:ascii="Arial" w:hAnsi="Arial" w:cs="Arial"/>
        </w:rPr>
        <w:t>Pública</w:t>
      </w:r>
      <w:r w:rsidR="00FE17A3" w:rsidRPr="00F415D3">
        <w:rPr>
          <w:rFonts w:ascii="Arial" w:hAnsi="Arial" w:cs="Arial"/>
        </w:rPr>
        <w:t xml:space="preserve"> Metropolitana del Metro de Quito (EPMMQ)</w:t>
      </w:r>
      <w:r w:rsidR="00832C1F" w:rsidRPr="00F415D3">
        <w:rPr>
          <w:rFonts w:ascii="Arial" w:hAnsi="Arial" w:cs="Arial"/>
        </w:rPr>
        <w:t xml:space="preserve">. </w:t>
      </w:r>
      <w:r w:rsidR="001849CE" w:rsidRPr="00F415D3">
        <w:rPr>
          <w:rFonts w:ascii="Arial" w:hAnsi="Arial" w:cs="Arial"/>
        </w:rPr>
        <w:t xml:space="preserve">Los estudios específicos de carácter </w:t>
      </w:r>
      <w:r w:rsidR="00832C1F" w:rsidRPr="00F415D3">
        <w:rPr>
          <w:rFonts w:ascii="Arial" w:hAnsi="Arial" w:cs="Arial"/>
        </w:rPr>
        <w:t>técnico, financiero y económico</w:t>
      </w:r>
      <w:r w:rsidR="001849CE" w:rsidRPr="00F415D3">
        <w:rPr>
          <w:rFonts w:ascii="Arial" w:hAnsi="Arial" w:cs="Arial"/>
        </w:rPr>
        <w:t xml:space="preserve"> para la PLM se contrataron</w:t>
      </w:r>
      <w:r w:rsidR="00832C1F" w:rsidRPr="00F415D3">
        <w:rPr>
          <w:rFonts w:ascii="Arial" w:hAnsi="Arial" w:cs="Arial"/>
        </w:rPr>
        <w:t xml:space="preserve"> con el Metro de Madrid S.A. (MM).</w:t>
      </w:r>
    </w:p>
    <w:p w:rsidR="00832C1F" w:rsidRPr="00F415D3" w:rsidRDefault="00832C1F" w:rsidP="006E1AD8">
      <w:pPr>
        <w:rPr>
          <w:rFonts w:ascii="Arial" w:hAnsi="Arial" w:cs="Arial"/>
        </w:rPr>
      </w:pPr>
    </w:p>
    <w:p w:rsidR="00FA23D6" w:rsidRPr="00F415D3" w:rsidRDefault="00980393" w:rsidP="009B786A">
      <w:pPr>
        <w:pStyle w:val="Heading1"/>
        <w:numPr>
          <w:ilvl w:val="0"/>
          <w:numId w:val="7"/>
        </w:numPr>
        <w:rPr>
          <w:rFonts w:ascii="Arial" w:hAnsi="Arial"/>
          <w:color w:val="auto"/>
          <w:sz w:val="24"/>
        </w:rPr>
      </w:pPr>
      <w:bookmarkStart w:id="2" w:name="_Toc336368601"/>
      <w:r>
        <w:rPr>
          <w:rFonts w:ascii="Arial" w:hAnsi="Arial"/>
          <w:color w:val="auto"/>
          <w:sz w:val="24"/>
        </w:rPr>
        <w:lastRenderedPageBreak/>
        <w:t>D</w:t>
      </w:r>
      <w:r w:rsidR="00FA23D6" w:rsidRPr="00F415D3">
        <w:rPr>
          <w:rFonts w:ascii="Arial" w:hAnsi="Arial"/>
          <w:color w:val="auto"/>
          <w:sz w:val="24"/>
        </w:rPr>
        <w:t>OCUMENTACION REVISADA</w:t>
      </w:r>
      <w:bookmarkEnd w:id="2"/>
    </w:p>
    <w:p w:rsidR="008A3E3B" w:rsidRPr="00F415D3" w:rsidRDefault="008A3E3B" w:rsidP="006E1AD8">
      <w:pPr>
        <w:rPr>
          <w:rFonts w:ascii="Arial" w:hAnsi="Arial" w:cs="Arial"/>
        </w:rPr>
      </w:pPr>
    </w:p>
    <w:p w:rsidR="00980393" w:rsidRPr="00F415D3" w:rsidRDefault="001849CE" w:rsidP="00704375">
      <w:pPr>
        <w:rPr>
          <w:rFonts w:ascii="Arial" w:hAnsi="Arial" w:cs="Arial"/>
        </w:rPr>
      </w:pPr>
      <w:r w:rsidRPr="00F415D3">
        <w:rPr>
          <w:rFonts w:ascii="Arial" w:hAnsi="Arial" w:cs="Arial"/>
        </w:rPr>
        <w:t xml:space="preserve">En la preparación de </w:t>
      </w:r>
      <w:r w:rsidR="009D099F" w:rsidRPr="00F415D3">
        <w:rPr>
          <w:rFonts w:ascii="Arial" w:hAnsi="Arial" w:cs="Arial"/>
        </w:rPr>
        <w:t xml:space="preserve">este informe se reviso </w:t>
      </w:r>
      <w:r w:rsidR="006636B7">
        <w:rPr>
          <w:rFonts w:ascii="Arial" w:hAnsi="Arial" w:cs="Arial"/>
        </w:rPr>
        <w:t xml:space="preserve">el contenido </w:t>
      </w:r>
      <w:r w:rsidR="009D099F" w:rsidRPr="00F415D3">
        <w:rPr>
          <w:rFonts w:ascii="Arial" w:hAnsi="Arial" w:cs="Arial"/>
        </w:rPr>
        <w:t>de</w:t>
      </w:r>
      <w:r w:rsidR="006636B7">
        <w:rPr>
          <w:rFonts w:ascii="Arial" w:hAnsi="Arial" w:cs="Arial"/>
        </w:rPr>
        <w:t xml:space="preserve"> </w:t>
      </w:r>
      <w:r w:rsidR="009D099F" w:rsidRPr="00F415D3">
        <w:rPr>
          <w:rFonts w:ascii="Arial" w:hAnsi="Arial" w:cs="Arial"/>
        </w:rPr>
        <w:t>l</w:t>
      </w:r>
      <w:r w:rsidR="006636B7">
        <w:rPr>
          <w:rFonts w:ascii="Arial" w:hAnsi="Arial" w:cs="Arial"/>
        </w:rPr>
        <w:t xml:space="preserve">os documentos: </w:t>
      </w:r>
      <w:r w:rsidR="009D099F" w:rsidRPr="00F415D3">
        <w:rPr>
          <w:rFonts w:ascii="Arial" w:hAnsi="Arial" w:cs="Arial"/>
        </w:rPr>
        <w:t>E</w:t>
      </w:r>
      <w:r w:rsidR="006636B7">
        <w:rPr>
          <w:rFonts w:ascii="Arial" w:hAnsi="Arial" w:cs="Arial"/>
        </w:rPr>
        <w:t>-</w:t>
      </w:r>
      <w:r w:rsidR="009D099F" w:rsidRPr="00F415D3">
        <w:rPr>
          <w:rFonts w:ascii="Arial" w:hAnsi="Arial" w:cs="Arial"/>
        </w:rPr>
        <w:t>3</w:t>
      </w:r>
      <w:r w:rsidRPr="00F415D3">
        <w:rPr>
          <w:rFonts w:ascii="Arial" w:hAnsi="Arial" w:cs="Arial"/>
        </w:rPr>
        <w:t>.</w:t>
      </w:r>
      <w:r w:rsidR="005E739E">
        <w:rPr>
          <w:rFonts w:ascii="Arial" w:hAnsi="Arial" w:cs="Arial"/>
        </w:rPr>
        <w:t>4</w:t>
      </w:r>
      <w:r w:rsidR="009D099F" w:rsidRPr="00F415D3">
        <w:rPr>
          <w:rFonts w:ascii="Arial" w:hAnsi="Arial" w:cs="Arial"/>
        </w:rPr>
        <w:t xml:space="preserve"> “Estudio de Factibilidad de la Primera </w:t>
      </w:r>
      <w:r w:rsidR="00CB2663" w:rsidRPr="00F415D3">
        <w:rPr>
          <w:rFonts w:ascii="Arial" w:hAnsi="Arial" w:cs="Arial"/>
        </w:rPr>
        <w:t>Línea</w:t>
      </w:r>
      <w:r w:rsidR="009D099F" w:rsidRPr="00F415D3">
        <w:rPr>
          <w:rFonts w:ascii="Arial" w:hAnsi="Arial" w:cs="Arial"/>
        </w:rPr>
        <w:t xml:space="preserve"> del Metro de Quito – Estudio de </w:t>
      </w:r>
      <w:r w:rsidR="009C00C4">
        <w:rPr>
          <w:rFonts w:ascii="Arial" w:hAnsi="Arial" w:cs="Arial"/>
        </w:rPr>
        <w:t>Económico</w:t>
      </w:r>
      <w:r w:rsidR="006636B7">
        <w:rPr>
          <w:rFonts w:ascii="Arial" w:hAnsi="Arial" w:cs="Arial"/>
        </w:rPr>
        <w:t xml:space="preserve"> - Financiero</w:t>
      </w:r>
      <w:r w:rsidR="009D099F" w:rsidRPr="00F415D3">
        <w:rPr>
          <w:rFonts w:ascii="Arial" w:hAnsi="Arial" w:cs="Arial"/>
        </w:rPr>
        <w:t>”</w:t>
      </w:r>
      <w:r w:rsidR="006636B7">
        <w:rPr>
          <w:rFonts w:ascii="Arial" w:hAnsi="Arial" w:cs="Arial"/>
        </w:rPr>
        <w:t xml:space="preserve">, “Proyecto de la Primera </w:t>
      </w:r>
      <w:r w:rsidR="009C00C4">
        <w:rPr>
          <w:rFonts w:ascii="Arial" w:hAnsi="Arial" w:cs="Arial"/>
        </w:rPr>
        <w:t>Línea</w:t>
      </w:r>
      <w:r w:rsidR="006636B7">
        <w:rPr>
          <w:rFonts w:ascii="Arial" w:hAnsi="Arial" w:cs="Arial"/>
        </w:rPr>
        <w:t xml:space="preserve"> del Metro de Quito, Esquema de Financiamiento, Febrero de 20</w:t>
      </w:r>
      <w:r w:rsidR="00F47487">
        <w:rPr>
          <w:rFonts w:ascii="Arial" w:hAnsi="Arial" w:cs="Arial"/>
        </w:rPr>
        <w:t>1</w:t>
      </w:r>
      <w:r w:rsidR="006636B7">
        <w:rPr>
          <w:rFonts w:ascii="Arial" w:hAnsi="Arial" w:cs="Arial"/>
        </w:rPr>
        <w:t>2”, “</w:t>
      </w:r>
      <w:r w:rsidR="00F47487">
        <w:rPr>
          <w:rFonts w:ascii="Arial" w:hAnsi="Arial" w:cs="Arial"/>
        </w:rPr>
        <w:t>S</w:t>
      </w:r>
      <w:r w:rsidR="006636B7">
        <w:rPr>
          <w:rFonts w:ascii="Arial" w:hAnsi="Arial" w:cs="Arial"/>
        </w:rPr>
        <w:t>ituación Financiera del Municipio de Quito, junio 2012”</w:t>
      </w:r>
      <w:r w:rsidR="00704375">
        <w:rPr>
          <w:rFonts w:ascii="Arial" w:hAnsi="Arial" w:cs="Arial"/>
        </w:rPr>
        <w:t xml:space="preserve">, </w:t>
      </w:r>
      <w:r w:rsidR="009D099F" w:rsidRPr="00F415D3">
        <w:rPr>
          <w:rFonts w:ascii="Arial" w:hAnsi="Arial" w:cs="Arial"/>
        </w:rPr>
        <w:t xml:space="preserve">el </w:t>
      </w:r>
      <w:r w:rsidRPr="00F415D3">
        <w:rPr>
          <w:rFonts w:ascii="Arial" w:hAnsi="Arial" w:cs="Arial"/>
        </w:rPr>
        <w:t xml:space="preserve">contenido del </w:t>
      </w:r>
      <w:r w:rsidR="006636B7">
        <w:rPr>
          <w:rFonts w:ascii="Arial" w:hAnsi="Arial" w:cs="Arial"/>
        </w:rPr>
        <w:t>archivo</w:t>
      </w:r>
      <w:r w:rsidR="00EB46D5">
        <w:rPr>
          <w:rFonts w:ascii="Arial" w:hAnsi="Arial" w:cs="Arial"/>
        </w:rPr>
        <w:t xml:space="preserve"> en Excel </w:t>
      </w:r>
      <w:r w:rsidR="006636B7">
        <w:rPr>
          <w:rFonts w:ascii="Arial" w:hAnsi="Arial" w:cs="Arial"/>
        </w:rPr>
        <w:t>“110522</w:t>
      </w:r>
      <w:r w:rsidR="009D099F" w:rsidRPr="00F415D3">
        <w:rPr>
          <w:rFonts w:ascii="Arial" w:hAnsi="Arial" w:cs="Arial"/>
        </w:rPr>
        <w:t>_Modelo</w:t>
      </w:r>
      <w:r w:rsidR="006636B7">
        <w:rPr>
          <w:rFonts w:ascii="Arial" w:hAnsi="Arial" w:cs="Arial"/>
        </w:rPr>
        <w:t xml:space="preserve"> </w:t>
      </w:r>
      <w:r w:rsidR="009D099F" w:rsidRPr="00F415D3">
        <w:rPr>
          <w:rFonts w:ascii="Arial" w:hAnsi="Arial" w:cs="Arial"/>
        </w:rPr>
        <w:t>_</w:t>
      </w:r>
      <w:r w:rsidR="009C00C4">
        <w:rPr>
          <w:rFonts w:ascii="Arial" w:hAnsi="Arial" w:cs="Arial"/>
        </w:rPr>
        <w:t>Económico</w:t>
      </w:r>
      <w:r w:rsidR="006636B7">
        <w:rPr>
          <w:rFonts w:ascii="Arial" w:hAnsi="Arial" w:cs="Arial"/>
        </w:rPr>
        <w:t xml:space="preserve"> _Financiero EF</w:t>
      </w:r>
      <w:r w:rsidR="009D099F" w:rsidRPr="00F415D3">
        <w:rPr>
          <w:rFonts w:ascii="Arial" w:hAnsi="Arial" w:cs="Arial"/>
        </w:rPr>
        <w:t>_</w:t>
      </w:r>
      <w:r w:rsidR="006636B7">
        <w:rPr>
          <w:rFonts w:ascii="Arial" w:hAnsi="Arial" w:cs="Arial"/>
        </w:rPr>
        <w:t>Metro_ Quito _V42 _Alternativa 4</w:t>
      </w:r>
      <w:r w:rsidR="009D099F" w:rsidRPr="00F415D3">
        <w:rPr>
          <w:rFonts w:ascii="Arial" w:hAnsi="Arial" w:cs="Arial"/>
        </w:rPr>
        <w:t>”</w:t>
      </w:r>
      <w:r w:rsidR="00704375">
        <w:rPr>
          <w:rFonts w:ascii="Arial" w:hAnsi="Arial" w:cs="Arial"/>
        </w:rPr>
        <w:t xml:space="preserve"> preparada por el MM y finalmente el contenido de la hoja Excel “9 Modelo Metro Quito – (18 septiembre)”</w:t>
      </w:r>
      <w:r w:rsidR="009D099F" w:rsidRPr="00F415D3">
        <w:rPr>
          <w:rFonts w:ascii="Arial" w:hAnsi="Arial" w:cs="Arial"/>
        </w:rPr>
        <w:t xml:space="preserve">. Este </w:t>
      </w:r>
      <w:r w:rsidR="00CB2663" w:rsidRPr="00F415D3">
        <w:rPr>
          <w:rFonts w:ascii="Arial" w:hAnsi="Arial" w:cs="Arial"/>
        </w:rPr>
        <w:t>último</w:t>
      </w:r>
      <w:r w:rsidR="009D099F" w:rsidRPr="00F415D3">
        <w:rPr>
          <w:rFonts w:ascii="Arial" w:hAnsi="Arial" w:cs="Arial"/>
        </w:rPr>
        <w:t xml:space="preserve"> archivo </w:t>
      </w:r>
      <w:r w:rsidR="007B3ABE">
        <w:rPr>
          <w:rFonts w:ascii="Arial" w:hAnsi="Arial" w:cs="Arial"/>
        </w:rPr>
        <w:t xml:space="preserve">contiene el modelo </w:t>
      </w:r>
      <w:r w:rsidR="009D099F" w:rsidRPr="00F415D3">
        <w:rPr>
          <w:rFonts w:ascii="Arial" w:hAnsi="Arial" w:cs="Arial"/>
        </w:rPr>
        <w:t xml:space="preserve">utilizado en el ejercicio de evaluación </w:t>
      </w:r>
      <w:r w:rsidR="006636B7">
        <w:rPr>
          <w:rFonts w:ascii="Arial" w:hAnsi="Arial" w:cs="Arial"/>
        </w:rPr>
        <w:t>financiera</w:t>
      </w:r>
      <w:r w:rsidR="009D099F" w:rsidRPr="00F415D3">
        <w:rPr>
          <w:rFonts w:ascii="Arial" w:hAnsi="Arial" w:cs="Arial"/>
        </w:rPr>
        <w:t xml:space="preserve"> de la PLM</w:t>
      </w:r>
      <w:r w:rsidR="00EB46D5">
        <w:rPr>
          <w:rFonts w:ascii="Arial" w:hAnsi="Arial" w:cs="Arial"/>
        </w:rPr>
        <w:t xml:space="preserve"> realizada por </w:t>
      </w:r>
      <w:r w:rsidR="00980393">
        <w:rPr>
          <w:rFonts w:ascii="Arial" w:hAnsi="Arial" w:cs="Arial"/>
        </w:rPr>
        <w:t xml:space="preserve">la </w:t>
      </w:r>
      <w:r w:rsidR="009D099F" w:rsidRPr="00F415D3">
        <w:rPr>
          <w:rFonts w:ascii="Arial" w:hAnsi="Arial" w:cs="Arial"/>
        </w:rPr>
        <w:t xml:space="preserve"> EMPMQ</w:t>
      </w:r>
      <w:r w:rsidR="00704375">
        <w:rPr>
          <w:rFonts w:ascii="Arial" w:hAnsi="Arial" w:cs="Arial"/>
        </w:rPr>
        <w:t xml:space="preserve">. Este modelo incluye la información mas actualizada sobre el proyecto. </w:t>
      </w:r>
      <w:r w:rsidR="009D099F" w:rsidRPr="00F415D3">
        <w:rPr>
          <w:rFonts w:ascii="Arial" w:hAnsi="Arial" w:cs="Arial"/>
        </w:rPr>
        <w:t xml:space="preserve"> </w:t>
      </w:r>
    </w:p>
    <w:p w:rsidR="009F1688" w:rsidRPr="00F415D3" w:rsidRDefault="009F1688" w:rsidP="009B786A">
      <w:pPr>
        <w:pStyle w:val="Heading1"/>
        <w:numPr>
          <w:ilvl w:val="0"/>
          <w:numId w:val="7"/>
        </w:numPr>
        <w:rPr>
          <w:rFonts w:ascii="Arial" w:hAnsi="Arial"/>
          <w:color w:val="auto"/>
          <w:sz w:val="24"/>
        </w:rPr>
      </w:pPr>
      <w:bookmarkStart w:id="3" w:name="_Toc336368602"/>
      <w:r w:rsidRPr="00F415D3">
        <w:rPr>
          <w:rFonts w:ascii="Arial" w:hAnsi="Arial"/>
          <w:color w:val="auto"/>
          <w:sz w:val="24"/>
        </w:rPr>
        <w:t>EVALUACION DE LA PLM</w:t>
      </w:r>
      <w:r w:rsidR="00E84180" w:rsidRPr="00F415D3">
        <w:rPr>
          <w:rFonts w:ascii="Arial" w:hAnsi="Arial"/>
          <w:color w:val="auto"/>
          <w:sz w:val="24"/>
        </w:rPr>
        <w:t xml:space="preserve"> REALIZADA POR EL METRO DE MADRID</w:t>
      </w:r>
      <w:r w:rsidR="007B3068" w:rsidRPr="00F415D3">
        <w:rPr>
          <w:rFonts w:ascii="Arial" w:hAnsi="Arial"/>
          <w:color w:val="auto"/>
          <w:sz w:val="24"/>
        </w:rPr>
        <w:t xml:space="preserve">. DOCUMENTO “ESTUDIO DE VIABILIDAD </w:t>
      </w:r>
      <w:r w:rsidR="009C00C4">
        <w:rPr>
          <w:rFonts w:ascii="Arial" w:hAnsi="Arial"/>
          <w:color w:val="auto"/>
          <w:sz w:val="24"/>
        </w:rPr>
        <w:t>ECONOMICO-FINANCIER</w:t>
      </w:r>
      <w:r w:rsidR="007B3068" w:rsidRPr="00F415D3">
        <w:rPr>
          <w:rFonts w:ascii="Arial" w:hAnsi="Arial"/>
          <w:color w:val="auto"/>
          <w:sz w:val="24"/>
        </w:rPr>
        <w:t>A”</w:t>
      </w:r>
      <w:bookmarkEnd w:id="3"/>
    </w:p>
    <w:p w:rsidR="009F1688" w:rsidRPr="00F415D3" w:rsidRDefault="009F1688" w:rsidP="006E1AD8">
      <w:pPr>
        <w:rPr>
          <w:rFonts w:ascii="Arial" w:hAnsi="Arial" w:cs="Arial"/>
        </w:rPr>
      </w:pPr>
    </w:p>
    <w:p w:rsidR="00AC7AB5" w:rsidRDefault="00AC7AB5" w:rsidP="006E1AD8">
      <w:pPr>
        <w:rPr>
          <w:rFonts w:ascii="Arial" w:hAnsi="Arial" w:cs="Arial"/>
        </w:rPr>
      </w:pPr>
      <w:r>
        <w:rPr>
          <w:rFonts w:ascii="Arial" w:hAnsi="Arial" w:cs="Arial"/>
        </w:rPr>
        <w:t xml:space="preserve">Para el análisis financiero de la PLM los </w:t>
      </w:r>
      <w:r w:rsidR="00101770" w:rsidRPr="00F415D3">
        <w:rPr>
          <w:rFonts w:ascii="Arial" w:hAnsi="Arial" w:cs="Arial"/>
        </w:rPr>
        <w:t>consultores del M</w:t>
      </w:r>
      <w:r w:rsidR="00D24B76" w:rsidRPr="00F415D3">
        <w:rPr>
          <w:rFonts w:ascii="Arial" w:hAnsi="Arial" w:cs="Arial"/>
        </w:rPr>
        <w:t xml:space="preserve">M </w:t>
      </w:r>
      <w:r w:rsidR="00101770" w:rsidRPr="00F415D3">
        <w:rPr>
          <w:rFonts w:ascii="Arial" w:hAnsi="Arial" w:cs="Arial"/>
        </w:rPr>
        <w:t xml:space="preserve">efectuaron un </w:t>
      </w:r>
      <w:r w:rsidR="00E84180" w:rsidRPr="00F415D3">
        <w:rPr>
          <w:rFonts w:ascii="Arial" w:hAnsi="Arial" w:cs="Arial"/>
        </w:rPr>
        <w:t>análisis</w:t>
      </w:r>
      <w:r>
        <w:rPr>
          <w:rFonts w:ascii="Arial" w:hAnsi="Arial" w:cs="Arial"/>
        </w:rPr>
        <w:t xml:space="preserve"> detallado de los </w:t>
      </w:r>
      <w:r w:rsidR="002660C1">
        <w:rPr>
          <w:rFonts w:ascii="Arial" w:hAnsi="Arial" w:cs="Arial"/>
        </w:rPr>
        <w:t xml:space="preserve">componentes </w:t>
      </w:r>
      <w:r w:rsidR="00FF141C">
        <w:rPr>
          <w:rFonts w:ascii="Arial" w:hAnsi="Arial" w:cs="Arial"/>
        </w:rPr>
        <w:t>del proyecto</w:t>
      </w:r>
      <w:r w:rsidR="002660C1">
        <w:rPr>
          <w:rFonts w:ascii="Arial" w:hAnsi="Arial" w:cs="Arial"/>
        </w:rPr>
        <w:t>, teniendo en cuenta las fases de estudios y diseños (2011-2012), construcción (2013-2015) y explotación (2016-2045)</w:t>
      </w:r>
      <w:r>
        <w:rPr>
          <w:rFonts w:ascii="Arial" w:hAnsi="Arial" w:cs="Arial"/>
        </w:rPr>
        <w:t>:</w:t>
      </w:r>
    </w:p>
    <w:p w:rsidR="006B006C" w:rsidRDefault="006B006C" w:rsidP="006E1AD8">
      <w:pPr>
        <w:rPr>
          <w:rFonts w:ascii="Arial" w:hAnsi="Arial" w:cs="Arial"/>
        </w:rPr>
      </w:pPr>
    </w:p>
    <w:p w:rsidR="00AC7AB5" w:rsidRDefault="002B242C" w:rsidP="006E1AD8">
      <w:pPr>
        <w:rPr>
          <w:rFonts w:ascii="Arial" w:hAnsi="Arial" w:cs="Arial"/>
        </w:rPr>
      </w:pPr>
      <w:r>
        <w:rPr>
          <w:rFonts w:ascii="Arial" w:hAnsi="Arial" w:cs="Arial"/>
        </w:rPr>
        <w:t>Componentes y fases del proyecto de la PLM</w:t>
      </w:r>
    </w:p>
    <w:tbl>
      <w:tblPr>
        <w:tblStyle w:val="TableGrid"/>
        <w:tblW w:w="0" w:type="auto"/>
        <w:tblLook w:val="04A0" w:firstRow="1" w:lastRow="0" w:firstColumn="1" w:lastColumn="0" w:noHBand="0" w:noVBand="1"/>
      </w:tblPr>
      <w:tblGrid>
        <w:gridCol w:w="4489"/>
        <w:gridCol w:w="4489"/>
      </w:tblGrid>
      <w:tr w:rsidR="00AC7AB5" w:rsidTr="00194C4D">
        <w:tc>
          <w:tcPr>
            <w:tcW w:w="4489" w:type="dxa"/>
            <w:tcBorders>
              <w:bottom w:val="single" w:sz="4" w:space="0" w:color="auto"/>
            </w:tcBorders>
          </w:tcPr>
          <w:p w:rsidR="00AC7AB5" w:rsidRPr="00765555" w:rsidRDefault="00FF141C" w:rsidP="00FF141C">
            <w:pPr>
              <w:pStyle w:val="ListParagraph"/>
              <w:numPr>
                <w:ilvl w:val="0"/>
                <w:numId w:val="10"/>
              </w:numPr>
              <w:rPr>
                <w:rFonts w:ascii="Arial" w:hAnsi="Arial" w:cs="Arial"/>
                <w:sz w:val="20"/>
                <w:szCs w:val="20"/>
              </w:rPr>
            </w:pPr>
            <w:r>
              <w:rPr>
                <w:rFonts w:ascii="Arial" w:hAnsi="Arial" w:cs="Arial"/>
                <w:sz w:val="20"/>
                <w:szCs w:val="20"/>
              </w:rPr>
              <w:t>Realización de estudios y diseños</w:t>
            </w:r>
          </w:p>
        </w:tc>
        <w:tc>
          <w:tcPr>
            <w:tcW w:w="4489" w:type="dxa"/>
          </w:tcPr>
          <w:p w:rsidR="00AC7AB5" w:rsidRPr="00765555" w:rsidRDefault="00AC7AB5" w:rsidP="006E1AD8">
            <w:pPr>
              <w:rPr>
                <w:rFonts w:ascii="Arial" w:hAnsi="Arial" w:cs="Arial"/>
                <w:sz w:val="20"/>
                <w:szCs w:val="20"/>
              </w:rPr>
            </w:pPr>
          </w:p>
        </w:tc>
      </w:tr>
      <w:tr w:rsidR="00AC7AB5" w:rsidTr="00194C4D">
        <w:tc>
          <w:tcPr>
            <w:tcW w:w="4489" w:type="dxa"/>
            <w:tcBorders>
              <w:bottom w:val="nil"/>
            </w:tcBorders>
          </w:tcPr>
          <w:p w:rsidR="00AC7AB5" w:rsidRPr="00765555" w:rsidRDefault="00765555" w:rsidP="00765555">
            <w:pPr>
              <w:pStyle w:val="ListParagraph"/>
              <w:numPr>
                <w:ilvl w:val="0"/>
                <w:numId w:val="10"/>
              </w:numPr>
              <w:rPr>
                <w:rFonts w:ascii="Arial" w:hAnsi="Arial" w:cs="Arial"/>
                <w:sz w:val="20"/>
                <w:szCs w:val="20"/>
              </w:rPr>
            </w:pPr>
            <w:r w:rsidRPr="00765555">
              <w:rPr>
                <w:rFonts w:ascii="Arial" w:hAnsi="Arial" w:cs="Arial"/>
                <w:sz w:val="20"/>
                <w:szCs w:val="20"/>
              </w:rPr>
              <w:t>Gestión de infraestructura</w:t>
            </w:r>
          </w:p>
        </w:tc>
        <w:tc>
          <w:tcPr>
            <w:tcW w:w="4489" w:type="dxa"/>
          </w:tcPr>
          <w:p w:rsidR="00AC7AB5" w:rsidRPr="00765555" w:rsidRDefault="00765555" w:rsidP="00FF141C">
            <w:pPr>
              <w:rPr>
                <w:rFonts w:ascii="Arial" w:hAnsi="Arial" w:cs="Arial"/>
                <w:sz w:val="20"/>
                <w:szCs w:val="20"/>
              </w:rPr>
            </w:pPr>
            <w:r w:rsidRPr="00765555">
              <w:rPr>
                <w:rFonts w:ascii="Arial" w:hAnsi="Arial" w:cs="Arial"/>
                <w:sz w:val="20"/>
                <w:szCs w:val="20"/>
              </w:rPr>
              <w:t xml:space="preserve">Construcción </w:t>
            </w:r>
            <w:r w:rsidR="00FF141C">
              <w:rPr>
                <w:rFonts w:ascii="Arial" w:hAnsi="Arial" w:cs="Arial"/>
                <w:sz w:val="20"/>
                <w:szCs w:val="20"/>
              </w:rPr>
              <w:t>de la infraestructura e instalaciones</w:t>
            </w:r>
          </w:p>
        </w:tc>
      </w:tr>
      <w:tr w:rsidR="00AC7AB5" w:rsidTr="00194C4D">
        <w:tc>
          <w:tcPr>
            <w:tcW w:w="4489" w:type="dxa"/>
            <w:tcBorders>
              <w:top w:val="nil"/>
              <w:bottom w:val="nil"/>
            </w:tcBorders>
          </w:tcPr>
          <w:p w:rsidR="00AC7AB5" w:rsidRPr="00765555" w:rsidRDefault="00AC7AB5" w:rsidP="006E1AD8">
            <w:pPr>
              <w:rPr>
                <w:rFonts w:ascii="Arial" w:hAnsi="Arial" w:cs="Arial"/>
                <w:sz w:val="20"/>
                <w:szCs w:val="20"/>
              </w:rPr>
            </w:pPr>
          </w:p>
        </w:tc>
        <w:tc>
          <w:tcPr>
            <w:tcW w:w="4489" w:type="dxa"/>
          </w:tcPr>
          <w:p w:rsidR="00AC7AB5" w:rsidRPr="00765555" w:rsidRDefault="00765555" w:rsidP="006E1AD8">
            <w:pPr>
              <w:rPr>
                <w:rFonts w:ascii="Arial" w:hAnsi="Arial" w:cs="Arial"/>
                <w:sz w:val="20"/>
                <w:szCs w:val="20"/>
              </w:rPr>
            </w:pPr>
            <w:r w:rsidRPr="00765555">
              <w:rPr>
                <w:rFonts w:ascii="Arial" w:hAnsi="Arial" w:cs="Arial"/>
                <w:sz w:val="20"/>
                <w:szCs w:val="20"/>
              </w:rPr>
              <w:t>Financiamiento de la inversión</w:t>
            </w:r>
          </w:p>
        </w:tc>
      </w:tr>
      <w:tr w:rsidR="00AC7AB5" w:rsidTr="00765555">
        <w:tc>
          <w:tcPr>
            <w:tcW w:w="4489" w:type="dxa"/>
            <w:tcBorders>
              <w:top w:val="nil"/>
              <w:bottom w:val="nil"/>
            </w:tcBorders>
          </w:tcPr>
          <w:p w:rsidR="00AC7AB5" w:rsidRPr="00765555" w:rsidRDefault="00AC7AB5" w:rsidP="006E1AD8">
            <w:pPr>
              <w:rPr>
                <w:rFonts w:ascii="Arial" w:hAnsi="Arial" w:cs="Arial"/>
                <w:sz w:val="20"/>
                <w:szCs w:val="20"/>
              </w:rPr>
            </w:pPr>
          </w:p>
        </w:tc>
        <w:tc>
          <w:tcPr>
            <w:tcW w:w="4489" w:type="dxa"/>
          </w:tcPr>
          <w:p w:rsidR="00AC7AB5" w:rsidRPr="00765555" w:rsidRDefault="00765555" w:rsidP="006E1AD8">
            <w:pPr>
              <w:rPr>
                <w:rFonts w:ascii="Arial" w:hAnsi="Arial" w:cs="Arial"/>
                <w:sz w:val="20"/>
                <w:szCs w:val="20"/>
              </w:rPr>
            </w:pPr>
            <w:r w:rsidRPr="00765555">
              <w:rPr>
                <w:rFonts w:ascii="Arial" w:hAnsi="Arial" w:cs="Arial"/>
                <w:sz w:val="20"/>
                <w:szCs w:val="20"/>
              </w:rPr>
              <w:t>Mantenimiento de la infraestructura</w:t>
            </w:r>
          </w:p>
        </w:tc>
      </w:tr>
      <w:tr w:rsidR="00AC7AB5" w:rsidTr="00765555">
        <w:tc>
          <w:tcPr>
            <w:tcW w:w="4489" w:type="dxa"/>
            <w:tcBorders>
              <w:top w:val="nil"/>
              <w:bottom w:val="nil"/>
            </w:tcBorders>
          </w:tcPr>
          <w:p w:rsidR="00AC7AB5" w:rsidRPr="00765555" w:rsidRDefault="00AC7AB5" w:rsidP="006E1AD8">
            <w:pPr>
              <w:rPr>
                <w:rFonts w:ascii="Arial" w:hAnsi="Arial" w:cs="Arial"/>
                <w:sz w:val="20"/>
                <w:szCs w:val="20"/>
              </w:rPr>
            </w:pPr>
          </w:p>
        </w:tc>
        <w:tc>
          <w:tcPr>
            <w:tcW w:w="4489" w:type="dxa"/>
          </w:tcPr>
          <w:p w:rsidR="00AC7AB5" w:rsidRPr="00765555" w:rsidRDefault="00765555" w:rsidP="006E1AD8">
            <w:pPr>
              <w:rPr>
                <w:rFonts w:ascii="Arial" w:hAnsi="Arial" w:cs="Arial"/>
                <w:sz w:val="20"/>
                <w:szCs w:val="20"/>
              </w:rPr>
            </w:pPr>
            <w:r w:rsidRPr="00765555">
              <w:rPr>
                <w:rFonts w:ascii="Arial" w:hAnsi="Arial" w:cs="Arial"/>
                <w:sz w:val="20"/>
                <w:szCs w:val="20"/>
              </w:rPr>
              <w:t>Reinversión en infraestructura e instalaciones</w:t>
            </w:r>
          </w:p>
        </w:tc>
      </w:tr>
      <w:tr w:rsidR="00AC7AB5" w:rsidTr="00765555">
        <w:tc>
          <w:tcPr>
            <w:tcW w:w="4489" w:type="dxa"/>
            <w:tcBorders>
              <w:top w:val="nil"/>
            </w:tcBorders>
          </w:tcPr>
          <w:p w:rsidR="00AC7AB5" w:rsidRPr="00765555" w:rsidRDefault="00AC7AB5" w:rsidP="006E1AD8">
            <w:pPr>
              <w:rPr>
                <w:rFonts w:ascii="Arial" w:hAnsi="Arial" w:cs="Arial"/>
                <w:sz w:val="20"/>
                <w:szCs w:val="20"/>
              </w:rPr>
            </w:pPr>
          </w:p>
        </w:tc>
        <w:tc>
          <w:tcPr>
            <w:tcW w:w="4489" w:type="dxa"/>
          </w:tcPr>
          <w:p w:rsidR="00AC7AB5" w:rsidRPr="00765555" w:rsidRDefault="00765555" w:rsidP="006E1AD8">
            <w:pPr>
              <w:rPr>
                <w:rFonts w:ascii="Arial" w:hAnsi="Arial" w:cs="Arial"/>
                <w:sz w:val="20"/>
                <w:szCs w:val="20"/>
              </w:rPr>
            </w:pPr>
            <w:r w:rsidRPr="00765555">
              <w:rPr>
                <w:rFonts w:ascii="Arial" w:hAnsi="Arial" w:cs="Arial"/>
                <w:sz w:val="20"/>
                <w:szCs w:val="20"/>
              </w:rPr>
              <w:t xml:space="preserve">Gestión </w:t>
            </w:r>
            <w:r w:rsidR="00194C4D">
              <w:rPr>
                <w:rFonts w:ascii="Arial" w:hAnsi="Arial" w:cs="Arial"/>
                <w:sz w:val="20"/>
                <w:szCs w:val="20"/>
              </w:rPr>
              <w:t xml:space="preserve">de la </w:t>
            </w:r>
            <w:r w:rsidR="002F0622" w:rsidRPr="00765555">
              <w:rPr>
                <w:rFonts w:ascii="Arial" w:hAnsi="Arial" w:cs="Arial"/>
                <w:sz w:val="20"/>
                <w:szCs w:val="20"/>
              </w:rPr>
              <w:t>Institución</w:t>
            </w:r>
          </w:p>
        </w:tc>
      </w:tr>
      <w:tr w:rsidR="00AC7AB5" w:rsidTr="00194C4D">
        <w:tc>
          <w:tcPr>
            <w:tcW w:w="4489" w:type="dxa"/>
            <w:tcBorders>
              <w:bottom w:val="nil"/>
            </w:tcBorders>
          </w:tcPr>
          <w:p w:rsidR="00AC7AB5" w:rsidRPr="00765555" w:rsidRDefault="00765555" w:rsidP="00765555">
            <w:pPr>
              <w:pStyle w:val="ListParagraph"/>
              <w:numPr>
                <w:ilvl w:val="0"/>
                <w:numId w:val="10"/>
              </w:numPr>
              <w:rPr>
                <w:rFonts w:ascii="Arial" w:hAnsi="Arial" w:cs="Arial"/>
                <w:sz w:val="20"/>
                <w:szCs w:val="20"/>
              </w:rPr>
            </w:pPr>
            <w:r w:rsidRPr="00765555">
              <w:rPr>
                <w:rFonts w:ascii="Arial" w:hAnsi="Arial" w:cs="Arial"/>
                <w:sz w:val="20"/>
                <w:szCs w:val="20"/>
              </w:rPr>
              <w:t>Explotación</w:t>
            </w:r>
          </w:p>
        </w:tc>
        <w:tc>
          <w:tcPr>
            <w:tcW w:w="4489" w:type="dxa"/>
          </w:tcPr>
          <w:p w:rsidR="00AC7AB5" w:rsidRPr="00765555" w:rsidRDefault="00765555" w:rsidP="00765555">
            <w:pPr>
              <w:rPr>
                <w:rFonts w:ascii="Arial" w:hAnsi="Arial" w:cs="Arial"/>
                <w:sz w:val="20"/>
                <w:szCs w:val="20"/>
              </w:rPr>
            </w:pPr>
            <w:r w:rsidRPr="00765555">
              <w:rPr>
                <w:rFonts w:ascii="Arial" w:hAnsi="Arial" w:cs="Arial"/>
                <w:sz w:val="20"/>
                <w:szCs w:val="20"/>
              </w:rPr>
              <w:t>Adquisición de material móvil</w:t>
            </w:r>
          </w:p>
        </w:tc>
      </w:tr>
      <w:tr w:rsidR="00AC7AB5" w:rsidTr="00194C4D">
        <w:tc>
          <w:tcPr>
            <w:tcW w:w="4489" w:type="dxa"/>
            <w:tcBorders>
              <w:top w:val="nil"/>
              <w:bottom w:val="nil"/>
            </w:tcBorders>
          </w:tcPr>
          <w:p w:rsidR="00AC7AB5" w:rsidRPr="00765555" w:rsidRDefault="00AC7AB5" w:rsidP="006E1AD8">
            <w:pPr>
              <w:rPr>
                <w:rFonts w:ascii="Arial" w:hAnsi="Arial" w:cs="Arial"/>
                <w:sz w:val="20"/>
                <w:szCs w:val="20"/>
              </w:rPr>
            </w:pPr>
          </w:p>
        </w:tc>
        <w:tc>
          <w:tcPr>
            <w:tcW w:w="4489" w:type="dxa"/>
          </w:tcPr>
          <w:p w:rsidR="00AC7AB5" w:rsidRPr="00765555" w:rsidRDefault="00765555" w:rsidP="006E1AD8">
            <w:pPr>
              <w:rPr>
                <w:rFonts w:ascii="Arial" w:hAnsi="Arial" w:cs="Arial"/>
                <w:sz w:val="20"/>
                <w:szCs w:val="20"/>
              </w:rPr>
            </w:pPr>
            <w:r w:rsidRPr="00765555">
              <w:rPr>
                <w:rFonts w:ascii="Arial" w:hAnsi="Arial" w:cs="Arial"/>
                <w:sz w:val="20"/>
                <w:szCs w:val="20"/>
              </w:rPr>
              <w:t>Financiamiento de material móvil</w:t>
            </w:r>
          </w:p>
        </w:tc>
      </w:tr>
      <w:tr w:rsidR="00765555" w:rsidTr="00194C4D">
        <w:tc>
          <w:tcPr>
            <w:tcW w:w="4489" w:type="dxa"/>
            <w:tcBorders>
              <w:top w:val="nil"/>
              <w:bottom w:val="nil"/>
            </w:tcBorders>
          </w:tcPr>
          <w:p w:rsidR="00765555" w:rsidRPr="00765555" w:rsidRDefault="00765555" w:rsidP="006E1AD8">
            <w:pPr>
              <w:rPr>
                <w:rFonts w:ascii="Arial" w:hAnsi="Arial" w:cs="Arial"/>
                <w:sz w:val="20"/>
                <w:szCs w:val="20"/>
              </w:rPr>
            </w:pPr>
          </w:p>
        </w:tc>
        <w:tc>
          <w:tcPr>
            <w:tcW w:w="4489" w:type="dxa"/>
          </w:tcPr>
          <w:p w:rsidR="00765555" w:rsidRPr="00765555" w:rsidRDefault="00765555" w:rsidP="006E1AD8">
            <w:pPr>
              <w:rPr>
                <w:rFonts w:ascii="Arial" w:hAnsi="Arial" w:cs="Arial"/>
                <w:sz w:val="20"/>
                <w:szCs w:val="20"/>
              </w:rPr>
            </w:pPr>
            <w:r w:rsidRPr="00765555">
              <w:rPr>
                <w:rFonts w:ascii="Arial" w:hAnsi="Arial" w:cs="Arial"/>
                <w:sz w:val="20"/>
                <w:szCs w:val="20"/>
              </w:rPr>
              <w:t>Operación y mantenimiento material móvil</w:t>
            </w:r>
          </w:p>
        </w:tc>
      </w:tr>
      <w:tr w:rsidR="00765555" w:rsidTr="00194C4D">
        <w:tc>
          <w:tcPr>
            <w:tcW w:w="4489" w:type="dxa"/>
            <w:tcBorders>
              <w:top w:val="nil"/>
              <w:bottom w:val="nil"/>
            </w:tcBorders>
          </w:tcPr>
          <w:p w:rsidR="00765555" w:rsidRPr="00765555" w:rsidRDefault="00765555" w:rsidP="006E1AD8">
            <w:pPr>
              <w:rPr>
                <w:rFonts w:ascii="Arial" w:hAnsi="Arial" w:cs="Arial"/>
                <w:sz w:val="20"/>
                <w:szCs w:val="20"/>
              </w:rPr>
            </w:pPr>
          </w:p>
        </w:tc>
        <w:tc>
          <w:tcPr>
            <w:tcW w:w="4489" w:type="dxa"/>
          </w:tcPr>
          <w:p w:rsidR="00765555" w:rsidRPr="00765555" w:rsidRDefault="00765555" w:rsidP="006E1AD8">
            <w:pPr>
              <w:rPr>
                <w:rFonts w:ascii="Arial" w:hAnsi="Arial" w:cs="Arial"/>
                <w:sz w:val="20"/>
                <w:szCs w:val="20"/>
              </w:rPr>
            </w:pPr>
            <w:r w:rsidRPr="00765555">
              <w:rPr>
                <w:rFonts w:ascii="Arial" w:hAnsi="Arial" w:cs="Arial"/>
                <w:sz w:val="20"/>
                <w:szCs w:val="20"/>
              </w:rPr>
              <w:t>Reinversión y adición de material móvil</w:t>
            </w:r>
          </w:p>
        </w:tc>
      </w:tr>
      <w:tr w:rsidR="00765555" w:rsidTr="00194C4D">
        <w:tc>
          <w:tcPr>
            <w:tcW w:w="4489" w:type="dxa"/>
            <w:tcBorders>
              <w:top w:val="nil"/>
            </w:tcBorders>
          </w:tcPr>
          <w:p w:rsidR="00765555" w:rsidRPr="00765555" w:rsidRDefault="00765555" w:rsidP="006E1AD8">
            <w:pPr>
              <w:rPr>
                <w:rFonts w:ascii="Arial" w:hAnsi="Arial" w:cs="Arial"/>
                <w:sz w:val="20"/>
                <w:szCs w:val="20"/>
              </w:rPr>
            </w:pPr>
          </w:p>
        </w:tc>
        <w:tc>
          <w:tcPr>
            <w:tcW w:w="4489" w:type="dxa"/>
          </w:tcPr>
          <w:p w:rsidR="00765555" w:rsidRPr="00765555" w:rsidRDefault="00765555" w:rsidP="006E1AD8">
            <w:pPr>
              <w:rPr>
                <w:rFonts w:ascii="Arial" w:hAnsi="Arial" w:cs="Arial"/>
                <w:sz w:val="20"/>
                <w:szCs w:val="20"/>
              </w:rPr>
            </w:pPr>
            <w:r w:rsidRPr="00765555">
              <w:rPr>
                <w:rFonts w:ascii="Arial" w:hAnsi="Arial" w:cs="Arial"/>
                <w:sz w:val="20"/>
                <w:szCs w:val="20"/>
              </w:rPr>
              <w:t>Explotación del servicio</w:t>
            </w:r>
          </w:p>
        </w:tc>
      </w:tr>
    </w:tbl>
    <w:p w:rsidR="00AC7AB5" w:rsidRPr="002F0622" w:rsidRDefault="002F0622" w:rsidP="006E1AD8">
      <w:pPr>
        <w:rPr>
          <w:rFonts w:ascii="Arial" w:hAnsi="Arial" w:cs="Arial"/>
          <w:sz w:val="20"/>
          <w:szCs w:val="20"/>
        </w:rPr>
      </w:pPr>
      <w:r w:rsidRPr="002F0622">
        <w:rPr>
          <w:rFonts w:ascii="Arial" w:hAnsi="Arial" w:cs="Arial"/>
          <w:sz w:val="20"/>
          <w:szCs w:val="20"/>
        </w:rPr>
        <w:t>Fuente: E-3.4 “Estudio de Factibilidad de la Primera Línea del Metro de Quito – Estudio de Económico - Financiero”</w:t>
      </w:r>
    </w:p>
    <w:p w:rsidR="00AC7AB5" w:rsidRDefault="00AC7AB5" w:rsidP="006E1AD8">
      <w:pPr>
        <w:rPr>
          <w:rFonts w:ascii="Arial" w:hAnsi="Arial" w:cs="Arial"/>
        </w:rPr>
      </w:pPr>
    </w:p>
    <w:p w:rsidR="002E2811" w:rsidRDefault="00316AC3" w:rsidP="002E2811">
      <w:pPr>
        <w:rPr>
          <w:rFonts w:ascii="Arial" w:hAnsi="Arial" w:cs="Arial"/>
        </w:rPr>
      </w:pPr>
      <w:r>
        <w:rPr>
          <w:rFonts w:ascii="Arial" w:hAnsi="Arial" w:cs="Arial"/>
        </w:rPr>
        <w:t xml:space="preserve">Para la evaluación financiera del proyecto el documento </w:t>
      </w:r>
      <w:r w:rsidR="006B006C">
        <w:rPr>
          <w:rFonts w:ascii="Arial" w:hAnsi="Arial" w:cs="Arial"/>
        </w:rPr>
        <w:t xml:space="preserve">del MM </w:t>
      </w:r>
      <w:r w:rsidR="008020E5">
        <w:rPr>
          <w:rFonts w:ascii="Arial" w:hAnsi="Arial" w:cs="Arial"/>
        </w:rPr>
        <w:t>planteó</w:t>
      </w:r>
      <w:r w:rsidR="002B242C">
        <w:rPr>
          <w:rFonts w:ascii="Arial" w:hAnsi="Arial" w:cs="Arial"/>
        </w:rPr>
        <w:t xml:space="preserve"> </w:t>
      </w:r>
      <w:r>
        <w:rPr>
          <w:rFonts w:ascii="Arial" w:hAnsi="Arial" w:cs="Arial"/>
        </w:rPr>
        <w:t xml:space="preserve">un modelo que permite revisar cada año la evolución de las diferentes variables y verificar la viabilidad </w:t>
      </w:r>
      <w:r w:rsidR="002E2811">
        <w:rPr>
          <w:rFonts w:ascii="Arial" w:hAnsi="Arial" w:cs="Arial"/>
        </w:rPr>
        <w:t xml:space="preserve">financiera del proyecto. </w:t>
      </w:r>
    </w:p>
    <w:p w:rsidR="00AC7AB5" w:rsidRDefault="00AC7AB5" w:rsidP="006E1AD8">
      <w:pPr>
        <w:rPr>
          <w:rFonts w:ascii="Arial" w:hAnsi="Arial" w:cs="Arial"/>
        </w:rPr>
      </w:pPr>
    </w:p>
    <w:p w:rsidR="00EB46D5" w:rsidRDefault="002E2811" w:rsidP="006E1AD8">
      <w:pPr>
        <w:rPr>
          <w:rFonts w:ascii="Arial" w:hAnsi="Arial" w:cs="Arial"/>
        </w:rPr>
      </w:pPr>
      <w:r>
        <w:rPr>
          <w:rFonts w:ascii="Arial" w:hAnsi="Arial" w:cs="Arial"/>
        </w:rPr>
        <w:t>E</w:t>
      </w:r>
      <w:r w:rsidR="00EB46D5">
        <w:rPr>
          <w:rFonts w:ascii="Arial" w:hAnsi="Arial" w:cs="Arial"/>
        </w:rPr>
        <w:t>l modelo descrito en el documento E3-4 es claro y completo. Describe una metodología que permite analizar financieramente</w:t>
      </w:r>
      <w:r w:rsidR="002D094F">
        <w:rPr>
          <w:rFonts w:ascii="Arial" w:hAnsi="Arial" w:cs="Arial"/>
        </w:rPr>
        <w:t>,</w:t>
      </w:r>
      <w:r w:rsidR="00EB46D5">
        <w:rPr>
          <w:rFonts w:ascii="Arial" w:hAnsi="Arial" w:cs="Arial"/>
        </w:rPr>
        <w:t xml:space="preserve"> el proyecto de la PLM. </w:t>
      </w:r>
      <w:r w:rsidR="004537F1">
        <w:rPr>
          <w:rFonts w:ascii="Arial" w:hAnsi="Arial" w:cs="Arial"/>
        </w:rPr>
        <w:t xml:space="preserve">El documento menciona que </w:t>
      </w:r>
      <w:r w:rsidR="002D094F">
        <w:rPr>
          <w:rFonts w:ascii="Arial" w:hAnsi="Arial" w:cs="Arial"/>
        </w:rPr>
        <w:t xml:space="preserve">dada la trascendencia y la inversión requerida en </w:t>
      </w:r>
      <w:r w:rsidR="004537F1">
        <w:rPr>
          <w:rFonts w:ascii="Arial" w:hAnsi="Arial" w:cs="Arial"/>
        </w:rPr>
        <w:t>este tipo de proyectos</w:t>
      </w:r>
      <w:r w:rsidR="002D094F">
        <w:rPr>
          <w:rFonts w:ascii="Arial" w:hAnsi="Arial" w:cs="Arial"/>
        </w:rPr>
        <w:t>,</w:t>
      </w:r>
      <w:r w:rsidR="004537F1">
        <w:rPr>
          <w:rFonts w:ascii="Arial" w:hAnsi="Arial" w:cs="Arial"/>
        </w:rPr>
        <w:t xml:space="preserve"> </w:t>
      </w:r>
      <w:r w:rsidR="002D094F">
        <w:rPr>
          <w:rFonts w:ascii="Arial" w:hAnsi="Arial" w:cs="Arial"/>
        </w:rPr>
        <w:t xml:space="preserve">lo normal es la presencia </w:t>
      </w:r>
      <w:r w:rsidR="004537F1">
        <w:rPr>
          <w:rFonts w:ascii="Arial" w:hAnsi="Arial" w:cs="Arial"/>
        </w:rPr>
        <w:t>de aportes gubernamentales en la etapa de construcción</w:t>
      </w:r>
      <w:r w:rsidR="002D094F">
        <w:rPr>
          <w:rFonts w:ascii="Arial" w:hAnsi="Arial" w:cs="Arial"/>
        </w:rPr>
        <w:t xml:space="preserve">, en la etapa de explotación o en ambas etapas. </w:t>
      </w:r>
    </w:p>
    <w:p w:rsidR="002D094F" w:rsidRDefault="002D094F" w:rsidP="006E1AD8">
      <w:pPr>
        <w:rPr>
          <w:rFonts w:ascii="Arial" w:hAnsi="Arial" w:cs="Arial"/>
        </w:rPr>
      </w:pPr>
    </w:p>
    <w:p w:rsidR="002D094F" w:rsidRPr="002D094F" w:rsidRDefault="002D094F" w:rsidP="005E48EB">
      <w:pPr>
        <w:rPr>
          <w:rFonts w:ascii="Arial" w:hAnsi="Arial" w:cs="Arial"/>
        </w:rPr>
      </w:pPr>
      <w:r>
        <w:rPr>
          <w:rFonts w:ascii="Arial" w:hAnsi="Arial" w:cs="Arial"/>
        </w:rPr>
        <w:t>Por otra parte, la hoja en Excel “110522</w:t>
      </w:r>
      <w:r w:rsidRPr="00F415D3">
        <w:rPr>
          <w:rFonts w:ascii="Arial" w:hAnsi="Arial" w:cs="Arial"/>
        </w:rPr>
        <w:t>_Modelo</w:t>
      </w:r>
      <w:r>
        <w:rPr>
          <w:rFonts w:ascii="Arial" w:hAnsi="Arial" w:cs="Arial"/>
        </w:rPr>
        <w:t xml:space="preserve"> </w:t>
      </w:r>
      <w:r w:rsidRPr="00F415D3">
        <w:rPr>
          <w:rFonts w:ascii="Arial" w:hAnsi="Arial" w:cs="Arial"/>
        </w:rPr>
        <w:t>_</w:t>
      </w:r>
      <w:r>
        <w:rPr>
          <w:rFonts w:ascii="Arial" w:hAnsi="Arial" w:cs="Arial"/>
        </w:rPr>
        <w:t>Económico _Financiero EF</w:t>
      </w:r>
      <w:r w:rsidRPr="00F415D3">
        <w:rPr>
          <w:rFonts w:ascii="Arial" w:hAnsi="Arial" w:cs="Arial"/>
        </w:rPr>
        <w:t>_</w:t>
      </w:r>
      <w:r>
        <w:rPr>
          <w:rFonts w:ascii="Arial" w:hAnsi="Arial" w:cs="Arial"/>
        </w:rPr>
        <w:t>Metro_ Quito _V42 _Alternativa 4”</w:t>
      </w:r>
      <w:r w:rsidR="00DA5B73">
        <w:rPr>
          <w:rFonts w:ascii="Arial" w:hAnsi="Arial" w:cs="Arial"/>
        </w:rPr>
        <w:t xml:space="preserve"> corresponde al modelo descrito en el documento E3-4. Sin embargo al revisar esta hoja</w:t>
      </w:r>
      <w:r w:rsidR="00B173B1">
        <w:rPr>
          <w:rFonts w:ascii="Arial" w:hAnsi="Arial" w:cs="Arial"/>
        </w:rPr>
        <w:t xml:space="preserve"> e intentar correr el modelo con información </w:t>
      </w:r>
      <w:r w:rsidR="00E74634">
        <w:rPr>
          <w:rFonts w:ascii="Arial" w:hAnsi="Arial" w:cs="Arial"/>
        </w:rPr>
        <w:t>más</w:t>
      </w:r>
      <w:r w:rsidR="00B173B1">
        <w:rPr>
          <w:rFonts w:ascii="Arial" w:hAnsi="Arial" w:cs="Arial"/>
        </w:rPr>
        <w:t xml:space="preserve"> actualizada o realizar algunas sensibilidades, </w:t>
      </w:r>
      <w:r w:rsidR="00DA5B73">
        <w:rPr>
          <w:rFonts w:ascii="Arial" w:hAnsi="Arial" w:cs="Arial"/>
        </w:rPr>
        <w:t xml:space="preserve">se encontraron </w:t>
      </w:r>
      <w:r w:rsidR="00B173B1">
        <w:rPr>
          <w:rFonts w:ascii="Arial" w:hAnsi="Arial" w:cs="Arial"/>
        </w:rPr>
        <w:t xml:space="preserve">problemas </w:t>
      </w:r>
      <w:r w:rsidR="002E2811">
        <w:rPr>
          <w:rFonts w:ascii="Arial" w:hAnsi="Arial" w:cs="Arial"/>
        </w:rPr>
        <w:t xml:space="preserve">que sin un manual de </w:t>
      </w:r>
      <w:r w:rsidR="00F82D32">
        <w:rPr>
          <w:rFonts w:ascii="Arial" w:hAnsi="Arial" w:cs="Arial"/>
        </w:rPr>
        <w:t xml:space="preserve">uso y/o el apoyo de  los autores son difíciles de solucionar. </w:t>
      </w:r>
    </w:p>
    <w:p w:rsidR="00532885" w:rsidRPr="00532885" w:rsidRDefault="00532885" w:rsidP="00F83C12">
      <w:pPr>
        <w:spacing w:before="100" w:beforeAutospacing="1" w:after="100" w:afterAutospacing="1"/>
        <w:rPr>
          <w:rFonts w:ascii="Arial" w:hAnsi="Arial" w:cs="Arial"/>
        </w:rPr>
      </w:pPr>
      <w:r>
        <w:rPr>
          <w:rFonts w:ascii="Arial" w:hAnsi="Arial" w:cs="Arial"/>
        </w:rPr>
        <w:lastRenderedPageBreak/>
        <w:t xml:space="preserve">Como consecuencia de lo mencionado anteriormente, el consultor optó por </w:t>
      </w:r>
      <w:r w:rsidR="00F82D32">
        <w:rPr>
          <w:rFonts w:ascii="Arial" w:hAnsi="Arial" w:cs="Arial"/>
        </w:rPr>
        <w:t>analizar el ejercicio</w:t>
      </w:r>
      <w:r w:rsidR="008A631B">
        <w:rPr>
          <w:rFonts w:ascii="Arial" w:hAnsi="Arial" w:cs="Arial"/>
        </w:rPr>
        <w:t xml:space="preserve"> financiero </w:t>
      </w:r>
      <w:r w:rsidR="00F82D32">
        <w:rPr>
          <w:rFonts w:ascii="Arial" w:hAnsi="Arial" w:cs="Arial"/>
        </w:rPr>
        <w:t>realizado por la EPMMQ</w:t>
      </w:r>
      <w:r w:rsidR="008A631B">
        <w:rPr>
          <w:rFonts w:ascii="Arial" w:hAnsi="Arial" w:cs="Arial"/>
        </w:rPr>
        <w:t>,</w:t>
      </w:r>
      <w:r w:rsidR="00F82D32">
        <w:rPr>
          <w:rFonts w:ascii="Arial" w:hAnsi="Arial" w:cs="Arial"/>
        </w:rPr>
        <w:t xml:space="preserve"> el cual </w:t>
      </w:r>
      <w:r w:rsidR="008A631B">
        <w:rPr>
          <w:rFonts w:ascii="Arial" w:hAnsi="Arial" w:cs="Arial"/>
        </w:rPr>
        <w:t>está</w:t>
      </w:r>
      <w:r w:rsidR="00F82D32">
        <w:rPr>
          <w:rFonts w:ascii="Arial" w:hAnsi="Arial" w:cs="Arial"/>
        </w:rPr>
        <w:t xml:space="preserve"> basado en el modelo del MM pero con algunas modificaciones y simplificaciones. Dicho ejercicio </w:t>
      </w:r>
      <w:r w:rsidR="008A631B">
        <w:rPr>
          <w:rFonts w:ascii="Arial" w:hAnsi="Arial" w:cs="Arial"/>
        </w:rPr>
        <w:t>está</w:t>
      </w:r>
      <w:r w:rsidR="00F82D32">
        <w:rPr>
          <w:rFonts w:ascii="Arial" w:hAnsi="Arial" w:cs="Arial"/>
        </w:rPr>
        <w:t xml:space="preserve"> contenido</w:t>
      </w:r>
      <w:r w:rsidR="00F83C12">
        <w:rPr>
          <w:rFonts w:ascii="Arial" w:hAnsi="Arial" w:cs="Arial"/>
        </w:rPr>
        <w:t xml:space="preserve"> en el archivo Excel </w:t>
      </w:r>
      <w:r w:rsidR="00F82D32">
        <w:rPr>
          <w:rFonts w:ascii="Arial" w:hAnsi="Arial" w:cs="Arial"/>
        </w:rPr>
        <w:t xml:space="preserve">““9 Modelo Metro Quito – (18 septiembre)” </w:t>
      </w:r>
      <w:r w:rsidR="00766C24">
        <w:rPr>
          <w:rFonts w:ascii="Arial" w:hAnsi="Arial" w:cs="Arial"/>
        </w:rPr>
        <w:t>donde se actualizaron las diversas variables socioeconómicas, la demanda y el costo de las inversiones</w:t>
      </w:r>
      <w:r w:rsidR="008A631B">
        <w:rPr>
          <w:rStyle w:val="FootnoteReference"/>
          <w:rFonts w:ascii="Arial" w:hAnsi="Arial" w:cs="Arial"/>
        </w:rPr>
        <w:footnoteReference w:id="5"/>
      </w:r>
      <w:r w:rsidR="00766C24">
        <w:rPr>
          <w:rFonts w:ascii="Arial" w:hAnsi="Arial" w:cs="Arial"/>
        </w:rPr>
        <w:t xml:space="preserve">. </w:t>
      </w:r>
    </w:p>
    <w:p w:rsidR="00532885" w:rsidRPr="00651AAA" w:rsidRDefault="00532885" w:rsidP="00532885">
      <w:pPr>
        <w:pStyle w:val="Heading1"/>
        <w:numPr>
          <w:ilvl w:val="0"/>
          <w:numId w:val="7"/>
        </w:numPr>
        <w:rPr>
          <w:rFonts w:ascii="Arial" w:hAnsi="Arial"/>
          <w:color w:val="auto"/>
          <w:sz w:val="24"/>
        </w:rPr>
      </w:pPr>
      <w:bookmarkStart w:id="4" w:name="_Toc336368603"/>
      <w:r>
        <w:rPr>
          <w:rFonts w:ascii="Arial" w:hAnsi="Arial"/>
          <w:color w:val="auto"/>
          <w:sz w:val="24"/>
        </w:rPr>
        <w:t>ESQUEMA DE FINANCIAMIENTO DE LAS OBRAS PARA LA PLM DE QUITO</w:t>
      </w:r>
      <w:bookmarkEnd w:id="4"/>
    </w:p>
    <w:p w:rsidR="00532885" w:rsidRPr="00532885" w:rsidRDefault="00F83C12" w:rsidP="00F83C12">
      <w:pPr>
        <w:spacing w:before="100" w:beforeAutospacing="1" w:after="100" w:afterAutospacing="1"/>
        <w:rPr>
          <w:rFonts w:ascii="Arial" w:hAnsi="Arial" w:cs="Arial"/>
        </w:rPr>
      </w:pPr>
      <w:r>
        <w:rPr>
          <w:rFonts w:ascii="Arial" w:hAnsi="Arial" w:cs="Arial"/>
        </w:rPr>
        <w:t xml:space="preserve">De acuerdo con los datos </w:t>
      </w:r>
      <w:r w:rsidR="00740DF9">
        <w:rPr>
          <w:rFonts w:ascii="Arial" w:hAnsi="Arial" w:cs="Arial"/>
        </w:rPr>
        <w:t>más</w:t>
      </w:r>
      <w:r>
        <w:rPr>
          <w:rFonts w:ascii="Arial" w:hAnsi="Arial" w:cs="Arial"/>
        </w:rPr>
        <w:t xml:space="preserve"> recientes de la EPMMQ, el costo de las obras asciende a USD 1.</w:t>
      </w:r>
      <w:r w:rsidR="00364B3B">
        <w:rPr>
          <w:rFonts w:ascii="Arial" w:hAnsi="Arial" w:cs="Arial"/>
        </w:rPr>
        <w:t>678</w:t>
      </w:r>
      <w:r w:rsidR="008A631B">
        <w:rPr>
          <w:rFonts w:ascii="Arial" w:hAnsi="Arial" w:cs="Arial"/>
        </w:rPr>
        <w:t xml:space="preserve"> </w:t>
      </w:r>
      <w:r w:rsidR="00364B3B">
        <w:rPr>
          <w:rStyle w:val="FootnoteReference"/>
          <w:rFonts w:ascii="Arial" w:hAnsi="Arial" w:cs="Arial"/>
        </w:rPr>
        <w:footnoteReference w:id="6"/>
      </w:r>
      <w:r>
        <w:rPr>
          <w:rFonts w:ascii="Arial" w:hAnsi="Arial" w:cs="Arial"/>
        </w:rPr>
        <w:t xml:space="preserve"> millones</w:t>
      </w:r>
      <w:r w:rsidR="00364B3B">
        <w:rPr>
          <w:rFonts w:ascii="Arial" w:hAnsi="Arial" w:cs="Arial"/>
        </w:rPr>
        <w:t xml:space="preserve"> (con IVA)</w:t>
      </w:r>
      <w:r>
        <w:rPr>
          <w:rFonts w:ascii="Arial" w:hAnsi="Arial" w:cs="Arial"/>
        </w:rPr>
        <w:t>, incluidas las expropiaciones</w:t>
      </w:r>
      <w:r w:rsidR="00740DF9">
        <w:rPr>
          <w:rFonts w:ascii="Arial" w:hAnsi="Arial" w:cs="Arial"/>
        </w:rPr>
        <w:t xml:space="preserve"> requeridas</w:t>
      </w:r>
      <w:r>
        <w:rPr>
          <w:rFonts w:ascii="Arial" w:hAnsi="Arial" w:cs="Arial"/>
        </w:rPr>
        <w:t xml:space="preserve">, obra civil, instalaciones, material móvil y asistencia técnica. El esquema de financiamiento contempla la participación del GN y el DMQ a </w:t>
      </w:r>
      <w:r w:rsidR="00740DF9">
        <w:rPr>
          <w:rFonts w:ascii="Arial" w:hAnsi="Arial" w:cs="Arial"/>
        </w:rPr>
        <w:t>través</w:t>
      </w:r>
      <w:r>
        <w:rPr>
          <w:rFonts w:ascii="Arial" w:hAnsi="Arial" w:cs="Arial"/>
        </w:rPr>
        <w:t xml:space="preserve"> de recursos propios de los respectivos presupuestos, </w:t>
      </w:r>
      <w:r w:rsidR="00740DF9">
        <w:rPr>
          <w:rFonts w:ascii="Arial" w:hAnsi="Arial" w:cs="Arial"/>
        </w:rPr>
        <w:t>la participación del Banco Europeo de Inversiones (BEI), la CAF, el BID, el BIESS y proveedores, tal como se detalla en la tabla 1.</w:t>
      </w:r>
      <w:r w:rsidR="00364B3B">
        <w:rPr>
          <w:rFonts w:ascii="Arial" w:hAnsi="Arial" w:cs="Arial"/>
        </w:rPr>
        <w:t xml:space="preserve"> El 50% de la inversión esta a cargo del GN y el otro 50%a cargo del DMQ.</w:t>
      </w:r>
    </w:p>
    <w:p w:rsidR="00F415D3" w:rsidRDefault="00F415D3" w:rsidP="00F415D3">
      <w:pPr>
        <w:pStyle w:val="Caption"/>
        <w:keepNext/>
        <w:jc w:val="center"/>
        <w:rPr>
          <w:rFonts w:ascii="Arial" w:hAnsi="Arial"/>
        </w:rPr>
      </w:pPr>
      <w:bookmarkStart w:id="5" w:name="_Toc336368593"/>
      <w:r w:rsidRPr="00F415D3">
        <w:rPr>
          <w:rFonts w:ascii="Arial" w:hAnsi="Arial"/>
        </w:rPr>
        <w:t xml:space="preserve">Tabla </w:t>
      </w:r>
      <w:r w:rsidR="006028B1" w:rsidRPr="00F415D3">
        <w:rPr>
          <w:rFonts w:ascii="Arial" w:hAnsi="Arial"/>
        </w:rPr>
        <w:fldChar w:fldCharType="begin"/>
      </w:r>
      <w:r w:rsidRPr="00F415D3">
        <w:rPr>
          <w:rFonts w:ascii="Arial" w:hAnsi="Arial"/>
        </w:rPr>
        <w:instrText xml:space="preserve"> SEQ Tabla \* ARABIC </w:instrText>
      </w:r>
      <w:r w:rsidR="006028B1" w:rsidRPr="00F415D3">
        <w:rPr>
          <w:rFonts w:ascii="Arial" w:hAnsi="Arial"/>
        </w:rPr>
        <w:fldChar w:fldCharType="separate"/>
      </w:r>
      <w:r w:rsidR="003D4D79">
        <w:rPr>
          <w:rFonts w:ascii="Arial" w:hAnsi="Arial"/>
          <w:noProof/>
        </w:rPr>
        <w:t>1</w:t>
      </w:r>
      <w:r w:rsidR="006028B1" w:rsidRPr="00F415D3">
        <w:rPr>
          <w:rFonts w:ascii="Arial" w:hAnsi="Arial"/>
        </w:rPr>
        <w:fldChar w:fldCharType="end"/>
      </w:r>
      <w:r w:rsidRPr="00F415D3">
        <w:rPr>
          <w:rFonts w:ascii="Arial" w:hAnsi="Arial"/>
        </w:rPr>
        <w:t>. Descripción de</w:t>
      </w:r>
      <w:r w:rsidR="005E739E">
        <w:rPr>
          <w:rFonts w:ascii="Arial" w:hAnsi="Arial"/>
        </w:rPr>
        <w:t>l esquema de financiamiento de obras para la PLM</w:t>
      </w:r>
      <w:bookmarkEnd w:id="5"/>
    </w:p>
    <w:p w:rsidR="005E739E" w:rsidRPr="005E739E" w:rsidRDefault="00766C24" w:rsidP="005E739E">
      <w:r w:rsidRPr="00766C24">
        <w:rPr>
          <w:noProof/>
          <w:lang w:val="es-ES_tradnl" w:eastAsia="es-ES_tradnl"/>
        </w:rPr>
        <w:drawing>
          <wp:inline distT="0" distB="0" distL="0" distR="0">
            <wp:extent cx="5612130" cy="1726435"/>
            <wp:effectExtent l="19050" t="0" r="7620" b="0"/>
            <wp:docPr id="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5612130" cy="1726435"/>
                    </a:xfrm>
                    <a:prstGeom prst="rect">
                      <a:avLst/>
                    </a:prstGeom>
                    <a:noFill/>
                    <a:ln w="9525">
                      <a:noFill/>
                      <a:miter lim="800000"/>
                      <a:headEnd/>
                      <a:tailEnd/>
                    </a:ln>
                  </pic:spPr>
                </pic:pic>
              </a:graphicData>
            </a:graphic>
          </wp:inline>
        </w:drawing>
      </w:r>
    </w:p>
    <w:p w:rsidR="009B480E" w:rsidRDefault="00E17EA4" w:rsidP="00F83C12">
      <w:pPr>
        <w:jc w:val="center"/>
        <w:rPr>
          <w:rFonts w:ascii="Arial" w:eastAsia="Times New Roman" w:hAnsi="Arial" w:cs="Times New Roman"/>
          <w:color w:val="000000"/>
          <w:sz w:val="18"/>
          <w:lang w:eastAsia="es-CO"/>
        </w:rPr>
      </w:pPr>
      <w:r w:rsidRPr="007B3ABE">
        <w:rPr>
          <w:rFonts w:ascii="Arial" w:eastAsia="Times New Roman" w:hAnsi="Arial" w:cs="Times New Roman"/>
          <w:color w:val="000000"/>
          <w:sz w:val="18"/>
          <w:lang w:eastAsia="es-CO"/>
        </w:rPr>
        <w:t xml:space="preserve">Fuente: </w:t>
      </w:r>
      <w:r w:rsidR="00F83C12">
        <w:rPr>
          <w:rFonts w:ascii="Arial" w:eastAsia="Times New Roman" w:hAnsi="Arial" w:cs="Times New Roman"/>
          <w:color w:val="000000"/>
          <w:sz w:val="18"/>
          <w:lang w:eastAsia="es-CO"/>
        </w:rPr>
        <w:t>EPMMQ</w:t>
      </w:r>
      <w:r w:rsidR="00766C24">
        <w:rPr>
          <w:rFonts w:ascii="Arial" w:eastAsia="Times New Roman" w:hAnsi="Arial" w:cs="Times New Roman"/>
          <w:color w:val="000000"/>
          <w:sz w:val="18"/>
          <w:lang w:eastAsia="es-CO"/>
        </w:rPr>
        <w:t>. Modelo Financiero</w:t>
      </w:r>
    </w:p>
    <w:p w:rsidR="00F83C12" w:rsidRPr="00F415D3" w:rsidRDefault="00F83C12" w:rsidP="00F83C12">
      <w:pPr>
        <w:jc w:val="center"/>
        <w:rPr>
          <w:rFonts w:ascii="Arial" w:hAnsi="Arial" w:cs="Arial"/>
        </w:rPr>
      </w:pPr>
    </w:p>
    <w:p w:rsidR="004062E1" w:rsidRPr="00265C71" w:rsidRDefault="00364B3B" w:rsidP="004062E1">
      <w:pPr>
        <w:rPr>
          <w:rFonts w:ascii="Arial" w:hAnsi="Arial" w:cs="Arial"/>
        </w:rPr>
      </w:pPr>
      <w:r w:rsidRPr="00265C71">
        <w:rPr>
          <w:rFonts w:ascii="Arial" w:hAnsi="Arial" w:cs="Arial"/>
        </w:rPr>
        <w:t>Con respecto al modelo financiero de la EPMMQ</w:t>
      </w:r>
      <w:r w:rsidR="00265C71" w:rsidRPr="00265C71">
        <w:rPr>
          <w:rFonts w:ascii="Arial" w:hAnsi="Arial" w:cs="Arial"/>
        </w:rPr>
        <w:t>,</w:t>
      </w:r>
      <w:r w:rsidRPr="00265C71">
        <w:rPr>
          <w:rFonts w:ascii="Arial" w:hAnsi="Arial" w:cs="Arial"/>
        </w:rPr>
        <w:t xml:space="preserve"> </w:t>
      </w:r>
      <w:r w:rsidR="00265C71" w:rsidRPr="00265C71">
        <w:rPr>
          <w:rFonts w:ascii="Arial" w:hAnsi="Arial" w:cs="Arial"/>
        </w:rPr>
        <w:t xml:space="preserve">debe señalarse que su </w:t>
      </w:r>
      <w:r w:rsidR="004062E1" w:rsidRPr="00265C71">
        <w:rPr>
          <w:rFonts w:ascii="Arial" w:hAnsi="Arial" w:cs="Arial"/>
        </w:rPr>
        <w:t>estructura es muy clara</w:t>
      </w:r>
      <w:r w:rsidR="00265C71" w:rsidRPr="00265C71">
        <w:rPr>
          <w:rFonts w:ascii="Arial" w:hAnsi="Arial" w:cs="Arial"/>
        </w:rPr>
        <w:t>.</w:t>
      </w:r>
      <w:r w:rsidR="004062E1" w:rsidRPr="00265C71">
        <w:rPr>
          <w:rFonts w:ascii="Arial" w:hAnsi="Arial" w:cs="Arial"/>
        </w:rPr>
        <w:t xml:space="preserve"> </w:t>
      </w:r>
      <w:r w:rsidR="00265C71" w:rsidRPr="00265C71">
        <w:rPr>
          <w:rFonts w:ascii="Arial" w:hAnsi="Arial" w:cs="Arial"/>
        </w:rPr>
        <w:t>S</w:t>
      </w:r>
      <w:r w:rsidR="004062E1" w:rsidRPr="00265C71">
        <w:rPr>
          <w:rFonts w:ascii="Arial" w:hAnsi="Arial" w:cs="Arial"/>
        </w:rPr>
        <w:t>in embargo es importante a</w:t>
      </w:r>
      <w:r w:rsidR="00265C71" w:rsidRPr="00265C71">
        <w:rPr>
          <w:rFonts w:ascii="Arial" w:hAnsi="Arial" w:cs="Arial"/>
        </w:rPr>
        <w:t>notar algunas observaciones:</w:t>
      </w:r>
    </w:p>
    <w:p w:rsidR="004062E1" w:rsidRPr="00265C71" w:rsidRDefault="004062E1" w:rsidP="004062E1">
      <w:pPr>
        <w:rPr>
          <w:rFonts w:ascii="Arial" w:hAnsi="Arial" w:cs="Arial"/>
        </w:rPr>
      </w:pPr>
    </w:p>
    <w:p w:rsidR="004062E1" w:rsidRPr="005C5D20" w:rsidRDefault="004062E1" w:rsidP="005C5D20">
      <w:pPr>
        <w:pStyle w:val="ListParagraph"/>
        <w:numPr>
          <w:ilvl w:val="0"/>
          <w:numId w:val="20"/>
        </w:numPr>
        <w:rPr>
          <w:rFonts w:ascii="Arial" w:hAnsi="Arial" w:cs="Arial"/>
        </w:rPr>
      </w:pPr>
      <w:r w:rsidRPr="005C5D20">
        <w:rPr>
          <w:rFonts w:ascii="Arial" w:hAnsi="Arial" w:cs="Arial"/>
        </w:rPr>
        <w:t>En el modelo no se calcula una tarifa técnica</w:t>
      </w:r>
      <w:r w:rsidR="00265C71" w:rsidRPr="005C5D20">
        <w:rPr>
          <w:rFonts w:ascii="Arial" w:hAnsi="Arial" w:cs="Arial"/>
        </w:rPr>
        <w:t xml:space="preserve"> de referencia (entendida como aquella </w:t>
      </w:r>
      <w:r w:rsidRPr="005C5D20">
        <w:rPr>
          <w:rFonts w:ascii="Arial" w:hAnsi="Arial" w:cs="Arial"/>
        </w:rPr>
        <w:t>que intrínsecamente cubre los costos de capital y operacionales</w:t>
      </w:r>
      <w:r w:rsidR="00265C71" w:rsidRPr="005C5D20">
        <w:rPr>
          <w:rFonts w:ascii="Arial" w:hAnsi="Arial" w:cs="Arial"/>
        </w:rPr>
        <w:t xml:space="preserve">) </w:t>
      </w:r>
      <w:r w:rsidRPr="005C5D20">
        <w:rPr>
          <w:rFonts w:ascii="Arial" w:hAnsi="Arial" w:cs="Arial"/>
        </w:rPr>
        <w:t>para determinar el cierre financiero del modelo</w:t>
      </w:r>
      <w:r w:rsidR="00265C71" w:rsidRPr="005C5D20">
        <w:rPr>
          <w:rStyle w:val="FootnoteReference"/>
          <w:rFonts w:ascii="Arial" w:hAnsi="Arial" w:cs="Arial"/>
        </w:rPr>
        <w:footnoteReference w:id="7"/>
      </w:r>
      <w:r w:rsidR="00265C71" w:rsidRPr="005C5D20">
        <w:rPr>
          <w:rFonts w:ascii="Arial" w:hAnsi="Arial" w:cs="Arial"/>
        </w:rPr>
        <w:t xml:space="preserve">. </w:t>
      </w:r>
      <w:r w:rsidR="005C5D20" w:rsidRPr="005C5D20">
        <w:rPr>
          <w:rFonts w:ascii="Arial" w:hAnsi="Arial" w:cs="Arial"/>
        </w:rPr>
        <w:t>L</w:t>
      </w:r>
      <w:r w:rsidRPr="005C5D20">
        <w:rPr>
          <w:rFonts w:ascii="Arial" w:hAnsi="Arial" w:cs="Arial"/>
        </w:rPr>
        <w:t xml:space="preserve">as aportaciones </w:t>
      </w:r>
      <w:r w:rsidR="005C5D20" w:rsidRPr="005C5D20">
        <w:rPr>
          <w:rFonts w:ascii="Arial" w:hAnsi="Arial" w:cs="Arial"/>
        </w:rPr>
        <w:t xml:space="preserve">ya sean del GN o del DMQ </w:t>
      </w:r>
      <w:r w:rsidRPr="005C5D20">
        <w:rPr>
          <w:rFonts w:ascii="Arial" w:hAnsi="Arial" w:cs="Arial"/>
        </w:rPr>
        <w:t>son exógenas al modelo</w:t>
      </w:r>
      <w:r w:rsidR="005C5D20" w:rsidRPr="005C5D20">
        <w:rPr>
          <w:rFonts w:ascii="Arial" w:hAnsi="Arial" w:cs="Arial"/>
        </w:rPr>
        <w:t>.</w:t>
      </w:r>
      <w:r w:rsidRPr="005C5D20">
        <w:rPr>
          <w:rFonts w:ascii="Arial" w:hAnsi="Arial" w:cs="Arial"/>
        </w:rPr>
        <w:t xml:space="preserve"> </w:t>
      </w:r>
    </w:p>
    <w:p w:rsidR="005C5D20" w:rsidRDefault="005C5D20" w:rsidP="005C5D20">
      <w:pPr>
        <w:rPr>
          <w:rFonts w:ascii="Arial" w:hAnsi="Arial" w:cs="Arial"/>
        </w:rPr>
      </w:pPr>
    </w:p>
    <w:p w:rsidR="004062E1" w:rsidRPr="005C5D20" w:rsidRDefault="005C5D20" w:rsidP="005C5D20">
      <w:pPr>
        <w:pStyle w:val="ListParagraph"/>
        <w:numPr>
          <w:ilvl w:val="0"/>
          <w:numId w:val="20"/>
        </w:numPr>
        <w:rPr>
          <w:rFonts w:ascii="Arial" w:hAnsi="Arial" w:cs="Arial"/>
        </w:rPr>
      </w:pPr>
      <w:r w:rsidRPr="005C5D20">
        <w:rPr>
          <w:rFonts w:ascii="Arial" w:hAnsi="Arial" w:cs="Arial"/>
        </w:rPr>
        <w:t xml:space="preserve">La tarifa </w:t>
      </w:r>
      <w:r w:rsidR="004062E1" w:rsidRPr="005C5D20">
        <w:rPr>
          <w:rFonts w:ascii="Arial" w:hAnsi="Arial" w:cs="Arial"/>
        </w:rPr>
        <w:t>se establece en un</w:t>
      </w:r>
      <w:r w:rsidR="008A631B">
        <w:rPr>
          <w:rFonts w:ascii="Arial" w:hAnsi="Arial" w:cs="Arial"/>
        </w:rPr>
        <w:t>a cifra específica</w:t>
      </w:r>
      <w:r w:rsidR="004062E1" w:rsidRPr="005C5D20">
        <w:rPr>
          <w:rFonts w:ascii="Arial" w:hAnsi="Arial" w:cs="Arial"/>
        </w:rPr>
        <w:t xml:space="preserve"> </w:t>
      </w:r>
      <w:r>
        <w:rPr>
          <w:rFonts w:ascii="Arial" w:hAnsi="Arial" w:cs="Arial"/>
        </w:rPr>
        <w:t>al inicio del periodo de análisis y crece</w:t>
      </w:r>
      <w:r w:rsidR="004062E1" w:rsidRPr="005C5D20">
        <w:rPr>
          <w:rFonts w:ascii="Arial" w:hAnsi="Arial" w:cs="Arial"/>
        </w:rPr>
        <w:t xml:space="preserve"> a razón de la inflación proyectada. Las aportaciones no son parte del cálculo del punto de equilibrio, por lo tanto no son una variable relevante en el cálculo del cierre financiero del modelo.</w:t>
      </w:r>
    </w:p>
    <w:p w:rsidR="004062E1" w:rsidRDefault="004062E1" w:rsidP="004062E1"/>
    <w:p w:rsidR="00732431" w:rsidRDefault="00732431" w:rsidP="00732431">
      <w:pPr>
        <w:rPr>
          <w:rFonts w:ascii="Arial" w:hAnsi="Arial" w:cs="Arial"/>
        </w:rPr>
      </w:pPr>
      <w:r>
        <w:rPr>
          <w:rFonts w:ascii="Arial" w:hAnsi="Arial" w:cs="Arial"/>
        </w:rPr>
        <w:t>El componente del GN (USD 749 millones) se financia con recursos propios de presupuesto nacional y créditos de la banca multilateral así:</w:t>
      </w:r>
    </w:p>
    <w:p w:rsidR="00732431" w:rsidRDefault="00732431" w:rsidP="00732431">
      <w:pPr>
        <w:rPr>
          <w:rFonts w:ascii="Arial" w:hAnsi="Arial" w:cs="Arial"/>
        </w:rPr>
      </w:pPr>
    </w:p>
    <w:p w:rsidR="00732431" w:rsidRDefault="00732431" w:rsidP="00732431">
      <w:pPr>
        <w:rPr>
          <w:rFonts w:ascii="Arial" w:hAnsi="Arial" w:cs="Arial"/>
        </w:rPr>
      </w:pPr>
    </w:p>
    <w:tbl>
      <w:tblPr>
        <w:tblStyle w:val="TableGrid"/>
        <w:tblW w:w="0" w:type="auto"/>
        <w:tblLook w:val="04A0" w:firstRow="1" w:lastRow="0" w:firstColumn="1" w:lastColumn="0" w:noHBand="0" w:noVBand="1"/>
      </w:tblPr>
      <w:tblGrid>
        <w:gridCol w:w="4489"/>
        <w:gridCol w:w="4489"/>
      </w:tblGrid>
      <w:tr w:rsidR="00732431" w:rsidTr="006B7E35">
        <w:tc>
          <w:tcPr>
            <w:tcW w:w="4489" w:type="dxa"/>
          </w:tcPr>
          <w:p w:rsidR="00732431" w:rsidRDefault="00732431" w:rsidP="006B7E35">
            <w:pPr>
              <w:rPr>
                <w:rFonts w:ascii="Arial" w:hAnsi="Arial" w:cs="Arial"/>
              </w:rPr>
            </w:pPr>
            <w:r>
              <w:rPr>
                <w:rFonts w:ascii="Arial" w:hAnsi="Arial" w:cs="Arial"/>
              </w:rPr>
              <w:t>Recursos propios de presupuesto</w:t>
            </w:r>
          </w:p>
        </w:tc>
        <w:tc>
          <w:tcPr>
            <w:tcW w:w="4489" w:type="dxa"/>
          </w:tcPr>
          <w:p w:rsidR="00732431" w:rsidRDefault="00732431" w:rsidP="006B7E35">
            <w:pPr>
              <w:jc w:val="right"/>
              <w:rPr>
                <w:rFonts w:ascii="Arial" w:hAnsi="Arial" w:cs="Arial"/>
              </w:rPr>
            </w:pPr>
            <w:r>
              <w:rPr>
                <w:rFonts w:ascii="Arial" w:hAnsi="Arial" w:cs="Arial"/>
              </w:rPr>
              <w:t>49 millones</w:t>
            </w:r>
          </w:p>
        </w:tc>
      </w:tr>
      <w:tr w:rsidR="00732431" w:rsidTr="006B7E35">
        <w:tc>
          <w:tcPr>
            <w:tcW w:w="4489" w:type="dxa"/>
          </w:tcPr>
          <w:p w:rsidR="00732431" w:rsidRDefault="00732431" w:rsidP="006B7E35">
            <w:pPr>
              <w:rPr>
                <w:rFonts w:ascii="Arial" w:hAnsi="Arial" w:cs="Arial"/>
              </w:rPr>
            </w:pPr>
            <w:r>
              <w:rPr>
                <w:rFonts w:ascii="Arial" w:hAnsi="Arial" w:cs="Arial"/>
              </w:rPr>
              <w:t>BEI</w:t>
            </w:r>
          </w:p>
        </w:tc>
        <w:tc>
          <w:tcPr>
            <w:tcW w:w="4489" w:type="dxa"/>
          </w:tcPr>
          <w:p w:rsidR="00732431" w:rsidRDefault="00732431" w:rsidP="006B7E35">
            <w:pPr>
              <w:jc w:val="right"/>
              <w:rPr>
                <w:rFonts w:ascii="Arial" w:hAnsi="Arial" w:cs="Arial"/>
              </w:rPr>
            </w:pPr>
            <w:r>
              <w:rPr>
                <w:rFonts w:ascii="Arial" w:hAnsi="Arial" w:cs="Arial"/>
              </w:rPr>
              <w:t>250 millones</w:t>
            </w:r>
          </w:p>
        </w:tc>
      </w:tr>
      <w:tr w:rsidR="00732431" w:rsidTr="006B7E35">
        <w:tc>
          <w:tcPr>
            <w:tcW w:w="4489" w:type="dxa"/>
          </w:tcPr>
          <w:p w:rsidR="00732431" w:rsidRDefault="00732431" w:rsidP="006B7E35">
            <w:pPr>
              <w:rPr>
                <w:rFonts w:ascii="Arial" w:hAnsi="Arial" w:cs="Arial"/>
              </w:rPr>
            </w:pPr>
            <w:r>
              <w:rPr>
                <w:rFonts w:ascii="Arial" w:hAnsi="Arial" w:cs="Arial"/>
              </w:rPr>
              <w:t>BID</w:t>
            </w:r>
          </w:p>
        </w:tc>
        <w:tc>
          <w:tcPr>
            <w:tcW w:w="4489" w:type="dxa"/>
          </w:tcPr>
          <w:p w:rsidR="00732431" w:rsidRDefault="00732431" w:rsidP="006B7E35">
            <w:pPr>
              <w:jc w:val="right"/>
              <w:rPr>
                <w:rFonts w:ascii="Arial" w:hAnsi="Arial" w:cs="Arial"/>
              </w:rPr>
            </w:pPr>
            <w:r>
              <w:rPr>
                <w:rFonts w:ascii="Arial" w:hAnsi="Arial" w:cs="Arial"/>
              </w:rPr>
              <w:t>200 millones</w:t>
            </w:r>
          </w:p>
        </w:tc>
      </w:tr>
      <w:tr w:rsidR="00732431" w:rsidTr="006B7E35">
        <w:tc>
          <w:tcPr>
            <w:tcW w:w="4489" w:type="dxa"/>
          </w:tcPr>
          <w:p w:rsidR="00732431" w:rsidRDefault="00732431" w:rsidP="006B7E35">
            <w:pPr>
              <w:rPr>
                <w:rFonts w:ascii="Arial" w:hAnsi="Arial" w:cs="Arial"/>
              </w:rPr>
            </w:pPr>
            <w:r>
              <w:rPr>
                <w:rFonts w:ascii="Arial" w:hAnsi="Arial" w:cs="Arial"/>
              </w:rPr>
              <w:t>CAF</w:t>
            </w:r>
          </w:p>
        </w:tc>
        <w:tc>
          <w:tcPr>
            <w:tcW w:w="4489" w:type="dxa"/>
          </w:tcPr>
          <w:p w:rsidR="00732431" w:rsidRDefault="00732431" w:rsidP="006B7E35">
            <w:pPr>
              <w:jc w:val="right"/>
              <w:rPr>
                <w:rFonts w:ascii="Arial" w:hAnsi="Arial" w:cs="Arial"/>
              </w:rPr>
            </w:pPr>
            <w:r>
              <w:rPr>
                <w:rFonts w:ascii="Arial" w:hAnsi="Arial" w:cs="Arial"/>
              </w:rPr>
              <w:t>250 millones</w:t>
            </w:r>
          </w:p>
        </w:tc>
      </w:tr>
      <w:tr w:rsidR="00732431" w:rsidTr="006B7E35">
        <w:tc>
          <w:tcPr>
            <w:tcW w:w="4489" w:type="dxa"/>
          </w:tcPr>
          <w:p w:rsidR="00732431" w:rsidRDefault="00732431" w:rsidP="006B7E35">
            <w:pPr>
              <w:rPr>
                <w:rFonts w:ascii="Arial" w:hAnsi="Arial" w:cs="Arial"/>
              </w:rPr>
            </w:pPr>
            <w:r>
              <w:rPr>
                <w:rFonts w:ascii="Arial" w:hAnsi="Arial" w:cs="Arial"/>
              </w:rPr>
              <w:t>Total</w:t>
            </w:r>
          </w:p>
        </w:tc>
        <w:tc>
          <w:tcPr>
            <w:tcW w:w="4489" w:type="dxa"/>
          </w:tcPr>
          <w:p w:rsidR="00732431" w:rsidRDefault="00732431" w:rsidP="006B7E35">
            <w:pPr>
              <w:jc w:val="right"/>
              <w:rPr>
                <w:rFonts w:ascii="Arial" w:hAnsi="Arial" w:cs="Arial"/>
              </w:rPr>
            </w:pPr>
            <w:r>
              <w:rPr>
                <w:rFonts w:ascii="Arial" w:hAnsi="Arial" w:cs="Arial"/>
              </w:rPr>
              <w:t>749 millones</w:t>
            </w:r>
          </w:p>
        </w:tc>
      </w:tr>
    </w:tbl>
    <w:p w:rsidR="00732431" w:rsidRPr="00715A12" w:rsidRDefault="00732431" w:rsidP="00732431">
      <w:pPr>
        <w:jc w:val="center"/>
        <w:rPr>
          <w:rFonts w:ascii="Arial" w:hAnsi="Arial" w:cs="Arial"/>
          <w:sz w:val="18"/>
          <w:szCs w:val="18"/>
        </w:rPr>
      </w:pPr>
      <w:r w:rsidRPr="00715A12">
        <w:rPr>
          <w:rFonts w:ascii="Arial" w:hAnsi="Arial" w:cs="Arial"/>
          <w:sz w:val="18"/>
          <w:szCs w:val="18"/>
        </w:rPr>
        <w:t>Fuente: Tabla 1</w:t>
      </w:r>
    </w:p>
    <w:p w:rsidR="00732431" w:rsidRDefault="00732431" w:rsidP="00732431">
      <w:pPr>
        <w:rPr>
          <w:rFonts w:ascii="Arial" w:hAnsi="Arial" w:cs="Arial"/>
        </w:rPr>
      </w:pPr>
    </w:p>
    <w:p w:rsidR="00732431" w:rsidRDefault="00732431" w:rsidP="00732431">
      <w:pPr>
        <w:rPr>
          <w:rFonts w:ascii="Arial" w:hAnsi="Arial" w:cs="Arial"/>
        </w:rPr>
      </w:pPr>
      <w:r>
        <w:rPr>
          <w:rFonts w:ascii="Arial" w:hAnsi="Arial" w:cs="Arial"/>
        </w:rPr>
        <w:t>El componente del DMQ (USD 749 millones)  por su parte, se financia con recursos propios de presupuesto municipal, crédito de proveedores y crédito del BIESS así:</w:t>
      </w:r>
    </w:p>
    <w:p w:rsidR="00732431" w:rsidRDefault="00732431" w:rsidP="00732431">
      <w:pPr>
        <w:rPr>
          <w:rFonts w:ascii="Arial" w:hAnsi="Arial" w:cs="Arial"/>
        </w:rPr>
      </w:pPr>
    </w:p>
    <w:p w:rsidR="00732431" w:rsidRDefault="00732431" w:rsidP="00732431">
      <w:pPr>
        <w:rPr>
          <w:rFonts w:ascii="Arial" w:hAnsi="Arial" w:cs="Arial"/>
        </w:rPr>
      </w:pPr>
    </w:p>
    <w:tbl>
      <w:tblPr>
        <w:tblStyle w:val="TableGrid"/>
        <w:tblW w:w="0" w:type="auto"/>
        <w:tblLook w:val="04A0" w:firstRow="1" w:lastRow="0" w:firstColumn="1" w:lastColumn="0" w:noHBand="0" w:noVBand="1"/>
      </w:tblPr>
      <w:tblGrid>
        <w:gridCol w:w="4489"/>
        <w:gridCol w:w="4489"/>
      </w:tblGrid>
      <w:tr w:rsidR="00732431" w:rsidTr="006B7E35">
        <w:tc>
          <w:tcPr>
            <w:tcW w:w="4489" w:type="dxa"/>
          </w:tcPr>
          <w:p w:rsidR="00732431" w:rsidRDefault="00732431" w:rsidP="006B7E35">
            <w:pPr>
              <w:rPr>
                <w:rFonts w:ascii="Arial" w:hAnsi="Arial" w:cs="Arial"/>
              </w:rPr>
            </w:pPr>
            <w:r>
              <w:rPr>
                <w:rFonts w:ascii="Arial" w:hAnsi="Arial" w:cs="Arial"/>
              </w:rPr>
              <w:t>Recursos propios de presupuesto</w:t>
            </w:r>
          </w:p>
        </w:tc>
        <w:tc>
          <w:tcPr>
            <w:tcW w:w="4489" w:type="dxa"/>
          </w:tcPr>
          <w:p w:rsidR="00732431" w:rsidRDefault="00732431" w:rsidP="006B7E35">
            <w:pPr>
              <w:jc w:val="right"/>
              <w:rPr>
                <w:rFonts w:ascii="Arial" w:hAnsi="Arial" w:cs="Arial"/>
              </w:rPr>
            </w:pPr>
            <w:r>
              <w:rPr>
                <w:rFonts w:ascii="Arial" w:hAnsi="Arial" w:cs="Arial"/>
              </w:rPr>
              <w:t>200 millones</w:t>
            </w:r>
          </w:p>
        </w:tc>
      </w:tr>
      <w:tr w:rsidR="00732431" w:rsidTr="006B7E35">
        <w:tc>
          <w:tcPr>
            <w:tcW w:w="4489" w:type="dxa"/>
          </w:tcPr>
          <w:p w:rsidR="00732431" w:rsidRDefault="00732431" w:rsidP="006B7E35">
            <w:pPr>
              <w:rPr>
                <w:rFonts w:ascii="Arial" w:hAnsi="Arial" w:cs="Arial"/>
              </w:rPr>
            </w:pPr>
            <w:r>
              <w:rPr>
                <w:rFonts w:ascii="Arial" w:hAnsi="Arial" w:cs="Arial"/>
              </w:rPr>
              <w:t>Proveedores</w:t>
            </w:r>
          </w:p>
        </w:tc>
        <w:tc>
          <w:tcPr>
            <w:tcW w:w="4489" w:type="dxa"/>
          </w:tcPr>
          <w:p w:rsidR="00732431" w:rsidRDefault="00732431" w:rsidP="006B7E35">
            <w:pPr>
              <w:jc w:val="right"/>
              <w:rPr>
                <w:rFonts w:ascii="Arial" w:hAnsi="Arial" w:cs="Arial"/>
              </w:rPr>
            </w:pPr>
            <w:r>
              <w:rPr>
                <w:rFonts w:ascii="Arial" w:hAnsi="Arial" w:cs="Arial"/>
              </w:rPr>
              <w:t>193 millones</w:t>
            </w:r>
          </w:p>
        </w:tc>
      </w:tr>
      <w:tr w:rsidR="00732431" w:rsidTr="006B7E35">
        <w:tc>
          <w:tcPr>
            <w:tcW w:w="4489" w:type="dxa"/>
          </w:tcPr>
          <w:p w:rsidR="00732431" w:rsidRDefault="00732431" w:rsidP="006B7E35">
            <w:pPr>
              <w:rPr>
                <w:rFonts w:ascii="Arial" w:hAnsi="Arial" w:cs="Arial"/>
              </w:rPr>
            </w:pPr>
            <w:r>
              <w:rPr>
                <w:rFonts w:ascii="Arial" w:hAnsi="Arial" w:cs="Arial"/>
              </w:rPr>
              <w:t>BIESS</w:t>
            </w:r>
          </w:p>
        </w:tc>
        <w:tc>
          <w:tcPr>
            <w:tcW w:w="4489" w:type="dxa"/>
          </w:tcPr>
          <w:p w:rsidR="00732431" w:rsidRDefault="00732431" w:rsidP="006B7E35">
            <w:pPr>
              <w:jc w:val="right"/>
              <w:rPr>
                <w:rFonts w:ascii="Arial" w:hAnsi="Arial" w:cs="Arial"/>
              </w:rPr>
            </w:pPr>
            <w:r>
              <w:rPr>
                <w:rFonts w:ascii="Arial" w:hAnsi="Arial" w:cs="Arial"/>
              </w:rPr>
              <w:t>357 millones</w:t>
            </w:r>
          </w:p>
        </w:tc>
      </w:tr>
      <w:tr w:rsidR="00732431" w:rsidTr="006B7E35">
        <w:tc>
          <w:tcPr>
            <w:tcW w:w="4489" w:type="dxa"/>
          </w:tcPr>
          <w:p w:rsidR="00732431" w:rsidRDefault="00732431" w:rsidP="006B7E35">
            <w:pPr>
              <w:rPr>
                <w:rFonts w:ascii="Arial" w:hAnsi="Arial" w:cs="Arial"/>
              </w:rPr>
            </w:pPr>
            <w:r>
              <w:rPr>
                <w:rFonts w:ascii="Arial" w:hAnsi="Arial" w:cs="Arial"/>
              </w:rPr>
              <w:t>Total</w:t>
            </w:r>
          </w:p>
        </w:tc>
        <w:tc>
          <w:tcPr>
            <w:tcW w:w="4489" w:type="dxa"/>
          </w:tcPr>
          <w:p w:rsidR="00732431" w:rsidRDefault="00732431" w:rsidP="006B7E35">
            <w:pPr>
              <w:jc w:val="right"/>
              <w:rPr>
                <w:rFonts w:ascii="Arial" w:hAnsi="Arial" w:cs="Arial"/>
              </w:rPr>
            </w:pPr>
            <w:r>
              <w:rPr>
                <w:rFonts w:ascii="Arial" w:hAnsi="Arial" w:cs="Arial"/>
              </w:rPr>
              <w:t>749 millones</w:t>
            </w:r>
          </w:p>
        </w:tc>
      </w:tr>
    </w:tbl>
    <w:p w:rsidR="00732431" w:rsidRPr="00715A12" w:rsidRDefault="00732431" w:rsidP="00732431">
      <w:pPr>
        <w:jc w:val="center"/>
        <w:rPr>
          <w:rFonts w:ascii="Arial" w:hAnsi="Arial" w:cs="Arial"/>
          <w:sz w:val="18"/>
          <w:szCs w:val="18"/>
        </w:rPr>
      </w:pPr>
      <w:r w:rsidRPr="00715A12">
        <w:rPr>
          <w:rFonts w:ascii="Arial" w:hAnsi="Arial" w:cs="Arial"/>
          <w:sz w:val="18"/>
          <w:szCs w:val="18"/>
        </w:rPr>
        <w:t>Fuente: Tabla 1</w:t>
      </w:r>
    </w:p>
    <w:p w:rsidR="00732431" w:rsidRDefault="00732431" w:rsidP="00732431">
      <w:pPr>
        <w:rPr>
          <w:rFonts w:ascii="Arial" w:hAnsi="Arial" w:cs="Arial"/>
        </w:rPr>
      </w:pPr>
    </w:p>
    <w:p w:rsidR="00732431" w:rsidRDefault="00732431" w:rsidP="00732431">
      <w:pPr>
        <w:rPr>
          <w:rFonts w:ascii="Arial" w:hAnsi="Arial" w:cs="Arial"/>
        </w:rPr>
      </w:pPr>
      <w:r>
        <w:rPr>
          <w:rFonts w:ascii="Arial" w:hAnsi="Arial" w:cs="Arial"/>
        </w:rPr>
        <w:t>Los recursos propios de presupuesto del DMQ se discriminan entre recursos directos  del presupuesto (USD 120 millones) y recursos provenientes de la titularización del nuevo aeropuerto de internacional de Quito (USD 80 millones). El DMQ ha realizado diversos análisis que permiten entrever la viabilidad de este compromiso</w:t>
      </w:r>
      <w:r>
        <w:rPr>
          <w:rStyle w:val="FootnoteReference"/>
          <w:rFonts w:ascii="Arial" w:hAnsi="Arial" w:cs="Arial"/>
        </w:rPr>
        <w:footnoteReference w:id="8"/>
      </w:r>
      <w:r>
        <w:rPr>
          <w:rFonts w:ascii="Arial" w:hAnsi="Arial" w:cs="Arial"/>
        </w:rPr>
        <w:t>.</w:t>
      </w:r>
    </w:p>
    <w:p w:rsidR="005C5D20" w:rsidRPr="006B7E35" w:rsidRDefault="005C5D20" w:rsidP="004062E1">
      <w:pPr>
        <w:rPr>
          <w:rFonts w:ascii="Arial" w:hAnsi="Arial" w:cs="Arial"/>
        </w:rPr>
      </w:pPr>
    </w:p>
    <w:p w:rsidR="005C5D20" w:rsidRDefault="006B7E35" w:rsidP="004062E1">
      <w:pPr>
        <w:rPr>
          <w:rFonts w:ascii="Arial" w:hAnsi="Arial" w:cs="Arial"/>
        </w:rPr>
      </w:pPr>
      <w:r w:rsidRPr="006B7E35">
        <w:rPr>
          <w:rFonts w:ascii="Arial" w:hAnsi="Arial" w:cs="Arial"/>
        </w:rPr>
        <w:t>Los recursos del GN (recursos propios, BID, CAF y BEI) se consideran dentro del análisis financiero como un recurso que entra e sale</w:t>
      </w:r>
      <w:r>
        <w:rPr>
          <w:rFonts w:ascii="Arial" w:hAnsi="Arial" w:cs="Arial"/>
        </w:rPr>
        <w:t xml:space="preserve"> y en consecuencia, no afectan el flujo del proyecto desde el punto de vista del DMQ y la EPMMQ.</w:t>
      </w:r>
    </w:p>
    <w:p w:rsidR="006B7E35" w:rsidRDefault="006B7E35" w:rsidP="004062E1">
      <w:pPr>
        <w:rPr>
          <w:rFonts w:ascii="Arial" w:hAnsi="Arial" w:cs="Arial"/>
        </w:rPr>
      </w:pPr>
    </w:p>
    <w:p w:rsidR="006B7E35" w:rsidRPr="006B7E35" w:rsidRDefault="006B7E35" w:rsidP="004062E1">
      <w:pPr>
        <w:rPr>
          <w:rFonts w:ascii="Arial" w:hAnsi="Arial" w:cs="Arial"/>
        </w:rPr>
      </w:pPr>
      <w:r>
        <w:rPr>
          <w:rFonts w:ascii="Arial" w:hAnsi="Arial" w:cs="Arial"/>
        </w:rPr>
        <w:t>El modelo financiero parte de la identificación de unos parámetros fijos y parámetros en el tiempo (para proyecciones), define las características del proyecto, el cronograma de inversiones, la estructura de financiamiento, los ingresos, el cálculo de los costos de operación – mantenimiento, los costos salariales, el flujo operativo de recursos, la estimación el servicio de deuda, el flujo de recursos definitivo, el cálculo de puntos de equilibrio y una sensibilidad.</w:t>
      </w:r>
    </w:p>
    <w:p w:rsidR="005C5D20" w:rsidRPr="006B7E35" w:rsidRDefault="005C5D20" w:rsidP="004062E1">
      <w:pPr>
        <w:rPr>
          <w:rFonts w:ascii="Arial" w:hAnsi="Arial" w:cs="Arial"/>
        </w:rPr>
      </w:pPr>
    </w:p>
    <w:p w:rsidR="005C5D20" w:rsidRDefault="00C335C9" w:rsidP="004062E1">
      <w:pPr>
        <w:rPr>
          <w:rFonts w:ascii="Arial" w:hAnsi="Arial" w:cs="Arial"/>
        </w:rPr>
      </w:pPr>
      <w:r>
        <w:rPr>
          <w:rFonts w:ascii="Arial" w:hAnsi="Arial" w:cs="Arial"/>
        </w:rPr>
        <w:t xml:space="preserve">El resultado del modelo se traduce en un flujo de recursos </w:t>
      </w:r>
      <w:r w:rsidR="00111A3F">
        <w:rPr>
          <w:rFonts w:ascii="Arial" w:hAnsi="Arial" w:cs="Arial"/>
        </w:rPr>
        <w:t xml:space="preserve">anual y acumulado luego de considerar las inversiones, los ingresos </w:t>
      </w:r>
      <w:r w:rsidR="00E7365D">
        <w:rPr>
          <w:rFonts w:ascii="Arial" w:hAnsi="Arial" w:cs="Arial"/>
        </w:rPr>
        <w:t xml:space="preserve">(por pasajeros, comerciales y CRE) </w:t>
      </w:r>
      <w:r w:rsidR="00111A3F">
        <w:rPr>
          <w:rFonts w:ascii="Arial" w:hAnsi="Arial" w:cs="Arial"/>
        </w:rPr>
        <w:t>y gastos operativos</w:t>
      </w:r>
      <w:r w:rsidR="00E7365D">
        <w:rPr>
          <w:rFonts w:ascii="Arial" w:hAnsi="Arial" w:cs="Arial"/>
        </w:rPr>
        <w:t>/explotación</w:t>
      </w:r>
      <w:r w:rsidR="00E7365D">
        <w:rPr>
          <w:rStyle w:val="FootnoteReference"/>
          <w:rFonts w:ascii="Arial" w:hAnsi="Arial" w:cs="Arial"/>
        </w:rPr>
        <w:footnoteReference w:id="9"/>
      </w:r>
      <w:r w:rsidR="00111A3F">
        <w:rPr>
          <w:rFonts w:ascii="Arial" w:hAnsi="Arial" w:cs="Arial"/>
        </w:rPr>
        <w:t>. Con la tarifa planteada por la EPMMQ el resultado que se obtiene es un</w:t>
      </w:r>
      <w:r w:rsidR="000343FF">
        <w:rPr>
          <w:rFonts w:ascii="Arial" w:hAnsi="Arial" w:cs="Arial"/>
        </w:rPr>
        <w:t xml:space="preserve"> flujo con superávit</w:t>
      </w:r>
      <w:r w:rsidR="00E7365D">
        <w:rPr>
          <w:rFonts w:ascii="Arial" w:hAnsi="Arial" w:cs="Arial"/>
        </w:rPr>
        <w:t>/</w:t>
      </w:r>
      <w:r w:rsidR="00E6706D">
        <w:rPr>
          <w:rFonts w:ascii="Arial" w:hAnsi="Arial" w:cs="Arial"/>
        </w:rPr>
        <w:t>déficit</w:t>
      </w:r>
      <w:r w:rsidR="000343FF">
        <w:rPr>
          <w:rFonts w:ascii="Arial" w:hAnsi="Arial" w:cs="Arial"/>
        </w:rPr>
        <w:t xml:space="preserve"> en algunos </w:t>
      </w:r>
      <w:r w:rsidR="00E7365D">
        <w:rPr>
          <w:rFonts w:ascii="Arial" w:hAnsi="Arial" w:cs="Arial"/>
        </w:rPr>
        <w:t xml:space="preserve">periodos y un flujo acumulado que pasa de </w:t>
      </w:r>
      <w:r w:rsidR="00E7365D">
        <w:rPr>
          <w:rFonts w:ascii="Arial" w:hAnsi="Arial" w:cs="Arial"/>
        </w:rPr>
        <w:lastRenderedPageBreak/>
        <w:t>USD 2 millones en 2016 a  USD 219 millones en 2045, tal como se detalla a continuación, para años seleccionados.</w:t>
      </w:r>
    </w:p>
    <w:p w:rsidR="000343FF" w:rsidRDefault="000343FF" w:rsidP="004062E1">
      <w:pPr>
        <w:rPr>
          <w:rFonts w:ascii="Arial" w:hAnsi="Arial" w:cs="Arial"/>
        </w:rPr>
      </w:pPr>
    </w:p>
    <w:p w:rsidR="000343FF" w:rsidRDefault="000343FF" w:rsidP="004062E1">
      <w:pPr>
        <w:rPr>
          <w:rFonts w:ascii="Arial" w:hAnsi="Arial" w:cs="Arial"/>
        </w:rPr>
      </w:pPr>
    </w:p>
    <w:tbl>
      <w:tblPr>
        <w:tblW w:w="3960" w:type="dxa"/>
        <w:jc w:val="center"/>
        <w:tblInd w:w="55" w:type="dxa"/>
        <w:tblCellMar>
          <w:left w:w="70" w:type="dxa"/>
          <w:right w:w="70" w:type="dxa"/>
        </w:tblCellMar>
        <w:tblLook w:val="04A0" w:firstRow="1" w:lastRow="0" w:firstColumn="1" w:lastColumn="0" w:noHBand="0" w:noVBand="1"/>
      </w:tblPr>
      <w:tblGrid>
        <w:gridCol w:w="1320"/>
        <w:gridCol w:w="1320"/>
        <w:gridCol w:w="1320"/>
      </w:tblGrid>
      <w:tr w:rsidR="000343FF" w:rsidRPr="000343FF" w:rsidTr="000343FF">
        <w:trPr>
          <w:trHeight w:val="300"/>
          <w:jc w:val="center"/>
        </w:trPr>
        <w:tc>
          <w:tcPr>
            <w:tcW w:w="132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bottom"/>
            <w:hideMark/>
          </w:tcPr>
          <w:p w:rsidR="000343FF" w:rsidRPr="000343FF" w:rsidRDefault="000343FF" w:rsidP="000343FF">
            <w:pPr>
              <w:jc w:val="center"/>
              <w:rPr>
                <w:rFonts w:ascii="Calibri" w:eastAsia="Times New Roman" w:hAnsi="Calibri" w:cs="Times New Roman"/>
                <w:color w:val="000000"/>
                <w:lang w:eastAsia="es-CO"/>
              </w:rPr>
            </w:pPr>
            <w:r>
              <w:rPr>
                <w:rFonts w:ascii="Calibri" w:eastAsia="Times New Roman" w:hAnsi="Calibri" w:cs="Times New Roman"/>
                <w:color w:val="000000"/>
                <w:lang w:eastAsia="es-CO"/>
              </w:rPr>
              <w:t>Año</w:t>
            </w:r>
          </w:p>
        </w:tc>
        <w:tc>
          <w:tcPr>
            <w:tcW w:w="1320" w:type="dxa"/>
            <w:tcBorders>
              <w:top w:val="single" w:sz="4" w:space="0" w:color="auto"/>
              <w:left w:val="nil"/>
              <w:bottom w:val="single" w:sz="4" w:space="0" w:color="auto"/>
              <w:right w:val="single" w:sz="4" w:space="0" w:color="auto"/>
            </w:tcBorders>
            <w:shd w:val="clear" w:color="auto" w:fill="DBE5F1" w:themeFill="accent1" w:themeFillTint="33"/>
            <w:noWrap/>
            <w:vAlign w:val="bottom"/>
            <w:hideMark/>
          </w:tcPr>
          <w:p w:rsidR="000343FF" w:rsidRPr="000343FF" w:rsidRDefault="000343FF" w:rsidP="000343FF">
            <w:pPr>
              <w:jc w:val="center"/>
              <w:rPr>
                <w:rFonts w:ascii="Calibri" w:eastAsia="Times New Roman" w:hAnsi="Calibri" w:cs="Times New Roman"/>
                <w:color w:val="000000"/>
                <w:lang w:eastAsia="es-CO"/>
              </w:rPr>
            </w:pPr>
            <w:r>
              <w:rPr>
                <w:rFonts w:ascii="Calibri" w:eastAsia="Times New Roman" w:hAnsi="Calibri" w:cs="Times New Roman"/>
                <w:color w:val="000000"/>
                <w:lang w:eastAsia="es-CO"/>
              </w:rPr>
              <w:t>Flujo periodo</w:t>
            </w:r>
          </w:p>
        </w:tc>
        <w:tc>
          <w:tcPr>
            <w:tcW w:w="1320" w:type="dxa"/>
            <w:tcBorders>
              <w:top w:val="single" w:sz="4" w:space="0" w:color="auto"/>
              <w:left w:val="nil"/>
              <w:bottom w:val="single" w:sz="4" w:space="0" w:color="auto"/>
              <w:right w:val="single" w:sz="4" w:space="0" w:color="auto"/>
            </w:tcBorders>
            <w:shd w:val="clear" w:color="auto" w:fill="DBE5F1" w:themeFill="accent1" w:themeFillTint="33"/>
            <w:noWrap/>
            <w:vAlign w:val="bottom"/>
            <w:hideMark/>
          </w:tcPr>
          <w:p w:rsidR="000343FF" w:rsidRPr="000343FF" w:rsidRDefault="000343FF" w:rsidP="000343FF">
            <w:pPr>
              <w:jc w:val="center"/>
              <w:rPr>
                <w:rFonts w:ascii="Calibri" w:eastAsia="Times New Roman" w:hAnsi="Calibri" w:cs="Times New Roman"/>
                <w:color w:val="000000"/>
                <w:lang w:eastAsia="es-CO"/>
              </w:rPr>
            </w:pPr>
            <w:r>
              <w:rPr>
                <w:rFonts w:ascii="Calibri" w:eastAsia="Times New Roman" w:hAnsi="Calibri" w:cs="Times New Roman"/>
                <w:color w:val="000000"/>
                <w:lang w:eastAsia="es-CO"/>
              </w:rPr>
              <w:t>Flujo acumulado</w:t>
            </w:r>
          </w:p>
        </w:tc>
      </w:tr>
      <w:tr w:rsidR="000343FF" w:rsidRPr="000343FF" w:rsidTr="000343FF">
        <w:trPr>
          <w:trHeight w:val="300"/>
          <w:jc w:val="center"/>
        </w:trPr>
        <w:tc>
          <w:tcPr>
            <w:tcW w:w="13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343FF" w:rsidRPr="000343FF" w:rsidRDefault="000343FF" w:rsidP="000343FF">
            <w:pPr>
              <w:jc w:val="right"/>
              <w:rPr>
                <w:rFonts w:ascii="Calibri" w:eastAsia="Times New Roman" w:hAnsi="Calibri" w:cs="Times New Roman"/>
                <w:color w:val="000000"/>
                <w:lang w:eastAsia="es-CO"/>
              </w:rPr>
            </w:pPr>
            <w:r w:rsidRPr="000343FF">
              <w:rPr>
                <w:rFonts w:ascii="Calibri" w:eastAsia="Times New Roman" w:hAnsi="Calibri" w:cs="Times New Roman"/>
                <w:color w:val="000000"/>
                <w:lang w:eastAsia="es-CO"/>
              </w:rPr>
              <w:t>2016</w:t>
            </w:r>
          </w:p>
        </w:tc>
        <w:tc>
          <w:tcPr>
            <w:tcW w:w="1320" w:type="dxa"/>
            <w:tcBorders>
              <w:top w:val="single" w:sz="4" w:space="0" w:color="auto"/>
              <w:left w:val="nil"/>
              <w:bottom w:val="single" w:sz="4" w:space="0" w:color="auto"/>
              <w:right w:val="single" w:sz="4" w:space="0" w:color="auto"/>
            </w:tcBorders>
            <w:shd w:val="clear" w:color="auto" w:fill="auto"/>
            <w:noWrap/>
            <w:vAlign w:val="bottom"/>
            <w:hideMark/>
          </w:tcPr>
          <w:p w:rsidR="000343FF" w:rsidRPr="000343FF" w:rsidRDefault="000343FF" w:rsidP="000343FF">
            <w:pPr>
              <w:jc w:val="right"/>
              <w:rPr>
                <w:rFonts w:ascii="Calibri" w:eastAsia="Times New Roman" w:hAnsi="Calibri" w:cs="Times New Roman"/>
                <w:color w:val="000000"/>
                <w:lang w:eastAsia="es-CO"/>
              </w:rPr>
            </w:pPr>
            <w:r w:rsidRPr="000343FF">
              <w:rPr>
                <w:rFonts w:ascii="Calibri" w:eastAsia="Times New Roman" w:hAnsi="Calibri" w:cs="Times New Roman"/>
                <w:color w:val="000000"/>
                <w:lang w:eastAsia="es-CO"/>
              </w:rPr>
              <w:t>2.063.593</w:t>
            </w:r>
          </w:p>
        </w:tc>
        <w:tc>
          <w:tcPr>
            <w:tcW w:w="1320" w:type="dxa"/>
            <w:tcBorders>
              <w:top w:val="single" w:sz="4" w:space="0" w:color="auto"/>
              <w:left w:val="nil"/>
              <w:bottom w:val="single" w:sz="4" w:space="0" w:color="auto"/>
              <w:right w:val="single" w:sz="4" w:space="0" w:color="auto"/>
            </w:tcBorders>
            <w:shd w:val="clear" w:color="auto" w:fill="auto"/>
            <w:noWrap/>
            <w:vAlign w:val="bottom"/>
            <w:hideMark/>
          </w:tcPr>
          <w:p w:rsidR="000343FF" w:rsidRPr="000343FF" w:rsidRDefault="000343FF" w:rsidP="000343FF">
            <w:pPr>
              <w:jc w:val="right"/>
              <w:rPr>
                <w:rFonts w:ascii="Calibri" w:eastAsia="Times New Roman" w:hAnsi="Calibri" w:cs="Times New Roman"/>
                <w:color w:val="000000"/>
                <w:lang w:eastAsia="es-CO"/>
              </w:rPr>
            </w:pPr>
            <w:r w:rsidRPr="000343FF">
              <w:rPr>
                <w:rFonts w:ascii="Calibri" w:eastAsia="Times New Roman" w:hAnsi="Calibri" w:cs="Times New Roman"/>
                <w:color w:val="000000"/>
                <w:lang w:eastAsia="es-CO"/>
              </w:rPr>
              <w:t>2.063.593</w:t>
            </w:r>
          </w:p>
        </w:tc>
      </w:tr>
      <w:tr w:rsidR="000343FF" w:rsidRPr="000343FF" w:rsidTr="000343FF">
        <w:trPr>
          <w:trHeight w:val="300"/>
          <w:jc w:val="center"/>
        </w:trPr>
        <w:tc>
          <w:tcPr>
            <w:tcW w:w="1320" w:type="dxa"/>
            <w:tcBorders>
              <w:top w:val="nil"/>
              <w:left w:val="single" w:sz="4" w:space="0" w:color="auto"/>
              <w:bottom w:val="single" w:sz="4" w:space="0" w:color="auto"/>
              <w:right w:val="single" w:sz="4" w:space="0" w:color="auto"/>
            </w:tcBorders>
            <w:shd w:val="clear" w:color="auto" w:fill="auto"/>
            <w:noWrap/>
            <w:vAlign w:val="bottom"/>
            <w:hideMark/>
          </w:tcPr>
          <w:p w:rsidR="000343FF" w:rsidRPr="000343FF" w:rsidRDefault="000343FF" w:rsidP="000343FF">
            <w:pPr>
              <w:jc w:val="left"/>
              <w:rPr>
                <w:rFonts w:ascii="Calibri" w:eastAsia="Times New Roman" w:hAnsi="Calibri" w:cs="Times New Roman"/>
                <w:color w:val="000000"/>
                <w:lang w:eastAsia="es-CO"/>
              </w:rPr>
            </w:pPr>
            <w:r w:rsidRPr="000343FF">
              <w:rPr>
                <w:rFonts w:ascii="Calibri" w:eastAsia="Times New Roman" w:hAnsi="Calibri" w:cs="Times New Roman"/>
                <w:color w:val="000000"/>
                <w:lang w:eastAsia="es-CO"/>
              </w:rPr>
              <w:t> </w:t>
            </w:r>
          </w:p>
        </w:tc>
        <w:tc>
          <w:tcPr>
            <w:tcW w:w="1320" w:type="dxa"/>
            <w:tcBorders>
              <w:top w:val="nil"/>
              <w:left w:val="nil"/>
              <w:bottom w:val="single" w:sz="4" w:space="0" w:color="auto"/>
              <w:right w:val="single" w:sz="4" w:space="0" w:color="auto"/>
            </w:tcBorders>
            <w:shd w:val="clear" w:color="auto" w:fill="auto"/>
            <w:noWrap/>
            <w:vAlign w:val="bottom"/>
            <w:hideMark/>
          </w:tcPr>
          <w:p w:rsidR="000343FF" w:rsidRPr="000343FF" w:rsidRDefault="000343FF" w:rsidP="000343FF">
            <w:pPr>
              <w:jc w:val="left"/>
              <w:rPr>
                <w:rFonts w:ascii="Calibri" w:eastAsia="Times New Roman" w:hAnsi="Calibri" w:cs="Times New Roman"/>
                <w:color w:val="000000"/>
                <w:lang w:eastAsia="es-CO"/>
              </w:rPr>
            </w:pPr>
            <w:r w:rsidRPr="000343FF">
              <w:rPr>
                <w:rFonts w:ascii="Calibri" w:eastAsia="Times New Roman" w:hAnsi="Calibri" w:cs="Times New Roman"/>
                <w:color w:val="000000"/>
                <w:lang w:eastAsia="es-CO"/>
              </w:rPr>
              <w:t> </w:t>
            </w:r>
          </w:p>
        </w:tc>
        <w:tc>
          <w:tcPr>
            <w:tcW w:w="1320" w:type="dxa"/>
            <w:tcBorders>
              <w:top w:val="nil"/>
              <w:left w:val="nil"/>
              <w:bottom w:val="single" w:sz="4" w:space="0" w:color="auto"/>
              <w:right w:val="single" w:sz="4" w:space="0" w:color="auto"/>
            </w:tcBorders>
            <w:shd w:val="clear" w:color="auto" w:fill="auto"/>
            <w:noWrap/>
            <w:vAlign w:val="bottom"/>
            <w:hideMark/>
          </w:tcPr>
          <w:p w:rsidR="000343FF" w:rsidRPr="000343FF" w:rsidRDefault="000343FF" w:rsidP="000343FF">
            <w:pPr>
              <w:jc w:val="left"/>
              <w:rPr>
                <w:rFonts w:ascii="Calibri" w:eastAsia="Times New Roman" w:hAnsi="Calibri" w:cs="Times New Roman"/>
                <w:color w:val="000000"/>
                <w:lang w:eastAsia="es-CO"/>
              </w:rPr>
            </w:pPr>
            <w:r w:rsidRPr="000343FF">
              <w:rPr>
                <w:rFonts w:ascii="Calibri" w:eastAsia="Times New Roman" w:hAnsi="Calibri" w:cs="Times New Roman"/>
                <w:color w:val="000000"/>
                <w:lang w:eastAsia="es-CO"/>
              </w:rPr>
              <w:t> </w:t>
            </w:r>
          </w:p>
        </w:tc>
      </w:tr>
      <w:tr w:rsidR="000343FF" w:rsidRPr="000343FF" w:rsidTr="000343FF">
        <w:trPr>
          <w:trHeight w:val="300"/>
          <w:jc w:val="center"/>
        </w:trPr>
        <w:tc>
          <w:tcPr>
            <w:tcW w:w="1320" w:type="dxa"/>
            <w:tcBorders>
              <w:top w:val="nil"/>
              <w:left w:val="single" w:sz="4" w:space="0" w:color="auto"/>
              <w:bottom w:val="single" w:sz="4" w:space="0" w:color="auto"/>
              <w:right w:val="single" w:sz="4" w:space="0" w:color="auto"/>
            </w:tcBorders>
            <w:shd w:val="clear" w:color="auto" w:fill="auto"/>
            <w:noWrap/>
            <w:vAlign w:val="bottom"/>
            <w:hideMark/>
          </w:tcPr>
          <w:p w:rsidR="000343FF" w:rsidRPr="000343FF" w:rsidRDefault="000343FF" w:rsidP="000343FF">
            <w:pPr>
              <w:jc w:val="right"/>
              <w:rPr>
                <w:rFonts w:ascii="Calibri" w:eastAsia="Times New Roman" w:hAnsi="Calibri" w:cs="Times New Roman"/>
                <w:color w:val="000000"/>
                <w:lang w:eastAsia="es-CO"/>
              </w:rPr>
            </w:pPr>
            <w:r w:rsidRPr="000343FF">
              <w:rPr>
                <w:rFonts w:ascii="Calibri" w:eastAsia="Times New Roman" w:hAnsi="Calibri" w:cs="Times New Roman"/>
                <w:color w:val="000000"/>
                <w:lang w:eastAsia="es-CO"/>
              </w:rPr>
              <w:t>2020</w:t>
            </w:r>
          </w:p>
        </w:tc>
        <w:tc>
          <w:tcPr>
            <w:tcW w:w="1320" w:type="dxa"/>
            <w:tcBorders>
              <w:top w:val="nil"/>
              <w:left w:val="nil"/>
              <w:bottom w:val="single" w:sz="4" w:space="0" w:color="auto"/>
              <w:right w:val="single" w:sz="4" w:space="0" w:color="auto"/>
            </w:tcBorders>
            <w:shd w:val="clear" w:color="auto" w:fill="auto"/>
            <w:noWrap/>
            <w:vAlign w:val="bottom"/>
            <w:hideMark/>
          </w:tcPr>
          <w:p w:rsidR="000343FF" w:rsidRPr="000343FF" w:rsidRDefault="000343FF" w:rsidP="000343FF">
            <w:pPr>
              <w:jc w:val="right"/>
              <w:rPr>
                <w:rFonts w:ascii="Calibri" w:eastAsia="Times New Roman" w:hAnsi="Calibri" w:cs="Times New Roman"/>
                <w:color w:val="000000"/>
                <w:lang w:eastAsia="es-CO"/>
              </w:rPr>
            </w:pPr>
            <w:r w:rsidRPr="000343FF">
              <w:rPr>
                <w:rFonts w:ascii="Calibri" w:eastAsia="Times New Roman" w:hAnsi="Calibri" w:cs="Times New Roman"/>
                <w:color w:val="000000"/>
                <w:lang w:eastAsia="es-CO"/>
              </w:rPr>
              <w:t>8.323.597</w:t>
            </w:r>
          </w:p>
        </w:tc>
        <w:tc>
          <w:tcPr>
            <w:tcW w:w="1320" w:type="dxa"/>
            <w:tcBorders>
              <w:top w:val="nil"/>
              <w:left w:val="nil"/>
              <w:bottom w:val="single" w:sz="4" w:space="0" w:color="auto"/>
              <w:right w:val="single" w:sz="4" w:space="0" w:color="auto"/>
            </w:tcBorders>
            <w:shd w:val="clear" w:color="auto" w:fill="auto"/>
            <w:noWrap/>
            <w:vAlign w:val="bottom"/>
            <w:hideMark/>
          </w:tcPr>
          <w:p w:rsidR="000343FF" w:rsidRPr="000343FF" w:rsidRDefault="000343FF" w:rsidP="000343FF">
            <w:pPr>
              <w:jc w:val="right"/>
              <w:rPr>
                <w:rFonts w:ascii="Calibri" w:eastAsia="Times New Roman" w:hAnsi="Calibri" w:cs="Times New Roman"/>
                <w:color w:val="000000"/>
                <w:lang w:eastAsia="es-CO"/>
              </w:rPr>
            </w:pPr>
            <w:r w:rsidRPr="000343FF">
              <w:rPr>
                <w:rFonts w:ascii="Calibri" w:eastAsia="Times New Roman" w:hAnsi="Calibri" w:cs="Times New Roman"/>
                <w:color w:val="000000"/>
                <w:lang w:eastAsia="es-CO"/>
              </w:rPr>
              <w:t>29.965.174</w:t>
            </w:r>
          </w:p>
        </w:tc>
      </w:tr>
      <w:tr w:rsidR="000343FF" w:rsidRPr="000343FF" w:rsidTr="000343FF">
        <w:trPr>
          <w:trHeight w:val="300"/>
          <w:jc w:val="center"/>
        </w:trPr>
        <w:tc>
          <w:tcPr>
            <w:tcW w:w="1320" w:type="dxa"/>
            <w:tcBorders>
              <w:top w:val="nil"/>
              <w:left w:val="single" w:sz="4" w:space="0" w:color="auto"/>
              <w:bottom w:val="single" w:sz="4" w:space="0" w:color="auto"/>
              <w:right w:val="single" w:sz="4" w:space="0" w:color="auto"/>
            </w:tcBorders>
            <w:shd w:val="clear" w:color="auto" w:fill="auto"/>
            <w:noWrap/>
            <w:vAlign w:val="bottom"/>
            <w:hideMark/>
          </w:tcPr>
          <w:p w:rsidR="000343FF" w:rsidRPr="000343FF" w:rsidRDefault="000343FF" w:rsidP="000343FF">
            <w:pPr>
              <w:jc w:val="left"/>
              <w:rPr>
                <w:rFonts w:ascii="Calibri" w:eastAsia="Times New Roman" w:hAnsi="Calibri" w:cs="Times New Roman"/>
                <w:color w:val="000000"/>
                <w:lang w:eastAsia="es-CO"/>
              </w:rPr>
            </w:pPr>
            <w:r w:rsidRPr="000343FF">
              <w:rPr>
                <w:rFonts w:ascii="Calibri" w:eastAsia="Times New Roman" w:hAnsi="Calibri" w:cs="Times New Roman"/>
                <w:color w:val="000000"/>
                <w:lang w:eastAsia="es-CO"/>
              </w:rPr>
              <w:t> </w:t>
            </w:r>
          </w:p>
        </w:tc>
        <w:tc>
          <w:tcPr>
            <w:tcW w:w="1320" w:type="dxa"/>
            <w:tcBorders>
              <w:top w:val="nil"/>
              <w:left w:val="nil"/>
              <w:bottom w:val="single" w:sz="4" w:space="0" w:color="auto"/>
              <w:right w:val="single" w:sz="4" w:space="0" w:color="auto"/>
            </w:tcBorders>
            <w:shd w:val="clear" w:color="auto" w:fill="auto"/>
            <w:noWrap/>
            <w:vAlign w:val="bottom"/>
            <w:hideMark/>
          </w:tcPr>
          <w:p w:rsidR="000343FF" w:rsidRPr="000343FF" w:rsidRDefault="000343FF" w:rsidP="000343FF">
            <w:pPr>
              <w:jc w:val="left"/>
              <w:rPr>
                <w:rFonts w:ascii="Calibri" w:eastAsia="Times New Roman" w:hAnsi="Calibri" w:cs="Times New Roman"/>
                <w:color w:val="000000"/>
                <w:lang w:eastAsia="es-CO"/>
              </w:rPr>
            </w:pPr>
            <w:r w:rsidRPr="000343FF">
              <w:rPr>
                <w:rFonts w:ascii="Calibri" w:eastAsia="Times New Roman" w:hAnsi="Calibri" w:cs="Times New Roman"/>
                <w:color w:val="000000"/>
                <w:lang w:eastAsia="es-CO"/>
              </w:rPr>
              <w:t> </w:t>
            </w:r>
          </w:p>
        </w:tc>
        <w:tc>
          <w:tcPr>
            <w:tcW w:w="1320" w:type="dxa"/>
            <w:tcBorders>
              <w:top w:val="nil"/>
              <w:left w:val="nil"/>
              <w:bottom w:val="single" w:sz="4" w:space="0" w:color="auto"/>
              <w:right w:val="single" w:sz="4" w:space="0" w:color="auto"/>
            </w:tcBorders>
            <w:shd w:val="clear" w:color="auto" w:fill="auto"/>
            <w:noWrap/>
            <w:vAlign w:val="bottom"/>
            <w:hideMark/>
          </w:tcPr>
          <w:p w:rsidR="000343FF" w:rsidRPr="000343FF" w:rsidRDefault="000343FF" w:rsidP="000343FF">
            <w:pPr>
              <w:jc w:val="left"/>
              <w:rPr>
                <w:rFonts w:ascii="Calibri" w:eastAsia="Times New Roman" w:hAnsi="Calibri" w:cs="Times New Roman"/>
                <w:color w:val="000000"/>
                <w:lang w:eastAsia="es-CO"/>
              </w:rPr>
            </w:pPr>
            <w:r w:rsidRPr="000343FF">
              <w:rPr>
                <w:rFonts w:ascii="Calibri" w:eastAsia="Times New Roman" w:hAnsi="Calibri" w:cs="Times New Roman"/>
                <w:color w:val="000000"/>
                <w:lang w:eastAsia="es-CO"/>
              </w:rPr>
              <w:t> </w:t>
            </w:r>
          </w:p>
        </w:tc>
      </w:tr>
      <w:tr w:rsidR="000343FF" w:rsidRPr="000343FF" w:rsidTr="000343FF">
        <w:trPr>
          <w:trHeight w:val="300"/>
          <w:jc w:val="center"/>
        </w:trPr>
        <w:tc>
          <w:tcPr>
            <w:tcW w:w="1320" w:type="dxa"/>
            <w:tcBorders>
              <w:top w:val="nil"/>
              <w:left w:val="single" w:sz="4" w:space="0" w:color="auto"/>
              <w:bottom w:val="single" w:sz="4" w:space="0" w:color="auto"/>
              <w:right w:val="single" w:sz="4" w:space="0" w:color="auto"/>
            </w:tcBorders>
            <w:shd w:val="clear" w:color="auto" w:fill="auto"/>
            <w:noWrap/>
            <w:vAlign w:val="bottom"/>
            <w:hideMark/>
          </w:tcPr>
          <w:p w:rsidR="000343FF" w:rsidRPr="000343FF" w:rsidRDefault="000343FF" w:rsidP="000343FF">
            <w:pPr>
              <w:jc w:val="right"/>
              <w:rPr>
                <w:rFonts w:ascii="Calibri" w:eastAsia="Times New Roman" w:hAnsi="Calibri" w:cs="Times New Roman"/>
                <w:color w:val="000000"/>
                <w:lang w:eastAsia="es-CO"/>
              </w:rPr>
            </w:pPr>
            <w:r w:rsidRPr="000343FF">
              <w:rPr>
                <w:rFonts w:ascii="Calibri" w:eastAsia="Times New Roman" w:hAnsi="Calibri" w:cs="Times New Roman"/>
                <w:color w:val="000000"/>
                <w:lang w:eastAsia="es-CO"/>
              </w:rPr>
              <w:t>2030</w:t>
            </w:r>
          </w:p>
        </w:tc>
        <w:tc>
          <w:tcPr>
            <w:tcW w:w="1320" w:type="dxa"/>
            <w:tcBorders>
              <w:top w:val="nil"/>
              <w:left w:val="nil"/>
              <w:bottom w:val="single" w:sz="4" w:space="0" w:color="auto"/>
              <w:right w:val="single" w:sz="4" w:space="0" w:color="auto"/>
            </w:tcBorders>
            <w:shd w:val="clear" w:color="auto" w:fill="auto"/>
            <w:noWrap/>
            <w:vAlign w:val="bottom"/>
            <w:hideMark/>
          </w:tcPr>
          <w:p w:rsidR="000343FF" w:rsidRPr="000343FF" w:rsidRDefault="000343FF" w:rsidP="000343FF">
            <w:pPr>
              <w:jc w:val="right"/>
              <w:rPr>
                <w:rFonts w:ascii="Calibri" w:eastAsia="Times New Roman" w:hAnsi="Calibri" w:cs="Times New Roman"/>
                <w:color w:val="000000"/>
                <w:lang w:eastAsia="es-CO"/>
              </w:rPr>
            </w:pPr>
            <w:r w:rsidRPr="000343FF">
              <w:rPr>
                <w:rFonts w:ascii="Calibri" w:eastAsia="Times New Roman" w:hAnsi="Calibri" w:cs="Times New Roman"/>
                <w:color w:val="000000"/>
                <w:lang w:eastAsia="es-CO"/>
              </w:rPr>
              <w:t>11.658.742</w:t>
            </w:r>
          </w:p>
        </w:tc>
        <w:tc>
          <w:tcPr>
            <w:tcW w:w="1320" w:type="dxa"/>
            <w:tcBorders>
              <w:top w:val="nil"/>
              <w:left w:val="nil"/>
              <w:bottom w:val="single" w:sz="4" w:space="0" w:color="auto"/>
              <w:right w:val="single" w:sz="4" w:space="0" w:color="auto"/>
            </w:tcBorders>
            <w:shd w:val="clear" w:color="auto" w:fill="auto"/>
            <w:noWrap/>
            <w:vAlign w:val="bottom"/>
            <w:hideMark/>
          </w:tcPr>
          <w:p w:rsidR="000343FF" w:rsidRPr="000343FF" w:rsidRDefault="000343FF" w:rsidP="000343FF">
            <w:pPr>
              <w:jc w:val="right"/>
              <w:rPr>
                <w:rFonts w:ascii="Calibri" w:eastAsia="Times New Roman" w:hAnsi="Calibri" w:cs="Times New Roman"/>
                <w:color w:val="000000"/>
                <w:lang w:eastAsia="es-CO"/>
              </w:rPr>
            </w:pPr>
            <w:r w:rsidRPr="000343FF">
              <w:rPr>
                <w:rFonts w:ascii="Calibri" w:eastAsia="Times New Roman" w:hAnsi="Calibri" w:cs="Times New Roman"/>
                <w:color w:val="000000"/>
                <w:lang w:eastAsia="es-CO"/>
              </w:rPr>
              <w:t>144.383.562</w:t>
            </w:r>
          </w:p>
        </w:tc>
      </w:tr>
      <w:tr w:rsidR="000343FF" w:rsidRPr="000343FF" w:rsidTr="000343FF">
        <w:trPr>
          <w:trHeight w:val="300"/>
          <w:jc w:val="center"/>
        </w:trPr>
        <w:tc>
          <w:tcPr>
            <w:tcW w:w="1320" w:type="dxa"/>
            <w:tcBorders>
              <w:top w:val="nil"/>
              <w:left w:val="single" w:sz="4" w:space="0" w:color="auto"/>
              <w:bottom w:val="single" w:sz="4" w:space="0" w:color="auto"/>
              <w:right w:val="single" w:sz="4" w:space="0" w:color="auto"/>
            </w:tcBorders>
            <w:shd w:val="clear" w:color="auto" w:fill="auto"/>
            <w:noWrap/>
            <w:vAlign w:val="bottom"/>
            <w:hideMark/>
          </w:tcPr>
          <w:p w:rsidR="000343FF" w:rsidRPr="000343FF" w:rsidRDefault="000343FF" w:rsidP="000343FF">
            <w:pPr>
              <w:jc w:val="left"/>
              <w:rPr>
                <w:rFonts w:ascii="Calibri" w:eastAsia="Times New Roman" w:hAnsi="Calibri" w:cs="Times New Roman"/>
                <w:color w:val="000000"/>
                <w:lang w:eastAsia="es-CO"/>
              </w:rPr>
            </w:pPr>
            <w:r w:rsidRPr="000343FF">
              <w:rPr>
                <w:rFonts w:ascii="Calibri" w:eastAsia="Times New Roman" w:hAnsi="Calibri" w:cs="Times New Roman"/>
                <w:color w:val="000000"/>
                <w:lang w:eastAsia="es-CO"/>
              </w:rPr>
              <w:t> </w:t>
            </w:r>
          </w:p>
        </w:tc>
        <w:tc>
          <w:tcPr>
            <w:tcW w:w="1320" w:type="dxa"/>
            <w:tcBorders>
              <w:top w:val="nil"/>
              <w:left w:val="nil"/>
              <w:bottom w:val="single" w:sz="4" w:space="0" w:color="auto"/>
              <w:right w:val="single" w:sz="4" w:space="0" w:color="auto"/>
            </w:tcBorders>
            <w:shd w:val="clear" w:color="auto" w:fill="auto"/>
            <w:noWrap/>
            <w:vAlign w:val="bottom"/>
            <w:hideMark/>
          </w:tcPr>
          <w:p w:rsidR="000343FF" w:rsidRPr="000343FF" w:rsidRDefault="000343FF" w:rsidP="000343FF">
            <w:pPr>
              <w:jc w:val="left"/>
              <w:rPr>
                <w:rFonts w:ascii="Calibri" w:eastAsia="Times New Roman" w:hAnsi="Calibri" w:cs="Times New Roman"/>
                <w:color w:val="000000"/>
                <w:lang w:eastAsia="es-CO"/>
              </w:rPr>
            </w:pPr>
            <w:r w:rsidRPr="000343FF">
              <w:rPr>
                <w:rFonts w:ascii="Calibri" w:eastAsia="Times New Roman" w:hAnsi="Calibri" w:cs="Times New Roman"/>
                <w:color w:val="000000"/>
                <w:lang w:eastAsia="es-CO"/>
              </w:rPr>
              <w:t> </w:t>
            </w:r>
          </w:p>
        </w:tc>
        <w:tc>
          <w:tcPr>
            <w:tcW w:w="1320" w:type="dxa"/>
            <w:tcBorders>
              <w:top w:val="nil"/>
              <w:left w:val="nil"/>
              <w:bottom w:val="single" w:sz="4" w:space="0" w:color="auto"/>
              <w:right w:val="single" w:sz="4" w:space="0" w:color="auto"/>
            </w:tcBorders>
            <w:shd w:val="clear" w:color="auto" w:fill="auto"/>
            <w:noWrap/>
            <w:vAlign w:val="bottom"/>
            <w:hideMark/>
          </w:tcPr>
          <w:p w:rsidR="000343FF" w:rsidRPr="000343FF" w:rsidRDefault="000343FF" w:rsidP="000343FF">
            <w:pPr>
              <w:jc w:val="left"/>
              <w:rPr>
                <w:rFonts w:ascii="Calibri" w:eastAsia="Times New Roman" w:hAnsi="Calibri" w:cs="Times New Roman"/>
                <w:color w:val="000000"/>
                <w:lang w:eastAsia="es-CO"/>
              </w:rPr>
            </w:pPr>
            <w:r w:rsidRPr="000343FF">
              <w:rPr>
                <w:rFonts w:ascii="Calibri" w:eastAsia="Times New Roman" w:hAnsi="Calibri" w:cs="Times New Roman"/>
                <w:color w:val="000000"/>
                <w:lang w:eastAsia="es-CO"/>
              </w:rPr>
              <w:t> </w:t>
            </w:r>
          </w:p>
        </w:tc>
      </w:tr>
      <w:tr w:rsidR="000343FF" w:rsidRPr="000343FF" w:rsidTr="000343FF">
        <w:trPr>
          <w:trHeight w:val="300"/>
          <w:jc w:val="center"/>
        </w:trPr>
        <w:tc>
          <w:tcPr>
            <w:tcW w:w="1320" w:type="dxa"/>
            <w:tcBorders>
              <w:top w:val="nil"/>
              <w:left w:val="single" w:sz="4" w:space="0" w:color="auto"/>
              <w:bottom w:val="single" w:sz="4" w:space="0" w:color="auto"/>
              <w:right w:val="single" w:sz="4" w:space="0" w:color="auto"/>
            </w:tcBorders>
            <w:shd w:val="clear" w:color="auto" w:fill="auto"/>
            <w:noWrap/>
            <w:vAlign w:val="bottom"/>
            <w:hideMark/>
          </w:tcPr>
          <w:p w:rsidR="000343FF" w:rsidRPr="000343FF" w:rsidRDefault="000343FF" w:rsidP="000343FF">
            <w:pPr>
              <w:jc w:val="right"/>
              <w:rPr>
                <w:rFonts w:ascii="Calibri" w:eastAsia="Times New Roman" w:hAnsi="Calibri" w:cs="Times New Roman"/>
                <w:color w:val="000000"/>
                <w:lang w:eastAsia="es-CO"/>
              </w:rPr>
            </w:pPr>
            <w:r w:rsidRPr="000343FF">
              <w:rPr>
                <w:rFonts w:ascii="Calibri" w:eastAsia="Times New Roman" w:hAnsi="Calibri" w:cs="Times New Roman"/>
                <w:color w:val="000000"/>
                <w:lang w:eastAsia="es-CO"/>
              </w:rPr>
              <w:t>2040</w:t>
            </w:r>
          </w:p>
        </w:tc>
        <w:tc>
          <w:tcPr>
            <w:tcW w:w="1320" w:type="dxa"/>
            <w:tcBorders>
              <w:top w:val="nil"/>
              <w:left w:val="nil"/>
              <w:bottom w:val="single" w:sz="4" w:space="0" w:color="auto"/>
              <w:right w:val="single" w:sz="4" w:space="0" w:color="auto"/>
            </w:tcBorders>
            <w:shd w:val="clear" w:color="auto" w:fill="auto"/>
            <w:noWrap/>
            <w:vAlign w:val="bottom"/>
            <w:hideMark/>
          </w:tcPr>
          <w:p w:rsidR="000343FF" w:rsidRPr="000343FF" w:rsidRDefault="000343FF" w:rsidP="000343FF">
            <w:pPr>
              <w:jc w:val="right"/>
              <w:rPr>
                <w:rFonts w:ascii="Calibri" w:eastAsia="Times New Roman" w:hAnsi="Calibri" w:cs="Times New Roman"/>
                <w:color w:val="000000"/>
                <w:lang w:eastAsia="es-CO"/>
              </w:rPr>
            </w:pPr>
            <w:r w:rsidRPr="000343FF">
              <w:rPr>
                <w:rFonts w:ascii="Calibri" w:eastAsia="Times New Roman" w:hAnsi="Calibri" w:cs="Times New Roman"/>
                <w:color w:val="000000"/>
                <w:lang w:eastAsia="es-CO"/>
              </w:rPr>
              <w:t>8.185.999</w:t>
            </w:r>
          </w:p>
        </w:tc>
        <w:tc>
          <w:tcPr>
            <w:tcW w:w="1320" w:type="dxa"/>
            <w:tcBorders>
              <w:top w:val="nil"/>
              <w:left w:val="nil"/>
              <w:bottom w:val="single" w:sz="4" w:space="0" w:color="auto"/>
              <w:right w:val="single" w:sz="4" w:space="0" w:color="auto"/>
            </w:tcBorders>
            <w:shd w:val="clear" w:color="auto" w:fill="auto"/>
            <w:noWrap/>
            <w:vAlign w:val="bottom"/>
            <w:hideMark/>
          </w:tcPr>
          <w:p w:rsidR="000343FF" w:rsidRPr="000343FF" w:rsidRDefault="000343FF" w:rsidP="000343FF">
            <w:pPr>
              <w:jc w:val="right"/>
              <w:rPr>
                <w:rFonts w:ascii="Calibri" w:eastAsia="Times New Roman" w:hAnsi="Calibri" w:cs="Times New Roman"/>
                <w:color w:val="000000"/>
                <w:lang w:eastAsia="es-CO"/>
              </w:rPr>
            </w:pPr>
            <w:r w:rsidRPr="000343FF">
              <w:rPr>
                <w:rFonts w:ascii="Calibri" w:eastAsia="Times New Roman" w:hAnsi="Calibri" w:cs="Times New Roman"/>
                <w:color w:val="000000"/>
                <w:lang w:eastAsia="es-CO"/>
              </w:rPr>
              <w:t>14</w:t>
            </w:r>
            <w:r w:rsidR="00E7365D">
              <w:rPr>
                <w:rFonts w:ascii="Calibri" w:eastAsia="Times New Roman" w:hAnsi="Calibri" w:cs="Times New Roman"/>
                <w:color w:val="000000"/>
                <w:lang w:eastAsia="es-CO"/>
              </w:rPr>
              <w:t>0</w:t>
            </w:r>
            <w:r w:rsidRPr="000343FF">
              <w:rPr>
                <w:rFonts w:ascii="Calibri" w:eastAsia="Times New Roman" w:hAnsi="Calibri" w:cs="Times New Roman"/>
                <w:color w:val="000000"/>
                <w:lang w:eastAsia="es-CO"/>
              </w:rPr>
              <w:t>.383.562</w:t>
            </w:r>
          </w:p>
        </w:tc>
      </w:tr>
      <w:tr w:rsidR="000343FF" w:rsidRPr="000343FF" w:rsidTr="000343FF">
        <w:trPr>
          <w:trHeight w:val="300"/>
          <w:jc w:val="center"/>
        </w:trPr>
        <w:tc>
          <w:tcPr>
            <w:tcW w:w="1320" w:type="dxa"/>
            <w:tcBorders>
              <w:top w:val="nil"/>
              <w:left w:val="single" w:sz="4" w:space="0" w:color="auto"/>
              <w:bottom w:val="single" w:sz="4" w:space="0" w:color="auto"/>
              <w:right w:val="single" w:sz="4" w:space="0" w:color="auto"/>
            </w:tcBorders>
            <w:shd w:val="clear" w:color="auto" w:fill="auto"/>
            <w:noWrap/>
            <w:vAlign w:val="bottom"/>
            <w:hideMark/>
          </w:tcPr>
          <w:p w:rsidR="000343FF" w:rsidRPr="000343FF" w:rsidRDefault="000343FF" w:rsidP="000343FF">
            <w:pPr>
              <w:jc w:val="left"/>
              <w:rPr>
                <w:rFonts w:ascii="Calibri" w:eastAsia="Times New Roman" w:hAnsi="Calibri" w:cs="Times New Roman"/>
                <w:color w:val="000000"/>
                <w:lang w:eastAsia="es-CO"/>
              </w:rPr>
            </w:pPr>
            <w:r w:rsidRPr="000343FF">
              <w:rPr>
                <w:rFonts w:ascii="Calibri" w:eastAsia="Times New Roman" w:hAnsi="Calibri" w:cs="Times New Roman"/>
                <w:color w:val="000000"/>
                <w:lang w:eastAsia="es-CO"/>
              </w:rPr>
              <w:t> </w:t>
            </w:r>
          </w:p>
        </w:tc>
        <w:tc>
          <w:tcPr>
            <w:tcW w:w="1320" w:type="dxa"/>
            <w:tcBorders>
              <w:top w:val="nil"/>
              <w:left w:val="nil"/>
              <w:bottom w:val="single" w:sz="4" w:space="0" w:color="auto"/>
              <w:right w:val="single" w:sz="4" w:space="0" w:color="auto"/>
            </w:tcBorders>
            <w:shd w:val="clear" w:color="auto" w:fill="auto"/>
            <w:noWrap/>
            <w:vAlign w:val="bottom"/>
            <w:hideMark/>
          </w:tcPr>
          <w:p w:rsidR="000343FF" w:rsidRPr="000343FF" w:rsidRDefault="000343FF" w:rsidP="000343FF">
            <w:pPr>
              <w:jc w:val="left"/>
              <w:rPr>
                <w:rFonts w:ascii="Calibri" w:eastAsia="Times New Roman" w:hAnsi="Calibri" w:cs="Times New Roman"/>
                <w:color w:val="000000"/>
                <w:lang w:eastAsia="es-CO"/>
              </w:rPr>
            </w:pPr>
            <w:r w:rsidRPr="000343FF">
              <w:rPr>
                <w:rFonts w:ascii="Calibri" w:eastAsia="Times New Roman" w:hAnsi="Calibri" w:cs="Times New Roman"/>
                <w:color w:val="000000"/>
                <w:lang w:eastAsia="es-CO"/>
              </w:rPr>
              <w:t> </w:t>
            </w:r>
          </w:p>
        </w:tc>
        <w:tc>
          <w:tcPr>
            <w:tcW w:w="1320" w:type="dxa"/>
            <w:tcBorders>
              <w:top w:val="nil"/>
              <w:left w:val="nil"/>
              <w:bottom w:val="single" w:sz="4" w:space="0" w:color="auto"/>
              <w:right w:val="single" w:sz="4" w:space="0" w:color="auto"/>
            </w:tcBorders>
            <w:shd w:val="clear" w:color="auto" w:fill="auto"/>
            <w:noWrap/>
            <w:vAlign w:val="bottom"/>
            <w:hideMark/>
          </w:tcPr>
          <w:p w:rsidR="000343FF" w:rsidRPr="000343FF" w:rsidRDefault="000343FF" w:rsidP="000343FF">
            <w:pPr>
              <w:jc w:val="left"/>
              <w:rPr>
                <w:rFonts w:ascii="Calibri" w:eastAsia="Times New Roman" w:hAnsi="Calibri" w:cs="Times New Roman"/>
                <w:color w:val="000000"/>
                <w:lang w:eastAsia="es-CO"/>
              </w:rPr>
            </w:pPr>
            <w:r w:rsidRPr="000343FF">
              <w:rPr>
                <w:rFonts w:ascii="Calibri" w:eastAsia="Times New Roman" w:hAnsi="Calibri" w:cs="Times New Roman"/>
                <w:color w:val="000000"/>
                <w:lang w:eastAsia="es-CO"/>
              </w:rPr>
              <w:t> </w:t>
            </w:r>
          </w:p>
        </w:tc>
      </w:tr>
      <w:tr w:rsidR="000343FF" w:rsidRPr="000343FF" w:rsidTr="000343FF">
        <w:trPr>
          <w:trHeight w:val="300"/>
          <w:jc w:val="center"/>
        </w:trPr>
        <w:tc>
          <w:tcPr>
            <w:tcW w:w="1320" w:type="dxa"/>
            <w:tcBorders>
              <w:top w:val="nil"/>
              <w:left w:val="single" w:sz="4" w:space="0" w:color="auto"/>
              <w:bottom w:val="single" w:sz="4" w:space="0" w:color="auto"/>
              <w:right w:val="single" w:sz="4" w:space="0" w:color="auto"/>
            </w:tcBorders>
            <w:shd w:val="clear" w:color="auto" w:fill="auto"/>
            <w:noWrap/>
            <w:vAlign w:val="bottom"/>
            <w:hideMark/>
          </w:tcPr>
          <w:p w:rsidR="000343FF" w:rsidRPr="000343FF" w:rsidRDefault="000343FF" w:rsidP="000343FF">
            <w:pPr>
              <w:jc w:val="right"/>
              <w:rPr>
                <w:rFonts w:ascii="Calibri" w:eastAsia="Times New Roman" w:hAnsi="Calibri" w:cs="Times New Roman"/>
                <w:color w:val="000000"/>
                <w:lang w:eastAsia="es-CO"/>
              </w:rPr>
            </w:pPr>
            <w:r w:rsidRPr="000343FF">
              <w:rPr>
                <w:rFonts w:ascii="Calibri" w:eastAsia="Times New Roman" w:hAnsi="Calibri" w:cs="Times New Roman"/>
                <w:color w:val="000000"/>
                <w:lang w:eastAsia="es-CO"/>
              </w:rPr>
              <w:t>2045</w:t>
            </w:r>
          </w:p>
        </w:tc>
        <w:tc>
          <w:tcPr>
            <w:tcW w:w="1320" w:type="dxa"/>
            <w:tcBorders>
              <w:top w:val="nil"/>
              <w:left w:val="nil"/>
              <w:bottom w:val="single" w:sz="4" w:space="0" w:color="auto"/>
              <w:right w:val="single" w:sz="4" w:space="0" w:color="auto"/>
            </w:tcBorders>
            <w:shd w:val="clear" w:color="auto" w:fill="auto"/>
            <w:noWrap/>
            <w:vAlign w:val="bottom"/>
            <w:hideMark/>
          </w:tcPr>
          <w:p w:rsidR="000343FF" w:rsidRPr="000343FF" w:rsidRDefault="000343FF" w:rsidP="000343FF">
            <w:pPr>
              <w:jc w:val="right"/>
              <w:rPr>
                <w:rFonts w:ascii="Calibri" w:eastAsia="Times New Roman" w:hAnsi="Calibri" w:cs="Times New Roman"/>
                <w:color w:val="000000"/>
                <w:lang w:eastAsia="es-CO"/>
              </w:rPr>
            </w:pPr>
            <w:r w:rsidRPr="000343FF">
              <w:rPr>
                <w:rFonts w:ascii="Calibri" w:eastAsia="Times New Roman" w:hAnsi="Calibri" w:cs="Times New Roman"/>
                <w:color w:val="000000"/>
                <w:lang w:eastAsia="es-CO"/>
              </w:rPr>
              <w:t>18.803.399</w:t>
            </w:r>
          </w:p>
        </w:tc>
        <w:tc>
          <w:tcPr>
            <w:tcW w:w="1320" w:type="dxa"/>
            <w:tcBorders>
              <w:top w:val="nil"/>
              <w:left w:val="nil"/>
              <w:bottom w:val="single" w:sz="4" w:space="0" w:color="auto"/>
              <w:right w:val="single" w:sz="4" w:space="0" w:color="auto"/>
            </w:tcBorders>
            <w:shd w:val="clear" w:color="auto" w:fill="auto"/>
            <w:noWrap/>
            <w:vAlign w:val="bottom"/>
            <w:hideMark/>
          </w:tcPr>
          <w:p w:rsidR="000343FF" w:rsidRPr="000343FF" w:rsidRDefault="000343FF" w:rsidP="000343FF">
            <w:pPr>
              <w:jc w:val="right"/>
              <w:rPr>
                <w:rFonts w:ascii="Calibri" w:eastAsia="Times New Roman" w:hAnsi="Calibri" w:cs="Times New Roman"/>
                <w:color w:val="000000"/>
                <w:lang w:eastAsia="es-CO"/>
              </w:rPr>
            </w:pPr>
            <w:r w:rsidRPr="000343FF">
              <w:rPr>
                <w:rFonts w:ascii="Calibri" w:eastAsia="Times New Roman" w:hAnsi="Calibri" w:cs="Times New Roman"/>
                <w:color w:val="000000"/>
                <w:lang w:eastAsia="es-CO"/>
              </w:rPr>
              <w:t>218.803.506</w:t>
            </w:r>
          </w:p>
        </w:tc>
      </w:tr>
    </w:tbl>
    <w:p w:rsidR="000343FF" w:rsidRPr="000343FF" w:rsidRDefault="000343FF" w:rsidP="004062E1">
      <w:pPr>
        <w:rPr>
          <w:sz w:val="18"/>
          <w:szCs w:val="18"/>
        </w:rPr>
      </w:pPr>
      <w:r>
        <w:tab/>
      </w:r>
      <w:r>
        <w:tab/>
      </w:r>
      <w:r>
        <w:tab/>
      </w:r>
      <w:r>
        <w:tab/>
      </w:r>
      <w:r w:rsidRPr="000343FF">
        <w:rPr>
          <w:sz w:val="18"/>
          <w:szCs w:val="18"/>
        </w:rPr>
        <w:t>Fuente: Modelo Financiero EPMMQ</w:t>
      </w:r>
    </w:p>
    <w:p w:rsidR="005C5D20" w:rsidRDefault="005C5D20" w:rsidP="004062E1"/>
    <w:p w:rsidR="005C5D20" w:rsidRDefault="008D53CF" w:rsidP="004062E1">
      <w:pPr>
        <w:rPr>
          <w:rFonts w:ascii="Arial" w:hAnsi="Arial" w:cs="Arial"/>
        </w:rPr>
      </w:pPr>
      <w:r w:rsidRPr="002B1C54">
        <w:rPr>
          <w:rFonts w:ascii="Arial" w:hAnsi="Arial" w:cs="Arial"/>
        </w:rPr>
        <w:t xml:space="preserve">Hay </w:t>
      </w:r>
      <w:r w:rsidR="002B1C54" w:rsidRPr="002B1C54">
        <w:rPr>
          <w:rFonts w:ascii="Arial" w:hAnsi="Arial" w:cs="Arial"/>
        </w:rPr>
        <w:t>tres</w:t>
      </w:r>
      <w:r w:rsidRPr="002B1C54">
        <w:rPr>
          <w:rFonts w:ascii="Arial" w:hAnsi="Arial" w:cs="Arial"/>
        </w:rPr>
        <w:t xml:space="preserve"> </w:t>
      </w:r>
      <w:r w:rsidR="00414D4E">
        <w:rPr>
          <w:rFonts w:ascii="Arial" w:hAnsi="Arial" w:cs="Arial"/>
        </w:rPr>
        <w:t>factores</w:t>
      </w:r>
      <w:r w:rsidRPr="002B1C54">
        <w:rPr>
          <w:rFonts w:ascii="Arial" w:hAnsi="Arial" w:cs="Arial"/>
        </w:rPr>
        <w:t xml:space="preserve"> básicos que </w:t>
      </w:r>
      <w:r w:rsidR="002B1C54" w:rsidRPr="002B1C54">
        <w:rPr>
          <w:rFonts w:ascii="Arial" w:hAnsi="Arial" w:cs="Arial"/>
        </w:rPr>
        <w:t xml:space="preserve">pueden </w:t>
      </w:r>
      <w:r w:rsidRPr="002B1C54">
        <w:rPr>
          <w:rFonts w:ascii="Arial" w:hAnsi="Arial" w:cs="Arial"/>
        </w:rPr>
        <w:t>impacta</w:t>
      </w:r>
      <w:r w:rsidR="002B1C54" w:rsidRPr="002B1C54">
        <w:rPr>
          <w:rFonts w:ascii="Arial" w:hAnsi="Arial" w:cs="Arial"/>
        </w:rPr>
        <w:t>r</w:t>
      </w:r>
      <w:r w:rsidRPr="002B1C54">
        <w:rPr>
          <w:rFonts w:ascii="Arial" w:hAnsi="Arial" w:cs="Arial"/>
        </w:rPr>
        <w:t xml:space="preserve"> el flujo</w:t>
      </w:r>
      <w:r w:rsidR="00E6706D">
        <w:rPr>
          <w:rFonts w:ascii="Arial" w:hAnsi="Arial" w:cs="Arial"/>
        </w:rPr>
        <w:t xml:space="preserve"> financiero del proyecto: </w:t>
      </w:r>
      <w:r w:rsidRPr="002B1C54">
        <w:rPr>
          <w:rFonts w:ascii="Arial" w:hAnsi="Arial" w:cs="Arial"/>
        </w:rPr>
        <w:t>las inversiones estimadas por EPMMQ</w:t>
      </w:r>
      <w:r w:rsidR="00E6706D">
        <w:rPr>
          <w:rFonts w:ascii="Arial" w:hAnsi="Arial" w:cs="Arial"/>
        </w:rPr>
        <w:t xml:space="preserve">, </w:t>
      </w:r>
      <w:r w:rsidRPr="002B1C54">
        <w:rPr>
          <w:rFonts w:ascii="Arial" w:hAnsi="Arial" w:cs="Arial"/>
        </w:rPr>
        <w:t xml:space="preserve">los ingresos </w:t>
      </w:r>
      <w:r w:rsidR="002B1C54" w:rsidRPr="002B1C54">
        <w:rPr>
          <w:rFonts w:ascii="Arial" w:hAnsi="Arial" w:cs="Arial"/>
        </w:rPr>
        <w:t>basados en</w:t>
      </w:r>
      <w:r w:rsidR="00E6706D">
        <w:rPr>
          <w:rFonts w:ascii="Arial" w:hAnsi="Arial" w:cs="Arial"/>
        </w:rPr>
        <w:t xml:space="preserve"> la demanda de </w:t>
      </w:r>
      <w:r w:rsidRPr="002B1C54">
        <w:rPr>
          <w:rFonts w:ascii="Arial" w:hAnsi="Arial" w:cs="Arial"/>
        </w:rPr>
        <w:t>viajeros</w:t>
      </w:r>
      <w:r w:rsidR="002B1C54" w:rsidRPr="002B1C54">
        <w:rPr>
          <w:rFonts w:ascii="Arial" w:hAnsi="Arial" w:cs="Arial"/>
        </w:rPr>
        <w:t xml:space="preserve"> y la tarifa planteada con incrementos trianuales. En el primer caso un incremento en los mismos costos puede afectar no solamente el flujo sino también el esquema de financiamiento del GN y el DMQ</w:t>
      </w:r>
      <w:r w:rsidR="00076FF2">
        <w:rPr>
          <w:rStyle w:val="FootnoteReference"/>
          <w:rFonts w:ascii="Arial" w:hAnsi="Arial" w:cs="Arial"/>
        </w:rPr>
        <w:footnoteReference w:id="10"/>
      </w:r>
      <w:r w:rsidR="002B1C54" w:rsidRPr="002B1C54">
        <w:rPr>
          <w:rFonts w:ascii="Arial" w:hAnsi="Arial" w:cs="Arial"/>
        </w:rPr>
        <w:t>. Igual sucede con los ingresos basados en la proyección del movimiento de pasajeros y el reajuste trianual de la tarifa. Si se combinan todos los elementos (incremento en los costos, disminución en el movimiento de pasajeros y dificultad para reajustar las tarifas)</w:t>
      </w:r>
      <w:r w:rsidR="00414D4E">
        <w:rPr>
          <w:rFonts w:ascii="Arial" w:hAnsi="Arial" w:cs="Arial"/>
        </w:rPr>
        <w:t xml:space="preserve"> el flujo podría cambiar.</w:t>
      </w:r>
    </w:p>
    <w:p w:rsidR="00414D4E" w:rsidRDefault="00414D4E" w:rsidP="004062E1">
      <w:pPr>
        <w:rPr>
          <w:rFonts w:ascii="Arial" w:hAnsi="Arial" w:cs="Arial"/>
        </w:rPr>
      </w:pPr>
    </w:p>
    <w:p w:rsidR="004062E1" w:rsidRDefault="004062E1" w:rsidP="004062E1">
      <w:pPr>
        <w:rPr>
          <w:rFonts w:ascii="Arial" w:hAnsi="Arial" w:cs="Arial"/>
        </w:rPr>
      </w:pPr>
      <w:r w:rsidRPr="00414D4E">
        <w:rPr>
          <w:rFonts w:ascii="Arial" w:hAnsi="Arial" w:cs="Arial"/>
        </w:rPr>
        <w:t xml:space="preserve">A partir de las consideraciones anteriores, </w:t>
      </w:r>
      <w:r w:rsidR="00414D4E">
        <w:rPr>
          <w:rFonts w:ascii="Arial" w:hAnsi="Arial" w:cs="Arial"/>
        </w:rPr>
        <w:t xml:space="preserve">se realizo un ejercicio sencillo para </w:t>
      </w:r>
      <w:r w:rsidR="000F2DBC">
        <w:rPr>
          <w:rFonts w:ascii="Arial" w:hAnsi="Arial" w:cs="Arial"/>
        </w:rPr>
        <w:t xml:space="preserve">revisar </w:t>
      </w:r>
      <w:r w:rsidRPr="00414D4E">
        <w:rPr>
          <w:rFonts w:ascii="Arial" w:hAnsi="Arial" w:cs="Arial"/>
        </w:rPr>
        <w:t xml:space="preserve">la sensibilidad que tiene la tarifa al usuario sobre el flujo de ingresos del proyecto. En </w:t>
      </w:r>
      <w:r w:rsidR="00414D4E">
        <w:rPr>
          <w:rFonts w:ascii="Arial" w:hAnsi="Arial" w:cs="Arial"/>
        </w:rPr>
        <w:t xml:space="preserve">este sentido </w:t>
      </w:r>
      <w:r w:rsidRPr="00414D4E">
        <w:rPr>
          <w:rFonts w:ascii="Arial" w:hAnsi="Arial" w:cs="Arial"/>
        </w:rPr>
        <w:t>se tom</w:t>
      </w:r>
      <w:r w:rsidR="00E6706D">
        <w:rPr>
          <w:rFonts w:ascii="Arial" w:hAnsi="Arial" w:cs="Arial"/>
        </w:rPr>
        <w:t>o el escenario base e</w:t>
      </w:r>
      <w:r w:rsidRPr="00414D4E">
        <w:rPr>
          <w:rFonts w:ascii="Arial" w:hAnsi="Arial" w:cs="Arial"/>
        </w:rPr>
        <w:t xml:space="preserve">n el </w:t>
      </w:r>
      <w:r w:rsidR="00E6706D">
        <w:rPr>
          <w:rFonts w:ascii="Arial" w:hAnsi="Arial" w:cs="Arial"/>
        </w:rPr>
        <w:t>cual</w:t>
      </w:r>
      <w:r w:rsidRPr="00414D4E">
        <w:rPr>
          <w:rFonts w:ascii="Arial" w:hAnsi="Arial" w:cs="Arial"/>
        </w:rPr>
        <w:t xml:space="preserve"> la tarifa parte en 2016 de 0.40 USD y se ajusta a</w:t>
      </w:r>
      <w:r w:rsidR="00E6706D">
        <w:rPr>
          <w:rFonts w:ascii="Arial" w:hAnsi="Arial" w:cs="Arial"/>
        </w:rPr>
        <w:t>l 90% de</w:t>
      </w:r>
      <w:r w:rsidRPr="00414D4E">
        <w:rPr>
          <w:rFonts w:ascii="Arial" w:hAnsi="Arial" w:cs="Arial"/>
        </w:rPr>
        <w:t xml:space="preserve"> la inflación proyectada cada tres años</w:t>
      </w:r>
      <w:r w:rsidR="00414D4E">
        <w:rPr>
          <w:rFonts w:ascii="Arial" w:hAnsi="Arial" w:cs="Arial"/>
        </w:rPr>
        <w:t xml:space="preserve"> para llegar USD 1,08 en 2045.</w:t>
      </w:r>
      <w:r w:rsidRPr="00414D4E">
        <w:rPr>
          <w:rFonts w:ascii="Arial" w:hAnsi="Arial" w:cs="Arial"/>
        </w:rPr>
        <w:t xml:space="preserve"> </w:t>
      </w:r>
      <w:r w:rsidR="000F2DBC">
        <w:rPr>
          <w:rFonts w:ascii="Arial" w:hAnsi="Arial" w:cs="Arial"/>
        </w:rPr>
        <w:t xml:space="preserve">Posteriormente se tomaron tres escenarios alternos </w:t>
      </w:r>
      <w:r w:rsidR="00854F3E">
        <w:rPr>
          <w:rFonts w:ascii="Arial" w:hAnsi="Arial" w:cs="Arial"/>
        </w:rPr>
        <w:t>así</w:t>
      </w:r>
      <w:r w:rsidR="000F2DBC">
        <w:rPr>
          <w:rFonts w:ascii="Arial" w:hAnsi="Arial" w:cs="Arial"/>
        </w:rPr>
        <w:t>: e</w:t>
      </w:r>
      <w:r w:rsidRPr="00414D4E">
        <w:rPr>
          <w:rFonts w:ascii="Arial" w:hAnsi="Arial" w:cs="Arial"/>
        </w:rPr>
        <w:t>l escenario A, parte de una tarifa de 0.30 USD en 2016, que crece cada 5 años a razón de 0.10 USD</w:t>
      </w:r>
      <w:r w:rsidR="000F2DBC">
        <w:rPr>
          <w:rFonts w:ascii="Arial" w:hAnsi="Arial" w:cs="Arial"/>
        </w:rPr>
        <w:t>; e</w:t>
      </w:r>
      <w:r w:rsidRPr="00414D4E">
        <w:rPr>
          <w:rFonts w:ascii="Arial" w:hAnsi="Arial" w:cs="Arial"/>
        </w:rPr>
        <w:t>l escenario B parte en 2016 de una base de 0.25 USD (tarifa actual del servicio público en Quit</w:t>
      </w:r>
      <w:r w:rsidR="000F2DBC">
        <w:rPr>
          <w:rFonts w:ascii="Arial" w:hAnsi="Arial" w:cs="Arial"/>
        </w:rPr>
        <w:t>o) y crece cada 5 años 0.10 USD;</w:t>
      </w:r>
      <w:r w:rsidRPr="00414D4E">
        <w:rPr>
          <w:rFonts w:ascii="Arial" w:hAnsi="Arial" w:cs="Arial"/>
        </w:rPr>
        <w:t xml:space="preserve"> </w:t>
      </w:r>
      <w:r w:rsidR="000F2DBC">
        <w:rPr>
          <w:rFonts w:ascii="Arial" w:hAnsi="Arial" w:cs="Arial"/>
        </w:rPr>
        <w:t>f</w:t>
      </w:r>
      <w:r w:rsidRPr="00414D4E">
        <w:rPr>
          <w:rFonts w:ascii="Arial" w:hAnsi="Arial" w:cs="Arial"/>
        </w:rPr>
        <w:t xml:space="preserve">inalmente, se establece un escenario C en el que la tarifa de 0.25 USD </w:t>
      </w:r>
      <w:r w:rsidR="00414D4E">
        <w:rPr>
          <w:rFonts w:ascii="Arial" w:hAnsi="Arial" w:cs="Arial"/>
        </w:rPr>
        <w:t xml:space="preserve">se mantiene inalterada durante </w:t>
      </w:r>
      <w:r w:rsidRPr="00414D4E">
        <w:rPr>
          <w:rFonts w:ascii="Arial" w:hAnsi="Arial" w:cs="Arial"/>
        </w:rPr>
        <w:t xml:space="preserve">todo el tiempo de análisis. </w:t>
      </w:r>
      <w:r w:rsidR="008846D7">
        <w:rPr>
          <w:rFonts w:ascii="Arial" w:hAnsi="Arial" w:cs="Arial"/>
        </w:rPr>
        <w:t xml:space="preserve">Con estas cifras </w:t>
      </w:r>
      <w:r w:rsidR="00854F3E">
        <w:rPr>
          <w:rFonts w:ascii="Arial" w:hAnsi="Arial" w:cs="Arial"/>
        </w:rPr>
        <w:t>se tienen los siguientes flujos financieros en años seleccionados:</w:t>
      </w:r>
    </w:p>
    <w:p w:rsidR="00854F3E" w:rsidRDefault="00854F3E" w:rsidP="004062E1">
      <w:pPr>
        <w:rPr>
          <w:rFonts w:ascii="Arial" w:hAnsi="Arial" w:cs="Arial"/>
        </w:rPr>
      </w:pPr>
    </w:p>
    <w:p w:rsidR="00854F3E" w:rsidRPr="00414D4E" w:rsidRDefault="00854F3E" w:rsidP="004062E1">
      <w:pPr>
        <w:rPr>
          <w:rFonts w:ascii="Arial" w:hAnsi="Arial" w:cs="Arial"/>
        </w:rPr>
      </w:pPr>
      <w:r w:rsidRPr="00854F3E">
        <w:rPr>
          <w:noProof/>
          <w:lang w:val="es-ES_tradnl" w:eastAsia="es-ES_tradnl"/>
        </w:rPr>
        <w:drawing>
          <wp:inline distT="0" distB="0" distL="0" distR="0">
            <wp:extent cx="5612130" cy="1401290"/>
            <wp:effectExtent l="19050" t="0" r="762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5612130" cy="1401290"/>
                    </a:xfrm>
                    <a:prstGeom prst="rect">
                      <a:avLst/>
                    </a:prstGeom>
                    <a:noFill/>
                    <a:ln w="9525">
                      <a:noFill/>
                      <a:miter lim="800000"/>
                      <a:headEnd/>
                      <a:tailEnd/>
                    </a:ln>
                  </pic:spPr>
                </pic:pic>
              </a:graphicData>
            </a:graphic>
          </wp:inline>
        </w:drawing>
      </w:r>
    </w:p>
    <w:p w:rsidR="004062E1" w:rsidRPr="00854F3E" w:rsidRDefault="00854F3E" w:rsidP="004062E1">
      <w:pPr>
        <w:rPr>
          <w:rFonts w:ascii="Arial" w:hAnsi="Arial" w:cs="Arial"/>
          <w:sz w:val="16"/>
          <w:szCs w:val="16"/>
        </w:rPr>
      </w:pPr>
      <w:r w:rsidRPr="00854F3E">
        <w:rPr>
          <w:rFonts w:ascii="Arial" w:hAnsi="Arial" w:cs="Arial"/>
          <w:sz w:val="16"/>
          <w:szCs w:val="16"/>
        </w:rPr>
        <w:t>Fuente: Cálculos del consultor con base en el modelo EPMMQ</w:t>
      </w:r>
    </w:p>
    <w:p w:rsidR="00854F3E" w:rsidRDefault="00854F3E" w:rsidP="004062E1">
      <w:pPr>
        <w:rPr>
          <w:rFonts w:ascii="Arial" w:hAnsi="Arial" w:cs="Arial"/>
        </w:rPr>
      </w:pPr>
      <w:r>
        <w:rPr>
          <w:rFonts w:ascii="Arial" w:hAnsi="Arial" w:cs="Arial"/>
        </w:rPr>
        <w:lastRenderedPageBreak/>
        <w:t xml:space="preserve">Como puede observarse, mantener </w:t>
      </w:r>
      <w:r w:rsidR="00D844F2">
        <w:rPr>
          <w:rFonts w:ascii="Arial" w:hAnsi="Arial" w:cs="Arial"/>
        </w:rPr>
        <w:t xml:space="preserve">fija </w:t>
      </w:r>
      <w:r>
        <w:rPr>
          <w:rFonts w:ascii="Arial" w:hAnsi="Arial" w:cs="Arial"/>
        </w:rPr>
        <w:t>una tarifa de 0,25 centavos por pasajeros tendría efectos catastróficos para el proyecto.</w:t>
      </w:r>
      <w:r w:rsidR="0027683F">
        <w:rPr>
          <w:rFonts w:ascii="Arial" w:hAnsi="Arial" w:cs="Arial"/>
        </w:rPr>
        <w:t xml:space="preserve"> Los </w:t>
      </w:r>
      <w:r w:rsidR="00D10547">
        <w:rPr>
          <w:rFonts w:ascii="Arial" w:hAnsi="Arial" w:cs="Arial"/>
        </w:rPr>
        <w:t xml:space="preserve">resultados  en los </w:t>
      </w:r>
      <w:r w:rsidR="0027683F">
        <w:rPr>
          <w:rFonts w:ascii="Arial" w:hAnsi="Arial" w:cs="Arial"/>
        </w:rPr>
        <w:t>otros escenarios también señalan la importancia  de contar con una adecuada política tarifaria</w:t>
      </w:r>
      <w:r w:rsidR="00D10547">
        <w:rPr>
          <w:rFonts w:ascii="Arial" w:hAnsi="Arial" w:cs="Arial"/>
        </w:rPr>
        <w:t>.</w:t>
      </w:r>
    </w:p>
    <w:p w:rsidR="00854F3E" w:rsidRDefault="00854F3E" w:rsidP="004062E1">
      <w:pPr>
        <w:rPr>
          <w:rFonts w:ascii="Arial" w:hAnsi="Arial" w:cs="Arial"/>
        </w:rPr>
      </w:pPr>
    </w:p>
    <w:p w:rsidR="004062E1" w:rsidRPr="00414D4E" w:rsidRDefault="004062E1" w:rsidP="004062E1">
      <w:pPr>
        <w:rPr>
          <w:rFonts w:ascii="Arial" w:hAnsi="Arial" w:cs="Arial"/>
        </w:rPr>
      </w:pPr>
      <w:r w:rsidRPr="00414D4E">
        <w:rPr>
          <w:rFonts w:ascii="Arial" w:hAnsi="Arial" w:cs="Arial"/>
        </w:rPr>
        <w:t xml:space="preserve">En el modelo financiero </w:t>
      </w:r>
      <w:r w:rsidR="00414D4E">
        <w:rPr>
          <w:rFonts w:ascii="Arial" w:hAnsi="Arial" w:cs="Arial"/>
        </w:rPr>
        <w:t xml:space="preserve">de la EPMMQ </w:t>
      </w:r>
      <w:r w:rsidRPr="00414D4E">
        <w:rPr>
          <w:rFonts w:ascii="Arial" w:hAnsi="Arial" w:cs="Arial"/>
        </w:rPr>
        <w:t xml:space="preserve">se estima un </w:t>
      </w:r>
      <w:r w:rsidR="004D549C">
        <w:rPr>
          <w:rFonts w:ascii="Arial" w:hAnsi="Arial" w:cs="Arial"/>
        </w:rPr>
        <w:t>punto de equilibrio de ingresos</w:t>
      </w:r>
      <w:r w:rsidRPr="00414D4E">
        <w:rPr>
          <w:rFonts w:ascii="Arial" w:hAnsi="Arial" w:cs="Arial"/>
        </w:rPr>
        <w:t xml:space="preserve"> </w:t>
      </w:r>
      <w:r w:rsidR="004D549C">
        <w:rPr>
          <w:rFonts w:ascii="Arial" w:hAnsi="Arial" w:cs="Arial"/>
        </w:rPr>
        <w:t xml:space="preserve">por encima del cual </w:t>
      </w:r>
      <w:r w:rsidRPr="00414D4E">
        <w:rPr>
          <w:rFonts w:ascii="Arial" w:hAnsi="Arial" w:cs="Arial"/>
        </w:rPr>
        <w:t xml:space="preserve">el proyecto cubre sus costos fijos y variables. De este modo, se comparan los flujos de ingresos de estos escenarios, con respecto a los flujos de ingresos en el punto de equilibrio. </w:t>
      </w:r>
      <w:r w:rsidR="005854E7">
        <w:rPr>
          <w:rFonts w:ascii="Arial" w:hAnsi="Arial" w:cs="Arial"/>
        </w:rPr>
        <w:t>A los flujos estimados de ingresos de cada escenario de tarifa, se le resta el flujo de ingresos del punto de equilibrio, para determinar que tanto margen operacional se dispone a partir de la tarifa estimada en cada escenario. Para cada  flujo diferencial entre los ingresos de cada escenario y el de punto de equilibrio, se obtiene el Valor Presente Neto, a una tasa del 12%. En</w:t>
      </w:r>
      <w:r w:rsidRPr="00414D4E">
        <w:rPr>
          <w:rFonts w:ascii="Arial" w:hAnsi="Arial" w:cs="Arial"/>
        </w:rPr>
        <w:t xml:space="preserve"> la tabla siguiente se muestra</w:t>
      </w:r>
      <w:r w:rsidR="005854E7">
        <w:rPr>
          <w:rFonts w:ascii="Arial" w:hAnsi="Arial" w:cs="Arial"/>
        </w:rPr>
        <w:t>n</w:t>
      </w:r>
      <w:r w:rsidRPr="00414D4E">
        <w:rPr>
          <w:rFonts w:ascii="Arial" w:hAnsi="Arial" w:cs="Arial"/>
        </w:rPr>
        <w:t xml:space="preserve"> </w:t>
      </w:r>
      <w:r w:rsidR="005854E7">
        <w:rPr>
          <w:rFonts w:ascii="Arial" w:hAnsi="Arial" w:cs="Arial"/>
        </w:rPr>
        <w:t xml:space="preserve">estos resultados. Sólo en el escenario C, la senda de tarifa proyectada no alcanza a cubrir los costos fijos y variables calculados para el escenario de punto de equilibrio.  </w:t>
      </w:r>
    </w:p>
    <w:p w:rsidR="004062E1" w:rsidRDefault="004062E1" w:rsidP="004062E1"/>
    <w:p w:rsidR="004062E1" w:rsidRDefault="004062E1" w:rsidP="004062E1"/>
    <w:p w:rsidR="004062E1" w:rsidRDefault="004062E1" w:rsidP="004062E1">
      <w:pPr>
        <w:pStyle w:val="Caption"/>
        <w:keepNext/>
        <w:jc w:val="center"/>
      </w:pPr>
      <w:bookmarkStart w:id="6" w:name="_Toc336368594"/>
      <w:r>
        <w:t xml:space="preserve">Tabla </w:t>
      </w:r>
      <w:r w:rsidR="000A0CCB">
        <w:fldChar w:fldCharType="begin"/>
      </w:r>
      <w:r w:rsidR="000A0CCB">
        <w:instrText xml:space="preserve"> SEQ Tabla \* ARABIC </w:instrText>
      </w:r>
      <w:r w:rsidR="000A0CCB">
        <w:fldChar w:fldCharType="separate"/>
      </w:r>
      <w:r w:rsidR="003D4D79">
        <w:rPr>
          <w:noProof/>
        </w:rPr>
        <w:t>2</w:t>
      </w:r>
      <w:r w:rsidR="000A0CCB">
        <w:rPr>
          <w:noProof/>
        </w:rPr>
        <w:fldChar w:fldCharType="end"/>
      </w:r>
      <w:r>
        <w:t>. Resultados de diferencias en ingresos con respecto al punto de equilibrio</w:t>
      </w:r>
      <w:bookmarkEnd w:id="6"/>
    </w:p>
    <w:p w:rsidR="004062E1" w:rsidRDefault="004062E1" w:rsidP="004062E1">
      <w:pPr>
        <w:jc w:val="center"/>
      </w:pPr>
      <w:r w:rsidRPr="001F693C">
        <w:rPr>
          <w:noProof/>
          <w:lang w:val="es-ES_tradnl" w:eastAsia="es-ES_tradnl"/>
        </w:rPr>
        <w:drawing>
          <wp:inline distT="0" distB="0" distL="0" distR="0">
            <wp:extent cx="3736975" cy="975995"/>
            <wp:effectExtent l="0" t="0" r="0" b="0"/>
            <wp:docPr id="12"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36975" cy="975995"/>
                    </a:xfrm>
                    <a:prstGeom prst="rect">
                      <a:avLst/>
                    </a:prstGeom>
                    <a:noFill/>
                    <a:ln>
                      <a:noFill/>
                    </a:ln>
                  </pic:spPr>
                </pic:pic>
              </a:graphicData>
            </a:graphic>
          </wp:inline>
        </w:drawing>
      </w:r>
    </w:p>
    <w:p w:rsidR="004062E1" w:rsidRPr="002E4317" w:rsidRDefault="004062E1" w:rsidP="004062E1">
      <w:pPr>
        <w:ind w:firstLine="1"/>
        <w:jc w:val="center"/>
        <w:rPr>
          <w:sz w:val="18"/>
        </w:rPr>
      </w:pPr>
      <w:r w:rsidRPr="002E4317">
        <w:rPr>
          <w:sz w:val="18"/>
        </w:rPr>
        <w:t>Fuente: “</w:t>
      </w:r>
      <w:r w:rsidR="006E7464">
        <w:rPr>
          <w:i/>
          <w:sz w:val="18"/>
        </w:rPr>
        <w:t>Escenarios Tarifa.xlsx</w:t>
      </w:r>
      <w:r w:rsidRPr="002E4317">
        <w:rPr>
          <w:sz w:val="18"/>
        </w:rPr>
        <w:t>”</w:t>
      </w:r>
    </w:p>
    <w:p w:rsidR="004062E1" w:rsidRDefault="004062E1" w:rsidP="004062E1">
      <w:pPr>
        <w:ind w:left="1276"/>
      </w:pPr>
    </w:p>
    <w:p w:rsidR="004062E1" w:rsidRPr="00414D4E" w:rsidRDefault="004062E1" w:rsidP="004062E1">
      <w:pPr>
        <w:rPr>
          <w:rFonts w:ascii="Arial" w:hAnsi="Arial" w:cs="Arial"/>
        </w:rPr>
      </w:pPr>
      <w:r w:rsidRPr="00414D4E">
        <w:rPr>
          <w:rFonts w:ascii="Arial" w:hAnsi="Arial" w:cs="Arial"/>
        </w:rPr>
        <w:t xml:space="preserve">A continuación se puede apreciar </w:t>
      </w:r>
      <w:r w:rsidR="008C4F60">
        <w:rPr>
          <w:rFonts w:ascii="Arial" w:hAnsi="Arial" w:cs="Arial"/>
        </w:rPr>
        <w:t xml:space="preserve">la </w:t>
      </w:r>
      <w:r w:rsidR="005854E7">
        <w:rPr>
          <w:rFonts w:ascii="Arial" w:hAnsi="Arial" w:cs="Arial"/>
        </w:rPr>
        <w:t>senda descrita anteriormente. Se muestran la diferencia entre cada uno de los escenarios de ingresos y el punto de equilibrio para toda la senda temporal analizada de operación del proyecto (2016 –</w:t>
      </w:r>
      <w:r w:rsidR="008146E2">
        <w:rPr>
          <w:rFonts w:ascii="Arial" w:hAnsi="Arial" w:cs="Arial"/>
        </w:rPr>
        <w:t xml:space="preserve"> 2045). De estos flujos proyectados es que se obtienen los Valores Presentes Netos presentados en la tabla anterior-</w:t>
      </w:r>
    </w:p>
    <w:p w:rsidR="004062E1" w:rsidRPr="00414D4E" w:rsidRDefault="004062E1" w:rsidP="004062E1">
      <w:pPr>
        <w:rPr>
          <w:rFonts w:ascii="Arial" w:hAnsi="Arial" w:cs="Arial"/>
        </w:rPr>
      </w:pPr>
    </w:p>
    <w:p w:rsidR="008146E2" w:rsidRDefault="008146E2" w:rsidP="008146E2">
      <w:pPr>
        <w:pStyle w:val="Caption"/>
        <w:keepNext/>
        <w:jc w:val="center"/>
      </w:pPr>
      <w:bookmarkStart w:id="7" w:name="_Toc336368609"/>
      <w:r>
        <w:lastRenderedPageBreak/>
        <w:t xml:space="preserve">Ilustración </w:t>
      </w:r>
      <w:r w:rsidR="000A0CCB">
        <w:fldChar w:fldCharType="begin"/>
      </w:r>
      <w:r w:rsidR="000A0CCB">
        <w:instrText xml:space="preserve"> SEQ Ilustración \* ARABIC </w:instrText>
      </w:r>
      <w:r w:rsidR="000A0CCB">
        <w:fldChar w:fldCharType="separate"/>
      </w:r>
      <w:r w:rsidR="003D4D79">
        <w:rPr>
          <w:noProof/>
        </w:rPr>
        <w:t>1</w:t>
      </w:r>
      <w:r w:rsidR="000A0CCB">
        <w:rPr>
          <w:noProof/>
        </w:rPr>
        <w:fldChar w:fldCharType="end"/>
      </w:r>
      <w:r w:rsidR="003D4D79">
        <w:t>. Representación gráfica de las diferencias entre los ingresos de cada escenario y el punto de equilibrio</w:t>
      </w:r>
      <w:bookmarkEnd w:id="7"/>
    </w:p>
    <w:p w:rsidR="004062E1" w:rsidRDefault="004062E1" w:rsidP="004062E1">
      <w:r w:rsidRPr="007B3CCE">
        <w:rPr>
          <w:noProof/>
          <w:lang w:val="es-ES_tradnl" w:eastAsia="es-ES_tradnl"/>
        </w:rPr>
        <w:drawing>
          <wp:inline distT="0" distB="0" distL="0" distR="0">
            <wp:extent cx="5612130" cy="3663703"/>
            <wp:effectExtent l="0" t="0" r="0" b="0"/>
            <wp:docPr id="13"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12130" cy="3663703"/>
                    </a:xfrm>
                    <a:prstGeom prst="rect">
                      <a:avLst/>
                    </a:prstGeom>
                    <a:noFill/>
                    <a:ln>
                      <a:noFill/>
                    </a:ln>
                  </pic:spPr>
                </pic:pic>
              </a:graphicData>
            </a:graphic>
          </wp:inline>
        </w:drawing>
      </w:r>
    </w:p>
    <w:p w:rsidR="006E7464" w:rsidRPr="002E4317" w:rsidRDefault="006E7464" w:rsidP="006E7464">
      <w:pPr>
        <w:ind w:firstLine="1"/>
        <w:jc w:val="center"/>
        <w:rPr>
          <w:sz w:val="18"/>
        </w:rPr>
      </w:pPr>
      <w:r w:rsidRPr="002E4317">
        <w:rPr>
          <w:sz w:val="18"/>
        </w:rPr>
        <w:t>Fuente: “</w:t>
      </w:r>
      <w:r>
        <w:rPr>
          <w:i/>
          <w:sz w:val="18"/>
        </w:rPr>
        <w:t>Escenarios Tarifa.xlsx</w:t>
      </w:r>
      <w:r w:rsidRPr="002E4317">
        <w:rPr>
          <w:sz w:val="18"/>
        </w:rPr>
        <w:t>”</w:t>
      </w:r>
    </w:p>
    <w:p w:rsidR="004062E1" w:rsidRDefault="004062E1" w:rsidP="004062E1"/>
    <w:p w:rsidR="003D4D79" w:rsidRDefault="003D4D79" w:rsidP="004062E1">
      <w:pPr>
        <w:rPr>
          <w:rFonts w:ascii="Arial" w:hAnsi="Arial" w:cs="Arial"/>
        </w:rPr>
      </w:pPr>
    </w:p>
    <w:p w:rsidR="003D4D79" w:rsidRDefault="003D4D79" w:rsidP="003D4D79">
      <w:pPr>
        <w:rPr>
          <w:rFonts w:ascii="Arial" w:hAnsi="Arial" w:cs="Arial"/>
        </w:rPr>
      </w:pPr>
      <w:r>
        <w:rPr>
          <w:rFonts w:ascii="Arial" w:hAnsi="Arial" w:cs="Arial"/>
        </w:rPr>
        <w:t xml:space="preserve">Finalmente, se puede corroborar esta dinámica en las gráficas y tablas que se presentan a continuación. En esta se presentan los ingresos estimados para cada escenario de acuerdo a cada uno de los escenarios tarifarios supuestos. Asimismo, se incluye la senda de costos operacionales estimados en el modelo financiero de la </w:t>
      </w:r>
      <w:r w:rsidRPr="003D4D79">
        <w:rPr>
          <w:rFonts w:ascii="Arial" w:hAnsi="Arial" w:cs="Arial"/>
        </w:rPr>
        <w:t xml:space="preserve">EPMMQ, </w:t>
      </w:r>
      <w:r>
        <w:rPr>
          <w:rFonts w:ascii="Arial" w:hAnsi="Arial" w:cs="Arial"/>
        </w:rPr>
        <w:t xml:space="preserve">para determinar si los ingresos generados por los viajeros esperados del proyecto cubren estos costos. Como se había visto en el análisis del punto de equilibrio, el único escenario de tarifa que no cubre los costos operacionales en Valor Presente Neto anual (nuevamente al 12% la tasa de descuento) es el escenario C, en el que la tarifa permanece inmóvil en todo el espectro temporal del proyecto. </w:t>
      </w:r>
    </w:p>
    <w:p w:rsidR="008C4F60" w:rsidRDefault="008C4F60" w:rsidP="003D4D79">
      <w:pPr>
        <w:rPr>
          <w:rFonts w:ascii="Arial" w:hAnsi="Arial" w:cs="Arial"/>
        </w:rPr>
      </w:pPr>
    </w:p>
    <w:p w:rsidR="003D4D79" w:rsidRDefault="003D4D79" w:rsidP="003D4D79">
      <w:pPr>
        <w:pStyle w:val="Caption"/>
        <w:keepNext/>
        <w:jc w:val="center"/>
      </w:pPr>
      <w:bookmarkStart w:id="8" w:name="_Toc336368610"/>
      <w:r>
        <w:lastRenderedPageBreak/>
        <w:t xml:space="preserve">Ilustración </w:t>
      </w:r>
      <w:r w:rsidR="000A0CCB">
        <w:fldChar w:fldCharType="begin"/>
      </w:r>
      <w:r w:rsidR="000A0CCB">
        <w:instrText xml:space="preserve"> SEQ Ilustración \* A</w:instrText>
      </w:r>
      <w:r w:rsidR="000A0CCB">
        <w:instrText xml:space="preserve">RABIC </w:instrText>
      </w:r>
      <w:r w:rsidR="000A0CCB">
        <w:fldChar w:fldCharType="separate"/>
      </w:r>
      <w:r>
        <w:rPr>
          <w:noProof/>
        </w:rPr>
        <w:t>2</w:t>
      </w:r>
      <w:r w:rsidR="000A0CCB">
        <w:rPr>
          <w:noProof/>
        </w:rPr>
        <w:fldChar w:fldCharType="end"/>
      </w:r>
      <w:r>
        <w:t>. Relación Ingresos por escenarios con costos operacionales</w:t>
      </w:r>
      <w:bookmarkEnd w:id="8"/>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51"/>
      </w:tblGrid>
      <w:tr w:rsidR="003D4D79" w:rsidTr="004F6F8D">
        <w:trPr>
          <w:jc w:val="center"/>
        </w:trPr>
        <w:tc>
          <w:tcPr>
            <w:tcW w:w="9051" w:type="dxa"/>
          </w:tcPr>
          <w:p w:rsidR="003D4D79" w:rsidRDefault="003D4D79" w:rsidP="004F6F8D">
            <w:pPr>
              <w:jc w:val="center"/>
              <w:rPr>
                <w:rFonts w:ascii="Arial" w:hAnsi="Arial" w:cs="Arial"/>
              </w:rPr>
            </w:pPr>
            <w:r>
              <w:rPr>
                <w:rFonts w:ascii="Arial" w:hAnsi="Arial" w:cs="Arial"/>
                <w:noProof/>
                <w:lang w:val="es-ES_tradnl" w:eastAsia="es-ES_tradnl"/>
              </w:rPr>
              <w:drawing>
                <wp:inline distT="0" distB="0" distL="0" distR="0">
                  <wp:extent cx="5610225" cy="3667125"/>
                  <wp:effectExtent l="0" t="0" r="0" b="0"/>
                  <wp:docPr id="10"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srcRect/>
                          <a:stretch>
                            <a:fillRect/>
                          </a:stretch>
                        </pic:blipFill>
                        <pic:spPr bwMode="auto">
                          <a:xfrm>
                            <a:off x="0" y="0"/>
                            <a:ext cx="5610225" cy="3667125"/>
                          </a:xfrm>
                          <a:prstGeom prst="rect">
                            <a:avLst/>
                          </a:prstGeom>
                          <a:noFill/>
                          <a:ln w="9525">
                            <a:noFill/>
                            <a:miter lim="800000"/>
                            <a:headEnd/>
                            <a:tailEnd/>
                          </a:ln>
                        </pic:spPr>
                      </pic:pic>
                    </a:graphicData>
                  </a:graphic>
                </wp:inline>
              </w:drawing>
            </w:r>
          </w:p>
        </w:tc>
      </w:tr>
      <w:tr w:rsidR="003D4D79" w:rsidTr="004F6F8D">
        <w:trPr>
          <w:jc w:val="center"/>
        </w:trPr>
        <w:tc>
          <w:tcPr>
            <w:tcW w:w="9051" w:type="dxa"/>
          </w:tcPr>
          <w:p w:rsidR="003D4D79" w:rsidRDefault="003D4D79" w:rsidP="004F6F8D">
            <w:pPr>
              <w:jc w:val="center"/>
              <w:rPr>
                <w:rFonts w:ascii="Arial" w:hAnsi="Arial" w:cs="Arial"/>
              </w:rPr>
            </w:pPr>
            <w:r>
              <w:rPr>
                <w:rFonts w:ascii="Arial" w:hAnsi="Arial" w:cs="Arial"/>
                <w:noProof/>
                <w:lang w:val="es-ES_tradnl" w:eastAsia="es-ES_tradnl"/>
              </w:rPr>
              <w:drawing>
                <wp:inline distT="0" distB="0" distL="0" distR="0">
                  <wp:extent cx="3733800" cy="971550"/>
                  <wp:effectExtent l="19050" t="0" r="0" b="0"/>
                  <wp:docPr id="11"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srcRect/>
                          <a:stretch>
                            <a:fillRect/>
                          </a:stretch>
                        </pic:blipFill>
                        <pic:spPr bwMode="auto">
                          <a:xfrm>
                            <a:off x="0" y="0"/>
                            <a:ext cx="3733800" cy="971550"/>
                          </a:xfrm>
                          <a:prstGeom prst="rect">
                            <a:avLst/>
                          </a:prstGeom>
                          <a:noFill/>
                          <a:ln w="9525">
                            <a:noFill/>
                            <a:miter lim="800000"/>
                            <a:headEnd/>
                            <a:tailEnd/>
                          </a:ln>
                        </pic:spPr>
                      </pic:pic>
                    </a:graphicData>
                  </a:graphic>
                </wp:inline>
              </w:drawing>
            </w:r>
          </w:p>
        </w:tc>
      </w:tr>
    </w:tbl>
    <w:p w:rsidR="003D4D79" w:rsidRPr="002E4317" w:rsidRDefault="003D4D79" w:rsidP="003D4D79">
      <w:pPr>
        <w:ind w:firstLine="1"/>
        <w:jc w:val="center"/>
        <w:rPr>
          <w:sz w:val="18"/>
        </w:rPr>
      </w:pPr>
      <w:r w:rsidRPr="002E4317">
        <w:rPr>
          <w:sz w:val="18"/>
        </w:rPr>
        <w:t>Fuente: “</w:t>
      </w:r>
      <w:r>
        <w:rPr>
          <w:i/>
          <w:sz w:val="18"/>
        </w:rPr>
        <w:t>Escenarios Tarifa.xlsx</w:t>
      </w:r>
      <w:r w:rsidRPr="002E4317">
        <w:rPr>
          <w:sz w:val="18"/>
        </w:rPr>
        <w:t>”</w:t>
      </w:r>
    </w:p>
    <w:p w:rsidR="003D4D79" w:rsidRDefault="003D4D79" w:rsidP="003D4D79">
      <w:pPr>
        <w:rPr>
          <w:rFonts w:ascii="Arial" w:hAnsi="Arial" w:cs="Arial"/>
        </w:rPr>
      </w:pPr>
    </w:p>
    <w:p w:rsidR="003D4D79" w:rsidRDefault="003D4D79" w:rsidP="003D4D79">
      <w:pPr>
        <w:rPr>
          <w:rFonts w:ascii="Arial" w:hAnsi="Arial" w:cs="Arial"/>
        </w:rPr>
      </w:pPr>
    </w:p>
    <w:p w:rsidR="003D4D79" w:rsidRDefault="003D4D79" w:rsidP="004062E1">
      <w:pPr>
        <w:rPr>
          <w:rFonts w:ascii="Arial" w:hAnsi="Arial" w:cs="Arial"/>
        </w:rPr>
      </w:pPr>
    </w:p>
    <w:p w:rsidR="003D4D79" w:rsidRDefault="003D4D79" w:rsidP="004062E1">
      <w:pPr>
        <w:rPr>
          <w:rFonts w:ascii="Arial" w:hAnsi="Arial" w:cs="Arial"/>
        </w:rPr>
      </w:pPr>
    </w:p>
    <w:p w:rsidR="003D4D79" w:rsidRDefault="003D4D79" w:rsidP="004062E1">
      <w:pPr>
        <w:rPr>
          <w:rFonts w:ascii="Arial" w:hAnsi="Arial" w:cs="Arial"/>
        </w:rPr>
      </w:pPr>
    </w:p>
    <w:p w:rsidR="004062E1" w:rsidRPr="00414D4E" w:rsidRDefault="004062E1" w:rsidP="004062E1">
      <w:pPr>
        <w:rPr>
          <w:rFonts w:ascii="Arial" w:hAnsi="Arial" w:cs="Arial"/>
        </w:rPr>
      </w:pPr>
      <w:r w:rsidRPr="00414D4E">
        <w:rPr>
          <w:rFonts w:ascii="Arial" w:hAnsi="Arial" w:cs="Arial"/>
        </w:rPr>
        <w:t>Asimismo, es de notar que según el modelo financiero, el punto de equilibrio alcanza una ocupación promedio del 57% con respecto al flujo proyectado de viajes. En este sentido, se puede decir que una aún con una caída promedio del 43% del flujo de viajes, el modelo sigue en su punto de equilibrio. En la gráfica siguiente se puede contrastar la dinámica de estas dos proyecciones de viajes al año.</w:t>
      </w:r>
    </w:p>
    <w:p w:rsidR="004062E1" w:rsidRPr="00414D4E" w:rsidRDefault="004062E1" w:rsidP="004062E1">
      <w:pPr>
        <w:rPr>
          <w:rFonts w:ascii="Arial" w:hAnsi="Arial" w:cs="Arial"/>
        </w:rPr>
      </w:pPr>
    </w:p>
    <w:p w:rsidR="00A41E5D" w:rsidRDefault="00A41E5D" w:rsidP="004062E1">
      <w:pPr>
        <w:rPr>
          <w:rFonts w:ascii="Arial" w:hAnsi="Arial" w:cs="Arial"/>
        </w:rPr>
      </w:pPr>
    </w:p>
    <w:p w:rsidR="00A41E5D" w:rsidRDefault="00A41E5D" w:rsidP="004062E1">
      <w:pPr>
        <w:rPr>
          <w:rFonts w:ascii="Arial" w:hAnsi="Arial" w:cs="Arial"/>
        </w:rPr>
      </w:pPr>
    </w:p>
    <w:p w:rsidR="004062E1" w:rsidRDefault="004062E1" w:rsidP="004062E1">
      <w:pPr>
        <w:pStyle w:val="Caption"/>
        <w:keepNext/>
        <w:jc w:val="center"/>
      </w:pPr>
      <w:bookmarkStart w:id="9" w:name="_Toc336368611"/>
      <w:r>
        <w:lastRenderedPageBreak/>
        <w:t xml:space="preserve">Ilustración </w:t>
      </w:r>
      <w:r w:rsidR="000A0CCB">
        <w:fldChar w:fldCharType="begin"/>
      </w:r>
      <w:r w:rsidR="000A0CCB">
        <w:instrText xml:space="preserve"> SEQ Ilustración \* ARABIC </w:instrText>
      </w:r>
      <w:r w:rsidR="000A0CCB">
        <w:fldChar w:fldCharType="separate"/>
      </w:r>
      <w:r w:rsidR="003D4D79">
        <w:rPr>
          <w:noProof/>
        </w:rPr>
        <w:t>3</w:t>
      </w:r>
      <w:r w:rsidR="000A0CCB">
        <w:rPr>
          <w:noProof/>
        </w:rPr>
        <w:fldChar w:fldCharType="end"/>
      </w:r>
      <w:r>
        <w:t>. Proyección de demanda contra viajes de equilibrio</w:t>
      </w:r>
      <w:bookmarkEnd w:id="9"/>
    </w:p>
    <w:p w:rsidR="004062E1" w:rsidRDefault="004062E1" w:rsidP="004062E1">
      <w:pPr>
        <w:jc w:val="center"/>
      </w:pPr>
      <w:r w:rsidRPr="007B3CCE">
        <w:rPr>
          <w:noProof/>
          <w:lang w:val="es-ES_tradnl" w:eastAsia="es-ES_tradnl"/>
        </w:rPr>
        <w:drawing>
          <wp:inline distT="0" distB="0" distL="0" distR="0">
            <wp:extent cx="5612130" cy="3661587"/>
            <wp:effectExtent l="0" t="0" r="0" b="0"/>
            <wp:docPr id="14"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612130" cy="3661587"/>
                    </a:xfrm>
                    <a:prstGeom prst="rect">
                      <a:avLst/>
                    </a:prstGeom>
                    <a:noFill/>
                    <a:ln>
                      <a:noFill/>
                    </a:ln>
                  </pic:spPr>
                </pic:pic>
              </a:graphicData>
            </a:graphic>
          </wp:inline>
        </w:drawing>
      </w:r>
    </w:p>
    <w:p w:rsidR="004062E1" w:rsidRPr="002E4317" w:rsidRDefault="004062E1" w:rsidP="004062E1">
      <w:pPr>
        <w:ind w:firstLine="1"/>
        <w:jc w:val="center"/>
        <w:rPr>
          <w:sz w:val="18"/>
        </w:rPr>
      </w:pPr>
      <w:r w:rsidRPr="002E4317">
        <w:rPr>
          <w:sz w:val="18"/>
        </w:rPr>
        <w:t>Fuente: “</w:t>
      </w:r>
      <w:r w:rsidRPr="00737C8E">
        <w:rPr>
          <w:i/>
          <w:sz w:val="18"/>
        </w:rPr>
        <w:t>9 Modelo Metro Quito - (18-Sep).xls</w:t>
      </w:r>
      <w:r w:rsidRPr="002E4317">
        <w:rPr>
          <w:sz w:val="18"/>
        </w:rPr>
        <w:t>”</w:t>
      </w:r>
    </w:p>
    <w:p w:rsidR="004062E1" w:rsidRDefault="004062E1" w:rsidP="004062E1">
      <w:pPr>
        <w:ind w:left="426"/>
      </w:pPr>
    </w:p>
    <w:p w:rsidR="004062E1" w:rsidRDefault="004062E1" w:rsidP="004062E1">
      <w:pPr>
        <w:ind w:left="426"/>
      </w:pPr>
    </w:p>
    <w:p w:rsidR="004062E1" w:rsidRPr="00414D4E" w:rsidRDefault="004062E1" w:rsidP="004062E1">
      <w:pPr>
        <w:rPr>
          <w:rFonts w:ascii="Arial" w:hAnsi="Arial" w:cs="Arial"/>
        </w:rPr>
      </w:pPr>
      <w:r w:rsidRPr="00414D4E">
        <w:rPr>
          <w:rFonts w:ascii="Arial" w:hAnsi="Arial" w:cs="Arial"/>
        </w:rPr>
        <w:t>Este resultado se puede combinar con lo encontrado en el modelo económico. Dada la vulnerabilidad existente en este tipo de proyectos en los que se puede llegar a sobreestimar la demanda efectivamente recogida y subestimar los costos de inversión, el escenario en el que se retrataba una situación semejante, determinaba que el modelo ya no fuese rentable económicamente. Dado que el punto de equilibrio sólo es soportado hasta con una reducción de demanda del 43%, un escenario en el que se reduzca la demanda en un 45% con un</w:t>
      </w:r>
      <w:r w:rsidR="004F6F8D">
        <w:rPr>
          <w:rFonts w:ascii="Arial" w:hAnsi="Arial" w:cs="Arial"/>
        </w:rPr>
        <w:t xml:space="preserve"> </w:t>
      </w:r>
      <w:r w:rsidRPr="00414D4E">
        <w:rPr>
          <w:rFonts w:ascii="Arial" w:hAnsi="Arial" w:cs="Arial"/>
        </w:rPr>
        <w:t xml:space="preserve">aumento semejante en los costos, no sólo no resulta rentable económicamente, sino que tampoco alcanza el punto de equilibrio financiero. </w:t>
      </w:r>
      <w:r w:rsidR="004F6F8D">
        <w:rPr>
          <w:rFonts w:ascii="Arial" w:hAnsi="Arial" w:cs="Arial"/>
        </w:rPr>
        <w:t>Claro que una disminución del 45% en la demanda puede considerarse como una situación extrema.</w:t>
      </w:r>
    </w:p>
    <w:p w:rsidR="00651AAA" w:rsidRDefault="002E66E4" w:rsidP="002E0198">
      <w:pPr>
        <w:pStyle w:val="Heading1"/>
        <w:numPr>
          <w:ilvl w:val="0"/>
          <w:numId w:val="7"/>
        </w:numPr>
        <w:rPr>
          <w:rFonts w:ascii="Arial" w:hAnsi="Arial"/>
          <w:color w:val="auto"/>
          <w:sz w:val="24"/>
        </w:rPr>
      </w:pPr>
      <w:bookmarkStart w:id="10" w:name="_Toc336368604"/>
      <w:r w:rsidRPr="00651AAA">
        <w:rPr>
          <w:rFonts w:ascii="Arial" w:hAnsi="Arial"/>
          <w:color w:val="auto"/>
          <w:sz w:val="24"/>
        </w:rPr>
        <w:t>CONCLUSIONES</w:t>
      </w:r>
      <w:bookmarkEnd w:id="10"/>
    </w:p>
    <w:p w:rsidR="002F2259" w:rsidRDefault="002F2259" w:rsidP="002F2259"/>
    <w:p w:rsidR="002F2259" w:rsidRPr="00122C6B" w:rsidRDefault="004F6F8D" w:rsidP="002F2259">
      <w:pPr>
        <w:rPr>
          <w:rFonts w:ascii="Arial" w:hAnsi="Arial" w:cs="Arial"/>
        </w:rPr>
      </w:pPr>
      <w:r w:rsidRPr="00122C6B">
        <w:rPr>
          <w:rFonts w:ascii="Arial" w:hAnsi="Arial" w:cs="Arial"/>
        </w:rPr>
        <w:t xml:space="preserve">Al igual que en la evaluación económica, la evaluación financiera es sensible a la demanda y los costos de inversión. A ello se agrega se agrega </w:t>
      </w:r>
      <w:r w:rsidR="00122C6B" w:rsidRPr="00122C6B">
        <w:rPr>
          <w:rFonts w:ascii="Arial" w:hAnsi="Arial" w:cs="Arial"/>
        </w:rPr>
        <w:t xml:space="preserve">el tema de las tarifas y su reajuste trianual </w:t>
      </w:r>
      <w:r w:rsidR="00122C6B">
        <w:rPr>
          <w:rFonts w:ascii="Arial" w:hAnsi="Arial" w:cs="Arial"/>
        </w:rPr>
        <w:t>(</w:t>
      </w:r>
      <w:r w:rsidR="00122C6B" w:rsidRPr="00122C6B">
        <w:rPr>
          <w:rFonts w:ascii="Arial" w:hAnsi="Arial" w:cs="Arial"/>
        </w:rPr>
        <w:t>con base en la inflación</w:t>
      </w:r>
      <w:r w:rsidR="00122C6B">
        <w:rPr>
          <w:rFonts w:ascii="Arial" w:hAnsi="Arial" w:cs="Arial"/>
        </w:rPr>
        <w:t>)</w:t>
      </w:r>
      <w:r w:rsidR="00122C6B" w:rsidRPr="00122C6B">
        <w:rPr>
          <w:rFonts w:ascii="Arial" w:hAnsi="Arial" w:cs="Arial"/>
        </w:rPr>
        <w:t xml:space="preserve"> frente a una situación </w:t>
      </w:r>
      <w:r w:rsidR="00122C6B">
        <w:rPr>
          <w:rFonts w:ascii="Arial" w:hAnsi="Arial" w:cs="Arial"/>
        </w:rPr>
        <w:t xml:space="preserve">real </w:t>
      </w:r>
      <w:r w:rsidR="00122C6B" w:rsidRPr="00122C6B">
        <w:rPr>
          <w:rFonts w:ascii="Arial" w:hAnsi="Arial" w:cs="Arial"/>
        </w:rPr>
        <w:t xml:space="preserve">en la cual las tarifas </w:t>
      </w:r>
      <w:r w:rsidR="00122C6B">
        <w:rPr>
          <w:rFonts w:ascii="Arial" w:hAnsi="Arial" w:cs="Arial"/>
        </w:rPr>
        <w:t xml:space="preserve">no se han modificado </w:t>
      </w:r>
      <w:r w:rsidR="00122C6B" w:rsidRPr="00122C6B">
        <w:rPr>
          <w:rFonts w:ascii="Arial" w:hAnsi="Arial" w:cs="Arial"/>
        </w:rPr>
        <w:t xml:space="preserve">desde hace varios años. </w:t>
      </w:r>
    </w:p>
    <w:p w:rsidR="002E66E4" w:rsidRDefault="00651AAA" w:rsidP="002E0198">
      <w:pPr>
        <w:pStyle w:val="Heading1"/>
        <w:numPr>
          <w:ilvl w:val="0"/>
          <w:numId w:val="7"/>
        </w:numPr>
        <w:rPr>
          <w:rFonts w:ascii="Arial" w:hAnsi="Arial"/>
          <w:color w:val="auto"/>
          <w:sz w:val="24"/>
        </w:rPr>
      </w:pPr>
      <w:bookmarkStart w:id="11" w:name="_Toc336368605"/>
      <w:r>
        <w:rPr>
          <w:rFonts w:ascii="Arial" w:hAnsi="Arial"/>
          <w:color w:val="auto"/>
          <w:sz w:val="24"/>
        </w:rPr>
        <w:t>ANEXOS</w:t>
      </w:r>
      <w:bookmarkEnd w:id="11"/>
      <w:r w:rsidR="002E66E4" w:rsidRPr="00651AAA">
        <w:rPr>
          <w:rFonts w:ascii="Arial" w:hAnsi="Arial"/>
          <w:color w:val="auto"/>
          <w:sz w:val="24"/>
        </w:rPr>
        <w:t xml:space="preserve">  </w:t>
      </w:r>
    </w:p>
    <w:p w:rsidR="00651AAA" w:rsidRPr="00651AAA" w:rsidRDefault="00651AAA" w:rsidP="00651AAA"/>
    <w:p w:rsidR="002E66E4" w:rsidRPr="00F415D3" w:rsidRDefault="002F2259" w:rsidP="006E1AD8">
      <w:pPr>
        <w:rPr>
          <w:rFonts w:ascii="Arial" w:hAnsi="Arial" w:cs="Arial"/>
        </w:rPr>
      </w:pPr>
      <w:r>
        <w:rPr>
          <w:rFonts w:ascii="Arial" w:hAnsi="Arial" w:cs="Arial"/>
        </w:rPr>
        <w:t xml:space="preserve">Hojas de </w:t>
      </w:r>
      <w:r w:rsidR="00FB45AA" w:rsidRPr="00927B6A">
        <w:rPr>
          <w:rFonts w:ascii="Arial" w:hAnsi="Arial" w:cs="Arial"/>
        </w:rPr>
        <w:t>cálculo</w:t>
      </w:r>
      <w:r w:rsidRPr="00927B6A">
        <w:rPr>
          <w:rFonts w:ascii="Arial" w:hAnsi="Arial" w:cs="Arial"/>
        </w:rPr>
        <w:t xml:space="preserve"> </w:t>
      </w:r>
      <w:r w:rsidR="00FB45AA" w:rsidRPr="00927B6A">
        <w:rPr>
          <w:rFonts w:ascii="Arial" w:hAnsi="Arial" w:cs="Arial"/>
        </w:rPr>
        <w:t>“</w:t>
      </w:r>
      <w:r w:rsidR="00927B6A" w:rsidRPr="00927B6A">
        <w:rPr>
          <w:rFonts w:ascii="Arial" w:hAnsi="Arial" w:cs="Arial"/>
        </w:rPr>
        <w:t xml:space="preserve">Copia de </w:t>
      </w:r>
      <w:r w:rsidR="004F6F8D">
        <w:rPr>
          <w:rFonts w:ascii="Arial" w:hAnsi="Arial" w:cs="Arial"/>
        </w:rPr>
        <w:t xml:space="preserve">Escenarios Tarifa 25 Sp”. </w:t>
      </w:r>
      <w:r w:rsidR="009E5A1B">
        <w:rPr>
          <w:rFonts w:ascii="Arial" w:hAnsi="Arial" w:cs="Arial"/>
        </w:rPr>
        <w:t>Estimaciones complementarias sobre ingresos y flujos financieros del proyecto.</w:t>
      </w:r>
    </w:p>
    <w:p w:rsidR="002E66E4" w:rsidRPr="00F415D3" w:rsidRDefault="002E66E4" w:rsidP="006E1AD8">
      <w:pPr>
        <w:rPr>
          <w:rFonts w:ascii="Arial" w:hAnsi="Arial" w:cs="Arial"/>
        </w:rPr>
      </w:pPr>
    </w:p>
    <w:p w:rsidR="002E66E4" w:rsidRPr="00F415D3" w:rsidRDefault="002E66E4" w:rsidP="006E1AD8">
      <w:pPr>
        <w:rPr>
          <w:rFonts w:ascii="Arial" w:hAnsi="Arial" w:cs="Arial"/>
        </w:rPr>
      </w:pPr>
    </w:p>
    <w:p w:rsidR="002E66E4" w:rsidRPr="00F415D3" w:rsidRDefault="002E66E4" w:rsidP="006E1AD8">
      <w:pPr>
        <w:rPr>
          <w:rFonts w:ascii="Arial" w:hAnsi="Arial" w:cs="Arial"/>
        </w:rPr>
      </w:pPr>
    </w:p>
    <w:p w:rsidR="002E66E4" w:rsidRPr="00F415D3" w:rsidRDefault="002E66E4" w:rsidP="006E1AD8">
      <w:pPr>
        <w:rPr>
          <w:rFonts w:ascii="Arial" w:hAnsi="Arial" w:cs="Arial"/>
        </w:rPr>
      </w:pPr>
    </w:p>
    <w:p w:rsidR="002E66E4" w:rsidRPr="00F415D3" w:rsidRDefault="002E66E4" w:rsidP="006E1AD8">
      <w:pPr>
        <w:rPr>
          <w:rFonts w:ascii="Arial" w:hAnsi="Arial" w:cs="Arial"/>
        </w:rPr>
      </w:pPr>
    </w:p>
    <w:p w:rsidR="002E66E4" w:rsidRPr="00F415D3" w:rsidRDefault="002E66E4" w:rsidP="006E1AD8">
      <w:pPr>
        <w:rPr>
          <w:rFonts w:ascii="Arial" w:hAnsi="Arial" w:cs="Arial"/>
        </w:rPr>
      </w:pPr>
    </w:p>
    <w:p w:rsidR="002E66E4" w:rsidRPr="00F415D3" w:rsidRDefault="002E66E4" w:rsidP="006E1AD8">
      <w:pPr>
        <w:rPr>
          <w:rFonts w:ascii="Arial" w:hAnsi="Arial" w:cs="Arial"/>
        </w:rPr>
      </w:pPr>
    </w:p>
    <w:p w:rsidR="002E66E4" w:rsidRPr="00F415D3" w:rsidRDefault="002E66E4" w:rsidP="006E1AD8">
      <w:pPr>
        <w:rPr>
          <w:rFonts w:ascii="Arial" w:hAnsi="Arial" w:cs="Arial"/>
        </w:rPr>
      </w:pPr>
    </w:p>
    <w:p w:rsidR="002E66E4" w:rsidRPr="00F415D3" w:rsidRDefault="002E66E4" w:rsidP="006E1AD8">
      <w:pPr>
        <w:rPr>
          <w:rFonts w:ascii="Arial" w:hAnsi="Arial" w:cs="Arial"/>
        </w:rPr>
      </w:pPr>
    </w:p>
    <w:p w:rsidR="002E66E4" w:rsidRPr="00F415D3" w:rsidRDefault="002E66E4" w:rsidP="006E1AD8">
      <w:pPr>
        <w:rPr>
          <w:rFonts w:ascii="Arial" w:hAnsi="Arial" w:cs="Arial"/>
        </w:rPr>
      </w:pPr>
    </w:p>
    <w:p w:rsidR="002E66E4" w:rsidRPr="00F415D3" w:rsidRDefault="002E66E4" w:rsidP="006E1AD8">
      <w:pPr>
        <w:rPr>
          <w:rFonts w:ascii="Arial" w:hAnsi="Arial" w:cs="Arial"/>
        </w:rPr>
      </w:pPr>
    </w:p>
    <w:p w:rsidR="002E66E4" w:rsidRPr="00F415D3" w:rsidRDefault="002E66E4" w:rsidP="006E1AD8">
      <w:pPr>
        <w:rPr>
          <w:rFonts w:ascii="Arial" w:hAnsi="Arial" w:cs="Arial"/>
        </w:rPr>
      </w:pPr>
    </w:p>
    <w:p w:rsidR="002E66E4" w:rsidRPr="00F415D3" w:rsidRDefault="002E66E4" w:rsidP="006E1AD8">
      <w:pPr>
        <w:rPr>
          <w:rFonts w:ascii="Arial" w:hAnsi="Arial" w:cs="Arial"/>
        </w:rPr>
      </w:pPr>
    </w:p>
    <w:p w:rsidR="002E66E4" w:rsidRPr="00F415D3" w:rsidRDefault="002E66E4" w:rsidP="006E1AD8">
      <w:pPr>
        <w:rPr>
          <w:rFonts w:ascii="Arial" w:hAnsi="Arial" w:cs="Arial"/>
        </w:rPr>
      </w:pPr>
    </w:p>
    <w:p w:rsidR="002E66E4" w:rsidRPr="00F415D3" w:rsidRDefault="002E66E4" w:rsidP="006E1AD8">
      <w:pPr>
        <w:rPr>
          <w:rFonts w:ascii="Arial" w:hAnsi="Arial" w:cs="Arial"/>
        </w:rPr>
      </w:pPr>
    </w:p>
    <w:p w:rsidR="002E66E4" w:rsidRPr="00F415D3" w:rsidRDefault="002E66E4" w:rsidP="006E1AD8">
      <w:pPr>
        <w:rPr>
          <w:rFonts w:ascii="Arial" w:hAnsi="Arial" w:cs="Arial"/>
        </w:rPr>
      </w:pPr>
    </w:p>
    <w:sectPr w:rsidR="002E66E4" w:rsidRPr="00F415D3" w:rsidSect="007E0B3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4104" w:rsidRDefault="009E4104" w:rsidP="002C54E1">
      <w:r>
        <w:separator/>
      </w:r>
    </w:p>
  </w:endnote>
  <w:endnote w:type="continuationSeparator" w:id="0">
    <w:p w:rsidR="009E4104" w:rsidRDefault="009E4104" w:rsidP="002C54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969541"/>
      <w:docPartObj>
        <w:docPartGallery w:val="Page Numbers (Bottom of Page)"/>
        <w:docPartUnique/>
      </w:docPartObj>
    </w:sdtPr>
    <w:sdtEndPr/>
    <w:sdtContent>
      <w:p w:rsidR="004F6F8D" w:rsidRDefault="000A0CCB">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rsidR="004F6F8D" w:rsidRDefault="004F6F8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4104" w:rsidRDefault="009E4104" w:rsidP="002C54E1">
      <w:r>
        <w:separator/>
      </w:r>
    </w:p>
  </w:footnote>
  <w:footnote w:type="continuationSeparator" w:id="0">
    <w:p w:rsidR="009E4104" w:rsidRDefault="009E4104" w:rsidP="002C54E1">
      <w:r>
        <w:continuationSeparator/>
      </w:r>
    </w:p>
  </w:footnote>
  <w:footnote w:id="1">
    <w:p w:rsidR="004F6F8D" w:rsidRDefault="004F6F8D">
      <w:pPr>
        <w:pStyle w:val="FootnoteText"/>
      </w:pPr>
      <w:r>
        <w:rPr>
          <w:rStyle w:val="FootnoteReference"/>
        </w:rPr>
        <w:footnoteRef/>
      </w:r>
      <w:r>
        <w:t xml:space="preserve"> En el documento de la última encuesta de hogares, el parque de vehículos particulares se estima en  estima en 303.000 unidades</w:t>
      </w:r>
    </w:p>
  </w:footnote>
  <w:footnote w:id="2">
    <w:p w:rsidR="004F6F8D" w:rsidRDefault="004F6F8D">
      <w:pPr>
        <w:pStyle w:val="FootnoteText"/>
      </w:pPr>
      <w:r>
        <w:rPr>
          <w:rStyle w:val="FootnoteReference"/>
        </w:rPr>
        <w:footnoteRef/>
      </w:r>
      <w:r>
        <w:t xml:space="preserve">  Datos de la última encuesta de hogares</w:t>
      </w:r>
    </w:p>
  </w:footnote>
  <w:footnote w:id="3">
    <w:p w:rsidR="004F6F8D" w:rsidRDefault="004F6F8D">
      <w:pPr>
        <w:pStyle w:val="FootnoteText"/>
      </w:pPr>
      <w:r>
        <w:rPr>
          <w:rStyle w:val="FootnoteReference"/>
        </w:rPr>
        <w:footnoteRef/>
      </w:r>
      <w:r>
        <w:t xml:space="preserve"> Existen cuatro corredores BRT: El Trolebús, la Ecovía, el corredor Sur Oriental, y el corredor Centro Norte. Tres corredores son administrados por el municipio y uno esta concesionado</w:t>
      </w:r>
    </w:p>
  </w:footnote>
  <w:footnote w:id="4">
    <w:p w:rsidR="004F6F8D" w:rsidRDefault="004F6F8D" w:rsidP="00483C29">
      <w:pPr>
        <w:pStyle w:val="FootnoteText"/>
      </w:pPr>
      <w:r>
        <w:rPr>
          <w:rStyle w:val="FootnoteReference"/>
        </w:rPr>
        <w:footnoteRef/>
      </w:r>
      <w:r>
        <w:t xml:space="preserve"> Estos cambios han sido facilitados con la expedición del Código Orgánico de Organización Territorial, Autonomía y Descentralización (COOTAD).</w:t>
      </w:r>
    </w:p>
  </w:footnote>
  <w:footnote w:id="5">
    <w:p w:rsidR="004F6F8D" w:rsidRDefault="004F6F8D">
      <w:pPr>
        <w:pStyle w:val="FootnoteText"/>
      </w:pPr>
      <w:r>
        <w:rPr>
          <w:rStyle w:val="FootnoteReference"/>
        </w:rPr>
        <w:footnoteRef/>
      </w:r>
      <w:r>
        <w:t xml:space="preserve"> Este modelo fue presentado en Quito en la semana del 17 al 21 de septiembre de 2012</w:t>
      </w:r>
    </w:p>
  </w:footnote>
  <w:footnote w:id="6">
    <w:p w:rsidR="004F6F8D" w:rsidRDefault="004F6F8D">
      <w:pPr>
        <w:pStyle w:val="FootnoteText"/>
      </w:pPr>
      <w:r>
        <w:rPr>
          <w:rStyle w:val="FootnoteReference"/>
        </w:rPr>
        <w:footnoteRef/>
      </w:r>
      <w:r>
        <w:t xml:space="preserve"> Sin IVA el valor e USD 1.499 millones</w:t>
      </w:r>
    </w:p>
  </w:footnote>
  <w:footnote w:id="7">
    <w:p w:rsidR="004F6F8D" w:rsidRDefault="004F6F8D">
      <w:pPr>
        <w:pStyle w:val="FootnoteText"/>
      </w:pPr>
      <w:r>
        <w:rPr>
          <w:rStyle w:val="FootnoteReference"/>
        </w:rPr>
        <w:footnoteRef/>
      </w:r>
      <w:r>
        <w:t xml:space="preserve"> Este cierre puede derivarse ya sea por un ajuste de tarifas, subsidios gubernamentales, u otros mecanismos. Sin embargo es necesario conocer el monto de recursos necesarios entre la tarifa técnica y la tarifa comercial que se va a implementar efectivamente.</w:t>
      </w:r>
    </w:p>
  </w:footnote>
  <w:footnote w:id="8">
    <w:p w:rsidR="004F6F8D" w:rsidRDefault="004F6F8D" w:rsidP="00732431">
      <w:pPr>
        <w:pStyle w:val="FootnoteText"/>
      </w:pPr>
      <w:r>
        <w:rPr>
          <w:rStyle w:val="FootnoteReference"/>
        </w:rPr>
        <w:footnoteRef/>
      </w:r>
      <w:r>
        <w:t xml:space="preserve"> En este sentido el documento </w:t>
      </w:r>
      <w:r w:rsidRPr="008F7F57">
        <w:t>“Situación Financiera del Municipio de Quito, junio 2012” presenta los cálculos realizados en lo referente a viabilidad de estos recursos, teniendo en cuenta el nuevo esquema institucional del DMQ  y la disponibilidad de nuevos recursos por el traslado de funciones como el registro vehicular, multas y otros que anteriormente eran recursos del ámbito nacional y ahora lo serán del ámbito distrital. A su turno, el documento “Elaboración del modelo de estructuración financiera que determine la viabilidad del proceso de titularización de los flujos futuros como fuente de financiamiento del proyecto Metro de Quito” señala la viabilidad de contar con estos recursos.</w:t>
      </w:r>
    </w:p>
  </w:footnote>
  <w:footnote w:id="9">
    <w:p w:rsidR="004F6F8D" w:rsidRDefault="004F6F8D">
      <w:pPr>
        <w:pStyle w:val="FootnoteText"/>
      </w:pPr>
      <w:r>
        <w:rPr>
          <w:rStyle w:val="FootnoteReference"/>
        </w:rPr>
        <w:footnoteRef/>
      </w:r>
      <w:r>
        <w:t xml:space="preserve"> Basado en un análisis de gastos de explotación: personal, energía, mantenimiento y otros</w:t>
      </w:r>
    </w:p>
  </w:footnote>
  <w:footnote w:id="10">
    <w:p w:rsidR="004F6F8D" w:rsidRDefault="004F6F8D">
      <w:pPr>
        <w:pStyle w:val="FootnoteText"/>
      </w:pPr>
      <w:r>
        <w:rPr>
          <w:rStyle w:val="FootnoteReference"/>
        </w:rPr>
        <w:footnoteRef/>
      </w:r>
      <w:r>
        <w:t xml:space="preserve"> Se afectarían además, el esquema de financiamiento de la banca multilateral</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B3B27"/>
    <w:multiLevelType w:val="hybridMultilevel"/>
    <w:tmpl w:val="087A84D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11063A6B"/>
    <w:multiLevelType w:val="hybridMultilevel"/>
    <w:tmpl w:val="CA14E50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115937DD"/>
    <w:multiLevelType w:val="hybridMultilevel"/>
    <w:tmpl w:val="CD26BBD0"/>
    <w:lvl w:ilvl="0" w:tplc="240A0001">
      <w:start w:val="1"/>
      <w:numFmt w:val="bullet"/>
      <w:lvlText w:val=""/>
      <w:lvlJc w:val="left"/>
      <w:pPr>
        <w:ind w:left="1080" w:hanging="360"/>
      </w:pPr>
      <w:rPr>
        <w:rFonts w:ascii="Symbol" w:hAnsi="Symbol" w:hint="default"/>
      </w:rPr>
    </w:lvl>
    <w:lvl w:ilvl="1" w:tplc="240A0003">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3">
    <w:nsid w:val="1BB70409"/>
    <w:multiLevelType w:val="hybridMultilevel"/>
    <w:tmpl w:val="DD76773A"/>
    <w:lvl w:ilvl="0" w:tplc="240A0001">
      <w:start w:val="1"/>
      <w:numFmt w:val="bullet"/>
      <w:lvlText w:val=""/>
      <w:lvlJc w:val="left"/>
      <w:pPr>
        <w:ind w:left="720" w:hanging="360"/>
      </w:pPr>
      <w:rPr>
        <w:rFonts w:ascii="Symbol" w:hAnsi="Symbol" w:hint="default"/>
      </w:rPr>
    </w:lvl>
    <w:lvl w:ilvl="1" w:tplc="240A000D">
      <w:start w:val="1"/>
      <w:numFmt w:val="bullet"/>
      <w:lvlText w:val=""/>
      <w:lvlJc w:val="left"/>
      <w:pPr>
        <w:ind w:left="1440" w:hanging="360"/>
      </w:pPr>
      <w:rPr>
        <w:rFonts w:ascii="Wingdings" w:hAnsi="Wingdings"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2A357184"/>
    <w:multiLevelType w:val="hybridMultilevel"/>
    <w:tmpl w:val="34B0CD5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2D2648FD"/>
    <w:multiLevelType w:val="hybridMultilevel"/>
    <w:tmpl w:val="CD98BC0A"/>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301711C0"/>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2AC237A"/>
    <w:multiLevelType w:val="hybridMultilevel"/>
    <w:tmpl w:val="BED2FE7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nsid w:val="3A946E52"/>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46765FFB"/>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47B0643A"/>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A1E3817"/>
    <w:multiLevelType w:val="hybridMultilevel"/>
    <w:tmpl w:val="35CAD90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51FB4A26"/>
    <w:multiLevelType w:val="hybridMultilevel"/>
    <w:tmpl w:val="2B52313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574A71DF"/>
    <w:multiLevelType w:val="hybridMultilevel"/>
    <w:tmpl w:val="B67C5A9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65E2668C"/>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67D22DB8"/>
    <w:multiLevelType w:val="hybridMultilevel"/>
    <w:tmpl w:val="54CCA930"/>
    <w:lvl w:ilvl="0" w:tplc="01E4D4EE">
      <w:start w:val="2"/>
      <w:numFmt w:val="bullet"/>
      <w:lvlText w:val="-"/>
      <w:lvlJc w:val="left"/>
      <w:pPr>
        <w:ind w:left="720" w:hanging="360"/>
      </w:pPr>
      <w:rPr>
        <w:rFonts w:ascii="Arial" w:eastAsiaTheme="minorHAnsi" w:hAnsi="Arial" w:cs="Arial" w:hint="default"/>
      </w:rPr>
    </w:lvl>
    <w:lvl w:ilvl="1" w:tplc="485C619C">
      <w:numFmt w:val="bullet"/>
      <w:lvlText w:val=""/>
      <w:lvlJc w:val="left"/>
      <w:pPr>
        <w:ind w:left="1785" w:hanging="705"/>
      </w:pPr>
      <w:rPr>
        <w:rFonts w:ascii="Arial" w:eastAsiaTheme="minorHAnsi" w:hAnsi="Arial" w:cs="Arial"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6CDC06D3"/>
    <w:multiLevelType w:val="hybridMultilevel"/>
    <w:tmpl w:val="1D3CF31A"/>
    <w:lvl w:ilvl="0" w:tplc="240A0001">
      <w:start w:val="1"/>
      <w:numFmt w:val="bullet"/>
      <w:lvlText w:val=""/>
      <w:lvlJc w:val="left"/>
      <w:pPr>
        <w:ind w:left="720" w:hanging="360"/>
      </w:pPr>
      <w:rPr>
        <w:rFonts w:ascii="Symbol" w:hAnsi="Symbol" w:hint="default"/>
      </w:rPr>
    </w:lvl>
    <w:lvl w:ilvl="1" w:tplc="240A0001">
      <w:start w:val="1"/>
      <w:numFmt w:val="bullet"/>
      <w:lvlText w:val=""/>
      <w:lvlJc w:val="left"/>
      <w:pPr>
        <w:ind w:left="1440" w:hanging="360"/>
      </w:pPr>
      <w:rPr>
        <w:rFonts w:ascii="Symbol" w:hAnsi="Symbol"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7D5207CB"/>
    <w:multiLevelType w:val="hybridMultilevel"/>
    <w:tmpl w:val="388A6E1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7DC40E8F"/>
    <w:multiLevelType w:val="hybridMultilevel"/>
    <w:tmpl w:val="7384ED5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7F0D5B0A"/>
    <w:multiLevelType w:val="hybridMultilevel"/>
    <w:tmpl w:val="445CD244"/>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5"/>
  </w:num>
  <w:num w:numId="2">
    <w:abstractNumId w:val="0"/>
  </w:num>
  <w:num w:numId="3">
    <w:abstractNumId w:val="11"/>
  </w:num>
  <w:num w:numId="4">
    <w:abstractNumId w:val="12"/>
  </w:num>
  <w:num w:numId="5">
    <w:abstractNumId w:val="2"/>
  </w:num>
  <w:num w:numId="6">
    <w:abstractNumId w:val="18"/>
  </w:num>
  <w:num w:numId="7">
    <w:abstractNumId w:val="14"/>
  </w:num>
  <w:num w:numId="8">
    <w:abstractNumId w:val="19"/>
  </w:num>
  <w:num w:numId="9">
    <w:abstractNumId w:val="6"/>
  </w:num>
  <w:num w:numId="10">
    <w:abstractNumId w:val="7"/>
  </w:num>
  <w:num w:numId="11">
    <w:abstractNumId w:val="5"/>
  </w:num>
  <w:num w:numId="12">
    <w:abstractNumId w:val="16"/>
  </w:num>
  <w:num w:numId="13">
    <w:abstractNumId w:val="3"/>
  </w:num>
  <w:num w:numId="14">
    <w:abstractNumId w:val="13"/>
  </w:num>
  <w:num w:numId="15">
    <w:abstractNumId w:val="9"/>
  </w:num>
  <w:num w:numId="16">
    <w:abstractNumId w:val="4"/>
  </w:num>
  <w:num w:numId="17">
    <w:abstractNumId w:val="10"/>
  </w:num>
  <w:num w:numId="18">
    <w:abstractNumId w:val="8"/>
  </w:num>
  <w:num w:numId="19">
    <w:abstractNumId w:val="17"/>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1AD8"/>
    <w:rsid w:val="00003872"/>
    <w:rsid w:val="00014778"/>
    <w:rsid w:val="00031FE9"/>
    <w:rsid w:val="000343FF"/>
    <w:rsid w:val="000723F4"/>
    <w:rsid w:val="00076FF2"/>
    <w:rsid w:val="000A0726"/>
    <w:rsid w:val="000A0CCB"/>
    <w:rsid w:val="000A38FB"/>
    <w:rsid w:val="000A4883"/>
    <w:rsid w:val="000B0B9C"/>
    <w:rsid w:val="000B3632"/>
    <w:rsid w:val="000C1714"/>
    <w:rsid w:val="000C3C35"/>
    <w:rsid w:val="000C5A18"/>
    <w:rsid w:val="000E5422"/>
    <w:rsid w:val="000E7B17"/>
    <w:rsid w:val="000F2DBC"/>
    <w:rsid w:val="00101770"/>
    <w:rsid w:val="00102E46"/>
    <w:rsid w:val="00106D9C"/>
    <w:rsid w:val="00107EAA"/>
    <w:rsid w:val="00111A3F"/>
    <w:rsid w:val="00112385"/>
    <w:rsid w:val="00120F08"/>
    <w:rsid w:val="0012266F"/>
    <w:rsid w:val="00122C6B"/>
    <w:rsid w:val="0013369B"/>
    <w:rsid w:val="00152A03"/>
    <w:rsid w:val="00162A41"/>
    <w:rsid w:val="001716EE"/>
    <w:rsid w:val="00184592"/>
    <w:rsid w:val="001849CE"/>
    <w:rsid w:val="00185F88"/>
    <w:rsid w:val="0019498A"/>
    <w:rsid w:val="00194C4D"/>
    <w:rsid w:val="001B71A5"/>
    <w:rsid w:val="001C3919"/>
    <w:rsid w:val="001C64EF"/>
    <w:rsid w:val="001D001A"/>
    <w:rsid w:val="001F157F"/>
    <w:rsid w:val="001F62C8"/>
    <w:rsid w:val="002003BE"/>
    <w:rsid w:val="0025395F"/>
    <w:rsid w:val="00265C71"/>
    <w:rsid w:val="002660C1"/>
    <w:rsid w:val="0027683F"/>
    <w:rsid w:val="00281C58"/>
    <w:rsid w:val="00287554"/>
    <w:rsid w:val="002A3255"/>
    <w:rsid w:val="002B07A1"/>
    <w:rsid w:val="002B1C54"/>
    <w:rsid w:val="002B242C"/>
    <w:rsid w:val="002C54E1"/>
    <w:rsid w:val="002D094F"/>
    <w:rsid w:val="002D3EA4"/>
    <w:rsid w:val="002D603F"/>
    <w:rsid w:val="002E0198"/>
    <w:rsid w:val="002E2043"/>
    <w:rsid w:val="002E2811"/>
    <w:rsid w:val="002E66E4"/>
    <w:rsid w:val="002F0622"/>
    <w:rsid w:val="002F2259"/>
    <w:rsid w:val="00313D91"/>
    <w:rsid w:val="00316AC3"/>
    <w:rsid w:val="0034706C"/>
    <w:rsid w:val="00353853"/>
    <w:rsid w:val="00355BB7"/>
    <w:rsid w:val="00364B3B"/>
    <w:rsid w:val="00374F85"/>
    <w:rsid w:val="00383035"/>
    <w:rsid w:val="003A1103"/>
    <w:rsid w:val="003A6D21"/>
    <w:rsid w:val="003B5A02"/>
    <w:rsid w:val="003C1503"/>
    <w:rsid w:val="003C75D5"/>
    <w:rsid w:val="003D4D79"/>
    <w:rsid w:val="003D7822"/>
    <w:rsid w:val="003E1EDC"/>
    <w:rsid w:val="004062E1"/>
    <w:rsid w:val="00414D4E"/>
    <w:rsid w:val="004152F1"/>
    <w:rsid w:val="0041701C"/>
    <w:rsid w:val="00433F4F"/>
    <w:rsid w:val="00452C51"/>
    <w:rsid w:val="004537F1"/>
    <w:rsid w:val="004603F5"/>
    <w:rsid w:val="00466F92"/>
    <w:rsid w:val="004732C0"/>
    <w:rsid w:val="00481BD5"/>
    <w:rsid w:val="00481D40"/>
    <w:rsid w:val="00483C29"/>
    <w:rsid w:val="00493D15"/>
    <w:rsid w:val="004A2799"/>
    <w:rsid w:val="004C36B0"/>
    <w:rsid w:val="004D549C"/>
    <w:rsid w:val="004E5CEB"/>
    <w:rsid w:val="004F6F8D"/>
    <w:rsid w:val="00521F60"/>
    <w:rsid w:val="00522A77"/>
    <w:rsid w:val="00524ECE"/>
    <w:rsid w:val="0053130A"/>
    <w:rsid w:val="00532885"/>
    <w:rsid w:val="00534F0A"/>
    <w:rsid w:val="00554450"/>
    <w:rsid w:val="0056032B"/>
    <w:rsid w:val="005779F9"/>
    <w:rsid w:val="005854E7"/>
    <w:rsid w:val="00586293"/>
    <w:rsid w:val="005906A3"/>
    <w:rsid w:val="00592027"/>
    <w:rsid w:val="005B715C"/>
    <w:rsid w:val="005C03E9"/>
    <w:rsid w:val="005C5D20"/>
    <w:rsid w:val="005D2132"/>
    <w:rsid w:val="005D66BF"/>
    <w:rsid w:val="005E4646"/>
    <w:rsid w:val="005E48EB"/>
    <w:rsid w:val="005E739E"/>
    <w:rsid w:val="006028B1"/>
    <w:rsid w:val="00614041"/>
    <w:rsid w:val="00614CD4"/>
    <w:rsid w:val="00622055"/>
    <w:rsid w:val="00651AAA"/>
    <w:rsid w:val="00660579"/>
    <w:rsid w:val="006636B7"/>
    <w:rsid w:val="006653A9"/>
    <w:rsid w:val="00673474"/>
    <w:rsid w:val="006A212D"/>
    <w:rsid w:val="006A66B7"/>
    <w:rsid w:val="006B006C"/>
    <w:rsid w:val="006B5243"/>
    <w:rsid w:val="006B7E35"/>
    <w:rsid w:val="006C5AE0"/>
    <w:rsid w:val="006D4FA2"/>
    <w:rsid w:val="006D7D12"/>
    <w:rsid w:val="006E1AD8"/>
    <w:rsid w:val="006E28DA"/>
    <w:rsid w:val="006E7464"/>
    <w:rsid w:val="006F12B2"/>
    <w:rsid w:val="006F1301"/>
    <w:rsid w:val="00704375"/>
    <w:rsid w:val="00715A12"/>
    <w:rsid w:val="00722C22"/>
    <w:rsid w:val="00732431"/>
    <w:rsid w:val="00740DF9"/>
    <w:rsid w:val="00765555"/>
    <w:rsid w:val="00766C24"/>
    <w:rsid w:val="007B3068"/>
    <w:rsid w:val="007B3ABE"/>
    <w:rsid w:val="007D43BB"/>
    <w:rsid w:val="007E05B0"/>
    <w:rsid w:val="007E0B38"/>
    <w:rsid w:val="008020E5"/>
    <w:rsid w:val="00804062"/>
    <w:rsid w:val="008146E2"/>
    <w:rsid w:val="00816173"/>
    <w:rsid w:val="00822C0E"/>
    <w:rsid w:val="00832C1F"/>
    <w:rsid w:val="00836C3F"/>
    <w:rsid w:val="00850D61"/>
    <w:rsid w:val="0085168C"/>
    <w:rsid w:val="00854F3E"/>
    <w:rsid w:val="0086057C"/>
    <w:rsid w:val="0086569E"/>
    <w:rsid w:val="008706CE"/>
    <w:rsid w:val="00873C2B"/>
    <w:rsid w:val="00884417"/>
    <w:rsid w:val="008846D7"/>
    <w:rsid w:val="00887EC3"/>
    <w:rsid w:val="008922A0"/>
    <w:rsid w:val="00892546"/>
    <w:rsid w:val="00892FDC"/>
    <w:rsid w:val="0089357A"/>
    <w:rsid w:val="008A3E3B"/>
    <w:rsid w:val="008A631B"/>
    <w:rsid w:val="008B3842"/>
    <w:rsid w:val="008B47C5"/>
    <w:rsid w:val="008C38F8"/>
    <w:rsid w:val="008C4F60"/>
    <w:rsid w:val="008D0498"/>
    <w:rsid w:val="008D53CF"/>
    <w:rsid w:val="008D7569"/>
    <w:rsid w:val="008E1B5E"/>
    <w:rsid w:val="008F4144"/>
    <w:rsid w:val="008F7F57"/>
    <w:rsid w:val="00905040"/>
    <w:rsid w:val="00913835"/>
    <w:rsid w:val="00914036"/>
    <w:rsid w:val="00914D8D"/>
    <w:rsid w:val="00917DE3"/>
    <w:rsid w:val="00920CBA"/>
    <w:rsid w:val="00921832"/>
    <w:rsid w:val="00927B6A"/>
    <w:rsid w:val="00941CDE"/>
    <w:rsid w:val="009646DA"/>
    <w:rsid w:val="00974D2C"/>
    <w:rsid w:val="00980393"/>
    <w:rsid w:val="00992740"/>
    <w:rsid w:val="009B480E"/>
    <w:rsid w:val="009B786A"/>
    <w:rsid w:val="009C00C4"/>
    <w:rsid w:val="009D099F"/>
    <w:rsid w:val="009D7CE6"/>
    <w:rsid w:val="009E4104"/>
    <w:rsid w:val="009E5A1B"/>
    <w:rsid w:val="009F02CB"/>
    <w:rsid w:val="009F1688"/>
    <w:rsid w:val="009F410B"/>
    <w:rsid w:val="00A02CB6"/>
    <w:rsid w:val="00A04DDC"/>
    <w:rsid w:val="00A33E57"/>
    <w:rsid w:val="00A41E5D"/>
    <w:rsid w:val="00A509E8"/>
    <w:rsid w:val="00A533FA"/>
    <w:rsid w:val="00A71878"/>
    <w:rsid w:val="00A84F46"/>
    <w:rsid w:val="00AB3F95"/>
    <w:rsid w:val="00AC7AB5"/>
    <w:rsid w:val="00AD460C"/>
    <w:rsid w:val="00AD6975"/>
    <w:rsid w:val="00AF16ED"/>
    <w:rsid w:val="00AF1815"/>
    <w:rsid w:val="00B0180B"/>
    <w:rsid w:val="00B10D59"/>
    <w:rsid w:val="00B173B1"/>
    <w:rsid w:val="00B21CCA"/>
    <w:rsid w:val="00B26C7A"/>
    <w:rsid w:val="00B32B37"/>
    <w:rsid w:val="00B61B10"/>
    <w:rsid w:val="00B65B4A"/>
    <w:rsid w:val="00B73171"/>
    <w:rsid w:val="00B94603"/>
    <w:rsid w:val="00BA54C2"/>
    <w:rsid w:val="00BB5DC5"/>
    <w:rsid w:val="00BC684C"/>
    <w:rsid w:val="00BD4F50"/>
    <w:rsid w:val="00BE0531"/>
    <w:rsid w:val="00C04529"/>
    <w:rsid w:val="00C335C9"/>
    <w:rsid w:val="00C36555"/>
    <w:rsid w:val="00C57A09"/>
    <w:rsid w:val="00C60FB7"/>
    <w:rsid w:val="00C76CC0"/>
    <w:rsid w:val="00C805DE"/>
    <w:rsid w:val="00C82613"/>
    <w:rsid w:val="00C85B7D"/>
    <w:rsid w:val="00CA024F"/>
    <w:rsid w:val="00CA7455"/>
    <w:rsid w:val="00CB2663"/>
    <w:rsid w:val="00CC7597"/>
    <w:rsid w:val="00CD2EE3"/>
    <w:rsid w:val="00D10547"/>
    <w:rsid w:val="00D12169"/>
    <w:rsid w:val="00D24B76"/>
    <w:rsid w:val="00D31E72"/>
    <w:rsid w:val="00D416BA"/>
    <w:rsid w:val="00D4584F"/>
    <w:rsid w:val="00D60B64"/>
    <w:rsid w:val="00D60CCC"/>
    <w:rsid w:val="00D61E83"/>
    <w:rsid w:val="00D742F4"/>
    <w:rsid w:val="00D844F2"/>
    <w:rsid w:val="00D9797B"/>
    <w:rsid w:val="00DA5B73"/>
    <w:rsid w:val="00DE2AB9"/>
    <w:rsid w:val="00E02242"/>
    <w:rsid w:val="00E15C1F"/>
    <w:rsid w:val="00E17EA4"/>
    <w:rsid w:val="00E6003B"/>
    <w:rsid w:val="00E63305"/>
    <w:rsid w:val="00E65651"/>
    <w:rsid w:val="00E6706D"/>
    <w:rsid w:val="00E7365D"/>
    <w:rsid w:val="00E74634"/>
    <w:rsid w:val="00E84180"/>
    <w:rsid w:val="00EB46D5"/>
    <w:rsid w:val="00ED3CCD"/>
    <w:rsid w:val="00EE1EEC"/>
    <w:rsid w:val="00F05BC6"/>
    <w:rsid w:val="00F1388E"/>
    <w:rsid w:val="00F21C57"/>
    <w:rsid w:val="00F415D3"/>
    <w:rsid w:val="00F42227"/>
    <w:rsid w:val="00F43FA1"/>
    <w:rsid w:val="00F45C54"/>
    <w:rsid w:val="00F47487"/>
    <w:rsid w:val="00F543C8"/>
    <w:rsid w:val="00F82D32"/>
    <w:rsid w:val="00F83C12"/>
    <w:rsid w:val="00FA23D6"/>
    <w:rsid w:val="00FB3FD6"/>
    <w:rsid w:val="00FB45AA"/>
    <w:rsid w:val="00FB4882"/>
    <w:rsid w:val="00FC4C2C"/>
    <w:rsid w:val="00FC7A61"/>
    <w:rsid w:val="00FD71C4"/>
    <w:rsid w:val="00FE17A3"/>
    <w:rsid w:val="00FF141C"/>
    <w:rsid w:val="00FF4C1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0B38"/>
  </w:style>
  <w:style w:type="paragraph" w:styleId="Heading1">
    <w:name w:val="heading 1"/>
    <w:basedOn w:val="Normal"/>
    <w:next w:val="Normal"/>
    <w:link w:val="Ttulo1Car"/>
    <w:uiPriority w:val="9"/>
    <w:qFormat/>
    <w:rsid w:val="009B786A"/>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TextonotapieCar"/>
    <w:uiPriority w:val="99"/>
    <w:unhideWhenUsed/>
    <w:rsid w:val="002C54E1"/>
    <w:rPr>
      <w:sz w:val="20"/>
      <w:szCs w:val="20"/>
    </w:rPr>
  </w:style>
  <w:style w:type="character" w:customStyle="1" w:styleId="TextonotapieCar">
    <w:name w:val="Texto nota pie Car"/>
    <w:basedOn w:val="DefaultParagraphFont"/>
    <w:link w:val="FootnoteText"/>
    <w:uiPriority w:val="99"/>
    <w:rsid w:val="002C54E1"/>
    <w:rPr>
      <w:sz w:val="20"/>
      <w:szCs w:val="20"/>
    </w:rPr>
  </w:style>
  <w:style w:type="character" w:styleId="FootnoteReference">
    <w:name w:val="footnote reference"/>
    <w:basedOn w:val="DefaultParagraphFont"/>
    <w:uiPriority w:val="99"/>
    <w:unhideWhenUsed/>
    <w:rsid w:val="002C54E1"/>
    <w:rPr>
      <w:vertAlign w:val="superscript"/>
    </w:rPr>
  </w:style>
  <w:style w:type="paragraph" w:styleId="Header">
    <w:name w:val="header"/>
    <w:basedOn w:val="Normal"/>
    <w:link w:val="EncabezadoCar"/>
    <w:uiPriority w:val="99"/>
    <w:semiHidden/>
    <w:unhideWhenUsed/>
    <w:rsid w:val="009D099F"/>
    <w:pPr>
      <w:tabs>
        <w:tab w:val="center" w:pos="4419"/>
        <w:tab w:val="right" w:pos="8838"/>
      </w:tabs>
    </w:pPr>
  </w:style>
  <w:style w:type="character" w:customStyle="1" w:styleId="EncabezadoCar">
    <w:name w:val="Encabezado Car"/>
    <w:basedOn w:val="DefaultParagraphFont"/>
    <w:link w:val="Header"/>
    <w:uiPriority w:val="99"/>
    <w:semiHidden/>
    <w:rsid w:val="009D099F"/>
  </w:style>
  <w:style w:type="paragraph" w:styleId="Footer">
    <w:name w:val="footer"/>
    <w:basedOn w:val="Normal"/>
    <w:link w:val="PiedepginaCar"/>
    <w:uiPriority w:val="99"/>
    <w:unhideWhenUsed/>
    <w:rsid w:val="009D099F"/>
    <w:pPr>
      <w:tabs>
        <w:tab w:val="center" w:pos="4419"/>
        <w:tab w:val="right" w:pos="8838"/>
      </w:tabs>
    </w:pPr>
  </w:style>
  <w:style w:type="character" w:customStyle="1" w:styleId="PiedepginaCar">
    <w:name w:val="Pie de página Car"/>
    <w:basedOn w:val="DefaultParagraphFont"/>
    <w:link w:val="Footer"/>
    <w:uiPriority w:val="99"/>
    <w:rsid w:val="009D099F"/>
  </w:style>
  <w:style w:type="paragraph" w:styleId="ListParagraph">
    <w:name w:val="List Paragraph"/>
    <w:basedOn w:val="Normal"/>
    <w:uiPriority w:val="34"/>
    <w:qFormat/>
    <w:rsid w:val="009F1688"/>
    <w:pPr>
      <w:ind w:left="720"/>
      <w:contextualSpacing/>
    </w:pPr>
  </w:style>
  <w:style w:type="table" w:styleId="TableGrid">
    <w:name w:val="Table Grid"/>
    <w:basedOn w:val="TableNormal"/>
    <w:uiPriority w:val="59"/>
    <w:rsid w:val="00CD2E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TextodegloboCar"/>
    <w:uiPriority w:val="99"/>
    <w:semiHidden/>
    <w:unhideWhenUsed/>
    <w:rsid w:val="00BA54C2"/>
    <w:rPr>
      <w:rFonts w:ascii="Tahoma" w:hAnsi="Tahoma" w:cs="Tahoma"/>
      <w:sz w:val="16"/>
      <w:szCs w:val="16"/>
    </w:rPr>
  </w:style>
  <w:style w:type="character" w:customStyle="1" w:styleId="TextodegloboCar">
    <w:name w:val="Texto de globo Car"/>
    <w:basedOn w:val="DefaultParagraphFont"/>
    <w:link w:val="BalloonText"/>
    <w:uiPriority w:val="99"/>
    <w:semiHidden/>
    <w:rsid w:val="00BA54C2"/>
    <w:rPr>
      <w:rFonts w:ascii="Tahoma" w:hAnsi="Tahoma" w:cs="Tahoma"/>
      <w:sz w:val="16"/>
      <w:szCs w:val="16"/>
    </w:rPr>
  </w:style>
  <w:style w:type="paragraph" w:styleId="Caption">
    <w:name w:val="caption"/>
    <w:basedOn w:val="Normal"/>
    <w:next w:val="Normal"/>
    <w:uiPriority w:val="35"/>
    <w:unhideWhenUsed/>
    <w:qFormat/>
    <w:rsid w:val="001C3919"/>
    <w:pPr>
      <w:spacing w:after="200"/>
    </w:pPr>
    <w:rPr>
      <w:b/>
      <w:bCs/>
      <w:color w:val="4F81BD" w:themeColor="accent1"/>
      <w:sz w:val="18"/>
      <w:szCs w:val="18"/>
    </w:rPr>
  </w:style>
  <w:style w:type="character" w:customStyle="1" w:styleId="Ttulo1Car">
    <w:name w:val="Título 1 Car"/>
    <w:basedOn w:val="DefaultParagraphFont"/>
    <w:link w:val="Heading1"/>
    <w:uiPriority w:val="9"/>
    <w:rsid w:val="009B786A"/>
    <w:rPr>
      <w:rFonts w:asciiTheme="majorHAnsi" w:eastAsiaTheme="majorEastAsia" w:hAnsiTheme="majorHAnsi" w:cstheme="majorBidi"/>
      <w:b/>
      <w:bCs/>
      <w:color w:val="345A8A" w:themeColor="accent1" w:themeShade="B5"/>
      <w:sz w:val="32"/>
      <w:szCs w:val="32"/>
    </w:rPr>
  </w:style>
  <w:style w:type="paragraph" w:styleId="TOC1">
    <w:name w:val="toc 1"/>
    <w:basedOn w:val="Normal"/>
    <w:next w:val="Normal"/>
    <w:autoRedefine/>
    <w:uiPriority w:val="39"/>
    <w:unhideWhenUsed/>
    <w:rsid w:val="00E02242"/>
  </w:style>
  <w:style w:type="paragraph" w:styleId="TOC2">
    <w:name w:val="toc 2"/>
    <w:basedOn w:val="Normal"/>
    <w:next w:val="Normal"/>
    <w:autoRedefine/>
    <w:uiPriority w:val="39"/>
    <w:unhideWhenUsed/>
    <w:rsid w:val="00E02242"/>
    <w:pPr>
      <w:ind w:left="220"/>
    </w:pPr>
  </w:style>
  <w:style w:type="paragraph" w:styleId="TOC3">
    <w:name w:val="toc 3"/>
    <w:basedOn w:val="Normal"/>
    <w:next w:val="Normal"/>
    <w:autoRedefine/>
    <w:uiPriority w:val="39"/>
    <w:unhideWhenUsed/>
    <w:rsid w:val="00E02242"/>
    <w:pPr>
      <w:ind w:left="440"/>
    </w:pPr>
  </w:style>
  <w:style w:type="paragraph" w:styleId="TOC4">
    <w:name w:val="toc 4"/>
    <w:basedOn w:val="Normal"/>
    <w:next w:val="Normal"/>
    <w:autoRedefine/>
    <w:uiPriority w:val="39"/>
    <w:unhideWhenUsed/>
    <w:rsid w:val="00E02242"/>
    <w:pPr>
      <w:ind w:left="660"/>
    </w:pPr>
  </w:style>
  <w:style w:type="paragraph" w:styleId="TOC5">
    <w:name w:val="toc 5"/>
    <w:basedOn w:val="Normal"/>
    <w:next w:val="Normal"/>
    <w:autoRedefine/>
    <w:uiPriority w:val="39"/>
    <w:unhideWhenUsed/>
    <w:rsid w:val="00E02242"/>
    <w:pPr>
      <w:ind w:left="880"/>
    </w:pPr>
  </w:style>
  <w:style w:type="paragraph" w:styleId="TOC6">
    <w:name w:val="toc 6"/>
    <w:basedOn w:val="Normal"/>
    <w:next w:val="Normal"/>
    <w:autoRedefine/>
    <w:uiPriority w:val="39"/>
    <w:unhideWhenUsed/>
    <w:rsid w:val="00E02242"/>
    <w:pPr>
      <w:ind w:left="1100"/>
    </w:pPr>
  </w:style>
  <w:style w:type="paragraph" w:styleId="TOC7">
    <w:name w:val="toc 7"/>
    <w:basedOn w:val="Normal"/>
    <w:next w:val="Normal"/>
    <w:autoRedefine/>
    <w:uiPriority w:val="39"/>
    <w:unhideWhenUsed/>
    <w:rsid w:val="00E02242"/>
    <w:pPr>
      <w:ind w:left="1320"/>
    </w:pPr>
  </w:style>
  <w:style w:type="paragraph" w:styleId="TOC8">
    <w:name w:val="toc 8"/>
    <w:basedOn w:val="Normal"/>
    <w:next w:val="Normal"/>
    <w:autoRedefine/>
    <w:uiPriority w:val="39"/>
    <w:unhideWhenUsed/>
    <w:rsid w:val="00E02242"/>
    <w:pPr>
      <w:ind w:left="1540"/>
    </w:pPr>
  </w:style>
  <w:style w:type="paragraph" w:styleId="TOC9">
    <w:name w:val="toc 9"/>
    <w:basedOn w:val="Normal"/>
    <w:next w:val="Normal"/>
    <w:autoRedefine/>
    <w:uiPriority w:val="39"/>
    <w:unhideWhenUsed/>
    <w:rsid w:val="00E02242"/>
    <w:pPr>
      <w:ind w:left="1760"/>
    </w:pPr>
  </w:style>
  <w:style w:type="paragraph" w:styleId="TableofFigures">
    <w:name w:val="table of figures"/>
    <w:basedOn w:val="Normal"/>
    <w:next w:val="Normal"/>
    <w:uiPriority w:val="99"/>
    <w:unhideWhenUsed/>
    <w:rsid w:val="00E02242"/>
    <w:pPr>
      <w:ind w:left="440" w:hanging="440"/>
    </w:pPr>
  </w:style>
  <w:style w:type="table" w:styleId="MediumShading1-Accent1">
    <w:name w:val="Medium Shading 1 Accent 1"/>
    <w:basedOn w:val="TableNormal"/>
    <w:uiPriority w:val="63"/>
    <w:rsid w:val="002E0198"/>
    <w:pPr>
      <w:jc w:val="left"/>
    </w:pPr>
    <w:rPr>
      <w:rFonts w:eastAsiaTheme="minorEastAsia"/>
      <w:sz w:val="24"/>
      <w:szCs w:val="24"/>
      <w:lang w:val="es-ES_tradnl" w:eastAsia="es-ES"/>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0B38"/>
  </w:style>
  <w:style w:type="paragraph" w:styleId="Heading1">
    <w:name w:val="heading 1"/>
    <w:basedOn w:val="Normal"/>
    <w:next w:val="Normal"/>
    <w:link w:val="Ttulo1Car"/>
    <w:uiPriority w:val="9"/>
    <w:qFormat/>
    <w:rsid w:val="009B786A"/>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TextonotapieCar"/>
    <w:uiPriority w:val="99"/>
    <w:unhideWhenUsed/>
    <w:rsid w:val="002C54E1"/>
    <w:rPr>
      <w:sz w:val="20"/>
      <w:szCs w:val="20"/>
    </w:rPr>
  </w:style>
  <w:style w:type="character" w:customStyle="1" w:styleId="TextonotapieCar">
    <w:name w:val="Texto nota pie Car"/>
    <w:basedOn w:val="DefaultParagraphFont"/>
    <w:link w:val="FootnoteText"/>
    <w:uiPriority w:val="99"/>
    <w:rsid w:val="002C54E1"/>
    <w:rPr>
      <w:sz w:val="20"/>
      <w:szCs w:val="20"/>
    </w:rPr>
  </w:style>
  <w:style w:type="character" w:styleId="FootnoteReference">
    <w:name w:val="footnote reference"/>
    <w:basedOn w:val="DefaultParagraphFont"/>
    <w:uiPriority w:val="99"/>
    <w:unhideWhenUsed/>
    <w:rsid w:val="002C54E1"/>
    <w:rPr>
      <w:vertAlign w:val="superscript"/>
    </w:rPr>
  </w:style>
  <w:style w:type="paragraph" w:styleId="Header">
    <w:name w:val="header"/>
    <w:basedOn w:val="Normal"/>
    <w:link w:val="EncabezadoCar"/>
    <w:uiPriority w:val="99"/>
    <w:semiHidden/>
    <w:unhideWhenUsed/>
    <w:rsid w:val="009D099F"/>
    <w:pPr>
      <w:tabs>
        <w:tab w:val="center" w:pos="4419"/>
        <w:tab w:val="right" w:pos="8838"/>
      </w:tabs>
    </w:pPr>
  </w:style>
  <w:style w:type="character" w:customStyle="1" w:styleId="EncabezadoCar">
    <w:name w:val="Encabezado Car"/>
    <w:basedOn w:val="DefaultParagraphFont"/>
    <w:link w:val="Header"/>
    <w:uiPriority w:val="99"/>
    <w:semiHidden/>
    <w:rsid w:val="009D099F"/>
  </w:style>
  <w:style w:type="paragraph" w:styleId="Footer">
    <w:name w:val="footer"/>
    <w:basedOn w:val="Normal"/>
    <w:link w:val="PiedepginaCar"/>
    <w:uiPriority w:val="99"/>
    <w:unhideWhenUsed/>
    <w:rsid w:val="009D099F"/>
    <w:pPr>
      <w:tabs>
        <w:tab w:val="center" w:pos="4419"/>
        <w:tab w:val="right" w:pos="8838"/>
      </w:tabs>
    </w:pPr>
  </w:style>
  <w:style w:type="character" w:customStyle="1" w:styleId="PiedepginaCar">
    <w:name w:val="Pie de página Car"/>
    <w:basedOn w:val="DefaultParagraphFont"/>
    <w:link w:val="Footer"/>
    <w:uiPriority w:val="99"/>
    <w:rsid w:val="009D099F"/>
  </w:style>
  <w:style w:type="paragraph" w:styleId="ListParagraph">
    <w:name w:val="List Paragraph"/>
    <w:basedOn w:val="Normal"/>
    <w:uiPriority w:val="34"/>
    <w:qFormat/>
    <w:rsid w:val="009F1688"/>
    <w:pPr>
      <w:ind w:left="720"/>
      <w:contextualSpacing/>
    </w:pPr>
  </w:style>
  <w:style w:type="table" w:styleId="TableGrid">
    <w:name w:val="Table Grid"/>
    <w:basedOn w:val="TableNormal"/>
    <w:uiPriority w:val="59"/>
    <w:rsid w:val="00CD2E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TextodegloboCar"/>
    <w:uiPriority w:val="99"/>
    <w:semiHidden/>
    <w:unhideWhenUsed/>
    <w:rsid w:val="00BA54C2"/>
    <w:rPr>
      <w:rFonts w:ascii="Tahoma" w:hAnsi="Tahoma" w:cs="Tahoma"/>
      <w:sz w:val="16"/>
      <w:szCs w:val="16"/>
    </w:rPr>
  </w:style>
  <w:style w:type="character" w:customStyle="1" w:styleId="TextodegloboCar">
    <w:name w:val="Texto de globo Car"/>
    <w:basedOn w:val="DefaultParagraphFont"/>
    <w:link w:val="BalloonText"/>
    <w:uiPriority w:val="99"/>
    <w:semiHidden/>
    <w:rsid w:val="00BA54C2"/>
    <w:rPr>
      <w:rFonts w:ascii="Tahoma" w:hAnsi="Tahoma" w:cs="Tahoma"/>
      <w:sz w:val="16"/>
      <w:szCs w:val="16"/>
    </w:rPr>
  </w:style>
  <w:style w:type="paragraph" w:styleId="Caption">
    <w:name w:val="caption"/>
    <w:basedOn w:val="Normal"/>
    <w:next w:val="Normal"/>
    <w:uiPriority w:val="35"/>
    <w:unhideWhenUsed/>
    <w:qFormat/>
    <w:rsid w:val="001C3919"/>
    <w:pPr>
      <w:spacing w:after="200"/>
    </w:pPr>
    <w:rPr>
      <w:b/>
      <w:bCs/>
      <w:color w:val="4F81BD" w:themeColor="accent1"/>
      <w:sz w:val="18"/>
      <w:szCs w:val="18"/>
    </w:rPr>
  </w:style>
  <w:style w:type="character" w:customStyle="1" w:styleId="Ttulo1Car">
    <w:name w:val="Título 1 Car"/>
    <w:basedOn w:val="DefaultParagraphFont"/>
    <w:link w:val="Heading1"/>
    <w:uiPriority w:val="9"/>
    <w:rsid w:val="009B786A"/>
    <w:rPr>
      <w:rFonts w:asciiTheme="majorHAnsi" w:eastAsiaTheme="majorEastAsia" w:hAnsiTheme="majorHAnsi" w:cstheme="majorBidi"/>
      <w:b/>
      <w:bCs/>
      <w:color w:val="345A8A" w:themeColor="accent1" w:themeShade="B5"/>
      <w:sz w:val="32"/>
      <w:szCs w:val="32"/>
    </w:rPr>
  </w:style>
  <w:style w:type="paragraph" w:styleId="TOC1">
    <w:name w:val="toc 1"/>
    <w:basedOn w:val="Normal"/>
    <w:next w:val="Normal"/>
    <w:autoRedefine/>
    <w:uiPriority w:val="39"/>
    <w:unhideWhenUsed/>
    <w:rsid w:val="00E02242"/>
  </w:style>
  <w:style w:type="paragraph" w:styleId="TOC2">
    <w:name w:val="toc 2"/>
    <w:basedOn w:val="Normal"/>
    <w:next w:val="Normal"/>
    <w:autoRedefine/>
    <w:uiPriority w:val="39"/>
    <w:unhideWhenUsed/>
    <w:rsid w:val="00E02242"/>
    <w:pPr>
      <w:ind w:left="220"/>
    </w:pPr>
  </w:style>
  <w:style w:type="paragraph" w:styleId="TOC3">
    <w:name w:val="toc 3"/>
    <w:basedOn w:val="Normal"/>
    <w:next w:val="Normal"/>
    <w:autoRedefine/>
    <w:uiPriority w:val="39"/>
    <w:unhideWhenUsed/>
    <w:rsid w:val="00E02242"/>
    <w:pPr>
      <w:ind w:left="440"/>
    </w:pPr>
  </w:style>
  <w:style w:type="paragraph" w:styleId="TOC4">
    <w:name w:val="toc 4"/>
    <w:basedOn w:val="Normal"/>
    <w:next w:val="Normal"/>
    <w:autoRedefine/>
    <w:uiPriority w:val="39"/>
    <w:unhideWhenUsed/>
    <w:rsid w:val="00E02242"/>
    <w:pPr>
      <w:ind w:left="660"/>
    </w:pPr>
  </w:style>
  <w:style w:type="paragraph" w:styleId="TOC5">
    <w:name w:val="toc 5"/>
    <w:basedOn w:val="Normal"/>
    <w:next w:val="Normal"/>
    <w:autoRedefine/>
    <w:uiPriority w:val="39"/>
    <w:unhideWhenUsed/>
    <w:rsid w:val="00E02242"/>
    <w:pPr>
      <w:ind w:left="880"/>
    </w:pPr>
  </w:style>
  <w:style w:type="paragraph" w:styleId="TOC6">
    <w:name w:val="toc 6"/>
    <w:basedOn w:val="Normal"/>
    <w:next w:val="Normal"/>
    <w:autoRedefine/>
    <w:uiPriority w:val="39"/>
    <w:unhideWhenUsed/>
    <w:rsid w:val="00E02242"/>
    <w:pPr>
      <w:ind w:left="1100"/>
    </w:pPr>
  </w:style>
  <w:style w:type="paragraph" w:styleId="TOC7">
    <w:name w:val="toc 7"/>
    <w:basedOn w:val="Normal"/>
    <w:next w:val="Normal"/>
    <w:autoRedefine/>
    <w:uiPriority w:val="39"/>
    <w:unhideWhenUsed/>
    <w:rsid w:val="00E02242"/>
    <w:pPr>
      <w:ind w:left="1320"/>
    </w:pPr>
  </w:style>
  <w:style w:type="paragraph" w:styleId="TOC8">
    <w:name w:val="toc 8"/>
    <w:basedOn w:val="Normal"/>
    <w:next w:val="Normal"/>
    <w:autoRedefine/>
    <w:uiPriority w:val="39"/>
    <w:unhideWhenUsed/>
    <w:rsid w:val="00E02242"/>
    <w:pPr>
      <w:ind w:left="1540"/>
    </w:pPr>
  </w:style>
  <w:style w:type="paragraph" w:styleId="TOC9">
    <w:name w:val="toc 9"/>
    <w:basedOn w:val="Normal"/>
    <w:next w:val="Normal"/>
    <w:autoRedefine/>
    <w:uiPriority w:val="39"/>
    <w:unhideWhenUsed/>
    <w:rsid w:val="00E02242"/>
    <w:pPr>
      <w:ind w:left="1760"/>
    </w:pPr>
  </w:style>
  <w:style w:type="paragraph" w:styleId="TableofFigures">
    <w:name w:val="table of figures"/>
    <w:basedOn w:val="Normal"/>
    <w:next w:val="Normal"/>
    <w:uiPriority w:val="99"/>
    <w:unhideWhenUsed/>
    <w:rsid w:val="00E02242"/>
    <w:pPr>
      <w:ind w:left="440" w:hanging="440"/>
    </w:pPr>
  </w:style>
  <w:style w:type="table" w:styleId="MediumShading1-Accent1">
    <w:name w:val="Medium Shading 1 Accent 1"/>
    <w:basedOn w:val="TableNormal"/>
    <w:uiPriority w:val="63"/>
    <w:rsid w:val="002E0198"/>
    <w:pPr>
      <w:jc w:val="left"/>
    </w:pPr>
    <w:rPr>
      <w:rFonts w:eastAsiaTheme="minorEastAsia"/>
      <w:sz w:val="24"/>
      <w:szCs w:val="24"/>
      <w:lang w:val="es-ES_tradnl" w:eastAsia="es-ES"/>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44875">
      <w:bodyDiv w:val="1"/>
      <w:marLeft w:val="0"/>
      <w:marRight w:val="0"/>
      <w:marTop w:val="0"/>
      <w:marBottom w:val="0"/>
      <w:divBdr>
        <w:top w:val="none" w:sz="0" w:space="0" w:color="auto"/>
        <w:left w:val="none" w:sz="0" w:space="0" w:color="auto"/>
        <w:bottom w:val="none" w:sz="0" w:space="0" w:color="auto"/>
        <w:right w:val="none" w:sz="0" w:space="0" w:color="auto"/>
      </w:divBdr>
    </w:div>
    <w:div w:id="355422882">
      <w:bodyDiv w:val="1"/>
      <w:marLeft w:val="0"/>
      <w:marRight w:val="0"/>
      <w:marTop w:val="0"/>
      <w:marBottom w:val="0"/>
      <w:divBdr>
        <w:top w:val="none" w:sz="0" w:space="0" w:color="auto"/>
        <w:left w:val="none" w:sz="0" w:space="0" w:color="auto"/>
        <w:bottom w:val="none" w:sz="0" w:space="0" w:color="auto"/>
        <w:right w:val="none" w:sz="0" w:space="0" w:color="auto"/>
      </w:divBdr>
    </w:div>
    <w:div w:id="363135900">
      <w:bodyDiv w:val="1"/>
      <w:marLeft w:val="0"/>
      <w:marRight w:val="0"/>
      <w:marTop w:val="0"/>
      <w:marBottom w:val="0"/>
      <w:divBdr>
        <w:top w:val="none" w:sz="0" w:space="0" w:color="auto"/>
        <w:left w:val="none" w:sz="0" w:space="0" w:color="auto"/>
        <w:bottom w:val="none" w:sz="0" w:space="0" w:color="auto"/>
        <w:right w:val="none" w:sz="0" w:space="0" w:color="auto"/>
      </w:divBdr>
    </w:div>
    <w:div w:id="597296144">
      <w:bodyDiv w:val="1"/>
      <w:marLeft w:val="0"/>
      <w:marRight w:val="0"/>
      <w:marTop w:val="0"/>
      <w:marBottom w:val="0"/>
      <w:divBdr>
        <w:top w:val="none" w:sz="0" w:space="0" w:color="auto"/>
        <w:left w:val="none" w:sz="0" w:space="0" w:color="auto"/>
        <w:bottom w:val="none" w:sz="0" w:space="0" w:color="auto"/>
        <w:right w:val="none" w:sz="0" w:space="0" w:color="auto"/>
      </w:divBdr>
    </w:div>
    <w:div w:id="700201496">
      <w:bodyDiv w:val="1"/>
      <w:marLeft w:val="0"/>
      <w:marRight w:val="0"/>
      <w:marTop w:val="0"/>
      <w:marBottom w:val="0"/>
      <w:divBdr>
        <w:top w:val="none" w:sz="0" w:space="0" w:color="auto"/>
        <w:left w:val="none" w:sz="0" w:space="0" w:color="auto"/>
        <w:bottom w:val="none" w:sz="0" w:space="0" w:color="auto"/>
        <w:right w:val="none" w:sz="0" w:space="0" w:color="auto"/>
      </w:divBdr>
    </w:div>
    <w:div w:id="768430949">
      <w:bodyDiv w:val="1"/>
      <w:marLeft w:val="0"/>
      <w:marRight w:val="0"/>
      <w:marTop w:val="0"/>
      <w:marBottom w:val="0"/>
      <w:divBdr>
        <w:top w:val="none" w:sz="0" w:space="0" w:color="auto"/>
        <w:left w:val="none" w:sz="0" w:space="0" w:color="auto"/>
        <w:bottom w:val="none" w:sz="0" w:space="0" w:color="auto"/>
        <w:right w:val="none" w:sz="0" w:space="0" w:color="auto"/>
      </w:divBdr>
    </w:div>
    <w:div w:id="1575748626">
      <w:bodyDiv w:val="1"/>
      <w:marLeft w:val="0"/>
      <w:marRight w:val="0"/>
      <w:marTop w:val="0"/>
      <w:marBottom w:val="0"/>
      <w:divBdr>
        <w:top w:val="none" w:sz="0" w:space="0" w:color="auto"/>
        <w:left w:val="none" w:sz="0" w:space="0" w:color="auto"/>
        <w:bottom w:val="none" w:sz="0" w:space="0" w:color="auto"/>
        <w:right w:val="none" w:sz="0" w:space="0" w:color="auto"/>
      </w:divBdr>
    </w:div>
    <w:div w:id="1601335886">
      <w:bodyDiv w:val="1"/>
      <w:marLeft w:val="0"/>
      <w:marRight w:val="0"/>
      <w:marTop w:val="0"/>
      <w:marBottom w:val="0"/>
      <w:divBdr>
        <w:top w:val="none" w:sz="0" w:space="0" w:color="auto"/>
        <w:left w:val="none" w:sz="0" w:space="0" w:color="auto"/>
        <w:bottom w:val="none" w:sz="0" w:space="0" w:color="auto"/>
        <w:right w:val="none" w:sz="0" w:space="0" w:color="auto"/>
      </w:divBdr>
    </w:div>
    <w:div w:id="1625771700">
      <w:bodyDiv w:val="1"/>
      <w:marLeft w:val="0"/>
      <w:marRight w:val="0"/>
      <w:marTop w:val="0"/>
      <w:marBottom w:val="0"/>
      <w:divBdr>
        <w:top w:val="none" w:sz="0" w:space="0" w:color="auto"/>
        <w:left w:val="none" w:sz="0" w:space="0" w:color="auto"/>
        <w:bottom w:val="none" w:sz="0" w:space="0" w:color="auto"/>
        <w:right w:val="none" w:sz="0" w:space="0" w:color="auto"/>
      </w:divBdr>
    </w:div>
    <w:div w:id="1841659186">
      <w:bodyDiv w:val="1"/>
      <w:marLeft w:val="0"/>
      <w:marRight w:val="0"/>
      <w:marTop w:val="0"/>
      <w:marBottom w:val="0"/>
      <w:divBdr>
        <w:top w:val="none" w:sz="0" w:space="0" w:color="auto"/>
        <w:left w:val="none" w:sz="0" w:space="0" w:color="auto"/>
        <w:bottom w:val="none" w:sz="0" w:space="0" w:color="auto"/>
        <w:right w:val="none" w:sz="0" w:space="0" w:color="auto"/>
      </w:divBdr>
    </w:div>
    <w:div w:id="1849834281">
      <w:bodyDiv w:val="1"/>
      <w:marLeft w:val="0"/>
      <w:marRight w:val="0"/>
      <w:marTop w:val="0"/>
      <w:marBottom w:val="0"/>
      <w:divBdr>
        <w:top w:val="none" w:sz="0" w:space="0" w:color="auto"/>
        <w:left w:val="none" w:sz="0" w:space="0" w:color="auto"/>
        <w:bottom w:val="none" w:sz="0" w:space="0" w:color="auto"/>
        <w:right w:val="none" w:sz="0" w:space="0" w:color="auto"/>
      </w:divBdr>
    </w:div>
    <w:div w:id="1858961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emf"/><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image" Target="media/image6.wmf"/><Relationship Id="rId23" Type="http://schemas.openxmlformats.org/officeDocument/2006/relationships/customXml" Target="../customXml/item6.xml"/><Relationship Id="rId10" Type="http://schemas.openxmlformats.org/officeDocument/2006/relationships/image" Target="media/image1.emf"/><Relationship Id="rId19" Type="http://schemas.openxmlformats.org/officeDocument/2006/relationships/customXml" Target="../customXml/item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5.emf"/><Relationship Id="rId22" Type="http://schemas.openxmlformats.org/officeDocument/2006/relationships/customXml" Target="../customXml/item5.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C4A4E9EC835038498B3AEC1AC00ED4CD" ma:contentTypeVersion="0" ma:contentTypeDescription="A content type to manage public (operations) IDB documents" ma:contentTypeScope="" ma:versionID="d2fd318417527259d43ec47c454954ae">
  <xsd:schema xmlns:xsd="http://www.w3.org/2001/XMLSchema" xmlns:xs="http://www.w3.org/2001/XMLSchema" xmlns:p="http://schemas.microsoft.com/office/2006/metadata/properties" xmlns:ns2="9c571b2f-e523-4ab2-ba2e-09e151a03ef4" targetNamespace="http://schemas.microsoft.com/office/2006/metadata/properties" ma:root="true" ma:fieldsID="45da323492fbefc348bae8ba3d48cd8f"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6d045b0c-8341-4af3-9263-b3f75b940832}" ma:internalName="TaxCatchAll" ma:showField="CatchAllData" ma:web="0c206f8e-0efd-4879-a565-b857df8611c6">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6d045b0c-8341-4af3-9263-b3f75b940832}" ma:internalName="TaxCatchAllLabel" ma:readOnly="true" ma:showField="CatchAllDataLabel" ma:web="0c206f8e-0efd-4879-a565-b857df8611c6">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37158488</IDBDocs_x0020_Number>
    <TaxCatchAll xmlns="9c571b2f-e523-4ab2-ba2e-09e151a03ef4">
      <Value>7</Value>
      <Value>6</Value>
    </TaxCatchAll>
    <Phase xmlns="9c571b2f-e523-4ab2-ba2e-09e151a03ef4" xsi:nil="true"/>
    <SISCOR_x0020_Number xmlns="9c571b2f-e523-4ab2-ba2e-09e151a03ef4" xsi:nil="true"/>
    <Division_x0020_or_x0020_Unit xmlns="9c571b2f-e523-4ab2-ba2e-09e151a03ef4">INE/TSP</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Granada Garces, Isabel Cristina</Document_x0020_Author>
    <e559ffcc31d34167856647188be35015 xmlns="9c571b2f-e523-4ab2-ba2e-09e151a03ef4">
      <Terms xmlns="http://schemas.microsoft.com/office/infopath/2007/PartnerControls"/>
    </e559ffcc31d34167856647188be35015>
    <Fiscal_x0020_Year_x0020_IDB xmlns="9c571b2f-e523-4ab2-ba2e-09e151a03ef4">2016</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EC-L1111</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FULL DOC</Identifier>
    <Disclosure_x0020_Activity xmlns="9c571b2f-e523-4ab2-ba2e-09e151a03ef4">Loan Proposal</Disclosure_x0020_Activity>
    <Webtopic xmlns="9c571b2f-e523-4ab2-ba2e-09e151a03ef4">TR-COL</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3EFBB32-0630-4F52-8A46-FF8D3A0E57F4}"/>
</file>

<file path=customXml/itemProps2.xml><?xml version="1.0" encoding="utf-8"?>
<ds:datastoreItem xmlns:ds="http://schemas.openxmlformats.org/officeDocument/2006/customXml" ds:itemID="{6B1B8488-E4D0-41D5-9148-7885F3D5E929}"/>
</file>

<file path=customXml/itemProps3.xml><?xml version="1.0" encoding="utf-8"?>
<ds:datastoreItem xmlns:ds="http://schemas.openxmlformats.org/officeDocument/2006/customXml" ds:itemID="{9C69DCE8-FECE-456F-8B9D-BE6D2417A6DD}"/>
</file>

<file path=customXml/itemProps4.xml><?xml version="1.0" encoding="utf-8"?>
<ds:datastoreItem xmlns:ds="http://schemas.openxmlformats.org/officeDocument/2006/customXml" ds:itemID="{D1EEAA67-B77F-40AA-8B2F-3EB6424EF53C}"/>
</file>

<file path=customXml/itemProps5.xml><?xml version="1.0" encoding="utf-8"?>
<ds:datastoreItem xmlns:ds="http://schemas.openxmlformats.org/officeDocument/2006/customXml" ds:itemID="{51609127-A0EE-497A-9427-62849708EE33}"/>
</file>

<file path=customXml/itemProps6.xml><?xml version="1.0" encoding="utf-8"?>
<ds:datastoreItem xmlns:ds="http://schemas.openxmlformats.org/officeDocument/2006/customXml" ds:itemID="{CE0000F2-6DD4-4482-856F-9BE1057F9AE2}"/>
</file>

<file path=docProps/app.xml><?xml version="1.0" encoding="utf-8"?>
<Properties xmlns="http://schemas.openxmlformats.org/officeDocument/2006/extended-properties" xmlns:vt="http://schemas.openxmlformats.org/officeDocument/2006/docPropsVTypes">
  <Template>Normal.dotm</Template>
  <TotalTime>1</TotalTime>
  <Pages>12</Pages>
  <Words>2567</Words>
  <Characters>14120</Characters>
  <Application>Microsoft Office Word</Application>
  <DocSecurity>4</DocSecurity>
  <Lines>117</Lines>
  <Paragraphs>33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16654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Enlace Electrónico Opcional _6_ Revision de la Evaluacion Financiera del Proyecto Primera Linea de Metro de Quito</dc:title>
  <dc:creator>Germán Ospina</dc:creator>
  <cp:lastModifiedBy>igranada</cp:lastModifiedBy>
  <cp:revision>2</cp:revision>
  <cp:lastPrinted>2012-09-15T23:57:00Z</cp:lastPrinted>
  <dcterms:created xsi:type="dcterms:W3CDTF">2012-10-02T20:19:00Z</dcterms:created>
  <dcterms:modified xsi:type="dcterms:W3CDTF">2012-10-02T20:19:00Z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0x01010046CF21643EE8D14686A648AA6DAD089200C4A4E9EC835038498B3AEC1AC00ED4CD</vt:lpwstr>
  </property>
  <property fmtid="{D5CDD505-2E9C-101B-9397-08002B2CF9AE}" pid="3" name="TaxKeyword">
    <vt:lpwstr/>
  </property>
  <property fmtid="{D5CDD505-2E9C-101B-9397-08002B2CF9AE}" pid="4" name="Function Operations IDB">
    <vt:lpwstr>7;#IDBDocs|cca77002-e150-4b2d-ab1f-1d7a7cdcae16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6;#Unclassified|a6dff32e-d477-44cd-a56b-85efe9e0a56c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6;#Unclassified|a6dff32e-d477-44cd-a56b-85efe9e0a56c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