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3E587" w14:textId="77777777" w:rsidR="0095711B" w:rsidRPr="00EF18D4" w:rsidRDefault="00690634" w:rsidP="00690634">
      <w:pPr>
        <w:spacing w:before="120" w:after="120" w:line="240" w:lineRule="auto"/>
        <w:jc w:val="center"/>
        <w:rPr>
          <w:rFonts w:ascii="Arial" w:hAnsi="Arial" w:cs="Arial"/>
          <w:b/>
          <w:sz w:val="24"/>
          <w:szCs w:val="24"/>
        </w:rPr>
      </w:pPr>
      <w:r w:rsidRPr="00EF18D4">
        <w:rPr>
          <w:rFonts w:ascii="Arial" w:hAnsi="Arial" w:cs="Arial"/>
          <w:b/>
          <w:sz w:val="24"/>
          <w:szCs w:val="24"/>
        </w:rPr>
        <w:t>Technical Cooperation (TC) Document</w:t>
      </w:r>
    </w:p>
    <w:p w14:paraId="0179413E" w14:textId="77777777" w:rsidR="00690634" w:rsidRPr="00EF18D4" w:rsidRDefault="00690634" w:rsidP="005B391D">
      <w:pPr>
        <w:spacing w:before="120" w:after="120" w:line="240" w:lineRule="auto"/>
        <w:rPr>
          <w:rFonts w:ascii="Arial" w:hAnsi="Arial" w:cs="Arial"/>
          <w:b/>
        </w:rPr>
      </w:pPr>
    </w:p>
    <w:p w14:paraId="23C888CB" w14:textId="77777777" w:rsidR="00690634" w:rsidRPr="00EF18D4" w:rsidRDefault="00690634" w:rsidP="00184FDB">
      <w:pPr>
        <w:pStyle w:val="ListParagraph"/>
        <w:numPr>
          <w:ilvl w:val="0"/>
          <w:numId w:val="18"/>
        </w:numPr>
        <w:spacing w:before="120" w:after="120" w:line="240" w:lineRule="auto"/>
        <w:ind w:left="540" w:hanging="540"/>
        <w:rPr>
          <w:rFonts w:ascii="Arial" w:hAnsi="Arial" w:cs="Arial"/>
          <w:b/>
        </w:rPr>
      </w:pPr>
      <w:r w:rsidRPr="00EF18D4">
        <w:rPr>
          <w:rFonts w:ascii="Arial" w:hAnsi="Arial" w:cs="Arial"/>
          <w:b/>
        </w:rPr>
        <w:t xml:space="preserve">Basic </w:t>
      </w:r>
      <w:r w:rsidR="00606F55" w:rsidRPr="00EF18D4">
        <w:rPr>
          <w:rFonts w:ascii="Arial" w:hAnsi="Arial" w:cs="Arial"/>
          <w:b/>
        </w:rPr>
        <w:t>Information for TC</w:t>
      </w:r>
      <w:r w:rsidRPr="00EF18D4">
        <w:rPr>
          <w:rFonts w:ascii="Arial" w:hAnsi="Arial" w:cs="Arial"/>
          <w:b/>
        </w:rPr>
        <w:t>:</w:t>
      </w:r>
    </w:p>
    <w:tbl>
      <w:tblPr>
        <w:tblStyle w:val="TableGrid"/>
        <w:tblW w:w="0" w:type="auto"/>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041"/>
        <w:gridCol w:w="4211"/>
      </w:tblGrid>
      <w:tr w:rsidR="009F33FF" w:rsidRPr="00EF18D4" w14:paraId="63795D70" w14:textId="77777777" w:rsidTr="00116E03">
        <w:tc>
          <w:tcPr>
            <w:tcW w:w="4041" w:type="dxa"/>
          </w:tcPr>
          <w:p w14:paraId="5F34A019" w14:textId="77777777" w:rsidR="009F33FF" w:rsidRPr="00EF18D4"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Country/Region:</w:t>
            </w:r>
          </w:p>
        </w:tc>
        <w:tc>
          <w:tcPr>
            <w:tcW w:w="4211" w:type="dxa"/>
          </w:tcPr>
          <w:p w14:paraId="00EEC7F3" w14:textId="77777777" w:rsidR="009F33FF" w:rsidRPr="00EF18D4" w:rsidRDefault="00C6376D" w:rsidP="00116E03">
            <w:pPr>
              <w:spacing w:after="60"/>
              <w:ind w:left="66"/>
              <w:rPr>
                <w:rFonts w:ascii="Arial" w:hAnsi="Arial" w:cs="Arial"/>
                <w:sz w:val="18"/>
                <w:szCs w:val="18"/>
              </w:rPr>
            </w:pPr>
            <w:r w:rsidRPr="00EF18D4">
              <w:rPr>
                <w:rFonts w:ascii="Arial" w:hAnsi="Arial" w:cs="Arial"/>
                <w:sz w:val="18"/>
                <w:szCs w:val="18"/>
              </w:rPr>
              <w:t>Mexico/CID</w:t>
            </w:r>
          </w:p>
        </w:tc>
      </w:tr>
      <w:tr w:rsidR="009F33FF" w:rsidRPr="00EF18D4" w14:paraId="142A8CF8" w14:textId="77777777" w:rsidTr="00116E03">
        <w:tc>
          <w:tcPr>
            <w:tcW w:w="4041" w:type="dxa"/>
          </w:tcPr>
          <w:p w14:paraId="42027951" w14:textId="77777777" w:rsidR="009F33FF" w:rsidRPr="00EF18D4"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TC Name:</w:t>
            </w:r>
          </w:p>
        </w:tc>
        <w:tc>
          <w:tcPr>
            <w:tcW w:w="4211" w:type="dxa"/>
          </w:tcPr>
          <w:p w14:paraId="73F4DF61" w14:textId="77777777" w:rsidR="009F33FF" w:rsidRPr="00EF18D4" w:rsidRDefault="00C6376D" w:rsidP="00116E03">
            <w:pPr>
              <w:spacing w:after="60"/>
              <w:ind w:left="66"/>
              <w:rPr>
                <w:rFonts w:ascii="Arial" w:hAnsi="Arial" w:cs="Arial"/>
                <w:sz w:val="18"/>
                <w:szCs w:val="18"/>
              </w:rPr>
            </w:pPr>
            <w:r w:rsidRPr="00EF18D4">
              <w:rPr>
                <w:rFonts w:ascii="Arial" w:hAnsi="Arial" w:cs="Arial"/>
                <w:sz w:val="18"/>
                <w:szCs w:val="18"/>
              </w:rPr>
              <w:t xml:space="preserve">Support </w:t>
            </w:r>
            <w:r w:rsidR="00A304F2" w:rsidRPr="00EF18D4">
              <w:rPr>
                <w:rFonts w:ascii="Arial" w:hAnsi="Arial" w:cs="Arial"/>
                <w:sz w:val="18"/>
                <w:szCs w:val="18"/>
              </w:rPr>
              <w:t>to</w:t>
            </w:r>
            <w:r w:rsidRPr="00EF18D4">
              <w:rPr>
                <w:rFonts w:ascii="Arial" w:hAnsi="Arial" w:cs="Arial"/>
                <w:sz w:val="18"/>
                <w:szCs w:val="18"/>
              </w:rPr>
              <w:t xml:space="preserve"> </w:t>
            </w:r>
            <w:r w:rsidR="00013EF4" w:rsidRPr="00EF18D4">
              <w:rPr>
                <w:rFonts w:ascii="Arial" w:hAnsi="Arial" w:cs="Arial"/>
                <w:sz w:val="18"/>
                <w:szCs w:val="18"/>
              </w:rPr>
              <w:t>Mex</w:t>
            </w:r>
            <w:r w:rsidR="00F75C8A" w:rsidRPr="00EF18D4">
              <w:rPr>
                <w:rFonts w:ascii="Arial" w:hAnsi="Arial" w:cs="Arial"/>
                <w:sz w:val="18"/>
                <w:szCs w:val="18"/>
              </w:rPr>
              <w:t>i</w:t>
            </w:r>
            <w:r w:rsidR="00013EF4" w:rsidRPr="00EF18D4">
              <w:rPr>
                <w:rFonts w:ascii="Arial" w:hAnsi="Arial" w:cs="Arial"/>
                <w:sz w:val="18"/>
                <w:szCs w:val="18"/>
              </w:rPr>
              <w:t>can</w:t>
            </w:r>
            <w:r w:rsidR="00F75C8A" w:rsidRPr="00EF18D4">
              <w:rPr>
                <w:rFonts w:ascii="Arial" w:hAnsi="Arial" w:cs="Arial"/>
                <w:sz w:val="18"/>
                <w:szCs w:val="18"/>
              </w:rPr>
              <w:t xml:space="preserve"> l</w:t>
            </w:r>
            <w:r w:rsidRPr="00EF18D4">
              <w:rPr>
                <w:rFonts w:ascii="Arial" w:hAnsi="Arial" w:cs="Arial"/>
                <w:sz w:val="18"/>
                <w:szCs w:val="18"/>
              </w:rPr>
              <w:t>abor</w:t>
            </w:r>
            <w:r w:rsidR="00E86FCC" w:rsidRPr="00EF18D4">
              <w:rPr>
                <w:rFonts w:ascii="Arial" w:hAnsi="Arial" w:cs="Arial"/>
                <w:sz w:val="18"/>
                <w:szCs w:val="18"/>
              </w:rPr>
              <w:t xml:space="preserve"> market</w:t>
            </w:r>
            <w:r w:rsidRPr="00EF18D4">
              <w:rPr>
                <w:rFonts w:ascii="Arial" w:hAnsi="Arial" w:cs="Arial"/>
                <w:sz w:val="18"/>
                <w:szCs w:val="18"/>
              </w:rPr>
              <w:t xml:space="preserve"> policies</w:t>
            </w:r>
          </w:p>
        </w:tc>
      </w:tr>
      <w:tr w:rsidR="009F33FF" w:rsidRPr="00EF18D4" w14:paraId="79804701" w14:textId="77777777" w:rsidTr="00116E03">
        <w:tc>
          <w:tcPr>
            <w:tcW w:w="4041" w:type="dxa"/>
          </w:tcPr>
          <w:p w14:paraId="3F6EBBF8" w14:textId="77777777" w:rsidR="009F33FF" w:rsidRPr="00EF18D4"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TC Number:</w:t>
            </w:r>
          </w:p>
        </w:tc>
        <w:tc>
          <w:tcPr>
            <w:tcW w:w="4211" w:type="dxa"/>
          </w:tcPr>
          <w:p w14:paraId="162DE393" w14:textId="77777777" w:rsidR="009F33FF" w:rsidRPr="00EF18D4" w:rsidRDefault="00C6376D" w:rsidP="00116E03">
            <w:pPr>
              <w:spacing w:after="60"/>
              <w:ind w:left="66"/>
              <w:rPr>
                <w:rFonts w:ascii="Arial" w:hAnsi="Arial" w:cs="Arial"/>
                <w:sz w:val="18"/>
                <w:szCs w:val="18"/>
              </w:rPr>
            </w:pPr>
            <w:r w:rsidRPr="00EF18D4">
              <w:rPr>
                <w:rFonts w:ascii="Arial" w:hAnsi="Arial" w:cs="Arial"/>
                <w:sz w:val="18"/>
                <w:szCs w:val="18"/>
              </w:rPr>
              <w:t>ME-T13</w:t>
            </w:r>
            <w:r w:rsidR="00EE4B8D" w:rsidRPr="00EF18D4">
              <w:rPr>
                <w:rFonts w:ascii="Arial" w:hAnsi="Arial" w:cs="Arial"/>
                <w:sz w:val="18"/>
                <w:szCs w:val="18"/>
              </w:rPr>
              <w:t>92</w:t>
            </w:r>
          </w:p>
        </w:tc>
      </w:tr>
      <w:tr w:rsidR="009F33FF" w:rsidRPr="00EF18D4" w14:paraId="2729562D" w14:textId="77777777" w:rsidTr="00116E03">
        <w:tc>
          <w:tcPr>
            <w:tcW w:w="4041" w:type="dxa"/>
          </w:tcPr>
          <w:p w14:paraId="4930F1F1" w14:textId="77777777" w:rsidR="009F33FF" w:rsidRPr="00EF18D4" w:rsidRDefault="00E85797"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Team Leader/Members:</w:t>
            </w:r>
          </w:p>
        </w:tc>
        <w:tc>
          <w:tcPr>
            <w:tcW w:w="4211" w:type="dxa"/>
          </w:tcPr>
          <w:p w14:paraId="75BE78B3" w14:textId="10BF7B9E" w:rsidR="009F33FF" w:rsidRPr="00EF18D4" w:rsidRDefault="00C6376D" w:rsidP="00D01166">
            <w:pPr>
              <w:spacing w:after="60"/>
              <w:ind w:left="66"/>
              <w:jc w:val="both"/>
              <w:rPr>
                <w:rFonts w:ascii="Arial" w:hAnsi="Arial" w:cs="Arial"/>
                <w:sz w:val="18"/>
                <w:szCs w:val="18"/>
              </w:rPr>
            </w:pPr>
            <w:r w:rsidRPr="00EF18D4">
              <w:rPr>
                <w:rFonts w:ascii="Arial" w:hAnsi="Arial" w:cs="Arial"/>
                <w:sz w:val="18"/>
                <w:szCs w:val="18"/>
              </w:rPr>
              <w:t>David Kaplan (LMK/CME)</w:t>
            </w:r>
            <w:r w:rsidR="00116E03" w:rsidRPr="00EF18D4">
              <w:rPr>
                <w:rFonts w:ascii="Arial" w:hAnsi="Arial" w:cs="Arial"/>
                <w:sz w:val="18"/>
                <w:szCs w:val="18"/>
              </w:rPr>
              <w:t>,</w:t>
            </w:r>
            <w:r w:rsidRPr="00EF18D4">
              <w:rPr>
                <w:rFonts w:ascii="Arial" w:hAnsi="Arial" w:cs="Arial"/>
                <w:sz w:val="18"/>
                <w:szCs w:val="18"/>
              </w:rPr>
              <w:t xml:space="preserve"> </w:t>
            </w:r>
            <w:r w:rsidR="00116E03" w:rsidRPr="00EF18D4">
              <w:rPr>
                <w:rFonts w:ascii="Arial" w:hAnsi="Arial" w:cs="Arial"/>
                <w:sz w:val="18"/>
                <w:szCs w:val="18"/>
              </w:rPr>
              <w:t xml:space="preserve">team leader; </w:t>
            </w:r>
            <w:r w:rsidRPr="00EF18D4">
              <w:rPr>
                <w:rFonts w:ascii="Arial" w:hAnsi="Arial" w:cs="Arial"/>
                <w:sz w:val="18"/>
                <w:szCs w:val="18"/>
              </w:rPr>
              <w:t>Edna Miranda (</w:t>
            </w:r>
            <w:r w:rsidR="00E008CD" w:rsidRPr="00EF18D4">
              <w:rPr>
                <w:rFonts w:ascii="Arial" w:hAnsi="Arial" w:cs="Arial"/>
                <w:sz w:val="18"/>
                <w:szCs w:val="18"/>
              </w:rPr>
              <w:t>CID</w:t>
            </w:r>
            <w:r w:rsidRPr="00EF18D4">
              <w:rPr>
                <w:rFonts w:ascii="Arial" w:hAnsi="Arial" w:cs="Arial"/>
                <w:sz w:val="18"/>
                <w:szCs w:val="18"/>
              </w:rPr>
              <w:t>/CME); Ethel Muhlstein (SCL/LMK);</w:t>
            </w:r>
            <w:r w:rsidR="00C05C2B" w:rsidRPr="00EF18D4">
              <w:rPr>
                <w:rFonts w:ascii="Arial" w:hAnsi="Arial" w:cs="Arial"/>
                <w:sz w:val="18"/>
                <w:szCs w:val="18"/>
              </w:rPr>
              <w:t xml:space="preserve"> Claudia Piras (SCL/GDI)</w:t>
            </w:r>
            <w:r w:rsidR="00D01166" w:rsidRPr="00EF18D4">
              <w:rPr>
                <w:rFonts w:ascii="Arial" w:hAnsi="Arial" w:cs="Arial"/>
                <w:sz w:val="18"/>
                <w:szCs w:val="18"/>
              </w:rPr>
              <w:t>;</w:t>
            </w:r>
            <w:r w:rsidRPr="00EF18D4">
              <w:rPr>
                <w:rFonts w:ascii="Arial" w:hAnsi="Arial" w:cs="Arial"/>
                <w:sz w:val="18"/>
                <w:szCs w:val="18"/>
              </w:rPr>
              <w:t xml:space="preserve"> </w:t>
            </w:r>
            <w:r w:rsidR="00387745" w:rsidRPr="00EF18D4">
              <w:rPr>
                <w:rFonts w:ascii="Arial" w:hAnsi="Arial" w:cs="Arial"/>
                <w:sz w:val="18"/>
                <w:szCs w:val="18"/>
              </w:rPr>
              <w:t xml:space="preserve">and </w:t>
            </w:r>
            <w:r w:rsidR="00F7357D" w:rsidRPr="00EF18D4">
              <w:rPr>
                <w:rFonts w:ascii="Arial" w:hAnsi="Arial" w:cs="Arial"/>
                <w:sz w:val="18"/>
                <w:szCs w:val="18"/>
              </w:rPr>
              <w:t xml:space="preserve">Esteban </w:t>
            </w:r>
            <w:r w:rsidR="002943F2" w:rsidRPr="00EF18D4">
              <w:rPr>
                <w:rFonts w:ascii="Arial" w:hAnsi="Arial" w:cs="Arial"/>
                <w:sz w:val="18"/>
                <w:szCs w:val="18"/>
              </w:rPr>
              <w:t xml:space="preserve">de </w:t>
            </w:r>
            <w:r w:rsidR="00F7357D" w:rsidRPr="00EF18D4">
              <w:rPr>
                <w:rFonts w:ascii="Arial" w:hAnsi="Arial" w:cs="Arial"/>
                <w:sz w:val="18"/>
                <w:szCs w:val="18"/>
              </w:rPr>
              <w:t>Dobrzynski</w:t>
            </w:r>
            <w:r w:rsidR="002943F2" w:rsidRPr="00EF18D4">
              <w:rPr>
                <w:rFonts w:ascii="Arial" w:hAnsi="Arial" w:cs="Arial"/>
                <w:sz w:val="18"/>
                <w:szCs w:val="18"/>
              </w:rPr>
              <w:t xml:space="preserve"> </w:t>
            </w:r>
            <w:r w:rsidR="00F4182D" w:rsidRPr="00EF18D4">
              <w:rPr>
                <w:rFonts w:ascii="Arial" w:hAnsi="Arial" w:cs="Arial"/>
                <w:sz w:val="18"/>
                <w:szCs w:val="18"/>
              </w:rPr>
              <w:t>(</w:t>
            </w:r>
            <w:r w:rsidR="00AF4B13" w:rsidRPr="00EF18D4">
              <w:rPr>
                <w:rFonts w:ascii="Arial" w:hAnsi="Arial" w:cs="Arial"/>
                <w:sz w:val="18"/>
                <w:szCs w:val="18"/>
              </w:rPr>
              <w:t>LEG/SGO</w:t>
            </w:r>
            <w:r w:rsidR="00387745" w:rsidRPr="00EF18D4">
              <w:rPr>
                <w:rFonts w:ascii="Arial" w:hAnsi="Arial" w:cs="Arial"/>
                <w:sz w:val="18"/>
                <w:szCs w:val="18"/>
              </w:rPr>
              <w:t>).</w:t>
            </w:r>
            <w:r w:rsidR="00696212" w:rsidRPr="00EF18D4">
              <w:rPr>
                <w:rFonts w:ascii="Arial" w:hAnsi="Arial" w:cs="Arial"/>
                <w:sz w:val="18"/>
                <w:szCs w:val="18"/>
              </w:rPr>
              <w:t xml:space="preserve"> </w:t>
            </w:r>
          </w:p>
        </w:tc>
      </w:tr>
      <w:tr w:rsidR="00E85797" w:rsidRPr="00EF18D4" w14:paraId="592C36B5" w14:textId="77777777" w:rsidTr="001814A9">
        <w:trPr>
          <w:trHeight w:val="431"/>
        </w:trPr>
        <w:tc>
          <w:tcPr>
            <w:tcW w:w="4041" w:type="dxa"/>
          </w:tcPr>
          <w:p w14:paraId="77DBCC98" w14:textId="77777777" w:rsidR="00E85797" w:rsidRPr="00EF18D4" w:rsidRDefault="00E85797" w:rsidP="00ED3650">
            <w:pPr>
              <w:pStyle w:val="ListParagraph"/>
              <w:numPr>
                <w:ilvl w:val="0"/>
                <w:numId w:val="2"/>
              </w:numPr>
              <w:spacing w:after="60"/>
              <w:ind w:left="162" w:hanging="162"/>
              <w:jc w:val="both"/>
              <w:rPr>
                <w:rFonts w:ascii="Arial" w:hAnsi="Arial" w:cs="Arial"/>
                <w:sz w:val="18"/>
                <w:szCs w:val="18"/>
              </w:rPr>
            </w:pPr>
            <w:r w:rsidRPr="00EF18D4">
              <w:rPr>
                <w:rFonts w:ascii="Arial" w:hAnsi="Arial" w:cs="Arial"/>
                <w:sz w:val="18"/>
                <w:szCs w:val="18"/>
              </w:rPr>
              <w:t>Indicate if: Operational Support, Client Support, or Research &amp; Dissemination</w:t>
            </w:r>
          </w:p>
        </w:tc>
        <w:tc>
          <w:tcPr>
            <w:tcW w:w="4211" w:type="dxa"/>
          </w:tcPr>
          <w:p w14:paraId="4644D1AA" w14:textId="77777777" w:rsidR="00E85797" w:rsidRPr="00EF18D4" w:rsidRDefault="00C6376D" w:rsidP="00116E03">
            <w:pPr>
              <w:spacing w:after="60"/>
              <w:ind w:left="66"/>
              <w:rPr>
                <w:rFonts w:ascii="Arial" w:hAnsi="Arial" w:cs="Arial"/>
                <w:sz w:val="18"/>
                <w:szCs w:val="18"/>
              </w:rPr>
            </w:pPr>
            <w:r w:rsidRPr="00EF18D4">
              <w:rPr>
                <w:rFonts w:ascii="Arial" w:hAnsi="Arial" w:cs="Arial"/>
                <w:sz w:val="18"/>
                <w:szCs w:val="18"/>
              </w:rPr>
              <w:t>Client Support</w:t>
            </w:r>
            <w:r w:rsidR="00116E03" w:rsidRPr="00EF18D4">
              <w:rPr>
                <w:rFonts w:ascii="Arial" w:hAnsi="Arial" w:cs="Arial"/>
                <w:sz w:val="18"/>
                <w:szCs w:val="18"/>
              </w:rPr>
              <w:t xml:space="preserve"> (CS)</w:t>
            </w:r>
          </w:p>
        </w:tc>
      </w:tr>
      <w:tr w:rsidR="009F33FF" w:rsidRPr="00EF18D4" w14:paraId="5D43ABD2" w14:textId="77777777" w:rsidTr="00116E03">
        <w:tc>
          <w:tcPr>
            <w:tcW w:w="4041" w:type="dxa"/>
          </w:tcPr>
          <w:p w14:paraId="103B9054" w14:textId="77777777" w:rsidR="009F33FF" w:rsidRPr="00EF18D4"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Date of TC Abstract authorization:</w:t>
            </w:r>
          </w:p>
        </w:tc>
        <w:tc>
          <w:tcPr>
            <w:tcW w:w="4211" w:type="dxa"/>
          </w:tcPr>
          <w:p w14:paraId="581CA06F" w14:textId="03B77CFE" w:rsidR="009F33FF" w:rsidRPr="00EF18D4" w:rsidRDefault="00F7357D" w:rsidP="001814A9">
            <w:pPr>
              <w:spacing w:after="60"/>
              <w:rPr>
                <w:rFonts w:ascii="Arial" w:hAnsi="Arial" w:cs="Arial"/>
                <w:sz w:val="18"/>
                <w:szCs w:val="18"/>
              </w:rPr>
            </w:pPr>
            <w:r w:rsidRPr="00EF18D4">
              <w:rPr>
                <w:rFonts w:ascii="Arial" w:hAnsi="Arial" w:cs="Arial"/>
                <w:sz w:val="18"/>
                <w:szCs w:val="18"/>
              </w:rPr>
              <w:t>February 22</w:t>
            </w:r>
            <w:r w:rsidRPr="00EF18D4">
              <w:rPr>
                <w:rFonts w:ascii="Arial" w:hAnsi="Arial" w:cs="Arial"/>
                <w:sz w:val="18"/>
                <w:szCs w:val="18"/>
                <w:vertAlign w:val="superscript"/>
              </w:rPr>
              <w:t>nd</w:t>
            </w:r>
            <w:r w:rsidRPr="00EF18D4">
              <w:rPr>
                <w:rFonts w:ascii="Arial" w:hAnsi="Arial" w:cs="Arial"/>
                <w:sz w:val="18"/>
                <w:szCs w:val="18"/>
              </w:rPr>
              <w:t>, 2019</w:t>
            </w:r>
          </w:p>
        </w:tc>
      </w:tr>
      <w:tr w:rsidR="009F33FF" w:rsidRPr="00EF18D4" w14:paraId="5A6B92CC" w14:textId="77777777" w:rsidTr="00116E03">
        <w:tc>
          <w:tcPr>
            <w:tcW w:w="4041" w:type="dxa"/>
          </w:tcPr>
          <w:p w14:paraId="08238DE7" w14:textId="77777777" w:rsidR="009F33FF" w:rsidRPr="00EF18D4"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Beneficiary (countries or entities which are the recipient of the technical assistance):</w:t>
            </w:r>
          </w:p>
        </w:tc>
        <w:tc>
          <w:tcPr>
            <w:tcW w:w="4211" w:type="dxa"/>
          </w:tcPr>
          <w:p w14:paraId="57079EFF" w14:textId="61551732" w:rsidR="009F33FF" w:rsidRPr="00EF18D4" w:rsidRDefault="001814A9" w:rsidP="00116E03">
            <w:pPr>
              <w:spacing w:after="60"/>
              <w:ind w:left="66"/>
              <w:rPr>
                <w:rFonts w:ascii="Arial" w:hAnsi="Arial" w:cs="Arial"/>
                <w:sz w:val="18"/>
                <w:szCs w:val="18"/>
              </w:rPr>
            </w:pPr>
            <w:r w:rsidRPr="00EF18D4">
              <w:rPr>
                <w:rFonts w:ascii="Arial" w:hAnsi="Arial" w:cs="Arial"/>
                <w:sz w:val="18"/>
                <w:szCs w:val="18"/>
              </w:rPr>
              <w:t>Mexico, through the Ministry of Labor and Social Security</w:t>
            </w:r>
          </w:p>
        </w:tc>
      </w:tr>
      <w:tr w:rsidR="009F33FF" w:rsidRPr="00EF18D4" w14:paraId="4C1248B4" w14:textId="77777777" w:rsidTr="00116E03">
        <w:tc>
          <w:tcPr>
            <w:tcW w:w="4041" w:type="dxa"/>
          </w:tcPr>
          <w:p w14:paraId="6BEB871B" w14:textId="77777777" w:rsidR="009F33FF" w:rsidRPr="00EF18D4"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 xml:space="preserve">Executing Agency and contact name (Organization or entity responsible for executing the TC Program) </w:t>
            </w:r>
          </w:p>
        </w:tc>
        <w:tc>
          <w:tcPr>
            <w:tcW w:w="4211" w:type="dxa"/>
          </w:tcPr>
          <w:p w14:paraId="45AAFF55" w14:textId="4CE462E6" w:rsidR="009F33FF" w:rsidRPr="00EF18D4" w:rsidRDefault="001814A9" w:rsidP="00BF0DF0">
            <w:pPr>
              <w:spacing w:after="60"/>
              <w:ind w:left="66"/>
              <w:jc w:val="both"/>
              <w:rPr>
                <w:rFonts w:ascii="Arial" w:hAnsi="Arial" w:cs="Arial"/>
                <w:sz w:val="18"/>
                <w:szCs w:val="18"/>
              </w:rPr>
            </w:pPr>
            <w:r w:rsidRPr="00EF18D4">
              <w:rPr>
                <w:rFonts w:ascii="Arial" w:hAnsi="Arial" w:cs="Arial"/>
                <w:sz w:val="18"/>
                <w:szCs w:val="18"/>
              </w:rPr>
              <w:t xml:space="preserve">Inter-American Development Bank (IDB), Social Sector, Labor Markets Division (SCL/LMK). David Kaplan, </w:t>
            </w:r>
            <w:hyperlink r:id="rId8" w:history="1">
              <w:r w:rsidRPr="00EF18D4">
                <w:rPr>
                  <w:rStyle w:val="Hyperlink"/>
                  <w:rFonts w:ascii="Arial" w:hAnsi="Arial" w:cs="Arial"/>
                  <w:sz w:val="18"/>
                  <w:szCs w:val="18"/>
                </w:rPr>
                <w:t>dkaplan@iadb.org</w:t>
              </w:r>
            </w:hyperlink>
            <w:r w:rsidRPr="00EF18D4">
              <w:rPr>
                <w:rFonts w:ascii="Arial" w:hAnsi="Arial" w:cs="Arial"/>
                <w:sz w:val="18"/>
                <w:szCs w:val="18"/>
              </w:rPr>
              <w:t>.</w:t>
            </w:r>
          </w:p>
        </w:tc>
      </w:tr>
      <w:tr w:rsidR="00FA40C9" w:rsidRPr="00EF18D4" w14:paraId="55E6C4D2" w14:textId="77777777" w:rsidTr="00116E03">
        <w:tc>
          <w:tcPr>
            <w:tcW w:w="4041" w:type="dxa"/>
          </w:tcPr>
          <w:p w14:paraId="747BFFA6" w14:textId="77777777" w:rsidR="00FA40C9" w:rsidRPr="00EF18D4" w:rsidRDefault="00FA40C9" w:rsidP="00170219">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Donors providing funding:</w:t>
            </w:r>
          </w:p>
        </w:tc>
        <w:tc>
          <w:tcPr>
            <w:tcW w:w="4211" w:type="dxa"/>
          </w:tcPr>
          <w:p w14:paraId="540B7079" w14:textId="77777777" w:rsidR="00FA40C9" w:rsidRPr="00EF18D4" w:rsidRDefault="00960C4C" w:rsidP="00BF0DF0">
            <w:pPr>
              <w:spacing w:after="60"/>
              <w:ind w:left="66"/>
              <w:jc w:val="both"/>
              <w:rPr>
                <w:rFonts w:ascii="Arial" w:hAnsi="Arial" w:cs="Arial"/>
                <w:sz w:val="18"/>
                <w:szCs w:val="18"/>
              </w:rPr>
            </w:pPr>
            <w:r w:rsidRPr="00EF18D4">
              <w:rPr>
                <w:rFonts w:ascii="Arial" w:hAnsi="Arial" w:cs="Arial"/>
                <w:sz w:val="18"/>
                <w:szCs w:val="18"/>
              </w:rPr>
              <w:t>OC Strategic Development Program for Social Development (SOC</w:t>
            </w:r>
            <w:r w:rsidR="00BA47E9" w:rsidRPr="00EF18D4">
              <w:rPr>
                <w:rFonts w:ascii="Arial" w:hAnsi="Arial" w:cs="Arial"/>
                <w:sz w:val="18"/>
                <w:szCs w:val="18"/>
              </w:rPr>
              <w:t>)</w:t>
            </w:r>
          </w:p>
        </w:tc>
      </w:tr>
      <w:tr w:rsidR="009F33FF" w:rsidRPr="00EF18D4" w14:paraId="309A9A4F" w14:textId="77777777" w:rsidTr="00116E03">
        <w:tc>
          <w:tcPr>
            <w:tcW w:w="4041" w:type="dxa"/>
          </w:tcPr>
          <w:p w14:paraId="11199797" w14:textId="77777777" w:rsidR="009F33FF" w:rsidRPr="00EF18D4"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IDB Funding Requested:</w:t>
            </w:r>
          </w:p>
        </w:tc>
        <w:tc>
          <w:tcPr>
            <w:tcW w:w="4211" w:type="dxa"/>
          </w:tcPr>
          <w:p w14:paraId="1DD93388" w14:textId="2426FB55" w:rsidR="009F33FF" w:rsidRPr="00EF18D4" w:rsidRDefault="00960C4C" w:rsidP="00116E03">
            <w:pPr>
              <w:spacing w:after="120"/>
              <w:ind w:left="66"/>
              <w:jc w:val="both"/>
              <w:rPr>
                <w:rFonts w:ascii="Verdana" w:hAnsi="Verdana"/>
                <w:color w:val="FF0000"/>
                <w:sz w:val="18"/>
                <w:szCs w:val="18"/>
              </w:rPr>
            </w:pPr>
            <w:r w:rsidRPr="00EF18D4">
              <w:rPr>
                <w:rFonts w:ascii="Arial" w:hAnsi="Arial" w:cs="Arial"/>
                <w:sz w:val="18"/>
                <w:szCs w:val="18"/>
              </w:rPr>
              <w:t>$</w:t>
            </w:r>
            <w:r w:rsidR="001814A9" w:rsidRPr="00EF18D4">
              <w:rPr>
                <w:rFonts w:ascii="Arial" w:hAnsi="Arial" w:cs="Arial"/>
                <w:sz w:val="18"/>
                <w:szCs w:val="18"/>
              </w:rPr>
              <w:t>25</w:t>
            </w:r>
            <w:r w:rsidRPr="00EF18D4">
              <w:rPr>
                <w:rFonts w:ascii="Arial" w:hAnsi="Arial" w:cs="Arial"/>
                <w:sz w:val="18"/>
                <w:szCs w:val="18"/>
              </w:rPr>
              <w:t>0,000</w:t>
            </w:r>
          </w:p>
        </w:tc>
      </w:tr>
      <w:tr w:rsidR="009F33FF" w:rsidRPr="00EF18D4" w14:paraId="60FE42C1" w14:textId="77777777" w:rsidTr="00116E03">
        <w:tc>
          <w:tcPr>
            <w:tcW w:w="4041" w:type="dxa"/>
          </w:tcPr>
          <w:p w14:paraId="361EA17D" w14:textId="77777777" w:rsidR="009F33FF" w:rsidRPr="00EF18D4"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Local counterpart funding, if any:</w:t>
            </w:r>
          </w:p>
        </w:tc>
        <w:tc>
          <w:tcPr>
            <w:tcW w:w="4211" w:type="dxa"/>
          </w:tcPr>
          <w:p w14:paraId="50261B9D" w14:textId="77777777" w:rsidR="009F33FF" w:rsidRPr="00EF18D4" w:rsidRDefault="00C6376D" w:rsidP="00116E03">
            <w:pPr>
              <w:spacing w:after="60"/>
              <w:ind w:left="66"/>
              <w:rPr>
                <w:rFonts w:ascii="Arial" w:hAnsi="Arial" w:cs="Arial"/>
                <w:sz w:val="18"/>
                <w:szCs w:val="18"/>
              </w:rPr>
            </w:pPr>
            <w:r w:rsidRPr="00EF18D4">
              <w:rPr>
                <w:rFonts w:ascii="Arial" w:hAnsi="Arial" w:cs="Arial"/>
                <w:sz w:val="18"/>
                <w:szCs w:val="18"/>
              </w:rPr>
              <w:t>$0</w:t>
            </w:r>
          </w:p>
        </w:tc>
      </w:tr>
      <w:tr w:rsidR="009F33FF" w:rsidRPr="00EF18D4" w14:paraId="054A1E14" w14:textId="77777777" w:rsidTr="00116E03">
        <w:tc>
          <w:tcPr>
            <w:tcW w:w="4041" w:type="dxa"/>
          </w:tcPr>
          <w:p w14:paraId="1553D576" w14:textId="77777777" w:rsidR="009F33FF" w:rsidRPr="00EF18D4"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 xml:space="preserve">Disbursement </w:t>
            </w:r>
            <w:r w:rsidR="003C42BE" w:rsidRPr="00EF18D4">
              <w:rPr>
                <w:rFonts w:ascii="Arial" w:hAnsi="Arial" w:cs="Arial"/>
                <w:sz w:val="18"/>
                <w:szCs w:val="18"/>
              </w:rPr>
              <w:t xml:space="preserve">period </w:t>
            </w:r>
            <w:r w:rsidR="00273F6B" w:rsidRPr="00EF18D4">
              <w:rPr>
                <w:rFonts w:ascii="Arial" w:hAnsi="Arial" w:cs="Arial"/>
                <w:sz w:val="18"/>
                <w:szCs w:val="18"/>
              </w:rPr>
              <w:t xml:space="preserve">and execution </w:t>
            </w:r>
            <w:r w:rsidRPr="00EF18D4">
              <w:rPr>
                <w:rFonts w:ascii="Arial" w:hAnsi="Arial" w:cs="Arial"/>
                <w:sz w:val="18"/>
                <w:szCs w:val="18"/>
              </w:rPr>
              <w:t>period</w:t>
            </w:r>
            <w:r w:rsidR="00273F6B" w:rsidRPr="00EF18D4">
              <w:rPr>
                <w:rFonts w:ascii="Arial" w:hAnsi="Arial" w:cs="Arial"/>
                <w:sz w:val="18"/>
                <w:szCs w:val="18"/>
              </w:rPr>
              <w:t>:</w:t>
            </w:r>
            <w:r w:rsidRPr="00EF18D4">
              <w:rPr>
                <w:rFonts w:ascii="Arial" w:hAnsi="Arial" w:cs="Arial"/>
                <w:sz w:val="18"/>
                <w:szCs w:val="18"/>
              </w:rPr>
              <w:t xml:space="preserve"> </w:t>
            </w:r>
          </w:p>
        </w:tc>
        <w:tc>
          <w:tcPr>
            <w:tcW w:w="4211" w:type="dxa"/>
          </w:tcPr>
          <w:p w14:paraId="4C30C032" w14:textId="77777777" w:rsidR="009F33FF" w:rsidRPr="00EF18D4" w:rsidRDefault="00C6376D" w:rsidP="00116E03">
            <w:pPr>
              <w:spacing w:after="60"/>
              <w:ind w:left="66"/>
              <w:rPr>
                <w:rFonts w:ascii="Arial" w:hAnsi="Arial" w:cs="Arial"/>
                <w:sz w:val="18"/>
                <w:szCs w:val="18"/>
              </w:rPr>
            </w:pPr>
            <w:r w:rsidRPr="00EF18D4">
              <w:rPr>
                <w:rFonts w:ascii="Arial" w:hAnsi="Arial" w:cs="Arial"/>
                <w:sz w:val="18"/>
                <w:szCs w:val="18"/>
              </w:rPr>
              <w:t>36 months</w:t>
            </w:r>
          </w:p>
        </w:tc>
      </w:tr>
      <w:tr w:rsidR="009F33FF" w:rsidRPr="00EF18D4" w14:paraId="3358DC0B" w14:textId="77777777" w:rsidTr="00116E03">
        <w:tc>
          <w:tcPr>
            <w:tcW w:w="4041" w:type="dxa"/>
          </w:tcPr>
          <w:p w14:paraId="07708590" w14:textId="77777777" w:rsidR="009F33FF" w:rsidRPr="00EF18D4"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Required start date:</w:t>
            </w:r>
          </w:p>
        </w:tc>
        <w:tc>
          <w:tcPr>
            <w:tcW w:w="4211" w:type="dxa"/>
          </w:tcPr>
          <w:p w14:paraId="02C0A3CF" w14:textId="1CF60FA7" w:rsidR="009F33FF" w:rsidRPr="00EF18D4" w:rsidRDefault="001814A9" w:rsidP="00116E03">
            <w:pPr>
              <w:spacing w:after="60"/>
              <w:ind w:left="66"/>
              <w:rPr>
                <w:rFonts w:ascii="Arial" w:hAnsi="Arial" w:cs="Arial"/>
                <w:sz w:val="18"/>
                <w:szCs w:val="18"/>
              </w:rPr>
            </w:pPr>
            <w:r w:rsidRPr="00EF18D4">
              <w:rPr>
                <w:rFonts w:ascii="Arial" w:hAnsi="Arial" w:cs="Arial"/>
                <w:sz w:val="18"/>
                <w:szCs w:val="18"/>
              </w:rPr>
              <w:t>Ju</w:t>
            </w:r>
            <w:r w:rsidR="002943F2" w:rsidRPr="00EF18D4">
              <w:rPr>
                <w:rFonts w:ascii="Arial" w:hAnsi="Arial" w:cs="Arial"/>
                <w:sz w:val="18"/>
                <w:szCs w:val="18"/>
              </w:rPr>
              <w:t>ly</w:t>
            </w:r>
            <w:r w:rsidR="00D479A9" w:rsidRPr="00EF18D4">
              <w:rPr>
                <w:rFonts w:ascii="Arial" w:hAnsi="Arial" w:cs="Arial"/>
                <w:sz w:val="18"/>
                <w:szCs w:val="18"/>
              </w:rPr>
              <w:t>, 201</w:t>
            </w:r>
            <w:r w:rsidR="009A0FB1" w:rsidRPr="00EF18D4">
              <w:rPr>
                <w:rFonts w:ascii="Arial" w:hAnsi="Arial" w:cs="Arial"/>
                <w:sz w:val="18"/>
                <w:szCs w:val="18"/>
              </w:rPr>
              <w:t>9</w:t>
            </w:r>
          </w:p>
        </w:tc>
      </w:tr>
      <w:tr w:rsidR="009F33FF" w:rsidRPr="00EF18D4" w14:paraId="1D18754E" w14:textId="77777777" w:rsidTr="00116E03">
        <w:tc>
          <w:tcPr>
            <w:tcW w:w="4041" w:type="dxa"/>
          </w:tcPr>
          <w:p w14:paraId="72FE7367" w14:textId="77777777" w:rsidR="009F33FF" w:rsidRPr="00EF18D4"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Types of consultants (firm or individual consultants):</w:t>
            </w:r>
          </w:p>
        </w:tc>
        <w:tc>
          <w:tcPr>
            <w:tcW w:w="4211" w:type="dxa"/>
          </w:tcPr>
          <w:p w14:paraId="269E2C5B" w14:textId="77777777" w:rsidR="009F33FF" w:rsidRPr="00EF18D4" w:rsidRDefault="00C6376D" w:rsidP="00116E03">
            <w:pPr>
              <w:spacing w:after="60"/>
              <w:ind w:left="66"/>
              <w:rPr>
                <w:rFonts w:ascii="Arial" w:hAnsi="Arial" w:cs="Arial"/>
                <w:sz w:val="18"/>
                <w:szCs w:val="18"/>
              </w:rPr>
            </w:pPr>
            <w:r w:rsidRPr="00EF18D4">
              <w:rPr>
                <w:rFonts w:ascii="Arial" w:hAnsi="Arial" w:cs="Arial"/>
                <w:sz w:val="18"/>
                <w:szCs w:val="18"/>
              </w:rPr>
              <w:t>Individual</w:t>
            </w:r>
            <w:r w:rsidR="00273F6B" w:rsidRPr="00EF18D4">
              <w:rPr>
                <w:rFonts w:ascii="Arial" w:hAnsi="Arial" w:cs="Arial"/>
                <w:sz w:val="18"/>
                <w:szCs w:val="18"/>
              </w:rPr>
              <w:t xml:space="preserve"> consultants</w:t>
            </w:r>
            <w:r w:rsidRPr="00EF18D4">
              <w:rPr>
                <w:rFonts w:ascii="Arial" w:hAnsi="Arial" w:cs="Arial"/>
                <w:sz w:val="18"/>
                <w:szCs w:val="18"/>
              </w:rPr>
              <w:t xml:space="preserve"> and firms</w:t>
            </w:r>
          </w:p>
        </w:tc>
      </w:tr>
      <w:tr w:rsidR="009F33FF" w:rsidRPr="00EF18D4" w14:paraId="555E3E5C" w14:textId="77777777" w:rsidTr="00116E03">
        <w:tc>
          <w:tcPr>
            <w:tcW w:w="4041" w:type="dxa"/>
          </w:tcPr>
          <w:p w14:paraId="4E58E76F" w14:textId="77777777" w:rsidR="009F33FF" w:rsidRPr="00EF18D4"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Prepared by Unit:</w:t>
            </w:r>
          </w:p>
        </w:tc>
        <w:tc>
          <w:tcPr>
            <w:tcW w:w="4211" w:type="dxa"/>
          </w:tcPr>
          <w:p w14:paraId="43B36CB5" w14:textId="77777777" w:rsidR="009F33FF" w:rsidRPr="00EF18D4" w:rsidRDefault="00C6376D" w:rsidP="00116E03">
            <w:pPr>
              <w:spacing w:after="60"/>
              <w:ind w:left="66"/>
              <w:rPr>
                <w:rFonts w:ascii="Arial" w:hAnsi="Arial" w:cs="Arial"/>
                <w:sz w:val="18"/>
                <w:szCs w:val="18"/>
              </w:rPr>
            </w:pPr>
            <w:r w:rsidRPr="00EF18D4">
              <w:rPr>
                <w:rFonts w:ascii="Arial" w:hAnsi="Arial" w:cs="Arial"/>
                <w:sz w:val="18"/>
                <w:szCs w:val="18"/>
              </w:rPr>
              <w:t xml:space="preserve">Labor Markets </w:t>
            </w:r>
            <w:r w:rsidR="007647A0" w:rsidRPr="00EF18D4">
              <w:rPr>
                <w:rFonts w:ascii="Arial" w:hAnsi="Arial" w:cs="Arial"/>
                <w:sz w:val="18"/>
                <w:szCs w:val="18"/>
              </w:rPr>
              <w:t>Division</w:t>
            </w:r>
            <w:r w:rsidRPr="00EF18D4">
              <w:rPr>
                <w:rFonts w:ascii="Arial" w:hAnsi="Arial" w:cs="Arial"/>
                <w:sz w:val="18"/>
                <w:szCs w:val="18"/>
              </w:rPr>
              <w:t xml:space="preserve"> (SCL/LMK)</w:t>
            </w:r>
          </w:p>
        </w:tc>
      </w:tr>
      <w:tr w:rsidR="009F33FF" w:rsidRPr="00EF18D4" w14:paraId="690BAF4A" w14:textId="77777777" w:rsidTr="00116E03">
        <w:tc>
          <w:tcPr>
            <w:tcW w:w="4041" w:type="dxa"/>
          </w:tcPr>
          <w:p w14:paraId="1B8B2AC3" w14:textId="77777777" w:rsidR="009F33FF" w:rsidRPr="00EF18D4"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Unit of Disbursement Responsibility:</w:t>
            </w:r>
          </w:p>
        </w:tc>
        <w:tc>
          <w:tcPr>
            <w:tcW w:w="4211" w:type="dxa"/>
          </w:tcPr>
          <w:p w14:paraId="44F43E6D" w14:textId="77777777" w:rsidR="009F33FF" w:rsidRPr="00EF18D4" w:rsidRDefault="00D2635C" w:rsidP="00116E03">
            <w:pPr>
              <w:spacing w:after="60"/>
              <w:ind w:left="66"/>
              <w:rPr>
                <w:rFonts w:ascii="Arial" w:hAnsi="Arial" w:cs="Arial"/>
                <w:sz w:val="18"/>
                <w:szCs w:val="18"/>
              </w:rPr>
            </w:pPr>
            <w:r w:rsidRPr="00EF18D4">
              <w:rPr>
                <w:rFonts w:ascii="Arial" w:hAnsi="Arial" w:cs="Arial"/>
                <w:sz w:val="18"/>
                <w:szCs w:val="18"/>
              </w:rPr>
              <w:t xml:space="preserve">IDB Mexico Country Office (CID/CME) </w:t>
            </w:r>
          </w:p>
        </w:tc>
      </w:tr>
      <w:tr w:rsidR="009F33FF" w:rsidRPr="00EF18D4" w14:paraId="4605962A" w14:textId="77777777" w:rsidTr="00116E03">
        <w:tc>
          <w:tcPr>
            <w:tcW w:w="4041" w:type="dxa"/>
          </w:tcPr>
          <w:p w14:paraId="0050A5F8" w14:textId="77777777" w:rsidR="009F33FF" w:rsidRPr="00EF18D4"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 xml:space="preserve">TC Included in Country Strategy (y/n): </w:t>
            </w:r>
          </w:p>
        </w:tc>
        <w:tc>
          <w:tcPr>
            <w:tcW w:w="4211" w:type="dxa"/>
          </w:tcPr>
          <w:p w14:paraId="30FBC6C7" w14:textId="77777777" w:rsidR="009F33FF" w:rsidRPr="00EF18D4" w:rsidRDefault="00C6376D" w:rsidP="00116E03">
            <w:pPr>
              <w:spacing w:after="60"/>
              <w:ind w:left="66"/>
              <w:rPr>
                <w:rFonts w:ascii="Arial" w:hAnsi="Arial" w:cs="Arial"/>
                <w:sz w:val="18"/>
                <w:szCs w:val="18"/>
              </w:rPr>
            </w:pPr>
            <w:r w:rsidRPr="00EF18D4">
              <w:rPr>
                <w:rFonts w:ascii="Arial" w:hAnsi="Arial" w:cs="Arial"/>
                <w:sz w:val="18"/>
                <w:szCs w:val="18"/>
              </w:rPr>
              <w:t>Y</w:t>
            </w:r>
            <w:r w:rsidR="00273F6B" w:rsidRPr="00EF18D4">
              <w:rPr>
                <w:rFonts w:ascii="Arial" w:hAnsi="Arial" w:cs="Arial"/>
                <w:sz w:val="18"/>
                <w:szCs w:val="18"/>
              </w:rPr>
              <w:t>es</w:t>
            </w:r>
          </w:p>
        </w:tc>
      </w:tr>
      <w:tr w:rsidR="00454218" w:rsidRPr="00EF18D4" w14:paraId="3CBC9E87" w14:textId="77777777" w:rsidTr="00116E03">
        <w:tc>
          <w:tcPr>
            <w:tcW w:w="4041" w:type="dxa"/>
          </w:tcPr>
          <w:p w14:paraId="5F5E9143" w14:textId="77777777" w:rsidR="00454218" w:rsidRPr="00EF18D4" w:rsidRDefault="00454218"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TC included in CPD (y/n):</w:t>
            </w:r>
          </w:p>
        </w:tc>
        <w:tc>
          <w:tcPr>
            <w:tcW w:w="4211" w:type="dxa"/>
          </w:tcPr>
          <w:p w14:paraId="49F7A688" w14:textId="77777777" w:rsidR="00454218" w:rsidRPr="00EF18D4" w:rsidRDefault="00C6376D" w:rsidP="00116E03">
            <w:pPr>
              <w:spacing w:after="60"/>
              <w:ind w:left="66"/>
              <w:rPr>
                <w:rFonts w:ascii="Arial" w:hAnsi="Arial" w:cs="Arial"/>
                <w:sz w:val="18"/>
                <w:szCs w:val="18"/>
              </w:rPr>
            </w:pPr>
            <w:r w:rsidRPr="00EF18D4">
              <w:rPr>
                <w:rFonts w:ascii="Arial" w:hAnsi="Arial" w:cs="Arial"/>
                <w:sz w:val="18"/>
                <w:szCs w:val="18"/>
              </w:rPr>
              <w:t>Y</w:t>
            </w:r>
            <w:r w:rsidR="00273F6B" w:rsidRPr="00EF18D4">
              <w:rPr>
                <w:rFonts w:ascii="Arial" w:hAnsi="Arial" w:cs="Arial"/>
                <w:sz w:val="18"/>
                <w:szCs w:val="18"/>
              </w:rPr>
              <w:t>es</w:t>
            </w:r>
          </w:p>
        </w:tc>
      </w:tr>
      <w:tr w:rsidR="009F33FF" w:rsidRPr="00EF18D4" w14:paraId="0CAB1B6B" w14:textId="77777777" w:rsidTr="00116E03">
        <w:tc>
          <w:tcPr>
            <w:tcW w:w="4041" w:type="dxa"/>
          </w:tcPr>
          <w:p w14:paraId="2B1A62D5" w14:textId="77777777" w:rsidR="009F33FF" w:rsidRPr="00EF18D4" w:rsidRDefault="00B011BA" w:rsidP="00ED3650">
            <w:pPr>
              <w:pStyle w:val="ListParagraph"/>
              <w:numPr>
                <w:ilvl w:val="0"/>
                <w:numId w:val="2"/>
              </w:numPr>
              <w:spacing w:after="60"/>
              <w:ind w:left="180" w:hanging="180"/>
              <w:contextualSpacing w:val="0"/>
              <w:jc w:val="both"/>
              <w:rPr>
                <w:rFonts w:ascii="Arial" w:hAnsi="Arial" w:cs="Arial"/>
                <w:sz w:val="18"/>
                <w:szCs w:val="18"/>
              </w:rPr>
            </w:pPr>
            <w:r w:rsidRPr="00EF18D4">
              <w:rPr>
                <w:rFonts w:ascii="Arial" w:hAnsi="Arial" w:cs="Arial"/>
                <w:sz w:val="18"/>
                <w:szCs w:val="18"/>
              </w:rPr>
              <w:t>Alignment</w:t>
            </w:r>
            <w:r w:rsidR="009511ED" w:rsidRPr="00EF18D4">
              <w:rPr>
                <w:rFonts w:ascii="Arial" w:hAnsi="Arial" w:cs="Arial"/>
                <w:sz w:val="18"/>
                <w:szCs w:val="18"/>
              </w:rPr>
              <w:t xml:space="preserve"> to the </w:t>
            </w:r>
            <w:r w:rsidR="004C5951" w:rsidRPr="00EF18D4">
              <w:rPr>
                <w:rFonts w:ascii="Arial" w:hAnsi="Arial" w:cs="Arial"/>
                <w:sz w:val="18"/>
                <w:szCs w:val="18"/>
              </w:rPr>
              <w:t xml:space="preserve">Update to the </w:t>
            </w:r>
            <w:r w:rsidR="009511ED" w:rsidRPr="00EF18D4">
              <w:rPr>
                <w:rFonts w:ascii="Arial" w:hAnsi="Arial" w:cs="Arial"/>
                <w:sz w:val="18"/>
                <w:szCs w:val="18"/>
              </w:rPr>
              <w:t>Institutional Strategy</w:t>
            </w:r>
            <w:r w:rsidR="00727449" w:rsidRPr="00EF18D4">
              <w:rPr>
                <w:rFonts w:ascii="Arial" w:hAnsi="Arial" w:cs="Arial"/>
                <w:sz w:val="18"/>
                <w:szCs w:val="18"/>
              </w:rPr>
              <w:t xml:space="preserve"> 2010-2020</w:t>
            </w:r>
            <w:r w:rsidR="009F33FF" w:rsidRPr="00EF18D4">
              <w:rPr>
                <w:rFonts w:ascii="Arial" w:hAnsi="Arial" w:cs="Arial"/>
                <w:sz w:val="18"/>
                <w:szCs w:val="18"/>
              </w:rPr>
              <w:t>:</w:t>
            </w:r>
          </w:p>
        </w:tc>
        <w:tc>
          <w:tcPr>
            <w:tcW w:w="4211" w:type="dxa"/>
          </w:tcPr>
          <w:p w14:paraId="2E4E4B4A" w14:textId="77777777" w:rsidR="009F33FF" w:rsidRPr="00EF18D4" w:rsidRDefault="00C6376D" w:rsidP="00116E03">
            <w:pPr>
              <w:spacing w:after="60"/>
              <w:ind w:left="66"/>
              <w:rPr>
                <w:rFonts w:ascii="Arial" w:hAnsi="Arial" w:cs="Arial"/>
                <w:sz w:val="18"/>
                <w:szCs w:val="18"/>
              </w:rPr>
            </w:pPr>
            <w:r w:rsidRPr="00EF18D4">
              <w:rPr>
                <w:rFonts w:ascii="Arial" w:hAnsi="Arial" w:cs="Arial"/>
                <w:sz w:val="18"/>
                <w:szCs w:val="18"/>
              </w:rPr>
              <w:t>Productivity and innovation; Gender equality and diversity</w:t>
            </w:r>
          </w:p>
        </w:tc>
      </w:tr>
    </w:tbl>
    <w:p w14:paraId="1B47A0EE" w14:textId="77777777" w:rsidR="00065D4D" w:rsidRPr="00EF18D4" w:rsidRDefault="00C43E24" w:rsidP="00690634">
      <w:pPr>
        <w:pStyle w:val="ListParagraph"/>
        <w:numPr>
          <w:ilvl w:val="0"/>
          <w:numId w:val="18"/>
        </w:numPr>
        <w:spacing w:before="240" w:after="120" w:line="240" w:lineRule="auto"/>
        <w:ind w:left="540" w:hanging="540"/>
        <w:rPr>
          <w:rFonts w:ascii="Arial" w:hAnsi="Arial" w:cs="Arial"/>
          <w:b/>
        </w:rPr>
      </w:pPr>
      <w:r w:rsidRPr="00EF18D4">
        <w:rPr>
          <w:rFonts w:ascii="Arial" w:hAnsi="Arial" w:cs="Arial"/>
          <w:b/>
        </w:rPr>
        <w:t>Objective</w:t>
      </w:r>
      <w:r w:rsidR="009C5C06" w:rsidRPr="00EF18D4">
        <w:rPr>
          <w:rFonts w:ascii="Arial" w:hAnsi="Arial" w:cs="Arial"/>
          <w:b/>
        </w:rPr>
        <w:t>s</w:t>
      </w:r>
      <w:r w:rsidRPr="00EF18D4">
        <w:rPr>
          <w:rFonts w:ascii="Arial" w:hAnsi="Arial" w:cs="Arial"/>
          <w:b/>
        </w:rPr>
        <w:t xml:space="preserve"> and Justification</w:t>
      </w:r>
      <w:r w:rsidR="0095711B" w:rsidRPr="00EF18D4">
        <w:rPr>
          <w:rFonts w:ascii="Arial" w:hAnsi="Arial" w:cs="Arial"/>
          <w:b/>
        </w:rPr>
        <w:t xml:space="preserve"> </w:t>
      </w:r>
      <w:r w:rsidR="005D330B" w:rsidRPr="00EF18D4">
        <w:rPr>
          <w:rFonts w:ascii="Arial" w:hAnsi="Arial" w:cs="Arial"/>
          <w:b/>
        </w:rPr>
        <w:t xml:space="preserve">of the TC </w:t>
      </w:r>
    </w:p>
    <w:p w14:paraId="25F581C3" w14:textId="77777777" w:rsidR="00690634" w:rsidRPr="00EF18D4" w:rsidRDefault="00690634" w:rsidP="007647A0">
      <w:pPr>
        <w:pStyle w:val="ListParagraph"/>
        <w:keepNext/>
        <w:spacing w:before="240" w:after="120" w:line="240" w:lineRule="auto"/>
        <w:ind w:left="547"/>
        <w:rPr>
          <w:rFonts w:ascii="Arial" w:hAnsi="Arial" w:cs="Arial"/>
          <w:b/>
        </w:rPr>
      </w:pPr>
    </w:p>
    <w:p w14:paraId="567FCB43" w14:textId="269A430A" w:rsidR="00203ACF" w:rsidRPr="00EF18D4" w:rsidRDefault="00E008CD" w:rsidP="00540A64">
      <w:pPr>
        <w:pStyle w:val="ListParagraph"/>
        <w:keepNext/>
        <w:numPr>
          <w:ilvl w:val="1"/>
          <w:numId w:val="19"/>
        </w:numPr>
        <w:spacing w:before="120" w:after="120" w:line="240" w:lineRule="auto"/>
        <w:ind w:left="547" w:hanging="540"/>
        <w:jc w:val="both"/>
        <w:rPr>
          <w:rFonts w:ascii="Arial" w:hAnsi="Arial" w:cs="Arial"/>
        </w:rPr>
      </w:pPr>
      <w:r w:rsidRPr="00EF18D4">
        <w:rPr>
          <w:rFonts w:ascii="Arial" w:hAnsi="Arial" w:cs="Arial"/>
        </w:rPr>
        <w:t xml:space="preserve">Mexico has grown at a </w:t>
      </w:r>
      <w:r w:rsidR="00125C3D" w:rsidRPr="00EF18D4">
        <w:rPr>
          <w:rFonts w:ascii="Arial" w:hAnsi="Arial" w:cs="Arial"/>
        </w:rPr>
        <w:t>moderate</w:t>
      </w:r>
      <w:r w:rsidRPr="00EF18D4">
        <w:rPr>
          <w:rFonts w:ascii="Arial" w:hAnsi="Arial" w:cs="Arial"/>
        </w:rPr>
        <w:t xml:space="preserve"> pace </w:t>
      </w:r>
      <w:r w:rsidR="00E2247F" w:rsidRPr="00EF18D4">
        <w:rPr>
          <w:rFonts w:ascii="Arial" w:hAnsi="Arial" w:cs="Arial"/>
        </w:rPr>
        <w:t xml:space="preserve">in the past </w:t>
      </w:r>
      <w:r w:rsidR="00046AB0" w:rsidRPr="00EF18D4">
        <w:rPr>
          <w:rFonts w:ascii="Arial" w:hAnsi="Arial" w:cs="Arial"/>
        </w:rPr>
        <w:t>twenty years</w:t>
      </w:r>
      <w:r w:rsidRPr="00EF18D4">
        <w:rPr>
          <w:rFonts w:ascii="Arial" w:hAnsi="Arial" w:cs="Arial"/>
        </w:rPr>
        <w:t xml:space="preserve">. Its Gross Domestic Product growth </w:t>
      </w:r>
      <w:r w:rsidR="00EC7FB2" w:rsidRPr="00EF18D4">
        <w:rPr>
          <w:rFonts w:ascii="Arial" w:hAnsi="Arial" w:cs="Arial"/>
        </w:rPr>
        <w:t xml:space="preserve">rate </w:t>
      </w:r>
      <w:r w:rsidRPr="00EF18D4">
        <w:rPr>
          <w:rFonts w:ascii="Arial" w:hAnsi="Arial" w:cs="Arial"/>
        </w:rPr>
        <w:t>was 2% in 201</w:t>
      </w:r>
      <w:r w:rsidR="00E54079" w:rsidRPr="00EF18D4">
        <w:rPr>
          <w:rFonts w:ascii="Arial" w:hAnsi="Arial" w:cs="Arial"/>
        </w:rPr>
        <w:t>7</w:t>
      </w:r>
      <w:r w:rsidR="00D8571D" w:rsidRPr="00EF18D4">
        <w:rPr>
          <w:rStyle w:val="FootnoteReference"/>
          <w:rFonts w:ascii="Arial" w:hAnsi="Arial" w:cs="Arial"/>
        </w:rPr>
        <w:footnoteReference w:id="1"/>
      </w:r>
      <w:r w:rsidR="00125C3D" w:rsidRPr="00EF18D4">
        <w:rPr>
          <w:rFonts w:ascii="Arial" w:hAnsi="Arial" w:cs="Arial"/>
        </w:rPr>
        <w:t xml:space="preserve"> and total factor productivity </w:t>
      </w:r>
      <w:r w:rsidR="00046AB0" w:rsidRPr="00EF18D4">
        <w:rPr>
          <w:rFonts w:ascii="Arial" w:hAnsi="Arial" w:cs="Arial"/>
        </w:rPr>
        <w:t xml:space="preserve">grew, on average, at a </w:t>
      </w:r>
      <w:r w:rsidR="00125C3D" w:rsidRPr="00EF18D4">
        <w:rPr>
          <w:rFonts w:ascii="Arial" w:hAnsi="Arial" w:cs="Arial"/>
        </w:rPr>
        <w:t>negative</w:t>
      </w:r>
      <w:r w:rsidR="00046AB0" w:rsidRPr="00EF18D4">
        <w:rPr>
          <w:rFonts w:ascii="Arial" w:hAnsi="Arial" w:cs="Arial"/>
        </w:rPr>
        <w:t xml:space="preserve"> rate between 1991 and 2017.</w:t>
      </w:r>
      <w:r w:rsidRPr="00EF18D4">
        <w:rPr>
          <w:rFonts w:ascii="Arial" w:hAnsi="Arial" w:cs="Arial"/>
        </w:rPr>
        <w:t xml:space="preserve"> </w:t>
      </w:r>
      <w:r w:rsidR="00046AB0" w:rsidRPr="00EF18D4">
        <w:rPr>
          <w:rFonts w:ascii="Arial" w:hAnsi="Arial" w:cs="Arial"/>
        </w:rPr>
        <w:t xml:space="preserve">This economic environment </w:t>
      </w:r>
      <w:r w:rsidR="00787208" w:rsidRPr="00EF18D4">
        <w:rPr>
          <w:rFonts w:ascii="Arial" w:hAnsi="Arial" w:cs="Arial"/>
        </w:rPr>
        <w:t>is affecting</w:t>
      </w:r>
      <w:r w:rsidR="00046AB0" w:rsidRPr="00EF18D4">
        <w:rPr>
          <w:rFonts w:ascii="Arial" w:hAnsi="Arial" w:cs="Arial"/>
        </w:rPr>
        <w:t xml:space="preserve"> the labor market</w:t>
      </w:r>
      <w:r w:rsidR="00F63EF8" w:rsidRPr="00EF18D4">
        <w:rPr>
          <w:rFonts w:ascii="Arial" w:hAnsi="Arial" w:cs="Arial"/>
        </w:rPr>
        <w:t xml:space="preserve">: </w:t>
      </w:r>
      <w:r w:rsidRPr="00EF18D4">
        <w:rPr>
          <w:rFonts w:ascii="Arial" w:hAnsi="Arial" w:cs="Arial"/>
        </w:rPr>
        <w:t>informality</w:t>
      </w:r>
      <w:r w:rsidRPr="00EF18D4">
        <w:rPr>
          <w:rStyle w:val="FootnoteReference"/>
          <w:rFonts w:ascii="Arial" w:eastAsia="Arial" w:hAnsi="Arial" w:cs="Arial"/>
        </w:rPr>
        <w:footnoteReference w:id="2"/>
      </w:r>
      <w:r w:rsidRPr="00EF18D4">
        <w:rPr>
          <w:rFonts w:ascii="Arial" w:hAnsi="Arial" w:cs="Arial"/>
        </w:rPr>
        <w:t xml:space="preserve"> </w:t>
      </w:r>
      <w:r w:rsidR="00621F82" w:rsidRPr="00EF18D4">
        <w:rPr>
          <w:rFonts w:ascii="Arial" w:hAnsi="Arial" w:cs="Arial"/>
        </w:rPr>
        <w:t>is relatively high</w:t>
      </w:r>
      <w:r w:rsidR="00F76AE1" w:rsidRPr="00EF18D4">
        <w:rPr>
          <w:rFonts w:ascii="Arial" w:hAnsi="Arial" w:cs="Arial"/>
        </w:rPr>
        <w:t xml:space="preserve">, </w:t>
      </w:r>
      <w:r w:rsidR="009E10EF" w:rsidRPr="00EF18D4">
        <w:rPr>
          <w:rFonts w:ascii="Arial" w:hAnsi="Arial" w:cs="Arial"/>
        </w:rPr>
        <w:t>reaching</w:t>
      </w:r>
      <w:r w:rsidR="00F76AE1" w:rsidRPr="00EF18D4">
        <w:rPr>
          <w:rFonts w:ascii="Arial" w:hAnsi="Arial" w:cs="Arial"/>
        </w:rPr>
        <w:t xml:space="preserve"> </w:t>
      </w:r>
      <w:r w:rsidR="00621F82" w:rsidRPr="00EF18D4">
        <w:rPr>
          <w:rFonts w:ascii="Arial" w:hAnsi="Arial" w:cs="Arial"/>
        </w:rPr>
        <w:t>5</w:t>
      </w:r>
      <w:r w:rsidR="000F60ED" w:rsidRPr="00EF18D4">
        <w:rPr>
          <w:rFonts w:ascii="Arial" w:hAnsi="Arial" w:cs="Arial"/>
        </w:rPr>
        <w:t>6.6</w:t>
      </w:r>
      <w:r w:rsidRPr="00EF18D4">
        <w:rPr>
          <w:rFonts w:ascii="Arial" w:hAnsi="Arial" w:cs="Arial"/>
        </w:rPr>
        <w:t>%</w:t>
      </w:r>
      <w:r w:rsidRPr="00EF18D4">
        <w:rPr>
          <w:rStyle w:val="FootnoteReference"/>
          <w:rFonts w:ascii="Arial" w:eastAsia="Arial" w:hAnsi="Arial" w:cs="Arial"/>
        </w:rPr>
        <w:footnoteReference w:id="3"/>
      </w:r>
      <w:r w:rsidR="009701B7" w:rsidRPr="00EF18D4">
        <w:rPr>
          <w:rFonts w:ascii="Arial" w:hAnsi="Arial" w:cs="Arial"/>
        </w:rPr>
        <w:t xml:space="preserve"> of the workforce</w:t>
      </w:r>
      <w:r w:rsidR="009E10EF" w:rsidRPr="00EF18D4">
        <w:rPr>
          <w:rFonts w:ascii="Arial" w:hAnsi="Arial" w:cs="Arial"/>
        </w:rPr>
        <w:t>,</w:t>
      </w:r>
      <w:r w:rsidR="00DE35D8" w:rsidRPr="00EF18D4">
        <w:rPr>
          <w:rFonts w:ascii="Arial" w:hAnsi="Arial" w:cs="Arial"/>
        </w:rPr>
        <w:t xml:space="preserve"> and</w:t>
      </w:r>
      <w:r w:rsidR="009701B7" w:rsidRPr="00EF18D4">
        <w:rPr>
          <w:rFonts w:ascii="Arial" w:hAnsi="Arial" w:cs="Arial"/>
        </w:rPr>
        <w:t xml:space="preserve"> </w:t>
      </w:r>
      <w:r w:rsidR="00835A0A" w:rsidRPr="00EF18D4">
        <w:rPr>
          <w:rFonts w:ascii="Arial" w:hAnsi="Arial" w:cs="Arial"/>
        </w:rPr>
        <w:t xml:space="preserve">only </w:t>
      </w:r>
      <w:r w:rsidR="00F63EF8" w:rsidRPr="00EF18D4">
        <w:rPr>
          <w:rFonts w:ascii="Arial" w:hAnsi="Arial" w:cs="Arial"/>
        </w:rPr>
        <w:t xml:space="preserve">52.85% of workers </w:t>
      </w:r>
      <w:r w:rsidR="00C03024" w:rsidRPr="00EF18D4">
        <w:rPr>
          <w:rFonts w:ascii="Arial" w:hAnsi="Arial" w:cs="Arial"/>
        </w:rPr>
        <w:t>are classified as having</w:t>
      </w:r>
      <w:r w:rsidR="00F63EF8" w:rsidRPr="00EF18D4">
        <w:rPr>
          <w:rFonts w:ascii="Arial" w:hAnsi="Arial" w:cs="Arial"/>
        </w:rPr>
        <w:t xml:space="preserve"> sufficient salary</w:t>
      </w:r>
      <w:r w:rsidR="00C03024" w:rsidRPr="00EF18D4">
        <w:rPr>
          <w:rFonts w:ascii="Arial" w:hAnsi="Arial" w:cs="Arial"/>
        </w:rPr>
        <w:t xml:space="preserve"> in the IDB’s Better Job Index</w:t>
      </w:r>
      <w:r w:rsidR="00AF276D" w:rsidRPr="00EF18D4">
        <w:rPr>
          <w:rFonts w:ascii="Arial" w:hAnsi="Arial" w:cs="Arial"/>
        </w:rPr>
        <w:t>.</w:t>
      </w:r>
      <w:r w:rsidR="009267E7" w:rsidRPr="00EF18D4">
        <w:rPr>
          <w:rFonts w:ascii="Arial" w:hAnsi="Arial" w:cs="Arial"/>
        </w:rPr>
        <w:t xml:space="preserve"> </w:t>
      </w:r>
      <w:r w:rsidR="00C03024" w:rsidRPr="00EF18D4">
        <w:rPr>
          <w:rFonts w:ascii="Arial" w:hAnsi="Arial" w:cs="Arial"/>
        </w:rPr>
        <w:t>Low wages are particularly a problem for young people, with only 17.19% of the workforce earning a sufficient wage</w:t>
      </w:r>
      <w:r w:rsidR="008968EB" w:rsidRPr="00EF18D4">
        <w:rPr>
          <w:rFonts w:ascii="Arial" w:hAnsi="Arial" w:cs="Arial"/>
        </w:rPr>
        <w:t xml:space="preserve"> (the second worst figure in Latin America, only better than Honduras)</w:t>
      </w:r>
      <w:r w:rsidR="00C03024" w:rsidRPr="00EF18D4">
        <w:rPr>
          <w:rFonts w:ascii="Arial" w:hAnsi="Arial" w:cs="Arial"/>
        </w:rPr>
        <w:t xml:space="preserve">. </w:t>
      </w:r>
      <w:r w:rsidR="00515D96" w:rsidRPr="00EF18D4">
        <w:rPr>
          <w:rFonts w:ascii="Arial" w:hAnsi="Arial" w:cs="Arial"/>
        </w:rPr>
        <w:t xml:space="preserve">It is worth noting the case of </w:t>
      </w:r>
      <w:r w:rsidR="00C03024" w:rsidRPr="00EF18D4">
        <w:rPr>
          <w:rFonts w:ascii="Arial" w:hAnsi="Arial" w:cs="Arial"/>
        </w:rPr>
        <w:t>the 2.3</w:t>
      </w:r>
      <w:r w:rsidR="002943F2" w:rsidRPr="00EF18D4">
        <w:rPr>
          <w:rFonts w:ascii="Arial" w:hAnsi="Arial" w:cs="Arial"/>
        </w:rPr>
        <w:t> </w:t>
      </w:r>
      <w:r w:rsidR="00C03024" w:rsidRPr="00EF18D4">
        <w:rPr>
          <w:rFonts w:ascii="Arial" w:hAnsi="Arial" w:cs="Arial"/>
        </w:rPr>
        <w:t xml:space="preserve">million </w:t>
      </w:r>
      <w:r w:rsidR="00515D96" w:rsidRPr="00EF18D4">
        <w:rPr>
          <w:rFonts w:ascii="Arial" w:hAnsi="Arial" w:cs="Arial"/>
        </w:rPr>
        <w:lastRenderedPageBreak/>
        <w:t>domestic workers</w:t>
      </w:r>
      <w:r w:rsidR="00AE149C" w:rsidRPr="00EF18D4">
        <w:rPr>
          <w:rFonts w:ascii="Arial" w:hAnsi="Arial" w:cs="Arial"/>
        </w:rPr>
        <w:t>,</w:t>
      </w:r>
      <w:r w:rsidR="00515D96" w:rsidRPr="00EF18D4">
        <w:rPr>
          <w:rFonts w:ascii="Arial" w:hAnsi="Arial" w:cs="Arial"/>
        </w:rPr>
        <w:t xml:space="preserve"> </w:t>
      </w:r>
      <w:r w:rsidR="000B1428" w:rsidRPr="00EF18D4">
        <w:rPr>
          <w:rFonts w:ascii="Arial" w:hAnsi="Arial" w:cs="Arial"/>
        </w:rPr>
        <w:t>97.6%</w:t>
      </w:r>
      <w:r w:rsidR="00AE149C" w:rsidRPr="00EF18D4">
        <w:rPr>
          <w:rFonts w:ascii="Arial" w:hAnsi="Arial" w:cs="Arial"/>
        </w:rPr>
        <w:t xml:space="preserve"> </w:t>
      </w:r>
      <w:r w:rsidR="001A2A8B" w:rsidRPr="00EF18D4">
        <w:rPr>
          <w:rFonts w:ascii="Arial" w:hAnsi="Arial" w:cs="Arial"/>
        </w:rPr>
        <w:t xml:space="preserve">of them </w:t>
      </w:r>
      <w:r w:rsidR="00C03024" w:rsidRPr="00EF18D4">
        <w:rPr>
          <w:rFonts w:ascii="Arial" w:hAnsi="Arial" w:cs="Arial"/>
        </w:rPr>
        <w:t>are employed informally</w:t>
      </w:r>
      <w:r w:rsidR="00AE149C" w:rsidRPr="00EF18D4">
        <w:rPr>
          <w:rFonts w:ascii="Arial" w:hAnsi="Arial" w:cs="Arial"/>
        </w:rPr>
        <w:t xml:space="preserve">. </w:t>
      </w:r>
      <w:r w:rsidR="00EC4994" w:rsidRPr="00EF18D4">
        <w:rPr>
          <w:rFonts w:ascii="Arial" w:hAnsi="Arial" w:cs="Arial"/>
        </w:rPr>
        <w:t xml:space="preserve">Furthermore, </w:t>
      </w:r>
      <w:r w:rsidR="00337DA9" w:rsidRPr="00EF18D4">
        <w:rPr>
          <w:rFonts w:ascii="Arial" w:hAnsi="Arial" w:cs="Arial"/>
        </w:rPr>
        <w:t xml:space="preserve">about </w:t>
      </w:r>
      <w:r w:rsidR="009E10EF" w:rsidRPr="00EF18D4">
        <w:rPr>
          <w:rFonts w:ascii="Arial" w:hAnsi="Arial" w:cs="Arial"/>
        </w:rPr>
        <w:t>1.7</w:t>
      </w:r>
      <w:r w:rsidR="00BF0DF0" w:rsidRPr="00EF18D4">
        <w:rPr>
          <w:rFonts w:ascii="Arial" w:hAnsi="Arial" w:cs="Arial"/>
        </w:rPr>
        <w:t> </w:t>
      </w:r>
      <w:r w:rsidR="009E10EF" w:rsidRPr="00EF18D4">
        <w:rPr>
          <w:rFonts w:ascii="Arial" w:hAnsi="Arial" w:cs="Arial"/>
        </w:rPr>
        <w:t xml:space="preserve">million Mexican youth </w:t>
      </w:r>
      <w:r w:rsidR="005C261F" w:rsidRPr="00EF18D4">
        <w:rPr>
          <w:rFonts w:ascii="Arial" w:hAnsi="Arial" w:cs="Arial"/>
        </w:rPr>
        <w:t xml:space="preserve">between 18 and 29 years old </w:t>
      </w:r>
      <w:r w:rsidR="009E10EF" w:rsidRPr="00EF18D4">
        <w:rPr>
          <w:rFonts w:ascii="Arial" w:hAnsi="Arial" w:cs="Arial"/>
        </w:rPr>
        <w:t xml:space="preserve">neither work </w:t>
      </w:r>
      <w:r w:rsidR="00BF0DF0" w:rsidRPr="00EF18D4">
        <w:rPr>
          <w:rFonts w:ascii="Arial" w:hAnsi="Arial" w:cs="Arial"/>
        </w:rPr>
        <w:t>nor</w:t>
      </w:r>
      <w:r w:rsidR="009E10EF" w:rsidRPr="00EF18D4">
        <w:rPr>
          <w:rFonts w:ascii="Arial" w:hAnsi="Arial" w:cs="Arial"/>
        </w:rPr>
        <w:t xml:space="preserve"> study</w:t>
      </w:r>
      <w:r w:rsidR="00BF0DF0" w:rsidRPr="00EF18D4">
        <w:rPr>
          <w:rFonts w:ascii="Arial" w:hAnsi="Arial" w:cs="Arial"/>
        </w:rPr>
        <w:t>.</w:t>
      </w:r>
      <w:r w:rsidR="005156E2" w:rsidRPr="00EF18D4">
        <w:rPr>
          <w:rStyle w:val="FootnoteReference"/>
          <w:rFonts w:ascii="Arial" w:hAnsi="Arial" w:cs="Arial"/>
        </w:rPr>
        <w:footnoteReference w:id="4"/>
      </w:r>
    </w:p>
    <w:p w14:paraId="7FA5B6BB" w14:textId="77777777" w:rsidR="00EC4994" w:rsidRPr="00EF18D4" w:rsidRDefault="00EC4994" w:rsidP="00EC4994">
      <w:pPr>
        <w:pStyle w:val="ListParagraph"/>
        <w:keepNext/>
        <w:spacing w:before="120" w:after="120" w:line="240" w:lineRule="auto"/>
        <w:ind w:left="547"/>
        <w:jc w:val="both"/>
        <w:rPr>
          <w:rFonts w:ascii="Arial" w:hAnsi="Arial" w:cs="Arial"/>
        </w:rPr>
      </w:pPr>
    </w:p>
    <w:p w14:paraId="13602BA2" w14:textId="2BB8C49C" w:rsidR="004F2834" w:rsidRPr="00EF18D4" w:rsidRDefault="004F2834" w:rsidP="004F2834">
      <w:pPr>
        <w:pStyle w:val="ListParagraph"/>
        <w:keepNext/>
        <w:numPr>
          <w:ilvl w:val="1"/>
          <w:numId w:val="19"/>
        </w:numPr>
        <w:spacing w:before="120" w:after="0" w:line="240" w:lineRule="auto"/>
        <w:ind w:left="547" w:hanging="540"/>
        <w:jc w:val="both"/>
        <w:rPr>
          <w:rFonts w:ascii="Arial" w:hAnsi="Arial" w:cs="Arial"/>
        </w:rPr>
      </w:pPr>
      <w:r w:rsidRPr="00EF18D4">
        <w:rPr>
          <w:rFonts w:ascii="Arial" w:hAnsi="Arial" w:cs="Arial"/>
        </w:rPr>
        <w:t>The Mexican Government is taking actions to improve labor market’s outcomes</w:t>
      </w:r>
      <w:r w:rsidR="00AC4462" w:rsidRPr="00EF18D4">
        <w:rPr>
          <w:rFonts w:ascii="Arial" w:hAnsi="Arial" w:cs="Arial"/>
        </w:rPr>
        <w:t xml:space="preserve"> and to </w:t>
      </w:r>
      <w:r w:rsidR="0041781E" w:rsidRPr="00EF18D4">
        <w:rPr>
          <w:rFonts w:ascii="Arial" w:hAnsi="Arial" w:cs="Arial"/>
        </w:rPr>
        <w:t>enhance labor conditions</w:t>
      </w:r>
      <w:r w:rsidR="00AC4462" w:rsidRPr="00EF18D4">
        <w:rPr>
          <w:rFonts w:ascii="Arial" w:hAnsi="Arial" w:cs="Arial"/>
        </w:rPr>
        <w:t xml:space="preserve"> of </w:t>
      </w:r>
      <w:r w:rsidR="0041781E" w:rsidRPr="00EF18D4">
        <w:rPr>
          <w:rFonts w:ascii="Arial" w:hAnsi="Arial" w:cs="Arial"/>
        </w:rPr>
        <w:t>women,</w:t>
      </w:r>
      <w:r w:rsidR="00DD0781" w:rsidRPr="00EF18D4">
        <w:rPr>
          <w:rFonts w:ascii="Arial" w:hAnsi="Arial" w:cs="Arial"/>
        </w:rPr>
        <w:t xml:space="preserve"> and vulnerable groups of workers such as</w:t>
      </w:r>
      <w:r w:rsidR="0041781E" w:rsidRPr="00EF18D4">
        <w:rPr>
          <w:rFonts w:ascii="Arial" w:hAnsi="Arial" w:cs="Arial"/>
        </w:rPr>
        <w:t xml:space="preserve"> </w:t>
      </w:r>
      <w:r w:rsidR="00EB7111" w:rsidRPr="00EF18D4">
        <w:rPr>
          <w:rFonts w:ascii="Arial" w:hAnsi="Arial" w:cs="Arial"/>
        </w:rPr>
        <w:t>migrants</w:t>
      </w:r>
      <w:r w:rsidR="0041781E" w:rsidRPr="00EF18D4">
        <w:rPr>
          <w:rFonts w:ascii="Arial" w:hAnsi="Arial" w:cs="Arial"/>
        </w:rPr>
        <w:t xml:space="preserve">, </w:t>
      </w:r>
      <w:r w:rsidR="00AC4462" w:rsidRPr="00EF18D4">
        <w:rPr>
          <w:rFonts w:ascii="Arial" w:hAnsi="Arial" w:cs="Arial"/>
        </w:rPr>
        <w:t>dis</w:t>
      </w:r>
      <w:r w:rsidR="0041781E" w:rsidRPr="00EF18D4">
        <w:rPr>
          <w:rFonts w:ascii="Arial" w:hAnsi="Arial" w:cs="Arial"/>
        </w:rPr>
        <w:t>abled</w:t>
      </w:r>
      <w:r w:rsidR="00DD0781" w:rsidRPr="00EF18D4">
        <w:rPr>
          <w:rFonts w:ascii="Arial" w:hAnsi="Arial" w:cs="Arial"/>
        </w:rPr>
        <w:t>,</w:t>
      </w:r>
      <w:r w:rsidR="0041781E" w:rsidRPr="00EF18D4">
        <w:rPr>
          <w:rFonts w:ascii="Arial" w:hAnsi="Arial" w:cs="Arial"/>
        </w:rPr>
        <w:t xml:space="preserve"> and domestic workers</w:t>
      </w:r>
      <w:r w:rsidRPr="00EF18D4">
        <w:rPr>
          <w:rFonts w:ascii="Arial" w:hAnsi="Arial" w:cs="Arial"/>
        </w:rPr>
        <w:t xml:space="preserve">.  During its first months, </w:t>
      </w:r>
      <w:r w:rsidR="00E525F8" w:rsidRPr="00EF18D4">
        <w:rPr>
          <w:rFonts w:ascii="Arial" w:hAnsi="Arial" w:cs="Arial"/>
        </w:rPr>
        <w:t>the newly elected Mexican Government</w:t>
      </w:r>
      <w:r w:rsidRPr="00EF18D4">
        <w:rPr>
          <w:rFonts w:ascii="Arial" w:hAnsi="Arial" w:cs="Arial"/>
        </w:rPr>
        <w:t xml:space="preserve"> </w:t>
      </w:r>
      <w:r w:rsidR="008968EB" w:rsidRPr="00EF18D4">
        <w:rPr>
          <w:rFonts w:ascii="Arial" w:hAnsi="Arial" w:cs="Arial"/>
        </w:rPr>
        <w:t xml:space="preserve">sent </w:t>
      </w:r>
      <w:r w:rsidRPr="00EF18D4">
        <w:rPr>
          <w:rFonts w:ascii="Arial" w:hAnsi="Arial" w:cs="Arial"/>
        </w:rPr>
        <w:t>a reform on labor justice</w:t>
      </w:r>
      <w:r w:rsidR="008968EB" w:rsidRPr="00EF18D4">
        <w:rPr>
          <w:rFonts w:ascii="Arial" w:hAnsi="Arial" w:cs="Arial"/>
        </w:rPr>
        <w:t xml:space="preserve"> to </w:t>
      </w:r>
      <w:r w:rsidR="00E525F8" w:rsidRPr="00EF18D4">
        <w:rPr>
          <w:rFonts w:ascii="Arial" w:hAnsi="Arial" w:cs="Arial"/>
        </w:rPr>
        <w:t>C</w:t>
      </w:r>
      <w:r w:rsidR="008968EB" w:rsidRPr="00EF18D4">
        <w:rPr>
          <w:rFonts w:ascii="Arial" w:hAnsi="Arial" w:cs="Arial"/>
        </w:rPr>
        <w:t>ongress</w:t>
      </w:r>
      <w:r w:rsidRPr="00EF18D4">
        <w:rPr>
          <w:rFonts w:ascii="Arial" w:hAnsi="Arial" w:cs="Arial"/>
        </w:rPr>
        <w:t xml:space="preserve"> and </w:t>
      </w:r>
      <w:r w:rsidR="00E525F8" w:rsidRPr="00EF18D4">
        <w:rPr>
          <w:rFonts w:ascii="Arial" w:hAnsi="Arial" w:cs="Arial"/>
        </w:rPr>
        <w:t xml:space="preserve">decided to increase </w:t>
      </w:r>
      <w:r w:rsidRPr="00EF18D4">
        <w:rPr>
          <w:rFonts w:ascii="Arial" w:hAnsi="Arial" w:cs="Arial"/>
        </w:rPr>
        <w:t xml:space="preserve">the minimum </w:t>
      </w:r>
      <w:r w:rsidR="008968EB" w:rsidRPr="00EF18D4">
        <w:rPr>
          <w:rFonts w:ascii="Arial" w:hAnsi="Arial" w:cs="Arial"/>
        </w:rPr>
        <w:t>wage</w:t>
      </w:r>
      <w:r w:rsidRPr="00EF18D4">
        <w:rPr>
          <w:rFonts w:ascii="Arial" w:hAnsi="Arial" w:cs="Arial"/>
        </w:rPr>
        <w:t xml:space="preserve">. Additionally, the Supreme Court </w:t>
      </w:r>
      <w:r w:rsidR="008968EB" w:rsidRPr="00EF18D4">
        <w:rPr>
          <w:rFonts w:ascii="Arial" w:hAnsi="Arial" w:cs="Arial"/>
        </w:rPr>
        <w:t xml:space="preserve">ruled </w:t>
      </w:r>
      <w:r w:rsidRPr="00EF18D4">
        <w:rPr>
          <w:rFonts w:ascii="Arial" w:hAnsi="Arial" w:cs="Arial"/>
        </w:rPr>
        <w:t xml:space="preserve">in favor of </w:t>
      </w:r>
      <w:r w:rsidR="00BF0DF0" w:rsidRPr="00EF18D4">
        <w:rPr>
          <w:rFonts w:ascii="Arial" w:hAnsi="Arial" w:cs="Arial"/>
        </w:rPr>
        <w:t>domestic workers’</w:t>
      </w:r>
      <w:r w:rsidRPr="00EF18D4">
        <w:rPr>
          <w:rFonts w:ascii="Arial" w:hAnsi="Arial" w:cs="Arial"/>
        </w:rPr>
        <w:t xml:space="preserve"> right to social security, which is an important step forward to change the actual legal framework that pushes many domestic workers to informality. Finally, one of the Government’s flagship programs is “</w:t>
      </w:r>
      <w:r w:rsidR="003B4396" w:rsidRPr="00EF18D4">
        <w:rPr>
          <w:rFonts w:ascii="Arial" w:hAnsi="Arial" w:cs="Arial"/>
        </w:rPr>
        <w:t>Youth Building the Future</w:t>
      </w:r>
      <w:r w:rsidRPr="00EF18D4">
        <w:rPr>
          <w:rFonts w:ascii="Arial" w:hAnsi="Arial" w:cs="Arial"/>
        </w:rPr>
        <w:t xml:space="preserve">” (JCF), a </w:t>
      </w:r>
      <w:r w:rsidR="008968EB" w:rsidRPr="00EF18D4">
        <w:rPr>
          <w:rFonts w:ascii="Arial" w:hAnsi="Arial" w:cs="Arial"/>
        </w:rPr>
        <w:t xml:space="preserve">national </w:t>
      </w:r>
      <w:r w:rsidRPr="00EF18D4">
        <w:rPr>
          <w:rFonts w:ascii="Arial" w:hAnsi="Arial" w:cs="Arial"/>
        </w:rPr>
        <w:t>conditional cash transfer program directed to young people who are not working or studying. This is the second largest social program in the country and its objective is to connect young people with firms to receive training, gain experience, and improve their odds of finding a job.</w:t>
      </w:r>
      <w:r w:rsidR="00F10FAE" w:rsidRPr="00EF18D4">
        <w:rPr>
          <w:rFonts w:ascii="Arial" w:hAnsi="Arial" w:cs="Arial"/>
        </w:rPr>
        <w:t xml:space="preserve"> These initiatives have the potential to improve labor market outcomes in Mexico, but </w:t>
      </w:r>
      <w:r w:rsidR="00E00427" w:rsidRPr="00EF18D4">
        <w:rPr>
          <w:rFonts w:ascii="Arial" w:hAnsi="Arial" w:cs="Arial"/>
        </w:rPr>
        <w:t xml:space="preserve">technical assistance appears to be crucial to ensure positive impacts. </w:t>
      </w:r>
    </w:p>
    <w:p w14:paraId="6B769787" w14:textId="77777777" w:rsidR="004F2834" w:rsidRPr="00EF18D4" w:rsidRDefault="004F2834" w:rsidP="004F2834">
      <w:pPr>
        <w:keepNext/>
        <w:spacing w:after="0" w:line="240" w:lineRule="auto"/>
        <w:jc w:val="both"/>
        <w:rPr>
          <w:rFonts w:ascii="Arial" w:hAnsi="Arial" w:cs="Arial"/>
        </w:rPr>
      </w:pPr>
    </w:p>
    <w:p w14:paraId="3FA0004B" w14:textId="2A0C2614" w:rsidR="00612ED0" w:rsidRPr="00EF18D4" w:rsidRDefault="00CD6792" w:rsidP="003B4396">
      <w:pPr>
        <w:pStyle w:val="ListParagraph"/>
        <w:keepNext/>
        <w:numPr>
          <w:ilvl w:val="1"/>
          <w:numId w:val="19"/>
        </w:numPr>
        <w:spacing w:before="120" w:after="120" w:line="240" w:lineRule="auto"/>
        <w:ind w:left="547" w:hanging="540"/>
        <w:jc w:val="both"/>
        <w:rPr>
          <w:rFonts w:ascii="Arial" w:hAnsi="Arial" w:cs="Arial"/>
        </w:rPr>
      </w:pPr>
      <w:r w:rsidRPr="00EF18D4">
        <w:rPr>
          <w:rFonts w:ascii="Arial" w:hAnsi="Arial" w:cs="Arial"/>
        </w:rPr>
        <w:t xml:space="preserve">On the </w:t>
      </w:r>
      <w:r w:rsidR="00986FBA" w:rsidRPr="00EF18D4">
        <w:rPr>
          <w:rFonts w:ascii="Arial" w:hAnsi="Arial" w:cs="Arial"/>
        </w:rPr>
        <w:t xml:space="preserve">one </w:t>
      </w:r>
      <w:r w:rsidRPr="00EF18D4">
        <w:rPr>
          <w:rFonts w:ascii="Arial" w:hAnsi="Arial" w:cs="Arial"/>
        </w:rPr>
        <w:t>hand, t</w:t>
      </w:r>
      <w:r w:rsidR="00932B72" w:rsidRPr="00EF18D4">
        <w:rPr>
          <w:rFonts w:ascii="Arial" w:hAnsi="Arial" w:cs="Arial"/>
        </w:rPr>
        <w:t xml:space="preserve">he </w:t>
      </w:r>
      <w:r w:rsidR="00714CD9" w:rsidRPr="00EF18D4">
        <w:rPr>
          <w:rFonts w:ascii="Arial" w:hAnsi="Arial" w:cs="Arial"/>
        </w:rPr>
        <w:t xml:space="preserve">implementation of </w:t>
      </w:r>
      <w:r w:rsidR="00E00427" w:rsidRPr="00EF18D4">
        <w:rPr>
          <w:rFonts w:ascii="Arial" w:hAnsi="Arial" w:cs="Arial"/>
        </w:rPr>
        <w:t>JCF entail</w:t>
      </w:r>
      <w:r w:rsidR="00986FBA" w:rsidRPr="00EF18D4">
        <w:rPr>
          <w:rFonts w:ascii="Arial" w:hAnsi="Arial" w:cs="Arial"/>
        </w:rPr>
        <w:t>s</w:t>
      </w:r>
      <w:r w:rsidR="00E00427" w:rsidRPr="00EF18D4">
        <w:rPr>
          <w:rFonts w:ascii="Arial" w:hAnsi="Arial" w:cs="Arial"/>
        </w:rPr>
        <w:t xml:space="preserve"> major changes in </w:t>
      </w:r>
      <w:r w:rsidR="00714CD9" w:rsidRPr="00EF18D4">
        <w:rPr>
          <w:rFonts w:ascii="Arial" w:hAnsi="Arial" w:cs="Arial"/>
        </w:rPr>
        <w:t xml:space="preserve">the Ministry of Labor’s </w:t>
      </w:r>
      <w:r w:rsidR="003B4396" w:rsidRPr="00EF18D4">
        <w:rPr>
          <w:rFonts w:ascii="Arial" w:hAnsi="Arial" w:cs="Arial"/>
        </w:rPr>
        <w:t xml:space="preserve">(STPS) </w:t>
      </w:r>
      <w:r w:rsidR="00714CD9" w:rsidRPr="00EF18D4">
        <w:rPr>
          <w:rFonts w:ascii="Arial" w:hAnsi="Arial" w:cs="Arial"/>
        </w:rPr>
        <w:t>operation and structure.</w:t>
      </w:r>
      <w:r w:rsidRPr="00EF18D4">
        <w:rPr>
          <w:rFonts w:ascii="Arial" w:hAnsi="Arial" w:cs="Arial"/>
        </w:rPr>
        <w:t xml:space="preserve"> T</w:t>
      </w:r>
      <w:r w:rsidR="00EF0E71" w:rsidRPr="00EF18D4">
        <w:rPr>
          <w:rFonts w:ascii="Arial" w:hAnsi="Arial" w:cs="Arial"/>
        </w:rPr>
        <w:t xml:space="preserve">he scope of </w:t>
      </w:r>
      <w:r w:rsidR="00986FBA" w:rsidRPr="00EF18D4">
        <w:rPr>
          <w:rFonts w:ascii="Arial" w:hAnsi="Arial" w:cs="Arial"/>
        </w:rPr>
        <w:t>the program</w:t>
      </w:r>
      <w:r w:rsidR="00B947B3" w:rsidRPr="00EF18D4">
        <w:rPr>
          <w:rFonts w:ascii="Arial" w:hAnsi="Arial" w:cs="Arial"/>
        </w:rPr>
        <w:t xml:space="preserve"> poses</w:t>
      </w:r>
      <w:r w:rsidR="009B7245" w:rsidRPr="00EF18D4">
        <w:rPr>
          <w:rFonts w:ascii="Arial" w:hAnsi="Arial" w:cs="Arial"/>
        </w:rPr>
        <w:t xml:space="preserve"> important challenges in terms of </w:t>
      </w:r>
      <w:r w:rsidRPr="00EF18D4">
        <w:rPr>
          <w:rFonts w:ascii="Arial" w:hAnsi="Arial" w:cs="Arial"/>
        </w:rPr>
        <w:t>implementation</w:t>
      </w:r>
      <w:r w:rsidR="009B7245" w:rsidRPr="00EF18D4">
        <w:rPr>
          <w:rFonts w:ascii="Arial" w:hAnsi="Arial" w:cs="Arial"/>
        </w:rPr>
        <w:t xml:space="preserve"> and infrastructure that </w:t>
      </w:r>
      <w:r w:rsidR="00B166DB" w:rsidRPr="00EF18D4">
        <w:rPr>
          <w:rFonts w:ascii="Arial" w:hAnsi="Arial" w:cs="Arial"/>
        </w:rPr>
        <w:t xml:space="preserve">may </w:t>
      </w:r>
      <w:r w:rsidR="009B7245" w:rsidRPr="00EF18D4">
        <w:rPr>
          <w:rFonts w:ascii="Arial" w:hAnsi="Arial" w:cs="Arial"/>
        </w:rPr>
        <w:t xml:space="preserve">compromise its impact. </w:t>
      </w:r>
      <w:r w:rsidR="00986FBA" w:rsidRPr="00EF18D4">
        <w:rPr>
          <w:rFonts w:ascii="Arial" w:hAnsi="Arial" w:cs="Arial"/>
        </w:rPr>
        <w:t xml:space="preserve">It </w:t>
      </w:r>
      <w:r w:rsidR="00B947B3" w:rsidRPr="00EF18D4">
        <w:rPr>
          <w:rFonts w:ascii="Arial" w:hAnsi="Arial" w:cs="Arial"/>
        </w:rPr>
        <w:t>requires the development of a robust operation model</w:t>
      </w:r>
      <w:r w:rsidR="00986FBA" w:rsidRPr="00EF18D4">
        <w:rPr>
          <w:rFonts w:ascii="Arial" w:hAnsi="Arial" w:cs="Arial"/>
        </w:rPr>
        <w:t xml:space="preserve"> —</w:t>
      </w:r>
      <w:r w:rsidR="00D01166" w:rsidRPr="00EF18D4">
        <w:rPr>
          <w:rFonts w:ascii="Arial" w:hAnsi="Arial" w:cs="Arial"/>
        </w:rPr>
        <w:t>i</w:t>
      </w:r>
      <w:r w:rsidRPr="00EF18D4">
        <w:rPr>
          <w:rFonts w:ascii="Arial" w:hAnsi="Arial" w:cs="Arial"/>
        </w:rPr>
        <w:t>ncluding its connection with the National Employment Service (SNE)</w:t>
      </w:r>
      <w:r w:rsidR="00986FBA" w:rsidRPr="00EF18D4">
        <w:rPr>
          <w:rFonts w:ascii="Arial" w:hAnsi="Arial" w:cs="Arial"/>
        </w:rPr>
        <w:t xml:space="preserve">, functionalities of the </w:t>
      </w:r>
      <w:r w:rsidR="00897DC8" w:rsidRPr="00EF18D4">
        <w:rPr>
          <w:rFonts w:ascii="Arial" w:hAnsi="Arial" w:cs="Arial"/>
        </w:rPr>
        <w:t xml:space="preserve">program’s </w:t>
      </w:r>
      <w:r w:rsidR="00986FBA" w:rsidRPr="00EF18D4">
        <w:rPr>
          <w:rFonts w:ascii="Arial" w:hAnsi="Arial" w:cs="Arial"/>
        </w:rPr>
        <w:t>technological platform,</w:t>
      </w:r>
      <w:r w:rsidRPr="00EF18D4">
        <w:rPr>
          <w:rFonts w:ascii="Arial" w:hAnsi="Arial" w:cs="Arial"/>
        </w:rPr>
        <w:t xml:space="preserve"> and </w:t>
      </w:r>
      <w:r w:rsidR="00B947B3" w:rsidRPr="00EF18D4">
        <w:rPr>
          <w:rFonts w:ascii="Arial" w:hAnsi="Arial" w:cs="Arial"/>
        </w:rPr>
        <w:t>evaluation mechanisms</w:t>
      </w:r>
      <w:r w:rsidR="00221697" w:rsidRPr="00EF18D4">
        <w:rPr>
          <w:rFonts w:ascii="Arial" w:hAnsi="Arial" w:cs="Arial"/>
        </w:rPr>
        <w:t xml:space="preserve">. </w:t>
      </w:r>
      <w:r w:rsidR="00986FBA" w:rsidRPr="00EF18D4">
        <w:rPr>
          <w:rFonts w:ascii="Arial" w:hAnsi="Arial" w:cs="Arial"/>
        </w:rPr>
        <w:t xml:space="preserve">Furthermore, the SNE </w:t>
      </w:r>
      <w:r w:rsidR="00897DC8" w:rsidRPr="00EF18D4">
        <w:rPr>
          <w:rFonts w:ascii="Arial" w:hAnsi="Arial" w:cs="Arial"/>
        </w:rPr>
        <w:t>needs to reinforce</w:t>
      </w:r>
      <w:r w:rsidR="00986FBA" w:rsidRPr="00EF18D4">
        <w:rPr>
          <w:rFonts w:ascii="Arial" w:hAnsi="Arial" w:cs="Arial"/>
        </w:rPr>
        <w:t xml:space="preserve"> </w:t>
      </w:r>
      <w:r w:rsidR="00897DC8" w:rsidRPr="00EF18D4">
        <w:rPr>
          <w:rFonts w:ascii="Arial" w:hAnsi="Arial" w:cs="Arial"/>
        </w:rPr>
        <w:t xml:space="preserve">its operational capacity to ensure it will be able to assist JCF beneficiaries to find a job. </w:t>
      </w:r>
      <w:r w:rsidR="004F7561" w:rsidRPr="00EF18D4">
        <w:rPr>
          <w:rFonts w:ascii="Arial" w:hAnsi="Arial" w:cs="Arial"/>
        </w:rPr>
        <w:t xml:space="preserve">On the other hand, Mexico is still many steps away from having a legal framework that protects domestic workers </w:t>
      </w:r>
      <w:r w:rsidR="003F19F7" w:rsidRPr="00EF18D4">
        <w:rPr>
          <w:rFonts w:ascii="Arial" w:hAnsi="Arial" w:cs="Arial"/>
        </w:rPr>
        <w:t>from informality.</w:t>
      </w:r>
      <w:r w:rsidR="00626913" w:rsidRPr="00EF18D4">
        <w:rPr>
          <w:rFonts w:ascii="Arial" w:hAnsi="Arial" w:cs="Arial"/>
        </w:rPr>
        <w:t xml:space="preserve"> A viable model for these worker protection</w:t>
      </w:r>
      <w:r w:rsidR="008968EB" w:rsidRPr="00EF18D4">
        <w:rPr>
          <w:rFonts w:ascii="Arial" w:hAnsi="Arial" w:cs="Arial"/>
        </w:rPr>
        <w:t>s</w:t>
      </w:r>
      <w:r w:rsidR="00626913" w:rsidRPr="00EF18D4">
        <w:rPr>
          <w:rFonts w:ascii="Arial" w:hAnsi="Arial" w:cs="Arial"/>
        </w:rPr>
        <w:t xml:space="preserve"> in the country </w:t>
      </w:r>
      <w:r w:rsidR="008968EB" w:rsidRPr="00EF18D4">
        <w:rPr>
          <w:rFonts w:ascii="Arial" w:hAnsi="Arial" w:cs="Arial"/>
        </w:rPr>
        <w:t>must</w:t>
      </w:r>
      <w:r w:rsidR="00626913" w:rsidRPr="00EF18D4">
        <w:rPr>
          <w:rFonts w:ascii="Arial" w:hAnsi="Arial" w:cs="Arial"/>
        </w:rPr>
        <w:t xml:space="preserve"> be developed and political support has to be built across different stakeholders. </w:t>
      </w:r>
    </w:p>
    <w:p w14:paraId="78380699" w14:textId="77777777" w:rsidR="003B4396" w:rsidRPr="00EF18D4" w:rsidRDefault="003B4396" w:rsidP="003B4396">
      <w:pPr>
        <w:pStyle w:val="ListParagraph"/>
        <w:rPr>
          <w:rFonts w:ascii="Arial" w:hAnsi="Arial" w:cs="Arial"/>
        </w:rPr>
      </w:pPr>
    </w:p>
    <w:p w14:paraId="1862151E" w14:textId="1DB7DE78" w:rsidR="002125DD" w:rsidRPr="00EF18D4" w:rsidRDefault="00AF4B13" w:rsidP="003B4396">
      <w:pPr>
        <w:pStyle w:val="ListParagraph"/>
        <w:keepNext/>
        <w:numPr>
          <w:ilvl w:val="1"/>
          <w:numId w:val="19"/>
        </w:numPr>
        <w:spacing w:before="120" w:after="120" w:line="240" w:lineRule="auto"/>
        <w:ind w:left="547" w:hanging="540"/>
        <w:jc w:val="both"/>
        <w:rPr>
          <w:rFonts w:ascii="Arial" w:hAnsi="Arial" w:cs="Arial"/>
        </w:rPr>
      </w:pPr>
      <w:r w:rsidRPr="00EF18D4">
        <w:rPr>
          <w:rFonts w:ascii="Arial" w:hAnsi="Arial" w:cs="Arial"/>
        </w:rPr>
        <w:t xml:space="preserve">The Bank has supported the </w:t>
      </w:r>
      <w:r w:rsidR="003B4396" w:rsidRPr="00EF18D4">
        <w:rPr>
          <w:rFonts w:ascii="Arial" w:hAnsi="Arial" w:cs="Arial"/>
        </w:rPr>
        <w:t>STPS</w:t>
      </w:r>
      <w:r w:rsidRPr="00EF18D4">
        <w:rPr>
          <w:rFonts w:ascii="Arial" w:hAnsi="Arial" w:cs="Arial"/>
        </w:rPr>
        <w:t xml:space="preserve"> for 20 years, </w:t>
      </w:r>
      <w:r w:rsidR="003B4396" w:rsidRPr="00EF18D4">
        <w:rPr>
          <w:rFonts w:ascii="Arial" w:hAnsi="Arial" w:cs="Arial"/>
        </w:rPr>
        <w:t xml:space="preserve">particularly the SNE, </w:t>
      </w:r>
      <w:r w:rsidRPr="00EF18D4">
        <w:rPr>
          <w:rFonts w:ascii="Arial" w:hAnsi="Arial" w:cs="Arial"/>
        </w:rPr>
        <w:t xml:space="preserve">including the recently approved operation </w:t>
      </w:r>
      <w:r w:rsidR="000C5AF9" w:rsidRPr="00EF18D4">
        <w:rPr>
          <w:rFonts w:ascii="Arial" w:hAnsi="Arial" w:cs="Arial"/>
        </w:rPr>
        <w:t xml:space="preserve">ME-L1258. </w:t>
      </w:r>
      <w:r w:rsidRPr="00EF18D4">
        <w:rPr>
          <w:rFonts w:ascii="Arial" w:hAnsi="Arial" w:cs="Arial"/>
        </w:rPr>
        <w:t xml:space="preserve">During this period, the SNE has become the most advanced public employment service in the region. </w:t>
      </w:r>
      <w:r w:rsidR="00506C6C" w:rsidRPr="00EF18D4">
        <w:rPr>
          <w:rFonts w:ascii="Arial" w:hAnsi="Arial" w:cs="Arial"/>
        </w:rPr>
        <w:t xml:space="preserve">For example, the SNE has increased its labor </w:t>
      </w:r>
      <w:r w:rsidR="00E868CA" w:rsidRPr="00EF18D4">
        <w:rPr>
          <w:rFonts w:ascii="Arial" w:hAnsi="Arial" w:cs="Arial"/>
        </w:rPr>
        <w:t>placements</w:t>
      </w:r>
      <w:r w:rsidR="00506C6C" w:rsidRPr="00EF18D4">
        <w:rPr>
          <w:rFonts w:ascii="Arial" w:hAnsi="Arial" w:cs="Arial"/>
        </w:rPr>
        <w:t xml:space="preserve"> b</w:t>
      </w:r>
      <w:bookmarkStart w:id="0" w:name="_GoBack"/>
      <w:bookmarkEnd w:id="0"/>
      <w:r w:rsidR="00506C6C" w:rsidRPr="00EF18D4">
        <w:rPr>
          <w:rFonts w:ascii="Arial" w:hAnsi="Arial" w:cs="Arial"/>
        </w:rPr>
        <w:t>y 42% since 2008, to over 1.2 million workers placed, and has created an online Labor Observatory with data and information about the Mexican labor market which has received more than 5.2</w:t>
      </w:r>
      <w:r w:rsidR="00D01166" w:rsidRPr="00EF18D4">
        <w:rPr>
          <w:rFonts w:ascii="Arial" w:hAnsi="Arial" w:cs="Arial"/>
        </w:rPr>
        <w:t> </w:t>
      </w:r>
      <w:proofErr w:type="gramStart"/>
      <w:r w:rsidR="00506C6C" w:rsidRPr="00EF18D4">
        <w:rPr>
          <w:rFonts w:ascii="Arial" w:hAnsi="Arial" w:cs="Arial"/>
        </w:rPr>
        <w:t>million page</w:t>
      </w:r>
      <w:proofErr w:type="gramEnd"/>
      <w:r w:rsidR="00506C6C" w:rsidRPr="00EF18D4">
        <w:rPr>
          <w:rFonts w:ascii="Arial" w:hAnsi="Arial" w:cs="Arial"/>
        </w:rPr>
        <w:t xml:space="preserve"> views</w:t>
      </w:r>
      <w:r w:rsidR="00E868CA" w:rsidRPr="00EF18D4">
        <w:rPr>
          <w:rFonts w:ascii="Arial" w:hAnsi="Arial" w:cs="Arial"/>
        </w:rPr>
        <w:t>. In 2012, the employment service received an award from the US Treasury Department for their advances in impact evaluations</w:t>
      </w:r>
      <w:r w:rsidR="00506C6C" w:rsidRPr="00EF18D4">
        <w:rPr>
          <w:rFonts w:ascii="Arial" w:hAnsi="Arial" w:cs="Arial"/>
        </w:rPr>
        <w:t xml:space="preserve">. </w:t>
      </w:r>
      <w:r w:rsidR="002125DD" w:rsidRPr="00EF18D4">
        <w:rPr>
          <w:rFonts w:ascii="Arial" w:hAnsi="Arial" w:cs="Arial"/>
        </w:rPr>
        <w:t xml:space="preserve">The focus of IDB collaboration with </w:t>
      </w:r>
      <w:r w:rsidR="00AF276D" w:rsidRPr="00EF18D4">
        <w:rPr>
          <w:rFonts w:ascii="Arial" w:hAnsi="Arial" w:cs="Arial"/>
        </w:rPr>
        <w:t xml:space="preserve">the </w:t>
      </w:r>
      <w:r w:rsidR="002125DD" w:rsidRPr="00EF18D4">
        <w:rPr>
          <w:rFonts w:ascii="Arial" w:hAnsi="Arial" w:cs="Arial"/>
        </w:rPr>
        <w:t xml:space="preserve">SNE thus far has been primarily in programs to promote wage employment. </w:t>
      </w:r>
      <w:r w:rsidR="00C93202" w:rsidRPr="00EF18D4">
        <w:rPr>
          <w:rFonts w:ascii="Arial" w:hAnsi="Arial" w:cs="Arial"/>
        </w:rPr>
        <w:t>However, g</w:t>
      </w:r>
      <w:r w:rsidR="003B4396" w:rsidRPr="00EF18D4">
        <w:rPr>
          <w:rFonts w:ascii="Arial" w:hAnsi="Arial" w:cs="Arial"/>
        </w:rPr>
        <w:t xml:space="preserve">iven </w:t>
      </w:r>
      <w:r w:rsidR="00D27626" w:rsidRPr="00EF18D4">
        <w:rPr>
          <w:rFonts w:ascii="Arial" w:hAnsi="Arial" w:cs="Arial"/>
        </w:rPr>
        <w:t>recent changes in the STPS</w:t>
      </w:r>
      <w:r w:rsidR="003B4396" w:rsidRPr="00EF18D4">
        <w:rPr>
          <w:rFonts w:ascii="Arial" w:hAnsi="Arial" w:cs="Arial"/>
        </w:rPr>
        <w:t xml:space="preserve"> and the Governments’ </w:t>
      </w:r>
      <w:r w:rsidR="00D97D08" w:rsidRPr="00EF18D4">
        <w:rPr>
          <w:rFonts w:ascii="Arial" w:hAnsi="Arial" w:cs="Arial"/>
        </w:rPr>
        <w:t xml:space="preserve">emphasis </w:t>
      </w:r>
      <w:r w:rsidR="00D27626" w:rsidRPr="00EF18D4">
        <w:rPr>
          <w:rFonts w:ascii="Arial" w:hAnsi="Arial" w:cs="Arial"/>
        </w:rPr>
        <w:t>in benefiting young people and domestic workers</w:t>
      </w:r>
      <w:r w:rsidR="003B4396" w:rsidRPr="00EF18D4">
        <w:rPr>
          <w:rFonts w:ascii="Arial" w:hAnsi="Arial" w:cs="Arial"/>
        </w:rPr>
        <w:t>,</w:t>
      </w:r>
      <w:r w:rsidR="00C27F8C" w:rsidRPr="00EF18D4">
        <w:rPr>
          <w:rFonts w:ascii="Arial" w:hAnsi="Arial" w:cs="Arial"/>
        </w:rPr>
        <w:t xml:space="preserve"> this TC will </w:t>
      </w:r>
      <w:r w:rsidR="00D27626" w:rsidRPr="00EF18D4">
        <w:rPr>
          <w:rFonts w:ascii="Arial" w:hAnsi="Arial" w:cs="Arial"/>
        </w:rPr>
        <w:t xml:space="preserve">both accompany ongoing processes for SNE’s institutional improvement and expand the Bank’s collaboration to support JCF’s operation and </w:t>
      </w:r>
      <w:r w:rsidR="000729A2" w:rsidRPr="00EF18D4">
        <w:rPr>
          <w:rFonts w:ascii="Arial" w:hAnsi="Arial" w:cs="Arial"/>
        </w:rPr>
        <w:t xml:space="preserve">the design of labor policies to protect </w:t>
      </w:r>
      <w:r w:rsidR="00D27626" w:rsidRPr="00EF18D4">
        <w:rPr>
          <w:rFonts w:ascii="Arial" w:hAnsi="Arial" w:cs="Arial"/>
        </w:rPr>
        <w:t>domestic workers</w:t>
      </w:r>
      <w:r w:rsidR="000729A2" w:rsidRPr="00EF18D4">
        <w:rPr>
          <w:rFonts w:ascii="Arial" w:hAnsi="Arial" w:cs="Arial"/>
        </w:rPr>
        <w:t>.</w:t>
      </w:r>
      <w:r w:rsidR="00D27626" w:rsidRPr="00EF18D4">
        <w:rPr>
          <w:rFonts w:ascii="Arial" w:hAnsi="Arial" w:cs="Arial"/>
        </w:rPr>
        <w:t xml:space="preserve">  </w:t>
      </w:r>
    </w:p>
    <w:p w14:paraId="79C669A2" w14:textId="77777777" w:rsidR="00994684" w:rsidRPr="00EF18D4" w:rsidRDefault="00994684" w:rsidP="00994684">
      <w:pPr>
        <w:pStyle w:val="ListParagraph"/>
        <w:rPr>
          <w:rFonts w:ascii="Arial" w:hAnsi="Arial" w:cs="Arial"/>
        </w:rPr>
      </w:pPr>
    </w:p>
    <w:p w14:paraId="3AE1B22A" w14:textId="77777777" w:rsidR="00432253" w:rsidRPr="00EF18D4" w:rsidRDefault="002125DD" w:rsidP="00994684">
      <w:pPr>
        <w:pStyle w:val="ListParagraph"/>
        <w:keepNext/>
        <w:numPr>
          <w:ilvl w:val="1"/>
          <w:numId w:val="19"/>
        </w:numPr>
        <w:spacing w:before="120" w:after="120" w:line="240" w:lineRule="auto"/>
        <w:ind w:left="547" w:hanging="540"/>
        <w:jc w:val="both"/>
        <w:rPr>
          <w:rFonts w:ascii="Arial" w:hAnsi="Arial" w:cs="Arial"/>
        </w:rPr>
      </w:pPr>
      <w:r w:rsidRPr="00EF18D4">
        <w:rPr>
          <w:rFonts w:ascii="Arial" w:hAnsi="Arial" w:cs="Arial"/>
        </w:rPr>
        <w:t xml:space="preserve">Several significant areas of opportunity have been identified as part of future Bank technical assistance to </w:t>
      </w:r>
      <w:r w:rsidR="00506C6C" w:rsidRPr="00EF18D4">
        <w:rPr>
          <w:rFonts w:ascii="Arial" w:hAnsi="Arial" w:cs="Arial"/>
        </w:rPr>
        <w:t xml:space="preserve">its client </w:t>
      </w:r>
      <w:r w:rsidRPr="00EF18D4">
        <w:rPr>
          <w:rFonts w:ascii="Arial" w:hAnsi="Arial" w:cs="Arial"/>
        </w:rPr>
        <w:t xml:space="preserve">the </w:t>
      </w:r>
      <w:r w:rsidR="006B3049" w:rsidRPr="00EF18D4">
        <w:rPr>
          <w:rFonts w:ascii="Arial" w:hAnsi="Arial" w:cs="Arial"/>
        </w:rPr>
        <w:t>STPS</w:t>
      </w:r>
      <w:r w:rsidRPr="00EF18D4">
        <w:rPr>
          <w:rFonts w:ascii="Arial" w:hAnsi="Arial" w:cs="Arial"/>
        </w:rPr>
        <w:t>.</w:t>
      </w:r>
      <w:r w:rsidR="0006004F" w:rsidRPr="00EF18D4">
        <w:rPr>
          <w:rFonts w:ascii="Arial" w:hAnsi="Arial" w:cs="Arial"/>
        </w:rPr>
        <w:t xml:space="preserve"> </w:t>
      </w:r>
      <w:r w:rsidRPr="00EF18D4">
        <w:rPr>
          <w:rFonts w:ascii="Arial" w:hAnsi="Arial" w:cs="Arial"/>
        </w:rPr>
        <w:t xml:space="preserve">One </w:t>
      </w:r>
      <w:r w:rsidR="0006004F" w:rsidRPr="00EF18D4">
        <w:rPr>
          <w:rFonts w:ascii="Arial" w:hAnsi="Arial" w:cs="Arial"/>
        </w:rPr>
        <w:t xml:space="preserve">area of opportunity that has been identified is to </w:t>
      </w:r>
      <w:r w:rsidR="00FD557C" w:rsidRPr="00EF18D4">
        <w:rPr>
          <w:rFonts w:ascii="Arial" w:hAnsi="Arial" w:cs="Arial"/>
        </w:rPr>
        <w:t>modernize</w:t>
      </w:r>
      <w:r w:rsidR="0006004F" w:rsidRPr="00EF18D4">
        <w:rPr>
          <w:rFonts w:ascii="Arial" w:hAnsi="Arial" w:cs="Arial"/>
        </w:rPr>
        <w:t xml:space="preserve"> the SNE’s </w:t>
      </w:r>
      <w:r w:rsidR="006A5094" w:rsidRPr="00EF18D4">
        <w:rPr>
          <w:rFonts w:ascii="Arial" w:hAnsi="Arial" w:cs="Arial"/>
        </w:rPr>
        <w:t xml:space="preserve">operation model, particularly </w:t>
      </w:r>
      <w:r w:rsidR="00FD557C" w:rsidRPr="00EF18D4">
        <w:rPr>
          <w:rFonts w:ascii="Arial" w:hAnsi="Arial" w:cs="Arial"/>
        </w:rPr>
        <w:t>in</w:t>
      </w:r>
      <w:r w:rsidR="006A5094" w:rsidRPr="00EF18D4">
        <w:rPr>
          <w:rFonts w:ascii="Arial" w:hAnsi="Arial" w:cs="Arial"/>
        </w:rPr>
        <w:t xml:space="preserve"> the Nati</w:t>
      </w:r>
      <w:r w:rsidR="00FD557C" w:rsidRPr="00EF18D4">
        <w:rPr>
          <w:rFonts w:ascii="Arial" w:hAnsi="Arial" w:cs="Arial"/>
        </w:rPr>
        <w:t>o</w:t>
      </w:r>
      <w:r w:rsidR="006A5094" w:rsidRPr="00EF18D4">
        <w:rPr>
          <w:rFonts w:ascii="Arial" w:hAnsi="Arial" w:cs="Arial"/>
        </w:rPr>
        <w:t>nal Employment Service Offices</w:t>
      </w:r>
      <w:r w:rsidR="00BA1B97" w:rsidRPr="00EF18D4">
        <w:rPr>
          <w:rFonts w:ascii="Arial" w:hAnsi="Arial" w:cs="Arial"/>
        </w:rPr>
        <w:t>, and develop new functionalities of its platform</w:t>
      </w:r>
      <w:r w:rsidR="0006004F" w:rsidRPr="00EF18D4">
        <w:rPr>
          <w:rFonts w:ascii="Arial" w:hAnsi="Arial" w:cs="Arial"/>
        </w:rPr>
        <w:t>. A</w:t>
      </w:r>
      <w:r w:rsidR="00432253" w:rsidRPr="00EF18D4">
        <w:rPr>
          <w:rFonts w:ascii="Arial" w:hAnsi="Arial" w:cs="Arial"/>
        </w:rPr>
        <w:t xml:space="preserve"> second </w:t>
      </w:r>
      <w:r w:rsidR="0006004F" w:rsidRPr="00EF18D4">
        <w:rPr>
          <w:rFonts w:ascii="Arial" w:hAnsi="Arial" w:cs="Arial"/>
        </w:rPr>
        <w:t xml:space="preserve">area of opportunity that has been </w:t>
      </w:r>
      <w:r w:rsidR="00D75653" w:rsidRPr="00EF18D4">
        <w:rPr>
          <w:rFonts w:ascii="Arial" w:hAnsi="Arial" w:cs="Arial"/>
        </w:rPr>
        <w:t xml:space="preserve">highlighted </w:t>
      </w:r>
      <w:r w:rsidR="0006004F" w:rsidRPr="00EF18D4">
        <w:rPr>
          <w:rFonts w:ascii="Arial" w:hAnsi="Arial" w:cs="Arial"/>
        </w:rPr>
        <w:t xml:space="preserve">is to </w:t>
      </w:r>
      <w:r w:rsidR="00BA1B97" w:rsidRPr="00EF18D4">
        <w:rPr>
          <w:rFonts w:ascii="Arial" w:hAnsi="Arial" w:cs="Arial"/>
        </w:rPr>
        <w:t xml:space="preserve">improve JCF’s profiling mechanism and </w:t>
      </w:r>
      <w:r w:rsidR="004E5D9C" w:rsidRPr="00EF18D4">
        <w:rPr>
          <w:rFonts w:ascii="Arial" w:hAnsi="Arial" w:cs="Arial"/>
        </w:rPr>
        <w:t xml:space="preserve">the program’s </w:t>
      </w:r>
      <w:r w:rsidR="00BA1B97" w:rsidRPr="00EF18D4">
        <w:rPr>
          <w:rFonts w:ascii="Arial" w:hAnsi="Arial" w:cs="Arial"/>
        </w:rPr>
        <w:t>platform, as well as to develop an evaluation strategy</w:t>
      </w:r>
      <w:r w:rsidR="0006004F" w:rsidRPr="00EF18D4">
        <w:rPr>
          <w:rFonts w:ascii="Arial" w:hAnsi="Arial" w:cs="Arial"/>
        </w:rPr>
        <w:t>.</w:t>
      </w:r>
      <w:r w:rsidR="00432253" w:rsidRPr="00EF18D4">
        <w:rPr>
          <w:rFonts w:ascii="Arial" w:hAnsi="Arial" w:cs="Arial"/>
        </w:rPr>
        <w:t xml:space="preserve"> A third</w:t>
      </w:r>
      <w:r w:rsidR="004E5D9C" w:rsidRPr="00EF18D4">
        <w:rPr>
          <w:rFonts w:ascii="Arial" w:hAnsi="Arial" w:cs="Arial"/>
        </w:rPr>
        <w:t xml:space="preserve"> </w:t>
      </w:r>
      <w:r w:rsidR="00432253" w:rsidRPr="00EF18D4">
        <w:rPr>
          <w:rFonts w:ascii="Arial" w:hAnsi="Arial" w:cs="Arial"/>
        </w:rPr>
        <w:t xml:space="preserve">area of opportunity is related to </w:t>
      </w:r>
      <w:r w:rsidR="00BA1B97" w:rsidRPr="00EF18D4">
        <w:rPr>
          <w:rFonts w:ascii="Arial" w:hAnsi="Arial" w:cs="Arial"/>
        </w:rPr>
        <w:t xml:space="preserve">the development of a </w:t>
      </w:r>
      <w:r w:rsidR="004E5D9C" w:rsidRPr="00EF18D4">
        <w:rPr>
          <w:rFonts w:ascii="Arial" w:hAnsi="Arial" w:cs="Arial"/>
        </w:rPr>
        <w:t xml:space="preserve">legal framework and policies to </w:t>
      </w:r>
      <w:r w:rsidR="003C25AE" w:rsidRPr="00EF18D4">
        <w:rPr>
          <w:rFonts w:ascii="Arial" w:hAnsi="Arial" w:cs="Arial"/>
        </w:rPr>
        <w:t>promote</w:t>
      </w:r>
      <w:r w:rsidR="00BA1B97" w:rsidRPr="00EF18D4">
        <w:rPr>
          <w:rFonts w:ascii="Arial" w:hAnsi="Arial" w:cs="Arial"/>
        </w:rPr>
        <w:t xml:space="preserve"> domestic workers</w:t>
      </w:r>
      <w:r w:rsidR="003C25AE" w:rsidRPr="00EF18D4">
        <w:rPr>
          <w:rFonts w:ascii="Arial" w:hAnsi="Arial" w:cs="Arial"/>
        </w:rPr>
        <w:t>’ formalization</w:t>
      </w:r>
      <w:r w:rsidR="00432253" w:rsidRPr="00EF18D4">
        <w:rPr>
          <w:rFonts w:ascii="Arial" w:hAnsi="Arial" w:cs="Arial"/>
        </w:rPr>
        <w:t xml:space="preserve">. </w:t>
      </w:r>
    </w:p>
    <w:p w14:paraId="7F7CC042" w14:textId="77777777" w:rsidR="00D75653" w:rsidRPr="00EF18D4" w:rsidRDefault="00D75653" w:rsidP="004668E4">
      <w:pPr>
        <w:keepNext/>
        <w:spacing w:after="0" w:line="240" w:lineRule="auto"/>
        <w:jc w:val="both"/>
        <w:rPr>
          <w:rFonts w:ascii="Arial" w:hAnsi="Arial" w:cs="Arial"/>
        </w:rPr>
      </w:pPr>
    </w:p>
    <w:p w14:paraId="6FE89D5C" w14:textId="77777777" w:rsidR="0047314E" w:rsidRPr="00EF18D4" w:rsidRDefault="00C6376D" w:rsidP="004668E4">
      <w:pPr>
        <w:pStyle w:val="ListParagraph"/>
        <w:numPr>
          <w:ilvl w:val="1"/>
          <w:numId w:val="19"/>
        </w:numPr>
        <w:spacing w:after="0" w:line="240" w:lineRule="auto"/>
        <w:ind w:left="540" w:hanging="540"/>
        <w:jc w:val="both"/>
        <w:rPr>
          <w:rFonts w:ascii="Arial" w:hAnsi="Arial" w:cs="Arial"/>
        </w:rPr>
      </w:pPr>
      <w:r w:rsidRPr="00EF18D4">
        <w:rPr>
          <w:rFonts w:ascii="Arial" w:hAnsi="Arial" w:cs="Arial"/>
        </w:rPr>
        <w:t xml:space="preserve">This technical cooperation will support the STPS to improve its </w:t>
      </w:r>
      <w:r w:rsidR="00432253" w:rsidRPr="00EF18D4">
        <w:rPr>
          <w:rFonts w:ascii="Arial" w:hAnsi="Arial" w:cs="Arial"/>
        </w:rPr>
        <w:t xml:space="preserve">labor market </w:t>
      </w:r>
      <w:r w:rsidRPr="00EF18D4">
        <w:rPr>
          <w:rFonts w:ascii="Arial" w:hAnsi="Arial" w:cs="Arial"/>
        </w:rPr>
        <w:t xml:space="preserve">policies. </w:t>
      </w:r>
      <w:r w:rsidR="002E6C9E" w:rsidRPr="00EF18D4">
        <w:rPr>
          <w:rFonts w:ascii="Arial" w:hAnsi="Arial" w:cs="Arial"/>
        </w:rPr>
        <w:t>This</w:t>
      </w:r>
      <w:r w:rsidR="00A304F2" w:rsidRPr="00EF18D4">
        <w:rPr>
          <w:rFonts w:ascii="Arial" w:hAnsi="Arial" w:cs="Arial"/>
        </w:rPr>
        <w:t xml:space="preserve"> </w:t>
      </w:r>
      <w:r w:rsidRPr="00EF18D4">
        <w:rPr>
          <w:rFonts w:ascii="Arial" w:hAnsi="Arial" w:cs="Arial"/>
        </w:rPr>
        <w:t xml:space="preserve">technical cooperation will </w:t>
      </w:r>
      <w:r w:rsidR="002E6C9E" w:rsidRPr="00EF18D4">
        <w:rPr>
          <w:rFonts w:ascii="Arial" w:hAnsi="Arial" w:cs="Arial"/>
        </w:rPr>
        <w:t xml:space="preserve">specifically </w:t>
      </w:r>
      <w:r w:rsidRPr="00EF18D4">
        <w:rPr>
          <w:rFonts w:ascii="Arial" w:hAnsi="Arial" w:cs="Arial"/>
        </w:rPr>
        <w:t xml:space="preserve">support: </w:t>
      </w:r>
    </w:p>
    <w:p w14:paraId="49E9B627" w14:textId="77777777" w:rsidR="0047314E" w:rsidRPr="00EF18D4" w:rsidRDefault="0047314E" w:rsidP="0047314E">
      <w:pPr>
        <w:pStyle w:val="ListParagraph"/>
        <w:spacing w:before="120" w:after="120" w:line="240" w:lineRule="auto"/>
        <w:ind w:left="360"/>
        <w:jc w:val="both"/>
        <w:rPr>
          <w:rFonts w:ascii="Arial" w:hAnsi="Arial" w:cs="Arial"/>
        </w:rPr>
      </w:pPr>
    </w:p>
    <w:p w14:paraId="25FDC704" w14:textId="77777777" w:rsidR="0047314E" w:rsidRPr="00EF18D4" w:rsidRDefault="00CD5645" w:rsidP="004668E4">
      <w:pPr>
        <w:pStyle w:val="ListParagraph"/>
        <w:numPr>
          <w:ilvl w:val="0"/>
          <w:numId w:val="17"/>
        </w:numPr>
        <w:spacing w:before="120" w:after="120" w:line="240" w:lineRule="auto"/>
        <w:ind w:hanging="540"/>
        <w:jc w:val="both"/>
        <w:rPr>
          <w:rFonts w:ascii="Arial" w:hAnsi="Arial" w:cs="Arial"/>
        </w:rPr>
      </w:pPr>
      <w:r w:rsidRPr="00EF18D4">
        <w:rPr>
          <w:rFonts w:ascii="Arial" w:hAnsi="Arial" w:cs="Arial"/>
        </w:rPr>
        <w:t>The strengthening of processes, procedures, and employment policies of the STPS</w:t>
      </w:r>
      <w:r w:rsidR="00EC7FB2" w:rsidRPr="00EF18D4">
        <w:rPr>
          <w:rFonts w:ascii="Arial" w:hAnsi="Arial" w:cs="Arial"/>
        </w:rPr>
        <w:t>.</w:t>
      </w:r>
    </w:p>
    <w:p w14:paraId="13C8BDEC" w14:textId="6A15BC1D" w:rsidR="0047314E" w:rsidRPr="00EF18D4" w:rsidRDefault="00CD5645" w:rsidP="004668E4">
      <w:pPr>
        <w:pStyle w:val="ListParagraph"/>
        <w:numPr>
          <w:ilvl w:val="0"/>
          <w:numId w:val="17"/>
        </w:numPr>
        <w:spacing w:before="120" w:after="120" w:line="240" w:lineRule="auto"/>
        <w:ind w:hanging="540"/>
        <w:jc w:val="both"/>
        <w:rPr>
          <w:rFonts w:ascii="Arial" w:hAnsi="Arial" w:cs="Arial"/>
        </w:rPr>
      </w:pPr>
      <w:r w:rsidRPr="00EF18D4">
        <w:rPr>
          <w:rFonts w:ascii="Arial" w:hAnsi="Arial" w:cs="Arial"/>
        </w:rPr>
        <w:t>The strengthening of the Youth Building the Future Program (JCF)</w:t>
      </w:r>
      <w:r w:rsidR="0047314E" w:rsidRPr="00EF18D4">
        <w:rPr>
          <w:rFonts w:ascii="Arial" w:hAnsi="Arial" w:cs="Arial"/>
        </w:rPr>
        <w:t xml:space="preserve">; and </w:t>
      </w:r>
    </w:p>
    <w:p w14:paraId="172AB591" w14:textId="77777777" w:rsidR="007647A0" w:rsidRPr="00EF18D4" w:rsidRDefault="00CD5645" w:rsidP="004668E4">
      <w:pPr>
        <w:pStyle w:val="ListParagraph"/>
        <w:numPr>
          <w:ilvl w:val="0"/>
          <w:numId w:val="17"/>
        </w:numPr>
        <w:spacing w:before="120" w:after="120" w:line="240" w:lineRule="auto"/>
        <w:ind w:hanging="540"/>
        <w:jc w:val="both"/>
        <w:rPr>
          <w:rFonts w:ascii="Arial" w:hAnsi="Arial" w:cs="Arial"/>
        </w:rPr>
      </w:pPr>
      <w:r w:rsidRPr="00EF18D4">
        <w:rPr>
          <w:rFonts w:ascii="Arial" w:hAnsi="Arial" w:cs="Arial"/>
        </w:rPr>
        <w:t>The improvement of information and communication technologies (ICTs) of the National Employment Service (SNE) and the JCF</w:t>
      </w:r>
      <w:r w:rsidR="005F3033" w:rsidRPr="00EF18D4">
        <w:rPr>
          <w:rFonts w:ascii="Arial" w:hAnsi="Arial" w:cs="Arial"/>
        </w:rPr>
        <w:t>.</w:t>
      </w:r>
      <w:r w:rsidR="007647A0" w:rsidRPr="00EF18D4">
        <w:rPr>
          <w:rFonts w:ascii="Arial" w:hAnsi="Arial" w:cs="Arial"/>
        </w:rPr>
        <w:t xml:space="preserve"> </w:t>
      </w:r>
    </w:p>
    <w:p w14:paraId="5C84434E" w14:textId="77777777" w:rsidR="005F3033" w:rsidRPr="00EF18D4" w:rsidRDefault="005F3033" w:rsidP="005F3033">
      <w:pPr>
        <w:pStyle w:val="ListParagraph"/>
        <w:spacing w:before="120" w:after="120" w:line="240" w:lineRule="auto"/>
        <w:ind w:left="360"/>
        <w:jc w:val="both"/>
        <w:rPr>
          <w:rFonts w:ascii="Arial" w:hAnsi="Arial" w:cs="Arial"/>
        </w:rPr>
      </w:pPr>
    </w:p>
    <w:p w14:paraId="5916FA0D" w14:textId="77777777" w:rsidR="00EF4055" w:rsidRPr="00EF18D4" w:rsidRDefault="00A304F2" w:rsidP="00690634">
      <w:pPr>
        <w:pStyle w:val="ListParagraph"/>
        <w:numPr>
          <w:ilvl w:val="1"/>
          <w:numId w:val="19"/>
        </w:numPr>
        <w:spacing w:before="120" w:after="120" w:line="240" w:lineRule="auto"/>
        <w:ind w:left="540" w:hanging="540"/>
        <w:jc w:val="both"/>
        <w:rPr>
          <w:rFonts w:ascii="Arial" w:hAnsi="Arial" w:cs="Arial"/>
        </w:rPr>
      </w:pPr>
      <w:r w:rsidRPr="00EF18D4">
        <w:rPr>
          <w:rFonts w:ascii="Arial" w:hAnsi="Arial" w:cs="Arial"/>
        </w:rPr>
        <w:t>The TC</w:t>
      </w:r>
      <w:r w:rsidR="00816D4D" w:rsidRPr="00EF18D4">
        <w:rPr>
          <w:rFonts w:ascii="Arial" w:hAnsi="Arial" w:cs="Arial"/>
        </w:rPr>
        <w:t>’s main objective</w:t>
      </w:r>
      <w:r w:rsidRPr="00EF18D4">
        <w:rPr>
          <w:rFonts w:ascii="Arial" w:hAnsi="Arial" w:cs="Arial"/>
        </w:rPr>
        <w:t xml:space="preserve"> </w:t>
      </w:r>
      <w:r w:rsidR="00816D4D" w:rsidRPr="00EF18D4">
        <w:rPr>
          <w:rFonts w:ascii="Arial" w:hAnsi="Arial" w:cs="Arial"/>
        </w:rPr>
        <w:t>is to</w:t>
      </w:r>
      <w:r w:rsidR="00506C6C" w:rsidRPr="00EF18D4">
        <w:rPr>
          <w:rFonts w:ascii="Arial" w:hAnsi="Arial" w:cs="Arial"/>
        </w:rPr>
        <w:t xml:space="preserve"> offer client</w:t>
      </w:r>
      <w:r w:rsidR="00816D4D" w:rsidRPr="00EF18D4">
        <w:rPr>
          <w:rFonts w:ascii="Arial" w:hAnsi="Arial" w:cs="Arial"/>
        </w:rPr>
        <w:t xml:space="preserve"> support </w:t>
      </w:r>
      <w:r w:rsidR="000F7D75" w:rsidRPr="00EF18D4">
        <w:rPr>
          <w:rFonts w:ascii="Arial" w:hAnsi="Arial" w:cs="Arial"/>
        </w:rPr>
        <w:t xml:space="preserve">to </w:t>
      </w:r>
      <w:r w:rsidR="00816D4D" w:rsidRPr="00EF18D4">
        <w:rPr>
          <w:rFonts w:ascii="Arial" w:hAnsi="Arial" w:cs="Arial"/>
        </w:rPr>
        <w:t xml:space="preserve">the </w:t>
      </w:r>
      <w:r w:rsidR="00AB1834" w:rsidRPr="00EF18D4">
        <w:rPr>
          <w:rFonts w:ascii="Arial" w:hAnsi="Arial" w:cs="Arial"/>
        </w:rPr>
        <w:t>STPS</w:t>
      </w:r>
      <w:r w:rsidR="00816D4D" w:rsidRPr="00EF18D4">
        <w:rPr>
          <w:rFonts w:ascii="Arial" w:hAnsi="Arial" w:cs="Arial"/>
        </w:rPr>
        <w:t xml:space="preserve"> </w:t>
      </w:r>
      <w:r w:rsidR="00432253" w:rsidRPr="00EF18D4">
        <w:rPr>
          <w:rFonts w:ascii="Arial" w:hAnsi="Arial" w:cs="Arial"/>
        </w:rPr>
        <w:t xml:space="preserve">by strengthening its effectiveness </w:t>
      </w:r>
      <w:r w:rsidRPr="00EF18D4">
        <w:rPr>
          <w:rFonts w:ascii="Arial" w:hAnsi="Arial" w:cs="Arial"/>
        </w:rPr>
        <w:t>in new areas</w:t>
      </w:r>
      <w:r w:rsidR="0047314E" w:rsidRPr="00EF18D4">
        <w:rPr>
          <w:rFonts w:ascii="Arial" w:hAnsi="Arial" w:cs="Arial"/>
        </w:rPr>
        <w:t xml:space="preserve"> particularly related to the three components listed above</w:t>
      </w:r>
      <w:r w:rsidR="00816D4D" w:rsidRPr="00EF18D4">
        <w:rPr>
          <w:rFonts w:ascii="Arial" w:hAnsi="Arial" w:cs="Arial"/>
        </w:rPr>
        <w:t>, which have been identified as particular areas of opportunity by the S</w:t>
      </w:r>
      <w:r w:rsidR="003A3830" w:rsidRPr="00EF18D4">
        <w:rPr>
          <w:rFonts w:ascii="Arial" w:hAnsi="Arial" w:cs="Arial"/>
        </w:rPr>
        <w:t>TPS</w:t>
      </w:r>
      <w:r w:rsidR="00816D4D" w:rsidRPr="00EF18D4">
        <w:rPr>
          <w:rFonts w:ascii="Arial" w:hAnsi="Arial" w:cs="Arial"/>
        </w:rPr>
        <w:t xml:space="preserve"> and</w:t>
      </w:r>
      <w:r w:rsidR="00AF276D" w:rsidRPr="00EF18D4">
        <w:rPr>
          <w:rFonts w:ascii="Arial" w:hAnsi="Arial" w:cs="Arial"/>
        </w:rPr>
        <w:t xml:space="preserve"> the</w:t>
      </w:r>
      <w:r w:rsidR="00816D4D" w:rsidRPr="00EF18D4">
        <w:rPr>
          <w:rFonts w:ascii="Arial" w:hAnsi="Arial" w:cs="Arial"/>
        </w:rPr>
        <w:t xml:space="preserve"> IDB</w:t>
      </w:r>
      <w:r w:rsidR="0047314E" w:rsidRPr="00EF18D4">
        <w:rPr>
          <w:rFonts w:ascii="Arial" w:hAnsi="Arial" w:cs="Arial"/>
        </w:rPr>
        <w:t>.</w:t>
      </w:r>
    </w:p>
    <w:p w14:paraId="6183A215" w14:textId="77777777" w:rsidR="00432253" w:rsidRPr="00EF18D4" w:rsidRDefault="0047314E" w:rsidP="00515D96">
      <w:pPr>
        <w:pStyle w:val="ListParagraph"/>
        <w:ind w:left="360"/>
        <w:rPr>
          <w:rFonts w:ascii="Arial" w:hAnsi="Arial" w:cs="Arial"/>
        </w:rPr>
      </w:pPr>
      <w:r w:rsidRPr="00EF18D4">
        <w:rPr>
          <w:rFonts w:ascii="Arial" w:hAnsi="Arial" w:cs="Arial"/>
        </w:rPr>
        <w:t xml:space="preserve"> </w:t>
      </w:r>
    </w:p>
    <w:p w14:paraId="11EDE5E9" w14:textId="4D203A04" w:rsidR="00E36757" w:rsidRPr="00EF18D4" w:rsidRDefault="00E36757" w:rsidP="00E36757">
      <w:pPr>
        <w:pStyle w:val="ListParagraph"/>
        <w:numPr>
          <w:ilvl w:val="1"/>
          <w:numId w:val="19"/>
        </w:numPr>
        <w:spacing w:after="0" w:line="240" w:lineRule="auto"/>
        <w:ind w:left="540" w:hanging="540"/>
        <w:jc w:val="both"/>
        <w:rPr>
          <w:rFonts w:ascii="Arial" w:hAnsi="Arial" w:cs="Arial"/>
        </w:rPr>
      </w:pPr>
      <w:r w:rsidRPr="00EF18D4">
        <w:rPr>
          <w:rFonts w:ascii="Arial" w:hAnsi="Arial" w:cs="Arial"/>
        </w:rPr>
        <w:t xml:space="preserve">The TC will expand the Bank’s technical support to new areas. It will support the generation of knowledge through the identification of best international practices for the improvement of domestic workers’ working conditions. </w:t>
      </w:r>
      <w:r w:rsidR="00994684" w:rsidRPr="00EF18D4">
        <w:rPr>
          <w:rFonts w:ascii="Arial" w:hAnsi="Arial" w:cs="Arial"/>
        </w:rPr>
        <w:t xml:space="preserve">It will also serve the development of profiling instruments for the matching of young people with </w:t>
      </w:r>
      <w:r w:rsidR="006C0EC3" w:rsidRPr="00EF18D4">
        <w:rPr>
          <w:rFonts w:ascii="Arial" w:hAnsi="Arial" w:cs="Arial"/>
        </w:rPr>
        <w:t xml:space="preserve">job </w:t>
      </w:r>
      <w:r w:rsidR="00994684" w:rsidRPr="00EF18D4">
        <w:rPr>
          <w:rFonts w:ascii="Arial" w:hAnsi="Arial" w:cs="Arial"/>
        </w:rPr>
        <w:t xml:space="preserve">opportunities in the private sector, the development of the JCF platform, and the development of new functionalities of the SNE platform. This will be accompanied with the development of protocols to ensure an ethical use of technology. Finally, it will help to finance the design of </w:t>
      </w:r>
      <w:r w:rsidR="0048209D" w:rsidRPr="00EF18D4">
        <w:rPr>
          <w:rFonts w:ascii="Arial" w:hAnsi="Arial" w:cs="Arial"/>
        </w:rPr>
        <w:t>a</w:t>
      </w:r>
      <w:r w:rsidR="006C0EC3" w:rsidRPr="00EF18D4">
        <w:rPr>
          <w:rFonts w:ascii="Arial" w:hAnsi="Arial" w:cs="Arial"/>
        </w:rPr>
        <w:t>n</w:t>
      </w:r>
      <w:r w:rsidR="0048209D" w:rsidRPr="00EF18D4">
        <w:rPr>
          <w:rFonts w:ascii="Arial" w:hAnsi="Arial" w:cs="Arial"/>
        </w:rPr>
        <w:t xml:space="preserve"> </w:t>
      </w:r>
      <w:r w:rsidR="00994684" w:rsidRPr="00EF18D4">
        <w:rPr>
          <w:rFonts w:ascii="Arial" w:hAnsi="Arial" w:cs="Arial"/>
        </w:rPr>
        <w:t>evaluation for the JCF.</w:t>
      </w:r>
    </w:p>
    <w:p w14:paraId="6E99CCCC" w14:textId="77777777" w:rsidR="001A700F" w:rsidRPr="00EF18D4" w:rsidRDefault="001A700F" w:rsidP="00AF276D">
      <w:pPr>
        <w:spacing w:after="0" w:line="240" w:lineRule="auto"/>
        <w:jc w:val="both"/>
        <w:rPr>
          <w:rFonts w:ascii="Arial" w:hAnsi="Arial" w:cs="Arial"/>
        </w:rPr>
      </w:pPr>
    </w:p>
    <w:p w14:paraId="1D528DF2" w14:textId="77777777" w:rsidR="00B73971" w:rsidRPr="00EF18D4" w:rsidRDefault="00F30D01" w:rsidP="00B73971">
      <w:pPr>
        <w:pStyle w:val="ListParagraph"/>
        <w:numPr>
          <w:ilvl w:val="1"/>
          <w:numId w:val="19"/>
        </w:numPr>
        <w:spacing w:after="0" w:line="240" w:lineRule="auto"/>
        <w:ind w:left="540" w:hanging="540"/>
        <w:jc w:val="both"/>
        <w:rPr>
          <w:rFonts w:ascii="Arial" w:hAnsi="Arial" w:cs="Arial"/>
        </w:rPr>
      </w:pPr>
      <w:r w:rsidRPr="00EF18D4">
        <w:rPr>
          <w:rFonts w:ascii="Arial" w:hAnsi="Arial" w:cs="Arial"/>
        </w:rPr>
        <w:t xml:space="preserve">Additionally, this </w:t>
      </w:r>
      <w:r w:rsidR="00816D4D" w:rsidRPr="00EF18D4">
        <w:rPr>
          <w:rFonts w:ascii="Arial" w:hAnsi="Arial" w:cs="Arial"/>
        </w:rPr>
        <w:t xml:space="preserve">TC will </w:t>
      </w:r>
      <w:r w:rsidRPr="00EF18D4">
        <w:rPr>
          <w:rFonts w:ascii="Arial" w:hAnsi="Arial" w:cs="Arial"/>
        </w:rPr>
        <w:t xml:space="preserve">promote </w:t>
      </w:r>
      <w:r w:rsidR="00816D4D" w:rsidRPr="00EF18D4">
        <w:rPr>
          <w:rFonts w:ascii="Arial" w:hAnsi="Arial" w:cs="Arial"/>
        </w:rPr>
        <w:t>various activities related to designing technological improvements</w:t>
      </w:r>
      <w:r w:rsidR="00EF4055" w:rsidRPr="00EF18D4">
        <w:rPr>
          <w:rFonts w:ascii="Arial" w:hAnsi="Arial" w:cs="Arial"/>
        </w:rPr>
        <w:t xml:space="preserve"> that will result</w:t>
      </w:r>
      <w:r w:rsidR="00414EBA" w:rsidRPr="00EF18D4">
        <w:rPr>
          <w:rFonts w:ascii="Arial" w:hAnsi="Arial" w:cs="Arial"/>
        </w:rPr>
        <w:t xml:space="preserve"> both</w:t>
      </w:r>
      <w:r w:rsidR="00EF4055" w:rsidRPr="00EF18D4">
        <w:rPr>
          <w:rFonts w:ascii="Arial" w:hAnsi="Arial" w:cs="Arial"/>
        </w:rPr>
        <w:t xml:space="preserve"> in increased user satisfaction</w:t>
      </w:r>
      <w:r w:rsidR="004C711B" w:rsidRPr="00EF18D4">
        <w:rPr>
          <w:rFonts w:ascii="Arial" w:hAnsi="Arial" w:cs="Arial"/>
        </w:rPr>
        <w:t xml:space="preserve"> and </w:t>
      </w:r>
      <w:r w:rsidR="00414EBA" w:rsidRPr="00EF18D4">
        <w:rPr>
          <w:rFonts w:ascii="Arial" w:hAnsi="Arial" w:cs="Arial"/>
        </w:rPr>
        <w:t xml:space="preserve">higher </w:t>
      </w:r>
      <w:r w:rsidR="00F60BBA" w:rsidRPr="00EF18D4">
        <w:rPr>
          <w:rFonts w:ascii="Arial" w:hAnsi="Arial" w:cs="Arial"/>
        </w:rPr>
        <w:t>services</w:t>
      </w:r>
      <w:r w:rsidR="00CA478D" w:rsidRPr="00EF18D4">
        <w:rPr>
          <w:rFonts w:ascii="Arial" w:hAnsi="Arial" w:cs="Arial"/>
        </w:rPr>
        <w:t>’</w:t>
      </w:r>
      <w:r w:rsidR="004C711B" w:rsidRPr="00EF18D4">
        <w:rPr>
          <w:rFonts w:ascii="Arial" w:hAnsi="Arial" w:cs="Arial"/>
        </w:rPr>
        <w:t xml:space="preserve"> effectiveness</w:t>
      </w:r>
      <w:r w:rsidR="00816D4D" w:rsidRPr="00EF18D4">
        <w:rPr>
          <w:rFonts w:ascii="Arial" w:hAnsi="Arial" w:cs="Arial"/>
        </w:rPr>
        <w:t xml:space="preserve">: </w:t>
      </w:r>
      <w:r w:rsidR="00A304F2" w:rsidRPr="00EF18D4">
        <w:rPr>
          <w:rFonts w:ascii="Arial" w:hAnsi="Arial" w:cs="Arial"/>
        </w:rPr>
        <w:t xml:space="preserve">development of </w:t>
      </w:r>
      <w:r w:rsidR="001C3321" w:rsidRPr="00EF18D4">
        <w:rPr>
          <w:rFonts w:ascii="Arial" w:hAnsi="Arial" w:cs="Arial"/>
        </w:rPr>
        <w:t xml:space="preserve">new functionalities in the SNE’s platform, </w:t>
      </w:r>
      <w:r w:rsidR="004C711B" w:rsidRPr="00EF18D4">
        <w:rPr>
          <w:rFonts w:ascii="Arial" w:hAnsi="Arial" w:cs="Arial"/>
        </w:rPr>
        <w:t>refinement of JCF’s matching algorithm,</w:t>
      </w:r>
      <w:r w:rsidR="00414EBA" w:rsidRPr="00EF18D4">
        <w:rPr>
          <w:rFonts w:ascii="Arial" w:hAnsi="Arial" w:cs="Arial"/>
        </w:rPr>
        <w:t xml:space="preserve"> and</w:t>
      </w:r>
      <w:r w:rsidR="004C711B" w:rsidRPr="00EF18D4">
        <w:rPr>
          <w:rFonts w:ascii="Arial" w:hAnsi="Arial" w:cs="Arial"/>
        </w:rPr>
        <w:t xml:space="preserve"> </w:t>
      </w:r>
      <w:r w:rsidR="001C3321" w:rsidRPr="00EF18D4">
        <w:rPr>
          <w:rFonts w:ascii="Arial" w:hAnsi="Arial" w:cs="Arial"/>
        </w:rPr>
        <w:t xml:space="preserve">improvement of the occupational taxonomy </w:t>
      </w:r>
      <w:r w:rsidR="00414EBA" w:rsidRPr="00EF18D4">
        <w:rPr>
          <w:rFonts w:ascii="Arial" w:hAnsi="Arial" w:cs="Arial"/>
        </w:rPr>
        <w:t>of the</w:t>
      </w:r>
      <w:r w:rsidR="001C3321" w:rsidRPr="00EF18D4">
        <w:rPr>
          <w:rFonts w:ascii="Arial" w:hAnsi="Arial" w:cs="Arial"/>
        </w:rPr>
        <w:t xml:space="preserve"> JCF’s platform</w:t>
      </w:r>
      <w:r w:rsidR="00816D4D" w:rsidRPr="00EF18D4">
        <w:rPr>
          <w:rFonts w:ascii="Arial" w:hAnsi="Arial" w:cs="Arial"/>
        </w:rPr>
        <w:t xml:space="preserve">. </w:t>
      </w:r>
    </w:p>
    <w:p w14:paraId="031C3CAF" w14:textId="77777777" w:rsidR="00B73971" w:rsidRPr="00EF18D4" w:rsidRDefault="00B73971" w:rsidP="00B73971">
      <w:pPr>
        <w:spacing w:after="0" w:line="240" w:lineRule="auto"/>
        <w:jc w:val="both"/>
        <w:rPr>
          <w:rFonts w:ascii="Arial" w:hAnsi="Arial" w:cs="Arial"/>
        </w:rPr>
      </w:pPr>
    </w:p>
    <w:p w14:paraId="6D50A8CA" w14:textId="0EA20F1C" w:rsidR="00EB005F" w:rsidRPr="00EF18D4" w:rsidRDefault="00EB005F" w:rsidP="00986171">
      <w:pPr>
        <w:pStyle w:val="ListParagraph"/>
        <w:numPr>
          <w:ilvl w:val="1"/>
          <w:numId w:val="19"/>
        </w:numPr>
        <w:spacing w:before="120" w:after="120" w:line="240" w:lineRule="auto"/>
        <w:ind w:left="540" w:hanging="540"/>
        <w:jc w:val="both"/>
        <w:rPr>
          <w:rFonts w:ascii="Arial" w:hAnsi="Arial" w:cs="Arial"/>
        </w:rPr>
      </w:pPr>
      <w:r w:rsidRPr="00EF18D4">
        <w:rPr>
          <w:rFonts w:ascii="Arial" w:hAnsi="Arial" w:cs="Arial"/>
        </w:rPr>
        <w:t xml:space="preserve">The proposed TC is aligned with the Bank's Updated Institutional Strategy (UIS) 2010-2020 (AB-3008) and its accompanying Second Revised Version of the Corporate Results Framework (CRF, GN-2727-6) as </w:t>
      </w:r>
      <w:r w:rsidR="006A691E" w:rsidRPr="00EF18D4">
        <w:rPr>
          <w:rFonts w:ascii="Arial" w:hAnsi="Arial" w:cs="Arial"/>
        </w:rPr>
        <w:t xml:space="preserve">it will support both the inclusion of vulnerable populations in labor markets and </w:t>
      </w:r>
      <w:r w:rsidR="005A4E67" w:rsidRPr="00EF18D4">
        <w:rPr>
          <w:rFonts w:ascii="Arial" w:hAnsi="Arial" w:cs="Arial"/>
        </w:rPr>
        <w:t xml:space="preserve">the implementation of </w:t>
      </w:r>
      <w:r w:rsidR="00986171" w:rsidRPr="00EF18D4">
        <w:rPr>
          <w:rFonts w:ascii="Arial" w:hAnsi="Arial" w:cs="Arial"/>
        </w:rPr>
        <w:t xml:space="preserve">human development policies, which are among the </w:t>
      </w:r>
      <w:r w:rsidR="005A4E67" w:rsidRPr="00EF18D4">
        <w:rPr>
          <w:rFonts w:ascii="Arial" w:hAnsi="Arial" w:cs="Arial"/>
        </w:rPr>
        <w:t xml:space="preserve">main </w:t>
      </w:r>
      <w:r w:rsidR="00986171" w:rsidRPr="00EF18D4">
        <w:rPr>
          <w:rFonts w:ascii="Arial" w:hAnsi="Arial" w:cs="Arial"/>
        </w:rPr>
        <w:t xml:space="preserve">objectives of the SNE and </w:t>
      </w:r>
      <w:r w:rsidR="005A4E67" w:rsidRPr="00EF18D4">
        <w:rPr>
          <w:rFonts w:ascii="Arial" w:hAnsi="Arial" w:cs="Arial"/>
        </w:rPr>
        <w:t>JCF</w:t>
      </w:r>
      <w:r w:rsidR="00986171" w:rsidRPr="00EF18D4">
        <w:rPr>
          <w:rFonts w:ascii="Arial" w:hAnsi="Arial" w:cs="Arial"/>
        </w:rPr>
        <w:t xml:space="preserve">. Thus, this TC </w:t>
      </w:r>
      <w:r w:rsidRPr="00EF18D4">
        <w:rPr>
          <w:rFonts w:ascii="Arial" w:hAnsi="Arial" w:cs="Arial"/>
        </w:rPr>
        <w:t>contributes to the strategic policy objective of (i) social inclusion and equality; and (ii) productivity and innovation, through CRF Country Development Results. Additionally, the TC is in line with the sectoral priorities of access to formal employment (section V, dimension</w:t>
      </w:r>
      <w:r w:rsidR="004668E4" w:rsidRPr="00EF18D4">
        <w:rPr>
          <w:rFonts w:ascii="Arial" w:hAnsi="Arial" w:cs="Arial"/>
        </w:rPr>
        <w:t> </w:t>
      </w:r>
      <w:r w:rsidRPr="00EF18D4">
        <w:rPr>
          <w:rFonts w:ascii="Arial" w:hAnsi="Arial" w:cs="Arial"/>
        </w:rPr>
        <w:t>1, page 41) of the Labor Sector Framework Document (GN-2741-7). The TC is also consistent with the objectives of the Ordinary Capital Strategic Development Programs for Social Development (GN</w:t>
      </w:r>
      <w:r w:rsidR="002943F2" w:rsidRPr="00EF18D4">
        <w:rPr>
          <w:rFonts w:ascii="Arial" w:hAnsi="Arial" w:cs="Arial"/>
        </w:rPr>
        <w:noBreakHyphen/>
      </w:r>
      <w:r w:rsidRPr="00EF18D4">
        <w:rPr>
          <w:rFonts w:ascii="Arial" w:hAnsi="Arial" w:cs="Arial"/>
        </w:rPr>
        <w:t>2819-1)</w:t>
      </w:r>
      <w:r w:rsidR="00D06A9E" w:rsidRPr="00EF18D4">
        <w:rPr>
          <w:rFonts w:ascii="Arial" w:hAnsi="Arial" w:cs="Arial"/>
        </w:rPr>
        <w:t xml:space="preserve"> and,</w:t>
      </w:r>
      <w:r w:rsidRPr="00EF18D4">
        <w:rPr>
          <w:rFonts w:ascii="Arial" w:hAnsi="Arial" w:cs="Arial"/>
        </w:rPr>
        <w:t xml:space="preserve"> in particular</w:t>
      </w:r>
      <w:r w:rsidR="00D06A9E" w:rsidRPr="00EF18D4">
        <w:rPr>
          <w:rFonts w:ascii="Arial" w:hAnsi="Arial" w:cs="Arial"/>
        </w:rPr>
        <w:t>,</w:t>
      </w:r>
      <w:r w:rsidRPr="00EF18D4">
        <w:rPr>
          <w:rFonts w:ascii="Arial" w:hAnsi="Arial" w:cs="Arial"/>
        </w:rPr>
        <w:t xml:space="preserve"> with its objectives</w:t>
      </w:r>
      <w:r w:rsidR="002943F2" w:rsidRPr="00EF18D4">
        <w:rPr>
          <w:rFonts w:ascii="Arial" w:hAnsi="Arial" w:cs="Arial"/>
        </w:rPr>
        <w:t>:</w:t>
      </w:r>
      <w:r w:rsidRPr="00EF18D4">
        <w:rPr>
          <w:rFonts w:ascii="Arial" w:hAnsi="Arial" w:cs="Arial"/>
        </w:rPr>
        <w:t xml:space="preserve"> </w:t>
      </w:r>
      <w:r w:rsidR="00D97D08" w:rsidRPr="00EF18D4">
        <w:rPr>
          <w:rFonts w:ascii="Arial" w:hAnsi="Arial" w:cs="Arial"/>
        </w:rPr>
        <w:t>(</w:t>
      </w:r>
      <w:r w:rsidRPr="00EF18D4">
        <w:rPr>
          <w:rFonts w:ascii="Arial" w:hAnsi="Arial" w:cs="Arial"/>
        </w:rPr>
        <w:t>iii</w:t>
      </w:r>
      <w:r w:rsidR="00D97D08" w:rsidRPr="00EF18D4">
        <w:rPr>
          <w:rFonts w:ascii="Arial" w:hAnsi="Arial" w:cs="Arial"/>
        </w:rPr>
        <w:t>)</w:t>
      </w:r>
      <w:r w:rsidRPr="00EF18D4">
        <w:rPr>
          <w:rFonts w:ascii="Arial" w:hAnsi="Arial" w:cs="Arial"/>
        </w:rPr>
        <w:t xml:space="preserve"> (support IDB and clients to foster social inclusion, gender equality, and diversity through projects and programs)</w:t>
      </w:r>
      <w:r w:rsidR="002943F2" w:rsidRPr="00EF18D4">
        <w:rPr>
          <w:rFonts w:ascii="Arial" w:hAnsi="Arial" w:cs="Arial"/>
        </w:rPr>
        <w:t>;</w:t>
      </w:r>
      <w:r w:rsidRPr="00EF18D4">
        <w:rPr>
          <w:rFonts w:ascii="Arial" w:hAnsi="Arial" w:cs="Arial"/>
        </w:rPr>
        <w:t xml:space="preserve"> and </w:t>
      </w:r>
      <w:r w:rsidR="00D97D08" w:rsidRPr="00EF18D4">
        <w:rPr>
          <w:rFonts w:ascii="Arial" w:hAnsi="Arial" w:cs="Arial"/>
        </w:rPr>
        <w:t>(</w:t>
      </w:r>
      <w:r w:rsidRPr="00EF18D4">
        <w:rPr>
          <w:rFonts w:ascii="Arial" w:hAnsi="Arial" w:cs="Arial"/>
        </w:rPr>
        <w:t>iv</w:t>
      </w:r>
      <w:r w:rsidR="00D97D08" w:rsidRPr="00EF18D4">
        <w:rPr>
          <w:rFonts w:ascii="Arial" w:hAnsi="Arial" w:cs="Arial"/>
        </w:rPr>
        <w:t>)</w:t>
      </w:r>
      <w:r w:rsidRPr="00EF18D4">
        <w:rPr>
          <w:rFonts w:ascii="Arial" w:hAnsi="Arial" w:cs="Arial"/>
        </w:rPr>
        <w:t> (promote social inclusion, gender equality, and diversity in member countries).</w:t>
      </w:r>
      <w:r w:rsidR="000444B2" w:rsidRPr="00EF18D4">
        <w:rPr>
          <w:rFonts w:ascii="Arial" w:hAnsi="Arial" w:cs="Arial"/>
        </w:rPr>
        <w:t xml:space="preserve"> The TC is consistent with the priority areas for Bank action in the</w:t>
      </w:r>
      <w:r w:rsidR="007A0C87" w:rsidRPr="00EF18D4">
        <w:rPr>
          <w:rFonts w:ascii="Arial" w:hAnsi="Arial" w:cs="Arial"/>
        </w:rPr>
        <w:t xml:space="preserve"> IDB</w:t>
      </w:r>
      <w:r w:rsidR="000444B2" w:rsidRPr="00EF18D4">
        <w:rPr>
          <w:rFonts w:ascii="Arial" w:hAnsi="Arial" w:cs="Arial"/>
        </w:rPr>
        <w:t xml:space="preserve"> Mexico Country Strategy</w:t>
      </w:r>
      <w:r w:rsidR="007A0C87" w:rsidRPr="00EF18D4">
        <w:rPr>
          <w:rFonts w:ascii="Arial" w:hAnsi="Arial" w:cs="Arial"/>
        </w:rPr>
        <w:t xml:space="preserve"> 2013-2018</w:t>
      </w:r>
      <w:r w:rsidR="000444B2" w:rsidRPr="00EF18D4">
        <w:rPr>
          <w:rFonts w:ascii="Arial" w:hAnsi="Arial" w:cs="Arial"/>
        </w:rPr>
        <w:t xml:space="preserve"> document</w:t>
      </w:r>
      <w:r w:rsidR="007A0C87" w:rsidRPr="00EF18D4">
        <w:rPr>
          <w:rFonts w:ascii="Arial" w:hAnsi="Arial" w:cs="Arial"/>
        </w:rPr>
        <w:t>, specifically aligned with its priority area of productivity within section</w:t>
      </w:r>
      <w:r w:rsidR="004668E4" w:rsidRPr="00EF18D4">
        <w:rPr>
          <w:rFonts w:ascii="Arial" w:hAnsi="Arial" w:cs="Arial"/>
        </w:rPr>
        <w:t> </w:t>
      </w:r>
      <w:r w:rsidR="007A0C87" w:rsidRPr="00EF18D4">
        <w:rPr>
          <w:rFonts w:ascii="Arial" w:hAnsi="Arial" w:cs="Arial"/>
        </w:rPr>
        <w:t>(c) related to the strategic objective of improving productive workforce integration in quality jobs.</w:t>
      </w:r>
    </w:p>
    <w:p w14:paraId="4A683576" w14:textId="77777777" w:rsidR="00690634" w:rsidRPr="00EF18D4" w:rsidRDefault="00690634" w:rsidP="00690634">
      <w:pPr>
        <w:pStyle w:val="ListParagraph"/>
        <w:spacing w:before="120" w:after="120" w:line="240" w:lineRule="auto"/>
        <w:ind w:left="540"/>
        <w:jc w:val="both"/>
        <w:rPr>
          <w:rFonts w:ascii="Arial" w:hAnsi="Arial" w:cs="Arial"/>
        </w:rPr>
      </w:pPr>
    </w:p>
    <w:p w14:paraId="1AD7C5D0" w14:textId="77777777" w:rsidR="0095711B" w:rsidRPr="00EF18D4" w:rsidRDefault="00D95606" w:rsidP="00184FDB">
      <w:pPr>
        <w:pStyle w:val="ListParagraph"/>
        <w:numPr>
          <w:ilvl w:val="0"/>
          <w:numId w:val="18"/>
        </w:numPr>
        <w:spacing w:before="120" w:after="120" w:line="240" w:lineRule="auto"/>
        <w:ind w:left="540" w:hanging="540"/>
        <w:contextualSpacing w:val="0"/>
        <w:rPr>
          <w:rFonts w:ascii="Arial" w:hAnsi="Arial" w:cs="Arial"/>
          <w:b/>
        </w:rPr>
      </w:pPr>
      <w:r w:rsidRPr="00EF18D4">
        <w:rPr>
          <w:rFonts w:ascii="Arial" w:hAnsi="Arial" w:cs="Arial"/>
          <w:b/>
        </w:rPr>
        <w:t>D</w:t>
      </w:r>
      <w:r w:rsidR="0095711B" w:rsidRPr="00EF18D4">
        <w:rPr>
          <w:rFonts w:ascii="Arial" w:hAnsi="Arial" w:cs="Arial"/>
          <w:b/>
        </w:rPr>
        <w:t xml:space="preserve">escription </w:t>
      </w:r>
      <w:r w:rsidR="00A12C27" w:rsidRPr="00EF18D4">
        <w:rPr>
          <w:rFonts w:ascii="Arial" w:hAnsi="Arial" w:cs="Arial"/>
          <w:b/>
        </w:rPr>
        <w:t>of activities</w:t>
      </w:r>
      <w:r w:rsidR="00F6363D" w:rsidRPr="00EF18D4">
        <w:rPr>
          <w:rFonts w:ascii="Arial" w:hAnsi="Arial" w:cs="Arial"/>
          <w:b/>
        </w:rPr>
        <w:t>/components</w:t>
      </w:r>
      <w:r w:rsidR="009C5C06" w:rsidRPr="00EF18D4">
        <w:rPr>
          <w:rFonts w:ascii="Arial" w:hAnsi="Arial" w:cs="Arial"/>
          <w:b/>
        </w:rPr>
        <w:t xml:space="preserve"> </w:t>
      </w:r>
      <w:r w:rsidR="0023302F" w:rsidRPr="00EF18D4">
        <w:rPr>
          <w:rFonts w:ascii="Arial" w:hAnsi="Arial" w:cs="Arial"/>
          <w:b/>
        </w:rPr>
        <w:t xml:space="preserve">and budget </w:t>
      </w:r>
    </w:p>
    <w:p w14:paraId="62CC7D26" w14:textId="45BA286D" w:rsidR="00690634" w:rsidRPr="00EF18D4" w:rsidRDefault="00690634" w:rsidP="00690634">
      <w:pPr>
        <w:pStyle w:val="ListParagraph"/>
        <w:numPr>
          <w:ilvl w:val="1"/>
          <w:numId w:val="20"/>
        </w:numPr>
        <w:spacing w:before="120" w:after="120" w:line="240" w:lineRule="auto"/>
        <w:ind w:left="540" w:hanging="540"/>
        <w:jc w:val="both"/>
        <w:rPr>
          <w:rFonts w:ascii="Arial" w:hAnsi="Arial" w:cs="Arial"/>
        </w:rPr>
      </w:pPr>
      <w:r w:rsidRPr="00EF18D4">
        <w:rPr>
          <w:rFonts w:ascii="Arial" w:hAnsi="Arial" w:cs="Arial"/>
        </w:rPr>
        <w:t>T</w:t>
      </w:r>
      <w:r w:rsidR="00155665" w:rsidRPr="00EF18D4">
        <w:rPr>
          <w:rFonts w:ascii="Arial" w:hAnsi="Arial" w:cs="Arial"/>
        </w:rPr>
        <w:t xml:space="preserve">his TC will be financed with </w:t>
      </w:r>
      <w:r w:rsidRPr="00EF18D4">
        <w:rPr>
          <w:rFonts w:ascii="Arial" w:hAnsi="Arial" w:cs="Arial"/>
        </w:rPr>
        <w:t>US$</w:t>
      </w:r>
      <w:r w:rsidR="00994684" w:rsidRPr="00EF18D4">
        <w:rPr>
          <w:rFonts w:ascii="Arial" w:hAnsi="Arial" w:cs="Arial"/>
        </w:rPr>
        <w:t>25</w:t>
      </w:r>
      <w:r w:rsidRPr="00EF18D4">
        <w:rPr>
          <w:rFonts w:ascii="Arial" w:hAnsi="Arial" w:cs="Arial"/>
        </w:rPr>
        <w:t>0,000, from the OC Strategic Development Program for Social Development (SOC)</w:t>
      </w:r>
      <w:r w:rsidR="00506C6C" w:rsidRPr="00EF18D4">
        <w:rPr>
          <w:rFonts w:ascii="Arial" w:hAnsi="Arial" w:cs="Arial"/>
        </w:rPr>
        <w:t xml:space="preserve"> to be executed over 36 months from J</w:t>
      </w:r>
      <w:r w:rsidR="002943F2" w:rsidRPr="00EF18D4">
        <w:rPr>
          <w:rFonts w:ascii="Arial" w:hAnsi="Arial" w:cs="Arial"/>
        </w:rPr>
        <w:t>uly 31</w:t>
      </w:r>
      <w:r w:rsidR="00506C6C" w:rsidRPr="00EF18D4">
        <w:rPr>
          <w:rFonts w:ascii="Arial" w:hAnsi="Arial" w:cs="Arial"/>
        </w:rPr>
        <w:t>, 201</w:t>
      </w:r>
      <w:r w:rsidR="00994684" w:rsidRPr="00EF18D4">
        <w:rPr>
          <w:rFonts w:ascii="Arial" w:hAnsi="Arial" w:cs="Arial"/>
        </w:rPr>
        <w:t>9</w:t>
      </w:r>
      <w:r w:rsidR="00506C6C" w:rsidRPr="00EF18D4">
        <w:rPr>
          <w:rFonts w:ascii="Arial" w:hAnsi="Arial" w:cs="Arial"/>
        </w:rPr>
        <w:t xml:space="preserve">, through </w:t>
      </w:r>
      <w:r w:rsidR="002943F2" w:rsidRPr="00EF18D4">
        <w:rPr>
          <w:rFonts w:ascii="Arial" w:hAnsi="Arial" w:cs="Arial"/>
        </w:rPr>
        <w:t>June 30</w:t>
      </w:r>
      <w:r w:rsidR="00506C6C" w:rsidRPr="00EF18D4">
        <w:rPr>
          <w:rFonts w:ascii="Arial" w:hAnsi="Arial" w:cs="Arial"/>
        </w:rPr>
        <w:t>, 202</w:t>
      </w:r>
      <w:r w:rsidR="00994684" w:rsidRPr="00EF18D4">
        <w:rPr>
          <w:rFonts w:ascii="Arial" w:hAnsi="Arial" w:cs="Arial"/>
        </w:rPr>
        <w:t>2</w:t>
      </w:r>
      <w:r w:rsidRPr="00EF18D4">
        <w:rPr>
          <w:rFonts w:ascii="Arial" w:hAnsi="Arial" w:cs="Arial"/>
        </w:rPr>
        <w:t>.</w:t>
      </w:r>
      <w:r w:rsidR="00506C6C" w:rsidRPr="00EF18D4">
        <w:rPr>
          <w:rFonts w:ascii="Arial" w:hAnsi="Arial" w:cs="Arial"/>
        </w:rPr>
        <w:t xml:space="preserve"> </w:t>
      </w:r>
      <w:r w:rsidR="008D1739" w:rsidRPr="00EF18D4">
        <w:rPr>
          <w:rFonts w:ascii="Arial" w:hAnsi="Arial" w:cs="Arial"/>
        </w:rPr>
        <w:t>SOC funding is non-reimbursable.</w:t>
      </w:r>
    </w:p>
    <w:p w14:paraId="59EA0AAC" w14:textId="77777777" w:rsidR="00690634" w:rsidRPr="00EF18D4" w:rsidRDefault="00690634" w:rsidP="00690634">
      <w:pPr>
        <w:pStyle w:val="ListParagraph"/>
        <w:spacing w:before="120" w:after="120" w:line="240" w:lineRule="auto"/>
        <w:ind w:left="540"/>
        <w:jc w:val="both"/>
        <w:rPr>
          <w:rFonts w:ascii="Arial" w:hAnsi="Arial" w:cs="Arial"/>
          <w:b/>
        </w:rPr>
      </w:pPr>
    </w:p>
    <w:p w14:paraId="02A84998" w14:textId="27B45114" w:rsidR="009C40DE" w:rsidRPr="00EF18D4" w:rsidRDefault="009C40DE" w:rsidP="00AC7B51">
      <w:pPr>
        <w:pStyle w:val="ListParagraph"/>
        <w:keepNext/>
        <w:numPr>
          <w:ilvl w:val="1"/>
          <w:numId w:val="20"/>
        </w:numPr>
        <w:spacing w:before="120" w:after="120" w:line="240" w:lineRule="auto"/>
        <w:ind w:left="540" w:hanging="547"/>
        <w:jc w:val="both"/>
        <w:rPr>
          <w:rFonts w:ascii="Arial" w:hAnsi="Arial" w:cs="Arial"/>
        </w:rPr>
      </w:pPr>
      <w:r w:rsidRPr="00EF18D4">
        <w:rPr>
          <w:rFonts w:ascii="Arial" w:hAnsi="Arial" w:cs="Arial"/>
          <w:b/>
        </w:rPr>
        <w:t xml:space="preserve">Component 1: </w:t>
      </w:r>
      <w:r w:rsidR="00994684" w:rsidRPr="00EF18D4">
        <w:rPr>
          <w:rFonts w:ascii="Arial" w:hAnsi="Arial" w:cs="Arial"/>
          <w:b/>
        </w:rPr>
        <w:t>Strengthening the processes, procedures, and labor market policies of the STPS</w:t>
      </w:r>
      <w:r w:rsidRPr="00EF18D4">
        <w:rPr>
          <w:rFonts w:ascii="Arial" w:hAnsi="Arial" w:cs="Arial"/>
        </w:rPr>
        <w:t xml:space="preserve">. </w:t>
      </w:r>
      <w:r w:rsidR="00F6151B" w:rsidRPr="00EF18D4">
        <w:rPr>
          <w:rFonts w:ascii="Arial" w:hAnsi="Arial" w:cs="Arial"/>
        </w:rPr>
        <w:t xml:space="preserve">This component will </w:t>
      </w:r>
      <w:r w:rsidR="002633E5" w:rsidRPr="00EF18D4">
        <w:rPr>
          <w:rFonts w:ascii="Arial" w:hAnsi="Arial" w:cs="Arial"/>
        </w:rPr>
        <w:t>increase</w:t>
      </w:r>
      <w:r w:rsidR="00F6151B" w:rsidRPr="00EF18D4">
        <w:rPr>
          <w:rFonts w:ascii="Arial" w:hAnsi="Arial" w:cs="Arial"/>
        </w:rPr>
        <w:t xml:space="preserve"> </w:t>
      </w:r>
      <w:r w:rsidR="002633E5" w:rsidRPr="00EF18D4">
        <w:rPr>
          <w:rFonts w:ascii="Arial" w:hAnsi="Arial" w:cs="Arial"/>
        </w:rPr>
        <w:t xml:space="preserve">the </w:t>
      </w:r>
      <w:r w:rsidR="00F6151B" w:rsidRPr="00EF18D4">
        <w:rPr>
          <w:rFonts w:ascii="Arial" w:hAnsi="Arial" w:cs="Arial"/>
        </w:rPr>
        <w:t xml:space="preserve">SNE’s capacity to connect </w:t>
      </w:r>
      <w:r w:rsidR="00D01166" w:rsidRPr="00EF18D4">
        <w:rPr>
          <w:rFonts w:ascii="Arial" w:hAnsi="Arial" w:cs="Arial"/>
        </w:rPr>
        <w:t>jobseekers</w:t>
      </w:r>
      <w:r w:rsidR="00F6151B" w:rsidRPr="00EF18D4">
        <w:rPr>
          <w:rFonts w:ascii="Arial" w:hAnsi="Arial" w:cs="Arial"/>
        </w:rPr>
        <w:t xml:space="preserve"> with job opportunities, particularly vulnerable populations</w:t>
      </w:r>
      <w:r w:rsidR="00E86C76" w:rsidRPr="00EF18D4">
        <w:rPr>
          <w:rFonts w:ascii="Arial" w:hAnsi="Arial" w:cs="Arial"/>
        </w:rPr>
        <w:t>, both in Mexico and abroad</w:t>
      </w:r>
      <w:r w:rsidR="00F6151B" w:rsidRPr="00EF18D4">
        <w:rPr>
          <w:rFonts w:ascii="Arial" w:hAnsi="Arial" w:cs="Arial"/>
        </w:rPr>
        <w:t xml:space="preserve">. It will also help to improve the </w:t>
      </w:r>
      <w:r w:rsidR="002633E5" w:rsidRPr="00EF18D4">
        <w:rPr>
          <w:rFonts w:ascii="Arial" w:hAnsi="Arial" w:cs="Arial"/>
        </w:rPr>
        <w:t>SNE</w:t>
      </w:r>
      <w:r w:rsidR="00E86C76" w:rsidRPr="00EF18D4">
        <w:rPr>
          <w:rFonts w:ascii="Arial" w:hAnsi="Arial" w:cs="Arial"/>
        </w:rPr>
        <w:t xml:space="preserve">’s user </w:t>
      </w:r>
      <w:r w:rsidR="0013057C" w:rsidRPr="00EF18D4">
        <w:rPr>
          <w:rFonts w:ascii="Arial" w:hAnsi="Arial" w:cs="Arial"/>
        </w:rPr>
        <w:t>support</w:t>
      </w:r>
      <w:r w:rsidR="002633E5" w:rsidRPr="00EF18D4">
        <w:rPr>
          <w:rFonts w:ascii="Arial" w:hAnsi="Arial" w:cs="Arial"/>
        </w:rPr>
        <w:t xml:space="preserve"> processes</w:t>
      </w:r>
      <w:r w:rsidR="0013057C" w:rsidRPr="00EF18D4">
        <w:rPr>
          <w:rFonts w:ascii="Arial" w:hAnsi="Arial" w:cs="Arial"/>
        </w:rPr>
        <w:t>.</w:t>
      </w:r>
      <w:r w:rsidR="00F6151B" w:rsidRPr="00EF18D4">
        <w:rPr>
          <w:rFonts w:ascii="Arial" w:hAnsi="Arial" w:cs="Arial"/>
        </w:rPr>
        <w:t xml:space="preserve"> </w:t>
      </w:r>
      <w:r w:rsidR="00994684" w:rsidRPr="00EF18D4">
        <w:rPr>
          <w:rFonts w:ascii="Arial" w:hAnsi="Arial" w:cs="Arial"/>
        </w:rPr>
        <w:t>Individual consultancies and firms will be financed to develop: (i) </w:t>
      </w:r>
      <w:r w:rsidR="004D7057" w:rsidRPr="00EF18D4">
        <w:rPr>
          <w:rFonts w:ascii="Arial" w:hAnsi="Arial" w:cs="Arial"/>
        </w:rPr>
        <w:t>processes</w:t>
      </w:r>
      <w:r w:rsidR="00994684" w:rsidRPr="00EF18D4">
        <w:rPr>
          <w:rFonts w:ascii="Arial" w:hAnsi="Arial" w:cs="Arial"/>
        </w:rPr>
        <w:t xml:space="preserve"> to support job-seekers to learn about demand needs and job descriptions; (ii) job profiles for the National Employment Service Offices (OSNE) and a training strategy for its employees; </w:t>
      </w:r>
      <w:r w:rsidR="002943F2" w:rsidRPr="00EF18D4">
        <w:rPr>
          <w:rFonts w:ascii="Arial" w:hAnsi="Arial" w:cs="Arial"/>
        </w:rPr>
        <w:t xml:space="preserve">and </w:t>
      </w:r>
      <w:r w:rsidR="00994684" w:rsidRPr="00EF18D4">
        <w:rPr>
          <w:rFonts w:ascii="Arial" w:hAnsi="Arial" w:cs="Arial"/>
        </w:rPr>
        <w:t>(iii) a strategy to improve SNE’s coordination with other public employment services in the region</w:t>
      </w:r>
      <w:r w:rsidR="00A82350" w:rsidRPr="00EF18D4">
        <w:rPr>
          <w:rFonts w:ascii="Arial" w:hAnsi="Arial" w:cs="Arial"/>
        </w:rPr>
        <w:t>.</w:t>
      </w:r>
    </w:p>
    <w:p w14:paraId="0D1C0F48" w14:textId="77777777" w:rsidR="00690634" w:rsidRPr="00EF18D4" w:rsidRDefault="00690634" w:rsidP="00690634">
      <w:pPr>
        <w:pStyle w:val="ListParagraph"/>
        <w:spacing w:before="120" w:after="120" w:line="240" w:lineRule="auto"/>
        <w:ind w:left="1080"/>
        <w:jc w:val="both"/>
        <w:rPr>
          <w:rFonts w:ascii="Arial" w:hAnsi="Arial" w:cs="Arial"/>
        </w:rPr>
      </w:pPr>
    </w:p>
    <w:p w14:paraId="08830671" w14:textId="0882B099" w:rsidR="00AC7B51" w:rsidRPr="00EF18D4" w:rsidRDefault="009C40DE" w:rsidP="00AC7B51">
      <w:pPr>
        <w:pStyle w:val="ListParagraph"/>
        <w:numPr>
          <w:ilvl w:val="1"/>
          <w:numId w:val="20"/>
        </w:numPr>
        <w:spacing w:after="0" w:line="240" w:lineRule="auto"/>
        <w:ind w:left="540" w:hanging="540"/>
        <w:jc w:val="both"/>
        <w:rPr>
          <w:rFonts w:ascii="Arial" w:hAnsi="Arial" w:cs="Arial"/>
        </w:rPr>
      </w:pPr>
      <w:r w:rsidRPr="00EF18D4">
        <w:rPr>
          <w:rFonts w:ascii="Arial" w:hAnsi="Arial" w:cs="Arial"/>
          <w:b/>
        </w:rPr>
        <w:t xml:space="preserve">Component 2: </w:t>
      </w:r>
      <w:r w:rsidR="00934C12" w:rsidRPr="00EF18D4">
        <w:rPr>
          <w:rFonts w:ascii="Arial" w:hAnsi="Arial" w:cs="Arial"/>
          <w:b/>
        </w:rPr>
        <w:t>S</w:t>
      </w:r>
      <w:r w:rsidR="00994684" w:rsidRPr="00EF18D4">
        <w:rPr>
          <w:rFonts w:ascii="Arial" w:hAnsi="Arial" w:cs="Arial"/>
          <w:b/>
        </w:rPr>
        <w:t>trengthening of the Youth Building the Future Program (JCF)</w:t>
      </w:r>
      <w:r w:rsidRPr="00EF18D4">
        <w:rPr>
          <w:rFonts w:ascii="Arial" w:hAnsi="Arial" w:cs="Arial"/>
        </w:rPr>
        <w:t xml:space="preserve">. </w:t>
      </w:r>
      <w:r w:rsidR="00B342EC" w:rsidRPr="00EF18D4">
        <w:rPr>
          <w:rFonts w:ascii="Arial" w:hAnsi="Arial" w:cs="Arial"/>
        </w:rPr>
        <w:t xml:space="preserve">This component will contribute to JCF’s capacity-building by generating information to improve its capability to generate job opportunities for the youth concluding the </w:t>
      </w:r>
      <w:r w:rsidR="00BF0DF0" w:rsidRPr="00EF18D4">
        <w:rPr>
          <w:rFonts w:ascii="Arial" w:hAnsi="Arial" w:cs="Arial"/>
        </w:rPr>
        <w:t>program.</w:t>
      </w:r>
      <w:r w:rsidR="00A82350" w:rsidRPr="00EF18D4">
        <w:rPr>
          <w:rFonts w:ascii="Arial" w:hAnsi="Arial" w:cs="Arial"/>
        </w:rPr>
        <w:t xml:space="preserve"> It will also facilitate the development of necessary tools to refine the matching between young people and </w:t>
      </w:r>
      <w:r w:rsidR="00B342EC" w:rsidRPr="00EF18D4">
        <w:rPr>
          <w:rFonts w:ascii="Arial" w:hAnsi="Arial" w:cs="Arial"/>
        </w:rPr>
        <w:t xml:space="preserve">job </w:t>
      </w:r>
      <w:r w:rsidR="00A82350" w:rsidRPr="00EF18D4">
        <w:rPr>
          <w:rFonts w:ascii="Arial" w:hAnsi="Arial" w:cs="Arial"/>
        </w:rPr>
        <w:t xml:space="preserve">opportunities. Finally, it will inform the program’s strategy development to increase young women’s labor participation. </w:t>
      </w:r>
      <w:r w:rsidR="000D1CD4" w:rsidRPr="00EF18D4">
        <w:rPr>
          <w:rFonts w:ascii="Arial" w:hAnsi="Arial" w:cs="Arial"/>
        </w:rPr>
        <w:t>Individual consultancies and firms will be financed to develop: (i) </w:t>
      </w:r>
      <w:r w:rsidR="00494CFD" w:rsidRPr="00EF18D4">
        <w:rPr>
          <w:rFonts w:ascii="Arial" w:hAnsi="Arial" w:cs="Arial"/>
        </w:rPr>
        <w:t>a cost-benefit analysis</w:t>
      </w:r>
      <w:r w:rsidR="000D1CD4" w:rsidRPr="00EF18D4">
        <w:rPr>
          <w:rFonts w:ascii="Arial" w:hAnsi="Arial" w:cs="Arial"/>
        </w:rPr>
        <w:t xml:space="preserve"> of the program; (ii) profiling instruments for young people to ensure a high-quality match with firms</w:t>
      </w:r>
      <w:r w:rsidR="00961945" w:rsidRPr="00EF18D4">
        <w:rPr>
          <w:rFonts w:ascii="Arial" w:hAnsi="Arial" w:cs="Arial"/>
        </w:rPr>
        <w:t xml:space="preserve"> after completing the youth program</w:t>
      </w:r>
      <w:r w:rsidR="000D1CD4" w:rsidRPr="00EF18D4">
        <w:rPr>
          <w:rFonts w:ascii="Arial" w:hAnsi="Arial" w:cs="Arial"/>
        </w:rPr>
        <w:t xml:space="preserve">; (iii) </w:t>
      </w:r>
      <w:r w:rsidR="00D47B98" w:rsidRPr="00EF18D4">
        <w:rPr>
          <w:rFonts w:ascii="Arial" w:hAnsi="Arial" w:cs="Arial"/>
        </w:rPr>
        <w:t xml:space="preserve">pilots to improve matching with job opportunities and design a follow-up model for the youth once they conclude the program; </w:t>
      </w:r>
      <w:r w:rsidR="000D1CD4" w:rsidRPr="00EF18D4">
        <w:rPr>
          <w:rFonts w:ascii="Arial" w:hAnsi="Arial" w:cs="Arial"/>
        </w:rPr>
        <w:t xml:space="preserve">and </w:t>
      </w:r>
      <w:r w:rsidR="000936D2" w:rsidRPr="00EF18D4">
        <w:rPr>
          <w:rFonts w:ascii="Arial" w:hAnsi="Arial" w:cs="Arial"/>
        </w:rPr>
        <w:t>(iv) an assessment of young women labor participation.</w:t>
      </w:r>
    </w:p>
    <w:p w14:paraId="259AD9E3" w14:textId="77777777" w:rsidR="00AC7B51" w:rsidRPr="00EF18D4" w:rsidRDefault="00AC7B51" w:rsidP="00AC7B51">
      <w:pPr>
        <w:pStyle w:val="ListParagraph"/>
        <w:rPr>
          <w:rFonts w:ascii="Arial" w:hAnsi="Arial" w:cs="Arial"/>
        </w:rPr>
      </w:pPr>
    </w:p>
    <w:p w14:paraId="40A59091" w14:textId="2FA3D218" w:rsidR="00AC7B51" w:rsidRPr="00EF18D4" w:rsidRDefault="009C40DE" w:rsidP="00AC7B51">
      <w:pPr>
        <w:pStyle w:val="ListParagraph"/>
        <w:numPr>
          <w:ilvl w:val="1"/>
          <w:numId w:val="20"/>
        </w:numPr>
        <w:spacing w:after="0" w:line="240" w:lineRule="auto"/>
        <w:ind w:left="540" w:hanging="540"/>
        <w:jc w:val="both"/>
        <w:rPr>
          <w:rFonts w:ascii="Arial" w:hAnsi="Arial" w:cs="Arial"/>
        </w:rPr>
      </w:pPr>
      <w:r w:rsidRPr="00EF18D4">
        <w:rPr>
          <w:rFonts w:ascii="Arial" w:hAnsi="Arial" w:cs="Arial"/>
          <w:b/>
        </w:rPr>
        <w:t>Component 3:</w:t>
      </w:r>
      <w:r w:rsidR="000D1CD4" w:rsidRPr="00EF18D4">
        <w:rPr>
          <w:rFonts w:ascii="Arial" w:hAnsi="Arial" w:cs="Arial"/>
        </w:rPr>
        <w:t xml:space="preserve"> </w:t>
      </w:r>
      <w:r w:rsidR="000D1CD4" w:rsidRPr="00EF18D4">
        <w:rPr>
          <w:rFonts w:ascii="Arial" w:hAnsi="Arial" w:cs="Arial"/>
          <w:b/>
        </w:rPr>
        <w:t>Improvement of information and communication technologies (ICTs)</w:t>
      </w:r>
      <w:r w:rsidR="000D1CD4" w:rsidRPr="00EF18D4">
        <w:rPr>
          <w:rFonts w:ascii="Arial" w:hAnsi="Arial" w:cs="Arial"/>
        </w:rPr>
        <w:t>.</w:t>
      </w:r>
      <w:r w:rsidRPr="00EF18D4">
        <w:rPr>
          <w:rFonts w:ascii="Arial" w:hAnsi="Arial" w:cs="Arial"/>
        </w:rPr>
        <w:t xml:space="preserve"> </w:t>
      </w:r>
      <w:r w:rsidR="00E015C7" w:rsidRPr="00EF18D4">
        <w:rPr>
          <w:rFonts w:ascii="Arial" w:hAnsi="Arial" w:cs="Arial"/>
        </w:rPr>
        <w:t xml:space="preserve">This component will help </w:t>
      </w:r>
      <w:r w:rsidR="003E7F67" w:rsidRPr="00EF18D4">
        <w:rPr>
          <w:rFonts w:ascii="Arial" w:hAnsi="Arial" w:cs="Arial"/>
        </w:rPr>
        <w:t xml:space="preserve">to improve JCF’s current model to identify young people needs and progress in the program. It will also help both the SNE and JCF to update their current protocols to ensure an ethical use of technology. </w:t>
      </w:r>
      <w:r w:rsidR="000D1CD4" w:rsidRPr="00EF18D4">
        <w:rPr>
          <w:rFonts w:ascii="Arial" w:hAnsi="Arial" w:cs="Arial"/>
        </w:rPr>
        <w:t>Individual consultancies and firms will be financed to develop: (i) a follow-up and matching model for the youth registered in the JCF; and (ii) protocols for an ethical use of technology in both platforms</w:t>
      </w:r>
      <w:r w:rsidR="00AC7B51" w:rsidRPr="00EF18D4">
        <w:rPr>
          <w:rFonts w:ascii="Arial" w:hAnsi="Arial" w:cs="Arial"/>
        </w:rPr>
        <w:t xml:space="preserve">.  </w:t>
      </w:r>
    </w:p>
    <w:p w14:paraId="2AA7D8FA" w14:textId="77777777" w:rsidR="00690634" w:rsidRPr="00EF18D4" w:rsidRDefault="00690634" w:rsidP="00AC7B51">
      <w:pPr>
        <w:pStyle w:val="ListParagraph"/>
        <w:spacing w:before="120" w:after="120" w:line="240" w:lineRule="auto"/>
        <w:ind w:left="540"/>
        <w:jc w:val="both"/>
        <w:rPr>
          <w:rFonts w:ascii="Arial" w:hAnsi="Arial" w:cs="Arial"/>
          <w:b/>
        </w:rPr>
      </w:pPr>
    </w:p>
    <w:p w14:paraId="043BC18C" w14:textId="77777777" w:rsidR="0023302F" w:rsidRPr="00EF18D4" w:rsidRDefault="00F6363D" w:rsidP="00454218">
      <w:pPr>
        <w:pStyle w:val="ListParagraph"/>
        <w:spacing w:before="60" w:after="60" w:line="240" w:lineRule="auto"/>
        <w:ind w:left="360"/>
        <w:contextualSpacing w:val="0"/>
        <w:jc w:val="center"/>
        <w:rPr>
          <w:rFonts w:ascii="Arial" w:hAnsi="Arial" w:cs="Arial"/>
          <w:b/>
        </w:rPr>
      </w:pPr>
      <w:r w:rsidRPr="00EF18D4">
        <w:rPr>
          <w:rFonts w:ascii="Arial" w:hAnsi="Arial" w:cs="Arial"/>
          <w:b/>
        </w:rPr>
        <w:t>Indicative Budget</w:t>
      </w:r>
      <w:r w:rsidR="0023302F" w:rsidRPr="00EF18D4">
        <w:rPr>
          <w:rFonts w:ascii="Arial" w:hAnsi="Arial" w:cs="Arial"/>
          <w:b/>
        </w:rPr>
        <w:t xml:space="preserve"> </w:t>
      </w:r>
      <w:r w:rsidR="00690634" w:rsidRPr="00EF18D4">
        <w:rPr>
          <w:rFonts w:ascii="Arial" w:hAnsi="Arial" w:cs="Arial"/>
          <w:b/>
        </w:rPr>
        <w:t>(US$)</w:t>
      </w:r>
    </w:p>
    <w:tbl>
      <w:tblPr>
        <w:tblStyle w:val="TableGrid"/>
        <w:tblW w:w="9306" w:type="dxa"/>
        <w:tblInd w:w="-275" w:type="dxa"/>
        <w:tblLook w:val="04A0" w:firstRow="1" w:lastRow="0" w:firstColumn="1" w:lastColumn="0" w:noHBand="0" w:noVBand="1"/>
      </w:tblPr>
      <w:tblGrid>
        <w:gridCol w:w="2160"/>
        <w:gridCol w:w="3868"/>
        <w:gridCol w:w="1404"/>
        <w:gridCol w:w="1865"/>
        <w:gridCol w:w="9"/>
      </w:tblGrid>
      <w:tr w:rsidR="00824C34" w:rsidRPr="00EF18D4" w14:paraId="1DFC015A" w14:textId="77777777" w:rsidTr="002943F2">
        <w:trPr>
          <w:gridAfter w:val="1"/>
          <w:wAfter w:w="9" w:type="dxa"/>
          <w:tblHeader/>
        </w:trPr>
        <w:tc>
          <w:tcPr>
            <w:tcW w:w="2160" w:type="dxa"/>
            <w:shd w:val="clear" w:color="auto" w:fill="C6D9F1" w:themeFill="text2" w:themeFillTint="33"/>
          </w:tcPr>
          <w:p w14:paraId="037CB95B" w14:textId="77777777" w:rsidR="00824C34" w:rsidRPr="00EF18D4" w:rsidRDefault="00824C34" w:rsidP="00E14516">
            <w:pPr>
              <w:pStyle w:val="ListParagraph"/>
              <w:spacing w:before="60" w:after="60"/>
              <w:ind w:left="0"/>
              <w:contextualSpacing w:val="0"/>
              <w:jc w:val="center"/>
              <w:rPr>
                <w:rFonts w:ascii="Arial" w:hAnsi="Arial" w:cs="Arial"/>
                <w:b/>
                <w:sz w:val="18"/>
                <w:szCs w:val="18"/>
              </w:rPr>
            </w:pPr>
            <w:r w:rsidRPr="00EF18D4">
              <w:rPr>
                <w:rFonts w:ascii="Arial" w:hAnsi="Arial" w:cs="Arial"/>
                <w:b/>
                <w:sz w:val="18"/>
                <w:szCs w:val="18"/>
              </w:rPr>
              <w:t>Activity/Component</w:t>
            </w:r>
          </w:p>
        </w:tc>
        <w:tc>
          <w:tcPr>
            <w:tcW w:w="3868" w:type="dxa"/>
            <w:shd w:val="clear" w:color="auto" w:fill="C6D9F1" w:themeFill="text2" w:themeFillTint="33"/>
          </w:tcPr>
          <w:p w14:paraId="62DF92F3" w14:textId="77777777" w:rsidR="00824C34" w:rsidRPr="00EF18D4" w:rsidRDefault="00824C34" w:rsidP="00E14516">
            <w:pPr>
              <w:pStyle w:val="ListParagraph"/>
              <w:spacing w:before="60" w:after="60"/>
              <w:ind w:left="0"/>
              <w:contextualSpacing w:val="0"/>
              <w:jc w:val="center"/>
              <w:rPr>
                <w:rFonts w:ascii="Arial" w:hAnsi="Arial" w:cs="Arial"/>
                <w:b/>
                <w:sz w:val="18"/>
                <w:szCs w:val="18"/>
              </w:rPr>
            </w:pPr>
            <w:r w:rsidRPr="00EF18D4">
              <w:rPr>
                <w:rFonts w:ascii="Arial" w:hAnsi="Arial" w:cs="Arial"/>
                <w:b/>
                <w:sz w:val="18"/>
                <w:szCs w:val="18"/>
              </w:rPr>
              <w:t>Description</w:t>
            </w:r>
          </w:p>
        </w:tc>
        <w:tc>
          <w:tcPr>
            <w:tcW w:w="1404" w:type="dxa"/>
            <w:shd w:val="clear" w:color="auto" w:fill="C6D9F1" w:themeFill="text2" w:themeFillTint="33"/>
          </w:tcPr>
          <w:p w14:paraId="36156BA4" w14:textId="77777777" w:rsidR="00824C34" w:rsidRPr="00EF18D4" w:rsidRDefault="00824C34" w:rsidP="00E14516">
            <w:pPr>
              <w:pStyle w:val="ListParagraph"/>
              <w:spacing w:before="60" w:after="60"/>
              <w:ind w:left="0"/>
              <w:contextualSpacing w:val="0"/>
              <w:jc w:val="center"/>
              <w:rPr>
                <w:rFonts w:ascii="Arial" w:hAnsi="Arial" w:cs="Arial"/>
                <w:b/>
                <w:sz w:val="18"/>
                <w:szCs w:val="18"/>
              </w:rPr>
            </w:pPr>
            <w:r w:rsidRPr="00EF18D4">
              <w:rPr>
                <w:rFonts w:ascii="Arial" w:hAnsi="Arial" w:cs="Arial"/>
                <w:b/>
                <w:sz w:val="18"/>
                <w:szCs w:val="18"/>
              </w:rPr>
              <w:t>IDB/Fund Funding</w:t>
            </w:r>
          </w:p>
        </w:tc>
        <w:tc>
          <w:tcPr>
            <w:tcW w:w="1865" w:type="dxa"/>
            <w:shd w:val="clear" w:color="auto" w:fill="C6D9F1" w:themeFill="text2" w:themeFillTint="33"/>
          </w:tcPr>
          <w:p w14:paraId="6ECF339D" w14:textId="77777777" w:rsidR="00824C34" w:rsidRPr="00EF18D4" w:rsidRDefault="00824C34" w:rsidP="00E14516">
            <w:pPr>
              <w:pStyle w:val="ListParagraph"/>
              <w:spacing w:before="60" w:after="60"/>
              <w:ind w:left="0"/>
              <w:contextualSpacing w:val="0"/>
              <w:jc w:val="center"/>
              <w:rPr>
                <w:rFonts w:ascii="Arial" w:hAnsi="Arial" w:cs="Arial"/>
                <w:b/>
                <w:sz w:val="18"/>
                <w:szCs w:val="18"/>
              </w:rPr>
            </w:pPr>
            <w:r w:rsidRPr="00EF18D4">
              <w:rPr>
                <w:rFonts w:ascii="Arial" w:hAnsi="Arial" w:cs="Arial"/>
                <w:b/>
                <w:sz w:val="18"/>
                <w:szCs w:val="18"/>
              </w:rPr>
              <w:t>Total Funding</w:t>
            </w:r>
          </w:p>
        </w:tc>
      </w:tr>
      <w:tr w:rsidR="00824C34" w:rsidRPr="00EF18D4" w14:paraId="30757E72" w14:textId="77777777" w:rsidTr="002943F2">
        <w:trPr>
          <w:trHeight w:val="389"/>
        </w:trPr>
        <w:tc>
          <w:tcPr>
            <w:tcW w:w="9306" w:type="dxa"/>
            <w:gridSpan w:val="5"/>
            <w:shd w:val="clear" w:color="auto" w:fill="EEECE1" w:themeFill="background2"/>
          </w:tcPr>
          <w:p w14:paraId="67CCA226" w14:textId="3ABFB7C3" w:rsidR="00824C34" w:rsidRPr="00EF18D4" w:rsidRDefault="00824C34" w:rsidP="002943F2">
            <w:pPr>
              <w:pStyle w:val="ListParagraph"/>
              <w:spacing w:before="60" w:after="60"/>
              <w:ind w:left="0"/>
              <w:contextualSpacing w:val="0"/>
              <w:rPr>
                <w:rFonts w:ascii="Arial" w:hAnsi="Arial" w:cs="Arial"/>
                <w:b/>
                <w:i/>
                <w:sz w:val="18"/>
                <w:szCs w:val="18"/>
              </w:rPr>
            </w:pPr>
            <w:r w:rsidRPr="00EF18D4">
              <w:rPr>
                <w:rFonts w:ascii="Arial" w:hAnsi="Arial" w:cs="Arial"/>
                <w:b/>
                <w:i/>
                <w:sz w:val="18"/>
                <w:szCs w:val="18"/>
              </w:rPr>
              <w:t xml:space="preserve">Component 1: </w:t>
            </w:r>
            <w:r w:rsidR="002943F2" w:rsidRPr="00EF18D4">
              <w:rPr>
                <w:rFonts w:ascii="Arial" w:hAnsi="Arial" w:cs="Arial"/>
                <w:b/>
                <w:i/>
                <w:sz w:val="18"/>
                <w:szCs w:val="18"/>
              </w:rPr>
              <w:t>Strengthening</w:t>
            </w:r>
            <w:r w:rsidRPr="00EF18D4">
              <w:rPr>
                <w:rFonts w:ascii="Arial" w:hAnsi="Arial" w:cs="Arial"/>
                <w:b/>
                <w:i/>
                <w:sz w:val="18"/>
                <w:szCs w:val="18"/>
              </w:rPr>
              <w:t xml:space="preserve"> the processes, procedures, and labor market policies</w:t>
            </w:r>
          </w:p>
        </w:tc>
      </w:tr>
      <w:tr w:rsidR="00824C34" w:rsidRPr="00EF18D4" w14:paraId="080EBCCB" w14:textId="77777777" w:rsidTr="002943F2">
        <w:trPr>
          <w:gridAfter w:val="1"/>
          <w:wAfter w:w="9" w:type="dxa"/>
        </w:trPr>
        <w:tc>
          <w:tcPr>
            <w:tcW w:w="2160" w:type="dxa"/>
          </w:tcPr>
          <w:p w14:paraId="2680B1CF" w14:textId="77777777" w:rsidR="00824C34" w:rsidRPr="00EF18D4" w:rsidRDefault="00824C34" w:rsidP="002943F2">
            <w:pPr>
              <w:pStyle w:val="ListParagraph"/>
              <w:spacing w:before="60" w:after="60"/>
              <w:ind w:left="0"/>
              <w:contextualSpacing w:val="0"/>
              <w:rPr>
                <w:rFonts w:ascii="Arial" w:hAnsi="Arial" w:cs="Arial"/>
                <w:sz w:val="18"/>
                <w:szCs w:val="18"/>
              </w:rPr>
            </w:pPr>
            <w:r w:rsidRPr="00EF18D4">
              <w:rPr>
                <w:rFonts w:ascii="Arial" w:hAnsi="Arial" w:cs="Arial"/>
                <w:sz w:val="18"/>
                <w:szCs w:val="18"/>
              </w:rPr>
              <w:t>Individual and firm consultancies</w:t>
            </w:r>
          </w:p>
        </w:tc>
        <w:tc>
          <w:tcPr>
            <w:tcW w:w="3868" w:type="dxa"/>
          </w:tcPr>
          <w:p w14:paraId="3232163C" w14:textId="6C2FFAF5" w:rsidR="00824C34" w:rsidRPr="00EF18D4" w:rsidRDefault="000D1CD4" w:rsidP="002943F2">
            <w:pPr>
              <w:pStyle w:val="ListParagraph"/>
              <w:spacing w:before="60" w:after="60"/>
              <w:ind w:left="0"/>
              <w:contextualSpacing w:val="0"/>
              <w:rPr>
                <w:rFonts w:ascii="Arial" w:hAnsi="Arial" w:cs="Arial"/>
                <w:sz w:val="18"/>
                <w:szCs w:val="18"/>
              </w:rPr>
            </w:pPr>
            <w:r w:rsidRPr="00EF18D4">
              <w:rPr>
                <w:rFonts w:ascii="Arial" w:hAnsi="Arial" w:cs="Arial"/>
                <w:sz w:val="18"/>
                <w:szCs w:val="18"/>
              </w:rPr>
              <w:t xml:space="preserve">Develop (i) </w:t>
            </w:r>
            <w:r w:rsidR="00163949" w:rsidRPr="00EF18D4">
              <w:rPr>
                <w:rFonts w:ascii="Arial" w:hAnsi="Arial" w:cs="Arial"/>
                <w:sz w:val="18"/>
                <w:szCs w:val="18"/>
              </w:rPr>
              <w:t xml:space="preserve">processes </w:t>
            </w:r>
            <w:r w:rsidRPr="00EF18D4">
              <w:rPr>
                <w:rFonts w:ascii="Arial" w:hAnsi="Arial" w:cs="Arial"/>
                <w:sz w:val="18"/>
                <w:szCs w:val="18"/>
              </w:rPr>
              <w:t>to support job-seekers to learn about demand needs and job descriptions; (ii) job profiles for each position at the National Employment Service Offices (OSNE) and a training strategy for OSNE’s employees; (iii) a strategy to improve SNE’s coordination with other public employment services in the region to match Mexican job-seekers with work opportunities outside of Mexico.</w:t>
            </w:r>
          </w:p>
        </w:tc>
        <w:tc>
          <w:tcPr>
            <w:tcW w:w="1404" w:type="dxa"/>
          </w:tcPr>
          <w:p w14:paraId="468BD2F0" w14:textId="045A108E" w:rsidR="00824C34" w:rsidRPr="00EF18D4" w:rsidRDefault="00824C34" w:rsidP="00E14516">
            <w:pPr>
              <w:pStyle w:val="ListParagraph"/>
              <w:spacing w:before="60" w:after="60"/>
              <w:ind w:left="0"/>
              <w:contextualSpacing w:val="0"/>
              <w:jc w:val="center"/>
              <w:rPr>
                <w:rFonts w:ascii="Arial" w:hAnsi="Arial" w:cs="Arial"/>
                <w:sz w:val="18"/>
                <w:szCs w:val="18"/>
              </w:rPr>
            </w:pPr>
            <w:r w:rsidRPr="00EF18D4">
              <w:rPr>
                <w:rFonts w:ascii="Arial" w:hAnsi="Arial" w:cs="Arial"/>
                <w:sz w:val="18"/>
                <w:szCs w:val="18"/>
              </w:rPr>
              <w:t>$</w:t>
            </w:r>
            <w:r w:rsidR="000D1CD4" w:rsidRPr="00EF18D4">
              <w:rPr>
                <w:rFonts w:ascii="Arial" w:hAnsi="Arial" w:cs="Arial"/>
                <w:sz w:val="18"/>
                <w:szCs w:val="18"/>
              </w:rPr>
              <w:t>4</w:t>
            </w:r>
            <w:r w:rsidRPr="00EF18D4">
              <w:rPr>
                <w:rFonts w:ascii="Arial" w:hAnsi="Arial" w:cs="Arial"/>
                <w:sz w:val="18"/>
                <w:szCs w:val="18"/>
              </w:rPr>
              <w:t>5,000.00</w:t>
            </w:r>
          </w:p>
        </w:tc>
        <w:tc>
          <w:tcPr>
            <w:tcW w:w="1865" w:type="dxa"/>
          </w:tcPr>
          <w:p w14:paraId="7D28248A" w14:textId="5A86329A" w:rsidR="00824C34" w:rsidRPr="00EF18D4" w:rsidRDefault="00824C34" w:rsidP="00E14516">
            <w:pPr>
              <w:pStyle w:val="ListParagraph"/>
              <w:spacing w:before="60" w:after="60"/>
              <w:ind w:left="0"/>
              <w:contextualSpacing w:val="0"/>
              <w:jc w:val="center"/>
              <w:rPr>
                <w:rFonts w:ascii="Arial" w:hAnsi="Arial" w:cs="Arial"/>
                <w:sz w:val="18"/>
                <w:szCs w:val="18"/>
              </w:rPr>
            </w:pPr>
            <w:r w:rsidRPr="00EF18D4">
              <w:rPr>
                <w:rFonts w:ascii="Arial" w:hAnsi="Arial" w:cs="Arial"/>
                <w:sz w:val="18"/>
                <w:szCs w:val="18"/>
              </w:rPr>
              <w:t>$</w:t>
            </w:r>
            <w:r w:rsidR="000D1CD4" w:rsidRPr="00EF18D4">
              <w:rPr>
                <w:rFonts w:ascii="Arial" w:hAnsi="Arial" w:cs="Arial"/>
                <w:sz w:val="18"/>
                <w:szCs w:val="18"/>
              </w:rPr>
              <w:t>4</w:t>
            </w:r>
            <w:r w:rsidRPr="00EF18D4">
              <w:rPr>
                <w:rFonts w:ascii="Arial" w:hAnsi="Arial" w:cs="Arial"/>
                <w:sz w:val="18"/>
                <w:szCs w:val="18"/>
              </w:rPr>
              <w:t>5,000.00</w:t>
            </w:r>
          </w:p>
        </w:tc>
      </w:tr>
      <w:tr w:rsidR="00824C34" w:rsidRPr="00EF18D4" w14:paraId="2F4286EA" w14:textId="77777777" w:rsidTr="002943F2">
        <w:trPr>
          <w:gridAfter w:val="1"/>
          <w:wAfter w:w="9" w:type="dxa"/>
        </w:trPr>
        <w:tc>
          <w:tcPr>
            <w:tcW w:w="2160" w:type="dxa"/>
          </w:tcPr>
          <w:p w14:paraId="386D788F" w14:textId="0B335B20" w:rsidR="00824C34" w:rsidRPr="00EF18D4" w:rsidRDefault="00824C34" w:rsidP="002943F2">
            <w:pPr>
              <w:pStyle w:val="ListParagraph"/>
              <w:spacing w:before="60" w:after="60"/>
              <w:ind w:left="0"/>
              <w:contextualSpacing w:val="0"/>
              <w:rPr>
                <w:rFonts w:ascii="Arial" w:hAnsi="Arial" w:cs="Arial"/>
                <w:sz w:val="18"/>
                <w:szCs w:val="18"/>
              </w:rPr>
            </w:pPr>
            <w:r w:rsidRPr="00EF18D4">
              <w:rPr>
                <w:rFonts w:ascii="Arial" w:hAnsi="Arial" w:cs="Arial"/>
                <w:sz w:val="18"/>
                <w:szCs w:val="18"/>
              </w:rPr>
              <w:t>Knowledge transfer to Mexican Government offic</w:t>
            </w:r>
            <w:r w:rsidR="008968EB" w:rsidRPr="00EF18D4">
              <w:rPr>
                <w:rFonts w:ascii="Arial" w:hAnsi="Arial" w:cs="Arial"/>
                <w:sz w:val="18"/>
                <w:szCs w:val="18"/>
              </w:rPr>
              <w:t>ials</w:t>
            </w:r>
            <w:r w:rsidRPr="00EF18D4">
              <w:rPr>
                <w:rFonts w:ascii="Arial" w:hAnsi="Arial" w:cs="Arial"/>
                <w:sz w:val="18"/>
                <w:szCs w:val="18"/>
              </w:rPr>
              <w:t xml:space="preserve"> on best practices to improve domestic workers working conditions and on employment services in other countries</w:t>
            </w:r>
          </w:p>
        </w:tc>
        <w:tc>
          <w:tcPr>
            <w:tcW w:w="3868" w:type="dxa"/>
          </w:tcPr>
          <w:p w14:paraId="5AB6E45C" w14:textId="77777777" w:rsidR="00824C34" w:rsidRPr="00EF18D4" w:rsidRDefault="00824C34" w:rsidP="002943F2">
            <w:pPr>
              <w:pStyle w:val="ListParagraph"/>
              <w:spacing w:before="60" w:after="60"/>
              <w:ind w:left="0"/>
              <w:contextualSpacing w:val="0"/>
              <w:rPr>
                <w:rFonts w:ascii="Arial" w:hAnsi="Arial" w:cs="Arial"/>
                <w:sz w:val="18"/>
                <w:szCs w:val="18"/>
              </w:rPr>
            </w:pPr>
            <w:r w:rsidRPr="00EF18D4">
              <w:rPr>
                <w:rFonts w:ascii="Arial" w:hAnsi="Arial" w:cs="Arial"/>
                <w:sz w:val="18"/>
                <w:szCs w:val="18"/>
              </w:rPr>
              <w:t>Meetings, seminars, and exchanges with international experts</w:t>
            </w:r>
          </w:p>
        </w:tc>
        <w:tc>
          <w:tcPr>
            <w:tcW w:w="1404" w:type="dxa"/>
          </w:tcPr>
          <w:p w14:paraId="3563722B" w14:textId="0AD88A04" w:rsidR="00824C34" w:rsidRPr="00EF18D4" w:rsidRDefault="00824C34" w:rsidP="00E14516">
            <w:pPr>
              <w:pStyle w:val="ListParagraph"/>
              <w:spacing w:before="60" w:after="60"/>
              <w:ind w:left="0"/>
              <w:contextualSpacing w:val="0"/>
              <w:jc w:val="center"/>
              <w:rPr>
                <w:rFonts w:ascii="Arial" w:hAnsi="Arial" w:cs="Arial"/>
                <w:sz w:val="18"/>
                <w:szCs w:val="18"/>
              </w:rPr>
            </w:pPr>
            <w:r w:rsidRPr="00EF18D4">
              <w:rPr>
                <w:rFonts w:ascii="Arial" w:hAnsi="Arial" w:cs="Arial"/>
                <w:sz w:val="18"/>
                <w:szCs w:val="18"/>
              </w:rPr>
              <w:t>$</w:t>
            </w:r>
            <w:r w:rsidR="000D1CD4" w:rsidRPr="00EF18D4">
              <w:rPr>
                <w:rFonts w:ascii="Arial" w:hAnsi="Arial" w:cs="Arial"/>
                <w:sz w:val="18"/>
                <w:szCs w:val="18"/>
              </w:rPr>
              <w:t>5</w:t>
            </w:r>
            <w:r w:rsidRPr="00EF18D4">
              <w:rPr>
                <w:rFonts w:ascii="Arial" w:hAnsi="Arial" w:cs="Arial"/>
                <w:sz w:val="18"/>
                <w:szCs w:val="18"/>
              </w:rPr>
              <w:t>,000.00</w:t>
            </w:r>
          </w:p>
        </w:tc>
        <w:tc>
          <w:tcPr>
            <w:tcW w:w="1865" w:type="dxa"/>
          </w:tcPr>
          <w:p w14:paraId="431F9FCE" w14:textId="3E2E0969" w:rsidR="00824C34" w:rsidRPr="00EF18D4" w:rsidRDefault="00824C34" w:rsidP="00E14516">
            <w:pPr>
              <w:pStyle w:val="ListParagraph"/>
              <w:spacing w:before="60" w:after="60"/>
              <w:ind w:left="0"/>
              <w:contextualSpacing w:val="0"/>
              <w:jc w:val="center"/>
              <w:rPr>
                <w:rFonts w:ascii="Arial" w:hAnsi="Arial" w:cs="Arial"/>
                <w:sz w:val="18"/>
                <w:szCs w:val="18"/>
              </w:rPr>
            </w:pPr>
            <w:r w:rsidRPr="00EF18D4">
              <w:rPr>
                <w:rFonts w:ascii="Arial" w:hAnsi="Arial" w:cs="Arial"/>
                <w:sz w:val="18"/>
                <w:szCs w:val="18"/>
              </w:rPr>
              <w:t>$</w:t>
            </w:r>
            <w:r w:rsidR="000D1CD4" w:rsidRPr="00EF18D4">
              <w:rPr>
                <w:rFonts w:ascii="Arial" w:hAnsi="Arial" w:cs="Arial"/>
                <w:sz w:val="18"/>
                <w:szCs w:val="18"/>
              </w:rPr>
              <w:t>5</w:t>
            </w:r>
            <w:r w:rsidRPr="00EF18D4">
              <w:rPr>
                <w:rFonts w:ascii="Arial" w:hAnsi="Arial" w:cs="Arial"/>
                <w:sz w:val="18"/>
                <w:szCs w:val="18"/>
              </w:rPr>
              <w:t>,000.00</w:t>
            </w:r>
          </w:p>
        </w:tc>
      </w:tr>
      <w:tr w:rsidR="00824C34" w:rsidRPr="00EF18D4" w14:paraId="44CD4518" w14:textId="77777777" w:rsidTr="002943F2">
        <w:trPr>
          <w:gridAfter w:val="1"/>
          <w:wAfter w:w="9" w:type="dxa"/>
        </w:trPr>
        <w:tc>
          <w:tcPr>
            <w:tcW w:w="2160" w:type="dxa"/>
            <w:shd w:val="clear" w:color="auto" w:fill="C6D9F1" w:themeFill="text2" w:themeFillTint="33"/>
          </w:tcPr>
          <w:p w14:paraId="71A6DFF1" w14:textId="77777777" w:rsidR="00824C34" w:rsidRPr="00EF18D4" w:rsidRDefault="00824C34" w:rsidP="002943F2">
            <w:pPr>
              <w:pStyle w:val="ListParagraph"/>
              <w:spacing w:before="60" w:after="60"/>
              <w:ind w:left="0"/>
              <w:contextualSpacing w:val="0"/>
              <w:rPr>
                <w:rFonts w:ascii="Arial" w:hAnsi="Arial" w:cs="Arial"/>
                <w:b/>
                <w:sz w:val="18"/>
                <w:szCs w:val="18"/>
              </w:rPr>
            </w:pPr>
            <w:r w:rsidRPr="00EF18D4">
              <w:rPr>
                <w:rFonts w:ascii="Arial" w:hAnsi="Arial" w:cs="Arial"/>
                <w:b/>
                <w:sz w:val="18"/>
                <w:szCs w:val="18"/>
              </w:rPr>
              <w:t>Subtotal Component 1</w:t>
            </w:r>
          </w:p>
        </w:tc>
        <w:tc>
          <w:tcPr>
            <w:tcW w:w="3868" w:type="dxa"/>
            <w:shd w:val="clear" w:color="auto" w:fill="C6D9F1" w:themeFill="text2" w:themeFillTint="33"/>
          </w:tcPr>
          <w:p w14:paraId="29EA1C42" w14:textId="77777777" w:rsidR="00824C34" w:rsidRPr="00EF18D4" w:rsidRDefault="00824C34" w:rsidP="002943F2">
            <w:pPr>
              <w:pStyle w:val="ListParagraph"/>
              <w:spacing w:before="60" w:after="60"/>
              <w:ind w:left="0"/>
              <w:contextualSpacing w:val="0"/>
              <w:rPr>
                <w:rFonts w:ascii="Arial" w:hAnsi="Arial" w:cs="Arial"/>
                <w:b/>
                <w:sz w:val="18"/>
                <w:szCs w:val="18"/>
              </w:rPr>
            </w:pPr>
          </w:p>
        </w:tc>
        <w:tc>
          <w:tcPr>
            <w:tcW w:w="1404" w:type="dxa"/>
            <w:shd w:val="clear" w:color="auto" w:fill="C6D9F1" w:themeFill="text2" w:themeFillTint="33"/>
          </w:tcPr>
          <w:p w14:paraId="154AE59F" w14:textId="62447A0C" w:rsidR="00824C34" w:rsidRPr="00EF18D4" w:rsidRDefault="00824C34" w:rsidP="00E14516">
            <w:pPr>
              <w:pStyle w:val="ListParagraph"/>
              <w:spacing w:before="60" w:after="60"/>
              <w:ind w:left="0"/>
              <w:contextualSpacing w:val="0"/>
              <w:jc w:val="center"/>
              <w:rPr>
                <w:rFonts w:ascii="Arial" w:hAnsi="Arial" w:cs="Arial"/>
                <w:b/>
                <w:sz w:val="18"/>
                <w:szCs w:val="18"/>
              </w:rPr>
            </w:pPr>
            <w:r w:rsidRPr="00EF18D4">
              <w:rPr>
                <w:rFonts w:ascii="Arial" w:hAnsi="Arial" w:cs="Arial"/>
                <w:b/>
                <w:sz w:val="18"/>
                <w:szCs w:val="18"/>
              </w:rPr>
              <w:t>$</w:t>
            </w:r>
            <w:r w:rsidR="000D1CD4" w:rsidRPr="00EF18D4">
              <w:rPr>
                <w:rFonts w:ascii="Arial" w:hAnsi="Arial" w:cs="Arial"/>
                <w:b/>
                <w:sz w:val="18"/>
                <w:szCs w:val="18"/>
              </w:rPr>
              <w:t>5</w:t>
            </w:r>
            <w:r w:rsidR="00FF7A18" w:rsidRPr="00EF18D4">
              <w:rPr>
                <w:rFonts w:ascii="Arial" w:hAnsi="Arial" w:cs="Arial"/>
                <w:b/>
                <w:sz w:val="18"/>
                <w:szCs w:val="18"/>
              </w:rPr>
              <w:t>0</w:t>
            </w:r>
            <w:r w:rsidRPr="00EF18D4">
              <w:rPr>
                <w:rFonts w:ascii="Arial" w:hAnsi="Arial" w:cs="Arial"/>
                <w:b/>
                <w:sz w:val="18"/>
                <w:szCs w:val="18"/>
              </w:rPr>
              <w:t>,000.00</w:t>
            </w:r>
          </w:p>
        </w:tc>
        <w:tc>
          <w:tcPr>
            <w:tcW w:w="1865" w:type="dxa"/>
            <w:shd w:val="clear" w:color="auto" w:fill="C6D9F1" w:themeFill="text2" w:themeFillTint="33"/>
          </w:tcPr>
          <w:p w14:paraId="7557CFD6" w14:textId="780B096E" w:rsidR="00824C34" w:rsidRPr="00EF18D4" w:rsidRDefault="00824C34" w:rsidP="00E14516">
            <w:pPr>
              <w:pStyle w:val="ListParagraph"/>
              <w:spacing w:before="60" w:after="60"/>
              <w:ind w:left="0"/>
              <w:contextualSpacing w:val="0"/>
              <w:jc w:val="center"/>
              <w:rPr>
                <w:rFonts w:ascii="Arial" w:hAnsi="Arial" w:cs="Arial"/>
                <w:b/>
                <w:sz w:val="18"/>
                <w:szCs w:val="18"/>
              </w:rPr>
            </w:pPr>
            <w:r w:rsidRPr="00EF18D4">
              <w:rPr>
                <w:rFonts w:ascii="Arial" w:hAnsi="Arial" w:cs="Arial"/>
                <w:b/>
                <w:sz w:val="18"/>
                <w:szCs w:val="18"/>
              </w:rPr>
              <w:t>$</w:t>
            </w:r>
            <w:r w:rsidR="000D1CD4" w:rsidRPr="00EF18D4">
              <w:rPr>
                <w:rFonts w:ascii="Arial" w:hAnsi="Arial" w:cs="Arial"/>
                <w:b/>
                <w:sz w:val="18"/>
                <w:szCs w:val="18"/>
              </w:rPr>
              <w:t>5</w:t>
            </w:r>
            <w:r w:rsidR="00FF7A18" w:rsidRPr="00EF18D4">
              <w:rPr>
                <w:rFonts w:ascii="Arial" w:hAnsi="Arial" w:cs="Arial"/>
                <w:b/>
                <w:sz w:val="18"/>
                <w:szCs w:val="18"/>
              </w:rPr>
              <w:t>0</w:t>
            </w:r>
            <w:r w:rsidRPr="00EF18D4">
              <w:rPr>
                <w:rFonts w:ascii="Arial" w:hAnsi="Arial" w:cs="Arial"/>
                <w:b/>
                <w:sz w:val="18"/>
                <w:szCs w:val="18"/>
              </w:rPr>
              <w:t>,000.00</w:t>
            </w:r>
          </w:p>
        </w:tc>
      </w:tr>
      <w:tr w:rsidR="00824C34" w:rsidRPr="00EF18D4" w14:paraId="6E040C88" w14:textId="77777777" w:rsidTr="002943F2">
        <w:trPr>
          <w:gridAfter w:val="1"/>
          <w:wAfter w:w="9" w:type="dxa"/>
        </w:trPr>
        <w:tc>
          <w:tcPr>
            <w:tcW w:w="9297" w:type="dxa"/>
            <w:gridSpan w:val="4"/>
            <w:shd w:val="clear" w:color="auto" w:fill="DDD9C3" w:themeFill="background2" w:themeFillShade="E6"/>
          </w:tcPr>
          <w:p w14:paraId="11E08968" w14:textId="77777777" w:rsidR="00824C34" w:rsidRPr="00EF18D4" w:rsidRDefault="00824C34" w:rsidP="002943F2">
            <w:pPr>
              <w:pStyle w:val="ListParagraph"/>
              <w:spacing w:before="60" w:after="60"/>
              <w:ind w:left="0"/>
              <w:contextualSpacing w:val="0"/>
              <w:rPr>
                <w:rFonts w:ascii="Arial" w:hAnsi="Arial" w:cs="Arial"/>
                <w:b/>
                <w:i/>
                <w:sz w:val="18"/>
                <w:szCs w:val="18"/>
              </w:rPr>
            </w:pPr>
            <w:r w:rsidRPr="00EF18D4">
              <w:rPr>
                <w:rFonts w:ascii="Arial" w:hAnsi="Arial" w:cs="Arial"/>
                <w:b/>
                <w:i/>
                <w:sz w:val="18"/>
                <w:szCs w:val="18"/>
              </w:rPr>
              <w:t>Component 2: Evaluation and strengthening of the Youth Building the Future Program (JCF)</w:t>
            </w:r>
          </w:p>
        </w:tc>
      </w:tr>
      <w:tr w:rsidR="00824C34" w:rsidRPr="00EF18D4" w14:paraId="268DED76" w14:textId="77777777" w:rsidTr="002943F2">
        <w:trPr>
          <w:gridAfter w:val="1"/>
          <w:wAfter w:w="9" w:type="dxa"/>
        </w:trPr>
        <w:tc>
          <w:tcPr>
            <w:tcW w:w="2160" w:type="dxa"/>
          </w:tcPr>
          <w:p w14:paraId="2C61AEA0" w14:textId="77777777" w:rsidR="00824C34" w:rsidRPr="00EF18D4" w:rsidRDefault="00824C34" w:rsidP="002943F2">
            <w:pPr>
              <w:pStyle w:val="ListParagraph"/>
              <w:spacing w:before="60" w:after="60"/>
              <w:ind w:left="0"/>
              <w:contextualSpacing w:val="0"/>
              <w:rPr>
                <w:rFonts w:ascii="Arial" w:hAnsi="Arial" w:cs="Arial"/>
                <w:sz w:val="18"/>
                <w:szCs w:val="18"/>
              </w:rPr>
            </w:pPr>
            <w:r w:rsidRPr="00EF18D4">
              <w:rPr>
                <w:rFonts w:ascii="Arial" w:hAnsi="Arial" w:cs="Arial"/>
                <w:sz w:val="18"/>
                <w:szCs w:val="18"/>
              </w:rPr>
              <w:t>Individual and firm consultancies</w:t>
            </w:r>
          </w:p>
        </w:tc>
        <w:tc>
          <w:tcPr>
            <w:tcW w:w="3868" w:type="dxa"/>
          </w:tcPr>
          <w:p w14:paraId="3A74F549" w14:textId="5A141404" w:rsidR="00824C34" w:rsidRPr="00EF18D4" w:rsidRDefault="00A94905" w:rsidP="002943F2">
            <w:pPr>
              <w:pStyle w:val="ListParagraph"/>
              <w:spacing w:before="60" w:after="60"/>
              <w:ind w:left="0"/>
              <w:contextualSpacing w:val="0"/>
              <w:rPr>
                <w:rFonts w:ascii="Arial" w:hAnsi="Arial" w:cs="Arial"/>
                <w:sz w:val="18"/>
                <w:szCs w:val="18"/>
              </w:rPr>
            </w:pPr>
            <w:r w:rsidRPr="00EF18D4">
              <w:rPr>
                <w:rFonts w:ascii="Arial" w:hAnsi="Arial" w:cs="Arial"/>
                <w:sz w:val="18"/>
                <w:szCs w:val="18"/>
              </w:rPr>
              <w:t>Develop (i) a</w:t>
            </w:r>
            <w:r w:rsidR="000448B4" w:rsidRPr="00EF18D4">
              <w:rPr>
                <w:rFonts w:ascii="Arial" w:hAnsi="Arial" w:cs="Arial"/>
                <w:sz w:val="18"/>
                <w:szCs w:val="18"/>
              </w:rPr>
              <w:t xml:space="preserve"> </w:t>
            </w:r>
            <w:r w:rsidR="00D47B98" w:rsidRPr="00EF18D4">
              <w:rPr>
                <w:rFonts w:ascii="Arial" w:hAnsi="Arial" w:cs="Arial"/>
                <w:sz w:val="18"/>
                <w:szCs w:val="18"/>
              </w:rPr>
              <w:t>cost-benefit analysis</w:t>
            </w:r>
            <w:r w:rsidRPr="00EF18D4">
              <w:rPr>
                <w:rFonts w:ascii="Arial" w:hAnsi="Arial" w:cs="Arial"/>
                <w:sz w:val="18"/>
                <w:szCs w:val="18"/>
              </w:rPr>
              <w:t xml:space="preserve"> of the program; (ii) profiling instruments for young people to ensure a high-quality match with firms</w:t>
            </w:r>
            <w:r w:rsidR="00961945" w:rsidRPr="00EF18D4">
              <w:rPr>
                <w:rFonts w:ascii="Arial" w:hAnsi="Arial" w:cs="Arial"/>
                <w:sz w:val="18"/>
                <w:szCs w:val="18"/>
              </w:rPr>
              <w:t xml:space="preserve"> after completing the youth program</w:t>
            </w:r>
            <w:r w:rsidRPr="00EF18D4">
              <w:rPr>
                <w:rFonts w:ascii="Arial" w:hAnsi="Arial" w:cs="Arial"/>
                <w:sz w:val="18"/>
                <w:szCs w:val="18"/>
              </w:rPr>
              <w:t>; (iii)</w:t>
            </w:r>
            <w:r w:rsidR="00D01166" w:rsidRPr="00EF18D4">
              <w:rPr>
                <w:rFonts w:ascii="Arial" w:hAnsi="Arial" w:cs="Arial"/>
                <w:sz w:val="18"/>
                <w:szCs w:val="18"/>
              </w:rPr>
              <w:t> </w:t>
            </w:r>
            <w:r w:rsidRPr="00EF18D4">
              <w:rPr>
                <w:rFonts w:ascii="Arial" w:hAnsi="Arial" w:cs="Arial"/>
                <w:sz w:val="18"/>
                <w:szCs w:val="18"/>
              </w:rPr>
              <w:t xml:space="preserve">pilots to improve </w:t>
            </w:r>
            <w:r w:rsidR="00D47B98" w:rsidRPr="00EF18D4">
              <w:rPr>
                <w:rFonts w:ascii="Arial" w:hAnsi="Arial" w:cs="Arial"/>
                <w:sz w:val="18"/>
                <w:szCs w:val="18"/>
              </w:rPr>
              <w:t>matching with job opportunities</w:t>
            </w:r>
            <w:r w:rsidRPr="00EF18D4">
              <w:rPr>
                <w:rFonts w:ascii="Arial" w:hAnsi="Arial" w:cs="Arial"/>
                <w:sz w:val="18"/>
                <w:szCs w:val="18"/>
              </w:rPr>
              <w:t xml:space="preserve"> and d</w:t>
            </w:r>
            <w:r w:rsidR="00017A8D" w:rsidRPr="00EF18D4">
              <w:rPr>
                <w:rFonts w:ascii="Arial" w:hAnsi="Arial" w:cs="Arial"/>
                <w:sz w:val="18"/>
                <w:szCs w:val="18"/>
              </w:rPr>
              <w:t>esign</w:t>
            </w:r>
            <w:r w:rsidR="002C3A5E" w:rsidRPr="00EF18D4">
              <w:rPr>
                <w:rFonts w:ascii="Arial" w:hAnsi="Arial" w:cs="Arial"/>
                <w:sz w:val="18"/>
                <w:szCs w:val="18"/>
              </w:rPr>
              <w:t xml:space="preserve"> of a</w:t>
            </w:r>
            <w:r w:rsidRPr="00EF18D4">
              <w:rPr>
                <w:rFonts w:ascii="Arial" w:hAnsi="Arial" w:cs="Arial"/>
                <w:sz w:val="18"/>
                <w:szCs w:val="18"/>
              </w:rPr>
              <w:t xml:space="preserve"> </w:t>
            </w:r>
            <w:r w:rsidR="00D47B98" w:rsidRPr="00EF18D4">
              <w:rPr>
                <w:rFonts w:ascii="Arial" w:hAnsi="Arial" w:cs="Arial"/>
                <w:sz w:val="18"/>
                <w:szCs w:val="18"/>
              </w:rPr>
              <w:t>follow-up model for the youth once they conclude the program</w:t>
            </w:r>
            <w:r w:rsidRPr="00EF18D4">
              <w:rPr>
                <w:rFonts w:ascii="Arial" w:hAnsi="Arial" w:cs="Arial"/>
                <w:sz w:val="18"/>
                <w:szCs w:val="18"/>
              </w:rPr>
              <w:t xml:space="preserve">; </w:t>
            </w:r>
            <w:r w:rsidR="00BF0DF0" w:rsidRPr="00EF18D4">
              <w:rPr>
                <w:rFonts w:ascii="Arial" w:hAnsi="Arial" w:cs="Arial"/>
                <w:sz w:val="18"/>
                <w:szCs w:val="18"/>
              </w:rPr>
              <w:t xml:space="preserve">and </w:t>
            </w:r>
            <w:r w:rsidRPr="00EF18D4">
              <w:rPr>
                <w:rFonts w:ascii="Arial" w:hAnsi="Arial" w:cs="Arial"/>
                <w:sz w:val="18"/>
                <w:szCs w:val="18"/>
              </w:rPr>
              <w:t>(iv) an assessment of young women labor participation.</w:t>
            </w:r>
          </w:p>
        </w:tc>
        <w:tc>
          <w:tcPr>
            <w:tcW w:w="1404" w:type="dxa"/>
          </w:tcPr>
          <w:p w14:paraId="33F2BE19" w14:textId="1726C704" w:rsidR="00824C34" w:rsidRPr="00EF18D4" w:rsidRDefault="00824C34" w:rsidP="00E14516">
            <w:pPr>
              <w:pStyle w:val="ListParagraph"/>
              <w:spacing w:before="60" w:after="60"/>
              <w:ind w:left="0"/>
              <w:contextualSpacing w:val="0"/>
              <w:jc w:val="center"/>
              <w:rPr>
                <w:rFonts w:ascii="Arial" w:hAnsi="Arial" w:cs="Arial"/>
                <w:sz w:val="18"/>
                <w:szCs w:val="18"/>
              </w:rPr>
            </w:pPr>
            <w:r w:rsidRPr="00EF18D4">
              <w:rPr>
                <w:rFonts w:ascii="Arial" w:hAnsi="Arial" w:cs="Arial"/>
                <w:sz w:val="18"/>
                <w:szCs w:val="18"/>
              </w:rPr>
              <w:t>$</w:t>
            </w:r>
            <w:r w:rsidR="00A94905" w:rsidRPr="00EF18D4">
              <w:rPr>
                <w:rFonts w:ascii="Arial" w:hAnsi="Arial" w:cs="Arial"/>
                <w:sz w:val="18"/>
                <w:szCs w:val="18"/>
              </w:rPr>
              <w:t>9</w:t>
            </w:r>
            <w:r w:rsidRPr="00EF18D4">
              <w:rPr>
                <w:rFonts w:ascii="Arial" w:hAnsi="Arial" w:cs="Arial"/>
                <w:sz w:val="18"/>
                <w:szCs w:val="18"/>
              </w:rPr>
              <w:t>5,000.00</w:t>
            </w:r>
          </w:p>
        </w:tc>
        <w:tc>
          <w:tcPr>
            <w:tcW w:w="1865" w:type="dxa"/>
          </w:tcPr>
          <w:p w14:paraId="027390FD" w14:textId="09AFB32A" w:rsidR="00824C34" w:rsidRPr="00EF18D4" w:rsidRDefault="00824C34" w:rsidP="00E14516">
            <w:pPr>
              <w:pStyle w:val="ListParagraph"/>
              <w:spacing w:before="60" w:after="60"/>
              <w:ind w:left="0"/>
              <w:contextualSpacing w:val="0"/>
              <w:jc w:val="center"/>
              <w:rPr>
                <w:rFonts w:ascii="Arial" w:hAnsi="Arial" w:cs="Arial"/>
                <w:sz w:val="18"/>
                <w:szCs w:val="18"/>
              </w:rPr>
            </w:pPr>
            <w:r w:rsidRPr="00EF18D4">
              <w:rPr>
                <w:rFonts w:ascii="Arial" w:hAnsi="Arial" w:cs="Arial"/>
                <w:sz w:val="18"/>
                <w:szCs w:val="18"/>
              </w:rPr>
              <w:t>$</w:t>
            </w:r>
            <w:r w:rsidR="00A94905" w:rsidRPr="00EF18D4">
              <w:rPr>
                <w:rFonts w:ascii="Arial" w:hAnsi="Arial" w:cs="Arial"/>
                <w:sz w:val="18"/>
                <w:szCs w:val="18"/>
              </w:rPr>
              <w:t>9</w:t>
            </w:r>
            <w:r w:rsidRPr="00EF18D4">
              <w:rPr>
                <w:rFonts w:ascii="Arial" w:hAnsi="Arial" w:cs="Arial"/>
                <w:sz w:val="18"/>
                <w:szCs w:val="18"/>
              </w:rPr>
              <w:t>5,000.00</w:t>
            </w:r>
          </w:p>
        </w:tc>
      </w:tr>
      <w:tr w:rsidR="00824C34" w:rsidRPr="00EF18D4" w14:paraId="49D0B1E7" w14:textId="77777777" w:rsidTr="002943F2">
        <w:trPr>
          <w:gridAfter w:val="1"/>
          <w:wAfter w:w="9" w:type="dxa"/>
        </w:trPr>
        <w:tc>
          <w:tcPr>
            <w:tcW w:w="2160" w:type="dxa"/>
            <w:shd w:val="clear" w:color="auto" w:fill="C6D9F1" w:themeFill="text2" w:themeFillTint="33"/>
          </w:tcPr>
          <w:p w14:paraId="6B2114F5" w14:textId="77777777" w:rsidR="00824C34" w:rsidRPr="00EF18D4" w:rsidRDefault="00824C34" w:rsidP="002943F2">
            <w:pPr>
              <w:pStyle w:val="ListParagraph"/>
              <w:spacing w:before="60" w:after="60"/>
              <w:ind w:left="0"/>
              <w:contextualSpacing w:val="0"/>
              <w:rPr>
                <w:rFonts w:ascii="Arial" w:hAnsi="Arial" w:cs="Arial"/>
                <w:b/>
                <w:sz w:val="18"/>
                <w:szCs w:val="18"/>
              </w:rPr>
            </w:pPr>
            <w:r w:rsidRPr="00EF18D4">
              <w:rPr>
                <w:rFonts w:ascii="Arial" w:hAnsi="Arial" w:cs="Arial"/>
                <w:b/>
                <w:sz w:val="18"/>
                <w:szCs w:val="18"/>
              </w:rPr>
              <w:t>Subtotal component 2</w:t>
            </w:r>
          </w:p>
        </w:tc>
        <w:tc>
          <w:tcPr>
            <w:tcW w:w="3868" w:type="dxa"/>
            <w:shd w:val="clear" w:color="auto" w:fill="C6D9F1" w:themeFill="text2" w:themeFillTint="33"/>
          </w:tcPr>
          <w:p w14:paraId="6F2DE001" w14:textId="77777777" w:rsidR="00824C34" w:rsidRPr="00EF18D4" w:rsidRDefault="00824C34" w:rsidP="002943F2">
            <w:pPr>
              <w:pStyle w:val="ListParagraph"/>
              <w:spacing w:before="60" w:after="60"/>
              <w:ind w:left="0"/>
              <w:contextualSpacing w:val="0"/>
              <w:rPr>
                <w:rFonts w:ascii="Arial" w:hAnsi="Arial" w:cs="Arial"/>
                <w:b/>
                <w:sz w:val="18"/>
                <w:szCs w:val="18"/>
              </w:rPr>
            </w:pPr>
          </w:p>
        </w:tc>
        <w:tc>
          <w:tcPr>
            <w:tcW w:w="1404" w:type="dxa"/>
            <w:shd w:val="clear" w:color="auto" w:fill="C6D9F1" w:themeFill="text2" w:themeFillTint="33"/>
          </w:tcPr>
          <w:p w14:paraId="4DF780DF" w14:textId="5A75B074" w:rsidR="00824C34" w:rsidRPr="00EF18D4" w:rsidRDefault="00824C34" w:rsidP="00E14516">
            <w:pPr>
              <w:pStyle w:val="ListParagraph"/>
              <w:spacing w:before="60" w:after="60"/>
              <w:ind w:left="0"/>
              <w:contextualSpacing w:val="0"/>
              <w:jc w:val="center"/>
              <w:rPr>
                <w:rFonts w:ascii="Arial" w:hAnsi="Arial" w:cs="Arial"/>
                <w:b/>
                <w:sz w:val="18"/>
                <w:szCs w:val="18"/>
              </w:rPr>
            </w:pPr>
            <w:r w:rsidRPr="00EF18D4">
              <w:rPr>
                <w:rFonts w:ascii="Arial" w:hAnsi="Arial" w:cs="Arial"/>
                <w:b/>
                <w:sz w:val="18"/>
                <w:szCs w:val="18"/>
              </w:rPr>
              <w:t>$</w:t>
            </w:r>
            <w:r w:rsidR="00A94905" w:rsidRPr="00EF18D4">
              <w:rPr>
                <w:rFonts w:ascii="Arial" w:hAnsi="Arial" w:cs="Arial"/>
                <w:b/>
                <w:sz w:val="18"/>
                <w:szCs w:val="18"/>
              </w:rPr>
              <w:t>9</w:t>
            </w:r>
            <w:r w:rsidR="00FF7A18" w:rsidRPr="00EF18D4">
              <w:rPr>
                <w:rFonts w:ascii="Arial" w:hAnsi="Arial" w:cs="Arial"/>
                <w:b/>
                <w:sz w:val="18"/>
                <w:szCs w:val="18"/>
              </w:rPr>
              <w:t>5</w:t>
            </w:r>
            <w:r w:rsidRPr="00EF18D4">
              <w:rPr>
                <w:rFonts w:ascii="Arial" w:hAnsi="Arial" w:cs="Arial"/>
                <w:b/>
                <w:sz w:val="18"/>
                <w:szCs w:val="18"/>
              </w:rPr>
              <w:t>,000.00</w:t>
            </w:r>
          </w:p>
        </w:tc>
        <w:tc>
          <w:tcPr>
            <w:tcW w:w="1865" w:type="dxa"/>
            <w:shd w:val="clear" w:color="auto" w:fill="C6D9F1" w:themeFill="text2" w:themeFillTint="33"/>
          </w:tcPr>
          <w:p w14:paraId="2B17C441" w14:textId="6FFF36C4" w:rsidR="00824C34" w:rsidRPr="00EF18D4" w:rsidRDefault="00824C34" w:rsidP="00E14516">
            <w:pPr>
              <w:pStyle w:val="ListParagraph"/>
              <w:spacing w:before="60" w:after="60"/>
              <w:ind w:left="0"/>
              <w:contextualSpacing w:val="0"/>
              <w:jc w:val="center"/>
              <w:rPr>
                <w:rFonts w:ascii="Arial" w:hAnsi="Arial" w:cs="Arial"/>
                <w:b/>
                <w:sz w:val="18"/>
                <w:szCs w:val="18"/>
              </w:rPr>
            </w:pPr>
            <w:r w:rsidRPr="00EF18D4">
              <w:rPr>
                <w:rFonts w:ascii="Arial" w:hAnsi="Arial" w:cs="Arial"/>
                <w:b/>
                <w:sz w:val="18"/>
                <w:szCs w:val="18"/>
              </w:rPr>
              <w:t>$</w:t>
            </w:r>
            <w:r w:rsidR="00A94905" w:rsidRPr="00EF18D4">
              <w:rPr>
                <w:rFonts w:ascii="Arial" w:hAnsi="Arial" w:cs="Arial"/>
                <w:b/>
                <w:sz w:val="18"/>
                <w:szCs w:val="18"/>
              </w:rPr>
              <w:t>9</w:t>
            </w:r>
            <w:r w:rsidR="00FF7A18" w:rsidRPr="00EF18D4">
              <w:rPr>
                <w:rFonts w:ascii="Arial" w:hAnsi="Arial" w:cs="Arial"/>
                <w:b/>
                <w:sz w:val="18"/>
                <w:szCs w:val="18"/>
              </w:rPr>
              <w:t>5</w:t>
            </w:r>
            <w:r w:rsidRPr="00EF18D4">
              <w:rPr>
                <w:rFonts w:ascii="Arial" w:hAnsi="Arial" w:cs="Arial"/>
                <w:b/>
                <w:sz w:val="18"/>
                <w:szCs w:val="18"/>
              </w:rPr>
              <w:t>,000.00</w:t>
            </w:r>
          </w:p>
        </w:tc>
      </w:tr>
      <w:tr w:rsidR="00824C34" w:rsidRPr="00EF18D4" w14:paraId="1CB9E23D" w14:textId="77777777" w:rsidTr="002943F2">
        <w:trPr>
          <w:gridAfter w:val="1"/>
          <w:wAfter w:w="9" w:type="dxa"/>
        </w:trPr>
        <w:tc>
          <w:tcPr>
            <w:tcW w:w="9297" w:type="dxa"/>
            <w:gridSpan w:val="4"/>
            <w:shd w:val="clear" w:color="auto" w:fill="DDD9C3" w:themeFill="background2" w:themeFillShade="E6"/>
          </w:tcPr>
          <w:p w14:paraId="6645BEE9" w14:textId="77777777" w:rsidR="00824C34" w:rsidRPr="00EF18D4" w:rsidRDefault="00824C34" w:rsidP="002943F2">
            <w:pPr>
              <w:pStyle w:val="ListParagraph"/>
              <w:spacing w:before="60" w:after="60"/>
              <w:ind w:left="0"/>
              <w:contextualSpacing w:val="0"/>
              <w:rPr>
                <w:rFonts w:ascii="Arial" w:hAnsi="Arial" w:cs="Arial"/>
                <w:b/>
                <w:i/>
                <w:sz w:val="18"/>
                <w:szCs w:val="18"/>
              </w:rPr>
            </w:pPr>
            <w:r w:rsidRPr="00EF18D4">
              <w:rPr>
                <w:rFonts w:ascii="Arial" w:hAnsi="Arial" w:cs="Arial"/>
                <w:b/>
                <w:i/>
                <w:sz w:val="18"/>
                <w:szCs w:val="18"/>
              </w:rPr>
              <w:t>Component 3: Improvement of information and communication technologies (ICTs)</w:t>
            </w:r>
          </w:p>
        </w:tc>
      </w:tr>
      <w:tr w:rsidR="00824C34" w:rsidRPr="00EF18D4" w14:paraId="28F85325" w14:textId="77777777" w:rsidTr="002943F2">
        <w:trPr>
          <w:gridAfter w:val="1"/>
          <w:wAfter w:w="9" w:type="dxa"/>
        </w:trPr>
        <w:tc>
          <w:tcPr>
            <w:tcW w:w="2160" w:type="dxa"/>
          </w:tcPr>
          <w:p w14:paraId="2228FFB9" w14:textId="77777777" w:rsidR="00824C34" w:rsidRPr="00EF18D4" w:rsidRDefault="00824C34" w:rsidP="002943F2">
            <w:pPr>
              <w:pStyle w:val="ListParagraph"/>
              <w:spacing w:before="60" w:after="60"/>
              <w:ind w:left="0"/>
              <w:contextualSpacing w:val="0"/>
              <w:rPr>
                <w:rFonts w:ascii="Arial" w:hAnsi="Arial" w:cs="Arial"/>
                <w:sz w:val="18"/>
                <w:szCs w:val="18"/>
              </w:rPr>
            </w:pPr>
            <w:r w:rsidRPr="00EF18D4">
              <w:rPr>
                <w:rFonts w:ascii="Arial" w:hAnsi="Arial" w:cs="Arial"/>
                <w:sz w:val="18"/>
                <w:szCs w:val="18"/>
              </w:rPr>
              <w:t>Individual and firm consultancies</w:t>
            </w:r>
          </w:p>
        </w:tc>
        <w:tc>
          <w:tcPr>
            <w:tcW w:w="3868" w:type="dxa"/>
          </w:tcPr>
          <w:p w14:paraId="19E73393" w14:textId="17AB17F0" w:rsidR="00824C34" w:rsidRPr="00EF18D4" w:rsidRDefault="00824C34" w:rsidP="002943F2">
            <w:pPr>
              <w:pStyle w:val="ListParagraph"/>
              <w:spacing w:before="60" w:after="60"/>
              <w:ind w:left="0"/>
              <w:contextualSpacing w:val="0"/>
              <w:rPr>
                <w:rFonts w:ascii="Arial" w:hAnsi="Arial" w:cs="Arial"/>
                <w:sz w:val="18"/>
                <w:szCs w:val="18"/>
              </w:rPr>
            </w:pPr>
            <w:r w:rsidRPr="00EF18D4">
              <w:rPr>
                <w:rFonts w:ascii="Arial" w:hAnsi="Arial" w:cs="Arial"/>
                <w:sz w:val="18"/>
                <w:szCs w:val="18"/>
              </w:rPr>
              <w:t>(</w:t>
            </w:r>
            <w:r w:rsidR="00A94905" w:rsidRPr="00EF18D4">
              <w:rPr>
                <w:rFonts w:ascii="Arial" w:hAnsi="Arial" w:cs="Arial"/>
                <w:sz w:val="18"/>
                <w:szCs w:val="18"/>
              </w:rPr>
              <w:t xml:space="preserve">i) a follow-up and matching model for the youth registered in the JCF; </w:t>
            </w:r>
            <w:r w:rsidR="00BF0DF0" w:rsidRPr="00EF18D4">
              <w:rPr>
                <w:rFonts w:ascii="Arial" w:hAnsi="Arial" w:cs="Arial"/>
                <w:sz w:val="18"/>
                <w:szCs w:val="18"/>
              </w:rPr>
              <w:t xml:space="preserve">and </w:t>
            </w:r>
            <w:r w:rsidR="00693EE1" w:rsidRPr="00EF18D4">
              <w:rPr>
                <w:rFonts w:ascii="Arial" w:hAnsi="Arial" w:cs="Arial"/>
                <w:sz w:val="18"/>
                <w:szCs w:val="18"/>
              </w:rPr>
              <w:t>(</w:t>
            </w:r>
            <w:r w:rsidR="00A94905" w:rsidRPr="00EF18D4">
              <w:rPr>
                <w:rFonts w:ascii="Arial" w:hAnsi="Arial" w:cs="Arial"/>
                <w:sz w:val="18"/>
                <w:szCs w:val="18"/>
              </w:rPr>
              <w:t>i</w:t>
            </w:r>
            <w:r w:rsidR="00693EE1" w:rsidRPr="00EF18D4">
              <w:rPr>
                <w:rFonts w:ascii="Arial" w:hAnsi="Arial" w:cs="Arial"/>
                <w:sz w:val="18"/>
                <w:szCs w:val="18"/>
              </w:rPr>
              <w:t>i</w:t>
            </w:r>
            <w:r w:rsidR="00A94905" w:rsidRPr="00EF18D4">
              <w:rPr>
                <w:rFonts w:ascii="Arial" w:hAnsi="Arial" w:cs="Arial"/>
                <w:sz w:val="18"/>
                <w:szCs w:val="18"/>
              </w:rPr>
              <w:t>) protocols for an ethical use of technology in both platforms.</w:t>
            </w:r>
          </w:p>
        </w:tc>
        <w:tc>
          <w:tcPr>
            <w:tcW w:w="1404" w:type="dxa"/>
          </w:tcPr>
          <w:p w14:paraId="55B2604C" w14:textId="43ECDF00" w:rsidR="00824C34" w:rsidRPr="00EF18D4" w:rsidRDefault="00824C34" w:rsidP="00E14516">
            <w:pPr>
              <w:pStyle w:val="ListParagraph"/>
              <w:spacing w:before="60" w:after="60"/>
              <w:ind w:left="0"/>
              <w:contextualSpacing w:val="0"/>
              <w:jc w:val="center"/>
              <w:rPr>
                <w:rFonts w:ascii="Arial" w:hAnsi="Arial" w:cs="Arial"/>
                <w:sz w:val="18"/>
                <w:szCs w:val="18"/>
              </w:rPr>
            </w:pPr>
            <w:r w:rsidRPr="00EF18D4">
              <w:rPr>
                <w:rFonts w:ascii="Arial" w:hAnsi="Arial" w:cs="Arial"/>
                <w:sz w:val="18"/>
                <w:szCs w:val="18"/>
              </w:rPr>
              <w:t>$</w:t>
            </w:r>
            <w:r w:rsidR="00CF4C65" w:rsidRPr="00EF18D4">
              <w:rPr>
                <w:rFonts w:ascii="Arial" w:hAnsi="Arial" w:cs="Arial"/>
                <w:sz w:val="18"/>
                <w:szCs w:val="18"/>
              </w:rPr>
              <w:t>9</w:t>
            </w:r>
            <w:r w:rsidRPr="00EF18D4">
              <w:rPr>
                <w:rFonts w:ascii="Arial" w:hAnsi="Arial" w:cs="Arial"/>
                <w:sz w:val="18"/>
                <w:szCs w:val="18"/>
              </w:rPr>
              <w:t>5,000.00</w:t>
            </w:r>
          </w:p>
        </w:tc>
        <w:tc>
          <w:tcPr>
            <w:tcW w:w="1865" w:type="dxa"/>
          </w:tcPr>
          <w:p w14:paraId="372531E8" w14:textId="090D1DC7" w:rsidR="00824C34" w:rsidRPr="00EF18D4" w:rsidRDefault="00824C34" w:rsidP="00E14516">
            <w:pPr>
              <w:pStyle w:val="ListParagraph"/>
              <w:spacing w:before="60" w:after="60"/>
              <w:ind w:left="0"/>
              <w:contextualSpacing w:val="0"/>
              <w:jc w:val="center"/>
              <w:rPr>
                <w:rFonts w:ascii="Arial" w:hAnsi="Arial" w:cs="Arial"/>
                <w:sz w:val="18"/>
                <w:szCs w:val="18"/>
              </w:rPr>
            </w:pPr>
            <w:r w:rsidRPr="00EF18D4">
              <w:rPr>
                <w:rFonts w:ascii="Arial" w:hAnsi="Arial" w:cs="Arial"/>
                <w:sz w:val="18"/>
                <w:szCs w:val="18"/>
              </w:rPr>
              <w:t>$</w:t>
            </w:r>
            <w:r w:rsidR="00A911E4" w:rsidRPr="00EF18D4">
              <w:rPr>
                <w:rFonts w:ascii="Arial" w:hAnsi="Arial" w:cs="Arial"/>
                <w:sz w:val="18"/>
                <w:szCs w:val="18"/>
              </w:rPr>
              <w:t>9</w:t>
            </w:r>
            <w:r w:rsidRPr="00EF18D4">
              <w:rPr>
                <w:rFonts w:ascii="Arial" w:hAnsi="Arial" w:cs="Arial"/>
                <w:sz w:val="18"/>
                <w:szCs w:val="18"/>
              </w:rPr>
              <w:t>5,000.00</w:t>
            </w:r>
          </w:p>
        </w:tc>
      </w:tr>
      <w:tr w:rsidR="00824C34" w:rsidRPr="00EF18D4" w14:paraId="684042A4" w14:textId="77777777" w:rsidTr="002943F2">
        <w:trPr>
          <w:gridAfter w:val="1"/>
          <w:wAfter w:w="9" w:type="dxa"/>
        </w:trPr>
        <w:tc>
          <w:tcPr>
            <w:tcW w:w="2160" w:type="dxa"/>
          </w:tcPr>
          <w:p w14:paraId="599A7F51" w14:textId="4C3B8868" w:rsidR="00824C34" w:rsidRPr="00EF18D4" w:rsidRDefault="00824C34" w:rsidP="002943F2">
            <w:pPr>
              <w:pStyle w:val="ListParagraph"/>
              <w:spacing w:before="60" w:after="60"/>
              <w:ind w:left="0"/>
              <w:contextualSpacing w:val="0"/>
              <w:rPr>
                <w:rFonts w:ascii="Arial" w:hAnsi="Arial" w:cs="Arial"/>
                <w:sz w:val="18"/>
                <w:szCs w:val="18"/>
              </w:rPr>
            </w:pPr>
            <w:r w:rsidRPr="00EF18D4">
              <w:rPr>
                <w:rFonts w:ascii="Arial" w:hAnsi="Arial" w:cs="Arial"/>
                <w:sz w:val="18"/>
                <w:szCs w:val="18"/>
              </w:rPr>
              <w:t>Knowledge transfer to Mexican Government offic</w:t>
            </w:r>
            <w:r w:rsidR="008968EB" w:rsidRPr="00EF18D4">
              <w:rPr>
                <w:rFonts w:ascii="Arial" w:hAnsi="Arial" w:cs="Arial"/>
                <w:sz w:val="18"/>
                <w:szCs w:val="18"/>
              </w:rPr>
              <w:t>ials</w:t>
            </w:r>
            <w:r w:rsidRPr="00EF18D4">
              <w:rPr>
                <w:rFonts w:ascii="Arial" w:hAnsi="Arial" w:cs="Arial"/>
                <w:sz w:val="18"/>
                <w:szCs w:val="18"/>
              </w:rPr>
              <w:t xml:space="preserve"> on matching platforms</w:t>
            </w:r>
          </w:p>
        </w:tc>
        <w:tc>
          <w:tcPr>
            <w:tcW w:w="3868" w:type="dxa"/>
          </w:tcPr>
          <w:p w14:paraId="17132E34" w14:textId="77777777" w:rsidR="00824C34" w:rsidRPr="00EF18D4" w:rsidRDefault="00824C34" w:rsidP="002943F2">
            <w:pPr>
              <w:pStyle w:val="ListParagraph"/>
              <w:spacing w:before="60" w:after="60"/>
              <w:ind w:left="0"/>
              <w:contextualSpacing w:val="0"/>
              <w:rPr>
                <w:rFonts w:ascii="Arial" w:hAnsi="Arial" w:cs="Arial"/>
                <w:sz w:val="18"/>
                <w:szCs w:val="18"/>
              </w:rPr>
            </w:pPr>
            <w:r w:rsidRPr="00EF18D4">
              <w:rPr>
                <w:rFonts w:ascii="Arial" w:hAnsi="Arial" w:cs="Arial"/>
                <w:sz w:val="18"/>
                <w:szCs w:val="18"/>
              </w:rPr>
              <w:t>Meetings, seminars, and exchanges with international experts</w:t>
            </w:r>
          </w:p>
        </w:tc>
        <w:tc>
          <w:tcPr>
            <w:tcW w:w="1404" w:type="dxa"/>
          </w:tcPr>
          <w:p w14:paraId="55E04A52" w14:textId="47CB5E53" w:rsidR="00824C34" w:rsidRPr="00EF18D4" w:rsidRDefault="00824C34" w:rsidP="00E14516">
            <w:pPr>
              <w:pStyle w:val="ListParagraph"/>
              <w:spacing w:before="60" w:after="60"/>
              <w:ind w:left="0"/>
              <w:contextualSpacing w:val="0"/>
              <w:jc w:val="center"/>
              <w:rPr>
                <w:rFonts w:ascii="Arial" w:hAnsi="Arial" w:cs="Arial"/>
                <w:sz w:val="18"/>
                <w:szCs w:val="18"/>
              </w:rPr>
            </w:pPr>
            <w:r w:rsidRPr="00EF18D4">
              <w:rPr>
                <w:rFonts w:ascii="Arial" w:hAnsi="Arial" w:cs="Arial"/>
                <w:sz w:val="18"/>
                <w:szCs w:val="18"/>
              </w:rPr>
              <w:t>$</w:t>
            </w:r>
            <w:r w:rsidR="00693EE1" w:rsidRPr="00EF18D4">
              <w:rPr>
                <w:rFonts w:ascii="Arial" w:hAnsi="Arial" w:cs="Arial"/>
                <w:sz w:val="18"/>
                <w:szCs w:val="18"/>
              </w:rPr>
              <w:t>5</w:t>
            </w:r>
            <w:r w:rsidRPr="00EF18D4">
              <w:rPr>
                <w:rFonts w:ascii="Arial" w:hAnsi="Arial" w:cs="Arial"/>
                <w:sz w:val="18"/>
                <w:szCs w:val="18"/>
              </w:rPr>
              <w:t>,000.00</w:t>
            </w:r>
          </w:p>
        </w:tc>
        <w:tc>
          <w:tcPr>
            <w:tcW w:w="1865" w:type="dxa"/>
          </w:tcPr>
          <w:p w14:paraId="189005EE" w14:textId="6FDE359B" w:rsidR="00824C34" w:rsidRPr="00EF18D4" w:rsidRDefault="00824C34" w:rsidP="00E14516">
            <w:pPr>
              <w:pStyle w:val="ListParagraph"/>
              <w:spacing w:before="60" w:after="60"/>
              <w:ind w:left="0"/>
              <w:contextualSpacing w:val="0"/>
              <w:jc w:val="center"/>
              <w:rPr>
                <w:rFonts w:ascii="Arial" w:hAnsi="Arial" w:cs="Arial"/>
                <w:sz w:val="18"/>
                <w:szCs w:val="18"/>
              </w:rPr>
            </w:pPr>
            <w:r w:rsidRPr="00EF18D4">
              <w:rPr>
                <w:rFonts w:ascii="Arial" w:hAnsi="Arial" w:cs="Arial"/>
                <w:sz w:val="18"/>
                <w:szCs w:val="18"/>
              </w:rPr>
              <w:t>$</w:t>
            </w:r>
            <w:r w:rsidR="00693EE1" w:rsidRPr="00EF18D4">
              <w:rPr>
                <w:rFonts w:ascii="Arial" w:hAnsi="Arial" w:cs="Arial"/>
                <w:sz w:val="18"/>
                <w:szCs w:val="18"/>
              </w:rPr>
              <w:t>5</w:t>
            </w:r>
            <w:r w:rsidRPr="00EF18D4">
              <w:rPr>
                <w:rFonts w:ascii="Arial" w:hAnsi="Arial" w:cs="Arial"/>
                <w:sz w:val="18"/>
                <w:szCs w:val="18"/>
              </w:rPr>
              <w:t>,000.00</w:t>
            </w:r>
          </w:p>
        </w:tc>
      </w:tr>
      <w:tr w:rsidR="00824C34" w:rsidRPr="00EF18D4" w14:paraId="05B49D25" w14:textId="77777777" w:rsidTr="002943F2">
        <w:trPr>
          <w:gridAfter w:val="1"/>
          <w:wAfter w:w="9" w:type="dxa"/>
        </w:trPr>
        <w:tc>
          <w:tcPr>
            <w:tcW w:w="2160" w:type="dxa"/>
            <w:shd w:val="clear" w:color="auto" w:fill="C6D9F1" w:themeFill="text2" w:themeFillTint="33"/>
          </w:tcPr>
          <w:p w14:paraId="7BCEB67A" w14:textId="77777777" w:rsidR="00824C34" w:rsidRPr="00EF18D4" w:rsidRDefault="00824C34" w:rsidP="002943F2">
            <w:pPr>
              <w:pStyle w:val="ListParagraph"/>
              <w:spacing w:before="60" w:after="60"/>
              <w:ind w:left="0"/>
              <w:contextualSpacing w:val="0"/>
              <w:rPr>
                <w:rFonts w:ascii="Arial" w:hAnsi="Arial" w:cs="Arial"/>
                <w:b/>
                <w:sz w:val="18"/>
                <w:szCs w:val="18"/>
              </w:rPr>
            </w:pPr>
            <w:r w:rsidRPr="00EF18D4">
              <w:rPr>
                <w:rFonts w:ascii="Arial" w:hAnsi="Arial" w:cs="Arial"/>
                <w:b/>
                <w:sz w:val="18"/>
                <w:szCs w:val="18"/>
              </w:rPr>
              <w:t>Subtotal component 3</w:t>
            </w:r>
          </w:p>
        </w:tc>
        <w:tc>
          <w:tcPr>
            <w:tcW w:w="3868" w:type="dxa"/>
            <w:shd w:val="clear" w:color="auto" w:fill="C6D9F1" w:themeFill="text2" w:themeFillTint="33"/>
          </w:tcPr>
          <w:p w14:paraId="443B5F8E" w14:textId="77777777" w:rsidR="00824C34" w:rsidRPr="00EF18D4" w:rsidRDefault="00824C34" w:rsidP="002943F2">
            <w:pPr>
              <w:pStyle w:val="ListParagraph"/>
              <w:spacing w:before="60" w:after="60"/>
              <w:ind w:left="0"/>
              <w:contextualSpacing w:val="0"/>
              <w:rPr>
                <w:rFonts w:ascii="Arial" w:hAnsi="Arial" w:cs="Arial"/>
                <w:b/>
                <w:sz w:val="18"/>
                <w:szCs w:val="18"/>
              </w:rPr>
            </w:pPr>
          </w:p>
        </w:tc>
        <w:tc>
          <w:tcPr>
            <w:tcW w:w="1404" w:type="dxa"/>
            <w:shd w:val="clear" w:color="auto" w:fill="C6D9F1" w:themeFill="text2" w:themeFillTint="33"/>
          </w:tcPr>
          <w:p w14:paraId="34CDA088" w14:textId="2CE4FB3C" w:rsidR="00824C34" w:rsidRPr="00EF18D4" w:rsidRDefault="00824C34" w:rsidP="00E14516">
            <w:pPr>
              <w:pStyle w:val="ListParagraph"/>
              <w:spacing w:before="60" w:after="60"/>
              <w:ind w:left="0"/>
              <w:contextualSpacing w:val="0"/>
              <w:jc w:val="center"/>
              <w:rPr>
                <w:rFonts w:ascii="Arial" w:hAnsi="Arial" w:cs="Arial"/>
                <w:b/>
                <w:sz w:val="18"/>
                <w:szCs w:val="18"/>
              </w:rPr>
            </w:pPr>
            <w:r w:rsidRPr="00EF18D4">
              <w:rPr>
                <w:rFonts w:ascii="Arial" w:hAnsi="Arial" w:cs="Arial"/>
                <w:b/>
                <w:sz w:val="18"/>
                <w:szCs w:val="18"/>
              </w:rPr>
              <w:t>$1</w:t>
            </w:r>
            <w:r w:rsidR="00693EE1" w:rsidRPr="00EF18D4">
              <w:rPr>
                <w:rFonts w:ascii="Arial" w:hAnsi="Arial" w:cs="Arial"/>
                <w:b/>
                <w:sz w:val="18"/>
                <w:szCs w:val="18"/>
              </w:rPr>
              <w:t>0</w:t>
            </w:r>
            <w:r w:rsidR="00FF7A18" w:rsidRPr="00EF18D4">
              <w:rPr>
                <w:rFonts w:ascii="Arial" w:hAnsi="Arial" w:cs="Arial"/>
                <w:b/>
                <w:sz w:val="18"/>
                <w:szCs w:val="18"/>
              </w:rPr>
              <w:t>0</w:t>
            </w:r>
            <w:r w:rsidRPr="00EF18D4">
              <w:rPr>
                <w:rFonts w:ascii="Arial" w:hAnsi="Arial" w:cs="Arial"/>
                <w:b/>
                <w:sz w:val="18"/>
                <w:szCs w:val="18"/>
              </w:rPr>
              <w:t>,000.00</w:t>
            </w:r>
          </w:p>
        </w:tc>
        <w:tc>
          <w:tcPr>
            <w:tcW w:w="1865" w:type="dxa"/>
            <w:shd w:val="clear" w:color="auto" w:fill="C6D9F1" w:themeFill="text2" w:themeFillTint="33"/>
          </w:tcPr>
          <w:p w14:paraId="4F9441FE" w14:textId="6786F45A" w:rsidR="00824C34" w:rsidRPr="00EF18D4" w:rsidRDefault="00824C34" w:rsidP="00E14516">
            <w:pPr>
              <w:pStyle w:val="ListParagraph"/>
              <w:spacing w:before="60" w:after="60"/>
              <w:ind w:left="0"/>
              <w:contextualSpacing w:val="0"/>
              <w:jc w:val="center"/>
              <w:rPr>
                <w:rFonts w:ascii="Arial" w:hAnsi="Arial" w:cs="Arial"/>
                <w:b/>
                <w:sz w:val="18"/>
                <w:szCs w:val="18"/>
              </w:rPr>
            </w:pPr>
            <w:r w:rsidRPr="00EF18D4">
              <w:rPr>
                <w:rFonts w:ascii="Arial" w:hAnsi="Arial" w:cs="Arial"/>
                <w:b/>
                <w:sz w:val="18"/>
                <w:szCs w:val="18"/>
              </w:rPr>
              <w:t>$1</w:t>
            </w:r>
            <w:r w:rsidR="00693EE1" w:rsidRPr="00EF18D4">
              <w:rPr>
                <w:rFonts w:ascii="Arial" w:hAnsi="Arial" w:cs="Arial"/>
                <w:b/>
                <w:sz w:val="18"/>
                <w:szCs w:val="18"/>
              </w:rPr>
              <w:t>0</w:t>
            </w:r>
            <w:r w:rsidR="00FF7A18" w:rsidRPr="00EF18D4">
              <w:rPr>
                <w:rFonts w:ascii="Arial" w:hAnsi="Arial" w:cs="Arial"/>
                <w:b/>
                <w:sz w:val="18"/>
                <w:szCs w:val="18"/>
              </w:rPr>
              <w:t>0</w:t>
            </w:r>
            <w:r w:rsidRPr="00EF18D4">
              <w:rPr>
                <w:rFonts w:ascii="Arial" w:hAnsi="Arial" w:cs="Arial"/>
                <w:b/>
                <w:sz w:val="18"/>
                <w:szCs w:val="18"/>
              </w:rPr>
              <w:t>,000.00</w:t>
            </w:r>
          </w:p>
        </w:tc>
      </w:tr>
      <w:tr w:rsidR="001E6B90" w:rsidRPr="00EF18D4" w14:paraId="4F38AF81" w14:textId="77777777" w:rsidTr="002943F2">
        <w:trPr>
          <w:gridAfter w:val="1"/>
          <w:wAfter w:w="9" w:type="dxa"/>
        </w:trPr>
        <w:tc>
          <w:tcPr>
            <w:tcW w:w="2160" w:type="dxa"/>
            <w:shd w:val="clear" w:color="auto" w:fill="FFFFFF" w:themeFill="background1"/>
          </w:tcPr>
          <w:p w14:paraId="4F01AA07" w14:textId="52D42B30" w:rsidR="001E6B90" w:rsidRPr="00EF18D4" w:rsidRDefault="00A72974" w:rsidP="002943F2">
            <w:pPr>
              <w:pStyle w:val="ListParagraph"/>
              <w:spacing w:before="60" w:after="60"/>
              <w:ind w:left="0"/>
              <w:contextualSpacing w:val="0"/>
              <w:rPr>
                <w:rFonts w:ascii="Arial" w:hAnsi="Arial" w:cs="Arial"/>
                <w:b/>
                <w:sz w:val="18"/>
                <w:szCs w:val="18"/>
              </w:rPr>
            </w:pPr>
            <w:r w:rsidRPr="00EF18D4">
              <w:rPr>
                <w:rFonts w:ascii="Arial" w:hAnsi="Arial" w:cs="Arial"/>
                <w:b/>
                <w:sz w:val="18"/>
                <w:szCs w:val="18"/>
              </w:rPr>
              <w:t>Contingencies</w:t>
            </w:r>
          </w:p>
        </w:tc>
        <w:tc>
          <w:tcPr>
            <w:tcW w:w="3868" w:type="dxa"/>
            <w:shd w:val="clear" w:color="auto" w:fill="FFFFFF" w:themeFill="background1"/>
          </w:tcPr>
          <w:p w14:paraId="0DE4BDD1" w14:textId="77777777" w:rsidR="001E6B90" w:rsidRPr="00EF18D4" w:rsidRDefault="001E6B90" w:rsidP="002943F2">
            <w:pPr>
              <w:pStyle w:val="ListParagraph"/>
              <w:spacing w:before="60" w:after="60"/>
              <w:ind w:left="0"/>
              <w:contextualSpacing w:val="0"/>
              <w:rPr>
                <w:rFonts w:ascii="Arial" w:hAnsi="Arial" w:cs="Arial"/>
                <w:b/>
                <w:sz w:val="18"/>
                <w:szCs w:val="18"/>
              </w:rPr>
            </w:pPr>
          </w:p>
        </w:tc>
        <w:tc>
          <w:tcPr>
            <w:tcW w:w="1404" w:type="dxa"/>
            <w:shd w:val="clear" w:color="auto" w:fill="FFFFFF" w:themeFill="background1"/>
          </w:tcPr>
          <w:p w14:paraId="1B52A44A" w14:textId="7C776B10" w:rsidR="001E6B90" w:rsidRPr="00EF18D4" w:rsidRDefault="00A72974" w:rsidP="00E14516">
            <w:pPr>
              <w:pStyle w:val="ListParagraph"/>
              <w:spacing w:before="60" w:after="60"/>
              <w:ind w:left="0"/>
              <w:contextualSpacing w:val="0"/>
              <w:jc w:val="center"/>
              <w:rPr>
                <w:rFonts w:ascii="Arial" w:hAnsi="Arial" w:cs="Arial"/>
                <w:b/>
                <w:sz w:val="18"/>
                <w:szCs w:val="18"/>
              </w:rPr>
            </w:pPr>
            <w:r w:rsidRPr="00EF18D4">
              <w:rPr>
                <w:rFonts w:ascii="Arial" w:hAnsi="Arial" w:cs="Arial"/>
                <w:b/>
                <w:sz w:val="18"/>
                <w:szCs w:val="18"/>
              </w:rPr>
              <w:t>$5,000.00</w:t>
            </w:r>
          </w:p>
        </w:tc>
        <w:tc>
          <w:tcPr>
            <w:tcW w:w="1865" w:type="dxa"/>
            <w:shd w:val="clear" w:color="auto" w:fill="FFFFFF" w:themeFill="background1"/>
          </w:tcPr>
          <w:p w14:paraId="4C75688C" w14:textId="01BCA01F" w:rsidR="001E6B90" w:rsidRPr="00EF18D4" w:rsidRDefault="00A72974" w:rsidP="00E14516">
            <w:pPr>
              <w:pStyle w:val="ListParagraph"/>
              <w:spacing w:before="60" w:after="60"/>
              <w:ind w:left="0"/>
              <w:contextualSpacing w:val="0"/>
              <w:jc w:val="center"/>
              <w:rPr>
                <w:rFonts w:ascii="Arial" w:hAnsi="Arial" w:cs="Arial"/>
                <w:b/>
                <w:sz w:val="18"/>
                <w:szCs w:val="18"/>
              </w:rPr>
            </w:pPr>
            <w:r w:rsidRPr="00EF18D4">
              <w:rPr>
                <w:rFonts w:ascii="Arial" w:hAnsi="Arial" w:cs="Arial"/>
                <w:b/>
                <w:sz w:val="18"/>
                <w:szCs w:val="18"/>
              </w:rPr>
              <w:t>$5,000.00</w:t>
            </w:r>
          </w:p>
        </w:tc>
      </w:tr>
      <w:tr w:rsidR="00824C34" w:rsidRPr="00EF18D4" w14:paraId="7F239762" w14:textId="77777777" w:rsidTr="00824C34">
        <w:trPr>
          <w:gridAfter w:val="1"/>
          <w:wAfter w:w="9" w:type="dxa"/>
        </w:trPr>
        <w:tc>
          <w:tcPr>
            <w:tcW w:w="2160" w:type="dxa"/>
            <w:shd w:val="clear" w:color="auto" w:fill="DDD9C3" w:themeFill="background2" w:themeFillShade="E6"/>
          </w:tcPr>
          <w:p w14:paraId="7CFD4F2F" w14:textId="77777777" w:rsidR="00824C34" w:rsidRPr="00EF18D4" w:rsidRDefault="00824C34" w:rsidP="00E14516">
            <w:pPr>
              <w:pStyle w:val="ListParagraph"/>
              <w:spacing w:before="60" w:after="60"/>
              <w:ind w:left="0"/>
              <w:contextualSpacing w:val="0"/>
              <w:jc w:val="center"/>
              <w:rPr>
                <w:rFonts w:ascii="Arial" w:hAnsi="Arial" w:cs="Arial"/>
                <w:b/>
                <w:sz w:val="18"/>
                <w:szCs w:val="18"/>
              </w:rPr>
            </w:pPr>
            <w:r w:rsidRPr="00EF18D4">
              <w:rPr>
                <w:rFonts w:ascii="Arial" w:hAnsi="Arial" w:cs="Arial"/>
                <w:b/>
                <w:sz w:val="18"/>
                <w:szCs w:val="18"/>
              </w:rPr>
              <w:t>Total</w:t>
            </w:r>
          </w:p>
        </w:tc>
        <w:tc>
          <w:tcPr>
            <w:tcW w:w="3868" w:type="dxa"/>
            <w:shd w:val="clear" w:color="auto" w:fill="DDD9C3" w:themeFill="background2" w:themeFillShade="E6"/>
          </w:tcPr>
          <w:p w14:paraId="1CD3A780" w14:textId="77777777" w:rsidR="00824C34" w:rsidRPr="00EF18D4" w:rsidRDefault="00824C34" w:rsidP="00E14516">
            <w:pPr>
              <w:pStyle w:val="ListParagraph"/>
              <w:spacing w:before="60" w:after="60"/>
              <w:ind w:left="0"/>
              <w:contextualSpacing w:val="0"/>
              <w:jc w:val="center"/>
              <w:rPr>
                <w:rFonts w:ascii="Arial" w:hAnsi="Arial" w:cs="Arial"/>
                <w:b/>
                <w:sz w:val="18"/>
                <w:szCs w:val="18"/>
              </w:rPr>
            </w:pPr>
          </w:p>
        </w:tc>
        <w:tc>
          <w:tcPr>
            <w:tcW w:w="1404" w:type="dxa"/>
            <w:shd w:val="clear" w:color="auto" w:fill="DDD9C3" w:themeFill="background2" w:themeFillShade="E6"/>
          </w:tcPr>
          <w:p w14:paraId="7ECDA2DA" w14:textId="72B59AB8" w:rsidR="00824C34" w:rsidRPr="00EF18D4" w:rsidRDefault="00824C34" w:rsidP="00E14516">
            <w:pPr>
              <w:pStyle w:val="ListParagraph"/>
              <w:spacing w:before="60" w:after="60"/>
              <w:ind w:left="0"/>
              <w:contextualSpacing w:val="0"/>
              <w:jc w:val="center"/>
              <w:rPr>
                <w:rFonts w:ascii="Arial" w:hAnsi="Arial" w:cs="Arial"/>
                <w:b/>
                <w:sz w:val="18"/>
                <w:szCs w:val="18"/>
              </w:rPr>
            </w:pPr>
            <w:r w:rsidRPr="00EF18D4">
              <w:rPr>
                <w:rFonts w:ascii="Arial" w:hAnsi="Arial" w:cs="Arial"/>
                <w:b/>
                <w:sz w:val="18"/>
                <w:szCs w:val="18"/>
              </w:rPr>
              <w:t>$</w:t>
            </w:r>
            <w:r w:rsidR="00693EE1" w:rsidRPr="00EF18D4">
              <w:rPr>
                <w:rFonts w:ascii="Arial" w:hAnsi="Arial" w:cs="Arial"/>
                <w:b/>
                <w:sz w:val="18"/>
                <w:szCs w:val="18"/>
              </w:rPr>
              <w:t>25</w:t>
            </w:r>
            <w:r w:rsidRPr="00EF18D4">
              <w:rPr>
                <w:rFonts w:ascii="Arial" w:hAnsi="Arial" w:cs="Arial"/>
                <w:b/>
                <w:sz w:val="18"/>
                <w:szCs w:val="18"/>
              </w:rPr>
              <w:t>0,000.00</w:t>
            </w:r>
          </w:p>
        </w:tc>
        <w:tc>
          <w:tcPr>
            <w:tcW w:w="1865" w:type="dxa"/>
            <w:shd w:val="clear" w:color="auto" w:fill="DDD9C3" w:themeFill="background2" w:themeFillShade="E6"/>
          </w:tcPr>
          <w:p w14:paraId="31ED7EBB" w14:textId="32CACC44" w:rsidR="00824C34" w:rsidRPr="00EF18D4" w:rsidRDefault="00824C34" w:rsidP="00E14516">
            <w:pPr>
              <w:pStyle w:val="ListParagraph"/>
              <w:spacing w:before="60" w:after="60"/>
              <w:ind w:left="0"/>
              <w:contextualSpacing w:val="0"/>
              <w:jc w:val="center"/>
              <w:rPr>
                <w:rFonts w:ascii="Arial" w:hAnsi="Arial" w:cs="Arial"/>
                <w:b/>
                <w:sz w:val="18"/>
                <w:szCs w:val="18"/>
              </w:rPr>
            </w:pPr>
            <w:r w:rsidRPr="00EF18D4">
              <w:rPr>
                <w:rFonts w:ascii="Arial" w:hAnsi="Arial" w:cs="Arial"/>
                <w:b/>
                <w:sz w:val="18"/>
                <w:szCs w:val="18"/>
              </w:rPr>
              <w:t>$</w:t>
            </w:r>
            <w:r w:rsidR="00693EE1" w:rsidRPr="00EF18D4">
              <w:rPr>
                <w:rFonts w:ascii="Arial" w:hAnsi="Arial" w:cs="Arial"/>
                <w:b/>
                <w:sz w:val="18"/>
                <w:szCs w:val="18"/>
              </w:rPr>
              <w:t>25</w:t>
            </w:r>
            <w:r w:rsidRPr="00EF18D4">
              <w:rPr>
                <w:rFonts w:ascii="Arial" w:hAnsi="Arial" w:cs="Arial"/>
                <w:b/>
                <w:sz w:val="18"/>
                <w:szCs w:val="18"/>
              </w:rPr>
              <w:t>0,000.00</w:t>
            </w:r>
          </w:p>
        </w:tc>
      </w:tr>
    </w:tbl>
    <w:p w14:paraId="1373876F" w14:textId="77777777" w:rsidR="008F1487" w:rsidRPr="00EF18D4" w:rsidRDefault="008F1487" w:rsidP="008F1487">
      <w:pPr>
        <w:pStyle w:val="ListParagraph"/>
        <w:spacing w:after="0" w:line="240" w:lineRule="auto"/>
        <w:ind w:left="360"/>
        <w:jc w:val="both"/>
        <w:rPr>
          <w:rFonts w:ascii="Verdana" w:hAnsi="Verdana"/>
        </w:rPr>
      </w:pPr>
    </w:p>
    <w:p w14:paraId="521F787A" w14:textId="77777777" w:rsidR="00701236" w:rsidRPr="00EF18D4" w:rsidRDefault="00701236" w:rsidP="00BA47E9">
      <w:pPr>
        <w:pStyle w:val="ListParagraph"/>
        <w:numPr>
          <w:ilvl w:val="1"/>
          <w:numId w:val="20"/>
        </w:numPr>
        <w:spacing w:before="120" w:after="120" w:line="240" w:lineRule="auto"/>
        <w:ind w:left="540" w:hanging="540"/>
        <w:jc w:val="both"/>
        <w:rPr>
          <w:rFonts w:ascii="Arial" w:hAnsi="Arial" w:cs="Arial"/>
        </w:rPr>
      </w:pPr>
      <w:r w:rsidRPr="00EF18D4">
        <w:rPr>
          <w:rFonts w:ascii="Arial" w:hAnsi="Arial" w:cs="Arial"/>
        </w:rPr>
        <w:t xml:space="preserve">Supervision of this TC will be carried out by </w:t>
      </w:r>
      <w:r w:rsidR="00FE1343" w:rsidRPr="00EF18D4">
        <w:rPr>
          <w:rFonts w:ascii="Arial" w:hAnsi="Arial" w:cs="Arial"/>
        </w:rPr>
        <w:t>CID/CME</w:t>
      </w:r>
      <w:r w:rsidRPr="00EF18D4">
        <w:rPr>
          <w:rFonts w:ascii="Arial" w:hAnsi="Arial" w:cs="Arial"/>
        </w:rPr>
        <w:t xml:space="preserve">. The designated focal point and sector specialist responsible for execution will be </w:t>
      </w:r>
      <w:r w:rsidR="008968EB" w:rsidRPr="00EF18D4">
        <w:rPr>
          <w:rFonts w:ascii="Arial" w:hAnsi="Arial" w:cs="Arial"/>
        </w:rPr>
        <w:t xml:space="preserve">an </w:t>
      </w:r>
      <w:r w:rsidRPr="00EF18D4">
        <w:rPr>
          <w:rFonts w:ascii="Arial" w:hAnsi="Arial" w:cs="Arial"/>
        </w:rPr>
        <w:t>LMK/CME Senior Specialist in Labor Markets.</w:t>
      </w:r>
    </w:p>
    <w:p w14:paraId="1C5DC148" w14:textId="77777777" w:rsidR="00701236" w:rsidRPr="00EF18D4" w:rsidRDefault="00701236" w:rsidP="00701236">
      <w:pPr>
        <w:pStyle w:val="ListParagraph"/>
        <w:rPr>
          <w:rFonts w:ascii="Arial" w:hAnsi="Arial" w:cs="Arial"/>
        </w:rPr>
      </w:pPr>
    </w:p>
    <w:p w14:paraId="53CC9C48" w14:textId="77777777" w:rsidR="0095711B" w:rsidRPr="00EF18D4" w:rsidRDefault="0095711B" w:rsidP="00184FDB">
      <w:pPr>
        <w:pStyle w:val="ListParagraph"/>
        <w:numPr>
          <w:ilvl w:val="0"/>
          <w:numId w:val="18"/>
        </w:numPr>
        <w:spacing w:before="120" w:after="120" w:line="240" w:lineRule="auto"/>
        <w:ind w:left="540" w:hanging="540"/>
        <w:contextualSpacing w:val="0"/>
        <w:rPr>
          <w:rFonts w:ascii="Arial" w:hAnsi="Arial" w:cs="Arial"/>
          <w:b/>
        </w:rPr>
      </w:pPr>
      <w:r w:rsidRPr="00EF18D4">
        <w:rPr>
          <w:rFonts w:ascii="Arial" w:hAnsi="Arial" w:cs="Arial"/>
          <w:b/>
        </w:rPr>
        <w:t xml:space="preserve">Executing agency and execution structure </w:t>
      </w:r>
    </w:p>
    <w:p w14:paraId="6B9447AD" w14:textId="360AAFCA" w:rsidR="00CF176B" w:rsidRPr="00EF18D4" w:rsidRDefault="00116E03" w:rsidP="00693EE1">
      <w:pPr>
        <w:spacing w:before="120" w:after="120"/>
        <w:ind w:left="540" w:hanging="540"/>
        <w:jc w:val="both"/>
        <w:rPr>
          <w:rFonts w:ascii="Arial" w:hAnsi="Arial" w:cs="Arial"/>
        </w:rPr>
      </w:pPr>
      <w:r w:rsidRPr="00EF18D4">
        <w:rPr>
          <w:rFonts w:ascii="Arial" w:hAnsi="Arial" w:cs="Arial"/>
        </w:rPr>
        <w:t>4.1</w:t>
      </w:r>
      <w:r w:rsidRPr="00EF18D4">
        <w:rPr>
          <w:rFonts w:ascii="Arial" w:hAnsi="Arial" w:cs="Arial"/>
        </w:rPr>
        <w:tab/>
      </w:r>
      <w:r w:rsidR="00693EE1" w:rsidRPr="00EF18D4">
        <w:rPr>
          <w:rFonts w:ascii="Arial" w:hAnsi="Arial" w:cs="Arial"/>
        </w:rPr>
        <w:t>The Mexican federal government, through the Finance Ministry (SHCP) on behalf of the Ministry of Labor (STPS) has requested that the Bank execute this Technical Cooperation in its request letter (see annex). The Labor Markets Division (SCL/LMK) has the relevant background, skills, and technical experience to carry out this technical cooperation, in addition to a long record of accomplishment of support with STPS.</w:t>
      </w:r>
      <w:r w:rsidR="00A817F7" w:rsidRPr="00EF18D4">
        <w:rPr>
          <w:rFonts w:ascii="Arial" w:hAnsi="Arial" w:cs="Arial"/>
        </w:rPr>
        <w:t xml:space="preserve"> </w:t>
      </w:r>
      <w:r w:rsidR="00B323B7" w:rsidRPr="00EF18D4">
        <w:rPr>
          <w:rFonts w:ascii="Arial" w:hAnsi="Arial" w:cs="Arial"/>
        </w:rPr>
        <w:t xml:space="preserve">Furthermore, the Bank will closely conduct </w:t>
      </w:r>
      <w:r w:rsidR="007B7070" w:rsidRPr="00EF18D4">
        <w:rPr>
          <w:rFonts w:ascii="Arial" w:hAnsi="Arial" w:cs="Arial"/>
        </w:rPr>
        <w:t xml:space="preserve">with the STPS </w:t>
      </w:r>
      <w:r w:rsidR="00B323B7" w:rsidRPr="00EF18D4">
        <w:rPr>
          <w:rFonts w:ascii="Arial" w:hAnsi="Arial" w:cs="Arial"/>
        </w:rPr>
        <w:t>the</w:t>
      </w:r>
      <w:r w:rsidR="00A817F7" w:rsidRPr="00EF18D4">
        <w:rPr>
          <w:rFonts w:ascii="Arial" w:hAnsi="Arial" w:cs="Arial"/>
        </w:rPr>
        <w:t xml:space="preserve"> activities considered in this TC </w:t>
      </w:r>
      <w:r w:rsidR="00B323B7" w:rsidRPr="00EF18D4">
        <w:rPr>
          <w:rFonts w:ascii="Arial" w:hAnsi="Arial" w:cs="Arial"/>
        </w:rPr>
        <w:t xml:space="preserve">in order </w:t>
      </w:r>
      <w:r w:rsidR="003F73BE" w:rsidRPr="00EF18D4">
        <w:rPr>
          <w:rFonts w:ascii="Arial" w:hAnsi="Arial" w:cs="Arial"/>
        </w:rPr>
        <w:t>to increase their impact in policy making.</w:t>
      </w:r>
    </w:p>
    <w:p w14:paraId="260FB54D" w14:textId="70214F39" w:rsidR="00CF176B" w:rsidRPr="00EF18D4" w:rsidRDefault="00116E03" w:rsidP="00190A1F">
      <w:pPr>
        <w:spacing w:after="0" w:line="240" w:lineRule="auto"/>
        <w:ind w:left="540" w:hanging="540"/>
        <w:jc w:val="both"/>
        <w:rPr>
          <w:rFonts w:ascii="Arial" w:hAnsi="Arial" w:cs="Arial"/>
        </w:rPr>
      </w:pPr>
      <w:r w:rsidRPr="00EF18D4">
        <w:rPr>
          <w:rFonts w:ascii="Arial" w:hAnsi="Arial" w:cs="Arial"/>
        </w:rPr>
        <w:t>4.2</w:t>
      </w:r>
      <w:r w:rsidRPr="00EF18D4">
        <w:rPr>
          <w:rFonts w:ascii="Arial" w:hAnsi="Arial" w:cs="Arial"/>
        </w:rPr>
        <w:tab/>
      </w:r>
      <w:r w:rsidRPr="00EF18D4">
        <w:rPr>
          <w:rFonts w:ascii="Arial" w:hAnsi="Arial" w:cs="Arial"/>
          <w:b/>
        </w:rPr>
        <w:t>Procurement</w:t>
      </w:r>
      <w:r w:rsidRPr="00EF18D4">
        <w:rPr>
          <w:rFonts w:ascii="Arial" w:hAnsi="Arial" w:cs="Arial"/>
        </w:rPr>
        <w:t xml:space="preserve">. </w:t>
      </w:r>
      <w:r w:rsidR="00CF176B" w:rsidRPr="00EF18D4">
        <w:rPr>
          <w:rFonts w:ascii="Arial" w:hAnsi="Arial" w:cs="Arial"/>
        </w:rPr>
        <w:t>The Bank will contract the services of individual consultants, consulting firms and different consulting services, in accordance with the policies and procedures in force in the Bank</w:t>
      </w:r>
      <w:r w:rsidR="007B7070" w:rsidRPr="00EF18D4">
        <w:rPr>
          <w:rFonts w:ascii="Arial" w:hAnsi="Arial" w:cs="Arial"/>
        </w:rPr>
        <w:t>. This is justified by the need to</w:t>
      </w:r>
      <w:r w:rsidR="00CC2096" w:rsidRPr="00EF18D4">
        <w:rPr>
          <w:rFonts w:ascii="Arial" w:hAnsi="Arial" w:cs="Arial"/>
        </w:rPr>
        <w:t xml:space="preserve"> enhance impartiality in conducted </w:t>
      </w:r>
      <w:r w:rsidR="00CA16A6" w:rsidRPr="00EF18D4">
        <w:rPr>
          <w:rFonts w:ascii="Arial" w:hAnsi="Arial" w:cs="Arial"/>
        </w:rPr>
        <w:t xml:space="preserve">evaluations and </w:t>
      </w:r>
      <w:r w:rsidR="00CC2096" w:rsidRPr="00EF18D4">
        <w:rPr>
          <w:rFonts w:ascii="Arial" w:hAnsi="Arial" w:cs="Arial"/>
        </w:rPr>
        <w:t>studies</w:t>
      </w:r>
      <w:r w:rsidR="007B7070" w:rsidRPr="00EF18D4">
        <w:rPr>
          <w:rFonts w:ascii="Arial" w:hAnsi="Arial" w:cs="Arial"/>
        </w:rPr>
        <w:t>, as considered in document GN</w:t>
      </w:r>
      <w:r w:rsidR="002943F2" w:rsidRPr="00EF18D4">
        <w:rPr>
          <w:rFonts w:ascii="Arial" w:hAnsi="Arial" w:cs="Arial"/>
        </w:rPr>
        <w:noBreakHyphen/>
      </w:r>
      <w:r w:rsidR="007B7070" w:rsidRPr="00EF18D4">
        <w:rPr>
          <w:rFonts w:ascii="Arial" w:hAnsi="Arial" w:cs="Arial"/>
        </w:rPr>
        <w:t xml:space="preserve">2629-1, </w:t>
      </w:r>
      <w:r w:rsidR="00CA16A6" w:rsidRPr="00EF18D4">
        <w:rPr>
          <w:rFonts w:ascii="Arial" w:hAnsi="Arial" w:cs="Arial"/>
        </w:rPr>
        <w:t>A</w:t>
      </w:r>
      <w:r w:rsidR="007B7070" w:rsidRPr="00EF18D4">
        <w:rPr>
          <w:rFonts w:ascii="Arial" w:hAnsi="Arial" w:cs="Arial"/>
        </w:rPr>
        <w:t>nnex 10</w:t>
      </w:r>
      <w:r w:rsidR="002F1B44" w:rsidRPr="00EF18D4">
        <w:rPr>
          <w:rFonts w:ascii="Arial" w:hAnsi="Arial" w:cs="Arial"/>
        </w:rPr>
        <w:t>, regarding the special circumstances and criteria for Operational Support and Client Support TCs</w:t>
      </w:r>
      <w:r w:rsidR="00CF176B" w:rsidRPr="00EF18D4">
        <w:rPr>
          <w:rFonts w:ascii="Arial" w:hAnsi="Arial" w:cs="Arial"/>
        </w:rPr>
        <w:t xml:space="preserve">. To this end, </w:t>
      </w:r>
      <w:r w:rsidR="002F1B44" w:rsidRPr="00EF18D4">
        <w:rPr>
          <w:rFonts w:ascii="Arial" w:eastAsia="Times New Roman" w:hAnsi="Arial" w:cs="Arial"/>
        </w:rPr>
        <w:t>all activities to be executed under this TC have been included in the Procurement Plan (see Annex IV) and will be contracted in accordance with Bank policies as follows:  (a) AM-650 for Individual consultants; (b) GN-2765-1 and Guidelines OP-1155-4 for Consulting Firms for services of an intellectual nature and; (c) GN-2303-20 for logistics and other related services</w:t>
      </w:r>
      <w:r w:rsidR="00165237" w:rsidRPr="00EF18D4">
        <w:rPr>
          <w:rFonts w:ascii="Arial" w:eastAsia="Times New Roman" w:hAnsi="Arial" w:cs="Arial"/>
        </w:rPr>
        <w:t>.</w:t>
      </w:r>
      <w:r w:rsidR="00165237" w:rsidRPr="00EF18D4">
        <w:rPr>
          <w:rFonts w:eastAsia="Times New Roman"/>
        </w:rPr>
        <w:t xml:space="preserve"> </w:t>
      </w:r>
    </w:p>
    <w:p w14:paraId="43AB1CF2" w14:textId="1AEF07FE" w:rsidR="00CF176B" w:rsidRPr="00EF18D4" w:rsidRDefault="00116E03" w:rsidP="00116E03">
      <w:pPr>
        <w:spacing w:before="120" w:after="120" w:line="240" w:lineRule="auto"/>
        <w:ind w:left="540" w:hanging="540"/>
        <w:jc w:val="both"/>
        <w:rPr>
          <w:rFonts w:ascii="Arial" w:hAnsi="Arial" w:cs="Arial"/>
        </w:rPr>
      </w:pPr>
      <w:r w:rsidRPr="00EF18D4">
        <w:rPr>
          <w:rFonts w:ascii="Arial" w:hAnsi="Arial" w:cs="Arial"/>
        </w:rPr>
        <w:t>4.3</w:t>
      </w:r>
      <w:r w:rsidRPr="00EF18D4">
        <w:rPr>
          <w:rFonts w:ascii="Arial" w:hAnsi="Arial" w:cs="Arial"/>
        </w:rPr>
        <w:tab/>
      </w:r>
      <w:r w:rsidR="00CF176B" w:rsidRPr="00EF18D4">
        <w:rPr>
          <w:rFonts w:ascii="Arial" w:hAnsi="Arial" w:cs="Arial"/>
        </w:rPr>
        <w:t xml:space="preserve">SCL/LMK will be responsible for the direction, supervision, </w:t>
      </w:r>
      <w:r w:rsidR="00701236" w:rsidRPr="00EF18D4">
        <w:rPr>
          <w:rFonts w:ascii="Arial" w:hAnsi="Arial" w:cs="Arial"/>
        </w:rPr>
        <w:t xml:space="preserve">monitoring </w:t>
      </w:r>
      <w:r w:rsidR="00CF176B" w:rsidRPr="00EF18D4">
        <w:rPr>
          <w:rFonts w:ascii="Arial" w:hAnsi="Arial" w:cs="Arial"/>
        </w:rPr>
        <w:t>and coordination of the TC</w:t>
      </w:r>
      <w:r w:rsidR="00701236" w:rsidRPr="00EF18D4">
        <w:rPr>
          <w:rFonts w:ascii="Arial" w:hAnsi="Arial" w:cs="Arial"/>
        </w:rPr>
        <w:t xml:space="preserve">, </w:t>
      </w:r>
      <w:r w:rsidRPr="00EF18D4">
        <w:rPr>
          <w:rFonts w:ascii="Arial" w:hAnsi="Arial" w:cs="Arial"/>
        </w:rPr>
        <w:t>in</w:t>
      </w:r>
      <w:r w:rsidR="00506C6C" w:rsidRPr="00EF18D4">
        <w:rPr>
          <w:rFonts w:ascii="Arial" w:hAnsi="Arial" w:cs="Arial"/>
        </w:rPr>
        <w:t xml:space="preserve"> active</w:t>
      </w:r>
      <w:r w:rsidRPr="00EF18D4">
        <w:rPr>
          <w:rFonts w:ascii="Arial" w:hAnsi="Arial" w:cs="Arial"/>
        </w:rPr>
        <w:t xml:space="preserve"> coordination </w:t>
      </w:r>
      <w:r w:rsidR="00506C6C" w:rsidRPr="00EF18D4">
        <w:rPr>
          <w:rFonts w:ascii="Arial" w:hAnsi="Arial" w:cs="Arial"/>
        </w:rPr>
        <w:t xml:space="preserve">and consultation </w:t>
      </w:r>
      <w:r w:rsidR="00701236" w:rsidRPr="00EF18D4">
        <w:rPr>
          <w:rFonts w:ascii="Arial" w:hAnsi="Arial" w:cs="Arial"/>
        </w:rPr>
        <w:t xml:space="preserve">with </w:t>
      </w:r>
      <w:r w:rsidRPr="00EF18D4">
        <w:rPr>
          <w:rFonts w:ascii="Arial" w:hAnsi="Arial" w:cs="Arial"/>
        </w:rPr>
        <w:t xml:space="preserve">the </w:t>
      </w:r>
      <w:r w:rsidR="0002296D" w:rsidRPr="00EF18D4">
        <w:rPr>
          <w:rFonts w:ascii="Arial" w:hAnsi="Arial" w:cs="Arial"/>
        </w:rPr>
        <w:t>STPS</w:t>
      </w:r>
      <w:r w:rsidR="00CE4C83" w:rsidRPr="00EF18D4">
        <w:rPr>
          <w:rFonts w:ascii="Arial" w:hAnsi="Arial" w:cs="Arial"/>
        </w:rPr>
        <w:t xml:space="preserve">. </w:t>
      </w:r>
      <w:r w:rsidR="00CF176B" w:rsidRPr="00EF18D4">
        <w:rPr>
          <w:rFonts w:ascii="Arial" w:hAnsi="Arial" w:cs="Arial"/>
        </w:rPr>
        <w:t xml:space="preserve">SCL/LMK will submit annual reports and a final report to the donor. </w:t>
      </w:r>
      <w:r w:rsidRPr="00EF18D4">
        <w:rPr>
          <w:rFonts w:ascii="Arial" w:hAnsi="Arial" w:cs="Arial"/>
        </w:rPr>
        <w:t xml:space="preserve"> </w:t>
      </w:r>
    </w:p>
    <w:p w14:paraId="1DB095AB" w14:textId="34BA539C" w:rsidR="009C40DE" w:rsidRPr="00EF18D4" w:rsidRDefault="00506C6C" w:rsidP="00184FDB">
      <w:pPr>
        <w:spacing w:before="120" w:after="120" w:line="240" w:lineRule="auto"/>
        <w:ind w:left="540" w:hanging="540"/>
        <w:jc w:val="both"/>
        <w:rPr>
          <w:rFonts w:ascii="Arial" w:hAnsi="Arial" w:cs="Arial"/>
        </w:rPr>
      </w:pPr>
      <w:r w:rsidRPr="00EF18D4">
        <w:rPr>
          <w:rFonts w:ascii="Arial" w:hAnsi="Arial" w:cs="Arial"/>
        </w:rPr>
        <w:t>4.4</w:t>
      </w:r>
      <w:r w:rsidRPr="00EF18D4">
        <w:rPr>
          <w:rFonts w:ascii="Arial" w:hAnsi="Arial" w:cs="Arial"/>
        </w:rPr>
        <w:tab/>
      </w:r>
      <w:r w:rsidRPr="00EF18D4">
        <w:rPr>
          <w:rFonts w:ascii="Arial" w:hAnsi="Arial" w:cs="Arial"/>
          <w:b/>
        </w:rPr>
        <w:t xml:space="preserve">Sustainability. </w:t>
      </w:r>
      <w:r w:rsidRPr="00EF18D4">
        <w:rPr>
          <w:rFonts w:ascii="Arial" w:hAnsi="Arial" w:cs="Arial"/>
        </w:rPr>
        <w:t xml:space="preserve">This TC is designed to support the Bank’s client the </w:t>
      </w:r>
      <w:r w:rsidR="00804771" w:rsidRPr="00EF18D4">
        <w:rPr>
          <w:rFonts w:ascii="Arial" w:hAnsi="Arial" w:cs="Arial"/>
        </w:rPr>
        <w:t>STPS</w:t>
      </w:r>
      <w:r w:rsidRPr="00EF18D4">
        <w:rPr>
          <w:rFonts w:ascii="Arial" w:hAnsi="Arial" w:cs="Arial"/>
        </w:rPr>
        <w:t xml:space="preserve"> primarily through </w:t>
      </w:r>
      <w:r w:rsidR="00494FB5" w:rsidRPr="00EF18D4">
        <w:rPr>
          <w:rFonts w:ascii="Arial" w:hAnsi="Arial" w:cs="Arial"/>
        </w:rPr>
        <w:t>activities</w:t>
      </w:r>
      <w:r w:rsidRPr="00EF18D4">
        <w:rPr>
          <w:rFonts w:ascii="Arial" w:hAnsi="Arial" w:cs="Arial"/>
        </w:rPr>
        <w:t xml:space="preserve"> related to strategy, planning, and design in priority areas</w:t>
      </w:r>
      <w:r w:rsidR="00494FB5" w:rsidRPr="00EF18D4">
        <w:rPr>
          <w:rFonts w:ascii="Arial" w:hAnsi="Arial" w:cs="Arial"/>
        </w:rPr>
        <w:t xml:space="preserve"> of opportunity (labor market policies, </w:t>
      </w:r>
      <w:r w:rsidR="00C47F97" w:rsidRPr="00EF18D4">
        <w:rPr>
          <w:rFonts w:ascii="Arial" w:hAnsi="Arial" w:cs="Arial"/>
        </w:rPr>
        <w:t xml:space="preserve">youth employment program, and </w:t>
      </w:r>
      <w:r w:rsidR="00494FB5" w:rsidRPr="00EF18D4">
        <w:rPr>
          <w:rFonts w:ascii="Arial" w:hAnsi="Arial" w:cs="Arial"/>
        </w:rPr>
        <w:t xml:space="preserve">information and communication technology) that have been identified by the </w:t>
      </w:r>
      <w:r w:rsidR="001440E5" w:rsidRPr="00EF18D4">
        <w:rPr>
          <w:rFonts w:ascii="Arial" w:hAnsi="Arial" w:cs="Arial"/>
        </w:rPr>
        <w:t>STPS</w:t>
      </w:r>
      <w:r w:rsidR="00494FB5" w:rsidRPr="00EF18D4">
        <w:rPr>
          <w:rFonts w:ascii="Arial" w:hAnsi="Arial" w:cs="Arial"/>
        </w:rPr>
        <w:t xml:space="preserve">. Based on these diagnostic and planning documents, which will take into consideration the </w:t>
      </w:r>
      <w:r w:rsidR="00E43D7F" w:rsidRPr="00EF18D4">
        <w:rPr>
          <w:rFonts w:ascii="Arial" w:hAnsi="Arial" w:cs="Arial"/>
        </w:rPr>
        <w:t>STPS</w:t>
      </w:r>
      <w:r w:rsidR="00494FB5" w:rsidRPr="00EF18D4">
        <w:rPr>
          <w:rFonts w:ascii="Arial" w:hAnsi="Arial" w:cs="Arial"/>
        </w:rPr>
        <w:t xml:space="preserve">’s capacity, the </w:t>
      </w:r>
      <w:r w:rsidR="00E43D7F" w:rsidRPr="00EF18D4">
        <w:rPr>
          <w:rFonts w:ascii="Arial" w:hAnsi="Arial" w:cs="Arial"/>
        </w:rPr>
        <w:t>STPS</w:t>
      </w:r>
      <w:r w:rsidR="00494FB5" w:rsidRPr="00EF18D4">
        <w:rPr>
          <w:rFonts w:ascii="Arial" w:hAnsi="Arial" w:cs="Arial"/>
        </w:rPr>
        <w:t xml:space="preserve"> will have the resources and technical capacity to choose when and how to implement these plans. The products of this TC will serve as institutional references in a sustainable manner. </w:t>
      </w:r>
      <w:r w:rsidR="007C18B1" w:rsidRPr="00EF18D4">
        <w:rPr>
          <w:rFonts w:ascii="Arial" w:hAnsi="Arial" w:cs="Arial"/>
        </w:rPr>
        <w:t>No study or intervention will be conducted without the opinion of the SNE that the process can lead to an internalization of the knowledge into the day-to-day operation of the SNE.</w:t>
      </w:r>
    </w:p>
    <w:p w14:paraId="1A6A8E60" w14:textId="77777777" w:rsidR="0095711B" w:rsidRPr="00EF18D4" w:rsidRDefault="0087190C" w:rsidP="00184FDB">
      <w:pPr>
        <w:pStyle w:val="ListParagraph"/>
        <w:numPr>
          <w:ilvl w:val="0"/>
          <w:numId w:val="18"/>
        </w:numPr>
        <w:spacing w:before="120" w:after="120" w:line="240" w:lineRule="auto"/>
        <w:ind w:left="540" w:hanging="540"/>
        <w:contextualSpacing w:val="0"/>
        <w:rPr>
          <w:rFonts w:ascii="Arial" w:hAnsi="Arial" w:cs="Arial"/>
          <w:b/>
        </w:rPr>
      </w:pPr>
      <w:r w:rsidRPr="00EF18D4">
        <w:rPr>
          <w:rFonts w:ascii="Arial" w:hAnsi="Arial" w:cs="Arial"/>
          <w:b/>
        </w:rPr>
        <w:t>M</w:t>
      </w:r>
      <w:r w:rsidR="0095711B" w:rsidRPr="00EF18D4">
        <w:rPr>
          <w:rFonts w:ascii="Arial" w:hAnsi="Arial" w:cs="Arial"/>
          <w:b/>
        </w:rPr>
        <w:t xml:space="preserve">ajor issues </w:t>
      </w:r>
    </w:p>
    <w:p w14:paraId="29A24520" w14:textId="6B264C4E" w:rsidR="00184FDB" w:rsidRPr="00EF18D4" w:rsidRDefault="00116E03" w:rsidP="00184FDB">
      <w:pPr>
        <w:shd w:val="clear" w:color="auto" w:fill="FFFFFF" w:themeFill="background1"/>
        <w:spacing w:before="120" w:after="0" w:line="240" w:lineRule="auto"/>
        <w:ind w:left="540" w:hanging="540"/>
        <w:jc w:val="both"/>
        <w:rPr>
          <w:rFonts w:ascii="Arial" w:hAnsi="Arial" w:cs="Arial"/>
        </w:rPr>
      </w:pPr>
      <w:r w:rsidRPr="00EF18D4">
        <w:rPr>
          <w:rFonts w:ascii="Arial" w:hAnsi="Arial" w:cs="Arial"/>
        </w:rPr>
        <w:t>5.1</w:t>
      </w:r>
      <w:r w:rsidRPr="00EF18D4">
        <w:rPr>
          <w:rFonts w:ascii="Arial" w:hAnsi="Arial" w:cs="Arial"/>
        </w:rPr>
        <w:tab/>
      </w:r>
      <w:r w:rsidR="00E74DCC" w:rsidRPr="00EF18D4">
        <w:rPr>
          <w:rFonts w:ascii="Arial" w:hAnsi="Arial" w:cs="Arial"/>
        </w:rPr>
        <w:t>There is a risk that the new government does not accomplish the expected goals due to budget constraints in order to cover the needs of technical staff, technological alternatives, research and evaluation for better results.</w:t>
      </w:r>
      <w:r w:rsidR="00A801A3" w:rsidRPr="00EF18D4">
        <w:rPr>
          <w:rFonts w:ascii="Arial" w:hAnsi="Arial" w:cs="Arial"/>
        </w:rPr>
        <w:t xml:space="preserve"> </w:t>
      </w:r>
      <w:r w:rsidR="001440E5" w:rsidRPr="00EF18D4">
        <w:rPr>
          <w:rFonts w:ascii="Arial" w:hAnsi="Arial" w:cs="Arial"/>
        </w:rPr>
        <w:t xml:space="preserve">Considering the strong involvement of the private sector in the JCF program and the IDB technical support to the STPS since 1997, this risk is not considered high and will be mitigated with the close dialogue that has been established with the new authorities since the past elections. </w:t>
      </w:r>
    </w:p>
    <w:p w14:paraId="39FFD057" w14:textId="77777777" w:rsidR="00F72899" w:rsidRPr="00EF18D4" w:rsidRDefault="00F72899" w:rsidP="00184FDB">
      <w:pPr>
        <w:pStyle w:val="ListParagraph"/>
        <w:numPr>
          <w:ilvl w:val="0"/>
          <w:numId w:val="18"/>
        </w:numPr>
        <w:spacing w:before="120" w:after="120" w:line="240" w:lineRule="auto"/>
        <w:ind w:left="540" w:hanging="540"/>
        <w:contextualSpacing w:val="0"/>
        <w:rPr>
          <w:rFonts w:ascii="Arial" w:hAnsi="Arial" w:cs="Arial"/>
          <w:b/>
        </w:rPr>
      </w:pPr>
      <w:r w:rsidRPr="00EF18D4">
        <w:rPr>
          <w:rFonts w:ascii="Arial" w:hAnsi="Arial" w:cs="Arial"/>
          <w:b/>
        </w:rPr>
        <w:t>Exceptions to Bank policy</w:t>
      </w:r>
    </w:p>
    <w:p w14:paraId="03C12E8D" w14:textId="374A34DD" w:rsidR="00184FDB" w:rsidRPr="00EF18D4" w:rsidRDefault="00116E03" w:rsidP="00184FDB">
      <w:pPr>
        <w:spacing w:before="120" w:after="0" w:line="240" w:lineRule="auto"/>
        <w:ind w:left="540" w:hanging="540"/>
        <w:jc w:val="both"/>
        <w:rPr>
          <w:rFonts w:ascii="Arial" w:hAnsi="Arial" w:cs="Arial"/>
        </w:rPr>
      </w:pPr>
      <w:r w:rsidRPr="00EF18D4">
        <w:rPr>
          <w:rFonts w:ascii="Arial" w:hAnsi="Arial" w:cs="Arial"/>
        </w:rPr>
        <w:t>6.1</w:t>
      </w:r>
      <w:r w:rsidRPr="00EF18D4">
        <w:rPr>
          <w:rFonts w:ascii="Arial" w:hAnsi="Arial" w:cs="Arial"/>
        </w:rPr>
        <w:tab/>
      </w:r>
      <w:r w:rsidR="00273F6B" w:rsidRPr="00EF18D4">
        <w:rPr>
          <w:rFonts w:ascii="Arial" w:hAnsi="Arial" w:cs="Arial"/>
        </w:rPr>
        <w:t>None.</w:t>
      </w:r>
      <w:r w:rsidR="00F72899" w:rsidRPr="00EF18D4">
        <w:rPr>
          <w:rFonts w:ascii="Arial" w:hAnsi="Arial" w:cs="Arial"/>
        </w:rPr>
        <w:t xml:space="preserve"> </w:t>
      </w:r>
    </w:p>
    <w:p w14:paraId="61F22A77" w14:textId="77777777" w:rsidR="0095711B" w:rsidRPr="00EF18D4" w:rsidRDefault="0095711B" w:rsidP="00184FDB">
      <w:pPr>
        <w:pStyle w:val="ListParagraph"/>
        <w:numPr>
          <w:ilvl w:val="0"/>
          <w:numId w:val="18"/>
        </w:numPr>
        <w:spacing w:before="120" w:after="120" w:line="240" w:lineRule="auto"/>
        <w:ind w:left="540" w:hanging="540"/>
        <w:contextualSpacing w:val="0"/>
        <w:rPr>
          <w:rFonts w:ascii="Arial" w:hAnsi="Arial" w:cs="Arial"/>
          <w:b/>
        </w:rPr>
      </w:pPr>
      <w:r w:rsidRPr="00EF18D4">
        <w:rPr>
          <w:rFonts w:ascii="Arial" w:hAnsi="Arial" w:cs="Arial"/>
          <w:b/>
        </w:rPr>
        <w:t>Environmental and Social Strategy</w:t>
      </w:r>
      <w:r w:rsidR="00531E51" w:rsidRPr="00EF18D4">
        <w:rPr>
          <w:rFonts w:ascii="Arial" w:hAnsi="Arial" w:cs="Arial"/>
          <w:b/>
        </w:rPr>
        <w:t xml:space="preserve"> </w:t>
      </w:r>
    </w:p>
    <w:p w14:paraId="15D47CF2" w14:textId="24B79A30" w:rsidR="00D01166" w:rsidRPr="00EF18D4" w:rsidRDefault="00116E03" w:rsidP="00D01166">
      <w:pPr>
        <w:spacing w:after="0" w:line="240" w:lineRule="auto"/>
        <w:ind w:left="540" w:hanging="540"/>
        <w:jc w:val="both"/>
        <w:rPr>
          <w:rFonts w:ascii="Arial" w:hAnsi="Arial" w:cs="Arial"/>
        </w:rPr>
      </w:pPr>
      <w:r w:rsidRPr="00EF18D4">
        <w:rPr>
          <w:rFonts w:ascii="Arial" w:hAnsi="Arial" w:cs="Arial"/>
        </w:rPr>
        <w:t>7.1</w:t>
      </w:r>
      <w:r w:rsidRPr="00EF18D4">
        <w:rPr>
          <w:rFonts w:ascii="Arial" w:hAnsi="Arial" w:cs="Arial"/>
        </w:rPr>
        <w:tab/>
      </w:r>
      <w:r w:rsidR="00273F6B" w:rsidRPr="00EF18D4">
        <w:rPr>
          <w:rFonts w:ascii="Arial" w:hAnsi="Arial" w:cs="Arial"/>
        </w:rPr>
        <w:t xml:space="preserve">Due to the nature of this TC, we do not expect it to have any </w:t>
      </w:r>
      <w:r w:rsidR="005C3D7E" w:rsidRPr="00EF18D4">
        <w:rPr>
          <w:rFonts w:ascii="Arial" w:hAnsi="Arial" w:cs="Arial"/>
        </w:rPr>
        <w:t xml:space="preserve">significant </w:t>
      </w:r>
      <w:r w:rsidR="00273F6B" w:rsidRPr="00EF18D4">
        <w:rPr>
          <w:rFonts w:ascii="Arial" w:hAnsi="Arial" w:cs="Arial"/>
        </w:rPr>
        <w:t>negative social or environmental impact. Therefore, it has been classified as category C. See safeguards</w:t>
      </w:r>
      <w:r w:rsidR="00324499" w:rsidRPr="00EF18D4">
        <w:rPr>
          <w:rFonts w:ascii="Arial" w:hAnsi="Arial" w:cs="Arial"/>
        </w:rPr>
        <w:t xml:space="preserve"> </w:t>
      </w:r>
      <w:r w:rsidR="00D01166" w:rsidRPr="00EF18D4">
        <w:rPr>
          <w:rFonts w:ascii="Arial" w:hAnsi="Arial" w:cs="Arial"/>
        </w:rPr>
        <w:t xml:space="preserve">See safeguards See safeguards </w:t>
      </w:r>
      <w:hyperlink r:id="rId9" w:history="1">
        <w:r w:rsidR="00BF0DF0" w:rsidRPr="00EF18D4">
          <w:rPr>
            <w:rStyle w:val="Hyperlink"/>
            <w:rFonts w:ascii="Arial" w:hAnsi="Arial" w:cs="Arial"/>
            <w:sz w:val="20"/>
            <w:szCs w:val="20"/>
          </w:rPr>
          <w:t>SP</w:t>
        </w:r>
        <w:r w:rsidR="00BF0DF0" w:rsidRPr="00EF18D4">
          <w:rPr>
            <w:rStyle w:val="Hyperlink"/>
            <w:rFonts w:ascii="Arial" w:hAnsi="Arial" w:cs="Arial"/>
            <w:sz w:val="20"/>
            <w:szCs w:val="20"/>
          </w:rPr>
          <w:t>F</w:t>
        </w:r>
      </w:hyperlink>
      <w:r w:rsidR="00D01166" w:rsidRPr="00EF18D4">
        <w:rPr>
          <w:rFonts w:ascii="Arial" w:hAnsi="Arial" w:cs="Arial"/>
        </w:rPr>
        <w:t xml:space="preserve"> and </w:t>
      </w:r>
      <w:hyperlink r:id="rId10" w:history="1">
        <w:r w:rsidR="00BF0DF0" w:rsidRPr="00EF18D4">
          <w:rPr>
            <w:rStyle w:val="Hyperlink"/>
            <w:rFonts w:ascii="Arial" w:hAnsi="Arial" w:cs="Arial"/>
            <w:sz w:val="20"/>
            <w:szCs w:val="20"/>
          </w:rPr>
          <w:t>SS</w:t>
        </w:r>
        <w:r w:rsidR="00BF0DF0" w:rsidRPr="00EF18D4">
          <w:rPr>
            <w:rStyle w:val="Hyperlink"/>
            <w:rFonts w:ascii="Arial" w:hAnsi="Arial" w:cs="Arial"/>
            <w:sz w:val="20"/>
            <w:szCs w:val="20"/>
          </w:rPr>
          <w:t>F</w:t>
        </w:r>
      </w:hyperlink>
      <w:r w:rsidR="00D01166" w:rsidRPr="00EF18D4">
        <w:rPr>
          <w:rFonts w:ascii="Arial" w:hAnsi="Arial" w:cs="Arial"/>
        </w:rPr>
        <w:t>.</w:t>
      </w:r>
    </w:p>
    <w:p w14:paraId="13CA13BA" w14:textId="77777777" w:rsidR="00D01166" w:rsidRPr="00EF18D4" w:rsidRDefault="00D01166" w:rsidP="00D01166">
      <w:pPr>
        <w:pStyle w:val="ListParagraph"/>
        <w:numPr>
          <w:ilvl w:val="0"/>
          <w:numId w:val="18"/>
        </w:numPr>
        <w:spacing w:before="120" w:after="120" w:line="240" w:lineRule="auto"/>
        <w:ind w:left="540" w:hanging="540"/>
        <w:jc w:val="both"/>
        <w:rPr>
          <w:rFonts w:ascii="Arial" w:hAnsi="Arial" w:cs="Arial"/>
          <w:b/>
          <w:sz w:val="20"/>
          <w:szCs w:val="20"/>
        </w:rPr>
      </w:pPr>
      <w:r w:rsidRPr="00EF18D4">
        <w:rPr>
          <w:rFonts w:ascii="Arial" w:hAnsi="Arial" w:cs="Arial"/>
          <w:b/>
          <w:sz w:val="20"/>
          <w:szCs w:val="20"/>
        </w:rPr>
        <w:t>Required Annexes:</w:t>
      </w:r>
    </w:p>
    <w:bookmarkStart w:id="1" w:name="_Hlk14701801"/>
    <w:p w14:paraId="4A6388CE" w14:textId="77777777" w:rsidR="00D01166" w:rsidRPr="00EF18D4" w:rsidRDefault="00D01166" w:rsidP="00D01166">
      <w:pPr>
        <w:pStyle w:val="ListParagraph"/>
        <w:numPr>
          <w:ilvl w:val="0"/>
          <w:numId w:val="28"/>
        </w:numPr>
        <w:spacing w:before="120" w:after="120" w:line="240" w:lineRule="auto"/>
        <w:ind w:hanging="450"/>
        <w:jc w:val="both"/>
        <w:rPr>
          <w:rFonts w:ascii="Arial" w:hAnsi="Arial" w:cs="Arial"/>
          <w:sz w:val="20"/>
          <w:szCs w:val="20"/>
        </w:rPr>
      </w:pPr>
      <w:r w:rsidRPr="00EF18D4">
        <w:rPr>
          <w:sz w:val="20"/>
          <w:szCs w:val="20"/>
        </w:rPr>
        <w:fldChar w:fldCharType="begin"/>
      </w:r>
      <w:r w:rsidRPr="00EF18D4">
        <w:rPr>
          <w:sz w:val="20"/>
          <w:szCs w:val="20"/>
        </w:rPr>
        <w:instrText xml:space="preserve"> HYPERLINK "http://idbdocs.iadb.org/wsdocs/getDocument.aspx?DOCNUM=EZSHARE-605604293-10" </w:instrText>
      </w:r>
      <w:r w:rsidRPr="00EF18D4">
        <w:rPr>
          <w:sz w:val="20"/>
          <w:szCs w:val="20"/>
        </w:rPr>
        <w:fldChar w:fldCharType="separate"/>
      </w:r>
      <w:r w:rsidRPr="00EF18D4">
        <w:rPr>
          <w:rStyle w:val="Hyperlink"/>
          <w:rFonts w:ascii="Arial" w:hAnsi="Arial" w:cs="Arial"/>
          <w:sz w:val="20"/>
          <w:szCs w:val="20"/>
        </w:rPr>
        <w:t>Request fro</w:t>
      </w:r>
      <w:r w:rsidRPr="00EF18D4">
        <w:rPr>
          <w:rStyle w:val="Hyperlink"/>
          <w:rFonts w:ascii="Arial" w:hAnsi="Arial" w:cs="Arial"/>
          <w:sz w:val="20"/>
          <w:szCs w:val="20"/>
        </w:rPr>
        <w:t>m</w:t>
      </w:r>
      <w:r w:rsidRPr="00EF18D4">
        <w:rPr>
          <w:rStyle w:val="Hyperlink"/>
          <w:rFonts w:ascii="Arial" w:hAnsi="Arial" w:cs="Arial"/>
          <w:sz w:val="20"/>
          <w:szCs w:val="20"/>
        </w:rPr>
        <w:t xml:space="preserve"> the client</w:t>
      </w:r>
      <w:r w:rsidRPr="00EF18D4">
        <w:rPr>
          <w:rStyle w:val="Hyperlink"/>
          <w:rFonts w:ascii="Arial" w:hAnsi="Arial" w:cs="Arial"/>
          <w:sz w:val="20"/>
          <w:szCs w:val="20"/>
        </w:rPr>
        <w:fldChar w:fldCharType="end"/>
      </w:r>
      <w:bookmarkEnd w:id="1"/>
    </w:p>
    <w:p w14:paraId="6784368D" w14:textId="77777777" w:rsidR="00D01166" w:rsidRPr="00EF18D4" w:rsidRDefault="00D01166" w:rsidP="00D01166">
      <w:pPr>
        <w:pStyle w:val="ListParagraph"/>
        <w:numPr>
          <w:ilvl w:val="0"/>
          <w:numId w:val="28"/>
        </w:numPr>
        <w:spacing w:before="120" w:after="120" w:line="240" w:lineRule="auto"/>
        <w:ind w:hanging="450"/>
        <w:jc w:val="both"/>
        <w:rPr>
          <w:rFonts w:ascii="Arial" w:hAnsi="Arial" w:cs="Arial"/>
          <w:sz w:val="20"/>
          <w:szCs w:val="20"/>
        </w:rPr>
      </w:pPr>
      <w:hyperlink r:id="rId11" w:history="1">
        <w:r w:rsidRPr="00EF18D4">
          <w:rPr>
            <w:rStyle w:val="Hyperlink"/>
            <w:rFonts w:ascii="Arial" w:hAnsi="Arial" w:cs="Arial"/>
            <w:sz w:val="20"/>
            <w:szCs w:val="20"/>
          </w:rPr>
          <w:t>Re</w:t>
        </w:r>
        <w:r w:rsidRPr="00EF18D4">
          <w:rPr>
            <w:rStyle w:val="Hyperlink"/>
            <w:rFonts w:ascii="Arial" w:hAnsi="Arial" w:cs="Arial"/>
            <w:sz w:val="20"/>
            <w:szCs w:val="20"/>
          </w:rPr>
          <w:t>s</w:t>
        </w:r>
        <w:r w:rsidRPr="00EF18D4">
          <w:rPr>
            <w:rStyle w:val="Hyperlink"/>
            <w:rFonts w:ascii="Arial" w:hAnsi="Arial" w:cs="Arial"/>
            <w:sz w:val="20"/>
            <w:szCs w:val="20"/>
          </w:rPr>
          <w:t>ults Matrix</w:t>
        </w:r>
      </w:hyperlink>
      <w:r w:rsidRPr="00EF18D4">
        <w:rPr>
          <w:rFonts w:ascii="Arial" w:hAnsi="Arial" w:cs="Arial"/>
          <w:sz w:val="20"/>
          <w:szCs w:val="20"/>
        </w:rPr>
        <w:t xml:space="preserve"> </w:t>
      </w:r>
    </w:p>
    <w:p w14:paraId="562DB8C1" w14:textId="77777777" w:rsidR="00D01166" w:rsidRPr="00EF18D4" w:rsidRDefault="00D01166" w:rsidP="00D01166">
      <w:pPr>
        <w:pStyle w:val="ListParagraph"/>
        <w:numPr>
          <w:ilvl w:val="0"/>
          <w:numId w:val="28"/>
        </w:numPr>
        <w:spacing w:before="120" w:after="120" w:line="240" w:lineRule="auto"/>
        <w:ind w:hanging="450"/>
        <w:jc w:val="both"/>
        <w:rPr>
          <w:rFonts w:ascii="Arial" w:hAnsi="Arial" w:cs="Arial"/>
          <w:sz w:val="20"/>
          <w:szCs w:val="20"/>
        </w:rPr>
      </w:pPr>
      <w:hyperlink r:id="rId12" w:history="1">
        <w:r w:rsidRPr="00EF18D4">
          <w:rPr>
            <w:rStyle w:val="Hyperlink"/>
            <w:rFonts w:ascii="Arial" w:hAnsi="Arial" w:cs="Arial"/>
            <w:sz w:val="20"/>
            <w:szCs w:val="20"/>
          </w:rPr>
          <w:t>Terms of reference for act</w:t>
        </w:r>
        <w:r w:rsidRPr="00EF18D4">
          <w:rPr>
            <w:rStyle w:val="Hyperlink"/>
            <w:rFonts w:ascii="Arial" w:hAnsi="Arial" w:cs="Arial"/>
            <w:sz w:val="20"/>
            <w:szCs w:val="20"/>
          </w:rPr>
          <w:t>i</w:t>
        </w:r>
        <w:r w:rsidRPr="00EF18D4">
          <w:rPr>
            <w:rStyle w:val="Hyperlink"/>
            <w:rFonts w:ascii="Arial" w:hAnsi="Arial" w:cs="Arial"/>
            <w:sz w:val="20"/>
            <w:szCs w:val="20"/>
          </w:rPr>
          <w:t>vities to be procured</w:t>
        </w:r>
      </w:hyperlink>
      <w:r w:rsidRPr="00EF18D4">
        <w:rPr>
          <w:rFonts w:ascii="Arial" w:hAnsi="Arial" w:cs="Arial"/>
          <w:sz w:val="20"/>
          <w:szCs w:val="20"/>
        </w:rPr>
        <w:t xml:space="preserve"> </w:t>
      </w:r>
    </w:p>
    <w:p w14:paraId="677F4CC0" w14:textId="398CDD42" w:rsidR="00D01166" w:rsidRPr="00EF18D4" w:rsidRDefault="00D01166" w:rsidP="00D01166">
      <w:pPr>
        <w:pStyle w:val="ListParagraph"/>
        <w:numPr>
          <w:ilvl w:val="0"/>
          <w:numId w:val="28"/>
        </w:numPr>
        <w:spacing w:before="120" w:after="120" w:line="240" w:lineRule="auto"/>
        <w:ind w:hanging="450"/>
        <w:jc w:val="both"/>
        <w:rPr>
          <w:rFonts w:ascii="Arial" w:hAnsi="Arial" w:cs="Arial"/>
          <w:sz w:val="20"/>
          <w:szCs w:val="20"/>
        </w:rPr>
      </w:pPr>
      <w:hyperlink r:id="rId13" w:history="1">
        <w:r w:rsidRPr="00EF18D4">
          <w:rPr>
            <w:rStyle w:val="Hyperlink"/>
            <w:rFonts w:ascii="Arial" w:hAnsi="Arial" w:cs="Arial"/>
            <w:sz w:val="20"/>
            <w:szCs w:val="20"/>
          </w:rPr>
          <w:t>Proc</w:t>
        </w:r>
        <w:r w:rsidRPr="00EF18D4">
          <w:rPr>
            <w:rStyle w:val="Hyperlink"/>
            <w:rFonts w:ascii="Arial" w:hAnsi="Arial" w:cs="Arial"/>
            <w:sz w:val="20"/>
            <w:szCs w:val="20"/>
          </w:rPr>
          <w:t>u</w:t>
        </w:r>
        <w:r w:rsidRPr="00EF18D4">
          <w:rPr>
            <w:rStyle w:val="Hyperlink"/>
            <w:rFonts w:ascii="Arial" w:hAnsi="Arial" w:cs="Arial"/>
            <w:sz w:val="20"/>
            <w:szCs w:val="20"/>
          </w:rPr>
          <w:t>rement Plan</w:t>
        </w:r>
      </w:hyperlink>
      <w:r w:rsidRPr="00EF18D4">
        <w:rPr>
          <w:rFonts w:ascii="Arial" w:hAnsi="Arial" w:cs="Arial"/>
          <w:sz w:val="20"/>
          <w:szCs w:val="20"/>
        </w:rPr>
        <w:t xml:space="preserve"> </w:t>
      </w:r>
    </w:p>
    <w:sectPr w:rsidR="00D01166" w:rsidRPr="00EF18D4" w:rsidSect="0059194E">
      <w:headerReference w:type="default" r:id="rId14"/>
      <w:footerReference w:type="default" r:id="rId15"/>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1B98C4" w14:textId="77777777" w:rsidR="00485673" w:rsidRDefault="00485673" w:rsidP="0095711B">
      <w:pPr>
        <w:spacing w:after="0" w:line="240" w:lineRule="auto"/>
      </w:pPr>
      <w:r>
        <w:separator/>
      </w:r>
    </w:p>
  </w:endnote>
  <w:endnote w:type="continuationSeparator" w:id="0">
    <w:p w14:paraId="5A78B348" w14:textId="77777777" w:rsidR="00485673" w:rsidRDefault="00485673"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otham Book">
    <w:panose1 w:val="00000000000000000000"/>
    <w:charset w:val="00"/>
    <w:family w:val="modern"/>
    <w:notTrueType/>
    <w:pitch w:val="variable"/>
    <w:sig w:usb0="A10000FF" w:usb1="4000005B"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58025" w14:textId="77777777" w:rsidR="002125DD" w:rsidRDefault="002125DD">
    <w:pPr>
      <w:pStyle w:val="Footer"/>
      <w:jc w:val="center"/>
    </w:pPr>
  </w:p>
  <w:p w14:paraId="7941CCED" w14:textId="77777777" w:rsidR="002125DD" w:rsidRDefault="00212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EC05AC" w14:textId="77777777" w:rsidR="00485673" w:rsidRDefault="00485673" w:rsidP="0095711B">
      <w:pPr>
        <w:spacing w:after="0" w:line="240" w:lineRule="auto"/>
      </w:pPr>
      <w:r>
        <w:separator/>
      </w:r>
    </w:p>
  </w:footnote>
  <w:footnote w:type="continuationSeparator" w:id="0">
    <w:p w14:paraId="5D080429" w14:textId="77777777" w:rsidR="00485673" w:rsidRDefault="00485673" w:rsidP="0095711B">
      <w:pPr>
        <w:spacing w:after="0" w:line="240" w:lineRule="auto"/>
      </w:pPr>
      <w:r>
        <w:continuationSeparator/>
      </w:r>
    </w:p>
  </w:footnote>
  <w:footnote w:id="1">
    <w:p w14:paraId="01719155" w14:textId="77777777" w:rsidR="00D8571D" w:rsidRPr="00BF0DF0" w:rsidRDefault="00D8571D" w:rsidP="00D8571D">
      <w:pPr>
        <w:pStyle w:val="FootnoteText"/>
        <w:spacing w:after="0"/>
        <w:rPr>
          <w:rFonts w:ascii="Arial" w:hAnsi="Arial" w:cs="Arial"/>
          <w:sz w:val="18"/>
          <w:szCs w:val="18"/>
          <w:lang w:val="en-US"/>
        </w:rPr>
      </w:pPr>
      <w:r w:rsidRPr="00BF0DF0">
        <w:rPr>
          <w:rStyle w:val="FootnoteReference"/>
          <w:rFonts w:ascii="Arial" w:hAnsi="Arial" w:cs="Arial"/>
          <w:sz w:val="18"/>
          <w:szCs w:val="18"/>
        </w:rPr>
        <w:footnoteRef/>
      </w:r>
      <w:r w:rsidRPr="00BF0DF0">
        <w:rPr>
          <w:rFonts w:ascii="Arial" w:hAnsi="Arial" w:cs="Arial"/>
          <w:sz w:val="18"/>
          <w:szCs w:val="18"/>
        </w:rPr>
        <w:t xml:space="preserve"> </w:t>
      </w:r>
      <w:r w:rsidRPr="00BF0DF0">
        <w:rPr>
          <w:rFonts w:ascii="Arial" w:hAnsi="Arial" w:cs="Arial"/>
          <w:sz w:val="18"/>
          <w:szCs w:val="18"/>
          <w:lang w:val="en-US"/>
        </w:rPr>
        <w:t>World Bank, National accounts data, 2018.</w:t>
      </w:r>
    </w:p>
  </w:footnote>
  <w:footnote w:id="2">
    <w:p w14:paraId="7CE12A8A" w14:textId="77777777" w:rsidR="002125DD" w:rsidRPr="00BF0DF0" w:rsidRDefault="002125DD" w:rsidP="00E008CD">
      <w:pPr>
        <w:pStyle w:val="FootnoteText"/>
        <w:spacing w:after="0"/>
        <w:ind w:left="274" w:hanging="274"/>
        <w:rPr>
          <w:rFonts w:ascii="Arial" w:eastAsia="Arial" w:hAnsi="Arial" w:cs="Arial"/>
          <w:sz w:val="18"/>
          <w:szCs w:val="18"/>
        </w:rPr>
      </w:pPr>
      <w:r w:rsidRPr="00BF0DF0">
        <w:rPr>
          <w:rFonts w:ascii="Arial" w:eastAsia="Arial" w:hAnsi="Arial" w:cs="Arial"/>
          <w:sz w:val="18"/>
          <w:szCs w:val="18"/>
        </w:rPr>
        <w:footnoteRef/>
      </w:r>
      <w:r w:rsidRPr="00BF0DF0">
        <w:rPr>
          <w:rFonts w:ascii="Arial" w:eastAsia="Arial" w:hAnsi="Arial" w:cs="Arial"/>
          <w:sz w:val="18"/>
          <w:szCs w:val="18"/>
        </w:rPr>
        <w:t xml:space="preserve"> </w:t>
      </w:r>
      <w:r w:rsidRPr="00BF0DF0">
        <w:rPr>
          <w:rFonts w:ascii="Arial" w:eastAsia="Arial" w:hAnsi="Arial" w:cs="Arial"/>
          <w:sz w:val="18"/>
          <w:szCs w:val="18"/>
          <w:lang w:val="en-US"/>
        </w:rPr>
        <w:t>According to the official country definition</w:t>
      </w:r>
      <w:r w:rsidRPr="00BF0DF0">
        <w:rPr>
          <w:rFonts w:ascii="Arial" w:eastAsia="Arial" w:hAnsi="Arial" w:cs="Arial"/>
          <w:sz w:val="18"/>
          <w:szCs w:val="18"/>
        </w:rPr>
        <w:t xml:space="preserve"> </w:t>
      </w:r>
      <w:hyperlink r:id="rId1" w:history="1">
        <w:r w:rsidRPr="00BF0DF0">
          <w:rPr>
            <w:rStyle w:val="Hyperlink"/>
            <w:rFonts w:ascii="Arial" w:eastAsia="Arial" w:hAnsi="Arial" w:cs="Arial"/>
            <w:sz w:val="18"/>
            <w:szCs w:val="18"/>
          </w:rPr>
          <w:t>http://tinyurl.com/y8oauejm</w:t>
        </w:r>
      </w:hyperlink>
      <w:r w:rsidRPr="00BF0DF0">
        <w:rPr>
          <w:rFonts w:ascii="Arial" w:eastAsia="Arial" w:hAnsi="Arial" w:cs="Arial"/>
          <w:sz w:val="18"/>
          <w:szCs w:val="18"/>
        </w:rPr>
        <w:t>.</w:t>
      </w:r>
    </w:p>
  </w:footnote>
  <w:footnote w:id="3">
    <w:p w14:paraId="6529E6F8" w14:textId="77777777" w:rsidR="002125DD" w:rsidRPr="00BF0DF0" w:rsidRDefault="002125DD" w:rsidP="00E008CD">
      <w:pPr>
        <w:pStyle w:val="FootnoteText"/>
        <w:spacing w:after="0"/>
        <w:ind w:left="274" w:hanging="274"/>
        <w:rPr>
          <w:rFonts w:ascii="Arial" w:eastAsia="Arial" w:hAnsi="Arial" w:cs="Arial"/>
          <w:sz w:val="18"/>
          <w:szCs w:val="18"/>
          <w:lang w:val="es-MX"/>
        </w:rPr>
      </w:pPr>
      <w:r w:rsidRPr="00BF0DF0">
        <w:rPr>
          <w:rFonts w:ascii="Arial" w:eastAsia="Arial" w:hAnsi="Arial" w:cs="Arial"/>
          <w:sz w:val="18"/>
          <w:szCs w:val="18"/>
          <w:lang w:val="en-US"/>
        </w:rPr>
        <w:footnoteRef/>
      </w:r>
      <w:r w:rsidRPr="00BF0DF0">
        <w:rPr>
          <w:rFonts w:ascii="Arial" w:eastAsia="Arial" w:hAnsi="Arial" w:cs="Arial"/>
          <w:sz w:val="18"/>
          <w:szCs w:val="18"/>
          <w:lang w:val="es-MX"/>
        </w:rPr>
        <w:t xml:space="preserve"> Data </w:t>
      </w:r>
      <w:proofErr w:type="spellStart"/>
      <w:r w:rsidRPr="00BF0DF0">
        <w:rPr>
          <w:rFonts w:ascii="Arial" w:eastAsia="Arial" w:hAnsi="Arial" w:cs="Arial"/>
          <w:sz w:val="18"/>
          <w:szCs w:val="18"/>
          <w:lang w:val="es-MX"/>
        </w:rPr>
        <w:t>from</w:t>
      </w:r>
      <w:proofErr w:type="spellEnd"/>
      <w:r w:rsidRPr="00BF0DF0">
        <w:rPr>
          <w:rFonts w:ascii="Arial" w:eastAsia="Arial" w:hAnsi="Arial" w:cs="Arial"/>
          <w:sz w:val="18"/>
          <w:szCs w:val="18"/>
          <w:lang w:val="es-MX"/>
        </w:rPr>
        <w:t xml:space="preserve"> Encuesta Nacional de Ocupación y Empleo (ENOE)</w:t>
      </w:r>
      <w:r w:rsidR="003A3050" w:rsidRPr="00BF0DF0">
        <w:rPr>
          <w:rFonts w:ascii="Arial" w:eastAsia="Arial" w:hAnsi="Arial" w:cs="Arial"/>
          <w:sz w:val="18"/>
          <w:szCs w:val="18"/>
          <w:lang w:val="es-MX"/>
        </w:rPr>
        <w:t>.</w:t>
      </w:r>
    </w:p>
  </w:footnote>
  <w:footnote w:id="4">
    <w:p w14:paraId="138EA09F" w14:textId="77777777" w:rsidR="005156E2" w:rsidRPr="00BF0DF0" w:rsidRDefault="005156E2">
      <w:pPr>
        <w:pStyle w:val="FootnoteText"/>
        <w:rPr>
          <w:rFonts w:ascii="Arial" w:hAnsi="Arial" w:cs="Arial"/>
          <w:sz w:val="18"/>
          <w:szCs w:val="18"/>
          <w:lang w:val="en-US"/>
        </w:rPr>
      </w:pPr>
      <w:r w:rsidRPr="00BF0DF0">
        <w:rPr>
          <w:rStyle w:val="FootnoteReference"/>
          <w:rFonts w:ascii="Arial" w:hAnsi="Arial" w:cs="Arial"/>
          <w:sz w:val="18"/>
          <w:szCs w:val="18"/>
        </w:rPr>
        <w:footnoteRef/>
      </w:r>
      <w:r w:rsidRPr="00BF0DF0">
        <w:rPr>
          <w:rFonts w:ascii="Arial" w:hAnsi="Arial" w:cs="Arial"/>
          <w:sz w:val="18"/>
          <w:szCs w:val="18"/>
        </w:rPr>
        <w:t xml:space="preserve"> </w:t>
      </w:r>
      <w:r w:rsidRPr="00BF0DF0">
        <w:rPr>
          <w:rFonts w:ascii="Arial" w:hAnsi="Arial" w:cs="Arial"/>
          <w:sz w:val="18"/>
          <w:szCs w:val="18"/>
          <w:lang w:val="en-US"/>
        </w:rPr>
        <w:t>Data from ENOE.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4B625" w14:textId="64FF54F3" w:rsidR="002125DD" w:rsidRPr="000C579D" w:rsidRDefault="002125DD">
    <w:pPr>
      <w:pStyle w:val="Header"/>
      <w:jc w:val="center"/>
      <w:rPr>
        <w:rFonts w:ascii="Gotham Book" w:hAnsi="Gotham Book"/>
        <w:sz w:val="18"/>
        <w:szCs w:val="18"/>
      </w:rPr>
    </w:pPr>
    <w:r w:rsidRPr="000C579D">
      <w:rPr>
        <w:rFonts w:ascii="Gotham Book" w:hAnsi="Gotham Book"/>
        <w:sz w:val="18"/>
        <w:szCs w:val="18"/>
      </w:rPr>
      <w:t>- </w:t>
    </w:r>
    <w:sdt>
      <w:sdtPr>
        <w:rPr>
          <w:rFonts w:ascii="Gotham Book" w:hAnsi="Gotham Book"/>
          <w:sz w:val="18"/>
          <w:szCs w:val="18"/>
        </w:rPr>
        <w:id w:val="2129964275"/>
        <w:docPartObj>
          <w:docPartGallery w:val="Page Numbers (Top of Page)"/>
          <w:docPartUnique/>
        </w:docPartObj>
      </w:sdtPr>
      <w:sdtEndPr>
        <w:rPr>
          <w:noProof/>
        </w:rPr>
      </w:sdtEndPr>
      <w:sdtContent>
        <w:r w:rsidRPr="000C579D">
          <w:rPr>
            <w:rFonts w:ascii="Gotham Book" w:hAnsi="Gotham Book"/>
            <w:sz w:val="18"/>
            <w:szCs w:val="18"/>
          </w:rPr>
          <w:fldChar w:fldCharType="begin"/>
        </w:r>
        <w:r w:rsidRPr="000C579D">
          <w:rPr>
            <w:rFonts w:ascii="Gotham Book" w:hAnsi="Gotham Book"/>
            <w:sz w:val="18"/>
            <w:szCs w:val="18"/>
          </w:rPr>
          <w:instrText xml:space="preserve"> PAGE   \* MERGEFORMAT </w:instrText>
        </w:r>
        <w:r w:rsidRPr="000C579D">
          <w:rPr>
            <w:rFonts w:ascii="Gotham Book" w:hAnsi="Gotham Book"/>
            <w:sz w:val="18"/>
            <w:szCs w:val="18"/>
          </w:rPr>
          <w:fldChar w:fldCharType="separate"/>
        </w:r>
        <w:r w:rsidR="00F568C7">
          <w:rPr>
            <w:rFonts w:ascii="Gotham Book" w:hAnsi="Gotham Book"/>
            <w:noProof/>
            <w:sz w:val="18"/>
            <w:szCs w:val="18"/>
          </w:rPr>
          <w:t>7</w:t>
        </w:r>
        <w:r w:rsidRPr="000C579D">
          <w:rPr>
            <w:rFonts w:ascii="Gotham Book" w:hAnsi="Gotham Book"/>
            <w:noProof/>
            <w:sz w:val="18"/>
            <w:szCs w:val="18"/>
          </w:rPr>
          <w:fldChar w:fldCharType="end"/>
        </w:r>
        <w:r w:rsidRPr="000C579D">
          <w:rPr>
            <w:rFonts w:ascii="Gotham Book" w:hAnsi="Gotham Book"/>
            <w:noProof/>
            <w:sz w:val="18"/>
            <w:szCs w:val="18"/>
          </w:rPr>
          <w:t> -</w:t>
        </w:r>
      </w:sdtContent>
    </w:sdt>
  </w:p>
  <w:p w14:paraId="6CBCA718" w14:textId="77777777" w:rsidR="002125DD" w:rsidRDefault="002125DD" w:rsidP="0059194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07DEE"/>
    <w:multiLevelType w:val="hybridMultilevel"/>
    <w:tmpl w:val="E5907A3A"/>
    <w:lvl w:ilvl="0" w:tplc="0C0A0001">
      <w:start w:val="1"/>
      <w:numFmt w:val="bullet"/>
      <w:lvlText w:val=""/>
      <w:lvlJc w:val="left"/>
      <w:pPr>
        <w:ind w:left="1080" w:hanging="72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100A1"/>
    <w:multiLevelType w:val="multilevel"/>
    <w:tmpl w:val="886C19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62412B"/>
    <w:multiLevelType w:val="multilevel"/>
    <w:tmpl w:val="08944EF2"/>
    <w:lvl w:ilvl="0">
      <w:start w:val="3"/>
      <w:numFmt w:val="decimal"/>
      <w:lvlText w:val="%1"/>
      <w:lvlJc w:val="left"/>
      <w:pPr>
        <w:ind w:left="360" w:hanging="360"/>
      </w:pPr>
      <w:rPr>
        <w:rFonts w:hint="default"/>
      </w:rPr>
    </w:lvl>
    <w:lvl w:ilvl="1">
      <w:start w:val="1"/>
      <w:numFmt w:val="lowerRoman"/>
      <w:lvlText w:val="(%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1D905C0C"/>
    <w:multiLevelType w:val="hybridMultilevel"/>
    <w:tmpl w:val="FBAA3A68"/>
    <w:lvl w:ilvl="0" w:tplc="1854B1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DF369C"/>
    <w:multiLevelType w:val="hybridMultilevel"/>
    <w:tmpl w:val="8F0663F8"/>
    <w:lvl w:ilvl="0" w:tplc="6ED8D1B0">
      <w:start w:val="1"/>
      <w:numFmt w:val="lowerRoman"/>
      <w:lvlText w:val="(%1)"/>
      <w:lvlJc w:val="left"/>
      <w:pPr>
        <w:ind w:left="1260" w:hanging="360"/>
      </w:pPr>
      <w:rPr>
        <w:rFonts w:hint="default"/>
      </w:rPr>
    </w:lvl>
    <w:lvl w:ilvl="1" w:tplc="6ED8D1B0">
      <w:start w:val="1"/>
      <w:numFmt w:val="lowerRoman"/>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7" w15:restartNumberingAfterBreak="0">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8" w15:restartNumberingAfterBreak="0">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0E36A8"/>
    <w:multiLevelType w:val="hybridMultilevel"/>
    <w:tmpl w:val="A4A4D080"/>
    <w:lvl w:ilvl="0" w:tplc="11F686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776A12"/>
    <w:multiLevelType w:val="multilevel"/>
    <w:tmpl w:val="E65C17FC"/>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41D24E54"/>
    <w:multiLevelType w:val="hybridMultilevel"/>
    <w:tmpl w:val="6596BCC6"/>
    <w:lvl w:ilvl="0" w:tplc="D3946F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3B01A2"/>
    <w:multiLevelType w:val="multilevel"/>
    <w:tmpl w:val="FF841F98"/>
    <w:lvl w:ilvl="0">
      <w:start w:val="3"/>
      <w:numFmt w:val="decimal"/>
      <w:lvlText w:val="%1"/>
      <w:lvlJc w:val="left"/>
      <w:pPr>
        <w:ind w:left="360" w:hanging="360"/>
      </w:pPr>
      <w:rPr>
        <w:rFonts w:hint="default"/>
      </w:rPr>
    </w:lvl>
    <w:lvl w:ilvl="1">
      <w:start w:val="1"/>
      <w:numFmt w:val="lowerRoman"/>
      <w:lvlText w:val="(%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468F1A70"/>
    <w:multiLevelType w:val="hybridMultilevel"/>
    <w:tmpl w:val="8DB25F52"/>
    <w:lvl w:ilvl="0" w:tplc="DE62DA9E">
      <w:start w:val="1"/>
      <w:numFmt w:val="upperRoman"/>
      <w:lvlText w:val="%1."/>
      <w:lvlJc w:val="left"/>
      <w:pPr>
        <w:ind w:left="225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A90EE6"/>
    <w:multiLevelType w:val="hybridMultilevel"/>
    <w:tmpl w:val="F9027C0E"/>
    <w:lvl w:ilvl="0" w:tplc="6ED8D1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CB2592"/>
    <w:multiLevelType w:val="multilevel"/>
    <w:tmpl w:val="B08EBBD6"/>
    <w:lvl w:ilvl="0">
      <w:start w:val="1"/>
      <w:numFmt w:val="upperRoman"/>
      <w:lvlText w:val="%1."/>
      <w:lvlJc w:val="right"/>
      <w:pPr>
        <w:ind w:left="360" w:hanging="360"/>
      </w:pPr>
      <w:rPr>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9"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D77636"/>
    <w:multiLevelType w:val="hybridMultilevel"/>
    <w:tmpl w:val="73E23A34"/>
    <w:lvl w:ilvl="0" w:tplc="6ED8D1B0">
      <w:start w:val="1"/>
      <w:numFmt w:val="lowerRoman"/>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7576EC"/>
    <w:multiLevelType w:val="multilevel"/>
    <w:tmpl w:val="3D16F276"/>
    <w:lvl w:ilvl="0">
      <w:start w:val="3"/>
      <w:numFmt w:val="decimal"/>
      <w:lvlText w:val="%1"/>
      <w:lvlJc w:val="left"/>
      <w:pPr>
        <w:ind w:left="360" w:hanging="360"/>
      </w:pPr>
      <w:rPr>
        <w:rFonts w:hint="default"/>
      </w:rPr>
    </w:lvl>
    <w:lvl w:ilvl="1">
      <w:start w:val="1"/>
      <w:numFmt w:val="lowerRoman"/>
      <w:lvlText w:val="(%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71995868"/>
    <w:multiLevelType w:val="multilevel"/>
    <w:tmpl w:val="5C9C68BE"/>
    <w:lvl w:ilvl="0">
      <w:start w:val="3"/>
      <w:numFmt w:val="decimal"/>
      <w:lvlText w:val="%1"/>
      <w:lvlJc w:val="left"/>
      <w:pPr>
        <w:ind w:left="360" w:hanging="360"/>
      </w:pPr>
      <w:rPr>
        <w:rFonts w:hint="default"/>
      </w:rPr>
    </w:lvl>
    <w:lvl w:ilvl="1">
      <w:start w:val="1"/>
      <w:numFmt w:val="lowerRoman"/>
      <w:lvlText w:val="(%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15:restartNumberingAfterBreak="0">
    <w:nsid w:val="73DA472B"/>
    <w:multiLevelType w:val="multilevel"/>
    <w:tmpl w:val="CD5250C0"/>
    <w:lvl w:ilvl="0">
      <w:start w:val="1"/>
      <w:numFmt w:val="upperRoman"/>
      <w:lvlText w:val="%1."/>
      <w:lvlJc w:val="right"/>
      <w:pPr>
        <w:ind w:left="360" w:hanging="360"/>
      </w:pPr>
      <w:rPr>
        <w:rFonts w:ascii="Arial" w:eastAsiaTheme="minorEastAsia" w:hAnsi="Arial" w:cs="Arial"/>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1"/>
  </w:num>
  <w:num w:numId="3">
    <w:abstractNumId w:val="19"/>
  </w:num>
  <w:num w:numId="4">
    <w:abstractNumId w:val="26"/>
  </w:num>
  <w:num w:numId="5">
    <w:abstractNumId w:val="25"/>
  </w:num>
  <w:num w:numId="6">
    <w:abstractNumId w:val="6"/>
  </w:num>
  <w:num w:numId="7">
    <w:abstractNumId w:val="7"/>
  </w:num>
  <w:num w:numId="8">
    <w:abstractNumId w:val="9"/>
  </w:num>
  <w:num w:numId="9">
    <w:abstractNumId w:val="20"/>
  </w:num>
  <w:num w:numId="10">
    <w:abstractNumId w:val="22"/>
  </w:num>
  <w:num w:numId="11">
    <w:abstractNumId w:val="1"/>
  </w:num>
  <w:num w:numId="12">
    <w:abstractNumId w:val="8"/>
  </w:num>
  <w:num w:numId="13">
    <w:abstractNumId w:val="1"/>
  </w:num>
  <w:num w:numId="14">
    <w:abstractNumId w:val="13"/>
  </w:num>
  <w:num w:numId="15">
    <w:abstractNumId w:val="10"/>
  </w:num>
  <w:num w:numId="16">
    <w:abstractNumId w:val="4"/>
  </w:num>
  <w:num w:numId="17">
    <w:abstractNumId w:val="17"/>
  </w:num>
  <w:num w:numId="18">
    <w:abstractNumId w:val="15"/>
  </w:num>
  <w:num w:numId="19">
    <w:abstractNumId w:val="2"/>
  </w:num>
  <w:num w:numId="20">
    <w:abstractNumId w:val="12"/>
  </w:num>
  <w:num w:numId="21">
    <w:abstractNumId w:val="23"/>
  </w:num>
  <w:num w:numId="22">
    <w:abstractNumId w:val="14"/>
  </w:num>
  <w:num w:numId="23">
    <w:abstractNumId w:val="3"/>
  </w:num>
  <w:num w:numId="24">
    <w:abstractNumId w:val="24"/>
  </w:num>
  <w:num w:numId="25">
    <w:abstractNumId w:val="21"/>
  </w:num>
  <w:num w:numId="26">
    <w:abstractNumId w:val="5"/>
  </w:num>
  <w:num w:numId="27">
    <w:abstractNumId w:val="18"/>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9"/>
  <w:proofState w:spelling="clean" w:grammar="clean"/>
  <w:doNotTrackFormatting/>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11B"/>
    <w:rsid w:val="00013EF4"/>
    <w:rsid w:val="00017A8D"/>
    <w:rsid w:val="00017B41"/>
    <w:rsid w:val="000203B5"/>
    <w:rsid w:val="0002296D"/>
    <w:rsid w:val="00025DB6"/>
    <w:rsid w:val="000269F9"/>
    <w:rsid w:val="000323E9"/>
    <w:rsid w:val="0003446B"/>
    <w:rsid w:val="000360A0"/>
    <w:rsid w:val="000424D9"/>
    <w:rsid w:val="000444B2"/>
    <w:rsid w:val="000448B4"/>
    <w:rsid w:val="00046AB0"/>
    <w:rsid w:val="0006004F"/>
    <w:rsid w:val="00065D4D"/>
    <w:rsid w:val="000729A2"/>
    <w:rsid w:val="00086CFF"/>
    <w:rsid w:val="000936D2"/>
    <w:rsid w:val="0009516F"/>
    <w:rsid w:val="000B1428"/>
    <w:rsid w:val="000C579D"/>
    <w:rsid w:val="000C5AF9"/>
    <w:rsid w:val="000D1CD4"/>
    <w:rsid w:val="000D6C84"/>
    <w:rsid w:val="000F39D2"/>
    <w:rsid w:val="000F60ED"/>
    <w:rsid w:val="000F744C"/>
    <w:rsid w:val="000F7D75"/>
    <w:rsid w:val="00102DAE"/>
    <w:rsid w:val="0010346E"/>
    <w:rsid w:val="00116E03"/>
    <w:rsid w:val="001232F5"/>
    <w:rsid w:val="00124040"/>
    <w:rsid w:val="00125C3D"/>
    <w:rsid w:val="00126FB0"/>
    <w:rsid w:val="0013057C"/>
    <w:rsid w:val="001316E2"/>
    <w:rsid w:val="001440E5"/>
    <w:rsid w:val="0014743F"/>
    <w:rsid w:val="00155665"/>
    <w:rsid w:val="00163949"/>
    <w:rsid w:val="00165237"/>
    <w:rsid w:val="00170219"/>
    <w:rsid w:val="0017216B"/>
    <w:rsid w:val="00174AFD"/>
    <w:rsid w:val="00181293"/>
    <w:rsid w:val="001814A9"/>
    <w:rsid w:val="00184FDB"/>
    <w:rsid w:val="00190A1F"/>
    <w:rsid w:val="00192A39"/>
    <w:rsid w:val="001933D0"/>
    <w:rsid w:val="001A2A8B"/>
    <w:rsid w:val="001A700F"/>
    <w:rsid w:val="001B112D"/>
    <w:rsid w:val="001B2FB4"/>
    <w:rsid w:val="001C18FD"/>
    <w:rsid w:val="001C3321"/>
    <w:rsid w:val="001D3ECA"/>
    <w:rsid w:val="001D718C"/>
    <w:rsid w:val="001E1596"/>
    <w:rsid w:val="001E55E6"/>
    <w:rsid w:val="001E6B90"/>
    <w:rsid w:val="001F14CC"/>
    <w:rsid w:val="001F41E2"/>
    <w:rsid w:val="001F7559"/>
    <w:rsid w:val="00201279"/>
    <w:rsid w:val="00203ACF"/>
    <w:rsid w:val="00210317"/>
    <w:rsid w:val="00210B22"/>
    <w:rsid w:val="002125DD"/>
    <w:rsid w:val="00221697"/>
    <w:rsid w:val="00225B5A"/>
    <w:rsid w:val="00227EB9"/>
    <w:rsid w:val="00231773"/>
    <w:rsid w:val="0023302F"/>
    <w:rsid w:val="00236249"/>
    <w:rsid w:val="00237D8A"/>
    <w:rsid w:val="00244A9D"/>
    <w:rsid w:val="002633E5"/>
    <w:rsid w:val="00270577"/>
    <w:rsid w:val="00270771"/>
    <w:rsid w:val="00273F6B"/>
    <w:rsid w:val="0028127C"/>
    <w:rsid w:val="00281A56"/>
    <w:rsid w:val="00283316"/>
    <w:rsid w:val="002908E1"/>
    <w:rsid w:val="002943F2"/>
    <w:rsid w:val="00297F97"/>
    <w:rsid w:val="002C3A5E"/>
    <w:rsid w:val="002D0FD5"/>
    <w:rsid w:val="002D4B50"/>
    <w:rsid w:val="002E6C9E"/>
    <w:rsid w:val="002F1B44"/>
    <w:rsid w:val="002F4342"/>
    <w:rsid w:val="00302426"/>
    <w:rsid w:val="0030455E"/>
    <w:rsid w:val="00324499"/>
    <w:rsid w:val="00335B4C"/>
    <w:rsid w:val="00337DA9"/>
    <w:rsid w:val="00340A9C"/>
    <w:rsid w:val="00340BC1"/>
    <w:rsid w:val="00346E79"/>
    <w:rsid w:val="003622D9"/>
    <w:rsid w:val="00384C4C"/>
    <w:rsid w:val="00387745"/>
    <w:rsid w:val="00395A99"/>
    <w:rsid w:val="003A3050"/>
    <w:rsid w:val="003A3830"/>
    <w:rsid w:val="003B4396"/>
    <w:rsid w:val="003C25AE"/>
    <w:rsid w:val="003C42BE"/>
    <w:rsid w:val="003D2892"/>
    <w:rsid w:val="003D609D"/>
    <w:rsid w:val="003E7F67"/>
    <w:rsid w:val="003F19F7"/>
    <w:rsid w:val="003F73BE"/>
    <w:rsid w:val="0041475A"/>
    <w:rsid w:val="00414EBA"/>
    <w:rsid w:val="0041516C"/>
    <w:rsid w:val="00416432"/>
    <w:rsid w:val="0041781E"/>
    <w:rsid w:val="00417FB9"/>
    <w:rsid w:val="004311D4"/>
    <w:rsid w:val="00432253"/>
    <w:rsid w:val="00432CF8"/>
    <w:rsid w:val="00433246"/>
    <w:rsid w:val="0043379A"/>
    <w:rsid w:val="00454218"/>
    <w:rsid w:val="004556F8"/>
    <w:rsid w:val="00463F41"/>
    <w:rsid w:val="00466612"/>
    <w:rsid w:val="004668E4"/>
    <w:rsid w:val="00466C7E"/>
    <w:rsid w:val="0047314E"/>
    <w:rsid w:val="00476DF2"/>
    <w:rsid w:val="004815C5"/>
    <w:rsid w:val="0048209D"/>
    <w:rsid w:val="00482240"/>
    <w:rsid w:val="00485673"/>
    <w:rsid w:val="00494CFD"/>
    <w:rsid w:val="00494FB5"/>
    <w:rsid w:val="004B2D81"/>
    <w:rsid w:val="004C5951"/>
    <w:rsid w:val="004C711B"/>
    <w:rsid w:val="004D5823"/>
    <w:rsid w:val="004D7049"/>
    <w:rsid w:val="004D7057"/>
    <w:rsid w:val="004E47BF"/>
    <w:rsid w:val="004E5D9C"/>
    <w:rsid w:val="004F2834"/>
    <w:rsid w:val="004F386F"/>
    <w:rsid w:val="004F7561"/>
    <w:rsid w:val="004F7E01"/>
    <w:rsid w:val="0050104A"/>
    <w:rsid w:val="00501BB2"/>
    <w:rsid w:val="00506C6C"/>
    <w:rsid w:val="00512024"/>
    <w:rsid w:val="005156E2"/>
    <w:rsid w:val="00515D96"/>
    <w:rsid w:val="00520F58"/>
    <w:rsid w:val="0052247B"/>
    <w:rsid w:val="00531E51"/>
    <w:rsid w:val="005364CE"/>
    <w:rsid w:val="00540A64"/>
    <w:rsid w:val="0054195B"/>
    <w:rsid w:val="00544613"/>
    <w:rsid w:val="00574CD2"/>
    <w:rsid w:val="0058137A"/>
    <w:rsid w:val="005833C9"/>
    <w:rsid w:val="0059194E"/>
    <w:rsid w:val="0059615B"/>
    <w:rsid w:val="005A1056"/>
    <w:rsid w:val="005A4E67"/>
    <w:rsid w:val="005B391D"/>
    <w:rsid w:val="005C0641"/>
    <w:rsid w:val="005C261F"/>
    <w:rsid w:val="005C3D7E"/>
    <w:rsid w:val="005D330B"/>
    <w:rsid w:val="005F3033"/>
    <w:rsid w:val="005F3ABD"/>
    <w:rsid w:val="005F3D5D"/>
    <w:rsid w:val="005F5304"/>
    <w:rsid w:val="00601C8A"/>
    <w:rsid w:val="006063C8"/>
    <w:rsid w:val="00606F55"/>
    <w:rsid w:val="00612ED0"/>
    <w:rsid w:val="006142E8"/>
    <w:rsid w:val="00621F82"/>
    <w:rsid w:val="00622552"/>
    <w:rsid w:val="00626913"/>
    <w:rsid w:val="0062725A"/>
    <w:rsid w:val="00630658"/>
    <w:rsid w:val="00641ED4"/>
    <w:rsid w:val="0065271E"/>
    <w:rsid w:val="00652A6B"/>
    <w:rsid w:val="00666451"/>
    <w:rsid w:val="00670ED1"/>
    <w:rsid w:val="00675E7A"/>
    <w:rsid w:val="00680901"/>
    <w:rsid w:val="00690634"/>
    <w:rsid w:val="00693EE1"/>
    <w:rsid w:val="00696212"/>
    <w:rsid w:val="006A1798"/>
    <w:rsid w:val="006A5094"/>
    <w:rsid w:val="006A691E"/>
    <w:rsid w:val="006B3049"/>
    <w:rsid w:val="006C0EC3"/>
    <w:rsid w:val="006C1D2A"/>
    <w:rsid w:val="006C2E28"/>
    <w:rsid w:val="006E3515"/>
    <w:rsid w:val="00701236"/>
    <w:rsid w:val="00702A56"/>
    <w:rsid w:val="007069EC"/>
    <w:rsid w:val="007125C0"/>
    <w:rsid w:val="00714CD9"/>
    <w:rsid w:val="00717C50"/>
    <w:rsid w:val="00725899"/>
    <w:rsid w:val="007262F2"/>
    <w:rsid w:val="00727449"/>
    <w:rsid w:val="00734296"/>
    <w:rsid w:val="0074120B"/>
    <w:rsid w:val="00746260"/>
    <w:rsid w:val="00756037"/>
    <w:rsid w:val="00757A08"/>
    <w:rsid w:val="00762934"/>
    <w:rsid w:val="007647A0"/>
    <w:rsid w:val="00787208"/>
    <w:rsid w:val="00793924"/>
    <w:rsid w:val="00793E32"/>
    <w:rsid w:val="007A0C87"/>
    <w:rsid w:val="007A537E"/>
    <w:rsid w:val="007B0420"/>
    <w:rsid w:val="007B500B"/>
    <w:rsid w:val="007B6B61"/>
    <w:rsid w:val="007B7070"/>
    <w:rsid w:val="007C0D3B"/>
    <w:rsid w:val="007C18B1"/>
    <w:rsid w:val="007C3374"/>
    <w:rsid w:val="007D065A"/>
    <w:rsid w:val="007D24E0"/>
    <w:rsid w:val="007E2FEE"/>
    <w:rsid w:val="007F26F1"/>
    <w:rsid w:val="00801D9C"/>
    <w:rsid w:val="00804771"/>
    <w:rsid w:val="008052A0"/>
    <w:rsid w:val="00807C07"/>
    <w:rsid w:val="00807F01"/>
    <w:rsid w:val="008137CA"/>
    <w:rsid w:val="00816D4D"/>
    <w:rsid w:val="00824C34"/>
    <w:rsid w:val="00826811"/>
    <w:rsid w:val="008306C4"/>
    <w:rsid w:val="00835A0A"/>
    <w:rsid w:val="008376D8"/>
    <w:rsid w:val="00841608"/>
    <w:rsid w:val="00850D61"/>
    <w:rsid w:val="00853891"/>
    <w:rsid w:val="00857986"/>
    <w:rsid w:val="00865A6F"/>
    <w:rsid w:val="0087190C"/>
    <w:rsid w:val="008739E3"/>
    <w:rsid w:val="008813B9"/>
    <w:rsid w:val="008902BA"/>
    <w:rsid w:val="008968EB"/>
    <w:rsid w:val="00897DC8"/>
    <w:rsid w:val="008A6663"/>
    <w:rsid w:val="008A6F19"/>
    <w:rsid w:val="008C7A68"/>
    <w:rsid w:val="008D1739"/>
    <w:rsid w:val="008E7AC6"/>
    <w:rsid w:val="008F1487"/>
    <w:rsid w:val="008F2A7A"/>
    <w:rsid w:val="009135DE"/>
    <w:rsid w:val="00915206"/>
    <w:rsid w:val="00915667"/>
    <w:rsid w:val="00925C27"/>
    <w:rsid w:val="009267E7"/>
    <w:rsid w:val="009277C7"/>
    <w:rsid w:val="00932B72"/>
    <w:rsid w:val="00933148"/>
    <w:rsid w:val="00933A84"/>
    <w:rsid w:val="00934614"/>
    <w:rsid w:val="00934C12"/>
    <w:rsid w:val="009511ED"/>
    <w:rsid w:val="0095122E"/>
    <w:rsid w:val="00953879"/>
    <w:rsid w:val="00955553"/>
    <w:rsid w:val="0095711B"/>
    <w:rsid w:val="00960C4C"/>
    <w:rsid w:val="00961945"/>
    <w:rsid w:val="009701B7"/>
    <w:rsid w:val="00986171"/>
    <w:rsid w:val="00986FBA"/>
    <w:rsid w:val="00991913"/>
    <w:rsid w:val="00994684"/>
    <w:rsid w:val="009A0FB1"/>
    <w:rsid w:val="009B3668"/>
    <w:rsid w:val="009B7245"/>
    <w:rsid w:val="009C0EB4"/>
    <w:rsid w:val="009C40DE"/>
    <w:rsid w:val="009C5AEE"/>
    <w:rsid w:val="009C5C06"/>
    <w:rsid w:val="009C5D52"/>
    <w:rsid w:val="009D5899"/>
    <w:rsid w:val="009E10EF"/>
    <w:rsid w:val="009F33FF"/>
    <w:rsid w:val="009F3CA2"/>
    <w:rsid w:val="00A067E6"/>
    <w:rsid w:val="00A07BE2"/>
    <w:rsid w:val="00A10CD5"/>
    <w:rsid w:val="00A12C27"/>
    <w:rsid w:val="00A12CBE"/>
    <w:rsid w:val="00A13EE1"/>
    <w:rsid w:val="00A141B7"/>
    <w:rsid w:val="00A20379"/>
    <w:rsid w:val="00A2474F"/>
    <w:rsid w:val="00A304F2"/>
    <w:rsid w:val="00A357F7"/>
    <w:rsid w:val="00A37C9C"/>
    <w:rsid w:val="00A474CE"/>
    <w:rsid w:val="00A474E6"/>
    <w:rsid w:val="00A530F6"/>
    <w:rsid w:val="00A54FD1"/>
    <w:rsid w:val="00A57185"/>
    <w:rsid w:val="00A60A0B"/>
    <w:rsid w:val="00A63C50"/>
    <w:rsid w:val="00A67880"/>
    <w:rsid w:val="00A72974"/>
    <w:rsid w:val="00A75E2F"/>
    <w:rsid w:val="00A801A3"/>
    <w:rsid w:val="00A817F7"/>
    <w:rsid w:val="00A82350"/>
    <w:rsid w:val="00A84328"/>
    <w:rsid w:val="00A876E7"/>
    <w:rsid w:val="00A911E4"/>
    <w:rsid w:val="00A94905"/>
    <w:rsid w:val="00AB1834"/>
    <w:rsid w:val="00AC081B"/>
    <w:rsid w:val="00AC4462"/>
    <w:rsid w:val="00AC590D"/>
    <w:rsid w:val="00AC7B51"/>
    <w:rsid w:val="00AC7C95"/>
    <w:rsid w:val="00AD3653"/>
    <w:rsid w:val="00AD394D"/>
    <w:rsid w:val="00AD4EB8"/>
    <w:rsid w:val="00AE149C"/>
    <w:rsid w:val="00AF276D"/>
    <w:rsid w:val="00AF2F55"/>
    <w:rsid w:val="00AF4B13"/>
    <w:rsid w:val="00AF5C75"/>
    <w:rsid w:val="00B011BA"/>
    <w:rsid w:val="00B13125"/>
    <w:rsid w:val="00B166DB"/>
    <w:rsid w:val="00B304DE"/>
    <w:rsid w:val="00B307EC"/>
    <w:rsid w:val="00B323B7"/>
    <w:rsid w:val="00B342EC"/>
    <w:rsid w:val="00B347ED"/>
    <w:rsid w:val="00B43325"/>
    <w:rsid w:val="00B54D37"/>
    <w:rsid w:val="00B6585F"/>
    <w:rsid w:val="00B73971"/>
    <w:rsid w:val="00B75055"/>
    <w:rsid w:val="00B865AF"/>
    <w:rsid w:val="00B90533"/>
    <w:rsid w:val="00B947B3"/>
    <w:rsid w:val="00BA15D9"/>
    <w:rsid w:val="00BA1B97"/>
    <w:rsid w:val="00BA47E9"/>
    <w:rsid w:val="00BA4F16"/>
    <w:rsid w:val="00BB0407"/>
    <w:rsid w:val="00BB2778"/>
    <w:rsid w:val="00BB612A"/>
    <w:rsid w:val="00BF0DF0"/>
    <w:rsid w:val="00C03024"/>
    <w:rsid w:val="00C05C2B"/>
    <w:rsid w:val="00C16B4F"/>
    <w:rsid w:val="00C27F8C"/>
    <w:rsid w:val="00C3492D"/>
    <w:rsid w:val="00C43E24"/>
    <w:rsid w:val="00C47F97"/>
    <w:rsid w:val="00C5730B"/>
    <w:rsid w:val="00C60602"/>
    <w:rsid w:val="00C6376D"/>
    <w:rsid w:val="00C64877"/>
    <w:rsid w:val="00C664EC"/>
    <w:rsid w:val="00C761A9"/>
    <w:rsid w:val="00C93202"/>
    <w:rsid w:val="00CA16A6"/>
    <w:rsid w:val="00CA196E"/>
    <w:rsid w:val="00CA478D"/>
    <w:rsid w:val="00CC1402"/>
    <w:rsid w:val="00CC2096"/>
    <w:rsid w:val="00CC21BB"/>
    <w:rsid w:val="00CD109E"/>
    <w:rsid w:val="00CD5645"/>
    <w:rsid w:val="00CD6792"/>
    <w:rsid w:val="00CE4C83"/>
    <w:rsid w:val="00CF176B"/>
    <w:rsid w:val="00CF4C65"/>
    <w:rsid w:val="00CF5BA0"/>
    <w:rsid w:val="00CF6CC1"/>
    <w:rsid w:val="00D01166"/>
    <w:rsid w:val="00D0305F"/>
    <w:rsid w:val="00D0505A"/>
    <w:rsid w:val="00D06A9E"/>
    <w:rsid w:val="00D07EB4"/>
    <w:rsid w:val="00D1642F"/>
    <w:rsid w:val="00D17F9D"/>
    <w:rsid w:val="00D200F9"/>
    <w:rsid w:val="00D2491C"/>
    <w:rsid w:val="00D25E9F"/>
    <w:rsid w:val="00D2635C"/>
    <w:rsid w:val="00D27626"/>
    <w:rsid w:val="00D479A9"/>
    <w:rsid w:val="00D47B98"/>
    <w:rsid w:val="00D55EA9"/>
    <w:rsid w:val="00D66DE9"/>
    <w:rsid w:val="00D676C4"/>
    <w:rsid w:val="00D75653"/>
    <w:rsid w:val="00D8571D"/>
    <w:rsid w:val="00D923ED"/>
    <w:rsid w:val="00D94F34"/>
    <w:rsid w:val="00D95606"/>
    <w:rsid w:val="00D97D08"/>
    <w:rsid w:val="00DC0079"/>
    <w:rsid w:val="00DC1E68"/>
    <w:rsid w:val="00DD0781"/>
    <w:rsid w:val="00DD3E01"/>
    <w:rsid w:val="00DE35D8"/>
    <w:rsid w:val="00DE54B0"/>
    <w:rsid w:val="00DF05B5"/>
    <w:rsid w:val="00DF475D"/>
    <w:rsid w:val="00E00427"/>
    <w:rsid w:val="00E008CD"/>
    <w:rsid w:val="00E015C7"/>
    <w:rsid w:val="00E15739"/>
    <w:rsid w:val="00E171A9"/>
    <w:rsid w:val="00E20EBD"/>
    <w:rsid w:val="00E2247F"/>
    <w:rsid w:val="00E36757"/>
    <w:rsid w:val="00E37DBD"/>
    <w:rsid w:val="00E417F5"/>
    <w:rsid w:val="00E43D7F"/>
    <w:rsid w:val="00E52408"/>
    <w:rsid w:val="00E5259A"/>
    <w:rsid w:val="00E525F8"/>
    <w:rsid w:val="00E54079"/>
    <w:rsid w:val="00E578F0"/>
    <w:rsid w:val="00E65098"/>
    <w:rsid w:val="00E6675A"/>
    <w:rsid w:val="00E70238"/>
    <w:rsid w:val="00E72703"/>
    <w:rsid w:val="00E7370D"/>
    <w:rsid w:val="00E74DCC"/>
    <w:rsid w:val="00E75CB3"/>
    <w:rsid w:val="00E81E64"/>
    <w:rsid w:val="00E83DB3"/>
    <w:rsid w:val="00E85797"/>
    <w:rsid w:val="00E868CA"/>
    <w:rsid w:val="00E86C76"/>
    <w:rsid w:val="00E86FCC"/>
    <w:rsid w:val="00E90B41"/>
    <w:rsid w:val="00EA3919"/>
    <w:rsid w:val="00EB005F"/>
    <w:rsid w:val="00EB3471"/>
    <w:rsid w:val="00EB435F"/>
    <w:rsid w:val="00EB7111"/>
    <w:rsid w:val="00EC04DC"/>
    <w:rsid w:val="00EC4075"/>
    <w:rsid w:val="00EC4994"/>
    <w:rsid w:val="00EC72FD"/>
    <w:rsid w:val="00EC7FB2"/>
    <w:rsid w:val="00ED080E"/>
    <w:rsid w:val="00ED3650"/>
    <w:rsid w:val="00ED53A2"/>
    <w:rsid w:val="00ED5C47"/>
    <w:rsid w:val="00ED70D1"/>
    <w:rsid w:val="00EE0122"/>
    <w:rsid w:val="00EE47B0"/>
    <w:rsid w:val="00EE4B8D"/>
    <w:rsid w:val="00EF0E71"/>
    <w:rsid w:val="00EF18D4"/>
    <w:rsid w:val="00EF4055"/>
    <w:rsid w:val="00EF41CE"/>
    <w:rsid w:val="00EF44A1"/>
    <w:rsid w:val="00F10FAE"/>
    <w:rsid w:val="00F12968"/>
    <w:rsid w:val="00F16677"/>
    <w:rsid w:val="00F30D01"/>
    <w:rsid w:val="00F36721"/>
    <w:rsid w:val="00F4182D"/>
    <w:rsid w:val="00F43B3F"/>
    <w:rsid w:val="00F455F8"/>
    <w:rsid w:val="00F568C7"/>
    <w:rsid w:val="00F60BBA"/>
    <w:rsid w:val="00F6151B"/>
    <w:rsid w:val="00F6363D"/>
    <w:rsid w:val="00F63EF8"/>
    <w:rsid w:val="00F707CE"/>
    <w:rsid w:val="00F72899"/>
    <w:rsid w:val="00F7357D"/>
    <w:rsid w:val="00F75209"/>
    <w:rsid w:val="00F753DD"/>
    <w:rsid w:val="00F75C8A"/>
    <w:rsid w:val="00F76AE1"/>
    <w:rsid w:val="00F85211"/>
    <w:rsid w:val="00FA40C9"/>
    <w:rsid w:val="00FB002E"/>
    <w:rsid w:val="00FB0F42"/>
    <w:rsid w:val="00FB2F7B"/>
    <w:rsid w:val="00FB3B2B"/>
    <w:rsid w:val="00FD557C"/>
    <w:rsid w:val="00FD6528"/>
    <w:rsid w:val="00FE1343"/>
    <w:rsid w:val="00FE1499"/>
    <w:rsid w:val="00FF387B"/>
    <w:rsid w:val="00FF7A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826F1"/>
  <w15:docId w15:val="{2A04B151-A7F4-44D5-91BD-9AA8AB037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Texto de rodapé,nota_rodapé,nota de rodapé,footnote,single space,FOOTNOTES,Footnote Text Char Char,foottextf,Geneva 9,Font: Geneva 9,Boston 10,f,footnote text,foottextfr,Footnote Text arial11,ADB,foottextfra,F,Char,texto de nota al pie"/>
    <w:basedOn w:val="Normal"/>
    <w:link w:val="FootnoteTextChar"/>
    <w:uiPriority w:val="99"/>
    <w:qFormat/>
    <w:rsid w:val="008F1487"/>
    <w:pPr>
      <w:keepNext/>
      <w:keepLines/>
      <w:spacing w:after="120" w:line="240" w:lineRule="auto"/>
      <w:ind w:left="288" w:hanging="288"/>
      <w:jc w:val="both"/>
    </w:pPr>
    <w:rPr>
      <w:rFonts w:ascii="Times New Roman" w:eastAsia="Times New Roman" w:hAnsi="Times New Roman" w:cs="Times New Roman"/>
      <w:spacing w:val="-3"/>
      <w:sz w:val="20"/>
      <w:szCs w:val="20"/>
      <w:lang w:val="x-none" w:eastAsia="x-none"/>
    </w:rPr>
  </w:style>
  <w:style w:type="character" w:customStyle="1" w:styleId="FootnoteTextChar">
    <w:name w:val="Footnote Text Char"/>
    <w:aliases w:val="fn Char,Texto de rodapé Char,nota_rodapé Char,nota de rodapé Char,footnote Char,single space Char,FOOTNOTES Char,Footnote Text Char Char Char,foottextf Char,Geneva 9 Char,Font: Geneva 9 Char,Boston 10 Char,f Char,footnote text Char"/>
    <w:basedOn w:val="DefaultParagraphFont"/>
    <w:link w:val="FootnoteText"/>
    <w:uiPriority w:val="99"/>
    <w:rsid w:val="008F1487"/>
    <w:rPr>
      <w:rFonts w:ascii="Times New Roman" w:eastAsia="Times New Roman" w:hAnsi="Times New Roman" w:cs="Times New Roman"/>
      <w:spacing w:val="-3"/>
      <w:sz w:val="20"/>
      <w:szCs w:val="20"/>
      <w:lang w:val="x-none" w:eastAsia="x-none"/>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
    <w:uiPriority w:val="99"/>
    <w:qFormat/>
    <w:rsid w:val="008F1487"/>
    <w:rPr>
      <w:vertAlign w:val="superscript"/>
    </w:rPr>
  </w:style>
  <w:style w:type="character" w:customStyle="1" w:styleId="ListParagraphChar">
    <w:name w:val="List Paragraph Char"/>
    <w:basedOn w:val="DefaultParagraphFont"/>
    <w:link w:val="ListParagraph"/>
    <w:uiPriority w:val="34"/>
    <w:rsid w:val="008F1487"/>
  </w:style>
  <w:style w:type="character" w:styleId="Hyperlink">
    <w:name w:val="Hyperlink"/>
    <w:rsid w:val="00E008CD"/>
    <w:rPr>
      <w:color w:val="0000FF"/>
      <w:u w:val="single"/>
    </w:rPr>
  </w:style>
  <w:style w:type="character" w:customStyle="1" w:styleId="Mention1">
    <w:name w:val="Mention1"/>
    <w:basedOn w:val="DefaultParagraphFont"/>
    <w:uiPriority w:val="99"/>
    <w:semiHidden/>
    <w:unhideWhenUsed/>
    <w:rsid w:val="009135DE"/>
    <w:rPr>
      <w:color w:val="2B579A"/>
      <w:shd w:val="clear" w:color="auto" w:fill="E6E6E6"/>
    </w:rPr>
  </w:style>
  <w:style w:type="character" w:styleId="FollowedHyperlink">
    <w:name w:val="FollowedHyperlink"/>
    <w:basedOn w:val="DefaultParagraphFont"/>
    <w:uiPriority w:val="99"/>
    <w:semiHidden/>
    <w:unhideWhenUsed/>
    <w:rsid w:val="003877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603151504">
      <w:bodyDiv w:val="1"/>
      <w:marLeft w:val="0"/>
      <w:marRight w:val="0"/>
      <w:marTop w:val="0"/>
      <w:marBottom w:val="0"/>
      <w:divBdr>
        <w:top w:val="none" w:sz="0" w:space="0" w:color="auto"/>
        <w:left w:val="none" w:sz="0" w:space="0" w:color="auto"/>
        <w:bottom w:val="none" w:sz="0" w:space="0" w:color="auto"/>
        <w:right w:val="none" w:sz="0" w:space="0" w:color="auto"/>
      </w:divBdr>
    </w:div>
    <w:div w:id="149094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kaplan@iadb.org" TargetMode="External"/><Relationship Id="rId13" Type="http://schemas.openxmlformats.org/officeDocument/2006/relationships/hyperlink" Target="http://idbdocs.iadb.org/wsdocs/getDocument.aspx?DOCNUM=EZSHARE-605604293-5"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yperlink" Target="http://idbdocs.iadb.org/wsdocs/getDocument.aspx?DOCNUM=EZSHARE-60560429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bdocs.iadb.org/wsdocs/getDocument.aspx?DOCNUM=EZSHARE-605604293-8"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7.xml"/><Relationship Id="rId10" Type="http://schemas.openxmlformats.org/officeDocument/2006/relationships/hyperlink" Target="http://idbdocs.iadb.org/wsdocs/getDocument.aspx?DOCNUM=EZSHARE-370718065-2"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idbdocs.iadb.org/wsdocs/getDocument.aspx?DOCNUM=EZSHARE-370718065-3" TargetMode="External"/><Relationship Id="rId14" Type="http://schemas.openxmlformats.org/officeDocument/2006/relationships/header" Target="header1.xml"/><Relationship Id="rId22"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1" Type="http://schemas.openxmlformats.org/officeDocument/2006/relationships/hyperlink" Target="http://tinyurl.com/y8oauej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3ED2103E064AD44AE262F26CD512D8C" ma:contentTypeVersion="2063" ma:contentTypeDescription="A content type to manage public (operations) IDB documents" ma:contentTypeScope="" ma:versionID="a8d86f8995e6bd19adae97404deddc93">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SCL/LMK</Division_x0020_or_x0020_Unit>
    <Document_x0020_Author xmlns="cdc7663a-08f0-4737-9e8c-148ce897a09c">Kaplan, David Scott</Document_x0020_Author>
    <_dlc_DocId xmlns="cdc7663a-08f0-4737-9e8c-148ce897a09c">EZSHARE-605604293-3</_dlc_DocId>
    <Operation_x0020_Type xmlns="cdc7663a-08f0-4737-9e8c-148ce897a09c">Technical Cooperation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TaxCatchAll xmlns="cdc7663a-08f0-4737-9e8c-148ce897a09c">
      <Value>48</Value>
      <Value>31</Value>
      <Value>2</Value>
      <Value>119</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ME-T1392</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ATN/OC-17470-ME;</Approval_x0020_Number>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Document_x0020_Language_x0020_IDB xmlns="cdc7663a-08f0-4737-9e8c-148ce897a09c">English</Document_x0020_Language_x0020_IDB>
    <_dlc_DocIdUrl xmlns="cdc7663a-08f0-4737-9e8c-148ce897a09c">
      <Url>https://idbg.sharepoint.com/teams/EZ-ME-TCP/ME-T1392/_layouts/15/DocIdRedir.aspx?ID=EZSHARE-605604293-3</Url>
      <Description>EZSHARE-605604293-3</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54DAA17B-6B33-4826-A795-B4BAF9D48AEC}">
  <ds:schemaRefs>
    <ds:schemaRef ds:uri="http://schemas.openxmlformats.org/officeDocument/2006/bibliography"/>
  </ds:schemaRefs>
</ds:datastoreItem>
</file>

<file path=customXml/itemProps2.xml><?xml version="1.0" encoding="utf-8"?>
<ds:datastoreItem xmlns:ds="http://schemas.openxmlformats.org/officeDocument/2006/customXml" ds:itemID="{9B78A2FC-9AE7-4E89-85C5-D4B302BF8B6F}"/>
</file>

<file path=customXml/itemProps3.xml><?xml version="1.0" encoding="utf-8"?>
<ds:datastoreItem xmlns:ds="http://schemas.openxmlformats.org/officeDocument/2006/customXml" ds:itemID="{7A2A5E28-FC69-4A53-8564-3E7084055579}"/>
</file>

<file path=customXml/itemProps4.xml><?xml version="1.0" encoding="utf-8"?>
<ds:datastoreItem xmlns:ds="http://schemas.openxmlformats.org/officeDocument/2006/customXml" ds:itemID="{F7F14BE1-6288-4F76-9E72-02C3D745C744}"/>
</file>

<file path=customXml/itemProps5.xml><?xml version="1.0" encoding="utf-8"?>
<ds:datastoreItem xmlns:ds="http://schemas.openxmlformats.org/officeDocument/2006/customXml" ds:itemID="{C1576190-526D-4C19-93CF-315C8FED2818}"/>
</file>

<file path=customXml/itemProps6.xml><?xml version="1.0" encoding="utf-8"?>
<ds:datastoreItem xmlns:ds="http://schemas.openxmlformats.org/officeDocument/2006/customXml" ds:itemID="{73206444-BD57-4208-B2DA-F41C7EB33972}"/>
</file>

<file path=customXml/itemProps7.xml><?xml version="1.0" encoding="utf-8"?>
<ds:datastoreItem xmlns:ds="http://schemas.openxmlformats.org/officeDocument/2006/customXml" ds:itemID="{0F9A982F-ABFA-402C-AC35-89D83BB1A94A}"/>
</file>

<file path=docProps/app.xml><?xml version="1.0" encoding="utf-8"?>
<Properties xmlns="http://schemas.openxmlformats.org/officeDocument/2006/extended-properties" xmlns:vt="http://schemas.openxmlformats.org/officeDocument/2006/docPropsVTypes">
  <Template>Normal.dotm</Template>
  <TotalTime>0</TotalTime>
  <Pages>6</Pages>
  <Words>2728</Words>
  <Characters>15007</Characters>
  <Application>Microsoft Office Word</Application>
  <DocSecurity>0</DocSecurity>
  <Lines>125</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dc:creator>
  <cp:keywords/>
  <dc:description/>
  <cp:lastModifiedBy>Muhlstein, Ethel Rosa</cp:lastModifiedBy>
  <cp:revision>2</cp:revision>
  <cp:lastPrinted>2019-07-10T20:02:00Z</cp:lastPrinted>
  <dcterms:created xsi:type="dcterms:W3CDTF">2019-07-22T19:41:00Z</dcterms:created>
  <dcterms:modified xsi:type="dcterms:W3CDTF">2019-07-22T19:41:00Z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119;#LABOR INTERMEDIATION SYSTEMS|72d0edb0-5336-43b6-bb2f-05b457738b24</vt:lpwstr>
  </property>
  <property fmtid="{D5CDD505-2E9C-101B-9397-08002B2CF9AE}" pid="7" name="Country">
    <vt:lpwstr>31;#Mexico|0eba6470-e7ea-46fd-a959-d4c243acaf26</vt:lpwstr>
  </property>
  <property fmtid="{D5CDD505-2E9C-101B-9397-08002B2CF9AE}" pid="8" name="Fund IDB">
    <vt:lpwstr/>
  </property>
  <property fmtid="{D5CDD505-2E9C-101B-9397-08002B2CF9AE}" pid="9" name="_dlc_DocIdItemGuid">
    <vt:lpwstr>24c1411b-e408-40f6-9c72-816f45cd6ef4</vt:lpwstr>
  </property>
  <property fmtid="{D5CDD505-2E9C-101B-9397-08002B2CF9AE}" pid="10" name="Sector IDB">
    <vt:lpwstr>48;#SOCIAL INVESTMENT|3f908695-d5b5-49f6-941f-76876b39564f</vt:lpwstr>
  </property>
  <property fmtid="{D5CDD505-2E9C-101B-9397-08002B2CF9AE}" pid="11" name="Function Operations IDB">
    <vt:lpwstr>2;#Project Preparation, Planning and Design|29ca0c72-1fc4-435f-a09c-28585cb5eac9</vt:lpwstr>
  </property>
  <property fmtid="{D5CDD505-2E9C-101B-9397-08002B2CF9AE}" pid="12" name="ContentTypeId">
    <vt:lpwstr>0x0101001A458A224826124E8B45B1D613300CFC0013ED2103E064AD44AE262F26CD512D8C</vt:lpwstr>
  </property>
</Properties>
</file>