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B94A4" w14:textId="77777777" w:rsidR="00CE542A" w:rsidRDefault="00703D48">
      <w:pPr>
        <w:spacing w:before="200" w:after="200"/>
        <w:jc w:val="center"/>
      </w:pPr>
      <w:r>
        <w:rPr>
          <w:rFonts w:ascii="Arial" w:hAnsi="Arial" w:cs="Arial"/>
          <w:b/>
        </w:rPr>
        <w:t>TC A</w:t>
      </w:r>
      <w:bookmarkStart w:id="0" w:name="_GoBack"/>
      <w:bookmarkEnd w:id="0"/>
      <w:r>
        <w:rPr>
          <w:rFonts w:ascii="Arial" w:hAnsi="Arial" w:cs="Arial"/>
          <w:b/>
        </w:rPr>
        <w:t>BSTRACT</w:t>
      </w:r>
    </w:p>
    <w:p w14:paraId="35A22940" w14:textId="77777777" w:rsidR="00CE542A" w:rsidRDefault="00703D48">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85"/>
        <w:gridCol w:w="4935"/>
      </w:tblGrid>
      <w:tr w:rsidR="00050808" w14:paraId="70A6A496" w14:textId="77777777">
        <w:trPr>
          <w:jc w:val="center"/>
        </w:trPr>
        <w:tc>
          <w:tcPr>
            <w:tcW w:w="5250" w:type="dxa"/>
          </w:tcPr>
          <w:p w14:paraId="291555A4"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Pr>
          <w:p w14:paraId="328342CE" w14:textId="77777777" w:rsidR="00CE542A" w:rsidRDefault="00703D48">
            <w:pPr>
              <w:spacing w:before="40" w:after="40"/>
            </w:pPr>
            <w:r>
              <w:rPr>
                <w:rFonts w:ascii="Arial" w:hAnsi="Arial" w:cs="Arial"/>
                <w:sz w:val="18"/>
                <w:szCs w:val="18"/>
              </w:rPr>
              <w:t>MEXICO/CID - Isthmus &amp; DR</w:t>
            </w:r>
          </w:p>
        </w:tc>
      </w:tr>
      <w:tr w:rsidR="00050808" w14:paraId="3997BA9A" w14:textId="77777777">
        <w:trPr>
          <w:jc w:val="center"/>
        </w:trPr>
        <w:tc>
          <w:tcPr>
            <w:tcW w:w="5250" w:type="dxa"/>
          </w:tcPr>
          <w:p w14:paraId="440500D5"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Pr>
          <w:p w14:paraId="0EFDCC6A" w14:textId="77777777" w:rsidR="00CE542A" w:rsidRDefault="00703D48">
            <w:pPr>
              <w:spacing w:before="40" w:after="40"/>
            </w:pPr>
            <w:r>
              <w:rPr>
                <w:rFonts w:ascii="Arial" w:hAnsi="Arial" w:cs="Arial"/>
                <w:sz w:val="18"/>
                <w:szCs w:val="18"/>
              </w:rPr>
              <w:t>Support for Mexican Labor Market Policies</w:t>
            </w:r>
          </w:p>
        </w:tc>
      </w:tr>
      <w:tr w:rsidR="00050808" w14:paraId="772C9CD6" w14:textId="77777777">
        <w:trPr>
          <w:jc w:val="center"/>
        </w:trPr>
        <w:tc>
          <w:tcPr>
            <w:tcW w:w="5250" w:type="dxa"/>
          </w:tcPr>
          <w:p w14:paraId="0CDE735A"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Pr>
          <w:p w14:paraId="4CFBE929" w14:textId="77777777" w:rsidR="00CE542A" w:rsidRDefault="00703D48">
            <w:pPr>
              <w:spacing w:before="40" w:after="40"/>
            </w:pPr>
            <w:r>
              <w:rPr>
                <w:rFonts w:ascii="Arial" w:hAnsi="Arial" w:cs="Arial"/>
                <w:sz w:val="18"/>
                <w:szCs w:val="18"/>
              </w:rPr>
              <w:t>ME-T1392</w:t>
            </w:r>
          </w:p>
        </w:tc>
      </w:tr>
      <w:tr w:rsidR="00050808" w14:paraId="1E843B5C" w14:textId="77777777">
        <w:trPr>
          <w:jc w:val="center"/>
        </w:trPr>
        <w:tc>
          <w:tcPr>
            <w:tcW w:w="5250" w:type="dxa"/>
          </w:tcPr>
          <w:p w14:paraId="0589C0DF"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6750" w:type="dxa"/>
          </w:tcPr>
          <w:p w14:paraId="10B8D9B2" w14:textId="5B75BDA4" w:rsidR="00CE542A" w:rsidRDefault="00050808">
            <w:pPr>
              <w:spacing w:before="40" w:after="40"/>
            </w:pPr>
            <w:r>
              <w:rPr>
                <w:rFonts w:ascii="Arial" w:hAnsi="Arial" w:cs="Arial"/>
                <w:sz w:val="18"/>
                <w:szCs w:val="18"/>
              </w:rPr>
              <w:t>David Kaplan</w:t>
            </w:r>
            <w:r w:rsidR="00703D48">
              <w:rPr>
                <w:rFonts w:ascii="Arial" w:hAnsi="Arial" w:cs="Arial"/>
                <w:sz w:val="18"/>
                <w:szCs w:val="18"/>
              </w:rPr>
              <w:t xml:space="preserve"> </w:t>
            </w:r>
            <w:r w:rsidR="00703D48">
              <w:rPr>
                <w:rFonts w:ascii="Arial" w:hAnsi="Arial" w:cs="Arial"/>
                <w:sz w:val="18"/>
                <w:szCs w:val="18"/>
              </w:rPr>
              <w:t xml:space="preserve">(SCL/LMK) Team Leader; </w:t>
            </w:r>
            <w:r>
              <w:rPr>
                <w:rFonts w:ascii="Arial" w:hAnsi="Arial" w:cs="Arial"/>
                <w:sz w:val="18"/>
                <w:szCs w:val="18"/>
              </w:rPr>
              <w:t>Edna Miranda</w:t>
            </w:r>
            <w:r w:rsidR="00703D48">
              <w:rPr>
                <w:rFonts w:ascii="Arial" w:hAnsi="Arial" w:cs="Arial"/>
                <w:sz w:val="18"/>
                <w:szCs w:val="18"/>
              </w:rPr>
              <w:t xml:space="preserve"> (CID/CME); </w:t>
            </w:r>
            <w:r>
              <w:rPr>
                <w:rFonts w:ascii="Arial" w:hAnsi="Arial" w:cs="Arial"/>
                <w:sz w:val="18"/>
                <w:szCs w:val="18"/>
              </w:rPr>
              <w:t>Uriel Barrios</w:t>
            </w:r>
            <w:r w:rsidR="00703D48">
              <w:rPr>
                <w:rFonts w:ascii="Arial" w:hAnsi="Arial" w:cs="Arial"/>
                <w:sz w:val="18"/>
                <w:szCs w:val="18"/>
              </w:rPr>
              <w:t xml:space="preserve"> (CID/CME); </w:t>
            </w:r>
            <w:r>
              <w:rPr>
                <w:rFonts w:ascii="Arial" w:hAnsi="Arial" w:cs="Arial"/>
                <w:sz w:val="18"/>
                <w:szCs w:val="18"/>
              </w:rPr>
              <w:t>Alejandro De Gyves</w:t>
            </w:r>
            <w:r w:rsidR="00703D48">
              <w:rPr>
                <w:rFonts w:ascii="Arial" w:hAnsi="Arial" w:cs="Arial"/>
                <w:sz w:val="18"/>
                <w:szCs w:val="18"/>
              </w:rPr>
              <w:t xml:space="preserve"> (CID/CME); </w:t>
            </w:r>
            <w:r>
              <w:rPr>
                <w:rFonts w:ascii="Arial" w:hAnsi="Arial" w:cs="Arial"/>
                <w:sz w:val="18"/>
                <w:szCs w:val="18"/>
              </w:rPr>
              <w:t>Emilio Martinez</w:t>
            </w:r>
            <w:r w:rsidR="00703D48">
              <w:rPr>
                <w:rFonts w:ascii="Arial" w:hAnsi="Arial" w:cs="Arial"/>
                <w:sz w:val="18"/>
                <w:szCs w:val="18"/>
              </w:rPr>
              <w:t xml:space="preserve"> </w:t>
            </w:r>
            <w:r w:rsidR="00703D48">
              <w:rPr>
                <w:rFonts w:ascii="Arial" w:hAnsi="Arial" w:cs="Arial"/>
                <w:sz w:val="18"/>
                <w:szCs w:val="18"/>
              </w:rPr>
              <w:t>(CID/CME);</w:t>
            </w:r>
            <w:r>
              <w:rPr>
                <w:rFonts w:ascii="Arial" w:hAnsi="Arial" w:cs="Arial"/>
                <w:sz w:val="18"/>
                <w:szCs w:val="18"/>
              </w:rPr>
              <w:t xml:space="preserve"> Ethel Muhlstein</w:t>
            </w:r>
            <w:r w:rsidR="00703D48">
              <w:rPr>
                <w:rFonts w:ascii="Arial" w:hAnsi="Arial" w:cs="Arial"/>
                <w:sz w:val="18"/>
                <w:szCs w:val="18"/>
              </w:rPr>
              <w:t xml:space="preserve"> (SCL/LMK);</w:t>
            </w:r>
            <w:r w:rsidR="00703D48">
              <w:rPr>
                <w:rFonts w:ascii="Arial" w:hAnsi="Arial" w:cs="Arial"/>
                <w:sz w:val="18"/>
                <w:szCs w:val="18"/>
              </w:rPr>
              <w:t xml:space="preserve"> </w:t>
            </w:r>
            <w:r>
              <w:rPr>
                <w:rFonts w:ascii="Arial" w:hAnsi="Arial" w:cs="Arial"/>
                <w:sz w:val="18"/>
                <w:szCs w:val="18"/>
              </w:rPr>
              <w:t xml:space="preserve">Esteban </w:t>
            </w:r>
            <w:r w:rsidR="00703D48">
              <w:rPr>
                <w:rFonts w:ascii="Arial" w:hAnsi="Arial" w:cs="Arial"/>
                <w:sz w:val="18"/>
                <w:szCs w:val="18"/>
              </w:rPr>
              <w:t>D</w:t>
            </w:r>
            <w:r>
              <w:rPr>
                <w:rFonts w:ascii="Arial" w:hAnsi="Arial" w:cs="Arial"/>
                <w:sz w:val="18"/>
                <w:szCs w:val="18"/>
              </w:rPr>
              <w:t>e Dobrzynski</w:t>
            </w:r>
            <w:r w:rsidR="00703D48">
              <w:rPr>
                <w:rFonts w:ascii="Arial" w:hAnsi="Arial" w:cs="Arial"/>
                <w:sz w:val="18"/>
                <w:szCs w:val="18"/>
              </w:rPr>
              <w:t xml:space="preserve"> (LEG/SGO);</w:t>
            </w:r>
            <w:r>
              <w:rPr>
                <w:rFonts w:ascii="Arial" w:hAnsi="Arial" w:cs="Arial"/>
                <w:sz w:val="18"/>
                <w:szCs w:val="18"/>
              </w:rPr>
              <w:t xml:space="preserve"> y Tania Gaona (</w:t>
            </w:r>
            <w:r w:rsidR="00703D48">
              <w:rPr>
                <w:rFonts w:ascii="Arial" w:hAnsi="Arial" w:cs="Arial"/>
                <w:sz w:val="18"/>
                <w:szCs w:val="18"/>
              </w:rPr>
              <w:t>SCL/LMK)</w:t>
            </w:r>
          </w:p>
        </w:tc>
      </w:tr>
      <w:tr w:rsidR="00050808" w14:paraId="46B06622" w14:textId="77777777">
        <w:trPr>
          <w:jc w:val="center"/>
        </w:trPr>
        <w:tc>
          <w:tcPr>
            <w:tcW w:w="5250" w:type="dxa"/>
          </w:tcPr>
          <w:p w14:paraId="51E60D04"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Pr>
          <w:p w14:paraId="018E2F12" w14:textId="77777777" w:rsidR="00CE542A" w:rsidRDefault="00703D48">
            <w:pPr>
              <w:spacing w:before="40" w:after="40"/>
            </w:pPr>
            <w:r>
              <w:rPr>
                <w:rFonts w:ascii="Arial" w:hAnsi="Arial" w:cs="Arial"/>
                <w:sz w:val="18"/>
                <w:szCs w:val="18"/>
              </w:rPr>
              <w:t>Client Support</w:t>
            </w:r>
          </w:p>
        </w:tc>
      </w:tr>
      <w:tr w:rsidR="00050808" w14:paraId="470F91F2" w14:textId="77777777">
        <w:trPr>
          <w:jc w:val="center"/>
        </w:trPr>
        <w:tc>
          <w:tcPr>
            <w:tcW w:w="5250" w:type="dxa"/>
          </w:tcPr>
          <w:p w14:paraId="784B00B7"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6750" w:type="dxa"/>
          </w:tcPr>
          <w:p w14:paraId="70675407" w14:textId="77777777" w:rsidR="00CE542A" w:rsidRDefault="00703D48">
            <w:pPr>
              <w:spacing w:before="40" w:after="40"/>
            </w:pPr>
            <w:r>
              <w:rPr>
                <w:rFonts w:ascii="Arial" w:hAnsi="Arial" w:cs="Arial"/>
                <w:sz w:val="18"/>
                <w:szCs w:val="18"/>
              </w:rPr>
              <w:t>N/A</w:t>
            </w:r>
          </w:p>
        </w:tc>
      </w:tr>
      <w:tr w:rsidR="00050808" w14:paraId="4708B477" w14:textId="77777777">
        <w:trPr>
          <w:jc w:val="center"/>
        </w:trPr>
        <w:tc>
          <w:tcPr>
            <w:tcW w:w="5250" w:type="dxa"/>
          </w:tcPr>
          <w:p w14:paraId="3B5EBF11"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6750" w:type="dxa"/>
          </w:tcPr>
          <w:p w14:paraId="3CD4B3F6" w14:textId="77777777" w:rsidR="00CE542A" w:rsidRDefault="00703D48">
            <w:pPr>
              <w:spacing w:before="40" w:after="40"/>
            </w:pPr>
            <w:r>
              <w:rPr>
                <w:rFonts w:ascii="Arial" w:hAnsi="Arial" w:cs="Arial"/>
                <w:sz w:val="18"/>
                <w:szCs w:val="18"/>
              </w:rPr>
              <w:t>08 Mar 2</w:t>
            </w:r>
            <w:r>
              <w:rPr>
                <w:rFonts w:ascii="Arial" w:hAnsi="Arial" w:cs="Arial"/>
                <w:sz w:val="18"/>
                <w:szCs w:val="18"/>
              </w:rPr>
              <w:t>019</w:t>
            </w:r>
          </w:p>
        </w:tc>
      </w:tr>
      <w:tr w:rsidR="00050808" w14:paraId="22E0A047" w14:textId="77777777">
        <w:trPr>
          <w:jc w:val="center"/>
        </w:trPr>
        <w:tc>
          <w:tcPr>
            <w:tcW w:w="5250" w:type="dxa"/>
          </w:tcPr>
          <w:p w14:paraId="340019BD"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6750" w:type="dxa"/>
          </w:tcPr>
          <w:p w14:paraId="02E83FB4" w14:textId="77777777" w:rsidR="00CE542A" w:rsidRDefault="00703D48">
            <w:pPr>
              <w:spacing w:before="40" w:after="40"/>
            </w:pPr>
            <w:r>
              <w:rPr>
                <w:rFonts w:ascii="Arial" w:hAnsi="Arial" w:cs="Arial"/>
                <w:sz w:val="18"/>
                <w:szCs w:val="18"/>
              </w:rPr>
              <w:t>Mexico through the Ministry of Labor</w:t>
            </w:r>
          </w:p>
        </w:tc>
      </w:tr>
      <w:tr w:rsidR="00050808" w14:paraId="46AA8FA4" w14:textId="77777777">
        <w:trPr>
          <w:jc w:val="center"/>
        </w:trPr>
        <w:tc>
          <w:tcPr>
            <w:tcW w:w="5250" w:type="dxa"/>
          </w:tcPr>
          <w:p w14:paraId="1E718D01"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6750" w:type="dxa"/>
          </w:tcPr>
          <w:p w14:paraId="053B153E" w14:textId="19BE9BAB" w:rsidR="00CE542A" w:rsidRDefault="00703D48">
            <w:pPr>
              <w:spacing w:before="40" w:after="40"/>
            </w:pPr>
            <w:r>
              <w:rPr>
                <w:rFonts w:ascii="Arial" w:hAnsi="Arial" w:cs="Arial"/>
                <w:sz w:val="18"/>
                <w:szCs w:val="18"/>
              </w:rPr>
              <w:t>I</w:t>
            </w:r>
            <w:r w:rsidR="00050808">
              <w:rPr>
                <w:rFonts w:ascii="Arial" w:hAnsi="Arial" w:cs="Arial"/>
                <w:sz w:val="18"/>
                <w:szCs w:val="18"/>
              </w:rPr>
              <w:t>nter-American Development Bank, Social Sector, Labor Markets Division (SCL/LMK)</w:t>
            </w:r>
          </w:p>
        </w:tc>
      </w:tr>
      <w:tr w:rsidR="00050808" w14:paraId="6C9E1D08" w14:textId="77777777">
        <w:trPr>
          <w:jc w:val="center"/>
        </w:trPr>
        <w:tc>
          <w:tcPr>
            <w:tcW w:w="5250" w:type="dxa"/>
          </w:tcPr>
          <w:p w14:paraId="18554F30"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6750" w:type="dxa"/>
          </w:tcPr>
          <w:p w14:paraId="1BCB984A" w14:textId="49E5DBA7" w:rsidR="00CE542A" w:rsidRDefault="00703D48">
            <w:pPr>
              <w:bidi/>
              <w:spacing w:before="40" w:after="40"/>
            </w:pPr>
            <w:r>
              <w:rPr>
                <w:rFonts w:ascii="Arial" w:hAnsi="Arial" w:cs="Arial"/>
                <w:sz w:val="18"/>
                <w:szCs w:val="18"/>
              </w:rPr>
              <w:t>$ 250,000</w:t>
            </w:r>
          </w:p>
        </w:tc>
      </w:tr>
      <w:tr w:rsidR="00050808" w14:paraId="3F146F53" w14:textId="77777777">
        <w:trPr>
          <w:jc w:val="center"/>
        </w:trPr>
        <w:tc>
          <w:tcPr>
            <w:tcW w:w="5250" w:type="dxa"/>
          </w:tcPr>
          <w:p w14:paraId="08CCA70F"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6750" w:type="dxa"/>
          </w:tcPr>
          <w:p w14:paraId="2E319456" w14:textId="610BD51A" w:rsidR="00CE542A" w:rsidRDefault="00703D48">
            <w:pPr>
              <w:bidi/>
              <w:spacing w:before="40" w:after="40"/>
            </w:pPr>
            <w:r>
              <w:rPr>
                <w:rFonts w:ascii="Arial" w:hAnsi="Arial" w:cs="Arial"/>
                <w:sz w:val="18"/>
                <w:szCs w:val="18"/>
              </w:rPr>
              <w:t>$ 0</w:t>
            </w:r>
          </w:p>
        </w:tc>
      </w:tr>
      <w:tr w:rsidR="00050808" w14:paraId="6914E8F4" w14:textId="77777777">
        <w:trPr>
          <w:jc w:val="center"/>
        </w:trPr>
        <w:tc>
          <w:tcPr>
            <w:tcW w:w="5250" w:type="dxa"/>
          </w:tcPr>
          <w:p w14:paraId="0DFF92F4"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Pr>
          <w:p w14:paraId="20B55F47" w14:textId="77777777" w:rsidR="00CE542A" w:rsidRDefault="00703D48">
            <w:pPr>
              <w:bidi/>
              <w:spacing w:before="40" w:after="40"/>
            </w:pPr>
            <w:r>
              <w:rPr>
                <w:rFonts w:ascii="Arial" w:hAnsi="Arial" w:cs="Arial"/>
                <w:sz w:val="18"/>
                <w:szCs w:val="18"/>
              </w:rPr>
              <w:t>36 months</w:t>
            </w:r>
          </w:p>
        </w:tc>
      </w:tr>
      <w:tr w:rsidR="00050808" w14:paraId="5767CEB0" w14:textId="77777777">
        <w:trPr>
          <w:jc w:val="center"/>
        </w:trPr>
        <w:tc>
          <w:tcPr>
            <w:tcW w:w="5250" w:type="dxa"/>
          </w:tcPr>
          <w:p w14:paraId="6239C163"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6750" w:type="dxa"/>
          </w:tcPr>
          <w:p w14:paraId="5CBCF09E" w14:textId="0E9D22A1" w:rsidR="00CE542A" w:rsidRDefault="00703D48">
            <w:pPr>
              <w:spacing w:before="40" w:after="40"/>
            </w:pPr>
            <w:r>
              <w:rPr>
                <w:rFonts w:ascii="Arial" w:hAnsi="Arial" w:cs="Arial"/>
                <w:sz w:val="18"/>
                <w:szCs w:val="18"/>
              </w:rPr>
              <w:t>Individual</w:t>
            </w:r>
            <w:r w:rsidR="00050808">
              <w:rPr>
                <w:rFonts w:ascii="Arial" w:hAnsi="Arial" w:cs="Arial"/>
                <w:sz w:val="18"/>
                <w:szCs w:val="18"/>
              </w:rPr>
              <w:t xml:space="preserve"> consultant</w:t>
            </w:r>
            <w:r>
              <w:rPr>
                <w:rFonts w:ascii="Arial" w:hAnsi="Arial" w:cs="Arial"/>
                <w:sz w:val="18"/>
                <w:szCs w:val="18"/>
              </w:rPr>
              <w:t>s</w:t>
            </w:r>
          </w:p>
        </w:tc>
      </w:tr>
      <w:tr w:rsidR="00050808" w14:paraId="7DF08741" w14:textId="77777777">
        <w:trPr>
          <w:jc w:val="center"/>
        </w:trPr>
        <w:tc>
          <w:tcPr>
            <w:tcW w:w="5250" w:type="dxa"/>
          </w:tcPr>
          <w:p w14:paraId="4471285A"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6750" w:type="dxa"/>
          </w:tcPr>
          <w:p w14:paraId="4425EC8C" w14:textId="74AB8761" w:rsidR="00CE542A" w:rsidRDefault="00703D48">
            <w:pPr>
              <w:spacing w:before="40" w:after="40"/>
            </w:pPr>
            <w:r>
              <w:rPr>
                <w:rFonts w:ascii="Arial" w:hAnsi="Arial" w:cs="Arial"/>
                <w:sz w:val="18"/>
                <w:szCs w:val="18"/>
              </w:rPr>
              <w:t>Labor Markets</w:t>
            </w:r>
            <w:r w:rsidR="00050808">
              <w:rPr>
                <w:rFonts w:ascii="Arial" w:hAnsi="Arial" w:cs="Arial"/>
                <w:sz w:val="18"/>
                <w:szCs w:val="18"/>
              </w:rPr>
              <w:t xml:space="preserve"> Division (SCL/LMK)</w:t>
            </w:r>
          </w:p>
        </w:tc>
      </w:tr>
      <w:tr w:rsidR="00050808" w14:paraId="44E56D8C" w14:textId="77777777">
        <w:trPr>
          <w:jc w:val="center"/>
        </w:trPr>
        <w:tc>
          <w:tcPr>
            <w:tcW w:w="5250" w:type="dxa"/>
          </w:tcPr>
          <w:p w14:paraId="0F81C4FF"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6750" w:type="dxa"/>
          </w:tcPr>
          <w:p w14:paraId="006F3233" w14:textId="56966263" w:rsidR="00CE542A" w:rsidRDefault="00703D48">
            <w:pPr>
              <w:spacing w:before="40" w:after="40"/>
            </w:pPr>
            <w:r>
              <w:rPr>
                <w:rFonts w:ascii="Arial" w:hAnsi="Arial" w:cs="Arial"/>
                <w:sz w:val="18"/>
                <w:szCs w:val="18"/>
              </w:rPr>
              <w:t>Country Office</w:t>
            </w:r>
            <w:r w:rsidR="00E006D0">
              <w:rPr>
                <w:rFonts w:ascii="Arial" w:hAnsi="Arial" w:cs="Arial"/>
                <w:sz w:val="18"/>
                <w:szCs w:val="18"/>
              </w:rPr>
              <w:t xml:space="preserve"> in</w:t>
            </w:r>
            <w:r>
              <w:rPr>
                <w:rFonts w:ascii="Arial" w:hAnsi="Arial" w:cs="Arial"/>
                <w:sz w:val="18"/>
                <w:szCs w:val="18"/>
              </w:rPr>
              <w:t xml:space="preserve"> Mexico</w:t>
            </w:r>
            <w:r w:rsidR="00050808">
              <w:rPr>
                <w:rFonts w:ascii="Arial" w:hAnsi="Arial" w:cs="Arial"/>
                <w:sz w:val="18"/>
                <w:szCs w:val="18"/>
              </w:rPr>
              <w:t xml:space="preserve"> (COF/CME)</w:t>
            </w:r>
          </w:p>
        </w:tc>
      </w:tr>
      <w:tr w:rsidR="00050808" w14:paraId="2C62D27B" w14:textId="77777777">
        <w:trPr>
          <w:jc w:val="center"/>
        </w:trPr>
        <w:tc>
          <w:tcPr>
            <w:tcW w:w="5250" w:type="dxa"/>
          </w:tcPr>
          <w:p w14:paraId="4C773365" w14:textId="77777777" w:rsidR="00050808" w:rsidRDefault="00703D48">
            <w:pPr>
              <w:spacing w:before="40" w:after="40"/>
              <w:rPr>
                <w:rFonts w:ascii="Arial" w:hAnsi="Arial" w:cs="Arial"/>
                <w:sz w:val="18"/>
                <w:szCs w:val="18"/>
              </w:rPr>
            </w:pPr>
            <w:r>
              <w:rPr>
                <w:rFonts w:ascii="Arial" w:hAnsi="Arial" w:cs="Arial"/>
                <w:sz w:val="18"/>
                <w:szCs w:val="18"/>
              </w:rPr>
              <w:t>▪</w:t>
            </w:r>
            <w:r>
              <w:rPr>
                <w:rFonts w:ascii="Arial" w:hAnsi="Arial" w:cs="Arial"/>
                <w:sz w:val="18"/>
                <w:szCs w:val="18"/>
              </w:rPr>
              <w:t xml:space="preserve"> TC included in Country Strategy (y/n):</w:t>
            </w:r>
          </w:p>
          <w:p w14:paraId="30A87558" w14:textId="60C3A3FE" w:rsidR="00CE542A" w:rsidRDefault="00703D48">
            <w:pPr>
              <w:spacing w:before="40" w:after="40"/>
            </w:pPr>
            <w:r>
              <w:rPr>
                <w:rFonts w:ascii="Arial" w:hAnsi="Arial" w:cs="Arial"/>
                <w:sz w:val="18"/>
                <w:szCs w:val="18"/>
              </w:rPr>
              <w:t>▪</w:t>
            </w:r>
            <w:r>
              <w:rPr>
                <w:rFonts w:ascii="Arial" w:hAnsi="Arial" w:cs="Arial"/>
                <w:sz w:val="18"/>
                <w:szCs w:val="18"/>
              </w:rPr>
              <w:t xml:space="preserve"> TC included in CPD (y/n):</w:t>
            </w:r>
          </w:p>
        </w:tc>
        <w:tc>
          <w:tcPr>
            <w:tcW w:w="6750" w:type="dxa"/>
          </w:tcPr>
          <w:p w14:paraId="726FB531" w14:textId="77777777" w:rsidR="00050808" w:rsidRDefault="00703D48">
            <w:pPr>
              <w:spacing w:before="40" w:after="40"/>
              <w:rPr>
                <w:rFonts w:ascii="Arial" w:hAnsi="Arial" w:cs="Arial"/>
                <w:sz w:val="18"/>
                <w:szCs w:val="18"/>
              </w:rPr>
            </w:pPr>
            <w:r>
              <w:rPr>
                <w:rFonts w:ascii="Arial" w:hAnsi="Arial" w:cs="Arial"/>
                <w:sz w:val="18"/>
                <w:szCs w:val="18"/>
              </w:rPr>
              <w:t>No</w:t>
            </w:r>
          </w:p>
          <w:p w14:paraId="49AA7BF9" w14:textId="1522C86D" w:rsidR="00CE542A" w:rsidRDefault="00703D48">
            <w:pPr>
              <w:spacing w:before="40" w:after="40"/>
            </w:pPr>
            <w:r>
              <w:rPr>
                <w:rFonts w:ascii="Arial" w:hAnsi="Arial" w:cs="Arial"/>
                <w:sz w:val="18"/>
                <w:szCs w:val="18"/>
              </w:rPr>
              <w:t>No</w:t>
            </w:r>
          </w:p>
        </w:tc>
      </w:tr>
      <w:tr w:rsidR="00050808" w14:paraId="6B6257A1" w14:textId="77777777">
        <w:trPr>
          <w:jc w:val="center"/>
        </w:trPr>
        <w:tc>
          <w:tcPr>
            <w:tcW w:w="5250" w:type="dxa"/>
          </w:tcPr>
          <w:p w14:paraId="6631760C" w14:textId="77777777" w:rsidR="00CE542A" w:rsidRDefault="00703D48">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w:t>
            </w:r>
            <w:r>
              <w:rPr>
                <w:rFonts w:ascii="Arial" w:hAnsi="Arial" w:cs="Arial"/>
                <w:sz w:val="18"/>
                <w:szCs w:val="18"/>
              </w:rPr>
              <w:t>2010-2020:</w:t>
            </w:r>
          </w:p>
        </w:tc>
        <w:tc>
          <w:tcPr>
            <w:tcW w:w="6750" w:type="dxa"/>
          </w:tcPr>
          <w:p w14:paraId="128AA180" w14:textId="2CCDC311" w:rsidR="00CE542A" w:rsidRDefault="00703D48">
            <w:pPr>
              <w:spacing w:before="40" w:after="40"/>
            </w:pPr>
            <w:r>
              <w:rPr>
                <w:rFonts w:ascii="Arial" w:hAnsi="Arial" w:cs="Arial"/>
                <w:sz w:val="18"/>
                <w:szCs w:val="18"/>
              </w:rPr>
              <w:t>Social inclusion and equality</w:t>
            </w:r>
            <w:r>
              <w:rPr>
                <w:rFonts w:ascii="Arial" w:hAnsi="Arial" w:cs="Arial"/>
                <w:sz w:val="18"/>
                <w:szCs w:val="18"/>
              </w:rPr>
              <w:t>; Productivity and innovation</w:t>
            </w:r>
            <w:r>
              <w:rPr>
                <w:rFonts w:ascii="Arial" w:hAnsi="Arial" w:cs="Arial"/>
                <w:sz w:val="18"/>
                <w:szCs w:val="18"/>
              </w:rPr>
              <w:t>; Gender equality</w:t>
            </w:r>
          </w:p>
        </w:tc>
      </w:tr>
    </w:tbl>
    <w:p w14:paraId="36C8BB2B" w14:textId="77777777" w:rsidR="00CE542A" w:rsidRDefault="00703D48">
      <w:pPr>
        <w:spacing w:before="120" w:after="120"/>
        <w:ind w:left="579" w:hanging="579"/>
      </w:pPr>
      <w:r>
        <w:rPr>
          <w:rFonts w:ascii="Arial" w:hAnsi="Arial" w:cs="Arial"/>
          <w:b/>
        </w:rPr>
        <w:t>II.</w:t>
      </w:r>
      <w:r>
        <w:rPr>
          <w:rFonts w:ascii="Arial" w:hAnsi="Arial" w:cs="Arial"/>
          <w:b/>
        </w:rPr>
        <w:tab/>
        <w:t>Objective and Justification</w:t>
      </w:r>
    </w:p>
    <w:p w14:paraId="4DC127E1" w14:textId="37564869" w:rsidR="00CE542A" w:rsidRDefault="00703D48">
      <w:pPr>
        <w:spacing w:before="120" w:after="120"/>
        <w:ind w:left="579" w:hanging="579"/>
        <w:jc w:val="both"/>
      </w:pPr>
      <w:r>
        <w:rPr>
          <w:rFonts w:ascii="Arial" w:hAnsi="Arial" w:cs="Arial"/>
        </w:rPr>
        <w:t>2.1</w:t>
      </w:r>
      <w:r>
        <w:rPr>
          <w:rFonts w:ascii="Arial" w:hAnsi="Arial" w:cs="Arial"/>
        </w:rPr>
        <w:tab/>
        <w:t xml:space="preserve">This Technical Cooperation will support labor-market policies including the youth training program, which is a priority </w:t>
      </w:r>
      <w:r>
        <w:rPr>
          <w:rFonts w:ascii="Arial" w:hAnsi="Arial" w:cs="Arial"/>
        </w:rPr>
        <w:t>program for the new federal government, especially for the Ministry of Labor (STPS). Specifically, this technical cooperation will support: (i)</w:t>
      </w:r>
      <w:r w:rsidR="00050808">
        <w:rPr>
          <w:rFonts w:ascii="Arial" w:hAnsi="Arial" w:cs="Arial"/>
        </w:rPr>
        <w:t> </w:t>
      </w:r>
      <w:r>
        <w:rPr>
          <w:rFonts w:ascii="Arial" w:hAnsi="Arial" w:cs="Arial"/>
        </w:rPr>
        <w:t>the strengthening of processes, procedures, and employment policies of the STPS; (ii)</w:t>
      </w:r>
      <w:r w:rsidR="00050808">
        <w:rPr>
          <w:rFonts w:ascii="Arial" w:hAnsi="Arial" w:cs="Arial"/>
        </w:rPr>
        <w:t> </w:t>
      </w:r>
      <w:r>
        <w:rPr>
          <w:rFonts w:ascii="Arial" w:hAnsi="Arial" w:cs="Arial"/>
        </w:rPr>
        <w:t>the evaluation and strengt</w:t>
      </w:r>
      <w:r>
        <w:rPr>
          <w:rFonts w:ascii="Arial" w:hAnsi="Arial" w:cs="Arial"/>
        </w:rPr>
        <w:t>hening of the Youth Building the Future Program (JCF); and (iii) the improvement of information and communication technologies (ICTs) of the National Employment Service (SNE) and the JCF.</w:t>
      </w:r>
    </w:p>
    <w:p w14:paraId="0623B29E" w14:textId="0424AE07" w:rsidR="00CE542A" w:rsidRDefault="00703D48">
      <w:pPr>
        <w:spacing w:before="120" w:after="120"/>
        <w:ind w:left="579" w:hanging="579"/>
        <w:jc w:val="both"/>
      </w:pPr>
      <w:r>
        <w:rPr>
          <w:rFonts w:ascii="Arial" w:hAnsi="Arial" w:cs="Arial"/>
        </w:rPr>
        <w:t>2.2</w:t>
      </w:r>
      <w:r>
        <w:rPr>
          <w:rFonts w:ascii="Arial" w:hAnsi="Arial" w:cs="Arial"/>
        </w:rPr>
        <w:tab/>
        <w:t>The Mexican Government is taking actions to improve labor market</w:t>
      </w:r>
      <w:r>
        <w:rPr>
          <w:rFonts w:ascii="Arial" w:hAnsi="Arial" w:cs="Arial"/>
        </w:rPr>
        <w:t xml:space="preserve">’s outcomes and to enhance labor conditions of vulnerable groups such as women, and vulnerable groups of workers such as children, migrants, disabled, and domestic workers. </w:t>
      </w:r>
      <w:r>
        <w:rPr>
          <w:rFonts w:ascii="Arial" w:hAnsi="Arial" w:cs="Arial"/>
        </w:rPr>
        <w:t>During its first months, it sent a reform on labor justice to congress and increas</w:t>
      </w:r>
      <w:r>
        <w:rPr>
          <w:rFonts w:ascii="Arial" w:hAnsi="Arial" w:cs="Arial"/>
        </w:rPr>
        <w:t xml:space="preserve">ed the minimum wage. Additionally, the Supreme Court ruled in favor of domestic-workers right to social security, which is an important step forward to change the actual legal framework that pushes many domestic workers to informality. Finally, one of the </w:t>
      </w:r>
      <w:r>
        <w:rPr>
          <w:rFonts w:ascii="Arial" w:hAnsi="Arial" w:cs="Arial"/>
        </w:rPr>
        <w:t>Government’s flagship programs is “Youth Building the Future” (JCF), a national conditional cash transfer program directed to young people who are not working or studying. This is the second largest social program in the country and its objective is to con</w:t>
      </w:r>
      <w:r>
        <w:rPr>
          <w:rFonts w:ascii="Arial" w:hAnsi="Arial" w:cs="Arial"/>
        </w:rPr>
        <w:t>nect young people with firms to receive training, gain experience, and improve their odds of finding a job. These initiatives have the potential to improve labor market outcomes in Mexico, but technical assistance appears to be crucial to ensure positive i</w:t>
      </w:r>
      <w:r>
        <w:rPr>
          <w:rFonts w:ascii="Arial" w:hAnsi="Arial" w:cs="Arial"/>
        </w:rPr>
        <w:t xml:space="preserve">mpacts. </w:t>
      </w:r>
    </w:p>
    <w:p w14:paraId="2287FCA4" w14:textId="77777777" w:rsidR="00CE542A" w:rsidRDefault="00703D48">
      <w:pPr>
        <w:spacing w:before="120" w:after="120"/>
        <w:ind w:left="579" w:hanging="579"/>
        <w:jc w:val="both"/>
      </w:pPr>
      <w:r>
        <w:rPr>
          <w:rFonts w:ascii="Arial" w:hAnsi="Arial" w:cs="Arial"/>
        </w:rPr>
        <w:lastRenderedPageBreak/>
        <w:t>2.3</w:t>
      </w:r>
      <w:r>
        <w:rPr>
          <w:rFonts w:ascii="Arial" w:hAnsi="Arial" w:cs="Arial"/>
        </w:rPr>
        <w:tab/>
        <w:t>The TC will expand the Bank’s technical support to new areas. It will support the generation of knowledge through the identification of best international practices for the improvement of women’s labor participation. It will also serve the dev</w:t>
      </w:r>
      <w:r>
        <w:rPr>
          <w:rFonts w:ascii="Arial" w:hAnsi="Arial" w:cs="Arial"/>
        </w:rPr>
        <w:t>elopment of profiling instruments for the matching of young people with training opportunities in the private sector, the development of the JCF platform, and the development of new functionalities of the SNE platform. This will be accompanied with the dev</w:t>
      </w:r>
      <w:r>
        <w:rPr>
          <w:rFonts w:ascii="Arial" w:hAnsi="Arial" w:cs="Arial"/>
        </w:rPr>
        <w:t>elopment of protocols to ensure an ethical use of technology. Finally, it will help to finance the design of a process evaluation for the JCF.</w:t>
      </w:r>
    </w:p>
    <w:p w14:paraId="55F3DD9E" w14:textId="77777777" w:rsidR="00CE542A" w:rsidRDefault="00703D48">
      <w:pPr>
        <w:spacing w:before="120" w:after="120"/>
        <w:ind w:left="579" w:hanging="579"/>
      </w:pPr>
      <w:r>
        <w:rPr>
          <w:rFonts w:ascii="Arial" w:hAnsi="Arial" w:cs="Arial"/>
          <w:b/>
        </w:rPr>
        <w:t>III.</w:t>
      </w:r>
      <w:r>
        <w:rPr>
          <w:rFonts w:ascii="Arial" w:hAnsi="Arial" w:cs="Arial"/>
          <w:b/>
        </w:rPr>
        <w:tab/>
        <w:t>Description of Activities and Outputs</w:t>
      </w:r>
    </w:p>
    <w:p w14:paraId="4F50EB73" w14:textId="3D50AFD1" w:rsidR="00CE542A" w:rsidRDefault="00703D48">
      <w:pPr>
        <w:spacing w:before="120" w:after="120"/>
        <w:ind w:left="579" w:hanging="579"/>
        <w:jc w:val="both"/>
      </w:pPr>
      <w:r>
        <w:rPr>
          <w:rFonts w:ascii="Arial" w:hAnsi="Arial" w:cs="Arial"/>
        </w:rPr>
        <w:t>3.1</w:t>
      </w:r>
      <w:r>
        <w:rPr>
          <w:rFonts w:ascii="Arial" w:hAnsi="Arial" w:cs="Arial"/>
        </w:rPr>
        <w:tab/>
      </w:r>
      <w:r>
        <w:rPr>
          <w:rFonts w:ascii="Arial" w:hAnsi="Arial" w:cs="Arial"/>
          <w:b/>
        </w:rPr>
        <w:t xml:space="preserve">Component </w:t>
      </w:r>
      <w:r>
        <w:rPr>
          <w:rFonts w:ascii="Arial" w:hAnsi="Arial" w:cs="Arial"/>
          <w:b/>
        </w:rPr>
        <w:t xml:space="preserve">1. Strengthening active labor market policy processes and procedures. </w:t>
      </w:r>
      <w:r>
        <w:rPr>
          <w:rFonts w:ascii="Arial" w:hAnsi="Arial" w:cs="Arial"/>
        </w:rPr>
        <w:t>Individual consultancies and firms will be financed to develop: (i) tools to support job-seekers to learn about demand needs and job descriptions; (ii) job profiles for the National Empl</w:t>
      </w:r>
      <w:r>
        <w:rPr>
          <w:rFonts w:ascii="Arial" w:hAnsi="Arial" w:cs="Arial"/>
        </w:rPr>
        <w:t>oyment Service Offices (OSNE) and a training strategy for its employees; (iii) a strategy to improve SNE’s coordination with other public employment services in the region; and (iv) studies with international experts to identify best practices to improve v</w:t>
      </w:r>
      <w:r>
        <w:rPr>
          <w:rFonts w:ascii="Arial" w:hAnsi="Arial" w:cs="Arial"/>
        </w:rPr>
        <w:t>ulnerable groups working conditions.</w:t>
      </w:r>
    </w:p>
    <w:p w14:paraId="6E657776" w14:textId="71CF979B" w:rsidR="00CE542A" w:rsidRDefault="00703D48">
      <w:pPr>
        <w:spacing w:before="120" w:after="120"/>
        <w:ind w:left="579" w:hanging="579"/>
        <w:jc w:val="both"/>
      </w:pPr>
      <w:r>
        <w:rPr>
          <w:rFonts w:ascii="Arial" w:hAnsi="Arial" w:cs="Arial"/>
        </w:rPr>
        <w:t>3.3</w:t>
      </w:r>
      <w:r>
        <w:rPr>
          <w:rFonts w:ascii="Arial" w:hAnsi="Arial" w:cs="Arial"/>
        </w:rPr>
        <w:tab/>
      </w:r>
      <w:r>
        <w:rPr>
          <w:rFonts w:ascii="Arial" w:hAnsi="Arial" w:cs="Arial"/>
          <w:b/>
        </w:rPr>
        <w:t xml:space="preserve">Component 2. Improvement of Information and Communication Technologies (ICT). </w:t>
      </w:r>
      <w:r>
        <w:rPr>
          <w:rFonts w:ascii="Arial" w:hAnsi="Arial" w:cs="Arial"/>
        </w:rPr>
        <w:t>Individual consultancies and firms will be financed to develop: (i)</w:t>
      </w:r>
      <w:r w:rsidR="00050808">
        <w:rPr>
          <w:rFonts w:ascii="Arial" w:hAnsi="Arial" w:cs="Arial"/>
        </w:rPr>
        <w:t> </w:t>
      </w:r>
      <w:r>
        <w:rPr>
          <w:rFonts w:ascii="Arial" w:hAnsi="Arial" w:cs="Arial"/>
        </w:rPr>
        <w:t>an impact evaluation of JCF to learn about the program’</w:t>
      </w:r>
      <w:r>
        <w:rPr>
          <w:rFonts w:ascii="Arial" w:hAnsi="Arial" w:cs="Arial"/>
        </w:rPr>
        <w:t xml:space="preserve">s effects on young people employability and firms’ productivity; (ii) profiling instruments for young people to ensure a high-quality match with firms; </w:t>
      </w:r>
      <w:r w:rsidR="00050808">
        <w:rPr>
          <w:rFonts w:ascii="Arial" w:hAnsi="Arial" w:cs="Arial"/>
        </w:rPr>
        <w:t xml:space="preserve">and </w:t>
      </w:r>
      <w:r>
        <w:rPr>
          <w:rFonts w:ascii="Arial" w:hAnsi="Arial" w:cs="Arial"/>
        </w:rPr>
        <w:t>(iii) pilots to improve training plans in firms and develop pre-apprenticeship programs to enhance youth</w:t>
      </w:r>
      <w:r>
        <w:rPr>
          <w:rFonts w:ascii="Arial" w:hAnsi="Arial" w:cs="Arial"/>
        </w:rPr>
        <w:t xml:space="preserve"> adaptation to working environments.</w:t>
      </w:r>
    </w:p>
    <w:p w14:paraId="45A4DE28" w14:textId="47129622" w:rsidR="00CE542A" w:rsidRDefault="00703D48">
      <w:pPr>
        <w:spacing w:before="120" w:after="120"/>
        <w:ind w:left="579" w:hanging="579"/>
        <w:jc w:val="both"/>
      </w:pPr>
      <w:r>
        <w:rPr>
          <w:rFonts w:ascii="Arial" w:hAnsi="Arial" w:cs="Arial"/>
        </w:rPr>
        <w:t>3.4</w:t>
      </w:r>
      <w:r>
        <w:rPr>
          <w:rFonts w:ascii="Arial" w:hAnsi="Arial" w:cs="Arial"/>
        </w:rPr>
        <w:tab/>
      </w:r>
      <w:r>
        <w:rPr>
          <w:rFonts w:ascii="Arial" w:hAnsi="Arial" w:cs="Arial"/>
          <w:b/>
        </w:rPr>
        <w:t xml:space="preserve">Component 3: Evaluation and redesign of skills training programs to improve their effectiveness. </w:t>
      </w:r>
      <w:r>
        <w:rPr>
          <w:rFonts w:ascii="Arial" w:hAnsi="Arial" w:cs="Arial"/>
        </w:rPr>
        <w:t>Individual consultancies and firms will be financed to develop: (i)</w:t>
      </w:r>
      <w:r w:rsidR="00050808">
        <w:rPr>
          <w:rFonts w:ascii="Arial" w:hAnsi="Arial" w:cs="Arial"/>
        </w:rPr>
        <w:t> </w:t>
      </w:r>
      <w:r>
        <w:rPr>
          <w:rFonts w:ascii="Arial" w:hAnsi="Arial" w:cs="Arial"/>
        </w:rPr>
        <w:t>an automatized model of financial m</w:t>
      </w:r>
      <w:r>
        <w:rPr>
          <w:rFonts w:ascii="Arial" w:hAnsi="Arial" w:cs="Arial"/>
        </w:rPr>
        <w:t>anagement for the SNE; (ii) a management system with automatized reports from field operation to the Minister’s office for the SNE and the JCF;</w:t>
      </w:r>
      <w:r w:rsidR="00050808">
        <w:rPr>
          <w:rFonts w:ascii="Arial" w:hAnsi="Arial" w:cs="Arial"/>
        </w:rPr>
        <w:t xml:space="preserve"> and</w:t>
      </w:r>
      <w:r>
        <w:rPr>
          <w:rFonts w:ascii="Arial" w:hAnsi="Arial" w:cs="Arial"/>
        </w:rPr>
        <w:t xml:space="preserve"> (iii) a follow-up and matching model for the youth registered in the JCF, including an occupational taxonomy.  </w:t>
      </w:r>
    </w:p>
    <w:p w14:paraId="60EB7AC6" w14:textId="77777777" w:rsidR="00CE542A" w:rsidRDefault="00703D48">
      <w:pPr>
        <w:spacing w:before="120" w:after="120"/>
        <w:ind w:left="579" w:hanging="579"/>
      </w:pPr>
      <w:r>
        <w:rPr>
          <w:rFonts w:ascii="Arial" w:hAnsi="Arial" w:cs="Arial"/>
          <w:b/>
        </w:rPr>
        <w:t>IV.</w:t>
      </w:r>
      <w:r>
        <w:rPr>
          <w:rFonts w:ascii="Arial" w:hAnsi="Arial" w:cs="Arial"/>
          <w:b/>
        </w:rPr>
        <w:tab/>
        <w:t>Budget</w:t>
      </w:r>
    </w:p>
    <w:p w14:paraId="44D1DA64" w14:textId="2951963E" w:rsidR="00CE542A" w:rsidRDefault="00703D48">
      <w:pPr>
        <w:spacing w:before="240" w:after="120"/>
        <w:jc w:val="center"/>
      </w:pPr>
      <w:r>
        <w:rPr>
          <w:rFonts w:ascii="Arial" w:hAnsi="Arial" w:cs="Arial"/>
          <w:b/>
          <w:sz w:val="18"/>
          <w:szCs w:val="18"/>
        </w:rPr>
        <w:t>Indicative Budget</w:t>
      </w:r>
      <w:r w:rsidR="00050808">
        <w:rPr>
          <w:rFonts w:ascii="Arial" w:hAnsi="Arial" w:cs="Arial"/>
          <w:b/>
          <w:sz w:val="18"/>
          <w:szCs w:val="18"/>
        </w:rPr>
        <w:t xml:space="preserve"> (US$)</w:t>
      </w:r>
    </w:p>
    <w:tbl>
      <w:tblPr>
        <w:tblStyle w:val="TableGrid"/>
        <w:tblW w:w="8545" w:type="dxa"/>
        <w:tblLook w:val="04A0" w:firstRow="1" w:lastRow="0" w:firstColumn="1" w:lastColumn="0" w:noHBand="0" w:noVBand="1"/>
      </w:tblPr>
      <w:tblGrid>
        <w:gridCol w:w="3235"/>
        <w:gridCol w:w="1890"/>
        <w:gridCol w:w="1710"/>
        <w:gridCol w:w="1710"/>
      </w:tblGrid>
      <w:tr w:rsidR="00CE542A" w14:paraId="40F6881C" w14:textId="77777777" w:rsidTr="00E006D0">
        <w:tc>
          <w:tcPr>
            <w:tcW w:w="3235" w:type="dxa"/>
            <w:shd w:val="clear" w:color="auto" w:fill="B4C6E7" w:themeFill="accent1" w:themeFillTint="66"/>
            <w:vAlign w:val="center"/>
          </w:tcPr>
          <w:p w14:paraId="41B40DB6" w14:textId="77777777" w:rsidR="00CE542A" w:rsidRDefault="00703D48">
            <w:pPr>
              <w:spacing w:before="40" w:after="40"/>
              <w:jc w:val="center"/>
            </w:pPr>
            <w:r>
              <w:rPr>
                <w:rFonts w:ascii="Arial" w:hAnsi="Arial" w:cs="Arial"/>
                <w:b/>
                <w:sz w:val="18"/>
                <w:szCs w:val="18"/>
              </w:rPr>
              <w:t>Activity/Component</w:t>
            </w:r>
          </w:p>
        </w:tc>
        <w:tc>
          <w:tcPr>
            <w:tcW w:w="1890" w:type="dxa"/>
            <w:shd w:val="clear" w:color="auto" w:fill="B4C6E7" w:themeFill="accent1" w:themeFillTint="66"/>
          </w:tcPr>
          <w:p w14:paraId="337EE1B9" w14:textId="77777777" w:rsidR="00CE542A" w:rsidRDefault="00703D48">
            <w:pPr>
              <w:spacing w:before="40" w:after="40"/>
              <w:jc w:val="center"/>
            </w:pPr>
            <w:r>
              <w:rPr>
                <w:rFonts w:ascii="Arial" w:hAnsi="Arial" w:cs="Arial"/>
                <w:b/>
                <w:sz w:val="18"/>
                <w:szCs w:val="18"/>
              </w:rPr>
              <w:t>IDB/Fund Funding</w:t>
            </w:r>
          </w:p>
        </w:tc>
        <w:tc>
          <w:tcPr>
            <w:tcW w:w="1710" w:type="dxa"/>
            <w:shd w:val="clear" w:color="auto" w:fill="B4C6E7" w:themeFill="accent1" w:themeFillTint="66"/>
          </w:tcPr>
          <w:p w14:paraId="25A6518C" w14:textId="77777777" w:rsidR="00CE542A" w:rsidRDefault="00703D48">
            <w:pPr>
              <w:spacing w:before="40" w:after="40"/>
              <w:jc w:val="center"/>
            </w:pPr>
            <w:r>
              <w:rPr>
                <w:rFonts w:ascii="Arial" w:hAnsi="Arial" w:cs="Arial"/>
                <w:b/>
                <w:sz w:val="18"/>
                <w:szCs w:val="18"/>
              </w:rPr>
              <w:t>Counterpart Funding</w:t>
            </w:r>
          </w:p>
        </w:tc>
        <w:tc>
          <w:tcPr>
            <w:tcW w:w="1710" w:type="dxa"/>
            <w:shd w:val="clear" w:color="auto" w:fill="B4C6E7" w:themeFill="accent1" w:themeFillTint="66"/>
          </w:tcPr>
          <w:p w14:paraId="78932B71" w14:textId="77777777" w:rsidR="00CE542A" w:rsidRDefault="00703D48">
            <w:pPr>
              <w:spacing w:before="40" w:after="40"/>
              <w:jc w:val="center"/>
            </w:pPr>
            <w:r>
              <w:rPr>
                <w:rFonts w:ascii="Arial" w:hAnsi="Arial" w:cs="Arial"/>
                <w:b/>
                <w:sz w:val="18"/>
                <w:szCs w:val="18"/>
              </w:rPr>
              <w:t>Total Funding</w:t>
            </w:r>
          </w:p>
        </w:tc>
      </w:tr>
      <w:tr w:rsidR="00CE542A" w14:paraId="1925AC18" w14:textId="77777777" w:rsidTr="00050808">
        <w:tc>
          <w:tcPr>
            <w:tcW w:w="3235" w:type="dxa"/>
            <w:vAlign w:val="center"/>
          </w:tcPr>
          <w:p w14:paraId="4CD06FF7" w14:textId="77777777" w:rsidR="00CE542A" w:rsidRDefault="00703D48">
            <w:pPr>
              <w:spacing w:before="40" w:after="40"/>
            </w:pPr>
            <w:r>
              <w:rPr>
                <w:rFonts w:ascii="Arial" w:hAnsi="Arial" w:cs="Arial"/>
                <w:sz w:val="18"/>
                <w:szCs w:val="18"/>
              </w:rPr>
              <w:t>Component 1. Strengthening active labor market policy processes and procedures</w:t>
            </w:r>
          </w:p>
        </w:tc>
        <w:tc>
          <w:tcPr>
            <w:tcW w:w="1890" w:type="dxa"/>
            <w:vAlign w:val="center"/>
          </w:tcPr>
          <w:p w14:paraId="73642FBE" w14:textId="62F02443" w:rsidR="00CE542A" w:rsidRDefault="00703D48" w:rsidP="00050808">
            <w:pPr>
              <w:spacing w:before="40" w:after="40"/>
              <w:ind w:right="649"/>
              <w:jc w:val="right"/>
            </w:pPr>
            <w:r>
              <w:rPr>
                <w:rFonts w:ascii="Arial" w:hAnsi="Arial" w:cs="Arial"/>
                <w:sz w:val="18"/>
                <w:szCs w:val="18"/>
              </w:rPr>
              <w:t xml:space="preserve"> 53,000</w:t>
            </w:r>
          </w:p>
        </w:tc>
        <w:tc>
          <w:tcPr>
            <w:tcW w:w="1710" w:type="dxa"/>
            <w:vAlign w:val="center"/>
          </w:tcPr>
          <w:p w14:paraId="65888422" w14:textId="31ABF8A1" w:rsidR="00CE542A" w:rsidRDefault="00703D48" w:rsidP="00050808">
            <w:pPr>
              <w:spacing w:before="40" w:after="40"/>
              <w:ind w:right="649"/>
              <w:jc w:val="right"/>
            </w:pPr>
            <w:r>
              <w:rPr>
                <w:rFonts w:ascii="Arial" w:hAnsi="Arial" w:cs="Arial"/>
                <w:sz w:val="18"/>
                <w:szCs w:val="18"/>
              </w:rPr>
              <w:t xml:space="preserve"> 0</w:t>
            </w:r>
          </w:p>
        </w:tc>
        <w:tc>
          <w:tcPr>
            <w:tcW w:w="1710" w:type="dxa"/>
            <w:vAlign w:val="center"/>
          </w:tcPr>
          <w:p w14:paraId="4141ECC9" w14:textId="2D6E0D9C" w:rsidR="00CE542A" w:rsidRDefault="00703D48" w:rsidP="00050808">
            <w:pPr>
              <w:spacing w:before="40" w:after="40"/>
              <w:ind w:right="649"/>
              <w:jc w:val="right"/>
            </w:pPr>
            <w:r>
              <w:rPr>
                <w:rFonts w:ascii="Arial" w:hAnsi="Arial" w:cs="Arial"/>
                <w:sz w:val="18"/>
                <w:szCs w:val="18"/>
              </w:rPr>
              <w:t xml:space="preserve"> 53,000</w:t>
            </w:r>
          </w:p>
        </w:tc>
      </w:tr>
      <w:tr w:rsidR="00CE542A" w14:paraId="08E160A0" w14:textId="77777777" w:rsidTr="00050808">
        <w:tc>
          <w:tcPr>
            <w:tcW w:w="3235" w:type="dxa"/>
            <w:vAlign w:val="center"/>
          </w:tcPr>
          <w:p w14:paraId="5547DCB9" w14:textId="77777777" w:rsidR="00CE542A" w:rsidRDefault="00703D48">
            <w:pPr>
              <w:spacing w:before="40" w:after="40"/>
            </w:pPr>
            <w:r>
              <w:rPr>
                <w:rFonts w:ascii="Arial" w:hAnsi="Arial" w:cs="Arial"/>
                <w:sz w:val="18"/>
                <w:szCs w:val="18"/>
              </w:rPr>
              <w:t xml:space="preserve">Component 2. Improvement of </w:t>
            </w:r>
            <w:r>
              <w:rPr>
                <w:rFonts w:ascii="Arial" w:hAnsi="Arial" w:cs="Arial"/>
                <w:sz w:val="18"/>
                <w:szCs w:val="18"/>
              </w:rPr>
              <w:t>Information and Communication Technologies (ICT)</w:t>
            </w:r>
          </w:p>
        </w:tc>
        <w:tc>
          <w:tcPr>
            <w:tcW w:w="1890" w:type="dxa"/>
            <w:vAlign w:val="center"/>
          </w:tcPr>
          <w:p w14:paraId="40EB9467" w14:textId="720CDA55" w:rsidR="00CE542A" w:rsidRDefault="00703D48" w:rsidP="00050808">
            <w:pPr>
              <w:spacing w:before="40" w:after="40"/>
              <w:ind w:right="649"/>
              <w:jc w:val="right"/>
            </w:pPr>
            <w:r>
              <w:rPr>
                <w:rFonts w:ascii="Arial" w:hAnsi="Arial" w:cs="Arial"/>
                <w:sz w:val="18"/>
                <w:szCs w:val="18"/>
              </w:rPr>
              <w:t xml:space="preserve"> 96,000</w:t>
            </w:r>
          </w:p>
        </w:tc>
        <w:tc>
          <w:tcPr>
            <w:tcW w:w="1710" w:type="dxa"/>
            <w:vAlign w:val="center"/>
          </w:tcPr>
          <w:p w14:paraId="28A8FC2D" w14:textId="7220E5B6" w:rsidR="00CE542A" w:rsidRDefault="00703D48" w:rsidP="00050808">
            <w:pPr>
              <w:spacing w:before="40" w:after="40"/>
              <w:ind w:right="649"/>
              <w:jc w:val="right"/>
            </w:pPr>
            <w:r>
              <w:rPr>
                <w:rFonts w:ascii="Arial" w:hAnsi="Arial" w:cs="Arial"/>
                <w:sz w:val="18"/>
                <w:szCs w:val="18"/>
              </w:rPr>
              <w:t xml:space="preserve"> 0</w:t>
            </w:r>
          </w:p>
        </w:tc>
        <w:tc>
          <w:tcPr>
            <w:tcW w:w="1710" w:type="dxa"/>
            <w:vAlign w:val="center"/>
          </w:tcPr>
          <w:p w14:paraId="75DF0C22" w14:textId="73197A9D" w:rsidR="00CE542A" w:rsidRDefault="00703D48" w:rsidP="00050808">
            <w:pPr>
              <w:spacing w:before="40" w:after="40"/>
              <w:ind w:right="649"/>
              <w:jc w:val="right"/>
            </w:pPr>
            <w:r>
              <w:rPr>
                <w:rFonts w:ascii="Arial" w:hAnsi="Arial" w:cs="Arial"/>
                <w:sz w:val="18"/>
                <w:szCs w:val="18"/>
              </w:rPr>
              <w:t xml:space="preserve"> 96,000</w:t>
            </w:r>
          </w:p>
        </w:tc>
      </w:tr>
      <w:tr w:rsidR="00CE542A" w14:paraId="3A9076B9" w14:textId="77777777" w:rsidTr="00050808">
        <w:tc>
          <w:tcPr>
            <w:tcW w:w="3235" w:type="dxa"/>
            <w:vAlign w:val="center"/>
          </w:tcPr>
          <w:p w14:paraId="49449FBC" w14:textId="77777777" w:rsidR="00CE542A" w:rsidRDefault="00703D48">
            <w:pPr>
              <w:spacing w:before="40" w:after="40"/>
            </w:pPr>
            <w:r>
              <w:rPr>
                <w:rFonts w:ascii="Arial" w:hAnsi="Arial" w:cs="Arial"/>
                <w:sz w:val="18"/>
                <w:szCs w:val="18"/>
              </w:rPr>
              <w:t>Component 3: Evaluation and redesign of skills training programs to improve their effectiveness</w:t>
            </w:r>
          </w:p>
        </w:tc>
        <w:tc>
          <w:tcPr>
            <w:tcW w:w="1890" w:type="dxa"/>
            <w:vAlign w:val="center"/>
          </w:tcPr>
          <w:p w14:paraId="68B0BF51" w14:textId="3381D0D9" w:rsidR="00CE542A" w:rsidRDefault="00703D48" w:rsidP="00050808">
            <w:pPr>
              <w:spacing w:before="40" w:after="40"/>
              <w:ind w:right="649"/>
              <w:jc w:val="right"/>
            </w:pPr>
            <w:r>
              <w:rPr>
                <w:rFonts w:ascii="Arial" w:hAnsi="Arial" w:cs="Arial"/>
                <w:sz w:val="18"/>
                <w:szCs w:val="18"/>
              </w:rPr>
              <w:t xml:space="preserve"> 101,000</w:t>
            </w:r>
          </w:p>
        </w:tc>
        <w:tc>
          <w:tcPr>
            <w:tcW w:w="1710" w:type="dxa"/>
            <w:vAlign w:val="center"/>
          </w:tcPr>
          <w:p w14:paraId="5FA88654" w14:textId="1635D965" w:rsidR="00CE542A" w:rsidRDefault="00703D48" w:rsidP="00050808">
            <w:pPr>
              <w:spacing w:before="40" w:after="40"/>
              <w:ind w:right="649"/>
              <w:jc w:val="right"/>
            </w:pPr>
            <w:r>
              <w:rPr>
                <w:rFonts w:ascii="Arial" w:hAnsi="Arial" w:cs="Arial"/>
                <w:sz w:val="18"/>
                <w:szCs w:val="18"/>
              </w:rPr>
              <w:t xml:space="preserve"> 0</w:t>
            </w:r>
          </w:p>
        </w:tc>
        <w:tc>
          <w:tcPr>
            <w:tcW w:w="1710" w:type="dxa"/>
            <w:vAlign w:val="center"/>
          </w:tcPr>
          <w:p w14:paraId="5F3620AD" w14:textId="2AE1B2E3" w:rsidR="00CE542A" w:rsidRDefault="00703D48" w:rsidP="00050808">
            <w:pPr>
              <w:spacing w:before="40" w:after="40"/>
              <w:ind w:right="649"/>
              <w:jc w:val="right"/>
            </w:pPr>
            <w:r>
              <w:rPr>
                <w:rFonts w:ascii="Arial" w:hAnsi="Arial" w:cs="Arial"/>
                <w:sz w:val="18"/>
                <w:szCs w:val="18"/>
              </w:rPr>
              <w:t xml:space="preserve"> 101,000</w:t>
            </w:r>
          </w:p>
        </w:tc>
      </w:tr>
      <w:tr w:rsidR="00050808" w14:paraId="297BE465" w14:textId="77777777" w:rsidTr="00050808">
        <w:tc>
          <w:tcPr>
            <w:tcW w:w="3235" w:type="dxa"/>
            <w:vAlign w:val="center"/>
          </w:tcPr>
          <w:p w14:paraId="6F1E73BF" w14:textId="0E8C0C68" w:rsidR="00050808" w:rsidRPr="00050808" w:rsidRDefault="00050808" w:rsidP="00E006D0">
            <w:pPr>
              <w:spacing w:before="40"/>
              <w:rPr>
                <w:rFonts w:ascii="Arial" w:hAnsi="Arial" w:cs="Arial"/>
                <w:b/>
                <w:sz w:val="18"/>
                <w:szCs w:val="18"/>
              </w:rPr>
            </w:pPr>
            <w:r w:rsidRPr="00050808">
              <w:rPr>
                <w:rFonts w:ascii="Arial" w:hAnsi="Arial" w:cs="Arial"/>
                <w:b/>
                <w:sz w:val="18"/>
                <w:szCs w:val="18"/>
              </w:rPr>
              <w:t>Total</w:t>
            </w:r>
          </w:p>
        </w:tc>
        <w:tc>
          <w:tcPr>
            <w:tcW w:w="1890" w:type="dxa"/>
            <w:vAlign w:val="center"/>
          </w:tcPr>
          <w:p w14:paraId="7E4B68D5" w14:textId="6213FB79" w:rsidR="00050808" w:rsidRPr="00050808" w:rsidRDefault="00050808" w:rsidP="00E006D0">
            <w:pPr>
              <w:spacing w:before="40"/>
              <w:ind w:right="649"/>
              <w:jc w:val="right"/>
              <w:rPr>
                <w:rFonts w:ascii="Arial" w:hAnsi="Arial" w:cs="Arial"/>
                <w:b/>
                <w:sz w:val="18"/>
                <w:szCs w:val="18"/>
              </w:rPr>
            </w:pPr>
            <w:r w:rsidRPr="00050808">
              <w:rPr>
                <w:rFonts w:ascii="Arial" w:hAnsi="Arial" w:cs="Arial"/>
                <w:b/>
                <w:sz w:val="18"/>
                <w:szCs w:val="18"/>
              </w:rPr>
              <w:t>250,000</w:t>
            </w:r>
          </w:p>
        </w:tc>
        <w:tc>
          <w:tcPr>
            <w:tcW w:w="1710" w:type="dxa"/>
            <w:vAlign w:val="center"/>
          </w:tcPr>
          <w:p w14:paraId="2E01BCB9" w14:textId="33A32CE5" w:rsidR="00050808" w:rsidRPr="00050808" w:rsidRDefault="00050808" w:rsidP="00E006D0">
            <w:pPr>
              <w:spacing w:before="40"/>
              <w:ind w:right="649"/>
              <w:jc w:val="right"/>
              <w:rPr>
                <w:rFonts w:ascii="Arial" w:hAnsi="Arial" w:cs="Arial"/>
                <w:b/>
                <w:sz w:val="18"/>
                <w:szCs w:val="18"/>
              </w:rPr>
            </w:pPr>
            <w:r w:rsidRPr="00050808">
              <w:rPr>
                <w:rFonts w:ascii="Arial" w:hAnsi="Arial" w:cs="Arial"/>
                <w:b/>
                <w:sz w:val="18"/>
                <w:szCs w:val="18"/>
              </w:rPr>
              <w:t>0</w:t>
            </w:r>
          </w:p>
        </w:tc>
        <w:tc>
          <w:tcPr>
            <w:tcW w:w="1710" w:type="dxa"/>
            <w:vAlign w:val="center"/>
          </w:tcPr>
          <w:p w14:paraId="13B1DD1A" w14:textId="383E8DFD" w:rsidR="00050808" w:rsidRPr="00050808" w:rsidRDefault="00050808" w:rsidP="00E006D0">
            <w:pPr>
              <w:spacing w:before="40"/>
              <w:ind w:right="649"/>
              <w:jc w:val="right"/>
              <w:rPr>
                <w:rFonts w:ascii="Arial" w:hAnsi="Arial" w:cs="Arial"/>
                <w:b/>
                <w:sz w:val="18"/>
                <w:szCs w:val="18"/>
              </w:rPr>
            </w:pPr>
            <w:r w:rsidRPr="00050808">
              <w:rPr>
                <w:rFonts w:ascii="Arial" w:hAnsi="Arial" w:cs="Arial"/>
                <w:b/>
                <w:sz w:val="18"/>
                <w:szCs w:val="18"/>
              </w:rPr>
              <w:t>250,000</w:t>
            </w:r>
          </w:p>
        </w:tc>
      </w:tr>
    </w:tbl>
    <w:p w14:paraId="532763EF" w14:textId="77777777" w:rsidR="00CE542A" w:rsidRDefault="00703D48" w:rsidP="00E006D0">
      <w:pPr>
        <w:spacing w:before="360" w:after="120"/>
        <w:ind w:left="579" w:hanging="579"/>
      </w:pPr>
      <w:r>
        <w:rPr>
          <w:rFonts w:ascii="Arial" w:hAnsi="Arial" w:cs="Arial"/>
          <w:b/>
        </w:rPr>
        <w:t>V.</w:t>
      </w:r>
      <w:r>
        <w:rPr>
          <w:rFonts w:ascii="Arial" w:hAnsi="Arial" w:cs="Arial"/>
          <w:b/>
        </w:rPr>
        <w:tab/>
        <w:t>Executing Agency and Execution Structure</w:t>
      </w:r>
    </w:p>
    <w:p w14:paraId="2931A1AA" w14:textId="4AE96849" w:rsidR="00CE542A" w:rsidRDefault="00703D48">
      <w:pPr>
        <w:spacing w:before="200" w:after="200"/>
        <w:ind w:left="579" w:hanging="579"/>
        <w:jc w:val="both"/>
      </w:pPr>
      <w:r>
        <w:rPr>
          <w:rFonts w:ascii="Arial" w:hAnsi="Arial" w:cs="Arial"/>
        </w:rPr>
        <w:t>5</w:t>
      </w:r>
      <w:r>
        <w:rPr>
          <w:rFonts w:ascii="Arial" w:hAnsi="Arial" w:cs="Arial"/>
        </w:rPr>
        <w:t>.1</w:t>
      </w:r>
      <w:r>
        <w:rPr>
          <w:rFonts w:ascii="Arial" w:hAnsi="Arial" w:cs="Arial"/>
        </w:rPr>
        <w:tab/>
        <w:t xml:space="preserve">Upon request of the government, the IDB will execute the TC. </w:t>
      </w:r>
      <w:r w:rsidR="00E006D0">
        <w:rPr>
          <w:rFonts w:ascii="Arial" w:hAnsi="Arial" w:cs="Arial"/>
        </w:rPr>
        <w:t>SCL/</w:t>
      </w:r>
      <w:r>
        <w:rPr>
          <w:rFonts w:ascii="Arial" w:hAnsi="Arial" w:cs="Arial"/>
        </w:rPr>
        <w:t xml:space="preserve">LMK will be in charge of the technical supervision and </w:t>
      </w:r>
      <w:r w:rsidR="00E006D0">
        <w:rPr>
          <w:rFonts w:ascii="Arial" w:hAnsi="Arial" w:cs="Arial"/>
        </w:rPr>
        <w:t>COF/</w:t>
      </w:r>
      <w:r>
        <w:rPr>
          <w:rFonts w:ascii="Arial" w:hAnsi="Arial" w:cs="Arial"/>
        </w:rPr>
        <w:t>CME will be in charge of disbursements.</w:t>
      </w:r>
    </w:p>
    <w:p w14:paraId="7013C86D" w14:textId="77777777" w:rsidR="00CE542A" w:rsidRDefault="00703D48">
      <w:pPr>
        <w:spacing w:before="200" w:after="200"/>
        <w:ind w:left="579" w:hanging="579"/>
        <w:jc w:val="both"/>
      </w:pPr>
      <w:r>
        <w:rPr>
          <w:rFonts w:ascii="Arial" w:hAnsi="Arial" w:cs="Arial"/>
        </w:rPr>
        <w:t>5.2</w:t>
      </w:r>
      <w:r>
        <w:rPr>
          <w:rFonts w:ascii="Arial" w:hAnsi="Arial" w:cs="Arial"/>
        </w:rPr>
        <w:tab/>
        <w:t>The Mexican Government requested the TC to take advantage of LMK's expertise in apprenticeshi</w:t>
      </w:r>
      <w:r>
        <w:rPr>
          <w:rFonts w:ascii="Arial" w:hAnsi="Arial" w:cs="Arial"/>
        </w:rPr>
        <w:t>p programs and active labor policies in the region.</w:t>
      </w:r>
    </w:p>
    <w:p w14:paraId="41FCFD5A" w14:textId="77777777" w:rsidR="00CE542A" w:rsidRDefault="00703D48" w:rsidP="00E006D0">
      <w:pPr>
        <w:keepNext/>
        <w:spacing w:before="120" w:after="120"/>
        <w:ind w:left="576" w:hanging="576"/>
      </w:pPr>
      <w:r>
        <w:rPr>
          <w:rFonts w:ascii="Arial" w:hAnsi="Arial" w:cs="Arial"/>
          <w:b/>
        </w:rPr>
        <w:t>VI.</w:t>
      </w:r>
      <w:r>
        <w:rPr>
          <w:rFonts w:ascii="Arial" w:hAnsi="Arial" w:cs="Arial"/>
          <w:b/>
        </w:rPr>
        <w:tab/>
        <w:t>Project Risks and Issues</w:t>
      </w:r>
    </w:p>
    <w:p w14:paraId="219033FF" w14:textId="77777777" w:rsidR="00CE542A" w:rsidRDefault="00703D48" w:rsidP="00E006D0">
      <w:pPr>
        <w:keepNext/>
        <w:spacing w:before="200" w:after="200"/>
        <w:ind w:left="576" w:hanging="576"/>
        <w:jc w:val="both"/>
      </w:pPr>
      <w:r>
        <w:rPr>
          <w:rFonts w:ascii="Arial" w:hAnsi="Arial" w:cs="Arial"/>
        </w:rPr>
        <w:t>6.1</w:t>
      </w:r>
      <w:r>
        <w:rPr>
          <w:rFonts w:ascii="Arial" w:hAnsi="Arial" w:cs="Arial"/>
        </w:rPr>
        <w:tab/>
        <w:t xml:space="preserve">There is a risk that the new government does not accomplish the expected goals due to budget constraints in order to cover the needs of technical staff, </w:t>
      </w:r>
      <w:r>
        <w:rPr>
          <w:rFonts w:ascii="Arial" w:hAnsi="Arial" w:cs="Arial"/>
        </w:rPr>
        <w:t>technological alternatives, research and evaluation for better results. Considering the strong involvement of the private sector in the JCF program and the IDB technical support to the STPS since 1997, this risk is not considered high and will be mitigated</w:t>
      </w:r>
      <w:r>
        <w:rPr>
          <w:rFonts w:ascii="Arial" w:hAnsi="Arial" w:cs="Arial"/>
        </w:rPr>
        <w:t xml:space="preserve"> with the close dialogue that has been established with the new authorities since the past elections.</w:t>
      </w:r>
    </w:p>
    <w:p w14:paraId="3427905C" w14:textId="77777777" w:rsidR="00CE542A" w:rsidRDefault="00703D48">
      <w:pPr>
        <w:spacing w:before="120" w:after="120"/>
        <w:ind w:left="579" w:hanging="579"/>
      </w:pPr>
      <w:r>
        <w:rPr>
          <w:rFonts w:ascii="Arial" w:hAnsi="Arial" w:cs="Arial"/>
          <w:b/>
        </w:rPr>
        <w:t>VII.</w:t>
      </w:r>
      <w:r>
        <w:rPr>
          <w:rFonts w:ascii="Arial" w:hAnsi="Arial" w:cs="Arial"/>
          <w:b/>
        </w:rPr>
        <w:tab/>
        <w:t>Environmental and Social Classification</w:t>
      </w:r>
    </w:p>
    <w:p w14:paraId="6CD9E147" w14:textId="77777777" w:rsidR="00CE542A" w:rsidRDefault="00703D48">
      <w:pPr>
        <w:spacing w:before="240" w:after="120"/>
        <w:ind w:left="579" w:hanging="579"/>
        <w:jc w:val="both"/>
      </w:pPr>
      <w:r>
        <w:rPr>
          <w:rFonts w:ascii="Arial" w:hAnsi="Arial" w:cs="Arial"/>
        </w:rPr>
        <w:t>7.1</w:t>
      </w:r>
      <w:r>
        <w:rPr>
          <w:rFonts w:ascii="Arial" w:hAnsi="Arial" w:cs="Arial"/>
        </w:rPr>
        <w:tab/>
        <w:t>The ESG classification for this operation is "C".</w:t>
      </w:r>
    </w:p>
    <w:sectPr w:rsidR="00CE542A"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2E194" w14:textId="77777777" w:rsidR="00703D48" w:rsidRDefault="00703D48">
      <w:r>
        <w:separator/>
      </w:r>
    </w:p>
  </w:endnote>
  <w:endnote w:type="continuationSeparator" w:id="0">
    <w:p w14:paraId="7FB7B65B" w14:textId="77777777" w:rsidR="00703D48" w:rsidRDefault="00703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EB15C" w14:textId="77777777" w:rsidR="009D472B" w:rsidRDefault="00703D4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CEF47" w14:textId="77777777" w:rsidR="009D472B" w:rsidRDefault="00703D48"/>
  <w:p w14:paraId="70F44265" w14:textId="77777777" w:rsidR="00CE542A" w:rsidRDefault="00703D48">
    <w:pPr>
      <w:jc w:val="center"/>
    </w:pPr>
    <w:r>
      <w:t xml:space="preserv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ADED7" w14:textId="77777777" w:rsidR="009D472B" w:rsidRDefault="00703D4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798A0" w14:textId="77777777" w:rsidR="00703D48" w:rsidRDefault="00703D48">
      <w:r>
        <w:separator/>
      </w:r>
    </w:p>
  </w:footnote>
  <w:footnote w:type="continuationSeparator" w:id="0">
    <w:p w14:paraId="7DF61BD8" w14:textId="77777777" w:rsidR="00703D48" w:rsidRDefault="00703D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50808"/>
    <w:rsid w:val="001915A3"/>
    <w:rsid w:val="00217F62"/>
    <w:rsid w:val="003A62A8"/>
    <w:rsid w:val="00703D48"/>
    <w:rsid w:val="00A906D8"/>
    <w:rsid w:val="00AB5A74"/>
    <w:rsid w:val="00CE542A"/>
    <w:rsid w:val="00E006D0"/>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5EAB8"/>
  <w15:docId w15:val="{319A282A-6082-4E4C-B5E9-8F8881DE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3ED2103E064AD44AE262F26CD512D8C" ma:contentTypeVersion="1341" ma:contentTypeDescription="A content type to manage public (operations) IDB documents" ma:contentTypeScope="" ma:versionID="df295b8b82b71cc4079599d3c24d302e">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Kaplan, David Scott</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48</Value>
      <Value>179</Value>
      <Value>31</Value>
      <Value>2</Value>
      <Value>119</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ME-T1392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EZSHARE-605604293-6</_dlc_DocId>
    <_dlc_DocIdUrl xmlns="cdc7663a-08f0-4737-9e8c-148ce897a09c">
      <Url>https://idbg.sharepoint.com/teams/EZ-ME-TCP/ME-T1392/_layouts/15/DocIdRedir.aspx?ID=EZSHARE-605604293-6</Url>
      <Description>EZSHARE-605604293-6</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Rights and Intermediation;</Webtopic>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1498563E-E94C-447C-93EA-5A9BACEC002F}"/>
</file>

<file path=customXml/itemProps2.xml><?xml version="1.0" encoding="utf-8"?>
<ds:datastoreItem xmlns:ds="http://schemas.openxmlformats.org/officeDocument/2006/customXml" ds:itemID="{61E906DC-C969-4208-A7FA-06DC1A637012}"/>
</file>

<file path=customXml/itemProps3.xml><?xml version="1.0" encoding="utf-8"?>
<ds:datastoreItem xmlns:ds="http://schemas.openxmlformats.org/officeDocument/2006/customXml" ds:itemID="{BA18CFE1-842C-44C5-96E9-F98A00F4E31A}"/>
</file>

<file path=customXml/itemProps4.xml><?xml version="1.0" encoding="utf-8"?>
<ds:datastoreItem xmlns:ds="http://schemas.openxmlformats.org/officeDocument/2006/customXml" ds:itemID="{7C19093D-B76C-457E-9FA0-6001EBB47A6C}"/>
</file>

<file path=customXml/itemProps5.xml><?xml version="1.0" encoding="utf-8"?>
<ds:datastoreItem xmlns:ds="http://schemas.openxmlformats.org/officeDocument/2006/customXml" ds:itemID="{A77D0A9B-8E63-4F63-AA31-ABF72F378028}"/>
</file>

<file path=customXml/itemProps6.xml><?xml version="1.0" encoding="utf-8"?>
<ds:datastoreItem xmlns:ds="http://schemas.openxmlformats.org/officeDocument/2006/customXml" ds:itemID="{8EF1C8DD-8D88-4CE9-97B1-DB713C930BC1}"/>
</file>

<file path=customXml/itemProps7.xml><?xml version="1.0" encoding="utf-8"?>
<ds:datastoreItem xmlns:ds="http://schemas.openxmlformats.org/officeDocument/2006/customXml" ds:itemID="{F76CB87B-9D6A-4391-BCC3-3866E61D815E}"/>
</file>

<file path=docProps/app.xml><?xml version="1.0" encoding="utf-8"?>
<Properties xmlns="http://schemas.openxmlformats.org/officeDocument/2006/extended-properties" xmlns:vt="http://schemas.openxmlformats.org/officeDocument/2006/docPropsVTypes">
  <Template>Normal.dotm</Template>
  <TotalTime>15</TotalTime>
  <Pages>3</Pages>
  <Words>977</Words>
  <Characters>5573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Muhlstein, Ethel Rosa</dc:creator>
  <cp:keywords/>
  <cp:lastModifiedBy>Muhlstein, Ethel Rosa</cp:lastModifiedBy>
  <cp:revision>3</cp:revision>
  <dcterms:created xsi:type="dcterms:W3CDTF">2019-03-28T21:19:00Z</dcterms:created>
  <dcterms:modified xsi:type="dcterms:W3CDTF">2019-03-28T21:34:00Z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119;#LABOR INTERMEDIATION SYSTEMS|72d0edb0-5336-43b6-bb2f-05b457738b24</vt:lpwstr>
  </property>
  <property fmtid="{D5CDD505-2E9C-101B-9397-08002B2CF9AE}" pid="7" name="Fund IDB">
    <vt:lpwstr>179;#SOC|3086ce3f-38db-462a-ad79-6fb1ca9264c8</vt:lpwstr>
  </property>
  <property fmtid="{D5CDD505-2E9C-101B-9397-08002B2CF9AE}" pid="8" name="Country">
    <vt:lpwstr>31;#Mexico|0eba6470-e7ea-46fd-a959-d4c243acaf26</vt:lpwstr>
  </property>
  <property fmtid="{D5CDD505-2E9C-101B-9397-08002B2CF9AE}" pid="9" name="Sector IDB">
    <vt:lpwstr>48;#SOCIAL INVESTMENT|3f908695-d5b5-49f6-941f-76876b39564f</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6456926d-f45b-4d3a-968b-5fc4b20f9de3</vt:lpwstr>
  </property>
  <property fmtid="{D5CDD505-2E9C-101B-9397-08002B2CF9AE}" pid="13" name="Disclosure Activity">
    <vt:lpwstr>TC Abstract</vt:lpwstr>
  </property>
  <property fmtid="{D5CDD505-2E9C-101B-9397-08002B2CF9AE}" pid="18" name="Webtopic">
    <vt:lpwstr>Labor Rights and Intermediation;</vt:lpwstr>
  </property>
  <property fmtid="{D5CDD505-2E9C-101B-9397-08002B2CF9AE}" pid="20" name="Disclosed">
    <vt:bool>false</vt:bool>
  </property>
  <property fmtid="{D5CDD505-2E9C-101B-9397-08002B2CF9AE}" pid="21" name="ContentTypeId">
    <vt:lpwstr>0x0101001A458A224826124E8B45B1D613300CFC0013ED2103E064AD44AE262F26CD512D8C</vt:lpwstr>
  </property>
</Properties>
</file>