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30B" w:rsidRPr="003302F7" w:rsidRDefault="00055EF1" w:rsidP="003302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A523B2">
        <w:rPr>
          <w:rFonts w:ascii="Arial" w:hAnsi="Arial" w:cs="Arial"/>
          <w:b/>
          <w:sz w:val="24"/>
          <w:szCs w:val="24"/>
          <w:lang w:val="es-ES"/>
        </w:rPr>
        <w:t>Abstracto</w:t>
      </w:r>
      <w:r w:rsidR="00563B1D" w:rsidRPr="00A523B2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91508A" w:rsidRPr="00A523B2">
        <w:rPr>
          <w:rFonts w:ascii="Arial" w:hAnsi="Arial" w:cs="Arial"/>
          <w:b/>
          <w:sz w:val="24"/>
          <w:szCs w:val="24"/>
          <w:lang w:val="es-ES"/>
        </w:rPr>
        <w:t xml:space="preserve">de </w:t>
      </w:r>
      <w:r w:rsidR="00F00960" w:rsidRPr="00A523B2">
        <w:rPr>
          <w:rFonts w:ascii="Arial" w:hAnsi="Arial" w:cs="Arial"/>
          <w:b/>
          <w:sz w:val="24"/>
          <w:szCs w:val="24"/>
          <w:lang w:val="es-ES"/>
        </w:rPr>
        <w:t>Cooperación</w:t>
      </w:r>
      <w:r w:rsidR="0091508A" w:rsidRPr="00A523B2">
        <w:rPr>
          <w:rFonts w:ascii="Arial" w:hAnsi="Arial" w:cs="Arial"/>
          <w:b/>
          <w:sz w:val="24"/>
          <w:szCs w:val="24"/>
          <w:lang w:val="es-ES"/>
        </w:rPr>
        <w:t xml:space="preserve"> T</w:t>
      </w:r>
      <w:r w:rsidR="00F00960" w:rsidRPr="00A523B2">
        <w:rPr>
          <w:rFonts w:ascii="Arial" w:hAnsi="Arial" w:cs="Arial"/>
          <w:b/>
          <w:sz w:val="24"/>
          <w:szCs w:val="24"/>
          <w:lang w:val="es-ES"/>
        </w:rPr>
        <w:t>é</w:t>
      </w:r>
      <w:r w:rsidR="0091508A" w:rsidRPr="00A523B2">
        <w:rPr>
          <w:rFonts w:ascii="Arial" w:hAnsi="Arial" w:cs="Arial"/>
          <w:b/>
          <w:sz w:val="24"/>
          <w:szCs w:val="24"/>
          <w:lang w:val="es-ES"/>
        </w:rPr>
        <w:t xml:space="preserve">cnica </w:t>
      </w:r>
    </w:p>
    <w:p w:rsidR="0095711B" w:rsidRPr="00A523B2" w:rsidRDefault="00E33333" w:rsidP="00DC5956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ES"/>
        </w:rPr>
      </w:pPr>
      <w:r w:rsidRPr="00A523B2">
        <w:rPr>
          <w:rFonts w:ascii="Arial" w:hAnsi="Arial" w:cs="Arial"/>
          <w:b/>
          <w:lang w:val="es-ES"/>
        </w:rPr>
        <w:t>Información</w:t>
      </w:r>
      <w:r w:rsidR="0091508A" w:rsidRPr="00A523B2">
        <w:rPr>
          <w:rFonts w:ascii="Arial" w:hAnsi="Arial" w:cs="Arial"/>
          <w:b/>
          <w:lang w:val="es-ES"/>
        </w:rPr>
        <w:t xml:space="preserve"> </w:t>
      </w:r>
      <w:r w:rsidRPr="00A523B2">
        <w:rPr>
          <w:rFonts w:ascii="Arial" w:hAnsi="Arial" w:cs="Arial"/>
          <w:b/>
          <w:lang w:val="es-ES"/>
        </w:rPr>
        <w:t>Básica</w:t>
      </w:r>
      <w:r w:rsidR="0091508A" w:rsidRPr="00A523B2">
        <w:rPr>
          <w:rFonts w:ascii="Arial" w:hAnsi="Arial" w:cs="Arial"/>
          <w:b/>
          <w:lang w:val="es-ES"/>
        </w:rPr>
        <w:t xml:space="preserve"> del </w:t>
      </w:r>
      <w:r w:rsidR="00DA7513" w:rsidRPr="00A523B2">
        <w:rPr>
          <w:rFonts w:ascii="Arial" w:hAnsi="Arial" w:cs="Arial"/>
          <w:b/>
          <w:lang w:val="es-ES"/>
        </w:rPr>
        <w:t>proyecto</w:t>
      </w:r>
      <w:r w:rsidR="0091508A" w:rsidRPr="00A523B2">
        <w:rPr>
          <w:rFonts w:ascii="Arial" w:hAnsi="Arial" w:cs="Arial"/>
          <w:b/>
          <w:lang w:val="es-ES"/>
        </w:rPr>
        <w:t xml:space="preserve"> </w:t>
      </w:r>
    </w:p>
    <w:tbl>
      <w:tblPr>
        <w:tblStyle w:val="TableGrid"/>
        <w:tblW w:w="0" w:type="auto"/>
        <w:tblInd w:w="3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328"/>
        <w:gridCol w:w="4150"/>
      </w:tblGrid>
      <w:tr w:rsidR="001175F4" w:rsidRPr="00C75F3F" w:rsidTr="00CE5A1D">
        <w:tc>
          <w:tcPr>
            <w:tcW w:w="4328" w:type="dxa"/>
          </w:tcPr>
          <w:p w:rsidR="001175F4" w:rsidRPr="00C75F3F" w:rsidRDefault="001175F4" w:rsidP="003047EC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País/Región:</w:t>
            </w:r>
          </w:p>
        </w:tc>
        <w:tc>
          <w:tcPr>
            <w:tcW w:w="4150" w:type="dxa"/>
          </w:tcPr>
          <w:p w:rsidR="001175F4" w:rsidRPr="00C75F3F" w:rsidRDefault="001175F4" w:rsidP="00F72795">
            <w:pPr>
              <w:ind w:left="72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Colombia</w:t>
            </w:r>
          </w:p>
        </w:tc>
      </w:tr>
      <w:tr w:rsidR="001175F4" w:rsidRPr="00F72795" w:rsidTr="00CE5A1D">
        <w:tc>
          <w:tcPr>
            <w:tcW w:w="4328" w:type="dxa"/>
          </w:tcPr>
          <w:p w:rsidR="001175F4" w:rsidRPr="00C75F3F" w:rsidRDefault="001175F4" w:rsidP="003047EC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Nombre de la CT:</w:t>
            </w:r>
          </w:p>
        </w:tc>
        <w:tc>
          <w:tcPr>
            <w:tcW w:w="4150" w:type="dxa"/>
          </w:tcPr>
          <w:p w:rsidR="001175F4" w:rsidRPr="00C75F3F" w:rsidRDefault="001175F4" w:rsidP="00F72795">
            <w:pPr>
              <w:ind w:left="72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bookmarkStart w:id="0" w:name="_GoBack"/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Apoyo a la preparación e implementación del Programa de Asociaciones Público Privadas (APP) de Colombia</w:t>
            </w:r>
            <w:bookmarkEnd w:id="0"/>
          </w:p>
        </w:tc>
      </w:tr>
      <w:tr w:rsidR="001175F4" w:rsidRPr="00C75F3F" w:rsidTr="00CE5A1D">
        <w:tc>
          <w:tcPr>
            <w:tcW w:w="4328" w:type="dxa"/>
          </w:tcPr>
          <w:p w:rsidR="001175F4" w:rsidRPr="00C75F3F" w:rsidRDefault="001175F4" w:rsidP="003047EC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Número de CT:</w:t>
            </w:r>
          </w:p>
        </w:tc>
        <w:tc>
          <w:tcPr>
            <w:tcW w:w="4150" w:type="dxa"/>
          </w:tcPr>
          <w:p w:rsidR="001175F4" w:rsidRPr="00C75F3F" w:rsidRDefault="001175F4" w:rsidP="00F72795">
            <w:pPr>
              <w:ind w:left="72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CO-T1416</w:t>
            </w:r>
          </w:p>
        </w:tc>
      </w:tr>
      <w:tr w:rsidR="001175F4" w:rsidRPr="00F72795" w:rsidTr="00CE5A1D">
        <w:tc>
          <w:tcPr>
            <w:tcW w:w="4328" w:type="dxa"/>
          </w:tcPr>
          <w:p w:rsidR="001175F4" w:rsidRPr="00C75F3F" w:rsidRDefault="001175F4" w:rsidP="003047EC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Jefe de Equipo/Miembros:</w:t>
            </w:r>
          </w:p>
        </w:tc>
        <w:tc>
          <w:tcPr>
            <w:tcW w:w="4150" w:type="dxa"/>
          </w:tcPr>
          <w:p w:rsidR="001175F4" w:rsidRPr="00C75F3F" w:rsidRDefault="00EA3BBF" w:rsidP="00F72795">
            <w:pPr>
              <w:ind w:left="72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Manuel Rodríguez</w:t>
            </w:r>
            <w:r w:rsidR="001175F4" w:rsidRPr="00C75F3F">
              <w:rPr>
                <w:rFonts w:ascii="Arial" w:hAnsi="Arial" w:cs="Arial"/>
                <w:sz w:val="18"/>
                <w:szCs w:val="18"/>
                <w:lang w:val="es-ES"/>
              </w:rPr>
              <w:t xml:space="preserve"> (TSP/CCO), Jefe de Equipo; 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Ana María Pinto</w:t>
            </w:r>
            <w:r w:rsidR="001175F4" w:rsidRPr="00C75F3F">
              <w:rPr>
                <w:rFonts w:ascii="Arial" w:hAnsi="Arial" w:cs="Arial"/>
                <w:sz w:val="18"/>
                <w:szCs w:val="18"/>
                <w:lang w:val="es-ES"/>
              </w:rPr>
              <w:t xml:space="preserve"> (TSP/CCO)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,</w:t>
            </w:r>
            <w:r w:rsidR="001175F4" w:rsidRPr="00C75F3F">
              <w:rPr>
                <w:rFonts w:ascii="Arial" w:hAnsi="Arial" w:cs="Arial"/>
                <w:sz w:val="18"/>
                <w:szCs w:val="18"/>
                <w:lang w:val="es-ES"/>
              </w:rPr>
              <w:t xml:space="preserve"> Jefe de Equipo Alter</w:t>
            </w:r>
            <w:r w:rsidR="00F36CDA">
              <w:rPr>
                <w:rFonts w:ascii="Arial" w:hAnsi="Arial" w:cs="Arial"/>
                <w:sz w:val="18"/>
                <w:szCs w:val="18"/>
                <w:lang w:val="es-ES"/>
              </w:rPr>
              <w:t>no; Alejandro Taddia</w:t>
            </w:r>
            <w:r w:rsidR="001175F4" w:rsidRPr="00C75F3F">
              <w:rPr>
                <w:rFonts w:ascii="Arial" w:hAnsi="Arial" w:cs="Arial"/>
                <w:sz w:val="18"/>
                <w:szCs w:val="18"/>
                <w:lang w:val="es-ES"/>
              </w:rPr>
              <w:t>, Agustín Mastache y Virginia Nava</w:t>
            </w:r>
            <w:r w:rsidR="00F36CDA">
              <w:rPr>
                <w:rFonts w:ascii="Arial" w:hAnsi="Arial" w:cs="Arial"/>
                <w:sz w:val="18"/>
                <w:szCs w:val="18"/>
                <w:lang w:val="es-ES"/>
              </w:rPr>
              <w:t xml:space="preserve">s (INE/TSP); </w:t>
            </w:r>
            <w:r w:rsidR="001175F4" w:rsidRPr="00C75F3F">
              <w:rPr>
                <w:rFonts w:ascii="Arial" w:hAnsi="Arial" w:cs="Arial"/>
                <w:sz w:val="18"/>
                <w:szCs w:val="18"/>
                <w:lang w:val="es-ES"/>
              </w:rPr>
              <w:t>José García (TSP/CCO); Natalia Ariza (CAN/CCO) y Javier Jiménez (LEG/SGO).</w:t>
            </w:r>
          </w:p>
        </w:tc>
      </w:tr>
      <w:tr w:rsidR="00CE5A1D" w:rsidRPr="00C75F3F" w:rsidTr="00CE5A1D">
        <w:tc>
          <w:tcPr>
            <w:tcW w:w="4328" w:type="dxa"/>
          </w:tcPr>
          <w:p w:rsidR="00CE5A1D" w:rsidRPr="00C75F3F" w:rsidRDefault="00F72795" w:rsidP="00F72795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Taxonomía</w:t>
            </w:r>
            <w:r w:rsidR="00CE5A1D" w:rsidRPr="00C75F3F">
              <w:rPr>
                <w:rFonts w:ascii="Arial" w:hAnsi="Arial" w:cs="Arial"/>
                <w:sz w:val="18"/>
                <w:szCs w:val="18"/>
                <w:lang w:val="es-ES"/>
              </w:rPr>
              <w:t xml:space="preserve">: </w:t>
            </w:r>
          </w:p>
        </w:tc>
        <w:tc>
          <w:tcPr>
            <w:tcW w:w="4150" w:type="dxa"/>
          </w:tcPr>
          <w:p w:rsidR="00CE5A1D" w:rsidRPr="00C75F3F" w:rsidRDefault="00CE5A1D" w:rsidP="00F72795">
            <w:pPr>
              <w:ind w:left="72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Apoyo Operativo</w:t>
            </w:r>
          </w:p>
        </w:tc>
      </w:tr>
      <w:tr w:rsidR="00CE5A1D" w:rsidRPr="00F72795" w:rsidTr="00CE5A1D">
        <w:tc>
          <w:tcPr>
            <w:tcW w:w="4328" w:type="dxa"/>
          </w:tcPr>
          <w:p w:rsidR="00CE5A1D" w:rsidRPr="00C75F3F" w:rsidRDefault="00CE5A1D" w:rsidP="00CE5A1D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Si es Apoyo Operativo, proveer número y nombre de la operación que apoyará la CT:</w:t>
            </w:r>
          </w:p>
        </w:tc>
        <w:tc>
          <w:tcPr>
            <w:tcW w:w="4150" w:type="dxa"/>
          </w:tcPr>
          <w:p w:rsidR="00CE5A1D" w:rsidRPr="00C75F3F" w:rsidRDefault="00CE5A1D" w:rsidP="00F72795">
            <w:pPr>
              <w:ind w:left="72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CO-L1162</w:t>
            </w:r>
            <w:r w:rsidR="00311D0C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311D0C" w:rsidRPr="00C75F3F">
              <w:rPr>
                <w:rFonts w:ascii="Arial" w:hAnsi="Arial" w:cs="Arial"/>
                <w:sz w:val="18"/>
                <w:szCs w:val="18"/>
                <w:lang w:val="es-ES"/>
              </w:rPr>
              <w:t>Apoyo al Programa de Asociaciones Público Privadas (APP) de Colombia</w:t>
            </w:r>
          </w:p>
        </w:tc>
      </w:tr>
      <w:tr w:rsidR="00CE5A1D" w:rsidRPr="00311D0C" w:rsidTr="00CE5A1D">
        <w:tc>
          <w:tcPr>
            <w:tcW w:w="4328" w:type="dxa"/>
          </w:tcPr>
          <w:p w:rsidR="00CE5A1D" w:rsidRPr="008D30DF" w:rsidRDefault="00CE5A1D" w:rsidP="00187853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D30DF">
              <w:rPr>
                <w:rFonts w:ascii="Arial" w:hAnsi="Arial" w:cs="Arial"/>
                <w:sz w:val="18"/>
                <w:szCs w:val="18"/>
                <w:lang w:val="es-ES"/>
              </w:rPr>
              <w:t>Referencia a la Solicitud: (IDBDOCS #)</w:t>
            </w:r>
          </w:p>
        </w:tc>
        <w:tc>
          <w:tcPr>
            <w:tcW w:w="4150" w:type="dxa"/>
          </w:tcPr>
          <w:p w:rsidR="00CE5A1D" w:rsidRPr="00C75F3F" w:rsidRDefault="008D30DF" w:rsidP="00F72795">
            <w:pPr>
              <w:ind w:left="72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#40244361</w:t>
            </w:r>
          </w:p>
        </w:tc>
      </w:tr>
      <w:tr w:rsidR="00CE5A1D" w:rsidRPr="00C75F3F" w:rsidTr="00CE5A1D">
        <w:tc>
          <w:tcPr>
            <w:tcW w:w="4328" w:type="dxa"/>
          </w:tcPr>
          <w:p w:rsidR="00CE5A1D" w:rsidRPr="00C75F3F" w:rsidRDefault="00CE5A1D" w:rsidP="00CE5A1D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Fecha del Abstracto de CT:</w:t>
            </w:r>
          </w:p>
        </w:tc>
        <w:tc>
          <w:tcPr>
            <w:tcW w:w="4150" w:type="dxa"/>
          </w:tcPr>
          <w:p w:rsidR="00CE5A1D" w:rsidRPr="00712239" w:rsidRDefault="00132599" w:rsidP="00F72795">
            <w:pPr>
              <w:ind w:left="72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12239">
              <w:rPr>
                <w:rFonts w:ascii="Arial" w:hAnsi="Arial" w:cs="Arial"/>
                <w:sz w:val="18"/>
                <w:szCs w:val="18"/>
                <w:lang w:val="es-ES"/>
              </w:rPr>
              <w:t>20</w:t>
            </w:r>
            <w:r w:rsidR="00CE5A1D" w:rsidRPr="00712239">
              <w:rPr>
                <w:rFonts w:ascii="Arial" w:hAnsi="Arial" w:cs="Arial"/>
                <w:sz w:val="18"/>
                <w:szCs w:val="18"/>
                <w:lang w:val="es-ES"/>
              </w:rPr>
              <w:t xml:space="preserve"> de abril de 2016</w:t>
            </w:r>
          </w:p>
        </w:tc>
      </w:tr>
      <w:tr w:rsidR="00CE5A1D" w:rsidRPr="00F72795" w:rsidTr="00CE5A1D">
        <w:tc>
          <w:tcPr>
            <w:tcW w:w="4328" w:type="dxa"/>
          </w:tcPr>
          <w:p w:rsidR="00CE5A1D" w:rsidRPr="00C75F3F" w:rsidRDefault="00F72795" w:rsidP="00F72795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Beneficiario</w:t>
            </w:r>
            <w:r w:rsidR="00CE5A1D" w:rsidRPr="00C75F3F">
              <w:rPr>
                <w:rFonts w:ascii="Arial" w:hAnsi="Arial" w:cs="Arial"/>
                <w:sz w:val="18"/>
                <w:szCs w:val="18"/>
                <w:lang w:val="es-ES"/>
              </w:rPr>
              <w:t>:</w:t>
            </w:r>
          </w:p>
        </w:tc>
        <w:tc>
          <w:tcPr>
            <w:tcW w:w="4150" w:type="dxa"/>
          </w:tcPr>
          <w:p w:rsidR="00CE5A1D" w:rsidRDefault="00CE5A1D" w:rsidP="00F72795">
            <w:pPr>
              <w:ind w:left="72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La República de Colombia a través del Departamento Nacional de Planeación (DNP);</w:t>
            </w:r>
            <w:r w:rsidR="005D56BD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</w:p>
          <w:p w:rsidR="005D56BD" w:rsidRPr="00C75F3F" w:rsidRDefault="00270159" w:rsidP="00F72795">
            <w:pPr>
              <w:ind w:left="72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Ministerios y </w:t>
            </w:r>
            <w:r w:rsidR="007B4B0E">
              <w:rPr>
                <w:rFonts w:ascii="Arial" w:hAnsi="Arial" w:cs="Arial"/>
                <w:sz w:val="18"/>
                <w:szCs w:val="18"/>
                <w:lang w:val="es-ES"/>
              </w:rPr>
              <w:t>entidades</w:t>
            </w:r>
            <w:r w:rsidR="005D56BD" w:rsidRPr="00C75F3F">
              <w:rPr>
                <w:rFonts w:ascii="Arial" w:hAnsi="Arial" w:cs="Arial"/>
                <w:sz w:val="18"/>
                <w:szCs w:val="18"/>
                <w:lang w:val="es-ES"/>
              </w:rPr>
              <w:t xml:space="preserve"> territoriales responsables de planificar y estructurar proyectos APP</w:t>
            </w:r>
          </w:p>
        </w:tc>
      </w:tr>
      <w:tr w:rsidR="00CE5A1D" w:rsidRPr="00F72795" w:rsidTr="00CE5A1D">
        <w:tc>
          <w:tcPr>
            <w:tcW w:w="4328" w:type="dxa"/>
          </w:tcPr>
          <w:p w:rsidR="00CE5A1D" w:rsidRPr="00C75F3F" w:rsidRDefault="00CE5A1D" w:rsidP="00CE5A1D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 xml:space="preserve">Agencia Ejecutora: </w:t>
            </w:r>
          </w:p>
        </w:tc>
        <w:tc>
          <w:tcPr>
            <w:tcW w:w="4150" w:type="dxa"/>
          </w:tcPr>
          <w:p w:rsidR="00CE5A1D" w:rsidRPr="00C75F3F" w:rsidRDefault="00CE5A1D" w:rsidP="00F72795">
            <w:pPr>
              <w:ind w:left="72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El Banco Interamericano de Desarrollo (BID), a través de la División de Transporte en la Representación de Colombia (TSP/CCO)</w:t>
            </w:r>
          </w:p>
        </w:tc>
      </w:tr>
      <w:tr w:rsidR="00CE5A1D" w:rsidRPr="00C75F3F" w:rsidTr="00CE5A1D">
        <w:tc>
          <w:tcPr>
            <w:tcW w:w="4328" w:type="dxa"/>
          </w:tcPr>
          <w:p w:rsidR="00CE5A1D" w:rsidRPr="00C75F3F" w:rsidRDefault="00CE5A1D" w:rsidP="00CE5A1D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Financiamiento Solicitado del BID:</w:t>
            </w:r>
          </w:p>
        </w:tc>
        <w:tc>
          <w:tcPr>
            <w:tcW w:w="4150" w:type="dxa"/>
          </w:tcPr>
          <w:p w:rsidR="00CE5A1D" w:rsidRPr="00C75F3F" w:rsidRDefault="005853E6" w:rsidP="00F72795">
            <w:pPr>
              <w:ind w:left="72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US</w:t>
            </w:r>
            <w:r w:rsidR="00CE5A1D" w:rsidRPr="00C75F3F">
              <w:rPr>
                <w:rFonts w:ascii="Arial" w:hAnsi="Arial" w:cs="Arial"/>
                <w:sz w:val="18"/>
                <w:szCs w:val="18"/>
                <w:lang w:val="es-ES"/>
              </w:rPr>
              <w:t>$500.000</w:t>
            </w:r>
          </w:p>
        </w:tc>
      </w:tr>
      <w:tr w:rsidR="00CE5A1D" w:rsidRPr="00C75F3F" w:rsidTr="00CE5A1D">
        <w:tc>
          <w:tcPr>
            <w:tcW w:w="4328" w:type="dxa"/>
          </w:tcPr>
          <w:p w:rsidR="00CE5A1D" w:rsidRPr="00C75F3F" w:rsidRDefault="00CE5A1D" w:rsidP="00CE5A1D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Contrapartida Local, si hay:</w:t>
            </w:r>
          </w:p>
        </w:tc>
        <w:tc>
          <w:tcPr>
            <w:tcW w:w="4150" w:type="dxa"/>
          </w:tcPr>
          <w:p w:rsidR="00CE5A1D" w:rsidRPr="00C75F3F" w:rsidRDefault="00CE5A1D" w:rsidP="00F72795">
            <w:pPr>
              <w:ind w:left="72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No hay contrapartida local</w:t>
            </w:r>
          </w:p>
        </w:tc>
      </w:tr>
      <w:tr w:rsidR="00CE5A1D" w:rsidRPr="00C75F3F" w:rsidTr="00CE5A1D">
        <w:tc>
          <w:tcPr>
            <w:tcW w:w="4328" w:type="dxa"/>
          </w:tcPr>
          <w:p w:rsidR="00CE5A1D" w:rsidRPr="00C75F3F" w:rsidRDefault="00CE5A1D" w:rsidP="00F72795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Periodo de Desembolso:</w:t>
            </w:r>
          </w:p>
        </w:tc>
        <w:tc>
          <w:tcPr>
            <w:tcW w:w="4150" w:type="dxa"/>
          </w:tcPr>
          <w:p w:rsidR="00CE5A1D" w:rsidRPr="00CC7C6B" w:rsidRDefault="00CC7C6B" w:rsidP="00F72795">
            <w:pPr>
              <w:ind w:left="72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C7C6B">
              <w:rPr>
                <w:rFonts w:ascii="Arial" w:hAnsi="Arial" w:cs="Arial"/>
                <w:sz w:val="18"/>
                <w:szCs w:val="18"/>
                <w:lang w:val="es-ES"/>
              </w:rPr>
              <w:t>Desembolso - 30</w:t>
            </w:r>
            <w:r w:rsidR="00CE5A1D" w:rsidRPr="00CC7C6B">
              <w:rPr>
                <w:rFonts w:ascii="Arial" w:hAnsi="Arial" w:cs="Arial"/>
                <w:sz w:val="18"/>
                <w:szCs w:val="18"/>
                <w:lang w:val="es-ES"/>
              </w:rPr>
              <w:t xml:space="preserve"> meses</w:t>
            </w:r>
            <w:r w:rsidRPr="00CC7C6B">
              <w:rPr>
                <w:rFonts w:ascii="Arial" w:hAnsi="Arial" w:cs="Arial"/>
                <w:sz w:val="18"/>
                <w:szCs w:val="18"/>
                <w:lang w:val="es-ES"/>
              </w:rPr>
              <w:t>; Ejecución – 24  meses</w:t>
            </w:r>
          </w:p>
        </w:tc>
      </w:tr>
      <w:tr w:rsidR="00CE5A1D" w:rsidRPr="00C75F3F" w:rsidTr="00CE5A1D">
        <w:tc>
          <w:tcPr>
            <w:tcW w:w="4328" w:type="dxa"/>
          </w:tcPr>
          <w:p w:rsidR="00CE5A1D" w:rsidRPr="00C75F3F" w:rsidRDefault="00CE5A1D" w:rsidP="00CE5A1D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Fecha de Inicio Requerido:</w:t>
            </w:r>
          </w:p>
        </w:tc>
        <w:tc>
          <w:tcPr>
            <w:tcW w:w="4150" w:type="dxa"/>
          </w:tcPr>
          <w:p w:rsidR="00CE5A1D" w:rsidRPr="005D56BD" w:rsidRDefault="005D56BD" w:rsidP="00F72795">
            <w:pPr>
              <w:ind w:left="72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5D56BD">
              <w:rPr>
                <w:rFonts w:ascii="Arial" w:hAnsi="Arial" w:cs="Arial"/>
                <w:sz w:val="18"/>
                <w:szCs w:val="18"/>
                <w:lang w:val="es-ES"/>
              </w:rPr>
              <w:t>15 de junio de 2016</w:t>
            </w:r>
          </w:p>
        </w:tc>
      </w:tr>
      <w:tr w:rsidR="00CE5A1D" w:rsidRPr="00C75F3F" w:rsidTr="00CE5A1D">
        <w:tc>
          <w:tcPr>
            <w:tcW w:w="4328" w:type="dxa"/>
          </w:tcPr>
          <w:p w:rsidR="00CE5A1D" w:rsidRPr="00C75F3F" w:rsidRDefault="00CE5A1D" w:rsidP="00CE5A1D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Tipos de consultores (firmas o consultores individuales):</w:t>
            </w:r>
          </w:p>
        </w:tc>
        <w:tc>
          <w:tcPr>
            <w:tcW w:w="4150" w:type="dxa"/>
          </w:tcPr>
          <w:p w:rsidR="00CE5A1D" w:rsidRPr="00C75F3F" w:rsidRDefault="00CE5A1D" w:rsidP="00F72795">
            <w:pPr>
              <w:ind w:left="72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Firmas y consultores individuales</w:t>
            </w:r>
          </w:p>
        </w:tc>
      </w:tr>
      <w:tr w:rsidR="00CE5A1D" w:rsidRPr="00C75F3F" w:rsidTr="00CE5A1D">
        <w:tc>
          <w:tcPr>
            <w:tcW w:w="4328" w:type="dxa"/>
          </w:tcPr>
          <w:p w:rsidR="00CE5A1D" w:rsidRPr="00C75F3F" w:rsidRDefault="00CE5A1D" w:rsidP="00CE5A1D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Unidad de Preparación:</w:t>
            </w:r>
          </w:p>
        </w:tc>
        <w:tc>
          <w:tcPr>
            <w:tcW w:w="4150" w:type="dxa"/>
          </w:tcPr>
          <w:p w:rsidR="00CE5A1D" w:rsidRPr="00C75F3F" w:rsidRDefault="00CE5A1D" w:rsidP="00F72795">
            <w:pPr>
              <w:ind w:left="72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TSP/CCO</w:t>
            </w:r>
          </w:p>
        </w:tc>
      </w:tr>
      <w:tr w:rsidR="00CE5A1D" w:rsidRPr="00C75F3F" w:rsidTr="00CE5A1D">
        <w:tc>
          <w:tcPr>
            <w:tcW w:w="4328" w:type="dxa"/>
          </w:tcPr>
          <w:p w:rsidR="00CE5A1D" w:rsidRPr="00C75F3F" w:rsidRDefault="00CE5A1D" w:rsidP="00CE5A1D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Unidad Responsable de Desembolso (UDR):</w:t>
            </w:r>
          </w:p>
        </w:tc>
        <w:tc>
          <w:tcPr>
            <w:tcW w:w="4150" w:type="dxa"/>
          </w:tcPr>
          <w:p w:rsidR="00CE5A1D" w:rsidRPr="00C75F3F" w:rsidRDefault="00CE5A1D" w:rsidP="00F72795">
            <w:pPr>
              <w:ind w:left="72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TSP/CCO</w:t>
            </w:r>
          </w:p>
        </w:tc>
      </w:tr>
      <w:tr w:rsidR="00CE5A1D" w:rsidRPr="00C75F3F" w:rsidTr="00CE5A1D">
        <w:tc>
          <w:tcPr>
            <w:tcW w:w="4328" w:type="dxa"/>
          </w:tcPr>
          <w:p w:rsidR="00CE5A1D" w:rsidRPr="00C75F3F" w:rsidRDefault="00CE5A1D" w:rsidP="00CE5A1D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 xml:space="preserve">CT incluida en la Estrategia de País (s/n): </w:t>
            </w:r>
          </w:p>
        </w:tc>
        <w:tc>
          <w:tcPr>
            <w:tcW w:w="4150" w:type="dxa"/>
          </w:tcPr>
          <w:p w:rsidR="00CE5A1D" w:rsidRPr="00C75F3F" w:rsidRDefault="00CE5A1D" w:rsidP="00F72795">
            <w:pPr>
              <w:ind w:left="72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Sí</w:t>
            </w:r>
          </w:p>
        </w:tc>
      </w:tr>
      <w:tr w:rsidR="00241282" w:rsidRPr="00241282" w:rsidTr="00CE5A1D">
        <w:tc>
          <w:tcPr>
            <w:tcW w:w="4328" w:type="dxa"/>
          </w:tcPr>
          <w:p w:rsidR="00241282" w:rsidRPr="00EF16AB" w:rsidRDefault="00241282" w:rsidP="00CE5A1D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EF16AB">
              <w:rPr>
                <w:rFonts w:ascii="Arial" w:hAnsi="Arial" w:cs="Arial"/>
                <w:sz w:val="18"/>
                <w:szCs w:val="18"/>
                <w:lang w:val="pt-BR"/>
              </w:rPr>
              <w:t xml:space="preserve">CT </w:t>
            </w:r>
            <w:proofErr w:type="spellStart"/>
            <w:r w:rsidRPr="00EF16AB">
              <w:rPr>
                <w:rFonts w:ascii="Arial" w:hAnsi="Arial" w:cs="Arial"/>
                <w:sz w:val="18"/>
                <w:szCs w:val="18"/>
                <w:lang w:val="pt-BR"/>
              </w:rPr>
              <w:t>incluida</w:t>
            </w:r>
            <w:proofErr w:type="spellEnd"/>
            <w:r w:rsidRPr="00EF16AB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EF16AB">
              <w:rPr>
                <w:rFonts w:ascii="Arial" w:hAnsi="Arial" w:cs="Arial"/>
                <w:sz w:val="18"/>
                <w:szCs w:val="18"/>
                <w:lang w:val="pt-BR"/>
              </w:rPr>
              <w:t>en</w:t>
            </w:r>
            <w:proofErr w:type="spellEnd"/>
            <w:r w:rsidRPr="00EF16AB">
              <w:rPr>
                <w:rFonts w:ascii="Arial" w:hAnsi="Arial" w:cs="Arial"/>
                <w:sz w:val="18"/>
                <w:szCs w:val="18"/>
                <w:lang w:val="pt-BR"/>
              </w:rPr>
              <w:t xml:space="preserve"> CPD (s/n):</w:t>
            </w:r>
          </w:p>
        </w:tc>
        <w:tc>
          <w:tcPr>
            <w:tcW w:w="4150" w:type="dxa"/>
          </w:tcPr>
          <w:p w:rsidR="00241282" w:rsidRPr="0015729D" w:rsidRDefault="00241282" w:rsidP="00F72795">
            <w:pPr>
              <w:ind w:left="72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15729D">
              <w:rPr>
                <w:rFonts w:ascii="Arial" w:hAnsi="Arial" w:cs="Arial"/>
                <w:sz w:val="18"/>
                <w:szCs w:val="18"/>
                <w:lang w:val="es-ES_tradnl"/>
              </w:rPr>
              <w:t>Sí</w:t>
            </w:r>
          </w:p>
        </w:tc>
      </w:tr>
      <w:tr w:rsidR="00D93AF7" w:rsidRPr="00C75F3F" w:rsidTr="00CE5A1D">
        <w:tc>
          <w:tcPr>
            <w:tcW w:w="4328" w:type="dxa"/>
          </w:tcPr>
          <w:p w:rsidR="00D93AF7" w:rsidRPr="00C75F3F" w:rsidRDefault="00D93AF7" w:rsidP="00FD5142">
            <w:pPr>
              <w:pStyle w:val="ListParagraph"/>
              <w:numPr>
                <w:ilvl w:val="0"/>
                <w:numId w:val="2"/>
              </w:numPr>
              <w:ind w:left="180" w:hanging="18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Prioridad Sectorial GCI-9:</w:t>
            </w:r>
          </w:p>
        </w:tc>
        <w:tc>
          <w:tcPr>
            <w:tcW w:w="4150" w:type="dxa"/>
          </w:tcPr>
          <w:p w:rsidR="00D93AF7" w:rsidRPr="00C75F3F" w:rsidRDefault="00D93AF7" w:rsidP="00F72795">
            <w:pPr>
              <w:ind w:left="72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75F3F">
              <w:rPr>
                <w:rFonts w:ascii="Arial" w:hAnsi="Arial" w:cs="Arial"/>
                <w:sz w:val="18"/>
                <w:szCs w:val="18"/>
                <w:lang w:val="es-ES"/>
              </w:rPr>
              <w:t>Infraes</w:t>
            </w:r>
            <w:r w:rsidR="00F72795">
              <w:rPr>
                <w:rFonts w:ascii="Arial" w:hAnsi="Arial" w:cs="Arial"/>
                <w:sz w:val="18"/>
                <w:szCs w:val="18"/>
                <w:lang w:val="es-ES"/>
              </w:rPr>
              <w:t>tructura para la competitividad</w:t>
            </w:r>
          </w:p>
        </w:tc>
      </w:tr>
    </w:tbl>
    <w:p w:rsidR="0095711B" w:rsidRPr="00A523B2" w:rsidRDefault="00C43E24" w:rsidP="00DC5956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ES"/>
        </w:rPr>
      </w:pPr>
      <w:r w:rsidRPr="00A523B2">
        <w:rPr>
          <w:rFonts w:ascii="Arial" w:hAnsi="Arial" w:cs="Arial"/>
          <w:b/>
          <w:lang w:val="es-ES"/>
        </w:rPr>
        <w:t>Obje</w:t>
      </w:r>
      <w:r w:rsidR="00F00960" w:rsidRPr="00A523B2">
        <w:rPr>
          <w:rFonts w:ascii="Arial" w:hAnsi="Arial" w:cs="Arial"/>
          <w:b/>
          <w:lang w:val="es-ES"/>
        </w:rPr>
        <w:t>tivos</w:t>
      </w:r>
      <w:r w:rsidRPr="00A523B2">
        <w:rPr>
          <w:rFonts w:ascii="Arial" w:hAnsi="Arial" w:cs="Arial"/>
          <w:b/>
          <w:lang w:val="es-ES"/>
        </w:rPr>
        <w:t xml:space="preserve"> </w:t>
      </w:r>
      <w:r w:rsidR="00185A0A">
        <w:rPr>
          <w:rFonts w:ascii="Arial" w:hAnsi="Arial" w:cs="Arial"/>
          <w:b/>
          <w:lang w:val="es-ES"/>
        </w:rPr>
        <w:t>y Justificación</w:t>
      </w:r>
      <w:r w:rsidR="005D330B" w:rsidRPr="00A523B2">
        <w:rPr>
          <w:rFonts w:ascii="Arial" w:hAnsi="Arial" w:cs="Arial"/>
          <w:b/>
          <w:lang w:val="es-ES"/>
        </w:rPr>
        <w:t xml:space="preserve"> </w:t>
      </w:r>
      <w:r w:rsidR="00A12C27" w:rsidRPr="00A523B2">
        <w:rPr>
          <w:rFonts w:ascii="Arial" w:hAnsi="Arial" w:cs="Arial"/>
          <w:highlight w:val="yellow"/>
          <w:lang w:val="es-ES"/>
        </w:rPr>
        <w:t xml:space="preserve"> </w:t>
      </w:r>
    </w:p>
    <w:p w:rsidR="00B33F26" w:rsidRPr="00EA3BBF" w:rsidRDefault="00043D93" w:rsidP="00EA3BBF">
      <w:pPr>
        <w:pStyle w:val="ListParagraph"/>
        <w:numPr>
          <w:ilvl w:val="1"/>
          <w:numId w:val="5"/>
        </w:numPr>
        <w:spacing w:before="120" w:after="120" w:line="240" w:lineRule="auto"/>
        <w:ind w:hanging="630"/>
        <w:jc w:val="both"/>
        <w:rPr>
          <w:rFonts w:ascii="Arial" w:hAnsi="Arial" w:cs="Arial"/>
          <w:lang w:val="es-ES"/>
        </w:rPr>
      </w:pPr>
      <w:bookmarkStart w:id="1" w:name="_Ref448500147"/>
      <w:r w:rsidRPr="00EA3BBF">
        <w:rPr>
          <w:rFonts w:ascii="Arial" w:hAnsi="Arial" w:cs="Arial"/>
          <w:b/>
          <w:lang w:val="es-ES"/>
        </w:rPr>
        <w:t>Objetivo.</w:t>
      </w:r>
      <w:r w:rsidRPr="00EA3BBF">
        <w:rPr>
          <w:rFonts w:ascii="Arial" w:hAnsi="Arial" w:cs="Arial"/>
          <w:lang w:val="es-ES"/>
        </w:rPr>
        <w:t xml:space="preserve"> </w:t>
      </w:r>
      <w:bookmarkEnd w:id="1"/>
      <w:r w:rsidR="001D2402" w:rsidRPr="00EA3BBF">
        <w:rPr>
          <w:rFonts w:ascii="Arial" w:hAnsi="Arial" w:cs="Arial"/>
          <w:lang w:val="es-ES"/>
        </w:rPr>
        <w:t xml:space="preserve">La presente CT apoyará </w:t>
      </w:r>
      <w:r w:rsidR="00EA3BBF" w:rsidRPr="00EA3BBF">
        <w:rPr>
          <w:rFonts w:ascii="Arial" w:hAnsi="Arial" w:cs="Arial"/>
          <w:lang w:val="es-ES"/>
        </w:rPr>
        <w:t xml:space="preserve">la implementación de las acciones de política del Gobierno de Colombia </w:t>
      </w:r>
      <w:r w:rsidR="00F72795">
        <w:rPr>
          <w:rFonts w:ascii="Arial" w:hAnsi="Arial" w:cs="Arial"/>
          <w:lang w:val="es-ES"/>
        </w:rPr>
        <w:t>(</w:t>
      </w:r>
      <w:proofErr w:type="spellStart"/>
      <w:r w:rsidR="00F72795">
        <w:rPr>
          <w:rFonts w:ascii="Arial" w:hAnsi="Arial" w:cs="Arial"/>
          <w:lang w:val="es-ES"/>
        </w:rPr>
        <w:t>GdC</w:t>
      </w:r>
      <w:proofErr w:type="spellEnd"/>
      <w:r w:rsidR="00F72795">
        <w:rPr>
          <w:rFonts w:ascii="Arial" w:hAnsi="Arial" w:cs="Arial"/>
          <w:lang w:val="es-ES"/>
        </w:rPr>
        <w:t xml:space="preserve">) </w:t>
      </w:r>
      <w:r w:rsidR="00EA3BBF" w:rsidRPr="00EA3BBF">
        <w:rPr>
          <w:rFonts w:ascii="Arial" w:hAnsi="Arial" w:cs="Arial"/>
          <w:lang w:val="es-ES"/>
        </w:rPr>
        <w:t>orientadas</w:t>
      </w:r>
      <w:r w:rsidR="00F72795">
        <w:rPr>
          <w:rFonts w:ascii="Arial" w:hAnsi="Arial" w:cs="Arial"/>
          <w:lang w:val="es-ES"/>
        </w:rPr>
        <w:t xml:space="preserve"> a</w:t>
      </w:r>
      <w:r w:rsidR="00EA3BBF" w:rsidRPr="00EA3BBF">
        <w:rPr>
          <w:rFonts w:ascii="Arial" w:hAnsi="Arial" w:cs="Arial"/>
          <w:lang w:val="es-ES"/>
        </w:rPr>
        <w:t xml:space="preserve"> incrementar la provisión y calidad de los servicios de infraestructura por medio de </w:t>
      </w:r>
      <w:r w:rsidR="00F72795">
        <w:rPr>
          <w:rFonts w:ascii="Arial" w:hAnsi="Arial" w:cs="Arial"/>
          <w:lang w:val="es-ES"/>
        </w:rPr>
        <w:t>APP</w:t>
      </w:r>
      <w:r w:rsidR="00EA3BBF" w:rsidRPr="00EA3BBF">
        <w:rPr>
          <w:rFonts w:ascii="Arial" w:hAnsi="Arial" w:cs="Arial"/>
          <w:lang w:val="es-ES"/>
        </w:rPr>
        <w:t xml:space="preserve"> (¶2.9).</w:t>
      </w:r>
    </w:p>
    <w:p w:rsidR="00B33F26" w:rsidRPr="00B33F26" w:rsidRDefault="00B33F26" w:rsidP="00B33F26">
      <w:pPr>
        <w:pStyle w:val="ListParagraph"/>
        <w:spacing w:before="120" w:after="120" w:line="240" w:lineRule="auto"/>
        <w:ind w:left="360"/>
        <w:jc w:val="both"/>
        <w:rPr>
          <w:rFonts w:ascii="Arial" w:hAnsi="Arial" w:cs="Arial"/>
          <w:lang w:val="es-ES"/>
        </w:rPr>
      </w:pPr>
    </w:p>
    <w:p w:rsidR="00B33F26" w:rsidRPr="00171250" w:rsidRDefault="00C40665" w:rsidP="00110E53">
      <w:pPr>
        <w:pStyle w:val="ListParagraph"/>
        <w:numPr>
          <w:ilvl w:val="1"/>
          <w:numId w:val="5"/>
        </w:numPr>
        <w:spacing w:before="120" w:after="120" w:line="240" w:lineRule="auto"/>
        <w:ind w:hanging="630"/>
        <w:jc w:val="both"/>
        <w:rPr>
          <w:rFonts w:ascii="Arial" w:hAnsi="Arial" w:cs="Arial"/>
          <w:bCs/>
          <w:lang w:val="es-CO"/>
        </w:rPr>
      </w:pPr>
      <w:r w:rsidRPr="00855D5A">
        <w:rPr>
          <w:rFonts w:ascii="Arial" w:hAnsi="Arial" w:cs="Arial"/>
          <w:b/>
          <w:lang w:val="es-ES"/>
        </w:rPr>
        <w:t>Justificación.</w:t>
      </w:r>
      <w:r>
        <w:rPr>
          <w:rFonts w:ascii="Arial" w:hAnsi="Arial" w:cs="Arial"/>
          <w:lang w:val="es-ES"/>
        </w:rPr>
        <w:t xml:space="preserve"> </w:t>
      </w:r>
      <w:r w:rsidR="00110E53" w:rsidRPr="00B00FAA">
        <w:rPr>
          <w:rFonts w:ascii="Arial" w:hAnsi="Arial" w:cs="Arial"/>
          <w:bCs/>
          <w:lang w:val="es-CO"/>
        </w:rPr>
        <w:t>Colombia ha invertido en promedio el 3,2% de su PIB en infraestructura durante la última década, lo cual dista del promedio recomendado de entre el 5%</w:t>
      </w:r>
      <w:r w:rsidR="00F72795">
        <w:rPr>
          <w:rFonts w:ascii="Arial" w:hAnsi="Arial" w:cs="Arial"/>
          <w:bCs/>
          <w:lang w:val="es-CO"/>
        </w:rPr>
        <w:t>-</w:t>
      </w:r>
      <w:r w:rsidR="00110E53" w:rsidRPr="00B00FAA">
        <w:rPr>
          <w:rFonts w:ascii="Arial" w:hAnsi="Arial" w:cs="Arial"/>
          <w:bCs/>
          <w:lang w:val="es-CO"/>
        </w:rPr>
        <w:t>7% para la región</w:t>
      </w:r>
      <w:r w:rsidR="00110E53" w:rsidRPr="00B00FAA">
        <w:rPr>
          <w:rStyle w:val="FootnoteReference"/>
          <w:rFonts w:ascii="Arial" w:hAnsi="Arial" w:cs="Arial"/>
          <w:bCs/>
          <w:lang w:val="es-CO"/>
        </w:rPr>
        <w:footnoteReference w:id="1"/>
      </w:r>
      <w:r w:rsidR="00110E53" w:rsidRPr="00B00FAA">
        <w:rPr>
          <w:rFonts w:ascii="Arial" w:hAnsi="Arial" w:cs="Arial"/>
          <w:bCs/>
          <w:lang w:val="es-CO"/>
        </w:rPr>
        <w:t>. Esta baja inversión resulta en la importante brecha en infraestructura que persiste en el país, la cual tiene un impacto directo en la competitividad y el crecimiento económico</w:t>
      </w:r>
      <w:r w:rsidR="00110E53" w:rsidRPr="00B00FAA">
        <w:rPr>
          <w:rStyle w:val="FootnoteReference"/>
          <w:rFonts w:ascii="Arial" w:hAnsi="Arial" w:cs="Arial"/>
          <w:bCs/>
          <w:lang w:val="es-CO"/>
        </w:rPr>
        <w:footnoteReference w:id="2"/>
      </w:r>
      <w:r w:rsidR="00110E53" w:rsidRPr="00B00FAA">
        <w:rPr>
          <w:rFonts w:ascii="Arial" w:hAnsi="Arial" w:cs="Arial"/>
          <w:bCs/>
          <w:lang w:val="es-CO"/>
        </w:rPr>
        <w:t xml:space="preserve">. </w:t>
      </w:r>
      <w:r w:rsidR="00110E53" w:rsidRPr="00B00FAA">
        <w:rPr>
          <w:rFonts w:ascii="Arial" w:hAnsi="Arial" w:cs="Arial"/>
          <w:lang w:val="es-CO"/>
        </w:rPr>
        <w:t>En este contexto, y con la inversión pública limitada en el mediano plazo, incrementar la</w:t>
      </w:r>
      <w:r w:rsidR="00110E53" w:rsidRPr="00B00FAA">
        <w:rPr>
          <w:rFonts w:ascii="Arial" w:hAnsi="Arial" w:cs="Arial"/>
          <w:lang w:val="es-ES_tradnl"/>
        </w:rPr>
        <w:t xml:space="preserve"> participación privada se </w:t>
      </w:r>
      <w:r w:rsidR="00110E53" w:rsidRPr="00B00FAA">
        <w:rPr>
          <w:rFonts w:ascii="Arial" w:hAnsi="Arial" w:cs="Arial"/>
          <w:lang w:val="es-ES_tradnl"/>
        </w:rPr>
        <w:lastRenderedPageBreak/>
        <w:t>visualiza como un elemento clave para reducir la brecha en infraestructura productiva y social y mejorar su calidad</w:t>
      </w:r>
      <w:r w:rsidR="00110E53" w:rsidRPr="00B00FAA">
        <w:rPr>
          <w:rStyle w:val="FootnoteReference"/>
          <w:rFonts w:ascii="Arial" w:hAnsi="Arial" w:cs="Arial"/>
          <w:lang w:val="es-ES_tradnl"/>
        </w:rPr>
        <w:footnoteReference w:id="3"/>
      </w:r>
      <w:r w:rsidR="00110E53" w:rsidRPr="00B00FAA">
        <w:rPr>
          <w:rFonts w:ascii="Arial" w:hAnsi="Arial" w:cs="Arial"/>
          <w:lang w:val="es-ES_tradnl"/>
        </w:rPr>
        <w:t>.</w:t>
      </w:r>
    </w:p>
    <w:p w:rsidR="00171250" w:rsidRPr="00171250" w:rsidRDefault="00171250" w:rsidP="00171250">
      <w:pPr>
        <w:pStyle w:val="ListParagraph"/>
        <w:rPr>
          <w:rFonts w:ascii="Arial" w:hAnsi="Arial" w:cs="Arial"/>
          <w:bCs/>
          <w:lang w:val="es-CO"/>
        </w:rPr>
      </w:pPr>
    </w:p>
    <w:p w:rsidR="001C05C0" w:rsidRPr="00171250" w:rsidRDefault="00BC5896" w:rsidP="00171250">
      <w:pPr>
        <w:pStyle w:val="ListParagraph"/>
        <w:numPr>
          <w:ilvl w:val="1"/>
          <w:numId w:val="5"/>
        </w:numPr>
        <w:spacing w:before="120" w:after="120" w:line="240" w:lineRule="auto"/>
        <w:ind w:hanging="630"/>
        <w:jc w:val="both"/>
        <w:rPr>
          <w:rFonts w:ascii="Arial" w:hAnsi="Arial" w:cs="Arial"/>
          <w:lang w:val="es-ES"/>
        </w:rPr>
      </w:pPr>
      <w:r w:rsidRPr="00171250">
        <w:rPr>
          <w:rFonts w:ascii="Arial" w:hAnsi="Arial" w:cs="Arial"/>
          <w:lang w:val="es-ES"/>
        </w:rPr>
        <w:t xml:space="preserve">Como consecuencia de un proceso de aprendizaje basado </w:t>
      </w:r>
      <w:r w:rsidR="001C05C0" w:rsidRPr="00171250">
        <w:rPr>
          <w:rFonts w:ascii="Arial" w:hAnsi="Arial" w:cs="Arial"/>
          <w:lang w:val="es-ES"/>
        </w:rPr>
        <w:t xml:space="preserve">principalmente </w:t>
      </w:r>
      <w:r w:rsidRPr="00171250">
        <w:rPr>
          <w:rFonts w:ascii="Arial" w:hAnsi="Arial" w:cs="Arial"/>
          <w:lang w:val="es-ES"/>
        </w:rPr>
        <w:t xml:space="preserve">en el sector transporte, </w:t>
      </w:r>
      <w:r w:rsidR="00E43182" w:rsidRPr="00171250">
        <w:rPr>
          <w:rFonts w:ascii="Arial" w:hAnsi="Arial" w:cs="Arial"/>
          <w:lang w:val="es-ES"/>
        </w:rPr>
        <w:t xml:space="preserve">en los últimos años </w:t>
      </w:r>
      <w:r w:rsidRPr="00171250">
        <w:rPr>
          <w:rFonts w:ascii="Arial" w:hAnsi="Arial" w:cs="Arial"/>
          <w:lang w:val="es-ES"/>
        </w:rPr>
        <w:t xml:space="preserve">el </w:t>
      </w:r>
      <w:proofErr w:type="spellStart"/>
      <w:r w:rsidRPr="00171250">
        <w:rPr>
          <w:rFonts w:ascii="Arial" w:hAnsi="Arial" w:cs="Arial"/>
          <w:lang w:val="es-ES"/>
        </w:rPr>
        <w:t>GdC</w:t>
      </w:r>
      <w:proofErr w:type="spellEnd"/>
      <w:r w:rsidRPr="00171250">
        <w:rPr>
          <w:rFonts w:ascii="Arial" w:hAnsi="Arial" w:cs="Arial"/>
          <w:lang w:val="es-ES"/>
        </w:rPr>
        <w:t xml:space="preserve"> impulsó importantes reformas en el marco normativo e institucional</w:t>
      </w:r>
      <w:r w:rsidRPr="00171250">
        <w:rPr>
          <w:rStyle w:val="FootnoteReference"/>
          <w:rFonts w:ascii="Arial" w:hAnsi="Arial" w:cs="Arial"/>
          <w:lang w:val="es-ES_tradnl"/>
        </w:rPr>
        <w:footnoteReference w:id="4"/>
      </w:r>
      <w:r w:rsidRPr="00171250">
        <w:rPr>
          <w:rFonts w:ascii="Arial" w:hAnsi="Arial" w:cs="Arial"/>
          <w:lang w:val="es-ES"/>
        </w:rPr>
        <w:t xml:space="preserve"> para la participación privada, cuyo hito principal fue la aprobación de la Ley de APP (Ley 1508 de 2012).</w:t>
      </w:r>
      <w:r w:rsidR="00623ECD" w:rsidRPr="00171250">
        <w:rPr>
          <w:rFonts w:ascii="Arial" w:hAnsi="Arial" w:cs="Arial"/>
          <w:lang w:val="es-ES"/>
        </w:rPr>
        <w:t xml:space="preserve"> </w:t>
      </w:r>
      <w:bookmarkStart w:id="2" w:name="Barreras"/>
      <w:bookmarkEnd w:id="2"/>
    </w:p>
    <w:p w:rsidR="001C05C0" w:rsidRPr="001C05C0" w:rsidRDefault="001C05C0" w:rsidP="001C05C0">
      <w:pPr>
        <w:pStyle w:val="ListParagraph"/>
        <w:rPr>
          <w:rFonts w:ascii="Arial" w:hAnsi="Arial" w:cs="Arial"/>
          <w:lang w:val="es-ES"/>
        </w:rPr>
      </w:pPr>
    </w:p>
    <w:p w:rsidR="00443E28" w:rsidRPr="00B00FAA" w:rsidRDefault="00126A59" w:rsidP="00EE3B88">
      <w:pPr>
        <w:pStyle w:val="ListParagraph"/>
        <w:numPr>
          <w:ilvl w:val="1"/>
          <w:numId w:val="5"/>
        </w:numPr>
        <w:spacing w:before="120" w:after="120" w:line="240" w:lineRule="auto"/>
        <w:ind w:hanging="630"/>
        <w:jc w:val="both"/>
        <w:rPr>
          <w:rFonts w:ascii="Arial" w:hAnsi="Arial" w:cs="Arial"/>
          <w:lang w:val="es-CO"/>
        </w:rPr>
      </w:pPr>
      <w:r w:rsidRPr="001C05C0">
        <w:rPr>
          <w:rFonts w:ascii="Arial" w:hAnsi="Arial" w:cs="Arial"/>
          <w:lang w:val="es-ES"/>
        </w:rPr>
        <w:t>Aunque hoy Colombia cuenta con un marco regulatorio sólido para la implementación de proyectos APP, que ha permitido importantes avances en el sector transporte</w:t>
      </w:r>
      <w:r w:rsidRPr="001C05C0">
        <w:rPr>
          <w:rStyle w:val="FootnoteReference"/>
          <w:rFonts w:ascii="Arial" w:hAnsi="Arial" w:cs="Arial"/>
          <w:lang w:val="es-ES_tradnl"/>
        </w:rPr>
        <w:t xml:space="preserve"> </w:t>
      </w:r>
      <w:r w:rsidR="00BC5896" w:rsidRPr="001C05C0">
        <w:rPr>
          <w:rStyle w:val="FootnoteReference"/>
          <w:rFonts w:ascii="Arial" w:hAnsi="Arial" w:cs="Arial"/>
          <w:lang w:val="es-ES_tradnl"/>
        </w:rPr>
        <w:footnoteReference w:id="5"/>
      </w:r>
      <w:r w:rsidR="00BC5896" w:rsidRPr="001C05C0">
        <w:rPr>
          <w:rFonts w:ascii="Arial" w:hAnsi="Arial" w:cs="Arial"/>
          <w:lang w:val="es-ES_tradnl"/>
        </w:rPr>
        <w:t xml:space="preserve">, </w:t>
      </w:r>
      <w:r w:rsidRPr="001C05C0">
        <w:rPr>
          <w:rFonts w:ascii="Arial" w:hAnsi="Arial" w:cs="Arial"/>
          <w:lang w:val="es-ES"/>
        </w:rPr>
        <w:t>no se ha logrado extender su utilización a otros sectores identificados como prioritarios para el país, en particular a los sectores de educación, salud y justicia, ni a nivel territorial. Adicionalmente, se hace necesaria la reglamentación de aspectos específicos en los sectores de transporte y agua y saneamiento</w:t>
      </w:r>
      <w:r w:rsidR="00BC5896" w:rsidRPr="001C05C0">
        <w:rPr>
          <w:rFonts w:ascii="Arial" w:hAnsi="Arial" w:cs="Arial"/>
          <w:lang w:val="es-CO"/>
        </w:rPr>
        <w:t xml:space="preserve">. </w:t>
      </w:r>
      <w:bookmarkStart w:id="3" w:name="_Ref447661073"/>
      <w:r w:rsidR="005E31C2" w:rsidRPr="001C05C0">
        <w:rPr>
          <w:rFonts w:ascii="Arial" w:hAnsi="Arial" w:cs="Arial"/>
          <w:lang w:val="es-ES"/>
        </w:rPr>
        <w:t>P</w:t>
      </w:r>
      <w:r w:rsidR="006D2F68" w:rsidRPr="001C05C0">
        <w:rPr>
          <w:rFonts w:ascii="Arial" w:hAnsi="Arial" w:cs="Arial"/>
          <w:lang w:val="es-ES"/>
        </w:rPr>
        <w:t>ara lograr la im</w:t>
      </w:r>
      <w:r w:rsidR="005856D6">
        <w:rPr>
          <w:rFonts w:ascii="Arial" w:hAnsi="Arial" w:cs="Arial"/>
          <w:lang w:val="es-ES"/>
        </w:rPr>
        <w:t>plementación efectiva de</w:t>
      </w:r>
      <w:r w:rsidR="00375B5C">
        <w:rPr>
          <w:rFonts w:ascii="Arial" w:hAnsi="Arial" w:cs="Arial"/>
          <w:lang w:val="es-ES"/>
        </w:rPr>
        <w:t xml:space="preserve"> APP</w:t>
      </w:r>
      <w:r w:rsidR="006D2F68" w:rsidRPr="001C05C0">
        <w:rPr>
          <w:rFonts w:ascii="Arial" w:hAnsi="Arial" w:cs="Arial"/>
          <w:lang w:val="es-ES"/>
        </w:rPr>
        <w:t xml:space="preserve"> se reconocen</w:t>
      </w:r>
      <w:r w:rsidR="00AA4FA7">
        <w:rPr>
          <w:rFonts w:ascii="Arial" w:hAnsi="Arial" w:cs="Arial"/>
          <w:lang w:val="es-ES"/>
        </w:rPr>
        <w:t xml:space="preserve"> debilidades</w:t>
      </w:r>
      <w:r w:rsidR="001C05C0" w:rsidRPr="001C05C0">
        <w:rPr>
          <w:rFonts w:ascii="Arial" w:hAnsi="Arial" w:cs="Arial"/>
          <w:lang w:val="es-ES"/>
        </w:rPr>
        <w:t xml:space="preserve"> </w:t>
      </w:r>
      <w:r w:rsidR="00C63315">
        <w:rPr>
          <w:rFonts w:ascii="Arial" w:hAnsi="Arial" w:cs="Arial"/>
          <w:lang w:val="es-ES"/>
        </w:rPr>
        <w:t xml:space="preserve">en </w:t>
      </w:r>
      <w:r w:rsidR="00D04AD2">
        <w:rPr>
          <w:rFonts w:ascii="Arial" w:hAnsi="Arial" w:cs="Arial"/>
          <w:lang w:val="es-ES"/>
        </w:rPr>
        <w:t>el</w:t>
      </w:r>
      <w:r w:rsidR="00C63315">
        <w:rPr>
          <w:rFonts w:ascii="Arial" w:hAnsi="Arial" w:cs="Arial"/>
          <w:lang w:val="es-ES"/>
        </w:rPr>
        <w:t xml:space="preserve"> marco </w:t>
      </w:r>
      <w:r w:rsidR="001C05C0" w:rsidRPr="001C05C0">
        <w:rPr>
          <w:rFonts w:ascii="Arial" w:hAnsi="Arial" w:cs="Arial"/>
          <w:lang w:val="es-ES"/>
        </w:rPr>
        <w:t>normativ</w:t>
      </w:r>
      <w:r w:rsidR="00B31DB3">
        <w:rPr>
          <w:rFonts w:ascii="Arial" w:hAnsi="Arial" w:cs="Arial"/>
          <w:lang w:val="es-ES"/>
        </w:rPr>
        <w:t>o,</w:t>
      </w:r>
      <w:r w:rsidR="00C63315">
        <w:rPr>
          <w:rFonts w:ascii="Arial" w:hAnsi="Arial" w:cs="Arial"/>
          <w:lang w:val="es-ES"/>
        </w:rPr>
        <w:t xml:space="preserve"> regulator</w:t>
      </w:r>
      <w:r w:rsidR="00D04AD2">
        <w:rPr>
          <w:rFonts w:ascii="Arial" w:hAnsi="Arial" w:cs="Arial"/>
          <w:lang w:val="es-ES"/>
        </w:rPr>
        <w:t>io</w:t>
      </w:r>
      <w:r w:rsidR="00CA3EF2">
        <w:rPr>
          <w:rFonts w:ascii="Arial" w:hAnsi="Arial" w:cs="Arial"/>
          <w:lang w:val="es-ES"/>
        </w:rPr>
        <w:t xml:space="preserve"> e</w:t>
      </w:r>
      <w:r w:rsidR="00C63315">
        <w:rPr>
          <w:rFonts w:ascii="Arial" w:hAnsi="Arial" w:cs="Arial"/>
          <w:lang w:val="es-ES"/>
        </w:rPr>
        <w:t xml:space="preserve"> institucional</w:t>
      </w:r>
      <w:r w:rsidR="00CA3EF2">
        <w:rPr>
          <w:rFonts w:ascii="Arial" w:hAnsi="Arial" w:cs="Arial"/>
          <w:lang w:val="es-ES"/>
        </w:rPr>
        <w:t>, así como</w:t>
      </w:r>
      <w:r w:rsidR="001C05C0" w:rsidRPr="001C05C0">
        <w:rPr>
          <w:rFonts w:ascii="Arial" w:hAnsi="Arial" w:cs="Arial"/>
          <w:lang w:val="es-ES"/>
        </w:rPr>
        <w:t xml:space="preserve"> en la estructuración de proyectos.</w:t>
      </w:r>
      <w:bookmarkEnd w:id="3"/>
    </w:p>
    <w:p w:rsidR="00B00FAA" w:rsidRPr="001C05C0" w:rsidRDefault="00B00FAA" w:rsidP="00B00FAA">
      <w:pPr>
        <w:pStyle w:val="ListParagraph"/>
        <w:spacing w:before="120" w:after="120" w:line="240" w:lineRule="auto"/>
        <w:ind w:left="360"/>
        <w:jc w:val="both"/>
        <w:rPr>
          <w:rFonts w:ascii="Arial" w:hAnsi="Arial" w:cs="Arial"/>
          <w:lang w:val="es-CO"/>
        </w:rPr>
      </w:pPr>
    </w:p>
    <w:p w:rsidR="00A67367" w:rsidRPr="00E773B6" w:rsidRDefault="00AA4FA7" w:rsidP="00A67367">
      <w:pPr>
        <w:pStyle w:val="ListParagraph"/>
        <w:numPr>
          <w:ilvl w:val="1"/>
          <w:numId w:val="5"/>
        </w:numPr>
        <w:spacing w:before="120" w:after="120" w:line="240" w:lineRule="auto"/>
        <w:ind w:hanging="630"/>
        <w:jc w:val="both"/>
        <w:rPr>
          <w:rFonts w:ascii="Arial" w:hAnsi="Arial" w:cs="Arial"/>
          <w:bCs/>
          <w:lang w:val="es-CO"/>
        </w:rPr>
      </w:pPr>
      <w:r>
        <w:rPr>
          <w:rFonts w:ascii="Arial" w:hAnsi="Arial" w:cs="Arial"/>
          <w:bCs/>
          <w:lang w:val="es-CO"/>
        </w:rPr>
        <w:t>En el ámbito normativo</w:t>
      </w:r>
      <w:r w:rsidR="00A67367" w:rsidRPr="00E773B6">
        <w:rPr>
          <w:rFonts w:ascii="Arial" w:hAnsi="Arial" w:cs="Arial"/>
          <w:bCs/>
          <w:lang w:val="es-CO"/>
        </w:rPr>
        <w:t xml:space="preserve"> y regulatorio, l</w:t>
      </w:r>
      <w:r w:rsidR="00A67367" w:rsidRPr="00E773B6">
        <w:rPr>
          <w:rFonts w:ascii="Arial" w:hAnsi="Arial" w:cs="Arial"/>
          <w:lang w:val="es-CO"/>
        </w:rPr>
        <w:t>as principales limitaciones consisten en</w:t>
      </w:r>
      <w:r w:rsidR="00840729" w:rsidRPr="00E773B6">
        <w:rPr>
          <w:rFonts w:ascii="Arial" w:hAnsi="Arial" w:cs="Arial"/>
          <w:lang w:val="es-CO"/>
        </w:rPr>
        <w:t xml:space="preserve"> la falta de</w:t>
      </w:r>
      <w:r w:rsidR="00A67367" w:rsidRPr="00E773B6">
        <w:rPr>
          <w:rFonts w:ascii="Arial" w:hAnsi="Arial" w:cs="Arial"/>
          <w:lang w:val="es-CO"/>
        </w:rPr>
        <w:t xml:space="preserve">: </w:t>
      </w:r>
      <w:r w:rsidR="00B97537" w:rsidRPr="00E773B6">
        <w:rPr>
          <w:rFonts w:ascii="Arial" w:hAnsi="Arial" w:cs="Arial"/>
          <w:lang w:val="es-ES"/>
        </w:rPr>
        <w:t>(i) lineamientos de política que promuevan la utilización de esquemas APP; (ii)</w:t>
      </w:r>
      <w:r w:rsidR="00F72795">
        <w:rPr>
          <w:rFonts w:ascii="Arial" w:hAnsi="Arial" w:cs="Arial"/>
          <w:lang w:val="es-ES"/>
        </w:rPr>
        <w:t> </w:t>
      </w:r>
      <w:r w:rsidR="00B97537" w:rsidRPr="00E773B6">
        <w:rPr>
          <w:rFonts w:ascii="Arial" w:hAnsi="Arial" w:cs="Arial"/>
          <w:lang w:val="es-ES_tradnl"/>
        </w:rPr>
        <w:t>reglamentación de la Ley de APP según el marco normativo sectorial</w:t>
      </w:r>
      <w:r w:rsidR="00B97537" w:rsidRPr="00E773B6">
        <w:rPr>
          <w:rFonts w:ascii="Arial" w:hAnsi="Arial" w:cs="Arial"/>
          <w:lang w:val="es-ES"/>
        </w:rPr>
        <w:t xml:space="preserve"> para permitir la aplicación de APP en agua y saneamiento; (iii) lineamientos que establezcan marcos específicos para las APP y su articulación con las necesidades de infraestructura y características sectoriales pro</w:t>
      </w:r>
      <w:r w:rsidR="00F72795">
        <w:rPr>
          <w:rFonts w:ascii="Arial" w:hAnsi="Arial" w:cs="Arial"/>
          <w:lang w:val="es-ES"/>
        </w:rPr>
        <w:t xml:space="preserve">pias en educación y justicia; </w:t>
      </w:r>
      <w:r w:rsidR="00B97537" w:rsidRPr="00E773B6">
        <w:rPr>
          <w:rFonts w:ascii="Arial" w:hAnsi="Arial" w:cs="Arial"/>
          <w:lang w:val="es-ES"/>
        </w:rPr>
        <w:t>(iv)</w:t>
      </w:r>
      <w:r w:rsidR="00F72795">
        <w:rPr>
          <w:rFonts w:ascii="Arial" w:hAnsi="Arial" w:cs="Arial"/>
          <w:lang w:val="es-ES"/>
        </w:rPr>
        <w:t> </w:t>
      </w:r>
      <w:r w:rsidR="00B97537" w:rsidRPr="00E773B6">
        <w:rPr>
          <w:rFonts w:ascii="Arial" w:hAnsi="Arial" w:cs="Arial"/>
          <w:lang w:val="es-ES"/>
        </w:rPr>
        <w:t>actualización de instrumentos para la valoración y asignación de riesgos</w:t>
      </w:r>
      <w:r w:rsidR="00C503D5" w:rsidRPr="00E773B6">
        <w:rPr>
          <w:rFonts w:ascii="Arial" w:hAnsi="Arial" w:cs="Arial"/>
          <w:lang w:val="es-ES"/>
        </w:rPr>
        <w:t xml:space="preserve">; </w:t>
      </w:r>
      <w:r w:rsidR="00C503D5" w:rsidRPr="00E773B6">
        <w:rPr>
          <w:rFonts w:ascii="Arial" w:hAnsi="Arial" w:cs="Arial"/>
          <w:lang w:val="es-CO"/>
        </w:rPr>
        <w:t>y (v)</w:t>
      </w:r>
      <w:r w:rsidR="00F72795">
        <w:rPr>
          <w:rFonts w:ascii="Arial" w:hAnsi="Arial" w:cs="Arial"/>
          <w:lang w:val="es-CO"/>
        </w:rPr>
        <w:t> </w:t>
      </w:r>
      <w:r w:rsidR="00A67367" w:rsidRPr="00E773B6">
        <w:rPr>
          <w:rFonts w:ascii="Arial" w:hAnsi="Arial" w:cs="Arial"/>
          <w:lang w:val="es-CO"/>
        </w:rPr>
        <w:t>regulación específica para la asignación y captación de recursos para la financiación de proyecto</w:t>
      </w:r>
      <w:r w:rsidR="00B97537" w:rsidRPr="00E773B6">
        <w:rPr>
          <w:rFonts w:ascii="Arial" w:hAnsi="Arial" w:cs="Arial"/>
          <w:lang w:val="es-CO"/>
        </w:rPr>
        <w:t>s APP.</w:t>
      </w:r>
    </w:p>
    <w:p w:rsidR="00A67367" w:rsidRPr="004C51FA" w:rsidRDefault="00A67367" w:rsidP="00A67367">
      <w:pPr>
        <w:pStyle w:val="ListParagraph"/>
        <w:spacing w:before="120" w:after="120" w:line="240" w:lineRule="auto"/>
        <w:ind w:left="360"/>
        <w:jc w:val="both"/>
        <w:rPr>
          <w:rFonts w:ascii="Arial" w:hAnsi="Arial" w:cs="Arial"/>
          <w:bCs/>
          <w:lang w:val="es-CO"/>
        </w:rPr>
      </w:pPr>
    </w:p>
    <w:p w:rsidR="00A67367" w:rsidRPr="00D46CD4" w:rsidRDefault="00D46CD4" w:rsidP="00A67367">
      <w:pPr>
        <w:pStyle w:val="ListParagraph"/>
        <w:numPr>
          <w:ilvl w:val="1"/>
          <w:numId w:val="5"/>
        </w:numPr>
        <w:spacing w:before="120" w:after="120" w:line="240" w:lineRule="auto"/>
        <w:ind w:hanging="630"/>
        <w:jc w:val="both"/>
        <w:rPr>
          <w:rFonts w:ascii="Arial" w:hAnsi="Arial" w:cs="Arial"/>
          <w:lang w:val="es-CO"/>
        </w:rPr>
      </w:pPr>
      <w:r w:rsidRPr="00D46CD4">
        <w:rPr>
          <w:rFonts w:ascii="Arial" w:hAnsi="Arial" w:cs="Arial"/>
          <w:lang w:val="es-CO"/>
        </w:rPr>
        <w:t>En el marco institucional, a</w:t>
      </w:r>
      <w:r w:rsidR="00A67367" w:rsidRPr="00D46CD4">
        <w:rPr>
          <w:rFonts w:ascii="Arial" w:hAnsi="Arial" w:cs="Arial"/>
          <w:bCs/>
          <w:lang w:val="es-CO"/>
        </w:rPr>
        <w:t xml:space="preserve"> nivel nacional, a excepción del sector transporte, las entidades encargadas de realizar la gestión de proyectos APP, no cuentan con áreas técnicas especializadas, ni con un esquema de implementación y evaluación que les permita el desarrollo de proyectos o programas sectoriales. Asimismo, a nivel territorial, dado el gran número de proyectos, principalmente de iniciativa privada, que se han presentado</w:t>
      </w:r>
      <w:r w:rsidR="00205999">
        <w:rPr>
          <w:rFonts w:ascii="Arial" w:hAnsi="Arial" w:cs="Arial"/>
          <w:bCs/>
          <w:lang w:val="es-CO"/>
        </w:rPr>
        <w:t>,</w:t>
      </w:r>
      <w:r w:rsidR="00A67367" w:rsidRPr="00D46CD4">
        <w:rPr>
          <w:rFonts w:ascii="Arial" w:hAnsi="Arial" w:cs="Arial"/>
          <w:bCs/>
          <w:lang w:val="es-CO"/>
        </w:rPr>
        <w:t xml:space="preserve"> existe un gran reto para las entidades </w:t>
      </w:r>
      <w:proofErr w:type="spellStart"/>
      <w:r w:rsidR="00A67367" w:rsidRPr="00D46CD4">
        <w:rPr>
          <w:rFonts w:ascii="Arial" w:hAnsi="Arial" w:cs="Arial"/>
          <w:bCs/>
          <w:lang w:val="es-CO"/>
        </w:rPr>
        <w:t>subnacionales</w:t>
      </w:r>
      <w:proofErr w:type="spellEnd"/>
      <w:r w:rsidR="00A67367" w:rsidRPr="00D46CD4">
        <w:rPr>
          <w:rFonts w:ascii="Arial" w:hAnsi="Arial" w:cs="Arial"/>
          <w:bCs/>
          <w:lang w:val="es-CO"/>
        </w:rPr>
        <w:t xml:space="preserve">, las cuales actualmente carecen de agencias especializadas o programas de fortalecimiento para la </w:t>
      </w:r>
      <w:proofErr w:type="spellStart"/>
      <w:r w:rsidR="00A67367" w:rsidRPr="00D46CD4">
        <w:rPr>
          <w:rFonts w:ascii="Arial" w:hAnsi="Arial" w:cs="Arial"/>
          <w:bCs/>
          <w:lang w:val="es-CO"/>
        </w:rPr>
        <w:t>viabilización</w:t>
      </w:r>
      <w:proofErr w:type="spellEnd"/>
      <w:r w:rsidR="00A67367" w:rsidRPr="00D46CD4">
        <w:rPr>
          <w:rFonts w:ascii="Arial" w:hAnsi="Arial" w:cs="Arial"/>
          <w:bCs/>
          <w:lang w:val="es-CO"/>
        </w:rPr>
        <w:t>, desarrollo y gestión de proyectos APP. Estas deficiencias han generado una gran disparidad entre el número de proyectos desarrollados a nivel nacional frente al nivel territorial, así como un gran porcentaje de proyectos rechazados.</w:t>
      </w:r>
    </w:p>
    <w:p w:rsidR="00A67367" w:rsidRPr="00F0624E" w:rsidRDefault="00A67367" w:rsidP="00A67367">
      <w:pPr>
        <w:pStyle w:val="ListParagraph"/>
        <w:spacing w:before="120" w:after="120" w:line="240" w:lineRule="auto"/>
        <w:ind w:left="360"/>
        <w:jc w:val="both"/>
        <w:rPr>
          <w:rFonts w:ascii="Arial" w:hAnsi="Arial" w:cs="Arial"/>
          <w:lang w:val="es-CO"/>
        </w:rPr>
      </w:pPr>
    </w:p>
    <w:p w:rsidR="00A67367" w:rsidRPr="008922F7" w:rsidRDefault="00D07881" w:rsidP="00A67367">
      <w:pPr>
        <w:pStyle w:val="ListParagraph"/>
        <w:numPr>
          <w:ilvl w:val="1"/>
          <w:numId w:val="5"/>
        </w:numPr>
        <w:spacing w:before="120" w:after="120" w:line="240" w:lineRule="auto"/>
        <w:ind w:hanging="630"/>
        <w:jc w:val="both"/>
        <w:rPr>
          <w:rFonts w:ascii="Arial" w:hAnsi="Arial" w:cs="Arial"/>
          <w:lang w:val="es-CO"/>
        </w:rPr>
      </w:pPr>
      <w:r w:rsidRPr="008922F7">
        <w:rPr>
          <w:rFonts w:ascii="Arial" w:hAnsi="Arial" w:cs="Arial"/>
          <w:lang w:val="es-CO"/>
        </w:rPr>
        <w:t>La estructuración de proyectos con</w:t>
      </w:r>
      <w:r w:rsidR="00A67367" w:rsidRPr="008922F7">
        <w:rPr>
          <w:rFonts w:ascii="Arial" w:hAnsi="Arial" w:cs="Arial"/>
          <w:bCs/>
          <w:lang w:val="es-CO"/>
        </w:rPr>
        <w:t xml:space="preserve"> p</w:t>
      </w:r>
      <w:r w:rsidR="00E5162F">
        <w:rPr>
          <w:rFonts w:ascii="Arial" w:hAnsi="Arial" w:cs="Arial"/>
          <w:bCs/>
          <w:lang w:val="es-CO"/>
        </w:rPr>
        <w:t>articipación privada</w:t>
      </w:r>
      <w:r w:rsidR="00A67367" w:rsidRPr="008922F7">
        <w:rPr>
          <w:rFonts w:ascii="Arial" w:hAnsi="Arial" w:cs="Arial"/>
          <w:bCs/>
          <w:lang w:val="es-CO"/>
        </w:rPr>
        <w:t xml:space="preserve"> requiere </w:t>
      </w:r>
      <w:r w:rsidR="008B3B23">
        <w:rPr>
          <w:rFonts w:ascii="Arial" w:hAnsi="Arial" w:cs="Arial"/>
          <w:bCs/>
          <w:lang w:val="es-CO"/>
        </w:rPr>
        <w:t xml:space="preserve">de </w:t>
      </w:r>
      <w:r w:rsidR="00A67367" w:rsidRPr="008922F7">
        <w:rPr>
          <w:rFonts w:ascii="Arial" w:hAnsi="Arial" w:cs="Arial"/>
          <w:bCs/>
          <w:lang w:val="es-CO"/>
        </w:rPr>
        <w:t xml:space="preserve">instrumentos que </w:t>
      </w:r>
      <w:r w:rsidR="008922F7" w:rsidRPr="008922F7">
        <w:rPr>
          <w:rFonts w:ascii="Arial" w:hAnsi="Arial" w:cs="Arial"/>
          <w:bCs/>
          <w:lang w:val="es-CO"/>
        </w:rPr>
        <w:t>la orienten</w:t>
      </w:r>
      <w:r w:rsidR="00A67367" w:rsidRPr="008922F7">
        <w:rPr>
          <w:rFonts w:ascii="Arial" w:hAnsi="Arial" w:cs="Arial"/>
          <w:bCs/>
          <w:lang w:val="es-CO"/>
        </w:rPr>
        <w:t xml:space="preserve">, </w:t>
      </w:r>
      <w:r w:rsidR="00E5162F">
        <w:rPr>
          <w:rFonts w:ascii="Arial" w:hAnsi="Arial" w:cs="Arial"/>
          <w:lang w:val="es-ES"/>
        </w:rPr>
        <w:t>d</w:t>
      </w:r>
      <w:r w:rsidR="00E5162F" w:rsidRPr="00E5162F">
        <w:rPr>
          <w:rFonts w:ascii="Arial" w:hAnsi="Arial" w:cs="Arial"/>
          <w:lang w:val="es-ES"/>
        </w:rPr>
        <w:t>ebido a que</w:t>
      </w:r>
      <w:r w:rsidR="00E5162F">
        <w:rPr>
          <w:rFonts w:ascii="Arial" w:hAnsi="Arial" w:cs="Arial"/>
          <w:lang w:val="es-ES"/>
        </w:rPr>
        <w:t xml:space="preserve"> en los sectores, a excepción del sector transporte,</w:t>
      </w:r>
      <w:r w:rsidR="00E5162F" w:rsidRPr="00E5162F">
        <w:rPr>
          <w:rFonts w:ascii="Arial" w:hAnsi="Arial" w:cs="Arial"/>
          <w:lang w:val="es-ES"/>
        </w:rPr>
        <w:t xml:space="preserve"> no ha habido desarrollo </w:t>
      </w:r>
      <w:r w:rsidR="00E5162F">
        <w:rPr>
          <w:rFonts w:ascii="Arial" w:hAnsi="Arial" w:cs="Arial"/>
          <w:lang w:val="es-ES"/>
        </w:rPr>
        <w:t>de proyectos bajo la Ley de APP</w:t>
      </w:r>
      <w:r w:rsidR="00E5162F" w:rsidRPr="00E5162F">
        <w:rPr>
          <w:rFonts w:ascii="Arial" w:hAnsi="Arial" w:cs="Arial"/>
          <w:lang w:val="es-ES"/>
        </w:rPr>
        <w:t xml:space="preserve">, </w:t>
      </w:r>
      <w:r w:rsidR="00E5162F">
        <w:rPr>
          <w:rFonts w:ascii="Arial" w:hAnsi="Arial" w:cs="Arial"/>
          <w:lang w:val="es-ES"/>
        </w:rPr>
        <w:t xml:space="preserve">por lo que </w:t>
      </w:r>
      <w:r w:rsidR="00E5162F" w:rsidRPr="00E5162F">
        <w:rPr>
          <w:rFonts w:ascii="Arial" w:hAnsi="Arial" w:cs="Arial"/>
          <w:lang w:val="es-ES"/>
        </w:rPr>
        <w:t>no se cuenta con experiencia práctica q</w:t>
      </w:r>
      <w:r w:rsidR="00E5162F">
        <w:rPr>
          <w:rFonts w:ascii="Arial" w:hAnsi="Arial" w:cs="Arial"/>
          <w:lang w:val="es-ES"/>
        </w:rPr>
        <w:t>ue demuestre la viabilidad de este esquema y</w:t>
      </w:r>
      <w:r w:rsidR="00E5162F" w:rsidRPr="00E5162F">
        <w:rPr>
          <w:rFonts w:ascii="Arial" w:hAnsi="Arial" w:cs="Arial"/>
          <w:lang w:val="es-ES"/>
        </w:rPr>
        <w:t xml:space="preserve"> que considere las característ</w:t>
      </w:r>
      <w:r w:rsidR="00E5162F">
        <w:rPr>
          <w:rFonts w:ascii="Arial" w:hAnsi="Arial" w:cs="Arial"/>
          <w:lang w:val="es-ES"/>
        </w:rPr>
        <w:t>icas específicas de cada sector.</w:t>
      </w:r>
    </w:p>
    <w:p w:rsidR="00A67367" w:rsidRDefault="00A67367" w:rsidP="006D2F68">
      <w:pPr>
        <w:pStyle w:val="ListParagraph"/>
        <w:spacing w:before="120" w:after="120" w:line="240" w:lineRule="auto"/>
        <w:ind w:left="360"/>
        <w:jc w:val="both"/>
        <w:rPr>
          <w:rFonts w:ascii="Arial" w:hAnsi="Arial" w:cs="Arial"/>
          <w:lang w:val="es-CO"/>
        </w:rPr>
      </w:pPr>
    </w:p>
    <w:p w:rsidR="007A103A" w:rsidRPr="0047521F" w:rsidRDefault="00987DD8" w:rsidP="0047521F">
      <w:pPr>
        <w:pStyle w:val="ListParagraph"/>
        <w:numPr>
          <w:ilvl w:val="1"/>
          <w:numId w:val="5"/>
        </w:numPr>
        <w:spacing w:before="120" w:after="120" w:line="240" w:lineRule="auto"/>
        <w:ind w:hanging="63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Cs/>
          <w:lang w:val="es-CO"/>
        </w:rPr>
        <w:t>E</w:t>
      </w:r>
      <w:r w:rsidR="00DB4636" w:rsidRPr="00443E28">
        <w:rPr>
          <w:rFonts w:ascii="Arial" w:hAnsi="Arial" w:cs="Arial"/>
          <w:bCs/>
          <w:lang w:val="es-CO"/>
        </w:rPr>
        <w:t xml:space="preserve">l </w:t>
      </w:r>
      <w:proofErr w:type="spellStart"/>
      <w:r w:rsidR="00DB4636" w:rsidRPr="00443E28">
        <w:rPr>
          <w:rFonts w:ascii="Arial" w:hAnsi="Arial" w:cs="Arial"/>
          <w:bCs/>
          <w:lang w:val="es-CO"/>
        </w:rPr>
        <w:t>GdC</w:t>
      </w:r>
      <w:proofErr w:type="spellEnd"/>
      <w:r w:rsidR="00DB4636" w:rsidRPr="00443E28">
        <w:rPr>
          <w:rFonts w:ascii="Arial" w:hAnsi="Arial" w:cs="Arial"/>
          <w:bCs/>
          <w:lang w:val="es-CO"/>
        </w:rPr>
        <w:t xml:space="preserve"> mediante el Plan Nacional de Desarrollo </w:t>
      </w:r>
      <w:r w:rsidR="00E57E05" w:rsidRPr="00443E28">
        <w:rPr>
          <w:rFonts w:ascii="Arial" w:hAnsi="Arial" w:cs="Arial"/>
          <w:bCs/>
          <w:lang w:val="es-CO"/>
        </w:rPr>
        <w:t xml:space="preserve">(PND) 2014-2018 </w:t>
      </w:r>
      <w:r w:rsidR="00B1192E" w:rsidRPr="00B1192E">
        <w:rPr>
          <w:rFonts w:ascii="Arial" w:hAnsi="Arial" w:cs="Arial"/>
          <w:lang w:val="es-ES"/>
        </w:rPr>
        <w:t>establece como una de sus principales estrategias la consolidación del esquema APP en la provisión y gestión de infraestructura productiva y el impulso de su desarrollo en sectores sociales</w:t>
      </w:r>
      <w:r w:rsidR="00DB4636" w:rsidRPr="00443E28">
        <w:rPr>
          <w:rFonts w:ascii="Arial" w:hAnsi="Arial" w:cs="Arial"/>
          <w:bCs/>
          <w:lang w:val="es-CO"/>
        </w:rPr>
        <w:t>. Asimismo, con miras a mejorar la calidad de la inversión, reconoce la necesidad de fomentar la capacidad de las entidades territoriales para la formulación y estructuración de proyectos APP</w:t>
      </w:r>
      <w:r w:rsidR="00E57E05" w:rsidRPr="00443E28">
        <w:rPr>
          <w:rFonts w:ascii="Arial" w:hAnsi="Arial" w:cs="Arial"/>
          <w:bCs/>
          <w:lang w:val="es-CO"/>
        </w:rPr>
        <w:t>.</w:t>
      </w:r>
      <w:r w:rsidR="007A103A">
        <w:rPr>
          <w:rFonts w:ascii="Arial" w:hAnsi="Arial" w:cs="Arial"/>
          <w:bCs/>
          <w:lang w:val="es-CO"/>
        </w:rPr>
        <w:t xml:space="preserve"> </w:t>
      </w:r>
      <w:r w:rsidR="0047521F">
        <w:rPr>
          <w:rFonts w:ascii="Arial" w:hAnsi="Arial" w:cs="Arial"/>
          <w:lang w:val="es-ES"/>
        </w:rPr>
        <w:t>E</w:t>
      </w:r>
      <w:r w:rsidR="00EA3BBF" w:rsidRPr="0047521F">
        <w:rPr>
          <w:rFonts w:ascii="Arial" w:hAnsi="Arial" w:cs="Arial"/>
          <w:lang w:val="es-ES"/>
        </w:rPr>
        <w:t>l</w:t>
      </w:r>
      <w:r w:rsidR="00EA3BBF" w:rsidRPr="0047521F">
        <w:rPr>
          <w:rFonts w:ascii="Arial" w:hAnsi="Arial" w:cs="Arial"/>
          <w:bCs/>
          <w:lang w:val="es-CO"/>
        </w:rPr>
        <w:t xml:space="preserve"> </w:t>
      </w:r>
      <w:proofErr w:type="spellStart"/>
      <w:r w:rsidR="007A103A" w:rsidRPr="0047521F">
        <w:rPr>
          <w:rFonts w:ascii="Arial" w:hAnsi="Arial" w:cs="Arial"/>
          <w:bCs/>
          <w:lang w:val="es-CO"/>
        </w:rPr>
        <w:t>G</w:t>
      </w:r>
      <w:r w:rsidR="00587991" w:rsidRPr="0047521F">
        <w:rPr>
          <w:rFonts w:ascii="Arial" w:hAnsi="Arial" w:cs="Arial"/>
          <w:bCs/>
          <w:lang w:val="es-CO"/>
        </w:rPr>
        <w:t>dC</w:t>
      </w:r>
      <w:proofErr w:type="spellEnd"/>
      <w:r w:rsidR="00587991" w:rsidRPr="0047521F">
        <w:rPr>
          <w:rFonts w:ascii="Arial" w:hAnsi="Arial" w:cs="Arial"/>
          <w:bCs/>
          <w:lang w:val="es-CO"/>
        </w:rPr>
        <w:t xml:space="preserve"> solicitó al Banco </w:t>
      </w:r>
      <w:r w:rsidR="002123FF" w:rsidRPr="0047521F">
        <w:rPr>
          <w:rFonts w:ascii="Arial" w:hAnsi="Arial" w:cs="Arial"/>
          <w:bCs/>
          <w:lang w:val="es-CO"/>
        </w:rPr>
        <w:t xml:space="preserve">un </w:t>
      </w:r>
      <w:r w:rsidR="00EA3BBF" w:rsidRPr="0047521F">
        <w:rPr>
          <w:rFonts w:ascii="Arial" w:hAnsi="Arial" w:cs="Arial"/>
          <w:bCs/>
          <w:lang w:val="es-ES"/>
        </w:rPr>
        <w:t xml:space="preserve">Préstamo de Reformas de Política (PBP) relativo al “Apoyo al Programa de </w:t>
      </w:r>
      <w:r w:rsidR="00F72795">
        <w:rPr>
          <w:rFonts w:ascii="Arial" w:hAnsi="Arial" w:cs="Arial"/>
          <w:bCs/>
          <w:lang w:val="es-ES"/>
        </w:rPr>
        <w:t>APP</w:t>
      </w:r>
      <w:r w:rsidR="00EA3BBF" w:rsidRPr="0047521F">
        <w:rPr>
          <w:rFonts w:ascii="Arial" w:hAnsi="Arial" w:cs="Arial"/>
          <w:bCs/>
          <w:lang w:val="es-ES"/>
        </w:rPr>
        <w:t xml:space="preserve"> de Colombia” CO-L1162, que tiene como objetivo contribuir a incrementar la inversión privada en la provisión y gestión de infraestructura productiva y social, a través de la consolidación de la política pública para la vinculación de la participación privada, a nivel nacional y territorial. </w:t>
      </w:r>
      <w:r w:rsidR="00EA3BBF" w:rsidRPr="0047521F">
        <w:rPr>
          <w:rFonts w:ascii="Arial" w:hAnsi="Arial" w:cs="Arial"/>
          <w:bCs/>
          <w:lang w:val="es-CO"/>
        </w:rPr>
        <w:t>La</w:t>
      </w:r>
      <w:r w:rsidR="002123FF" w:rsidRPr="0047521F">
        <w:rPr>
          <w:rFonts w:ascii="Arial" w:hAnsi="Arial" w:cs="Arial"/>
          <w:bCs/>
          <w:lang w:val="es-CO"/>
        </w:rPr>
        <w:t xml:space="preserve"> primera operación </w:t>
      </w:r>
      <w:r w:rsidR="00EA3BBF" w:rsidRPr="0047521F">
        <w:rPr>
          <w:rFonts w:ascii="Arial" w:hAnsi="Arial" w:cs="Arial"/>
          <w:bCs/>
          <w:lang w:val="es-CO"/>
        </w:rPr>
        <w:t xml:space="preserve">del PBP </w:t>
      </w:r>
      <w:r w:rsidR="007A103A" w:rsidRPr="0047521F">
        <w:rPr>
          <w:rFonts w:ascii="Arial" w:hAnsi="Arial" w:cs="Arial"/>
          <w:bCs/>
          <w:lang w:val="es-CO"/>
        </w:rPr>
        <w:t xml:space="preserve">se encuentra </w:t>
      </w:r>
      <w:r w:rsidR="002123FF" w:rsidRPr="0047521F">
        <w:rPr>
          <w:rFonts w:ascii="Arial" w:hAnsi="Arial" w:cs="Arial"/>
          <w:bCs/>
          <w:lang w:val="es-CO"/>
        </w:rPr>
        <w:t xml:space="preserve">actualmente </w:t>
      </w:r>
      <w:r w:rsidR="007A103A" w:rsidRPr="0047521F">
        <w:rPr>
          <w:rFonts w:ascii="Arial" w:hAnsi="Arial" w:cs="Arial"/>
          <w:bCs/>
          <w:lang w:val="es-CO"/>
        </w:rPr>
        <w:t>en pr</w:t>
      </w:r>
      <w:r w:rsidR="0047521F">
        <w:rPr>
          <w:rFonts w:ascii="Arial" w:hAnsi="Arial" w:cs="Arial"/>
          <w:bCs/>
          <w:lang w:val="es-CO"/>
        </w:rPr>
        <w:t>eparación</w:t>
      </w:r>
      <w:r w:rsidR="00EA3BBF" w:rsidRPr="0047521F">
        <w:rPr>
          <w:rFonts w:ascii="Arial" w:hAnsi="Arial" w:cs="Arial"/>
          <w:lang w:val="es-ES"/>
        </w:rPr>
        <w:t>.</w:t>
      </w:r>
    </w:p>
    <w:p w:rsidR="007A103A" w:rsidRPr="007A103A" w:rsidRDefault="007A103A" w:rsidP="007A103A">
      <w:pPr>
        <w:pStyle w:val="ListParagraph"/>
        <w:rPr>
          <w:rFonts w:ascii="Arial" w:hAnsi="Arial" w:cs="Arial"/>
          <w:bCs/>
          <w:highlight w:val="yellow"/>
          <w:lang w:val="es-CO"/>
        </w:rPr>
      </w:pPr>
    </w:p>
    <w:p w:rsidR="007A103A" w:rsidRPr="00D33DFD" w:rsidRDefault="007A103A" w:rsidP="007A103A">
      <w:pPr>
        <w:pStyle w:val="ListParagraph"/>
        <w:numPr>
          <w:ilvl w:val="1"/>
          <w:numId w:val="5"/>
        </w:numPr>
        <w:spacing w:before="120" w:after="120" w:line="240" w:lineRule="auto"/>
        <w:ind w:hanging="630"/>
        <w:jc w:val="both"/>
        <w:rPr>
          <w:rFonts w:ascii="Arial" w:hAnsi="Arial" w:cs="Arial"/>
          <w:bCs/>
          <w:lang w:val="es-CO"/>
        </w:rPr>
      </w:pPr>
      <w:r w:rsidRPr="00D33DFD">
        <w:rPr>
          <w:rFonts w:ascii="Arial" w:hAnsi="Arial" w:cs="Arial"/>
          <w:b/>
          <w:lang w:val="es-ES"/>
        </w:rPr>
        <w:t>Alineación estratégica.</w:t>
      </w:r>
      <w:r w:rsidRPr="00D33DFD">
        <w:rPr>
          <w:rFonts w:ascii="Arial" w:hAnsi="Arial" w:cs="Arial"/>
          <w:lang w:val="es-ES"/>
        </w:rPr>
        <w:t xml:space="preserve"> </w:t>
      </w:r>
      <w:r w:rsidR="004F56CA" w:rsidRPr="00D33DFD">
        <w:rPr>
          <w:rFonts w:ascii="Arial" w:hAnsi="Arial" w:cs="Arial"/>
          <w:lang w:val="es-ES"/>
        </w:rPr>
        <w:t>Respecto a la Actualización de la Estrategia Institucional (UIS) (2010</w:t>
      </w:r>
      <w:r w:rsidR="004F56CA" w:rsidRPr="00D33DFD">
        <w:rPr>
          <w:rFonts w:ascii="Arial" w:hAnsi="Arial" w:cs="Arial"/>
          <w:lang w:val="es-ES"/>
        </w:rPr>
        <w:noBreakHyphen/>
        <w:t>2020) (GN</w:t>
      </w:r>
      <w:r w:rsidR="004F56CA" w:rsidRPr="00D33DFD">
        <w:rPr>
          <w:rFonts w:ascii="Arial" w:hAnsi="Arial" w:cs="Arial"/>
          <w:lang w:val="es-ES"/>
        </w:rPr>
        <w:noBreakHyphen/>
        <w:t>2788-5), el programa se alinea con el desafío de desarrollo de productividad e innovación con enfoque en la provisión de infraestructura y servicios públicos adecuados, confiables y asequibles</w:t>
      </w:r>
      <w:r w:rsidRPr="00D33DFD">
        <w:rPr>
          <w:rFonts w:ascii="Arial" w:hAnsi="Arial" w:cs="Arial"/>
          <w:lang w:val="es-ES"/>
        </w:rPr>
        <w:t xml:space="preserve">. </w:t>
      </w:r>
      <w:r w:rsidR="00D33DFD" w:rsidRPr="003403E5">
        <w:rPr>
          <w:rFonts w:ascii="Arial" w:hAnsi="Arial" w:cs="Arial"/>
          <w:lang w:val="es-ES"/>
        </w:rPr>
        <w:t xml:space="preserve">A su vez, </w:t>
      </w:r>
      <w:r w:rsidR="00D33DFD" w:rsidRPr="003403E5">
        <w:rPr>
          <w:rFonts w:ascii="Arial" w:hAnsi="Arial" w:cs="Arial"/>
          <w:lang w:val="es-ES_tradnl" w:eastAsia="zh-CN"/>
        </w:rPr>
        <w:t>el programa es consistente con el objetivo de la Estrategia del Banco con Co</w:t>
      </w:r>
      <w:r w:rsidR="006E1AC6">
        <w:rPr>
          <w:rFonts w:ascii="Arial" w:hAnsi="Arial" w:cs="Arial"/>
          <w:lang w:val="es-ES_tradnl" w:eastAsia="zh-CN"/>
        </w:rPr>
        <w:t>lombia (GN</w:t>
      </w:r>
      <w:r w:rsidR="006E1AC6">
        <w:rPr>
          <w:rFonts w:ascii="Arial" w:hAnsi="Arial" w:cs="Arial"/>
          <w:lang w:val="es-ES_tradnl" w:eastAsia="zh-CN"/>
        </w:rPr>
        <w:noBreakHyphen/>
        <w:t xml:space="preserve">2832) que contempla </w:t>
      </w:r>
      <w:r w:rsidR="00D33DFD" w:rsidRPr="003403E5">
        <w:rPr>
          <w:rFonts w:ascii="Arial" w:hAnsi="Arial" w:cs="Arial"/>
          <w:lang w:val="es-ES_tradnl" w:eastAsia="zh-CN"/>
        </w:rPr>
        <w:t>elevar la calidad de la infraestructura y el desarrollo urbano y disminuir costo</w:t>
      </w:r>
      <w:r w:rsidR="006E1AC6">
        <w:rPr>
          <w:rFonts w:ascii="Arial" w:hAnsi="Arial" w:cs="Arial"/>
          <w:lang w:val="es-ES_tradnl" w:eastAsia="zh-CN"/>
        </w:rPr>
        <w:t>s de transacción de la economía</w:t>
      </w:r>
      <w:r w:rsidR="00D33DFD" w:rsidRPr="003403E5">
        <w:rPr>
          <w:rFonts w:ascii="Arial" w:hAnsi="Arial" w:cs="Arial"/>
          <w:lang w:val="es-ES_tradnl" w:eastAsia="zh-CN"/>
        </w:rPr>
        <w:t>.</w:t>
      </w:r>
    </w:p>
    <w:p w:rsidR="007A103A" w:rsidRPr="00AC3A91" w:rsidRDefault="007A103A" w:rsidP="007A103A">
      <w:pPr>
        <w:pStyle w:val="ListParagraph"/>
        <w:spacing w:before="120" w:after="120" w:line="240" w:lineRule="auto"/>
        <w:ind w:left="360"/>
        <w:jc w:val="both"/>
        <w:rPr>
          <w:rFonts w:ascii="Arial" w:hAnsi="Arial" w:cs="Arial"/>
          <w:bCs/>
          <w:highlight w:val="yellow"/>
          <w:lang w:val="es-CO"/>
        </w:rPr>
      </w:pPr>
    </w:p>
    <w:p w:rsidR="00EB0885" w:rsidRDefault="00F00960" w:rsidP="00DC5956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ES"/>
        </w:rPr>
      </w:pPr>
      <w:r w:rsidRPr="00A523B2">
        <w:rPr>
          <w:rFonts w:ascii="Arial" w:hAnsi="Arial" w:cs="Arial"/>
          <w:b/>
          <w:lang w:val="es-ES"/>
        </w:rPr>
        <w:t xml:space="preserve">Descripción de las </w:t>
      </w:r>
      <w:r w:rsidR="00A12C27" w:rsidRPr="00A523B2">
        <w:rPr>
          <w:rFonts w:ascii="Arial" w:hAnsi="Arial" w:cs="Arial"/>
          <w:b/>
          <w:lang w:val="es-ES"/>
        </w:rPr>
        <w:t>activi</w:t>
      </w:r>
      <w:r w:rsidRPr="00A523B2">
        <w:rPr>
          <w:rFonts w:ascii="Arial" w:hAnsi="Arial" w:cs="Arial"/>
          <w:b/>
          <w:lang w:val="es-ES"/>
        </w:rPr>
        <w:t>dades</w:t>
      </w:r>
      <w:r w:rsidR="00847603" w:rsidRPr="00A523B2">
        <w:rPr>
          <w:rFonts w:ascii="Arial" w:hAnsi="Arial" w:cs="Arial"/>
          <w:b/>
          <w:lang w:val="es-ES"/>
        </w:rPr>
        <w:t xml:space="preserve"> y resultados </w:t>
      </w:r>
    </w:p>
    <w:p w:rsidR="00F6363D" w:rsidRDefault="00B33F26" w:rsidP="00DC5956">
      <w:pPr>
        <w:pStyle w:val="ListParagraph"/>
        <w:numPr>
          <w:ilvl w:val="1"/>
          <w:numId w:val="5"/>
        </w:numPr>
        <w:spacing w:after="0" w:line="240" w:lineRule="auto"/>
        <w:ind w:hanging="630"/>
        <w:contextualSpacing w:val="0"/>
        <w:jc w:val="both"/>
        <w:rPr>
          <w:rFonts w:ascii="Arial" w:hAnsi="Arial" w:cs="Arial"/>
          <w:lang w:val="es-ES"/>
        </w:rPr>
      </w:pPr>
      <w:r w:rsidRPr="00B33F26">
        <w:rPr>
          <w:rFonts w:ascii="Arial" w:hAnsi="Arial" w:cs="Arial"/>
          <w:b/>
          <w:lang w:val="es-ES"/>
        </w:rPr>
        <w:t>Componente</w:t>
      </w:r>
      <w:r w:rsidR="0023264E">
        <w:rPr>
          <w:rFonts w:ascii="Arial" w:hAnsi="Arial" w:cs="Arial"/>
          <w:b/>
          <w:lang w:val="es-ES"/>
        </w:rPr>
        <w:t xml:space="preserve"> 1</w:t>
      </w:r>
      <w:r w:rsidR="0035428B">
        <w:rPr>
          <w:rFonts w:ascii="Arial" w:hAnsi="Arial" w:cs="Arial"/>
          <w:b/>
          <w:lang w:val="es-ES"/>
        </w:rPr>
        <w:t>.</w:t>
      </w:r>
      <w:r>
        <w:rPr>
          <w:rFonts w:ascii="Arial" w:hAnsi="Arial" w:cs="Arial"/>
          <w:lang w:val="es-ES"/>
        </w:rPr>
        <w:t xml:space="preserve"> </w:t>
      </w:r>
      <w:r w:rsidR="002C1308">
        <w:rPr>
          <w:rFonts w:ascii="Arial" w:hAnsi="Arial" w:cs="Arial"/>
          <w:b/>
          <w:lang w:val="es-ES"/>
        </w:rPr>
        <w:t>Sistema</w:t>
      </w:r>
      <w:r w:rsidR="0047521F">
        <w:rPr>
          <w:rFonts w:ascii="Arial" w:hAnsi="Arial" w:cs="Arial"/>
          <w:b/>
          <w:lang w:val="es-ES"/>
        </w:rPr>
        <w:t xml:space="preserve"> normativo e </w:t>
      </w:r>
      <w:r w:rsidR="0035428B">
        <w:rPr>
          <w:rFonts w:ascii="Arial" w:hAnsi="Arial" w:cs="Arial"/>
          <w:b/>
          <w:lang w:val="es-ES"/>
        </w:rPr>
        <w:t>institucional</w:t>
      </w:r>
      <w:r w:rsidR="0047521F">
        <w:rPr>
          <w:rFonts w:ascii="Arial" w:hAnsi="Arial" w:cs="Arial"/>
          <w:b/>
          <w:lang w:val="es-ES"/>
        </w:rPr>
        <w:t xml:space="preserve"> en APP</w:t>
      </w:r>
      <w:r w:rsidR="0023264E" w:rsidRPr="0023264E">
        <w:rPr>
          <w:rFonts w:ascii="Arial" w:hAnsi="Arial" w:cs="Arial"/>
          <w:b/>
          <w:lang w:val="es-ES"/>
        </w:rPr>
        <w:t>.</w:t>
      </w:r>
      <w:r w:rsidR="0023264E">
        <w:rPr>
          <w:rFonts w:ascii="Arial" w:hAnsi="Arial" w:cs="Arial"/>
          <w:lang w:val="es-ES"/>
        </w:rPr>
        <w:t xml:space="preserve"> </w:t>
      </w:r>
      <w:r w:rsidR="00F177F3">
        <w:rPr>
          <w:rFonts w:ascii="Arial" w:hAnsi="Arial" w:cs="Arial"/>
          <w:lang w:val="es-ES"/>
        </w:rPr>
        <w:t>Este compone</w:t>
      </w:r>
      <w:r w:rsidR="00552B6B">
        <w:rPr>
          <w:rFonts w:ascii="Arial" w:hAnsi="Arial" w:cs="Arial"/>
          <w:lang w:val="es-ES"/>
        </w:rPr>
        <w:t>nte financiará estudios y activi</w:t>
      </w:r>
      <w:r w:rsidR="00AE11AD">
        <w:rPr>
          <w:rFonts w:ascii="Arial" w:hAnsi="Arial" w:cs="Arial"/>
          <w:lang w:val="es-ES"/>
        </w:rPr>
        <w:t xml:space="preserve">dades de asistencia técnica para </w:t>
      </w:r>
      <w:r w:rsidR="0047521F">
        <w:rPr>
          <w:rFonts w:ascii="Arial" w:hAnsi="Arial" w:cs="Arial"/>
          <w:lang w:val="es-ES"/>
        </w:rPr>
        <w:t>la adecuación del marco</w:t>
      </w:r>
      <w:r w:rsidR="00552B6B">
        <w:rPr>
          <w:rFonts w:ascii="Arial" w:hAnsi="Arial" w:cs="Arial"/>
          <w:lang w:val="es-ES"/>
        </w:rPr>
        <w:t xml:space="preserve"> </w:t>
      </w:r>
      <w:r w:rsidR="0047521F">
        <w:rPr>
          <w:rFonts w:ascii="Arial" w:hAnsi="Arial" w:cs="Arial"/>
          <w:lang w:val="es-ES"/>
        </w:rPr>
        <w:t xml:space="preserve">normativo y </w:t>
      </w:r>
      <w:r w:rsidR="00552B6B">
        <w:rPr>
          <w:rFonts w:ascii="Arial" w:hAnsi="Arial" w:cs="Arial"/>
          <w:lang w:val="es-ES"/>
        </w:rPr>
        <w:t xml:space="preserve">fortalecimiento </w:t>
      </w:r>
      <w:r w:rsidR="0074698B">
        <w:rPr>
          <w:rFonts w:ascii="Arial" w:hAnsi="Arial" w:cs="Arial"/>
          <w:lang w:val="es-ES"/>
        </w:rPr>
        <w:t xml:space="preserve">de entidades nacionales y territoriales </w:t>
      </w:r>
      <w:r w:rsidR="00AE11AD">
        <w:rPr>
          <w:rFonts w:ascii="Arial" w:hAnsi="Arial" w:cs="Arial"/>
          <w:lang w:val="es-ES"/>
        </w:rPr>
        <w:t>en gestión de proyectos APP</w:t>
      </w:r>
      <w:r w:rsidR="00057F70">
        <w:rPr>
          <w:rFonts w:ascii="Arial" w:hAnsi="Arial" w:cs="Arial"/>
          <w:lang w:val="es-ES"/>
        </w:rPr>
        <w:t xml:space="preserve">: </w:t>
      </w:r>
      <w:r w:rsidR="00327A6A">
        <w:rPr>
          <w:rFonts w:ascii="Arial" w:hAnsi="Arial" w:cs="Arial"/>
          <w:lang w:val="es-ES"/>
        </w:rPr>
        <w:t xml:space="preserve">(i) estudios </w:t>
      </w:r>
      <w:r w:rsidR="0047521F">
        <w:rPr>
          <w:rFonts w:ascii="Arial" w:hAnsi="Arial" w:cs="Arial"/>
          <w:lang w:val="es-ES"/>
        </w:rPr>
        <w:t xml:space="preserve">de </w:t>
      </w:r>
      <w:r w:rsidR="00327A6A">
        <w:rPr>
          <w:rFonts w:ascii="Arial" w:hAnsi="Arial" w:cs="Arial"/>
          <w:lang w:val="es-ES"/>
        </w:rPr>
        <w:t>necesidades institucionale</w:t>
      </w:r>
      <w:r w:rsidR="00364486">
        <w:rPr>
          <w:rFonts w:ascii="Arial" w:hAnsi="Arial" w:cs="Arial"/>
          <w:lang w:val="es-ES"/>
        </w:rPr>
        <w:t xml:space="preserve">s </w:t>
      </w:r>
      <w:r w:rsidR="00327A6A">
        <w:rPr>
          <w:rFonts w:ascii="Arial" w:hAnsi="Arial" w:cs="Arial"/>
          <w:lang w:val="es-ES"/>
        </w:rPr>
        <w:t xml:space="preserve">para el desarrollo de </w:t>
      </w:r>
      <w:r w:rsidR="00EF2C2F">
        <w:rPr>
          <w:rFonts w:ascii="Arial" w:hAnsi="Arial" w:cs="Arial"/>
          <w:lang w:val="es-ES"/>
        </w:rPr>
        <w:t xml:space="preserve">proyectos </w:t>
      </w:r>
      <w:r w:rsidR="00327A6A">
        <w:rPr>
          <w:rFonts w:ascii="Arial" w:hAnsi="Arial" w:cs="Arial"/>
          <w:lang w:val="es-ES"/>
        </w:rPr>
        <w:t>APP</w:t>
      </w:r>
      <w:r w:rsidR="0047521F">
        <w:rPr>
          <w:rFonts w:ascii="Arial" w:hAnsi="Arial" w:cs="Arial"/>
          <w:lang w:val="es-ES"/>
        </w:rPr>
        <w:t xml:space="preserve"> a nivel nacional como territorial</w:t>
      </w:r>
      <w:r w:rsidR="00327A6A">
        <w:rPr>
          <w:rFonts w:ascii="Arial" w:hAnsi="Arial" w:cs="Arial"/>
          <w:lang w:val="es-ES"/>
        </w:rPr>
        <w:t>; (ii) estudios de alternativas de diseño y esquemas institucionales para la creación</w:t>
      </w:r>
      <w:r w:rsidR="00364486">
        <w:rPr>
          <w:rFonts w:ascii="Arial" w:hAnsi="Arial" w:cs="Arial"/>
          <w:lang w:val="es-ES"/>
        </w:rPr>
        <w:t xml:space="preserve"> de agencias </w:t>
      </w:r>
      <w:r w:rsidR="00327A6A">
        <w:rPr>
          <w:rFonts w:ascii="Arial" w:hAnsi="Arial" w:cs="Arial"/>
          <w:lang w:val="es-ES"/>
        </w:rPr>
        <w:t xml:space="preserve">especializadas en APP; y (iii) consultorías de apoyo técnico para el desarrollo e implementación de </w:t>
      </w:r>
      <w:r w:rsidR="006A41DA">
        <w:rPr>
          <w:rFonts w:ascii="Arial" w:hAnsi="Arial" w:cs="Arial"/>
          <w:lang w:val="es-ES"/>
        </w:rPr>
        <w:t>é</w:t>
      </w:r>
      <w:r w:rsidR="00EF2C2F">
        <w:rPr>
          <w:rFonts w:ascii="Arial" w:hAnsi="Arial" w:cs="Arial"/>
          <w:lang w:val="es-ES"/>
        </w:rPr>
        <w:t xml:space="preserve">stos </w:t>
      </w:r>
      <w:r w:rsidR="00327A6A">
        <w:rPr>
          <w:rFonts w:ascii="Arial" w:hAnsi="Arial" w:cs="Arial"/>
          <w:lang w:val="es-ES"/>
        </w:rPr>
        <w:t xml:space="preserve">esquemas institucionales. </w:t>
      </w:r>
    </w:p>
    <w:p w:rsidR="00036815" w:rsidRPr="0047521F" w:rsidRDefault="00036815" w:rsidP="0047521F">
      <w:pPr>
        <w:spacing w:after="0" w:line="240" w:lineRule="auto"/>
        <w:jc w:val="both"/>
        <w:rPr>
          <w:rFonts w:ascii="Arial" w:hAnsi="Arial" w:cs="Arial"/>
          <w:lang w:val="es-ES"/>
        </w:rPr>
      </w:pPr>
    </w:p>
    <w:p w:rsidR="00036815" w:rsidRDefault="00036815" w:rsidP="00036815">
      <w:pPr>
        <w:pStyle w:val="ListParagraph"/>
        <w:numPr>
          <w:ilvl w:val="1"/>
          <w:numId w:val="5"/>
        </w:numPr>
        <w:spacing w:after="0" w:line="240" w:lineRule="auto"/>
        <w:ind w:hanging="630"/>
        <w:contextualSpacing w:val="0"/>
        <w:jc w:val="both"/>
        <w:rPr>
          <w:rFonts w:ascii="Arial" w:hAnsi="Arial" w:cs="Arial"/>
          <w:lang w:val="es-ES"/>
        </w:rPr>
      </w:pPr>
      <w:r w:rsidRPr="00B33F26">
        <w:rPr>
          <w:rFonts w:ascii="Arial" w:hAnsi="Arial" w:cs="Arial"/>
          <w:b/>
          <w:lang w:val="es-ES"/>
        </w:rPr>
        <w:t>Componente</w:t>
      </w:r>
      <w:r w:rsidR="0035428B">
        <w:rPr>
          <w:rFonts w:ascii="Arial" w:hAnsi="Arial" w:cs="Arial"/>
          <w:b/>
          <w:lang w:val="es-ES"/>
        </w:rPr>
        <w:t xml:space="preserve"> 2.</w:t>
      </w:r>
      <w:r>
        <w:rPr>
          <w:rFonts w:ascii="Arial" w:hAnsi="Arial" w:cs="Arial"/>
          <w:lang w:val="es-ES"/>
        </w:rPr>
        <w:t xml:space="preserve"> </w:t>
      </w:r>
      <w:r w:rsidR="0047521F">
        <w:rPr>
          <w:rFonts w:ascii="Arial" w:hAnsi="Arial" w:cs="Arial"/>
          <w:b/>
          <w:lang w:val="es-ES"/>
        </w:rPr>
        <w:t>E</w:t>
      </w:r>
      <w:r w:rsidR="00350203">
        <w:rPr>
          <w:rFonts w:ascii="Arial" w:hAnsi="Arial" w:cs="Arial"/>
          <w:b/>
          <w:lang w:val="es-ES"/>
        </w:rPr>
        <w:t>structuración técnica de proyectos</w:t>
      </w:r>
      <w:r w:rsidRPr="0023264E">
        <w:rPr>
          <w:rFonts w:ascii="Arial" w:hAnsi="Arial" w:cs="Arial"/>
          <w:b/>
          <w:lang w:val="es-ES"/>
        </w:rPr>
        <w:t>.</w:t>
      </w:r>
      <w:r>
        <w:rPr>
          <w:rFonts w:ascii="Arial" w:hAnsi="Arial" w:cs="Arial"/>
          <w:lang w:val="es-ES"/>
        </w:rPr>
        <w:t xml:space="preserve"> </w:t>
      </w:r>
      <w:r w:rsidR="00B732F2">
        <w:rPr>
          <w:rFonts w:ascii="Arial" w:hAnsi="Arial" w:cs="Arial"/>
          <w:lang w:val="es-ES"/>
        </w:rPr>
        <w:t xml:space="preserve">Este componente financiará </w:t>
      </w:r>
      <w:r w:rsidR="00EF2C2F">
        <w:rPr>
          <w:rFonts w:ascii="Arial" w:hAnsi="Arial" w:cs="Arial"/>
          <w:lang w:val="es-ES"/>
        </w:rPr>
        <w:t xml:space="preserve">estudios y </w:t>
      </w:r>
      <w:r w:rsidR="00B732F2">
        <w:rPr>
          <w:rFonts w:ascii="Arial" w:hAnsi="Arial" w:cs="Arial"/>
          <w:lang w:val="es-ES"/>
        </w:rPr>
        <w:t xml:space="preserve">actividades de asistencia técnica </w:t>
      </w:r>
      <w:r w:rsidR="00B4442F">
        <w:rPr>
          <w:rFonts w:ascii="Arial" w:hAnsi="Arial" w:cs="Arial"/>
          <w:lang w:val="es-ES"/>
        </w:rPr>
        <w:t xml:space="preserve">en estructuración de proyectos </w:t>
      </w:r>
      <w:r w:rsidR="00EB0885">
        <w:rPr>
          <w:rFonts w:ascii="Arial" w:hAnsi="Arial" w:cs="Arial"/>
          <w:lang w:val="es-ES"/>
        </w:rPr>
        <w:t xml:space="preserve">en </w:t>
      </w:r>
      <w:r w:rsidR="00D67135">
        <w:rPr>
          <w:rFonts w:ascii="Arial" w:hAnsi="Arial" w:cs="Arial"/>
          <w:lang w:val="es-ES"/>
        </w:rPr>
        <w:t xml:space="preserve">sectores sin experiencia en el desarrollo de proyectos APP bajo el marco de la Ley 1508: (i) </w:t>
      </w:r>
      <w:r w:rsidR="00A94746">
        <w:rPr>
          <w:rFonts w:ascii="Arial" w:hAnsi="Arial" w:cs="Arial"/>
          <w:lang w:val="es-ES"/>
        </w:rPr>
        <w:t>an</w:t>
      </w:r>
      <w:r w:rsidR="00A720F7">
        <w:rPr>
          <w:rFonts w:ascii="Arial" w:hAnsi="Arial" w:cs="Arial"/>
          <w:lang w:val="es-ES"/>
        </w:rPr>
        <w:t xml:space="preserve">álisis, </w:t>
      </w:r>
      <w:r w:rsidR="00A94746">
        <w:rPr>
          <w:rFonts w:ascii="Arial" w:hAnsi="Arial" w:cs="Arial"/>
          <w:lang w:val="es-ES"/>
        </w:rPr>
        <w:t>evaluación</w:t>
      </w:r>
      <w:r w:rsidR="00A720F7">
        <w:rPr>
          <w:rFonts w:ascii="Arial" w:hAnsi="Arial" w:cs="Arial"/>
          <w:lang w:val="es-ES"/>
        </w:rPr>
        <w:t xml:space="preserve"> y propuesta</w:t>
      </w:r>
      <w:r w:rsidR="00A94746">
        <w:rPr>
          <w:rFonts w:ascii="Arial" w:hAnsi="Arial" w:cs="Arial"/>
          <w:lang w:val="es-ES"/>
        </w:rPr>
        <w:t xml:space="preserve"> de mecanismos viables para generar APP considerando aspectos legales, </w:t>
      </w:r>
      <w:r w:rsidR="00981037">
        <w:rPr>
          <w:rFonts w:ascii="Arial" w:hAnsi="Arial" w:cs="Arial"/>
          <w:lang w:val="es-ES"/>
        </w:rPr>
        <w:t xml:space="preserve">institucionales, </w:t>
      </w:r>
      <w:r w:rsidR="00A94746">
        <w:rPr>
          <w:rFonts w:ascii="Arial" w:hAnsi="Arial" w:cs="Arial"/>
          <w:lang w:val="es-ES"/>
        </w:rPr>
        <w:t>t</w:t>
      </w:r>
      <w:r w:rsidR="00A720F7">
        <w:rPr>
          <w:rFonts w:ascii="Arial" w:hAnsi="Arial" w:cs="Arial"/>
          <w:lang w:val="es-ES"/>
        </w:rPr>
        <w:t>écnicos</w:t>
      </w:r>
      <w:r w:rsidR="00981037">
        <w:rPr>
          <w:rFonts w:ascii="Arial" w:hAnsi="Arial" w:cs="Arial"/>
          <w:lang w:val="es-ES"/>
        </w:rPr>
        <w:t xml:space="preserve"> y financieros</w:t>
      </w:r>
      <w:r w:rsidR="00A720F7">
        <w:rPr>
          <w:rFonts w:ascii="Arial" w:hAnsi="Arial" w:cs="Arial"/>
          <w:lang w:val="es-ES"/>
        </w:rPr>
        <w:t xml:space="preserve">; y (ii) </w:t>
      </w:r>
      <w:r w:rsidR="00B14668">
        <w:rPr>
          <w:rFonts w:ascii="Arial" w:hAnsi="Arial" w:cs="Arial"/>
          <w:lang w:val="es-ES"/>
        </w:rPr>
        <w:t>análisis de estándares</w:t>
      </w:r>
      <w:r w:rsidR="00FF71E5">
        <w:rPr>
          <w:rFonts w:ascii="Arial" w:hAnsi="Arial" w:cs="Arial"/>
          <w:lang w:val="es-ES"/>
        </w:rPr>
        <w:t xml:space="preserve"> técnicos</w:t>
      </w:r>
      <w:r w:rsidR="00B14668">
        <w:rPr>
          <w:rFonts w:ascii="Arial" w:hAnsi="Arial" w:cs="Arial"/>
          <w:lang w:val="es-ES"/>
        </w:rPr>
        <w:t xml:space="preserve"> e indicadores de servicio que permitan la aplicabilidad y operatividad de las APP.</w:t>
      </w:r>
    </w:p>
    <w:p w:rsidR="00B33F26" w:rsidRDefault="00B33F26" w:rsidP="00B33F26">
      <w:pPr>
        <w:pStyle w:val="ListParagraph"/>
        <w:spacing w:after="0" w:line="240" w:lineRule="auto"/>
        <w:ind w:left="360"/>
        <w:contextualSpacing w:val="0"/>
        <w:jc w:val="both"/>
        <w:rPr>
          <w:rFonts w:ascii="Arial" w:hAnsi="Arial" w:cs="Arial"/>
          <w:lang w:val="es-ES"/>
        </w:rPr>
      </w:pPr>
    </w:p>
    <w:p w:rsidR="00B4442F" w:rsidRPr="00981037" w:rsidRDefault="00B4442F" w:rsidP="00B4442F">
      <w:pPr>
        <w:pStyle w:val="ListParagraph"/>
        <w:numPr>
          <w:ilvl w:val="1"/>
          <w:numId w:val="5"/>
        </w:numPr>
        <w:spacing w:after="0" w:line="240" w:lineRule="auto"/>
        <w:ind w:hanging="630"/>
        <w:contextualSpacing w:val="0"/>
        <w:jc w:val="both"/>
        <w:rPr>
          <w:rFonts w:ascii="Arial" w:hAnsi="Arial" w:cs="Arial"/>
          <w:lang w:val="es-ES"/>
        </w:rPr>
      </w:pPr>
      <w:r w:rsidRPr="00981037">
        <w:rPr>
          <w:rFonts w:ascii="Arial" w:hAnsi="Arial" w:cs="Arial"/>
          <w:lang w:val="es-ES"/>
        </w:rPr>
        <w:t xml:space="preserve">Los principales resultados esperados son: </w:t>
      </w:r>
      <w:r w:rsidR="0047521F" w:rsidRPr="0074698B">
        <w:rPr>
          <w:rFonts w:ascii="Arial" w:hAnsi="Arial" w:cs="Arial"/>
          <w:lang w:val="es-ES"/>
        </w:rPr>
        <w:t xml:space="preserve">entidades </w:t>
      </w:r>
      <w:r w:rsidR="0047521F">
        <w:rPr>
          <w:rFonts w:ascii="Arial" w:hAnsi="Arial" w:cs="Arial"/>
          <w:lang w:val="es-ES"/>
        </w:rPr>
        <w:t xml:space="preserve">nacionales y </w:t>
      </w:r>
      <w:r w:rsidR="0047521F" w:rsidRPr="0074698B">
        <w:rPr>
          <w:rFonts w:ascii="Arial" w:hAnsi="Arial" w:cs="Arial"/>
          <w:lang w:val="es-ES"/>
        </w:rPr>
        <w:t>territoriales fortalecidas en cuanto a su capacidad técnica para la identificación, estructuración y desarrollo d</w:t>
      </w:r>
      <w:r w:rsidR="0047521F">
        <w:rPr>
          <w:rFonts w:ascii="Arial" w:hAnsi="Arial" w:cs="Arial"/>
          <w:lang w:val="es-ES"/>
        </w:rPr>
        <w:t xml:space="preserve">e proyectos bajo el esquema APP; y </w:t>
      </w:r>
      <w:r w:rsidR="00981037" w:rsidRPr="00981037">
        <w:rPr>
          <w:rFonts w:ascii="Arial" w:hAnsi="Arial" w:cs="Arial"/>
          <w:lang w:val="es-ES"/>
        </w:rPr>
        <w:t>mecanismos e instrumentos</w:t>
      </w:r>
      <w:r w:rsidR="00B70FE1">
        <w:rPr>
          <w:rFonts w:ascii="Arial" w:hAnsi="Arial" w:cs="Arial"/>
          <w:lang w:val="es-ES"/>
        </w:rPr>
        <w:t xml:space="preserve"> definidos que permitan la operatividad</w:t>
      </w:r>
      <w:r w:rsidR="00981037" w:rsidRPr="00981037">
        <w:rPr>
          <w:rFonts w:ascii="Arial" w:hAnsi="Arial" w:cs="Arial"/>
          <w:lang w:val="es-ES"/>
        </w:rPr>
        <w:t xml:space="preserve"> y el desarrollo de esquemas APP</w:t>
      </w:r>
      <w:r w:rsidR="001B3A0B">
        <w:rPr>
          <w:rFonts w:ascii="Arial" w:hAnsi="Arial" w:cs="Arial"/>
          <w:lang w:val="es-ES"/>
        </w:rPr>
        <w:t>.</w:t>
      </w:r>
      <w:r w:rsidR="00981037" w:rsidRPr="00981037">
        <w:rPr>
          <w:rFonts w:ascii="Arial" w:hAnsi="Arial" w:cs="Arial"/>
          <w:lang w:val="es-ES"/>
        </w:rPr>
        <w:t xml:space="preserve"> </w:t>
      </w:r>
    </w:p>
    <w:p w:rsidR="00DC5956" w:rsidRPr="00A523B2" w:rsidRDefault="00DC5956" w:rsidP="00DC5956">
      <w:pPr>
        <w:pStyle w:val="ListParagraph"/>
        <w:spacing w:after="0" w:line="240" w:lineRule="auto"/>
        <w:ind w:left="360"/>
        <w:contextualSpacing w:val="0"/>
        <w:jc w:val="both"/>
        <w:rPr>
          <w:rFonts w:ascii="Arial" w:hAnsi="Arial" w:cs="Arial"/>
          <w:lang w:val="es-ES"/>
        </w:rPr>
      </w:pPr>
    </w:p>
    <w:p w:rsidR="00847603" w:rsidRDefault="00847603" w:rsidP="00DC5956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rFonts w:ascii="Arial" w:hAnsi="Arial" w:cs="Arial"/>
          <w:b/>
          <w:lang w:val="es-ES"/>
        </w:rPr>
      </w:pPr>
      <w:r w:rsidRPr="00A523B2">
        <w:rPr>
          <w:rFonts w:ascii="Arial" w:hAnsi="Arial" w:cs="Arial"/>
          <w:b/>
          <w:lang w:val="es-ES"/>
        </w:rPr>
        <w:t xml:space="preserve">Presupuesto </w:t>
      </w:r>
      <w:r w:rsidR="00055EF1" w:rsidRPr="00A523B2">
        <w:rPr>
          <w:rFonts w:ascii="Arial" w:hAnsi="Arial" w:cs="Arial"/>
          <w:b/>
          <w:lang w:val="es-ES"/>
        </w:rPr>
        <w:t xml:space="preserve">indicativo </w:t>
      </w:r>
    </w:p>
    <w:p w:rsidR="005D0646" w:rsidRDefault="00F22C53" w:rsidP="005D0646">
      <w:pPr>
        <w:pStyle w:val="ListParagraph"/>
        <w:numPr>
          <w:ilvl w:val="1"/>
          <w:numId w:val="5"/>
        </w:numPr>
        <w:spacing w:before="120" w:after="120" w:line="240" w:lineRule="auto"/>
        <w:ind w:hanging="630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El presupuesto de la CT será de US$500.000. La distribución de costos se presenta en el siguiente cuadro.</w:t>
      </w:r>
      <w:r w:rsidR="005D0646" w:rsidRPr="005D0646">
        <w:rPr>
          <w:rFonts w:ascii="Arial" w:hAnsi="Arial" w:cs="Arial"/>
          <w:lang w:val="es-ES"/>
        </w:rPr>
        <w:t xml:space="preserve"> </w:t>
      </w:r>
    </w:p>
    <w:p w:rsidR="002C1308" w:rsidRDefault="002C1308" w:rsidP="002C1308">
      <w:pPr>
        <w:pStyle w:val="ListParagraph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lang w:val="es-ES"/>
        </w:rPr>
      </w:pPr>
    </w:p>
    <w:p w:rsidR="0023302F" w:rsidRPr="00A523B2" w:rsidRDefault="00F00960" w:rsidP="00DC5956">
      <w:pPr>
        <w:spacing w:before="120" w:after="120" w:line="240" w:lineRule="auto"/>
        <w:jc w:val="center"/>
        <w:rPr>
          <w:rFonts w:ascii="Arial" w:hAnsi="Arial" w:cs="Arial"/>
          <w:b/>
          <w:lang w:val="es-ES"/>
        </w:rPr>
      </w:pPr>
      <w:r w:rsidRPr="00A523B2">
        <w:rPr>
          <w:rFonts w:ascii="Arial" w:hAnsi="Arial" w:cs="Arial"/>
          <w:b/>
          <w:lang w:val="es-ES"/>
        </w:rPr>
        <w:lastRenderedPageBreak/>
        <w:t xml:space="preserve">Presupuesto </w:t>
      </w:r>
      <w:r w:rsidR="00F6363D" w:rsidRPr="00A523B2">
        <w:rPr>
          <w:rFonts w:ascii="Arial" w:hAnsi="Arial" w:cs="Arial"/>
          <w:b/>
          <w:lang w:val="es-ES"/>
        </w:rPr>
        <w:t>Indicativ</w:t>
      </w:r>
      <w:r w:rsidRPr="00A523B2">
        <w:rPr>
          <w:rFonts w:ascii="Arial" w:hAnsi="Arial" w:cs="Arial"/>
          <w:b/>
          <w:lang w:val="es-ES"/>
        </w:rPr>
        <w:t>o</w:t>
      </w:r>
    </w:p>
    <w:tbl>
      <w:tblPr>
        <w:tblStyle w:val="TableGrid"/>
        <w:tblW w:w="9270" w:type="dxa"/>
        <w:jc w:val="center"/>
        <w:tblInd w:w="450" w:type="dxa"/>
        <w:tblLayout w:type="fixed"/>
        <w:tblLook w:val="04A0" w:firstRow="1" w:lastRow="0" w:firstColumn="1" w:lastColumn="0" w:noHBand="0" w:noVBand="1"/>
      </w:tblPr>
      <w:tblGrid>
        <w:gridCol w:w="1731"/>
        <w:gridCol w:w="2364"/>
        <w:gridCol w:w="2070"/>
        <w:gridCol w:w="1468"/>
        <w:gridCol w:w="1637"/>
      </w:tblGrid>
      <w:tr w:rsidR="000C16F9" w:rsidRPr="00A523B2" w:rsidTr="00F72795">
        <w:trPr>
          <w:jc w:val="center"/>
        </w:trPr>
        <w:tc>
          <w:tcPr>
            <w:tcW w:w="1731" w:type="dxa"/>
            <w:shd w:val="clear" w:color="auto" w:fill="BFBFBF" w:themeFill="background1" w:themeFillShade="BF"/>
            <w:vAlign w:val="center"/>
          </w:tcPr>
          <w:p w:rsidR="00F6363D" w:rsidRPr="00A523B2" w:rsidRDefault="00F6363D" w:rsidP="00F72795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>Activi</w:t>
            </w:r>
            <w:r w:rsidR="00F00960"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>dad</w:t>
            </w:r>
            <w:r w:rsidR="001735E1"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</w:t>
            </w:r>
            <w:r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>/</w:t>
            </w:r>
            <w:r w:rsidR="001735E1"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</w:t>
            </w:r>
            <w:r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>Component</w:t>
            </w:r>
            <w:r w:rsidR="00F00960"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>e</w:t>
            </w:r>
          </w:p>
        </w:tc>
        <w:tc>
          <w:tcPr>
            <w:tcW w:w="2364" w:type="dxa"/>
            <w:shd w:val="clear" w:color="auto" w:fill="BFBFBF" w:themeFill="background1" w:themeFillShade="BF"/>
            <w:vAlign w:val="center"/>
          </w:tcPr>
          <w:p w:rsidR="00F6363D" w:rsidRPr="00A523B2" w:rsidRDefault="00F6363D" w:rsidP="00F72795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>Descrip</w:t>
            </w:r>
            <w:r w:rsidR="00F00960"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>c</w:t>
            </w:r>
            <w:r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>i</w:t>
            </w:r>
            <w:r w:rsidR="00F00960"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>ó</w:t>
            </w:r>
            <w:r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>n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F6363D" w:rsidRPr="00A523B2" w:rsidRDefault="00F00960" w:rsidP="00F72795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>BID</w:t>
            </w:r>
            <w:r w:rsidR="0023302F"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>/</w:t>
            </w:r>
            <w:r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>Financiamiento</w:t>
            </w:r>
            <w:r w:rsidR="00F50742"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por Fondo</w:t>
            </w:r>
          </w:p>
        </w:tc>
        <w:tc>
          <w:tcPr>
            <w:tcW w:w="1468" w:type="dxa"/>
            <w:shd w:val="clear" w:color="auto" w:fill="BFBFBF" w:themeFill="background1" w:themeFillShade="BF"/>
            <w:vAlign w:val="center"/>
          </w:tcPr>
          <w:p w:rsidR="00F6363D" w:rsidRPr="00A523B2" w:rsidRDefault="00F00960" w:rsidP="00F72795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>Contrapartida</w:t>
            </w:r>
          </w:p>
          <w:p w:rsidR="00F00960" w:rsidRPr="00A523B2" w:rsidRDefault="00F00960" w:rsidP="00F72795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>Local</w:t>
            </w:r>
          </w:p>
        </w:tc>
        <w:tc>
          <w:tcPr>
            <w:tcW w:w="1637" w:type="dxa"/>
            <w:shd w:val="clear" w:color="auto" w:fill="BFBFBF" w:themeFill="background1" w:themeFillShade="BF"/>
            <w:vAlign w:val="center"/>
          </w:tcPr>
          <w:p w:rsidR="00F00960" w:rsidRPr="00A523B2" w:rsidRDefault="00F00960" w:rsidP="00F72795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>Financiamiento</w:t>
            </w:r>
          </w:p>
          <w:p w:rsidR="00F6363D" w:rsidRPr="00A523B2" w:rsidRDefault="0023302F" w:rsidP="00F72795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A523B2">
              <w:rPr>
                <w:rFonts w:ascii="Arial" w:hAnsi="Arial" w:cs="Arial"/>
                <w:b/>
                <w:sz w:val="18"/>
                <w:szCs w:val="18"/>
                <w:lang w:val="es-ES"/>
              </w:rPr>
              <w:t>Total</w:t>
            </w:r>
          </w:p>
        </w:tc>
      </w:tr>
      <w:tr w:rsidR="00D92B2F" w:rsidRPr="00A523B2" w:rsidTr="00F72795">
        <w:trPr>
          <w:jc w:val="center"/>
        </w:trPr>
        <w:tc>
          <w:tcPr>
            <w:tcW w:w="1731" w:type="dxa"/>
            <w:vAlign w:val="center"/>
          </w:tcPr>
          <w:p w:rsidR="00D92B2F" w:rsidRPr="00040102" w:rsidRDefault="002C1308" w:rsidP="00CD14CC">
            <w:pPr>
              <w:pStyle w:val="ListParagraph"/>
              <w:spacing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Sistema normativo e </w:t>
            </w:r>
            <w:r w:rsidR="00D92B2F" w:rsidRPr="00040102">
              <w:rPr>
                <w:rFonts w:ascii="Arial" w:hAnsi="Arial" w:cs="Arial"/>
                <w:sz w:val="18"/>
                <w:szCs w:val="18"/>
                <w:lang w:val="es-ES"/>
              </w:rPr>
              <w:t xml:space="preserve"> institucional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en APP</w:t>
            </w:r>
          </w:p>
        </w:tc>
        <w:tc>
          <w:tcPr>
            <w:tcW w:w="2364" w:type="dxa"/>
            <w:vAlign w:val="center"/>
          </w:tcPr>
          <w:p w:rsidR="00D92B2F" w:rsidRPr="003861E0" w:rsidRDefault="003861E0" w:rsidP="003861E0">
            <w:pPr>
              <w:pStyle w:val="ListParagraph"/>
              <w:spacing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3861E0">
              <w:rPr>
                <w:rFonts w:ascii="Arial" w:hAnsi="Arial" w:cs="Arial"/>
                <w:sz w:val="18"/>
                <w:szCs w:val="18"/>
                <w:lang w:val="es-ES"/>
              </w:rPr>
              <w:t>Estudios d</w:t>
            </w:r>
            <w:r w:rsidR="00DB11D5">
              <w:rPr>
                <w:rFonts w:ascii="Arial" w:hAnsi="Arial" w:cs="Arial"/>
                <w:sz w:val="18"/>
                <w:szCs w:val="18"/>
                <w:lang w:val="es-ES"/>
              </w:rPr>
              <w:t xml:space="preserve">e necesidades institucionales, </w:t>
            </w:r>
            <w:r w:rsidRPr="003861E0">
              <w:rPr>
                <w:rFonts w:ascii="Arial" w:hAnsi="Arial" w:cs="Arial"/>
                <w:sz w:val="18"/>
                <w:szCs w:val="18"/>
                <w:lang w:val="es-ES"/>
              </w:rPr>
              <w:t>alternativas</w:t>
            </w:r>
            <w:r w:rsidR="00381D79">
              <w:rPr>
                <w:rFonts w:ascii="Arial" w:hAnsi="Arial" w:cs="Arial"/>
                <w:sz w:val="18"/>
                <w:szCs w:val="18"/>
                <w:lang w:val="es-ES"/>
              </w:rPr>
              <w:t xml:space="preserve"> de</w:t>
            </w:r>
            <w:r w:rsidRPr="003861E0">
              <w:rPr>
                <w:rFonts w:ascii="Arial" w:hAnsi="Arial" w:cs="Arial"/>
                <w:sz w:val="18"/>
                <w:szCs w:val="18"/>
                <w:lang w:val="es-ES"/>
              </w:rPr>
              <w:t xml:space="preserve"> diseño de esquemas institucionales y consultor</w:t>
            </w:r>
            <w:r w:rsidR="006B3955">
              <w:rPr>
                <w:rFonts w:ascii="Arial" w:hAnsi="Arial" w:cs="Arial"/>
                <w:sz w:val="18"/>
                <w:szCs w:val="18"/>
                <w:lang w:val="es-ES"/>
              </w:rPr>
              <w:t>ías de apoyo a la implementación</w:t>
            </w:r>
            <w:r w:rsidR="00EF4A3B">
              <w:rPr>
                <w:rFonts w:ascii="Arial" w:hAnsi="Arial" w:cs="Arial"/>
                <w:sz w:val="18"/>
                <w:szCs w:val="18"/>
                <w:lang w:val="es-ES"/>
              </w:rPr>
              <w:t xml:space="preserve"> de esquemas institucionales</w:t>
            </w:r>
          </w:p>
        </w:tc>
        <w:tc>
          <w:tcPr>
            <w:tcW w:w="2070" w:type="dxa"/>
            <w:vAlign w:val="center"/>
          </w:tcPr>
          <w:p w:rsidR="00D92B2F" w:rsidRPr="0023264E" w:rsidRDefault="00D92B2F" w:rsidP="000324F2">
            <w:pPr>
              <w:pStyle w:val="ListParagraph"/>
              <w:spacing w:after="60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35</w:t>
            </w:r>
            <w:r w:rsidRPr="0023264E">
              <w:rPr>
                <w:rFonts w:ascii="Arial" w:hAnsi="Arial" w:cs="Arial"/>
                <w:sz w:val="18"/>
                <w:szCs w:val="18"/>
                <w:lang w:val="es-ES"/>
              </w:rPr>
              <w:t>0.000</w:t>
            </w:r>
          </w:p>
        </w:tc>
        <w:tc>
          <w:tcPr>
            <w:tcW w:w="1468" w:type="dxa"/>
            <w:vAlign w:val="center"/>
          </w:tcPr>
          <w:p w:rsidR="00D92B2F" w:rsidRPr="0023264E" w:rsidRDefault="00D92B2F" w:rsidP="000324F2">
            <w:pPr>
              <w:pStyle w:val="ListParagraph"/>
              <w:spacing w:after="60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637" w:type="dxa"/>
            <w:vAlign w:val="center"/>
          </w:tcPr>
          <w:p w:rsidR="00D92B2F" w:rsidRPr="0023264E" w:rsidRDefault="00D92B2F" w:rsidP="000324F2">
            <w:pPr>
              <w:pStyle w:val="ListParagraph"/>
              <w:spacing w:after="60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35</w:t>
            </w:r>
            <w:r w:rsidRPr="0023264E">
              <w:rPr>
                <w:rFonts w:ascii="Arial" w:hAnsi="Arial" w:cs="Arial"/>
                <w:sz w:val="18"/>
                <w:szCs w:val="18"/>
                <w:lang w:val="es-ES"/>
              </w:rPr>
              <w:t>0.000</w:t>
            </w:r>
          </w:p>
        </w:tc>
      </w:tr>
      <w:tr w:rsidR="00D92B2F" w:rsidRPr="00A523B2" w:rsidTr="00F72795">
        <w:trPr>
          <w:jc w:val="center"/>
        </w:trPr>
        <w:tc>
          <w:tcPr>
            <w:tcW w:w="1731" w:type="dxa"/>
            <w:vAlign w:val="center"/>
          </w:tcPr>
          <w:p w:rsidR="00D92B2F" w:rsidRPr="00040102" w:rsidRDefault="002C1308" w:rsidP="00CD14CC">
            <w:pPr>
              <w:pStyle w:val="ListParagraph"/>
              <w:spacing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E</w:t>
            </w:r>
            <w:r w:rsidR="00D92B2F" w:rsidRPr="00040102">
              <w:rPr>
                <w:rFonts w:ascii="Arial" w:hAnsi="Arial" w:cs="Arial"/>
                <w:sz w:val="18"/>
                <w:szCs w:val="18"/>
                <w:lang w:val="es-ES"/>
              </w:rPr>
              <w:t>structuración técnica de proyectos</w:t>
            </w:r>
          </w:p>
        </w:tc>
        <w:tc>
          <w:tcPr>
            <w:tcW w:w="2364" w:type="dxa"/>
            <w:vAlign w:val="center"/>
          </w:tcPr>
          <w:p w:rsidR="00D92B2F" w:rsidRPr="006B3955" w:rsidRDefault="00FF71E5" w:rsidP="006B3955">
            <w:pPr>
              <w:pStyle w:val="ListParagraph"/>
              <w:spacing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Estudios de análisis de mecanismos viables y estándares técnicos</w:t>
            </w:r>
          </w:p>
        </w:tc>
        <w:tc>
          <w:tcPr>
            <w:tcW w:w="2070" w:type="dxa"/>
            <w:vAlign w:val="center"/>
          </w:tcPr>
          <w:p w:rsidR="00D92B2F" w:rsidRPr="0023264E" w:rsidRDefault="00D92B2F" w:rsidP="000324F2">
            <w:pPr>
              <w:pStyle w:val="ListParagraph"/>
              <w:spacing w:after="60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150.00</w:t>
            </w:r>
          </w:p>
        </w:tc>
        <w:tc>
          <w:tcPr>
            <w:tcW w:w="1468" w:type="dxa"/>
            <w:vAlign w:val="center"/>
          </w:tcPr>
          <w:p w:rsidR="00D92B2F" w:rsidRPr="0023264E" w:rsidRDefault="00D92B2F" w:rsidP="000324F2">
            <w:pPr>
              <w:pStyle w:val="ListParagraph"/>
              <w:spacing w:after="60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1637" w:type="dxa"/>
            <w:vAlign w:val="center"/>
          </w:tcPr>
          <w:p w:rsidR="00D92B2F" w:rsidRPr="0023264E" w:rsidRDefault="00D92B2F" w:rsidP="000324F2">
            <w:pPr>
              <w:pStyle w:val="ListParagraph"/>
              <w:spacing w:after="60"/>
              <w:ind w:left="0"/>
              <w:contextualSpacing w:val="0"/>
              <w:jc w:val="right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150.00</w:t>
            </w:r>
          </w:p>
        </w:tc>
      </w:tr>
      <w:tr w:rsidR="000C16F9" w:rsidRPr="00A523B2" w:rsidTr="00F72795">
        <w:trPr>
          <w:jc w:val="center"/>
        </w:trPr>
        <w:tc>
          <w:tcPr>
            <w:tcW w:w="1731" w:type="dxa"/>
          </w:tcPr>
          <w:p w:rsidR="00F6363D" w:rsidRPr="00A523B2" w:rsidRDefault="0023264E" w:rsidP="00040102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Total</w:t>
            </w:r>
          </w:p>
        </w:tc>
        <w:tc>
          <w:tcPr>
            <w:tcW w:w="2364" w:type="dxa"/>
          </w:tcPr>
          <w:p w:rsidR="00F6363D" w:rsidRPr="00A523B2" w:rsidRDefault="00F6363D" w:rsidP="001735E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2070" w:type="dxa"/>
          </w:tcPr>
          <w:p w:rsidR="00F6363D" w:rsidRPr="00A523B2" w:rsidRDefault="0023264E" w:rsidP="000324F2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500.000</w:t>
            </w:r>
          </w:p>
        </w:tc>
        <w:tc>
          <w:tcPr>
            <w:tcW w:w="1468" w:type="dxa"/>
          </w:tcPr>
          <w:p w:rsidR="00F6363D" w:rsidRPr="00A523B2" w:rsidRDefault="00D92B2F" w:rsidP="000324F2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0</w:t>
            </w:r>
          </w:p>
        </w:tc>
        <w:tc>
          <w:tcPr>
            <w:tcW w:w="1637" w:type="dxa"/>
          </w:tcPr>
          <w:p w:rsidR="00F6363D" w:rsidRPr="00A523B2" w:rsidRDefault="0023264E" w:rsidP="000324F2">
            <w:pPr>
              <w:pStyle w:val="ListParagraph"/>
              <w:spacing w:before="60" w:after="60"/>
              <w:ind w:left="0"/>
              <w:contextualSpacing w:val="0"/>
              <w:jc w:val="righ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"/>
              </w:rPr>
              <w:t>500.000</w:t>
            </w:r>
          </w:p>
        </w:tc>
      </w:tr>
    </w:tbl>
    <w:p w:rsidR="0095711B" w:rsidRPr="00A523B2" w:rsidRDefault="00944D7A" w:rsidP="00DC5956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ES"/>
        </w:rPr>
      </w:pPr>
      <w:r w:rsidRPr="00A523B2">
        <w:rPr>
          <w:rFonts w:ascii="Arial" w:hAnsi="Arial" w:cs="Arial"/>
          <w:b/>
          <w:lang w:val="es-ES"/>
        </w:rPr>
        <w:t xml:space="preserve">Agencia </w:t>
      </w:r>
      <w:r w:rsidR="00F72795">
        <w:rPr>
          <w:rFonts w:ascii="Arial" w:hAnsi="Arial" w:cs="Arial"/>
          <w:b/>
          <w:lang w:val="es-ES"/>
        </w:rPr>
        <w:t>e</w:t>
      </w:r>
      <w:r w:rsidRPr="00A523B2">
        <w:rPr>
          <w:rFonts w:ascii="Arial" w:hAnsi="Arial" w:cs="Arial"/>
          <w:b/>
          <w:lang w:val="es-ES"/>
        </w:rPr>
        <w:t xml:space="preserve">jecutora y estructura de </w:t>
      </w:r>
      <w:r w:rsidR="00A139E6" w:rsidRPr="00A523B2">
        <w:rPr>
          <w:rFonts w:ascii="Arial" w:hAnsi="Arial" w:cs="Arial"/>
          <w:b/>
          <w:lang w:val="es-ES"/>
        </w:rPr>
        <w:t>ejecución</w:t>
      </w:r>
      <w:r w:rsidRPr="00A523B2">
        <w:rPr>
          <w:rFonts w:ascii="Arial" w:hAnsi="Arial" w:cs="Arial"/>
          <w:b/>
          <w:lang w:val="es-ES"/>
        </w:rPr>
        <w:t xml:space="preserve"> </w:t>
      </w:r>
    </w:p>
    <w:p w:rsidR="009E7C81" w:rsidRDefault="00CF55FF" w:rsidP="009E7C81">
      <w:pPr>
        <w:pStyle w:val="ListParagraph"/>
        <w:numPr>
          <w:ilvl w:val="1"/>
          <w:numId w:val="5"/>
        </w:numPr>
        <w:spacing w:before="120" w:after="120" w:line="240" w:lineRule="auto"/>
        <w:ind w:hanging="540"/>
        <w:contextualSpacing w:val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En respuesta a la solicitud del </w:t>
      </w:r>
      <w:proofErr w:type="spellStart"/>
      <w:r>
        <w:rPr>
          <w:rFonts w:ascii="Arial" w:hAnsi="Arial" w:cs="Arial"/>
          <w:lang w:val="es-ES"/>
        </w:rPr>
        <w:t>GdC</w:t>
      </w:r>
      <w:proofErr w:type="spellEnd"/>
      <w:r>
        <w:rPr>
          <w:rFonts w:ascii="Arial" w:hAnsi="Arial" w:cs="Arial"/>
          <w:lang w:val="es-ES"/>
        </w:rPr>
        <w:t xml:space="preserve">, la ejecución de la CT estará a cargo del Banco a través de la División de Transporte </w:t>
      </w:r>
      <w:r w:rsidR="00A624FC">
        <w:rPr>
          <w:rFonts w:ascii="Arial" w:hAnsi="Arial" w:cs="Arial"/>
          <w:lang w:val="es-ES"/>
        </w:rPr>
        <w:t>en la Representación de Colombia (</w:t>
      </w:r>
      <w:r>
        <w:rPr>
          <w:rFonts w:ascii="Arial" w:hAnsi="Arial" w:cs="Arial"/>
          <w:lang w:val="es-ES"/>
        </w:rPr>
        <w:t>TSP</w:t>
      </w:r>
      <w:r w:rsidR="00A624FC">
        <w:rPr>
          <w:rFonts w:ascii="Arial" w:hAnsi="Arial" w:cs="Arial"/>
          <w:lang w:val="es-ES"/>
        </w:rPr>
        <w:t>/CCO</w:t>
      </w:r>
      <w:r>
        <w:rPr>
          <w:rFonts w:ascii="Arial" w:hAnsi="Arial" w:cs="Arial"/>
          <w:lang w:val="es-ES"/>
        </w:rPr>
        <w:t xml:space="preserve">). Esta ejecución se justifica por una parte en la experiencia del Banco en el desarrollo de los instrumentos operativos y técnicos planteados para este tipo de operaciones; y por otra, por el conocimiento de TSP en el ámbito de proyectos APP. </w:t>
      </w:r>
    </w:p>
    <w:p w:rsidR="009E7C81" w:rsidRPr="009E7C81" w:rsidRDefault="009E7C81" w:rsidP="009E7C81">
      <w:pPr>
        <w:pStyle w:val="ListParagraph"/>
        <w:spacing w:before="120" w:after="120" w:line="240" w:lineRule="auto"/>
        <w:ind w:left="360"/>
        <w:contextualSpacing w:val="0"/>
        <w:jc w:val="both"/>
        <w:rPr>
          <w:rFonts w:ascii="Arial" w:hAnsi="Arial" w:cs="Arial"/>
          <w:lang w:val="es-ES"/>
        </w:rPr>
      </w:pPr>
    </w:p>
    <w:p w:rsidR="0095711B" w:rsidRPr="00A523B2" w:rsidRDefault="0023182E" w:rsidP="00DC5956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ES"/>
        </w:rPr>
      </w:pPr>
      <w:r w:rsidRPr="00A523B2">
        <w:rPr>
          <w:rFonts w:ascii="Arial" w:hAnsi="Arial" w:cs="Arial"/>
          <w:b/>
          <w:lang w:val="es-ES"/>
        </w:rPr>
        <w:t xml:space="preserve">Riesgos importantes </w:t>
      </w:r>
    </w:p>
    <w:p w:rsidR="001735E1" w:rsidRPr="00A523B2" w:rsidRDefault="00AA1867" w:rsidP="00DC5956">
      <w:pPr>
        <w:pStyle w:val="ListParagraph"/>
        <w:numPr>
          <w:ilvl w:val="1"/>
          <w:numId w:val="5"/>
        </w:numPr>
        <w:spacing w:before="120" w:after="120" w:line="240" w:lineRule="auto"/>
        <w:ind w:hanging="63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No se </w:t>
      </w:r>
      <w:r w:rsidRPr="00AA1867">
        <w:rPr>
          <w:rFonts w:ascii="Arial" w:hAnsi="Arial" w:cs="Arial"/>
          <w:lang w:val="es-ES"/>
        </w:rPr>
        <w:t>visualizan riesgos en la ejecución de esta CT. Se espera una activa participación de la contraparte técnica en el trabajo que realizarán los consultores y el equipo del Banco</w:t>
      </w:r>
      <w:r>
        <w:rPr>
          <w:rFonts w:ascii="Arial" w:hAnsi="Arial" w:cs="Arial"/>
          <w:lang w:val="es-ES"/>
        </w:rPr>
        <w:t>.</w:t>
      </w:r>
    </w:p>
    <w:p w:rsidR="00F72899" w:rsidRPr="00AA1867" w:rsidRDefault="00F72899" w:rsidP="001735E1">
      <w:pPr>
        <w:pStyle w:val="ListParagraph"/>
        <w:spacing w:before="120" w:after="120" w:line="240" w:lineRule="auto"/>
        <w:ind w:left="360"/>
        <w:jc w:val="both"/>
        <w:rPr>
          <w:rFonts w:ascii="Arial" w:hAnsi="Arial" w:cs="Arial"/>
          <w:lang w:val="es-CO"/>
        </w:rPr>
      </w:pPr>
    </w:p>
    <w:p w:rsidR="0095711B" w:rsidRPr="00A523B2" w:rsidRDefault="000C16F9" w:rsidP="00DC5956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b/>
          <w:lang w:val="es-ES"/>
        </w:rPr>
      </w:pPr>
      <w:r w:rsidRPr="00A523B2">
        <w:rPr>
          <w:rFonts w:ascii="Arial" w:hAnsi="Arial" w:cs="Arial"/>
          <w:b/>
          <w:lang w:val="es-ES"/>
        </w:rPr>
        <w:t xml:space="preserve">Salvaguardias </w:t>
      </w:r>
      <w:r w:rsidR="00055EF1" w:rsidRPr="00A523B2">
        <w:rPr>
          <w:rFonts w:ascii="Arial" w:hAnsi="Arial" w:cs="Arial"/>
          <w:b/>
          <w:lang w:val="es-ES"/>
        </w:rPr>
        <w:t>a</w:t>
      </w:r>
      <w:r w:rsidRPr="00A523B2">
        <w:rPr>
          <w:rFonts w:ascii="Arial" w:hAnsi="Arial" w:cs="Arial"/>
          <w:b/>
          <w:lang w:val="es-ES"/>
        </w:rPr>
        <w:t>mbientales</w:t>
      </w:r>
    </w:p>
    <w:p w:rsidR="00466C7E" w:rsidRPr="00A523B2" w:rsidRDefault="00AA1867" w:rsidP="00DC5956">
      <w:pPr>
        <w:pStyle w:val="ListParagraph"/>
        <w:numPr>
          <w:ilvl w:val="1"/>
          <w:numId w:val="5"/>
        </w:numPr>
        <w:spacing w:before="120" w:after="120" w:line="240" w:lineRule="auto"/>
        <w:ind w:hanging="63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La </w:t>
      </w:r>
      <w:r w:rsidRPr="00AA1867">
        <w:rPr>
          <w:rFonts w:ascii="Arial" w:hAnsi="Arial" w:cs="Arial"/>
          <w:lang w:val="es-ES"/>
        </w:rPr>
        <w:t xml:space="preserve">presente CT no tiene implicaciones ambientales ni sociales por tratarse de la contratación de servicios de asistencia técnica y la elaboración de estudios. Teniendo en cuenta la Política de Medio Ambiente y Cumplimiento de Salvaguardas del Banco (OP-703), y debido a la naturaleza y objetivos de la CT, y sus impactos y riesgos socio-ambientales, la clasificación de esta operación </w:t>
      </w:r>
      <w:r w:rsidR="00F72795">
        <w:rPr>
          <w:rFonts w:ascii="Arial" w:hAnsi="Arial" w:cs="Arial"/>
          <w:lang w:val="es-ES"/>
        </w:rPr>
        <w:t>es C</w:t>
      </w:r>
      <w:r w:rsidRPr="00AA1867">
        <w:rPr>
          <w:rFonts w:ascii="Arial" w:hAnsi="Arial" w:cs="Arial"/>
          <w:lang w:val="es-ES"/>
        </w:rPr>
        <w:t>ategoría “C”.</w:t>
      </w:r>
    </w:p>
    <w:sectPr w:rsidR="00466C7E" w:rsidRPr="00A523B2" w:rsidSect="001735E1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0C6" w:rsidRDefault="005050C6" w:rsidP="0095711B">
      <w:pPr>
        <w:spacing w:after="0" w:line="240" w:lineRule="auto"/>
      </w:pPr>
      <w:r>
        <w:separator/>
      </w:r>
    </w:p>
  </w:endnote>
  <w:endnote w:type="continuationSeparator" w:id="0">
    <w:p w:rsidR="005050C6" w:rsidRDefault="005050C6" w:rsidP="00957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CA2" w:rsidRDefault="009F3CA2">
    <w:pPr>
      <w:pStyle w:val="Footer"/>
      <w:jc w:val="center"/>
    </w:pPr>
  </w:p>
  <w:p w:rsidR="009F3CA2" w:rsidRDefault="009F3C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0C6" w:rsidRDefault="005050C6" w:rsidP="0095711B">
      <w:pPr>
        <w:spacing w:after="0" w:line="240" w:lineRule="auto"/>
      </w:pPr>
      <w:r>
        <w:separator/>
      </w:r>
    </w:p>
  </w:footnote>
  <w:footnote w:type="continuationSeparator" w:id="0">
    <w:p w:rsidR="005050C6" w:rsidRDefault="005050C6" w:rsidP="0095711B">
      <w:pPr>
        <w:spacing w:after="0" w:line="240" w:lineRule="auto"/>
      </w:pPr>
      <w:r>
        <w:continuationSeparator/>
      </w:r>
    </w:p>
  </w:footnote>
  <w:footnote w:id="1">
    <w:p w:rsidR="00110E53" w:rsidRPr="00F44A41" w:rsidRDefault="00110E53" w:rsidP="00110E53">
      <w:pPr>
        <w:pStyle w:val="FootnoteText"/>
        <w:ind w:left="180" w:hanging="180"/>
        <w:jc w:val="both"/>
        <w:rPr>
          <w:rFonts w:ascii="Arial" w:hAnsi="Arial" w:cs="Arial"/>
          <w:spacing w:val="-2"/>
          <w:sz w:val="18"/>
          <w:szCs w:val="18"/>
          <w:lang w:val="es-ES"/>
        </w:rPr>
      </w:pPr>
      <w:r w:rsidRPr="00F44A41">
        <w:rPr>
          <w:rStyle w:val="FootnoteReference"/>
          <w:rFonts w:ascii="Arial" w:hAnsi="Arial" w:cs="Arial"/>
          <w:spacing w:val="-2"/>
          <w:sz w:val="18"/>
          <w:szCs w:val="18"/>
        </w:rPr>
        <w:footnoteRef/>
      </w:r>
      <w:r w:rsidRPr="00F44A41">
        <w:rPr>
          <w:rFonts w:ascii="Arial" w:hAnsi="Arial" w:cs="Arial"/>
          <w:spacing w:val="-2"/>
          <w:sz w:val="18"/>
          <w:szCs w:val="18"/>
          <w:lang w:val="es-ES"/>
        </w:rPr>
        <w:t xml:space="preserve"> </w:t>
      </w:r>
      <w:r w:rsidRPr="00F44A41">
        <w:rPr>
          <w:rFonts w:ascii="Arial" w:hAnsi="Arial" w:cs="Arial"/>
          <w:spacing w:val="-2"/>
          <w:sz w:val="18"/>
          <w:szCs w:val="18"/>
          <w:lang w:val="es-ES"/>
        </w:rPr>
        <w:tab/>
        <w:t>Asociación Nacional de I</w:t>
      </w:r>
      <w:r w:rsidR="006373F9">
        <w:rPr>
          <w:rFonts w:ascii="Arial" w:hAnsi="Arial" w:cs="Arial"/>
          <w:spacing w:val="-2"/>
          <w:sz w:val="18"/>
          <w:szCs w:val="18"/>
          <w:lang w:val="es-ES"/>
        </w:rPr>
        <w:t>nstituciones Financieras</w:t>
      </w:r>
      <w:r w:rsidRPr="00F44A41">
        <w:rPr>
          <w:rFonts w:ascii="Arial" w:hAnsi="Arial" w:cs="Arial"/>
          <w:spacing w:val="-2"/>
          <w:sz w:val="18"/>
          <w:szCs w:val="18"/>
          <w:lang w:val="es-ES"/>
        </w:rPr>
        <w:t xml:space="preserve"> (2014). Concesiones de Infraestructura de Cuarta Generación (4G): Requerimientos de Inversión y</w:t>
      </w:r>
      <w:r w:rsidR="00F72795">
        <w:rPr>
          <w:rFonts w:ascii="Arial" w:hAnsi="Arial" w:cs="Arial"/>
          <w:spacing w:val="-2"/>
          <w:sz w:val="18"/>
          <w:szCs w:val="18"/>
          <w:lang w:val="es-ES"/>
        </w:rPr>
        <w:t xml:space="preserve"> Financiamiento Público </w:t>
      </w:r>
      <w:r w:rsidR="00BD5530">
        <w:rPr>
          <w:rFonts w:ascii="Arial" w:hAnsi="Arial" w:cs="Arial"/>
          <w:spacing w:val="-2"/>
          <w:sz w:val="18"/>
          <w:szCs w:val="18"/>
          <w:lang w:val="es-ES"/>
        </w:rPr>
        <w:t>Privado; y BID (2015</w:t>
      </w:r>
      <w:r w:rsidR="00BD5530" w:rsidRPr="00BD5530">
        <w:rPr>
          <w:rFonts w:ascii="Arial" w:hAnsi="Arial" w:cs="Arial"/>
          <w:spacing w:val="-2"/>
          <w:sz w:val="18"/>
          <w:szCs w:val="18"/>
          <w:lang w:val="es-ES"/>
        </w:rPr>
        <w:t>). Financiamiento de la Infraestructura en América Latina y el Caribe: ¿Cómo, Cuánto y Quién?</w:t>
      </w:r>
    </w:p>
  </w:footnote>
  <w:footnote w:id="2">
    <w:p w:rsidR="00110E53" w:rsidRPr="00F44A41" w:rsidRDefault="00110E53" w:rsidP="00110E53">
      <w:pPr>
        <w:pStyle w:val="FootnoteText"/>
        <w:ind w:left="180" w:hanging="180"/>
        <w:jc w:val="both"/>
        <w:rPr>
          <w:rFonts w:ascii="Arial" w:hAnsi="Arial" w:cs="Arial"/>
          <w:spacing w:val="-2"/>
          <w:sz w:val="18"/>
          <w:szCs w:val="18"/>
          <w:lang w:val="es-ES"/>
        </w:rPr>
      </w:pPr>
      <w:r w:rsidRPr="00F44A41">
        <w:rPr>
          <w:rStyle w:val="FootnoteReference"/>
          <w:rFonts w:ascii="Arial" w:hAnsi="Arial" w:cs="Arial"/>
          <w:spacing w:val="-2"/>
          <w:sz w:val="18"/>
          <w:szCs w:val="18"/>
        </w:rPr>
        <w:footnoteRef/>
      </w:r>
      <w:r w:rsidRPr="00F44A41">
        <w:rPr>
          <w:rFonts w:ascii="Arial" w:hAnsi="Arial" w:cs="Arial"/>
          <w:spacing w:val="-2"/>
          <w:sz w:val="18"/>
          <w:szCs w:val="18"/>
          <w:lang w:val="es-ES"/>
        </w:rPr>
        <w:t xml:space="preserve"> </w:t>
      </w:r>
      <w:r w:rsidRPr="00F44A41">
        <w:rPr>
          <w:rFonts w:ascii="Arial" w:hAnsi="Arial" w:cs="Arial"/>
          <w:spacing w:val="-2"/>
          <w:sz w:val="18"/>
          <w:szCs w:val="18"/>
          <w:lang w:val="es-ES"/>
        </w:rPr>
        <w:tab/>
      </w:r>
      <w:proofErr w:type="spellStart"/>
      <w:r w:rsidRPr="00F44A41">
        <w:rPr>
          <w:rFonts w:ascii="Arial" w:hAnsi="Arial" w:cs="Arial"/>
          <w:spacing w:val="-2"/>
          <w:sz w:val="18"/>
          <w:szCs w:val="18"/>
          <w:lang w:val="es-ES"/>
        </w:rPr>
        <w:t>Agénor</w:t>
      </w:r>
      <w:proofErr w:type="spellEnd"/>
      <w:r w:rsidRPr="00F44A41">
        <w:rPr>
          <w:rFonts w:ascii="Arial" w:hAnsi="Arial" w:cs="Arial"/>
          <w:spacing w:val="-2"/>
          <w:sz w:val="18"/>
          <w:szCs w:val="18"/>
          <w:lang w:val="es-ES"/>
        </w:rPr>
        <w:t xml:space="preserve"> (20</w:t>
      </w:r>
      <w:r w:rsidR="006373F9">
        <w:rPr>
          <w:rFonts w:ascii="Arial" w:hAnsi="Arial" w:cs="Arial"/>
          <w:spacing w:val="-2"/>
          <w:sz w:val="18"/>
          <w:szCs w:val="18"/>
          <w:lang w:val="es-ES"/>
        </w:rPr>
        <w:t>13). Foro Económico Mundial</w:t>
      </w:r>
      <w:r w:rsidR="006837FD">
        <w:rPr>
          <w:rFonts w:ascii="Arial" w:hAnsi="Arial" w:cs="Arial"/>
          <w:spacing w:val="-2"/>
          <w:sz w:val="18"/>
          <w:szCs w:val="18"/>
          <w:lang w:val="es-ES"/>
        </w:rPr>
        <w:t xml:space="preserve"> (2013). Calderón y </w:t>
      </w:r>
      <w:proofErr w:type="spellStart"/>
      <w:r w:rsidR="006837FD">
        <w:rPr>
          <w:rFonts w:ascii="Arial" w:hAnsi="Arial" w:cs="Arial"/>
          <w:spacing w:val="-2"/>
          <w:sz w:val="18"/>
          <w:szCs w:val="18"/>
          <w:lang w:val="es-ES"/>
        </w:rPr>
        <w:t>Serven</w:t>
      </w:r>
      <w:proofErr w:type="spellEnd"/>
      <w:r w:rsidRPr="00F44A41">
        <w:rPr>
          <w:rFonts w:ascii="Arial" w:hAnsi="Arial" w:cs="Arial"/>
          <w:spacing w:val="-2"/>
          <w:sz w:val="18"/>
          <w:szCs w:val="18"/>
          <w:lang w:val="es-ES"/>
        </w:rPr>
        <w:t xml:space="preserve"> (2003 y 2010).</w:t>
      </w:r>
      <w:r w:rsidR="00F72795">
        <w:rPr>
          <w:rFonts w:ascii="Arial" w:hAnsi="Arial" w:cs="Arial"/>
          <w:spacing w:val="-2"/>
          <w:sz w:val="18"/>
          <w:szCs w:val="18"/>
          <w:lang w:val="es-ES"/>
        </w:rPr>
        <w:t xml:space="preserve"> </w:t>
      </w:r>
    </w:p>
  </w:footnote>
  <w:footnote w:id="3">
    <w:p w:rsidR="00110E53" w:rsidRPr="006837FD" w:rsidRDefault="00110E53" w:rsidP="00110E53">
      <w:pPr>
        <w:pStyle w:val="FootnoteText"/>
        <w:ind w:left="274" w:hanging="274"/>
        <w:jc w:val="both"/>
        <w:rPr>
          <w:rFonts w:ascii="Arial" w:hAnsi="Arial" w:cs="Arial"/>
          <w:sz w:val="18"/>
          <w:szCs w:val="18"/>
          <w:lang w:val="es-ES"/>
        </w:rPr>
      </w:pPr>
      <w:r w:rsidRPr="00F44A41">
        <w:rPr>
          <w:rStyle w:val="FootnoteReference"/>
          <w:rFonts w:ascii="Arial" w:hAnsi="Arial" w:cs="Arial"/>
          <w:sz w:val="18"/>
          <w:szCs w:val="18"/>
        </w:rPr>
        <w:footnoteRef/>
      </w:r>
      <w:r w:rsidRPr="006837FD">
        <w:rPr>
          <w:rFonts w:ascii="Arial" w:hAnsi="Arial" w:cs="Arial"/>
          <w:sz w:val="18"/>
          <w:szCs w:val="18"/>
          <w:lang w:val="es-ES"/>
        </w:rPr>
        <w:t xml:space="preserve"> </w:t>
      </w:r>
      <w:r w:rsidRPr="006837FD">
        <w:rPr>
          <w:rFonts w:ascii="Arial" w:hAnsi="Arial" w:cs="Arial"/>
          <w:sz w:val="18"/>
          <w:szCs w:val="18"/>
          <w:lang w:val="es-ES"/>
        </w:rPr>
        <w:tab/>
        <w:t>DNP (2015</w:t>
      </w:r>
      <w:r w:rsidR="00D3105D" w:rsidRPr="006837FD">
        <w:rPr>
          <w:rFonts w:ascii="Arial" w:hAnsi="Arial" w:cs="Arial"/>
          <w:sz w:val="18"/>
          <w:szCs w:val="18"/>
          <w:lang w:val="es-ES"/>
        </w:rPr>
        <w:t>). P</w:t>
      </w:r>
      <w:r w:rsidR="00D13517">
        <w:rPr>
          <w:rFonts w:ascii="Arial" w:hAnsi="Arial" w:cs="Arial"/>
          <w:sz w:val="18"/>
          <w:szCs w:val="18"/>
          <w:lang w:val="es-ES"/>
        </w:rPr>
        <w:t xml:space="preserve">lan </w:t>
      </w:r>
      <w:r w:rsidR="00D3105D" w:rsidRPr="006837FD">
        <w:rPr>
          <w:rFonts w:ascii="Arial" w:hAnsi="Arial" w:cs="Arial"/>
          <w:sz w:val="18"/>
          <w:szCs w:val="18"/>
          <w:lang w:val="es-ES"/>
        </w:rPr>
        <w:t>N</w:t>
      </w:r>
      <w:r w:rsidR="00D13517">
        <w:rPr>
          <w:rFonts w:ascii="Arial" w:hAnsi="Arial" w:cs="Arial"/>
          <w:sz w:val="18"/>
          <w:szCs w:val="18"/>
          <w:lang w:val="es-ES"/>
        </w:rPr>
        <w:t xml:space="preserve">acional de </w:t>
      </w:r>
      <w:r w:rsidR="00D3105D" w:rsidRPr="006837FD">
        <w:rPr>
          <w:rFonts w:ascii="Arial" w:hAnsi="Arial" w:cs="Arial"/>
          <w:sz w:val="18"/>
          <w:szCs w:val="18"/>
          <w:lang w:val="es-ES"/>
        </w:rPr>
        <w:t>D</w:t>
      </w:r>
      <w:r w:rsidR="00D13517">
        <w:rPr>
          <w:rFonts w:ascii="Arial" w:hAnsi="Arial" w:cs="Arial"/>
          <w:sz w:val="18"/>
          <w:szCs w:val="18"/>
          <w:lang w:val="es-ES"/>
        </w:rPr>
        <w:t>esarrollo</w:t>
      </w:r>
      <w:r w:rsidR="00ED6F3A">
        <w:rPr>
          <w:rFonts w:ascii="Arial" w:hAnsi="Arial" w:cs="Arial"/>
          <w:sz w:val="18"/>
          <w:szCs w:val="18"/>
          <w:lang w:val="es-ES"/>
        </w:rPr>
        <w:t xml:space="preserve"> (PND)</w:t>
      </w:r>
      <w:r w:rsidR="006837FD" w:rsidRPr="006837FD">
        <w:rPr>
          <w:rFonts w:ascii="Arial" w:hAnsi="Arial" w:cs="Arial"/>
          <w:sz w:val="18"/>
          <w:szCs w:val="18"/>
          <w:lang w:val="es-ES"/>
        </w:rPr>
        <w:t xml:space="preserve"> 2014-2018; y BID (2015). Colombia. Estrategia de País del BID 2015-2018.</w:t>
      </w:r>
    </w:p>
  </w:footnote>
  <w:footnote w:id="4">
    <w:p w:rsidR="00BC5896" w:rsidRPr="00F44A41" w:rsidRDefault="00BC5896" w:rsidP="00BC5896">
      <w:pPr>
        <w:pStyle w:val="FootnoteText"/>
        <w:ind w:left="274" w:hanging="274"/>
        <w:jc w:val="both"/>
        <w:rPr>
          <w:rFonts w:ascii="Arial" w:hAnsi="Arial" w:cs="Arial"/>
          <w:sz w:val="18"/>
          <w:szCs w:val="18"/>
          <w:lang w:val="es-ES"/>
        </w:rPr>
      </w:pPr>
      <w:r w:rsidRPr="00F44A41">
        <w:rPr>
          <w:rStyle w:val="FootnoteReference"/>
          <w:rFonts w:ascii="Arial" w:hAnsi="Arial" w:cs="Arial"/>
          <w:sz w:val="18"/>
          <w:szCs w:val="18"/>
        </w:rPr>
        <w:footnoteRef/>
      </w:r>
      <w:r w:rsidRPr="00F44A41">
        <w:rPr>
          <w:rFonts w:ascii="Arial" w:hAnsi="Arial" w:cs="Arial"/>
          <w:sz w:val="18"/>
          <w:szCs w:val="18"/>
          <w:lang w:val="es-ES"/>
        </w:rPr>
        <w:t xml:space="preserve"> </w:t>
      </w:r>
      <w:r w:rsidRPr="00F44A41">
        <w:rPr>
          <w:rFonts w:ascii="Arial" w:hAnsi="Arial" w:cs="Arial"/>
          <w:sz w:val="18"/>
          <w:szCs w:val="18"/>
          <w:lang w:val="es-ES"/>
        </w:rPr>
        <w:tab/>
        <w:t>Ley 1682 de 2013 de Infraestructura de Transporte, creación de la Agencia Nacional de Infraestructura (ANI) y creación de la Financiera de Desarrollo Nacional (FDN).</w:t>
      </w:r>
    </w:p>
  </w:footnote>
  <w:footnote w:id="5">
    <w:p w:rsidR="00BC5896" w:rsidRPr="00F44A41" w:rsidRDefault="00BC5896" w:rsidP="00BC5896">
      <w:pPr>
        <w:pStyle w:val="FootnoteText"/>
        <w:ind w:left="270" w:hanging="270"/>
        <w:jc w:val="both"/>
        <w:rPr>
          <w:rFonts w:ascii="Arial" w:hAnsi="Arial" w:cs="Arial"/>
          <w:sz w:val="18"/>
          <w:szCs w:val="18"/>
          <w:lang w:val="es-ES"/>
        </w:rPr>
      </w:pPr>
      <w:r w:rsidRPr="00F44A41">
        <w:rPr>
          <w:rStyle w:val="FootnoteReference"/>
          <w:rFonts w:ascii="Arial" w:hAnsi="Arial" w:cs="Arial"/>
          <w:sz w:val="18"/>
          <w:szCs w:val="18"/>
        </w:rPr>
        <w:footnoteRef/>
      </w:r>
      <w:r w:rsidRPr="00F44A41">
        <w:rPr>
          <w:rFonts w:ascii="Arial" w:hAnsi="Arial" w:cs="Arial"/>
          <w:sz w:val="18"/>
          <w:szCs w:val="18"/>
          <w:lang w:val="es-ES"/>
        </w:rPr>
        <w:t xml:space="preserve"> </w:t>
      </w:r>
      <w:r w:rsidRPr="00F44A41">
        <w:rPr>
          <w:rFonts w:ascii="Arial" w:hAnsi="Arial" w:cs="Arial"/>
          <w:sz w:val="18"/>
          <w:szCs w:val="18"/>
          <w:lang w:val="es-ES"/>
        </w:rPr>
        <w:tab/>
      </w:r>
      <w:r w:rsidRPr="00F44A41">
        <w:rPr>
          <w:rFonts w:ascii="Arial" w:hAnsi="Arial" w:cs="Arial"/>
          <w:bCs/>
          <w:sz w:val="18"/>
          <w:szCs w:val="18"/>
          <w:lang w:val="es-CO"/>
        </w:rPr>
        <w:t>Bajo el marco de la Ley, se está desarrollando el programa Cuarta Generación de Concesiones Viales.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3588862"/>
      <w:docPartObj>
        <w:docPartGallery w:val="Page Numbers (Top of Page)"/>
        <w:docPartUnique/>
      </w:docPartObj>
    </w:sdtPr>
    <w:sdtEndPr>
      <w:rPr>
        <w:rFonts w:ascii="Gotham Book" w:hAnsi="Gotham Book"/>
        <w:noProof/>
        <w:sz w:val="18"/>
        <w:szCs w:val="18"/>
      </w:rPr>
    </w:sdtEndPr>
    <w:sdtContent>
      <w:p w:rsidR="001735E1" w:rsidRPr="001735E1" w:rsidRDefault="001735E1">
        <w:pPr>
          <w:pStyle w:val="Header"/>
          <w:jc w:val="center"/>
          <w:rPr>
            <w:rFonts w:ascii="Gotham Book" w:hAnsi="Gotham Book"/>
            <w:sz w:val="18"/>
            <w:szCs w:val="18"/>
          </w:rPr>
        </w:pPr>
        <w:r w:rsidRPr="001735E1">
          <w:rPr>
            <w:rFonts w:ascii="Gotham Book" w:hAnsi="Gotham Book"/>
            <w:sz w:val="18"/>
            <w:szCs w:val="18"/>
          </w:rPr>
          <w:t>- </w:t>
        </w:r>
        <w:r w:rsidRPr="001735E1">
          <w:rPr>
            <w:rFonts w:ascii="Gotham Book" w:hAnsi="Gotham Book"/>
            <w:sz w:val="18"/>
            <w:szCs w:val="18"/>
          </w:rPr>
          <w:fldChar w:fldCharType="begin"/>
        </w:r>
        <w:r w:rsidRPr="001735E1">
          <w:rPr>
            <w:rFonts w:ascii="Gotham Book" w:hAnsi="Gotham Book"/>
            <w:sz w:val="18"/>
            <w:szCs w:val="18"/>
          </w:rPr>
          <w:instrText xml:space="preserve"> PAGE   \* MERGEFORMAT </w:instrText>
        </w:r>
        <w:r w:rsidRPr="001735E1">
          <w:rPr>
            <w:rFonts w:ascii="Gotham Book" w:hAnsi="Gotham Book"/>
            <w:sz w:val="18"/>
            <w:szCs w:val="18"/>
          </w:rPr>
          <w:fldChar w:fldCharType="separate"/>
        </w:r>
        <w:r w:rsidR="00F72795">
          <w:rPr>
            <w:rFonts w:ascii="Gotham Book" w:hAnsi="Gotham Book"/>
            <w:noProof/>
            <w:sz w:val="18"/>
            <w:szCs w:val="18"/>
          </w:rPr>
          <w:t>1</w:t>
        </w:r>
        <w:r w:rsidRPr="001735E1">
          <w:rPr>
            <w:rFonts w:ascii="Gotham Book" w:hAnsi="Gotham Book"/>
            <w:noProof/>
            <w:sz w:val="18"/>
            <w:szCs w:val="18"/>
          </w:rPr>
          <w:fldChar w:fldCharType="end"/>
        </w:r>
        <w:r w:rsidRPr="001735E1">
          <w:rPr>
            <w:rFonts w:ascii="Gotham Book" w:hAnsi="Gotham Book"/>
            <w:noProof/>
            <w:sz w:val="18"/>
            <w:szCs w:val="18"/>
          </w:rPr>
          <w:t> -</w:t>
        </w:r>
      </w:p>
    </w:sdtContent>
  </w:sdt>
  <w:p w:rsidR="001735E1" w:rsidRDefault="001735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564E0"/>
    <w:multiLevelType w:val="hybridMultilevel"/>
    <w:tmpl w:val="48FE8DA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E65187"/>
    <w:multiLevelType w:val="hybridMultilevel"/>
    <w:tmpl w:val="BE28976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665631"/>
    <w:multiLevelType w:val="hybridMultilevel"/>
    <w:tmpl w:val="BC78F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17336"/>
    <w:multiLevelType w:val="multilevel"/>
    <w:tmpl w:val="7068DA16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C8A0E03"/>
    <w:multiLevelType w:val="hybridMultilevel"/>
    <w:tmpl w:val="B394B99C"/>
    <w:lvl w:ilvl="0" w:tplc="7526C6D0">
      <w:start w:val="1"/>
      <w:numFmt w:val="lowerLetter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354963"/>
    <w:multiLevelType w:val="hybridMultilevel"/>
    <w:tmpl w:val="95EAD726"/>
    <w:lvl w:ilvl="0" w:tplc="AC6C38CE">
      <w:numFmt w:val="bullet"/>
      <w:lvlText w:val=""/>
      <w:lvlJc w:val="left"/>
      <w:pPr>
        <w:ind w:left="39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>
    <w:nsid w:val="292E025C"/>
    <w:multiLevelType w:val="hybridMultilevel"/>
    <w:tmpl w:val="B2248766"/>
    <w:lvl w:ilvl="0" w:tplc="C700CC4A">
      <w:numFmt w:val="bullet"/>
      <w:lvlText w:val=""/>
      <w:lvlJc w:val="left"/>
      <w:pPr>
        <w:ind w:left="7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2AAB2B9B"/>
    <w:multiLevelType w:val="multilevel"/>
    <w:tmpl w:val="7068DA16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2C2F5421"/>
    <w:multiLevelType w:val="hybridMultilevel"/>
    <w:tmpl w:val="0B1458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D0B9B"/>
    <w:multiLevelType w:val="hybridMultilevel"/>
    <w:tmpl w:val="D5189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9B4991"/>
    <w:multiLevelType w:val="multilevel"/>
    <w:tmpl w:val="94669268"/>
    <w:lvl w:ilvl="0">
      <w:start w:val="1"/>
      <w:numFmt w:val="upperRoman"/>
      <w:lvlRestart w:val="0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2448"/>
        </w:tabs>
        <w:ind w:left="2448" w:hanging="1296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lowerLette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1">
    <w:nsid w:val="3CC10A8F"/>
    <w:multiLevelType w:val="hybridMultilevel"/>
    <w:tmpl w:val="92400A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645D57"/>
    <w:multiLevelType w:val="hybridMultilevel"/>
    <w:tmpl w:val="EF866CC2"/>
    <w:lvl w:ilvl="0" w:tplc="D790518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B180A"/>
    <w:multiLevelType w:val="hybridMultilevel"/>
    <w:tmpl w:val="CAD25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AA7257"/>
    <w:multiLevelType w:val="hybridMultilevel"/>
    <w:tmpl w:val="8DFA4B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183EB3"/>
    <w:multiLevelType w:val="hybridMultilevel"/>
    <w:tmpl w:val="59BC0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065662"/>
    <w:multiLevelType w:val="hybridMultilevel"/>
    <w:tmpl w:val="4930413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69905A8"/>
    <w:multiLevelType w:val="multilevel"/>
    <w:tmpl w:val="F22868E6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2066"/>
        </w:tabs>
        <w:ind w:left="1418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1476"/>
        </w:tabs>
        <w:ind w:left="1476" w:hanging="1296"/>
      </w:pPr>
      <w:rPr>
        <w:b w:val="0"/>
        <w:i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592"/>
        </w:tabs>
        <w:ind w:left="259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3024"/>
        </w:tabs>
        <w:ind w:left="3024" w:hanging="288"/>
      </w:pPr>
    </w:lvl>
    <w:lvl w:ilvl="4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5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6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  <w:lvl w:ilvl="7">
      <w:start w:val="1"/>
      <w:numFmt w:val="none"/>
      <w:lvlText w:val=""/>
      <w:lvlJc w:val="left"/>
      <w:pPr>
        <w:tabs>
          <w:tab w:val="num" w:pos="6840"/>
        </w:tabs>
        <w:ind w:left="6480" w:firstLine="0"/>
      </w:pPr>
    </w:lvl>
    <w:lvl w:ilvl="8">
      <w:start w:val="1"/>
      <w:numFmt w:val="none"/>
      <w:lvlText w:val=""/>
      <w:lvlJc w:val="left"/>
      <w:pPr>
        <w:tabs>
          <w:tab w:val="num" w:pos="7560"/>
        </w:tabs>
        <w:ind w:left="7200" w:firstLine="0"/>
      </w:pPr>
    </w:lvl>
  </w:abstractNum>
  <w:abstractNum w:abstractNumId="18">
    <w:nsid w:val="5C0747DB"/>
    <w:multiLevelType w:val="hybridMultilevel"/>
    <w:tmpl w:val="E130B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DB0E83"/>
    <w:multiLevelType w:val="hybridMultilevel"/>
    <w:tmpl w:val="72CEE1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DA472B"/>
    <w:multiLevelType w:val="multilevel"/>
    <w:tmpl w:val="7068DA16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7F5C51C3"/>
    <w:multiLevelType w:val="hybridMultilevel"/>
    <w:tmpl w:val="7C0C5914"/>
    <w:lvl w:ilvl="0" w:tplc="E2FC76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15"/>
  </w:num>
  <w:num w:numId="4">
    <w:abstractNumId w:val="21"/>
  </w:num>
  <w:num w:numId="5">
    <w:abstractNumId w:val="20"/>
  </w:num>
  <w:num w:numId="6">
    <w:abstractNumId w:val="5"/>
  </w:num>
  <w:num w:numId="7">
    <w:abstractNumId w:val="6"/>
  </w:num>
  <w:num w:numId="8">
    <w:abstractNumId w:val="9"/>
  </w:num>
  <w:num w:numId="9">
    <w:abstractNumId w:val="18"/>
  </w:num>
  <w:num w:numId="10">
    <w:abstractNumId w:val="19"/>
  </w:num>
  <w:num w:numId="11">
    <w:abstractNumId w:val="2"/>
  </w:num>
  <w:num w:numId="12">
    <w:abstractNumId w:val="8"/>
  </w:num>
  <w:num w:numId="13">
    <w:abstractNumId w:val="16"/>
  </w:num>
  <w:num w:numId="14">
    <w:abstractNumId w:val="1"/>
  </w:num>
  <w:num w:numId="15">
    <w:abstractNumId w:val="0"/>
  </w:num>
  <w:num w:numId="16">
    <w:abstractNumId w:val="4"/>
  </w:num>
  <w:num w:numId="17">
    <w:abstractNumId w:val="14"/>
  </w:num>
  <w:num w:numId="18">
    <w:abstractNumId w:val="7"/>
  </w:num>
  <w:num w:numId="19">
    <w:abstractNumId w:val="3"/>
  </w:num>
  <w:num w:numId="20">
    <w:abstractNumId w:val="17"/>
  </w:num>
  <w:num w:numId="21">
    <w:abstractNumId w:val="12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1B"/>
    <w:rsid w:val="000149C6"/>
    <w:rsid w:val="00017B41"/>
    <w:rsid w:val="00023580"/>
    <w:rsid w:val="000259D8"/>
    <w:rsid w:val="000269F9"/>
    <w:rsid w:val="000324F2"/>
    <w:rsid w:val="000343C8"/>
    <w:rsid w:val="00036815"/>
    <w:rsid w:val="00040102"/>
    <w:rsid w:val="00043D93"/>
    <w:rsid w:val="00047088"/>
    <w:rsid w:val="000524FF"/>
    <w:rsid w:val="00053FAB"/>
    <w:rsid w:val="00055EF1"/>
    <w:rsid w:val="00057F70"/>
    <w:rsid w:val="00075F42"/>
    <w:rsid w:val="00080AF4"/>
    <w:rsid w:val="00086CFF"/>
    <w:rsid w:val="00090BF2"/>
    <w:rsid w:val="000A233D"/>
    <w:rsid w:val="000A2C7E"/>
    <w:rsid w:val="000B04FC"/>
    <w:rsid w:val="000B1A1E"/>
    <w:rsid w:val="000B2109"/>
    <w:rsid w:val="000C16F9"/>
    <w:rsid w:val="000C4B72"/>
    <w:rsid w:val="000E3B19"/>
    <w:rsid w:val="000F39D2"/>
    <w:rsid w:val="000F52BA"/>
    <w:rsid w:val="00102DAE"/>
    <w:rsid w:val="00103E04"/>
    <w:rsid w:val="00110E53"/>
    <w:rsid w:val="001175F4"/>
    <w:rsid w:val="001203C2"/>
    <w:rsid w:val="00124040"/>
    <w:rsid w:val="00126A59"/>
    <w:rsid w:val="001316E2"/>
    <w:rsid w:val="00132599"/>
    <w:rsid w:val="0015729D"/>
    <w:rsid w:val="00171250"/>
    <w:rsid w:val="0017216B"/>
    <w:rsid w:val="001735E1"/>
    <w:rsid w:val="0018382C"/>
    <w:rsid w:val="00184E10"/>
    <w:rsid w:val="00185A0A"/>
    <w:rsid w:val="00187853"/>
    <w:rsid w:val="00190727"/>
    <w:rsid w:val="00191B86"/>
    <w:rsid w:val="001A42C6"/>
    <w:rsid w:val="001A7033"/>
    <w:rsid w:val="001A7209"/>
    <w:rsid w:val="001B3A0B"/>
    <w:rsid w:val="001C05C0"/>
    <w:rsid w:val="001C1143"/>
    <w:rsid w:val="001C18FD"/>
    <w:rsid w:val="001C6D30"/>
    <w:rsid w:val="001D2402"/>
    <w:rsid w:val="001D3E42"/>
    <w:rsid w:val="001D3ECA"/>
    <w:rsid w:val="001D4A91"/>
    <w:rsid w:val="001E48D4"/>
    <w:rsid w:val="001E7981"/>
    <w:rsid w:val="001F41E2"/>
    <w:rsid w:val="001F7559"/>
    <w:rsid w:val="002046C1"/>
    <w:rsid w:val="00205999"/>
    <w:rsid w:val="00207668"/>
    <w:rsid w:val="00210317"/>
    <w:rsid w:val="002123FF"/>
    <w:rsid w:val="002150E9"/>
    <w:rsid w:val="00225B5A"/>
    <w:rsid w:val="00231773"/>
    <w:rsid w:val="0023182E"/>
    <w:rsid w:val="0023264E"/>
    <w:rsid w:val="0023302F"/>
    <w:rsid w:val="00236249"/>
    <w:rsid w:val="00241282"/>
    <w:rsid w:val="00244A9D"/>
    <w:rsid w:val="0024510E"/>
    <w:rsid w:val="002460EE"/>
    <w:rsid w:val="00256B78"/>
    <w:rsid w:val="00270159"/>
    <w:rsid w:val="0027273A"/>
    <w:rsid w:val="00274A3E"/>
    <w:rsid w:val="0028127C"/>
    <w:rsid w:val="00283316"/>
    <w:rsid w:val="002A2728"/>
    <w:rsid w:val="002C1308"/>
    <w:rsid w:val="002D2060"/>
    <w:rsid w:val="002D2D15"/>
    <w:rsid w:val="002D4B50"/>
    <w:rsid w:val="002E0990"/>
    <w:rsid w:val="002F0F79"/>
    <w:rsid w:val="002F620E"/>
    <w:rsid w:val="002F638A"/>
    <w:rsid w:val="00302426"/>
    <w:rsid w:val="00311D0C"/>
    <w:rsid w:val="00324F9F"/>
    <w:rsid w:val="00327A6A"/>
    <w:rsid w:val="003302F7"/>
    <w:rsid w:val="00335B4C"/>
    <w:rsid w:val="00340BC1"/>
    <w:rsid w:val="00346E79"/>
    <w:rsid w:val="00347A1B"/>
    <w:rsid w:val="00347DFB"/>
    <w:rsid w:val="00350203"/>
    <w:rsid w:val="0035428B"/>
    <w:rsid w:val="003548D7"/>
    <w:rsid w:val="00355449"/>
    <w:rsid w:val="003565A0"/>
    <w:rsid w:val="003622D9"/>
    <w:rsid w:val="00362D89"/>
    <w:rsid w:val="00364486"/>
    <w:rsid w:val="00365549"/>
    <w:rsid w:val="00366A65"/>
    <w:rsid w:val="00375B5C"/>
    <w:rsid w:val="00381D79"/>
    <w:rsid w:val="003835F0"/>
    <w:rsid w:val="003861E0"/>
    <w:rsid w:val="00395A99"/>
    <w:rsid w:val="003A32D9"/>
    <w:rsid w:val="003B1213"/>
    <w:rsid w:val="003D2892"/>
    <w:rsid w:val="003D609D"/>
    <w:rsid w:val="003D7BC0"/>
    <w:rsid w:val="003F432A"/>
    <w:rsid w:val="003F5F31"/>
    <w:rsid w:val="00400B52"/>
    <w:rsid w:val="00416432"/>
    <w:rsid w:val="00417FB9"/>
    <w:rsid w:val="0042231F"/>
    <w:rsid w:val="004311D4"/>
    <w:rsid w:val="00432935"/>
    <w:rsid w:val="00433246"/>
    <w:rsid w:val="00443E28"/>
    <w:rsid w:val="00450FA0"/>
    <w:rsid w:val="00466C37"/>
    <w:rsid w:val="00466C7E"/>
    <w:rsid w:val="0047521F"/>
    <w:rsid w:val="00482240"/>
    <w:rsid w:val="0048256E"/>
    <w:rsid w:val="00495F18"/>
    <w:rsid w:val="004A33D1"/>
    <w:rsid w:val="004A3490"/>
    <w:rsid w:val="004B0EAE"/>
    <w:rsid w:val="004C561F"/>
    <w:rsid w:val="004C7646"/>
    <w:rsid w:val="004D3BAA"/>
    <w:rsid w:val="004D5823"/>
    <w:rsid w:val="004D7049"/>
    <w:rsid w:val="004F386F"/>
    <w:rsid w:val="004F56CA"/>
    <w:rsid w:val="004F7FD5"/>
    <w:rsid w:val="0050104A"/>
    <w:rsid w:val="00502B6A"/>
    <w:rsid w:val="005050C6"/>
    <w:rsid w:val="00506446"/>
    <w:rsid w:val="0050655B"/>
    <w:rsid w:val="00512024"/>
    <w:rsid w:val="005140D4"/>
    <w:rsid w:val="00520F58"/>
    <w:rsid w:val="005231C4"/>
    <w:rsid w:val="005315DE"/>
    <w:rsid w:val="00531E51"/>
    <w:rsid w:val="005364CE"/>
    <w:rsid w:val="00543DB7"/>
    <w:rsid w:val="00544613"/>
    <w:rsid w:val="00552B6B"/>
    <w:rsid w:val="00562BCE"/>
    <w:rsid w:val="00563B1D"/>
    <w:rsid w:val="005804BE"/>
    <w:rsid w:val="0058137A"/>
    <w:rsid w:val="005833C9"/>
    <w:rsid w:val="005853E6"/>
    <w:rsid w:val="005856D6"/>
    <w:rsid w:val="00587991"/>
    <w:rsid w:val="00590599"/>
    <w:rsid w:val="005A1056"/>
    <w:rsid w:val="005A3748"/>
    <w:rsid w:val="005B5314"/>
    <w:rsid w:val="005D0646"/>
    <w:rsid w:val="005D092B"/>
    <w:rsid w:val="005D330B"/>
    <w:rsid w:val="005D56BD"/>
    <w:rsid w:val="005D6EAA"/>
    <w:rsid w:val="005E0D2F"/>
    <w:rsid w:val="005E1DB1"/>
    <w:rsid w:val="005E31C2"/>
    <w:rsid w:val="005E6F5B"/>
    <w:rsid w:val="005F2A31"/>
    <w:rsid w:val="00623ECD"/>
    <w:rsid w:val="00625488"/>
    <w:rsid w:val="0062725A"/>
    <w:rsid w:val="006373F9"/>
    <w:rsid w:val="0063790B"/>
    <w:rsid w:val="00641ED4"/>
    <w:rsid w:val="00641F0B"/>
    <w:rsid w:val="00675E7A"/>
    <w:rsid w:val="006837FD"/>
    <w:rsid w:val="006903D4"/>
    <w:rsid w:val="006A1798"/>
    <w:rsid w:val="006A41DA"/>
    <w:rsid w:val="006B0F27"/>
    <w:rsid w:val="006B3955"/>
    <w:rsid w:val="006B4941"/>
    <w:rsid w:val="006B5D76"/>
    <w:rsid w:val="006C6059"/>
    <w:rsid w:val="006D2F68"/>
    <w:rsid w:val="006D4A48"/>
    <w:rsid w:val="006E1AC6"/>
    <w:rsid w:val="006E6D19"/>
    <w:rsid w:val="006E775B"/>
    <w:rsid w:val="006F7A62"/>
    <w:rsid w:val="00702A56"/>
    <w:rsid w:val="007109E5"/>
    <w:rsid w:val="00712239"/>
    <w:rsid w:val="00723551"/>
    <w:rsid w:val="00725899"/>
    <w:rsid w:val="0072617D"/>
    <w:rsid w:val="007275AA"/>
    <w:rsid w:val="007400FC"/>
    <w:rsid w:val="0074558F"/>
    <w:rsid w:val="00746260"/>
    <w:rsid w:val="0074698B"/>
    <w:rsid w:val="00753603"/>
    <w:rsid w:val="00774A0B"/>
    <w:rsid w:val="007817E5"/>
    <w:rsid w:val="00787910"/>
    <w:rsid w:val="007947BD"/>
    <w:rsid w:val="007A103A"/>
    <w:rsid w:val="007A575B"/>
    <w:rsid w:val="007B0420"/>
    <w:rsid w:val="007B4B0E"/>
    <w:rsid w:val="007B500B"/>
    <w:rsid w:val="007B6B61"/>
    <w:rsid w:val="007C3374"/>
    <w:rsid w:val="007D3305"/>
    <w:rsid w:val="007D45B1"/>
    <w:rsid w:val="007D5054"/>
    <w:rsid w:val="007E11EF"/>
    <w:rsid w:val="007E4358"/>
    <w:rsid w:val="007E6AA2"/>
    <w:rsid w:val="007F7106"/>
    <w:rsid w:val="00801D9C"/>
    <w:rsid w:val="008052A0"/>
    <w:rsid w:val="00807C07"/>
    <w:rsid w:val="00840729"/>
    <w:rsid w:val="00841608"/>
    <w:rsid w:val="00847603"/>
    <w:rsid w:val="008533D0"/>
    <w:rsid w:val="00855D5A"/>
    <w:rsid w:val="00861BC9"/>
    <w:rsid w:val="00862440"/>
    <w:rsid w:val="00865A6F"/>
    <w:rsid w:val="00867800"/>
    <w:rsid w:val="0087190C"/>
    <w:rsid w:val="008739E3"/>
    <w:rsid w:val="00877DA0"/>
    <w:rsid w:val="008813B9"/>
    <w:rsid w:val="008902BA"/>
    <w:rsid w:val="008922F7"/>
    <w:rsid w:val="008971B5"/>
    <w:rsid w:val="008B3B23"/>
    <w:rsid w:val="008C32E5"/>
    <w:rsid w:val="008D12E8"/>
    <w:rsid w:val="008D2F92"/>
    <w:rsid w:val="008D30DF"/>
    <w:rsid w:val="008D6DEB"/>
    <w:rsid w:val="008F0AC9"/>
    <w:rsid w:val="008F54ED"/>
    <w:rsid w:val="008F64F2"/>
    <w:rsid w:val="0091508A"/>
    <w:rsid w:val="00915206"/>
    <w:rsid w:val="00922412"/>
    <w:rsid w:val="00925C27"/>
    <w:rsid w:val="00933A84"/>
    <w:rsid w:val="00944D7A"/>
    <w:rsid w:val="00944FAC"/>
    <w:rsid w:val="009458BE"/>
    <w:rsid w:val="0095122E"/>
    <w:rsid w:val="00953879"/>
    <w:rsid w:val="0095711B"/>
    <w:rsid w:val="00957623"/>
    <w:rsid w:val="00981037"/>
    <w:rsid w:val="00987DD8"/>
    <w:rsid w:val="00992A96"/>
    <w:rsid w:val="009A5402"/>
    <w:rsid w:val="009A73A6"/>
    <w:rsid w:val="009C5C06"/>
    <w:rsid w:val="009E6250"/>
    <w:rsid w:val="009E7C81"/>
    <w:rsid w:val="009F1017"/>
    <w:rsid w:val="009F33FF"/>
    <w:rsid w:val="009F3CA2"/>
    <w:rsid w:val="00A0038E"/>
    <w:rsid w:val="00A02E6B"/>
    <w:rsid w:val="00A067E6"/>
    <w:rsid w:val="00A10CD5"/>
    <w:rsid w:val="00A11066"/>
    <w:rsid w:val="00A12C27"/>
    <w:rsid w:val="00A139E6"/>
    <w:rsid w:val="00A13EE1"/>
    <w:rsid w:val="00A20379"/>
    <w:rsid w:val="00A2474F"/>
    <w:rsid w:val="00A258BB"/>
    <w:rsid w:val="00A3225D"/>
    <w:rsid w:val="00A32B2E"/>
    <w:rsid w:val="00A357F7"/>
    <w:rsid w:val="00A37C9C"/>
    <w:rsid w:val="00A44F1C"/>
    <w:rsid w:val="00A523B2"/>
    <w:rsid w:val="00A57185"/>
    <w:rsid w:val="00A624FC"/>
    <w:rsid w:val="00A67367"/>
    <w:rsid w:val="00A70C9F"/>
    <w:rsid w:val="00A720F7"/>
    <w:rsid w:val="00A7387E"/>
    <w:rsid w:val="00A81419"/>
    <w:rsid w:val="00A876E7"/>
    <w:rsid w:val="00A94746"/>
    <w:rsid w:val="00A9761C"/>
    <w:rsid w:val="00AA1867"/>
    <w:rsid w:val="00AA266D"/>
    <w:rsid w:val="00AA4EA5"/>
    <w:rsid w:val="00AA4FA7"/>
    <w:rsid w:val="00AB07D3"/>
    <w:rsid w:val="00AB38A6"/>
    <w:rsid w:val="00AC081B"/>
    <w:rsid w:val="00AC3A91"/>
    <w:rsid w:val="00AC53C1"/>
    <w:rsid w:val="00AC63F2"/>
    <w:rsid w:val="00AC72A8"/>
    <w:rsid w:val="00AD3653"/>
    <w:rsid w:val="00AD3F4D"/>
    <w:rsid w:val="00AD54A6"/>
    <w:rsid w:val="00AD5ED4"/>
    <w:rsid w:val="00AD7E51"/>
    <w:rsid w:val="00AE11AD"/>
    <w:rsid w:val="00AF2F55"/>
    <w:rsid w:val="00AF5C75"/>
    <w:rsid w:val="00B00FAA"/>
    <w:rsid w:val="00B1192E"/>
    <w:rsid w:val="00B13125"/>
    <w:rsid w:val="00B14668"/>
    <w:rsid w:val="00B16DAA"/>
    <w:rsid w:val="00B16E6B"/>
    <w:rsid w:val="00B22CA3"/>
    <w:rsid w:val="00B307EC"/>
    <w:rsid w:val="00B31DB3"/>
    <w:rsid w:val="00B31E9F"/>
    <w:rsid w:val="00B33F26"/>
    <w:rsid w:val="00B347ED"/>
    <w:rsid w:val="00B4442F"/>
    <w:rsid w:val="00B50AC9"/>
    <w:rsid w:val="00B51270"/>
    <w:rsid w:val="00B56CDC"/>
    <w:rsid w:val="00B57A60"/>
    <w:rsid w:val="00B70FE1"/>
    <w:rsid w:val="00B732F2"/>
    <w:rsid w:val="00B97537"/>
    <w:rsid w:val="00BA6093"/>
    <w:rsid w:val="00BB22BB"/>
    <w:rsid w:val="00BB2778"/>
    <w:rsid w:val="00BB612A"/>
    <w:rsid w:val="00BC444C"/>
    <w:rsid w:val="00BC5896"/>
    <w:rsid w:val="00BD5530"/>
    <w:rsid w:val="00C3492D"/>
    <w:rsid w:val="00C37CC9"/>
    <w:rsid w:val="00C40665"/>
    <w:rsid w:val="00C43E24"/>
    <w:rsid w:val="00C503D5"/>
    <w:rsid w:val="00C5184A"/>
    <w:rsid w:val="00C547B2"/>
    <w:rsid w:val="00C5730B"/>
    <w:rsid w:val="00C61725"/>
    <w:rsid w:val="00C63315"/>
    <w:rsid w:val="00C644DF"/>
    <w:rsid w:val="00C7032E"/>
    <w:rsid w:val="00C7500C"/>
    <w:rsid w:val="00C75F3F"/>
    <w:rsid w:val="00C85094"/>
    <w:rsid w:val="00C96ACB"/>
    <w:rsid w:val="00CA3EF2"/>
    <w:rsid w:val="00CB1942"/>
    <w:rsid w:val="00CC7C6B"/>
    <w:rsid w:val="00CD109E"/>
    <w:rsid w:val="00CD14CC"/>
    <w:rsid w:val="00CD2DED"/>
    <w:rsid w:val="00CE0643"/>
    <w:rsid w:val="00CE5A1D"/>
    <w:rsid w:val="00CE71E5"/>
    <w:rsid w:val="00CF55FF"/>
    <w:rsid w:val="00D04AD2"/>
    <w:rsid w:val="00D04D0A"/>
    <w:rsid w:val="00D063E5"/>
    <w:rsid w:val="00D07881"/>
    <w:rsid w:val="00D07EB4"/>
    <w:rsid w:val="00D13517"/>
    <w:rsid w:val="00D174E7"/>
    <w:rsid w:val="00D23082"/>
    <w:rsid w:val="00D2491C"/>
    <w:rsid w:val="00D3105D"/>
    <w:rsid w:val="00D33DFD"/>
    <w:rsid w:val="00D46CD4"/>
    <w:rsid w:val="00D55EA9"/>
    <w:rsid w:val="00D60070"/>
    <w:rsid w:val="00D67135"/>
    <w:rsid w:val="00D707BB"/>
    <w:rsid w:val="00D764BB"/>
    <w:rsid w:val="00D9057A"/>
    <w:rsid w:val="00D92B2F"/>
    <w:rsid w:val="00D93016"/>
    <w:rsid w:val="00D93AF7"/>
    <w:rsid w:val="00D95606"/>
    <w:rsid w:val="00DA7513"/>
    <w:rsid w:val="00DB11D5"/>
    <w:rsid w:val="00DB4636"/>
    <w:rsid w:val="00DC16F5"/>
    <w:rsid w:val="00DC1E68"/>
    <w:rsid w:val="00DC5956"/>
    <w:rsid w:val="00DD34E3"/>
    <w:rsid w:val="00DE1CF2"/>
    <w:rsid w:val="00DF475D"/>
    <w:rsid w:val="00DF538B"/>
    <w:rsid w:val="00E20EBD"/>
    <w:rsid w:val="00E22AF0"/>
    <w:rsid w:val="00E236B1"/>
    <w:rsid w:val="00E30DD7"/>
    <w:rsid w:val="00E33333"/>
    <w:rsid w:val="00E43182"/>
    <w:rsid w:val="00E4482C"/>
    <w:rsid w:val="00E5162F"/>
    <w:rsid w:val="00E52408"/>
    <w:rsid w:val="00E5259A"/>
    <w:rsid w:val="00E57E05"/>
    <w:rsid w:val="00E65098"/>
    <w:rsid w:val="00E6675A"/>
    <w:rsid w:val="00E75CB3"/>
    <w:rsid w:val="00E773B6"/>
    <w:rsid w:val="00E83F62"/>
    <w:rsid w:val="00EA3919"/>
    <w:rsid w:val="00EA3BBF"/>
    <w:rsid w:val="00EB0885"/>
    <w:rsid w:val="00EB435F"/>
    <w:rsid w:val="00EC4075"/>
    <w:rsid w:val="00ED6F3A"/>
    <w:rsid w:val="00ED70D1"/>
    <w:rsid w:val="00EE0122"/>
    <w:rsid w:val="00EE1E90"/>
    <w:rsid w:val="00EE2D74"/>
    <w:rsid w:val="00EE3378"/>
    <w:rsid w:val="00EF16AB"/>
    <w:rsid w:val="00EF2C2F"/>
    <w:rsid w:val="00EF41CE"/>
    <w:rsid w:val="00EF4A3B"/>
    <w:rsid w:val="00F00960"/>
    <w:rsid w:val="00F13B1D"/>
    <w:rsid w:val="00F16677"/>
    <w:rsid w:val="00F177F3"/>
    <w:rsid w:val="00F22C53"/>
    <w:rsid w:val="00F25128"/>
    <w:rsid w:val="00F25B0F"/>
    <w:rsid w:val="00F2767A"/>
    <w:rsid w:val="00F36CDA"/>
    <w:rsid w:val="00F373D0"/>
    <w:rsid w:val="00F44A41"/>
    <w:rsid w:val="00F455F8"/>
    <w:rsid w:val="00F50742"/>
    <w:rsid w:val="00F6363D"/>
    <w:rsid w:val="00F71804"/>
    <w:rsid w:val="00F72795"/>
    <w:rsid w:val="00F72899"/>
    <w:rsid w:val="00F72A5E"/>
    <w:rsid w:val="00F736FE"/>
    <w:rsid w:val="00F87C38"/>
    <w:rsid w:val="00FA7521"/>
    <w:rsid w:val="00FD5142"/>
    <w:rsid w:val="00FD64B2"/>
    <w:rsid w:val="00FE1499"/>
    <w:rsid w:val="00FE642D"/>
    <w:rsid w:val="00FF2F86"/>
    <w:rsid w:val="00FF71E5"/>
    <w:rsid w:val="00FF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1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71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11B"/>
  </w:style>
  <w:style w:type="paragraph" w:styleId="Footer">
    <w:name w:val="footer"/>
    <w:basedOn w:val="Normal"/>
    <w:link w:val="FooterChar"/>
    <w:uiPriority w:val="99"/>
    <w:unhideWhenUsed/>
    <w:rsid w:val="009571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11B"/>
  </w:style>
  <w:style w:type="paragraph" w:styleId="BalloonText">
    <w:name w:val="Balloon Text"/>
    <w:basedOn w:val="Normal"/>
    <w:link w:val="BalloonTextChar"/>
    <w:uiPriority w:val="99"/>
    <w:semiHidden/>
    <w:unhideWhenUsed/>
    <w:rsid w:val="00A10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CD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13E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3E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3E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E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E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13EE1"/>
    <w:pPr>
      <w:spacing w:after="0" w:line="240" w:lineRule="auto"/>
    </w:pPr>
  </w:style>
  <w:style w:type="table" w:styleId="TableGrid">
    <w:name w:val="Table Grid"/>
    <w:basedOn w:val="TableNormal"/>
    <w:uiPriority w:val="59"/>
    <w:rsid w:val="00F63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23182E"/>
  </w:style>
  <w:style w:type="paragraph" w:styleId="EndnoteText">
    <w:name w:val="endnote text"/>
    <w:basedOn w:val="Normal"/>
    <w:link w:val="EndnoteTextChar"/>
    <w:uiPriority w:val="99"/>
    <w:semiHidden/>
    <w:unhideWhenUsed/>
    <w:rsid w:val="00DA751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A751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A7513"/>
    <w:rPr>
      <w:vertAlign w:val="superscript"/>
    </w:rPr>
  </w:style>
  <w:style w:type="paragraph" w:styleId="FootnoteText">
    <w:name w:val="footnote text"/>
    <w:aliases w:val="fn,FOOTNOTES,single space,footnote text,Footnote Text Char Char,footnote,Texto nota pie IIRSA,Texto de rodapé,nota_rodapé,nota de rodapé,texto de nota al pie,Texto nota pie Car Car Car Car Car Car Car Car,foottextfra,F"/>
    <w:basedOn w:val="Normal"/>
    <w:link w:val="FootnoteTextChar"/>
    <w:uiPriority w:val="99"/>
    <w:unhideWhenUsed/>
    <w:rsid w:val="00DA75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n Char,FOOTNOTES Char,single space Char,footnote text Char,Footnote Text Char Char Char,footnote Char,Texto nota pie IIRSA Char,Texto de rodapé Char,nota_rodapé Char,nota de rodapé Char,texto de nota al pie Char,foottextfra Char"/>
    <w:basedOn w:val="DefaultParagraphFont"/>
    <w:link w:val="FootnoteText"/>
    <w:uiPriority w:val="99"/>
    <w:rsid w:val="00DA75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A751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55EF1"/>
    <w:rPr>
      <w:color w:val="0000FF" w:themeColor="hyperlink"/>
      <w:u w:val="single"/>
    </w:rPr>
  </w:style>
  <w:style w:type="paragraph" w:customStyle="1" w:styleId="Chapter">
    <w:name w:val="Chapter"/>
    <w:basedOn w:val="Normal"/>
    <w:next w:val="Normal"/>
    <w:uiPriority w:val="99"/>
    <w:rsid w:val="003A32D9"/>
    <w:pPr>
      <w:numPr>
        <w:numId w:val="20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0"/>
    </w:rPr>
  </w:style>
  <w:style w:type="paragraph" w:customStyle="1" w:styleId="Paragraph">
    <w:name w:val="Paragraph"/>
    <w:aliases w:val="paragraph,p,PARAGRAPH,PG,pa,at"/>
    <w:basedOn w:val="BodyTextIndent"/>
    <w:link w:val="ParagraphCar1"/>
    <w:rsid w:val="003A32D9"/>
    <w:pPr>
      <w:numPr>
        <w:ilvl w:val="1"/>
        <w:numId w:val="20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ubpar">
    <w:name w:val="subpar"/>
    <w:basedOn w:val="BodyTextIndent3"/>
    <w:rsid w:val="003A32D9"/>
    <w:pPr>
      <w:numPr>
        <w:ilvl w:val="2"/>
        <w:numId w:val="20"/>
      </w:numPr>
      <w:tabs>
        <w:tab w:val="clear" w:pos="2592"/>
      </w:tabs>
      <w:spacing w:before="120" w:line="24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sz w:val="24"/>
    </w:rPr>
  </w:style>
  <w:style w:type="paragraph" w:customStyle="1" w:styleId="SubSubPar">
    <w:name w:val="SubSubPar"/>
    <w:basedOn w:val="subpar"/>
    <w:rsid w:val="003A32D9"/>
    <w:pPr>
      <w:numPr>
        <w:ilvl w:val="3"/>
      </w:numPr>
      <w:tabs>
        <w:tab w:val="clear" w:pos="3024"/>
        <w:tab w:val="left" w:pos="0"/>
      </w:tabs>
      <w:ind w:left="2880" w:hanging="360"/>
    </w:pPr>
  </w:style>
  <w:style w:type="character" w:customStyle="1" w:styleId="ParagraphCar1">
    <w:name w:val="Paragraph Car1"/>
    <w:link w:val="Paragraph"/>
    <w:locked/>
    <w:rsid w:val="003A32D9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A32D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A32D9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A32D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A32D9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1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71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11B"/>
  </w:style>
  <w:style w:type="paragraph" w:styleId="Footer">
    <w:name w:val="footer"/>
    <w:basedOn w:val="Normal"/>
    <w:link w:val="FooterChar"/>
    <w:uiPriority w:val="99"/>
    <w:unhideWhenUsed/>
    <w:rsid w:val="009571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11B"/>
  </w:style>
  <w:style w:type="paragraph" w:styleId="BalloonText">
    <w:name w:val="Balloon Text"/>
    <w:basedOn w:val="Normal"/>
    <w:link w:val="BalloonTextChar"/>
    <w:uiPriority w:val="99"/>
    <w:semiHidden/>
    <w:unhideWhenUsed/>
    <w:rsid w:val="00A10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CD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13E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3E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3E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E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E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13EE1"/>
    <w:pPr>
      <w:spacing w:after="0" w:line="240" w:lineRule="auto"/>
    </w:pPr>
  </w:style>
  <w:style w:type="table" w:styleId="TableGrid">
    <w:name w:val="Table Grid"/>
    <w:basedOn w:val="TableNormal"/>
    <w:uiPriority w:val="59"/>
    <w:rsid w:val="00F63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23182E"/>
  </w:style>
  <w:style w:type="paragraph" w:styleId="EndnoteText">
    <w:name w:val="endnote text"/>
    <w:basedOn w:val="Normal"/>
    <w:link w:val="EndnoteTextChar"/>
    <w:uiPriority w:val="99"/>
    <w:semiHidden/>
    <w:unhideWhenUsed/>
    <w:rsid w:val="00DA751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A751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A7513"/>
    <w:rPr>
      <w:vertAlign w:val="superscript"/>
    </w:rPr>
  </w:style>
  <w:style w:type="paragraph" w:styleId="FootnoteText">
    <w:name w:val="footnote text"/>
    <w:aliases w:val="fn,FOOTNOTES,single space,footnote text,Footnote Text Char Char,footnote,Texto nota pie IIRSA,Texto de rodapé,nota_rodapé,nota de rodapé,texto de nota al pie,Texto nota pie Car Car Car Car Car Car Car Car,foottextfra,F"/>
    <w:basedOn w:val="Normal"/>
    <w:link w:val="FootnoteTextChar"/>
    <w:uiPriority w:val="99"/>
    <w:unhideWhenUsed/>
    <w:rsid w:val="00DA75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n Char,FOOTNOTES Char,single space Char,footnote text Char,Footnote Text Char Char Char,footnote Char,Texto nota pie IIRSA Char,Texto de rodapé Char,nota_rodapé Char,nota de rodapé Char,texto de nota al pie Char,foottextfra Char"/>
    <w:basedOn w:val="DefaultParagraphFont"/>
    <w:link w:val="FootnoteText"/>
    <w:uiPriority w:val="99"/>
    <w:rsid w:val="00DA75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A751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55EF1"/>
    <w:rPr>
      <w:color w:val="0000FF" w:themeColor="hyperlink"/>
      <w:u w:val="single"/>
    </w:rPr>
  </w:style>
  <w:style w:type="paragraph" w:customStyle="1" w:styleId="Chapter">
    <w:name w:val="Chapter"/>
    <w:basedOn w:val="Normal"/>
    <w:next w:val="Normal"/>
    <w:uiPriority w:val="99"/>
    <w:rsid w:val="003A32D9"/>
    <w:pPr>
      <w:numPr>
        <w:numId w:val="20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0"/>
    </w:rPr>
  </w:style>
  <w:style w:type="paragraph" w:customStyle="1" w:styleId="Paragraph">
    <w:name w:val="Paragraph"/>
    <w:aliases w:val="paragraph,p,PARAGRAPH,PG,pa,at"/>
    <w:basedOn w:val="BodyTextIndent"/>
    <w:link w:val="ParagraphCar1"/>
    <w:rsid w:val="003A32D9"/>
    <w:pPr>
      <w:numPr>
        <w:ilvl w:val="1"/>
        <w:numId w:val="20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ubpar">
    <w:name w:val="subpar"/>
    <w:basedOn w:val="BodyTextIndent3"/>
    <w:rsid w:val="003A32D9"/>
    <w:pPr>
      <w:numPr>
        <w:ilvl w:val="2"/>
        <w:numId w:val="20"/>
      </w:numPr>
      <w:tabs>
        <w:tab w:val="clear" w:pos="2592"/>
      </w:tabs>
      <w:spacing w:before="120" w:line="24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sz w:val="24"/>
    </w:rPr>
  </w:style>
  <w:style w:type="paragraph" w:customStyle="1" w:styleId="SubSubPar">
    <w:name w:val="SubSubPar"/>
    <w:basedOn w:val="subpar"/>
    <w:rsid w:val="003A32D9"/>
    <w:pPr>
      <w:numPr>
        <w:ilvl w:val="3"/>
      </w:numPr>
      <w:tabs>
        <w:tab w:val="clear" w:pos="3024"/>
        <w:tab w:val="left" w:pos="0"/>
      </w:tabs>
      <w:ind w:left="2880" w:hanging="360"/>
    </w:pPr>
  </w:style>
  <w:style w:type="character" w:customStyle="1" w:styleId="ParagraphCar1">
    <w:name w:val="Paragraph Car1"/>
    <w:link w:val="Paragraph"/>
    <w:locked/>
    <w:rsid w:val="003A32D9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A32D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A32D9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A32D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A32D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2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1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9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5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09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52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747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503815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66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3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3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37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32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797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42463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5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2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2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8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0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171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237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52097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91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19" Type="http://schemas.openxmlformats.org/officeDocument/2006/relationships/customXml" Target="../customXml/item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F026EB1C5C82D24A87821E86E93BBC30" ma:contentTypeVersion="6" ma:contentTypeDescription="The base project type from which other project content types inherit their information." ma:contentTypeScope="" ma:versionID="e890055669a55f2e6f6bdc314d79af9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4ae8e40f2965d50795c8bf0b96be33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40324180</IDBDocs_x0020_Number>
    <TaxCatchAll xmlns="cdc7663a-08f0-4737-9e8c-148ce897a09c">
      <Value>32</Value>
      <Value>24</Value>
      <Value>1</Value>
    </TaxCatchAll>
    <Phase xmlns="cdc7663a-08f0-4737-9e8c-148ce897a09c" xsi:nil="true"/>
    <SISCOR_x0020_Number xmlns="cdc7663a-08f0-4737-9e8c-148ce897a09c" xsi:nil="true"/>
    <Division_x0020_or_x0020_Unit xmlns="cdc7663a-08f0-4737-9e8c-148ce897a09c">INE/TSP</Division_x0020_or_x0020_Unit>
    <Approval_x0020_Number xmlns="cdc7663a-08f0-4737-9e8c-148ce897a09c" xsi:nil="true"/>
    <Document_x0020_Author xmlns="cdc7663a-08f0-4737-9e8c-148ce897a09c">Rodriguez Porcel, Manuel</Document_x0020_Author>
    <Fiscal_x0020_Year_x0020_IDB xmlns="cdc7663a-08f0-4737-9e8c-148ce897a09c">2016</Fiscal_x0020_Year_x0020_IDB>
    <Other_x0020_Author xmlns="cdc7663a-08f0-4737-9e8c-148ce897a09c" xsi:nil="true"/>
    <Project_x0020_Number xmlns="cdc7663a-08f0-4737-9e8c-148ce897a09c">CO-T1416</Project_x0020_Number>
    <Package_x0020_Code xmlns="cdc7663a-08f0-4737-9e8c-148ce897a09c" xsi:nil="true"/>
    <Key_x0020_Document xmlns="cdc7663a-08f0-4737-9e8c-148ce897a09c">false</Key_x0020_Document>
    <Migration_x0020_Info xmlns="cdc7663a-08f0-4737-9e8c-148ce897a09c">MS WORDTC-ABSTRACT TC Abstract0N</Migration_x0020_Info>
    <Operation_x0020_Type xmlns="cdc7663a-08f0-4737-9e8c-148ce897a09c" xsi:nil="true"/>
    <Document_x0020_Language_x0020_IDB xmlns="cdc7663a-08f0-4737-9e8c-148ce897a09c">Spanish</Document_x0020_Language_x0020_IDB>
    <Identifier xmlns="cdc7663a-08f0-4737-9e8c-148ce897a09c">Virginia Navas #2457 MAIN DOC</Identifier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 Abstract</TermName>
          <TermId xmlns="http://schemas.microsoft.com/office/infopath/2007/PartnerControls">7d12d2c9-3b07-4a95-a4b4-99c2881b0472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Colombia</TermName>
          <TermId xmlns="http://schemas.microsoft.com/office/infopath/2007/PartnerControls">c7d386d6-75f3-4fc0-bde8-e021ccd68f5c</TermId>
        </TermInfo>
      </Terms>
    </ic46d7e087fd4a108fb86518ca413cc6>
    <From_x003a_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To_x003a_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EZSHARE-606554677-12</_dlc_DocId>
    <_dlc_DocIdUrl xmlns="cdc7663a-08f0-4737-9e8c-148ce897a09c">
      <Url>https://idbg.sharepoint.com/teams/EZ-CO-TCP/CO-T1416/_layouts/15/DocIdRedir.aspx?ID=EZSHARE-606554677-12</Url>
      <Description>EZSHARE-606554677-12</Description>
    </_dlc_DocIdUrl>
    <Record_x0020_Number xmlns="cdc7663a-08f0-4737-9e8c-148ce897a09c">R0000068702</Record_x0020_Number>
  </documentManagement>
</p:properti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F026EB1C5C82D24A87821E86E93BBC30" ma:contentTypeVersion="21" ma:contentTypeDescription="The base project type from which other project content types inherit their information." ma:contentTypeScope="" ma:versionID="8eb55d57a92f53942ff9e807d86075f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226591c17a5fd9591ac09c8f5aa647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A2D20692-56F7-47F2-AE0B-0546BE8214F7}"/>
</file>

<file path=customXml/itemProps2.xml><?xml version="1.0" encoding="utf-8"?>
<ds:datastoreItem xmlns:ds="http://schemas.openxmlformats.org/officeDocument/2006/customXml" ds:itemID="{1061B793-7C9B-4C36-8ACF-06B5EE8CF632}"/>
</file>

<file path=customXml/itemProps3.xml><?xml version="1.0" encoding="utf-8"?>
<ds:datastoreItem xmlns:ds="http://schemas.openxmlformats.org/officeDocument/2006/customXml" ds:itemID="{48D0EBF0-D752-4780-AD38-E717C57AB934}"/>
</file>

<file path=customXml/itemProps4.xml><?xml version="1.0" encoding="utf-8"?>
<ds:datastoreItem xmlns:ds="http://schemas.openxmlformats.org/officeDocument/2006/customXml" ds:itemID="{4997355C-E5BE-4C4F-9A8D-CFD5636D556A}"/>
</file>

<file path=customXml/itemProps5.xml><?xml version="1.0" encoding="utf-8"?>
<ds:datastoreItem xmlns:ds="http://schemas.openxmlformats.org/officeDocument/2006/customXml" ds:itemID="{F455836C-5FF3-424B-B53B-7C718CE56097}"/>
</file>

<file path=customXml/itemProps6.xml><?xml version="1.0" encoding="utf-8"?>
<ds:datastoreItem xmlns:ds="http://schemas.openxmlformats.org/officeDocument/2006/customXml" ds:itemID="{BF2454E7-F4CE-4D69-AD3B-565EB8AA829C}"/>
</file>

<file path=customXml/itemProps7.xml><?xml version="1.0" encoding="utf-8"?>
<ds:datastoreItem xmlns:ds="http://schemas.openxmlformats.org/officeDocument/2006/customXml" ds:itemID="{8C8A61AB-7A6D-4D51-A10C-58B6C2F3E500}"/>
</file>

<file path=customXml/itemProps8.xml><?xml version="1.0" encoding="utf-8"?>
<ds:datastoreItem xmlns:ds="http://schemas.openxmlformats.org/officeDocument/2006/customXml" ds:itemID="{E1C6FEC5-92D4-4649-BE73-6A23120A66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1489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9958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Colombia_ Apoyo a la preparación e implementación del Programa de Asociaciones Público Privadas (APP) de Colombia</dc:title>
  <dc:creator>Yolanda Strachan</dc:creator>
  <cp:lastModifiedBy>Test</cp:lastModifiedBy>
  <cp:revision>2</cp:revision>
  <cp:lastPrinted>2012-08-24T17:26:00Z</cp:lastPrinted>
  <dcterms:created xsi:type="dcterms:W3CDTF">2016-06-06T21:38:00Z</dcterms:created>
  <dcterms:modified xsi:type="dcterms:W3CDTF">2016-06-06T21:38:00Z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0x010100ACF722E9F6B0B149B0CD8BE2560A667200F026EB1C5C82D24A87821E86E93BBC30</vt:lpwstr>
  </property>
  <property fmtid="{D5CDD505-2E9C-101B-9397-08002B2CF9AE}" pid="3" name="TaxKeyword">
    <vt:lpwstr/>
  </property>
  <property fmtid="{D5CDD505-2E9C-101B-9397-08002B2CF9AE}" pid="4" name="Function Operations IDB">
    <vt:lpwstr>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18;#TC Abstract|7d12d2c9-3b07-4a95-a4b4-99c2881b0472</vt:lpwstr>
  </property>
  <property fmtid="{D5CDD505-2E9C-101B-9397-08002B2CF9AE}" pid="9" name="Country">
    <vt:lpwstr>32;#Colombia|c7d386d6-75f3-4fc0-bde8-e021ccd68f5c</vt:lpwstr>
  </property>
  <property fmtid="{D5CDD505-2E9C-101B-9397-08002B2CF9AE}" pid="10" name="Fund IDB">
    <vt:lpwstr/>
  </property>
  <property fmtid="{D5CDD505-2E9C-101B-9397-08002B2CF9AE}" pid="11" name="Series_x0020_Operations_x0020_IDB">
    <vt:lpwstr>18;#TC Abstract|7d12d2c9-3b07-4a95-a4b4-99c2881b0472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  <property fmtid="{D5CDD505-2E9C-101B-9397-08002B2CF9AE}" pid="16" name="_dlc_DocIdItemGuid">
    <vt:lpwstr>c1cbed9b-0674-4096-874b-ed559c7f711a</vt:lpwstr>
  </property>
  <property fmtid="{D5CDD505-2E9C-101B-9397-08002B2CF9AE}" pid="17" name="Abstract">
    <vt:lpwstr/>
  </property>
  <property fmtid="{D5CDD505-2E9C-101B-9397-08002B2CF9AE}" pid="18" name="Disclosure Activity">
    <vt:lpwstr> TC Abstract</vt:lpwstr>
  </property>
  <property fmtid="{D5CDD505-2E9C-101B-9397-08002B2CF9AE}" pid="19" name="Region">
    <vt:lpwstr/>
  </property>
  <property fmtid="{D5CDD505-2E9C-101B-9397-08002B2CF9AE}" pid="20" name="Publication Type">
    <vt:lpwstr/>
  </property>
  <property fmtid="{D5CDD505-2E9C-101B-9397-08002B2CF9AE}" pid="21" name="Webtopic">
    <vt:lpwstr>Transportation</vt:lpwstr>
  </property>
  <property fmtid="{D5CDD505-2E9C-101B-9397-08002B2CF9AE}" pid="22" name="Publishing House">
    <vt:lpwstr/>
  </property>
  <property fmtid="{D5CDD505-2E9C-101B-9397-08002B2CF9AE}" pid="23" name="Disclosed">
    <vt:bool>false</vt:bool>
  </property>
  <property fmtid="{D5CDD505-2E9C-101B-9397-08002B2CF9AE}" pid="24" name="KP Topics">
    <vt:lpwstr/>
  </property>
  <property fmtid="{D5CDD505-2E9C-101B-9397-08002B2CF9AE}" pid="25" name="Editor1">
    <vt:lpwstr/>
  </property>
  <property fmtid="{D5CDD505-2E9C-101B-9397-08002B2CF9AE}" pid="26" name="ATI Undisclose Document Workflow">
    <vt:lpwstr/>
  </property>
  <property fmtid="{D5CDD505-2E9C-101B-9397-08002B2CF9AE}" pid="27" name="ATI Disclose Document Workflow v5">
    <vt:lpwstr/>
  </property>
</Properties>
</file>