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4CB74C" w14:textId="77777777" w:rsidR="00C954BD" w:rsidRPr="00A43491" w:rsidRDefault="00C954BD" w:rsidP="00D56901">
      <w:pPr>
        <w:pStyle w:val="Title"/>
        <w:rPr>
          <w:rFonts w:ascii="Arial" w:hAnsi="Arial" w:cs="Arial"/>
        </w:rPr>
      </w:pPr>
    </w:p>
    <w:p w14:paraId="54BDC39A" w14:textId="77777777" w:rsidR="00F52C27" w:rsidRPr="00A43491" w:rsidRDefault="00F52C27" w:rsidP="00673134">
      <w:pPr>
        <w:pStyle w:val="Title"/>
        <w:tabs>
          <w:tab w:val="clear" w:pos="1440"/>
          <w:tab w:val="clear" w:pos="3060"/>
        </w:tabs>
        <w:spacing w:line="276" w:lineRule="auto"/>
        <w:outlineLvl w:val="9"/>
        <w:rPr>
          <w:rFonts w:ascii="Arial" w:hAnsi="Arial" w:cs="Arial"/>
          <w:smallCaps/>
          <w:sz w:val="22"/>
          <w:szCs w:val="22"/>
        </w:rPr>
      </w:pPr>
    </w:p>
    <w:p w14:paraId="7220C2DC" w14:textId="6DAE59F3" w:rsidR="00941F61" w:rsidRPr="008174E3" w:rsidRDefault="00941F61" w:rsidP="00673134">
      <w:pPr>
        <w:pStyle w:val="Title"/>
        <w:tabs>
          <w:tab w:val="clear" w:pos="1440"/>
          <w:tab w:val="clear" w:pos="3060"/>
        </w:tabs>
        <w:spacing w:line="276" w:lineRule="auto"/>
        <w:outlineLvl w:val="9"/>
        <w:rPr>
          <w:rFonts w:ascii="Arial" w:hAnsi="Arial" w:cs="Arial"/>
          <w:smallCaps/>
          <w:sz w:val="22"/>
          <w:szCs w:val="22"/>
        </w:rPr>
      </w:pPr>
      <w:r w:rsidRPr="008174E3">
        <w:rPr>
          <w:rFonts w:ascii="Arial" w:hAnsi="Arial" w:cs="Arial"/>
          <w:smallCaps/>
          <w:sz w:val="22"/>
          <w:szCs w:val="22"/>
        </w:rPr>
        <w:t>Document</w:t>
      </w:r>
      <w:r w:rsidR="00996CED" w:rsidRPr="008174E3">
        <w:rPr>
          <w:rFonts w:ascii="Arial" w:hAnsi="Arial" w:cs="Arial"/>
          <w:smallCaps/>
          <w:sz w:val="22"/>
          <w:szCs w:val="22"/>
        </w:rPr>
        <w:t>o del Banco Interamericano de Desarrollo</w:t>
      </w:r>
    </w:p>
    <w:p w14:paraId="6DE07378" w14:textId="77777777" w:rsidR="00941F61" w:rsidRPr="008174E3" w:rsidRDefault="00941F61" w:rsidP="00673134">
      <w:pPr>
        <w:pStyle w:val="ListParagraph"/>
        <w:spacing w:before="120"/>
        <w:ind w:left="0"/>
        <w:jc w:val="center"/>
        <w:rPr>
          <w:rFonts w:ascii="Arial" w:hAnsi="Arial" w:cs="Arial"/>
          <w:b/>
        </w:rPr>
      </w:pPr>
    </w:p>
    <w:p w14:paraId="56BAC50B" w14:textId="77777777" w:rsidR="00941F61" w:rsidRPr="008174E3" w:rsidRDefault="00941F61" w:rsidP="00673134">
      <w:pPr>
        <w:tabs>
          <w:tab w:val="left" w:pos="1440"/>
          <w:tab w:val="left" w:pos="3060"/>
        </w:tabs>
        <w:jc w:val="center"/>
        <w:rPr>
          <w:rFonts w:ascii="Arial" w:hAnsi="Arial" w:cs="Arial"/>
          <w:b/>
          <w:smallCaps/>
        </w:rPr>
      </w:pPr>
    </w:p>
    <w:p w14:paraId="562619FA" w14:textId="77777777" w:rsidR="00941F61" w:rsidRPr="008174E3" w:rsidRDefault="00941F61" w:rsidP="00673134">
      <w:pPr>
        <w:tabs>
          <w:tab w:val="left" w:pos="1440"/>
          <w:tab w:val="left" w:pos="3060"/>
        </w:tabs>
        <w:jc w:val="center"/>
        <w:rPr>
          <w:rFonts w:ascii="Arial" w:hAnsi="Arial" w:cs="Arial"/>
          <w:b/>
          <w:smallCaps/>
        </w:rPr>
      </w:pPr>
    </w:p>
    <w:p w14:paraId="0EBF63A4" w14:textId="77777777" w:rsidR="00BF3AE7" w:rsidRPr="008174E3" w:rsidRDefault="00BF3AE7" w:rsidP="00673134">
      <w:pPr>
        <w:tabs>
          <w:tab w:val="left" w:pos="1440"/>
          <w:tab w:val="left" w:pos="3060"/>
        </w:tabs>
        <w:jc w:val="center"/>
        <w:rPr>
          <w:rFonts w:ascii="Arial" w:hAnsi="Arial" w:cs="Arial"/>
          <w:b/>
          <w:smallCaps/>
        </w:rPr>
      </w:pPr>
    </w:p>
    <w:p w14:paraId="5F5E398E" w14:textId="77777777" w:rsidR="0078661C" w:rsidRPr="008174E3" w:rsidRDefault="0078661C" w:rsidP="00673134">
      <w:pPr>
        <w:tabs>
          <w:tab w:val="left" w:pos="1440"/>
          <w:tab w:val="left" w:pos="3060"/>
        </w:tabs>
        <w:jc w:val="center"/>
        <w:rPr>
          <w:rFonts w:ascii="Arial" w:hAnsi="Arial" w:cs="Arial"/>
          <w:b/>
          <w:smallCaps/>
        </w:rPr>
      </w:pPr>
    </w:p>
    <w:p w14:paraId="3CD2F885" w14:textId="721AD16C" w:rsidR="0078661C" w:rsidRPr="008174E3" w:rsidRDefault="0078661C" w:rsidP="00673134">
      <w:pPr>
        <w:tabs>
          <w:tab w:val="left" w:pos="1440"/>
          <w:tab w:val="left" w:pos="3060"/>
        </w:tabs>
        <w:jc w:val="center"/>
        <w:rPr>
          <w:rFonts w:ascii="Arial" w:hAnsi="Arial" w:cs="Arial"/>
          <w:b/>
          <w:smallCaps/>
        </w:rPr>
      </w:pPr>
    </w:p>
    <w:p w14:paraId="09E11DB7" w14:textId="10FC0120" w:rsidR="00F52C27" w:rsidRPr="008174E3" w:rsidRDefault="00F52C27" w:rsidP="00673134">
      <w:pPr>
        <w:tabs>
          <w:tab w:val="left" w:pos="1440"/>
          <w:tab w:val="left" w:pos="3060"/>
        </w:tabs>
        <w:jc w:val="center"/>
        <w:rPr>
          <w:rFonts w:ascii="Arial" w:hAnsi="Arial" w:cs="Arial"/>
          <w:b/>
          <w:smallCaps/>
        </w:rPr>
      </w:pPr>
    </w:p>
    <w:p w14:paraId="2EC3F4FA" w14:textId="77777777" w:rsidR="00F52C27" w:rsidRPr="008174E3" w:rsidRDefault="00F52C27" w:rsidP="00673134">
      <w:pPr>
        <w:tabs>
          <w:tab w:val="left" w:pos="1440"/>
          <w:tab w:val="left" w:pos="3060"/>
        </w:tabs>
        <w:jc w:val="center"/>
        <w:rPr>
          <w:rFonts w:ascii="Arial" w:hAnsi="Arial" w:cs="Arial"/>
          <w:b/>
          <w:smallCaps/>
        </w:rPr>
      </w:pPr>
    </w:p>
    <w:p w14:paraId="0494CA6E" w14:textId="77777777" w:rsidR="00BF3AE7" w:rsidRPr="008174E3" w:rsidRDefault="00BF3AE7" w:rsidP="00673134">
      <w:pPr>
        <w:tabs>
          <w:tab w:val="left" w:pos="1440"/>
          <w:tab w:val="left" w:pos="3060"/>
        </w:tabs>
        <w:jc w:val="center"/>
        <w:rPr>
          <w:rFonts w:ascii="Arial" w:hAnsi="Arial" w:cs="Arial"/>
          <w:b/>
          <w:smallCaps/>
        </w:rPr>
      </w:pPr>
    </w:p>
    <w:p w14:paraId="5B2695B5" w14:textId="3CC38251" w:rsidR="00941F61" w:rsidRPr="008174E3" w:rsidRDefault="00D56901" w:rsidP="00673134">
      <w:pPr>
        <w:tabs>
          <w:tab w:val="left" w:pos="1440"/>
          <w:tab w:val="left" w:pos="3060"/>
        </w:tabs>
        <w:jc w:val="center"/>
        <w:rPr>
          <w:rFonts w:ascii="Arial" w:hAnsi="Arial" w:cs="Arial"/>
          <w:b/>
          <w:smallCaps/>
        </w:rPr>
      </w:pPr>
      <w:r w:rsidRPr="008174E3">
        <w:rPr>
          <w:rFonts w:ascii="Arial" w:hAnsi="Arial" w:cs="Arial"/>
          <w:b/>
          <w:smallCaps/>
        </w:rPr>
        <w:t>MEXICO</w:t>
      </w:r>
    </w:p>
    <w:p w14:paraId="724A1FFC" w14:textId="64A8FD34" w:rsidR="00941F61" w:rsidRPr="008174E3" w:rsidRDefault="00941F61" w:rsidP="00673134">
      <w:pPr>
        <w:tabs>
          <w:tab w:val="left" w:pos="1440"/>
          <w:tab w:val="left" w:pos="3060"/>
        </w:tabs>
        <w:jc w:val="center"/>
        <w:rPr>
          <w:rFonts w:ascii="Arial" w:hAnsi="Arial" w:cs="Arial"/>
          <w:b/>
          <w:smallCaps/>
        </w:rPr>
      </w:pPr>
    </w:p>
    <w:p w14:paraId="4206A4BC" w14:textId="77777777" w:rsidR="00F52C27" w:rsidRPr="008174E3" w:rsidRDefault="00F52C27" w:rsidP="00673134">
      <w:pPr>
        <w:tabs>
          <w:tab w:val="left" w:pos="1440"/>
          <w:tab w:val="left" w:pos="3060"/>
        </w:tabs>
        <w:jc w:val="center"/>
        <w:rPr>
          <w:rFonts w:ascii="Arial" w:hAnsi="Arial" w:cs="Arial"/>
          <w:b/>
          <w:smallCaps/>
        </w:rPr>
      </w:pPr>
    </w:p>
    <w:p w14:paraId="20BA0195" w14:textId="77777777" w:rsidR="00941F61" w:rsidRPr="008174E3" w:rsidRDefault="00941F61" w:rsidP="00673134">
      <w:pPr>
        <w:tabs>
          <w:tab w:val="left" w:pos="1440"/>
          <w:tab w:val="left" w:pos="3060"/>
        </w:tabs>
        <w:jc w:val="center"/>
        <w:rPr>
          <w:rFonts w:ascii="Arial" w:hAnsi="Arial" w:cs="Arial"/>
          <w:b/>
          <w:smallCaps/>
        </w:rPr>
      </w:pPr>
    </w:p>
    <w:p w14:paraId="38ACCCA2" w14:textId="0494FED2" w:rsidR="00B85737" w:rsidRPr="008174E3" w:rsidRDefault="00205E11" w:rsidP="00673134">
      <w:pPr>
        <w:tabs>
          <w:tab w:val="left" w:pos="1440"/>
          <w:tab w:val="left" w:pos="3060"/>
        </w:tabs>
        <w:jc w:val="center"/>
        <w:rPr>
          <w:rFonts w:ascii="Arial" w:hAnsi="Arial" w:cs="Arial"/>
          <w:b/>
          <w:smallCaps/>
        </w:rPr>
      </w:pPr>
      <w:r w:rsidRPr="008174E3">
        <w:rPr>
          <w:rFonts w:ascii="Arial" w:eastAsia="Arial" w:hAnsi="Arial" w:cs="Arial"/>
          <w:b/>
          <w:bCs/>
          <w:smallCaps/>
          <w:sz w:val="28"/>
          <w:szCs w:val="28"/>
        </w:rPr>
        <w:t>Fortalecimiento de la Gestión de las Políticas de Promoción al Empleo</w:t>
      </w:r>
    </w:p>
    <w:p w14:paraId="6F250F2A" w14:textId="6A82D831" w:rsidR="00941F61" w:rsidRPr="008174E3" w:rsidRDefault="00941F61" w:rsidP="00673134">
      <w:pPr>
        <w:tabs>
          <w:tab w:val="left" w:pos="1440"/>
          <w:tab w:val="left" w:pos="3060"/>
        </w:tabs>
        <w:jc w:val="center"/>
        <w:rPr>
          <w:rFonts w:ascii="Arial" w:hAnsi="Arial" w:cs="Arial"/>
          <w:b/>
          <w:smallCaps/>
        </w:rPr>
      </w:pPr>
      <w:r w:rsidRPr="008174E3">
        <w:rPr>
          <w:rFonts w:ascii="Arial" w:hAnsi="Arial" w:cs="Arial"/>
          <w:b/>
          <w:smallCaps/>
        </w:rPr>
        <w:t>(</w:t>
      </w:r>
      <w:r w:rsidR="00D56901" w:rsidRPr="008174E3">
        <w:rPr>
          <w:rFonts w:ascii="Arial" w:eastAsia="Arial" w:hAnsi="Arial" w:cs="Arial"/>
          <w:b/>
          <w:bCs/>
          <w:smallCaps/>
        </w:rPr>
        <w:t>ME-L1258</w:t>
      </w:r>
      <w:r w:rsidRPr="008174E3">
        <w:rPr>
          <w:rFonts w:ascii="Arial" w:hAnsi="Arial" w:cs="Arial"/>
          <w:b/>
          <w:smallCaps/>
        </w:rPr>
        <w:t>)</w:t>
      </w:r>
    </w:p>
    <w:p w14:paraId="7BC3BF5B" w14:textId="77777777" w:rsidR="00941F61" w:rsidRPr="008174E3" w:rsidRDefault="00941F61" w:rsidP="00673134">
      <w:pPr>
        <w:pStyle w:val="Newpage"/>
        <w:spacing w:line="276" w:lineRule="auto"/>
        <w:rPr>
          <w:rFonts w:ascii="Arial" w:hAnsi="Arial"/>
          <w:b w:val="0"/>
          <w:caps/>
          <w:smallCaps w:val="0"/>
          <w:sz w:val="22"/>
          <w:szCs w:val="22"/>
        </w:rPr>
      </w:pPr>
    </w:p>
    <w:p w14:paraId="1F910510" w14:textId="6A57B463" w:rsidR="00941F61" w:rsidRPr="008174E3" w:rsidRDefault="00941F61" w:rsidP="00673134">
      <w:pPr>
        <w:tabs>
          <w:tab w:val="left" w:pos="1440"/>
          <w:tab w:val="left" w:pos="3060"/>
        </w:tabs>
        <w:jc w:val="center"/>
        <w:rPr>
          <w:rFonts w:ascii="Arial" w:hAnsi="Arial" w:cs="Arial"/>
          <w:smallCaps/>
        </w:rPr>
      </w:pPr>
    </w:p>
    <w:p w14:paraId="41B01C7F" w14:textId="77777777" w:rsidR="00F52C27" w:rsidRPr="008174E3" w:rsidRDefault="00F52C27" w:rsidP="00673134">
      <w:pPr>
        <w:tabs>
          <w:tab w:val="left" w:pos="1440"/>
          <w:tab w:val="left" w:pos="3060"/>
        </w:tabs>
        <w:jc w:val="center"/>
        <w:rPr>
          <w:rFonts w:ascii="Arial" w:hAnsi="Arial" w:cs="Arial"/>
          <w:smallCaps/>
        </w:rPr>
      </w:pPr>
    </w:p>
    <w:p w14:paraId="197C0C29" w14:textId="41FFF839" w:rsidR="00941F61" w:rsidRPr="008174E3" w:rsidRDefault="00D56901" w:rsidP="00673134">
      <w:pPr>
        <w:tabs>
          <w:tab w:val="left" w:pos="1440"/>
          <w:tab w:val="left" w:pos="3060"/>
        </w:tabs>
        <w:jc w:val="center"/>
        <w:outlineLvl w:val="0"/>
        <w:rPr>
          <w:rFonts w:ascii="Arial" w:hAnsi="Arial" w:cs="Arial"/>
          <w:b/>
          <w:smallCaps/>
        </w:rPr>
      </w:pPr>
      <w:r w:rsidRPr="008174E3">
        <w:rPr>
          <w:rFonts w:ascii="Arial" w:hAnsi="Arial" w:cs="Arial"/>
          <w:b/>
          <w:smallCaps/>
        </w:rPr>
        <w:t>ANÁLISIS ECONÓMICO</w:t>
      </w:r>
      <w:r w:rsidR="009C77BE" w:rsidRPr="008174E3">
        <w:rPr>
          <w:rFonts w:ascii="Arial" w:hAnsi="Arial" w:cs="Arial"/>
          <w:b/>
          <w:smallCaps/>
        </w:rPr>
        <w:t xml:space="preserve"> (COSTO-BENEFICIO)</w:t>
      </w:r>
    </w:p>
    <w:p w14:paraId="46EB3019" w14:textId="77777777" w:rsidR="00941F61" w:rsidRPr="008174E3" w:rsidRDefault="00941F61" w:rsidP="00673134">
      <w:pPr>
        <w:tabs>
          <w:tab w:val="left" w:pos="1440"/>
          <w:tab w:val="left" w:pos="3060"/>
        </w:tabs>
        <w:outlineLvl w:val="0"/>
        <w:rPr>
          <w:rFonts w:ascii="Arial" w:hAnsi="Arial" w:cs="Arial"/>
          <w:b/>
          <w:smallCaps/>
        </w:rPr>
      </w:pPr>
    </w:p>
    <w:p w14:paraId="47A1198E" w14:textId="77777777" w:rsidR="00941F61" w:rsidRPr="008174E3" w:rsidRDefault="00941F61" w:rsidP="00673134">
      <w:pPr>
        <w:pStyle w:val="ListParagraph"/>
        <w:spacing w:before="120"/>
        <w:ind w:left="0"/>
        <w:jc w:val="center"/>
        <w:rPr>
          <w:rFonts w:ascii="Arial" w:hAnsi="Arial" w:cs="Arial"/>
          <w:b/>
        </w:rPr>
      </w:pPr>
    </w:p>
    <w:p w14:paraId="0A5E3AB3" w14:textId="77777777" w:rsidR="00941F61" w:rsidRPr="008174E3" w:rsidRDefault="00941F61" w:rsidP="00673134">
      <w:pPr>
        <w:pStyle w:val="ListParagraph"/>
        <w:spacing w:before="120"/>
        <w:ind w:left="0"/>
        <w:jc w:val="center"/>
        <w:rPr>
          <w:rFonts w:ascii="Arial" w:hAnsi="Arial" w:cs="Arial"/>
          <w:b/>
        </w:rPr>
      </w:pPr>
    </w:p>
    <w:p w14:paraId="5BFE9DE6" w14:textId="77777777" w:rsidR="00941F61" w:rsidRPr="008174E3" w:rsidRDefault="00941F61" w:rsidP="00673134">
      <w:pPr>
        <w:pStyle w:val="ListParagraph"/>
        <w:spacing w:before="120"/>
        <w:ind w:left="0"/>
        <w:jc w:val="center"/>
        <w:rPr>
          <w:rFonts w:ascii="Arial" w:hAnsi="Arial" w:cs="Arial"/>
          <w:b/>
        </w:rPr>
      </w:pPr>
    </w:p>
    <w:p w14:paraId="51FC5539" w14:textId="77777777" w:rsidR="00941F61" w:rsidRPr="008174E3" w:rsidRDefault="00941F61" w:rsidP="00673134">
      <w:pPr>
        <w:pStyle w:val="ListParagraph"/>
        <w:spacing w:before="120"/>
        <w:ind w:left="0"/>
        <w:jc w:val="center"/>
        <w:rPr>
          <w:rFonts w:ascii="Arial" w:hAnsi="Arial" w:cs="Arial"/>
          <w:b/>
        </w:rPr>
      </w:pPr>
    </w:p>
    <w:p w14:paraId="585E4F49" w14:textId="77777777" w:rsidR="00941F61" w:rsidRPr="008174E3" w:rsidRDefault="00941F61" w:rsidP="00673134">
      <w:pPr>
        <w:pStyle w:val="ListParagraph"/>
        <w:spacing w:before="120"/>
        <w:ind w:left="0"/>
        <w:jc w:val="center"/>
        <w:rPr>
          <w:rFonts w:ascii="Arial" w:hAnsi="Arial" w:cs="Arial"/>
          <w:b/>
        </w:rPr>
      </w:pPr>
    </w:p>
    <w:p w14:paraId="35148CB8" w14:textId="77777777" w:rsidR="00941F61" w:rsidRPr="008174E3" w:rsidRDefault="00941F61" w:rsidP="00673134">
      <w:pPr>
        <w:pStyle w:val="ListParagraph"/>
        <w:spacing w:before="120"/>
        <w:ind w:left="0"/>
        <w:jc w:val="center"/>
        <w:rPr>
          <w:rFonts w:ascii="Arial" w:hAnsi="Arial" w:cs="Arial"/>
          <w:b/>
        </w:rPr>
      </w:pPr>
    </w:p>
    <w:p w14:paraId="70674994" w14:textId="77777777" w:rsidR="00941F61" w:rsidRPr="008174E3" w:rsidRDefault="00941F61" w:rsidP="00673134">
      <w:pPr>
        <w:pStyle w:val="ListParagraph"/>
        <w:spacing w:before="120"/>
        <w:ind w:left="0"/>
        <w:jc w:val="center"/>
        <w:rPr>
          <w:rFonts w:ascii="Arial" w:hAnsi="Arial" w:cs="Arial"/>
          <w:b/>
        </w:rPr>
      </w:pPr>
    </w:p>
    <w:p w14:paraId="457EB1B2" w14:textId="77777777" w:rsidR="00941F61" w:rsidRPr="008174E3" w:rsidRDefault="00941F61" w:rsidP="00673134">
      <w:pPr>
        <w:pStyle w:val="ListParagraph"/>
        <w:spacing w:before="120"/>
        <w:ind w:left="0"/>
        <w:jc w:val="center"/>
        <w:rPr>
          <w:rFonts w:ascii="Arial" w:hAnsi="Arial" w:cs="Arial"/>
          <w:b/>
        </w:rPr>
      </w:pPr>
    </w:p>
    <w:p w14:paraId="2873C7F7" w14:textId="77777777" w:rsidR="00941F61" w:rsidRPr="008174E3" w:rsidRDefault="00941F61" w:rsidP="00673134">
      <w:pPr>
        <w:pStyle w:val="ListParagraph"/>
        <w:spacing w:before="120"/>
        <w:ind w:left="0"/>
        <w:jc w:val="center"/>
        <w:rPr>
          <w:rFonts w:ascii="Arial" w:hAnsi="Arial" w:cs="Arial"/>
          <w:b/>
        </w:rPr>
      </w:pPr>
    </w:p>
    <w:p w14:paraId="7CCB2173" w14:textId="77777777" w:rsidR="00941F61" w:rsidRPr="008174E3" w:rsidRDefault="00941F61" w:rsidP="00673134">
      <w:pPr>
        <w:pStyle w:val="ListParagraph"/>
        <w:spacing w:before="120"/>
        <w:ind w:left="0"/>
        <w:jc w:val="center"/>
        <w:rPr>
          <w:rFonts w:ascii="Arial" w:hAnsi="Arial" w:cs="Arial"/>
          <w:b/>
        </w:rPr>
      </w:pPr>
    </w:p>
    <w:p w14:paraId="17CF2700" w14:textId="77777777" w:rsidR="00941F61" w:rsidRPr="008174E3" w:rsidRDefault="00941F61" w:rsidP="00673134">
      <w:pPr>
        <w:tabs>
          <w:tab w:val="left" w:pos="1440"/>
          <w:tab w:val="left" w:pos="3060"/>
        </w:tabs>
        <w:jc w:val="center"/>
        <w:rPr>
          <w:rFonts w:ascii="Arial" w:hAnsi="Arial" w:cs="Arial"/>
        </w:rPr>
      </w:pPr>
    </w:p>
    <w:p w14:paraId="0117E5F9" w14:textId="449D0063" w:rsidR="00C954BD" w:rsidRPr="008174E3" w:rsidRDefault="00C954BD" w:rsidP="00673134">
      <w:pPr>
        <w:tabs>
          <w:tab w:val="left" w:pos="1440"/>
          <w:tab w:val="left" w:pos="3060"/>
        </w:tabs>
        <w:jc w:val="center"/>
        <w:rPr>
          <w:rFonts w:ascii="Arial" w:hAnsi="Arial" w:cs="Arial"/>
        </w:rPr>
      </w:pPr>
    </w:p>
    <w:p w14:paraId="758482AE" w14:textId="72E0C1BF" w:rsidR="008F0CC6" w:rsidRPr="008174E3" w:rsidRDefault="008F0CC6" w:rsidP="00673134">
      <w:pPr>
        <w:tabs>
          <w:tab w:val="left" w:pos="1440"/>
          <w:tab w:val="left" w:pos="3060"/>
        </w:tabs>
        <w:jc w:val="center"/>
        <w:rPr>
          <w:rFonts w:ascii="Arial" w:hAnsi="Arial" w:cs="Arial"/>
        </w:rPr>
      </w:pPr>
    </w:p>
    <w:p w14:paraId="3375BA91" w14:textId="5AB36253" w:rsidR="008F0CC6" w:rsidRPr="008174E3" w:rsidRDefault="008F0CC6" w:rsidP="00673134">
      <w:pPr>
        <w:tabs>
          <w:tab w:val="left" w:pos="1440"/>
          <w:tab w:val="left" w:pos="3060"/>
        </w:tabs>
        <w:jc w:val="center"/>
        <w:rPr>
          <w:rFonts w:ascii="Arial" w:hAnsi="Arial" w:cs="Arial"/>
        </w:rPr>
      </w:pPr>
    </w:p>
    <w:p w14:paraId="2ECFDED3" w14:textId="5054869C" w:rsidR="008F0CC6" w:rsidRPr="008174E3" w:rsidRDefault="008F0CC6" w:rsidP="00673134">
      <w:pPr>
        <w:tabs>
          <w:tab w:val="left" w:pos="1440"/>
          <w:tab w:val="left" w:pos="3060"/>
        </w:tabs>
        <w:jc w:val="center"/>
        <w:rPr>
          <w:rFonts w:ascii="Arial" w:hAnsi="Arial" w:cs="Arial"/>
        </w:rPr>
      </w:pPr>
    </w:p>
    <w:p w14:paraId="55BCE165" w14:textId="58F8DC73" w:rsidR="008F0CC6" w:rsidRPr="008174E3" w:rsidRDefault="008F0CC6" w:rsidP="00673134">
      <w:pPr>
        <w:tabs>
          <w:tab w:val="left" w:pos="1440"/>
          <w:tab w:val="left" w:pos="3060"/>
        </w:tabs>
        <w:jc w:val="center"/>
        <w:rPr>
          <w:rFonts w:ascii="Arial" w:hAnsi="Arial" w:cs="Arial"/>
        </w:rPr>
      </w:pPr>
    </w:p>
    <w:p w14:paraId="5E2E1AA4" w14:textId="77777777" w:rsidR="008F0CC6" w:rsidRPr="008174E3" w:rsidRDefault="008F0CC6" w:rsidP="00673134">
      <w:pPr>
        <w:tabs>
          <w:tab w:val="left" w:pos="1440"/>
          <w:tab w:val="left" w:pos="3060"/>
        </w:tabs>
        <w:jc w:val="center"/>
        <w:rPr>
          <w:rFonts w:ascii="Arial" w:hAnsi="Arial" w:cs="Arial"/>
        </w:rPr>
      </w:pPr>
    </w:p>
    <w:p w14:paraId="7CDF6B7A" w14:textId="0BABB246" w:rsidR="00F52C27" w:rsidRPr="008174E3" w:rsidRDefault="00C954BD" w:rsidP="008F0CC6">
      <w:pPr>
        <w:pStyle w:val="BodyText"/>
        <w:pBdr>
          <w:top w:val="single" w:sz="4" w:space="1" w:color="auto"/>
          <w:left w:val="single" w:sz="4" w:space="4" w:color="auto"/>
          <w:bottom w:val="single" w:sz="4" w:space="0" w:color="auto"/>
          <w:right w:val="single" w:sz="4" w:space="4" w:color="auto"/>
        </w:pBdr>
        <w:tabs>
          <w:tab w:val="left" w:pos="1440"/>
        </w:tabs>
        <w:spacing w:line="276" w:lineRule="auto"/>
        <w:jc w:val="both"/>
        <w:rPr>
          <w:rFonts w:ascii="Arial" w:hAnsi="Arial" w:cs="Arial"/>
          <w:b/>
        </w:rPr>
      </w:pPr>
      <w:r w:rsidRPr="008174E3">
        <w:rPr>
          <w:rFonts w:ascii="Arial" w:hAnsi="Arial" w:cs="Arial"/>
          <w:sz w:val="22"/>
          <w:szCs w:val="22"/>
        </w:rPr>
        <w:t>El presente documento fue elaborado por</w:t>
      </w:r>
      <w:r w:rsidR="00941F61" w:rsidRPr="008174E3">
        <w:rPr>
          <w:rFonts w:ascii="Arial" w:hAnsi="Arial" w:cs="Arial"/>
          <w:sz w:val="22"/>
          <w:szCs w:val="22"/>
        </w:rPr>
        <w:t>:</w:t>
      </w:r>
      <w:r w:rsidRPr="008174E3">
        <w:rPr>
          <w:rFonts w:ascii="Arial" w:hAnsi="Arial" w:cs="Arial"/>
          <w:sz w:val="22"/>
          <w:szCs w:val="22"/>
        </w:rPr>
        <w:t xml:space="preserve"> José Horacio Valencia (</w:t>
      </w:r>
      <w:r w:rsidR="00F54C58" w:rsidRPr="008174E3">
        <w:rPr>
          <w:rFonts w:ascii="Arial" w:hAnsi="Arial" w:cs="Arial"/>
          <w:sz w:val="22"/>
          <w:szCs w:val="22"/>
        </w:rPr>
        <w:t>LMK</w:t>
      </w:r>
      <w:r w:rsidR="003A2635" w:rsidRPr="008174E3">
        <w:rPr>
          <w:rFonts w:ascii="Arial" w:hAnsi="Arial" w:cs="Arial"/>
          <w:sz w:val="22"/>
          <w:szCs w:val="22"/>
        </w:rPr>
        <w:t>/CBO</w:t>
      </w:r>
      <w:r w:rsidRPr="008174E3">
        <w:rPr>
          <w:rFonts w:ascii="Arial" w:hAnsi="Arial" w:cs="Arial"/>
          <w:sz w:val="22"/>
          <w:szCs w:val="22"/>
        </w:rPr>
        <w:t>)</w:t>
      </w:r>
      <w:r w:rsidR="009929A0" w:rsidRPr="008174E3">
        <w:rPr>
          <w:rFonts w:ascii="Arial" w:hAnsi="Arial" w:cs="Arial"/>
          <w:sz w:val="22"/>
          <w:szCs w:val="22"/>
        </w:rPr>
        <w:t>,</w:t>
      </w:r>
      <w:r w:rsidR="003A2635" w:rsidRPr="008174E3">
        <w:rPr>
          <w:rFonts w:ascii="Arial" w:hAnsi="Arial" w:cs="Arial"/>
          <w:sz w:val="22"/>
          <w:szCs w:val="22"/>
        </w:rPr>
        <w:t xml:space="preserve"> bajo la supervisión de </w:t>
      </w:r>
      <w:r w:rsidR="00F54C58" w:rsidRPr="008174E3">
        <w:rPr>
          <w:rFonts w:ascii="Arial" w:hAnsi="Arial" w:cs="Arial"/>
          <w:sz w:val="22"/>
          <w:szCs w:val="22"/>
        </w:rPr>
        <w:t>David Kaplan (LMK</w:t>
      </w:r>
      <w:r w:rsidR="003A2635" w:rsidRPr="008174E3">
        <w:rPr>
          <w:rFonts w:ascii="Arial" w:hAnsi="Arial" w:cs="Arial"/>
          <w:sz w:val="22"/>
          <w:szCs w:val="22"/>
        </w:rPr>
        <w:t>/CME</w:t>
      </w:r>
      <w:r w:rsidR="004D6760" w:rsidRPr="008174E3">
        <w:rPr>
          <w:rFonts w:ascii="Arial" w:hAnsi="Arial" w:cs="Arial"/>
          <w:sz w:val="22"/>
          <w:szCs w:val="22"/>
        </w:rPr>
        <w:t>)</w:t>
      </w:r>
      <w:r w:rsidR="009929A0" w:rsidRPr="008174E3">
        <w:rPr>
          <w:rFonts w:ascii="Arial" w:hAnsi="Arial" w:cs="Arial"/>
          <w:sz w:val="22"/>
          <w:szCs w:val="22"/>
        </w:rPr>
        <w:t>,</w:t>
      </w:r>
      <w:r w:rsidR="00C34007" w:rsidRPr="008174E3">
        <w:rPr>
          <w:rFonts w:ascii="Arial" w:hAnsi="Arial" w:cs="Arial"/>
          <w:sz w:val="22"/>
          <w:szCs w:val="22"/>
        </w:rPr>
        <w:t xml:space="preserve"> con comentarios de </w:t>
      </w:r>
      <w:r w:rsidR="008F0CC6" w:rsidRPr="008174E3">
        <w:rPr>
          <w:rFonts w:ascii="Arial" w:hAnsi="Arial" w:cs="Arial"/>
          <w:sz w:val="22"/>
          <w:szCs w:val="22"/>
        </w:rPr>
        <w:t>Maria Paula Gerardino</w:t>
      </w:r>
      <w:r w:rsidR="00755A0E" w:rsidRPr="008174E3">
        <w:rPr>
          <w:rFonts w:ascii="Arial" w:hAnsi="Arial" w:cs="Arial"/>
          <w:sz w:val="22"/>
          <w:szCs w:val="22"/>
        </w:rPr>
        <w:t xml:space="preserve"> (SPD/SDV)</w:t>
      </w:r>
      <w:r w:rsidR="008F0CC6" w:rsidRPr="008174E3">
        <w:rPr>
          <w:rFonts w:ascii="Arial" w:hAnsi="Arial" w:cs="Arial"/>
          <w:sz w:val="22"/>
          <w:szCs w:val="22"/>
        </w:rPr>
        <w:t>, Oscar Mitnik</w:t>
      </w:r>
      <w:r w:rsidR="00755A0E" w:rsidRPr="008174E3">
        <w:rPr>
          <w:rFonts w:ascii="Arial" w:hAnsi="Arial" w:cs="Arial"/>
          <w:sz w:val="22"/>
          <w:szCs w:val="22"/>
        </w:rPr>
        <w:t xml:space="preserve"> (SPD/SDV)</w:t>
      </w:r>
      <w:r w:rsidR="008F0CC6" w:rsidRPr="008174E3">
        <w:rPr>
          <w:rFonts w:ascii="Arial" w:hAnsi="Arial" w:cs="Arial"/>
          <w:sz w:val="22"/>
          <w:szCs w:val="22"/>
        </w:rPr>
        <w:t xml:space="preserve"> y Manuel Urquidi</w:t>
      </w:r>
      <w:r w:rsidR="00755A0E" w:rsidRPr="008174E3">
        <w:rPr>
          <w:rFonts w:ascii="Arial" w:hAnsi="Arial" w:cs="Arial"/>
          <w:sz w:val="22"/>
          <w:szCs w:val="22"/>
        </w:rPr>
        <w:t xml:space="preserve"> (LMK/CBO). </w:t>
      </w:r>
      <w:r w:rsidR="00F52C27" w:rsidRPr="008174E3">
        <w:rPr>
          <w:rFonts w:ascii="Arial" w:hAnsi="Arial" w:cs="Arial"/>
          <w:b/>
        </w:rPr>
        <w:br w:type="page"/>
      </w:r>
    </w:p>
    <w:p w14:paraId="4359A9BB" w14:textId="1BFABADD" w:rsidR="00941F61" w:rsidRPr="008174E3" w:rsidRDefault="00541D07" w:rsidP="00673134">
      <w:pPr>
        <w:pStyle w:val="ListParagraph"/>
        <w:numPr>
          <w:ilvl w:val="0"/>
          <w:numId w:val="7"/>
        </w:numPr>
        <w:spacing w:before="120"/>
        <w:ind w:left="0"/>
        <w:jc w:val="both"/>
        <w:rPr>
          <w:rFonts w:ascii="Arial" w:hAnsi="Arial" w:cs="Arial"/>
          <w:b/>
        </w:rPr>
      </w:pPr>
      <w:r w:rsidRPr="008174E3">
        <w:rPr>
          <w:rFonts w:ascii="Arial" w:hAnsi="Arial" w:cs="Arial"/>
          <w:b/>
        </w:rPr>
        <w:lastRenderedPageBreak/>
        <w:t>Introducció</w:t>
      </w:r>
      <w:r w:rsidR="00941F61" w:rsidRPr="008174E3">
        <w:rPr>
          <w:rFonts w:ascii="Arial" w:hAnsi="Arial" w:cs="Arial"/>
          <w:b/>
        </w:rPr>
        <w:t>n</w:t>
      </w:r>
      <w:r w:rsidR="00425D26" w:rsidRPr="008174E3">
        <w:rPr>
          <w:rFonts w:ascii="Arial" w:hAnsi="Arial" w:cs="Arial"/>
          <w:b/>
        </w:rPr>
        <w:t xml:space="preserve"> </w:t>
      </w:r>
    </w:p>
    <w:p w14:paraId="61D143C2" w14:textId="77777777" w:rsidR="00C306A4" w:rsidRPr="008174E3" w:rsidRDefault="00C306A4" w:rsidP="00C306A4">
      <w:pPr>
        <w:pStyle w:val="ListParagraph"/>
        <w:spacing w:before="120"/>
        <w:ind w:left="0"/>
        <w:jc w:val="both"/>
        <w:rPr>
          <w:rFonts w:ascii="Arial" w:hAnsi="Arial" w:cs="Arial"/>
          <w:b/>
        </w:rPr>
      </w:pPr>
    </w:p>
    <w:p w14:paraId="7FEE94BE" w14:textId="709A652F" w:rsidR="00332F75" w:rsidRPr="008174E3" w:rsidRDefault="00C954BD" w:rsidP="00B85737">
      <w:pPr>
        <w:pStyle w:val="ListParagraph"/>
        <w:numPr>
          <w:ilvl w:val="0"/>
          <w:numId w:val="8"/>
        </w:numPr>
        <w:ind w:left="0"/>
        <w:jc w:val="both"/>
        <w:rPr>
          <w:rFonts w:ascii="Arial" w:hAnsi="Arial" w:cs="Arial"/>
          <w:sz w:val="22"/>
          <w:szCs w:val="22"/>
        </w:rPr>
      </w:pPr>
      <w:r w:rsidRPr="008174E3">
        <w:rPr>
          <w:rFonts w:ascii="Arial" w:hAnsi="Arial" w:cs="Arial"/>
          <w:sz w:val="22"/>
          <w:szCs w:val="22"/>
        </w:rPr>
        <w:t xml:space="preserve">El presente documento </w:t>
      </w:r>
      <w:r w:rsidR="00E60D75" w:rsidRPr="008174E3">
        <w:rPr>
          <w:rFonts w:ascii="Arial" w:hAnsi="Arial" w:cs="Arial"/>
          <w:sz w:val="22"/>
          <w:szCs w:val="22"/>
        </w:rPr>
        <w:t>exhibe</w:t>
      </w:r>
      <w:r w:rsidRPr="008174E3">
        <w:rPr>
          <w:rFonts w:ascii="Arial" w:hAnsi="Arial" w:cs="Arial"/>
          <w:sz w:val="22"/>
          <w:szCs w:val="22"/>
        </w:rPr>
        <w:t xml:space="preserve"> la evaluación económica ex ante del </w:t>
      </w:r>
      <w:r w:rsidR="006126D9" w:rsidRPr="008174E3">
        <w:rPr>
          <w:rFonts w:ascii="Arial" w:hAnsi="Arial" w:cs="Arial"/>
          <w:sz w:val="22"/>
          <w:szCs w:val="22"/>
        </w:rPr>
        <w:t xml:space="preserve">préstamo </w:t>
      </w:r>
      <w:r w:rsidR="002F4433" w:rsidRPr="008174E3">
        <w:rPr>
          <w:rFonts w:ascii="Arial" w:hAnsi="Arial" w:cs="Arial"/>
          <w:sz w:val="22"/>
          <w:szCs w:val="22"/>
        </w:rPr>
        <w:t>ME-</w:t>
      </w:r>
      <w:r w:rsidR="006126D9" w:rsidRPr="008174E3">
        <w:rPr>
          <w:rFonts w:ascii="Arial" w:hAnsi="Arial" w:cs="Arial"/>
          <w:sz w:val="22"/>
          <w:szCs w:val="22"/>
        </w:rPr>
        <w:t>L</w:t>
      </w:r>
      <w:r w:rsidR="002F4433" w:rsidRPr="008174E3">
        <w:rPr>
          <w:rFonts w:ascii="Arial" w:hAnsi="Arial" w:cs="Arial"/>
          <w:sz w:val="22"/>
          <w:szCs w:val="22"/>
        </w:rPr>
        <w:t>1258</w:t>
      </w:r>
      <w:r w:rsidR="004769AE" w:rsidRPr="008174E3">
        <w:rPr>
          <w:rFonts w:ascii="Arial" w:hAnsi="Arial" w:cs="Arial"/>
          <w:sz w:val="22"/>
          <w:szCs w:val="22"/>
        </w:rPr>
        <w:t>,</w:t>
      </w:r>
      <w:r w:rsidR="006126D9" w:rsidRPr="008174E3">
        <w:rPr>
          <w:rFonts w:ascii="Arial" w:hAnsi="Arial" w:cs="Arial"/>
          <w:sz w:val="22"/>
          <w:szCs w:val="22"/>
        </w:rPr>
        <w:t xml:space="preserve"> </w:t>
      </w:r>
      <w:r w:rsidR="00B85737" w:rsidRPr="008174E3">
        <w:rPr>
          <w:rFonts w:ascii="Arial" w:hAnsi="Arial" w:cs="Arial"/>
          <w:i/>
          <w:sz w:val="22"/>
          <w:szCs w:val="22"/>
        </w:rPr>
        <w:t xml:space="preserve">Fortalecimiento de la Gestión de las Políticas </w:t>
      </w:r>
      <w:r w:rsidR="00205E11" w:rsidRPr="008174E3">
        <w:rPr>
          <w:rFonts w:ascii="Arial" w:hAnsi="Arial" w:cs="Arial"/>
          <w:i/>
          <w:sz w:val="22"/>
          <w:szCs w:val="22"/>
        </w:rPr>
        <w:t>de Promoción al Empleo</w:t>
      </w:r>
      <w:r w:rsidR="00352A26" w:rsidRPr="008174E3">
        <w:rPr>
          <w:rFonts w:ascii="Arial" w:hAnsi="Arial" w:cs="Arial"/>
          <w:sz w:val="22"/>
          <w:szCs w:val="22"/>
        </w:rPr>
        <w:t xml:space="preserve">. </w:t>
      </w:r>
      <w:bookmarkStart w:id="0" w:name="_Hlk485902616"/>
      <w:r w:rsidR="00205E11" w:rsidRPr="008174E3">
        <w:rPr>
          <w:rFonts w:ascii="Arial" w:hAnsi="Arial" w:cs="Arial"/>
          <w:sz w:val="22"/>
          <w:szCs w:val="22"/>
        </w:rPr>
        <w:t xml:space="preserve">El proyecto tiene como objetivo general la modernización del </w:t>
      </w:r>
      <w:r w:rsidR="00362826" w:rsidRPr="008174E3">
        <w:rPr>
          <w:rFonts w:ascii="Arial" w:hAnsi="Arial" w:cs="Arial"/>
          <w:sz w:val="22"/>
          <w:szCs w:val="22"/>
        </w:rPr>
        <w:t>S</w:t>
      </w:r>
      <w:r w:rsidR="00205E11" w:rsidRPr="008174E3">
        <w:rPr>
          <w:rFonts w:ascii="Arial" w:hAnsi="Arial" w:cs="Arial"/>
          <w:sz w:val="22"/>
          <w:szCs w:val="22"/>
        </w:rPr>
        <w:t xml:space="preserve">ervicio </w:t>
      </w:r>
      <w:r w:rsidR="00362826" w:rsidRPr="008174E3">
        <w:rPr>
          <w:rFonts w:ascii="Arial" w:hAnsi="Arial" w:cs="Arial"/>
          <w:sz w:val="22"/>
          <w:szCs w:val="22"/>
        </w:rPr>
        <w:t>N</w:t>
      </w:r>
      <w:r w:rsidR="00205E11" w:rsidRPr="008174E3">
        <w:rPr>
          <w:rFonts w:ascii="Arial" w:hAnsi="Arial" w:cs="Arial"/>
          <w:sz w:val="22"/>
          <w:szCs w:val="22"/>
        </w:rPr>
        <w:t xml:space="preserve">acional de </w:t>
      </w:r>
      <w:r w:rsidR="00362826" w:rsidRPr="008174E3">
        <w:rPr>
          <w:rFonts w:ascii="Arial" w:hAnsi="Arial" w:cs="Arial"/>
          <w:sz w:val="22"/>
          <w:szCs w:val="22"/>
        </w:rPr>
        <w:t>E</w:t>
      </w:r>
      <w:r w:rsidR="00205E11" w:rsidRPr="008174E3">
        <w:rPr>
          <w:rFonts w:ascii="Arial" w:hAnsi="Arial" w:cs="Arial"/>
          <w:sz w:val="22"/>
          <w:szCs w:val="22"/>
        </w:rPr>
        <w:t>mpleo (SNE) de México a fin de apoyar a los buscadores de empleo para que encuentren un trabajo formal. Los objetivos específicos son mejorar la efectividad de los servicios de: (i) intermediación laboral</w:t>
      </w:r>
      <w:r w:rsidR="00172572" w:rsidRPr="008174E3">
        <w:rPr>
          <w:rFonts w:ascii="Arial" w:hAnsi="Arial" w:cs="Arial"/>
          <w:sz w:val="22"/>
          <w:szCs w:val="22"/>
        </w:rPr>
        <w:t>;</w:t>
      </w:r>
      <w:r w:rsidR="00205E11" w:rsidRPr="008174E3">
        <w:rPr>
          <w:rFonts w:ascii="Arial" w:hAnsi="Arial" w:cs="Arial"/>
          <w:sz w:val="22"/>
          <w:szCs w:val="22"/>
        </w:rPr>
        <w:t xml:space="preserve"> y (ii)</w:t>
      </w:r>
      <w:r w:rsidR="00172572" w:rsidRPr="008174E3">
        <w:rPr>
          <w:rFonts w:ascii="Arial" w:hAnsi="Arial" w:cs="Arial"/>
          <w:sz w:val="22"/>
          <w:szCs w:val="22"/>
        </w:rPr>
        <w:t> </w:t>
      </w:r>
      <w:r w:rsidR="000E216E" w:rsidRPr="008174E3">
        <w:rPr>
          <w:rFonts w:ascii="Arial" w:hAnsi="Arial" w:cs="Arial"/>
          <w:sz w:val="22"/>
          <w:szCs w:val="22"/>
        </w:rPr>
        <w:t>apoyos focalizados para el empleo formal</w:t>
      </w:r>
      <w:r w:rsidR="00205E11" w:rsidRPr="008174E3">
        <w:rPr>
          <w:rFonts w:ascii="Arial" w:hAnsi="Arial" w:cs="Arial"/>
          <w:sz w:val="22"/>
          <w:szCs w:val="22"/>
        </w:rPr>
        <w:t>; promoviendo la igualdad de género.</w:t>
      </w:r>
      <w:bookmarkEnd w:id="0"/>
      <w:r w:rsidR="00D42C4F" w:rsidRPr="008174E3">
        <w:rPr>
          <w:rFonts w:ascii="Arial" w:hAnsi="Arial" w:cs="Arial"/>
          <w:sz w:val="22"/>
          <w:szCs w:val="22"/>
        </w:rPr>
        <w:t xml:space="preserve"> </w:t>
      </w:r>
      <w:r w:rsidRPr="008174E3">
        <w:rPr>
          <w:rFonts w:ascii="Arial" w:hAnsi="Arial" w:cs="Arial"/>
          <w:sz w:val="22"/>
          <w:szCs w:val="22"/>
        </w:rPr>
        <w:t xml:space="preserve">Para esto, </w:t>
      </w:r>
      <w:r w:rsidR="00425D26" w:rsidRPr="008174E3">
        <w:rPr>
          <w:rFonts w:ascii="Arial" w:hAnsi="Arial" w:cs="Arial"/>
          <w:sz w:val="22"/>
          <w:szCs w:val="22"/>
        </w:rPr>
        <w:t>e</w:t>
      </w:r>
      <w:r w:rsidRPr="008174E3">
        <w:rPr>
          <w:rFonts w:ascii="Arial" w:hAnsi="Arial" w:cs="Arial"/>
          <w:sz w:val="22"/>
          <w:szCs w:val="22"/>
        </w:rPr>
        <w:t>l programa est</w:t>
      </w:r>
      <w:r w:rsidR="006126D9" w:rsidRPr="008174E3">
        <w:rPr>
          <w:rFonts w:ascii="Arial" w:hAnsi="Arial" w:cs="Arial"/>
          <w:sz w:val="22"/>
          <w:szCs w:val="22"/>
        </w:rPr>
        <w:t>á</w:t>
      </w:r>
      <w:r w:rsidRPr="008174E3">
        <w:rPr>
          <w:rFonts w:ascii="Arial" w:hAnsi="Arial" w:cs="Arial"/>
          <w:sz w:val="22"/>
          <w:szCs w:val="22"/>
        </w:rPr>
        <w:t xml:space="preserve"> estructurado </w:t>
      </w:r>
      <w:r w:rsidR="00D42C4F" w:rsidRPr="008174E3">
        <w:rPr>
          <w:rFonts w:ascii="Arial" w:hAnsi="Arial" w:cs="Arial"/>
          <w:sz w:val="22"/>
          <w:szCs w:val="22"/>
        </w:rPr>
        <w:t xml:space="preserve">en los siguientes componentes: </w:t>
      </w:r>
      <w:r w:rsidR="00FB5B07" w:rsidRPr="008174E3">
        <w:rPr>
          <w:rFonts w:ascii="Arial" w:hAnsi="Arial" w:cs="Arial"/>
          <w:sz w:val="22"/>
          <w:szCs w:val="22"/>
        </w:rPr>
        <w:t>(</w:t>
      </w:r>
      <w:r w:rsidR="00A918C4" w:rsidRPr="008174E3">
        <w:rPr>
          <w:rFonts w:ascii="Arial" w:hAnsi="Arial" w:cs="Arial"/>
          <w:sz w:val="22"/>
          <w:szCs w:val="22"/>
        </w:rPr>
        <w:t>i)</w:t>
      </w:r>
      <w:r w:rsidR="00C11CD1" w:rsidRPr="008174E3">
        <w:rPr>
          <w:rFonts w:ascii="Arial" w:hAnsi="Arial" w:cs="Arial"/>
          <w:sz w:val="22"/>
          <w:szCs w:val="22"/>
        </w:rPr>
        <w:t> </w:t>
      </w:r>
      <w:r w:rsidR="00D42C4F" w:rsidRPr="008174E3">
        <w:rPr>
          <w:rFonts w:ascii="Arial" w:hAnsi="Arial" w:cs="Arial"/>
          <w:sz w:val="22"/>
          <w:szCs w:val="22"/>
        </w:rPr>
        <w:t>Fortalecer el S</w:t>
      </w:r>
      <w:r w:rsidR="000128BA" w:rsidRPr="008174E3">
        <w:rPr>
          <w:rFonts w:ascii="Arial" w:hAnsi="Arial" w:cs="Arial"/>
          <w:sz w:val="22"/>
          <w:szCs w:val="22"/>
        </w:rPr>
        <w:t xml:space="preserve">ervicio </w:t>
      </w:r>
      <w:r w:rsidR="00D42C4F" w:rsidRPr="008174E3">
        <w:rPr>
          <w:rFonts w:ascii="Arial" w:hAnsi="Arial" w:cs="Arial"/>
          <w:sz w:val="22"/>
          <w:szCs w:val="22"/>
        </w:rPr>
        <w:t>N</w:t>
      </w:r>
      <w:r w:rsidR="000128BA" w:rsidRPr="008174E3">
        <w:rPr>
          <w:rFonts w:ascii="Arial" w:hAnsi="Arial" w:cs="Arial"/>
          <w:sz w:val="22"/>
          <w:szCs w:val="22"/>
        </w:rPr>
        <w:t xml:space="preserve">acional de </w:t>
      </w:r>
      <w:r w:rsidR="00D42C4F" w:rsidRPr="008174E3">
        <w:rPr>
          <w:rFonts w:ascii="Arial" w:hAnsi="Arial" w:cs="Arial"/>
          <w:sz w:val="22"/>
          <w:szCs w:val="22"/>
        </w:rPr>
        <w:t>E</w:t>
      </w:r>
      <w:r w:rsidR="000128BA" w:rsidRPr="008174E3">
        <w:rPr>
          <w:rFonts w:ascii="Arial" w:hAnsi="Arial" w:cs="Arial"/>
          <w:sz w:val="22"/>
          <w:szCs w:val="22"/>
        </w:rPr>
        <w:t>mpleo</w:t>
      </w:r>
      <w:r w:rsidR="00172572" w:rsidRPr="008174E3">
        <w:rPr>
          <w:rFonts w:ascii="Arial" w:hAnsi="Arial" w:cs="Arial"/>
          <w:sz w:val="22"/>
          <w:szCs w:val="22"/>
        </w:rPr>
        <w:t>;</w:t>
      </w:r>
      <w:r w:rsidR="00D42C4F" w:rsidRPr="008174E3">
        <w:rPr>
          <w:rFonts w:ascii="Arial" w:hAnsi="Arial" w:cs="Arial"/>
          <w:sz w:val="22"/>
          <w:szCs w:val="22"/>
        </w:rPr>
        <w:t xml:space="preserve"> </w:t>
      </w:r>
      <w:r w:rsidR="00465A93" w:rsidRPr="008174E3">
        <w:rPr>
          <w:rFonts w:ascii="Arial" w:hAnsi="Arial" w:cs="Arial"/>
          <w:sz w:val="22"/>
          <w:szCs w:val="22"/>
        </w:rPr>
        <w:t>y</w:t>
      </w:r>
      <w:r w:rsidR="00A918C4" w:rsidRPr="008174E3">
        <w:rPr>
          <w:rFonts w:ascii="Arial" w:hAnsi="Arial" w:cs="Arial"/>
          <w:sz w:val="22"/>
          <w:szCs w:val="22"/>
        </w:rPr>
        <w:t xml:space="preserve"> (ii)</w:t>
      </w:r>
      <w:r w:rsidR="00FB5B07" w:rsidRPr="008174E3">
        <w:rPr>
          <w:rFonts w:ascii="Arial" w:hAnsi="Arial" w:cs="Arial"/>
          <w:sz w:val="22"/>
          <w:szCs w:val="22"/>
        </w:rPr>
        <w:t> </w:t>
      </w:r>
      <w:r w:rsidR="000E216E" w:rsidRPr="008174E3">
        <w:rPr>
          <w:rFonts w:ascii="Arial" w:hAnsi="Arial" w:cs="Arial"/>
          <w:sz w:val="22"/>
          <w:szCs w:val="22"/>
        </w:rPr>
        <w:t>Fortalecer el Programa de Apoyo al Empleo</w:t>
      </w:r>
      <w:r w:rsidR="00A918C4" w:rsidRPr="008174E3">
        <w:rPr>
          <w:rFonts w:ascii="Arial" w:hAnsi="Arial" w:cs="Arial"/>
          <w:sz w:val="22"/>
          <w:szCs w:val="22"/>
        </w:rPr>
        <w:t>.</w:t>
      </w:r>
      <w:r w:rsidRPr="008174E3">
        <w:rPr>
          <w:rFonts w:ascii="Arial" w:hAnsi="Arial" w:cs="Arial"/>
          <w:sz w:val="22"/>
          <w:szCs w:val="22"/>
        </w:rPr>
        <w:t xml:space="preserve"> </w:t>
      </w:r>
      <w:r w:rsidR="00C72FE7" w:rsidRPr="008174E3">
        <w:rPr>
          <w:rFonts w:ascii="Arial" w:hAnsi="Arial" w:cs="Arial"/>
          <w:sz w:val="22"/>
          <w:szCs w:val="22"/>
        </w:rPr>
        <w:t xml:space="preserve">Por medio de la presente operación, el BID busca apoyar al </w:t>
      </w:r>
      <w:r w:rsidR="00D42C4F" w:rsidRPr="008174E3">
        <w:rPr>
          <w:rFonts w:ascii="Arial" w:hAnsi="Arial" w:cs="Arial"/>
          <w:sz w:val="22"/>
          <w:szCs w:val="22"/>
        </w:rPr>
        <w:t>G</w:t>
      </w:r>
      <w:r w:rsidR="00C72FE7" w:rsidRPr="008174E3">
        <w:rPr>
          <w:rFonts w:ascii="Arial" w:hAnsi="Arial" w:cs="Arial"/>
          <w:sz w:val="22"/>
          <w:szCs w:val="22"/>
        </w:rPr>
        <w:t xml:space="preserve">obierno </w:t>
      </w:r>
      <w:r w:rsidR="00172572" w:rsidRPr="008174E3">
        <w:rPr>
          <w:rFonts w:ascii="Arial" w:hAnsi="Arial" w:cs="Arial"/>
          <w:sz w:val="22"/>
          <w:szCs w:val="22"/>
        </w:rPr>
        <w:t>de México</w:t>
      </w:r>
      <w:r w:rsidR="00D42C4F" w:rsidRPr="008174E3">
        <w:rPr>
          <w:rFonts w:ascii="Arial" w:hAnsi="Arial" w:cs="Arial"/>
          <w:sz w:val="22"/>
          <w:szCs w:val="22"/>
        </w:rPr>
        <w:t xml:space="preserve"> </w:t>
      </w:r>
      <w:r w:rsidR="00C72FE7" w:rsidRPr="008174E3">
        <w:rPr>
          <w:rFonts w:ascii="Arial" w:hAnsi="Arial" w:cs="Arial"/>
          <w:sz w:val="22"/>
          <w:szCs w:val="22"/>
        </w:rPr>
        <w:t xml:space="preserve">en </w:t>
      </w:r>
      <w:r w:rsidR="00332F75" w:rsidRPr="008174E3">
        <w:rPr>
          <w:rFonts w:ascii="Arial" w:hAnsi="Arial" w:cs="Arial"/>
          <w:sz w:val="22"/>
          <w:szCs w:val="22"/>
        </w:rPr>
        <w:t xml:space="preserve">el fortalecimiento </w:t>
      </w:r>
      <w:r w:rsidR="000128BA" w:rsidRPr="008174E3">
        <w:rPr>
          <w:rFonts w:ascii="Arial" w:hAnsi="Arial" w:cs="Arial"/>
          <w:sz w:val="22"/>
          <w:szCs w:val="22"/>
        </w:rPr>
        <w:t xml:space="preserve">del </w:t>
      </w:r>
      <w:r w:rsidR="00EB33FF" w:rsidRPr="008174E3">
        <w:rPr>
          <w:rFonts w:ascii="Arial" w:hAnsi="Arial" w:cs="Arial"/>
          <w:sz w:val="22"/>
          <w:szCs w:val="22"/>
        </w:rPr>
        <w:t>Servicio de Intermediación Laboral (</w:t>
      </w:r>
      <w:r w:rsidR="000128BA" w:rsidRPr="008174E3">
        <w:rPr>
          <w:rFonts w:ascii="Arial" w:hAnsi="Arial" w:cs="Arial"/>
          <w:sz w:val="22"/>
          <w:szCs w:val="22"/>
        </w:rPr>
        <w:t>SIL</w:t>
      </w:r>
      <w:r w:rsidR="00EB33FF" w:rsidRPr="008174E3">
        <w:rPr>
          <w:rFonts w:ascii="Arial" w:hAnsi="Arial" w:cs="Arial"/>
          <w:sz w:val="22"/>
          <w:szCs w:val="22"/>
        </w:rPr>
        <w:t>)</w:t>
      </w:r>
      <w:r w:rsidR="000128BA" w:rsidRPr="008174E3">
        <w:rPr>
          <w:rFonts w:ascii="Arial" w:hAnsi="Arial" w:cs="Arial"/>
          <w:sz w:val="22"/>
          <w:szCs w:val="22"/>
        </w:rPr>
        <w:t xml:space="preserve"> y de este modo mejorar la inserción laboral de los buscadores de empleo que acuden a este servicio. </w:t>
      </w:r>
    </w:p>
    <w:p w14:paraId="661ABF14" w14:textId="77777777" w:rsidR="000128BA" w:rsidRPr="008174E3" w:rsidRDefault="000128BA" w:rsidP="000128BA">
      <w:pPr>
        <w:pStyle w:val="ListParagraph"/>
        <w:ind w:left="0"/>
        <w:jc w:val="both"/>
        <w:rPr>
          <w:rFonts w:ascii="Arial" w:hAnsi="Arial" w:cs="Arial"/>
          <w:sz w:val="22"/>
          <w:szCs w:val="22"/>
        </w:rPr>
      </w:pPr>
    </w:p>
    <w:p w14:paraId="36E63531" w14:textId="175FFFA5" w:rsidR="000128BA" w:rsidRPr="008174E3" w:rsidRDefault="00CE10F3" w:rsidP="00694AC9">
      <w:pPr>
        <w:pStyle w:val="ListParagraph"/>
        <w:numPr>
          <w:ilvl w:val="0"/>
          <w:numId w:val="8"/>
        </w:numPr>
        <w:ind w:left="0"/>
        <w:jc w:val="both"/>
        <w:rPr>
          <w:rFonts w:ascii="Arial" w:hAnsi="Arial" w:cs="Arial"/>
          <w:sz w:val="22"/>
          <w:szCs w:val="22"/>
        </w:rPr>
      </w:pPr>
      <w:r w:rsidRPr="008174E3">
        <w:rPr>
          <w:rFonts w:ascii="Arial" w:hAnsi="Arial" w:cs="Arial"/>
          <w:sz w:val="22"/>
          <w:szCs w:val="22"/>
        </w:rPr>
        <w:t>En México, la Secretaría del Trabajo y Previsión Social (STPS)</w:t>
      </w:r>
      <w:r w:rsidRPr="008174E3">
        <w:rPr>
          <w:rStyle w:val="FootnoteReference"/>
          <w:rFonts w:ascii="Arial" w:hAnsi="Arial" w:cs="Arial"/>
          <w:sz w:val="22"/>
          <w:szCs w:val="22"/>
        </w:rPr>
        <w:footnoteReference w:id="2"/>
      </w:r>
      <w:r w:rsidRPr="008174E3">
        <w:rPr>
          <w:rFonts w:ascii="Arial" w:hAnsi="Arial" w:cs="Arial"/>
          <w:sz w:val="22"/>
          <w:szCs w:val="22"/>
        </w:rPr>
        <w:t xml:space="preserve">, </w:t>
      </w:r>
      <w:r w:rsidR="000128BA" w:rsidRPr="008174E3">
        <w:rPr>
          <w:rFonts w:ascii="Arial" w:hAnsi="Arial" w:cs="Arial"/>
          <w:sz w:val="22"/>
          <w:szCs w:val="22"/>
        </w:rPr>
        <w:t>a través de la Coordinación General del Servicio Nacional de Empleo (CGSNE)</w:t>
      </w:r>
      <w:r w:rsidRPr="008174E3">
        <w:rPr>
          <w:rFonts w:ascii="Arial" w:hAnsi="Arial" w:cs="Arial"/>
          <w:sz w:val="22"/>
          <w:szCs w:val="22"/>
        </w:rPr>
        <w:t xml:space="preserve"> es la responsable de las políticas de intermediación, desarro</w:t>
      </w:r>
      <w:r w:rsidR="00EE0FA9" w:rsidRPr="008174E3">
        <w:rPr>
          <w:rFonts w:ascii="Arial" w:hAnsi="Arial" w:cs="Arial"/>
          <w:sz w:val="22"/>
          <w:szCs w:val="22"/>
        </w:rPr>
        <w:t>l</w:t>
      </w:r>
      <w:r w:rsidRPr="008174E3">
        <w:rPr>
          <w:rFonts w:ascii="Arial" w:hAnsi="Arial" w:cs="Arial"/>
          <w:sz w:val="22"/>
          <w:szCs w:val="22"/>
        </w:rPr>
        <w:t>lo de habilidades laborales y movilidad laboral</w:t>
      </w:r>
      <w:r w:rsidR="000128BA" w:rsidRPr="008174E3">
        <w:rPr>
          <w:rFonts w:ascii="Arial" w:hAnsi="Arial" w:cs="Arial"/>
          <w:sz w:val="22"/>
          <w:szCs w:val="22"/>
        </w:rPr>
        <w:t xml:space="preserve">. </w:t>
      </w:r>
      <w:r w:rsidRPr="008174E3">
        <w:rPr>
          <w:rFonts w:ascii="Arial" w:hAnsi="Arial" w:cs="Arial"/>
          <w:sz w:val="22"/>
          <w:szCs w:val="22"/>
        </w:rPr>
        <w:t>Para cumplir con estas responsabilidades</w:t>
      </w:r>
      <w:r w:rsidR="00EB6872" w:rsidRPr="008174E3">
        <w:rPr>
          <w:rFonts w:ascii="Arial" w:hAnsi="Arial" w:cs="Arial"/>
          <w:sz w:val="22"/>
          <w:szCs w:val="22"/>
        </w:rPr>
        <w:t>,</w:t>
      </w:r>
      <w:r w:rsidR="002E089E" w:rsidRPr="008174E3">
        <w:rPr>
          <w:rFonts w:ascii="Arial" w:hAnsi="Arial" w:cs="Arial"/>
          <w:sz w:val="22"/>
          <w:szCs w:val="22"/>
        </w:rPr>
        <w:t xml:space="preserve"> la STPS canaliza la provisión de las políticas activas de mercado laboral través del </w:t>
      </w:r>
      <w:r w:rsidRPr="008174E3">
        <w:rPr>
          <w:rFonts w:ascii="Arial" w:hAnsi="Arial" w:cs="Arial"/>
          <w:sz w:val="22"/>
          <w:szCs w:val="22"/>
        </w:rPr>
        <w:t>SNE (</w:t>
      </w:r>
      <w:r w:rsidR="00B6340E" w:rsidRPr="008174E3">
        <w:rPr>
          <w:rFonts w:ascii="Arial" w:hAnsi="Arial" w:cs="Arial"/>
          <w:sz w:val="22"/>
          <w:szCs w:val="22"/>
        </w:rPr>
        <w:t>Analítica</w:t>
      </w:r>
      <w:r w:rsidR="009C7E3B" w:rsidRPr="008174E3">
        <w:rPr>
          <w:rFonts w:ascii="Arial" w:hAnsi="Arial" w:cs="Arial"/>
          <w:sz w:val="22"/>
          <w:szCs w:val="22"/>
        </w:rPr>
        <w:t xml:space="preserve"> Consultores</w:t>
      </w:r>
      <w:r w:rsidRPr="008174E3">
        <w:rPr>
          <w:rFonts w:ascii="Arial" w:hAnsi="Arial" w:cs="Arial"/>
          <w:sz w:val="22"/>
          <w:szCs w:val="22"/>
        </w:rPr>
        <w:t xml:space="preserve">, </w:t>
      </w:r>
      <w:r w:rsidR="00FA1163" w:rsidRPr="008174E3">
        <w:rPr>
          <w:rFonts w:ascii="Arial" w:hAnsi="Arial" w:cs="Arial"/>
          <w:sz w:val="22"/>
          <w:szCs w:val="22"/>
        </w:rPr>
        <w:t>2015</w:t>
      </w:r>
      <w:r w:rsidRPr="008174E3">
        <w:rPr>
          <w:rFonts w:ascii="Arial" w:hAnsi="Arial" w:cs="Arial"/>
          <w:sz w:val="22"/>
          <w:szCs w:val="22"/>
        </w:rPr>
        <w:t xml:space="preserve">). </w:t>
      </w:r>
    </w:p>
    <w:p w14:paraId="2729E337" w14:textId="77777777" w:rsidR="000128BA" w:rsidRPr="008174E3" w:rsidRDefault="000128BA" w:rsidP="000128BA">
      <w:pPr>
        <w:pStyle w:val="ListParagraph"/>
        <w:rPr>
          <w:rFonts w:ascii="Arial" w:hAnsi="Arial" w:cs="Arial"/>
          <w:sz w:val="22"/>
          <w:szCs w:val="22"/>
        </w:rPr>
      </w:pPr>
    </w:p>
    <w:p w14:paraId="22C3EB0B" w14:textId="2FB69F88" w:rsidR="00EE7387" w:rsidRPr="008174E3" w:rsidRDefault="002E089E" w:rsidP="008A57D0">
      <w:pPr>
        <w:pStyle w:val="ListParagraph"/>
        <w:numPr>
          <w:ilvl w:val="0"/>
          <w:numId w:val="8"/>
        </w:numPr>
        <w:ind w:left="0"/>
        <w:jc w:val="both"/>
        <w:rPr>
          <w:rFonts w:ascii="Arial" w:hAnsi="Arial" w:cs="Arial"/>
          <w:sz w:val="22"/>
          <w:szCs w:val="22"/>
        </w:rPr>
      </w:pPr>
      <w:r w:rsidRPr="008174E3">
        <w:rPr>
          <w:rFonts w:ascii="Arial" w:hAnsi="Arial" w:cs="Arial"/>
          <w:sz w:val="22"/>
          <w:szCs w:val="22"/>
        </w:rPr>
        <w:t>Los esfuerzo</w:t>
      </w:r>
      <w:r w:rsidR="00E8108E" w:rsidRPr="008174E3">
        <w:rPr>
          <w:rFonts w:ascii="Arial" w:hAnsi="Arial" w:cs="Arial"/>
          <w:sz w:val="22"/>
          <w:szCs w:val="22"/>
        </w:rPr>
        <w:t>s</w:t>
      </w:r>
      <w:r w:rsidRPr="008174E3">
        <w:rPr>
          <w:rFonts w:ascii="Arial" w:hAnsi="Arial" w:cs="Arial"/>
          <w:sz w:val="22"/>
          <w:szCs w:val="22"/>
        </w:rPr>
        <w:t xml:space="preserve"> del Gobierno</w:t>
      </w:r>
      <w:r w:rsidR="00E8108E" w:rsidRPr="008174E3">
        <w:rPr>
          <w:rFonts w:ascii="Arial" w:hAnsi="Arial" w:cs="Arial"/>
          <w:sz w:val="22"/>
          <w:szCs w:val="22"/>
        </w:rPr>
        <w:t xml:space="preserve"> </w:t>
      </w:r>
      <w:r w:rsidRPr="008174E3">
        <w:rPr>
          <w:rFonts w:ascii="Arial" w:hAnsi="Arial" w:cs="Arial"/>
          <w:sz w:val="22"/>
          <w:szCs w:val="22"/>
        </w:rPr>
        <w:t>de México</w:t>
      </w:r>
      <w:r w:rsidR="00E8108E" w:rsidRPr="008174E3">
        <w:rPr>
          <w:rFonts w:ascii="Arial" w:hAnsi="Arial" w:cs="Arial"/>
          <w:sz w:val="22"/>
          <w:szCs w:val="22"/>
        </w:rPr>
        <w:t>, apoyado por el Banco,</w:t>
      </w:r>
      <w:r w:rsidRPr="008174E3">
        <w:rPr>
          <w:rFonts w:ascii="Arial" w:hAnsi="Arial" w:cs="Arial"/>
          <w:sz w:val="22"/>
          <w:szCs w:val="22"/>
        </w:rPr>
        <w:t xml:space="preserve"> han hecho </w:t>
      </w:r>
      <w:r w:rsidR="00EE0FA9" w:rsidRPr="008174E3">
        <w:rPr>
          <w:rFonts w:ascii="Arial" w:hAnsi="Arial" w:cs="Arial"/>
          <w:sz w:val="22"/>
          <w:szCs w:val="22"/>
        </w:rPr>
        <w:t xml:space="preserve">que el </w:t>
      </w:r>
      <w:r w:rsidRPr="008174E3">
        <w:rPr>
          <w:rFonts w:ascii="Arial" w:hAnsi="Arial" w:cs="Arial"/>
          <w:sz w:val="22"/>
          <w:szCs w:val="22"/>
        </w:rPr>
        <w:t xml:space="preserve">SNE </w:t>
      </w:r>
      <w:r w:rsidR="00EE0FA9" w:rsidRPr="008174E3">
        <w:rPr>
          <w:rFonts w:ascii="Arial" w:hAnsi="Arial" w:cs="Arial"/>
          <w:sz w:val="22"/>
          <w:szCs w:val="22"/>
        </w:rPr>
        <w:t>cuent</w:t>
      </w:r>
      <w:r w:rsidRPr="008174E3">
        <w:rPr>
          <w:rFonts w:ascii="Arial" w:hAnsi="Arial" w:cs="Arial"/>
          <w:sz w:val="22"/>
          <w:szCs w:val="22"/>
        </w:rPr>
        <w:t>e</w:t>
      </w:r>
      <w:r w:rsidR="00EE0FA9" w:rsidRPr="008174E3">
        <w:rPr>
          <w:rFonts w:ascii="Arial" w:hAnsi="Arial" w:cs="Arial"/>
          <w:sz w:val="22"/>
          <w:szCs w:val="22"/>
        </w:rPr>
        <w:t xml:space="preserve"> con una amplia red territorial y </w:t>
      </w:r>
      <w:r w:rsidR="00430229" w:rsidRPr="008174E3">
        <w:rPr>
          <w:rFonts w:ascii="Arial" w:hAnsi="Arial" w:cs="Arial"/>
          <w:sz w:val="22"/>
          <w:szCs w:val="22"/>
        </w:rPr>
        <w:t>brinde</w:t>
      </w:r>
      <w:r w:rsidR="00EE0FA9" w:rsidRPr="008174E3">
        <w:rPr>
          <w:rFonts w:ascii="Arial" w:hAnsi="Arial" w:cs="Arial"/>
          <w:sz w:val="22"/>
          <w:szCs w:val="22"/>
        </w:rPr>
        <w:t xml:space="preserve"> diversos servicios de atención a buscadores de empleo y empleadores</w:t>
      </w:r>
      <w:r w:rsidR="00EE0FA9" w:rsidRPr="008174E3">
        <w:rPr>
          <w:rStyle w:val="FootnoteReference"/>
          <w:rFonts w:ascii="Arial" w:hAnsi="Arial" w:cs="Arial"/>
          <w:sz w:val="22"/>
          <w:szCs w:val="22"/>
        </w:rPr>
        <w:footnoteReference w:id="3"/>
      </w:r>
      <w:r w:rsidRPr="008174E3">
        <w:rPr>
          <w:rFonts w:ascii="Arial" w:hAnsi="Arial" w:cs="Arial"/>
          <w:sz w:val="22"/>
          <w:szCs w:val="22"/>
        </w:rPr>
        <w:t xml:space="preserve">. Sin embargo, </w:t>
      </w:r>
      <w:r w:rsidRPr="008174E3">
        <w:rPr>
          <w:rFonts w:ascii="Arial" w:eastAsia="Arial" w:hAnsi="Arial" w:cs="Arial"/>
          <w:sz w:val="22"/>
          <w:szCs w:val="22"/>
        </w:rPr>
        <w:t>los avances mencionados son aun incipientes e incompletos</w:t>
      </w:r>
      <w:r w:rsidR="0084766F" w:rsidRPr="008174E3">
        <w:rPr>
          <w:rFonts w:ascii="Arial" w:eastAsia="Arial" w:hAnsi="Arial" w:cs="Arial"/>
          <w:sz w:val="22"/>
          <w:szCs w:val="22"/>
        </w:rPr>
        <w:t>,</w:t>
      </w:r>
      <w:r w:rsidRPr="008174E3">
        <w:rPr>
          <w:rFonts w:ascii="Arial" w:eastAsia="Arial" w:hAnsi="Arial" w:cs="Arial"/>
          <w:sz w:val="22"/>
          <w:szCs w:val="22"/>
        </w:rPr>
        <w:t xml:space="preserve"> además </w:t>
      </w:r>
      <w:r w:rsidR="00430229" w:rsidRPr="008174E3">
        <w:rPr>
          <w:rFonts w:ascii="Arial" w:eastAsia="Arial" w:hAnsi="Arial" w:cs="Arial"/>
          <w:sz w:val="22"/>
          <w:szCs w:val="22"/>
        </w:rPr>
        <w:t xml:space="preserve">de haberse dado </w:t>
      </w:r>
      <w:r w:rsidRPr="008174E3">
        <w:rPr>
          <w:rFonts w:ascii="Arial" w:eastAsia="Arial" w:hAnsi="Arial" w:cs="Arial"/>
          <w:sz w:val="22"/>
          <w:szCs w:val="22"/>
        </w:rPr>
        <w:t xml:space="preserve">de forma poco articulada, sin una mirada global y sistémica. </w:t>
      </w:r>
    </w:p>
    <w:p w14:paraId="5CE58D42" w14:textId="77777777" w:rsidR="0084766F" w:rsidRPr="008174E3" w:rsidRDefault="0084766F" w:rsidP="0084766F">
      <w:pPr>
        <w:pStyle w:val="ListParagraph"/>
        <w:rPr>
          <w:rFonts w:ascii="Arial" w:hAnsi="Arial" w:cs="Arial"/>
          <w:sz w:val="22"/>
          <w:szCs w:val="22"/>
        </w:rPr>
      </w:pPr>
    </w:p>
    <w:p w14:paraId="5D6E5486" w14:textId="1FDF19AB" w:rsidR="00A070D9" w:rsidRPr="008174E3" w:rsidRDefault="0084766F" w:rsidP="00A070D9">
      <w:pPr>
        <w:pStyle w:val="ListParagraph"/>
        <w:numPr>
          <w:ilvl w:val="0"/>
          <w:numId w:val="8"/>
        </w:numPr>
        <w:tabs>
          <w:tab w:val="left" w:pos="360"/>
        </w:tabs>
        <w:ind w:left="0"/>
        <w:jc w:val="both"/>
        <w:rPr>
          <w:rFonts w:ascii="Arial" w:hAnsi="Arial" w:cs="Arial"/>
          <w:sz w:val="22"/>
          <w:szCs w:val="22"/>
        </w:rPr>
      </w:pPr>
      <w:r w:rsidRPr="008174E3">
        <w:rPr>
          <w:rFonts w:ascii="Arial" w:hAnsi="Arial" w:cs="Arial"/>
          <w:sz w:val="22"/>
          <w:szCs w:val="22"/>
        </w:rPr>
        <w:t>A</w:t>
      </w:r>
      <w:r w:rsidR="00A070D9" w:rsidRPr="008174E3">
        <w:rPr>
          <w:rFonts w:ascii="Arial" w:hAnsi="Arial" w:cs="Arial"/>
          <w:sz w:val="22"/>
          <w:szCs w:val="22"/>
        </w:rPr>
        <w:t xml:space="preserve"> pesar de haber </w:t>
      </w:r>
      <w:r w:rsidR="00986966" w:rsidRPr="008174E3">
        <w:rPr>
          <w:rFonts w:ascii="Arial" w:hAnsi="Arial" w:cs="Arial"/>
          <w:sz w:val="22"/>
          <w:szCs w:val="22"/>
        </w:rPr>
        <w:t>mostrado mejoras en cuanto a</w:t>
      </w:r>
      <w:r w:rsidR="00430229" w:rsidRPr="008174E3">
        <w:rPr>
          <w:rFonts w:ascii="Arial" w:hAnsi="Arial" w:cs="Arial"/>
          <w:sz w:val="22"/>
          <w:szCs w:val="22"/>
        </w:rPr>
        <w:t xml:space="preserve"> sus variables laborales </w:t>
      </w:r>
      <w:r w:rsidR="00EB6872" w:rsidRPr="008174E3">
        <w:rPr>
          <w:rFonts w:ascii="Arial" w:hAnsi="Arial" w:cs="Arial"/>
          <w:sz w:val="22"/>
          <w:szCs w:val="22"/>
        </w:rPr>
        <w:t xml:space="preserve">en los últimos años </w:t>
      </w:r>
      <w:r w:rsidR="00430229" w:rsidRPr="008174E3">
        <w:rPr>
          <w:rFonts w:ascii="Arial" w:hAnsi="Arial" w:cs="Arial"/>
          <w:sz w:val="22"/>
          <w:szCs w:val="22"/>
        </w:rPr>
        <w:t xml:space="preserve">(como son el </w:t>
      </w:r>
      <w:r w:rsidR="00986966" w:rsidRPr="008174E3">
        <w:rPr>
          <w:rFonts w:ascii="Arial" w:hAnsi="Arial" w:cs="Arial"/>
          <w:sz w:val="22"/>
          <w:szCs w:val="22"/>
        </w:rPr>
        <w:t>desempleo, subempleo e informalidad</w:t>
      </w:r>
      <w:r w:rsidR="00430229" w:rsidRPr="008174E3">
        <w:rPr>
          <w:rFonts w:ascii="Arial" w:hAnsi="Arial" w:cs="Arial"/>
          <w:sz w:val="22"/>
          <w:szCs w:val="22"/>
        </w:rPr>
        <w:t>)</w:t>
      </w:r>
      <w:r w:rsidR="00986966" w:rsidRPr="008174E3">
        <w:rPr>
          <w:rFonts w:ascii="Arial" w:hAnsi="Arial" w:cs="Arial"/>
          <w:sz w:val="22"/>
          <w:szCs w:val="22"/>
        </w:rPr>
        <w:t xml:space="preserve">, </w:t>
      </w:r>
      <w:r w:rsidR="002C3066" w:rsidRPr="008174E3">
        <w:rPr>
          <w:rFonts w:ascii="Arial" w:hAnsi="Arial" w:cs="Arial"/>
          <w:sz w:val="22"/>
          <w:szCs w:val="22"/>
        </w:rPr>
        <w:t xml:space="preserve">México </w:t>
      </w:r>
      <w:r w:rsidR="00A070D9" w:rsidRPr="008174E3">
        <w:rPr>
          <w:rFonts w:ascii="Arial" w:hAnsi="Arial" w:cs="Arial"/>
          <w:sz w:val="22"/>
          <w:szCs w:val="22"/>
        </w:rPr>
        <w:t>todavía presenta un ba</w:t>
      </w:r>
      <w:r w:rsidR="00975B26" w:rsidRPr="008174E3">
        <w:rPr>
          <w:rFonts w:ascii="Arial" w:hAnsi="Arial" w:cs="Arial"/>
          <w:sz w:val="22"/>
          <w:szCs w:val="22"/>
        </w:rPr>
        <w:t>j</w:t>
      </w:r>
      <w:r w:rsidR="00A070D9" w:rsidRPr="008174E3">
        <w:rPr>
          <w:rFonts w:ascii="Arial" w:hAnsi="Arial" w:cs="Arial"/>
          <w:sz w:val="22"/>
          <w:szCs w:val="22"/>
        </w:rPr>
        <w:t>o nivel de productividad laboral y un mercado laboral con alta informalidad.</w:t>
      </w:r>
      <w:r w:rsidRPr="008174E3">
        <w:rPr>
          <w:rFonts w:ascii="Arial" w:hAnsi="Arial" w:cs="Arial"/>
          <w:sz w:val="22"/>
          <w:szCs w:val="22"/>
        </w:rPr>
        <w:t xml:space="preserve"> Donde a</w:t>
      </w:r>
      <w:r w:rsidR="00A070D9" w:rsidRPr="008174E3">
        <w:rPr>
          <w:rFonts w:ascii="Arial" w:hAnsi="Arial" w:cs="Arial"/>
          <w:sz w:val="22"/>
          <w:szCs w:val="22"/>
        </w:rPr>
        <w:t>dicionalmente</w:t>
      </w:r>
      <w:r w:rsidR="00975B26" w:rsidRPr="008174E3">
        <w:rPr>
          <w:rFonts w:ascii="Arial" w:hAnsi="Arial" w:cs="Arial"/>
          <w:sz w:val="22"/>
          <w:szCs w:val="22"/>
        </w:rPr>
        <w:t>,</w:t>
      </w:r>
      <w:r w:rsidR="00A070D9" w:rsidRPr="008174E3">
        <w:rPr>
          <w:rFonts w:ascii="Arial" w:hAnsi="Arial" w:cs="Arial"/>
          <w:sz w:val="22"/>
          <w:szCs w:val="22"/>
        </w:rPr>
        <w:t xml:space="preserve"> </w:t>
      </w:r>
      <w:r w:rsidR="001C6F0D" w:rsidRPr="008174E3">
        <w:rPr>
          <w:rFonts w:ascii="Arial" w:hAnsi="Arial" w:cs="Arial"/>
          <w:sz w:val="22"/>
          <w:szCs w:val="22"/>
        </w:rPr>
        <w:t xml:space="preserve">se ha documentado </w:t>
      </w:r>
      <w:r w:rsidR="002E089E" w:rsidRPr="008174E3">
        <w:rPr>
          <w:rFonts w:ascii="Arial" w:hAnsi="Arial" w:cs="Arial"/>
          <w:sz w:val="22"/>
          <w:szCs w:val="22"/>
        </w:rPr>
        <w:t xml:space="preserve">un alto grado de </w:t>
      </w:r>
      <w:r w:rsidR="00986966" w:rsidRPr="008174E3">
        <w:rPr>
          <w:rFonts w:ascii="Arial" w:hAnsi="Arial" w:cs="Arial"/>
          <w:sz w:val="22"/>
          <w:szCs w:val="22"/>
        </w:rPr>
        <w:t>rotación laboral que implica una necesidad frecuente de buscar trabajo.</w:t>
      </w:r>
    </w:p>
    <w:p w14:paraId="0D4C0391" w14:textId="77777777" w:rsidR="00A070D9" w:rsidRPr="008174E3" w:rsidRDefault="00A070D9" w:rsidP="00A070D9">
      <w:pPr>
        <w:pStyle w:val="ListParagraph"/>
        <w:rPr>
          <w:rFonts w:ascii="Arial" w:hAnsi="Arial" w:cs="Arial"/>
          <w:sz w:val="22"/>
          <w:szCs w:val="22"/>
        </w:rPr>
      </w:pPr>
    </w:p>
    <w:p w14:paraId="3CEFAF6D" w14:textId="3C92CC9E" w:rsidR="00975B26" w:rsidRPr="008174E3" w:rsidRDefault="00A070D9" w:rsidP="00EB6872">
      <w:pPr>
        <w:pStyle w:val="ListParagraph"/>
        <w:numPr>
          <w:ilvl w:val="0"/>
          <w:numId w:val="8"/>
        </w:numPr>
        <w:ind w:left="0"/>
        <w:jc w:val="both"/>
        <w:rPr>
          <w:rFonts w:ascii="Arial" w:hAnsi="Arial" w:cs="Arial"/>
          <w:sz w:val="22"/>
          <w:szCs w:val="22"/>
        </w:rPr>
      </w:pPr>
      <w:r w:rsidRPr="008174E3">
        <w:rPr>
          <w:rFonts w:ascii="Arial" w:hAnsi="Arial" w:cs="Arial"/>
          <w:sz w:val="22"/>
          <w:szCs w:val="22"/>
        </w:rPr>
        <w:t xml:space="preserve">En este contexto, se evidencia que los buscadores de trabajo más </w:t>
      </w:r>
      <w:r w:rsidR="003D6EB3" w:rsidRPr="008174E3">
        <w:rPr>
          <w:rFonts w:ascii="Arial" w:hAnsi="Arial" w:cs="Arial"/>
          <w:sz w:val="22"/>
          <w:szCs w:val="22"/>
        </w:rPr>
        <w:t>vulnerables</w:t>
      </w:r>
      <w:r w:rsidRPr="008174E3">
        <w:rPr>
          <w:rFonts w:ascii="Arial" w:hAnsi="Arial" w:cs="Arial"/>
          <w:sz w:val="22"/>
          <w:szCs w:val="22"/>
        </w:rPr>
        <w:t xml:space="preserve"> presentan mayores niveles de informalidad y subempleo</w:t>
      </w:r>
      <w:r w:rsidR="0047318E" w:rsidRPr="008174E3">
        <w:rPr>
          <w:rFonts w:ascii="Arial" w:hAnsi="Arial" w:cs="Arial"/>
          <w:sz w:val="22"/>
          <w:szCs w:val="22"/>
        </w:rPr>
        <w:t>, además de estar insertos</w:t>
      </w:r>
      <w:r w:rsidR="00975B26" w:rsidRPr="008174E3">
        <w:rPr>
          <w:rFonts w:ascii="Arial" w:hAnsi="Arial" w:cs="Arial"/>
          <w:sz w:val="22"/>
          <w:szCs w:val="22"/>
        </w:rPr>
        <w:t xml:space="preserve"> en trabajos con bajos niveles de productividad y escaso acceso a capacitación. Es este mismo grupo de trabajadores que, debido a la falta de información sobre vacantes laborales, tienen </w:t>
      </w:r>
      <w:r w:rsidRPr="008174E3">
        <w:rPr>
          <w:rFonts w:ascii="Arial" w:hAnsi="Arial" w:cs="Arial"/>
          <w:sz w:val="22"/>
          <w:szCs w:val="22"/>
        </w:rPr>
        <w:t xml:space="preserve">menores oportunidades de </w:t>
      </w:r>
      <w:r w:rsidR="00975B26" w:rsidRPr="008174E3">
        <w:rPr>
          <w:rFonts w:ascii="Arial" w:hAnsi="Arial" w:cs="Arial"/>
          <w:sz w:val="22"/>
          <w:szCs w:val="22"/>
        </w:rPr>
        <w:t xml:space="preserve">realizar </w:t>
      </w:r>
      <w:r w:rsidRPr="008174E3">
        <w:rPr>
          <w:rFonts w:ascii="Arial" w:hAnsi="Arial" w:cs="Arial"/>
          <w:sz w:val="22"/>
          <w:szCs w:val="22"/>
        </w:rPr>
        <w:t>búsqueda</w:t>
      </w:r>
      <w:r w:rsidR="00975B26" w:rsidRPr="008174E3">
        <w:rPr>
          <w:rFonts w:ascii="Arial" w:hAnsi="Arial" w:cs="Arial"/>
          <w:sz w:val="22"/>
          <w:szCs w:val="22"/>
        </w:rPr>
        <w:t>s</w:t>
      </w:r>
      <w:r w:rsidRPr="008174E3">
        <w:rPr>
          <w:rFonts w:ascii="Arial" w:hAnsi="Arial" w:cs="Arial"/>
          <w:sz w:val="22"/>
          <w:szCs w:val="22"/>
        </w:rPr>
        <w:t xml:space="preserve"> efica</w:t>
      </w:r>
      <w:r w:rsidR="00975B26" w:rsidRPr="008174E3">
        <w:rPr>
          <w:rFonts w:ascii="Arial" w:hAnsi="Arial" w:cs="Arial"/>
          <w:sz w:val="22"/>
          <w:szCs w:val="22"/>
        </w:rPr>
        <w:t xml:space="preserve">ces </w:t>
      </w:r>
      <w:r w:rsidRPr="008174E3">
        <w:rPr>
          <w:rFonts w:ascii="Arial" w:hAnsi="Arial" w:cs="Arial"/>
          <w:sz w:val="22"/>
          <w:szCs w:val="22"/>
        </w:rPr>
        <w:t>de empleo</w:t>
      </w:r>
      <w:r w:rsidR="002C70E9" w:rsidRPr="008174E3">
        <w:rPr>
          <w:rFonts w:ascii="Arial" w:hAnsi="Arial" w:cs="Arial"/>
          <w:sz w:val="22"/>
          <w:szCs w:val="22"/>
        </w:rPr>
        <w:t xml:space="preserve">. Por estos motivos, </w:t>
      </w:r>
      <w:r w:rsidR="00975B26" w:rsidRPr="008174E3">
        <w:rPr>
          <w:rFonts w:ascii="Arial" w:hAnsi="Arial" w:cs="Arial"/>
          <w:sz w:val="22"/>
          <w:szCs w:val="22"/>
        </w:rPr>
        <w:t>m</w:t>
      </w:r>
      <w:r w:rsidRPr="008174E3">
        <w:rPr>
          <w:rFonts w:ascii="Arial" w:hAnsi="Arial" w:cs="Arial"/>
          <w:sz w:val="22"/>
          <w:szCs w:val="22"/>
        </w:rPr>
        <w:t>uchos trabajadores, se encuentra</w:t>
      </w:r>
      <w:r w:rsidR="00975B26" w:rsidRPr="008174E3">
        <w:rPr>
          <w:rFonts w:ascii="Arial" w:hAnsi="Arial" w:cs="Arial"/>
          <w:sz w:val="22"/>
          <w:szCs w:val="22"/>
        </w:rPr>
        <w:t xml:space="preserve">n atrapados en un </w:t>
      </w:r>
      <w:r w:rsidR="00B6340E" w:rsidRPr="008174E3">
        <w:rPr>
          <w:rFonts w:ascii="Arial" w:hAnsi="Arial" w:cs="Arial"/>
          <w:sz w:val="22"/>
          <w:szCs w:val="22"/>
        </w:rPr>
        <w:t>círculo</w:t>
      </w:r>
      <w:r w:rsidR="00975B26" w:rsidRPr="008174E3">
        <w:rPr>
          <w:rFonts w:ascii="Arial" w:hAnsi="Arial" w:cs="Arial"/>
          <w:sz w:val="22"/>
          <w:szCs w:val="22"/>
        </w:rPr>
        <w:t xml:space="preserve"> vicio</w:t>
      </w:r>
      <w:r w:rsidR="0047318E" w:rsidRPr="008174E3">
        <w:rPr>
          <w:rFonts w:ascii="Arial" w:hAnsi="Arial" w:cs="Arial"/>
          <w:sz w:val="22"/>
          <w:szCs w:val="22"/>
        </w:rPr>
        <w:t>so</w:t>
      </w:r>
      <w:r w:rsidRPr="008174E3">
        <w:rPr>
          <w:rFonts w:ascii="Arial" w:hAnsi="Arial" w:cs="Arial"/>
          <w:sz w:val="22"/>
          <w:szCs w:val="22"/>
        </w:rPr>
        <w:t xml:space="preserve"> </w:t>
      </w:r>
      <w:r w:rsidR="00975B26" w:rsidRPr="008174E3">
        <w:rPr>
          <w:rFonts w:ascii="Arial" w:hAnsi="Arial" w:cs="Arial"/>
          <w:sz w:val="22"/>
          <w:szCs w:val="22"/>
        </w:rPr>
        <w:t xml:space="preserve">de </w:t>
      </w:r>
      <w:r w:rsidRPr="008174E3">
        <w:rPr>
          <w:rFonts w:ascii="Arial" w:hAnsi="Arial" w:cs="Arial"/>
          <w:sz w:val="22"/>
          <w:szCs w:val="22"/>
        </w:rPr>
        <w:t xml:space="preserve">malos empleos, </w:t>
      </w:r>
      <w:r w:rsidR="0047318E" w:rsidRPr="008174E3">
        <w:rPr>
          <w:rFonts w:ascii="Arial" w:hAnsi="Arial" w:cs="Arial"/>
          <w:sz w:val="22"/>
          <w:szCs w:val="22"/>
        </w:rPr>
        <w:t xml:space="preserve">poca </w:t>
      </w:r>
      <w:r w:rsidRPr="008174E3">
        <w:rPr>
          <w:rFonts w:ascii="Arial" w:hAnsi="Arial" w:cs="Arial"/>
          <w:sz w:val="22"/>
          <w:szCs w:val="22"/>
        </w:rPr>
        <w:t xml:space="preserve">capacitación y </w:t>
      </w:r>
      <w:r w:rsidR="0047318E" w:rsidRPr="008174E3">
        <w:rPr>
          <w:rFonts w:ascii="Arial" w:hAnsi="Arial" w:cs="Arial"/>
          <w:sz w:val="22"/>
          <w:szCs w:val="22"/>
        </w:rPr>
        <w:t xml:space="preserve">con bajos niveles de </w:t>
      </w:r>
      <w:r w:rsidRPr="008174E3">
        <w:rPr>
          <w:rFonts w:ascii="Arial" w:hAnsi="Arial" w:cs="Arial"/>
          <w:sz w:val="22"/>
          <w:szCs w:val="22"/>
        </w:rPr>
        <w:t xml:space="preserve">capacidad </w:t>
      </w:r>
      <w:r w:rsidR="0047318E" w:rsidRPr="008174E3">
        <w:rPr>
          <w:rFonts w:ascii="Arial" w:hAnsi="Arial" w:cs="Arial"/>
          <w:sz w:val="22"/>
          <w:szCs w:val="22"/>
        </w:rPr>
        <w:t xml:space="preserve">de </w:t>
      </w:r>
      <w:r w:rsidR="00B6340E" w:rsidRPr="008174E3">
        <w:rPr>
          <w:rFonts w:ascii="Arial" w:hAnsi="Arial" w:cs="Arial"/>
          <w:sz w:val="22"/>
          <w:szCs w:val="22"/>
        </w:rPr>
        <w:t>búsqueda</w:t>
      </w:r>
      <w:r w:rsidR="00A724EA">
        <w:rPr>
          <w:rFonts w:ascii="Arial" w:hAnsi="Arial" w:cs="Arial"/>
          <w:sz w:val="22"/>
          <w:szCs w:val="22"/>
        </w:rPr>
        <w:t xml:space="preserve"> de</w:t>
      </w:r>
      <w:r w:rsidR="0047318E" w:rsidRPr="008174E3">
        <w:rPr>
          <w:rFonts w:ascii="Arial" w:hAnsi="Arial" w:cs="Arial"/>
          <w:sz w:val="22"/>
          <w:szCs w:val="22"/>
        </w:rPr>
        <w:t xml:space="preserve"> </w:t>
      </w:r>
      <w:r w:rsidRPr="008174E3">
        <w:rPr>
          <w:rFonts w:ascii="Arial" w:hAnsi="Arial" w:cs="Arial"/>
          <w:sz w:val="22"/>
          <w:szCs w:val="22"/>
        </w:rPr>
        <w:t xml:space="preserve">mejores opciones laborales. </w:t>
      </w:r>
    </w:p>
    <w:p w14:paraId="3A7F9F40" w14:textId="77777777" w:rsidR="00975B26" w:rsidRPr="008174E3" w:rsidRDefault="00975B26" w:rsidP="00975B26">
      <w:pPr>
        <w:pStyle w:val="ListParagraph"/>
        <w:rPr>
          <w:rFonts w:ascii="Arial" w:hAnsi="Arial" w:cs="Arial"/>
        </w:rPr>
      </w:pPr>
    </w:p>
    <w:p w14:paraId="37C47088" w14:textId="08BF384E" w:rsidR="00A070D9" w:rsidRPr="008174E3" w:rsidRDefault="007C7C23" w:rsidP="001610C3">
      <w:pPr>
        <w:pStyle w:val="ListParagraph"/>
        <w:numPr>
          <w:ilvl w:val="0"/>
          <w:numId w:val="8"/>
        </w:numPr>
        <w:tabs>
          <w:tab w:val="left" w:pos="360"/>
        </w:tabs>
        <w:ind w:left="0"/>
        <w:jc w:val="both"/>
        <w:rPr>
          <w:rFonts w:ascii="Arial" w:hAnsi="Arial" w:cs="Arial"/>
          <w:sz w:val="22"/>
          <w:szCs w:val="22"/>
        </w:rPr>
      </w:pPr>
      <w:r w:rsidRPr="008174E3">
        <w:rPr>
          <w:rFonts w:ascii="Arial" w:hAnsi="Arial" w:cs="Arial"/>
          <w:sz w:val="22"/>
          <w:szCs w:val="22"/>
        </w:rPr>
        <w:t>Adicionalmente, México</w:t>
      </w:r>
      <w:r w:rsidR="00A070D9" w:rsidRPr="008174E3">
        <w:rPr>
          <w:rFonts w:ascii="Arial" w:hAnsi="Arial" w:cs="Arial"/>
          <w:sz w:val="22"/>
          <w:szCs w:val="22"/>
        </w:rPr>
        <w:t xml:space="preserve"> enfrenta grandes </w:t>
      </w:r>
      <w:r w:rsidR="00B6340E" w:rsidRPr="008174E3">
        <w:rPr>
          <w:rFonts w:ascii="Arial" w:hAnsi="Arial" w:cs="Arial"/>
          <w:sz w:val="22"/>
          <w:szCs w:val="22"/>
        </w:rPr>
        <w:t>desafíos</w:t>
      </w:r>
      <w:r w:rsidR="00A070D9" w:rsidRPr="008174E3">
        <w:rPr>
          <w:rFonts w:ascii="Arial" w:hAnsi="Arial" w:cs="Arial"/>
          <w:sz w:val="22"/>
          <w:szCs w:val="22"/>
        </w:rPr>
        <w:t xml:space="preserve"> en materia de igualdad de género, explicado por un menor nivel de participación de las mujeres en el mercado laboral, (debido </w:t>
      </w:r>
      <w:r w:rsidR="00975B26" w:rsidRPr="008174E3">
        <w:rPr>
          <w:rFonts w:ascii="Arial" w:hAnsi="Arial" w:cs="Arial"/>
          <w:sz w:val="22"/>
          <w:szCs w:val="22"/>
        </w:rPr>
        <w:t xml:space="preserve">mayoritariamente </w:t>
      </w:r>
      <w:r w:rsidR="00A070D9" w:rsidRPr="008174E3">
        <w:rPr>
          <w:rFonts w:ascii="Arial" w:hAnsi="Arial" w:cs="Arial"/>
          <w:sz w:val="22"/>
          <w:szCs w:val="22"/>
        </w:rPr>
        <w:t>a una elevada carga de trabajo no remunerado</w:t>
      </w:r>
      <w:r w:rsidR="00975B26" w:rsidRPr="008174E3">
        <w:rPr>
          <w:rFonts w:ascii="Arial" w:hAnsi="Arial" w:cs="Arial"/>
          <w:sz w:val="22"/>
          <w:szCs w:val="22"/>
        </w:rPr>
        <w:t xml:space="preserve"> </w:t>
      </w:r>
      <w:r w:rsidR="00B6340E" w:rsidRPr="008174E3">
        <w:rPr>
          <w:rFonts w:ascii="Arial" w:hAnsi="Arial" w:cs="Arial"/>
          <w:sz w:val="22"/>
          <w:szCs w:val="22"/>
        </w:rPr>
        <w:t>en el</w:t>
      </w:r>
      <w:r w:rsidR="00975B26" w:rsidRPr="008174E3">
        <w:rPr>
          <w:rFonts w:ascii="Arial" w:hAnsi="Arial" w:cs="Arial"/>
          <w:sz w:val="22"/>
          <w:szCs w:val="22"/>
        </w:rPr>
        <w:t xml:space="preserve"> hogar</w:t>
      </w:r>
      <w:r w:rsidR="00A070D9" w:rsidRPr="008174E3">
        <w:rPr>
          <w:rFonts w:ascii="Arial" w:hAnsi="Arial" w:cs="Arial"/>
          <w:sz w:val="22"/>
          <w:szCs w:val="22"/>
        </w:rPr>
        <w:t xml:space="preserve">) y una mayor participación en empleos informales. Siendo </w:t>
      </w:r>
      <w:r w:rsidR="00975B26" w:rsidRPr="008174E3">
        <w:rPr>
          <w:rFonts w:ascii="Arial" w:hAnsi="Arial" w:cs="Arial"/>
          <w:sz w:val="22"/>
          <w:szCs w:val="22"/>
        </w:rPr>
        <w:t xml:space="preserve">estos </w:t>
      </w:r>
      <w:r w:rsidR="00A070D9" w:rsidRPr="008174E3">
        <w:rPr>
          <w:rFonts w:ascii="Arial" w:hAnsi="Arial" w:cs="Arial"/>
          <w:sz w:val="22"/>
          <w:szCs w:val="22"/>
        </w:rPr>
        <w:t xml:space="preserve">indicadores mayores </w:t>
      </w:r>
      <w:r w:rsidR="00975B26" w:rsidRPr="008174E3">
        <w:rPr>
          <w:rFonts w:ascii="Arial" w:hAnsi="Arial" w:cs="Arial"/>
          <w:sz w:val="22"/>
          <w:szCs w:val="22"/>
        </w:rPr>
        <w:t xml:space="preserve">al </w:t>
      </w:r>
      <w:r w:rsidR="00A070D9" w:rsidRPr="008174E3">
        <w:rPr>
          <w:rFonts w:ascii="Arial" w:hAnsi="Arial" w:cs="Arial"/>
          <w:sz w:val="22"/>
          <w:szCs w:val="22"/>
        </w:rPr>
        <w:t>promedio regional</w:t>
      </w:r>
      <w:r w:rsidR="001C6F0D" w:rsidRPr="008174E3">
        <w:rPr>
          <w:rFonts w:ascii="Arial" w:hAnsi="Arial" w:cs="Arial"/>
          <w:sz w:val="22"/>
          <w:szCs w:val="22"/>
        </w:rPr>
        <w:t xml:space="preserve"> </w:t>
      </w:r>
      <w:r w:rsidR="00C34007" w:rsidRPr="008174E3">
        <w:rPr>
          <w:rFonts w:ascii="Arial" w:hAnsi="Arial" w:cs="Arial"/>
          <w:sz w:val="22"/>
          <w:szCs w:val="22"/>
        </w:rPr>
        <w:t>(</w:t>
      </w:r>
      <w:r w:rsidR="0084766F" w:rsidRPr="008174E3">
        <w:rPr>
          <w:rFonts w:ascii="Arial" w:hAnsi="Arial" w:cs="Arial"/>
          <w:sz w:val="22"/>
          <w:szCs w:val="22"/>
        </w:rPr>
        <w:t xml:space="preserve">Calónico &amp; Ñopo, 2008; </w:t>
      </w:r>
      <w:r w:rsidR="00C34007" w:rsidRPr="008174E3">
        <w:rPr>
          <w:rFonts w:ascii="Arial" w:hAnsi="Arial" w:cs="Arial"/>
          <w:sz w:val="22"/>
          <w:szCs w:val="22"/>
        </w:rPr>
        <w:t>Ñ</w:t>
      </w:r>
      <w:r w:rsidR="001C6F0D" w:rsidRPr="008174E3">
        <w:rPr>
          <w:rFonts w:ascii="Arial" w:hAnsi="Arial" w:cs="Arial"/>
          <w:sz w:val="22"/>
          <w:szCs w:val="22"/>
        </w:rPr>
        <w:t>opo,2012)</w:t>
      </w:r>
      <w:r w:rsidR="00A070D9" w:rsidRPr="008174E3">
        <w:rPr>
          <w:rFonts w:ascii="Arial" w:hAnsi="Arial" w:cs="Arial"/>
          <w:sz w:val="22"/>
          <w:szCs w:val="22"/>
        </w:rPr>
        <w:t xml:space="preserve">. </w:t>
      </w:r>
    </w:p>
    <w:p w14:paraId="6369E486" w14:textId="77777777" w:rsidR="00A070D9" w:rsidRPr="008174E3" w:rsidRDefault="00A070D9" w:rsidP="00A070D9">
      <w:pPr>
        <w:pStyle w:val="ListParagraph"/>
        <w:rPr>
          <w:rFonts w:ascii="Arial" w:hAnsi="Arial" w:cs="Arial"/>
          <w:sz w:val="22"/>
          <w:szCs w:val="22"/>
        </w:rPr>
      </w:pPr>
    </w:p>
    <w:p w14:paraId="356F9EBD" w14:textId="13364130" w:rsidR="00EE0FA9" w:rsidRPr="008174E3" w:rsidRDefault="00EE0FA9" w:rsidP="00A070D9">
      <w:pPr>
        <w:pStyle w:val="ListParagraph"/>
        <w:numPr>
          <w:ilvl w:val="0"/>
          <w:numId w:val="8"/>
        </w:numPr>
        <w:tabs>
          <w:tab w:val="left" w:pos="360"/>
        </w:tabs>
        <w:ind w:left="0"/>
        <w:jc w:val="both"/>
        <w:rPr>
          <w:rFonts w:ascii="Arial" w:hAnsi="Arial" w:cs="Arial"/>
          <w:sz w:val="22"/>
          <w:szCs w:val="22"/>
        </w:rPr>
      </w:pPr>
      <w:r w:rsidRPr="008174E3">
        <w:rPr>
          <w:rFonts w:ascii="Arial" w:hAnsi="Arial" w:cs="Arial"/>
          <w:sz w:val="22"/>
          <w:szCs w:val="22"/>
        </w:rPr>
        <w:lastRenderedPageBreak/>
        <w:t>En este contexto el rol de la intermediaci</w:t>
      </w:r>
      <w:r w:rsidR="00A070D9" w:rsidRPr="008174E3">
        <w:rPr>
          <w:rFonts w:ascii="Arial" w:hAnsi="Arial" w:cs="Arial"/>
          <w:sz w:val="22"/>
          <w:szCs w:val="22"/>
        </w:rPr>
        <w:t>ón labora</w:t>
      </w:r>
      <w:r w:rsidRPr="008174E3">
        <w:rPr>
          <w:rFonts w:ascii="Arial" w:hAnsi="Arial" w:cs="Arial"/>
          <w:sz w:val="22"/>
          <w:szCs w:val="22"/>
        </w:rPr>
        <w:t>l</w:t>
      </w:r>
      <w:r w:rsidR="00A070D9" w:rsidRPr="008174E3">
        <w:rPr>
          <w:rFonts w:ascii="Arial" w:hAnsi="Arial" w:cs="Arial"/>
          <w:sz w:val="22"/>
          <w:szCs w:val="22"/>
        </w:rPr>
        <w:t xml:space="preserve"> </w:t>
      </w:r>
      <w:r w:rsidRPr="008174E3">
        <w:rPr>
          <w:rFonts w:ascii="Arial" w:hAnsi="Arial" w:cs="Arial"/>
          <w:sz w:val="22"/>
          <w:szCs w:val="22"/>
        </w:rPr>
        <w:t xml:space="preserve">y el desarrollo de </w:t>
      </w:r>
      <w:r w:rsidR="003D6EB3" w:rsidRPr="008174E3">
        <w:rPr>
          <w:rFonts w:ascii="Arial" w:hAnsi="Arial" w:cs="Arial"/>
          <w:sz w:val="22"/>
          <w:szCs w:val="22"/>
        </w:rPr>
        <w:t>habilidades</w:t>
      </w:r>
      <w:r w:rsidRPr="008174E3">
        <w:rPr>
          <w:rFonts w:ascii="Arial" w:hAnsi="Arial" w:cs="Arial"/>
          <w:sz w:val="22"/>
          <w:szCs w:val="22"/>
        </w:rPr>
        <w:t xml:space="preserve"> puede </w:t>
      </w:r>
      <w:r w:rsidR="00A070D9" w:rsidRPr="008174E3">
        <w:rPr>
          <w:rFonts w:ascii="Arial" w:hAnsi="Arial" w:cs="Arial"/>
          <w:sz w:val="22"/>
          <w:szCs w:val="22"/>
        </w:rPr>
        <w:t xml:space="preserve">contribuir a mejorar el desempeño </w:t>
      </w:r>
      <w:r w:rsidRPr="008174E3">
        <w:rPr>
          <w:rFonts w:ascii="Arial" w:hAnsi="Arial" w:cs="Arial"/>
          <w:sz w:val="22"/>
          <w:szCs w:val="22"/>
        </w:rPr>
        <w:t>del mercad</w:t>
      </w:r>
      <w:r w:rsidR="00A070D9" w:rsidRPr="008174E3">
        <w:rPr>
          <w:rFonts w:ascii="Arial" w:hAnsi="Arial" w:cs="Arial"/>
          <w:sz w:val="22"/>
          <w:szCs w:val="22"/>
        </w:rPr>
        <w:t>o</w:t>
      </w:r>
      <w:r w:rsidRPr="008174E3">
        <w:rPr>
          <w:rFonts w:ascii="Arial" w:hAnsi="Arial" w:cs="Arial"/>
          <w:sz w:val="22"/>
          <w:szCs w:val="22"/>
        </w:rPr>
        <w:t xml:space="preserve"> laboral, a través </w:t>
      </w:r>
      <w:r w:rsidR="00986966" w:rsidRPr="008174E3">
        <w:rPr>
          <w:rFonts w:ascii="Arial" w:hAnsi="Arial" w:cs="Arial"/>
          <w:sz w:val="22"/>
          <w:szCs w:val="22"/>
        </w:rPr>
        <w:t xml:space="preserve">de mejoras en el emparejamiento entre oferta y demanda laboral (mejorando la productividad laboral en el </w:t>
      </w:r>
      <w:r w:rsidR="00A070D9" w:rsidRPr="008174E3">
        <w:rPr>
          <w:rFonts w:ascii="Arial" w:hAnsi="Arial" w:cs="Arial"/>
          <w:sz w:val="22"/>
          <w:szCs w:val="22"/>
        </w:rPr>
        <w:t>puesto de trab</w:t>
      </w:r>
      <w:r w:rsidR="00986966" w:rsidRPr="008174E3">
        <w:rPr>
          <w:rFonts w:ascii="Arial" w:hAnsi="Arial" w:cs="Arial"/>
          <w:sz w:val="22"/>
          <w:szCs w:val="22"/>
        </w:rPr>
        <w:t>ajo</w:t>
      </w:r>
      <w:r w:rsidR="00A070D9" w:rsidRPr="008174E3">
        <w:rPr>
          <w:rFonts w:ascii="Arial" w:hAnsi="Arial" w:cs="Arial"/>
          <w:sz w:val="22"/>
          <w:szCs w:val="22"/>
        </w:rPr>
        <w:t>)</w:t>
      </w:r>
      <w:r w:rsidR="00986966" w:rsidRPr="008174E3">
        <w:rPr>
          <w:rFonts w:ascii="Arial" w:hAnsi="Arial" w:cs="Arial"/>
          <w:sz w:val="22"/>
          <w:szCs w:val="22"/>
        </w:rPr>
        <w:t xml:space="preserve"> y la reasignación de </w:t>
      </w:r>
      <w:r w:rsidR="00B6340E" w:rsidRPr="008174E3">
        <w:rPr>
          <w:rFonts w:ascii="Arial" w:hAnsi="Arial" w:cs="Arial"/>
          <w:sz w:val="22"/>
          <w:szCs w:val="22"/>
        </w:rPr>
        <w:t>trabajadores</w:t>
      </w:r>
      <w:r w:rsidR="00986966" w:rsidRPr="008174E3">
        <w:rPr>
          <w:rFonts w:ascii="Arial" w:hAnsi="Arial" w:cs="Arial"/>
          <w:sz w:val="22"/>
          <w:szCs w:val="22"/>
        </w:rPr>
        <w:t xml:space="preserve"> hacia empleos más productivos.</w:t>
      </w:r>
    </w:p>
    <w:p w14:paraId="2EADC27F" w14:textId="77777777" w:rsidR="00986966" w:rsidRPr="008174E3" w:rsidRDefault="00986966" w:rsidP="00986966">
      <w:pPr>
        <w:pStyle w:val="ListParagraph"/>
        <w:rPr>
          <w:rFonts w:ascii="Arial" w:hAnsi="Arial" w:cs="Arial"/>
          <w:sz w:val="22"/>
          <w:szCs w:val="22"/>
        </w:rPr>
      </w:pPr>
    </w:p>
    <w:p w14:paraId="0842BE1E" w14:textId="6A5BEEA6" w:rsidR="00266786" w:rsidRPr="008174E3" w:rsidRDefault="00AF18FD" w:rsidP="00673134">
      <w:pPr>
        <w:pStyle w:val="ListParagraph"/>
        <w:numPr>
          <w:ilvl w:val="0"/>
          <w:numId w:val="8"/>
        </w:numPr>
        <w:ind w:left="0"/>
        <w:jc w:val="both"/>
        <w:rPr>
          <w:rFonts w:ascii="Arial" w:hAnsi="Arial" w:cs="Arial"/>
          <w:sz w:val="22"/>
          <w:szCs w:val="22"/>
        </w:rPr>
      </w:pPr>
      <w:r w:rsidRPr="008174E3">
        <w:rPr>
          <w:rFonts w:ascii="Arial" w:hAnsi="Arial" w:cs="Arial"/>
          <w:sz w:val="22"/>
          <w:szCs w:val="22"/>
        </w:rPr>
        <w:t xml:space="preserve">La evidencia internacional señala que los </w:t>
      </w:r>
      <w:r w:rsidR="009E4904" w:rsidRPr="008174E3">
        <w:rPr>
          <w:rFonts w:ascii="Arial" w:hAnsi="Arial" w:cs="Arial"/>
          <w:sz w:val="22"/>
          <w:szCs w:val="22"/>
        </w:rPr>
        <w:t xml:space="preserve">SIL </w:t>
      </w:r>
      <w:r w:rsidRPr="008174E3">
        <w:rPr>
          <w:rFonts w:ascii="Arial" w:hAnsi="Arial" w:cs="Arial"/>
          <w:sz w:val="22"/>
          <w:szCs w:val="22"/>
        </w:rPr>
        <w:t xml:space="preserve">tienen por objetivo reducir las asimetrías y la falta de información sobre el mercado laboral y contribuir a mejorar el emparejamiento entre oferta y demanda laboral. </w:t>
      </w:r>
      <w:r w:rsidR="00172572" w:rsidRPr="008174E3">
        <w:rPr>
          <w:rFonts w:ascii="Arial" w:hAnsi="Arial" w:cs="Arial"/>
          <w:sz w:val="22"/>
          <w:szCs w:val="22"/>
        </w:rPr>
        <w:t>L</w:t>
      </w:r>
      <w:r w:rsidRPr="008174E3">
        <w:rPr>
          <w:rFonts w:ascii="Arial" w:hAnsi="Arial" w:cs="Arial"/>
          <w:sz w:val="22"/>
          <w:szCs w:val="22"/>
        </w:rPr>
        <w:t xml:space="preserve">os </w:t>
      </w:r>
      <w:r w:rsidR="009E4904" w:rsidRPr="008174E3">
        <w:rPr>
          <w:rFonts w:ascii="Arial" w:hAnsi="Arial" w:cs="Arial"/>
          <w:sz w:val="22"/>
          <w:szCs w:val="22"/>
        </w:rPr>
        <w:t xml:space="preserve">SIL </w:t>
      </w:r>
      <w:r w:rsidR="0056052A" w:rsidRPr="008174E3">
        <w:rPr>
          <w:rFonts w:ascii="Arial" w:hAnsi="Arial" w:cs="Arial"/>
          <w:sz w:val="22"/>
          <w:szCs w:val="22"/>
        </w:rPr>
        <w:t xml:space="preserve">buscan </w:t>
      </w:r>
      <w:r w:rsidRPr="008174E3">
        <w:rPr>
          <w:rFonts w:ascii="Arial" w:hAnsi="Arial" w:cs="Arial"/>
          <w:sz w:val="22"/>
          <w:szCs w:val="22"/>
        </w:rPr>
        <w:t xml:space="preserve">acercar </w:t>
      </w:r>
      <w:r w:rsidR="0056052A" w:rsidRPr="008174E3">
        <w:rPr>
          <w:rFonts w:ascii="Arial" w:hAnsi="Arial" w:cs="Arial"/>
          <w:sz w:val="22"/>
          <w:szCs w:val="22"/>
        </w:rPr>
        <w:t xml:space="preserve">a los buscadores de empleo </w:t>
      </w:r>
      <w:r w:rsidRPr="008174E3">
        <w:rPr>
          <w:rFonts w:ascii="Arial" w:hAnsi="Arial" w:cs="Arial"/>
          <w:sz w:val="22"/>
          <w:szCs w:val="22"/>
        </w:rPr>
        <w:t>a vacantes del sector productivo mediante la asistencia a la búsqueda del trabajo, asesoría y apoyo a las empresas para la selección de candidatos (Alaimo et al</w:t>
      </w:r>
      <w:r w:rsidR="00D56A15" w:rsidRPr="008174E3">
        <w:rPr>
          <w:rFonts w:ascii="Arial" w:hAnsi="Arial" w:cs="Arial"/>
          <w:sz w:val="22"/>
          <w:szCs w:val="22"/>
        </w:rPr>
        <w:t>.</w:t>
      </w:r>
      <w:r w:rsidRPr="008174E3">
        <w:rPr>
          <w:rFonts w:ascii="Arial" w:hAnsi="Arial" w:cs="Arial"/>
          <w:sz w:val="22"/>
          <w:szCs w:val="22"/>
        </w:rPr>
        <w:t>, 2015)</w:t>
      </w:r>
      <w:r w:rsidR="00266786" w:rsidRPr="008174E3">
        <w:rPr>
          <w:rStyle w:val="FootnoteReference"/>
          <w:rFonts w:ascii="Arial" w:hAnsi="Arial" w:cs="Arial"/>
          <w:sz w:val="22"/>
          <w:szCs w:val="22"/>
        </w:rPr>
        <w:footnoteReference w:id="4"/>
      </w:r>
      <w:r w:rsidRPr="008174E3">
        <w:rPr>
          <w:rFonts w:ascii="Arial" w:hAnsi="Arial" w:cs="Arial"/>
          <w:sz w:val="22"/>
          <w:szCs w:val="22"/>
        </w:rPr>
        <w:t xml:space="preserve">. La evidencia internacional muestra </w:t>
      </w:r>
      <w:r w:rsidR="0056052A" w:rsidRPr="008174E3">
        <w:rPr>
          <w:rFonts w:ascii="Arial" w:hAnsi="Arial" w:cs="Arial"/>
          <w:sz w:val="22"/>
          <w:szCs w:val="22"/>
        </w:rPr>
        <w:t xml:space="preserve">además </w:t>
      </w:r>
      <w:r w:rsidRPr="008174E3">
        <w:rPr>
          <w:rFonts w:ascii="Arial" w:hAnsi="Arial" w:cs="Arial"/>
          <w:sz w:val="22"/>
          <w:szCs w:val="22"/>
        </w:rPr>
        <w:t xml:space="preserve">que los </w:t>
      </w:r>
      <w:r w:rsidR="009E4904" w:rsidRPr="008174E3">
        <w:rPr>
          <w:rFonts w:ascii="Arial" w:hAnsi="Arial" w:cs="Arial"/>
          <w:sz w:val="22"/>
          <w:szCs w:val="22"/>
        </w:rPr>
        <w:t>SIL</w:t>
      </w:r>
      <w:r w:rsidRPr="008174E3">
        <w:rPr>
          <w:rFonts w:ascii="Arial" w:hAnsi="Arial" w:cs="Arial"/>
          <w:sz w:val="22"/>
          <w:szCs w:val="22"/>
        </w:rPr>
        <w:t xml:space="preserve"> son políticas costo-efectivas (Card</w:t>
      </w:r>
      <w:r w:rsidR="00107388" w:rsidRPr="008174E3">
        <w:rPr>
          <w:rFonts w:ascii="Arial" w:hAnsi="Arial" w:cs="Arial"/>
          <w:sz w:val="22"/>
          <w:szCs w:val="22"/>
        </w:rPr>
        <w:t xml:space="preserve"> et al.</w:t>
      </w:r>
      <w:r w:rsidRPr="008174E3">
        <w:rPr>
          <w:rFonts w:ascii="Arial" w:hAnsi="Arial" w:cs="Arial"/>
          <w:sz w:val="22"/>
          <w:szCs w:val="22"/>
        </w:rPr>
        <w:t xml:space="preserve">, 2010, 2015) y </w:t>
      </w:r>
      <w:r w:rsidR="009E4904" w:rsidRPr="008174E3">
        <w:rPr>
          <w:rFonts w:ascii="Arial" w:hAnsi="Arial" w:cs="Arial"/>
          <w:sz w:val="22"/>
          <w:szCs w:val="22"/>
        </w:rPr>
        <w:t xml:space="preserve">que </w:t>
      </w:r>
      <w:r w:rsidR="00172572" w:rsidRPr="008174E3">
        <w:rPr>
          <w:rFonts w:ascii="Arial" w:hAnsi="Arial" w:cs="Arial"/>
          <w:sz w:val="22"/>
          <w:szCs w:val="22"/>
        </w:rPr>
        <w:t>é</w:t>
      </w:r>
      <w:r w:rsidR="009E4904" w:rsidRPr="008174E3">
        <w:rPr>
          <w:rFonts w:ascii="Arial" w:hAnsi="Arial" w:cs="Arial"/>
          <w:sz w:val="22"/>
          <w:szCs w:val="22"/>
        </w:rPr>
        <w:t xml:space="preserve">stas tienden a ser </w:t>
      </w:r>
      <w:r w:rsidRPr="008174E3">
        <w:rPr>
          <w:rFonts w:ascii="Arial" w:hAnsi="Arial" w:cs="Arial"/>
          <w:sz w:val="22"/>
          <w:szCs w:val="22"/>
        </w:rPr>
        <w:t xml:space="preserve">más efectivas para los trabajadores con peores perspectivas en el mercado de trabajo (Van den Berg </w:t>
      </w:r>
      <w:r w:rsidR="00107388" w:rsidRPr="008174E3">
        <w:rPr>
          <w:rFonts w:ascii="Arial" w:hAnsi="Arial" w:cs="Arial"/>
          <w:sz w:val="22"/>
          <w:szCs w:val="22"/>
        </w:rPr>
        <w:t>&amp;</w:t>
      </w:r>
      <w:r w:rsidRPr="008174E3">
        <w:rPr>
          <w:rFonts w:ascii="Arial" w:hAnsi="Arial" w:cs="Arial"/>
          <w:sz w:val="22"/>
          <w:szCs w:val="22"/>
        </w:rPr>
        <w:t xml:space="preserve"> Van der Klauw, 2006; Dolton </w:t>
      </w:r>
      <w:r w:rsidR="00107388" w:rsidRPr="008174E3">
        <w:rPr>
          <w:rFonts w:ascii="Arial" w:hAnsi="Arial" w:cs="Arial"/>
          <w:sz w:val="22"/>
          <w:szCs w:val="22"/>
        </w:rPr>
        <w:t>&amp;</w:t>
      </w:r>
      <w:r w:rsidRPr="008174E3">
        <w:rPr>
          <w:rFonts w:ascii="Arial" w:hAnsi="Arial" w:cs="Arial"/>
          <w:sz w:val="22"/>
          <w:szCs w:val="22"/>
        </w:rPr>
        <w:t xml:space="preserve"> O'Neill, 1995, 1996</w:t>
      </w:r>
      <w:r w:rsidR="00C72FE7" w:rsidRPr="008174E3">
        <w:rPr>
          <w:rFonts w:ascii="Arial" w:hAnsi="Arial" w:cs="Arial"/>
          <w:sz w:val="22"/>
          <w:szCs w:val="22"/>
        </w:rPr>
        <w:t>)</w:t>
      </w:r>
      <w:r w:rsidRPr="008174E3">
        <w:rPr>
          <w:rFonts w:ascii="Arial" w:hAnsi="Arial" w:cs="Arial"/>
          <w:sz w:val="22"/>
          <w:szCs w:val="22"/>
        </w:rPr>
        <w:t xml:space="preserve">. </w:t>
      </w:r>
    </w:p>
    <w:p w14:paraId="410A06FC" w14:textId="77777777" w:rsidR="0084766F" w:rsidRPr="008174E3" w:rsidRDefault="0084766F" w:rsidP="0084766F">
      <w:pPr>
        <w:pStyle w:val="ListParagraph"/>
        <w:rPr>
          <w:rFonts w:ascii="Arial" w:hAnsi="Arial" w:cs="Arial"/>
          <w:sz w:val="22"/>
          <w:szCs w:val="22"/>
        </w:rPr>
      </w:pPr>
    </w:p>
    <w:p w14:paraId="26E72D3C" w14:textId="272A4406" w:rsidR="0084766F" w:rsidRPr="008174E3" w:rsidRDefault="0084766F" w:rsidP="0084766F">
      <w:pPr>
        <w:pStyle w:val="ListParagraph"/>
        <w:numPr>
          <w:ilvl w:val="0"/>
          <w:numId w:val="8"/>
        </w:numPr>
        <w:ind w:left="0"/>
        <w:jc w:val="both"/>
        <w:rPr>
          <w:rFonts w:ascii="Arial" w:hAnsi="Arial" w:cs="Arial"/>
          <w:sz w:val="22"/>
          <w:szCs w:val="22"/>
        </w:rPr>
      </w:pPr>
      <w:r w:rsidRPr="008174E3">
        <w:rPr>
          <w:rFonts w:ascii="Arial" w:hAnsi="Arial" w:cs="Arial"/>
          <w:sz w:val="22"/>
          <w:szCs w:val="22"/>
        </w:rPr>
        <w:t>La importancia y pertinencia de las Políticas Activas de Mercado Laboral (PAML) radica en el rol fundamental de los SIL en un contexto laboral como el mexicano. La evidencia internacional indica las ventajas de coordinar la prestación de los diversos servicios a buscadores de empleo que permita</w:t>
      </w:r>
      <w:r w:rsidR="002C3066" w:rsidRPr="008174E3">
        <w:rPr>
          <w:rFonts w:ascii="Arial" w:hAnsi="Arial" w:cs="Arial"/>
          <w:sz w:val="22"/>
          <w:szCs w:val="22"/>
        </w:rPr>
        <w:t>n</w:t>
      </w:r>
      <w:r w:rsidRPr="008174E3">
        <w:rPr>
          <w:rFonts w:ascii="Arial" w:hAnsi="Arial" w:cs="Arial"/>
          <w:sz w:val="22"/>
          <w:szCs w:val="22"/>
        </w:rPr>
        <w:t xml:space="preserve"> intervenir de manera holística en lugar de centrarse en un único aspecto de la empleabilidad, especialmente en el caso de grupos vulnerables</w:t>
      </w:r>
      <w:r w:rsidRPr="008174E3">
        <w:rPr>
          <w:rStyle w:val="FootnoteReference"/>
          <w:rFonts w:ascii="Arial" w:hAnsi="Arial" w:cs="Arial"/>
          <w:sz w:val="22"/>
          <w:szCs w:val="22"/>
        </w:rPr>
        <w:footnoteReference w:id="5"/>
      </w:r>
      <w:r w:rsidRPr="008174E3">
        <w:rPr>
          <w:rFonts w:ascii="Arial" w:hAnsi="Arial" w:cs="Arial"/>
          <w:sz w:val="22"/>
          <w:szCs w:val="22"/>
        </w:rPr>
        <w:t>. El punto de entrada a esta oferta coordinada de servicios la ofrece un instrumento de perfilamiento, que permite la identificación temprana de necesidades y segmentación de la atención especializada, facilitando la asignación de servicios y recursos</w:t>
      </w:r>
      <w:r w:rsidR="00172572" w:rsidRPr="008174E3">
        <w:rPr>
          <w:rFonts w:ascii="Arial" w:hAnsi="Arial" w:cs="Arial"/>
          <w:sz w:val="22"/>
          <w:szCs w:val="22"/>
        </w:rPr>
        <w:t>.</w:t>
      </w:r>
    </w:p>
    <w:p w14:paraId="038429C4" w14:textId="77777777" w:rsidR="00266786" w:rsidRPr="008174E3" w:rsidRDefault="00266786" w:rsidP="00673134">
      <w:pPr>
        <w:pStyle w:val="ListParagraph"/>
        <w:rPr>
          <w:rFonts w:ascii="Arial" w:hAnsi="Arial" w:cs="Arial"/>
          <w:sz w:val="22"/>
          <w:szCs w:val="22"/>
        </w:rPr>
      </w:pPr>
    </w:p>
    <w:p w14:paraId="72E0DFC6" w14:textId="77777777" w:rsidR="00FA1163" w:rsidRPr="008174E3" w:rsidRDefault="00AF18FD" w:rsidP="00FA1163">
      <w:pPr>
        <w:pStyle w:val="ListParagraph"/>
        <w:numPr>
          <w:ilvl w:val="0"/>
          <w:numId w:val="8"/>
        </w:numPr>
        <w:ind w:left="0"/>
        <w:jc w:val="both"/>
        <w:rPr>
          <w:rFonts w:ascii="Arial" w:hAnsi="Arial" w:cs="Arial"/>
          <w:sz w:val="22"/>
          <w:szCs w:val="22"/>
        </w:rPr>
      </w:pPr>
      <w:r w:rsidRPr="008174E3">
        <w:rPr>
          <w:rFonts w:ascii="Arial" w:hAnsi="Arial" w:cs="Arial"/>
          <w:sz w:val="22"/>
          <w:szCs w:val="22"/>
        </w:rPr>
        <w:t xml:space="preserve">Las PAML también incluyen servicios de capacitación que buscan mejorar </w:t>
      </w:r>
      <w:r w:rsidR="00606D34" w:rsidRPr="008174E3">
        <w:rPr>
          <w:rFonts w:ascii="Arial" w:hAnsi="Arial" w:cs="Arial"/>
          <w:sz w:val="22"/>
          <w:szCs w:val="22"/>
        </w:rPr>
        <w:t xml:space="preserve">las habilidades de los buscadores de empleo </w:t>
      </w:r>
      <w:r w:rsidRPr="008174E3">
        <w:rPr>
          <w:rFonts w:ascii="Arial" w:hAnsi="Arial" w:cs="Arial"/>
          <w:sz w:val="22"/>
          <w:szCs w:val="22"/>
        </w:rPr>
        <w:t xml:space="preserve">para favorecer su inserción laboral. </w:t>
      </w:r>
      <w:r w:rsidR="0056052A" w:rsidRPr="008174E3">
        <w:rPr>
          <w:rFonts w:ascii="Arial" w:hAnsi="Arial" w:cs="Arial"/>
          <w:sz w:val="22"/>
          <w:szCs w:val="22"/>
        </w:rPr>
        <w:t>Si bien, l</w:t>
      </w:r>
      <w:r w:rsidRPr="008174E3">
        <w:rPr>
          <w:rFonts w:ascii="Arial" w:hAnsi="Arial" w:cs="Arial"/>
          <w:sz w:val="22"/>
          <w:szCs w:val="22"/>
        </w:rPr>
        <w:t>a evidencia de los países desarrollados indica que esta capacitación generalmente tiene efectos pequeños, sobre todo para jóvenes (Card et al., 2010)</w:t>
      </w:r>
      <w:r w:rsidR="0056052A" w:rsidRPr="008174E3">
        <w:rPr>
          <w:rFonts w:ascii="Arial" w:hAnsi="Arial" w:cs="Arial"/>
          <w:sz w:val="22"/>
          <w:szCs w:val="22"/>
        </w:rPr>
        <w:t xml:space="preserve">, los resultados </w:t>
      </w:r>
      <w:r w:rsidRPr="008174E3">
        <w:rPr>
          <w:rFonts w:ascii="Arial" w:hAnsi="Arial" w:cs="Arial"/>
          <w:sz w:val="22"/>
          <w:szCs w:val="22"/>
        </w:rPr>
        <w:t>de las evaluaciones de las políticas de capacitación son más auspiciosos en países en desarrollo y en Latinoamérica en particular (Betcherman</w:t>
      </w:r>
      <w:r w:rsidR="00D56A15" w:rsidRPr="008174E3">
        <w:rPr>
          <w:rFonts w:ascii="Arial" w:hAnsi="Arial" w:cs="Arial"/>
          <w:sz w:val="22"/>
          <w:szCs w:val="22"/>
        </w:rPr>
        <w:t>,</w:t>
      </w:r>
      <w:r w:rsidRPr="008174E3">
        <w:rPr>
          <w:rFonts w:ascii="Arial" w:hAnsi="Arial" w:cs="Arial"/>
          <w:sz w:val="22"/>
          <w:szCs w:val="22"/>
        </w:rPr>
        <w:t xml:space="preserve"> 2007</w:t>
      </w:r>
      <w:r w:rsidR="00D56A15" w:rsidRPr="008174E3">
        <w:rPr>
          <w:rFonts w:ascii="Arial" w:hAnsi="Arial" w:cs="Arial"/>
          <w:sz w:val="22"/>
          <w:szCs w:val="22"/>
        </w:rPr>
        <w:t>;</w:t>
      </w:r>
      <w:r w:rsidRPr="008174E3">
        <w:rPr>
          <w:rFonts w:ascii="Arial" w:hAnsi="Arial" w:cs="Arial"/>
          <w:sz w:val="22"/>
          <w:szCs w:val="22"/>
        </w:rPr>
        <w:t xml:space="preserve"> Attanasio et al</w:t>
      </w:r>
      <w:r w:rsidR="00D56A15" w:rsidRPr="008174E3">
        <w:rPr>
          <w:rFonts w:ascii="Arial" w:hAnsi="Arial" w:cs="Arial"/>
          <w:sz w:val="22"/>
          <w:szCs w:val="22"/>
        </w:rPr>
        <w:t>.,</w:t>
      </w:r>
      <w:r w:rsidRPr="008174E3">
        <w:rPr>
          <w:rFonts w:ascii="Arial" w:hAnsi="Arial" w:cs="Arial"/>
          <w:sz w:val="22"/>
          <w:szCs w:val="22"/>
        </w:rPr>
        <w:t xml:space="preserve"> 2011</w:t>
      </w:r>
      <w:r w:rsidR="00D56A15" w:rsidRPr="008174E3">
        <w:rPr>
          <w:rFonts w:ascii="Arial" w:hAnsi="Arial" w:cs="Arial"/>
          <w:sz w:val="22"/>
          <w:szCs w:val="22"/>
        </w:rPr>
        <w:t>;</w:t>
      </w:r>
      <w:r w:rsidRPr="008174E3">
        <w:rPr>
          <w:rFonts w:ascii="Arial" w:hAnsi="Arial" w:cs="Arial"/>
          <w:sz w:val="22"/>
          <w:szCs w:val="22"/>
        </w:rPr>
        <w:t xml:space="preserve"> Kluve</w:t>
      </w:r>
      <w:r w:rsidR="00D56A15" w:rsidRPr="008174E3">
        <w:rPr>
          <w:rFonts w:ascii="Arial" w:hAnsi="Arial" w:cs="Arial"/>
          <w:sz w:val="22"/>
          <w:szCs w:val="22"/>
        </w:rPr>
        <w:t>,</w:t>
      </w:r>
      <w:r w:rsidRPr="008174E3">
        <w:rPr>
          <w:rFonts w:ascii="Arial" w:hAnsi="Arial" w:cs="Arial"/>
          <w:sz w:val="22"/>
          <w:szCs w:val="22"/>
        </w:rPr>
        <w:t xml:space="preserve"> 2014</w:t>
      </w:r>
      <w:r w:rsidR="00FA1163" w:rsidRPr="008174E3">
        <w:rPr>
          <w:rFonts w:ascii="Arial" w:hAnsi="Arial" w:cs="Arial"/>
          <w:sz w:val="22"/>
          <w:szCs w:val="22"/>
        </w:rPr>
        <w:t>; Kluve 2016</w:t>
      </w:r>
      <w:r w:rsidRPr="008174E3">
        <w:rPr>
          <w:rFonts w:ascii="Arial" w:hAnsi="Arial" w:cs="Arial"/>
          <w:sz w:val="22"/>
          <w:szCs w:val="22"/>
        </w:rPr>
        <w:t xml:space="preserve">). </w:t>
      </w:r>
    </w:p>
    <w:p w14:paraId="765640FD" w14:textId="77777777" w:rsidR="00FA1163" w:rsidRPr="008174E3" w:rsidRDefault="00FA1163" w:rsidP="00FA1163">
      <w:pPr>
        <w:pStyle w:val="ListParagraph"/>
        <w:rPr>
          <w:rFonts w:ascii="Arial" w:hAnsi="Arial" w:cs="Arial"/>
          <w:sz w:val="22"/>
          <w:szCs w:val="22"/>
        </w:rPr>
      </w:pPr>
    </w:p>
    <w:p w14:paraId="3C312487" w14:textId="40BA6D48" w:rsidR="00FA1163" w:rsidRPr="008174E3" w:rsidRDefault="00C72FE7" w:rsidP="00FA1163">
      <w:pPr>
        <w:pStyle w:val="ListParagraph"/>
        <w:numPr>
          <w:ilvl w:val="0"/>
          <w:numId w:val="8"/>
        </w:numPr>
        <w:ind w:left="0"/>
        <w:jc w:val="both"/>
        <w:rPr>
          <w:rFonts w:ascii="Arial" w:hAnsi="Arial" w:cs="Arial"/>
          <w:sz w:val="22"/>
          <w:szCs w:val="22"/>
        </w:rPr>
      </w:pPr>
      <w:r w:rsidRPr="008174E3">
        <w:rPr>
          <w:rFonts w:ascii="Arial" w:hAnsi="Arial" w:cs="Arial"/>
          <w:sz w:val="22"/>
          <w:szCs w:val="22"/>
        </w:rPr>
        <w:t>As</w:t>
      </w:r>
      <w:r w:rsidR="00AF633A" w:rsidRPr="008174E3">
        <w:rPr>
          <w:rFonts w:ascii="Arial" w:hAnsi="Arial" w:cs="Arial"/>
          <w:sz w:val="22"/>
          <w:szCs w:val="22"/>
        </w:rPr>
        <w:t>i</w:t>
      </w:r>
      <w:r w:rsidRPr="008174E3">
        <w:rPr>
          <w:rFonts w:ascii="Arial" w:hAnsi="Arial" w:cs="Arial"/>
          <w:sz w:val="22"/>
          <w:szCs w:val="22"/>
        </w:rPr>
        <w:t>mismo, l</w:t>
      </w:r>
      <w:r w:rsidR="00AF18FD" w:rsidRPr="008174E3">
        <w:rPr>
          <w:rFonts w:ascii="Arial" w:hAnsi="Arial" w:cs="Arial"/>
          <w:sz w:val="22"/>
          <w:szCs w:val="22"/>
        </w:rPr>
        <w:t xml:space="preserve">a experiencia internacional muestra que los </w:t>
      </w:r>
      <w:r w:rsidR="009E4904" w:rsidRPr="008174E3">
        <w:rPr>
          <w:rFonts w:ascii="Arial" w:hAnsi="Arial" w:cs="Arial"/>
          <w:sz w:val="22"/>
          <w:szCs w:val="22"/>
        </w:rPr>
        <w:t xml:space="preserve">SIL </w:t>
      </w:r>
      <w:r w:rsidR="00AF18FD" w:rsidRPr="008174E3">
        <w:rPr>
          <w:rFonts w:ascii="Arial" w:hAnsi="Arial" w:cs="Arial"/>
          <w:sz w:val="22"/>
          <w:szCs w:val="22"/>
        </w:rPr>
        <w:t xml:space="preserve">más exitosos implementaron una serie de mejoras institucionales con el fin de mejorar el desempeño de sus servicios y la efectividad de sus PAML (BID-AMSPE-OCDE, 2015). En particular, los </w:t>
      </w:r>
      <w:r w:rsidR="009E4904" w:rsidRPr="008174E3">
        <w:rPr>
          <w:rFonts w:ascii="Arial" w:hAnsi="Arial" w:cs="Arial"/>
          <w:sz w:val="22"/>
          <w:szCs w:val="22"/>
        </w:rPr>
        <w:t xml:space="preserve">SIL </w:t>
      </w:r>
      <w:r w:rsidR="00AF18FD" w:rsidRPr="008174E3">
        <w:rPr>
          <w:rFonts w:ascii="Arial" w:hAnsi="Arial" w:cs="Arial"/>
          <w:sz w:val="22"/>
          <w:szCs w:val="22"/>
        </w:rPr>
        <w:t xml:space="preserve">más exitosos a nivel internacional desarrollaron esquemas integrados y articulados de oferta de servicios a personas y empresas bajo una lógica de ventanilla única que permite unir procesos y herramientas con el fin de canalizar a los beneficiarios hacia el tipo de apoyo que más les convenga a través de un diagnóstico del perfil y de las habilidades del beneficiario, la gestión de casos, la orientación </w:t>
      </w:r>
      <w:r w:rsidR="00AF18FD" w:rsidRPr="008174E3">
        <w:rPr>
          <w:rFonts w:ascii="Arial" w:hAnsi="Arial" w:cs="Arial"/>
          <w:sz w:val="22"/>
          <w:szCs w:val="22"/>
        </w:rPr>
        <w:lastRenderedPageBreak/>
        <w:t>vocacional, y la articulación con otras ofertas de servicios dentro y fuera del servicio de empleo (Alaimo et al</w:t>
      </w:r>
      <w:r w:rsidR="00D56A15" w:rsidRPr="008174E3">
        <w:rPr>
          <w:rFonts w:ascii="Arial" w:hAnsi="Arial" w:cs="Arial"/>
          <w:sz w:val="22"/>
          <w:szCs w:val="22"/>
        </w:rPr>
        <w:t>.</w:t>
      </w:r>
      <w:r w:rsidR="00AF18FD" w:rsidRPr="008174E3">
        <w:rPr>
          <w:rFonts w:ascii="Arial" w:hAnsi="Arial" w:cs="Arial"/>
          <w:sz w:val="22"/>
          <w:szCs w:val="22"/>
        </w:rPr>
        <w:t>, 2015)</w:t>
      </w:r>
      <w:r w:rsidR="00266786" w:rsidRPr="008174E3">
        <w:rPr>
          <w:rFonts w:ascii="Arial" w:hAnsi="Arial" w:cs="Arial"/>
          <w:sz w:val="22"/>
          <w:szCs w:val="22"/>
          <w:vertAlign w:val="superscript"/>
        </w:rPr>
        <w:footnoteReference w:id="6"/>
      </w:r>
      <w:r w:rsidR="00AF18FD" w:rsidRPr="008174E3">
        <w:rPr>
          <w:rFonts w:ascii="Arial" w:hAnsi="Arial" w:cs="Arial"/>
          <w:sz w:val="22"/>
          <w:szCs w:val="22"/>
        </w:rPr>
        <w:t xml:space="preserve">. </w:t>
      </w:r>
    </w:p>
    <w:p w14:paraId="35C27967" w14:textId="77777777" w:rsidR="00FA1163" w:rsidRPr="008174E3" w:rsidRDefault="00FA1163" w:rsidP="00FA1163">
      <w:pPr>
        <w:pStyle w:val="ListParagraph"/>
        <w:rPr>
          <w:rFonts w:ascii="Arial" w:hAnsi="Arial" w:cs="Arial"/>
          <w:sz w:val="22"/>
          <w:szCs w:val="22"/>
        </w:rPr>
      </w:pPr>
    </w:p>
    <w:p w14:paraId="2F6B9683" w14:textId="672E638D" w:rsidR="00EE1DA4" w:rsidRPr="008174E3" w:rsidRDefault="00255D77" w:rsidP="00694AC9">
      <w:pPr>
        <w:pStyle w:val="ListParagraph"/>
        <w:numPr>
          <w:ilvl w:val="0"/>
          <w:numId w:val="8"/>
        </w:numPr>
        <w:ind w:left="0"/>
        <w:jc w:val="both"/>
        <w:rPr>
          <w:rFonts w:ascii="Arial" w:hAnsi="Arial" w:cs="Arial"/>
          <w:sz w:val="22"/>
          <w:szCs w:val="22"/>
        </w:rPr>
      </w:pPr>
      <w:r w:rsidRPr="008174E3">
        <w:rPr>
          <w:rFonts w:ascii="Arial" w:hAnsi="Arial" w:cs="Arial"/>
          <w:sz w:val="22"/>
          <w:szCs w:val="22"/>
        </w:rPr>
        <w:t xml:space="preserve">Como respuesta a los problemas identificados </w:t>
      </w:r>
      <w:r w:rsidR="0019399B" w:rsidRPr="008174E3">
        <w:rPr>
          <w:rFonts w:ascii="Arial" w:hAnsi="Arial" w:cs="Arial"/>
          <w:sz w:val="22"/>
          <w:szCs w:val="22"/>
        </w:rPr>
        <w:t>y</w:t>
      </w:r>
      <w:r w:rsidRPr="008174E3">
        <w:rPr>
          <w:rFonts w:ascii="Arial" w:hAnsi="Arial" w:cs="Arial"/>
          <w:sz w:val="22"/>
          <w:szCs w:val="22"/>
        </w:rPr>
        <w:t xml:space="preserve"> en base a la revisión de </w:t>
      </w:r>
      <w:r w:rsidR="00F52C27" w:rsidRPr="008174E3">
        <w:rPr>
          <w:rFonts w:ascii="Arial" w:hAnsi="Arial" w:cs="Arial"/>
          <w:sz w:val="22"/>
          <w:szCs w:val="22"/>
        </w:rPr>
        <w:t xml:space="preserve">buenas </w:t>
      </w:r>
      <w:r w:rsidR="009106B4" w:rsidRPr="008174E3">
        <w:rPr>
          <w:rFonts w:ascii="Arial" w:hAnsi="Arial" w:cs="Arial"/>
          <w:sz w:val="22"/>
          <w:szCs w:val="22"/>
        </w:rPr>
        <w:t>prácticas</w:t>
      </w:r>
      <w:r w:rsidR="00F52C27" w:rsidRPr="008174E3">
        <w:rPr>
          <w:rFonts w:ascii="Arial" w:hAnsi="Arial" w:cs="Arial"/>
          <w:sz w:val="22"/>
          <w:szCs w:val="22"/>
        </w:rPr>
        <w:t xml:space="preserve"> internacionales</w:t>
      </w:r>
      <w:r w:rsidR="00A446EE" w:rsidRPr="008174E3">
        <w:rPr>
          <w:rFonts w:ascii="Arial" w:hAnsi="Arial" w:cs="Arial"/>
          <w:sz w:val="22"/>
          <w:szCs w:val="22"/>
        </w:rPr>
        <w:t>,</w:t>
      </w:r>
      <w:r w:rsidRPr="008174E3">
        <w:rPr>
          <w:rFonts w:ascii="Arial" w:hAnsi="Arial" w:cs="Arial"/>
          <w:sz w:val="22"/>
          <w:szCs w:val="22"/>
        </w:rPr>
        <w:t xml:space="preserve"> el programa </w:t>
      </w:r>
      <w:r w:rsidR="00F958BA" w:rsidRPr="008174E3">
        <w:rPr>
          <w:rFonts w:ascii="Arial" w:hAnsi="Arial" w:cs="Arial"/>
          <w:sz w:val="22"/>
          <w:szCs w:val="22"/>
        </w:rPr>
        <w:t>está</w:t>
      </w:r>
      <w:r w:rsidRPr="008174E3">
        <w:rPr>
          <w:rFonts w:ascii="Arial" w:hAnsi="Arial" w:cs="Arial"/>
          <w:sz w:val="22"/>
          <w:szCs w:val="22"/>
        </w:rPr>
        <w:t xml:space="preserve"> estructurado en </w:t>
      </w:r>
      <w:r w:rsidR="00220F81" w:rsidRPr="008174E3">
        <w:rPr>
          <w:rFonts w:ascii="Arial" w:hAnsi="Arial" w:cs="Arial"/>
          <w:sz w:val="22"/>
          <w:szCs w:val="22"/>
        </w:rPr>
        <w:t xml:space="preserve">dos </w:t>
      </w:r>
      <w:r w:rsidRPr="008174E3">
        <w:rPr>
          <w:rFonts w:ascii="Arial" w:hAnsi="Arial" w:cs="Arial"/>
          <w:sz w:val="22"/>
          <w:szCs w:val="22"/>
        </w:rPr>
        <w:t xml:space="preserve">componentes: El componente 1, busca </w:t>
      </w:r>
      <w:r w:rsidR="009E4904" w:rsidRPr="008174E3">
        <w:rPr>
          <w:rFonts w:ascii="Arial" w:hAnsi="Arial" w:cs="Arial"/>
          <w:sz w:val="22"/>
          <w:szCs w:val="22"/>
        </w:rPr>
        <w:t>fortalecer el SNE</w:t>
      </w:r>
      <w:r w:rsidR="00EB33FF" w:rsidRPr="008174E3">
        <w:rPr>
          <w:rFonts w:ascii="Arial" w:hAnsi="Arial" w:cs="Arial"/>
          <w:sz w:val="22"/>
          <w:szCs w:val="22"/>
        </w:rPr>
        <w:t xml:space="preserve"> </w:t>
      </w:r>
      <w:r w:rsidR="009E4904" w:rsidRPr="008174E3">
        <w:rPr>
          <w:rFonts w:ascii="Arial" w:hAnsi="Arial" w:cs="Arial"/>
          <w:sz w:val="22"/>
          <w:szCs w:val="22"/>
        </w:rPr>
        <w:t xml:space="preserve">a través de dos </w:t>
      </w:r>
      <w:r w:rsidR="00B6340E" w:rsidRPr="008174E3">
        <w:rPr>
          <w:rFonts w:ascii="Arial" w:hAnsi="Arial" w:cs="Arial"/>
          <w:sz w:val="22"/>
          <w:szCs w:val="22"/>
        </w:rPr>
        <w:t>subcomponentes</w:t>
      </w:r>
      <w:r w:rsidR="009E4904" w:rsidRPr="008174E3">
        <w:rPr>
          <w:rFonts w:ascii="Arial" w:hAnsi="Arial" w:cs="Arial"/>
          <w:sz w:val="22"/>
          <w:szCs w:val="22"/>
        </w:rPr>
        <w:t xml:space="preserve"> específicos: (i) mediante la mejora del esquema de oferta de servicios y gestión del </w:t>
      </w:r>
      <w:r w:rsidR="00B6340E" w:rsidRPr="008174E3">
        <w:rPr>
          <w:rFonts w:ascii="Arial" w:hAnsi="Arial" w:cs="Arial"/>
          <w:sz w:val="22"/>
          <w:szCs w:val="22"/>
        </w:rPr>
        <w:t>sistema</w:t>
      </w:r>
      <w:r w:rsidR="009E4904" w:rsidRPr="008174E3">
        <w:rPr>
          <w:rFonts w:ascii="Arial" w:hAnsi="Arial" w:cs="Arial"/>
          <w:sz w:val="22"/>
          <w:szCs w:val="22"/>
        </w:rPr>
        <w:t xml:space="preserve"> de intermediación laboral</w:t>
      </w:r>
      <w:r w:rsidR="00172572" w:rsidRPr="008174E3">
        <w:rPr>
          <w:rFonts w:ascii="Arial" w:hAnsi="Arial" w:cs="Arial"/>
          <w:sz w:val="22"/>
          <w:szCs w:val="22"/>
        </w:rPr>
        <w:t>;</w:t>
      </w:r>
      <w:r w:rsidR="009E4904" w:rsidRPr="008174E3">
        <w:rPr>
          <w:rFonts w:ascii="Arial" w:hAnsi="Arial" w:cs="Arial"/>
          <w:sz w:val="22"/>
          <w:szCs w:val="22"/>
        </w:rPr>
        <w:t xml:space="preserve"> y (ii) </w:t>
      </w:r>
      <w:r w:rsidR="00EB33FF" w:rsidRPr="008174E3">
        <w:rPr>
          <w:rFonts w:ascii="Arial" w:hAnsi="Arial" w:cs="Arial"/>
          <w:sz w:val="22"/>
          <w:szCs w:val="22"/>
        </w:rPr>
        <w:t xml:space="preserve">mejorando la </w:t>
      </w:r>
      <w:r w:rsidR="009E4904" w:rsidRPr="008174E3">
        <w:rPr>
          <w:rFonts w:ascii="Arial" w:hAnsi="Arial" w:cs="Arial"/>
          <w:sz w:val="22"/>
          <w:szCs w:val="22"/>
        </w:rPr>
        <w:t xml:space="preserve">plataforma </w:t>
      </w:r>
      <w:r w:rsidR="00B6340E" w:rsidRPr="008174E3">
        <w:rPr>
          <w:rFonts w:ascii="Arial" w:hAnsi="Arial" w:cs="Arial"/>
          <w:sz w:val="22"/>
          <w:szCs w:val="22"/>
        </w:rPr>
        <w:t>tecnológica</w:t>
      </w:r>
      <w:r w:rsidR="007C7C23" w:rsidRPr="008174E3">
        <w:rPr>
          <w:rFonts w:ascii="Arial" w:hAnsi="Arial" w:cs="Arial"/>
          <w:sz w:val="22"/>
          <w:szCs w:val="22"/>
        </w:rPr>
        <w:t xml:space="preserve"> </w:t>
      </w:r>
      <w:r w:rsidR="00EB33FF" w:rsidRPr="008174E3">
        <w:rPr>
          <w:rFonts w:ascii="Arial" w:hAnsi="Arial" w:cs="Arial"/>
          <w:sz w:val="22"/>
          <w:szCs w:val="22"/>
        </w:rPr>
        <w:t>que s</w:t>
      </w:r>
      <w:r w:rsidR="002F2D16" w:rsidRPr="008174E3">
        <w:rPr>
          <w:rFonts w:ascii="Arial" w:hAnsi="Arial" w:cs="Arial"/>
          <w:sz w:val="22"/>
          <w:szCs w:val="22"/>
        </w:rPr>
        <w:t>o</w:t>
      </w:r>
      <w:r w:rsidR="00EB33FF" w:rsidRPr="008174E3">
        <w:rPr>
          <w:rFonts w:ascii="Arial" w:hAnsi="Arial" w:cs="Arial"/>
          <w:sz w:val="22"/>
          <w:szCs w:val="22"/>
        </w:rPr>
        <w:t>porta la operación del SNE</w:t>
      </w:r>
      <w:r w:rsidR="009E4904" w:rsidRPr="008174E3">
        <w:rPr>
          <w:rFonts w:ascii="Arial" w:hAnsi="Arial" w:cs="Arial"/>
          <w:sz w:val="22"/>
          <w:szCs w:val="22"/>
        </w:rPr>
        <w:t xml:space="preserve">. El </w:t>
      </w:r>
      <w:r w:rsidRPr="008174E3">
        <w:rPr>
          <w:rFonts w:ascii="Arial" w:hAnsi="Arial" w:cs="Arial"/>
          <w:sz w:val="22"/>
          <w:szCs w:val="22"/>
        </w:rPr>
        <w:t xml:space="preserve">componente 2 busca </w:t>
      </w:r>
      <w:r w:rsidR="009E4904" w:rsidRPr="008174E3">
        <w:rPr>
          <w:rFonts w:ascii="Arial" w:hAnsi="Arial" w:cs="Arial"/>
          <w:sz w:val="22"/>
          <w:szCs w:val="22"/>
        </w:rPr>
        <w:t xml:space="preserve">fortalecer </w:t>
      </w:r>
      <w:r w:rsidR="00EB33FF" w:rsidRPr="008174E3">
        <w:rPr>
          <w:rFonts w:ascii="Arial" w:hAnsi="Arial" w:cs="Arial"/>
          <w:sz w:val="22"/>
          <w:szCs w:val="22"/>
        </w:rPr>
        <w:t>el PAE</w:t>
      </w:r>
      <w:r w:rsidR="009E4904" w:rsidRPr="008174E3">
        <w:rPr>
          <w:rFonts w:ascii="Arial" w:hAnsi="Arial" w:cs="Arial"/>
          <w:sz w:val="22"/>
          <w:szCs w:val="22"/>
        </w:rPr>
        <w:t xml:space="preserve">, esto a través de mejorar </w:t>
      </w:r>
      <w:r w:rsidR="00EB33FF" w:rsidRPr="008174E3">
        <w:rPr>
          <w:rFonts w:ascii="Arial" w:hAnsi="Arial" w:cs="Arial"/>
          <w:sz w:val="22"/>
          <w:szCs w:val="22"/>
        </w:rPr>
        <w:t>la efectividad de los apoyos focalizados que ofrecen los subprogramas del PAE.</w:t>
      </w:r>
    </w:p>
    <w:p w14:paraId="66AD4B40" w14:textId="77777777" w:rsidR="009E4904" w:rsidRPr="008174E3" w:rsidRDefault="009E4904" w:rsidP="009E4904">
      <w:pPr>
        <w:pStyle w:val="ListParagraph"/>
        <w:rPr>
          <w:rFonts w:ascii="Arial" w:hAnsi="Arial" w:cs="Arial"/>
          <w:sz w:val="22"/>
          <w:szCs w:val="22"/>
        </w:rPr>
      </w:pPr>
    </w:p>
    <w:p w14:paraId="0FFC1999" w14:textId="63DF3FF4" w:rsidR="00DA0032" w:rsidRPr="008174E3" w:rsidRDefault="00DA0032" w:rsidP="00694AC9">
      <w:pPr>
        <w:pStyle w:val="ListParagraph"/>
        <w:numPr>
          <w:ilvl w:val="0"/>
          <w:numId w:val="8"/>
        </w:numPr>
        <w:tabs>
          <w:tab w:val="left" w:pos="360"/>
        </w:tabs>
        <w:ind w:left="0"/>
        <w:jc w:val="both"/>
        <w:rPr>
          <w:rFonts w:ascii="Arial" w:hAnsi="Arial" w:cs="Arial"/>
          <w:sz w:val="22"/>
          <w:szCs w:val="22"/>
        </w:rPr>
      </w:pPr>
      <w:r w:rsidRPr="008174E3">
        <w:rPr>
          <w:rFonts w:ascii="Arial" w:hAnsi="Arial" w:cs="Arial"/>
          <w:sz w:val="22"/>
          <w:szCs w:val="22"/>
        </w:rPr>
        <w:t xml:space="preserve">El programa busca dar solución </w:t>
      </w:r>
      <w:r w:rsidR="00392FDB" w:rsidRPr="008174E3">
        <w:rPr>
          <w:rFonts w:ascii="Arial" w:hAnsi="Arial" w:cs="Arial"/>
          <w:sz w:val="22"/>
          <w:szCs w:val="22"/>
        </w:rPr>
        <w:t xml:space="preserve">a los problemas fundamentales identificados y </w:t>
      </w:r>
      <w:r w:rsidR="00606D34" w:rsidRPr="008174E3">
        <w:rPr>
          <w:rFonts w:ascii="Arial" w:hAnsi="Arial" w:cs="Arial"/>
          <w:sz w:val="22"/>
          <w:szCs w:val="22"/>
        </w:rPr>
        <w:t xml:space="preserve">se </w:t>
      </w:r>
      <w:r w:rsidR="00AF633A" w:rsidRPr="008174E3">
        <w:rPr>
          <w:rFonts w:ascii="Arial" w:hAnsi="Arial" w:cs="Arial"/>
          <w:sz w:val="22"/>
          <w:szCs w:val="22"/>
        </w:rPr>
        <w:t>constituye</w:t>
      </w:r>
      <w:r w:rsidR="00606D34" w:rsidRPr="008174E3">
        <w:rPr>
          <w:rFonts w:ascii="Arial" w:hAnsi="Arial" w:cs="Arial"/>
          <w:sz w:val="22"/>
          <w:szCs w:val="22"/>
        </w:rPr>
        <w:t xml:space="preserve"> como una herramienta </w:t>
      </w:r>
      <w:r w:rsidRPr="008174E3">
        <w:rPr>
          <w:rFonts w:ascii="Arial" w:hAnsi="Arial" w:cs="Arial"/>
          <w:sz w:val="22"/>
          <w:szCs w:val="22"/>
        </w:rPr>
        <w:t>para mejorar el funcionamiento del mercado laboral</w:t>
      </w:r>
      <w:r w:rsidR="009E4904" w:rsidRPr="008174E3">
        <w:rPr>
          <w:rFonts w:ascii="Arial" w:hAnsi="Arial" w:cs="Arial"/>
          <w:sz w:val="22"/>
          <w:szCs w:val="22"/>
        </w:rPr>
        <w:t xml:space="preserve"> a través de mejorar </w:t>
      </w:r>
      <w:r w:rsidR="00FA1163" w:rsidRPr="008174E3">
        <w:rPr>
          <w:rFonts w:ascii="Arial" w:hAnsi="Arial" w:cs="Arial"/>
          <w:sz w:val="22"/>
          <w:szCs w:val="22"/>
        </w:rPr>
        <w:t xml:space="preserve">la productividad laboral, hecho </w:t>
      </w:r>
      <w:r w:rsidR="009E4904" w:rsidRPr="008174E3">
        <w:rPr>
          <w:rFonts w:ascii="Arial" w:hAnsi="Arial" w:cs="Arial"/>
          <w:sz w:val="22"/>
          <w:szCs w:val="22"/>
        </w:rPr>
        <w:t>que detonar</w:t>
      </w:r>
      <w:r w:rsidR="00172572" w:rsidRPr="008174E3">
        <w:rPr>
          <w:rFonts w:ascii="Arial" w:hAnsi="Arial" w:cs="Arial"/>
          <w:sz w:val="22"/>
          <w:szCs w:val="22"/>
        </w:rPr>
        <w:t>á</w:t>
      </w:r>
      <w:r w:rsidR="009E4904" w:rsidRPr="008174E3">
        <w:rPr>
          <w:rFonts w:ascii="Arial" w:hAnsi="Arial" w:cs="Arial"/>
          <w:sz w:val="22"/>
          <w:szCs w:val="22"/>
        </w:rPr>
        <w:t xml:space="preserve"> el crecimiento y el aumento de los salarios reales </w:t>
      </w:r>
      <w:r w:rsidR="00FA1163" w:rsidRPr="008174E3">
        <w:rPr>
          <w:rFonts w:ascii="Arial" w:hAnsi="Arial" w:cs="Arial"/>
          <w:sz w:val="22"/>
          <w:szCs w:val="22"/>
        </w:rPr>
        <w:t>en México</w:t>
      </w:r>
      <w:r w:rsidR="009E4904" w:rsidRPr="008174E3">
        <w:rPr>
          <w:rFonts w:ascii="Arial" w:hAnsi="Arial" w:cs="Arial"/>
          <w:sz w:val="22"/>
          <w:szCs w:val="22"/>
        </w:rPr>
        <w:t>.</w:t>
      </w:r>
    </w:p>
    <w:p w14:paraId="556EBA54" w14:textId="77777777" w:rsidR="00C72FE7" w:rsidRPr="008174E3" w:rsidRDefault="00C72FE7" w:rsidP="00673134">
      <w:pPr>
        <w:pStyle w:val="ListParagraph"/>
        <w:rPr>
          <w:rFonts w:ascii="Arial" w:hAnsi="Arial" w:cs="Arial"/>
          <w:sz w:val="22"/>
          <w:szCs w:val="22"/>
        </w:rPr>
      </w:pPr>
    </w:p>
    <w:p w14:paraId="19E1AFB2" w14:textId="03A7CC24" w:rsidR="00FA1163" w:rsidRPr="008174E3" w:rsidRDefault="001A6841" w:rsidP="00694AC9">
      <w:pPr>
        <w:pStyle w:val="ListParagraph"/>
        <w:numPr>
          <w:ilvl w:val="0"/>
          <w:numId w:val="8"/>
        </w:numPr>
        <w:ind w:left="0"/>
        <w:jc w:val="both"/>
        <w:rPr>
          <w:rFonts w:ascii="Arial" w:hAnsi="Arial" w:cs="Arial"/>
          <w:sz w:val="22"/>
          <w:szCs w:val="22"/>
        </w:rPr>
      </w:pPr>
      <w:r w:rsidRPr="008174E3">
        <w:rPr>
          <w:rFonts w:ascii="Arial" w:hAnsi="Arial" w:cs="Arial"/>
          <w:sz w:val="22"/>
          <w:szCs w:val="22"/>
        </w:rPr>
        <w:t xml:space="preserve">La base del presente análisis es la matriz de resultados definida para el programa, donde se consideran </w:t>
      </w:r>
      <w:r w:rsidR="00FA1163" w:rsidRPr="008174E3">
        <w:rPr>
          <w:rFonts w:ascii="Arial" w:hAnsi="Arial" w:cs="Arial"/>
          <w:sz w:val="22"/>
          <w:szCs w:val="22"/>
        </w:rPr>
        <w:t xml:space="preserve">los impactos esperados del programa, </w:t>
      </w:r>
      <w:r w:rsidRPr="008174E3">
        <w:rPr>
          <w:rFonts w:ascii="Arial" w:hAnsi="Arial" w:cs="Arial"/>
          <w:sz w:val="22"/>
          <w:szCs w:val="22"/>
        </w:rPr>
        <w:t xml:space="preserve">los costos totales </w:t>
      </w:r>
      <w:r w:rsidR="00FA1163" w:rsidRPr="008174E3">
        <w:rPr>
          <w:rFonts w:ascii="Arial" w:hAnsi="Arial" w:cs="Arial"/>
          <w:sz w:val="22"/>
          <w:szCs w:val="22"/>
        </w:rPr>
        <w:t xml:space="preserve">financieros </w:t>
      </w:r>
      <w:r w:rsidRPr="008174E3">
        <w:rPr>
          <w:rFonts w:ascii="Arial" w:hAnsi="Arial" w:cs="Arial"/>
          <w:sz w:val="22"/>
          <w:szCs w:val="22"/>
        </w:rPr>
        <w:t xml:space="preserve">del mismo, además de costos económicos identificados en la literatura. </w:t>
      </w:r>
      <w:r w:rsidR="00172572" w:rsidRPr="008174E3">
        <w:rPr>
          <w:rFonts w:ascii="Arial" w:hAnsi="Arial" w:cs="Arial"/>
          <w:sz w:val="22"/>
          <w:szCs w:val="22"/>
        </w:rPr>
        <w:t>El</w:t>
      </w:r>
      <w:r w:rsidR="00FA1163" w:rsidRPr="008174E3">
        <w:rPr>
          <w:rFonts w:ascii="Arial" w:hAnsi="Arial" w:cs="Arial"/>
          <w:sz w:val="22"/>
          <w:szCs w:val="22"/>
        </w:rPr>
        <w:t xml:space="preserve"> presente análisis constituye un insumo técnico de la Propuesta para el Desarrollo de la Operación (POD) y forma parte de la misma.  </w:t>
      </w:r>
    </w:p>
    <w:p w14:paraId="4CA1D4D8" w14:textId="77777777" w:rsidR="00FA1163" w:rsidRPr="008174E3" w:rsidRDefault="00FA1163" w:rsidP="00FA1163">
      <w:pPr>
        <w:pStyle w:val="ListParagraph"/>
        <w:rPr>
          <w:rFonts w:ascii="Arial" w:hAnsi="Arial" w:cs="Arial"/>
          <w:sz w:val="22"/>
          <w:szCs w:val="22"/>
        </w:rPr>
      </w:pPr>
    </w:p>
    <w:p w14:paraId="13EF07C1" w14:textId="01B7DF63" w:rsidR="00425D26" w:rsidRPr="008174E3" w:rsidRDefault="00541D07" w:rsidP="00694AC9">
      <w:pPr>
        <w:pStyle w:val="ListParagraph"/>
        <w:numPr>
          <w:ilvl w:val="0"/>
          <w:numId w:val="8"/>
        </w:numPr>
        <w:ind w:left="0"/>
        <w:jc w:val="both"/>
        <w:rPr>
          <w:rFonts w:ascii="Arial" w:hAnsi="Arial" w:cs="Arial"/>
          <w:sz w:val="22"/>
          <w:szCs w:val="22"/>
        </w:rPr>
      </w:pPr>
      <w:r w:rsidRPr="008174E3">
        <w:rPr>
          <w:rFonts w:ascii="Arial" w:hAnsi="Arial" w:cs="Arial"/>
          <w:sz w:val="22"/>
          <w:szCs w:val="22"/>
        </w:rPr>
        <w:t xml:space="preserve">El préstamo del Banco </w:t>
      </w:r>
      <w:r w:rsidR="007F6529" w:rsidRPr="008174E3">
        <w:rPr>
          <w:rFonts w:ascii="Arial" w:hAnsi="Arial" w:cs="Arial"/>
          <w:sz w:val="22"/>
          <w:szCs w:val="22"/>
        </w:rPr>
        <w:t xml:space="preserve">para el presente programa </w:t>
      </w:r>
      <w:r w:rsidRPr="008174E3">
        <w:rPr>
          <w:rFonts w:ascii="Arial" w:hAnsi="Arial" w:cs="Arial"/>
          <w:sz w:val="22"/>
          <w:szCs w:val="22"/>
        </w:rPr>
        <w:t>ascenderá a US$</w:t>
      </w:r>
      <w:r w:rsidR="0068090C" w:rsidRPr="008174E3">
        <w:rPr>
          <w:rFonts w:ascii="Arial" w:hAnsi="Arial" w:cs="Arial"/>
          <w:sz w:val="22"/>
          <w:szCs w:val="22"/>
        </w:rPr>
        <w:t>16</w:t>
      </w:r>
      <w:r w:rsidR="00CC4E0D" w:rsidRPr="008174E3">
        <w:rPr>
          <w:rFonts w:ascii="Arial" w:hAnsi="Arial" w:cs="Arial"/>
          <w:sz w:val="22"/>
          <w:szCs w:val="22"/>
        </w:rPr>
        <w:t>0 millones.</w:t>
      </w:r>
      <w:r w:rsidRPr="008174E3">
        <w:rPr>
          <w:rFonts w:ascii="Arial" w:hAnsi="Arial" w:cs="Arial"/>
          <w:sz w:val="22"/>
          <w:szCs w:val="22"/>
        </w:rPr>
        <w:t xml:space="preserve"> </w:t>
      </w:r>
      <w:r w:rsidR="00CC4E0D" w:rsidRPr="008174E3">
        <w:rPr>
          <w:rFonts w:ascii="Arial" w:hAnsi="Arial" w:cs="Arial"/>
          <w:sz w:val="22"/>
          <w:szCs w:val="22"/>
        </w:rPr>
        <w:t>S</w:t>
      </w:r>
      <w:r w:rsidR="007F6529" w:rsidRPr="008174E3">
        <w:rPr>
          <w:rFonts w:ascii="Arial" w:hAnsi="Arial" w:cs="Arial"/>
          <w:sz w:val="22"/>
          <w:szCs w:val="22"/>
        </w:rPr>
        <w:t>egún los datos obtenidos mediante el pr</w:t>
      </w:r>
      <w:r w:rsidR="00776D09" w:rsidRPr="008174E3">
        <w:rPr>
          <w:rFonts w:ascii="Arial" w:hAnsi="Arial" w:cs="Arial"/>
          <w:sz w:val="22"/>
          <w:szCs w:val="22"/>
        </w:rPr>
        <w:t>e</w:t>
      </w:r>
      <w:r w:rsidR="007F6529" w:rsidRPr="008174E3">
        <w:rPr>
          <w:rFonts w:ascii="Arial" w:hAnsi="Arial" w:cs="Arial"/>
          <w:sz w:val="22"/>
          <w:szCs w:val="22"/>
        </w:rPr>
        <w:t xml:space="preserve">sente </w:t>
      </w:r>
      <w:r w:rsidR="00AF633A" w:rsidRPr="008174E3">
        <w:rPr>
          <w:rFonts w:ascii="Arial" w:hAnsi="Arial" w:cs="Arial"/>
          <w:sz w:val="22"/>
          <w:szCs w:val="22"/>
        </w:rPr>
        <w:t>análisis</w:t>
      </w:r>
      <w:r w:rsidR="007F6529" w:rsidRPr="008174E3">
        <w:rPr>
          <w:rFonts w:ascii="Arial" w:hAnsi="Arial" w:cs="Arial"/>
          <w:sz w:val="22"/>
          <w:szCs w:val="22"/>
        </w:rPr>
        <w:t xml:space="preserve"> de Costo Beneficio</w:t>
      </w:r>
      <w:r w:rsidR="00CC4E0D" w:rsidRPr="008174E3">
        <w:rPr>
          <w:rFonts w:ascii="Arial" w:hAnsi="Arial" w:cs="Arial"/>
          <w:sz w:val="22"/>
          <w:szCs w:val="22"/>
        </w:rPr>
        <w:t>,</w:t>
      </w:r>
      <w:r w:rsidR="007F6529" w:rsidRPr="008174E3">
        <w:rPr>
          <w:rFonts w:ascii="Arial" w:hAnsi="Arial" w:cs="Arial"/>
          <w:sz w:val="22"/>
          <w:szCs w:val="22"/>
        </w:rPr>
        <w:t xml:space="preserve"> </w:t>
      </w:r>
      <w:r w:rsidRPr="008174E3">
        <w:rPr>
          <w:rFonts w:ascii="Arial" w:hAnsi="Arial" w:cs="Arial"/>
          <w:sz w:val="22"/>
          <w:szCs w:val="22"/>
        </w:rPr>
        <w:t xml:space="preserve">el </w:t>
      </w:r>
      <w:r w:rsidR="00AF633A" w:rsidRPr="008174E3">
        <w:rPr>
          <w:rFonts w:ascii="Arial" w:hAnsi="Arial" w:cs="Arial"/>
          <w:sz w:val="22"/>
          <w:szCs w:val="22"/>
        </w:rPr>
        <w:t>préstamo</w:t>
      </w:r>
      <w:r w:rsidRPr="008174E3">
        <w:rPr>
          <w:rFonts w:ascii="Arial" w:hAnsi="Arial" w:cs="Arial"/>
          <w:sz w:val="22"/>
          <w:szCs w:val="22"/>
        </w:rPr>
        <w:t xml:space="preserve"> es rentable </w:t>
      </w:r>
      <w:r w:rsidR="007F6529" w:rsidRPr="008174E3">
        <w:rPr>
          <w:rFonts w:ascii="Arial" w:hAnsi="Arial" w:cs="Arial"/>
          <w:sz w:val="22"/>
          <w:szCs w:val="22"/>
        </w:rPr>
        <w:t>por un VPN de US$</w:t>
      </w:r>
      <w:r w:rsidR="00BE0EAE">
        <w:rPr>
          <w:rFonts w:ascii="Arial" w:hAnsi="Arial" w:cs="Arial"/>
          <w:sz w:val="22"/>
          <w:szCs w:val="22"/>
        </w:rPr>
        <w:t>8</w:t>
      </w:r>
      <w:r w:rsidR="0068090C" w:rsidRPr="008174E3">
        <w:rPr>
          <w:rFonts w:ascii="Arial" w:hAnsi="Arial" w:cs="Arial"/>
          <w:sz w:val="22"/>
          <w:szCs w:val="22"/>
        </w:rPr>
        <w:t>4</w:t>
      </w:r>
      <w:r w:rsidR="007F6529" w:rsidRPr="008174E3">
        <w:rPr>
          <w:rFonts w:ascii="Arial" w:hAnsi="Arial" w:cs="Arial"/>
          <w:sz w:val="22"/>
          <w:szCs w:val="22"/>
        </w:rPr>
        <w:t xml:space="preserve"> millones con un ratio </w:t>
      </w:r>
      <w:r w:rsidRPr="008174E3">
        <w:rPr>
          <w:rFonts w:ascii="Arial" w:hAnsi="Arial" w:cs="Arial"/>
          <w:sz w:val="22"/>
          <w:szCs w:val="22"/>
        </w:rPr>
        <w:t>C</w:t>
      </w:r>
      <w:r w:rsidR="00FA1163" w:rsidRPr="008174E3">
        <w:rPr>
          <w:rFonts w:ascii="Arial" w:hAnsi="Arial" w:cs="Arial"/>
          <w:sz w:val="22"/>
          <w:szCs w:val="22"/>
        </w:rPr>
        <w:t>osto-</w:t>
      </w:r>
      <w:r w:rsidRPr="008174E3">
        <w:rPr>
          <w:rFonts w:ascii="Arial" w:hAnsi="Arial" w:cs="Arial"/>
          <w:sz w:val="22"/>
          <w:szCs w:val="22"/>
        </w:rPr>
        <w:t>B</w:t>
      </w:r>
      <w:r w:rsidR="004C2B2F" w:rsidRPr="008174E3">
        <w:rPr>
          <w:rFonts w:ascii="Arial" w:hAnsi="Arial" w:cs="Arial"/>
          <w:sz w:val="22"/>
          <w:szCs w:val="22"/>
        </w:rPr>
        <w:t xml:space="preserve">eneficio de </w:t>
      </w:r>
      <w:r w:rsidR="00B007C0" w:rsidRPr="008174E3">
        <w:rPr>
          <w:rFonts w:ascii="Arial" w:hAnsi="Arial" w:cs="Arial"/>
          <w:sz w:val="22"/>
          <w:szCs w:val="22"/>
        </w:rPr>
        <w:t>1,</w:t>
      </w:r>
      <w:r w:rsidR="00AF639F" w:rsidRPr="008174E3">
        <w:rPr>
          <w:rFonts w:ascii="Arial" w:hAnsi="Arial" w:cs="Arial"/>
          <w:sz w:val="22"/>
          <w:szCs w:val="22"/>
        </w:rPr>
        <w:t>4</w:t>
      </w:r>
      <w:r w:rsidR="00BE0EAE">
        <w:rPr>
          <w:rFonts w:ascii="Arial" w:hAnsi="Arial" w:cs="Arial"/>
          <w:sz w:val="22"/>
          <w:szCs w:val="22"/>
        </w:rPr>
        <w:t>6</w:t>
      </w:r>
      <w:r w:rsidR="007F6529" w:rsidRPr="008174E3">
        <w:rPr>
          <w:rFonts w:ascii="Arial" w:hAnsi="Arial" w:cs="Arial"/>
          <w:sz w:val="22"/>
          <w:szCs w:val="22"/>
        </w:rPr>
        <w:t>.</w:t>
      </w:r>
      <w:r w:rsidR="001A6841" w:rsidRPr="008174E3">
        <w:rPr>
          <w:rFonts w:ascii="Arial" w:hAnsi="Arial" w:cs="Arial"/>
          <w:sz w:val="22"/>
          <w:szCs w:val="22"/>
        </w:rPr>
        <w:t xml:space="preserve"> </w:t>
      </w:r>
    </w:p>
    <w:p w14:paraId="5409256B" w14:textId="77777777" w:rsidR="00425D26" w:rsidRPr="008174E3" w:rsidRDefault="00425D26" w:rsidP="00673134">
      <w:pPr>
        <w:pStyle w:val="ListParagraph"/>
        <w:ind w:left="0"/>
        <w:rPr>
          <w:rFonts w:ascii="Arial" w:hAnsi="Arial" w:cs="Arial"/>
        </w:rPr>
      </w:pPr>
    </w:p>
    <w:p w14:paraId="7DED5D73" w14:textId="77777777" w:rsidR="00583D52" w:rsidRPr="008174E3" w:rsidRDefault="00541D07" w:rsidP="00583D52">
      <w:pPr>
        <w:pStyle w:val="ListParagraph"/>
        <w:numPr>
          <w:ilvl w:val="0"/>
          <w:numId w:val="7"/>
        </w:numPr>
        <w:spacing w:before="120"/>
        <w:ind w:left="0"/>
        <w:jc w:val="both"/>
        <w:rPr>
          <w:rFonts w:ascii="Arial" w:hAnsi="Arial" w:cs="Arial"/>
          <w:b/>
        </w:rPr>
      </w:pPr>
      <w:r w:rsidRPr="008174E3">
        <w:rPr>
          <w:rFonts w:ascii="Arial" w:hAnsi="Arial" w:cs="Arial"/>
          <w:b/>
        </w:rPr>
        <w:t xml:space="preserve">Supuestos y Metodología </w:t>
      </w:r>
    </w:p>
    <w:p w14:paraId="1626EDFB" w14:textId="77777777" w:rsidR="00583D52" w:rsidRPr="008174E3" w:rsidRDefault="00583D52" w:rsidP="00583D52">
      <w:pPr>
        <w:pStyle w:val="ListParagraph"/>
        <w:spacing w:before="120"/>
        <w:ind w:left="0"/>
        <w:jc w:val="both"/>
        <w:rPr>
          <w:rFonts w:ascii="Arial" w:hAnsi="Arial" w:cs="Arial"/>
        </w:rPr>
      </w:pPr>
    </w:p>
    <w:p w14:paraId="6E846A8E" w14:textId="77777777" w:rsidR="00215EE5" w:rsidRPr="008174E3" w:rsidRDefault="00583D52" w:rsidP="00673134">
      <w:pPr>
        <w:pStyle w:val="ListParagraph"/>
        <w:numPr>
          <w:ilvl w:val="1"/>
          <w:numId w:val="7"/>
        </w:numPr>
        <w:spacing w:before="120"/>
        <w:ind w:left="0"/>
        <w:jc w:val="both"/>
        <w:rPr>
          <w:rFonts w:ascii="Arial" w:hAnsi="Arial" w:cs="Arial"/>
        </w:rPr>
      </w:pPr>
      <w:r w:rsidRPr="008174E3">
        <w:rPr>
          <w:rFonts w:ascii="Arial" w:hAnsi="Arial" w:cs="Arial"/>
          <w:b/>
        </w:rPr>
        <w:t>Supuestos Generales</w:t>
      </w:r>
    </w:p>
    <w:p w14:paraId="68F8C883" w14:textId="77777777" w:rsidR="00E509CA" w:rsidRPr="008174E3" w:rsidRDefault="00E509CA" w:rsidP="00E509CA">
      <w:pPr>
        <w:pStyle w:val="ListParagraph"/>
        <w:spacing w:before="120"/>
        <w:ind w:left="0"/>
        <w:jc w:val="both"/>
        <w:rPr>
          <w:rFonts w:ascii="Arial" w:hAnsi="Arial" w:cs="Arial"/>
        </w:rPr>
      </w:pPr>
    </w:p>
    <w:p w14:paraId="2B313E41" w14:textId="31E15A7C" w:rsidR="00BF3AE7" w:rsidRPr="008174E3" w:rsidRDefault="001A6841" w:rsidP="002B6F55">
      <w:pPr>
        <w:pStyle w:val="ListParagraph"/>
        <w:numPr>
          <w:ilvl w:val="0"/>
          <w:numId w:val="8"/>
        </w:numPr>
        <w:ind w:left="0"/>
        <w:jc w:val="both"/>
        <w:rPr>
          <w:rFonts w:ascii="Arial" w:hAnsi="Arial" w:cs="Arial"/>
          <w:sz w:val="22"/>
          <w:szCs w:val="22"/>
        </w:rPr>
      </w:pPr>
      <w:r w:rsidRPr="008174E3">
        <w:rPr>
          <w:rFonts w:ascii="Arial" w:hAnsi="Arial" w:cs="Arial"/>
          <w:sz w:val="22"/>
          <w:szCs w:val="22"/>
        </w:rPr>
        <w:t>E</w:t>
      </w:r>
      <w:r w:rsidR="00C059FB" w:rsidRPr="008174E3">
        <w:rPr>
          <w:rFonts w:ascii="Arial" w:hAnsi="Arial" w:cs="Arial"/>
          <w:sz w:val="22"/>
          <w:szCs w:val="22"/>
        </w:rPr>
        <w:t xml:space="preserve">l presente </w:t>
      </w:r>
      <w:r w:rsidR="00AF633A" w:rsidRPr="008174E3">
        <w:rPr>
          <w:rFonts w:ascii="Arial" w:hAnsi="Arial" w:cs="Arial"/>
          <w:sz w:val="22"/>
          <w:szCs w:val="22"/>
        </w:rPr>
        <w:t>análisis</w:t>
      </w:r>
      <w:r w:rsidR="00C059FB" w:rsidRPr="008174E3">
        <w:rPr>
          <w:rFonts w:ascii="Arial" w:hAnsi="Arial" w:cs="Arial"/>
          <w:sz w:val="22"/>
          <w:szCs w:val="22"/>
        </w:rPr>
        <w:t xml:space="preserve"> de </w:t>
      </w:r>
      <w:r w:rsidR="006031FB" w:rsidRPr="008174E3">
        <w:rPr>
          <w:rFonts w:ascii="Arial" w:hAnsi="Arial" w:cs="Arial"/>
          <w:sz w:val="22"/>
          <w:szCs w:val="22"/>
        </w:rPr>
        <w:t xml:space="preserve">costo beneficio </w:t>
      </w:r>
      <w:r w:rsidRPr="008174E3">
        <w:rPr>
          <w:rFonts w:ascii="Arial" w:hAnsi="Arial" w:cs="Arial"/>
          <w:sz w:val="22"/>
          <w:szCs w:val="22"/>
        </w:rPr>
        <w:t>estima</w:t>
      </w:r>
      <w:r w:rsidR="006031FB" w:rsidRPr="008174E3">
        <w:rPr>
          <w:rFonts w:ascii="Arial" w:hAnsi="Arial" w:cs="Arial"/>
          <w:sz w:val="22"/>
          <w:szCs w:val="22"/>
        </w:rPr>
        <w:t xml:space="preserve"> los beneficios económicos netos sociales incrementales</w:t>
      </w:r>
      <w:r w:rsidR="00BF3AE7" w:rsidRPr="008174E3">
        <w:rPr>
          <w:rFonts w:ascii="Arial" w:hAnsi="Arial" w:cs="Arial"/>
          <w:sz w:val="22"/>
          <w:szCs w:val="22"/>
        </w:rPr>
        <w:t xml:space="preserve"> relacionados a la implementación </w:t>
      </w:r>
      <w:r w:rsidR="00606D34" w:rsidRPr="008174E3">
        <w:rPr>
          <w:rFonts w:ascii="Arial" w:hAnsi="Arial" w:cs="Arial"/>
          <w:sz w:val="22"/>
          <w:szCs w:val="22"/>
        </w:rPr>
        <w:t>del programa</w:t>
      </w:r>
      <w:r w:rsidR="00FA1163" w:rsidRPr="008174E3">
        <w:rPr>
          <w:rFonts w:ascii="Arial" w:hAnsi="Arial" w:cs="Arial"/>
          <w:sz w:val="22"/>
          <w:szCs w:val="22"/>
        </w:rPr>
        <w:t xml:space="preserve"> </w:t>
      </w:r>
      <w:r w:rsidR="002B6F55" w:rsidRPr="008174E3">
        <w:rPr>
          <w:rFonts w:ascii="Arial" w:hAnsi="Arial" w:cs="Arial"/>
          <w:i/>
          <w:sz w:val="22"/>
          <w:szCs w:val="22"/>
        </w:rPr>
        <w:t xml:space="preserve">Fortalecimiento de la Gestión de Políticas </w:t>
      </w:r>
      <w:r w:rsidR="00EB33FF" w:rsidRPr="008174E3">
        <w:rPr>
          <w:rFonts w:ascii="Arial" w:hAnsi="Arial" w:cs="Arial"/>
          <w:i/>
          <w:sz w:val="22"/>
          <w:szCs w:val="22"/>
        </w:rPr>
        <w:t>de Promoción al Empleo</w:t>
      </w:r>
      <w:r w:rsidR="006031FB" w:rsidRPr="008174E3">
        <w:rPr>
          <w:rFonts w:ascii="Arial" w:hAnsi="Arial" w:cs="Arial"/>
          <w:sz w:val="22"/>
          <w:szCs w:val="22"/>
        </w:rPr>
        <w:t xml:space="preserve">. Esto se hace sustrayendo los costos incrementales del programa del flujo descontado de beneficios incrementales estimados. </w:t>
      </w:r>
    </w:p>
    <w:p w14:paraId="1B2E1656" w14:textId="77777777" w:rsidR="006F0F0C" w:rsidRPr="008174E3" w:rsidRDefault="006F0F0C" w:rsidP="00011D76">
      <w:pPr>
        <w:pStyle w:val="ListParagraph"/>
        <w:ind w:left="0"/>
        <w:jc w:val="both"/>
        <w:rPr>
          <w:rFonts w:ascii="Arial" w:hAnsi="Arial" w:cs="Arial"/>
          <w:sz w:val="22"/>
          <w:szCs w:val="22"/>
        </w:rPr>
      </w:pPr>
    </w:p>
    <w:p w14:paraId="521BA919" w14:textId="1AF5A7DA" w:rsidR="006F0F0C" w:rsidRPr="008174E3" w:rsidRDefault="006F0F0C" w:rsidP="00011D76">
      <w:pPr>
        <w:pStyle w:val="ListParagraph"/>
        <w:numPr>
          <w:ilvl w:val="0"/>
          <w:numId w:val="8"/>
        </w:numPr>
        <w:ind w:left="0"/>
        <w:jc w:val="both"/>
        <w:rPr>
          <w:rFonts w:ascii="Arial" w:hAnsi="Arial" w:cs="Arial"/>
          <w:sz w:val="22"/>
          <w:szCs w:val="22"/>
        </w:rPr>
      </w:pPr>
      <w:r w:rsidRPr="008174E3">
        <w:rPr>
          <w:rFonts w:ascii="Arial" w:hAnsi="Arial" w:cs="Arial"/>
          <w:sz w:val="22"/>
          <w:szCs w:val="22"/>
        </w:rPr>
        <w:t xml:space="preserve">El cálculo de los beneficios económicos del programa se realiza en base a los </w:t>
      </w:r>
      <w:r w:rsidR="00A044FB" w:rsidRPr="008174E3">
        <w:rPr>
          <w:rFonts w:ascii="Arial" w:hAnsi="Arial" w:cs="Arial"/>
          <w:sz w:val="22"/>
          <w:szCs w:val="22"/>
        </w:rPr>
        <w:t>dos</w:t>
      </w:r>
      <w:r w:rsidR="00D434BB" w:rsidRPr="008174E3">
        <w:rPr>
          <w:rFonts w:ascii="Arial" w:hAnsi="Arial" w:cs="Arial"/>
          <w:sz w:val="22"/>
          <w:szCs w:val="22"/>
        </w:rPr>
        <w:t xml:space="preserve"> </w:t>
      </w:r>
      <w:r w:rsidRPr="008174E3">
        <w:rPr>
          <w:rFonts w:ascii="Arial" w:hAnsi="Arial" w:cs="Arial"/>
          <w:sz w:val="22"/>
          <w:szCs w:val="22"/>
        </w:rPr>
        <w:t>comp</w:t>
      </w:r>
      <w:r w:rsidR="00E96A59" w:rsidRPr="008174E3">
        <w:rPr>
          <w:rFonts w:ascii="Arial" w:hAnsi="Arial" w:cs="Arial"/>
          <w:sz w:val="22"/>
          <w:szCs w:val="22"/>
        </w:rPr>
        <w:t xml:space="preserve">onentes del proyecto. </w:t>
      </w:r>
      <w:r w:rsidR="0030229D" w:rsidRPr="008174E3">
        <w:rPr>
          <w:rFonts w:ascii="Arial" w:hAnsi="Arial" w:cs="Arial"/>
          <w:sz w:val="22"/>
          <w:szCs w:val="22"/>
        </w:rPr>
        <w:t>E</w:t>
      </w:r>
      <w:r w:rsidR="00E96A59" w:rsidRPr="008174E3">
        <w:rPr>
          <w:rFonts w:ascii="Arial" w:hAnsi="Arial" w:cs="Arial"/>
          <w:sz w:val="22"/>
          <w:szCs w:val="22"/>
        </w:rPr>
        <w:t>l primer componente</w:t>
      </w:r>
      <w:r w:rsidRPr="008174E3">
        <w:rPr>
          <w:rFonts w:ascii="Arial" w:hAnsi="Arial" w:cs="Arial"/>
          <w:sz w:val="22"/>
          <w:szCs w:val="22"/>
        </w:rPr>
        <w:t xml:space="preserve">, </w:t>
      </w:r>
      <w:r w:rsidR="0030229D" w:rsidRPr="008174E3">
        <w:rPr>
          <w:rFonts w:ascii="Arial" w:hAnsi="Arial" w:cs="Arial"/>
          <w:sz w:val="22"/>
          <w:szCs w:val="22"/>
        </w:rPr>
        <w:t xml:space="preserve">relaciona </w:t>
      </w:r>
      <w:r w:rsidR="00570E65" w:rsidRPr="008174E3">
        <w:rPr>
          <w:rFonts w:ascii="Arial" w:hAnsi="Arial" w:cs="Arial"/>
          <w:sz w:val="22"/>
          <w:szCs w:val="22"/>
        </w:rPr>
        <w:t xml:space="preserve">el </w:t>
      </w:r>
      <w:r w:rsidR="001A6841" w:rsidRPr="008174E3">
        <w:rPr>
          <w:rFonts w:ascii="Arial" w:hAnsi="Arial" w:cs="Arial"/>
          <w:sz w:val="22"/>
          <w:szCs w:val="22"/>
        </w:rPr>
        <w:t xml:space="preserve">fortalecimiento del SNE </w:t>
      </w:r>
      <w:r w:rsidR="0030229D" w:rsidRPr="008174E3">
        <w:rPr>
          <w:rFonts w:ascii="Arial" w:hAnsi="Arial" w:cs="Arial"/>
          <w:sz w:val="22"/>
          <w:szCs w:val="22"/>
        </w:rPr>
        <w:t xml:space="preserve">con el incremento en el </w:t>
      </w:r>
      <w:r w:rsidR="00E60D75" w:rsidRPr="008174E3">
        <w:rPr>
          <w:rFonts w:ascii="Arial" w:hAnsi="Arial" w:cs="Arial"/>
          <w:sz w:val="22"/>
          <w:szCs w:val="22"/>
        </w:rPr>
        <w:t xml:space="preserve">acceso a información e </w:t>
      </w:r>
      <w:r w:rsidRPr="008174E3">
        <w:rPr>
          <w:rFonts w:ascii="Arial" w:hAnsi="Arial" w:cs="Arial"/>
          <w:sz w:val="22"/>
          <w:szCs w:val="22"/>
        </w:rPr>
        <w:t>intermediación laboral</w:t>
      </w:r>
      <w:r w:rsidR="001A6841" w:rsidRPr="008174E3">
        <w:rPr>
          <w:rFonts w:ascii="Arial" w:hAnsi="Arial" w:cs="Arial"/>
          <w:sz w:val="22"/>
          <w:szCs w:val="22"/>
        </w:rPr>
        <w:t xml:space="preserve"> </w:t>
      </w:r>
      <w:r w:rsidR="0030229D" w:rsidRPr="008174E3">
        <w:rPr>
          <w:rFonts w:ascii="Arial" w:hAnsi="Arial" w:cs="Arial"/>
          <w:sz w:val="22"/>
          <w:szCs w:val="22"/>
        </w:rPr>
        <w:t xml:space="preserve">para </w:t>
      </w:r>
      <w:r w:rsidR="001A6841" w:rsidRPr="008174E3">
        <w:rPr>
          <w:rFonts w:ascii="Arial" w:hAnsi="Arial" w:cs="Arial"/>
          <w:sz w:val="22"/>
          <w:szCs w:val="22"/>
        </w:rPr>
        <w:t>los buscadores de empleo</w:t>
      </w:r>
      <w:r w:rsidRPr="008174E3">
        <w:rPr>
          <w:rFonts w:ascii="Arial" w:hAnsi="Arial" w:cs="Arial"/>
          <w:sz w:val="22"/>
          <w:szCs w:val="22"/>
        </w:rPr>
        <w:t xml:space="preserve">. El </w:t>
      </w:r>
      <w:r w:rsidR="00A044FB" w:rsidRPr="008174E3">
        <w:rPr>
          <w:rFonts w:ascii="Arial" w:hAnsi="Arial" w:cs="Arial"/>
          <w:sz w:val="22"/>
          <w:szCs w:val="22"/>
        </w:rPr>
        <w:t xml:space="preserve">segundo </w:t>
      </w:r>
      <w:r w:rsidR="00E96A59" w:rsidRPr="008174E3">
        <w:rPr>
          <w:rFonts w:ascii="Arial" w:hAnsi="Arial" w:cs="Arial"/>
          <w:sz w:val="22"/>
          <w:szCs w:val="22"/>
        </w:rPr>
        <w:t>componente</w:t>
      </w:r>
      <w:r w:rsidR="001A6841" w:rsidRPr="008174E3">
        <w:rPr>
          <w:rFonts w:ascii="Arial" w:hAnsi="Arial" w:cs="Arial"/>
          <w:sz w:val="22"/>
          <w:szCs w:val="22"/>
        </w:rPr>
        <w:t xml:space="preserve"> de fortalecimiento </w:t>
      </w:r>
      <w:r w:rsidR="00F75139" w:rsidRPr="008174E3">
        <w:rPr>
          <w:rFonts w:ascii="Arial" w:hAnsi="Arial" w:cs="Arial"/>
          <w:sz w:val="22"/>
          <w:szCs w:val="22"/>
        </w:rPr>
        <w:t xml:space="preserve">del PAE </w:t>
      </w:r>
      <w:r w:rsidR="0030229D" w:rsidRPr="008174E3">
        <w:rPr>
          <w:rFonts w:ascii="Arial" w:hAnsi="Arial" w:cs="Arial"/>
          <w:sz w:val="22"/>
          <w:szCs w:val="22"/>
        </w:rPr>
        <w:t xml:space="preserve">busca </w:t>
      </w:r>
      <w:r w:rsidR="00210B40" w:rsidRPr="008174E3">
        <w:rPr>
          <w:rFonts w:ascii="Arial" w:hAnsi="Arial" w:cs="Arial"/>
          <w:sz w:val="22"/>
          <w:szCs w:val="22"/>
        </w:rPr>
        <w:t>generar</w:t>
      </w:r>
      <w:r w:rsidR="0030229D" w:rsidRPr="008174E3">
        <w:rPr>
          <w:rFonts w:ascii="Arial" w:hAnsi="Arial" w:cs="Arial"/>
          <w:sz w:val="22"/>
          <w:szCs w:val="22"/>
        </w:rPr>
        <w:t xml:space="preserve"> </w:t>
      </w:r>
      <w:r w:rsidR="001A6841" w:rsidRPr="008174E3">
        <w:rPr>
          <w:rFonts w:ascii="Arial" w:hAnsi="Arial" w:cs="Arial"/>
          <w:sz w:val="22"/>
          <w:szCs w:val="22"/>
        </w:rPr>
        <w:t xml:space="preserve">un impacto positivo en </w:t>
      </w:r>
      <w:r w:rsidR="00833799" w:rsidRPr="008174E3">
        <w:rPr>
          <w:rFonts w:ascii="Arial" w:hAnsi="Arial" w:cs="Arial"/>
          <w:sz w:val="22"/>
          <w:szCs w:val="22"/>
        </w:rPr>
        <w:t xml:space="preserve">el </w:t>
      </w:r>
      <w:r w:rsidR="001A6841" w:rsidRPr="008174E3">
        <w:rPr>
          <w:rFonts w:ascii="Arial" w:hAnsi="Arial" w:cs="Arial"/>
          <w:sz w:val="22"/>
          <w:szCs w:val="22"/>
        </w:rPr>
        <w:t>desarrollo de habilidades</w:t>
      </w:r>
      <w:r w:rsidR="00FA1163" w:rsidRPr="008174E3">
        <w:rPr>
          <w:rFonts w:ascii="Arial" w:hAnsi="Arial" w:cs="Arial"/>
          <w:sz w:val="22"/>
          <w:szCs w:val="22"/>
        </w:rPr>
        <w:t xml:space="preserve"> de los buscadores de empleo beneficiados por el programa</w:t>
      </w:r>
      <w:r w:rsidRPr="008174E3">
        <w:rPr>
          <w:rFonts w:ascii="Arial" w:hAnsi="Arial" w:cs="Arial"/>
          <w:sz w:val="22"/>
          <w:szCs w:val="22"/>
        </w:rPr>
        <w:t>.</w:t>
      </w:r>
    </w:p>
    <w:p w14:paraId="0A330558" w14:textId="77777777" w:rsidR="006F0F0C" w:rsidRPr="008174E3" w:rsidRDefault="006F0F0C" w:rsidP="00011D76">
      <w:pPr>
        <w:pStyle w:val="ListParagraph"/>
        <w:rPr>
          <w:rFonts w:ascii="Arial" w:hAnsi="Arial" w:cs="Arial"/>
          <w:sz w:val="22"/>
          <w:szCs w:val="22"/>
        </w:rPr>
      </w:pPr>
    </w:p>
    <w:p w14:paraId="6260AB9A" w14:textId="286F5C30" w:rsidR="006F0F0C" w:rsidRPr="008174E3" w:rsidRDefault="006F0F0C" w:rsidP="00011D76">
      <w:pPr>
        <w:pStyle w:val="ListParagraph"/>
        <w:numPr>
          <w:ilvl w:val="0"/>
          <w:numId w:val="8"/>
        </w:numPr>
        <w:ind w:left="0"/>
        <w:jc w:val="both"/>
        <w:rPr>
          <w:rFonts w:ascii="Arial" w:hAnsi="Arial" w:cs="Arial"/>
          <w:sz w:val="22"/>
          <w:szCs w:val="22"/>
        </w:rPr>
      </w:pPr>
      <w:r w:rsidRPr="008174E3">
        <w:rPr>
          <w:rFonts w:ascii="Arial" w:hAnsi="Arial" w:cs="Arial"/>
          <w:sz w:val="22"/>
          <w:szCs w:val="22"/>
        </w:rPr>
        <w:t>Para el presente análisis</w:t>
      </w:r>
      <w:r w:rsidR="001A6841" w:rsidRPr="008174E3">
        <w:rPr>
          <w:rFonts w:ascii="Arial" w:hAnsi="Arial" w:cs="Arial"/>
          <w:sz w:val="22"/>
          <w:szCs w:val="22"/>
        </w:rPr>
        <w:t xml:space="preserve"> </w:t>
      </w:r>
      <w:r w:rsidRPr="008174E3">
        <w:rPr>
          <w:rFonts w:ascii="Arial" w:hAnsi="Arial" w:cs="Arial"/>
          <w:sz w:val="22"/>
          <w:szCs w:val="22"/>
        </w:rPr>
        <w:t xml:space="preserve">se considerará el impacto del programa </w:t>
      </w:r>
      <w:r w:rsidR="001A6841" w:rsidRPr="008174E3">
        <w:rPr>
          <w:rFonts w:ascii="Arial" w:hAnsi="Arial" w:cs="Arial"/>
          <w:sz w:val="22"/>
          <w:szCs w:val="22"/>
        </w:rPr>
        <w:t xml:space="preserve">en la provisión de </w:t>
      </w:r>
      <w:r w:rsidR="00FA1163" w:rsidRPr="008174E3">
        <w:rPr>
          <w:rFonts w:ascii="Arial" w:hAnsi="Arial" w:cs="Arial"/>
          <w:sz w:val="22"/>
          <w:szCs w:val="22"/>
        </w:rPr>
        <w:t xml:space="preserve">un mayor </w:t>
      </w:r>
      <w:r w:rsidR="001A6841" w:rsidRPr="008174E3">
        <w:rPr>
          <w:rFonts w:ascii="Arial" w:hAnsi="Arial" w:cs="Arial"/>
          <w:sz w:val="22"/>
          <w:szCs w:val="22"/>
        </w:rPr>
        <w:t>acceso a empleo</w:t>
      </w:r>
      <w:r w:rsidR="00FA1163" w:rsidRPr="008174E3">
        <w:rPr>
          <w:rFonts w:ascii="Arial" w:hAnsi="Arial" w:cs="Arial"/>
          <w:sz w:val="22"/>
          <w:szCs w:val="22"/>
        </w:rPr>
        <w:t>s</w:t>
      </w:r>
      <w:r w:rsidR="001A6841" w:rsidRPr="008174E3">
        <w:rPr>
          <w:rFonts w:ascii="Arial" w:hAnsi="Arial" w:cs="Arial"/>
          <w:sz w:val="22"/>
          <w:szCs w:val="22"/>
        </w:rPr>
        <w:t xml:space="preserve"> de calidad, para esto, todos los beneficios calculados se </w:t>
      </w:r>
      <w:r w:rsidR="0030229D" w:rsidRPr="008174E3">
        <w:rPr>
          <w:rFonts w:ascii="Arial" w:hAnsi="Arial" w:cs="Arial"/>
          <w:sz w:val="22"/>
          <w:szCs w:val="22"/>
        </w:rPr>
        <w:t xml:space="preserve">miden en función al </w:t>
      </w:r>
      <w:r w:rsidR="00FA1163" w:rsidRPr="008174E3">
        <w:rPr>
          <w:rFonts w:ascii="Arial" w:hAnsi="Arial" w:cs="Arial"/>
          <w:sz w:val="22"/>
          <w:szCs w:val="22"/>
        </w:rPr>
        <w:lastRenderedPageBreak/>
        <w:t xml:space="preserve">impacto económico </w:t>
      </w:r>
      <w:r w:rsidR="001C6F0D" w:rsidRPr="008174E3">
        <w:rPr>
          <w:rFonts w:ascii="Arial" w:hAnsi="Arial" w:cs="Arial"/>
          <w:sz w:val="22"/>
          <w:szCs w:val="22"/>
        </w:rPr>
        <w:t xml:space="preserve">asociado a </w:t>
      </w:r>
      <w:r w:rsidR="0030229D" w:rsidRPr="008174E3">
        <w:rPr>
          <w:rFonts w:ascii="Arial" w:hAnsi="Arial" w:cs="Arial"/>
          <w:sz w:val="22"/>
          <w:szCs w:val="22"/>
        </w:rPr>
        <w:t xml:space="preserve">inserciones laborales en empleos </w:t>
      </w:r>
      <w:r w:rsidR="00BC34F9" w:rsidRPr="008174E3">
        <w:rPr>
          <w:rFonts w:ascii="Arial" w:hAnsi="Arial" w:cs="Arial"/>
          <w:sz w:val="22"/>
          <w:szCs w:val="22"/>
        </w:rPr>
        <w:t>formal</w:t>
      </w:r>
      <w:r w:rsidR="0030229D" w:rsidRPr="008174E3">
        <w:rPr>
          <w:rFonts w:ascii="Arial" w:hAnsi="Arial" w:cs="Arial"/>
          <w:sz w:val="22"/>
          <w:szCs w:val="22"/>
        </w:rPr>
        <w:t>es</w:t>
      </w:r>
      <w:r w:rsidRPr="008174E3">
        <w:rPr>
          <w:rFonts w:ascii="Arial" w:hAnsi="Arial" w:cs="Arial"/>
          <w:sz w:val="22"/>
          <w:szCs w:val="22"/>
        </w:rPr>
        <w:t xml:space="preserve">. La teoría del cambio detrás del impacto del </w:t>
      </w:r>
      <w:r w:rsidR="003D6EB3" w:rsidRPr="008174E3">
        <w:rPr>
          <w:rFonts w:ascii="Arial" w:hAnsi="Arial" w:cs="Arial"/>
          <w:sz w:val="22"/>
          <w:szCs w:val="22"/>
        </w:rPr>
        <w:t>programa</w:t>
      </w:r>
      <w:r w:rsidRPr="008174E3">
        <w:rPr>
          <w:rFonts w:ascii="Arial" w:hAnsi="Arial" w:cs="Arial"/>
          <w:sz w:val="22"/>
          <w:szCs w:val="22"/>
        </w:rPr>
        <w:t xml:space="preserve"> asume que el programa afecte el desenvolvimiento laboral </w:t>
      </w:r>
      <w:r w:rsidR="0030229D" w:rsidRPr="008174E3">
        <w:rPr>
          <w:rFonts w:ascii="Arial" w:hAnsi="Arial" w:cs="Arial"/>
          <w:sz w:val="22"/>
          <w:szCs w:val="22"/>
        </w:rPr>
        <w:t xml:space="preserve">de los buscadores de empleo atendidos </w:t>
      </w:r>
      <w:r w:rsidRPr="008174E3">
        <w:rPr>
          <w:rFonts w:ascii="Arial" w:hAnsi="Arial" w:cs="Arial"/>
          <w:sz w:val="22"/>
          <w:szCs w:val="22"/>
        </w:rPr>
        <w:t xml:space="preserve">a través de </w:t>
      </w:r>
      <w:r w:rsidR="00BB636E" w:rsidRPr="008174E3">
        <w:rPr>
          <w:rFonts w:ascii="Arial" w:hAnsi="Arial" w:cs="Arial"/>
          <w:sz w:val="22"/>
          <w:szCs w:val="22"/>
        </w:rPr>
        <w:t xml:space="preserve">acceso a información y </w:t>
      </w:r>
      <w:r w:rsidRPr="008174E3">
        <w:rPr>
          <w:rFonts w:ascii="Arial" w:hAnsi="Arial" w:cs="Arial"/>
          <w:sz w:val="22"/>
          <w:szCs w:val="22"/>
        </w:rPr>
        <w:t xml:space="preserve">capacidades </w:t>
      </w:r>
      <w:r w:rsidR="0030229D" w:rsidRPr="008174E3">
        <w:rPr>
          <w:rFonts w:ascii="Arial" w:hAnsi="Arial" w:cs="Arial"/>
          <w:sz w:val="22"/>
          <w:szCs w:val="22"/>
        </w:rPr>
        <w:t>(</w:t>
      </w:r>
      <w:r w:rsidRPr="008174E3">
        <w:rPr>
          <w:rFonts w:ascii="Arial" w:hAnsi="Arial" w:cs="Arial"/>
          <w:sz w:val="22"/>
          <w:szCs w:val="22"/>
        </w:rPr>
        <w:t xml:space="preserve">técnicas y </w:t>
      </w:r>
      <w:r w:rsidR="004918CB" w:rsidRPr="008174E3">
        <w:rPr>
          <w:rFonts w:ascii="Arial" w:hAnsi="Arial" w:cs="Arial"/>
          <w:sz w:val="22"/>
          <w:szCs w:val="22"/>
        </w:rPr>
        <w:t>socioemocionales</w:t>
      </w:r>
      <w:r w:rsidR="0030229D" w:rsidRPr="008174E3">
        <w:rPr>
          <w:rFonts w:ascii="Arial" w:hAnsi="Arial" w:cs="Arial"/>
          <w:sz w:val="22"/>
          <w:szCs w:val="22"/>
        </w:rPr>
        <w:t>)</w:t>
      </w:r>
      <w:r w:rsidRPr="008174E3">
        <w:rPr>
          <w:rFonts w:ascii="Arial" w:hAnsi="Arial" w:cs="Arial"/>
          <w:sz w:val="22"/>
          <w:szCs w:val="22"/>
        </w:rPr>
        <w:t xml:space="preserve">. </w:t>
      </w:r>
      <w:r w:rsidR="00BB636E" w:rsidRPr="008174E3">
        <w:rPr>
          <w:rFonts w:ascii="Arial" w:hAnsi="Arial" w:cs="Arial"/>
          <w:sz w:val="22"/>
          <w:szCs w:val="22"/>
        </w:rPr>
        <w:t>La</w:t>
      </w:r>
      <w:r w:rsidRPr="008174E3">
        <w:rPr>
          <w:rFonts w:ascii="Arial" w:hAnsi="Arial" w:cs="Arial"/>
          <w:sz w:val="22"/>
          <w:szCs w:val="22"/>
        </w:rPr>
        <w:t xml:space="preserve"> decisión de considerar </w:t>
      </w:r>
      <w:r w:rsidR="001A6841" w:rsidRPr="008174E3">
        <w:rPr>
          <w:rFonts w:ascii="Arial" w:hAnsi="Arial" w:cs="Arial"/>
          <w:sz w:val="22"/>
          <w:szCs w:val="22"/>
        </w:rPr>
        <w:t>como único beneficio a esta variable (</w:t>
      </w:r>
      <w:r w:rsidR="003840B0" w:rsidRPr="008174E3">
        <w:rPr>
          <w:rFonts w:ascii="Arial" w:hAnsi="Arial" w:cs="Arial"/>
          <w:sz w:val="22"/>
          <w:szCs w:val="22"/>
        </w:rPr>
        <w:t>empleo formal</w:t>
      </w:r>
      <w:r w:rsidR="001A6841" w:rsidRPr="008174E3">
        <w:rPr>
          <w:rFonts w:ascii="Arial" w:hAnsi="Arial" w:cs="Arial"/>
          <w:sz w:val="22"/>
          <w:szCs w:val="22"/>
        </w:rPr>
        <w:t xml:space="preserve">) </w:t>
      </w:r>
      <w:r w:rsidR="0030229D" w:rsidRPr="008174E3">
        <w:rPr>
          <w:rFonts w:ascii="Arial" w:hAnsi="Arial" w:cs="Arial"/>
          <w:sz w:val="22"/>
          <w:szCs w:val="22"/>
        </w:rPr>
        <w:t xml:space="preserve">omite </w:t>
      </w:r>
      <w:r w:rsidR="00210B40" w:rsidRPr="008174E3">
        <w:rPr>
          <w:rFonts w:ascii="Arial" w:hAnsi="Arial" w:cs="Arial"/>
          <w:sz w:val="22"/>
          <w:szCs w:val="22"/>
        </w:rPr>
        <w:t>explícitamente</w:t>
      </w:r>
      <w:r w:rsidR="0030229D" w:rsidRPr="008174E3">
        <w:rPr>
          <w:rFonts w:ascii="Arial" w:hAnsi="Arial" w:cs="Arial"/>
          <w:sz w:val="22"/>
          <w:szCs w:val="22"/>
        </w:rPr>
        <w:t xml:space="preserve"> los posibles </w:t>
      </w:r>
      <w:r w:rsidRPr="008174E3">
        <w:rPr>
          <w:rFonts w:ascii="Arial" w:hAnsi="Arial" w:cs="Arial"/>
          <w:sz w:val="22"/>
          <w:szCs w:val="22"/>
        </w:rPr>
        <w:t>beneficios del programa sobre</w:t>
      </w:r>
      <w:r w:rsidR="001A6841" w:rsidRPr="008174E3">
        <w:rPr>
          <w:rFonts w:ascii="Arial" w:hAnsi="Arial" w:cs="Arial"/>
          <w:sz w:val="22"/>
          <w:szCs w:val="22"/>
        </w:rPr>
        <w:t xml:space="preserve">: </w:t>
      </w:r>
      <w:r w:rsidR="001F5349" w:rsidRPr="008174E3">
        <w:rPr>
          <w:rFonts w:ascii="Arial" w:hAnsi="Arial" w:cs="Arial"/>
          <w:sz w:val="22"/>
          <w:szCs w:val="22"/>
        </w:rPr>
        <w:t>(</w:t>
      </w:r>
      <w:r w:rsidR="001A6841" w:rsidRPr="008174E3">
        <w:rPr>
          <w:rFonts w:ascii="Arial" w:hAnsi="Arial" w:cs="Arial"/>
          <w:sz w:val="22"/>
          <w:szCs w:val="22"/>
        </w:rPr>
        <w:t xml:space="preserve">i) </w:t>
      </w:r>
      <w:r w:rsidRPr="008174E3">
        <w:rPr>
          <w:rFonts w:ascii="Arial" w:hAnsi="Arial" w:cs="Arial"/>
          <w:sz w:val="22"/>
          <w:szCs w:val="22"/>
        </w:rPr>
        <w:t xml:space="preserve">otras variables </w:t>
      </w:r>
      <w:r w:rsidR="001A6841" w:rsidRPr="008174E3">
        <w:rPr>
          <w:rFonts w:ascii="Arial" w:hAnsi="Arial" w:cs="Arial"/>
          <w:sz w:val="22"/>
          <w:szCs w:val="22"/>
        </w:rPr>
        <w:t>laborales como son acceso a empleo y mejoras en el ingreso laboral</w:t>
      </w:r>
      <w:r w:rsidR="0030229D" w:rsidRPr="008174E3">
        <w:rPr>
          <w:rFonts w:ascii="Arial" w:hAnsi="Arial" w:cs="Arial"/>
          <w:sz w:val="22"/>
          <w:szCs w:val="22"/>
        </w:rPr>
        <w:t>, mismas que han sido documenta</w:t>
      </w:r>
      <w:r w:rsidR="003840B0" w:rsidRPr="008174E3">
        <w:rPr>
          <w:rFonts w:ascii="Arial" w:hAnsi="Arial" w:cs="Arial"/>
          <w:sz w:val="22"/>
          <w:szCs w:val="22"/>
        </w:rPr>
        <w:t xml:space="preserve">s </w:t>
      </w:r>
      <w:r w:rsidR="0030229D" w:rsidRPr="008174E3">
        <w:rPr>
          <w:rFonts w:ascii="Arial" w:hAnsi="Arial" w:cs="Arial"/>
          <w:sz w:val="22"/>
          <w:szCs w:val="22"/>
        </w:rPr>
        <w:t xml:space="preserve">ampliamente en la literatura de impacto </w:t>
      </w:r>
      <w:r w:rsidR="003840B0" w:rsidRPr="008174E3">
        <w:rPr>
          <w:rFonts w:ascii="Arial" w:hAnsi="Arial" w:cs="Arial"/>
          <w:sz w:val="22"/>
          <w:szCs w:val="22"/>
        </w:rPr>
        <w:t>en la región</w:t>
      </w:r>
      <w:r w:rsidR="001A6841" w:rsidRPr="008174E3">
        <w:rPr>
          <w:rFonts w:ascii="Arial" w:hAnsi="Arial" w:cs="Arial"/>
          <w:sz w:val="22"/>
          <w:szCs w:val="22"/>
        </w:rPr>
        <w:t xml:space="preserve"> </w:t>
      </w:r>
      <w:r w:rsidR="003840B0" w:rsidRPr="008174E3">
        <w:rPr>
          <w:rFonts w:ascii="Arial" w:hAnsi="Arial" w:cs="Arial"/>
          <w:sz w:val="22"/>
          <w:szCs w:val="22"/>
        </w:rPr>
        <w:t>(</w:t>
      </w:r>
      <w:r w:rsidR="00CB295D" w:rsidRPr="008174E3">
        <w:rPr>
          <w:rFonts w:ascii="Arial" w:hAnsi="Arial" w:cs="Arial"/>
          <w:sz w:val="22"/>
          <w:szCs w:val="22"/>
        </w:rPr>
        <w:t>Card et al.</w:t>
      </w:r>
      <w:r w:rsidR="00442FFB" w:rsidRPr="008174E3">
        <w:rPr>
          <w:rFonts w:ascii="Arial" w:hAnsi="Arial" w:cs="Arial"/>
          <w:sz w:val="22"/>
          <w:szCs w:val="22"/>
        </w:rPr>
        <w:t>,2011</w:t>
      </w:r>
      <w:r w:rsidR="00CB295D" w:rsidRPr="008174E3">
        <w:rPr>
          <w:rFonts w:ascii="Arial" w:hAnsi="Arial" w:cs="Arial"/>
          <w:sz w:val="22"/>
          <w:szCs w:val="22"/>
        </w:rPr>
        <w:t>; Betcherman, 2007; Ibarrarán &amp; Rosas, 200</w:t>
      </w:r>
      <w:r w:rsidR="00442FFB" w:rsidRPr="008174E3">
        <w:rPr>
          <w:rFonts w:ascii="Arial" w:hAnsi="Arial" w:cs="Arial"/>
          <w:sz w:val="22"/>
          <w:szCs w:val="22"/>
        </w:rPr>
        <w:t>9</w:t>
      </w:r>
      <w:r w:rsidR="00CB295D" w:rsidRPr="008174E3">
        <w:rPr>
          <w:rFonts w:ascii="Arial" w:hAnsi="Arial" w:cs="Arial"/>
          <w:sz w:val="22"/>
          <w:szCs w:val="22"/>
        </w:rPr>
        <w:t>; Gonzales et al., 2012; Attanasio et al., 2011; Kluve 2014; Kluve, 2016</w:t>
      </w:r>
      <w:r w:rsidR="003840B0" w:rsidRPr="008174E3">
        <w:rPr>
          <w:rFonts w:ascii="Arial" w:hAnsi="Arial" w:cs="Arial"/>
          <w:sz w:val="22"/>
          <w:szCs w:val="22"/>
        </w:rPr>
        <w:t>)</w:t>
      </w:r>
      <w:r w:rsidR="001F5349" w:rsidRPr="008174E3">
        <w:rPr>
          <w:rFonts w:ascii="Arial" w:hAnsi="Arial" w:cs="Arial"/>
          <w:sz w:val="22"/>
          <w:szCs w:val="22"/>
        </w:rPr>
        <w:t>;</w:t>
      </w:r>
      <w:r w:rsidR="003840B0" w:rsidRPr="008174E3">
        <w:rPr>
          <w:rFonts w:ascii="Arial" w:hAnsi="Arial" w:cs="Arial"/>
          <w:sz w:val="22"/>
          <w:szCs w:val="22"/>
        </w:rPr>
        <w:t xml:space="preserve"> </w:t>
      </w:r>
      <w:r w:rsidR="001A6841" w:rsidRPr="008174E3">
        <w:rPr>
          <w:rFonts w:ascii="Arial" w:hAnsi="Arial" w:cs="Arial"/>
          <w:sz w:val="22"/>
          <w:szCs w:val="22"/>
        </w:rPr>
        <w:t xml:space="preserve">y </w:t>
      </w:r>
      <w:r w:rsidR="001F5349" w:rsidRPr="008174E3">
        <w:rPr>
          <w:rFonts w:ascii="Arial" w:hAnsi="Arial" w:cs="Arial"/>
          <w:sz w:val="22"/>
          <w:szCs w:val="22"/>
        </w:rPr>
        <w:t>(</w:t>
      </w:r>
      <w:r w:rsidR="001A6841" w:rsidRPr="008174E3">
        <w:rPr>
          <w:rFonts w:ascii="Arial" w:hAnsi="Arial" w:cs="Arial"/>
          <w:sz w:val="22"/>
          <w:szCs w:val="22"/>
        </w:rPr>
        <w:t xml:space="preserve">ii) otras variables </w:t>
      </w:r>
      <w:r w:rsidRPr="008174E3">
        <w:rPr>
          <w:rFonts w:ascii="Arial" w:hAnsi="Arial" w:cs="Arial"/>
          <w:sz w:val="22"/>
          <w:szCs w:val="22"/>
        </w:rPr>
        <w:t xml:space="preserve">fuera del ámbito laboral, </w:t>
      </w:r>
      <w:r w:rsidR="00CB295D" w:rsidRPr="008174E3">
        <w:rPr>
          <w:rFonts w:ascii="Arial" w:hAnsi="Arial" w:cs="Arial"/>
          <w:sz w:val="22"/>
          <w:szCs w:val="22"/>
        </w:rPr>
        <w:t xml:space="preserve">especialmente las relacionadas con </w:t>
      </w:r>
      <w:r w:rsidRPr="008174E3">
        <w:rPr>
          <w:rFonts w:ascii="Arial" w:hAnsi="Arial" w:cs="Arial"/>
          <w:sz w:val="22"/>
          <w:szCs w:val="22"/>
        </w:rPr>
        <w:t xml:space="preserve">impactos </w:t>
      </w:r>
      <w:r w:rsidR="001A6841" w:rsidRPr="008174E3">
        <w:rPr>
          <w:rFonts w:ascii="Arial" w:hAnsi="Arial" w:cs="Arial"/>
          <w:sz w:val="22"/>
          <w:szCs w:val="22"/>
        </w:rPr>
        <w:t xml:space="preserve">asociados a </w:t>
      </w:r>
      <w:r w:rsidRPr="008174E3">
        <w:rPr>
          <w:rFonts w:ascii="Arial" w:hAnsi="Arial" w:cs="Arial"/>
          <w:sz w:val="22"/>
          <w:szCs w:val="22"/>
        </w:rPr>
        <w:t>la reducción de comportamientos riesgosos</w:t>
      </w:r>
      <w:r w:rsidRPr="008174E3">
        <w:rPr>
          <w:rStyle w:val="FootnoteReference"/>
          <w:rFonts w:ascii="Arial" w:hAnsi="Arial" w:cs="Arial"/>
          <w:sz w:val="22"/>
          <w:szCs w:val="22"/>
        </w:rPr>
        <w:footnoteReference w:id="7"/>
      </w:r>
      <w:r w:rsidRPr="008174E3">
        <w:rPr>
          <w:rFonts w:ascii="Arial" w:hAnsi="Arial" w:cs="Arial"/>
          <w:sz w:val="22"/>
          <w:szCs w:val="22"/>
        </w:rPr>
        <w:t>.</w:t>
      </w:r>
    </w:p>
    <w:p w14:paraId="31A41A59" w14:textId="77777777" w:rsidR="006F0F0C" w:rsidRPr="008174E3" w:rsidRDefault="006F0F0C" w:rsidP="00011D76">
      <w:pPr>
        <w:pStyle w:val="ListParagraph"/>
        <w:ind w:left="0"/>
        <w:jc w:val="both"/>
        <w:rPr>
          <w:rFonts w:ascii="Arial" w:hAnsi="Arial" w:cs="Arial"/>
          <w:sz w:val="22"/>
          <w:szCs w:val="22"/>
        </w:rPr>
      </w:pPr>
    </w:p>
    <w:p w14:paraId="5BD2D9E6" w14:textId="5A8730D8" w:rsidR="000527AB" w:rsidRPr="008174E3" w:rsidRDefault="00C75E88" w:rsidP="00796D46">
      <w:pPr>
        <w:pStyle w:val="ListParagraph"/>
        <w:numPr>
          <w:ilvl w:val="0"/>
          <w:numId w:val="8"/>
        </w:numPr>
        <w:ind w:left="0"/>
        <w:jc w:val="both"/>
        <w:rPr>
          <w:rFonts w:ascii="Arial" w:hAnsi="Arial" w:cs="Arial"/>
          <w:sz w:val="22"/>
          <w:szCs w:val="22"/>
        </w:rPr>
      </w:pPr>
      <w:r w:rsidRPr="008174E3">
        <w:rPr>
          <w:rFonts w:ascii="Arial" w:hAnsi="Arial" w:cs="Arial"/>
          <w:sz w:val="22"/>
          <w:szCs w:val="22"/>
        </w:rPr>
        <w:t xml:space="preserve">Para simplificar el </w:t>
      </w:r>
      <w:r w:rsidR="00AF633A" w:rsidRPr="008174E3">
        <w:rPr>
          <w:rFonts w:ascii="Arial" w:hAnsi="Arial" w:cs="Arial"/>
          <w:sz w:val="22"/>
          <w:szCs w:val="22"/>
        </w:rPr>
        <w:t>cálculo</w:t>
      </w:r>
      <w:r w:rsidRPr="008174E3">
        <w:rPr>
          <w:rFonts w:ascii="Arial" w:hAnsi="Arial" w:cs="Arial"/>
          <w:sz w:val="22"/>
          <w:szCs w:val="22"/>
        </w:rPr>
        <w:t xml:space="preserve"> de beneficios, se </w:t>
      </w:r>
      <w:r w:rsidR="00AF633A" w:rsidRPr="008174E3">
        <w:rPr>
          <w:rFonts w:ascii="Arial" w:hAnsi="Arial" w:cs="Arial"/>
          <w:sz w:val="22"/>
          <w:szCs w:val="22"/>
        </w:rPr>
        <w:t>asumirá</w:t>
      </w:r>
      <w:r w:rsidR="00C0470F" w:rsidRPr="008174E3">
        <w:rPr>
          <w:rFonts w:ascii="Arial" w:hAnsi="Arial" w:cs="Arial"/>
          <w:sz w:val="22"/>
          <w:szCs w:val="22"/>
        </w:rPr>
        <w:t xml:space="preserve"> </w:t>
      </w:r>
      <w:r w:rsidRPr="008174E3">
        <w:rPr>
          <w:rFonts w:ascii="Arial" w:hAnsi="Arial" w:cs="Arial"/>
          <w:sz w:val="22"/>
          <w:szCs w:val="22"/>
        </w:rPr>
        <w:t>que los beneficios obtenidos por el programa</w:t>
      </w:r>
      <w:r w:rsidR="0030229D" w:rsidRPr="008174E3">
        <w:rPr>
          <w:rFonts w:ascii="Arial" w:hAnsi="Arial" w:cs="Arial"/>
          <w:sz w:val="22"/>
          <w:szCs w:val="22"/>
        </w:rPr>
        <w:t xml:space="preserve"> son constantes en el tiempo y que estos </w:t>
      </w:r>
      <w:r w:rsidRPr="008174E3">
        <w:rPr>
          <w:rFonts w:ascii="Arial" w:hAnsi="Arial" w:cs="Arial"/>
          <w:sz w:val="22"/>
          <w:szCs w:val="22"/>
        </w:rPr>
        <w:t>empiezan inmediatamente después de la intervención</w:t>
      </w:r>
      <w:r w:rsidR="0030229D" w:rsidRPr="008174E3">
        <w:rPr>
          <w:rFonts w:ascii="Arial" w:hAnsi="Arial" w:cs="Arial"/>
          <w:sz w:val="22"/>
          <w:szCs w:val="22"/>
        </w:rPr>
        <w:t>, es decir inmediatamente después de la intermediación laboral en el caso del componente de fortalecimiento del SNE y al terminar el curso de capacitación para los beneficiarios de programas de formación de habilidades</w:t>
      </w:r>
      <w:r w:rsidR="00DE0854" w:rsidRPr="008174E3">
        <w:rPr>
          <w:rFonts w:ascii="Arial" w:hAnsi="Arial" w:cs="Arial"/>
          <w:sz w:val="22"/>
          <w:szCs w:val="22"/>
        </w:rPr>
        <w:t xml:space="preserve"> del componente 2</w:t>
      </w:r>
      <w:r w:rsidR="0030229D" w:rsidRPr="008174E3">
        <w:rPr>
          <w:rFonts w:ascii="Arial" w:hAnsi="Arial" w:cs="Arial"/>
          <w:sz w:val="22"/>
          <w:szCs w:val="22"/>
        </w:rPr>
        <w:t>.</w:t>
      </w:r>
    </w:p>
    <w:p w14:paraId="49CAC7B8" w14:textId="77777777" w:rsidR="0030229D" w:rsidRPr="008174E3" w:rsidRDefault="0030229D" w:rsidP="0030229D">
      <w:pPr>
        <w:pStyle w:val="ListParagraph"/>
        <w:ind w:left="0"/>
        <w:jc w:val="both"/>
        <w:rPr>
          <w:rFonts w:ascii="Arial" w:hAnsi="Arial" w:cs="Arial"/>
          <w:sz w:val="22"/>
          <w:szCs w:val="22"/>
        </w:rPr>
      </w:pPr>
    </w:p>
    <w:p w14:paraId="7CED6064" w14:textId="47436F65" w:rsidR="003840B0" w:rsidRPr="008174E3" w:rsidRDefault="00E96F8C" w:rsidP="004024FE">
      <w:pPr>
        <w:pStyle w:val="ListParagraph"/>
        <w:numPr>
          <w:ilvl w:val="0"/>
          <w:numId w:val="8"/>
        </w:numPr>
        <w:ind w:left="0"/>
        <w:jc w:val="both"/>
        <w:rPr>
          <w:rFonts w:ascii="Arial" w:hAnsi="Arial" w:cs="Arial"/>
          <w:sz w:val="22"/>
          <w:szCs w:val="22"/>
        </w:rPr>
      </w:pPr>
      <w:r w:rsidRPr="008174E3">
        <w:rPr>
          <w:rFonts w:ascii="Arial" w:hAnsi="Arial" w:cs="Arial"/>
          <w:sz w:val="22"/>
          <w:szCs w:val="22"/>
        </w:rPr>
        <w:t xml:space="preserve">Para el </w:t>
      </w:r>
      <w:r w:rsidR="0078661C" w:rsidRPr="008174E3">
        <w:rPr>
          <w:rFonts w:ascii="Arial" w:hAnsi="Arial" w:cs="Arial"/>
          <w:sz w:val="22"/>
          <w:szCs w:val="22"/>
        </w:rPr>
        <w:t>cálculo</w:t>
      </w:r>
      <w:r w:rsidRPr="008174E3">
        <w:rPr>
          <w:rFonts w:ascii="Arial" w:hAnsi="Arial" w:cs="Arial"/>
          <w:sz w:val="22"/>
          <w:szCs w:val="22"/>
        </w:rPr>
        <w:t xml:space="preserve"> de </w:t>
      </w:r>
      <w:r w:rsidR="00246F0D" w:rsidRPr="008174E3">
        <w:rPr>
          <w:rFonts w:ascii="Arial" w:hAnsi="Arial" w:cs="Arial"/>
          <w:sz w:val="22"/>
          <w:szCs w:val="22"/>
        </w:rPr>
        <w:t xml:space="preserve">los </w:t>
      </w:r>
      <w:r w:rsidRPr="008174E3">
        <w:rPr>
          <w:rFonts w:ascii="Arial" w:hAnsi="Arial" w:cs="Arial"/>
          <w:sz w:val="22"/>
          <w:szCs w:val="22"/>
        </w:rPr>
        <w:t xml:space="preserve">beneficios </w:t>
      </w:r>
      <w:r w:rsidR="00246F0D" w:rsidRPr="008174E3">
        <w:rPr>
          <w:rFonts w:ascii="Arial" w:hAnsi="Arial" w:cs="Arial"/>
          <w:sz w:val="22"/>
          <w:szCs w:val="22"/>
        </w:rPr>
        <w:t>del programa</w:t>
      </w:r>
      <w:r w:rsidR="006E5874" w:rsidRPr="008174E3">
        <w:rPr>
          <w:rFonts w:ascii="Arial" w:hAnsi="Arial" w:cs="Arial"/>
          <w:sz w:val="22"/>
          <w:szCs w:val="22"/>
        </w:rPr>
        <w:t xml:space="preserve">, se considera un </w:t>
      </w:r>
      <w:r w:rsidR="00246F0D" w:rsidRPr="008174E3">
        <w:rPr>
          <w:rFonts w:ascii="Arial" w:hAnsi="Arial" w:cs="Arial"/>
          <w:sz w:val="22"/>
          <w:szCs w:val="22"/>
        </w:rPr>
        <w:t xml:space="preserve">ingreso laboral </w:t>
      </w:r>
      <w:r w:rsidR="006E5874" w:rsidRPr="008174E3">
        <w:rPr>
          <w:rFonts w:ascii="Arial" w:hAnsi="Arial" w:cs="Arial"/>
          <w:sz w:val="22"/>
          <w:szCs w:val="22"/>
        </w:rPr>
        <w:t xml:space="preserve">semanal </w:t>
      </w:r>
      <w:r w:rsidR="00D83CC6" w:rsidRPr="008174E3">
        <w:rPr>
          <w:rFonts w:ascii="Arial" w:hAnsi="Arial" w:cs="Arial"/>
          <w:sz w:val="22"/>
          <w:szCs w:val="22"/>
        </w:rPr>
        <w:t xml:space="preserve">base </w:t>
      </w:r>
      <w:r w:rsidR="006E5874" w:rsidRPr="008174E3">
        <w:rPr>
          <w:rFonts w:ascii="Arial" w:hAnsi="Arial" w:cs="Arial"/>
          <w:sz w:val="22"/>
          <w:szCs w:val="22"/>
        </w:rPr>
        <w:t>en ausencia del programa. E</w:t>
      </w:r>
      <w:r w:rsidR="00D908C3" w:rsidRPr="008174E3">
        <w:rPr>
          <w:rFonts w:ascii="Arial" w:hAnsi="Arial" w:cs="Arial"/>
          <w:sz w:val="22"/>
          <w:szCs w:val="22"/>
        </w:rPr>
        <w:t xml:space="preserve">ste </w:t>
      </w:r>
      <w:r w:rsidR="006E5874" w:rsidRPr="008174E3">
        <w:rPr>
          <w:rFonts w:ascii="Arial" w:hAnsi="Arial" w:cs="Arial"/>
          <w:sz w:val="22"/>
          <w:szCs w:val="22"/>
        </w:rPr>
        <w:t>ingreso de referencia proviene del ingreso laboral de la línea base de la evaluación de imp</w:t>
      </w:r>
      <w:r w:rsidR="003840B0" w:rsidRPr="008174E3">
        <w:rPr>
          <w:rFonts w:ascii="Arial" w:hAnsi="Arial" w:cs="Arial"/>
          <w:sz w:val="22"/>
          <w:szCs w:val="22"/>
        </w:rPr>
        <w:t>acto del Programa B</w:t>
      </w:r>
      <w:r w:rsidR="00C319ED" w:rsidRPr="008174E3">
        <w:rPr>
          <w:rFonts w:ascii="Arial" w:hAnsi="Arial" w:cs="Arial"/>
          <w:sz w:val="22"/>
          <w:szCs w:val="22"/>
        </w:rPr>
        <w:t>É</w:t>
      </w:r>
      <w:r w:rsidR="003840B0" w:rsidRPr="008174E3">
        <w:rPr>
          <w:rFonts w:ascii="Arial" w:hAnsi="Arial" w:cs="Arial"/>
          <w:sz w:val="22"/>
          <w:szCs w:val="22"/>
        </w:rPr>
        <w:t xml:space="preserve">CATE en </w:t>
      </w:r>
      <w:r w:rsidR="00D83CC6" w:rsidRPr="008174E3">
        <w:rPr>
          <w:rFonts w:ascii="Arial" w:hAnsi="Arial" w:cs="Arial"/>
          <w:sz w:val="22"/>
          <w:szCs w:val="22"/>
        </w:rPr>
        <w:t xml:space="preserve">el periodo </w:t>
      </w:r>
      <w:r w:rsidR="003840B0" w:rsidRPr="008174E3">
        <w:rPr>
          <w:rFonts w:ascii="Arial" w:hAnsi="Arial" w:cs="Arial"/>
          <w:sz w:val="22"/>
          <w:szCs w:val="22"/>
        </w:rPr>
        <w:t xml:space="preserve">2013-2015 </w:t>
      </w:r>
      <w:r w:rsidR="00D908C3" w:rsidRPr="008174E3">
        <w:rPr>
          <w:rFonts w:ascii="Arial" w:hAnsi="Arial" w:cs="Arial"/>
          <w:sz w:val="22"/>
          <w:szCs w:val="22"/>
        </w:rPr>
        <w:t>(</w:t>
      </w:r>
      <w:r w:rsidR="00B6340E" w:rsidRPr="008174E3">
        <w:rPr>
          <w:rFonts w:ascii="Arial" w:hAnsi="Arial" w:cs="Arial"/>
          <w:sz w:val="22"/>
          <w:szCs w:val="22"/>
        </w:rPr>
        <w:t>Analítica</w:t>
      </w:r>
      <w:r w:rsidR="00CB295D" w:rsidRPr="008174E3">
        <w:rPr>
          <w:rFonts w:ascii="Arial" w:hAnsi="Arial" w:cs="Arial"/>
          <w:sz w:val="22"/>
          <w:szCs w:val="22"/>
        </w:rPr>
        <w:t xml:space="preserve"> Consultores</w:t>
      </w:r>
      <w:r w:rsidR="003840B0" w:rsidRPr="008174E3">
        <w:rPr>
          <w:rFonts w:ascii="Arial" w:hAnsi="Arial" w:cs="Arial"/>
          <w:sz w:val="22"/>
          <w:szCs w:val="22"/>
        </w:rPr>
        <w:t>, 2015</w:t>
      </w:r>
      <w:r w:rsidR="00D908C3" w:rsidRPr="008174E3">
        <w:rPr>
          <w:rFonts w:ascii="Arial" w:hAnsi="Arial" w:cs="Arial"/>
          <w:sz w:val="22"/>
          <w:szCs w:val="22"/>
        </w:rPr>
        <w:t>)</w:t>
      </w:r>
      <w:r w:rsidR="00745B03" w:rsidRPr="008174E3">
        <w:rPr>
          <w:rFonts w:ascii="Arial" w:hAnsi="Arial" w:cs="Arial"/>
          <w:sz w:val="22"/>
          <w:szCs w:val="22"/>
        </w:rPr>
        <w:t xml:space="preserve">. </w:t>
      </w:r>
      <w:r w:rsidR="006E5874" w:rsidRPr="008174E3">
        <w:rPr>
          <w:rFonts w:ascii="Arial" w:hAnsi="Arial" w:cs="Arial"/>
          <w:sz w:val="22"/>
          <w:szCs w:val="22"/>
        </w:rPr>
        <w:t xml:space="preserve">En el estudio de referencia se obtuvo un salario base semanal </w:t>
      </w:r>
      <w:r w:rsidR="005800C5" w:rsidRPr="008174E3">
        <w:rPr>
          <w:rFonts w:ascii="Arial" w:hAnsi="Arial" w:cs="Arial"/>
          <w:sz w:val="22"/>
          <w:szCs w:val="22"/>
        </w:rPr>
        <w:t>promedio de</w:t>
      </w:r>
      <w:r w:rsidR="006E5874" w:rsidRPr="008174E3">
        <w:rPr>
          <w:rFonts w:ascii="Arial" w:hAnsi="Arial" w:cs="Arial"/>
          <w:sz w:val="22"/>
          <w:szCs w:val="22"/>
        </w:rPr>
        <w:t xml:space="preserve"> 1.</w:t>
      </w:r>
      <w:r w:rsidR="005800C5" w:rsidRPr="008174E3">
        <w:rPr>
          <w:rFonts w:ascii="Arial" w:hAnsi="Arial" w:cs="Arial"/>
          <w:sz w:val="22"/>
          <w:szCs w:val="22"/>
        </w:rPr>
        <w:t>318</w:t>
      </w:r>
      <w:r w:rsidR="006E5874" w:rsidRPr="008174E3">
        <w:rPr>
          <w:rFonts w:ascii="Arial" w:hAnsi="Arial" w:cs="Arial"/>
          <w:sz w:val="22"/>
          <w:szCs w:val="22"/>
        </w:rPr>
        <w:t xml:space="preserve"> </w:t>
      </w:r>
      <w:r w:rsidR="00D908C3" w:rsidRPr="008174E3">
        <w:rPr>
          <w:rFonts w:ascii="Arial" w:hAnsi="Arial" w:cs="Arial"/>
          <w:sz w:val="22"/>
          <w:szCs w:val="22"/>
        </w:rPr>
        <w:t>P</w:t>
      </w:r>
      <w:r w:rsidR="006E5874" w:rsidRPr="008174E3">
        <w:rPr>
          <w:rFonts w:ascii="Arial" w:hAnsi="Arial" w:cs="Arial"/>
          <w:sz w:val="22"/>
          <w:szCs w:val="22"/>
        </w:rPr>
        <w:t xml:space="preserve">esos </w:t>
      </w:r>
      <w:r w:rsidR="00B6340E" w:rsidRPr="008174E3">
        <w:rPr>
          <w:rFonts w:ascii="Arial" w:hAnsi="Arial" w:cs="Arial"/>
          <w:sz w:val="22"/>
          <w:szCs w:val="22"/>
        </w:rPr>
        <w:t>Mexicanos</w:t>
      </w:r>
      <w:r w:rsidR="005800C5" w:rsidRPr="008174E3">
        <w:rPr>
          <w:rFonts w:ascii="Arial" w:hAnsi="Arial" w:cs="Arial"/>
          <w:sz w:val="22"/>
          <w:szCs w:val="22"/>
        </w:rPr>
        <w:t xml:space="preserve"> para el grupo de control</w:t>
      </w:r>
      <w:r w:rsidR="005800C5" w:rsidRPr="008174E3">
        <w:rPr>
          <w:rStyle w:val="FootnoteReference"/>
          <w:rFonts w:ascii="Arial" w:hAnsi="Arial" w:cs="Arial"/>
          <w:sz w:val="22"/>
          <w:szCs w:val="22"/>
        </w:rPr>
        <w:footnoteReference w:id="8"/>
      </w:r>
      <w:r w:rsidR="006E5874" w:rsidRPr="008174E3">
        <w:rPr>
          <w:rFonts w:ascii="Arial" w:hAnsi="Arial" w:cs="Arial"/>
          <w:sz w:val="22"/>
          <w:szCs w:val="22"/>
        </w:rPr>
        <w:t xml:space="preserve">. Para el presente análisis se asume que los beneficiarios </w:t>
      </w:r>
      <w:r w:rsidR="00D908C3" w:rsidRPr="008174E3">
        <w:rPr>
          <w:rFonts w:ascii="Arial" w:hAnsi="Arial" w:cs="Arial"/>
          <w:sz w:val="22"/>
          <w:szCs w:val="22"/>
        </w:rPr>
        <w:t xml:space="preserve">del </w:t>
      </w:r>
      <w:r w:rsidR="00F87788" w:rsidRPr="008174E3">
        <w:rPr>
          <w:rFonts w:ascii="Arial" w:hAnsi="Arial" w:cs="Arial"/>
          <w:sz w:val="22"/>
          <w:szCs w:val="22"/>
        </w:rPr>
        <w:t>programa</w:t>
      </w:r>
      <w:r w:rsidR="00D908C3" w:rsidRPr="008174E3">
        <w:rPr>
          <w:rFonts w:ascii="Arial" w:hAnsi="Arial" w:cs="Arial"/>
          <w:sz w:val="22"/>
          <w:szCs w:val="22"/>
        </w:rPr>
        <w:t xml:space="preserve">, </w:t>
      </w:r>
      <w:r w:rsidR="006E5874" w:rsidRPr="008174E3">
        <w:rPr>
          <w:rFonts w:ascii="Arial" w:hAnsi="Arial" w:cs="Arial"/>
          <w:sz w:val="22"/>
          <w:szCs w:val="22"/>
        </w:rPr>
        <w:t xml:space="preserve">en ausencia del </w:t>
      </w:r>
      <w:r w:rsidR="00D908C3" w:rsidRPr="008174E3">
        <w:rPr>
          <w:rFonts w:ascii="Arial" w:hAnsi="Arial" w:cs="Arial"/>
          <w:sz w:val="22"/>
          <w:szCs w:val="22"/>
        </w:rPr>
        <w:t>mismo</w:t>
      </w:r>
      <w:r w:rsidR="006E5874" w:rsidRPr="008174E3">
        <w:rPr>
          <w:rFonts w:ascii="Arial" w:hAnsi="Arial" w:cs="Arial"/>
          <w:sz w:val="22"/>
          <w:szCs w:val="22"/>
        </w:rPr>
        <w:t xml:space="preserve">, </w:t>
      </w:r>
      <w:r w:rsidR="003840B0" w:rsidRPr="008174E3">
        <w:rPr>
          <w:rFonts w:ascii="Arial" w:hAnsi="Arial" w:cs="Arial"/>
          <w:sz w:val="22"/>
          <w:szCs w:val="22"/>
        </w:rPr>
        <w:t xml:space="preserve">obtendrían </w:t>
      </w:r>
      <w:r w:rsidR="006E5874" w:rsidRPr="008174E3">
        <w:rPr>
          <w:rFonts w:ascii="Arial" w:hAnsi="Arial" w:cs="Arial"/>
          <w:sz w:val="22"/>
          <w:szCs w:val="22"/>
        </w:rPr>
        <w:t xml:space="preserve">un ingreso laboral </w:t>
      </w:r>
      <w:r w:rsidR="00D908C3" w:rsidRPr="008174E3">
        <w:rPr>
          <w:rFonts w:ascii="Arial" w:hAnsi="Arial" w:cs="Arial"/>
          <w:sz w:val="22"/>
          <w:szCs w:val="22"/>
        </w:rPr>
        <w:t xml:space="preserve">semanal </w:t>
      </w:r>
      <w:r w:rsidR="00F87788" w:rsidRPr="008174E3">
        <w:rPr>
          <w:rFonts w:ascii="Arial" w:hAnsi="Arial" w:cs="Arial"/>
          <w:sz w:val="22"/>
          <w:szCs w:val="22"/>
        </w:rPr>
        <w:t>equivalente</w:t>
      </w:r>
      <w:r w:rsidR="00511539" w:rsidRPr="008174E3">
        <w:rPr>
          <w:rFonts w:ascii="Arial" w:hAnsi="Arial" w:cs="Arial"/>
          <w:sz w:val="22"/>
          <w:szCs w:val="22"/>
        </w:rPr>
        <w:t>,</w:t>
      </w:r>
      <w:r w:rsidR="00F87788" w:rsidRPr="008174E3">
        <w:rPr>
          <w:rFonts w:ascii="Arial" w:hAnsi="Arial" w:cs="Arial"/>
          <w:sz w:val="22"/>
          <w:szCs w:val="22"/>
        </w:rPr>
        <w:t xml:space="preserve"> </w:t>
      </w:r>
      <w:r w:rsidR="005800C5" w:rsidRPr="008174E3">
        <w:rPr>
          <w:rFonts w:ascii="Arial" w:hAnsi="Arial" w:cs="Arial"/>
          <w:sz w:val="22"/>
          <w:szCs w:val="22"/>
        </w:rPr>
        <w:t xml:space="preserve">corregido por el </w:t>
      </w:r>
      <w:r w:rsidR="00757583" w:rsidRPr="008174E3">
        <w:rPr>
          <w:rFonts w:ascii="Arial" w:hAnsi="Arial" w:cs="Arial"/>
          <w:sz w:val="22"/>
          <w:szCs w:val="22"/>
        </w:rPr>
        <w:t>Índice</w:t>
      </w:r>
      <w:r w:rsidR="005800C5" w:rsidRPr="008174E3">
        <w:rPr>
          <w:rFonts w:ascii="Arial" w:hAnsi="Arial" w:cs="Arial"/>
          <w:sz w:val="22"/>
          <w:szCs w:val="22"/>
        </w:rPr>
        <w:t xml:space="preserve"> de Precios al Consumidor</w:t>
      </w:r>
      <w:r w:rsidR="00634271" w:rsidRPr="008174E3">
        <w:rPr>
          <w:rFonts w:ascii="Arial" w:hAnsi="Arial" w:cs="Arial"/>
          <w:sz w:val="22"/>
          <w:szCs w:val="22"/>
        </w:rPr>
        <w:t xml:space="preserve"> a precios de abril de 2017. Esto equivale a un salario base promedio de 1.318,75</w:t>
      </w:r>
      <w:r w:rsidR="00C319ED" w:rsidRPr="008174E3">
        <w:rPr>
          <w:rFonts w:ascii="Arial" w:hAnsi="Arial" w:cs="Arial"/>
          <w:sz w:val="22"/>
          <w:szCs w:val="22"/>
        </w:rPr>
        <w:t xml:space="preserve"> pesos mexicanos</w:t>
      </w:r>
      <w:r w:rsidR="00634271" w:rsidRPr="008174E3">
        <w:rPr>
          <w:rStyle w:val="FootnoteReference"/>
          <w:rFonts w:ascii="Arial" w:hAnsi="Arial" w:cs="Arial"/>
          <w:sz w:val="22"/>
          <w:szCs w:val="22"/>
        </w:rPr>
        <w:footnoteReference w:id="9"/>
      </w:r>
      <w:r w:rsidR="00634271" w:rsidRPr="008174E3">
        <w:rPr>
          <w:rFonts w:ascii="Arial" w:hAnsi="Arial" w:cs="Arial"/>
          <w:sz w:val="22"/>
          <w:szCs w:val="22"/>
        </w:rPr>
        <w:t xml:space="preserve"> </w:t>
      </w:r>
      <w:r w:rsidR="00634271" w:rsidRPr="008174E3">
        <w:rPr>
          <w:rFonts w:ascii="Arial" w:hAnsi="Arial" w:cs="Arial"/>
          <w:sz w:val="22"/>
          <w:szCs w:val="22"/>
          <w:vertAlign w:val="superscript"/>
        </w:rPr>
        <w:t xml:space="preserve">y </w:t>
      </w:r>
      <w:r w:rsidR="00634271" w:rsidRPr="008174E3">
        <w:rPr>
          <w:rStyle w:val="FootnoteReference"/>
          <w:rFonts w:ascii="Arial" w:hAnsi="Arial" w:cs="Arial"/>
          <w:sz w:val="22"/>
          <w:szCs w:val="22"/>
        </w:rPr>
        <w:footnoteReference w:id="10"/>
      </w:r>
      <w:r w:rsidR="00634271" w:rsidRPr="008174E3">
        <w:rPr>
          <w:rFonts w:ascii="Arial" w:hAnsi="Arial" w:cs="Arial"/>
          <w:sz w:val="22"/>
          <w:szCs w:val="22"/>
        </w:rPr>
        <w:t xml:space="preserve">, que al tipo de </w:t>
      </w:r>
      <w:r w:rsidR="00757583" w:rsidRPr="008174E3">
        <w:rPr>
          <w:rFonts w:ascii="Arial" w:hAnsi="Arial" w:cs="Arial"/>
          <w:sz w:val="22"/>
          <w:szCs w:val="22"/>
        </w:rPr>
        <w:t>cambio</w:t>
      </w:r>
      <w:r w:rsidR="00634271" w:rsidRPr="008174E3">
        <w:rPr>
          <w:rFonts w:ascii="Arial" w:hAnsi="Arial" w:cs="Arial"/>
          <w:sz w:val="22"/>
          <w:szCs w:val="22"/>
        </w:rPr>
        <w:t xml:space="preserve"> oficial equivalen a </w:t>
      </w:r>
      <w:r w:rsidR="00C319ED" w:rsidRPr="008174E3">
        <w:rPr>
          <w:rFonts w:ascii="Arial" w:hAnsi="Arial" w:cs="Arial"/>
          <w:sz w:val="22"/>
          <w:szCs w:val="22"/>
        </w:rPr>
        <w:t>US$</w:t>
      </w:r>
      <w:r w:rsidR="00634271" w:rsidRPr="008174E3">
        <w:rPr>
          <w:rFonts w:ascii="Arial" w:hAnsi="Arial" w:cs="Arial"/>
          <w:sz w:val="22"/>
          <w:szCs w:val="22"/>
        </w:rPr>
        <w:t>80.</w:t>
      </w:r>
      <w:r w:rsidR="00CB295D" w:rsidRPr="008174E3">
        <w:rPr>
          <w:rFonts w:ascii="Arial" w:hAnsi="Arial" w:cs="Arial"/>
          <w:sz w:val="22"/>
          <w:szCs w:val="22"/>
        </w:rPr>
        <w:t xml:space="preserve"> </w:t>
      </w:r>
      <w:r w:rsidR="00511539" w:rsidRPr="008174E3">
        <w:rPr>
          <w:rFonts w:ascii="Arial" w:hAnsi="Arial" w:cs="Arial"/>
          <w:sz w:val="22"/>
          <w:szCs w:val="22"/>
        </w:rPr>
        <w:t>Adicionalmente</w:t>
      </w:r>
      <w:r w:rsidR="00CB295D" w:rsidRPr="008174E3">
        <w:rPr>
          <w:rFonts w:ascii="Arial" w:hAnsi="Arial" w:cs="Arial"/>
          <w:sz w:val="22"/>
          <w:szCs w:val="22"/>
        </w:rPr>
        <w:t xml:space="preserve">, considerando </w:t>
      </w:r>
      <w:r w:rsidR="005B2EE6" w:rsidRPr="008174E3">
        <w:rPr>
          <w:rFonts w:ascii="Arial" w:hAnsi="Arial" w:cs="Arial"/>
          <w:sz w:val="22"/>
          <w:szCs w:val="22"/>
        </w:rPr>
        <w:t xml:space="preserve">la brecha de ingresos </w:t>
      </w:r>
      <w:r w:rsidR="00CB295D" w:rsidRPr="008174E3">
        <w:rPr>
          <w:rFonts w:ascii="Arial" w:hAnsi="Arial" w:cs="Arial"/>
          <w:sz w:val="22"/>
          <w:szCs w:val="22"/>
        </w:rPr>
        <w:t xml:space="preserve">existente en México </w:t>
      </w:r>
      <w:r w:rsidR="005B2EE6" w:rsidRPr="008174E3">
        <w:rPr>
          <w:rFonts w:ascii="Arial" w:hAnsi="Arial" w:cs="Arial"/>
          <w:sz w:val="22"/>
          <w:szCs w:val="22"/>
        </w:rPr>
        <w:t xml:space="preserve">y </w:t>
      </w:r>
      <w:r w:rsidR="00CB295D" w:rsidRPr="008174E3">
        <w:rPr>
          <w:rFonts w:ascii="Arial" w:hAnsi="Arial" w:cs="Arial"/>
          <w:sz w:val="22"/>
          <w:szCs w:val="22"/>
        </w:rPr>
        <w:t xml:space="preserve">en </w:t>
      </w:r>
      <w:r w:rsidR="009106B4" w:rsidRPr="008174E3">
        <w:rPr>
          <w:rFonts w:ascii="Arial" w:hAnsi="Arial" w:cs="Arial"/>
          <w:sz w:val="22"/>
          <w:szCs w:val="22"/>
        </w:rPr>
        <w:t>base</w:t>
      </w:r>
      <w:r w:rsidR="00CB295D" w:rsidRPr="008174E3">
        <w:rPr>
          <w:rFonts w:ascii="Arial" w:hAnsi="Arial" w:cs="Arial"/>
          <w:sz w:val="22"/>
          <w:szCs w:val="22"/>
        </w:rPr>
        <w:t xml:space="preserve"> a datos obtenidos del </w:t>
      </w:r>
      <w:r w:rsidR="005B2EE6" w:rsidRPr="008174E3">
        <w:rPr>
          <w:rFonts w:ascii="Arial" w:hAnsi="Arial" w:cs="Arial"/>
          <w:sz w:val="22"/>
          <w:szCs w:val="22"/>
        </w:rPr>
        <w:t>SIMS</w:t>
      </w:r>
      <w:r w:rsidR="005B2EE6" w:rsidRPr="008174E3">
        <w:rPr>
          <w:rStyle w:val="FootnoteReference"/>
          <w:rFonts w:ascii="Arial" w:hAnsi="Arial" w:cs="Arial"/>
          <w:sz w:val="22"/>
          <w:szCs w:val="22"/>
        </w:rPr>
        <w:footnoteReference w:id="11"/>
      </w:r>
      <w:r w:rsidR="005B2EE6" w:rsidRPr="008174E3">
        <w:rPr>
          <w:rFonts w:ascii="Arial" w:hAnsi="Arial" w:cs="Arial"/>
          <w:sz w:val="22"/>
          <w:szCs w:val="22"/>
        </w:rPr>
        <w:t xml:space="preserve">, se calculan los siguientes ingresos </w:t>
      </w:r>
      <w:r w:rsidR="00CB295D" w:rsidRPr="008174E3">
        <w:rPr>
          <w:rFonts w:ascii="Arial" w:hAnsi="Arial" w:cs="Arial"/>
          <w:sz w:val="22"/>
          <w:szCs w:val="22"/>
        </w:rPr>
        <w:t xml:space="preserve">diferenciados </w:t>
      </w:r>
      <w:r w:rsidR="005B2EE6" w:rsidRPr="008174E3">
        <w:rPr>
          <w:rFonts w:ascii="Arial" w:hAnsi="Arial" w:cs="Arial"/>
          <w:sz w:val="22"/>
          <w:szCs w:val="22"/>
        </w:rPr>
        <w:t>para hombres y mujeres</w:t>
      </w:r>
      <w:r w:rsidR="00CB295D" w:rsidRPr="008174E3">
        <w:rPr>
          <w:rFonts w:ascii="Arial" w:hAnsi="Arial" w:cs="Arial"/>
          <w:sz w:val="22"/>
          <w:szCs w:val="22"/>
        </w:rPr>
        <w:t>, los que se utilizar</w:t>
      </w:r>
      <w:r w:rsidR="00B0718A" w:rsidRPr="008174E3">
        <w:rPr>
          <w:rFonts w:ascii="Arial" w:hAnsi="Arial" w:cs="Arial"/>
          <w:sz w:val="22"/>
          <w:szCs w:val="22"/>
        </w:rPr>
        <w:t>á</w:t>
      </w:r>
      <w:r w:rsidR="00CB295D" w:rsidRPr="008174E3">
        <w:rPr>
          <w:rFonts w:ascii="Arial" w:hAnsi="Arial" w:cs="Arial"/>
          <w:sz w:val="22"/>
          <w:szCs w:val="22"/>
        </w:rPr>
        <w:t>n a lo largo del análisis</w:t>
      </w:r>
      <w:r w:rsidR="00511539" w:rsidRPr="008174E3">
        <w:rPr>
          <w:rFonts w:ascii="Arial" w:hAnsi="Arial" w:cs="Arial"/>
          <w:sz w:val="22"/>
          <w:szCs w:val="22"/>
        </w:rPr>
        <w:t xml:space="preserve"> (</w:t>
      </w:r>
      <w:r w:rsidR="00B0718A" w:rsidRPr="008174E3">
        <w:rPr>
          <w:rFonts w:ascii="Arial" w:hAnsi="Arial" w:cs="Arial"/>
          <w:sz w:val="22"/>
          <w:szCs w:val="22"/>
        </w:rPr>
        <w:t>Cuadro </w:t>
      </w:r>
      <w:r w:rsidR="00511539" w:rsidRPr="008174E3">
        <w:rPr>
          <w:rFonts w:ascii="Arial" w:hAnsi="Arial" w:cs="Arial"/>
          <w:sz w:val="22"/>
          <w:szCs w:val="22"/>
        </w:rPr>
        <w:t>1)</w:t>
      </w:r>
      <w:r w:rsidR="005B2EE6" w:rsidRPr="008174E3">
        <w:rPr>
          <w:rFonts w:ascii="Arial" w:hAnsi="Arial" w:cs="Arial"/>
          <w:sz w:val="22"/>
          <w:szCs w:val="22"/>
        </w:rPr>
        <w:t>.</w:t>
      </w:r>
    </w:p>
    <w:p w14:paraId="376611B5" w14:textId="77777777" w:rsidR="00CB295D" w:rsidRPr="008174E3" w:rsidRDefault="00CB295D" w:rsidP="00CB295D">
      <w:pPr>
        <w:pStyle w:val="ListParagraph"/>
        <w:ind w:left="0"/>
        <w:jc w:val="both"/>
        <w:rPr>
          <w:rFonts w:ascii="Arial" w:hAnsi="Arial" w:cs="Arial"/>
          <w:sz w:val="22"/>
          <w:szCs w:val="22"/>
        </w:rPr>
      </w:pPr>
    </w:p>
    <w:p w14:paraId="3AC0C5D4" w14:textId="011542CC" w:rsidR="00035D06" w:rsidRPr="008174E3" w:rsidRDefault="00B0718A" w:rsidP="00EF5325">
      <w:pPr>
        <w:keepNext/>
        <w:jc w:val="center"/>
        <w:rPr>
          <w:rFonts w:ascii="Arial" w:hAnsi="Arial" w:cs="Arial"/>
          <w:b/>
          <w:sz w:val="22"/>
        </w:rPr>
      </w:pPr>
      <w:r w:rsidRPr="008174E3">
        <w:rPr>
          <w:rFonts w:ascii="Arial" w:hAnsi="Arial" w:cs="Arial"/>
          <w:b/>
          <w:sz w:val="22"/>
        </w:rPr>
        <w:lastRenderedPageBreak/>
        <w:t xml:space="preserve">Cuadro </w:t>
      </w:r>
      <w:r w:rsidR="00035D06" w:rsidRPr="008174E3">
        <w:rPr>
          <w:rFonts w:ascii="Arial" w:hAnsi="Arial" w:cs="Arial"/>
          <w:b/>
          <w:sz w:val="22"/>
        </w:rPr>
        <w:t>1: Ingreso</w:t>
      </w:r>
      <w:r w:rsidR="00D908C3" w:rsidRPr="008174E3">
        <w:rPr>
          <w:rFonts w:ascii="Arial" w:hAnsi="Arial" w:cs="Arial"/>
          <w:b/>
          <w:sz w:val="22"/>
        </w:rPr>
        <w:t xml:space="preserve"> Laboral</w:t>
      </w:r>
      <w:r w:rsidR="00035D06" w:rsidRPr="008174E3">
        <w:rPr>
          <w:rFonts w:ascii="Arial" w:hAnsi="Arial" w:cs="Arial"/>
          <w:b/>
          <w:sz w:val="22"/>
        </w:rPr>
        <w:t xml:space="preserve"> </w:t>
      </w:r>
      <w:r w:rsidR="00D908C3" w:rsidRPr="008174E3">
        <w:rPr>
          <w:rFonts w:ascii="Arial" w:hAnsi="Arial" w:cs="Arial"/>
          <w:b/>
          <w:sz w:val="22"/>
        </w:rPr>
        <w:t xml:space="preserve">Semanal </w:t>
      </w:r>
      <w:r w:rsidR="002F143D" w:rsidRPr="008174E3">
        <w:rPr>
          <w:rFonts w:ascii="Arial" w:hAnsi="Arial" w:cs="Arial"/>
          <w:b/>
          <w:sz w:val="22"/>
        </w:rPr>
        <w:t>Base en ausencia del programa</w:t>
      </w:r>
    </w:p>
    <w:p w14:paraId="391F919B" w14:textId="77777777" w:rsidR="00271A72" w:rsidRPr="008174E3" w:rsidRDefault="00271A72" w:rsidP="00EF5325">
      <w:pPr>
        <w:keepNext/>
        <w:jc w:val="center"/>
        <w:rPr>
          <w:rFonts w:ascii="Arial" w:hAnsi="Arial" w:cs="Arial"/>
          <w:b/>
        </w:rPr>
      </w:pPr>
    </w:p>
    <w:tbl>
      <w:tblPr>
        <w:tblW w:w="5012" w:type="dxa"/>
        <w:jc w:val="center"/>
        <w:tblCellMar>
          <w:left w:w="70" w:type="dxa"/>
          <w:right w:w="70" w:type="dxa"/>
        </w:tblCellMar>
        <w:tblLook w:val="04A0" w:firstRow="1" w:lastRow="0" w:firstColumn="1" w:lastColumn="0" w:noHBand="0" w:noVBand="1"/>
      </w:tblPr>
      <w:tblGrid>
        <w:gridCol w:w="1728"/>
        <w:gridCol w:w="1694"/>
        <w:gridCol w:w="1590"/>
      </w:tblGrid>
      <w:tr w:rsidR="006E5874" w:rsidRPr="008174E3" w14:paraId="3EF7C616" w14:textId="77777777" w:rsidTr="006E5874">
        <w:trPr>
          <w:trHeight w:val="300"/>
          <w:jc w:val="center"/>
        </w:trPr>
        <w:tc>
          <w:tcPr>
            <w:tcW w:w="1728" w:type="dxa"/>
            <w:tcBorders>
              <w:top w:val="nil"/>
              <w:left w:val="nil"/>
              <w:bottom w:val="nil"/>
              <w:right w:val="single" w:sz="4" w:space="0" w:color="auto"/>
            </w:tcBorders>
            <w:shd w:val="clear" w:color="000000" w:fill="FFFFFF"/>
            <w:noWrap/>
            <w:vAlign w:val="bottom"/>
          </w:tcPr>
          <w:p w14:paraId="060A8899" w14:textId="77777777" w:rsidR="006E5874" w:rsidRPr="008174E3" w:rsidRDefault="006E5874" w:rsidP="00EF5325">
            <w:pPr>
              <w:keepNext/>
              <w:rPr>
                <w:rFonts w:ascii="Arial" w:hAnsi="Arial" w:cs="Arial"/>
                <w:color w:val="000000"/>
                <w:sz w:val="18"/>
                <w:lang w:eastAsia="es-ES"/>
              </w:rPr>
            </w:pPr>
          </w:p>
        </w:tc>
        <w:tc>
          <w:tcPr>
            <w:tcW w:w="328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14:paraId="5D271259" w14:textId="77777777" w:rsidR="006E5874" w:rsidRPr="008174E3" w:rsidRDefault="006E5874" w:rsidP="00EF5325">
            <w:pPr>
              <w:keepNext/>
              <w:jc w:val="center"/>
              <w:rPr>
                <w:rFonts w:ascii="Arial" w:hAnsi="Arial" w:cs="Arial"/>
                <w:b/>
                <w:color w:val="000000"/>
                <w:sz w:val="18"/>
                <w:lang w:eastAsia="es-ES"/>
              </w:rPr>
            </w:pPr>
            <w:r w:rsidRPr="008174E3">
              <w:rPr>
                <w:rFonts w:ascii="Arial" w:hAnsi="Arial" w:cs="Arial"/>
                <w:b/>
                <w:color w:val="000000"/>
                <w:sz w:val="18"/>
                <w:lang w:eastAsia="es-ES"/>
              </w:rPr>
              <w:t>Ingreso Base en ausencia del programa</w:t>
            </w:r>
          </w:p>
        </w:tc>
      </w:tr>
      <w:tr w:rsidR="006E5874" w:rsidRPr="008174E3" w14:paraId="42DA0DBC" w14:textId="77777777" w:rsidTr="00757583">
        <w:trPr>
          <w:trHeight w:val="233"/>
          <w:jc w:val="center"/>
        </w:trPr>
        <w:tc>
          <w:tcPr>
            <w:tcW w:w="1728" w:type="dxa"/>
            <w:tcBorders>
              <w:top w:val="nil"/>
              <w:left w:val="nil"/>
              <w:bottom w:val="single" w:sz="4" w:space="0" w:color="auto"/>
              <w:right w:val="single" w:sz="4" w:space="0" w:color="auto"/>
            </w:tcBorders>
            <w:shd w:val="clear" w:color="000000" w:fill="FFFFFF"/>
            <w:noWrap/>
            <w:vAlign w:val="bottom"/>
            <w:hideMark/>
          </w:tcPr>
          <w:p w14:paraId="6B57FA09" w14:textId="2168F78D" w:rsidR="006E5874" w:rsidRPr="008174E3" w:rsidRDefault="006E5874" w:rsidP="00EF5325">
            <w:pPr>
              <w:keepNext/>
              <w:rPr>
                <w:rFonts w:ascii="Arial" w:hAnsi="Arial" w:cs="Arial"/>
                <w:color w:val="000000"/>
                <w:sz w:val="18"/>
                <w:lang w:eastAsia="es-ES"/>
              </w:rPr>
            </w:pPr>
          </w:p>
        </w:tc>
        <w:tc>
          <w:tcPr>
            <w:tcW w:w="16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9200EB3" w14:textId="0093DFC6" w:rsidR="006E5874" w:rsidRPr="008174E3" w:rsidRDefault="006E5874" w:rsidP="00EF5325">
            <w:pPr>
              <w:keepNext/>
              <w:jc w:val="center"/>
              <w:rPr>
                <w:rFonts w:ascii="Arial" w:hAnsi="Arial" w:cs="Arial"/>
                <w:b/>
                <w:color w:val="000000"/>
                <w:sz w:val="18"/>
                <w:lang w:eastAsia="es-ES"/>
              </w:rPr>
            </w:pPr>
            <w:r w:rsidRPr="008174E3">
              <w:rPr>
                <w:rFonts w:ascii="Arial" w:hAnsi="Arial" w:cs="Arial"/>
                <w:b/>
                <w:color w:val="000000"/>
                <w:sz w:val="18"/>
                <w:lang w:eastAsia="es-ES"/>
              </w:rPr>
              <w:t xml:space="preserve">Pesos </w:t>
            </w:r>
            <w:r w:rsidR="00B6340E" w:rsidRPr="008174E3">
              <w:rPr>
                <w:rFonts w:ascii="Arial" w:hAnsi="Arial" w:cs="Arial"/>
                <w:b/>
                <w:color w:val="000000"/>
                <w:sz w:val="18"/>
                <w:lang w:eastAsia="es-ES"/>
              </w:rPr>
              <w:t>Mexicanos</w:t>
            </w:r>
          </w:p>
        </w:tc>
        <w:tc>
          <w:tcPr>
            <w:tcW w:w="15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E0C45D" w14:textId="3D85FEC1" w:rsidR="006E5874" w:rsidRPr="008174E3" w:rsidRDefault="00757583" w:rsidP="00EF5325">
            <w:pPr>
              <w:keepNext/>
              <w:jc w:val="center"/>
              <w:rPr>
                <w:rFonts w:ascii="Arial" w:hAnsi="Arial" w:cs="Arial"/>
                <w:b/>
                <w:color w:val="000000"/>
                <w:sz w:val="18"/>
                <w:lang w:eastAsia="es-ES"/>
              </w:rPr>
            </w:pPr>
            <w:r w:rsidRPr="008174E3">
              <w:rPr>
                <w:rFonts w:ascii="Arial" w:hAnsi="Arial" w:cs="Arial"/>
                <w:b/>
                <w:color w:val="000000"/>
                <w:sz w:val="18"/>
                <w:lang w:eastAsia="es-ES"/>
              </w:rPr>
              <w:t>US</w:t>
            </w:r>
            <w:r w:rsidR="00B0718A" w:rsidRPr="008174E3">
              <w:rPr>
                <w:rFonts w:ascii="Arial" w:hAnsi="Arial" w:cs="Arial"/>
                <w:b/>
                <w:color w:val="000000"/>
                <w:sz w:val="18"/>
                <w:lang w:eastAsia="es-ES"/>
              </w:rPr>
              <w:t>$</w:t>
            </w:r>
          </w:p>
        </w:tc>
      </w:tr>
      <w:tr w:rsidR="006E5874" w:rsidRPr="008174E3" w14:paraId="280F7304" w14:textId="1E454D23" w:rsidTr="00CB295D">
        <w:trPr>
          <w:trHeight w:val="521"/>
          <w:jc w:val="center"/>
        </w:trPr>
        <w:tc>
          <w:tcPr>
            <w:tcW w:w="1728" w:type="dxa"/>
            <w:tcBorders>
              <w:top w:val="single" w:sz="4" w:space="0" w:color="auto"/>
              <w:left w:val="single" w:sz="4" w:space="0" w:color="auto"/>
              <w:bottom w:val="single" w:sz="4" w:space="0" w:color="auto"/>
              <w:right w:val="single" w:sz="4" w:space="0" w:color="auto"/>
            </w:tcBorders>
            <w:shd w:val="clear" w:color="000000" w:fill="DDEBF7"/>
            <w:noWrap/>
            <w:vAlign w:val="center"/>
            <w:hideMark/>
          </w:tcPr>
          <w:p w14:paraId="3ABEBDFE" w14:textId="07A9AB1F" w:rsidR="006E5874" w:rsidRPr="008174E3" w:rsidRDefault="005B2EE6" w:rsidP="00EF5325">
            <w:pPr>
              <w:keepNext/>
              <w:jc w:val="center"/>
              <w:rPr>
                <w:rFonts w:ascii="Arial" w:hAnsi="Arial" w:cs="Arial"/>
                <w:b/>
                <w:bCs/>
                <w:color w:val="000000"/>
                <w:sz w:val="18"/>
                <w:lang w:eastAsia="es-ES"/>
              </w:rPr>
            </w:pPr>
            <w:r w:rsidRPr="008174E3">
              <w:rPr>
                <w:rFonts w:ascii="Arial" w:hAnsi="Arial" w:cs="Arial"/>
                <w:b/>
                <w:bCs/>
                <w:color w:val="000000"/>
                <w:sz w:val="18"/>
                <w:lang w:eastAsia="es-ES"/>
              </w:rPr>
              <w:t>Hombres</w:t>
            </w:r>
          </w:p>
        </w:tc>
        <w:tc>
          <w:tcPr>
            <w:tcW w:w="1694" w:type="dxa"/>
            <w:tcBorders>
              <w:top w:val="single" w:sz="4" w:space="0" w:color="auto"/>
              <w:left w:val="nil"/>
              <w:bottom w:val="single" w:sz="4" w:space="0" w:color="auto"/>
              <w:right w:val="single" w:sz="4" w:space="0" w:color="auto"/>
            </w:tcBorders>
            <w:shd w:val="clear" w:color="000000" w:fill="FFFFFF"/>
            <w:noWrap/>
            <w:vAlign w:val="center"/>
            <w:hideMark/>
          </w:tcPr>
          <w:p w14:paraId="428B8B52" w14:textId="0DA0ACB5" w:rsidR="006E5874" w:rsidRPr="008174E3" w:rsidRDefault="006E5874" w:rsidP="00EF5325">
            <w:pPr>
              <w:keepNext/>
              <w:jc w:val="center"/>
              <w:rPr>
                <w:rFonts w:ascii="Arial" w:hAnsi="Arial" w:cs="Arial"/>
                <w:color w:val="000000"/>
                <w:sz w:val="18"/>
                <w:lang w:eastAsia="es-ES"/>
              </w:rPr>
            </w:pPr>
            <w:r w:rsidRPr="008174E3">
              <w:rPr>
                <w:rFonts w:ascii="Arial" w:hAnsi="Arial" w:cs="Arial"/>
                <w:color w:val="000000"/>
                <w:sz w:val="18"/>
                <w:lang w:eastAsia="es-ES"/>
              </w:rPr>
              <w:t>1.</w:t>
            </w:r>
            <w:r w:rsidR="005B2EE6" w:rsidRPr="008174E3">
              <w:rPr>
                <w:rFonts w:ascii="Arial" w:hAnsi="Arial" w:cs="Arial"/>
                <w:color w:val="000000"/>
                <w:sz w:val="18"/>
                <w:lang w:eastAsia="es-ES"/>
              </w:rPr>
              <w:t>540,16</w:t>
            </w:r>
          </w:p>
        </w:tc>
        <w:tc>
          <w:tcPr>
            <w:tcW w:w="15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6C9EA7" w14:textId="1496429A" w:rsidR="006E5874" w:rsidRPr="008174E3" w:rsidRDefault="005B2EE6" w:rsidP="00EF5325">
            <w:pPr>
              <w:keepNext/>
              <w:jc w:val="center"/>
              <w:rPr>
                <w:rFonts w:ascii="Arial" w:hAnsi="Arial" w:cs="Arial"/>
                <w:color w:val="000000"/>
                <w:sz w:val="18"/>
                <w:lang w:eastAsia="es-ES"/>
              </w:rPr>
            </w:pPr>
            <w:r w:rsidRPr="008174E3">
              <w:rPr>
                <w:rFonts w:ascii="Arial" w:hAnsi="Arial" w:cs="Arial"/>
                <w:color w:val="000000"/>
                <w:sz w:val="18"/>
                <w:lang w:eastAsia="es-ES"/>
              </w:rPr>
              <w:t>93,76</w:t>
            </w:r>
          </w:p>
        </w:tc>
      </w:tr>
      <w:tr w:rsidR="005B2EE6" w:rsidRPr="008174E3" w14:paraId="590A5880" w14:textId="77777777" w:rsidTr="00CB295D">
        <w:trPr>
          <w:trHeight w:val="431"/>
          <w:jc w:val="center"/>
        </w:trPr>
        <w:tc>
          <w:tcPr>
            <w:tcW w:w="1728" w:type="dxa"/>
            <w:tcBorders>
              <w:top w:val="single" w:sz="4" w:space="0" w:color="auto"/>
              <w:left w:val="single" w:sz="4" w:space="0" w:color="auto"/>
              <w:bottom w:val="single" w:sz="4" w:space="0" w:color="auto"/>
              <w:right w:val="single" w:sz="4" w:space="0" w:color="auto"/>
            </w:tcBorders>
            <w:shd w:val="clear" w:color="000000" w:fill="DDEBF7"/>
            <w:noWrap/>
            <w:vAlign w:val="center"/>
          </w:tcPr>
          <w:p w14:paraId="0E225947" w14:textId="4B6ABD57" w:rsidR="005B2EE6" w:rsidRPr="008174E3" w:rsidRDefault="005B2EE6" w:rsidP="00EF5325">
            <w:pPr>
              <w:keepNext/>
              <w:jc w:val="center"/>
              <w:rPr>
                <w:rFonts w:ascii="Arial" w:hAnsi="Arial" w:cs="Arial"/>
                <w:b/>
                <w:bCs/>
                <w:color w:val="000000"/>
                <w:sz w:val="18"/>
                <w:lang w:eastAsia="es-ES"/>
              </w:rPr>
            </w:pPr>
            <w:r w:rsidRPr="008174E3">
              <w:rPr>
                <w:rFonts w:ascii="Arial" w:hAnsi="Arial" w:cs="Arial"/>
                <w:b/>
                <w:bCs/>
                <w:color w:val="000000"/>
                <w:sz w:val="18"/>
                <w:lang w:eastAsia="es-ES"/>
              </w:rPr>
              <w:t>Mujeres</w:t>
            </w:r>
          </w:p>
        </w:tc>
        <w:tc>
          <w:tcPr>
            <w:tcW w:w="1694" w:type="dxa"/>
            <w:tcBorders>
              <w:top w:val="single" w:sz="4" w:space="0" w:color="auto"/>
              <w:left w:val="nil"/>
              <w:bottom w:val="single" w:sz="4" w:space="0" w:color="auto"/>
              <w:right w:val="single" w:sz="4" w:space="0" w:color="auto"/>
            </w:tcBorders>
            <w:shd w:val="clear" w:color="000000" w:fill="FFFFFF"/>
            <w:noWrap/>
            <w:vAlign w:val="center"/>
          </w:tcPr>
          <w:p w14:paraId="56C7A7D9" w14:textId="69EAACF4" w:rsidR="005B2EE6" w:rsidRPr="008174E3" w:rsidRDefault="005B2EE6" w:rsidP="00EF5325">
            <w:pPr>
              <w:keepNext/>
              <w:jc w:val="center"/>
              <w:rPr>
                <w:rFonts w:ascii="Arial" w:hAnsi="Arial" w:cs="Arial"/>
                <w:color w:val="000000"/>
                <w:sz w:val="18"/>
                <w:lang w:eastAsia="es-ES"/>
              </w:rPr>
            </w:pPr>
            <w:r w:rsidRPr="008174E3">
              <w:rPr>
                <w:rFonts w:ascii="Arial" w:hAnsi="Arial" w:cs="Arial"/>
                <w:color w:val="000000"/>
                <w:sz w:val="18"/>
                <w:lang w:eastAsia="es-ES"/>
              </w:rPr>
              <w:t>1.085,03</w:t>
            </w:r>
          </w:p>
        </w:tc>
        <w:tc>
          <w:tcPr>
            <w:tcW w:w="159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47F0C5E" w14:textId="52A944FA" w:rsidR="005B2EE6" w:rsidRPr="008174E3" w:rsidRDefault="005B2EE6" w:rsidP="00EF5325">
            <w:pPr>
              <w:keepNext/>
              <w:jc w:val="center"/>
              <w:rPr>
                <w:rFonts w:ascii="Arial" w:hAnsi="Arial" w:cs="Arial"/>
                <w:color w:val="000000"/>
                <w:sz w:val="18"/>
                <w:lang w:eastAsia="es-ES"/>
              </w:rPr>
            </w:pPr>
            <w:r w:rsidRPr="008174E3">
              <w:rPr>
                <w:rFonts w:ascii="Arial" w:hAnsi="Arial" w:cs="Arial"/>
                <w:color w:val="000000"/>
                <w:sz w:val="18"/>
                <w:lang w:eastAsia="es-ES"/>
              </w:rPr>
              <w:t>65,71</w:t>
            </w:r>
          </w:p>
        </w:tc>
      </w:tr>
    </w:tbl>
    <w:p w14:paraId="15F2E556" w14:textId="77777777" w:rsidR="00CE6E7A" w:rsidRPr="008174E3" w:rsidRDefault="00CE6E7A" w:rsidP="00C074B4">
      <w:pPr>
        <w:pStyle w:val="ListParagraph"/>
        <w:rPr>
          <w:rFonts w:ascii="Arial" w:hAnsi="Arial" w:cs="Arial"/>
        </w:rPr>
      </w:pPr>
    </w:p>
    <w:p w14:paraId="563344A6" w14:textId="6DDF70BA" w:rsidR="000114FE" w:rsidRPr="008174E3" w:rsidRDefault="000114FE" w:rsidP="000114FE">
      <w:pPr>
        <w:pStyle w:val="ListParagraph"/>
        <w:numPr>
          <w:ilvl w:val="0"/>
          <w:numId w:val="8"/>
        </w:numPr>
        <w:ind w:left="0"/>
        <w:jc w:val="both"/>
        <w:rPr>
          <w:rFonts w:ascii="Arial" w:hAnsi="Arial" w:cs="Arial"/>
          <w:sz w:val="22"/>
          <w:szCs w:val="22"/>
        </w:rPr>
      </w:pPr>
      <w:r w:rsidRPr="008174E3">
        <w:rPr>
          <w:rFonts w:ascii="Arial" w:hAnsi="Arial" w:cs="Arial"/>
          <w:sz w:val="22"/>
          <w:szCs w:val="22"/>
        </w:rPr>
        <w:t>Para</w:t>
      </w:r>
      <w:r w:rsidR="00C34007" w:rsidRPr="008174E3">
        <w:rPr>
          <w:rFonts w:ascii="Arial" w:hAnsi="Arial" w:cs="Arial"/>
          <w:sz w:val="22"/>
          <w:szCs w:val="22"/>
        </w:rPr>
        <w:t xml:space="preserve"> cuantificar </w:t>
      </w:r>
      <w:r w:rsidRPr="008174E3">
        <w:rPr>
          <w:rFonts w:ascii="Arial" w:hAnsi="Arial" w:cs="Arial"/>
          <w:sz w:val="22"/>
          <w:szCs w:val="22"/>
        </w:rPr>
        <w:t xml:space="preserve">el impacto </w:t>
      </w:r>
      <w:r w:rsidR="00C34007" w:rsidRPr="008174E3">
        <w:rPr>
          <w:rFonts w:ascii="Arial" w:hAnsi="Arial" w:cs="Arial"/>
          <w:sz w:val="22"/>
          <w:szCs w:val="22"/>
        </w:rPr>
        <w:t xml:space="preserve">asociado al </w:t>
      </w:r>
      <w:r w:rsidRPr="008174E3">
        <w:rPr>
          <w:rFonts w:ascii="Arial" w:hAnsi="Arial" w:cs="Arial"/>
          <w:sz w:val="22"/>
          <w:szCs w:val="22"/>
        </w:rPr>
        <w:t>acceso a empleo</w:t>
      </w:r>
      <w:r w:rsidR="00C34007" w:rsidRPr="008174E3">
        <w:rPr>
          <w:rFonts w:ascii="Arial" w:hAnsi="Arial" w:cs="Arial"/>
          <w:sz w:val="22"/>
          <w:szCs w:val="22"/>
        </w:rPr>
        <w:t>s</w:t>
      </w:r>
      <w:r w:rsidRPr="008174E3">
        <w:rPr>
          <w:rFonts w:ascii="Arial" w:hAnsi="Arial" w:cs="Arial"/>
          <w:sz w:val="22"/>
          <w:szCs w:val="22"/>
        </w:rPr>
        <w:t xml:space="preserve"> formal</w:t>
      </w:r>
      <w:r w:rsidR="00C34007" w:rsidRPr="008174E3">
        <w:rPr>
          <w:rFonts w:ascii="Arial" w:hAnsi="Arial" w:cs="Arial"/>
          <w:sz w:val="22"/>
          <w:szCs w:val="22"/>
        </w:rPr>
        <w:t>es</w:t>
      </w:r>
      <w:r w:rsidRPr="008174E3">
        <w:rPr>
          <w:rFonts w:ascii="Arial" w:hAnsi="Arial" w:cs="Arial"/>
          <w:sz w:val="22"/>
          <w:szCs w:val="22"/>
        </w:rPr>
        <w:t xml:space="preserve"> de</w:t>
      </w:r>
      <w:r w:rsidR="00C34007" w:rsidRPr="008174E3">
        <w:rPr>
          <w:rFonts w:ascii="Arial" w:hAnsi="Arial" w:cs="Arial"/>
          <w:sz w:val="22"/>
          <w:szCs w:val="22"/>
        </w:rPr>
        <w:t xml:space="preserve"> </w:t>
      </w:r>
      <w:r w:rsidRPr="008174E3">
        <w:rPr>
          <w:rFonts w:ascii="Arial" w:hAnsi="Arial" w:cs="Arial"/>
          <w:sz w:val="22"/>
          <w:szCs w:val="22"/>
        </w:rPr>
        <w:t>l</w:t>
      </w:r>
      <w:r w:rsidR="00C34007" w:rsidRPr="008174E3">
        <w:rPr>
          <w:rFonts w:ascii="Arial" w:hAnsi="Arial" w:cs="Arial"/>
          <w:sz w:val="22"/>
          <w:szCs w:val="22"/>
        </w:rPr>
        <w:t>os beneficiarios del programa</w:t>
      </w:r>
      <w:r w:rsidRPr="008174E3">
        <w:rPr>
          <w:rFonts w:ascii="Arial" w:hAnsi="Arial" w:cs="Arial"/>
          <w:sz w:val="22"/>
          <w:szCs w:val="22"/>
        </w:rPr>
        <w:t>, se considera</w:t>
      </w:r>
      <w:r w:rsidR="00C34007" w:rsidRPr="008174E3">
        <w:rPr>
          <w:rFonts w:ascii="Arial" w:hAnsi="Arial" w:cs="Arial"/>
          <w:sz w:val="22"/>
          <w:szCs w:val="22"/>
        </w:rPr>
        <w:t>rá</w:t>
      </w:r>
      <w:r w:rsidRPr="008174E3">
        <w:rPr>
          <w:rFonts w:ascii="Arial" w:hAnsi="Arial" w:cs="Arial"/>
          <w:sz w:val="22"/>
          <w:szCs w:val="22"/>
        </w:rPr>
        <w:t xml:space="preserve"> el aporte a seguridad social de corto y largo plazo que realizan los empleadores al registrar a un trabajador al Instituto Mexicano del Seguro Social (IMSS) o al Instituto Social de Seguridad Social de Trabajadores del Estado (ISSSTE). El supuesto fundamental </w:t>
      </w:r>
      <w:r w:rsidR="00511539" w:rsidRPr="008174E3">
        <w:rPr>
          <w:rFonts w:ascii="Arial" w:hAnsi="Arial" w:cs="Arial"/>
          <w:sz w:val="22"/>
          <w:szCs w:val="22"/>
        </w:rPr>
        <w:t xml:space="preserve">que permite </w:t>
      </w:r>
      <w:r w:rsidRPr="008174E3">
        <w:rPr>
          <w:rFonts w:ascii="Arial" w:hAnsi="Arial" w:cs="Arial"/>
          <w:sz w:val="22"/>
          <w:szCs w:val="22"/>
        </w:rPr>
        <w:t>atribuir este impacto al beneficiario es el supuesto de que el beneficiario en ausencia de esta</w:t>
      </w:r>
      <w:r w:rsidR="00511539" w:rsidRPr="008174E3">
        <w:rPr>
          <w:rFonts w:ascii="Arial" w:hAnsi="Arial" w:cs="Arial"/>
          <w:sz w:val="22"/>
          <w:szCs w:val="22"/>
        </w:rPr>
        <w:t xml:space="preserve">s </w:t>
      </w:r>
      <w:r w:rsidR="00F331F6" w:rsidRPr="008174E3">
        <w:rPr>
          <w:rFonts w:ascii="Arial" w:hAnsi="Arial" w:cs="Arial"/>
          <w:sz w:val="22"/>
          <w:szCs w:val="22"/>
        </w:rPr>
        <w:t>prestaciones</w:t>
      </w:r>
      <w:r w:rsidRPr="008174E3">
        <w:rPr>
          <w:rFonts w:ascii="Arial" w:hAnsi="Arial" w:cs="Arial"/>
          <w:sz w:val="22"/>
          <w:szCs w:val="22"/>
        </w:rPr>
        <w:t xml:space="preserve"> </w:t>
      </w:r>
      <w:r w:rsidR="00B7647C" w:rsidRPr="008174E3">
        <w:rPr>
          <w:rFonts w:ascii="Arial" w:hAnsi="Arial" w:cs="Arial"/>
          <w:sz w:val="22"/>
          <w:szCs w:val="22"/>
        </w:rPr>
        <w:t>estaría dispuesto a comprar</w:t>
      </w:r>
      <w:r w:rsidR="00EA17B2" w:rsidRPr="008174E3">
        <w:rPr>
          <w:rFonts w:ascii="Arial" w:hAnsi="Arial" w:cs="Arial"/>
          <w:sz w:val="22"/>
          <w:szCs w:val="22"/>
        </w:rPr>
        <w:t xml:space="preserve">las </w:t>
      </w:r>
      <w:r w:rsidRPr="008174E3">
        <w:rPr>
          <w:rFonts w:ascii="Arial" w:hAnsi="Arial" w:cs="Arial"/>
          <w:sz w:val="22"/>
          <w:szCs w:val="22"/>
        </w:rPr>
        <w:t>en el mercado</w:t>
      </w:r>
      <w:r w:rsidR="00B7647C" w:rsidRPr="008174E3">
        <w:rPr>
          <w:rStyle w:val="FootnoteReference"/>
          <w:rFonts w:ascii="Arial" w:hAnsi="Arial" w:cs="Arial"/>
          <w:sz w:val="22"/>
          <w:szCs w:val="22"/>
        </w:rPr>
        <w:footnoteReference w:id="12"/>
      </w:r>
      <w:r w:rsidR="00B7647C" w:rsidRPr="008174E3">
        <w:rPr>
          <w:rFonts w:ascii="Arial" w:hAnsi="Arial" w:cs="Arial"/>
          <w:sz w:val="22"/>
          <w:szCs w:val="22"/>
        </w:rPr>
        <w:t>.</w:t>
      </w:r>
      <w:r w:rsidR="00C34007" w:rsidRPr="008174E3">
        <w:rPr>
          <w:rFonts w:ascii="Arial" w:hAnsi="Arial" w:cs="Arial"/>
          <w:sz w:val="22"/>
          <w:szCs w:val="22"/>
        </w:rPr>
        <w:t xml:space="preserve"> </w:t>
      </w:r>
    </w:p>
    <w:p w14:paraId="07DD8334" w14:textId="77777777" w:rsidR="000114FE" w:rsidRPr="008174E3" w:rsidRDefault="000114FE" w:rsidP="000114FE">
      <w:pPr>
        <w:pStyle w:val="ListParagraph"/>
        <w:ind w:left="0"/>
        <w:jc w:val="both"/>
        <w:rPr>
          <w:rFonts w:ascii="Arial" w:hAnsi="Arial" w:cs="Arial"/>
          <w:sz w:val="22"/>
          <w:szCs w:val="22"/>
        </w:rPr>
      </w:pPr>
    </w:p>
    <w:p w14:paraId="57FF0EC6" w14:textId="15E04088" w:rsidR="000114FE" w:rsidRPr="008174E3" w:rsidRDefault="000114FE" w:rsidP="000114FE">
      <w:pPr>
        <w:pStyle w:val="ListParagraph"/>
        <w:numPr>
          <w:ilvl w:val="0"/>
          <w:numId w:val="8"/>
        </w:numPr>
        <w:ind w:left="0"/>
        <w:jc w:val="both"/>
        <w:rPr>
          <w:rFonts w:ascii="Arial" w:hAnsi="Arial" w:cs="Arial"/>
          <w:sz w:val="22"/>
          <w:szCs w:val="22"/>
        </w:rPr>
      </w:pPr>
      <w:r w:rsidRPr="008174E3">
        <w:rPr>
          <w:rFonts w:ascii="Arial" w:hAnsi="Arial" w:cs="Arial"/>
          <w:sz w:val="22"/>
          <w:szCs w:val="22"/>
        </w:rPr>
        <w:t xml:space="preserve">Para </w:t>
      </w:r>
      <w:r w:rsidR="00C34007" w:rsidRPr="008174E3">
        <w:rPr>
          <w:rFonts w:ascii="Arial" w:hAnsi="Arial" w:cs="Arial"/>
          <w:sz w:val="22"/>
          <w:szCs w:val="22"/>
        </w:rPr>
        <w:t xml:space="preserve">esto, </w:t>
      </w:r>
      <w:r w:rsidR="00B7647C" w:rsidRPr="008174E3">
        <w:rPr>
          <w:rFonts w:ascii="Arial" w:hAnsi="Arial" w:cs="Arial"/>
          <w:sz w:val="22"/>
          <w:szCs w:val="22"/>
        </w:rPr>
        <w:t xml:space="preserve">el presente documento </w:t>
      </w:r>
      <w:r w:rsidRPr="008174E3">
        <w:rPr>
          <w:rFonts w:ascii="Arial" w:hAnsi="Arial" w:cs="Arial"/>
          <w:sz w:val="22"/>
          <w:szCs w:val="22"/>
        </w:rPr>
        <w:t xml:space="preserve">utiliza </w:t>
      </w:r>
      <w:r w:rsidR="00B7647C" w:rsidRPr="008174E3">
        <w:rPr>
          <w:rFonts w:ascii="Arial" w:hAnsi="Arial" w:cs="Arial"/>
          <w:sz w:val="22"/>
          <w:szCs w:val="22"/>
        </w:rPr>
        <w:t xml:space="preserve">como insumo </w:t>
      </w:r>
      <w:r w:rsidRPr="008174E3">
        <w:rPr>
          <w:rFonts w:ascii="Arial" w:hAnsi="Arial" w:cs="Arial"/>
          <w:sz w:val="22"/>
          <w:szCs w:val="22"/>
        </w:rPr>
        <w:t xml:space="preserve">información de referencia </w:t>
      </w:r>
      <w:r w:rsidR="00B7647C" w:rsidRPr="008174E3">
        <w:rPr>
          <w:rFonts w:ascii="Arial" w:hAnsi="Arial" w:cs="Arial"/>
          <w:sz w:val="22"/>
          <w:szCs w:val="22"/>
        </w:rPr>
        <w:t xml:space="preserve">a </w:t>
      </w:r>
      <w:r w:rsidRPr="008174E3">
        <w:rPr>
          <w:rFonts w:ascii="Arial" w:hAnsi="Arial" w:cs="Arial"/>
          <w:sz w:val="22"/>
          <w:szCs w:val="22"/>
        </w:rPr>
        <w:t>los aportes de los empleadores</w:t>
      </w:r>
      <w:r w:rsidR="00C34007" w:rsidRPr="008174E3">
        <w:rPr>
          <w:rFonts w:ascii="Arial" w:hAnsi="Arial" w:cs="Arial"/>
          <w:sz w:val="22"/>
          <w:szCs w:val="22"/>
        </w:rPr>
        <w:t xml:space="preserve"> </w:t>
      </w:r>
      <w:r w:rsidR="00B7647C" w:rsidRPr="008174E3">
        <w:rPr>
          <w:rFonts w:ascii="Arial" w:hAnsi="Arial" w:cs="Arial"/>
          <w:sz w:val="22"/>
          <w:szCs w:val="22"/>
        </w:rPr>
        <w:t>a seguridad social, definido</w:t>
      </w:r>
      <w:r w:rsidR="00EB33FF" w:rsidRPr="008174E3">
        <w:rPr>
          <w:rFonts w:ascii="Arial" w:hAnsi="Arial" w:cs="Arial"/>
          <w:sz w:val="22"/>
          <w:szCs w:val="22"/>
        </w:rPr>
        <w:t>s</w:t>
      </w:r>
      <w:r w:rsidR="00B7647C" w:rsidRPr="008174E3">
        <w:rPr>
          <w:rFonts w:ascii="Arial" w:hAnsi="Arial" w:cs="Arial"/>
          <w:sz w:val="22"/>
          <w:szCs w:val="22"/>
        </w:rPr>
        <w:t xml:space="preserve"> por </w:t>
      </w:r>
      <w:r w:rsidR="00C34007" w:rsidRPr="008174E3">
        <w:rPr>
          <w:rFonts w:ascii="Arial" w:hAnsi="Arial" w:cs="Arial"/>
          <w:sz w:val="22"/>
          <w:szCs w:val="22"/>
        </w:rPr>
        <w:t>l</w:t>
      </w:r>
      <w:r w:rsidR="00B7647C" w:rsidRPr="008174E3">
        <w:rPr>
          <w:rFonts w:ascii="Arial" w:hAnsi="Arial" w:cs="Arial"/>
          <w:sz w:val="22"/>
          <w:szCs w:val="22"/>
        </w:rPr>
        <w:t>ey</w:t>
      </w:r>
      <w:r w:rsidRPr="008174E3">
        <w:rPr>
          <w:rFonts w:ascii="Arial" w:hAnsi="Arial" w:cs="Arial"/>
          <w:sz w:val="22"/>
          <w:szCs w:val="22"/>
        </w:rPr>
        <w:t xml:space="preserve">. Siguiendo información de reporte </w:t>
      </w:r>
      <w:r w:rsidRPr="008174E3">
        <w:rPr>
          <w:rFonts w:ascii="Arial" w:hAnsi="Arial" w:cs="Arial"/>
          <w:i/>
          <w:sz w:val="22"/>
          <w:szCs w:val="22"/>
        </w:rPr>
        <w:t xml:space="preserve">Taxing Wages </w:t>
      </w:r>
      <w:r w:rsidRPr="008174E3">
        <w:rPr>
          <w:rFonts w:ascii="Arial" w:hAnsi="Arial" w:cs="Arial"/>
          <w:sz w:val="22"/>
          <w:szCs w:val="22"/>
        </w:rPr>
        <w:t xml:space="preserve">(2017) de la OECD y la Ley </w:t>
      </w:r>
      <w:r w:rsidR="00C34007" w:rsidRPr="008174E3">
        <w:rPr>
          <w:rFonts w:ascii="Arial" w:hAnsi="Arial" w:cs="Arial"/>
          <w:sz w:val="22"/>
          <w:szCs w:val="22"/>
        </w:rPr>
        <w:t xml:space="preserve">Federal </w:t>
      </w:r>
      <w:r w:rsidRPr="008174E3">
        <w:rPr>
          <w:rFonts w:ascii="Arial" w:hAnsi="Arial" w:cs="Arial"/>
          <w:sz w:val="22"/>
          <w:szCs w:val="22"/>
        </w:rPr>
        <w:t>de</w:t>
      </w:r>
      <w:r w:rsidR="00C34007" w:rsidRPr="008174E3">
        <w:rPr>
          <w:rFonts w:ascii="Arial" w:hAnsi="Arial" w:cs="Arial"/>
          <w:sz w:val="22"/>
          <w:szCs w:val="22"/>
        </w:rPr>
        <w:t>l</w:t>
      </w:r>
      <w:r w:rsidRPr="008174E3">
        <w:rPr>
          <w:rFonts w:ascii="Arial" w:hAnsi="Arial" w:cs="Arial"/>
          <w:sz w:val="22"/>
          <w:szCs w:val="22"/>
        </w:rPr>
        <w:t xml:space="preserve"> Trabajo </w:t>
      </w:r>
      <w:r w:rsidR="00C34007" w:rsidRPr="008174E3">
        <w:rPr>
          <w:rFonts w:ascii="Arial" w:hAnsi="Arial" w:cs="Arial"/>
          <w:sz w:val="22"/>
          <w:szCs w:val="22"/>
        </w:rPr>
        <w:t xml:space="preserve">de México </w:t>
      </w:r>
      <w:r w:rsidRPr="008174E3">
        <w:rPr>
          <w:rFonts w:ascii="Arial" w:hAnsi="Arial" w:cs="Arial"/>
          <w:sz w:val="22"/>
          <w:szCs w:val="22"/>
        </w:rPr>
        <w:t>se consideran los siguientes aportes del empleador a seguridad social:</w:t>
      </w:r>
    </w:p>
    <w:p w14:paraId="6EE69433" w14:textId="77777777" w:rsidR="000114FE" w:rsidRPr="008174E3" w:rsidRDefault="000114FE" w:rsidP="000114FE">
      <w:pPr>
        <w:pStyle w:val="ListParagraph"/>
        <w:rPr>
          <w:rFonts w:ascii="Arial" w:hAnsi="Arial" w:cs="Arial"/>
        </w:rPr>
      </w:pPr>
    </w:p>
    <w:p w14:paraId="1ED0534D" w14:textId="27B03C11" w:rsidR="000114FE" w:rsidRPr="008174E3" w:rsidRDefault="00B0718A" w:rsidP="000114FE">
      <w:pPr>
        <w:pStyle w:val="ListParagraph"/>
        <w:rPr>
          <w:rFonts w:ascii="Arial" w:hAnsi="Arial" w:cs="Arial"/>
          <w:b/>
          <w:sz w:val="22"/>
        </w:rPr>
      </w:pPr>
      <w:r w:rsidRPr="008174E3">
        <w:rPr>
          <w:rFonts w:ascii="Arial" w:hAnsi="Arial" w:cs="Arial"/>
          <w:b/>
          <w:sz w:val="22"/>
        </w:rPr>
        <w:t>Cuadro </w:t>
      </w:r>
      <w:r w:rsidR="000114FE" w:rsidRPr="008174E3">
        <w:rPr>
          <w:rFonts w:ascii="Arial" w:hAnsi="Arial" w:cs="Arial"/>
          <w:b/>
          <w:sz w:val="22"/>
        </w:rPr>
        <w:t xml:space="preserve">2: Contribuciones Patronales a Seguridad Social por Empleado Formal </w:t>
      </w:r>
    </w:p>
    <w:tbl>
      <w:tblPr>
        <w:tblW w:w="9460" w:type="dxa"/>
        <w:jc w:val="center"/>
        <w:tblCellMar>
          <w:top w:w="15" w:type="dxa"/>
          <w:left w:w="70" w:type="dxa"/>
          <w:bottom w:w="15" w:type="dxa"/>
          <w:right w:w="70" w:type="dxa"/>
        </w:tblCellMar>
        <w:tblLook w:val="04A0" w:firstRow="1" w:lastRow="0" w:firstColumn="1" w:lastColumn="0" w:noHBand="0" w:noVBand="1"/>
      </w:tblPr>
      <w:tblGrid>
        <w:gridCol w:w="4185"/>
        <w:gridCol w:w="3020"/>
        <w:gridCol w:w="2255"/>
      </w:tblGrid>
      <w:tr w:rsidR="00B7647C" w:rsidRPr="008174E3" w14:paraId="55CD8064" w14:textId="77777777" w:rsidTr="00B7647C">
        <w:trPr>
          <w:trHeight w:val="285"/>
          <w:jc w:val="center"/>
        </w:trPr>
        <w:tc>
          <w:tcPr>
            <w:tcW w:w="9460" w:type="dxa"/>
            <w:gridSpan w:val="3"/>
            <w:tcBorders>
              <w:top w:val="nil"/>
              <w:left w:val="nil"/>
              <w:bottom w:val="single" w:sz="4" w:space="0" w:color="auto"/>
              <w:right w:val="nil"/>
            </w:tcBorders>
            <w:shd w:val="clear" w:color="000000" w:fill="DDEBF7"/>
            <w:noWrap/>
            <w:vAlign w:val="bottom"/>
            <w:hideMark/>
          </w:tcPr>
          <w:p w14:paraId="78AE67B5" w14:textId="77777777" w:rsidR="00B7647C" w:rsidRPr="008174E3" w:rsidRDefault="00B7647C" w:rsidP="00B7647C">
            <w:pPr>
              <w:rPr>
                <w:rFonts w:ascii="Arial" w:hAnsi="Arial" w:cs="Arial"/>
                <w:b/>
                <w:bCs/>
                <w:color w:val="000000"/>
                <w:sz w:val="18"/>
                <w:szCs w:val="20"/>
              </w:rPr>
            </w:pPr>
            <w:r w:rsidRPr="008174E3">
              <w:rPr>
                <w:rFonts w:ascii="Arial" w:hAnsi="Arial" w:cs="Arial"/>
                <w:b/>
                <w:bCs/>
                <w:color w:val="000000"/>
                <w:sz w:val="18"/>
                <w:szCs w:val="20"/>
              </w:rPr>
              <w:t>Contribuciones del empleador a seguridad social</w:t>
            </w:r>
          </w:p>
        </w:tc>
      </w:tr>
      <w:tr w:rsidR="00B7647C" w:rsidRPr="008174E3" w14:paraId="112D5519" w14:textId="77777777" w:rsidTr="00B7647C">
        <w:trPr>
          <w:trHeight w:val="570"/>
          <w:jc w:val="center"/>
        </w:trPr>
        <w:tc>
          <w:tcPr>
            <w:tcW w:w="4185" w:type="dxa"/>
            <w:tcBorders>
              <w:top w:val="single" w:sz="4" w:space="0" w:color="auto"/>
              <w:left w:val="nil"/>
              <w:bottom w:val="single" w:sz="4" w:space="0" w:color="auto"/>
              <w:right w:val="nil"/>
            </w:tcBorders>
            <w:shd w:val="clear" w:color="000000" w:fill="DDEBF7"/>
            <w:noWrap/>
            <w:vAlign w:val="center"/>
            <w:hideMark/>
          </w:tcPr>
          <w:p w14:paraId="47C35D0F" w14:textId="77777777" w:rsidR="00B7647C" w:rsidRPr="008174E3" w:rsidRDefault="00B7647C" w:rsidP="00B7647C">
            <w:pPr>
              <w:rPr>
                <w:rFonts w:ascii="Arial" w:hAnsi="Arial" w:cs="Arial"/>
                <w:b/>
                <w:bCs/>
                <w:color w:val="000000"/>
                <w:sz w:val="18"/>
                <w:szCs w:val="20"/>
              </w:rPr>
            </w:pPr>
            <w:r w:rsidRPr="008174E3">
              <w:rPr>
                <w:rFonts w:ascii="Arial" w:hAnsi="Arial" w:cs="Arial"/>
                <w:b/>
                <w:bCs/>
                <w:color w:val="000000"/>
                <w:sz w:val="18"/>
                <w:szCs w:val="20"/>
              </w:rPr>
              <w:t>Componente</w:t>
            </w:r>
          </w:p>
        </w:tc>
        <w:tc>
          <w:tcPr>
            <w:tcW w:w="3020" w:type="dxa"/>
            <w:tcBorders>
              <w:top w:val="single" w:sz="4" w:space="0" w:color="auto"/>
              <w:left w:val="nil"/>
              <w:bottom w:val="single" w:sz="4" w:space="0" w:color="auto"/>
              <w:right w:val="nil"/>
            </w:tcBorders>
            <w:shd w:val="clear" w:color="000000" w:fill="DDEBF7"/>
            <w:vAlign w:val="center"/>
            <w:hideMark/>
          </w:tcPr>
          <w:p w14:paraId="2CD5F565" w14:textId="77777777" w:rsidR="00B7647C" w:rsidRPr="008174E3" w:rsidRDefault="00B7647C" w:rsidP="0037390D">
            <w:pPr>
              <w:jc w:val="center"/>
              <w:rPr>
                <w:rFonts w:ascii="Arial" w:hAnsi="Arial" w:cs="Arial"/>
                <w:b/>
                <w:bCs/>
                <w:color w:val="000000"/>
                <w:sz w:val="18"/>
                <w:szCs w:val="20"/>
              </w:rPr>
            </w:pPr>
            <w:r w:rsidRPr="008174E3">
              <w:rPr>
                <w:rFonts w:ascii="Arial" w:hAnsi="Arial" w:cs="Arial"/>
                <w:b/>
                <w:bCs/>
                <w:color w:val="000000"/>
                <w:sz w:val="18"/>
                <w:szCs w:val="20"/>
              </w:rPr>
              <w:t>Referencia de aporte en base a la Ley</w:t>
            </w:r>
          </w:p>
        </w:tc>
        <w:tc>
          <w:tcPr>
            <w:tcW w:w="2255" w:type="dxa"/>
            <w:tcBorders>
              <w:top w:val="single" w:sz="4" w:space="0" w:color="auto"/>
              <w:left w:val="nil"/>
              <w:bottom w:val="single" w:sz="4" w:space="0" w:color="auto"/>
              <w:right w:val="nil"/>
            </w:tcBorders>
            <w:shd w:val="clear" w:color="000000" w:fill="DDEBF7"/>
            <w:vAlign w:val="center"/>
            <w:hideMark/>
          </w:tcPr>
          <w:p w14:paraId="27340194" w14:textId="77777777" w:rsidR="00B7647C" w:rsidRPr="008174E3" w:rsidRDefault="00B7647C" w:rsidP="0037390D">
            <w:pPr>
              <w:jc w:val="center"/>
              <w:rPr>
                <w:rFonts w:ascii="Arial" w:hAnsi="Arial" w:cs="Arial"/>
                <w:b/>
                <w:bCs/>
                <w:color w:val="000000"/>
                <w:sz w:val="18"/>
                <w:szCs w:val="20"/>
              </w:rPr>
            </w:pPr>
            <w:r w:rsidRPr="008174E3">
              <w:rPr>
                <w:rFonts w:ascii="Arial" w:hAnsi="Arial" w:cs="Arial"/>
                <w:b/>
                <w:bCs/>
                <w:color w:val="000000"/>
                <w:sz w:val="18"/>
                <w:szCs w:val="20"/>
              </w:rPr>
              <w:t>Como % del ingreso de referencia</w:t>
            </w:r>
          </w:p>
        </w:tc>
      </w:tr>
      <w:tr w:rsidR="00B7647C" w:rsidRPr="008174E3" w14:paraId="41745A35" w14:textId="77777777" w:rsidTr="00B7647C">
        <w:trPr>
          <w:trHeight w:val="285"/>
          <w:jc w:val="center"/>
        </w:trPr>
        <w:tc>
          <w:tcPr>
            <w:tcW w:w="9460" w:type="dxa"/>
            <w:gridSpan w:val="3"/>
            <w:tcBorders>
              <w:top w:val="single" w:sz="4" w:space="0" w:color="auto"/>
              <w:left w:val="nil"/>
              <w:bottom w:val="single" w:sz="4" w:space="0" w:color="auto"/>
              <w:right w:val="nil"/>
            </w:tcBorders>
            <w:shd w:val="clear" w:color="000000" w:fill="DDEBF7"/>
            <w:noWrap/>
            <w:vAlign w:val="bottom"/>
            <w:hideMark/>
          </w:tcPr>
          <w:p w14:paraId="13265AC1" w14:textId="77777777" w:rsidR="00B7647C" w:rsidRPr="008174E3" w:rsidRDefault="00B7647C" w:rsidP="00B7647C">
            <w:pPr>
              <w:rPr>
                <w:rFonts w:ascii="Arial" w:hAnsi="Arial" w:cs="Arial"/>
                <w:b/>
                <w:bCs/>
                <w:color w:val="000000"/>
                <w:sz w:val="18"/>
                <w:szCs w:val="20"/>
              </w:rPr>
            </w:pPr>
            <w:r w:rsidRPr="008174E3">
              <w:rPr>
                <w:rFonts w:ascii="Arial" w:hAnsi="Arial" w:cs="Arial"/>
                <w:b/>
                <w:bCs/>
                <w:color w:val="000000"/>
                <w:sz w:val="18"/>
                <w:szCs w:val="20"/>
              </w:rPr>
              <w:t>Seguridad Social de Corto Plazo</w:t>
            </w:r>
          </w:p>
        </w:tc>
      </w:tr>
      <w:tr w:rsidR="00B7647C" w:rsidRPr="008174E3" w14:paraId="7DBF6B7B" w14:textId="77777777" w:rsidTr="00B7647C">
        <w:trPr>
          <w:trHeight w:val="285"/>
          <w:jc w:val="center"/>
        </w:trPr>
        <w:tc>
          <w:tcPr>
            <w:tcW w:w="4185" w:type="dxa"/>
            <w:tcBorders>
              <w:top w:val="nil"/>
              <w:left w:val="nil"/>
              <w:bottom w:val="nil"/>
              <w:right w:val="nil"/>
            </w:tcBorders>
            <w:shd w:val="clear" w:color="000000" w:fill="FFFFFF"/>
            <w:noWrap/>
            <w:vAlign w:val="bottom"/>
            <w:hideMark/>
          </w:tcPr>
          <w:p w14:paraId="27B570A8" w14:textId="77777777" w:rsidR="00B7647C" w:rsidRPr="008174E3" w:rsidRDefault="00B7647C" w:rsidP="00B7647C">
            <w:pPr>
              <w:rPr>
                <w:rFonts w:ascii="Arial" w:hAnsi="Arial" w:cs="Arial"/>
                <w:color w:val="000000"/>
                <w:sz w:val="18"/>
                <w:szCs w:val="20"/>
              </w:rPr>
            </w:pPr>
            <w:r w:rsidRPr="008174E3">
              <w:rPr>
                <w:rFonts w:ascii="Arial" w:hAnsi="Arial" w:cs="Arial"/>
                <w:color w:val="000000"/>
                <w:sz w:val="18"/>
                <w:szCs w:val="20"/>
              </w:rPr>
              <w:t>Para maternidad y enfermedad (*)</w:t>
            </w:r>
          </w:p>
        </w:tc>
        <w:tc>
          <w:tcPr>
            <w:tcW w:w="3020" w:type="dxa"/>
            <w:tcBorders>
              <w:top w:val="nil"/>
              <w:left w:val="nil"/>
              <w:bottom w:val="nil"/>
              <w:right w:val="nil"/>
            </w:tcBorders>
            <w:shd w:val="clear" w:color="000000" w:fill="FFFFFF"/>
            <w:noWrap/>
            <w:vAlign w:val="bottom"/>
            <w:hideMark/>
          </w:tcPr>
          <w:p w14:paraId="76AFA8DB" w14:textId="70763783" w:rsidR="00B7647C" w:rsidRPr="008174E3" w:rsidRDefault="00B7647C" w:rsidP="00B7647C">
            <w:pPr>
              <w:jc w:val="right"/>
              <w:rPr>
                <w:rFonts w:ascii="Arial" w:hAnsi="Arial" w:cs="Arial"/>
                <w:color w:val="000000"/>
                <w:sz w:val="18"/>
                <w:szCs w:val="20"/>
              </w:rPr>
            </w:pPr>
            <w:r w:rsidRPr="008174E3">
              <w:rPr>
                <w:rFonts w:ascii="Arial" w:hAnsi="Arial" w:cs="Arial"/>
                <w:color w:val="000000"/>
                <w:sz w:val="18"/>
                <w:szCs w:val="20"/>
              </w:rPr>
              <w:t>20</w:t>
            </w:r>
            <w:r w:rsidR="00B85737" w:rsidRPr="008174E3">
              <w:rPr>
                <w:rFonts w:ascii="Arial" w:hAnsi="Arial" w:cs="Arial"/>
                <w:color w:val="000000"/>
                <w:sz w:val="18"/>
                <w:szCs w:val="20"/>
              </w:rPr>
              <w:t>,</w:t>
            </w:r>
            <w:r w:rsidRPr="008174E3">
              <w:rPr>
                <w:rFonts w:ascii="Arial" w:hAnsi="Arial" w:cs="Arial"/>
                <w:color w:val="000000"/>
                <w:sz w:val="18"/>
                <w:szCs w:val="20"/>
              </w:rPr>
              <w:t>4% de un SM + 1</w:t>
            </w:r>
            <w:r w:rsidR="00B85737" w:rsidRPr="008174E3">
              <w:rPr>
                <w:rFonts w:ascii="Arial" w:hAnsi="Arial" w:cs="Arial"/>
                <w:color w:val="000000"/>
                <w:sz w:val="18"/>
                <w:szCs w:val="20"/>
              </w:rPr>
              <w:t>,</w:t>
            </w:r>
            <w:r w:rsidRPr="008174E3">
              <w:rPr>
                <w:rFonts w:ascii="Arial" w:hAnsi="Arial" w:cs="Arial"/>
                <w:color w:val="000000"/>
                <w:sz w:val="18"/>
                <w:szCs w:val="20"/>
              </w:rPr>
              <w:t>75 del SM</w:t>
            </w:r>
          </w:p>
        </w:tc>
        <w:tc>
          <w:tcPr>
            <w:tcW w:w="2255" w:type="dxa"/>
            <w:tcBorders>
              <w:top w:val="nil"/>
              <w:left w:val="nil"/>
              <w:bottom w:val="nil"/>
              <w:right w:val="nil"/>
            </w:tcBorders>
            <w:shd w:val="clear" w:color="000000" w:fill="FFFFFF"/>
            <w:noWrap/>
            <w:vAlign w:val="bottom"/>
            <w:hideMark/>
          </w:tcPr>
          <w:p w14:paraId="4BEDD2DE" w14:textId="75F16ABE" w:rsidR="00B7647C" w:rsidRPr="008174E3" w:rsidRDefault="00B7647C" w:rsidP="00B7647C">
            <w:pPr>
              <w:jc w:val="right"/>
              <w:rPr>
                <w:rFonts w:ascii="Arial" w:hAnsi="Arial" w:cs="Arial"/>
                <w:color w:val="000000"/>
                <w:sz w:val="18"/>
                <w:szCs w:val="20"/>
              </w:rPr>
            </w:pPr>
            <w:r w:rsidRPr="008174E3">
              <w:rPr>
                <w:rFonts w:ascii="Arial" w:hAnsi="Arial" w:cs="Arial"/>
                <w:color w:val="000000"/>
                <w:sz w:val="18"/>
                <w:szCs w:val="20"/>
              </w:rPr>
              <w:t>9</w:t>
            </w:r>
            <w:r w:rsidR="00B85737" w:rsidRPr="008174E3">
              <w:rPr>
                <w:rFonts w:ascii="Arial" w:hAnsi="Arial" w:cs="Arial"/>
                <w:color w:val="000000"/>
                <w:sz w:val="18"/>
                <w:szCs w:val="20"/>
              </w:rPr>
              <w:t>,</w:t>
            </w:r>
            <w:r w:rsidRPr="008174E3">
              <w:rPr>
                <w:rFonts w:ascii="Arial" w:hAnsi="Arial" w:cs="Arial"/>
                <w:color w:val="000000"/>
                <w:sz w:val="18"/>
                <w:szCs w:val="20"/>
              </w:rPr>
              <w:t>03%</w:t>
            </w:r>
          </w:p>
        </w:tc>
      </w:tr>
      <w:tr w:rsidR="00B7647C" w:rsidRPr="008174E3" w14:paraId="3871624B" w14:textId="77777777" w:rsidTr="00B7647C">
        <w:trPr>
          <w:trHeight w:val="285"/>
          <w:jc w:val="center"/>
        </w:trPr>
        <w:tc>
          <w:tcPr>
            <w:tcW w:w="4185" w:type="dxa"/>
            <w:tcBorders>
              <w:top w:val="nil"/>
              <w:left w:val="nil"/>
              <w:bottom w:val="nil"/>
              <w:right w:val="nil"/>
            </w:tcBorders>
            <w:shd w:val="clear" w:color="000000" w:fill="FFFFFF"/>
            <w:noWrap/>
            <w:vAlign w:val="bottom"/>
            <w:hideMark/>
          </w:tcPr>
          <w:p w14:paraId="338B4FE9" w14:textId="77777777" w:rsidR="00B7647C" w:rsidRPr="008174E3" w:rsidRDefault="00B7647C" w:rsidP="00B7647C">
            <w:pPr>
              <w:rPr>
                <w:rFonts w:ascii="Arial" w:hAnsi="Arial" w:cs="Arial"/>
                <w:color w:val="000000"/>
                <w:sz w:val="18"/>
                <w:szCs w:val="20"/>
              </w:rPr>
            </w:pPr>
            <w:r w:rsidRPr="008174E3">
              <w:rPr>
                <w:rFonts w:ascii="Arial" w:hAnsi="Arial" w:cs="Arial"/>
                <w:color w:val="000000"/>
                <w:sz w:val="18"/>
                <w:szCs w:val="20"/>
              </w:rPr>
              <w:t>Por discapacidad y seguro de vida</w:t>
            </w:r>
          </w:p>
        </w:tc>
        <w:tc>
          <w:tcPr>
            <w:tcW w:w="3020" w:type="dxa"/>
            <w:tcBorders>
              <w:top w:val="nil"/>
              <w:left w:val="nil"/>
              <w:bottom w:val="nil"/>
              <w:right w:val="nil"/>
            </w:tcBorders>
            <w:shd w:val="clear" w:color="000000" w:fill="FFFFFF"/>
            <w:noWrap/>
            <w:vAlign w:val="bottom"/>
            <w:hideMark/>
          </w:tcPr>
          <w:p w14:paraId="02856BCC" w14:textId="4E0AD570" w:rsidR="00B7647C" w:rsidRPr="008174E3" w:rsidRDefault="00B7647C" w:rsidP="00B7647C">
            <w:pPr>
              <w:jc w:val="right"/>
              <w:rPr>
                <w:rFonts w:ascii="Arial" w:hAnsi="Arial" w:cs="Arial"/>
                <w:color w:val="000000"/>
                <w:sz w:val="18"/>
                <w:szCs w:val="20"/>
              </w:rPr>
            </w:pPr>
            <w:r w:rsidRPr="008174E3">
              <w:rPr>
                <w:rFonts w:ascii="Arial" w:hAnsi="Arial" w:cs="Arial"/>
                <w:color w:val="000000"/>
                <w:sz w:val="18"/>
                <w:szCs w:val="20"/>
              </w:rPr>
              <w:t>1</w:t>
            </w:r>
            <w:r w:rsidR="00B85737" w:rsidRPr="008174E3">
              <w:rPr>
                <w:rFonts w:ascii="Arial" w:hAnsi="Arial" w:cs="Arial"/>
                <w:color w:val="000000"/>
                <w:sz w:val="18"/>
                <w:szCs w:val="20"/>
              </w:rPr>
              <w:t>,</w:t>
            </w:r>
            <w:r w:rsidRPr="008174E3">
              <w:rPr>
                <w:rFonts w:ascii="Arial" w:hAnsi="Arial" w:cs="Arial"/>
                <w:color w:val="000000"/>
                <w:sz w:val="18"/>
                <w:szCs w:val="20"/>
              </w:rPr>
              <w:t>75% del SR</w:t>
            </w:r>
          </w:p>
        </w:tc>
        <w:tc>
          <w:tcPr>
            <w:tcW w:w="2255" w:type="dxa"/>
            <w:tcBorders>
              <w:top w:val="nil"/>
              <w:left w:val="nil"/>
              <w:bottom w:val="nil"/>
              <w:right w:val="nil"/>
            </w:tcBorders>
            <w:shd w:val="clear" w:color="000000" w:fill="FFFFFF"/>
            <w:noWrap/>
            <w:vAlign w:val="bottom"/>
            <w:hideMark/>
          </w:tcPr>
          <w:p w14:paraId="538535E5" w14:textId="0903516C" w:rsidR="00B7647C" w:rsidRPr="008174E3" w:rsidRDefault="00B7647C" w:rsidP="00B7647C">
            <w:pPr>
              <w:jc w:val="right"/>
              <w:rPr>
                <w:rFonts w:ascii="Arial" w:hAnsi="Arial" w:cs="Arial"/>
                <w:color w:val="000000"/>
                <w:sz w:val="18"/>
                <w:szCs w:val="20"/>
              </w:rPr>
            </w:pPr>
            <w:r w:rsidRPr="008174E3">
              <w:rPr>
                <w:rFonts w:ascii="Arial" w:hAnsi="Arial" w:cs="Arial"/>
                <w:color w:val="000000"/>
                <w:sz w:val="18"/>
                <w:szCs w:val="20"/>
              </w:rPr>
              <w:t>1</w:t>
            </w:r>
            <w:r w:rsidR="00B85737" w:rsidRPr="008174E3">
              <w:rPr>
                <w:rFonts w:ascii="Arial" w:hAnsi="Arial" w:cs="Arial"/>
                <w:color w:val="000000"/>
                <w:sz w:val="18"/>
                <w:szCs w:val="20"/>
              </w:rPr>
              <w:t>,</w:t>
            </w:r>
            <w:r w:rsidRPr="008174E3">
              <w:rPr>
                <w:rFonts w:ascii="Arial" w:hAnsi="Arial" w:cs="Arial"/>
                <w:color w:val="000000"/>
                <w:sz w:val="18"/>
                <w:szCs w:val="20"/>
              </w:rPr>
              <w:t>75%</w:t>
            </w:r>
          </w:p>
        </w:tc>
      </w:tr>
      <w:tr w:rsidR="00B7647C" w:rsidRPr="008174E3" w14:paraId="33414940" w14:textId="77777777" w:rsidTr="00B7647C">
        <w:trPr>
          <w:trHeight w:val="285"/>
          <w:jc w:val="center"/>
        </w:trPr>
        <w:tc>
          <w:tcPr>
            <w:tcW w:w="4185" w:type="dxa"/>
            <w:tcBorders>
              <w:top w:val="nil"/>
              <w:left w:val="nil"/>
              <w:bottom w:val="nil"/>
              <w:right w:val="nil"/>
            </w:tcBorders>
            <w:shd w:val="clear" w:color="000000" w:fill="FFFFFF"/>
            <w:noWrap/>
            <w:vAlign w:val="bottom"/>
            <w:hideMark/>
          </w:tcPr>
          <w:p w14:paraId="70D4A864" w14:textId="4A99A73A" w:rsidR="00B7647C" w:rsidRPr="008174E3" w:rsidRDefault="00757583" w:rsidP="00B7647C">
            <w:pPr>
              <w:rPr>
                <w:rFonts w:ascii="Arial" w:hAnsi="Arial" w:cs="Arial"/>
                <w:color w:val="000000"/>
                <w:sz w:val="18"/>
                <w:szCs w:val="20"/>
              </w:rPr>
            </w:pPr>
            <w:r w:rsidRPr="008174E3">
              <w:rPr>
                <w:rFonts w:ascii="Arial" w:hAnsi="Arial" w:cs="Arial"/>
                <w:color w:val="000000"/>
                <w:sz w:val="18"/>
                <w:szCs w:val="20"/>
              </w:rPr>
              <w:t>Para servicios sociales y guardería</w:t>
            </w:r>
            <w:r w:rsidR="00B7647C" w:rsidRPr="008174E3">
              <w:rPr>
                <w:rFonts w:ascii="Arial" w:hAnsi="Arial" w:cs="Arial"/>
                <w:color w:val="000000"/>
                <w:sz w:val="18"/>
                <w:szCs w:val="20"/>
              </w:rPr>
              <w:t xml:space="preserve"> </w:t>
            </w:r>
          </w:p>
        </w:tc>
        <w:tc>
          <w:tcPr>
            <w:tcW w:w="3020" w:type="dxa"/>
            <w:tcBorders>
              <w:top w:val="nil"/>
              <w:left w:val="nil"/>
              <w:bottom w:val="nil"/>
              <w:right w:val="nil"/>
            </w:tcBorders>
            <w:shd w:val="clear" w:color="000000" w:fill="FFFFFF"/>
            <w:noWrap/>
            <w:vAlign w:val="bottom"/>
            <w:hideMark/>
          </w:tcPr>
          <w:p w14:paraId="294CF9AB" w14:textId="77777777" w:rsidR="00B7647C" w:rsidRPr="008174E3" w:rsidRDefault="00B7647C" w:rsidP="00B7647C">
            <w:pPr>
              <w:jc w:val="right"/>
              <w:rPr>
                <w:rFonts w:ascii="Arial" w:hAnsi="Arial" w:cs="Arial"/>
                <w:color w:val="000000"/>
                <w:sz w:val="18"/>
                <w:szCs w:val="20"/>
              </w:rPr>
            </w:pPr>
            <w:r w:rsidRPr="008174E3">
              <w:rPr>
                <w:rFonts w:ascii="Arial" w:hAnsi="Arial" w:cs="Arial"/>
                <w:color w:val="000000"/>
                <w:sz w:val="18"/>
                <w:szCs w:val="20"/>
              </w:rPr>
              <w:t>1% del SR</w:t>
            </w:r>
          </w:p>
        </w:tc>
        <w:tc>
          <w:tcPr>
            <w:tcW w:w="2255" w:type="dxa"/>
            <w:tcBorders>
              <w:top w:val="nil"/>
              <w:left w:val="nil"/>
              <w:bottom w:val="nil"/>
              <w:right w:val="nil"/>
            </w:tcBorders>
            <w:shd w:val="clear" w:color="000000" w:fill="FFFFFF"/>
            <w:noWrap/>
            <w:vAlign w:val="bottom"/>
            <w:hideMark/>
          </w:tcPr>
          <w:p w14:paraId="0912D9FC" w14:textId="0B7C7261" w:rsidR="00B7647C" w:rsidRPr="008174E3" w:rsidRDefault="00B85737" w:rsidP="00B7647C">
            <w:pPr>
              <w:jc w:val="right"/>
              <w:rPr>
                <w:rFonts w:ascii="Arial" w:hAnsi="Arial" w:cs="Arial"/>
                <w:color w:val="000000"/>
                <w:sz w:val="18"/>
                <w:szCs w:val="20"/>
              </w:rPr>
            </w:pPr>
            <w:r w:rsidRPr="008174E3">
              <w:rPr>
                <w:rFonts w:ascii="Arial" w:hAnsi="Arial" w:cs="Arial"/>
                <w:color w:val="000000"/>
                <w:sz w:val="18"/>
                <w:szCs w:val="20"/>
              </w:rPr>
              <w:t>1,</w:t>
            </w:r>
            <w:r w:rsidR="00B7647C" w:rsidRPr="008174E3">
              <w:rPr>
                <w:rFonts w:ascii="Arial" w:hAnsi="Arial" w:cs="Arial"/>
                <w:color w:val="000000"/>
                <w:sz w:val="18"/>
                <w:szCs w:val="20"/>
              </w:rPr>
              <w:t>00%</w:t>
            </w:r>
          </w:p>
        </w:tc>
      </w:tr>
      <w:tr w:rsidR="00B7647C" w:rsidRPr="008174E3" w14:paraId="5CBAA8F1" w14:textId="77777777" w:rsidTr="00B7647C">
        <w:trPr>
          <w:trHeight w:val="285"/>
          <w:jc w:val="center"/>
        </w:trPr>
        <w:tc>
          <w:tcPr>
            <w:tcW w:w="4185" w:type="dxa"/>
            <w:tcBorders>
              <w:top w:val="nil"/>
              <w:left w:val="nil"/>
              <w:bottom w:val="single" w:sz="4" w:space="0" w:color="auto"/>
              <w:right w:val="nil"/>
            </w:tcBorders>
            <w:shd w:val="clear" w:color="000000" w:fill="FFFFFF"/>
            <w:noWrap/>
            <w:vAlign w:val="bottom"/>
            <w:hideMark/>
          </w:tcPr>
          <w:p w14:paraId="6AA3F8A2" w14:textId="77777777" w:rsidR="00B7647C" w:rsidRPr="008174E3" w:rsidRDefault="00B7647C" w:rsidP="00B7647C">
            <w:pPr>
              <w:rPr>
                <w:rFonts w:ascii="Arial" w:hAnsi="Arial" w:cs="Arial"/>
                <w:color w:val="000000"/>
                <w:sz w:val="18"/>
                <w:szCs w:val="20"/>
              </w:rPr>
            </w:pPr>
            <w:r w:rsidRPr="008174E3">
              <w:rPr>
                <w:rFonts w:ascii="Arial" w:hAnsi="Arial" w:cs="Arial"/>
                <w:color w:val="000000"/>
                <w:sz w:val="18"/>
                <w:szCs w:val="20"/>
              </w:rPr>
              <w:t>Para el seguro de accidentes de los empelados</w:t>
            </w:r>
          </w:p>
        </w:tc>
        <w:tc>
          <w:tcPr>
            <w:tcW w:w="3020" w:type="dxa"/>
            <w:tcBorders>
              <w:top w:val="nil"/>
              <w:left w:val="nil"/>
              <w:bottom w:val="single" w:sz="4" w:space="0" w:color="auto"/>
              <w:right w:val="nil"/>
            </w:tcBorders>
            <w:shd w:val="clear" w:color="000000" w:fill="FFFFFF"/>
            <w:noWrap/>
            <w:vAlign w:val="bottom"/>
            <w:hideMark/>
          </w:tcPr>
          <w:p w14:paraId="2F865DA2" w14:textId="77777777" w:rsidR="00B7647C" w:rsidRPr="008174E3" w:rsidRDefault="00B7647C" w:rsidP="00B7647C">
            <w:pPr>
              <w:jc w:val="right"/>
              <w:rPr>
                <w:rFonts w:ascii="Arial" w:hAnsi="Arial" w:cs="Arial"/>
                <w:color w:val="000000"/>
                <w:sz w:val="18"/>
                <w:szCs w:val="20"/>
              </w:rPr>
            </w:pPr>
            <w:r w:rsidRPr="008174E3">
              <w:rPr>
                <w:rFonts w:ascii="Arial" w:hAnsi="Arial" w:cs="Arial"/>
                <w:color w:val="000000"/>
                <w:sz w:val="18"/>
                <w:szCs w:val="20"/>
              </w:rPr>
              <w:t>2% del SR</w:t>
            </w:r>
          </w:p>
        </w:tc>
        <w:tc>
          <w:tcPr>
            <w:tcW w:w="2255" w:type="dxa"/>
            <w:tcBorders>
              <w:top w:val="nil"/>
              <w:left w:val="nil"/>
              <w:bottom w:val="single" w:sz="4" w:space="0" w:color="auto"/>
              <w:right w:val="nil"/>
            </w:tcBorders>
            <w:shd w:val="clear" w:color="000000" w:fill="FFFFFF"/>
            <w:noWrap/>
            <w:vAlign w:val="bottom"/>
            <w:hideMark/>
          </w:tcPr>
          <w:p w14:paraId="50C2D037" w14:textId="769F7881" w:rsidR="00B7647C" w:rsidRPr="008174E3" w:rsidRDefault="00B85737" w:rsidP="00B7647C">
            <w:pPr>
              <w:jc w:val="right"/>
              <w:rPr>
                <w:rFonts w:ascii="Arial" w:hAnsi="Arial" w:cs="Arial"/>
                <w:color w:val="000000"/>
                <w:sz w:val="18"/>
                <w:szCs w:val="20"/>
              </w:rPr>
            </w:pPr>
            <w:r w:rsidRPr="008174E3">
              <w:rPr>
                <w:rFonts w:ascii="Arial" w:hAnsi="Arial" w:cs="Arial"/>
                <w:color w:val="000000"/>
                <w:sz w:val="18"/>
                <w:szCs w:val="20"/>
              </w:rPr>
              <w:t>2,</w:t>
            </w:r>
            <w:r w:rsidR="00B7647C" w:rsidRPr="008174E3">
              <w:rPr>
                <w:rFonts w:ascii="Arial" w:hAnsi="Arial" w:cs="Arial"/>
                <w:color w:val="000000"/>
                <w:sz w:val="18"/>
                <w:szCs w:val="20"/>
              </w:rPr>
              <w:t>00%</w:t>
            </w:r>
          </w:p>
        </w:tc>
      </w:tr>
      <w:tr w:rsidR="00B7647C" w:rsidRPr="008174E3" w14:paraId="38168F1E" w14:textId="77777777" w:rsidTr="00B7647C">
        <w:trPr>
          <w:trHeight w:val="285"/>
          <w:jc w:val="center"/>
        </w:trPr>
        <w:tc>
          <w:tcPr>
            <w:tcW w:w="9460" w:type="dxa"/>
            <w:gridSpan w:val="3"/>
            <w:tcBorders>
              <w:top w:val="single" w:sz="4" w:space="0" w:color="auto"/>
              <w:left w:val="nil"/>
              <w:bottom w:val="single" w:sz="4" w:space="0" w:color="auto"/>
              <w:right w:val="nil"/>
            </w:tcBorders>
            <w:shd w:val="clear" w:color="000000" w:fill="DDEBF7"/>
            <w:noWrap/>
            <w:vAlign w:val="bottom"/>
            <w:hideMark/>
          </w:tcPr>
          <w:p w14:paraId="7FF01304" w14:textId="77777777" w:rsidR="00B7647C" w:rsidRPr="008174E3" w:rsidRDefault="00B7647C" w:rsidP="00B7647C">
            <w:pPr>
              <w:rPr>
                <w:rFonts w:ascii="Arial" w:hAnsi="Arial" w:cs="Arial"/>
                <w:b/>
                <w:bCs/>
                <w:color w:val="000000"/>
                <w:sz w:val="18"/>
                <w:szCs w:val="20"/>
              </w:rPr>
            </w:pPr>
            <w:r w:rsidRPr="008174E3">
              <w:rPr>
                <w:rFonts w:ascii="Arial" w:hAnsi="Arial" w:cs="Arial"/>
                <w:b/>
                <w:bCs/>
                <w:color w:val="000000"/>
                <w:sz w:val="18"/>
                <w:szCs w:val="20"/>
              </w:rPr>
              <w:t>Seguridad Social de Largo Plazo</w:t>
            </w:r>
          </w:p>
        </w:tc>
      </w:tr>
      <w:tr w:rsidR="00B7647C" w:rsidRPr="008174E3" w14:paraId="20B94E13" w14:textId="77777777" w:rsidTr="00B7647C">
        <w:trPr>
          <w:trHeight w:val="285"/>
          <w:jc w:val="center"/>
        </w:trPr>
        <w:tc>
          <w:tcPr>
            <w:tcW w:w="4185" w:type="dxa"/>
            <w:tcBorders>
              <w:top w:val="nil"/>
              <w:left w:val="nil"/>
              <w:bottom w:val="nil"/>
              <w:right w:val="nil"/>
            </w:tcBorders>
            <w:shd w:val="clear" w:color="000000" w:fill="FFFFFF"/>
            <w:noWrap/>
            <w:vAlign w:val="bottom"/>
            <w:hideMark/>
          </w:tcPr>
          <w:p w14:paraId="547D45BE" w14:textId="77777777" w:rsidR="00B7647C" w:rsidRPr="008174E3" w:rsidRDefault="00B7647C" w:rsidP="00B7647C">
            <w:pPr>
              <w:rPr>
                <w:rFonts w:ascii="Arial" w:hAnsi="Arial" w:cs="Arial"/>
                <w:color w:val="000000"/>
                <w:sz w:val="18"/>
                <w:szCs w:val="20"/>
              </w:rPr>
            </w:pPr>
            <w:r w:rsidRPr="008174E3">
              <w:rPr>
                <w:rFonts w:ascii="Arial" w:hAnsi="Arial" w:cs="Arial"/>
                <w:color w:val="000000"/>
                <w:sz w:val="18"/>
                <w:szCs w:val="20"/>
              </w:rPr>
              <w:t xml:space="preserve">Retiro </w:t>
            </w:r>
          </w:p>
        </w:tc>
        <w:tc>
          <w:tcPr>
            <w:tcW w:w="3020" w:type="dxa"/>
            <w:tcBorders>
              <w:top w:val="nil"/>
              <w:left w:val="nil"/>
              <w:bottom w:val="nil"/>
              <w:right w:val="nil"/>
            </w:tcBorders>
            <w:shd w:val="clear" w:color="000000" w:fill="FFFFFF"/>
            <w:noWrap/>
            <w:vAlign w:val="bottom"/>
            <w:hideMark/>
          </w:tcPr>
          <w:p w14:paraId="64E96DAD" w14:textId="77777777" w:rsidR="00B7647C" w:rsidRPr="008174E3" w:rsidRDefault="00B7647C" w:rsidP="00B7647C">
            <w:pPr>
              <w:jc w:val="right"/>
              <w:rPr>
                <w:rFonts w:ascii="Arial" w:hAnsi="Arial" w:cs="Arial"/>
                <w:color w:val="000000"/>
                <w:sz w:val="18"/>
                <w:szCs w:val="20"/>
              </w:rPr>
            </w:pPr>
            <w:r w:rsidRPr="008174E3">
              <w:rPr>
                <w:rFonts w:ascii="Arial" w:hAnsi="Arial" w:cs="Arial"/>
                <w:color w:val="000000"/>
                <w:sz w:val="18"/>
                <w:szCs w:val="20"/>
              </w:rPr>
              <w:t>2% del SR</w:t>
            </w:r>
          </w:p>
        </w:tc>
        <w:tc>
          <w:tcPr>
            <w:tcW w:w="2255" w:type="dxa"/>
            <w:tcBorders>
              <w:top w:val="nil"/>
              <w:left w:val="nil"/>
              <w:bottom w:val="nil"/>
              <w:right w:val="nil"/>
            </w:tcBorders>
            <w:shd w:val="clear" w:color="000000" w:fill="FFFFFF"/>
            <w:noWrap/>
            <w:vAlign w:val="bottom"/>
            <w:hideMark/>
          </w:tcPr>
          <w:p w14:paraId="6A217603" w14:textId="0979B0FE" w:rsidR="00B7647C" w:rsidRPr="008174E3" w:rsidRDefault="00B85737" w:rsidP="00B7647C">
            <w:pPr>
              <w:jc w:val="right"/>
              <w:rPr>
                <w:rFonts w:ascii="Arial" w:hAnsi="Arial" w:cs="Arial"/>
                <w:color w:val="000000"/>
                <w:sz w:val="18"/>
                <w:szCs w:val="20"/>
              </w:rPr>
            </w:pPr>
            <w:r w:rsidRPr="008174E3">
              <w:rPr>
                <w:rFonts w:ascii="Arial" w:hAnsi="Arial" w:cs="Arial"/>
                <w:color w:val="000000"/>
                <w:sz w:val="18"/>
                <w:szCs w:val="20"/>
              </w:rPr>
              <w:t>2,</w:t>
            </w:r>
            <w:r w:rsidR="00B7647C" w:rsidRPr="008174E3">
              <w:rPr>
                <w:rFonts w:ascii="Arial" w:hAnsi="Arial" w:cs="Arial"/>
                <w:color w:val="000000"/>
                <w:sz w:val="18"/>
                <w:szCs w:val="20"/>
              </w:rPr>
              <w:t>00%</w:t>
            </w:r>
          </w:p>
        </w:tc>
      </w:tr>
      <w:tr w:rsidR="00B7647C" w:rsidRPr="008174E3" w14:paraId="21366CE1" w14:textId="77777777" w:rsidTr="00B7647C">
        <w:trPr>
          <w:trHeight w:val="285"/>
          <w:jc w:val="center"/>
        </w:trPr>
        <w:tc>
          <w:tcPr>
            <w:tcW w:w="4185" w:type="dxa"/>
            <w:tcBorders>
              <w:top w:val="nil"/>
              <w:left w:val="nil"/>
              <w:bottom w:val="nil"/>
              <w:right w:val="nil"/>
            </w:tcBorders>
            <w:shd w:val="clear" w:color="000000" w:fill="FFFFFF"/>
            <w:noWrap/>
            <w:vAlign w:val="bottom"/>
            <w:hideMark/>
          </w:tcPr>
          <w:p w14:paraId="7FF4E17A" w14:textId="77777777" w:rsidR="00B7647C" w:rsidRPr="008174E3" w:rsidRDefault="00B7647C" w:rsidP="00B7647C">
            <w:pPr>
              <w:rPr>
                <w:rFonts w:ascii="Arial" w:hAnsi="Arial" w:cs="Arial"/>
                <w:color w:val="000000"/>
                <w:sz w:val="18"/>
                <w:szCs w:val="20"/>
              </w:rPr>
            </w:pPr>
            <w:r w:rsidRPr="008174E3">
              <w:rPr>
                <w:rFonts w:ascii="Arial" w:hAnsi="Arial" w:cs="Arial"/>
                <w:color w:val="000000"/>
                <w:sz w:val="18"/>
                <w:szCs w:val="20"/>
              </w:rPr>
              <w:t>Seguro de vejez</w:t>
            </w:r>
          </w:p>
        </w:tc>
        <w:tc>
          <w:tcPr>
            <w:tcW w:w="3020" w:type="dxa"/>
            <w:tcBorders>
              <w:top w:val="nil"/>
              <w:left w:val="nil"/>
              <w:bottom w:val="nil"/>
              <w:right w:val="nil"/>
            </w:tcBorders>
            <w:shd w:val="clear" w:color="000000" w:fill="FFFFFF"/>
            <w:noWrap/>
            <w:vAlign w:val="bottom"/>
            <w:hideMark/>
          </w:tcPr>
          <w:p w14:paraId="707AF676" w14:textId="660AD103" w:rsidR="00B7647C" w:rsidRPr="008174E3" w:rsidRDefault="00B85737" w:rsidP="00B7647C">
            <w:pPr>
              <w:jc w:val="right"/>
              <w:rPr>
                <w:rFonts w:ascii="Arial" w:hAnsi="Arial" w:cs="Arial"/>
                <w:color w:val="000000"/>
                <w:sz w:val="18"/>
                <w:szCs w:val="20"/>
              </w:rPr>
            </w:pPr>
            <w:r w:rsidRPr="008174E3">
              <w:rPr>
                <w:rFonts w:ascii="Arial" w:hAnsi="Arial" w:cs="Arial"/>
                <w:color w:val="000000"/>
                <w:sz w:val="18"/>
                <w:szCs w:val="20"/>
              </w:rPr>
              <w:t>3,</w:t>
            </w:r>
            <w:r w:rsidR="00B7647C" w:rsidRPr="008174E3">
              <w:rPr>
                <w:rFonts w:ascii="Arial" w:hAnsi="Arial" w:cs="Arial"/>
                <w:color w:val="000000"/>
                <w:sz w:val="18"/>
                <w:szCs w:val="20"/>
              </w:rPr>
              <w:t>15% del SR</w:t>
            </w:r>
          </w:p>
        </w:tc>
        <w:tc>
          <w:tcPr>
            <w:tcW w:w="2255" w:type="dxa"/>
            <w:tcBorders>
              <w:top w:val="nil"/>
              <w:left w:val="nil"/>
              <w:bottom w:val="nil"/>
              <w:right w:val="nil"/>
            </w:tcBorders>
            <w:shd w:val="clear" w:color="000000" w:fill="FFFFFF"/>
            <w:noWrap/>
            <w:vAlign w:val="bottom"/>
            <w:hideMark/>
          </w:tcPr>
          <w:p w14:paraId="384DF17F" w14:textId="0AA2DA74" w:rsidR="00B7647C" w:rsidRPr="008174E3" w:rsidRDefault="00B85737" w:rsidP="00B7647C">
            <w:pPr>
              <w:jc w:val="right"/>
              <w:rPr>
                <w:rFonts w:ascii="Arial" w:hAnsi="Arial" w:cs="Arial"/>
                <w:color w:val="000000"/>
                <w:sz w:val="18"/>
                <w:szCs w:val="20"/>
              </w:rPr>
            </w:pPr>
            <w:r w:rsidRPr="008174E3">
              <w:rPr>
                <w:rFonts w:ascii="Arial" w:hAnsi="Arial" w:cs="Arial"/>
                <w:color w:val="000000"/>
                <w:sz w:val="18"/>
                <w:szCs w:val="20"/>
              </w:rPr>
              <w:t>3,</w:t>
            </w:r>
            <w:r w:rsidR="00B7647C" w:rsidRPr="008174E3">
              <w:rPr>
                <w:rFonts w:ascii="Arial" w:hAnsi="Arial" w:cs="Arial"/>
                <w:color w:val="000000"/>
                <w:sz w:val="18"/>
                <w:szCs w:val="20"/>
              </w:rPr>
              <w:t>15%</w:t>
            </w:r>
          </w:p>
        </w:tc>
      </w:tr>
      <w:tr w:rsidR="00B7647C" w:rsidRPr="008174E3" w14:paraId="3713F078" w14:textId="77777777" w:rsidTr="00B7647C">
        <w:trPr>
          <w:trHeight w:val="285"/>
          <w:jc w:val="center"/>
        </w:trPr>
        <w:tc>
          <w:tcPr>
            <w:tcW w:w="4185" w:type="dxa"/>
            <w:tcBorders>
              <w:top w:val="nil"/>
              <w:left w:val="nil"/>
              <w:bottom w:val="single" w:sz="4" w:space="0" w:color="auto"/>
              <w:right w:val="nil"/>
            </w:tcBorders>
            <w:shd w:val="clear" w:color="000000" w:fill="FFFFFF"/>
            <w:noWrap/>
            <w:vAlign w:val="bottom"/>
            <w:hideMark/>
          </w:tcPr>
          <w:p w14:paraId="3FFBC21D" w14:textId="77777777" w:rsidR="00B7647C" w:rsidRPr="008174E3" w:rsidRDefault="00B7647C" w:rsidP="00B7647C">
            <w:pPr>
              <w:rPr>
                <w:rFonts w:ascii="Arial" w:hAnsi="Arial" w:cs="Arial"/>
                <w:color w:val="000000"/>
                <w:sz w:val="18"/>
                <w:szCs w:val="20"/>
              </w:rPr>
            </w:pPr>
            <w:r w:rsidRPr="008174E3">
              <w:rPr>
                <w:rFonts w:ascii="Arial" w:hAnsi="Arial" w:cs="Arial"/>
                <w:color w:val="000000"/>
                <w:sz w:val="18"/>
                <w:szCs w:val="20"/>
              </w:rPr>
              <w:t>Fondo de Vivienda (INFONAVIT)</w:t>
            </w:r>
          </w:p>
        </w:tc>
        <w:tc>
          <w:tcPr>
            <w:tcW w:w="3020" w:type="dxa"/>
            <w:tcBorders>
              <w:top w:val="nil"/>
              <w:left w:val="nil"/>
              <w:bottom w:val="single" w:sz="4" w:space="0" w:color="auto"/>
              <w:right w:val="nil"/>
            </w:tcBorders>
            <w:shd w:val="clear" w:color="000000" w:fill="FFFFFF"/>
            <w:noWrap/>
            <w:vAlign w:val="bottom"/>
            <w:hideMark/>
          </w:tcPr>
          <w:p w14:paraId="3852AC3A" w14:textId="77777777" w:rsidR="00B7647C" w:rsidRPr="008174E3" w:rsidRDefault="00B7647C" w:rsidP="00B7647C">
            <w:pPr>
              <w:jc w:val="right"/>
              <w:rPr>
                <w:rFonts w:ascii="Arial" w:hAnsi="Arial" w:cs="Arial"/>
                <w:color w:val="000000"/>
                <w:sz w:val="18"/>
                <w:szCs w:val="20"/>
              </w:rPr>
            </w:pPr>
            <w:r w:rsidRPr="008174E3">
              <w:rPr>
                <w:rFonts w:ascii="Arial" w:hAnsi="Arial" w:cs="Arial"/>
                <w:color w:val="000000"/>
                <w:sz w:val="18"/>
                <w:szCs w:val="20"/>
              </w:rPr>
              <w:t>5% del SR</w:t>
            </w:r>
          </w:p>
        </w:tc>
        <w:tc>
          <w:tcPr>
            <w:tcW w:w="2255" w:type="dxa"/>
            <w:tcBorders>
              <w:top w:val="nil"/>
              <w:left w:val="nil"/>
              <w:bottom w:val="single" w:sz="4" w:space="0" w:color="auto"/>
              <w:right w:val="nil"/>
            </w:tcBorders>
            <w:shd w:val="clear" w:color="000000" w:fill="FFFFFF"/>
            <w:noWrap/>
            <w:vAlign w:val="bottom"/>
            <w:hideMark/>
          </w:tcPr>
          <w:p w14:paraId="56A5F0CE" w14:textId="2691FDE2" w:rsidR="00B7647C" w:rsidRPr="008174E3" w:rsidRDefault="00B85737" w:rsidP="00B7647C">
            <w:pPr>
              <w:jc w:val="right"/>
              <w:rPr>
                <w:rFonts w:ascii="Arial" w:hAnsi="Arial" w:cs="Arial"/>
                <w:color w:val="000000"/>
                <w:sz w:val="18"/>
                <w:szCs w:val="20"/>
              </w:rPr>
            </w:pPr>
            <w:r w:rsidRPr="008174E3">
              <w:rPr>
                <w:rFonts w:ascii="Arial" w:hAnsi="Arial" w:cs="Arial"/>
                <w:color w:val="000000"/>
                <w:sz w:val="18"/>
                <w:szCs w:val="20"/>
              </w:rPr>
              <w:t>5,</w:t>
            </w:r>
            <w:r w:rsidR="00B7647C" w:rsidRPr="008174E3">
              <w:rPr>
                <w:rFonts w:ascii="Arial" w:hAnsi="Arial" w:cs="Arial"/>
                <w:color w:val="000000"/>
                <w:sz w:val="18"/>
                <w:szCs w:val="20"/>
              </w:rPr>
              <w:t>00%</w:t>
            </w:r>
          </w:p>
        </w:tc>
      </w:tr>
      <w:tr w:rsidR="00B7647C" w:rsidRPr="008174E3" w14:paraId="6FAA5D4F" w14:textId="77777777" w:rsidTr="00B7647C">
        <w:trPr>
          <w:trHeight w:val="285"/>
          <w:jc w:val="center"/>
        </w:trPr>
        <w:tc>
          <w:tcPr>
            <w:tcW w:w="4185" w:type="dxa"/>
            <w:tcBorders>
              <w:top w:val="single" w:sz="4" w:space="0" w:color="auto"/>
              <w:left w:val="nil"/>
              <w:bottom w:val="single" w:sz="4" w:space="0" w:color="auto"/>
              <w:right w:val="nil"/>
            </w:tcBorders>
            <w:shd w:val="clear" w:color="000000" w:fill="DDEBF7"/>
            <w:noWrap/>
            <w:vAlign w:val="bottom"/>
            <w:hideMark/>
          </w:tcPr>
          <w:p w14:paraId="12FCF913" w14:textId="77777777" w:rsidR="00B7647C" w:rsidRPr="008174E3" w:rsidRDefault="00B7647C" w:rsidP="00B7647C">
            <w:pPr>
              <w:rPr>
                <w:rFonts w:ascii="Arial" w:hAnsi="Arial" w:cs="Arial"/>
                <w:b/>
                <w:bCs/>
                <w:color w:val="000000"/>
                <w:sz w:val="18"/>
                <w:szCs w:val="20"/>
              </w:rPr>
            </w:pPr>
            <w:r w:rsidRPr="008174E3">
              <w:rPr>
                <w:rFonts w:ascii="Arial" w:hAnsi="Arial" w:cs="Arial"/>
                <w:b/>
                <w:bCs/>
                <w:color w:val="000000"/>
                <w:sz w:val="18"/>
                <w:szCs w:val="20"/>
              </w:rPr>
              <w:t>Total</w:t>
            </w:r>
          </w:p>
        </w:tc>
        <w:tc>
          <w:tcPr>
            <w:tcW w:w="3020" w:type="dxa"/>
            <w:tcBorders>
              <w:top w:val="single" w:sz="4" w:space="0" w:color="auto"/>
              <w:left w:val="nil"/>
              <w:bottom w:val="single" w:sz="4" w:space="0" w:color="auto"/>
              <w:right w:val="nil"/>
            </w:tcBorders>
            <w:shd w:val="clear" w:color="000000" w:fill="DDEBF7"/>
            <w:noWrap/>
            <w:vAlign w:val="bottom"/>
            <w:hideMark/>
          </w:tcPr>
          <w:p w14:paraId="0DEBFA57" w14:textId="77777777" w:rsidR="00B7647C" w:rsidRPr="008174E3" w:rsidRDefault="00B7647C" w:rsidP="00B7647C">
            <w:pPr>
              <w:rPr>
                <w:rFonts w:ascii="Arial" w:hAnsi="Arial" w:cs="Arial"/>
                <w:b/>
                <w:bCs/>
                <w:color w:val="000000"/>
                <w:sz w:val="18"/>
                <w:szCs w:val="20"/>
              </w:rPr>
            </w:pPr>
          </w:p>
        </w:tc>
        <w:tc>
          <w:tcPr>
            <w:tcW w:w="2255" w:type="dxa"/>
            <w:tcBorders>
              <w:top w:val="single" w:sz="4" w:space="0" w:color="auto"/>
              <w:left w:val="nil"/>
              <w:bottom w:val="single" w:sz="4" w:space="0" w:color="auto"/>
              <w:right w:val="nil"/>
            </w:tcBorders>
            <w:shd w:val="clear" w:color="000000" w:fill="DDEBF7"/>
            <w:noWrap/>
            <w:vAlign w:val="bottom"/>
            <w:hideMark/>
          </w:tcPr>
          <w:p w14:paraId="30EF8411" w14:textId="41988330" w:rsidR="00B7647C" w:rsidRPr="008174E3" w:rsidRDefault="00B85737" w:rsidP="00B7647C">
            <w:pPr>
              <w:jc w:val="right"/>
              <w:rPr>
                <w:rFonts w:ascii="Arial" w:hAnsi="Arial" w:cs="Arial"/>
                <w:b/>
                <w:bCs/>
                <w:color w:val="000000"/>
                <w:sz w:val="18"/>
                <w:szCs w:val="20"/>
              </w:rPr>
            </w:pPr>
            <w:r w:rsidRPr="008174E3">
              <w:rPr>
                <w:rFonts w:ascii="Arial" w:hAnsi="Arial" w:cs="Arial"/>
                <w:b/>
                <w:bCs/>
                <w:color w:val="000000"/>
                <w:sz w:val="18"/>
                <w:szCs w:val="20"/>
              </w:rPr>
              <w:t>23,</w:t>
            </w:r>
            <w:r w:rsidR="00B7647C" w:rsidRPr="008174E3">
              <w:rPr>
                <w:rFonts w:ascii="Arial" w:hAnsi="Arial" w:cs="Arial"/>
                <w:b/>
                <w:bCs/>
                <w:color w:val="000000"/>
                <w:sz w:val="18"/>
                <w:szCs w:val="20"/>
              </w:rPr>
              <w:t>93%</w:t>
            </w:r>
          </w:p>
        </w:tc>
      </w:tr>
      <w:tr w:rsidR="00B7647C" w:rsidRPr="008174E3" w14:paraId="7820615A" w14:textId="77777777" w:rsidTr="00A3182C">
        <w:trPr>
          <w:trHeight w:val="254"/>
          <w:jc w:val="center"/>
        </w:trPr>
        <w:tc>
          <w:tcPr>
            <w:tcW w:w="9460" w:type="dxa"/>
            <w:gridSpan w:val="3"/>
            <w:tcBorders>
              <w:top w:val="single" w:sz="4" w:space="0" w:color="auto"/>
              <w:left w:val="nil"/>
              <w:bottom w:val="nil"/>
              <w:right w:val="nil"/>
            </w:tcBorders>
            <w:shd w:val="clear" w:color="000000" w:fill="FFFFFF"/>
            <w:vAlign w:val="bottom"/>
            <w:hideMark/>
          </w:tcPr>
          <w:p w14:paraId="75CA976F" w14:textId="71714608" w:rsidR="00B7647C" w:rsidRPr="008174E3" w:rsidRDefault="00B7647C" w:rsidP="00B7647C">
            <w:pPr>
              <w:rPr>
                <w:rFonts w:ascii="Arial" w:hAnsi="Arial" w:cs="Arial"/>
                <w:color w:val="000000"/>
                <w:sz w:val="16"/>
              </w:rPr>
            </w:pPr>
            <w:r w:rsidRPr="008174E3">
              <w:rPr>
                <w:rFonts w:ascii="Arial" w:hAnsi="Arial" w:cs="Arial"/>
                <w:color w:val="000000"/>
                <w:sz w:val="16"/>
              </w:rPr>
              <w:t xml:space="preserve">Nota: SM, </w:t>
            </w:r>
            <w:r w:rsidR="00757583" w:rsidRPr="008174E3">
              <w:rPr>
                <w:rFonts w:ascii="Arial" w:hAnsi="Arial" w:cs="Arial"/>
                <w:color w:val="000000"/>
                <w:sz w:val="16"/>
              </w:rPr>
              <w:t>Sal</w:t>
            </w:r>
            <w:r w:rsidR="00210B40" w:rsidRPr="008174E3">
              <w:rPr>
                <w:rFonts w:ascii="Arial" w:hAnsi="Arial" w:cs="Arial"/>
                <w:color w:val="000000"/>
                <w:sz w:val="16"/>
              </w:rPr>
              <w:t>a</w:t>
            </w:r>
            <w:r w:rsidR="00757583" w:rsidRPr="008174E3">
              <w:rPr>
                <w:rFonts w:ascii="Arial" w:hAnsi="Arial" w:cs="Arial"/>
                <w:color w:val="000000"/>
                <w:sz w:val="16"/>
              </w:rPr>
              <w:t>rio</w:t>
            </w:r>
            <w:r w:rsidRPr="008174E3">
              <w:rPr>
                <w:rFonts w:ascii="Arial" w:hAnsi="Arial" w:cs="Arial"/>
                <w:color w:val="000000"/>
                <w:sz w:val="16"/>
              </w:rPr>
              <w:t xml:space="preserve"> Mínimo</w:t>
            </w:r>
            <w:r w:rsidR="00511539" w:rsidRPr="008174E3">
              <w:rPr>
                <w:rFonts w:ascii="Arial" w:hAnsi="Arial" w:cs="Arial"/>
                <w:color w:val="000000"/>
                <w:sz w:val="16"/>
              </w:rPr>
              <w:t xml:space="preserve"> (equivalente a 80 pesos mexicanos por día, según la STPS)</w:t>
            </w:r>
            <w:r w:rsidRPr="008174E3">
              <w:rPr>
                <w:rFonts w:ascii="Arial" w:hAnsi="Arial" w:cs="Arial"/>
                <w:color w:val="000000"/>
                <w:sz w:val="16"/>
              </w:rPr>
              <w:t xml:space="preserve">; SR, </w:t>
            </w:r>
            <w:r w:rsidR="00D109CF" w:rsidRPr="008174E3">
              <w:rPr>
                <w:rFonts w:ascii="Arial" w:hAnsi="Arial" w:cs="Arial"/>
                <w:color w:val="000000"/>
                <w:sz w:val="16"/>
              </w:rPr>
              <w:t>Salario</w:t>
            </w:r>
            <w:r w:rsidRPr="008174E3">
              <w:rPr>
                <w:rFonts w:ascii="Arial" w:hAnsi="Arial" w:cs="Arial"/>
                <w:color w:val="000000"/>
                <w:sz w:val="16"/>
              </w:rPr>
              <w:t xml:space="preserve"> de </w:t>
            </w:r>
            <w:r w:rsidR="00511539" w:rsidRPr="008174E3">
              <w:rPr>
                <w:rFonts w:ascii="Arial" w:hAnsi="Arial" w:cs="Arial"/>
                <w:color w:val="000000"/>
                <w:sz w:val="16"/>
              </w:rPr>
              <w:t>refere</w:t>
            </w:r>
            <w:r w:rsidR="00757583" w:rsidRPr="008174E3">
              <w:rPr>
                <w:rFonts w:ascii="Arial" w:hAnsi="Arial" w:cs="Arial"/>
                <w:color w:val="000000"/>
                <w:sz w:val="16"/>
              </w:rPr>
              <w:t>ncia</w:t>
            </w:r>
            <w:r w:rsidR="00511539" w:rsidRPr="008174E3">
              <w:rPr>
                <w:rFonts w:ascii="Arial" w:hAnsi="Arial" w:cs="Arial"/>
                <w:color w:val="000000"/>
                <w:sz w:val="16"/>
              </w:rPr>
              <w:t xml:space="preserve">, que </w:t>
            </w:r>
            <w:r w:rsidRPr="008174E3">
              <w:rPr>
                <w:rFonts w:ascii="Arial" w:hAnsi="Arial" w:cs="Arial"/>
                <w:color w:val="000000"/>
                <w:sz w:val="16"/>
              </w:rPr>
              <w:t>se refiere al salario promedio base del presente análisis</w:t>
            </w:r>
            <w:r w:rsidR="005B2EE6" w:rsidRPr="008174E3">
              <w:rPr>
                <w:rFonts w:ascii="Arial" w:hAnsi="Arial" w:cs="Arial"/>
                <w:color w:val="000000"/>
                <w:sz w:val="16"/>
              </w:rPr>
              <w:t>.</w:t>
            </w:r>
          </w:p>
        </w:tc>
      </w:tr>
      <w:tr w:rsidR="00B7647C" w:rsidRPr="008174E3" w14:paraId="77541FEC" w14:textId="77777777" w:rsidTr="00A3182C">
        <w:trPr>
          <w:trHeight w:val="417"/>
          <w:jc w:val="center"/>
        </w:trPr>
        <w:tc>
          <w:tcPr>
            <w:tcW w:w="9460" w:type="dxa"/>
            <w:gridSpan w:val="3"/>
            <w:tcBorders>
              <w:top w:val="nil"/>
              <w:left w:val="nil"/>
              <w:bottom w:val="nil"/>
              <w:right w:val="nil"/>
            </w:tcBorders>
            <w:shd w:val="clear" w:color="000000" w:fill="FFFFFF"/>
            <w:vAlign w:val="bottom"/>
            <w:hideMark/>
          </w:tcPr>
          <w:p w14:paraId="0D43A66B" w14:textId="75DBF0DB" w:rsidR="00B7647C" w:rsidRPr="008174E3" w:rsidRDefault="00B7647C" w:rsidP="00B7647C">
            <w:pPr>
              <w:rPr>
                <w:rFonts w:ascii="Arial" w:hAnsi="Arial" w:cs="Arial"/>
                <w:color w:val="000000"/>
                <w:sz w:val="16"/>
              </w:rPr>
            </w:pPr>
            <w:r w:rsidRPr="008174E3">
              <w:rPr>
                <w:rFonts w:ascii="Arial" w:hAnsi="Arial" w:cs="Arial"/>
                <w:color w:val="000000"/>
                <w:sz w:val="16"/>
              </w:rPr>
              <w:t xml:space="preserve">(*) Para el </w:t>
            </w:r>
            <w:r w:rsidR="00757583" w:rsidRPr="008174E3">
              <w:rPr>
                <w:rFonts w:ascii="Arial" w:hAnsi="Arial" w:cs="Arial"/>
                <w:color w:val="000000"/>
                <w:sz w:val="16"/>
              </w:rPr>
              <w:t>cálculo</w:t>
            </w:r>
            <w:r w:rsidRPr="008174E3">
              <w:rPr>
                <w:rFonts w:ascii="Arial" w:hAnsi="Arial" w:cs="Arial"/>
                <w:color w:val="000000"/>
                <w:sz w:val="16"/>
              </w:rPr>
              <w:t xml:space="preserve"> de maternidad y enfermedad, se calcula el monto equivalente en función del salario promedio base utilizado en el presente análisis.</w:t>
            </w:r>
          </w:p>
        </w:tc>
      </w:tr>
    </w:tbl>
    <w:p w14:paraId="5CAB5517" w14:textId="77777777" w:rsidR="000114FE" w:rsidRPr="008174E3" w:rsidRDefault="000114FE" w:rsidP="000114FE">
      <w:pPr>
        <w:rPr>
          <w:rFonts w:ascii="Arial" w:hAnsi="Arial" w:cs="Arial"/>
        </w:rPr>
      </w:pPr>
    </w:p>
    <w:p w14:paraId="13ADDD5A" w14:textId="59787DDC" w:rsidR="00283ED7" w:rsidRPr="008174E3" w:rsidRDefault="00283ED7" w:rsidP="00283ED7">
      <w:pPr>
        <w:pStyle w:val="ListParagraph"/>
        <w:numPr>
          <w:ilvl w:val="0"/>
          <w:numId w:val="8"/>
        </w:numPr>
        <w:ind w:left="0"/>
        <w:jc w:val="both"/>
        <w:rPr>
          <w:rFonts w:ascii="Arial" w:hAnsi="Arial" w:cs="Arial"/>
          <w:sz w:val="22"/>
          <w:szCs w:val="22"/>
        </w:rPr>
      </w:pPr>
      <w:r w:rsidRPr="008174E3">
        <w:rPr>
          <w:rFonts w:ascii="Arial" w:hAnsi="Arial" w:cs="Arial"/>
          <w:sz w:val="22"/>
          <w:szCs w:val="22"/>
        </w:rPr>
        <w:t>Adicionalmente, se considera que el acceso a un empleo formal conlleva un impacto asociado a</w:t>
      </w:r>
      <w:r w:rsidR="00EA17B2" w:rsidRPr="008174E3">
        <w:rPr>
          <w:rFonts w:ascii="Arial" w:hAnsi="Arial" w:cs="Arial"/>
          <w:sz w:val="22"/>
          <w:szCs w:val="22"/>
        </w:rPr>
        <w:t>l</w:t>
      </w:r>
      <w:r w:rsidRPr="008174E3">
        <w:rPr>
          <w:rFonts w:ascii="Arial" w:hAnsi="Arial" w:cs="Arial"/>
          <w:sz w:val="22"/>
          <w:szCs w:val="22"/>
        </w:rPr>
        <w:t xml:space="preserve"> pago de beneficios laborales establecidos por Ley. En este sentido</w:t>
      </w:r>
      <w:r w:rsidR="00511539" w:rsidRPr="008174E3">
        <w:rPr>
          <w:rFonts w:ascii="Arial" w:hAnsi="Arial" w:cs="Arial"/>
          <w:sz w:val="22"/>
          <w:szCs w:val="22"/>
        </w:rPr>
        <w:t>,</w:t>
      </w:r>
      <w:r w:rsidRPr="008174E3">
        <w:rPr>
          <w:rFonts w:ascii="Arial" w:hAnsi="Arial" w:cs="Arial"/>
          <w:sz w:val="22"/>
          <w:szCs w:val="22"/>
        </w:rPr>
        <w:t xml:space="preserve"> se considera un impacto referente al acceso a aguinaldo y vacaciones pagadas. El acceso a beneficios laborales correspondiente a aguinaldo y vacaciones se define según la Ley Federal del Trabajo, lo que </w:t>
      </w:r>
      <w:r w:rsidRPr="008174E3">
        <w:rPr>
          <w:rFonts w:ascii="Arial" w:hAnsi="Arial" w:cs="Arial"/>
          <w:sz w:val="22"/>
          <w:szCs w:val="22"/>
        </w:rPr>
        <w:lastRenderedPageBreak/>
        <w:t>equivale al pago de al menos 15 días de aguinaldo y 6 días de vacaciones pagad</w:t>
      </w:r>
      <w:r w:rsidR="00E4733C" w:rsidRPr="008174E3">
        <w:rPr>
          <w:rFonts w:ascii="Arial" w:hAnsi="Arial" w:cs="Arial"/>
          <w:sz w:val="22"/>
          <w:szCs w:val="22"/>
        </w:rPr>
        <w:t>o</w:t>
      </w:r>
      <w:r w:rsidRPr="008174E3">
        <w:rPr>
          <w:rFonts w:ascii="Arial" w:hAnsi="Arial" w:cs="Arial"/>
          <w:sz w:val="22"/>
          <w:szCs w:val="22"/>
        </w:rPr>
        <w:t xml:space="preserve">s al año, para aquellos trabajadores con más de un año de antigüedad. </w:t>
      </w:r>
      <w:r w:rsidR="00511539" w:rsidRPr="008174E3">
        <w:rPr>
          <w:rFonts w:ascii="Arial" w:hAnsi="Arial" w:cs="Arial"/>
          <w:sz w:val="22"/>
          <w:szCs w:val="22"/>
        </w:rPr>
        <w:t>C</w:t>
      </w:r>
      <w:r w:rsidRPr="008174E3">
        <w:rPr>
          <w:rFonts w:ascii="Arial" w:hAnsi="Arial" w:cs="Arial"/>
          <w:sz w:val="22"/>
          <w:szCs w:val="22"/>
        </w:rPr>
        <w:t xml:space="preserve">onsiderando </w:t>
      </w:r>
      <w:r w:rsidR="00511539" w:rsidRPr="008174E3">
        <w:rPr>
          <w:rFonts w:ascii="Arial" w:hAnsi="Arial" w:cs="Arial"/>
          <w:sz w:val="22"/>
          <w:szCs w:val="22"/>
        </w:rPr>
        <w:t xml:space="preserve">que la informalidad presenta diferentes matices </w:t>
      </w:r>
      <w:r w:rsidR="00EA17B2" w:rsidRPr="008174E3">
        <w:rPr>
          <w:rFonts w:ascii="Arial" w:hAnsi="Arial" w:cs="Arial"/>
          <w:sz w:val="22"/>
          <w:szCs w:val="22"/>
        </w:rPr>
        <w:t>(</w:t>
      </w:r>
      <w:r w:rsidR="00511539" w:rsidRPr="008174E3">
        <w:rPr>
          <w:rFonts w:ascii="Arial" w:hAnsi="Arial" w:cs="Arial"/>
          <w:sz w:val="22"/>
          <w:szCs w:val="22"/>
        </w:rPr>
        <w:t xml:space="preserve">y es posible que muchos trabajadores </w:t>
      </w:r>
      <w:r w:rsidRPr="008174E3">
        <w:rPr>
          <w:rFonts w:ascii="Arial" w:hAnsi="Arial" w:cs="Arial"/>
          <w:sz w:val="22"/>
          <w:szCs w:val="22"/>
        </w:rPr>
        <w:t>informal</w:t>
      </w:r>
      <w:r w:rsidR="00511539" w:rsidRPr="008174E3">
        <w:rPr>
          <w:rFonts w:ascii="Arial" w:hAnsi="Arial" w:cs="Arial"/>
          <w:sz w:val="22"/>
          <w:szCs w:val="22"/>
        </w:rPr>
        <w:t xml:space="preserve">es tengan acceso </w:t>
      </w:r>
      <w:r w:rsidR="00EA17B2" w:rsidRPr="008174E3">
        <w:rPr>
          <w:rFonts w:ascii="Arial" w:hAnsi="Arial" w:cs="Arial"/>
          <w:sz w:val="22"/>
          <w:szCs w:val="22"/>
        </w:rPr>
        <w:t>a estos beneficios)</w:t>
      </w:r>
      <w:r w:rsidRPr="008174E3">
        <w:rPr>
          <w:rFonts w:ascii="Arial" w:hAnsi="Arial" w:cs="Arial"/>
          <w:sz w:val="22"/>
          <w:szCs w:val="22"/>
        </w:rPr>
        <w:t xml:space="preserve">, </w:t>
      </w:r>
      <w:r w:rsidR="00EA17B2" w:rsidRPr="008174E3">
        <w:rPr>
          <w:rFonts w:ascii="Arial" w:hAnsi="Arial" w:cs="Arial"/>
          <w:sz w:val="22"/>
          <w:szCs w:val="22"/>
        </w:rPr>
        <w:t xml:space="preserve">el impacto asociado a este beneficio </w:t>
      </w:r>
      <w:r w:rsidRPr="008174E3">
        <w:rPr>
          <w:rFonts w:ascii="Arial" w:hAnsi="Arial" w:cs="Arial"/>
          <w:sz w:val="22"/>
          <w:szCs w:val="22"/>
        </w:rPr>
        <w:t xml:space="preserve">se corrige por el porcentaje de trabajadores que </w:t>
      </w:r>
      <w:r w:rsidR="00511539" w:rsidRPr="008174E3">
        <w:rPr>
          <w:rFonts w:ascii="Arial" w:hAnsi="Arial" w:cs="Arial"/>
          <w:sz w:val="22"/>
          <w:szCs w:val="22"/>
        </w:rPr>
        <w:t xml:space="preserve">no </w:t>
      </w:r>
      <w:r w:rsidRPr="008174E3">
        <w:rPr>
          <w:rFonts w:ascii="Arial" w:hAnsi="Arial" w:cs="Arial"/>
          <w:sz w:val="22"/>
          <w:szCs w:val="22"/>
        </w:rPr>
        <w:t xml:space="preserve">tienen acceso a este beneficio. Según datos obtenidos del </w:t>
      </w:r>
      <w:r w:rsidRPr="008174E3">
        <w:rPr>
          <w:rFonts w:ascii="Arial" w:hAnsi="Arial" w:cs="Arial"/>
          <w:i/>
          <w:sz w:val="22"/>
          <w:szCs w:val="22"/>
        </w:rPr>
        <w:t>Socio-Economic Database for Latin America and the Caribbean</w:t>
      </w:r>
      <w:r w:rsidRPr="008174E3">
        <w:rPr>
          <w:rFonts w:ascii="Arial" w:hAnsi="Arial" w:cs="Arial"/>
          <w:sz w:val="22"/>
          <w:szCs w:val="22"/>
        </w:rPr>
        <w:t xml:space="preserve"> de la Universidad Nacional de la Plata y el Banco Mundial</w:t>
      </w:r>
      <w:r w:rsidR="006832A0" w:rsidRPr="008174E3">
        <w:rPr>
          <w:rStyle w:val="FootnoteReference"/>
          <w:rFonts w:ascii="Arial" w:hAnsi="Arial" w:cs="Arial"/>
          <w:sz w:val="22"/>
          <w:szCs w:val="22"/>
        </w:rPr>
        <w:footnoteReference w:id="13"/>
      </w:r>
      <w:r w:rsidRPr="008174E3">
        <w:rPr>
          <w:rFonts w:ascii="Arial" w:hAnsi="Arial" w:cs="Arial"/>
          <w:sz w:val="22"/>
          <w:szCs w:val="22"/>
        </w:rPr>
        <w:t xml:space="preserve">, se </w:t>
      </w:r>
      <w:r w:rsidR="00511539" w:rsidRPr="008174E3">
        <w:rPr>
          <w:rFonts w:ascii="Arial" w:hAnsi="Arial" w:cs="Arial"/>
          <w:sz w:val="22"/>
          <w:szCs w:val="22"/>
        </w:rPr>
        <w:t xml:space="preserve">considera </w:t>
      </w:r>
      <w:r w:rsidRPr="008174E3">
        <w:rPr>
          <w:rFonts w:ascii="Arial" w:hAnsi="Arial" w:cs="Arial"/>
          <w:sz w:val="22"/>
          <w:szCs w:val="22"/>
        </w:rPr>
        <w:t xml:space="preserve">que solamente el 49% y </w:t>
      </w:r>
      <w:r w:rsidR="00D92179" w:rsidRPr="008174E3">
        <w:rPr>
          <w:rFonts w:ascii="Arial" w:hAnsi="Arial" w:cs="Arial"/>
          <w:sz w:val="22"/>
          <w:szCs w:val="22"/>
        </w:rPr>
        <w:t>56</w:t>
      </w:r>
      <w:r w:rsidRPr="008174E3">
        <w:rPr>
          <w:rFonts w:ascii="Arial" w:hAnsi="Arial" w:cs="Arial"/>
          <w:sz w:val="22"/>
          <w:szCs w:val="22"/>
        </w:rPr>
        <w:t xml:space="preserve">% de los asalariados no reciben prestaciones de aguinaldo y vacaciones, respectivamente, por lo que se </w:t>
      </w:r>
      <w:r w:rsidR="009106B4" w:rsidRPr="008174E3">
        <w:rPr>
          <w:rFonts w:ascii="Arial" w:hAnsi="Arial" w:cs="Arial"/>
          <w:sz w:val="22"/>
          <w:szCs w:val="22"/>
        </w:rPr>
        <w:t>asumirá</w:t>
      </w:r>
      <w:r w:rsidRPr="008174E3">
        <w:rPr>
          <w:rFonts w:ascii="Arial" w:hAnsi="Arial" w:cs="Arial"/>
          <w:sz w:val="22"/>
          <w:szCs w:val="22"/>
        </w:rPr>
        <w:t xml:space="preserve"> impacto solamente para este porcentaje </w:t>
      </w:r>
      <w:r w:rsidR="005F6F75" w:rsidRPr="008174E3">
        <w:rPr>
          <w:rFonts w:ascii="Arial" w:hAnsi="Arial" w:cs="Arial"/>
          <w:sz w:val="22"/>
          <w:szCs w:val="22"/>
        </w:rPr>
        <w:t xml:space="preserve">de </w:t>
      </w:r>
      <w:r w:rsidRPr="008174E3">
        <w:rPr>
          <w:rFonts w:ascii="Arial" w:hAnsi="Arial" w:cs="Arial"/>
          <w:sz w:val="22"/>
          <w:szCs w:val="22"/>
        </w:rPr>
        <w:t>beneficiarios.</w:t>
      </w:r>
    </w:p>
    <w:p w14:paraId="6E3A08D9" w14:textId="6A58C331" w:rsidR="005B2EE6" w:rsidRPr="008174E3" w:rsidRDefault="005B2EE6" w:rsidP="005B2EE6">
      <w:pPr>
        <w:pStyle w:val="ListParagraph"/>
        <w:ind w:left="0"/>
        <w:jc w:val="both"/>
        <w:rPr>
          <w:rFonts w:ascii="Arial" w:hAnsi="Arial" w:cs="Arial"/>
          <w:sz w:val="22"/>
          <w:szCs w:val="22"/>
        </w:rPr>
      </w:pPr>
    </w:p>
    <w:p w14:paraId="10156795" w14:textId="024B5039" w:rsidR="0070754E" w:rsidRPr="008174E3" w:rsidRDefault="0070754E" w:rsidP="0070754E">
      <w:pPr>
        <w:pStyle w:val="ListParagraph"/>
        <w:numPr>
          <w:ilvl w:val="0"/>
          <w:numId w:val="8"/>
        </w:numPr>
        <w:ind w:left="0"/>
        <w:jc w:val="both"/>
        <w:rPr>
          <w:rFonts w:ascii="Arial" w:hAnsi="Arial" w:cs="Arial"/>
          <w:sz w:val="22"/>
          <w:szCs w:val="22"/>
        </w:rPr>
      </w:pPr>
      <w:r w:rsidRPr="008174E3">
        <w:rPr>
          <w:rFonts w:ascii="Arial" w:hAnsi="Arial" w:cs="Arial"/>
          <w:sz w:val="22"/>
          <w:szCs w:val="22"/>
        </w:rPr>
        <w:t xml:space="preserve">En base a esto, para el cálculo del impacto asociado a formalidad, se considera un impacto de 24% sobre el salario base de referencia conforme a la información presentada en </w:t>
      </w:r>
      <w:r w:rsidR="00B0718A" w:rsidRPr="008174E3">
        <w:rPr>
          <w:rFonts w:ascii="Arial" w:hAnsi="Arial" w:cs="Arial"/>
          <w:sz w:val="22"/>
          <w:szCs w:val="22"/>
        </w:rPr>
        <w:t>el Cuadro </w:t>
      </w:r>
      <w:r w:rsidRPr="008174E3">
        <w:rPr>
          <w:rFonts w:ascii="Arial" w:hAnsi="Arial" w:cs="Arial"/>
          <w:sz w:val="22"/>
          <w:szCs w:val="22"/>
        </w:rPr>
        <w:t xml:space="preserve">2 y </w:t>
      </w:r>
      <w:r w:rsidR="00210B40" w:rsidRPr="008174E3">
        <w:rPr>
          <w:rFonts w:ascii="Arial" w:hAnsi="Arial" w:cs="Arial"/>
          <w:sz w:val="22"/>
          <w:szCs w:val="22"/>
        </w:rPr>
        <w:t>adicionalmente</w:t>
      </w:r>
      <w:r w:rsidR="00EA17B2" w:rsidRPr="008174E3">
        <w:rPr>
          <w:rFonts w:ascii="Arial" w:hAnsi="Arial" w:cs="Arial"/>
          <w:sz w:val="22"/>
          <w:szCs w:val="22"/>
        </w:rPr>
        <w:t xml:space="preserve"> </w:t>
      </w:r>
      <w:r w:rsidRPr="008174E3">
        <w:rPr>
          <w:rFonts w:ascii="Arial" w:hAnsi="Arial" w:cs="Arial"/>
          <w:sz w:val="22"/>
          <w:szCs w:val="22"/>
        </w:rPr>
        <w:t xml:space="preserve">se considera el impacto de acceso </w:t>
      </w:r>
      <w:r w:rsidR="00EA17B2" w:rsidRPr="008174E3">
        <w:rPr>
          <w:rFonts w:ascii="Arial" w:hAnsi="Arial" w:cs="Arial"/>
          <w:sz w:val="22"/>
          <w:szCs w:val="22"/>
        </w:rPr>
        <w:t xml:space="preserve">a </w:t>
      </w:r>
      <w:r w:rsidRPr="008174E3">
        <w:rPr>
          <w:rFonts w:ascii="Arial" w:hAnsi="Arial" w:cs="Arial"/>
          <w:sz w:val="22"/>
          <w:szCs w:val="22"/>
        </w:rPr>
        <w:t>beneficios laborales.</w:t>
      </w:r>
    </w:p>
    <w:p w14:paraId="6A452C61" w14:textId="77777777" w:rsidR="0070754E" w:rsidRPr="008174E3" w:rsidRDefault="0070754E" w:rsidP="005B2EE6">
      <w:pPr>
        <w:pStyle w:val="ListParagraph"/>
        <w:ind w:left="0"/>
        <w:jc w:val="both"/>
        <w:rPr>
          <w:rFonts w:ascii="Arial" w:hAnsi="Arial" w:cs="Arial"/>
          <w:sz w:val="22"/>
          <w:szCs w:val="22"/>
        </w:rPr>
      </w:pPr>
    </w:p>
    <w:p w14:paraId="23A92A89" w14:textId="2D9B6BB3" w:rsidR="000114FE" w:rsidRPr="008174E3" w:rsidRDefault="000114FE" w:rsidP="000114FE">
      <w:pPr>
        <w:pStyle w:val="ListParagraph"/>
        <w:numPr>
          <w:ilvl w:val="0"/>
          <w:numId w:val="8"/>
        </w:numPr>
        <w:ind w:left="0"/>
        <w:jc w:val="both"/>
        <w:rPr>
          <w:rFonts w:ascii="Arial" w:hAnsi="Arial" w:cs="Arial"/>
          <w:sz w:val="22"/>
          <w:szCs w:val="22"/>
        </w:rPr>
      </w:pPr>
      <w:r w:rsidRPr="008174E3">
        <w:rPr>
          <w:rFonts w:ascii="Arial" w:hAnsi="Arial" w:cs="Arial"/>
          <w:sz w:val="22"/>
          <w:szCs w:val="22"/>
        </w:rPr>
        <w:t>El presente análisis asume una tasa de descuento de 12%, que es la tasa de descuento definida para los proyectos del Banco (Guidelines for the Economic Analysis of IDB-Funded Projects, 2012)</w:t>
      </w:r>
      <w:r w:rsidR="00A3182C" w:rsidRPr="008174E3">
        <w:rPr>
          <w:rFonts w:ascii="Arial" w:hAnsi="Arial" w:cs="Arial"/>
          <w:sz w:val="22"/>
          <w:szCs w:val="22"/>
        </w:rPr>
        <w:t xml:space="preserve"> y </w:t>
      </w:r>
      <w:r w:rsidRPr="008174E3">
        <w:rPr>
          <w:rFonts w:ascii="Arial" w:hAnsi="Arial" w:cs="Arial"/>
          <w:sz w:val="22"/>
          <w:szCs w:val="22"/>
        </w:rPr>
        <w:t xml:space="preserve">que coincide con la tasa de descuento usualmente empleada en </w:t>
      </w:r>
      <w:r w:rsidR="00757583" w:rsidRPr="008174E3">
        <w:rPr>
          <w:rFonts w:ascii="Arial" w:hAnsi="Arial" w:cs="Arial"/>
          <w:sz w:val="22"/>
          <w:szCs w:val="22"/>
        </w:rPr>
        <w:t>análisis</w:t>
      </w:r>
      <w:r w:rsidR="00A3182C" w:rsidRPr="008174E3">
        <w:rPr>
          <w:rFonts w:ascii="Arial" w:hAnsi="Arial" w:cs="Arial"/>
          <w:sz w:val="22"/>
          <w:szCs w:val="22"/>
        </w:rPr>
        <w:t xml:space="preserve"> costo-</w:t>
      </w:r>
      <w:r w:rsidRPr="008174E3">
        <w:rPr>
          <w:rFonts w:ascii="Arial" w:hAnsi="Arial" w:cs="Arial"/>
          <w:sz w:val="22"/>
          <w:szCs w:val="22"/>
        </w:rPr>
        <w:t>beneficio en países en desarrollo</w:t>
      </w:r>
      <w:r w:rsidRPr="008174E3">
        <w:rPr>
          <w:rStyle w:val="FootnoteReference"/>
          <w:rFonts w:ascii="Arial" w:hAnsi="Arial" w:cs="Arial"/>
          <w:sz w:val="22"/>
          <w:szCs w:val="22"/>
        </w:rPr>
        <w:footnoteReference w:id="14"/>
      </w:r>
      <w:r w:rsidRPr="008174E3">
        <w:rPr>
          <w:rFonts w:ascii="Arial" w:hAnsi="Arial" w:cs="Arial"/>
          <w:sz w:val="22"/>
          <w:szCs w:val="22"/>
        </w:rPr>
        <w:t xml:space="preserve">. </w:t>
      </w:r>
    </w:p>
    <w:p w14:paraId="0A5A3D21" w14:textId="77777777" w:rsidR="000114FE" w:rsidRPr="008174E3" w:rsidRDefault="000114FE" w:rsidP="000114FE">
      <w:pPr>
        <w:pStyle w:val="ListParagraph"/>
        <w:rPr>
          <w:rFonts w:ascii="Arial" w:hAnsi="Arial" w:cs="Arial"/>
          <w:sz w:val="22"/>
          <w:szCs w:val="22"/>
        </w:rPr>
      </w:pPr>
    </w:p>
    <w:p w14:paraId="75A53CA4" w14:textId="34DEB978" w:rsidR="00634271" w:rsidRPr="008174E3" w:rsidRDefault="00634271" w:rsidP="00634271">
      <w:pPr>
        <w:pStyle w:val="ListParagraph"/>
        <w:numPr>
          <w:ilvl w:val="0"/>
          <w:numId w:val="8"/>
        </w:numPr>
        <w:autoSpaceDE w:val="0"/>
        <w:autoSpaceDN w:val="0"/>
        <w:adjustRightInd w:val="0"/>
        <w:ind w:left="0"/>
        <w:jc w:val="both"/>
        <w:rPr>
          <w:rFonts w:ascii="Arial" w:hAnsi="Arial" w:cs="Arial"/>
          <w:sz w:val="22"/>
          <w:szCs w:val="22"/>
        </w:rPr>
      </w:pPr>
      <w:r w:rsidRPr="008174E3">
        <w:rPr>
          <w:rFonts w:ascii="Arial" w:hAnsi="Arial" w:cs="Arial"/>
          <w:sz w:val="22"/>
          <w:szCs w:val="22"/>
        </w:rPr>
        <w:t>El cálculo del V</w:t>
      </w:r>
      <w:r w:rsidR="000114FE" w:rsidRPr="008174E3">
        <w:rPr>
          <w:rFonts w:ascii="Arial" w:hAnsi="Arial" w:cs="Arial"/>
          <w:sz w:val="22"/>
          <w:szCs w:val="22"/>
        </w:rPr>
        <w:t xml:space="preserve">alor </w:t>
      </w:r>
      <w:r w:rsidRPr="008174E3">
        <w:rPr>
          <w:rFonts w:ascii="Arial" w:hAnsi="Arial" w:cs="Arial"/>
          <w:sz w:val="22"/>
          <w:szCs w:val="22"/>
        </w:rPr>
        <w:t>P</w:t>
      </w:r>
      <w:r w:rsidR="000114FE" w:rsidRPr="008174E3">
        <w:rPr>
          <w:rFonts w:ascii="Arial" w:hAnsi="Arial" w:cs="Arial"/>
          <w:sz w:val="22"/>
          <w:szCs w:val="22"/>
        </w:rPr>
        <w:t xml:space="preserve">resente </w:t>
      </w:r>
      <w:r w:rsidRPr="008174E3">
        <w:rPr>
          <w:rFonts w:ascii="Arial" w:hAnsi="Arial" w:cs="Arial"/>
          <w:sz w:val="22"/>
          <w:szCs w:val="22"/>
        </w:rPr>
        <w:t>N</w:t>
      </w:r>
      <w:r w:rsidR="000114FE" w:rsidRPr="008174E3">
        <w:rPr>
          <w:rFonts w:ascii="Arial" w:hAnsi="Arial" w:cs="Arial"/>
          <w:sz w:val="22"/>
          <w:szCs w:val="22"/>
        </w:rPr>
        <w:t>eto</w:t>
      </w:r>
      <w:r w:rsidRPr="008174E3">
        <w:rPr>
          <w:rFonts w:ascii="Arial" w:hAnsi="Arial" w:cs="Arial"/>
          <w:sz w:val="22"/>
          <w:szCs w:val="22"/>
        </w:rPr>
        <w:t xml:space="preserve"> se realiza mediante la siguiente fórmula:</w:t>
      </w:r>
    </w:p>
    <w:p w14:paraId="5F145D15" w14:textId="77777777" w:rsidR="00634271" w:rsidRPr="008174E3" w:rsidRDefault="00634271" w:rsidP="00634271">
      <w:pPr>
        <w:pStyle w:val="ListParagraph"/>
        <w:autoSpaceDE w:val="0"/>
        <w:autoSpaceDN w:val="0"/>
        <w:adjustRightInd w:val="0"/>
        <w:ind w:left="0"/>
        <w:jc w:val="both"/>
        <w:rPr>
          <w:rFonts w:ascii="Arial" w:hAnsi="Arial" w:cs="Arial"/>
        </w:rPr>
      </w:pPr>
    </w:p>
    <w:p w14:paraId="2B43D20F" w14:textId="77777777" w:rsidR="00634271" w:rsidRPr="008174E3" w:rsidRDefault="00634271" w:rsidP="00634271">
      <w:pPr>
        <w:autoSpaceDE w:val="0"/>
        <w:autoSpaceDN w:val="0"/>
        <w:adjustRightInd w:val="0"/>
        <w:jc w:val="both"/>
        <w:rPr>
          <w:rFonts w:ascii="Arial" w:hAnsi="Arial" w:cs="Arial"/>
        </w:rPr>
      </w:pPr>
      <m:oMathPara>
        <m:oMath>
          <m:r>
            <w:rPr>
              <w:rFonts w:ascii="Cambria Math" w:hAnsi="Cambria Math" w:cs="Arial"/>
            </w:rPr>
            <m:t>VPN=</m:t>
          </m:r>
          <m:nary>
            <m:naryPr>
              <m:chr m:val="∑"/>
              <m:limLoc m:val="undOvr"/>
              <m:ctrlPr>
                <w:rPr>
                  <w:rFonts w:ascii="Cambria Math" w:hAnsi="Cambria Math" w:cs="Arial"/>
                  <w:i/>
                </w:rPr>
              </m:ctrlPr>
            </m:naryPr>
            <m:sub>
              <m:r>
                <w:rPr>
                  <w:rFonts w:ascii="Cambria Math" w:hAnsi="Cambria Math" w:cs="Arial"/>
                </w:rPr>
                <m:t>t=1</m:t>
              </m:r>
            </m:sub>
            <m:sup>
              <m:r>
                <w:rPr>
                  <w:rFonts w:ascii="Cambria Math" w:hAnsi="Cambria Math" w:cs="Arial"/>
                </w:rPr>
                <m:t>n</m:t>
              </m:r>
            </m:sup>
            <m:e>
              <m:f>
                <m:fPr>
                  <m:ctrlPr>
                    <w:rPr>
                      <w:rFonts w:ascii="Cambria Math" w:hAnsi="Cambria Math" w:cs="Arial"/>
                      <w:i/>
                    </w:rPr>
                  </m:ctrlPr>
                </m:fPr>
                <m:num>
                  <m:r>
                    <m:rPr>
                      <m:sty m:val="p"/>
                    </m:rPr>
                    <w:rPr>
                      <w:rFonts w:ascii="Cambria Math" w:hAnsi="Cambria Math" w:cs="Arial"/>
                    </w:rPr>
                    <m:t xml:space="preserve">Beneficios económicos-Costos económicos </m:t>
                  </m:r>
                </m:num>
                <m:den>
                  <m:sSup>
                    <m:sSupPr>
                      <m:ctrlPr>
                        <w:rPr>
                          <w:rFonts w:ascii="Cambria Math" w:hAnsi="Cambria Math" w:cs="Arial"/>
                          <w:i/>
                        </w:rPr>
                      </m:ctrlPr>
                    </m:sSupPr>
                    <m:e>
                      <m:r>
                        <w:rPr>
                          <w:rFonts w:ascii="Cambria Math" w:hAnsi="Cambria Math" w:cs="Arial"/>
                        </w:rPr>
                        <m:t>(1+i)</m:t>
                      </m:r>
                    </m:e>
                    <m:sup>
                      <m:r>
                        <w:rPr>
                          <w:rFonts w:ascii="Cambria Math" w:hAnsi="Cambria Math" w:cs="Arial"/>
                        </w:rPr>
                        <m:t>t-1</m:t>
                      </m:r>
                    </m:sup>
                  </m:sSup>
                </m:den>
              </m:f>
            </m:e>
          </m:nary>
        </m:oMath>
      </m:oMathPara>
    </w:p>
    <w:p w14:paraId="63DE64B6" w14:textId="77777777" w:rsidR="00634271" w:rsidRPr="008174E3" w:rsidRDefault="00634271" w:rsidP="00634271">
      <w:pPr>
        <w:pStyle w:val="ListParagraph"/>
        <w:autoSpaceDE w:val="0"/>
        <w:autoSpaceDN w:val="0"/>
        <w:adjustRightInd w:val="0"/>
        <w:ind w:left="0"/>
        <w:jc w:val="both"/>
        <w:rPr>
          <w:rFonts w:ascii="Arial" w:hAnsi="Arial" w:cs="Arial"/>
        </w:rPr>
      </w:pPr>
    </w:p>
    <w:p w14:paraId="160DAE37" w14:textId="5DFB1158" w:rsidR="000114FE" w:rsidRPr="008174E3" w:rsidRDefault="00634271" w:rsidP="004024FE">
      <w:pPr>
        <w:pStyle w:val="ListParagraph"/>
        <w:numPr>
          <w:ilvl w:val="0"/>
          <w:numId w:val="8"/>
        </w:numPr>
        <w:autoSpaceDE w:val="0"/>
        <w:autoSpaceDN w:val="0"/>
        <w:adjustRightInd w:val="0"/>
        <w:ind w:left="0"/>
        <w:jc w:val="both"/>
        <w:rPr>
          <w:rFonts w:ascii="Arial" w:hAnsi="Arial" w:cs="Arial"/>
          <w:sz w:val="22"/>
          <w:szCs w:val="22"/>
        </w:rPr>
      </w:pPr>
      <w:r w:rsidRPr="008174E3">
        <w:rPr>
          <w:rFonts w:ascii="Arial" w:hAnsi="Arial" w:cs="Arial"/>
          <w:sz w:val="22"/>
          <w:szCs w:val="22"/>
        </w:rPr>
        <w:t xml:space="preserve">Donde </w:t>
      </w:r>
      <w:r w:rsidRPr="008174E3">
        <w:rPr>
          <w:rFonts w:ascii="Arial" w:hAnsi="Arial" w:cs="Arial"/>
          <w:i/>
          <w:sz w:val="22"/>
          <w:szCs w:val="22"/>
        </w:rPr>
        <w:t>i</w:t>
      </w:r>
      <w:r w:rsidRPr="008174E3">
        <w:rPr>
          <w:rFonts w:ascii="Arial" w:hAnsi="Arial" w:cs="Arial"/>
          <w:sz w:val="22"/>
          <w:szCs w:val="22"/>
        </w:rPr>
        <w:t xml:space="preserve"> es la tasa de descuento definida de 12%, </w:t>
      </w:r>
      <w:r w:rsidRPr="008174E3">
        <w:rPr>
          <w:rFonts w:ascii="Arial" w:hAnsi="Arial" w:cs="Arial"/>
          <w:i/>
          <w:sz w:val="22"/>
          <w:szCs w:val="22"/>
        </w:rPr>
        <w:t xml:space="preserve">t </w:t>
      </w:r>
      <w:r w:rsidRPr="008174E3">
        <w:rPr>
          <w:rFonts w:ascii="Arial" w:hAnsi="Arial" w:cs="Arial"/>
          <w:sz w:val="22"/>
          <w:szCs w:val="22"/>
        </w:rPr>
        <w:t xml:space="preserve">es el número de años que se esperan de beneficios. </w:t>
      </w:r>
    </w:p>
    <w:p w14:paraId="03D5377C" w14:textId="77777777" w:rsidR="00511539" w:rsidRPr="008174E3" w:rsidRDefault="00511539" w:rsidP="00511539">
      <w:pPr>
        <w:pStyle w:val="ListParagraph"/>
        <w:autoSpaceDE w:val="0"/>
        <w:autoSpaceDN w:val="0"/>
        <w:adjustRightInd w:val="0"/>
        <w:ind w:left="0"/>
        <w:jc w:val="both"/>
        <w:rPr>
          <w:rFonts w:ascii="Arial" w:hAnsi="Arial" w:cs="Arial"/>
          <w:sz w:val="22"/>
          <w:szCs w:val="22"/>
        </w:rPr>
      </w:pPr>
    </w:p>
    <w:p w14:paraId="09C8371C" w14:textId="23FC030C" w:rsidR="000114FE" w:rsidRPr="008174E3" w:rsidRDefault="000114FE" w:rsidP="000114FE">
      <w:pPr>
        <w:pStyle w:val="ListParagraph"/>
        <w:numPr>
          <w:ilvl w:val="0"/>
          <w:numId w:val="8"/>
        </w:numPr>
        <w:ind w:left="0"/>
        <w:jc w:val="both"/>
        <w:rPr>
          <w:rFonts w:ascii="Arial" w:hAnsi="Arial" w:cs="Arial"/>
          <w:sz w:val="22"/>
          <w:szCs w:val="22"/>
        </w:rPr>
      </w:pPr>
      <w:r w:rsidRPr="008174E3">
        <w:rPr>
          <w:rFonts w:ascii="Arial" w:hAnsi="Arial" w:cs="Arial"/>
          <w:sz w:val="22"/>
          <w:szCs w:val="22"/>
        </w:rPr>
        <w:t>Todos los cálculos son realizados en dólares americanos. Para el cambio de pesos mexicanos a dólares se utiliza el tipo de cambio oficial del Banco Central de México de 18,76</w:t>
      </w:r>
      <w:r w:rsidRPr="008174E3">
        <w:rPr>
          <w:rStyle w:val="FootnoteReference"/>
          <w:rFonts w:ascii="Arial" w:hAnsi="Arial" w:cs="Arial"/>
          <w:sz w:val="22"/>
          <w:szCs w:val="22"/>
        </w:rPr>
        <w:footnoteReference w:id="15"/>
      </w:r>
      <w:r w:rsidRPr="008174E3">
        <w:rPr>
          <w:rFonts w:ascii="Arial" w:hAnsi="Arial" w:cs="Arial"/>
          <w:sz w:val="22"/>
          <w:szCs w:val="22"/>
        </w:rPr>
        <w:t xml:space="preserve"> pesos mexicanos por dólar.</w:t>
      </w:r>
    </w:p>
    <w:p w14:paraId="2445FE28" w14:textId="77777777" w:rsidR="000114FE" w:rsidRPr="008174E3" w:rsidRDefault="000114FE" w:rsidP="000114FE">
      <w:pPr>
        <w:pStyle w:val="ListParagraph"/>
        <w:autoSpaceDE w:val="0"/>
        <w:autoSpaceDN w:val="0"/>
        <w:adjustRightInd w:val="0"/>
        <w:ind w:left="0"/>
        <w:jc w:val="both"/>
        <w:rPr>
          <w:rFonts w:ascii="Arial" w:hAnsi="Arial" w:cs="Arial"/>
        </w:rPr>
      </w:pPr>
    </w:p>
    <w:p w14:paraId="171E048F" w14:textId="573F4E71" w:rsidR="00583D52" w:rsidRPr="008174E3" w:rsidRDefault="00C75E88" w:rsidP="00583D52">
      <w:pPr>
        <w:pStyle w:val="ListParagraph"/>
        <w:numPr>
          <w:ilvl w:val="1"/>
          <w:numId w:val="7"/>
        </w:numPr>
        <w:ind w:left="360"/>
        <w:jc w:val="both"/>
        <w:rPr>
          <w:rFonts w:ascii="Arial" w:hAnsi="Arial" w:cs="Arial"/>
          <w:b/>
        </w:rPr>
      </w:pPr>
      <w:bookmarkStart w:id="1" w:name="_Hlk482607747"/>
      <w:r w:rsidRPr="008174E3">
        <w:rPr>
          <w:rFonts w:ascii="Arial" w:hAnsi="Arial" w:cs="Arial"/>
          <w:b/>
        </w:rPr>
        <w:t xml:space="preserve">Supuestos </w:t>
      </w:r>
      <w:r w:rsidR="00281617" w:rsidRPr="008174E3">
        <w:rPr>
          <w:rFonts w:ascii="Arial" w:hAnsi="Arial" w:cs="Arial"/>
          <w:b/>
        </w:rPr>
        <w:t>sobre los beneficios del fortalecimiento del SNE</w:t>
      </w:r>
    </w:p>
    <w:p w14:paraId="75A1B0D9" w14:textId="3FEE4D5F" w:rsidR="00567323" w:rsidRPr="008174E3" w:rsidRDefault="00567323" w:rsidP="00567323">
      <w:pPr>
        <w:pStyle w:val="ListParagraph"/>
        <w:ind w:left="360"/>
        <w:jc w:val="both"/>
        <w:rPr>
          <w:rFonts w:ascii="Arial" w:hAnsi="Arial" w:cs="Arial"/>
          <w:b/>
        </w:rPr>
      </w:pPr>
    </w:p>
    <w:p w14:paraId="58E56089" w14:textId="309B1234" w:rsidR="00913811" w:rsidRPr="008174E3" w:rsidRDefault="00913811" w:rsidP="00796D46">
      <w:pPr>
        <w:pStyle w:val="ListParagraph"/>
        <w:numPr>
          <w:ilvl w:val="0"/>
          <w:numId w:val="8"/>
        </w:numPr>
        <w:ind w:left="0"/>
        <w:jc w:val="both"/>
        <w:rPr>
          <w:rFonts w:ascii="Arial" w:hAnsi="Arial" w:cs="Arial"/>
          <w:sz w:val="22"/>
          <w:szCs w:val="22"/>
        </w:rPr>
      </w:pPr>
      <w:r w:rsidRPr="008174E3">
        <w:rPr>
          <w:rFonts w:ascii="Arial" w:hAnsi="Arial" w:cs="Arial"/>
          <w:sz w:val="22"/>
          <w:szCs w:val="22"/>
        </w:rPr>
        <w:t xml:space="preserve">Con relación a los beneficios esperados del fortalecimiento del SNE, el programa busca mejorar el esquema de la oferta de servicios y gestión del sistema de intermediación laboral. Para esto, el componente busca revisar los servicios que el SNE brinda a los buscadores de empleo y realizar ajustes al modelo de atención, incluyendo el desarrollo de un esquema de perfilamiento en función del grado de vulnerabilidad y las necesidades particulares de apoyo de cada buscador de empleo. </w:t>
      </w:r>
      <w:r w:rsidR="00F55099" w:rsidRPr="008174E3">
        <w:rPr>
          <w:rFonts w:ascii="Arial" w:hAnsi="Arial" w:cs="Arial"/>
          <w:sz w:val="22"/>
          <w:szCs w:val="22"/>
        </w:rPr>
        <w:t>E</w:t>
      </w:r>
      <w:r w:rsidRPr="008174E3">
        <w:rPr>
          <w:rFonts w:ascii="Arial" w:hAnsi="Arial" w:cs="Arial"/>
          <w:sz w:val="22"/>
          <w:szCs w:val="22"/>
        </w:rPr>
        <w:t>l componente busca implementar un modelo de relacionamiento con el sector privado</w:t>
      </w:r>
      <w:r w:rsidR="00F55099" w:rsidRPr="008174E3">
        <w:rPr>
          <w:rFonts w:ascii="Arial" w:hAnsi="Arial" w:cs="Arial"/>
          <w:sz w:val="22"/>
          <w:szCs w:val="22"/>
        </w:rPr>
        <w:t xml:space="preserve"> y brindar </w:t>
      </w:r>
      <w:r w:rsidRPr="008174E3">
        <w:rPr>
          <w:rFonts w:ascii="Arial" w:hAnsi="Arial" w:cs="Arial"/>
          <w:sz w:val="22"/>
          <w:szCs w:val="22"/>
        </w:rPr>
        <w:t xml:space="preserve">al SNE de un sistema integrado de información del mercado laboral y una plataforma adecuada a las necesidades del mercado laboral mexicano. El desarrollo del sistema de información del mercado laboral busca consolidar la información disponible de forma articulada y oportuna. </w:t>
      </w:r>
    </w:p>
    <w:p w14:paraId="48162AAF" w14:textId="77777777" w:rsidR="00F55099" w:rsidRPr="008174E3" w:rsidRDefault="00F55099" w:rsidP="00F55099">
      <w:pPr>
        <w:pStyle w:val="ListParagraph"/>
        <w:ind w:left="0"/>
        <w:jc w:val="both"/>
        <w:rPr>
          <w:rFonts w:ascii="Arial" w:hAnsi="Arial" w:cs="Arial"/>
          <w:sz w:val="22"/>
          <w:szCs w:val="22"/>
        </w:rPr>
      </w:pPr>
    </w:p>
    <w:p w14:paraId="32F85D6D" w14:textId="2D10D5AA" w:rsidR="00913811" w:rsidRPr="008174E3" w:rsidRDefault="00913811" w:rsidP="00913811">
      <w:pPr>
        <w:pStyle w:val="ListParagraph"/>
        <w:numPr>
          <w:ilvl w:val="0"/>
          <w:numId w:val="8"/>
        </w:numPr>
        <w:ind w:left="0"/>
        <w:jc w:val="both"/>
        <w:rPr>
          <w:rFonts w:ascii="Arial" w:hAnsi="Arial" w:cs="Arial"/>
          <w:sz w:val="22"/>
          <w:szCs w:val="22"/>
        </w:rPr>
      </w:pPr>
      <w:r w:rsidRPr="008174E3">
        <w:rPr>
          <w:rFonts w:ascii="Arial" w:hAnsi="Arial" w:cs="Arial"/>
          <w:sz w:val="22"/>
          <w:szCs w:val="22"/>
        </w:rPr>
        <w:lastRenderedPageBreak/>
        <w:t>La evidencia internacional existente</w:t>
      </w:r>
      <w:r w:rsidRPr="008174E3">
        <w:rPr>
          <w:rStyle w:val="FootnoteReference"/>
          <w:rFonts w:ascii="Arial" w:hAnsi="Arial" w:cs="Arial"/>
          <w:sz w:val="22"/>
          <w:szCs w:val="22"/>
        </w:rPr>
        <w:footnoteReference w:id="16"/>
      </w:r>
      <w:r w:rsidRPr="008174E3">
        <w:rPr>
          <w:rFonts w:ascii="Arial" w:hAnsi="Arial" w:cs="Arial"/>
          <w:sz w:val="22"/>
          <w:szCs w:val="22"/>
        </w:rPr>
        <w:t xml:space="preserve">, demuestra que los SIL han tenido impactos relativamente positivos en el </w:t>
      </w:r>
      <w:r w:rsidR="00EA17B2" w:rsidRPr="008174E3">
        <w:rPr>
          <w:rFonts w:ascii="Arial" w:hAnsi="Arial" w:cs="Arial"/>
          <w:sz w:val="22"/>
          <w:szCs w:val="22"/>
        </w:rPr>
        <w:t xml:space="preserve">acceso a </w:t>
      </w:r>
      <w:r w:rsidRPr="008174E3">
        <w:rPr>
          <w:rFonts w:ascii="Arial" w:hAnsi="Arial" w:cs="Arial"/>
          <w:sz w:val="22"/>
          <w:szCs w:val="22"/>
        </w:rPr>
        <w:t xml:space="preserve">empleo y en los ingresos de los participantes (Betcherman, 2004). </w:t>
      </w:r>
      <w:r w:rsidR="00BF0590" w:rsidRPr="008174E3">
        <w:rPr>
          <w:rFonts w:ascii="Arial" w:hAnsi="Arial" w:cs="Arial"/>
          <w:sz w:val="22"/>
          <w:szCs w:val="22"/>
        </w:rPr>
        <w:t xml:space="preserve">Se considera que este tipo de servicios puedan tener impacto </w:t>
      </w:r>
      <w:r w:rsidR="00EA17B2" w:rsidRPr="008174E3">
        <w:rPr>
          <w:rFonts w:ascii="Arial" w:hAnsi="Arial" w:cs="Arial"/>
          <w:sz w:val="22"/>
          <w:szCs w:val="22"/>
        </w:rPr>
        <w:t xml:space="preserve">positivo </w:t>
      </w:r>
      <w:r w:rsidR="00BF0590" w:rsidRPr="008174E3">
        <w:rPr>
          <w:rFonts w:ascii="Arial" w:hAnsi="Arial" w:cs="Arial"/>
          <w:sz w:val="22"/>
          <w:szCs w:val="22"/>
        </w:rPr>
        <w:t>en un mercado laboral como el mexicano</w:t>
      </w:r>
      <w:r w:rsidR="006E0CC1" w:rsidRPr="008174E3">
        <w:rPr>
          <w:rFonts w:ascii="Arial" w:hAnsi="Arial" w:cs="Arial"/>
          <w:sz w:val="22"/>
          <w:szCs w:val="22"/>
        </w:rPr>
        <w:t>,</w:t>
      </w:r>
      <w:r w:rsidR="00BF0590" w:rsidRPr="008174E3">
        <w:rPr>
          <w:rFonts w:ascii="Arial" w:hAnsi="Arial" w:cs="Arial"/>
          <w:sz w:val="22"/>
          <w:szCs w:val="22"/>
        </w:rPr>
        <w:t xml:space="preserve"> </w:t>
      </w:r>
      <w:r w:rsidR="00EA17B2" w:rsidRPr="008174E3">
        <w:rPr>
          <w:rFonts w:ascii="Arial" w:hAnsi="Arial" w:cs="Arial"/>
          <w:sz w:val="22"/>
          <w:szCs w:val="22"/>
        </w:rPr>
        <w:t xml:space="preserve">donde </w:t>
      </w:r>
      <w:r w:rsidRPr="008174E3">
        <w:rPr>
          <w:rFonts w:ascii="Arial" w:hAnsi="Arial" w:cs="Arial"/>
          <w:sz w:val="22"/>
          <w:szCs w:val="22"/>
        </w:rPr>
        <w:t xml:space="preserve">la presencia fricciones en la </w:t>
      </w:r>
      <w:r w:rsidR="00B6340E" w:rsidRPr="008174E3">
        <w:rPr>
          <w:rFonts w:ascii="Arial" w:hAnsi="Arial" w:cs="Arial"/>
          <w:sz w:val="22"/>
          <w:szCs w:val="22"/>
        </w:rPr>
        <w:t>búsqueda</w:t>
      </w:r>
      <w:r w:rsidRPr="008174E3">
        <w:rPr>
          <w:rFonts w:ascii="Arial" w:hAnsi="Arial" w:cs="Arial"/>
          <w:sz w:val="22"/>
          <w:szCs w:val="22"/>
        </w:rPr>
        <w:t xml:space="preserve"> de trabajo</w:t>
      </w:r>
      <w:r w:rsidR="00EA17B2" w:rsidRPr="008174E3">
        <w:rPr>
          <w:rFonts w:ascii="Arial" w:hAnsi="Arial" w:cs="Arial"/>
          <w:sz w:val="22"/>
          <w:szCs w:val="22"/>
        </w:rPr>
        <w:t xml:space="preserve"> (y falta de información)</w:t>
      </w:r>
      <w:r w:rsidRPr="008174E3">
        <w:rPr>
          <w:rFonts w:ascii="Arial" w:hAnsi="Arial" w:cs="Arial"/>
          <w:sz w:val="22"/>
          <w:szCs w:val="22"/>
        </w:rPr>
        <w:t xml:space="preserve">, </w:t>
      </w:r>
      <w:r w:rsidR="00BF0590" w:rsidRPr="008174E3">
        <w:rPr>
          <w:rFonts w:ascii="Arial" w:hAnsi="Arial" w:cs="Arial"/>
          <w:sz w:val="22"/>
          <w:szCs w:val="22"/>
        </w:rPr>
        <w:t>dej</w:t>
      </w:r>
      <w:r w:rsidR="002C3066" w:rsidRPr="008174E3">
        <w:rPr>
          <w:rFonts w:ascii="Arial" w:hAnsi="Arial" w:cs="Arial"/>
          <w:sz w:val="22"/>
          <w:szCs w:val="22"/>
        </w:rPr>
        <w:t>a</w:t>
      </w:r>
      <w:r w:rsidR="00BF0590" w:rsidRPr="008174E3">
        <w:rPr>
          <w:rFonts w:ascii="Arial" w:hAnsi="Arial" w:cs="Arial"/>
          <w:sz w:val="22"/>
          <w:szCs w:val="22"/>
        </w:rPr>
        <w:t xml:space="preserve">n </w:t>
      </w:r>
      <w:r w:rsidRPr="008174E3">
        <w:rPr>
          <w:rFonts w:ascii="Arial" w:hAnsi="Arial" w:cs="Arial"/>
          <w:sz w:val="22"/>
          <w:szCs w:val="22"/>
        </w:rPr>
        <w:t>un amplio margen de mejoras (McKenzie, 201</w:t>
      </w:r>
      <w:r w:rsidR="00442FFB" w:rsidRPr="008174E3">
        <w:rPr>
          <w:rFonts w:ascii="Arial" w:hAnsi="Arial" w:cs="Arial"/>
          <w:sz w:val="22"/>
          <w:szCs w:val="22"/>
        </w:rPr>
        <w:t>7</w:t>
      </w:r>
      <w:r w:rsidRPr="008174E3">
        <w:rPr>
          <w:rFonts w:ascii="Arial" w:hAnsi="Arial" w:cs="Arial"/>
          <w:sz w:val="22"/>
          <w:szCs w:val="22"/>
        </w:rPr>
        <w:t xml:space="preserve">). </w:t>
      </w:r>
      <w:r w:rsidR="00EA17B2" w:rsidRPr="008174E3">
        <w:rPr>
          <w:rFonts w:ascii="Arial" w:hAnsi="Arial" w:cs="Arial"/>
          <w:sz w:val="22"/>
          <w:szCs w:val="22"/>
        </w:rPr>
        <w:t>Se</w:t>
      </w:r>
      <w:r w:rsidR="0010616F" w:rsidRPr="008174E3">
        <w:rPr>
          <w:rFonts w:ascii="Arial" w:hAnsi="Arial" w:cs="Arial"/>
          <w:sz w:val="22"/>
          <w:szCs w:val="22"/>
        </w:rPr>
        <w:t xml:space="preserve"> ha enfatizado </w:t>
      </w:r>
      <w:r w:rsidR="00EA17B2" w:rsidRPr="008174E3">
        <w:rPr>
          <w:rFonts w:ascii="Arial" w:hAnsi="Arial" w:cs="Arial"/>
          <w:sz w:val="22"/>
          <w:szCs w:val="22"/>
        </w:rPr>
        <w:t xml:space="preserve">también </w:t>
      </w:r>
      <w:r w:rsidR="0010616F" w:rsidRPr="008174E3">
        <w:rPr>
          <w:rFonts w:ascii="Arial" w:hAnsi="Arial" w:cs="Arial"/>
          <w:sz w:val="22"/>
          <w:szCs w:val="22"/>
        </w:rPr>
        <w:t xml:space="preserve">que este tipo de programas </w:t>
      </w:r>
      <w:r w:rsidR="00EA17B2" w:rsidRPr="008174E3">
        <w:rPr>
          <w:rFonts w:ascii="Arial" w:hAnsi="Arial" w:cs="Arial"/>
          <w:sz w:val="22"/>
          <w:szCs w:val="22"/>
        </w:rPr>
        <w:t xml:space="preserve">juegan </w:t>
      </w:r>
      <w:r w:rsidR="0010616F" w:rsidRPr="008174E3">
        <w:rPr>
          <w:rFonts w:ascii="Arial" w:hAnsi="Arial" w:cs="Arial"/>
          <w:sz w:val="22"/>
          <w:szCs w:val="22"/>
        </w:rPr>
        <w:t xml:space="preserve">un rol importante en entornos cambiantes </w:t>
      </w:r>
      <w:r w:rsidR="00EA17B2" w:rsidRPr="008174E3">
        <w:rPr>
          <w:rFonts w:ascii="Arial" w:hAnsi="Arial" w:cs="Arial"/>
          <w:sz w:val="22"/>
          <w:szCs w:val="22"/>
        </w:rPr>
        <w:t xml:space="preserve">al corregir </w:t>
      </w:r>
      <w:r w:rsidR="0010616F" w:rsidRPr="008174E3">
        <w:rPr>
          <w:rFonts w:ascii="Arial" w:hAnsi="Arial" w:cs="Arial"/>
          <w:sz w:val="22"/>
          <w:szCs w:val="22"/>
        </w:rPr>
        <w:t>asimetrías de información</w:t>
      </w:r>
      <w:r w:rsidR="00EA17B2" w:rsidRPr="008174E3">
        <w:rPr>
          <w:rFonts w:ascii="Arial" w:hAnsi="Arial" w:cs="Arial"/>
          <w:sz w:val="22"/>
          <w:szCs w:val="22"/>
        </w:rPr>
        <w:t xml:space="preserve">, especialmente en contextos </w:t>
      </w:r>
      <w:r w:rsidR="0010616F" w:rsidRPr="008174E3">
        <w:rPr>
          <w:rFonts w:ascii="Arial" w:hAnsi="Arial" w:cs="Arial"/>
          <w:sz w:val="22"/>
          <w:szCs w:val="22"/>
        </w:rPr>
        <w:t>de ajustes estructurales o durante periodos de decrecimiento (Kluve</w:t>
      </w:r>
      <w:r w:rsidR="00A724EA">
        <w:rPr>
          <w:rFonts w:ascii="Arial" w:hAnsi="Arial" w:cs="Arial"/>
          <w:sz w:val="22"/>
          <w:szCs w:val="22"/>
        </w:rPr>
        <w:t>,</w:t>
      </w:r>
      <w:r w:rsidR="0010616F" w:rsidRPr="008174E3">
        <w:rPr>
          <w:rFonts w:ascii="Arial" w:hAnsi="Arial" w:cs="Arial"/>
          <w:sz w:val="22"/>
          <w:szCs w:val="22"/>
        </w:rPr>
        <w:t xml:space="preserve"> 2016).</w:t>
      </w:r>
      <w:r w:rsidR="00BF0590" w:rsidRPr="008174E3">
        <w:rPr>
          <w:rFonts w:ascii="Arial" w:hAnsi="Arial" w:cs="Arial"/>
          <w:sz w:val="22"/>
          <w:szCs w:val="22"/>
        </w:rPr>
        <w:t xml:space="preserve"> Sin embargo, </w:t>
      </w:r>
      <w:r w:rsidR="00EA17B2" w:rsidRPr="008174E3">
        <w:rPr>
          <w:rFonts w:ascii="Arial" w:hAnsi="Arial" w:cs="Arial"/>
          <w:sz w:val="22"/>
          <w:szCs w:val="22"/>
        </w:rPr>
        <w:t xml:space="preserve">también es cierto que la efectividad de este tipo de programas </w:t>
      </w:r>
      <w:r w:rsidR="00210B40" w:rsidRPr="008174E3">
        <w:rPr>
          <w:rFonts w:ascii="Arial" w:hAnsi="Arial" w:cs="Arial"/>
          <w:sz w:val="22"/>
          <w:szCs w:val="22"/>
        </w:rPr>
        <w:t>está</w:t>
      </w:r>
      <w:r w:rsidR="00EA17B2" w:rsidRPr="008174E3">
        <w:rPr>
          <w:rFonts w:ascii="Arial" w:hAnsi="Arial" w:cs="Arial"/>
          <w:sz w:val="22"/>
          <w:szCs w:val="22"/>
        </w:rPr>
        <w:t xml:space="preserve"> </w:t>
      </w:r>
      <w:r w:rsidR="0007065C" w:rsidRPr="008174E3">
        <w:rPr>
          <w:rFonts w:ascii="Arial" w:hAnsi="Arial" w:cs="Arial"/>
          <w:sz w:val="22"/>
          <w:szCs w:val="22"/>
        </w:rPr>
        <w:t>limitada</w:t>
      </w:r>
      <w:r w:rsidR="00EA17B2" w:rsidRPr="008174E3">
        <w:rPr>
          <w:rFonts w:ascii="Arial" w:hAnsi="Arial" w:cs="Arial"/>
          <w:sz w:val="22"/>
          <w:szCs w:val="22"/>
        </w:rPr>
        <w:t xml:space="preserve"> por el uso de </w:t>
      </w:r>
      <w:r w:rsidR="00BF0590" w:rsidRPr="008174E3">
        <w:rPr>
          <w:rFonts w:ascii="Arial" w:hAnsi="Arial" w:cs="Arial"/>
          <w:sz w:val="22"/>
          <w:szCs w:val="22"/>
        </w:rPr>
        <w:t xml:space="preserve">canales de búsqueda </w:t>
      </w:r>
      <w:r w:rsidR="00EA17B2" w:rsidRPr="008174E3">
        <w:rPr>
          <w:rFonts w:ascii="Arial" w:hAnsi="Arial" w:cs="Arial"/>
          <w:sz w:val="22"/>
          <w:szCs w:val="22"/>
        </w:rPr>
        <w:t>informales</w:t>
      </w:r>
      <w:r w:rsidR="00BF0590" w:rsidRPr="008174E3">
        <w:rPr>
          <w:rStyle w:val="FootnoteReference"/>
          <w:rFonts w:ascii="Arial" w:hAnsi="Arial" w:cs="Arial"/>
          <w:sz w:val="22"/>
          <w:szCs w:val="22"/>
        </w:rPr>
        <w:footnoteReference w:id="17"/>
      </w:r>
      <w:r w:rsidR="003B25F7" w:rsidRPr="008174E3">
        <w:rPr>
          <w:rFonts w:ascii="Arial" w:hAnsi="Arial" w:cs="Arial"/>
          <w:sz w:val="22"/>
          <w:szCs w:val="22"/>
        </w:rPr>
        <w:t>.</w:t>
      </w:r>
    </w:p>
    <w:p w14:paraId="7D24E627" w14:textId="77777777" w:rsidR="00913811" w:rsidRPr="008174E3" w:rsidRDefault="00913811" w:rsidP="00913811">
      <w:pPr>
        <w:pStyle w:val="ListParagraph"/>
        <w:rPr>
          <w:rFonts w:ascii="Arial" w:hAnsi="Arial" w:cs="Arial"/>
          <w:sz w:val="22"/>
          <w:szCs w:val="22"/>
        </w:rPr>
      </w:pPr>
    </w:p>
    <w:p w14:paraId="0B9E51EB" w14:textId="178289B6" w:rsidR="00913811" w:rsidRPr="008174E3" w:rsidRDefault="009C6561" w:rsidP="00913811">
      <w:pPr>
        <w:pStyle w:val="ListParagraph"/>
        <w:numPr>
          <w:ilvl w:val="0"/>
          <w:numId w:val="8"/>
        </w:numPr>
        <w:ind w:left="0"/>
        <w:jc w:val="both"/>
        <w:rPr>
          <w:rFonts w:ascii="Arial" w:hAnsi="Arial" w:cs="Arial"/>
          <w:sz w:val="22"/>
          <w:szCs w:val="22"/>
        </w:rPr>
      </w:pPr>
      <w:r w:rsidRPr="008174E3">
        <w:rPr>
          <w:rFonts w:ascii="Arial" w:hAnsi="Arial" w:cs="Arial"/>
          <w:sz w:val="22"/>
          <w:szCs w:val="22"/>
        </w:rPr>
        <w:t>En este contexto, el objetivo general de lo</w:t>
      </w:r>
      <w:r w:rsidR="0010616F" w:rsidRPr="008174E3">
        <w:rPr>
          <w:rFonts w:ascii="Arial" w:hAnsi="Arial" w:cs="Arial"/>
          <w:sz w:val="22"/>
          <w:szCs w:val="22"/>
        </w:rPr>
        <w:t xml:space="preserve">s SIL </w:t>
      </w:r>
      <w:r w:rsidRPr="008174E3">
        <w:rPr>
          <w:rFonts w:ascii="Arial" w:hAnsi="Arial" w:cs="Arial"/>
          <w:sz w:val="22"/>
          <w:szCs w:val="22"/>
        </w:rPr>
        <w:t xml:space="preserve">es </w:t>
      </w:r>
      <w:r w:rsidR="00913811" w:rsidRPr="008174E3">
        <w:rPr>
          <w:rFonts w:ascii="Arial" w:hAnsi="Arial" w:cs="Arial"/>
          <w:sz w:val="22"/>
          <w:szCs w:val="22"/>
        </w:rPr>
        <w:t xml:space="preserve">incrementar la eficiencia en los procesos de </w:t>
      </w:r>
      <w:r w:rsidR="00B6340E" w:rsidRPr="008174E3">
        <w:rPr>
          <w:rFonts w:ascii="Arial" w:hAnsi="Arial" w:cs="Arial"/>
          <w:sz w:val="22"/>
          <w:szCs w:val="22"/>
        </w:rPr>
        <w:t>búsqueda</w:t>
      </w:r>
      <w:r w:rsidR="00913811" w:rsidRPr="008174E3">
        <w:rPr>
          <w:rFonts w:ascii="Arial" w:hAnsi="Arial" w:cs="Arial"/>
          <w:sz w:val="22"/>
          <w:szCs w:val="22"/>
        </w:rPr>
        <w:t xml:space="preserve"> laboral y la calidad de resultados obtenidos, tanto para los buscadores de empleo como para los empleadores. </w:t>
      </w:r>
      <w:r w:rsidR="0010616F" w:rsidRPr="008174E3">
        <w:rPr>
          <w:rFonts w:ascii="Arial" w:hAnsi="Arial" w:cs="Arial"/>
          <w:sz w:val="22"/>
          <w:szCs w:val="22"/>
        </w:rPr>
        <w:t>La literatura ha</w:t>
      </w:r>
      <w:r w:rsidR="00913811" w:rsidRPr="008174E3">
        <w:rPr>
          <w:rFonts w:ascii="Arial" w:hAnsi="Arial" w:cs="Arial"/>
          <w:sz w:val="22"/>
          <w:szCs w:val="22"/>
        </w:rPr>
        <w:t xml:space="preserve"> identificado varios canales a través de los cuales los programas de </w:t>
      </w:r>
      <w:r w:rsidR="00B6340E" w:rsidRPr="008174E3">
        <w:rPr>
          <w:rFonts w:ascii="Arial" w:hAnsi="Arial" w:cs="Arial"/>
          <w:sz w:val="22"/>
          <w:szCs w:val="22"/>
        </w:rPr>
        <w:t>intermediación</w:t>
      </w:r>
      <w:r w:rsidR="00913811" w:rsidRPr="008174E3">
        <w:rPr>
          <w:rFonts w:ascii="Arial" w:hAnsi="Arial" w:cs="Arial"/>
          <w:sz w:val="22"/>
          <w:szCs w:val="22"/>
        </w:rPr>
        <w:t xml:space="preserve"> laboral </w:t>
      </w:r>
      <w:r w:rsidR="0010616F" w:rsidRPr="008174E3">
        <w:rPr>
          <w:rFonts w:ascii="Arial" w:hAnsi="Arial" w:cs="Arial"/>
          <w:sz w:val="22"/>
          <w:szCs w:val="22"/>
        </w:rPr>
        <w:t xml:space="preserve">funcionan: </w:t>
      </w:r>
      <w:r w:rsidR="00913811" w:rsidRPr="008174E3">
        <w:rPr>
          <w:rFonts w:ascii="Arial" w:hAnsi="Arial" w:cs="Arial"/>
          <w:sz w:val="22"/>
          <w:szCs w:val="22"/>
        </w:rPr>
        <w:t xml:space="preserve">entrenamiento para la </w:t>
      </w:r>
      <w:r w:rsidR="00B6340E" w:rsidRPr="008174E3">
        <w:rPr>
          <w:rFonts w:ascii="Arial" w:hAnsi="Arial" w:cs="Arial"/>
          <w:sz w:val="22"/>
          <w:szCs w:val="22"/>
        </w:rPr>
        <w:t>búsqueda</w:t>
      </w:r>
      <w:r w:rsidR="00913811" w:rsidRPr="008174E3">
        <w:rPr>
          <w:rFonts w:ascii="Arial" w:hAnsi="Arial" w:cs="Arial"/>
          <w:sz w:val="22"/>
          <w:szCs w:val="22"/>
        </w:rPr>
        <w:t xml:space="preserve"> laboral, </w:t>
      </w:r>
      <w:r w:rsidR="00757583" w:rsidRPr="008174E3">
        <w:rPr>
          <w:rFonts w:ascii="Arial" w:hAnsi="Arial" w:cs="Arial"/>
          <w:sz w:val="22"/>
          <w:szCs w:val="22"/>
        </w:rPr>
        <w:t>asesoramiento a</w:t>
      </w:r>
      <w:r w:rsidRPr="008174E3">
        <w:rPr>
          <w:rFonts w:ascii="Arial" w:hAnsi="Arial" w:cs="Arial"/>
          <w:sz w:val="22"/>
          <w:szCs w:val="22"/>
        </w:rPr>
        <w:t xml:space="preserve"> buscadores de empleo</w:t>
      </w:r>
      <w:r w:rsidR="00913811" w:rsidRPr="008174E3">
        <w:rPr>
          <w:rFonts w:ascii="Arial" w:hAnsi="Arial" w:cs="Arial"/>
          <w:sz w:val="22"/>
          <w:szCs w:val="22"/>
        </w:rPr>
        <w:t xml:space="preserve">, monitoreo, </w:t>
      </w:r>
      <w:r w:rsidR="007C7C23" w:rsidRPr="008174E3">
        <w:rPr>
          <w:rFonts w:ascii="Arial" w:hAnsi="Arial" w:cs="Arial"/>
          <w:sz w:val="22"/>
          <w:szCs w:val="22"/>
        </w:rPr>
        <w:t xml:space="preserve">reducción de los costos de búsqueda, </w:t>
      </w:r>
      <w:r w:rsidR="0010616F" w:rsidRPr="008174E3">
        <w:rPr>
          <w:rFonts w:ascii="Arial" w:hAnsi="Arial" w:cs="Arial"/>
          <w:sz w:val="22"/>
          <w:szCs w:val="22"/>
        </w:rPr>
        <w:t xml:space="preserve">por mencionar solo algunos </w:t>
      </w:r>
      <w:r w:rsidR="00913811" w:rsidRPr="008174E3">
        <w:rPr>
          <w:rFonts w:ascii="Arial" w:hAnsi="Arial" w:cs="Arial"/>
          <w:sz w:val="22"/>
          <w:szCs w:val="22"/>
        </w:rPr>
        <w:t xml:space="preserve">(Kluve, 2016). </w:t>
      </w:r>
    </w:p>
    <w:p w14:paraId="53B95FA3" w14:textId="77777777" w:rsidR="00913811" w:rsidRPr="008174E3" w:rsidRDefault="00913811" w:rsidP="00913811">
      <w:pPr>
        <w:pStyle w:val="ListParagraph"/>
        <w:ind w:left="0"/>
        <w:jc w:val="both"/>
        <w:rPr>
          <w:rFonts w:ascii="Arial" w:hAnsi="Arial" w:cs="Arial"/>
          <w:sz w:val="22"/>
          <w:szCs w:val="22"/>
        </w:rPr>
      </w:pPr>
    </w:p>
    <w:p w14:paraId="0996E40F" w14:textId="63BD46DF" w:rsidR="00913811" w:rsidRPr="008174E3" w:rsidRDefault="00913811" w:rsidP="00913811">
      <w:pPr>
        <w:pStyle w:val="ListParagraph"/>
        <w:numPr>
          <w:ilvl w:val="0"/>
          <w:numId w:val="8"/>
        </w:numPr>
        <w:ind w:left="0"/>
        <w:jc w:val="both"/>
        <w:rPr>
          <w:rFonts w:ascii="Arial" w:hAnsi="Arial" w:cs="Arial"/>
          <w:sz w:val="22"/>
          <w:szCs w:val="22"/>
        </w:rPr>
      </w:pPr>
      <w:r w:rsidRPr="008174E3">
        <w:rPr>
          <w:rFonts w:ascii="Arial" w:hAnsi="Arial" w:cs="Arial"/>
          <w:sz w:val="22"/>
          <w:szCs w:val="22"/>
        </w:rPr>
        <w:t>La teoría del cambio de</w:t>
      </w:r>
      <w:r w:rsidR="00F331F6" w:rsidRPr="008174E3">
        <w:rPr>
          <w:rFonts w:ascii="Arial" w:hAnsi="Arial" w:cs="Arial"/>
          <w:sz w:val="22"/>
          <w:szCs w:val="22"/>
        </w:rPr>
        <w:t>trás del impacto del componente</w:t>
      </w:r>
      <w:r w:rsidRPr="008174E3">
        <w:rPr>
          <w:rFonts w:ascii="Arial" w:hAnsi="Arial" w:cs="Arial"/>
          <w:sz w:val="22"/>
          <w:szCs w:val="22"/>
        </w:rPr>
        <w:t xml:space="preserve"> se basa en el hecho que buscadores de empleo y empleadores tienen información imperfecta sobre las características de los empleos ofertados y sobre las características de los buscadores de empleo, respectivamente. Más aún, la búsqueda de esta información demanda tiempo y representa costos tanto para el buscador de empleo y los empleadores. </w:t>
      </w:r>
      <w:r w:rsidR="006E0CC1" w:rsidRPr="008174E3">
        <w:rPr>
          <w:rFonts w:ascii="Arial" w:hAnsi="Arial" w:cs="Arial"/>
          <w:sz w:val="22"/>
          <w:szCs w:val="22"/>
        </w:rPr>
        <w:t>La</w:t>
      </w:r>
      <w:r w:rsidRPr="008174E3">
        <w:rPr>
          <w:rFonts w:ascii="Arial" w:hAnsi="Arial" w:cs="Arial"/>
          <w:sz w:val="22"/>
          <w:szCs w:val="22"/>
        </w:rPr>
        <w:t xml:space="preserve"> provisión de un SIL que brinde información laboral relevante y permita el acercamiento entre buscadores de empleo y vacantes </w:t>
      </w:r>
      <w:r w:rsidR="00757583" w:rsidRPr="008174E3">
        <w:rPr>
          <w:rFonts w:ascii="Arial" w:hAnsi="Arial" w:cs="Arial"/>
          <w:sz w:val="22"/>
          <w:szCs w:val="22"/>
        </w:rPr>
        <w:t>permitirá</w:t>
      </w:r>
      <w:r w:rsidRPr="008174E3">
        <w:rPr>
          <w:rFonts w:ascii="Arial" w:hAnsi="Arial" w:cs="Arial"/>
          <w:sz w:val="22"/>
          <w:szCs w:val="22"/>
        </w:rPr>
        <w:t xml:space="preserve"> un mejor emparejamiento y por ende un incremento en la productividad de los trabajadores y de la empresa. Asimismo, el acceso </w:t>
      </w:r>
      <w:r w:rsidR="0010616F" w:rsidRPr="008174E3">
        <w:rPr>
          <w:rFonts w:ascii="Arial" w:hAnsi="Arial" w:cs="Arial"/>
          <w:sz w:val="22"/>
          <w:szCs w:val="22"/>
        </w:rPr>
        <w:t xml:space="preserve">a información laboral </w:t>
      </w:r>
      <w:r w:rsidR="00757583" w:rsidRPr="008174E3">
        <w:rPr>
          <w:rFonts w:ascii="Arial" w:hAnsi="Arial" w:cs="Arial"/>
          <w:sz w:val="22"/>
          <w:szCs w:val="22"/>
        </w:rPr>
        <w:t>permitirá</w:t>
      </w:r>
      <w:r w:rsidRPr="008174E3">
        <w:rPr>
          <w:rFonts w:ascii="Arial" w:hAnsi="Arial" w:cs="Arial"/>
          <w:sz w:val="22"/>
          <w:szCs w:val="22"/>
        </w:rPr>
        <w:t xml:space="preserve"> a los buscadores de empleo </w:t>
      </w:r>
      <w:r w:rsidR="0010616F" w:rsidRPr="008174E3">
        <w:rPr>
          <w:rFonts w:ascii="Arial" w:hAnsi="Arial" w:cs="Arial"/>
          <w:sz w:val="22"/>
          <w:szCs w:val="22"/>
        </w:rPr>
        <w:t xml:space="preserve">tomar </w:t>
      </w:r>
      <w:r w:rsidRPr="008174E3">
        <w:rPr>
          <w:rFonts w:ascii="Arial" w:hAnsi="Arial" w:cs="Arial"/>
          <w:sz w:val="22"/>
          <w:szCs w:val="22"/>
        </w:rPr>
        <w:t xml:space="preserve">conocimiento de </w:t>
      </w:r>
      <w:r w:rsidR="0010616F" w:rsidRPr="008174E3">
        <w:rPr>
          <w:rFonts w:ascii="Arial" w:hAnsi="Arial" w:cs="Arial"/>
          <w:sz w:val="22"/>
          <w:szCs w:val="22"/>
        </w:rPr>
        <w:t xml:space="preserve">las </w:t>
      </w:r>
      <w:r w:rsidRPr="008174E3">
        <w:rPr>
          <w:rFonts w:ascii="Arial" w:hAnsi="Arial" w:cs="Arial"/>
          <w:sz w:val="22"/>
          <w:szCs w:val="22"/>
        </w:rPr>
        <w:t xml:space="preserve">opciones laborales </w:t>
      </w:r>
      <w:r w:rsidR="0010616F" w:rsidRPr="008174E3">
        <w:rPr>
          <w:rFonts w:ascii="Arial" w:hAnsi="Arial" w:cs="Arial"/>
          <w:sz w:val="22"/>
          <w:szCs w:val="22"/>
        </w:rPr>
        <w:t xml:space="preserve">existentes </w:t>
      </w:r>
      <w:r w:rsidRPr="008174E3">
        <w:rPr>
          <w:rFonts w:ascii="Arial" w:hAnsi="Arial" w:cs="Arial"/>
          <w:sz w:val="22"/>
          <w:szCs w:val="22"/>
        </w:rPr>
        <w:t xml:space="preserve">y de </w:t>
      </w:r>
      <w:r w:rsidR="0010616F" w:rsidRPr="008174E3">
        <w:rPr>
          <w:rFonts w:ascii="Arial" w:hAnsi="Arial" w:cs="Arial"/>
          <w:sz w:val="22"/>
          <w:szCs w:val="22"/>
        </w:rPr>
        <w:t xml:space="preserve">las </w:t>
      </w:r>
      <w:r w:rsidRPr="008174E3">
        <w:rPr>
          <w:rFonts w:ascii="Arial" w:hAnsi="Arial" w:cs="Arial"/>
          <w:sz w:val="22"/>
          <w:szCs w:val="22"/>
        </w:rPr>
        <w:t xml:space="preserve">condiciones del mercado laboral, </w:t>
      </w:r>
      <w:r w:rsidR="0010616F" w:rsidRPr="008174E3">
        <w:rPr>
          <w:rFonts w:ascii="Arial" w:hAnsi="Arial" w:cs="Arial"/>
          <w:sz w:val="22"/>
          <w:szCs w:val="22"/>
        </w:rPr>
        <w:t xml:space="preserve">con lo cual </w:t>
      </w:r>
      <w:r w:rsidRPr="008174E3">
        <w:rPr>
          <w:rFonts w:ascii="Arial" w:hAnsi="Arial" w:cs="Arial"/>
          <w:sz w:val="22"/>
          <w:szCs w:val="22"/>
        </w:rPr>
        <w:t xml:space="preserve">podría negociar de mejor manera su remuneración y beneficios laborales. </w:t>
      </w:r>
    </w:p>
    <w:p w14:paraId="7E33D85C" w14:textId="77777777" w:rsidR="00F55099" w:rsidRPr="008174E3" w:rsidRDefault="00F55099" w:rsidP="00F55099">
      <w:pPr>
        <w:pStyle w:val="ListParagraph"/>
        <w:ind w:left="0"/>
        <w:jc w:val="both"/>
        <w:rPr>
          <w:rFonts w:ascii="Arial" w:hAnsi="Arial" w:cs="Arial"/>
          <w:sz w:val="22"/>
          <w:szCs w:val="22"/>
        </w:rPr>
      </w:pPr>
    </w:p>
    <w:p w14:paraId="7DF4D43B" w14:textId="2F5A2CDE" w:rsidR="00913811" w:rsidRPr="008174E3" w:rsidRDefault="00F55099" w:rsidP="00796D46">
      <w:pPr>
        <w:pStyle w:val="ListParagraph"/>
        <w:numPr>
          <w:ilvl w:val="0"/>
          <w:numId w:val="8"/>
        </w:numPr>
        <w:ind w:left="0"/>
        <w:jc w:val="both"/>
        <w:rPr>
          <w:rFonts w:ascii="Arial" w:hAnsi="Arial" w:cs="Arial"/>
          <w:sz w:val="22"/>
          <w:szCs w:val="22"/>
        </w:rPr>
      </w:pPr>
      <w:r w:rsidRPr="008174E3">
        <w:rPr>
          <w:rFonts w:ascii="Arial" w:hAnsi="Arial" w:cs="Arial"/>
          <w:sz w:val="22"/>
          <w:szCs w:val="22"/>
        </w:rPr>
        <w:t>En la región, a pesar de que un gran número de gobiernos proveen SIL</w:t>
      </w:r>
      <w:r w:rsidRPr="008174E3">
        <w:rPr>
          <w:rStyle w:val="FootnoteReference"/>
          <w:rFonts w:ascii="Arial" w:hAnsi="Arial" w:cs="Arial"/>
          <w:sz w:val="22"/>
          <w:szCs w:val="22"/>
        </w:rPr>
        <w:footnoteReference w:id="18"/>
      </w:r>
      <w:r w:rsidRPr="008174E3">
        <w:rPr>
          <w:rFonts w:ascii="Arial" w:hAnsi="Arial" w:cs="Arial"/>
          <w:sz w:val="22"/>
          <w:szCs w:val="22"/>
        </w:rPr>
        <w:t xml:space="preserve">, la literatura económica acerca de su impacto es todavía limitada. </w:t>
      </w:r>
      <w:r w:rsidR="00913811" w:rsidRPr="008174E3">
        <w:rPr>
          <w:rFonts w:ascii="Arial" w:hAnsi="Arial" w:cs="Arial"/>
          <w:sz w:val="22"/>
          <w:szCs w:val="22"/>
        </w:rPr>
        <w:t xml:space="preserve">La mayoría de estos resultados provienen de evaluaciones cuasi-experimentales a través de </w:t>
      </w:r>
      <w:r w:rsidR="00913811" w:rsidRPr="008174E3">
        <w:rPr>
          <w:rFonts w:ascii="Arial" w:hAnsi="Arial" w:cs="Arial"/>
          <w:i/>
          <w:sz w:val="22"/>
          <w:szCs w:val="22"/>
        </w:rPr>
        <w:t>matching</w:t>
      </w:r>
      <w:r w:rsidR="00913811" w:rsidRPr="008174E3">
        <w:rPr>
          <w:rStyle w:val="FootnoteReference"/>
          <w:rFonts w:ascii="Arial" w:hAnsi="Arial" w:cs="Arial"/>
          <w:sz w:val="22"/>
          <w:szCs w:val="22"/>
        </w:rPr>
        <w:footnoteReference w:id="19"/>
      </w:r>
      <w:r w:rsidR="00913811" w:rsidRPr="008174E3">
        <w:rPr>
          <w:rFonts w:ascii="Arial" w:hAnsi="Arial" w:cs="Arial"/>
          <w:sz w:val="22"/>
          <w:szCs w:val="22"/>
        </w:rPr>
        <w:t xml:space="preserve">. Quizá el ejemplo más relevante para la presente operación proviene de Flores (2010) que encuentra evidencia de efectos significativos del uso del </w:t>
      </w:r>
      <w:r w:rsidRPr="008174E3">
        <w:rPr>
          <w:rFonts w:ascii="Arial" w:hAnsi="Arial" w:cs="Arial"/>
          <w:sz w:val="22"/>
          <w:szCs w:val="22"/>
        </w:rPr>
        <w:t xml:space="preserve">SNE </w:t>
      </w:r>
      <w:r w:rsidR="00913811" w:rsidRPr="008174E3">
        <w:rPr>
          <w:rFonts w:ascii="Arial" w:hAnsi="Arial" w:cs="Arial"/>
          <w:sz w:val="22"/>
          <w:szCs w:val="22"/>
        </w:rPr>
        <w:t>de México en el ingreso labora</w:t>
      </w:r>
      <w:r w:rsidRPr="008174E3">
        <w:rPr>
          <w:rFonts w:ascii="Arial" w:hAnsi="Arial" w:cs="Arial"/>
          <w:sz w:val="22"/>
          <w:szCs w:val="22"/>
        </w:rPr>
        <w:t>l</w:t>
      </w:r>
      <w:r w:rsidR="00913811" w:rsidRPr="008174E3">
        <w:rPr>
          <w:rFonts w:ascii="Arial" w:hAnsi="Arial" w:cs="Arial"/>
          <w:sz w:val="22"/>
          <w:szCs w:val="22"/>
        </w:rPr>
        <w:t xml:space="preserve"> mensual, aunque no encuentra impactos en la probabilidad de conseguir empleo. </w:t>
      </w:r>
    </w:p>
    <w:p w14:paraId="31781D90" w14:textId="77777777" w:rsidR="00F55099" w:rsidRPr="008174E3" w:rsidRDefault="00F55099" w:rsidP="00F55099">
      <w:pPr>
        <w:pStyle w:val="ListParagraph"/>
        <w:ind w:left="0"/>
        <w:jc w:val="both"/>
        <w:rPr>
          <w:rFonts w:ascii="Arial" w:hAnsi="Arial" w:cs="Arial"/>
          <w:sz w:val="22"/>
          <w:szCs w:val="22"/>
        </w:rPr>
      </w:pPr>
    </w:p>
    <w:p w14:paraId="0077FCA8" w14:textId="5AA3A03A" w:rsidR="00913811" w:rsidRPr="008174E3" w:rsidRDefault="00913811" w:rsidP="00A62F06">
      <w:pPr>
        <w:pStyle w:val="ListParagraph"/>
        <w:numPr>
          <w:ilvl w:val="0"/>
          <w:numId w:val="8"/>
        </w:numPr>
        <w:ind w:left="0"/>
        <w:jc w:val="both"/>
        <w:rPr>
          <w:rFonts w:ascii="Arial" w:hAnsi="Arial" w:cs="Arial"/>
          <w:sz w:val="22"/>
          <w:szCs w:val="22"/>
        </w:rPr>
      </w:pPr>
      <w:r w:rsidRPr="008174E3">
        <w:rPr>
          <w:rFonts w:ascii="Arial" w:hAnsi="Arial" w:cs="Arial"/>
          <w:sz w:val="22"/>
          <w:szCs w:val="22"/>
        </w:rPr>
        <w:t>Para el Perú, a través de una evaluación cuasi experimental Chacaltana &amp; Sulmont (2003) encuentra</w:t>
      </w:r>
      <w:r w:rsidR="000625A5" w:rsidRPr="008174E3">
        <w:rPr>
          <w:rFonts w:ascii="Arial" w:hAnsi="Arial" w:cs="Arial"/>
          <w:sz w:val="22"/>
          <w:szCs w:val="22"/>
        </w:rPr>
        <w:t>n</w:t>
      </w:r>
      <w:r w:rsidRPr="008174E3">
        <w:rPr>
          <w:rFonts w:ascii="Arial" w:hAnsi="Arial" w:cs="Arial"/>
          <w:sz w:val="22"/>
          <w:szCs w:val="22"/>
        </w:rPr>
        <w:t xml:space="preserve"> evidencia de que el uso del SPE (RED-CIL Proempleo) habría producido un incremento de 27% en los ingresos a un año de haber sido colocados. Así también, los autores encuentran evidencia de una reducción en 4% en la probabilidad de</w:t>
      </w:r>
      <w:r w:rsidRPr="008174E3">
        <w:rPr>
          <w:rFonts w:ascii="Arial" w:hAnsi="Arial" w:cs="Arial"/>
        </w:rPr>
        <w:t xml:space="preserve"> </w:t>
      </w:r>
      <w:r w:rsidRPr="008174E3">
        <w:rPr>
          <w:rFonts w:ascii="Arial" w:hAnsi="Arial" w:cs="Arial"/>
          <w:sz w:val="22"/>
          <w:szCs w:val="22"/>
        </w:rPr>
        <w:t xml:space="preserve">estar desempleado y un </w:t>
      </w:r>
      <w:r w:rsidRPr="008174E3">
        <w:rPr>
          <w:rFonts w:ascii="Arial" w:hAnsi="Arial" w:cs="Arial"/>
          <w:sz w:val="22"/>
          <w:szCs w:val="22"/>
        </w:rPr>
        <w:lastRenderedPageBreak/>
        <w:t>incremento en 11 puntos porcentuales (pp.) en la probabilidad de participar en el mercado laboral.</w:t>
      </w:r>
      <w:r w:rsidR="00750FBA" w:rsidRPr="008174E3">
        <w:rPr>
          <w:rFonts w:ascii="Arial" w:hAnsi="Arial" w:cs="Arial"/>
          <w:sz w:val="22"/>
          <w:szCs w:val="22"/>
        </w:rPr>
        <w:t xml:space="preserve"> En Colombia Pignatti (2016) encuentra que participar en el Servicio de Empleo incrementa </w:t>
      </w:r>
      <w:r w:rsidR="00A62F06" w:rsidRPr="008174E3">
        <w:rPr>
          <w:rFonts w:ascii="Arial" w:hAnsi="Arial" w:cs="Arial"/>
          <w:sz w:val="22"/>
          <w:szCs w:val="22"/>
        </w:rPr>
        <w:t xml:space="preserve">la probabilidad de tener un empleo formal en 9 pp. con respecto a aquellos que </w:t>
      </w:r>
      <w:r w:rsidR="00757583" w:rsidRPr="008174E3">
        <w:rPr>
          <w:rFonts w:ascii="Arial" w:hAnsi="Arial" w:cs="Arial"/>
          <w:sz w:val="22"/>
          <w:szCs w:val="22"/>
        </w:rPr>
        <w:t>respondieron</w:t>
      </w:r>
      <w:r w:rsidR="00A62F06" w:rsidRPr="008174E3">
        <w:rPr>
          <w:rFonts w:ascii="Arial" w:hAnsi="Arial" w:cs="Arial"/>
          <w:sz w:val="22"/>
          <w:szCs w:val="22"/>
        </w:rPr>
        <w:t xml:space="preserve"> avisos clasificados, siendo que el impacto se explica por la colocación de los buscadores en empresas más grandes. </w:t>
      </w:r>
    </w:p>
    <w:p w14:paraId="1C3867FC" w14:textId="77777777" w:rsidR="00A62F06" w:rsidRPr="008174E3" w:rsidRDefault="00A62F06" w:rsidP="00A62F06">
      <w:pPr>
        <w:pStyle w:val="ListParagraph"/>
        <w:rPr>
          <w:rFonts w:ascii="Arial" w:hAnsi="Arial" w:cs="Arial"/>
          <w:sz w:val="22"/>
          <w:szCs w:val="22"/>
        </w:rPr>
      </w:pPr>
    </w:p>
    <w:p w14:paraId="7262BBC8" w14:textId="0C5C2EA6" w:rsidR="000114FE" w:rsidRPr="008174E3" w:rsidRDefault="00CE0A31" w:rsidP="00A3182C">
      <w:pPr>
        <w:pStyle w:val="ListParagraph"/>
        <w:numPr>
          <w:ilvl w:val="0"/>
          <w:numId w:val="8"/>
        </w:numPr>
        <w:ind w:left="0"/>
        <w:jc w:val="both"/>
        <w:rPr>
          <w:rFonts w:ascii="Arial" w:hAnsi="Arial" w:cs="Arial"/>
          <w:sz w:val="22"/>
          <w:szCs w:val="22"/>
        </w:rPr>
      </w:pPr>
      <w:r w:rsidRPr="008174E3">
        <w:rPr>
          <w:rFonts w:ascii="Arial" w:hAnsi="Arial" w:cs="Arial"/>
          <w:sz w:val="22"/>
          <w:szCs w:val="22"/>
        </w:rPr>
        <w:t xml:space="preserve">En </w:t>
      </w:r>
      <w:r w:rsidR="00F55099" w:rsidRPr="008174E3">
        <w:rPr>
          <w:rFonts w:ascii="Arial" w:hAnsi="Arial" w:cs="Arial"/>
          <w:sz w:val="22"/>
          <w:szCs w:val="22"/>
        </w:rPr>
        <w:t xml:space="preserve">los </w:t>
      </w:r>
      <w:r w:rsidRPr="008174E3">
        <w:rPr>
          <w:rFonts w:ascii="Arial" w:hAnsi="Arial" w:cs="Arial"/>
          <w:sz w:val="22"/>
          <w:szCs w:val="22"/>
        </w:rPr>
        <w:t>último</w:t>
      </w:r>
      <w:r w:rsidR="00F55099" w:rsidRPr="008174E3">
        <w:rPr>
          <w:rFonts w:ascii="Arial" w:hAnsi="Arial" w:cs="Arial"/>
          <w:sz w:val="22"/>
          <w:szCs w:val="22"/>
        </w:rPr>
        <w:t>s</w:t>
      </w:r>
      <w:r w:rsidRPr="008174E3">
        <w:rPr>
          <w:rFonts w:ascii="Arial" w:hAnsi="Arial" w:cs="Arial"/>
          <w:sz w:val="22"/>
          <w:szCs w:val="22"/>
        </w:rPr>
        <w:t xml:space="preserve"> </w:t>
      </w:r>
      <w:r w:rsidR="00F55099" w:rsidRPr="008174E3">
        <w:rPr>
          <w:rFonts w:ascii="Arial" w:hAnsi="Arial" w:cs="Arial"/>
          <w:sz w:val="22"/>
          <w:szCs w:val="22"/>
        </w:rPr>
        <w:t xml:space="preserve">años han surgido una cantidad importante de </w:t>
      </w:r>
      <w:r w:rsidR="00267030" w:rsidRPr="008174E3">
        <w:rPr>
          <w:rFonts w:ascii="Arial" w:hAnsi="Arial" w:cs="Arial"/>
          <w:sz w:val="22"/>
          <w:szCs w:val="22"/>
        </w:rPr>
        <w:t xml:space="preserve">evaluaciones de </w:t>
      </w:r>
      <w:r w:rsidR="00913811" w:rsidRPr="008174E3">
        <w:rPr>
          <w:rFonts w:ascii="Arial" w:hAnsi="Arial" w:cs="Arial"/>
          <w:sz w:val="22"/>
          <w:szCs w:val="22"/>
        </w:rPr>
        <w:t xml:space="preserve">impactos </w:t>
      </w:r>
      <w:r w:rsidRPr="008174E3">
        <w:rPr>
          <w:rFonts w:ascii="Arial" w:hAnsi="Arial" w:cs="Arial"/>
          <w:sz w:val="22"/>
          <w:szCs w:val="22"/>
        </w:rPr>
        <w:t>rigurosas</w:t>
      </w:r>
      <w:r w:rsidR="00F55099" w:rsidRPr="008174E3">
        <w:rPr>
          <w:rFonts w:ascii="Arial" w:hAnsi="Arial" w:cs="Arial"/>
          <w:sz w:val="22"/>
          <w:szCs w:val="22"/>
        </w:rPr>
        <w:t xml:space="preserve"> para países en desarrollo</w:t>
      </w:r>
      <w:r w:rsidRPr="008174E3">
        <w:rPr>
          <w:rFonts w:ascii="Arial" w:hAnsi="Arial" w:cs="Arial"/>
          <w:sz w:val="22"/>
          <w:szCs w:val="22"/>
        </w:rPr>
        <w:t xml:space="preserve">. En general, los estudios recientes encuentran </w:t>
      </w:r>
      <w:r w:rsidR="00267030" w:rsidRPr="008174E3">
        <w:rPr>
          <w:rFonts w:ascii="Arial" w:hAnsi="Arial" w:cs="Arial"/>
          <w:sz w:val="22"/>
          <w:szCs w:val="22"/>
        </w:rPr>
        <w:t xml:space="preserve">evidencia positiva </w:t>
      </w:r>
      <w:r w:rsidRPr="008174E3">
        <w:rPr>
          <w:rFonts w:ascii="Arial" w:hAnsi="Arial" w:cs="Arial"/>
          <w:sz w:val="22"/>
          <w:szCs w:val="22"/>
        </w:rPr>
        <w:t>de lo</w:t>
      </w:r>
      <w:r w:rsidR="000625A5" w:rsidRPr="008174E3">
        <w:rPr>
          <w:rFonts w:ascii="Arial" w:hAnsi="Arial" w:cs="Arial"/>
          <w:sz w:val="22"/>
          <w:szCs w:val="22"/>
        </w:rPr>
        <w:t>s efectos de los</w:t>
      </w:r>
      <w:r w:rsidRPr="008174E3">
        <w:rPr>
          <w:rFonts w:ascii="Arial" w:hAnsi="Arial" w:cs="Arial"/>
          <w:sz w:val="22"/>
          <w:szCs w:val="22"/>
        </w:rPr>
        <w:t xml:space="preserve"> SIL </w:t>
      </w:r>
      <w:r w:rsidR="00267030" w:rsidRPr="008174E3">
        <w:rPr>
          <w:rFonts w:ascii="Arial" w:hAnsi="Arial" w:cs="Arial"/>
          <w:sz w:val="22"/>
          <w:szCs w:val="22"/>
        </w:rPr>
        <w:t xml:space="preserve">en </w:t>
      </w:r>
      <w:r w:rsidRPr="008174E3">
        <w:rPr>
          <w:rFonts w:ascii="Arial" w:hAnsi="Arial" w:cs="Arial"/>
          <w:sz w:val="22"/>
          <w:szCs w:val="22"/>
        </w:rPr>
        <w:t xml:space="preserve">el </w:t>
      </w:r>
      <w:r w:rsidR="00267030" w:rsidRPr="008174E3">
        <w:rPr>
          <w:rFonts w:ascii="Arial" w:hAnsi="Arial" w:cs="Arial"/>
          <w:sz w:val="22"/>
          <w:szCs w:val="22"/>
        </w:rPr>
        <w:t>acceso a empleo</w:t>
      </w:r>
      <w:r w:rsidR="000114FE" w:rsidRPr="008174E3">
        <w:rPr>
          <w:rFonts w:ascii="Arial" w:hAnsi="Arial" w:cs="Arial"/>
          <w:sz w:val="22"/>
          <w:szCs w:val="22"/>
        </w:rPr>
        <w:t xml:space="preserve">s, </w:t>
      </w:r>
      <w:r w:rsidRPr="008174E3">
        <w:rPr>
          <w:rFonts w:ascii="Arial" w:hAnsi="Arial" w:cs="Arial"/>
          <w:sz w:val="22"/>
          <w:szCs w:val="22"/>
        </w:rPr>
        <w:t xml:space="preserve">particularmente </w:t>
      </w:r>
      <w:r w:rsidR="000114FE" w:rsidRPr="008174E3">
        <w:rPr>
          <w:rFonts w:ascii="Arial" w:hAnsi="Arial" w:cs="Arial"/>
          <w:sz w:val="22"/>
          <w:szCs w:val="22"/>
        </w:rPr>
        <w:t xml:space="preserve">a </w:t>
      </w:r>
      <w:r w:rsidR="00267030" w:rsidRPr="008174E3">
        <w:rPr>
          <w:rFonts w:ascii="Arial" w:hAnsi="Arial" w:cs="Arial"/>
          <w:sz w:val="22"/>
          <w:szCs w:val="22"/>
        </w:rPr>
        <w:t>empleo</w:t>
      </w:r>
      <w:r w:rsidR="000114FE" w:rsidRPr="008174E3">
        <w:rPr>
          <w:rFonts w:ascii="Arial" w:hAnsi="Arial" w:cs="Arial"/>
          <w:sz w:val="22"/>
          <w:szCs w:val="22"/>
        </w:rPr>
        <w:t>s</w:t>
      </w:r>
      <w:r w:rsidR="00267030" w:rsidRPr="008174E3">
        <w:rPr>
          <w:rFonts w:ascii="Arial" w:hAnsi="Arial" w:cs="Arial"/>
          <w:sz w:val="22"/>
          <w:szCs w:val="22"/>
        </w:rPr>
        <w:t xml:space="preserve"> de calidad (Mckenzie, </w:t>
      </w:r>
      <w:r w:rsidR="00442FFB" w:rsidRPr="008174E3">
        <w:rPr>
          <w:rFonts w:ascii="Arial" w:hAnsi="Arial" w:cs="Arial"/>
          <w:sz w:val="22"/>
          <w:szCs w:val="22"/>
        </w:rPr>
        <w:t>2017</w:t>
      </w:r>
      <w:r w:rsidR="00267030" w:rsidRPr="008174E3">
        <w:rPr>
          <w:rFonts w:ascii="Arial" w:hAnsi="Arial" w:cs="Arial"/>
          <w:sz w:val="22"/>
          <w:szCs w:val="22"/>
        </w:rPr>
        <w:t xml:space="preserve">). </w:t>
      </w:r>
      <w:r w:rsidR="00913811" w:rsidRPr="008174E3">
        <w:rPr>
          <w:rFonts w:ascii="Arial" w:hAnsi="Arial" w:cs="Arial"/>
          <w:sz w:val="22"/>
          <w:szCs w:val="22"/>
        </w:rPr>
        <w:t xml:space="preserve">Para el Perú, Dammert et al (2015) encuentra que la provisión de información acerca de las vacantes laborales </w:t>
      </w:r>
      <w:r w:rsidR="00757583" w:rsidRPr="008174E3">
        <w:rPr>
          <w:rFonts w:ascii="Arial" w:hAnsi="Arial" w:cs="Arial"/>
          <w:sz w:val="22"/>
          <w:szCs w:val="22"/>
        </w:rPr>
        <w:t>mediante</w:t>
      </w:r>
      <w:r w:rsidRPr="008174E3">
        <w:rPr>
          <w:rFonts w:ascii="Arial" w:hAnsi="Arial" w:cs="Arial"/>
          <w:sz w:val="22"/>
          <w:szCs w:val="22"/>
        </w:rPr>
        <w:t xml:space="preserve"> </w:t>
      </w:r>
      <w:r w:rsidR="000114FE" w:rsidRPr="008174E3">
        <w:rPr>
          <w:rFonts w:ascii="Arial" w:hAnsi="Arial" w:cs="Arial"/>
          <w:sz w:val="22"/>
          <w:szCs w:val="22"/>
        </w:rPr>
        <w:t>medio</w:t>
      </w:r>
      <w:r w:rsidR="00DA13C9" w:rsidRPr="008174E3">
        <w:rPr>
          <w:rFonts w:ascii="Arial" w:hAnsi="Arial" w:cs="Arial"/>
          <w:sz w:val="22"/>
          <w:szCs w:val="22"/>
        </w:rPr>
        <w:t>s</w:t>
      </w:r>
      <w:r w:rsidR="000114FE" w:rsidRPr="008174E3">
        <w:rPr>
          <w:rFonts w:ascii="Arial" w:hAnsi="Arial" w:cs="Arial"/>
          <w:sz w:val="22"/>
          <w:szCs w:val="22"/>
        </w:rPr>
        <w:t xml:space="preserve"> informáticos </w:t>
      </w:r>
      <w:r w:rsidR="00757583" w:rsidRPr="008174E3">
        <w:rPr>
          <w:rFonts w:ascii="Arial" w:hAnsi="Arial" w:cs="Arial"/>
          <w:sz w:val="22"/>
          <w:szCs w:val="22"/>
        </w:rPr>
        <w:t>vía</w:t>
      </w:r>
      <w:r w:rsidRPr="008174E3">
        <w:rPr>
          <w:rFonts w:ascii="Arial" w:hAnsi="Arial" w:cs="Arial"/>
          <w:sz w:val="22"/>
          <w:szCs w:val="22"/>
        </w:rPr>
        <w:t xml:space="preserve"> </w:t>
      </w:r>
      <w:r w:rsidR="00757583" w:rsidRPr="008174E3">
        <w:rPr>
          <w:rFonts w:ascii="Arial" w:hAnsi="Arial" w:cs="Arial"/>
          <w:sz w:val="22"/>
          <w:szCs w:val="22"/>
        </w:rPr>
        <w:t>teléfonos</w:t>
      </w:r>
      <w:r w:rsidRPr="008174E3">
        <w:rPr>
          <w:rFonts w:ascii="Arial" w:hAnsi="Arial" w:cs="Arial"/>
          <w:sz w:val="22"/>
          <w:szCs w:val="22"/>
        </w:rPr>
        <w:t xml:space="preserve"> </w:t>
      </w:r>
      <w:r w:rsidR="00757583" w:rsidRPr="008174E3">
        <w:rPr>
          <w:rFonts w:ascii="Arial" w:hAnsi="Arial" w:cs="Arial"/>
          <w:sz w:val="22"/>
          <w:szCs w:val="22"/>
        </w:rPr>
        <w:t>inteligentes</w:t>
      </w:r>
      <w:r w:rsidRPr="008174E3">
        <w:rPr>
          <w:rFonts w:ascii="Arial" w:hAnsi="Arial" w:cs="Arial"/>
          <w:sz w:val="22"/>
          <w:szCs w:val="22"/>
        </w:rPr>
        <w:t xml:space="preserve"> </w:t>
      </w:r>
      <w:r w:rsidR="00913811" w:rsidRPr="008174E3">
        <w:rPr>
          <w:rFonts w:ascii="Arial" w:hAnsi="Arial" w:cs="Arial"/>
          <w:sz w:val="22"/>
          <w:szCs w:val="22"/>
        </w:rPr>
        <w:t>incrementa en 6</w:t>
      </w:r>
      <w:r w:rsidR="00DA13C9" w:rsidRPr="008174E3">
        <w:rPr>
          <w:rFonts w:ascii="Arial" w:hAnsi="Arial" w:cs="Arial"/>
          <w:sz w:val="22"/>
          <w:szCs w:val="22"/>
        </w:rPr>
        <w:t> </w:t>
      </w:r>
      <w:r w:rsidR="00913811" w:rsidRPr="008174E3">
        <w:rPr>
          <w:rFonts w:ascii="Arial" w:hAnsi="Arial" w:cs="Arial"/>
          <w:sz w:val="22"/>
          <w:szCs w:val="22"/>
        </w:rPr>
        <w:t>pp. la probabilidad de tener un empleo. Por otro lado, Jensen (2012)</w:t>
      </w:r>
      <w:r w:rsidR="000625A5" w:rsidRPr="008174E3">
        <w:rPr>
          <w:rFonts w:ascii="Arial" w:hAnsi="Arial" w:cs="Arial"/>
          <w:sz w:val="22"/>
          <w:szCs w:val="22"/>
        </w:rPr>
        <w:t>,</w:t>
      </w:r>
      <w:r w:rsidR="00913811" w:rsidRPr="008174E3">
        <w:rPr>
          <w:rFonts w:ascii="Arial" w:hAnsi="Arial" w:cs="Arial"/>
          <w:sz w:val="22"/>
          <w:szCs w:val="22"/>
        </w:rPr>
        <w:t xml:space="preserve"> en una evaluación experimental en India encuentra que la provisión de </w:t>
      </w:r>
      <w:r w:rsidR="00B6340E" w:rsidRPr="008174E3">
        <w:rPr>
          <w:rFonts w:ascii="Arial" w:hAnsi="Arial" w:cs="Arial"/>
          <w:sz w:val="22"/>
          <w:szCs w:val="22"/>
        </w:rPr>
        <w:t>información</w:t>
      </w:r>
      <w:r w:rsidR="00913811" w:rsidRPr="008174E3">
        <w:rPr>
          <w:rFonts w:ascii="Arial" w:hAnsi="Arial" w:cs="Arial"/>
          <w:sz w:val="22"/>
          <w:szCs w:val="22"/>
        </w:rPr>
        <w:t xml:space="preserve"> </w:t>
      </w:r>
      <w:r w:rsidRPr="008174E3">
        <w:rPr>
          <w:rFonts w:ascii="Arial" w:hAnsi="Arial" w:cs="Arial"/>
          <w:sz w:val="22"/>
          <w:szCs w:val="22"/>
        </w:rPr>
        <w:t xml:space="preserve">de </w:t>
      </w:r>
      <w:r w:rsidR="00913811" w:rsidRPr="008174E3">
        <w:rPr>
          <w:rFonts w:ascii="Arial" w:hAnsi="Arial" w:cs="Arial"/>
          <w:sz w:val="22"/>
          <w:szCs w:val="22"/>
        </w:rPr>
        <w:t xml:space="preserve">oportunidades </w:t>
      </w:r>
      <w:r w:rsidRPr="008174E3">
        <w:rPr>
          <w:rFonts w:ascii="Arial" w:hAnsi="Arial" w:cs="Arial"/>
          <w:sz w:val="22"/>
          <w:szCs w:val="22"/>
        </w:rPr>
        <w:t xml:space="preserve">laborales </w:t>
      </w:r>
      <w:r w:rsidR="00913811" w:rsidRPr="008174E3">
        <w:rPr>
          <w:rFonts w:ascii="Arial" w:hAnsi="Arial" w:cs="Arial"/>
          <w:sz w:val="22"/>
          <w:szCs w:val="22"/>
        </w:rPr>
        <w:t xml:space="preserve">a mujeres, mediante la conexión con </w:t>
      </w:r>
      <w:r w:rsidR="00B6340E" w:rsidRPr="008174E3">
        <w:rPr>
          <w:rFonts w:ascii="Arial" w:hAnsi="Arial" w:cs="Arial"/>
          <w:sz w:val="22"/>
          <w:szCs w:val="22"/>
        </w:rPr>
        <w:t>reclutadores</w:t>
      </w:r>
      <w:r w:rsidR="00913811" w:rsidRPr="008174E3">
        <w:rPr>
          <w:rFonts w:ascii="Arial" w:hAnsi="Arial" w:cs="Arial"/>
          <w:sz w:val="22"/>
          <w:szCs w:val="22"/>
        </w:rPr>
        <w:t xml:space="preserve"> para la industria de outsourcing de procesos empresariales (BPO, por sus siglas en ingl</w:t>
      </w:r>
      <w:r w:rsidR="009929A0" w:rsidRPr="008174E3">
        <w:rPr>
          <w:rFonts w:ascii="Arial" w:hAnsi="Arial" w:cs="Arial"/>
          <w:sz w:val="22"/>
          <w:szCs w:val="22"/>
        </w:rPr>
        <w:t>é</w:t>
      </w:r>
      <w:r w:rsidR="00913811" w:rsidRPr="008174E3">
        <w:rPr>
          <w:rFonts w:ascii="Arial" w:hAnsi="Arial" w:cs="Arial"/>
          <w:sz w:val="22"/>
          <w:szCs w:val="22"/>
        </w:rPr>
        <w:t xml:space="preserve">s), tiene un efecto en el empleo de las mujeres </w:t>
      </w:r>
      <w:r w:rsidR="00267030" w:rsidRPr="008174E3">
        <w:rPr>
          <w:rFonts w:ascii="Arial" w:hAnsi="Arial" w:cs="Arial"/>
          <w:sz w:val="22"/>
          <w:szCs w:val="22"/>
        </w:rPr>
        <w:t xml:space="preserve">de </w:t>
      </w:r>
      <w:r w:rsidR="00913811" w:rsidRPr="008174E3">
        <w:rPr>
          <w:rFonts w:ascii="Arial" w:hAnsi="Arial" w:cs="Arial"/>
          <w:sz w:val="22"/>
          <w:szCs w:val="22"/>
        </w:rPr>
        <w:t>4</w:t>
      </w:r>
      <w:r w:rsidR="00DA13C9" w:rsidRPr="008174E3">
        <w:rPr>
          <w:rFonts w:ascii="Arial" w:hAnsi="Arial" w:cs="Arial"/>
          <w:sz w:val="22"/>
          <w:szCs w:val="22"/>
        </w:rPr>
        <w:t>,</w:t>
      </w:r>
      <w:r w:rsidR="00913811" w:rsidRPr="008174E3">
        <w:rPr>
          <w:rFonts w:ascii="Arial" w:hAnsi="Arial" w:cs="Arial"/>
          <w:sz w:val="22"/>
          <w:szCs w:val="22"/>
        </w:rPr>
        <w:t>6 pp.</w:t>
      </w:r>
      <w:r w:rsidR="000114FE" w:rsidRPr="008174E3">
        <w:rPr>
          <w:rFonts w:ascii="Arial" w:hAnsi="Arial" w:cs="Arial"/>
          <w:sz w:val="22"/>
          <w:szCs w:val="22"/>
        </w:rPr>
        <w:t xml:space="preserve"> </w:t>
      </w:r>
    </w:p>
    <w:p w14:paraId="3A854DFD" w14:textId="77777777" w:rsidR="000114FE" w:rsidRPr="008174E3" w:rsidRDefault="000114FE" w:rsidP="000114FE">
      <w:pPr>
        <w:pStyle w:val="ListParagraph"/>
        <w:rPr>
          <w:rFonts w:ascii="Arial" w:hAnsi="Arial" w:cs="Arial"/>
          <w:sz w:val="22"/>
          <w:szCs w:val="22"/>
        </w:rPr>
      </w:pPr>
    </w:p>
    <w:p w14:paraId="3A361DBD" w14:textId="5A3ED92A" w:rsidR="00913811" w:rsidRPr="008174E3" w:rsidRDefault="00F331F6" w:rsidP="00913811">
      <w:pPr>
        <w:pStyle w:val="ListParagraph"/>
        <w:numPr>
          <w:ilvl w:val="0"/>
          <w:numId w:val="8"/>
        </w:numPr>
        <w:ind w:left="0"/>
        <w:jc w:val="both"/>
        <w:rPr>
          <w:rFonts w:ascii="Arial" w:hAnsi="Arial" w:cs="Arial"/>
          <w:sz w:val="22"/>
          <w:szCs w:val="22"/>
        </w:rPr>
      </w:pPr>
      <w:r w:rsidRPr="008174E3">
        <w:rPr>
          <w:rFonts w:ascii="Arial" w:hAnsi="Arial" w:cs="Arial"/>
          <w:sz w:val="22"/>
          <w:szCs w:val="22"/>
        </w:rPr>
        <w:t>Un tema relevante para destacar</w:t>
      </w:r>
      <w:r w:rsidR="000114FE" w:rsidRPr="008174E3">
        <w:rPr>
          <w:rFonts w:ascii="Arial" w:hAnsi="Arial" w:cs="Arial"/>
          <w:sz w:val="22"/>
          <w:szCs w:val="22"/>
        </w:rPr>
        <w:t xml:space="preserve"> </w:t>
      </w:r>
      <w:r w:rsidR="00913811" w:rsidRPr="008174E3">
        <w:rPr>
          <w:rFonts w:ascii="Arial" w:hAnsi="Arial" w:cs="Arial"/>
          <w:sz w:val="22"/>
          <w:szCs w:val="22"/>
        </w:rPr>
        <w:t xml:space="preserve">es el hecho que muchos </w:t>
      </w:r>
      <w:r w:rsidR="00CE0A31" w:rsidRPr="008174E3">
        <w:rPr>
          <w:rFonts w:ascii="Arial" w:hAnsi="Arial" w:cs="Arial"/>
          <w:sz w:val="22"/>
          <w:szCs w:val="22"/>
        </w:rPr>
        <w:t xml:space="preserve">de estos </w:t>
      </w:r>
      <w:r w:rsidR="00913811" w:rsidRPr="008174E3">
        <w:rPr>
          <w:rFonts w:ascii="Arial" w:hAnsi="Arial" w:cs="Arial"/>
          <w:sz w:val="22"/>
          <w:szCs w:val="22"/>
        </w:rPr>
        <w:t xml:space="preserve">estudios </w:t>
      </w:r>
      <w:r w:rsidR="00757583" w:rsidRPr="008174E3">
        <w:rPr>
          <w:rFonts w:ascii="Arial" w:hAnsi="Arial" w:cs="Arial"/>
          <w:sz w:val="22"/>
          <w:szCs w:val="22"/>
        </w:rPr>
        <w:t xml:space="preserve">han empezado a hacer </w:t>
      </w:r>
      <w:r w:rsidR="00B407D6" w:rsidRPr="008174E3">
        <w:rPr>
          <w:rFonts w:ascii="Arial" w:hAnsi="Arial" w:cs="Arial"/>
          <w:sz w:val="22"/>
          <w:szCs w:val="22"/>
        </w:rPr>
        <w:t>énfasis</w:t>
      </w:r>
      <w:r w:rsidR="00CE0A31" w:rsidRPr="008174E3">
        <w:rPr>
          <w:rFonts w:ascii="Arial" w:hAnsi="Arial" w:cs="Arial"/>
          <w:sz w:val="22"/>
          <w:szCs w:val="22"/>
        </w:rPr>
        <w:t xml:space="preserve"> hacia </w:t>
      </w:r>
      <w:r w:rsidR="00913811" w:rsidRPr="008174E3">
        <w:rPr>
          <w:rFonts w:ascii="Arial" w:hAnsi="Arial" w:cs="Arial"/>
          <w:sz w:val="22"/>
          <w:szCs w:val="22"/>
        </w:rPr>
        <w:t xml:space="preserve">el impacto en mejoras en la calidad del empleo conseguido. Estos estudios analizan la calidad del empleo en diferentes formas donde prevalece la definición de calidad en </w:t>
      </w:r>
      <w:r w:rsidR="00B6340E" w:rsidRPr="008174E3">
        <w:rPr>
          <w:rFonts w:ascii="Arial" w:hAnsi="Arial" w:cs="Arial"/>
          <w:sz w:val="22"/>
          <w:szCs w:val="22"/>
        </w:rPr>
        <w:t>función</w:t>
      </w:r>
      <w:r w:rsidR="00913811" w:rsidRPr="008174E3">
        <w:rPr>
          <w:rFonts w:ascii="Arial" w:hAnsi="Arial" w:cs="Arial"/>
          <w:sz w:val="22"/>
          <w:szCs w:val="22"/>
        </w:rPr>
        <w:t xml:space="preserve"> a contar con empleos permanentes o formales</w:t>
      </w:r>
      <w:r w:rsidR="00267030" w:rsidRPr="008174E3">
        <w:rPr>
          <w:rFonts w:ascii="Arial" w:hAnsi="Arial" w:cs="Arial"/>
          <w:sz w:val="22"/>
          <w:szCs w:val="22"/>
        </w:rPr>
        <w:t xml:space="preserve"> (Mckenzie, 201</w:t>
      </w:r>
      <w:r w:rsidR="00442FFB" w:rsidRPr="008174E3">
        <w:rPr>
          <w:rFonts w:ascii="Arial" w:hAnsi="Arial" w:cs="Arial"/>
          <w:sz w:val="22"/>
          <w:szCs w:val="22"/>
        </w:rPr>
        <w:t>7</w:t>
      </w:r>
      <w:r w:rsidR="00267030" w:rsidRPr="008174E3">
        <w:rPr>
          <w:rFonts w:ascii="Arial" w:hAnsi="Arial" w:cs="Arial"/>
          <w:sz w:val="22"/>
          <w:szCs w:val="22"/>
        </w:rPr>
        <w:t>)</w:t>
      </w:r>
      <w:r w:rsidR="00913811" w:rsidRPr="008174E3">
        <w:rPr>
          <w:rFonts w:ascii="Arial" w:hAnsi="Arial" w:cs="Arial"/>
          <w:sz w:val="22"/>
          <w:szCs w:val="22"/>
        </w:rPr>
        <w:t xml:space="preserve">. Beam (2016) encuentra que asistir a ferias de empleo mejora el acceso a empleos formales en 10 pp. </w:t>
      </w:r>
      <w:r w:rsidR="00DA13C9" w:rsidRPr="008174E3">
        <w:rPr>
          <w:rFonts w:ascii="Arial" w:hAnsi="Arial" w:cs="Arial"/>
          <w:sz w:val="22"/>
          <w:szCs w:val="22"/>
        </w:rPr>
        <w:t>y reduce el</w:t>
      </w:r>
      <w:r w:rsidR="00913811" w:rsidRPr="008174E3">
        <w:rPr>
          <w:rFonts w:ascii="Arial" w:hAnsi="Arial" w:cs="Arial"/>
          <w:sz w:val="22"/>
          <w:szCs w:val="22"/>
        </w:rPr>
        <w:t xml:space="preserve"> autoempleo. Franklin (2015) </w:t>
      </w:r>
      <w:r w:rsidR="00F55099" w:rsidRPr="008174E3">
        <w:rPr>
          <w:rFonts w:ascii="Arial" w:hAnsi="Arial" w:cs="Arial"/>
          <w:sz w:val="22"/>
          <w:szCs w:val="22"/>
        </w:rPr>
        <w:t xml:space="preserve">en Etiopia </w:t>
      </w:r>
      <w:r w:rsidR="00913811" w:rsidRPr="008174E3">
        <w:rPr>
          <w:rFonts w:ascii="Arial" w:hAnsi="Arial" w:cs="Arial"/>
          <w:sz w:val="22"/>
          <w:szCs w:val="22"/>
        </w:rPr>
        <w:t xml:space="preserve">encuentra impactos positivos de subsidios a transporte para la </w:t>
      </w:r>
      <w:r w:rsidR="00B6340E" w:rsidRPr="008174E3">
        <w:rPr>
          <w:rFonts w:ascii="Arial" w:hAnsi="Arial" w:cs="Arial"/>
          <w:sz w:val="22"/>
          <w:szCs w:val="22"/>
        </w:rPr>
        <w:t>búsqueda</w:t>
      </w:r>
      <w:r w:rsidR="00913811" w:rsidRPr="008174E3">
        <w:rPr>
          <w:rFonts w:ascii="Arial" w:hAnsi="Arial" w:cs="Arial"/>
          <w:sz w:val="22"/>
          <w:szCs w:val="22"/>
        </w:rPr>
        <w:t xml:space="preserve"> de trabajo </w:t>
      </w:r>
      <w:r w:rsidR="00F55099" w:rsidRPr="008174E3">
        <w:rPr>
          <w:rFonts w:ascii="Arial" w:hAnsi="Arial" w:cs="Arial"/>
          <w:sz w:val="22"/>
          <w:szCs w:val="22"/>
        </w:rPr>
        <w:t xml:space="preserve">sobre </w:t>
      </w:r>
      <w:r w:rsidR="00913811" w:rsidRPr="008174E3">
        <w:rPr>
          <w:rFonts w:ascii="Arial" w:hAnsi="Arial" w:cs="Arial"/>
          <w:sz w:val="22"/>
          <w:szCs w:val="22"/>
        </w:rPr>
        <w:t>la probabilidad de conseguir un empleo permanente en 6</w:t>
      </w:r>
      <w:r w:rsidR="00DA13C9" w:rsidRPr="008174E3">
        <w:rPr>
          <w:rFonts w:ascii="Arial" w:hAnsi="Arial" w:cs="Arial"/>
          <w:sz w:val="22"/>
          <w:szCs w:val="22"/>
        </w:rPr>
        <w:t> </w:t>
      </w:r>
      <w:r w:rsidR="00913811" w:rsidRPr="008174E3">
        <w:rPr>
          <w:rFonts w:ascii="Arial" w:hAnsi="Arial" w:cs="Arial"/>
          <w:sz w:val="22"/>
          <w:szCs w:val="22"/>
        </w:rPr>
        <w:t xml:space="preserve">pp. Abebe et al (2016) </w:t>
      </w:r>
      <w:r w:rsidR="00B6340E" w:rsidRPr="008174E3">
        <w:rPr>
          <w:rFonts w:ascii="Arial" w:hAnsi="Arial" w:cs="Arial"/>
          <w:sz w:val="22"/>
          <w:szCs w:val="22"/>
        </w:rPr>
        <w:t>encuentran</w:t>
      </w:r>
      <w:r w:rsidR="00913811" w:rsidRPr="008174E3">
        <w:rPr>
          <w:rFonts w:ascii="Arial" w:hAnsi="Arial" w:cs="Arial"/>
          <w:sz w:val="22"/>
          <w:szCs w:val="22"/>
        </w:rPr>
        <w:t xml:space="preserve"> que el entrenamiento para aplicar a puestos de trabajo que certifiquen las habilidades de los buscadores de empleo incrementa en 6</w:t>
      </w:r>
      <w:r w:rsidR="00DA13C9" w:rsidRPr="008174E3">
        <w:rPr>
          <w:rFonts w:ascii="Arial" w:hAnsi="Arial" w:cs="Arial"/>
          <w:sz w:val="22"/>
          <w:szCs w:val="22"/>
        </w:rPr>
        <w:t>,</w:t>
      </w:r>
      <w:r w:rsidR="00913811" w:rsidRPr="008174E3">
        <w:rPr>
          <w:rFonts w:ascii="Arial" w:hAnsi="Arial" w:cs="Arial"/>
          <w:sz w:val="22"/>
          <w:szCs w:val="22"/>
        </w:rPr>
        <w:t>9 pp</w:t>
      </w:r>
      <w:r w:rsidR="00B6340E" w:rsidRPr="008174E3">
        <w:rPr>
          <w:rFonts w:ascii="Arial" w:hAnsi="Arial" w:cs="Arial"/>
          <w:sz w:val="22"/>
          <w:szCs w:val="22"/>
        </w:rPr>
        <w:t>.</w:t>
      </w:r>
      <w:r w:rsidR="00913811" w:rsidRPr="008174E3">
        <w:rPr>
          <w:rFonts w:ascii="Arial" w:hAnsi="Arial" w:cs="Arial"/>
          <w:sz w:val="22"/>
          <w:szCs w:val="22"/>
        </w:rPr>
        <w:t xml:space="preserve"> el acceso a empleo permanente. </w:t>
      </w:r>
    </w:p>
    <w:p w14:paraId="491FC1DD" w14:textId="77777777" w:rsidR="00913811" w:rsidRPr="008174E3" w:rsidRDefault="00913811" w:rsidP="00913811">
      <w:pPr>
        <w:pStyle w:val="ListParagraph"/>
        <w:ind w:left="0"/>
        <w:rPr>
          <w:rFonts w:ascii="Arial" w:hAnsi="Arial" w:cs="Arial"/>
          <w:sz w:val="22"/>
          <w:szCs w:val="22"/>
        </w:rPr>
      </w:pPr>
    </w:p>
    <w:p w14:paraId="625D0BD5" w14:textId="2A63335B" w:rsidR="00913811" w:rsidRPr="008174E3" w:rsidRDefault="00913811" w:rsidP="00913811">
      <w:pPr>
        <w:pStyle w:val="ListParagraph"/>
        <w:numPr>
          <w:ilvl w:val="0"/>
          <w:numId w:val="8"/>
        </w:numPr>
        <w:ind w:left="0"/>
        <w:jc w:val="both"/>
        <w:rPr>
          <w:rFonts w:ascii="Arial" w:hAnsi="Arial" w:cs="Arial"/>
          <w:sz w:val="22"/>
          <w:szCs w:val="22"/>
        </w:rPr>
      </w:pPr>
      <w:r w:rsidRPr="008174E3">
        <w:rPr>
          <w:rFonts w:ascii="Arial" w:hAnsi="Arial" w:cs="Arial"/>
          <w:sz w:val="22"/>
          <w:szCs w:val="22"/>
        </w:rPr>
        <w:t xml:space="preserve">En base a lo </w:t>
      </w:r>
      <w:r w:rsidR="00B6340E" w:rsidRPr="008174E3">
        <w:rPr>
          <w:rFonts w:ascii="Arial" w:hAnsi="Arial" w:cs="Arial"/>
          <w:sz w:val="22"/>
          <w:szCs w:val="22"/>
        </w:rPr>
        <w:t>señalado</w:t>
      </w:r>
      <w:r w:rsidRPr="008174E3">
        <w:rPr>
          <w:rFonts w:ascii="Arial" w:hAnsi="Arial" w:cs="Arial"/>
          <w:sz w:val="22"/>
          <w:szCs w:val="22"/>
        </w:rPr>
        <w:t xml:space="preserve"> anteriormente y a la heterogeneidad de los resultados </w:t>
      </w:r>
      <w:r w:rsidR="00B6340E" w:rsidRPr="008174E3">
        <w:rPr>
          <w:rFonts w:ascii="Arial" w:hAnsi="Arial" w:cs="Arial"/>
          <w:sz w:val="22"/>
          <w:szCs w:val="22"/>
        </w:rPr>
        <w:t>recién</w:t>
      </w:r>
      <w:r w:rsidRPr="008174E3">
        <w:rPr>
          <w:rFonts w:ascii="Arial" w:hAnsi="Arial" w:cs="Arial"/>
          <w:sz w:val="22"/>
          <w:szCs w:val="22"/>
        </w:rPr>
        <w:t xml:space="preserve"> </w:t>
      </w:r>
      <w:r w:rsidR="00267030" w:rsidRPr="008174E3">
        <w:rPr>
          <w:rFonts w:ascii="Arial" w:hAnsi="Arial" w:cs="Arial"/>
          <w:sz w:val="22"/>
          <w:szCs w:val="22"/>
        </w:rPr>
        <w:t>presentados</w:t>
      </w:r>
      <w:r w:rsidRPr="008174E3">
        <w:rPr>
          <w:rFonts w:ascii="Arial" w:hAnsi="Arial" w:cs="Arial"/>
          <w:sz w:val="22"/>
          <w:szCs w:val="22"/>
        </w:rPr>
        <w:t xml:space="preserve">, el presente análisis económico considerará </w:t>
      </w:r>
      <w:r w:rsidR="00B407D6" w:rsidRPr="008174E3">
        <w:rPr>
          <w:rFonts w:ascii="Arial" w:hAnsi="Arial" w:cs="Arial"/>
          <w:sz w:val="22"/>
          <w:szCs w:val="22"/>
        </w:rPr>
        <w:t>únicamente</w:t>
      </w:r>
      <w:r w:rsidR="00315A65" w:rsidRPr="008174E3">
        <w:rPr>
          <w:rFonts w:ascii="Arial" w:hAnsi="Arial" w:cs="Arial"/>
          <w:sz w:val="22"/>
          <w:szCs w:val="22"/>
        </w:rPr>
        <w:t xml:space="preserve"> </w:t>
      </w:r>
      <w:r w:rsidRPr="008174E3">
        <w:rPr>
          <w:rFonts w:ascii="Arial" w:hAnsi="Arial" w:cs="Arial"/>
          <w:sz w:val="22"/>
          <w:szCs w:val="22"/>
        </w:rPr>
        <w:t>impacto</w:t>
      </w:r>
      <w:r w:rsidR="00F55099" w:rsidRPr="008174E3">
        <w:rPr>
          <w:rFonts w:ascii="Arial" w:hAnsi="Arial" w:cs="Arial"/>
          <w:sz w:val="22"/>
          <w:szCs w:val="22"/>
        </w:rPr>
        <w:t>s</w:t>
      </w:r>
      <w:r w:rsidRPr="008174E3">
        <w:rPr>
          <w:rFonts w:ascii="Arial" w:hAnsi="Arial" w:cs="Arial"/>
          <w:sz w:val="22"/>
          <w:szCs w:val="22"/>
        </w:rPr>
        <w:t xml:space="preserve"> </w:t>
      </w:r>
      <w:r w:rsidR="00F55099" w:rsidRPr="008174E3">
        <w:rPr>
          <w:rFonts w:ascii="Arial" w:hAnsi="Arial" w:cs="Arial"/>
          <w:sz w:val="22"/>
          <w:szCs w:val="22"/>
        </w:rPr>
        <w:t xml:space="preserve">en el </w:t>
      </w:r>
      <w:r w:rsidRPr="008174E3">
        <w:rPr>
          <w:rFonts w:ascii="Arial" w:hAnsi="Arial" w:cs="Arial"/>
          <w:sz w:val="22"/>
          <w:szCs w:val="22"/>
        </w:rPr>
        <w:t xml:space="preserve">acceso a empleo de calidad, </w:t>
      </w:r>
      <w:r w:rsidR="000625A5" w:rsidRPr="008174E3">
        <w:rPr>
          <w:rFonts w:ascii="Arial" w:hAnsi="Arial" w:cs="Arial"/>
          <w:sz w:val="22"/>
          <w:szCs w:val="22"/>
        </w:rPr>
        <w:t>que</w:t>
      </w:r>
      <w:r w:rsidRPr="008174E3">
        <w:rPr>
          <w:rFonts w:ascii="Arial" w:hAnsi="Arial" w:cs="Arial"/>
          <w:sz w:val="22"/>
          <w:szCs w:val="22"/>
        </w:rPr>
        <w:t xml:space="preserve"> se </w:t>
      </w:r>
      <w:r w:rsidR="0007065C" w:rsidRPr="008174E3">
        <w:rPr>
          <w:rFonts w:ascii="Arial" w:hAnsi="Arial" w:cs="Arial"/>
          <w:sz w:val="22"/>
          <w:szCs w:val="22"/>
        </w:rPr>
        <w:t>medirá</w:t>
      </w:r>
      <w:r w:rsidR="00F55099" w:rsidRPr="008174E3">
        <w:rPr>
          <w:rFonts w:ascii="Arial" w:hAnsi="Arial" w:cs="Arial"/>
          <w:sz w:val="22"/>
          <w:szCs w:val="22"/>
        </w:rPr>
        <w:t xml:space="preserve"> durante la </w:t>
      </w:r>
      <w:r w:rsidR="000114FE" w:rsidRPr="008174E3">
        <w:rPr>
          <w:rFonts w:ascii="Arial" w:hAnsi="Arial" w:cs="Arial"/>
          <w:sz w:val="22"/>
          <w:szCs w:val="22"/>
        </w:rPr>
        <w:t>evaluación del programa</w:t>
      </w:r>
      <w:r w:rsidRPr="008174E3">
        <w:rPr>
          <w:rFonts w:ascii="Arial" w:hAnsi="Arial" w:cs="Arial"/>
          <w:sz w:val="22"/>
          <w:szCs w:val="22"/>
        </w:rPr>
        <w:t xml:space="preserve">. </w:t>
      </w:r>
      <w:r w:rsidR="00DA13C9" w:rsidRPr="008174E3">
        <w:rPr>
          <w:rFonts w:ascii="Arial" w:hAnsi="Arial" w:cs="Arial"/>
          <w:sz w:val="22"/>
          <w:szCs w:val="22"/>
        </w:rPr>
        <w:t>S</w:t>
      </w:r>
      <w:r w:rsidRPr="008174E3">
        <w:rPr>
          <w:rFonts w:ascii="Arial" w:hAnsi="Arial" w:cs="Arial"/>
          <w:sz w:val="22"/>
          <w:szCs w:val="22"/>
        </w:rPr>
        <w:t xml:space="preserve">iguiendo los resultados de los recientes estudios de evaluaciones experimentales en países desarrollados se considerará un impacto </w:t>
      </w:r>
      <w:r w:rsidR="00267030" w:rsidRPr="008174E3">
        <w:rPr>
          <w:rFonts w:ascii="Arial" w:hAnsi="Arial" w:cs="Arial"/>
          <w:sz w:val="22"/>
          <w:szCs w:val="22"/>
        </w:rPr>
        <w:t xml:space="preserve">conservador </w:t>
      </w:r>
      <w:r w:rsidRPr="008174E3">
        <w:rPr>
          <w:rFonts w:ascii="Arial" w:hAnsi="Arial" w:cs="Arial"/>
          <w:sz w:val="22"/>
          <w:szCs w:val="22"/>
        </w:rPr>
        <w:t xml:space="preserve">asociado al programa de </w:t>
      </w:r>
      <w:r w:rsidR="00315A65" w:rsidRPr="008174E3">
        <w:rPr>
          <w:rFonts w:ascii="Arial" w:hAnsi="Arial" w:cs="Arial"/>
          <w:sz w:val="22"/>
          <w:szCs w:val="22"/>
        </w:rPr>
        <w:t>3</w:t>
      </w:r>
      <w:r w:rsidRPr="008174E3">
        <w:rPr>
          <w:rFonts w:ascii="Arial" w:hAnsi="Arial" w:cs="Arial"/>
          <w:sz w:val="22"/>
          <w:szCs w:val="22"/>
        </w:rPr>
        <w:t xml:space="preserve"> pp. en la participación en empleos formales</w:t>
      </w:r>
      <w:r w:rsidR="008A57D0" w:rsidRPr="008174E3">
        <w:rPr>
          <w:rFonts w:ascii="Arial" w:hAnsi="Arial" w:cs="Arial"/>
          <w:sz w:val="22"/>
          <w:szCs w:val="22"/>
        </w:rPr>
        <w:t xml:space="preserve"> para hombres y 3,5 pp. para mujeres</w:t>
      </w:r>
      <w:r w:rsidRPr="008174E3">
        <w:rPr>
          <w:rFonts w:ascii="Arial" w:hAnsi="Arial" w:cs="Arial"/>
          <w:sz w:val="22"/>
          <w:szCs w:val="22"/>
        </w:rPr>
        <w:t xml:space="preserve">. </w:t>
      </w:r>
    </w:p>
    <w:p w14:paraId="269BCE56" w14:textId="77777777" w:rsidR="00913811" w:rsidRPr="008174E3" w:rsidRDefault="00913811" w:rsidP="00913811">
      <w:pPr>
        <w:pStyle w:val="ListParagraph"/>
        <w:rPr>
          <w:rFonts w:ascii="Arial" w:hAnsi="Arial" w:cs="Arial"/>
          <w:sz w:val="22"/>
          <w:szCs w:val="22"/>
        </w:rPr>
      </w:pPr>
    </w:p>
    <w:p w14:paraId="6486C096" w14:textId="76CEE4DB" w:rsidR="00161274" w:rsidRPr="008174E3" w:rsidRDefault="00AC59A6" w:rsidP="00184002">
      <w:pPr>
        <w:pStyle w:val="ListParagraph"/>
        <w:numPr>
          <w:ilvl w:val="0"/>
          <w:numId w:val="8"/>
        </w:numPr>
        <w:ind w:left="0"/>
        <w:jc w:val="both"/>
        <w:rPr>
          <w:rFonts w:ascii="Arial" w:hAnsi="Arial" w:cs="Arial"/>
          <w:sz w:val="22"/>
          <w:szCs w:val="22"/>
        </w:rPr>
      </w:pPr>
      <w:r w:rsidRPr="008174E3">
        <w:rPr>
          <w:rFonts w:ascii="Arial" w:hAnsi="Arial" w:cs="Arial"/>
          <w:sz w:val="22"/>
          <w:szCs w:val="22"/>
        </w:rPr>
        <w:t xml:space="preserve">Respecto al número de beneficiarios que </w:t>
      </w:r>
      <w:r w:rsidR="00AF633A" w:rsidRPr="008174E3">
        <w:rPr>
          <w:rFonts w:ascii="Arial" w:hAnsi="Arial" w:cs="Arial"/>
          <w:sz w:val="22"/>
          <w:szCs w:val="22"/>
        </w:rPr>
        <w:t>acudirán</w:t>
      </w:r>
      <w:r w:rsidRPr="008174E3">
        <w:rPr>
          <w:rFonts w:ascii="Arial" w:hAnsi="Arial" w:cs="Arial"/>
          <w:sz w:val="22"/>
          <w:szCs w:val="22"/>
        </w:rPr>
        <w:t xml:space="preserve"> al S</w:t>
      </w:r>
      <w:r w:rsidR="00161274" w:rsidRPr="008174E3">
        <w:rPr>
          <w:rFonts w:ascii="Arial" w:hAnsi="Arial" w:cs="Arial"/>
          <w:sz w:val="22"/>
          <w:szCs w:val="22"/>
        </w:rPr>
        <w:t>N</w:t>
      </w:r>
      <w:r w:rsidRPr="008174E3">
        <w:rPr>
          <w:rFonts w:ascii="Arial" w:hAnsi="Arial" w:cs="Arial"/>
          <w:sz w:val="22"/>
          <w:szCs w:val="22"/>
        </w:rPr>
        <w:t xml:space="preserve">E, se asume que en el periodo del programa se </w:t>
      </w:r>
      <w:r w:rsidR="00B6340E" w:rsidRPr="008174E3">
        <w:rPr>
          <w:rFonts w:ascii="Arial" w:hAnsi="Arial" w:cs="Arial"/>
          <w:sz w:val="22"/>
          <w:szCs w:val="22"/>
        </w:rPr>
        <w:t>atenderá</w:t>
      </w:r>
      <w:r w:rsidR="00997DA3" w:rsidRPr="008174E3">
        <w:rPr>
          <w:rFonts w:ascii="Arial" w:hAnsi="Arial" w:cs="Arial"/>
          <w:sz w:val="22"/>
          <w:szCs w:val="22"/>
        </w:rPr>
        <w:t xml:space="preserve"> </w:t>
      </w:r>
      <w:r w:rsidR="00691DDB" w:rsidRPr="008174E3">
        <w:rPr>
          <w:rFonts w:ascii="Arial" w:hAnsi="Arial" w:cs="Arial"/>
          <w:sz w:val="22"/>
          <w:szCs w:val="22"/>
        </w:rPr>
        <w:t xml:space="preserve">un total de </w:t>
      </w:r>
      <w:r w:rsidR="00161274" w:rsidRPr="008174E3">
        <w:rPr>
          <w:rFonts w:ascii="Arial" w:hAnsi="Arial" w:cs="Arial"/>
          <w:sz w:val="22"/>
          <w:szCs w:val="22"/>
        </w:rPr>
        <w:t>2</w:t>
      </w:r>
      <w:r w:rsidR="000C5997">
        <w:rPr>
          <w:rFonts w:ascii="Arial" w:hAnsi="Arial" w:cs="Arial"/>
          <w:sz w:val="22"/>
          <w:szCs w:val="22"/>
        </w:rPr>
        <w:t>,5</w:t>
      </w:r>
      <w:r w:rsidR="00161274" w:rsidRPr="008174E3">
        <w:rPr>
          <w:rFonts w:ascii="Arial" w:hAnsi="Arial" w:cs="Arial"/>
          <w:sz w:val="22"/>
          <w:szCs w:val="22"/>
        </w:rPr>
        <w:t xml:space="preserve"> millones de buscadores de empleo</w:t>
      </w:r>
      <w:r w:rsidRPr="008174E3">
        <w:rPr>
          <w:rFonts w:ascii="Arial" w:hAnsi="Arial" w:cs="Arial"/>
          <w:sz w:val="22"/>
          <w:szCs w:val="22"/>
        </w:rPr>
        <w:t xml:space="preserve">. </w:t>
      </w:r>
      <w:r w:rsidR="00513FDC" w:rsidRPr="008174E3">
        <w:rPr>
          <w:rFonts w:ascii="Arial" w:hAnsi="Arial" w:cs="Arial"/>
          <w:sz w:val="22"/>
          <w:szCs w:val="22"/>
        </w:rPr>
        <w:t>E</w:t>
      </w:r>
      <w:r w:rsidRPr="008174E3">
        <w:rPr>
          <w:rFonts w:ascii="Arial" w:hAnsi="Arial" w:cs="Arial"/>
          <w:sz w:val="22"/>
          <w:szCs w:val="22"/>
        </w:rPr>
        <w:t xml:space="preserve">sta cantidad de </w:t>
      </w:r>
      <w:r w:rsidR="00691DDB" w:rsidRPr="008174E3">
        <w:rPr>
          <w:rFonts w:ascii="Arial" w:hAnsi="Arial" w:cs="Arial"/>
          <w:sz w:val="22"/>
          <w:szCs w:val="22"/>
        </w:rPr>
        <w:t xml:space="preserve">intermediaciones </w:t>
      </w:r>
      <w:r w:rsidRPr="008174E3">
        <w:rPr>
          <w:rFonts w:ascii="Arial" w:hAnsi="Arial" w:cs="Arial"/>
          <w:sz w:val="22"/>
          <w:szCs w:val="22"/>
        </w:rPr>
        <w:t xml:space="preserve">se </w:t>
      </w:r>
      <w:r w:rsidR="00691DDB" w:rsidRPr="008174E3">
        <w:rPr>
          <w:rFonts w:ascii="Arial" w:hAnsi="Arial" w:cs="Arial"/>
          <w:sz w:val="22"/>
          <w:szCs w:val="22"/>
        </w:rPr>
        <w:t xml:space="preserve">sustenta en el número de intermediaciones realizadas </w:t>
      </w:r>
      <w:r w:rsidR="00161274" w:rsidRPr="008174E3">
        <w:rPr>
          <w:rFonts w:ascii="Arial" w:hAnsi="Arial" w:cs="Arial"/>
          <w:sz w:val="22"/>
          <w:szCs w:val="22"/>
        </w:rPr>
        <w:t xml:space="preserve">hasta </w:t>
      </w:r>
      <w:r w:rsidR="00660E75" w:rsidRPr="008174E3">
        <w:rPr>
          <w:rFonts w:ascii="Arial" w:hAnsi="Arial" w:cs="Arial"/>
          <w:sz w:val="22"/>
          <w:szCs w:val="22"/>
        </w:rPr>
        <w:t>2015</w:t>
      </w:r>
      <w:r w:rsidR="00315A65" w:rsidRPr="008174E3">
        <w:rPr>
          <w:rStyle w:val="FootnoteReference"/>
          <w:rFonts w:ascii="Arial" w:hAnsi="Arial" w:cs="Arial"/>
          <w:sz w:val="22"/>
          <w:szCs w:val="22"/>
        </w:rPr>
        <w:footnoteReference w:id="20"/>
      </w:r>
      <w:r w:rsidR="00267030" w:rsidRPr="008174E3">
        <w:rPr>
          <w:rFonts w:ascii="Arial" w:hAnsi="Arial" w:cs="Arial"/>
          <w:sz w:val="22"/>
          <w:szCs w:val="22"/>
        </w:rPr>
        <w:t xml:space="preserve"> </w:t>
      </w:r>
      <w:r w:rsidR="00C03A3A" w:rsidRPr="008174E3">
        <w:rPr>
          <w:rFonts w:ascii="Arial" w:hAnsi="Arial" w:cs="Arial"/>
          <w:sz w:val="22"/>
          <w:szCs w:val="22"/>
        </w:rPr>
        <w:t xml:space="preserve">y </w:t>
      </w:r>
      <w:r w:rsidR="008B700A" w:rsidRPr="008174E3">
        <w:rPr>
          <w:rFonts w:ascii="Arial" w:hAnsi="Arial" w:cs="Arial"/>
          <w:sz w:val="22"/>
          <w:szCs w:val="22"/>
        </w:rPr>
        <w:t xml:space="preserve">asume que </w:t>
      </w:r>
      <w:r w:rsidR="00660E75" w:rsidRPr="008174E3">
        <w:rPr>
          <w:rFonts w:ascii="Arial" w:hAnsi="Arial" w:cs="Arial"/>
          <w:sz w:val="22"/>
          <w:szCs w:val="22"/>
        </w:rPr>
        <w:t xml:space="preserve">a partir de </w:t>
      </w:r>
      <w:r w:rsidR="00997DA3" w:rsidRPr="008174E3">
        <w:rPr>
          <w:rFonts w:ascii="Arial" w:hAnsi="Arial" w:cs="Arial"/>
          <w:sz w:val="22"/>
          <w:szCs w:val="22"/>
        </w:rPr>
        <w:t xml:space="preserve">la puesta en marcha del programa </w:t>
      </w:r>
      <w:r w:rsidR="008303CC" w:rsidRPr="008174E3">
        <w:rPr>
          <w:rFonts w:ascii="Arial" w:hAnsi="Arial" w:cs="Arial"/>
          <w:sz w:val="22"/>
          <w:szCs w:val="22"/>
        </w:rPr>
        <w:t>se alcance</w:t>
      </w:r>
      <w:r w:rsidR="00691DDB" w:rsidRPr="008174E3">
        <w:rPr>
          <w:rFonts w:ascii="Arial" w:hAnsi="Arial" w:cs="Arial"/>
          <w:sz w:val="22"/>
          <w:szCs w:val="22"/>
        </w:rPr>
        <w:t xml:space="preserve"> la meta </w:t>
      </w:r>
      <w:r w:rsidR="00E0720B" w:rsidRPr="008174E3">
        <w:rPr>
          <w:rFonts w:ascii="Arial" w:hAnsi="Arial" w:cs="Arial"/>
          <w:sz w:val="22"/>
          <w:szCs w:val="22"/>
        </w:rPr>
        <w:t xml:space="preserve">prevista </w:t>
      </w:r>
      <w:r w:rsidR="000625A5" w:rsidRPr="008174E3">
        <w:rPr>
          <w:rFonts w:ascii="Arial" w:hAnsi="Arial" w:cs="Arial"/>
          <w:sz w:val="22"/>
          <w:szCs w:val="22"/>
        </w:rPr>
        <w:t xml:space="preserve">de </w:t>
      </w:r>
      <w:r w:rsidR="000C5997">
        <w:rPr>
          <w:rFonts w:ascii="Arial" w:hAnsi="Arial" w:cs="Arial"/>
          <w:sz w:val="22"/>
          <w:szCs w:val="22"/>
        </w:rPr>
        <w:t>5</w:t>
      </w:r>
      <w:r w:rsidR="00161274" w:rsidRPr="008174E3">
        <w:rPr>
          <w:rFonts w:ascii="Arial" w:hAnsi="Arial" w:cs="Arial"/>
          <w:sz w:val="22"/>
          <w:szCs w:val="22"/>
        </w:rPr>
        <w:t>00</w:t>
      </w:r>
      <w:r w:rsidR="00DA13C9" w:rsidRPr="008174E3">
        <w:rPr>
          <w:rFonts w:ascii="Arial" w:hAnsi="Arial" w:cs="Arial"/>
          <w:sz w:val="22"/>
          <w:szCs w:val="22"/>
        </w:rPr>
        <w:t>,000</w:t>
      </w:r>
      <w:r w:rsidR="00161274" w:rsidRPr="008174E3">
        <w:rPr>
          <w:rFonts w:ascii="Arial" w:hAnsi="Arial" w:cs="Arial"/>
          <w:sz w:val="22"/>
          <w:szCs w:val="22"/>
        </w:rPr>
        <w:t xml:space="preserve"> </w:t>
      </w:r>
      <w:r w:rsidR="00267030" w:rsidRPr="008174E3">
        <w:rPr>
          <w:rFonts w:ascii="Arial" w:hAnsi="Arial" w:cs="Arial"/>
          <w:sz w:val="22"/>
          <w:szCs w:val="22"/>
        </w:rPr>
        <w:t xml:space="preserve">buscadores de empleo </w:t>
      </w:r>
      <w:r w:rsidR="002C3066" w:rsidRPr="008174E3">
        <w:rPr>
          <w:rFonts w:ascii="Arial" w:hAnsi="Arial" w:cs="Arial"/>
          <w:sz w:val="22"/>
          <w:szCs w:val="22"/>
        </w:rPr>
        <w:t xml:space="preserve">intermediados </w:t>
      </w:r>
      <w:r w:rsidR="000625A5" w:rsidRPr="008174E3">
        <w:rPr>
          <w:rFonts w:ascii="Arial" w:hAnsi="Arial" w:cs="Arial"/>
          <w:sz w:val="22"/>
          <w:szCs w:val="22"/>
        </w:rPr>
        <w:t xml:space="preserve">por año </w:t>
      </w:r>
      <w:r w:rsidR="00691DDB" w:rsidRPr="008174E3">
        <w:rPr>
          <w:rFonts w:ascii="Arial" w:hAnsi="Arial" w:cs="Arial"/>
          <w:sz w:val="22"/>
          <w:szCs w:val="22"/>
        </w:rPr>
        <w:t>(ver Matriz de Resultados)</w:t>
      </w:r>
      <w:r w:rsidR="00F55099" w:rsidRPr="008174E3">
        <w:rPr>
          <w:rFonts w:ascii="Arial" w:hAnsi="Arial" w:cs="Arial"/>
          <w:sz w:val="22"/>
          <w:szCs w:val="22"/>
        </w:rPr>
        <w:t xml:space="preserve">, esto implica </w:t>
      </w:r>
      <w:r w:rsidR="0007065C" w:rsidRPr="008174E3">
        <w:rPr>
          <w:rFonts w:ascii="Arial" w:hAnsi="Arial" w:cs="Arial"/>
          <w:sz w:val="22"/>
          <w:szCs w:val="22"/>
        </w:rPr>
        <w:t>asumir</w:t>
      </w:r>
      <w:r w:rsidR="00F55099" w:rsidRPr="008174E3">
        <w:rPr>
          <w:rFonts w:ascii="Arial" w:hAnsi="Arial" w:cs="Arial"/>
          <w:sz w:val="22"/>
          <w:szCs w:val="22"/>
        </w:rPr>
        <w:t xml:space="preserve"> que la colocación de buscadores de empleo </w:t>
      </w:r>
      <w:r w:rsidR="000625A5" w:rsidRPr="008174E3">
        <w:rPr>
          <w:rFonts w:ascii="Arial" w:hAnsi="Arial" w:cs="Arial"/>
          <w:sz w:val="22"/>
          <w:szCs w:val="22"/>
        </w:rPr>
        <w:t xml:space="preserve">durante el programa </w:t>
      </w:r>
      <w:r w:rsidR="00F55099" w:rsidRPr="008174E3">
        <w:rPr>
          <w:rFonts w:ascii="Arial" w:hAnsi="Arial" w:cs="Arial"/>
          <w:sz w:val="22"/>
          <w:szCs w:val="22"/>
        </w:rPr>
        <w:t>se d</w:t>
      </w:r>
      <w:r w:rsidR="00DA13C9" w:rsidRPr="008174E3">
        <w:rPr>
          <w:rFonts w:ascii="Arial" w:hAnsi="Arial" w:cs="Arial"/>
          <w:sz w:val="22"/>
          <w:szCs w:val="22"/>
        </w:rPr>
        <w:t>é</w:t>
      </w:r>
      <w:r w:rsidR="00F55099" w:rsidRPr="008174E3">
        <w:rPr>
          <w:rFonts w:ascii="Arial" w:hAnsi="Arial" w:cs="Arial"/>
          <w:sz w:val="22"/>
          <w:szCs w:val="22"/>
        </w:rPr>
        <w:t xml:space="preserve"> en la cantidad y proporción que ha tenido en los últimos años</w:t>
      </w:r>
      <w:r w:rsidR="008511F7" w:rsidRPr="008174E3">
        <w:rPr>
          <w:rStyle w:val="FootnoteReference"/>
          <w:rFonts w:ascii="Arial" w:hAnsi="Arial" w:cs="Arial"/>
          <w:sz w:val="22"/>
          <w:szCs w:val="22"/>
        </w:rPr>
        <w:footnoteReference w:id="21"/>
      </w:r>
      <w:r w:rsidR="00691DDB" w:rsidRPr="008174E3">
        <w:rPr>
          <w:rFonts w:ascii="Arial" w:hAnsi="Arial" w:cs="Arial"/>
          <w:sz w:val="22"/>
          <w:szCs w:val="22"/>
        </w:rPr>
        <w:t>.</w:t>
      </w:r>
      <w:r w:rsidR="008511F7" w:rsidRPr="008174E3">
        <w:rPr>
          <w:rFonts w:ascii="Arial" w:hAnsi="Arial" w:cs="Arial"/>
          <w:sz w:val="22"/>
          <w:szCs w:val="22"/>
        </w:rPr>
        <w:t xml:space="preserve"> </w:t>
      </w:r>
      <w:r w:rsidR="00E0720B" w:rsidRPr="008174E3">
        <w:rPr>
          <w:rFonts w:ascii="Arial" w:hAnsi="Arial" w:cs="Arial"/>
          <w:sz w:val="22"/>
          <w:szCs w:val="22"/>
        </w:rPr>
        <w:t xml:space="preserve">Datos desagregados por año del número de </w:t>
      </w:r>
      <w:r w:rsidR="00514377" w:rsidRPr="008174E3">
        <w:rPr>
          <w:rFonts w:ascii="Arial" w:hAnsi="Arial" w:cs="Arial"/>
          <w:sz w:val="22"/>
          <w:szCs w:val="22"/>
        </w:rPr>
        <w:t>intermediaciones</w:t>
      </w:r>
      <w:r w:rsidR="00E0720B" w:rsidRPr="008174E3">
        <w:rPr>
          <w:rFonts w:ascii="Arial" w:hAnsi="Arial" w:cs="Arial"/>
          <w:sz w:val="22"/>
          <w:szCs w:val="22"/>
        </w:rPr>
        <w:t xml:space="preserve"> se presentan en </w:t>
      </w:r>
      <w:r w:rsidR="00B0718A" w:rsidRPr="008174E3">
        <w:rPr>
          <w:rFonts w:ascii="Arial" w:hAnsi="Arial" w:cs="Arial"/>
          <w:sz w:val="22"/>
          <w:szCs w:val="22"/>
        </w:rPr>
        <w:t>el Cuadro </w:t>
      </w:r>
      <w:r w:rsidR="00E0720B" w:rsidRPr="008174E3">
        <w:rPr>
          <w:rFonts w:ascii="Arial" w:hAnsi="Arial" w:cs="Arial"/>
          <w:sz w:val="22"/>
          <w:szCs w:val="22"/>
        </w:rPr>
        <w:t>A1 en Anexos.</w:t>
      </w:r>
      <w:r w:rsidR="00582F4D" w:rsidRPr="008174E3">
        <w:rPr>
          <w:rFonts w:ascii="Arial" w:hAnsi="Arial" w:cs="Arial"/>
          <w:sz w:val="22"/>
          <w:szCs w:val="22"/>
        </w:rPr>
        <w:t xml:space="preserve"> </w:t>
      </w:r>
    </w:p>
    <w:p w14:paraId="5038997B" w14:textId="77777777" w:rsidR="00161274" w:rsidRPr="008174E3" w:rsidRDefault="00161274" w:rsidP="00161274">
      <w:pPr>
        <w:pStyle w:val="ListParagraph"/>
        <w:rPr>
          <w:rFonts w:ascii="Arial" w:hAnsi="Arial" w:cs="Arial"/>
          <w:sz w:val="22"/>
          <w:szCs w:val="22"/>
        </w:rPr>
      </w:pPr>
    </w:p>
    <w:p w14:paraId="0F65948E" w14:textId="30CA55EF" w:rsidR="00081236" w:rsidRPr="008174E3" w:rsidRDefault="00E46E6F" w:rsidP="00081236">
      <w:pPr>
        <w:pStyle w:val="ListParagraph"/>
        <w:numPr>
          <w:ilvl w:val="0"/>
          <w:numId w:val="8"/>
        </w:numPr>
        <w:ind w:left="0"/>
        <w:jc w:val="both"/>
        <w:rPr>
          <w:rFonts w:ascii="Arial" w:hAnsi="Arial" w:cs="Arial"/>
          <w:sz w:val="22"/>
          <w:szCs w:val="22"/>
        </w:rPr>
      </w:pPr>
      <w:r w:rsidRPr="008174E3">
        <w:rPr>
          <w:rFonts w:ascii="Arial" w:hAnsi="Arial" w:cs="Arial"/>
          <w:sz w:val="22"/>
          <w:szCs w:val="22"/>
        </w:rPr>
        <w:lastRenderedPageBreak/>
        <w:t xml:space="preserve">Respecto a la </w:t>
      </w:r>
      <w:r w:rsidR="00AC59A6" w:rsidRPr="008174E3">
        <w:rPr>
          <w:rFonts w:ascii="Arial" w:hAnsi="Arial" w:cs="Arial"/>
          <w:sz w:val="22"/>
          <w:szCs w:val="22"/>
        </w:rPr>
        <w:t xml:space="preserve">duración del impacto </w:t>
      </w:r>
      <w:r w:rsidR="001526B2" w:rsidRPr="008174E3">
        <w:rPr>
          <w:rFonts w:ascii="Arial" w:hAnsi="Arial" w:cs="Arial"/>
          <w:sz w:val="22"/>
          <w:szCs w:val="22"/>
        </w:rPr>
        <w:t xml:space="preserve">de la </w:t>
      </w:r>
      <w:r w:rsidR="00A446EE" w:rsidRPr="008174E3">
        <w:rPr>
          <w:rFonts w:ascii="Arial" w:hAnsi="Arial" w:cs="Arial"/>
          <w:sz w:val="22"/>
          <w:szCs w:val="22"/>
        </w:rPr>
        <w:t>intermediación laboral</w:t>
      </w:r>
      <w:r w:rsidR="00AC59A6" w:rsidRPr="008174E3">
        <w:rPr>
          <w:rFonts w:ascii="Arial" w:hAnsi="Arial" w:cs="Arial"/>
          <w:sz w:val="22"/>
          <w:szCs w:val="22"/>
        </w:rPr>
        <w:t xml:space="preserve">, </w:t>
      </w:r>
      <w:r w:rsidR="005E5D04" w:rsidRPr="008174E3">
        <w:rPr>
          <w:rFonts w:ascii="Arial" w:hAnsi="Arial" w:cs="Arial"/>
          <w:sz w:val="22"/>
          <w:szCs w:val="22"/>
        </w:rPr>
        <w:t xml:space="preserve">no existe evidencia en la literatura </w:t>
      </w:r>
      <w:r w:rsidR="000625A5" w:rsidRPr="008174E3">
        <w:rPr>
          <w:rFonts w:ascii="Arial" w:hAnsi="Arial" w:cs="Arial"/>
          <w:sz w:val="22"/>
          <w:szCs w:val="22"/>
        </w:rPr>
        <w:t xml:space="preserve">acerca del tiempo de </w:t>
      </w:r>
      <w:r w:rsidR="005E5D04" w:rsidRPr="008174E3">
        <w:rPr>
          <w:rFonts w:ascii="Arial" w:hAnsi="Arial" w:cs="Arial"/>
          <w:sz w:val="22"/>
          <w:szCs w:val="22"/>
        </w:rPr>
        <w:t xml:space="preserve">impacto de este tipo de políticas, la mayoría de </w:t>
      </w:r>
      <w:r w:rsidR="000625A5" w:rsidRPr="008174E3">
        <w:rPr>
          <w:rFonts w:ascii="Arial" w:hAnsi="Arial" w:cs="Arial"/>
          <w:sz w:val="22"/>
          <w:szCs w:val="22"/>
        </w:rPr>
        <w:t xml:space="preserve">estas </w:t>
      </w:r>
      <w:r w:rsidR="00AC59A6" w:rsidRPr="008174E3">
        <w:rPr>
          <w:rFonts w:ascii="Arial" w:hAnsi="Arial" w:cs="Arial"/>
          <w:sz w:val="22"/>
          <w:szCs w:val="22"/>
        </w:rPr>
        <w:t xml:space="preserve">evaluaciones </w:t>
      </w:r>
      <w:r w:rsidR="005E5D04" w:rsidRPr="008174E3">
        <w:rPr>
          <w:rFonts w:ascii="Arial" w:hAnsi="Arial" w:cs="Arial"/>
          <w:sz w:val="22"/>
          <w:szCs w:val="22"/>
        </w:rPr>
        <w:t xml:space="preserve">son </w:t>
      </w:r>
      <w:r w:rsidR="00761405" w:rsidRPr="008174E3">
        <w:rPr>
          <w:rFonts w:ascii="Arial" w:hAnsi="Arial" w:cs="Arial"/>
          <w:sz w:val="22"/>
          <w:szCs w:val="22"/>
        </w:rPr>
        <w:t xml:space="preserve">de </w:t>
      </w:r>
      <w:r w:rsidR="000625A5" w:rsidRPr="008174E3">
        <w:rPr>
          <w:rFonts w:ascii="Arial" w:hAnsi="Arial" w:cs="Arial"/>
          <w:sz w:val="22"/>
          <w:szCs w:val="22"/>
        </w:rPr>
        <w:t xml:space="preserve">muy </w:t>
      </w:r>
      <w:r w:rsidR="00AC59A6" w:rsidRPr="008174E3">
        <w:rPr>
          <w:rFonts w:ascii="Arial" w:hAnsi="Arial" w:cs="Arial"/>
          <w:sz w:val="22"/>
          <w:szCs w:val="22"/>
        </w:rPr>
        <w:t>corto plazo</w:t>
      </w:r>
      <w:r w:rsidR="00567323" w:rsidRPr="008174E3">
        <w:rPr>
          <w:rFonts w:ascii="Arial" w:hAnsi="Arial" w:cs="Arial"/>
          <w:sz w:val="22"/>
          <w:szCs w:val="22"/>
        </w:rPr>
        <w:t xml:space="preserve">. </w:t>
      </w:r>
      <w:r w:rsidR="00DA13C9" w:rsidRPr="008174E3">
        <w:rPr>
          <w:rFonts w:ascii="Arial" w:hAnsi="Arial" w:cs="Arial"/>
          <w:sz w:val="22"/>
          <w:szCs w:val="22"/>
        </w:rPr>
        <w:t>S</w:t>
      </w:r>
      <w:r w:rsidR="00567323" w:rsidRPr="008174E3">
        <w:rPr>
          <w:rFonts w:ascii="Arial" w:hAnsi="Arial" w:cs="Arial"/>
          <w:sz w:val="22"/>
          <w:szCs w:val="22"/>
        </w:rPr>
        <w:t xml:space="preserve">iguiendo información </w:t>
      </w:r>
      <w:r w:rsidR="00AF633A" w:rsidRPr="008174E3">
        <w:rPr>
          <w:rFonts w:ascii="Arial" w:hAnsi="Arial" w:cs="Arial"/>
          <w:sz w:val="22"/>
          <w:szCs w:val="22"/>
        </w:rPr>
        <w:t>estadística</w:t>
      </w:r>
      <w:r w:rsidR="00567323" w:rsidRPr="008174E3">
        <w:rPr>
          <w:rFonts w:ascii="Arial" w:hAnsi="Arial" w:cs="Arial"/>
          <w:sz w:val="22"/>
          <w:szCs w:val="22"/>
        </w:rPr>
        <w:t xml:space="preserve"> de la antigüedad </w:t>
      </w:r>
      <w:r w:rsidR="001526B2" w:rsidRPr="008174E3">
        <w:rPr>
          <w:rFonts w:ascii="Arial" w:hAnsi="Arial" w:cs="Arial"/>
          <w:sz w:val="22"/>
          <w:szCs w:val="22"/>
        </w:rPr>
        <w:t xml:space="preserve">promedio </w:t>
      </w:r>
      <w:r w:rsidR="00567323" w:rsidRPr="008174E3">
        <w:rPr>
          <w:rFonts w:ascii="Arial" w:hAnsi="Arial" w:cs="Arial"/>
          <w:sz w:val="22"/>
          <w:szCs w:val="22"/>
        </w:rPr>
        <w:t xml:space="preserve">de empleo </w:t>
      </w:r>
      <w:r w:rsidR="00322D43" w:rsidRPr="008174E3">
        <w:rPr>
          <w:rFonts w:ascii="Arial" w:hAnsi="Arial" w:cs="Arial"/>
          <w:sz w:val="22"/>
          <w:szCs w:val="22"/>
        </w:rPr>
        <w:t xml:space="preserve">en </w:t>
      </w:r>
      <w:r w:rsidR="00694AC9" w:rsidRPr="008174E3">
        <w:rPr>
          <w:rFonts w:ascii="Arial" w:hAnsi="Arial" w:cs="Arial"/>
          <w:sz w:val="22"/>
          <w:szCs w:val="22"/>
        </w:rPr>
        <w:t xml:space="preserve">México (SIMS) </w:t>
      </w:r>
      <w:r w:rsidR="00322D43" w:rsidRPr="008174E3">
        <w:rPr>
          <w:rFonts w:ascii="Arial" w:hAnsi="Arial" w:cs="Arial"/>
          <w:sz w:val="22"/>
          <w:szCs w:val="22"/>
        </w:rPr>
        <w:t xml:space="preserve">se </w:t>
      </w:r>
      <w:r w:rsidR="00AF633A" w:rsidRPr="008174E3">
        <w:rPr>
          <w:rFonts w:ascii="Arial" w:hAnsi="Arial" w:cs="Arial"/>
          <w:sz w:val="22"/>
          <w:szCs w:val="22"/>
        </w:rPr>
        <w:t>asumirá</w:t>
      </w:r>
      <w:r w:rsidR="00322D43" w:rsidRPr="008174E3">
        <w:rPr>
          <w:rFonts w:ascii="Arial" w:hAnsi="Arial" w:cs="Arial"/>
          <w:sz w:val="22"/>
          <w:szCs w:val="22"/>
        </w:rPr>
        <w:t xml:space="preserve"> que el impacto del programa es de </w:t>
      </w:r>
      <w:r w:rsidR="00694AC9" w:rsidRPr="008174E3">
        <w:rPr>
          <w:rFonts w:ascii="Arial" w:hAnsi="Arial" w:cs="Arial"/>
          <w:sz w:val="22"/>
          <w:szCs w:val="22"/>
        </w:rPr>
        <w:t>24</w:t>
      </w:r>
      <w:r w:rsidR="00A43491" w:rsidRPr="008174E3">
        <w:rPr>
          <w:rFonts w:ascii="Arial" w:hAnsi="Arial" w:cs="Arial"/>
          <w:sz w:val="22"/>
          <w:szCs w:val="22"/>
        </w:rPr>
        <w:t> </w:t>
      </w:r>
      <w:r w:rsidR="00694AC9" w:rsidRPr="008174E3">
        <w:rPr>
          <w:rFonts w:ascii="Arial" w:hAnsi="Arial" w:cs="Arial"/>
          <w:sz w:val="22"/>
          <w:szCs w:val="22"/>
        </w:rPr>
        <w:t>meses (2</w:t>
      </w:r>
      <w:r w:rsidR="00322D43" w:rsidRPr="008174E3">
        <w:rPr>
          <w:rFonts w:ascii="Arial" w:hAnsi="Arial" w:cs="Arial"/>
          <w:sz w:val="22"/>
          <w:szCs w:val="22"/>
        </w:rPr>
        <w:t xml:space="preserve"> años</w:t>
      </w:r>
      <w:r w:rsidR="00694AC9" w:rsidRPr="008174E3">
        <w:rPr>
          <w:rFonts w:ascii="Arial" w:hAnsi="Arial" w:cs="Arial"/>
          <w:sz w:val="22"/>
          <w:szCs w:val="22"/>
        </w:rPr>
        <w:t>)</w:t>
      </w:r>
      <w:bookmarkEnd w:id="1"/>
      <w:r w:rsidR="00081236" w:rsidRPr="008174E3">
        <w:rPr>
          <w:rStyle w:val="FootnoteReference"/>
          <w:rFonts w:ascii="Arial" w:hAnsi="Arial" w:cs="Arial"/>
          <w:sz w:val="22"/>
          <w:szCs w:val="22"/>
        </w:rPr>
        <w:footnoteReference w:id="22"/>
      </w:r>
      <w:r w:rsidR="00F55099" w:rsidRPr="008174E3">
        <w:rPr>
          <w:rFonts w:ascii="Arial" w:hAnsi="Arial" w:cs="Arial"/>
          <w:sz w:val="22"/>
          <w:szCs w:val="22"/>
        </w:rPr>
        <w:t xml:space="preserve"> que es el promedio </w:t>
      </w:r>
      <w:r w:rsidR="007B7E43" w:rsidRPr="008174E3">
        <w:rPr>
          <w:rFonts w:ascii="Arial" w:hAnsi="Arial" w:cs="Arial"/>
          <w:sz w:val="22"/>
          <w:szCs w:val="22"/>
        </w:rPr>
        <w:t>de antigüedad laboral para trabajadores jóvenes</w:t>
      </w:r>
      <w:r w:rsidR="00081236" w:rsidRPr="008174E3">
        <w:rPr>
          <w:rFonts w:ascii="Arial" w:hAnsi="Arial" w:cs="Arial"/>
          <w:sz w:val="22"/>
          <w:szCs w:val="22"/>
        </w:rPr>
        <w:t>.</w:t>
      </w:r>
    </w:p>
    <w:p w14:paraId="5ABB343A" w14:textId="77777777" w:rsidR="00081236" w:rsidRPr="008174E3" w:rsidRDefault="00081236" w:rsidP="00081236">
      <w:pPr>
        <w:pStyle w:val="ListParagraph"/>
        <w:rPr>
          <w:rFonts w:ascii="Arial" w:hAnsi="Arial" w:cs="Arial"/>
          <w:sz w:val="22"/>
          <w:szCs w:val="22"/>
        </w:rPr>
      </w:pPr>
    </w:p>
    <w:p w14:paraId="6DDF8898" w14:textId="6AB72725" w:rsidR="00694AC9" w:rsidRPr="008174E3" w:rsidRDefault="00081236" w:rsidP="00081236">
      <w:pPr>
        <w:pStyle w:val="ListParagraph"/>
        <w:ind w:left="0"/>
        <w:jc w:val="both"/>
        <w:rPr>
          <w:rFonts w:ascii="Arial" w:hAnsi="Arial" w:cs="Arial"/>
          <w:sz w:val="22"/>
          <w:szCs w:val="22"/>
        </w:rPr>
      </w:pPr>
      <w:r w:rsidRPr="008174E3">
        <w:rPr>
          <w:rFonts w:ascii="Arial" w:hAnsi="Arial" w:cs="Arial"/>
          <w:sz w:val="22"/>
          <w:szCs w:val="22"/>
        </w:rPr>
        <w:t xml:space="preserve"> </w:t>
      </w:r>
    </w:p>
    <w:p w14:paraId="56B39923" w14:textId="20701E25" w:rsidR="00E717C1" w:rsidRPr="008174E3" w:rsidRDefault="00E717C1" w:rsidP="00A43491">
      <w:pPr>
        <w:pStyle w:val="ListParagraph"/>
        <w:keepNext/>
        <w:numPr>
          <w:ilvl w:val="1"/>
          <w:numId w:val="7"/>
        </w:numPr>
        <w:ind w:left="360"/>
        <w:jc w:val="both"/>
        <w:rPr>
          <w:rFonts w:ascii="Arial" w:hAnsi="Arial" w:cs="Arial"/>
          <w:b/>
          <w:sz w:val="22"/>
          <w:szCs w:val="22"/>
        </w:rPr>
      </w:pPr>
      <w:r w:rsidRPr="008174E3">
        <w:rPr>
          <w:rFonts w:ascii="Arial" w:hAnsi="Arial" w:cs="Arial"/>
          <w:b/>
          <w:sz w:val="22"/>
          <w:szCs w:val="22"/>
        </w:rPr>
        <w:t>Supuestos sobre los beneficios de</w:t>
      </w:r>
      <w:r w:rsidR="00281617" w:rsidRPr="008174E3">
        <w:rPr>
          <w:rFonts w:ascii="Arial" w:hAnsi="Arial" w:cs="Arial"/>
          <w:b/>
          <w:sz w:val="22"/>
          <w:szCs w:val="22"/>
        </w:rPr>
        <w:t xml:space="preserve">l componente de fortalecimiento </w:t>
      </w:r>
      <w:r w:rsidR="00170561" w:rsidRPr="008174E3">
        <w:rPr>
          <w:rFonts w:ascii="Arial" w:hAnsi="Arial" w:cs="Arial"/>
          <w:b/>
          <w:sz w:val="22"/>
          <w:szCs w:val="22"/>
        </w:rPr>
        <w:t>del PAE</w:t>
      </w:r>
    </w:p>
    <w:p w14:paraId="4306A8D5" w14:textId="77777777" w:rsidR="00776D09" w:rsidRPr="008174E3" w:rsidRDefault="00776D09" w:rsidP="00A43491">
      <w:pPr>
        <w:pStyle w:val="ListParagraph"/>
        <w:keepNext/>
        <w:ind w:left="360"/>
        <w:jc w:val="both"/>
        <w:rPr>
          <w:rFonts w:ascii="Arial" w:hAnsi="Arial" w:cs="Arial"/>
          <w:b/>
          <w:sz w:val="22"/>
          <w:szCs w:val="22"/>
        </w:rPr>
      </w:pPr>
    </w:p>
    <w:p w14:paraId="2A8356CA" w14:textId="0CAE9F7C" w:rsidR="00AF361C" w:rsidRPr="008174E3" w:rsidRDefault="00AF361C" w:rsidP="00A43491">
      <w:pPr>
        <w:pStyle w:val="ListParagraph"/>
        <w:keepNext/>
        <w:numPr>
          <w:ilvl w:val="0"/>
          <w:numId w:val="8"/>
        </w:numPr>
        <w:ind w:left="0"/>
        <w:jc w:val="both"/>
        <w:rPr>
          <w:rFonts w:ascii="Arial" w:hAnsi="Arial" w:cs="Arial"/>
          <w:sz w:val="22"/>
          <w:szCs w:val="22"/>
        </w:rPr>
      </w:pPr>
      <w:r w:rsidRPr="008174E3">
        <w:rPr>
          <w:rFonts w:ascii="Arial" w:hAnsi="Arial" w:cs="Arial"/>
          <w:sz w:val="22"/>
          <w:szCs w:val="22"/>
        </w:rPr>
        <w:t xml:space="preserve">Con relación a los beneficios esperados del componente de fortalecimiento de los programas de desarrollo de </w:t>
      </w:r>
      <w:r w:rsidR="00B407D6" w:rsidRPr="008174E3">
        <w:rPr>
          <w:rFonts w:ascii="Arial" w:hAnsi="Arial" w:cs="Arial"/>
          <w:sz w:val="22"/>
          <w:szCs w:val="22"/>
        </w:rPr>
        <w:t>habilidades</w:t>
      </w:r>
      <w:r w:rsidRPr="008174E3">
        <w:rPr>
          <w:rFonts w:ascii="Arial" w:hAnsi="Arial" w:cs="Arial"/>
          <w:sz w:val="22"/>
          <w:szCs w:val="22"/>
        </w:rPr>
        <w:t>, el programa busca mejorar los servicios orientados al desarrollo de habilidades para los buscadores de empleo y los trabajadores activos. Para esto, el componente rediseñar</w:t>
      </w:r>
      <w:r w:rsidR="00DA13C9" w:rsidRPr="008174E3">
        <w:rPr>
          <w:rFonts w:ascii="Arial" w:hAnsi="Arial" w:cs="Arial"/>
          <w:sz w:val="22"/>
          <w:szCs w:val="22"/>
        </w:rPr>
        <w:t>á</w:t>
      </w:r>
      <w:r w:rsidRPr="008174E3">
        <w:rPr>
          <w:rFonts w:ascii="Arial" w:hAnsi="Arial" w:cs="Arial"/>
          <w:sz w:val="22"/>
          <w:szCs w:val="22"/>
        </w:rPr>
        <w:t xml:space="preserve"> los programas de B</w:t>
      </w:r>
      <w:r w:rsidR="00DA13C9" w:rsidRPr="008174E3">
        <w:rPr>
          <w:rFonts w:ascii="Arial" w:hAnsi="Arial" w:cs="Arial"/>
          <w:sz w:val="22"/>
          <w:szCs w:val="22"/>
        </w:rPr>
        <w:t>É</w:t>
      </w:r>
      <w:r w:rsidRPr="008174E3">
        <w:rPr>
          <w:rFonts w:ascii="Arial" w:hAnsi="Arial" w:cs="Arial"/>
          <w:sz w:val="22"/>
          <w:szCs w:val="22"/>
        </w:rPr>
        <w:t>CATE</w:t>
      </w:r>
      <w:r w:rsidR="006C5B91" w:rsidRPr="008174E3">
        <w:rPr>
          <w:rFonts w:ascii="Arial" w:hAnsi="Arial" w:cs="Arial"/>
          <w:sz w:val="22"/>
          <w:szCs w:val="22"/>
        </w:rPr>
        <w:t xml:space="preserve"> </w:t>
      </w:r>
      <w:r w:rsidR="00DA13C9" w:rsidRPr="008174E3">
        <w:rPr>
          <w:rFonts w:ascii="Arial" w:hAnsi="Arial" w:cs="Arial"/>
          <w:sz w:val="22"/>
          <w:szCs w:val="22"/>
        </w:rPr>
        <w:t>para</w:t>
      </w:r>
      <w:r w:rsidR="006C5B91" w:rsidRPr="008174E3">
        <w:rPr>
          <w:rFonts w:ascii="Arial" w:hAnsi="Arial" w:cs="Arial"/>
          <w:sz w:val="22"/>
          <w:szCs w:val="22"/>
        </w:rPr>
        <w:t xml:space="preserve"> </w:t>
      </w:r>
      <w:r w:rsidR="00B407D6" w:rsidRPr="008174E3">
        <w:rPr>
          <w:rFonts w:ascii="Arial" w:hAnsi="Arial" w:cs="Arial"/>
          <w:sz w:val="22"/>
          <w:szCs w:val="22"/>
        </w:rPr>
        <w:t>incorporar</w:t>
      </w:r>
      <w:r w:rsidR="006C5B91" w:rsidRPr="008174E3">
        <w:rPr>
          <w:rFonts w:ascii="Arial" w:hAnsi="Arial" w:cs="Arial"/>
          <w:sz w:val="22"/>
          <w:szCs w:val="22"/>
        </w:rPr>
        <w:t xml:space="preserve"> buenas prácticas internacionales y las áreas de oportunidad identificadas en las evaluaciones de procesos a fin de promover que las misma</w:t>
      </w:r>
      <w:r w:rsidR="00DA13C9" w:rsidRPr="008174E3">
        <w:rPr>
          <w:rFonts w:ascii="Arial" w:hAnsi="Arial" w:cs="Arial"/>
          <w:sz w:val="22"/>
          <w:szCs w:val="22"/>
        </w:rPr>
        <w:t>s</w:t>
      </w:r>
      <w:r w:rsidR="006C5B91" w:rsidRPr="008174E3">
        <w:rPr>
          <w:rFonts w:ascii="Arial" w:hAnsi="Arial" w:cs="Arial"/>
          <w:sz w:val="22"/>
          <w:szCs w:val="22"/>
        </w:rPr>
        <w:t xml:space="preserve"> sea</w:t>
      </w:r>
      <w:r w:rsidR="00DA13C9" w:rsidRPr="008174E3">
        <w:rPr>
          <w:rFonts w:ascii="Arial" w:hAnsi="Arial" w:cs="Arial"/>
          <w:sz w:val="22"/>
          <w:szCs w:val="22"/>
        </w:rPr>
        <w:t>n</w:t>
      </w:r>
      <w:r w:rsidR="006C5B91" w:rsidRPr="008174E3">
        <w:rPr>
          <w:rFonts w:ascii="Arial" w:hAnsi="Arial" w:cs="Arial"/>
          <w:sz w:val="22"/>
          <w:szCs w:val="22"/>
        </w:rPr>
        <w:t xml:space="preserve"> más efectivas.</w:t>
      </w:r>
    </w:p>
    <w:p w14:paraId="1B922F76" w14:textId="77777777" w:rsidR="006C5B91" w:rsidRPr="008174E3" w:rsidRDefault="006C5B91" w:rsidP="006C5B91">
      <w:pPr>
        <w:pStyle w:val="ListParagraph"/>
        <w:tabs>
          <w:tab w:val="left" w:pos="90"/>
          <w:tab w:val="left" w:pos="270"/>
        </w:tabs>
        <w:ind w:left="0"/>
        <w:jc w:val="both"/>
        <w:rPr>
          <w:rFonts w:ascii="Arial" w:hAnsi="Arial" w:cs="Arial"/>
          <w:sz w:val="22"/>
          <w:szCs w:val="22"/>
        </w:rPr>
      </w:pPr>
    </w:p>
    <w:p w14:paraId="03285784" w14:textId="53343D36" w:rsidR="006C5B91" w:rsidRPr="008174E3" w:rsidRDefault="009D4A52" w:rsidP="00B96D87">
      <w:pPr>
        <w:pStyle w:val="ListParagraph"/>
        <w:numPr>
          <w:ilvl w:val="0"/>
          <w:numId w:val="8"/>
        </w:numPr>
        <w:tabs>
          <w:tab w:val="left" w:pos="90"/>
          <w:tab w:val="left" w:pos="270"/>
        </w:tabs>
        <w:ind w:left="0"/>
        <w:jc w:val="both"/>
        <w:rPr>
          <w:rFonts w:ascii="Arial" w:hAnsi="Arial" w:cs="Arial"/>
          <w:sz w:val="22"/>
          <w:szCs w:val="22"/>
        </w:rPr>
      </w:pPr>
      <w:r w:rsidRPr="008174E3">
        <w:rPr>
          <w:rFonts w:ascii="Arial" w:hAnsi="Arial" w:cs="Arial"/>
          <w:sz w:val="22"/>
          <w:szCs w:val="22"/>
        </w:rPr>
        <w:t xml:space="preserve">Los programas </w:t>
      </w:r>
      <w:r w:rsidR="002932C6" w:rsidRPr="008174E3">
        <w:rPr>
          <w:rFonts w:ascii="Arial" w:hAnsi="Arial" w:cs="Arial"/>
          <w:sz w:val="22"/>
          <w:szCs w:val="22"/>
        </w:rPr>
        <w:t>clásicos</w:t>
      </w:r>
      <w:r w:rsidRPr="008174E3">
        <w:rPr>
          <w:rFonts w:ascii="Arial" w:hAnsi="Arial" w:cs="Arial"/>
          <w:sz w:val="22"/>
          <w:szCs w:val="22"/>
        </w:rPr>
        <w:t xml:space="preserve"> de entrenamiento</w:t>
      </w:r>
      <w:r w:rsidR="007B7E43" w:rsidRPr="008174E3">
        <w:rPr>
          <w:rFonts w:ascii="Arial" w:hAnsi="Arial" w:cs="Arial"/>
          <w:sz w:val="22"/>
          <w:szCs w:val="22"/>
        </w:rPr>
        <w:t xml:space="preserve"> son los </w:t>
      </w:r>
      <w:r w:rsidRPr="008174E3">
        <w:rPr>
          <w:rFonts w:ascii="Arial" w:hAnsi="Arial" w:cs="Arial"/>
          <w:sz w:val="22"/>
          <w:szCs w:val="22"/>
        </w:rPr>
        <w:t xml:space="preserve">más implementados a nivel mundial. Este tipo de </w:t>
      </w:r>
      <w:r w:rsidR="002932C6" w:rsidRPr="008174E3">
        <w:rPr>
          <w:rFonts w:ascii="Arial" w:hAnsi="Arial" w:cs="Arial"/>
          <w:sz w:val="22"/>
          <w:szCs w:val="22"/>
        </w:rPr>
        <w:t>programas</w:t>
      </w:r>
      <w:r w:rsidRPr="008174E3">
        <w:rPr>
          <w:rFonts w:ascii="Arial" w:hAnsi="Arial" w:cs="Arial"/>
          <w:sz w:val="22"/>
          <w:szCs w:val="22"/>
        </w:rPr>
        <w:t xml:space="preserve"> </w:t>
      </w:r>
      <w:r w:rsidR="007B7E43" w:rsidRPr="008174E3">
        <w:rPr>
          <w:rFonts w:ascii="Arial" w:hAnsi="Arial" w:cs="Arial"/>
          <w:sz w:val="22"/>
          <w:szCs w:val="22"/>
        </w:rPr>
        <w:t>busca</w:t>
      </w:r>
      <w:r w:rsidR="00631B98" w:rsidRPr="008174E3">
        <w:rPr>
          <w:rFonts w:ascii="Arial" w:hAnsi="Arial" w:cs="Arial"/>
          <w:sz w:val="22"/>
          <w:szCs w:val="22"/>
        </w:rPr>
        <w:t>n</w:t>
      </w:r>
      <w:r w:rsidR="007B7E43" w:rsidRPr="008174E3">
        <w:rPr>
          <w:rFonts w:ascii="Arial" w:hAnsi="Arial" w:cs="Arial"/>
          <w:sz w:val="22"/>
          <w:szCs w:val="22"/>
        </w:rPr>
        <w:t xml:space="preserve"> </w:t>
      </w:r>
      <w:r w:rsidRPr="008174E3">
        <w:rPr>
          <w:rFonts w:ascii="Arial" w:hAnsi="Arial" w:cs="Arial"/>
          <w:sz w:val="22"/>
          <w:szCs w:val="22"/>
        </w:rPr>
        <w:t xml:space="preserve">incrementar el </w:t>
      </w:r>
      <w:r w:rsidR="002932C6" w:rsidRPr="008174E3">
        <w:rPr>
          <w:rFonts w:ascii="Arial" w:hAnsi="Arial" w:cs="Arial"/>
          <w:sz w:val="22"/>
          <w:szCs w:val="22"/>
        </w:rPr>
        <w:t>acervo</w:t>
      </w:r>
      <w:r w:rsidRPr="008174E3">
        <w:rPr>
          <w:rFonts w:ascii="Arial" w:hAnsi="Arial" w:cs="Arial"/>
          <w:sz w:val="22"/>
          <w:szCs w:val="22"/>
        </w:rPr>
        <w:t xml:space="preserve"> de capital humano y atenuar las brechas de habilidades a través de entrenamientos de corto plazo (Kluve, 2016). El supuesto </w:t>
      </w:r>
      <w:r w:rsidR="006C5B91" w:rsidRPr="008174E3">
        <w:rPr>
          <w:rFonts w:ascii="Arial" w:hAnsi="Arial" w:cs="Arial"/>
          <w:sz w:val="22"/>
          <w:szCs w:val="22"/>
        </w:rPr>
        <w:t xml:space="preserve">que justifica este tipo de </w:t>
      </w:r>
      <w:r w:rsidR="003D6EB3" w:rsidRPr="008174E3">
        <w:rPr>
          <w:rFonts w:ascii="Arial" w:hAnsi="Arial" w:cs="Arial"/>
          <w:sz w:val="22"/>
          <w:szCs w:val="22"/>
        </w:rPr>
        <w:t>intervenciones</w:t>
      </w:r>
      <w:r w:rsidRPr="008174E3">
        <w:rPr>
          <w:rFonts w:ascii="Arial" w:hAnsi="Arial" w:cs="Arial"/>
          <w:sz w:val="22"/>
          <w:szCs w:val="22"/>
        </w:rPr>
        <w:t xml:space="preserve"> es el hecho que esta </w:t>
      </w:r>
      <w:r w:rsidR="006C5B91" w:rsidRPr="008174E3">
        <w:rPr>
          <w:rFonts w:ascii="Arial" w:hAnsi="Arial" w:cs="Arial"/>
          <w:sz w:val="22"/>
          <w:szCs w:val="22"/>
        </w:rPr>
        <w:t xml:space="preserve">falta de </w:t>
      </w:r>
      <w:r w:rsidRPr="008174E3">
        <w:rPr>
          <w:rFonts w:ascii="Arial" w:hAnsi="Arial" w:cs="Arial"/>
          <w:sz w:val="22"/>
          <w:szCs w:val="22"/>
        </w:rPr>
        <w:t>habilidades</w:t>
      </w:r>
      <w:r w:rsidR="006C5B91" w:rsidRPr="008174E3">
        <w:rPr>
          <w:rFonts w:ascii="Arial" w:hAnsi="Arial" w:cs="Arial"/>
          <w:sz w:val="22"/>
          <w:szCs w:val="22"/>
        </w:rPr>
        <w:t xml:space="preserve"> de los buscadores de empleo</w:t>
      </w:r>
      <w:r w:rsidRPr="008174E3">
        <w:rPr>
          <w:rFonts w:ascii="Arial" w:hAnsi="Arial" w:cs="Arial"/>
          <w:sz w:val="22"/>
          <w:szCs w:val="22"/>
        </w:rPr>
        <w:t xml:space="preserve"> puede </w:t>
      </w:r>
      <w:r w:rsidR="006C5B91" w:rsidRPr="008174E3">
        <w:rPr>
          <w:rFonts w:ascii="Arial" w:hAnsi="Arial" w:cs="Arial"/>
          <w:sz w:val="22"/>
          <w:szCs w:val="22"/>
        </w:rPr>
        <w:t xml:space="preserve">ser </w:t>
      </w:r>
      <w:r w:rsidR="00B407D6" w:rsidRPr="008174E3">
        <w:rPr>
          <w:rFonts w:ascii="Arial" w:hAnsi="Arial" w:cs="Arial"/>
          <w:sz w:val="22"/>
          <w:szCs w:val="22"/>
        </w:rPr>
        <w:t>formada</w:t>
      </w:r>
      <w:r w:rsidRPr="008174E3">
        <w:rPr>
          <w:rFonts w:ascii="Arial" w:hAnsi="Arial" w:cs="Arial"/>
          <w:sz w:val="22"/>
          <w:szCs w:val="22"/>
        </w:rPr>
        <w:t xml:space="preserve"> en el corto plazo. Los componentes clásicos de un programa de este tipo son: capacitación en aula, capacitación en planta, entrenamiento de habilidades</w:t>
      </w:r>
      <w:r w:rsidR="007B7E43" w:rsidRPr="008174E3">
        <w:rPr>
          <w:rFonts w:ascii="Arial" w:hAnsi="Arial" w:cs="Arial"/>
          <w:sz w:val="22"/>
          <w:szCs w:val="22"/>
        </w:rPr>
        <w:t xml:space="preserve"> básicas (matemática, lenguaje) y</w:t>
      </w:r>
      <w:r w:rsidRPr="008174E3">
        <w:rPr>
          <w:rFonts w:ascii="Arial" w:hAnsi="Arial" w:cs="Arial"/>
          <w:sz w:val="22"/>
          <w:szCs w:val="22"/>
        </w:rPr>
        <w:t xml:space="preserve"> entrenamiento en habilidades </w:t>
      </w:r>
      <w:r w:rsidR="004918CB" w:rsidRPr="008174E3">
        <w:rPr>
          <w:rFonts w:ascii="Arial" w:hAnsi="Arial" w:cs="Arial"/>
          <w:sz w:val="22"/>
          <w:szCs w:val="22"/>
        </w:rPr>
        <w:t>socioemocionales</w:t>
      </w:r>
      <w:r w:rsidRPr="008174E3">
        <w:rPr>
          <w:rFonts w:ascii="Arial" w:hAnsi="Arial" w:cs="Arial"/>
          <w:sz w:val="22"/>
          <w:szCs w:val="22"/>
        </w:rPr>
        <w:t xml:space="preserve">. </w:t>
      </w:r>
      <w:r w:rsidR="005E41FF" w:rsidRPr="008174E3">
        <w:rPr>
          <w:rFonts w:ascii="Arial" w:hAnsi="Arial" w:cs="Arial"/>
          <w:sz w:val="22"/>
          <w:szCs w:val="22"/>
        </w:rPr>
        <w:t>Sin embargo, e</w:t>
      </w:r>
      <w:r w:rsidRPr="008174E3">
        <w:rPr>
          <w:rFonts w:ascii="Arial" w:hAnsi="Arial" w:cs="Arial"/>
          <w:sz w:val="22"/>
          <w:szCs w:val="22"/>
        </w:rPr>
        <w:t xml:space="preserve">n la </w:t>
      </w:r>
      <w:r w:rsidR="002932C6" w:rsidRPr="008174E3">
        <w:rPr>
          <w:rFonts w:ascii="Arial" w:hAnsi="Arial" w:cs="Arial"/>
          <w:sz w:val="22"/>
          <w:szCs w:val="22"/>
        </w:rPr>
        <w:t>práctica</w:t>
      </w:r>
      <w:r w:rsidR="005E41FF" w:rsidRPr="008174E3">
        <w:rPr>
          <w:rFonts w:ascii="Arial" w:hAnsi="Arial" w:cs="Arial"/>
          <w:sz w:val="22"/>
          <w:szCs w:val="22"/>
        </w:rPr>
        <w:t>,</w:t>
      </w:r>
      <w:r w:rsidRPr="008174E3">
        <w:rPr>
          <w:rFonts w:ascii="Arial" w:hAnsi="Arial" w:cs="Arial"/>
          <w:sz w:val="22"/>
          <w:szCs w:val="22"/>
        </w:rPr>
        <w:t xml:space="preserve"> los programas de </w:t>
      </w:r>
      <w:r w:rsidR="006C5B91" w:rsidRPr="008174E3">
        <w:rPr>
          <w:rFonts w:ascii="Arial" w:hAnsi="Arial" w:cs="Arial"/>
          <w:sz w:val="22"/>
          <w:szCs w:val="22"/>
        </w:rPr>
        <w:t xml:space="preserve">este tipo </w:t>
      </w:r>
      <w:r w:rsidRPr="008174E3">
        <w:rPr>
          <w:rFonts w:ascii="Arial" w:hAnsi="Arial" w:cs="Arial"/>
          <w:sz w:val="22"/>
          <w:szCs w:val="22"/>
        </w:rPr>
        <w:t xml:space="preserve">pueden presentar cualquier combinación de los componentes mencionados. </w:t>
      </w:r>
    </w:p>
    <w:p w14:paraId="0D2C2696" w14:textId="77777777" w:rsidR="006C5B91" w:rsidRPr="008174E3" w:rsidRDefault="006C5B91" w:rsidP="006C5B91">
      <w:pPr>
        <w:pStyle w:val="ListParagraph"/>
        <w:tabs>
          <w:tab w:val="left" w:pos="90"/>
          <w:tab w:val="left" w:pos="270"/>
        </w:tabs>
        <w:ind w:left="0"/>
        <w:jc w:val="both"/>
        <w:rPr>
          <w:rFonts w:ascii="Arial" w:hAnsi="Arial" w:cs="Arial"/>
          <w:sz w:val="22"/>
          <w:szCs w:val="22"/>
        </w:rPr>
      </w:pPr>
    </w:p>
    <w:p w14:paraId="584C6368" w14:textId="4E94515A" w:rsidR="002932C6" w:rsidRPr="008174E3" w:rsidRDefault="00165C18" w:rsidP="00B96D87">
      <w:pPr>
        <w:pStyle w:val="ListParagraph"/>
        <w:numPr>
          <w:ilvl w:val="0"/>
          <w:numId w:val="8"/>
        </w:numPr>
        <w:tabs>
          <w:tab w:val="left" w:pos="90"/>
          <w:tab w:val="left" w:pos="270"/>
        </w:tabs>
        <w:ind w:left="0"/>
        <w:jc w:val="both"/>
        <w:rPr>
          <w:rFonts w:ascii="Arial" w:hAnsi="Arial" w:cs="Arial"/>
          <w:sz w:val="22"/>
          <w:szCs w:val="22"/>
        </w:rPr>
      </w:pPr>
      <w:r w:rsidRPr="008174E3">
        <w:rPr>
          <w:rFonts w:ascii="Arial" w:hAnsi="Arial" w:cs="Arial"/>
          <w:sz w:val="22"/>
          <w:szCs w:val="22"/>
        </w:rPr>
        <w:t xml:space="preserve">La teoría del cambio detrás del impacto del componente se explica </w:t>
      </w:r>
      <w:r w:rsidR="00631B98" w:rsidRPr="008174E3">
        <w:rPr>
          <w:rFonts w:ascii="Arial" w:hAnsi="Arial" w:cs="Arial"/>
          <w:sz w:val="22"/>
          <w:szCs w:val="22"/>
        </w:rPr>
        <w:t xml:space="preserve">por </w:t>
      </w:r>
      <w:r w:rsidR="002F4BA2" w:rsidRPr="008174E3">
        <w:rPr>
          <w:rFonts w:ascii="Arial" w:hAnsi="Arial" w:cs="Arial"/>
          <w:sz w:val="22"/>
          <w:szCs w:val="22"/>
        </w:rPr>
        <w:t xml:space="preserve">el incremento en el </w:t>
      </w:r>
      <w:r w:rsidRPr="008174E3">
        <w:rPr>
          <w:rFonts w:ascii="Arial" w:hAnsi="Arial" w:cs="Arial"/>
          <w:sz w:val="22"/>
          <w:szCs w:val="22"/>
        </w:rPr>
        <w:t xml:space="preserve">nivel de habilidades de los </w:t>
      </w:r>
      <w:r w:rsidR="00AF633A" w:rsidRPr="008174E3">
        <w:rPr>
          <w:rFonts w:ascii="Arial" w:hAnsi="Arial" w:cs="Arial"/>
          <w:sz w:val="22"/>
          <w:szCs w:val="22"/>
        </w:rPr>
        <w:t>beneficiarios</w:t>
      </w:r>
      <w:r w:rsidRPr="008174E3">
        <w:rPr>
          <w:rFonts w:ascii="Arial" w:hAnsi="Arial" w:cs="Arial"/>
          <w:sz w:val="22"/>
          <w:szCs w:val="22"/>
        </w:rPr>
        <w:t xml:space="preserve">, tanto habilidades para el trabajo como también habilidades </w:t>
      </w:r>
      <w:r w:rsidR="004918CB" w:rsidRPr="008174E3">
        <w:rPr>
          <w:rFonts w:ascii="Arial" w:hAnsi="Arial" w:cs="Arial"/>
          <w:sz w:val="22"/>
          <w:szCs w:val="22"/>
        </w:rPr>
        <w:t>socioemocionales</w:t>
      </w:r>
      <w:r w:rsidR="006671FD" w:rsidRPr="008174E3">
        <w:rPr>
          <w:rFonts w:ascii="Arial" w:hAnsi="Arial" w:cs="Arial"/>
          <w:sz w:val="22"/>
          <w:szCs w:val="22"/>
        </w:rPr>
        <w:t xml:space="preserve">, la provisión de contactos, provisión de experiencia laboral relevante y la señalización de la calidad del trabajo del buscador de empleo que afecten </w:t>
      </w:r>
      <w:r w:rsidR="006C5B91" w:rsidRPr="008174E3">
        <w:rPr>
          <w:rFonts w:ascii="Arial" w:hAnsi="Arial" w:cs="Arial"/>
          <w:sz w:val="22"/>
          <w:szCs w:val="22"/>
        </w:rPr>
        <w:t xml:space="preserve">de manera permanente su </w:t>
      </w:r>
      <w:r w:rsidR="006671FD" w:rsidRPr="008174E3">
        <w:rPr>
          <w:rFonts w:ascii="Arial" w:hAnsi="Arial" w:cs="Arial"/>
          <w:sz w:val="22"/>
          <w:szCs w:val="22"/>
        </w:rPr>
        <w:t>acceso a empleo</w:t>
      </w:r>
      <w:r w:rsidR="006C5B91" w:rsidRPr="008174E3">
        <w:rPr>
          <w:rFonts w:ascii="Arial" w:hAnsi="Arial" w:cs="Arial"/>
          <w:sz w:val="22"/>
          <w:szCs w:val="22"/>
        </w:rPr>
        <w:t>s</w:t>
      </w:r>
      <w:r w:rsidR="006671FD" w:rsidRPr="008174E3">
        <w:rPr>
          <w:rFonts w:ascii="Arial" w:hAnsi="Arial" w:cs="Arial"/>
          <w:sz w:val="22"/>
          <w:szCs w:val="22"/>
        </w:rPr>
        <w:t xml:space="preserve"> de calidad.</w:t>
      </w:r>
      <w:r w:rsidRPr="008174E3">
        <w:rPr>
          <w:rFonts w:ascii="Arial" w:hAnsi="Arial" w:cs="Arial"/>
          <w:sz w:val="22"/>
          <w:szCs w:val="22"/>
        </w:rPr>
        <w:t xml:space="preserve"> </w:t>
      </w:r>
    </w:p>
    <w:p w14:paraId="1950F8E5" w14:textId="77777777" w:rsidR="007B7E43" w:rsidRPr="008174E3" w:rsidRDefault="007B7E43" w:rsidP="007B7E43">
      <w:pPr>
        <w:pStyle w:val="ListParagraph"/>
        <w:rPr>
          <w:rFonts w:ascii="Arial" w:hAnsi="Arial" w:cs="Arial"/>
          <w:sz w:val="22"/>
          <w:szCs w:val="22"/>
        </w:rPr>
      </w:pPr>
    </w:p>
    <w:p w14:paraId="793D3113" w14:textId="59B599C2" w:rsidR="007B7E43" w:rsidRPr="008174E3" w:rsidRDefault="007B7E43" w:rsidP="007B7E43">
      <w:pPr>
        <w:pStyle w:val="ListParagraph"/>
        <w:numPr>
          <w:ilvl w:val="0"/>
          <w:numId w:val="8"/>
        </w:numPr>
        <w:tabs>
          <w:tab w:val="left" w:pos="90"/>
          <w:tab w:val="left" w:pos="270"/>
        </w:tabs>
        <w:ind w:left="0"/>
        <w:jc w:val="both"/>
        <w:rPr>
          <w:rFonts w:ascii="Arial" w:hAnsi="Arial" w:cs="Arial"/>
          <w:sz w:val="22"/>
          <w:szCs w:val="22"/>
        </w:rPr>
      </w:pPr>
      <w:r w:rsidRPr="008174E3">
        <w:rPr>
          <w:rFonts w:ascii="Arial" w:hAnsi="Arial" w:cs="Arial"/>
          <w:sz w:val="22"/>
          <w:szCs w:val="22"/>
        </w:rPr>
        <w:t>La evidencia de los países desarrollados indica que esta capacitación generalmente tiene efectos pequeños, especialmente en jóvenes (Card et al., 2010). Sin embargo, los resultados de las evaluaciones de las políticas de capacitación son más auspiciosos en países en desarrollo, particularmente en Latinoamérica (Betcherman, 2007; Ibarrarán &amp; Rosas, 200</w:t>
      </w:r>
      <w:r w:rsidR="00442FFB" w:rsidRPr="008174E3">
        <w:rPr>
          <w:rFonts w:ascii="Arial" w:hAnsi="Arial" w:cs="Arial"/>
          <w:sz w:val="22"/>
          <w:szCs w:val="22"/>
        </w:rPr>
        <w:t>9</w:t>
      </w:r>
      <w:r w:rsidRPr="008174E3">
        <w:rPr>
          <w:rFonts w:ascii="Arial" w:hAnsi="Arial" w:cs="Arial"/>
          <w:sz w:val="22"/>
          <w:szCs w:val="22"/>
        </w:rPr>
        <w:t>; Gonzales et al., 2012; Attanasio et al., 2011; Kluve 2014; Kluve, 2016).</w:t>
      </w:r>
    </w:p>
    <w:p w14:paraId="4D6ED0CD" w14:textId="77777777" w:rsidR="006C5B91" w:rsidRPr="008174E3" w:rsidRDefault="006C5B91" w:rsidP="006C5B91">
      <w:pPr>
        <w:pStyle w:val="ListParagraph"/>
        <w:rPr>
          <w:rFonts w:ascii="Arial" w:hAnsi="Arial" w:cs="Arial"/>
          <w:sz w:val="22"/>
          <w:szCs w:val="22"/>
        </w:rPr>
      </w:pPr>
    </w:p>
    <w:p w14:paraId="2F7FE073" w14:textId="5088B5FA" w:rsidR="00416885" w:rsidRPr="008174E3" w:rsidRDefault="00417C18" w:rsidP="00416885">
      <w:pPr>
        <w:pStyle w:val="ListParagraph"/>
        <w:numPr>
          <w:ilvl w:val="0"/>
          <w:numId w:val="8"/>
        </w:numPr>
        <w:tabs>
          <w:tab w:val="left" w:pos="90"/>
          <w:tab w:val="left" w:pos="270"/>
        </w:tabs>
        <w:ind w:left="0"/>
        <w:jc w:val="both"/>
        <w:rPr>
          <w:rFonts w:ascii="Arial" w:hAnsi="Arial" w:cs="Arial"/>
          <w:sz w:val="22"/>
          <w:szCs w:val="22"/>
        </w:rPr>
      </w:pPr>
      <w:r w:rsidRPr="008174E3">
        <w:rPr>
          <w:rFonts w:ascii="Arial" w:hAnsi="Arial" w:cs="Arial"/>
          <w:sz w:val="22"/>
          <w:szCs w:val="22"/>
        </w:rPr>
        <w:t xml:space="preserve">Con relación a </w:t>
      </w:r>
      <w:r w:rsidR="00416885" w:rsidRPr="008174E3">
        <w:rPr>
          <w:rFonts w:ascii="Arial" w:hAnsi="Arial" w:cs="Arial"/>
          <w:sz w:val="22"/>
          <w:szCs w:val="22"/>
        </w:rPr>
        <w:t xml:space="preserve">las evaluaciones de impacto del PAE de México, particularmente a los </w:t>
      </w:r>
      <w:r w:rsidR="00D66E96" w:rsidRPr="008174E3">
        <w:rPr>
          <w:rFonts w:ascii="Arial" w:hAnsi="Arial" w:cs="Arial"/>
          <w:sz w:val="22"/>
          <w:szCs w:val="22"/>
        </w:rPr>
        <w:t>componentes</w:t>
      </w:r>
      <w:r w:rsidR="00416885" w:rsidRPr="008174E3">
        <w:rPr>
          <w:rFonts w:ascii="Arial" w:hAnsi="Arial" w:cs="Arial"/>
          <w:sz w:val="22"/>
          <w:szCs w:val="22"/>
        </w:rPr>
        <w:t xml:space="preserve"> del Programa B</w:t>
      </w:r>
      <w:r w:rsidR="00DB1949" w:rsidRPr="008174E3">
        <w:rPr>
          <w:rFonts w:ascii="Arial" w:hAnsi="Arial" w:cs="Arial"/>
          <w:sz w:val="22"/>
          <w:szCs w:val="22"/>
        </w:rPr>
        <w:t>É</w:t>
      </w:r>
      <w:r w:rsidR="00416885" w:rsidRPr="008174E3">
        <w:rPr>
          <w:rFonts w:ascii="Arial" w:hAnsi="Arial" w:cs="Arial"/>
          <w:sz w:val="22"/>
          <w:szCs w:val="22"/>
        </w:rPr>
        <w:t xml:space="preserve">CATE, </w:t>
      </w:r>
      <w:r w:rsidR="002661C0" w:rsidRPr="008174E3">
        <w:rPr>
          <w:rFonts w:ascii="Arial" w:hAnsi="Arial" w:cs="Arial"/>
          <w:sz w:val="22"/>
          <w:szCs w:val="22"/>
        </w:rPr>
        <w:t xml:space="preserve">las </w:t>
      </w:r>
      <w:r w:rsidRPr="008174E3">
        <w:rPr>
          <w:rFonts w:ascii="Arial" w:hAnsi="Arial" w:cs="Arial"/>
          <w:sz w:val="22"/>
          <w:szCs w:val="22"/>
        </w:rPr>
        <w:t xml:space="preserve">evaluaciones </w:t>
      </w:r>
      <w:r w:rsidR="002661C0" w:rsidRPr="008174E3">
        <w:rPr>
          <w:rFonts w:ascii="Arial" w:hAnsi="Arial" w:cs="Arial"/>
          <w:sz w:val="22"/>
          <w:szCs w:val="22"/>
        </w:rPr>
        <w:t xml:space="preserve">existentes muestran </w:t>
      </w:r>
      <w:r w:rsidR="00165C18" w:rsidRPr="008174E3">
        <w:rPr>
          <w:rFonts w:ascii="Arial" w:hAnsi="Arial" w:cs="Arial"/>
          <w:sz w:val="22"/>
          <w:szCs w:val="22"/>
        </w:rPr>
        <w:t xml:space="preserve">evidencia de </w:t>
      </w:r>
      <w:r w:rsidRPr="008174E3">
        <w:rPr>
          <w:rFonts w:ascii="Arial" w:hAnsi="Arial" w:cs="Arial"/>
          <w:sz w:val="22"/>
          <w:szCs w:val="22"/>
        </w:rPr>
        <w:t>impactos positivos en inserción laboral</w:t>
      </w:r>
      <w:r w:rsidR="00416885" w:rsidRPr="008174E3">
        <w:rPr>
          <w:rFonts w:ascii="Arial" w:hAnsi="Arial" w:cs="Arial"/>
          <w:sz w:val="22"/>
          <w:szCs w:val="22"/>
        </w:rPr>
        <w:t>, empleo formal, beneficios sociales</w:t>
      </w:r>
      <w:r w:rsidRPr="008174E3">
        <w:rPr>
          <w:rFonts w:ascii="Arial" w:hAnsi="Arial" w:cs="Arial"/>
          <w:sz w:val="22"/>
          <w:szCs w:val="22"/>
        </w:rPr>
        <w:t xml:space="preserve"> </w:t>
      </w:r>
      <w:r w:rsidR="00165C18" w:rsidRPr="008174E3">
        <w:rPr>
          <w:rFonts w:ascii="Arial" w:hAnsi="Arial" w:cs="Arial"/>
          <w:sz w:val="22"/>
          <w:szCs w:val="22"/>
        </w:rPr>
        <w:t>e ingresos</w:t>
      </w:r>
      <w:r w:rsidR="002661C0" w:rsidRPr="008174E3">
        <w:rPr>
          <w:rFonts w:ascii="Arial" w:hAnsi="Arial" w:cs="Arial"/>
          <w:sz w:val="22"/>
          <w:szCs w:val="22"/>
        </w:rPr>
        <w:t xml:space="preserve">. </w:t>
      </w:r>
      <w:r w:rsidR="00F664E6" w:rsidRPr="008174E3">
        <w:rPr>
          <w:rFonts w:ascii="Arial" w:hAnsi="Arial" w:cs="Arial"/>
          <w:sz w:val="22"/>
          <w:szCs w:val="22"/>
        </w:rPr>
        <w:t xml:space="preserve">Van Gamaren (2010) en una evaluación </w:t>
      </w:r>
      <w:r w:rsidR="00CF3BCB" w:rsidRPr="008174E3">
        <w:rPr>
          <w:rFonts w:ascii="Arial" w:hAnsi="Arial" w:cs="Arial"/>
          <w:sz w:val="22"/>
          <w:szCs w:val="22"/>
        </w:rPr>
        <w:t>cuasi-experimental</w:t>
      </w:r>
      <w:r w:rsidR="002661C0" w:rsidRPr="008174E3">
        <w:rPr>
          <w:rFonts w:ascii="Arial" w:hAnsi="Arial" w:cs="Arial"/>
          <w:sz w:val="22"/>
          <w:szCs w:val="22"/>
        </w:rPr>
        <w:t xml:space="preserve"> </w:t>
      </w:r>
      <w:r w:rsidR="00F664E6" w:rsidRPr="008174E3">
        <w:rPr>
          <w:rFonts w:ascii="Arial" w:hAnsi="Arial" w:cs="Arial"/>
          <w:sz w:val="22"/>
          <w:szCs w:val="22"/>
        </w:rPr>
        <w:t>de los subprogramas del Programa de Apoyo al Empleo</w:t>
      </w:r>
      <w:r w:rsidR="00416885" w:rsidRPr="008174E3">
        <w:rPr>
          <w:rFonts w:ascii="Arial" w:hAnsi="Arial" w:cs="Arial"/>
          <w:sz w:val="22"/>
          <w:szCs w:val="22"/>
        </w:rPr>
        <w:t>,</w:t>
      </w:r>
      <w:r w:rsidR="00F664E6" w:rsidRPr="008174E3">
        <w:rPr>
          <w:rFonts w:ascii="Arial" w:hAnsi="Arial" w:cs="Arial"/>
          <w:sz w:val="22"/>
          <w:szCs w:val="22"/>
        </w:rPr>
        <w:t xml:space="preserve"> </w:t>
      </w:r>
      <w:r w:rsidR="0049418A" w:rsidRPr="008174E3">
        <w:rPr>
          <w:rFonts w:ascii="Arial" w:hAnsi="Arial" w:cs="Arial"/>
          <w:sz w:val="22"/>
          <w:szCs w:val="22"/>
        </w:rPr>
        <w:t>e</w:t>
      </w:r>
      <w:r w:rsidR="00F664E6" w:rsidRPr="008174E3">
        <w:rPr>
          <w:rFonts w:ascii="Arial" w:hAnsi="Arial" w:cs="Arial"/>
          <w:sz w:val="22"/>
          <w:szCs w:val="22"/>
        </w:rPr>
        <w:t xml:space="preserve">ncuentra </w:t>
      </w:r>
      <w:r w:rsidR="00416885" w:rsidRPr="008174E3">
        <w:rPr>
          <w:rFonts w:ascii="Arial" w:hAnsi="Arial" w:cs="Arial"/>
          <w:sz w:val="22"/>
          <w:szCs w:val="22"/>
        </w:rPr>
        <w:t xml:space="preserve">impactos positivos en el ingreso para los beneficiarios en los semestres evaluados, encontrando mayores efectos para la modalidad de Capacitación Mixta (CM) y Capacitación en la Practica Laboral (CPL). Asimismo, el autor encuentra impacto en la tasa de colocación de los beneficiarios del programa, especialmente para los componentes de CM y CPL. En general, la evaluación encuentra efectos positivos para las prestaciones laborales y el acceso a los servicios de salud, aunque las estimaciones no son muy estables. </w:t>
      </w:r>
    </w:p>
    <w:p w14:paraId="4E415231" w14:textId="77777777" w:rsidR="00416885" w:rsidRPr="008174E3" w:rsidRDefault="00416885" w:rsidP="00416885">
      <w:pPr>
        <w:pStyle w:val="ListParagraph"/>
        <w:rPr>
          <w:rFonts w:ascii="Arial" w:hAnsi="Arial" w:cs="Arial"/>
          <w:sz w:val="22"/>
          <w:szCs w:val="22"/>
        </w:rPr>
      </w:pPr>
    </w:p>
    <w:p w14:paraId="250ABDBF" w14:textId="73B002EC" w:rsidR="00FE2B72" w:rsidRPr="008174E3" w:rsidRDefault="00416885" w:rsidP="00796D46">
      <w:pPr>
        <w:pStyle w:val="ListParagraph"/>
        <w:numPr>
          <w:ilvl w:val="0"/>
          <w:numId w:val="8"/>
        </w:numPr>
        <w:tabs>
          <w:tab w:val="left" w:pos="90"/>
          <w:tab w:val="left" w:pos="270"/>
        </w:tabs>
        <w:ind w:left="0"/>
        <w:jc w:val="both"/>
        <w:rPr>
          <w:rFonts w:ascii="Arial" w:hAnsi="Arial" w:cs="Arial"/>
          <w:sz w:val="22"/>
          <w:szCs w:val="22"/>
        </w:rPr>
      </w:pPr>
      <w:r w:rsidRPr="008174E3">
        <w:rPr>
          <w:rFonts w:ascii="Arial" w:hAnsi="Arial" w:cs="Arial"/>
          <w:sz w:val="22"/>
          <w:szCs w:val="22"/>
        </w:rPr>
        <w:t xml:space="preserve">Recientemente, </w:t>
      </w:r>
      <w:r w:rsidR="00D66E96" w:rsidRPr="008174E3">
        <w:rPr>
          <w:rFonts w:ascii="Arial" w:hAnsi="Arial" w:cs="Arial"/>
          <w:sz w:val="22"/>
          <w:szCs w:val="22"/>
        </w:rPr>
        <w:t>Analítica</w:t>
      </w:r>
      <w:r w:rsidRPr="008174E3">
        <w:rPr>
          <w:rFonts w:ascii="Arial" w:hAnsi="Arial" w:cs="Arial"/>
          <w:sz w:val="22"/>
          <w:szCs w:val="22"/>
        </w:rPr>
        <w:t xml:space="preserve"> </w:t>
      </w:r>
      <w:r w:rsidR="00CD604D" w:rsidRPr="008174E3">
        <w:rPr>
          <w:rFonts w:ascii="Arial" w:hAnsi="Arial" w:cs="Arial"/>
          <w:sz w:val="22"/>
          <w:szCs w:val="22"/>
        </w:rPr>
        <w:t xml:space="preserve">Consultores </w:t>
      </w:r>
      <w:r w:rsidRPr="008174E3">
        <w:rPr>
          <w:rFonts w:ascii="Arial" w:hAnsi="Arial" w:cs="Arial"/>
          <w:sz w:val="22"/>
          <w:szCs w:val="22"/>
        </w:rPr>
        <w:t>(2015) realiz</w:t>
      </w:r>
      <w:r w:rsidR="005376FF" w:rsidRPr="008174E3">
        <w:rPr>
          <w:rFonts w:ascii="Arial" w:hAnsi="Arial" w:cs="Arial"/>
          <w:sz w:val="22"/>
          <w:szCs w:val="22"/>
        </w:rPr>
        <w:t>ó</w:t>
      </w:r>
      <w:r w:rsidR="007B7E43" w:rsidRPr="008174E3">
        <w:rPr>
          <w:rFonts w:ascii="Arial" w:hAnsi="Arial" w:cs="Arial"/>
          <w:sz w:val="22"/>
          <w:szCs w:val="22"/>
        </w:rPr>
        <w:t xml:space="preserve"> una evaluación de impacto del Programa</w:t>
      </w:r>
      <w:r w:rsidRPr="008174E3">
        <w:rPr>
          <w:rFonts w:ascii="Arial" w:hAnsi="Arial" w:cs="Arial"/>
          <w:sz w:val="22"/>
          <w:szCs w:val="22"/>
        </w:rPr>
        <w:t xml:space="preserve"> B</w:t>
      </w:r>
      <w:r w:rsidR="005376FF" w:rsidRPr="008174E3">
        <w:rPr>
          <w:rFonts w:ascii="Arial" w:hAnsi="Arial" w:cs="Arial"/>
          <w:sz w:val="22"/>
          <w:szCs w:val="22"/>
        </w:rPr>
        <w:t>É</w:t>
      </w:r>
      <w:r w:rsidRPr="008174E3">
        <w:rPr>
          <w:rFonts w:ascii="Arial" w:hAnsi="Arial" w:cs="Arial"/>
          <w:sz w:val="22"/>
          <w:szCs w:val="22"/>
        </w:rPr>
        <w:t>CATE</w:t>
      </w:r>
      <w:r w:rsidR="005376FF" w:rsidRPr="008174E3">
        <w:rPr>
          <w:rFonts w:ascii="Arial" w:hAnsi="Arial" w:cs="Arial"/>
          <w:sz w:val="22"/>
          <w:szCs w:val="22"/>
        </w:rPr>
        <w:t>;</w:t>
      </w:r>
      <w:r w:rsidRPr="008174E3">
        <w:rPr>
          <w:rFonts w:ascii="Arial" w:hAnsi="Arial" w:cs="Arial"/>
          <w:sz w:val="22"/>
          <w:szCs w:val="22"/>
        </w:rPr>
        <w:t xml:space="preserve"> en base </w:t>
      </w:r>
      <w:r w:rsidR="00FE2B72" w:rsidRPr="008174E3">
        <w:rPr>
          <w:rFonts w:ascii="Arial" w:hAnsi="Arial" w:cs="Arial"/>
          <w:sz w:val="22"/>
          <w:szCs w:val="22"/>
        </w:rPr>
        <w:t>a información administrativa realiz</w:t>
      </w:r>
      <w:r w:rsidR="005376FF" w:rsidRPr="008174E3">
        <w:rPr>
          <w:rFonts w:ascii="Arial" w:hAnsi="Arial" w:cs="Arial"/>
          <w:sz w:val="22"/>
          <w:szCs w:val="22"/>
        </w:rPr>
        <w:t>ó</w:t>
      </w:r>
      <w:r w:rsidR="00FE2B72" w:rsidRPr="008174E3">
        <w:rPr>
          <w:rFonts w:ascii="Arial" w:hAnsi="Arial" w:cs="Arial"/>
          <w:sz w:val="22"/>
          <w:szCs w:val="22"/>
        </w:rPr>
        <w:t xml:space="preserve"> </w:t>
      </w:r>
      <w:r w:rsidRPr="008174E3">
        <w:rPr>
          <w:rFonts w:ascii="Arial" w:hAnsi="Arial" w:cs="Arial"/>
          <w:sz w:val="22"/>
          <w:szCs w:val="22"/>
        </w:rPr>
        <w:t xml:space="preserve">la estimación de </w:t>
      </w:r>
      <w:r w:rsidR="00FE2B72" w:rsidRPr="008174E3">
        <w:rPr>
          <w:rFonts w:ascii="Arial" w:hAnsi="Arial" w:cs="Arial"/>
          <w:sz w:val="22"/>
          <w:szCs w:val="22"/>
        </w:rPr>
        <w:t xml:space="preserve">las </w:t>
      </w:r>
      <w:r w:rsidRPr="008174E3">
        <w:rPr>
          <w:rFonts w:ascii="Arial" w:hAnsi="Arial" w:cs="Arial"/>
          <w:sz w:val="22"/>
          <w:szCs w:val="22"/>
        </w:rPr>
        <w:t>cinco modalidades del subprograma</w:t>
      </w:r>
      <w:r w:rsidR="00FE2B72" w:rsidRPr="008174E3">
        <w:rPr>
          <w:rFonts w:ascii="Arial" w:hAnsi="Arial" w:cs="Arial"/>
          <w:sz w:val="22"/>
          <w:szCs w:val="22"/>
        </w:rPr>
        <w:t xml:space="preserve">, aunque los resultados, al igual que Van Gamaren (2010), se centra en las </w:t>
      </w:r>
      <w:r w:rsidR="00D66E96" w:rsidRPr="008174E3">
        <w:rPr>
          <w:rFonts w:ascii="Arial" w:hAnsi="Arial" w:cs="Arial"/>
          <w:sz w:val="22"/>
          <w:szCs w:val="22"/>
        </w:rPr>
        <w:t>modalidades</w:t>
      </w:r>
      <w:r w:rsidR="00FE2B72" w:rsidRPr="008174E3">
        <w:rPr>
          <w:rFonts w:ascii="Arial" w:hAnsi="Arial" w:cs="Arial"/>
          <w:sz w:val="22"/>
          <w:szCs w:val="22"/>
        </w:rPr>
        <w:t xml:space="preserve"> de CM y CPL. Mediante estimaciones </w:t>
      </w:r>
      <w:r w:rsidR="00631B98" w:rsidRPr="008174E3">
        <w:rPr>
          <w:rFonts w:ascii="Arial" w:hAnsi="Arial" w:cs="Arial"/>
          <w:sz w:val="22"/>
          <w:szCs w:val="22"/>
        </w:rPr>
        <w:t xml:space="preserve">basadas en </w:t>
      </w:r>
      <w:r w:rsidR="00FE2B72" w:rsidRPr="008174E3">
        <w:rPr>
          <w:rFonts w:ascii="Arial" w:hAnsi="Arial" w:cs="Arial"/>
          <w:i/>
          <w:sz w:val="22"/>
          <w:szCs w:val="22"/>
        </w:rPr>
        <w:t>matching</w:t>
      </w:r>
      <w:r w:rsidR="00FE2B72" w:rsidRPr="008174E3">
        <w:rPr>
          <w:rFonts w:ascii="Arial" w:hAnsi="Arial" w:cs="Arial"/>
          <w:sz w:val="22"/>
          <w:szCs w:val="22"/>
        </w:rPr>
        <w:t xml:space="preserve">, </w:t>
      </w:r>
      <w:r w:rsidR="00FE2B72" w:rsidRPr="008174E3">
        <w:rPr>
          <w:rFonts w:ascii="Arial" w:hAnsi="Arial" w:cs="Arial"/>
          <w:i/>
          <w:sz w:val="22"/>
          <w:szCs w:val="22"/>
        </w:rPr>
        <w:t xml:space="preserve">Diferencias en Diferencias </w:t>
      </w:r>
      <w:r w:rsidR="00FE2B72" w:rsidRPr="008174E3">
        <w:rPr>
          <w:rFonts w:ascii="Arial" w:hAnsi="Arial" w:cs="Arial"/>
          <w:sz w:val="22"/>
          <w:szCs w:val="22"/>
        </w:rPr>
        <w:t xml:space="preserve">y una combinación de estas dos, la evaluación de impacto encuentra que los efectos de CM son positivos y consistentes </w:t>
      </w:r>
      <w:r w:rsidR="007B7E43" w:rsidRPr="008174E3">
        <w:rPr>
          <w:rFonts w:ascii="Arial" w:hAnsi="Arial" w:cs="Arial"/>
          <w:sz w:val="22"/>
          <w:szCs w:val="22"/>
        </w:rPr>
        <w:t>en empleo (entre 5 pp. y 9 pp.), ingreso (en promedio de 6% del salario base)</w:t>
      </w:r>
      <w:r w:rsidR="007B7E43" w:rsidRPr="008174E3">
        <w:rPr>
          <w:rStyle w:val="FootnoteReference"/>
          <w:rFonts w:ascii="Arial" w:hAnsi="Arial" w:cs="Arial"/>
          <w:sz w:val="22"/>
          <w:szCs w:val="22"/>
        </w:rPr>
        <w:footnoteReference w:id="23"/>
      </w:r>
      <w:r w:rsidR="007B7E43" w:rsidRPr="008174E3">
        <w:rPr>
          <w:rFonts w:ascii="Arial" w:hAnsi="Arial" w:cs="Arial"/>
          <w:sz w:val="22"/>
          <w:szCs w:val="22"/>
        </w:rPr>
        <w:t xml:space="preserve"> y acceso a beneficios </w:t>
      </w:r>
      <w:r w:rsidR="00FE2B72" w:rsidRPr="008174E3">
        <w:rPr>
          <w:rFonts w:ascii="Arial" w:hAnsi="Arial" w:cs="Arial"/>
          <w:sz w:val="22"/>
          <w:szCs w:val="22"/>
        </w:rPr>
        <w:t>en todos los periodos de seguimiento (3, 6, 12 y 18</w:t>
      </w:r>
      <w:r w:rsidR="005376FF" w:rsidRPr="008174E3">
        <w:rPr>
          <w:rFonts w:ascii="Arial" w:hAnsi="Arial" w:cs="Arial"/>
          <w:sz w:val="22"/>
          <w:szCs w:val="22"/>
        </w:rPr>
        <w:t> </w:t>
      </w:r>
      <w:r w:rsidR="00FE2B72" w:rsidRPr="008174E3">
        <w:rPr>
          <w:rFonts w:ascii="Arial" w:hAnsi="Arial" w:cs="Arial"/>
          <w:sz w:val="22"/>
          <w:szCs w:val="22"/>
        </w:rPr>
        <w:t xml:space="preserve">meses). </w:t>
      </w:r>
      <w:r w:rsidR="007B7E43" w:rsidRPr="008174E3">
        <w:rPr>
          <w:rFonts w:ascii="Arial" w:hAnsi="Arial" w:cs="Arial"/>
          <w:sz w:val="22"/>
          <w:szCs w:val="22"/>
        </w:rPr>
        <w:t>El estudio evidencia</w:t>
      </w:r>
      <w:r w:rsidR="00FE2B72" w:rsidRPr="008174E3">
        <w:rPr>
          <w:rFonts w:ascii="Arial" w:hAnsi="Arial" w:cs="Arial"/>
          <w:sz w:val="22"/>
          <w:szCs w:val="22"/>
        </w:rPr>
        <w:t xml:space="preserve"> resultados positivos </w:t>
      </w:r>
      <w:r w:rsidR="00631B98" w:rsidRPr="008174E3">
        <w:rPr>
          <w:rFonts w:ascii="Arial" w:hAnsi="Arial" w:cs="Arial"/>
          <w:sz w:val="22"/>
          <w:szCs w:val="22"/>
        </w:rPr>
        <w:t xml:space="preserve">en el </w:t>
      </w:r>
      <w:r w:rsidR="007B7E43" w:rsidRPr="008174E3">
        <w:rPr>
          <w:rFonts w:ascii="Arial" w:hAnsi="Arial" w:cs="Arial"/>
          <w:sz w:val="22"/>
          <w:szCs w:val="22"/>
        </w:rPr>
        <w:t xml:space="preserve">acceso a </w:t>
      </w:r>
      <w:r w:rsidR="00FE2B72" w:rsidRPr="008174E3">
        <w:rPr>
          <w:rFonts w:ascii="Arial" w:hAnsi="Arial" w:cs="Arial"/>
          <w:sz w:val="22"/>
          <w:szCs w:val="22"/>
        </w:rPr>
        <w:t>las prestaciones de ley, como aguinaldo, sueldo, utilidades, crédito a la vivienda y fondo de retiro</w:t>
      </w:r>
      <w:r w:rsidR="00631B98" w:rsidRPr="008174E3">
        <w:rPr>
          <w:rFonts w:ascii="Arial" w:hAnsi="Arial" w:cs="Arial"/>
          <w:sz w:val="22"/>
          <w:szCs w:val="22"/>
        </w:rPr>
        <w:t xml:space="preserve"> (</w:t>
      </w:r>
      <w:r w:rsidR="00FE2B72" w:rsidRPr="008174E3">
        <w:rPr>
          <w:rFonts w:ascii="Arial" w:hAnsi="Arial" w:cs="Arial"/>
          <w:sz w:val="22"/>
          <w:szCs w:val="22"/>
        </w:rPr>
        <w:t>entre 7 pp</w:t>
      </w:r>
      <w:r w:rsidR="00D66E96" w:rsidRPr="008174E3">
        <w:rPr>
          <w:rFonts w:ascii="Arial" w:hAnsi="Arial" w:cs="Arial"/>
          <w:sz w:val="22"/>
          <w:szCs w:val="22"/>
        </w:rPr>
        <w:t>.</w:t>
      </w:r>
      <w:r w:rsidR="00FE2B72" w:rsidRPr="008174E3">
        <w:rPr>
          <w:rFonts w:ascii="Arial" w:hAnsi="Arial" w:cs="Arial"/>
          <w:sz w:val="22"/>
          <w:szCs w:val="22"/>
        </w:rPr>
        <w:t xml:space="preserve"> a 10 pp.</w:t>
      </w:r>
      <w:r w:rsidR="00631B98" w:rsidRPr="008174E3">
        <w:rPr>
          <w:rFonts w:ascii="Arial" w:hAnsi="Arial" w:cs="Arial"/>
          <w:sz w:val="22"/>
          <w:szCs w:val="22"/>
        </w:rPr>
        <w:t>).</w:t>
      </w:r>
      <w:r w:rsidR="00FE2B72" w:rsidRPr="008174E3">
        <w:rPr>
          <w:rFonts w:ascii="Arial" w:hAnsi="Arial" w:cs="Arial"/>
          <w:sz w:val="22"/>
          <w:szCs w:val="22"/>
        </w:rPr>
        <w:t xml:space="preserve"> Con relación al acceso a seguridad social, </w:t>
      </w:r>
      <w:r w:rsidR="00D66E96" w:rsidRPr="008174E3">
        <w:rPr>
          <w:rFonts w:ascii="Arial" w:hAnsi="Arial" w:cs="Arial"/>
          <w:sz w:val="22"/>
          <w:szCs w:val="22"/>
        </w:rPr>
        <w:t>mediante</w:t>
      </w:r>
      <w:r w:rsidR="00FE2B72" w:rsidRPr="008174E3">
        <w:rPr>
          <w:rFonts w:ascii="Arial" w:hAnsi="Arial" w:cs="Arial"/>
          <w:sz w:val="22"/>
          <w:szCs w:val="22"/>
        </w:rPr>
        <w:t xml:space="preserve"> el registro en el IMSS, el impacto del componente </w:t>
      </w:r>
      <w:r w:rsidR="00CF3BCB" w:rsidRPr="008174E3">
        <w:rPr>
          <w:rFonts w:ascii="Arial" w:hAnsi="Arial" w:cs="Arial"/>
          <w:sz w:val="22"/>
          <w:szCs w:val="22"/>
        </w:rPr>
        <w:t xml:space="preserve">es positivo y varía </w:t>
      </w:r>
      <w:r w:rsidR="00FE2B72" w:rsidRPr="008174E3">
        <w:rPr>
          <w:rFonts w:ascii="Arial" w:hAnsi="Arial" w:cs="Arial"/>
          <w:sz w:val="22"/>
          <w:szCs w:val="22"/>
        </w:rPr>
        <w:t xml:space="preserve">entre 6 y 12 pp. </w:t>
      </w:r>
      <w:r w:rsidR="007B7E43" w:rsidRPr="008174E3">
        <w:rPr>
          <w:rFonts w:ascii="Arial" w:hAnsi="Arial" w:cs="Arial"/>
          <w:sz w:val="22"/>
          <w:szCs w:val="22"/>
        </w:rPr>
        <w:t>Sin embargo, c</w:t>
      </w:r>
      <w:r w:rsidR="00FE2B72" w:rsidRPr="008174E3">
        <w:rPr>
          <w:rFonts w:ascii="Arial" w:hAnsi="Arial" w:cs="Arial"/>
          <w:sz w:val="22"/>
          <w:szCs w:val="22"/>
        </w:rPr>
        <w:t xml:space="preserve">on relación al impacto de CPL, </w:t>
      </w:r>
      <w:r w:rsidR="0007065C" w:rsidRPr="008174E3">
        <w:rPr>
          <w:rFonts w:ascii="Arial" w:hAnsi="Arial" w:cs="Arial"/>
          <w:sz w:val="22"/>
          <w:szCs w:val="22"/>
        </w:rPr>
        <w:t>aunque</w:t>
      </w:r>
      <w:r w:rsidR="007B7E43" w:rsidRPr="008174E3">
        <w:rPr>
          <w:rFonts w:ascii="Arial" w:hAnsi="Arial" w:cs="Arial"/>
          <w:sz w:val="22"/>
          <w:szCs w:val="22"/>
        </w:rPr>
        <w:t xml:space="preserve"> se encuentran </w:t>
      </w:r>
      <w:r w:rsidR="00FE2B72" w:rsidRPr="008174E3">
        <w:rPr>
          <w:rFonts w:ascii="Arial" w:hAnsi="Arial" w:cs="Arial"/>
          <w:sz w:val="22"/>
          <w:szCs w:val="22"/>
        </w:rPr>
        <w:t xml:space="preserve">resultados positivos en ingreso y empleo, </w:t>
      </w:r>
      <w:r w:rsidR="007B7E43" w:rsidRPr="008174E3">
        <w:rPr>
          <w:rFonts w:ascii="Arial" w:hAnsi="Arial" w:cs="Arial"/>
          <w:sz w:val="22"/>
          <w:szCs w:val="22"/>
        </w:rPr>
        <w:t xml:space="preserve">estos son </w:t>
      </w:r>
      <w:r w:rsidR="00FE2B72" w:rsidRPr="008174E3">
        <w:rPr>
          <w:rFonts w:ascii="Arial" w:hAnsi="Arial" w:cs="Arial"/>
          <w:sz w:val="22"/>
          <w:szCs w:val="22"/>
        </w:rPr>
        <w:t xml:space="preserve">significativos </w:t>
      </w:r>
      <w:r w:rsidR="007B7E43" w:rsidRPr="008174E3">
        <w:rPr>
          <w:rFonts w:ascii="Arial" w:hAnsi="Arial" w:cs="Arial"/>
          <w:sz w:val="22"/>
          <w:szCs w:val="22"/>
        </w:rPr>
        <w:t xml:space="preserve">solamente </w:t>
      </w:r>
      <w:r w:rsidR="00FE2B72" w:rsidRPr="008174E3">
        <w:rPr>
          <w:rFonts w:ascii="Arial" w:hAnsi="Arial" w:cs="Arial"/>
          <w:sz w:val="22"/>
          <w:szCs w:val="22"/>
        </w:rPr>
        <w:t xml:space="preserve">al </w:t>
      </w:r>
      <w:r w:rsidR="00D66E96" w:rsidRPr="008174E3">
        <w:rPr>
          <w:rFonts w:ascii="Arial" w:hAnsi="Arial" w:cs="Arial"/>
          <w:sz w:val="22"/>
          <w:szCs w:val="22"/>
        </w:rPr>
        <w:t>término</w:t>
      </w:r>
      <w:r w:rsidR="00FE2B72" w:rsidRPr="008174E3">
        <w:rPr>
          <w:rFonts w:ascii="Arial" w:hAnsi="Arial" w:cs="Arial"/>
          <w:sz w:val="22"/>
          <w:szCs w:val="22"/>
        </w:rPr>
        <w:t xml:space="preserve"> del curso de capacitación. En el caso de ingresos</w:t>
      </w:r>
      <w:r w:rsidR="00CF3BCB" w:rsidRPr="008174E3">
        <w:rPr>
          <w:rFonts w:ascii="Arial" w:hAnsi="Arial" w:cs="Arial"/>
          <w:sz w:val="22"/>
          <w:szCs w:val="22"/>
        </w:rPr>
        <w:t>,</w:t>
      </w:r>
      <w:r w:rsidR="00FE2B72" w:rsidRPr="008174E3">
        <w:rPr>
          <w:rFonts w:ascii="Arial" w:hAnsi="Arial" w:cs="Arial"/>
          <w:sz w:val="22"/>
          <w:szCs w:val="22"/>
        </w:rPr>
        <w:t xml:space="preserve"> se encuentra evidencia de </w:t>
      </w:r>
      <w:r w:rsidR="00CF3BCB" w:rsidRPr="008174E3">
        <w:rPr>
          <w:rFonts w:ascii="Arial" w:hAnsi="Arial" w:cs="Arial"/>
          <w:sz w:val="22"/>
          <w:szCs w:val="22"/>
        </w:rPr>
        <w:t xml:space="preserve">un incremento del </w:t>
      </w:r>
      <w:r w:rsidR="00FE2B72" w:rsidRPr="008174E3">
        <w:rPr>
          <w:rFonts w:ascii="Arial" w:hAnsi="Arial" w:cs="Arial"/>
          <w:sz w:val="22"/>
          <w:szCs w:val="22"/>
        </w:rPr>
        <w:t>8% del ingreso base. El impacto en el empleo es de 7 pp</w:t>
      </w:r>
      <w:r w:rsidR="00D66E96" w:rsidRPr="008174E3">
        <w:rPr>
          <w:rFonts w:ascii="Arial" w:hAnsi="Arial" w:cs="Arial"/>
          <w:sz w:val="22"/>
          <w:szCs w:val="22"/>
        </w:rPr>
        <w:t>.</w:t>
      </w:r>
      <w:r w:rsidR="00FE2B72" w:rsidRPr="008174E3">
        <w:rPr>
          <w:rFonts w:ascii="Arial" w:hAnsi="Arial" w:cs="Arial"/>
          <w:sz w:val="22"/>
          <w:szCs w:val="22"/>
        </w:rPr>
        <w:t xml:space="preserve">, solo significativo en el corto plazo. </w:t>
      </w:r>
      <w:r w:rsidR="007B7E43" w:rsidRPr="008174E3">
        <w:rPr>
          <w:rFonts w:ascii="Arial" w:hAnsi="Arial" w:cs="Arial"/>
          <w:sz w:val="22"/>
          <w:szCs w:val="22"/>
        </w:rPr>
        <w:t>El estudio n</w:t>
      </w:r>
      <w:r w:rsidR="000A0C92" w:rsidRPr="008174E3">
        <w:rPr>
          <w:rFonts w:ascii="Arial" w:hAnsi="Arial" w:cs="Arial"/>
          <w:sz w:val="22"/>
          <w:szCs w:val="22"/>
        </w:rPr>
        <w:t xml:space="preserve">o </w:t>
      </w:r>
      <w:r w:rsidR="00D66E96" w:rsidRPr="008174E3">
        <w:rPr>
          <w:rFonts w:ascii="Arial" w:hAnsi="Arial" w:cs="Arial"/>
          <w:sz w:val="22"/>
          <w:szCs w:val="22"/>
        </w:rPr>
        <w:t>encuentra</w:t>
      </w:r>
      <w:r w:rsidR="000A0C92" w:rsidRPr="008174E3">
        <w:rPr>
          <w:rFonts w:ascii="Arial" w:hAnsi="Arial" w:cs="Arial"/>
          <w:sz w:val="22"/>
          <w:szCs w:val="22"/>
        </w:rPr>
        <w:t xml:space="preserve"> evidencia suficiente para señalar impactos positivos </w:t>
      </w:r>
      <w:r w:rsidR="007B7E43" w:rsidRPr="008174E3">
        <w:rPr>
          <w:rFonts w:ascii="Arial" w:hAnsi="Arial" w:cs="Arial"/>
          <w:sz w:val="22"/>
          <w:szCs w:val="22"/>
        </w:rPr>
        <w:t xml:space="preserve">de este </w:t>
      </w:r>
      <w:r w:rsidR="0007065C" w:rsidRPr="008174E3">
        <w:rPr>
          <w:rFonts w:ascii="Arial" w:hAnsi="Arial" w:cs="Arial"/>
          <w:sz w:val="22"/>
          <w:szCs w:val="22"/>
        </w:rPr>
        <w:t>componente</w:t>
      </w:r>
      <w:r w:rsidR="007B7E43" w:rsidRPr="008174E3">
        <w:rPr>
          <w:rFonts w:ascii="Arial" w:hAnsi="Arial" w:cs="Arial"/>
          <w:sz w:val="22"/>
          <w:szCs w:val="22"/>
        </w:rPr>
        <w:t xml:space="preserve"> en particular </w:t>
      </w:r>
      <w:r w:rsidR="000A0C92" w:rsidRPr="008174E3">
        <w:rPr>
          <w:rFonts w:ascii="Arial" w:hAnsi="Arial" w:cs="Arial"/>
          <w:sz w:val="22"/>
          <w:szCs w:val="22"/>
        </w:rPr>
        <w:t xml:space="preserve">en </w:t>
      </w:r>
      <w:r w:rsidR="00D66E96" w:rsidRPr="008174E3">
        <w:rPr>
          <w:rFonts w:ascii="Arial" w:hAnsi="Arial" w:cs="Arial"/>
          <w:sz w:val="22"/>
          <w:szCs w:val="22"/>
        </w:rPr>
        <w:t>acceso a</w:t>
      </w:r>
      <w:r w:rsidR="000A0C92" w:rsidRPr="008174E3">
        <w:rPr>
          <w:rFonts w:ascii="Arial" w:hAnsi="Arial" w:cs="Arial"/>
          <w:sz w:val="22"/>
          <w:szCs w:val="22"/>
        </w:rPr>
        <w:t xml:space="preserve"> prestaciones de ley y seguridad social.</w:t>
      </w:r>
    </w:p>
    <w:p w14:paraId="2BAB22BC" w14:textId="77777777" w:rsidR="00FE2B72" w:rsidRPr="008174E3" w:rsidRDefault="00FE2B72" w:rsidP="00FE2B72">
      <w:pPr>
        <w:pStyle w:val="ListParagraph"/>
        <w:tabs>
          <w:tab w:val="left" w:pos="90"/>
          <w:tab w:val="left" w:pos="270"/>
        </w:tabs>
        <w:ind w:left="0"/>
        <w:jc w:val="both"/>
        <w:rPr>
          <w:rFonts w:ascii="Arial" w:hAnsi="Arial" w:cs="Arial"/>
          <w:sz w:val="22"/>
          <w:szCs w:val="22"/>
        </w:rPr>
      </w:pPr>
    </w:p>
    <w:p w14:paraId="0558725D" w14:textId="5A15B7BF" w:rsidR="00932D6D" w:rsidRPr="008174E3" w:rsidRDefault="000A0C92" w:rsidP="00B96D87">
      <w:pPr>
        <w:pStyle w:val="ListParagraph"/>
        <w:numPr>
          <w:ilvl w:val="0"/>
          <w:numId w:val="8"/>
        </w:numPr>
        <w:tabs>
          <w:tab w:val="left" w:pos="90"/>
          <w:tab w:val="left" w:pos="270"/>
        </w:tabs>
        <w:ind w:left="0"/>
        <w:jc w:val="both"/>
        <w:rPr>
          <w:rFonts w:ascii="Arial" w:hAnsi="Arial" w:cs="Arial"/>
          <w:sz w:val="22"/>
          <w:szCs w:val="22"/>
        </w:rPr>
      </w:pPr>
      <w:r w:rsidRPr="008174E3">
        <w:rPr>
          <w:rFonts w:ascii="Arial" w:hAnsi="Arial" w:cs="Arial"/>
          <w:sz w:val="22"/>
          <w:szCs w:val="22"/>
        </w:rPr>
        <w:t>Con relación a evaluaciones de impacto de otros países</w:t>
      </w:r>
      <w:r w:rsidR="00631B98" w:rsidRPr="008174E3">
        <w:rPr>
          <w:rFonts w:ascii="Arial" w:hAnsi="Arial" w:cs="Arial"/>
          <w:sz w:val="22"/>
          <w:szCs w:val="22"/>
        </w:rPr>
        <w:t xml:space="preserve">, </w:t>
      </w:r>
      <w:r w:rsidR="002932C6" w:rsidRPr="008174E3">
        <w:rPr>
          <w:rFonts w:ascii="Arial" w:hAnsi="Arial" w:cs="Arial"/>
          <w:sz w:val="22"/>
          <w:szCs w:val="22"/>
        </w:rPr>
        <w:t xml:space="preserve">Hirshleifer et al (2016) para </w:t>
      </w:r>
      <w:r w:rsidR="00D66E96" w:rsidRPr="008174E3">
        <w:rPr>
          <w:rFonts w:ascii="Arial" w:hAnsi="Arial" w:cs="Arial"/>
          <w:sz w:val="22"/>
          <w:szCs w:val="22"/>
        </w:rPr>
        <w:t>Turquía</w:t>
      </w:r>
      <w:r w:rsidR="002932C6" w:rsidRPr="008174E3">
        <w:rPr>
          <w:rFonts w:ascii="Arial" w:hAnsi="Arial" w:cs="Arial"/>
          <w:sz w:val="22"/>
          <w:szCs w:val="22"/>
        </w:rPr>
        <w:t xml:space="preserve"> </w:t>
      </w:r>
      <w:r w:rsidR="007B266C" w:rsidRPr="008174E3">
        <w:rPr>
          <w:rFonts w:ascii="Arial" w:hAnsi="Arial" w:cs="Arial"/>
          <w:sz w:val="22"/>
          <w:szCs w:val="22"/>
        </w:rPr>
        <w:t>analiza un programa que incluía capacitación para desempleados mediante entrenamiento en aula durante tres meses</w:t>
      </w:r>
      <w:r w:rsidR="007B7E43" w:rsidRPr="008174E3">
        <w:rPr>
          <w:rFonts w:ascii="Arial" w:hAnsi="Arial" w:cs="Arial"/>
          <w:sz w:val="22"/>
          <w:szCs w:val="22"/>
        </w:rPr>
        <w:t xml:space="preserve"> y posteriormente capacitación en planta</w:t>
      </w:r>
      <w:r w:rsidR="00631B98" w:rsidRPr="008174E3">
        <w:rPr>
          <w:rFonts w:ascii="Arial" w:hAnsi="Arial" w:cs="Arial"/>
          <w:sz w:val="22"/>
          <w:szCs w:val="22"/>
        </w:rPr>
        <w:t>.</w:t>
      </w:r>
      <w:r w:rsidR="007B266C" w:rsidRPr="008174E3">
        <w:rPr>
          <w:rFonts w:ascii="Arial" w:hAnsi="Arial" w:cs="Arial"/>
          <w:sz w:val="22"/>
          <w:szCs w:val="22"/>
        </w:rPr>
        <w:t xml:space="preserve"> </w:t>
      </w:r>
      <w:r w:rsidR="00631B98" w:rsidRPr="008174E3">
        <w:rPr>
          <w:rFonts w:ascii="Arial" w:hAnsi="Arial" w:cs="Arial"/>
          <w:sz w:val="22"/>
          <w:szCs w:val="22"/>
        </w:rPr>
        <w:t>El</w:t>
      </w:r>
      <w:r w:rsidR="007B266C" w:rsidRPr="008174E3">
        <w:rPr>
          <w:rFonts w:ascii="Arial" w:hAnsi="Arial" w:cs="Arial"/>
          <w:sz w:val="22"/>
          <w:szCs w:val="22"/>
        </w:rPr>
        <w:t xml:space="preserve"> autor </w:t>
      </w:r>
      <w:r w:rsidR="002932C6" w:rsidRPr="008174E3">
        <w:rPr>
          <w:rFonts w:ascii="Arial" w:hAnsi="Arial" w:cs="Arial"/>
          <w:sz w:val="22"/>
          <w:szCs w:val="22"/>
        </w:rPr>
        <w:t xml:space="preserve">encuentra impactos en acceso a empleo formal </w:t>
      </w:r>
      <w:r w:rsidR="007B266C" w:rsidRPr="008174E3">
        <w:rPr>
          <w:rFonts w:ascii="Arial" w:hAnsi="Arial" w:cs="Arial"/>
          <w:sz w:val="22"/>
          <w:szCs w:val="22"/>
        </w:rPr>
        <w:t xml:space="preserve">en </w:t>
      </w:r>
      <w:r w:rsidR="002932C6" w:rsidRPr="008174E3">
        <w:rPr>
          <w:rFonts w:ascii="Arial" w:hAnsi="Arial" w:cs="Arial"/>
          <w:sz w:val="22"/>
          <w:szCs w:val="22"/>
        </w:rPr>
        <w:t xml:space="preserve">3 pp. </w:t>
      </w:r>
      <w:r w:rsidR="007D035A" w:rsidRPr="008174E3">
        <w:rPr>
          <w:rFonts w:ascii="Arial" w:hAnsi="Arial" w:cs="Arial"/>
          <w:sz w:val="22"/>
          <w:szCs w:val="22"/>
        </w:rPr>
        <w:t>En Argentina, Berniell &amp; de la Mata (</w:t>
      </w:r>
      <w:r w:rsidR="002661C0" w:rsidRPr="008174E3">
        <w:rPr>
          <w:rFonts w:ascii="Arial" w:hAnsi="Arial" w:cs="Arial"/>
          <w:i/>
          <w:sz w:val="22"/>
          <w:szCs w:val="22"/>
        </w:rPr>
        <w:t>forthcoming</w:t>
      </w:r>
      <w:r w:rsidR="007D035A" w:rsidRPr="008174E3">
        <w:rPr>
          <w:rFonts w:ascii="Arial" w:hAnsi="Arial" w:cs="Arial"/>
          <w:sz w:val="22"/>
          <w:szCs w:val="22"/>
        </w:rPr>
        <w:t xml:space="preserve">), </w:t>
      </w:r>
      <w:r w:rsidR="002661C0" w:rsidRPr="008174E3">
        <w:rPr>
          <w:rFonts w:ascii="Arial" w:hAnsi="Arial" w:cs="Arial"/>
          <w:sz w:val="22"/>
          <w:szCs w:val="22"/>
        </w:rPr>
        <w:t xml:space="preserve">mediante una evaluación </w:t>
      </w:r>
      <w:r w:rsidR="007D035A" w:rsidRPr="008174E3">
        <w:rPr>
          <w:rFonts w:ascii="Arial" w:hAnsi="Arial" w:cs="Arial"/>
          <w:sz w:val="22"/>
          <w:szCs w:val="22"/>
        </w:rPr>
        <w:t>experimental, analizan el impacto del programa Primer</w:t>
      </w:r>
      <w:r w:rsidR="005376FF" w:rsidRPr="008174E3">
        <w:rPr>
          <w:rFonts w:ascii="Arial" w:hAnsi="Arial" w:cs="Arial"/>
          <w:sz w:val="22"/>
          <w:szCs w:val="22"/>
        </w:rPr>
        <w:t> </w:t>
      </w:r>
      <w:r w:rsidR="007D035A" w:rsidRPr="008174E3">
        <w:rPr>
          <w:rFonts w:ascii="Arial" w:hAnsi="Arial" w:cs="Arial"/>
          <w:sz w:val="22"/>
          <w:szCs w:val="22"/>
        </w:rPr>
        <w:t>Paso</w:t>
      </w:r>
      <w:r w:rsidR="002661C0" w:rsidRPr="008174E3">
        <w:rPr>
          <w:rFonts w:ascii="Arial" w:hAnsi="Arial" w:cs="Arial"/>
          <w:sz w:val="22"/>
          <w:szCs w:val="22"/>
        </w:rPr>
        <w:t xml:space="preserve">, un </w:t>
      </w:r>
      <w:r w:rsidR="007D035A" w:rsidRPr="008174E3">
        <w:rPr>
          <w:rFonts w:ascii="Arial" w:hAnsi="Arial" w:cs="Arial"/>
          <w:sz w:val="22"/>
          <w:szCs w:val="22"/>
        </w:rPr>
        <w:t xml:space="preserve">programa </w:t>
      </w:r>
      <w:r w:rsidR="002661C0" w:rsidRPr="008174E3">
        <w:rPr>
          <w:rFonts w:ascii="Arial" w:hAnsi="Arial" w:cs="Arial"/>
          <w:sz w:val="22"/>
          <w:szCs w:val="22"/>
        </w:rPr>
        <w:t xml:space="preserve">que </w:t>
      </w:r>
      <w:r w:rsidR="007D035A" w:rsidRPr="008174E3">
        <w:rPr>
          <w:rFonts w:ascii="Arial" w:hAnsi="Arial" w:cs="Arial"/>
          <w:sz w:val="22"/>
          <w:szCs w:val="22"/>
        </w:rPr>
        <w:t>realiza capacitaciones en planta para jóvenes por un periodo de 12</w:t>
      </w:r>
      <w:r w:rsidR="005376FF" w:rsidRPr="008174E3">
        <w:rPr>
          <w:rFonts w:ascii="Arial" w:hAnsi="Arial" w:cs="Arial"/>
          <w:sz w:val="22"/>
          <w:szCs w:val="22"/>
        </w:rPr>
        <w:t> </w:t>
      </w:r>
      <w:r w:rsidR="007D035A" w:rsidRPr="008174E3">
        <w:rPr>
          <w:rFonts w:ascii="Arial" w:hAnsi="Arial" w:cs="Arial"/>
          <w:sz w:val="22"/>
          <w:szCs w:val="22"/>
        </w:rPr>
        <w:t xml:space="preserve">meses. </w:t>
      </w:r>
      <w:r w:rsidR="002661C0" w:rsidRPr="008174E3">
        <w:rPr>
          <w:rFonts w:ascii="Arial" w:hAnsi="Arial" w:cs="Arial"/>
          <w:sz w:val="22"/>
          <w:szCs w:val="22"/>
        </w:rPr>
        <w:t>A</w:t>
      </w:r>
      <w:r w:rsidR="007D035A" w:rsidRPr="008174E3">
        <w:rPr>
          <w:rFonts w:ascii="Arial" w:hAnsi="Arial" w:cs="Arial"/>
          <w:sz w:val="22"/>
          <w:szCs w:val="22"/>
        </w:rPr>
        <w:t xml:space="preserve">provechando la </w:t>
      </w:r>
      <w:r w:rsidR="00AF633A" w:rsidRPr="008174E3">
        <w:rPr>
          <w:rFonts w:ascii="Arial" w:hAnsi="Arial" w:cs="Arial"/>
          <w:sz w:val="22"/>
          <w:szCs w:val="22"/>
        </w:rPr>
        <w:t>asignación</w:t>
      </w:r>
      <w:r w:rsidR="007D035A" w:rsidRPr="008174E3">
        <w:rPr>
          <w:rFonts w:ascii="Arial" w:hAnsi="Arial" w:cs="Arial"/>
          <w:sz w:val="22"/>
          <w:szCs w:val="22"/>
        </w:rPr>
        <w:t xml:space="preserve"> experimental del programa, </w:t>
      </w:r>
      <w:r w:rsidR="002661C0" w:rsidRPr="008174E3">
        <w:rPr>
          <w:rFonts w:ascii="Arial" w:hAnsi="Arial" w:cs="Arial"/>
          <w:sz w:val="22"/>
          <w:szCs w:val="22"/>
        </w:rPr>
        <w:t xml:space="preserve">las autoras </w:t>
      </w:r>
      <w:r w:rsidR="007D035A" w:rsidRPr="008174E3">
        <w:rPr>
          <w:rFonts w:ascii="Arial" w:hAnsi="Arial" w:cs="Arial"/>
          <w:sz w:val="22"/>
          <w:szCs w:val="22"/>
        </w:rPr>
        <w:t>encuentran evidencia de</w:t>
      </w:r>
      <w:r w:rsidR="002661C0" w:rsidRPr="008174E3">
        <w:rPr>
          <w:rFonts w:ascii="Arial" w:hAnsi="Arial" w:cs="Arial"/>
          <w:sz w:val="22"/>
          <w:szCs w:val="22"/>
        </w:rPr>
        <w:t>l</w:t>
      </w:r>
      <w:r w:rsidR="007D035A" w:rsidRPr="008174E3">
        <w:rPr>
          <w:rFonts w:ascii="Arial" w:hAnsi="Arial" w:cs="Arial"/>
          <w:sz w:val="22"/>
          <w:szCs w:val="22"/>
        </w:rPr>
        <w:t xml:space="preserve"> impacto en la probabilidad de estar empleado en un trabajo formal (entre 3pp</w:t>
      </w:r>
      <w:r w:rsidR="00A970EE" w:rsidRPr="008174E3">
        <w:rPr>
          <w:rFonts w:ascii="Arial" w:hAnsi="Arial" w:cs="Arial"/>
          <w:sz w:val="22"/>
          <w:szCs w:val="22"/>
        </w:rPr>
        <w:t>.</w:t>
      </w:r>
      <w:r w:rsidR="007D035A" w:rsidRPr="008174E3">
        <w:rPr>
          <w:rFonts w:ascii="Arial" w:hAnsi="Arial" w:cs="Arial"/>
          <w:sz w:val="22"/>
          <w:szCs w:val="22"/>
        </w:rPr>
        <w:t xml:space="preserve"> y 6</w:t>
      </w:r>
      <w:r w:rsidR="005376FF" w:rsidRPr="008174E3">
        <w:rPr>
          <w:rFonts w:ascii="Arial" w:hAnsi="Arial" w:cs="Arial"/>
          <w:sz w:val="22"/>
          <w:szCs w:val="22"/>
        </w:rPr>
        <w:t> </w:t>
      </w:r>
      <w:r w:rsidR="007D035A" w:rsidRPr="008174E3">
        <w:rPr>
          <w:rFonts w:ascii="Arial" w:hAnsi="Arial" w:cs="Arial"/>
          <w:sz w:val="22"/>
          <w:szCs w:val="22"/>
        </w:rPr>
        <w:t>pp</w:t>
      </w:r>
      <w:r w:rsidR="00A970EE" w:rsidRPr="008174E3">
        <w:rPr>
          <w:rFonts w:ascii="Arial" w:hAnsi="Arial" w:cs="Arial"/>
          <w:sz w:val="22"/>
          <w:szCs w:val="22"/>
        </w:rPr>
        <w:t>.</w:t>
      </w:r>
      <w:r w:rsidR="007D035A" w:rsidRPr="008174E3">
        <w:rPr>
          <w:rFonts w:ascii="Arial" w:hAnsi="Arial" w:cs="Arial"/>
          <w:sz w:val="22"/>
          <w:szCs w:val="22"/>
        </w:rPr>
        <w:t>) y una reducción en la probabilidad de estar desempleado (en 10 pp</w:t>
      </w:r>
      <w:r w:rsidR="00D66E96" w:rsidRPr="008174E3">
        <w:rPr>
          <w:rFonts w:ascii="Arial" w:hAnsi="Arial" w:cs="Arial"/>
          <w:sz w:val="22"/>
          <w:szCs w:val="22"/>
        </w:rPr>
        <w:t>.</w:t>
      </w:r>
      <w:r w:rsidR="007D035A" w:rsidRPr="008174E3">
        <w:rPr>
          <w:rFonts w:ascii="Arial" w:hAnsi="Arial" w:cs="Arial"/>
          <w:sz w:val="22"/>
          <w:szCs w:val="22"/>
        </w:rPr>
        <w:t xml:space="preserve">). Con respecto al </w:t>
      </w:r>
      <w:r w:rsidR="007B7E43" w:rsidRPr="008174E3">
        <w:rPr>
          <w:rFonts w:ascii="Arial" w:hAnsi="Arial" w:cs="Arial"/>
          <w:sz w:val="22"/>
          <w:szCs w:val="22"/>
        </w:rPr>
        <w:t xml:space="preserve">impacto sobre </w:t>
      </w:r>
      <w:r w:rsidR="007D035A" w:rsidRPr="008174E3">
        <w:rPr>
          <w:rFonts w:ascii="Arial" w:hAnsi="Arial" w:cs="Arial"/>
          <w:sz w:val="22"/>
          <w:szCs w:val="22"/>
        </w:rPr>
        <w:t>ingresos</w:t>
      </w:r>
      <w:r w:rsidR="002661C0" w:rsidRPr="008174E3">
        <w:rPr>
          <w:rFonts w:ascii="Arial" w:hAnsi="Arial" w:cs="Arial"/>
          <w:sz w:val="22"/>
          <w:szCs w:val="22"/>
        </w:rPr>
        <w:t xml:space="preserve">, </w:t>
      </w:r>
      <w:r w:rsidR="007D035A" w:rsidRPr="008174E3">
        <w:rPr>
          <w:rFonts w:ascii="Arial" w:hAnsi="Arial" w:cs="Arial"/>
          <w:sz w:val="22"/>
          <w:szCs w:val="22"/>
        </w:rPr>
        <w:t>encuentra</w:t>
      </w:r>
      <w:r w:rsidR="007B7E43" w:rsidRPr="008174E3">
        <w:rPr>
          <w:rFonts w:ascii="Arial" w:hAnsi="Arial" w:cs="Arial"/>
          <w:sz w:val="22"/>
          <w:szCs w:val="22"/>
        </w:rPr>
        <w:t>n</w:t>
      </w:r>
      <w:r w:rsidR="007D035A" w:rsidRPr="008174E3">
        <w:rPr>
          <w:rFonts w:ascii="Arial" w:hAnsi="Arial" w:cs="Arial"/>
          <w:sz w:val="22"/>
          <w:szCs w:val="22"/>
        </w:rPr>
        <w:t xml:space="preserve"> </w:t>
      </w:r>
      <w:r w:rsidR="007B7E43" w:rsidRPr="008174E3">
        <w:rPr>
          <w:rFonts w:ascii="Arial" w:hAnsi="Arial" w:cs="Arial"/>
          <w:sz w:val="22"/>
          <w:szCs w:val="22"/>
        </w:rPr>
        <w:t xml:space="preserve">un </w:t>
      </w:r>
      <w:r w:rsidR="007D035A" w:rsidRPr="008174E3">
        <w:rPr>
          <w:rFonts w:ascii="Arial" w:hAnsi="Arial" w:cs="Arial"/>
          <w:sz w:val="22"/>
          <w:szCs w:val="22"/>
        </w:rPr>
        <w:t xml:space="preserve">impacto </w:t>
      </w:r>
      <w:r w:rsidR="007B7E43" w:rsidRPr="008174E3">
        <w:rPr>
          <w:rFonts w:ascii="Arial" w:hAnsi="Arial" w:cs="Arial"/>
          <w:sz w:val="22"/>
          <w:szCs w:val="22"/>
        </w:rPr>
        <w:t xml:space="preserve">que </w:t>
      </w:r>
      <w:r w:rsidR="00AF633A" w:rsidRPr="008174E3">
        <w:rPr>
          <w:rFonts w:ascii="Arial" w:hAnsi="Arial" w:cs="Arial"/>
          <w:sz w:val="22"/>
          <w:szCs w:val="22"/>
        </w:rPr>
        <w:t>varía</w:t>
      </w:r>
      <w:r w:rsidR="007D035A" w:rsidRPr="008174E3">
        <w:rPr>
          <w:rFonts w:ascii="Arial" w:hAnsi="Arial" w:cs="Arial"/>
          <w:sz w:val="22"/>
          <w:szCs w:val="22"/>
        </w:rPr>
        <w:t xml:space="preserve"> </w:t>
      </w:r>
      <w:r w:rsidR="00AF633A" w:rsidRPr="008174E3">
        <w:rPr>
          <w:rFonts w:ascii="Arial" w:hAnsi="Arial" w:cs="Arial"/>
          <w:sz w:val="22"/>
          <w:szCs w:val="22"/>
        </w:rPr>
        <w:t>entre</w:t>
      </w:r>
      <w:r w:rsidR="007D035A" w:rsidRPr="008174E3">
        <w:rPr>
          <w:rFonts w:ascii="Arial" w:hAnsi="Arial" w:cs="Arial"/>
          <w:sz w:val="22"/>
          <w:szCs w:val="22"/>
        </w:rPr>
        <w:t xml:space="preserve"> 0</w:t>
      </w:r>
      <w:r w:rsidR="00A918C4" w:rsidRPr="008174E3">
        <w:rPr>
          <w:rFonts w:ascii="Arial" w:hAnsi="Arial" w:cs="Arial"/>
          <w:sz w:val="22"/>
          <w:szCs w:val="22"/>
        </w:rPr>
        <w:t>%</w:t>
      </w:r>
      <w:r w:rsidR="002661C0" w:rsidRPr="008174E3">
        <w:rPr>
          <w:rFonts w:ascii="Arial" w:hAnsi="Arial" w:cs="Arial"/>
          <w:sz w:val="22"/>
          <w:szCs w:val="22"/>
        </w:rPr>
        <w:t xml:space="preserve"> y</w:t>
      </w:r>
      <w:r w:rsidR="007D035A" w:rsidRPr="008174E3">
        <w:rPr>
          <w:rFonts w:ascii="Arial" w:hAnsi="Arial" w:cs="Arial"/>
          <w:sz w:val="22"/>
          <w:szCs w:val="22"/>
        </w:rPr>
        <w:t xml:space="preserve"> 5</w:t>
      </w:r>
      <w:r w:rsidR="00A918C4" w:rsidRPr="008174E3">
        <w:rPr>
          <w:rFonts w:ascii="Arial" w:hAnsi="Arial" w:cs="Arial"/>
          <w:sz w:val="22"/>
          <w:szCs w:val="22"/>
        </w:rPr>
        <w:t>%.</w:t>
      </w:r>
      <w:r w:rsidR="00CD604D" w:rsidRPr="008174E3">
        <w:rPr>
          <w:rFonts w:ascii="Arial" w:hAnsi="Arial" w:cs="Arial"/>
          <w:sz w:val="22"/>
          <w:szCs w:val="22"/>
        </w:rPr>
        <w:t xml:space="preserve"> </w:t>
      </w:r>
    </w:p>
    <w:p w14:paraId="768B9E9F" w14:textId="77777777" w:rsidR="007B266C" w:rsidRPr="008174E3" w:rsidRDefault="007B266C" w:rsidP="007B266C">
      <w:pPr>
        <w:pStyle w:val="ListParagraph"/>
        <w:rPr>
          <w:rFonts w:ascii="Arial" w:hAnsi="Arial" w:cs="Arial"/>
          <w:sz w:val="22"/>
          <w:szCs w:val="22"/>
        </w:rPr>
      </w:pPr>
    </w:p>
    <w:p w14:paraId="5C4BB21C" w14:textId="24A7F844" w:rsidR="006C5B91" w:rsidRPr="008174E3" w:rsidRDefault="007B266C" w:rsidP="006C5B91">
      <w:pPr>
        <w:pStyle w:val="ListParagraph"/>
        <w:numPr>
          <w:ilvl w:val="0"/>
          <w:numId w:val="8"/>
        </w:numPr>
        <w:tabs>
          <w:tab w:val="left" w:pos="90"/>
          <w:tab w:val="left" w:pos="270"/>
        </w:tabs>
        <w:ind w:left="0"/>
        <w:jc w:val="both"/>
        <w:rPr>
          <w:rFonts w:ascii="Arial" w:hAnsi="Arial" w:cs="Arial"/>
          <w:sz w:val="22"/>
          <w:szCs w:val="22"/>
        </w:rPr>
      </w:pPr>
      <w:r w:rsidRPr="008174E3">
        <w:rPr>
          <w:rFonts w:ascii="Arial" w:hAnsi="Arial" w:cs="Arial"/>
          <w:sz w:val="22"/>
          <w:szCs w:val="22"/>
        </w:rPr>
        <w:t xml:space="preserve">Al igual que con los programas de </w:t>
      </w:r>
      <w:r w:rsidR="00B407D6" w:rsidRPr="008174E3">
        <w:rPr>
          <w:rFonts w:ascii="Arial" w:hAnsi="Arial" w:cs="Arial"/>
          <w:sz w:val="22"/>
          <w:szCs w:val="22"/>
        </w:rPr>
        <w:t>intermediación</w:t>
      </w:r>
      <w:r w:rsidRPr="008174E3">
        <w:rPr>
          <w:rFonts w:ascii="Arial" w:hAnsi="Arial" w:cs="Arial"/>
          <w:sz w:val="22"/>
          <w:szCs w:val="22"/>
        </w:rPr>
        <w:t xml:space="preserve"> laboral, un </w:t>
      </w:r>
      <w:r w:rsidR="006C5B91" w:rsidRPr="008174E3">
        <w:rPr>
          <w:rFonts w:ascii="Arial" w:hAnsi="Arial" w:cs="Arial"/>
          <w:sz w:val="22"/>
          <w:szCs w:val="22"/>
        </w:rPr>
        <w:t xml:space="preserve">número importante de estudios ha </w:t>
      </w:r>
      <w:r w:rsidRPr="008174E3">
        <w:rPr>
          <w:rFonts w:ascii="Arial" w:hAnsi="Arial" w:cs="Arial"/>
          <w:sz w:val="22"/>
          <w:szCs w:val="22"/>
        </w:rPr>
        <w:t xml:space="preserve">empezado a enfatizar el impacto de estos programas en acceso a empleo </w:t>
      </w:r>
      <w:r w:rsidR="006C5B91" w:rsidRPr="008174E3">
        <w:rPr>
          <w:rFonts w:ascii="Arial" w:hAnsi="Arial" w:cs="Arial"/>
          <w:sz w:val="22"/>
          <w:szCs w:val="22"/>
        </w:rPr>
        <w:t xml:space="preserve">formal. El interés en </w:t>
      </w:r>
      <w:r w:rsidRPr="008174E3">
        <w:rPr>
          <w:rFonts w:ascii="Arial" w:hAnsi="Arial" w:cs="Arial"/>
          <w:sz w:val="22"/>
          <w:szCs w:val="22"/>
        </w:rPr>
        <w:t>esta variable</w:t>
      </w:r>
      <w:r w:rsidR="006C5B91" w:rsidRPr="008174E3">
        <w:rPr>
          <w:rFonts w:ascii="Arial" w:hAnsi="Arial" w:cs="Arial"/>
          <w:sz w:val="22"/>
          <w:szCs w:val="22"/>
        </w:rPr>
        <w:t xml:space="preserve"> se basa en </w:t>
      </w:r>
      <w:r w:rsidR="00A724EA">
        <w:rPr>
          <w:rFonts w:ascii="Arial" w:hAnsi="Arial" w:cs="Arial"/>
          <w:sz w:val="22"/>
          <w:szCs w:val="22"/>
        </w:rPr>
        <w:t xml:space="preserve">el hecho </w:t>
      </w:r>
      <w:r w:rsidR="006C5B91" w:rsidRPr="008174E3">
        <w:rPr>
          <w:rFonts w:ascii="Arial" w:hAnsi="Arial" w:cs="Arial"/>
          <w:sz w:val="22"/>
          <w:szCs w:val="22"/>
        </w:rPr>
        <w:t xml:space="preserve">que el empleo formal ofrece beneficios y estabilidad a los trabajadores, al mismo tiempo que es una variable que puede </w:t>
      </w:r>
      <w:r w:rsidRPr="008174E3">
        <w:rPr>
          <w:rFonts w:ascii="Arial" w:hAnsi="Arial" w:cs="Arial"/>
          <w:sz w:val="22"/>
          <w:szCs w:val="22"/>
        </w:rPr>
        <w:t xml:space="preserve">ser monitoreada </w:t>
      </w:r>
      <w:r w:rsidR="006C5B91" w:rsidRPr="008174E3">
        <w:rPr>
          <w:rFonts w:ascii="Arial" w:hAnsi="Arial" w:cs="Arial"/>
          <w:sz w:val="22"/>
          <w:szCs w:val="22"/>
        </w:rPr>
        <w:t xml:space="preserve">mediante información administrativa </w:t>
      </w:r>
      <w:r w:rsidR="00631B98" w:rsidRPr="008174E3">
        <w:rPr>
          <w:rFonts w:ascii="Arial" w:hAnsi="Arial" w:cs="Arial"/>
          <w:sz w:val="22"/>
          <w:szCs w:val="22"/>
        </w:rPr>
        <w:t>que</w:t>
      </w:r>
      <w:r w:rsidR="007B7E43" w:rsidRPr="008174E3">
        <w:rPr>
          <w:rFonts w:ascii="Arial" w:hAnsi="Arial" w:cs="Arial"/>
          <w:sz w:val="22"/>
          <w:szCs w:val="22"/>
        </w:rPr>
        <w:t xml:space="preserve"> permite evaluaciones de más largo plazo </w:t>
      </w:r>
      <w:r w:rsidR="006C5B91" w:rsidRPr="008174E3">
        <w:rPr>
          <w:rFonts w:ascii="Arial" w:hAnsi="Arial" w:cs="Arial"/>
          <w:sz w:val="22"/>
          <w:szCs w:val="22"/>
        </w:rPr>
        <w:t>(McKenzie, 201</w:t>
      </w:r>
      <w:r w:rsidR="00442FFB" w:rsidRPr="008174E3">
        <w:rPr>
          <w:rFonts w:ascii="Arial" w:hAnsi="Arial" w:cs="Arial"/>
          <w:sz w:val="22"/>
          <w:szCs w:val="22"/>
        </w:rPr>
        <w:t>7</w:t>
      </w:r>
      <w:r w:rsidR="006C5B91" w:rsidRPr="008174E3">
        <w:rPr>
          <w:rFonts w:ascii="Arial" w:hAnsi="Arial" w:cs="Arial"/>
          <w:sz w:val="22"/>
          <w:szCs w:val="22"/>
        </w:rPr>
        <w:t xml:space="preserve">). Los estudios que se han enfocado en medir el acceso a empleo </w:t>
      </w:r>
      <w:r w:rsidR="003D6EB3" w:rsidRPr="008174E3">
        <w:rPr>
          <w:rFonts w:ascii="Arial" w:hAnsi="Arial" w:cs="Arial"/>
          <w:sz w:val="22"/>
          <w:szCs w:val="22"/>
        </w:rPr>
        <w:t>formal</w:t>
      </w:r>
      <w:r w:rsidR="006C5B91" w:rsidRPr="008174E3">
        <w:rPr>
          <w:rFonts w:ascii="Arial" w:hAnsi="Arial" w:cs="Arial"/>
          <w:sz w:val="22"/>
          <w:szCs w:val="22"/>
        </w:rPr>
        <w:t xml:space="preserve"> tienden a encontrar impactos relativamente </w:t>
      </w:r>
      <w:r w:rsidR="00B407D6" w:rsidRPr="008174E3">
        <w:rPr>
          <w:rFonts w:ascii="Arial" w:hAnsi="Arial" w:cs="Arial"/>
          <w:sz w:val="22"/>
          <w:szCs w:val="22"/>
        </w:rPr>
        <w:t>importantes</w:t>
      </w:r>
      <w:r w:rsidR="006C5B91" w:rsidRPr="008174E3">
        <w:rPr>
          <w:rFonts w:ascii="Arial" w:hAnsi="Arial" w:cs="Arial"/>
          <w:sz w:val="22"/>
          <w:szCs w:val="22"/>
        </w:rPr>
        <w:t xml:space="preserve"> en formalidad, indicando que los programas de formación de habilidades pueden ayudar a los trabajadores a conseguir empleos de calidad. </w:t>
      </w:r>
    </w:p>
    <w:p w14:paraId="23E0B728" w14:textId="77777777" w:rsidR="007B266C" w:rsidRPr="008174E3" w:rsidRDefault="007B266C" w:rsidP="007B266C">
      <w:pPr>
        <w:pStyle w:val="ListParagraph"/>
        <w:rPr>
          <w:rFonts w:ascii="Arial" w:hAnsi="Arial" w:cs="Arial"/>
          <w:sz w:val="22"/>
          <w:szCs w:val="22"/>
        </w:rPr>
      </w:pPr>
    </w:p>
    <w:p w14:paraId="24C36067" w14:textId="1ADFAF8B" w:rsidR="007B266C" w:rsidRPr="008174E3" w:rsidRDefault="007B266C" w:rsidP="00C50A79">
      <w:pPr>
        <w:pStyle w:val="ListParagraph"/>
        <w:numPr>
          <w:ilvl w:val="0"/>
          <w:numId w:val="8"/>
        </w:numPr>
        <w:tabs>
          <w:tab w:val="left" w:pos="90"/>
          <w:tab w:val="left" w:pos="270"/>
        </w:tabs>
        <w:ind w:left="0"/>
        <w:jc w:val="both"/>
        <w:rPr>
          <w:rFonts w:ascii="Arial" w:hAnsi="Arial" w:cs="Arial"/>
          <w:sz w:val="22"/>
          <w:szCs w:val="22"/>
        </w:rPr>
      </w:pPr>
      <w:r w:rsidRPr="008174E3">
        <w:rPr>
          <w:rFonts w:ascii="Arial" w:hAnsi="Arial" w:cs="Arial"/>
          <w:sz w:val="22"/>
          <w:szCs w:val="22"/>
        </w:rPr>
        <w:t xml:space="preserve">El presente </w:t>
      </w:r>
      <w:r w:rsidR="00B407D6" w:rsidRPr="008174E3">
        <w:rPr>
          <w:rFonts w:ascii="Arial" w:hAnsi="Arial" w:cs="Arial"/>
          <w:sz w:val="22"/>
          <w:szCs w:val="22"/>
        </w:rPr>
        <w:t>análisis</w:t>
      </w:r>
      <w:r w:rsidRPr="008174E3">
        <w:rPr>
          <w:rFonts w:ascii="Arial" w:hAnsi="Arial" w:cs="Arial"/>
          <w:sz w:val="22"/>
          <w:szCs w:val="22"/>
        </w:rPr>
        <w:t xml:space="preserve"> del componente asume un horizonte de impacto de 10 años para los beneficiarios del programa. Este supuesto se sustenta en base a resultados de evaluaciones experimentales </w:t>
      </w:r>
      <w:r w:rsidR="00631B98" w:rsidRPr="008174E3">
        <w:rPr>
          <w:rFonts w:ascii="Arial" w:hAnsi="Arial" w:cs="Arial"/>
          <w:sz w:val="22"/>
          <w:szCs w:val="22"/>
        </w:rPr>
        <w:t xml:space="preserve">en </w:t>
      </w:r>
      <w:r w:rsidRPr="008174E3">
        <w:rPr>
          <w:rFonts w:ascii="Arial" w:hAnsi="Arial" w:cs="Arial"/>
          <w:sz w:val="22"/>
          <w:szCs w:val="22"/>
        </w:rPr>
        <w:t xml:space="preserve">Colombia y República Dominicana, las únicas dos evaluaciones </w:t>
      </w:r>
      <w:r w:rsidR="004E73EE" w:rsidRPr="008174E3">
        <w:rPr>
          <w:rFonts w:ascii="Arial" w:hAnsi="Arial" w:cs="Arial"/>
          <w:sz w:val="22"/>
          <w:szCs w:val="22"/>
        </w:rPr>
        <w:t xml:space="preserve">existentes </w:t>
      </w:r>
      <w:r w:rsidRPr="008174E3">
        <w:rPr>
          <w:rFonts w:ascii="Arial" w:hAnsi="Arial" w:cs="Arial"/>
          <w:sz w:val="22"/>
          <w:szCs w:val="22"/>
        </w:rPr>
        <w:t xml:space="preserve">de largo </w:t>
      </w:r>
      <w:r w:rsidR="004E73EE" w:rsidRPr="008174E3">
        <w:rPr>
          <w:rFonts w:ascii="Arial" w:hAnsi="Arial" w:cs="Arial"/>
          <w:sz w:val="22"/>
          <w:szCs w:val="22"/>
        </w:rPr>
        <w:t xml:space="preserve">plazo </w:t>
      </w:r>
      <w:r w:rsidRPr="008174E3">
        <w:rPr>
          <w:rFonts w:ascii="Arial" w:hAnsi="Arial" w:cs="Arial"/>
          <w:sz w:val="22"/>
          <w:szCs w:val="22"/>
        </w:rPr>
        <w:t xml:space="preserve">en la región. </w:t>
      </w:r>
      <w:r w:rsidR="005376FF" w:rsidRPr="008174E3">
        <w:rPr>
          <w:rFonts w:ascii="Arial" w:hAnsi="Arial" w:cs="Arial"/>
          <w:sz w:val="22"/>
          <w:szCs w:val="22"/>
        </w:rPr>
        <w:t>E</w:t>
      </w:r>
      <w:r w:rsidRPr="008174E3">
        <w:rPr>
          <w:rFonts w:ascii="Arial" w:hAnsi="Arial" w:cs="Arial"/>
          <w:sz w:val="22"/>
          <w:szCs w:val="22"/>
        </w:rPr>
        <w:t>n Colombia, Attanasio et al. (2015) encuentran que los impactos del programa persisten 10 años después de su implementación, donde destaca que el impacto en formalidad para los jóvenes beneficiarios del programa es de 5pp. En República Dominicana, se observa que los resultados observados en el corto plazo se mantuvieron 6 años después (Ibarrarán et al., 2016). Los autores encuentran que el impacto sobre ingreso y empleo permanece no significativo</w:t>
      </w:r>
      <w:r w:rsidR="00631B98" w:rsidRPr="008174E3">
        <w:rPr>
          <w:rFonts w:ascii="Arial" w:hAnsi="Arial" w:cs="Arial"/>
          <w:sz w:val="22"/>
          <w:szCs w:val="22"/>
        </w:rPr>
        <w:t>. S</w:t>
      </w:r>
      <w:r w:rsidRPr="008174E3">
        <w:rPr>
          <w:rFonts w:ascii="Arial" w:hAnsi="Arial" w:cs="Arial"/>
          <w:sz w:val="22"/>
          <w:szCs w:val="22"/>
        </w:rPr>
        <w:t xml:space="preserve">in embargo, el impacto sobre la calidad del empleo obtenido (acceso a </w:t>
      </w:r>
      <w:r w:rsidR="00C50A79" w:rsidRPr="008174E3">
        <w:rPr>
          <w:rFonts w:ascii="Arial" w:hAnsi="Arial" w:cs="Arial"/>
          <w:sz w:val="22"/>
          <w:szCs w:val="22"/>
        </w:rPr>
        <w:t xml:space="preserve">seguro </w:t>
      </w:r>
      <w:r w:rsidR="00B407D6" w:rsidRPr="008174E3">
        <w:rPr>
          <w:rFonts w:ascii="Arial" w:hAnsi="Arial" w:cs="Arial"/>
          <w:sz w:val="22"/>
          <w:szCs w:val="22"/>
        </w:rPr>
        <w:t>médico</w:t>
      </w:r>
      <w:r w:rsidR="00C50A79" w:rsidRPr="008174E3">
        <w:rPr>
          <w:rFonts w:ascii="Arial" w:hAnsi="Arial" w:cs="Arial"/>
          <w:sz w:val="22"/>
          <w:szCs w:val="22"/>
        </w:rPr>
        <w:t xml:space="preserve">) </w:t>
      </w:r>
      <w:r w:rsidRPr="008174E3">
        <w:rPr>
          <w:rFonts w:ascii="Arial" w:hAnsi="Arial" w:cs="Arial"/>
          <w:sz w:val="22"/>
          <w:szCs w:val="22"/>
        </w:rPr>
        <w:t xml:space="preserve">se incrementa en </w:t>
      </w:r>
      <w:r w:rsidR="00C50A79" w:rsidRPr="008174E3">
        <w:rPr>
          <w:rFonts w:ascii="Arial" w:hAnsi="Arial" w:cs="Arial"/>
          <w:sz w:val="22"/>
          <w:szCs w:val="22"/>
        </w:rPr>
        <w:t>7,8 pp. Un</w:t>
      </w:r>
      <w:r w:rsidR="00A724EA">
        <w:rPr>
          <w:rFonts w:ascii="Arial" w:hAnsi="Arial" w:cs="Arial"/>
          <w:sz w:val="22"/>
          <w:szCs w:val="22"/>
        </w:rPr>
        <w:t xml:space="preserve"> hecho </w:t>
      </w:r>
      <w:r w:rsidR="00C50A79" w:rsidRPr="008174E3">
        <w:rPr>
          <w:rFonts w:ascii="Arial" w:hAnsi="Arial" w:cs="Arial"/>
          <w:sz w:val="22"/>
          <w:szCs w:val="22"/>
        </w:rPr>
        <w:t xml:space="preserve">identificado en la literatura </w:t>
      </w:r>
      <w:r w:rsidR="00A724EA">
        <w:rPr>
          <w:rFonts w:ascii="Arial" w:hAnsi="Arial" w:cs="Arial"/>
          <w:sz w:val="22"/>
          <w:szCs w:val="22"/>
        </w:rPr>
        <w:lastRenderedPageBreak/>
        <w:t xml:space="preserve">especializada se refiere </w:t>
      </w:r>
      <w:r w:rsidR="00C50A79" w:rsidRPr="008174E3">
        <w:rPr>
          <w:rFonts w:ascii="Arial" w:hAnsi="Arial" w:cs="Arial"/>
          <w:sz w:val="22"/>
          <w:szCs w:val="22"/>
        </w:rPr>
        <w:t>a</w:t>
      </w:r>
      <w:r w:rsidR="00A724EA">
        <w:rPr>
          <w:rFonts w:ascii="Arial" w:hAnsi="Arial" w:cs="Arial"/>
          <w:sz w:val="22"/>
          <w:szCs w:val="22"/>
        </w:rPr>
        <w:t xml:space="preserve"> que el impacto por </w:t>
      </w:r>
      <w:r w:rsidR="00C50A79" w:rsidRPr="008174E3">
        <w:rPr>
          <w:rFonts w:ascii="Arial" w:hAnsi="Arial" w:cs="Arial"/>
          <w:sz w:val="22"/>
          <w:szCs w:val="22"/>
        </w:rPr>
        <w:t xml:space="preserve">modificar </w:t>
      </w:r>
      <w:r w:rsidRPr="008174E3">
        <w:rPr>
          <w:rFonts w:ascii="Arial" w:hAnsi="Arial" w:cs="Arial"/>
          <w:sz w:val="22"/>
          <w:szCs w:val="22"/>
        </w:rPr>
        <w:t>el acervo de capital humano</w:t>
      </w:r>
      <w:r w:rsidR="004E73EE" w:rsidRPr="008174E3">
        <w:rPr>
          <w:rFonts w:ascii="Arial" w:hAnsi="Arial" w:cs="Arial"/>
          <w:sz w:val="22"/>
          <w:szCs w:val="22"/>
        </w:rPr>
        <w:t xml:space="preserve"> de los beneficiarios</w:t>
      </w:r>
      <w:r w:rsidR="00A724EA">
        <w:rPr>
          <w:rFonts w:ascii="Arial" w:hAnsi="Arial" w:cs="Arial"/>
          <w:sz w:val="22"/>
          <w:szCs w:val="22"/>
        </w:rPr>
        <w:t xml:space="preserve"> tiene </w:t>
      </w:r>
      <w:r w:rsidRPr="008174E3">
        <w:rPr>
          <w:rFonts w:ascii="Arial" w:hAnsi="Arial" w:cs="Arial"/>
          <w:sz w:val="22"/>
          <w:szCs w:val="22"/>
        </w:rPr>
        <w:t>efectos de largo plazo positivos y cuantificables (Kluve, 2016).</w:t>
      </w:r>
    </w:p>
    <w:p w14:paraId="2D281162" w14:textId="77777777" w:rsidR="00932D6D" w:rsidRPr="008174E3" w:rsidRDefault="00932D6D" w:rsidP="00932D6D">
      <w:pPr>
        <w:pStyle w:val="ListParagraph"/>
        <w:rPr>
          <w:rFonts w:ascii="Arial" w:hAnsi="Arial" w:cs="Arial"/>
          <w:sz w:val="22"/>
          <w:szCs w:val="22"/>
        </w:rPr>
      </w:pPr>
    </w:p>
    <w:p w14:paraId="49F01110" w14:textId="69701482" w:rsidR="006671FD" w:rsidRPr="008174E3" w:rsidRDefault="00110D68" w:rsidP="00184002">
      <w:pPr>
        <w:pStyle w:val="ListParagraph"/>
        <w:numPr>
          <w:ilvl w:val="0"/>
          <w:numId w:val="8"/>
        </w:numPr>
        <w:tabs>
          <w:tab w:val="left" w:pos="90"/>
          <w:tab w:val="left" w:pos="270"/>
        </w:tabs>
        <w:ind w:left="0"/>
        <w:jc w:val="both"/>
        <w:rPr>
          <w:rFonts w:ascii="Arial" w:hAnsi="Arial" w:cs="Arial"/>
          <w:sz w:val="22"/>
          <w:szCs w:val="22"/>
        </w:rPr>
      </w:pPr>
      <w:r w:rsidRPr="008174E3">
        <w:rPr>
          <w:rFonts w:ascii="Arial" w:hAnsi="Arial" w:cs="Arial"/>
          <w:sz w:val="22"/>
          <w:szCs w:val="22"/>
        </w:rPr>
        <w:t xml:space="preserve">Considerando la evidencia de literatura relevante para el presente componente, se considera </w:t>
      </w:r>
      <w:r w:rsidR="000A0C92" w:rsidRPr="008174E3">
        <w:rPr>
          <w:rFonts w:ascii="Arial" w:hAnsi="Arial" w:cs="Arial"/>
          <w:sz w:val="22"/>
          <w:szCs w:val="22"/>
        </w:rPr>
        <w:t xml:space="preserve">un </w:t>
      </w:r>
      <w:r w:rsidRPr="008174E3">
        <w:rPr>
          <w:rFonts w:ascii="Arial" w:hAnsi="Arial" w:cs="Arial"/>
          <w:sz w:val="22"/>
          <w:szCs w:val="22"/>
        </w:rPr>
        <w:t xml:space="preserve">impacto </w:t>
      </w:r>
      <w:r w:rsidR="000A0C92" w:rsidRPr="008174E3">
        <w:rPr>
          <w:rFonts w:ascii="Arial" w:hAnsi="Arial" w:cs="Arial"/>
          <w:sz w:val="22"/>
          <w:szCs w:val="22"/>
        </w:rPr>
        <w:t>asociado únicamente a</w:t>
      </w:r>
      <w:r w:rsidR="001752F1" w:rsidRPr="008174E3">
        <w:rPr>
          <w:rFonts w:ascii="Arial" w:hAnsi="Arial" w:cs="Arial"/>
          <w:sz w:val="22"/>
          <w:szCs w:val="22"/>
        </w:rPr>
        <w:t xml:space="preserve">l </w:t>
      </w:r>
      <w:r w:rsidR="00593E90" w:rsidRPr="008174E3">
        <w:rPr>
          <w:rFonts w:ascii="Arial" w:hAnsi="Arial" w:cs="Arial"/>
          <w:sz w:val="22"/>
          <w:szCs w:val="22"/>
        </w:rPr>
        <w:t xml:space="preserve">incremento en el </w:t>
      </w:r>
      <w:r w:rsidR="00281617" w:rsidRPr="008174E3">
        <w:rPr>
          <w:rFonts w:ascii="Arial" w:hAnsi="Arial" w:cs="Arial"/>
          <w:sz w:val="22"/>
          <w:szCs w:val="22"/>
        </w:rPr>
        <w:t xml:space="preserve">porcentaje de beneficiarios </w:t>
      </w:r>
      <w:r w:rsidR="001B00C9" w:rsidRPr="008174E3">
        <w:rPr>
          <w:rFonts w:ascii="Arial" w:hAnsi="Arial" w:cs="Arial"/>
          <w:sz w:val="22"/>
          <w:szCs w:val="22"/>
        </w:rPr>
        <w:t>en acceso a empleo formal</w:t>
      </w:r>
      <w:r w:rsidR="000A0C92" w:rsidRPr="008174E3">
        <w:rPr>
          <w:rFonts w:ascii="Arial" w:hAnsi="Arial" w:cs="Arial"/>
          <w:sz w:val="22"/>
          <w:szCs w:val="22"/>
        </w:rPr>
        <w:t xml:space="preserve"> </w:t>
      </w:r>
      <w:r w:rsidR="007B266C" w:rsidRPr="008174E3">
        <w:rPr>
          <w:rFonts w:ascii="Arial" w:hAnsi="Arial" w:cs="Arial"/>
          <w:sz w:val="22"/>
          <w:szCs w:val="22"/>
        </w:rPr>
        <w:t xml:space="preserve">de </w:t>
      </w:r>
      <w:r w:rsidR="00CD604D" w:rsidRPr="008174E3">
        <w:rPr>
          <w:rFonts w:ascii="Arial" w:hAnsi="Arial" w:cs="Arial"/>
          <w:sz w:val="22"/>
          <w:szCs w:val="22"/>
        </w:rPr>
        <w:t>6</w:t>
      </w:r>
      <w:r w:rsidR="000A0C92" w:rsidRPr="008174E3">
        <w:rPr>
          <w:rFonts w:ascii="Arial" w:hAnsi="Arial" w:cs="Arial"/>
          <w:sz w:val="22"/>
          <w:szCs w:val="22"/>
        </w:rPr>
        <w:t xml:space="preserve"> pp. Este supuesto se sustenta en los resultados de las evaluaciones de impacto</w:t>
      </w:r>
      <w:r w:rsidR="00C50A79" w:rsidRPr="008174E3">
        <w:rPr>
          <w:rFonts w:ascii="Arial" w:hAnsi="Arial" w:cs="Arial"/>
          <w:sz w:val="22"/>
          <w:szCs w:val="22"/>
        </w:rPr>
        <w:t xml:space="preserve"> previas del subprograma B</w:t>
      </w:r>
      <w:r w:rsidR="005376FF" w:rsidRPr="008174E3">
        <w:rPr>
          <w:rFonts w:ascii="Arial" w:hAnsi="Arial" w:cs="Arial"/>
          <w:sz w:val="22"/>
          <w:szCs w:val="22"/>
        </w:rPr>
        <w:t>É</w:t>
      </w:r>
      <w:r w:rsidR="00C50A79" w:rsidRPr="008174E3">
        <w:rPr>
          <w:rFonts w:ascii="Arial" w:hAnsi="Arial" w:cs="Arial"/>
          <w:sz w:val="22"/>
          <w:szCs w:val="22"/>
        </w:rPr>
        <w:t>CATE</w:t>
      </w:r>
      <w:r w:rsidR="004E73EE" w:rsidRPr="008174E3">
        <w:rPr>
          <w:rFonts w:ascii="Arial" w:hAnsi="Arial" w:cs="Arial"/>
          <w:sz w:val="22"/>
          <w:szCs w:val="22"/>
        </w:rPr>
        <w:t xml:space="preserve"> y la revisión de literatura </w:t>
      </w:r>
      <w:r w:rsidR="0007065C" w:rsidRPr="008174E3">
        <w:rPr>
          <w:rFonts w:ascii="Arial" w:hAnsi="Arial" w:cs="Arial"/>
          <w:sz w:val="22"/>
          <w:szCs w:val="22"/>
        </w:rPr>
        <w:t>recién</w:t>
      </w:r>
      <w:r w:rsidR="004E73EE" w:rsidRPr="008174E3">
        <w:rPr>
          <w:rFonts w:ascii="Arial" w:hAnsi="Arial" w:cs="Arial"/>
          <w:sz w:val="22"/>
          <w:szCs w:val="22"/>
        </w:rPr>
        <w:t xml:space="preserve"> mencionada</w:t>
      </w:r>
      <w:r w:rsidR="000A0C92" w:rsidRPr="008174E3">
        <w:rPr>
          <w:rFonts w:ascii="Arial" w:hAnsi="Arial" w:cs="Arial"/>
          <w:sz w:val="22"/>
          <w:szCs w:val="22"/>
        </w:rPr>
        <w:t xml:space="preserve">. </w:t>
      </w:r>
      <w:r w:rsidR="004E73EE" w:rsidRPr="008174E3">
        <w:rPr>
          <w:rFonts w:ascii="Arial" w:hAnsi="Arial" w:cs="Arial"/>
          <w:sz w:val="22"/>
          <w:szCs w:val="22"/>
        </w:rPr>
        <w:t xml:space="preserve">El impacto esperado es </w:t>
      </w:r>
      <w:r w:rsidR="000A0C92" w:rsidRPr="008174E3">
        <w:rPr>
          <w:rFonts w:ascii="Arial" w:hAnsi="Arial" w:cs="Arial"/>
          <w:sz w:val="22"/>
          <w:szCs w:val="22"/>
        </w:rPr>
        <w:t xml:space="preserve">conservador </w:t>
      </w:r>
      <w:r w:rsidR="004E73EE" w:rsidRPr="008174E3">
        <w:rPr>
          <w:rFonts w:ascii="Arial" w:hAnsi="Arial" w:cs="Arial"/>
          <w:sz w:val="22"/>
          <w:szCs w:val="22"/>
        </w:rPr>
        <w:t>al considera</w:t>
      </w:r>
      <w:r w:rsidR="00631B98" w:rsidRPr="008174E3">
        <w:rPr>
          <w:rFonts w:ascii="Arial" w:hAnsi="Arial" w:cs="Arial"/>
          <w:sz w:val="22"/>
          <w:szCs w:val="22"/>
        </w:rPr>
        <w:t>r</w:t>
      </w:r>
      <w:r w:rsidR="004E73EE" w:rsidRPr="008174E3">
        <w:rPr>
          <w:rFonts w:ascii="Arial" w:hAnsi="Arial" w:cs="Arial"/>
          <w:sz w:val="22"/>
          <w:szCs w:val="22"/>
        </w:rPr>
        <w:t xml:space="preserve"> </w:t>
      </w:r>
      <w:r w:rsidR="000A0C92" w:rsidRPr="008174E3">
        <w:rPr>
          <w:rFonts w:ascii="Arial" w:hAnsi="Arial" w:cs="Arial"/>
          <w:sz w:val="22"/>
          <w:szCs w:val="22"/>
        </w:rPr>
        <w:t xml:space="preserve">solamente </w:t>
      </w:r>
      <w:r w:rsidR="004E73EE" w:rsidRPr="008174E3">
        <w:rPr>
          <w:rFonts w:ascii="Arial" w:hAnsi="Arial" w:cs="Arial"/>
          <w:sz w:val="22"/>
          <w:szCs w:val="22"/>
        </w:rPr>
        <w:t xml:space="preserve">impactos en formalidad laboral y </w:t>
      </w:r>
      <w:r w:rsidR="0007065C" w:rsidRPr="008174E3">
        <w:rPr>
          <w:rFonts w:ascii="Arial" w:hAnsi="Arial" w:cs="Arial"/>
          <w:sz w:val="22"/>
          <w:szCs w:val="22"/>
        </w:rPr>
        <w:t>omitir</w:t>
      </w:r>
      <w:r w:rsidR="004E73EE" w:rsidRPr="008174E3">
        <w:rPr>
          <w:rFonts w:ascii="Arial" w:hAnsi="Arial" w:cs="Arial"/>
          <w:sz w:val="22"/>
          <w:szCs w:val="22"/>
        </w:rPr>
        <w:t xml:space="preserve"> otros impactos identificados en la literatura</w:t>
      </w:r>
      <w:r w:rsidR="000A0C92" w:rsidRPr="008174E3">
        <w:rPr>
          <w:rFonts w:ascii="Arial" w:hAnsi="Arial" w:cs="Arial"/>
          <w:sz w:val="22"/>
          <w:szCs w:val="22"/>
        </w:rPr>
        <w:t xml:space="preserve">. </w:t>
      </w:r>
    </w:p>
    <w:p w14:paraId="19CB5CB2" w14:textId="77777777" w:rsidR="006671FD" w:rsidRPr="008174E3" w:rsidRDefault="006671FD" w:rsidP="006671FD">
      <w:pPr>
        <w:pStyle w:val="ListParagraph"/>
        <w:rPr>
          <w:rFonts w:ascii="Arial" w:hAnsi="Arial" w:cs="Arial"/>
          <w:sz w:val="22"/>
          <w:szCs w:val="22"/>
        </w:rPr>
      </w:pPr>
    </w:p>
    <w:p w14:paraId="672F17AC" w14:textId="37ADA88A" w:rsidR="00A33697" w:rsidRPr="008174E3" w:rsidRDefault="006671FD" w:rsidP="00EB6872">
      <w:pPr>
        <w:pStyle w:val="ListParagraph"/>
        <w:numPr>
          <w:ilvl w:val="0"/>
          <w:numId w:val="8"/>
        </w:numPr>
        <w:tabs>
          <w:tab w:val="left" w:pos="90"/>
          <w:tab w:val="left" w:pos="270"/>
        </w:tabs>
        <w:ind w:left="0"/>
        <w:jc w:val="both"/>
        <w:rPr>
          <w:rFonts w:ascii="Arial" w:hAnsi="Arial" w:cs="Arial"/>
          <w:sz w:val="22"/>
          <w:szCs w:val="22"/>
        </w:rPr>
      </w:pPr>
      <w:r w:rsidRPr="008174E3">
        <w:rPr>
          <w:rFonts w:ascii="Arial" w:hAnsi="Arial" w:cs="Arial"/>
          <w:sz w:val="22"/>
          <w:szCs w:val="22"/>
        </w:rPr>
        <w:t xml:space="preserve">Se asume </w:t>
      </w:r>
      <w:r w:rsidR="004E73EE" w:rsidRPr="008174E3">
        <w:rPr>
          <w:rFonts w:ascii="Arial" w:hAnsi="Arial" w:cs="Arial"/>
          <w:sz w:val="22"/>
          <w:szCs w:val="22"/>
        </w:rPr>
        <w:t xml:space="preserve">un total de </w:t>
      </w:r>
      <w:r w:rsidR="000C5997">
        <w:rPr>
          <w:rFonts w:ascii="Arial" w:hAnsi="Arial" w:cs="Arial"/>
          <w:sz w:val="22"/>
          <w:szCs w:val="22"/>
        </w:rPr>
        <w:t>38</w:t>
      </w:r>
      <w:r w:rsidR="001B00C9" w:rsidRPr="008174E3">
        <w:rPr>
          <w:rFonts w:ascii="Arial" w:hAnsi="Arial" w:cs="Arial"/>
          <w:sz w:val="22"/>
          <w:szCs w:val="22"/>
        </w:rPr>
        <w:t>0</w:t>
      </w:r>
      <w:r w:rsidRPr="008174E3">
        <w:rPr>
          <w:rFonts w:ascii="Arial" w:hAnsi="Arial" w:cs="Arial"/>
          <w:sz w:val="22"/>
          <w:szCs w:val="22"/>
        </w:rPr>
        <w:t>.000</w:t>
      </w:r>
      <w:r w:rsidR="004E73EE" w:rsidRPr="008174E3">
        <w:rPr>
          <w:rFonts w:ascii="Arial" w:hAnsi="Arial" w:cs="Arial"/>
          <w:sz w:val="22"/>
          <w:szCs w:val="22"/>
        </w:rPr>
        <w:t xml:space="preserve"> beneficiarios atendidos en el componente</w:t>
      </w:r>
      <w:r w:rsidRPr="008174E3">
        <w:rPr>
          <w:rFonts w:ascii="Arial" w:hAnsi="Arial" w:cs="Arial"/>
          <w:sz w:val="22"/>
          <w:szCs w:val="22"/>
        </w:rPr>
        <w:t xml:space="preserve"> </w:t>
      </w:r>
      <w:r w:rsidR="004E73EE" w:rsidRPr="008174E3">
        <w:rPr>
          <w:rFonts w:ascii="Arial" w:hAnsi="Arial" w:cs="Arial"/>
          <w:sz w:val="22"/>
          <w:szCs w:val="22"/>
        </w:rPr>
        <w:t>(</w:t>
      </w:r>
      <w:r w:rsidR="00B0718A" w:rsidRPr="008174E3">
        <w:rPr>
          <w:rFonts w:ascii="Arial" w:hAnsi="Arial" w:cs="Arial"/>
          <w:sz w:val="22"/>
          <w:szCs w:val="22"/>
        </w:rPr>
        <w:t>Cuadro </w:t>
      </w:r>
      <w:r w:rsidRPr="008174E3">
        <w:rPr>
          <w:rFonts w:ascii="Arial" w:hAnsi="Arial" w:cs="Arial"/>
          <w:sz w:val="22"/>
          <w:szCs w:val="22"/>
        </w:rPr>
        <w:t>A2 en Anexos</w:t>
      </w:r>
      <w:r w:rsidR="00C72951" w:rsidRPr="008174E3">
        <w:rPr>
          <w:rFonts w:ascii="Arial" w:hAnsi="Arial" w:cs="Arial"/>
          <w:sz w:val="22"/>
          <w:szCs w:val="22"/>
        </w:rPr>
        <w:t>)</w:t>
      </w:r>
      <w:r w:rsidRPr="008174E3">
        <w:rPr>
          <w:rFonts w:ascii="Arial" w:hAnsi="Arial" w:cs="Arial"/>
          <w:sz w:val="22"/>
          <w:szCs w:val="22"/>
        </w:rPr>
        <w:t xml:space="preserve"> </w:t>
      </w:r>
      <w:r w:rsidR="00C50A79" w:rsidRPr="008174E3">
        <w:rPr>
          <w:rFonts w:ascii="Arial" w:hAnsi="Arial" w:cs="Arial"/>
          <w:sz w:val="22"/>
          <w:szCs w:val="22"/>
        </w:rPr>
        <w:t xml:space="preserve">de los cuales </w:t>
      </w:r>
      <w:r w:rsidR="004E73EE" w:rsidRPr="008174E3">
        <w:rPr>
          <w:rFonts w:ascii="Arial" w:hAnsi="Arial" w:cs="Arial"/>
          <w:sz w:val="22"/>
          <w:szCs w:val="22"/>
        </w:rPr>
        <w:t xml:space="preserve">los beneficios asociados al programa provienen del incremento en </w:t>
      </w:r>
      <w:r w:rsidR="00CD604D" w:rsidRPr="008174E3">
        <w:rPr>
          <w:rFonts w:ascii="Arial" w:hAnsi="Arial" w:cs="Arial"/>
          <w:sz w:val="22"/>
          <w:szCs w:val="22"/>
        </w:rPr>
        <w:t>6</w:t>
      </w:r>
      <w:r w:rsidR="00B0718A" w:rsidRPr="008174E3">
        <w:rPr>
          <w:rFonts w:ascii="Arial" w:hAnsi="Arial" w:cs="Arial"/>
          <w:sz w:val="22"/>
          <w:szCs w:val="22"/>
        </w:rPr>
        <w:t> </w:t>
      </w:r>
      <w:r w:rsidR="00281617" w:rsidRPr="008174E3">
        <w:rPr>
          <w:rFonts w:ascii="Arial" w:hAnsi="Arial" w:cs="Arial"/>
          <w:sz w:val="22"/>
          <w:szCs w:val="22"/>
        </w:rPr>
        <w:t>pp</w:t>
      </w:r>
      <w:r w:rsidR="00D66E96" w:rsidRPr="008174E3">
        <w:rPr>
          <w:rFonts w:ascii="Arial" w:hAnsi="Arial" w:cs="Arial"/>
          <w:sz w:val="22"/>
          <w:szCs w:val="22"/>
        </w:rPr>
        <w:t>.</w:t>
      </w:r>
      <w:r w:rsidR="000A0C92" w:rsidRPr="008174E3">
        <w:rPr>
          <w:rFonts w:ascii="Arial" w:hAnsi="Arial" w:cs="Arial"/>
          <w:sz w:val="22"/>
          <w:szCs w:val="22"/>
        </w:rPr>
        <w:t xml:space="preserve"> </w:t>
      </w:r>
      <w:r w:rsidR="004E73EE" w:rsidRPr="008174E3">
        <w:rPr>
          <w:rFonts w:ascii="Arial" w:hAnsi="Arial" w:cs="Arial"/>
          <w:sz w:val="22"/>
          <w:szCs w:val="22"/>
        </w:rPr>
        <w:t xml:space="preserve">de beneficiarios con </w:t>
      </w:r>
      <w:r w:rsidR="000A0C92" w:rsidRPr="008174E3">
        <w:rPr>
          <w:rFonts w:ascii="Arial" w:hAnsi="Arial" w:cs="Arial"/>
          <w:sz w:val="22"/>
          <w:szCs w:val="22"/>
        </w:rPr>
        <w:t xml:space="preserve">acceso a empleo formal con </w:t>
      </w:r>
      <w:r w:rsidR="00D66E96" w:rsidRPr="008174E3">
        <w:rPr>
          <w:rFonts w:ascii="Arial" w:hAnsi="Arial" w:cs="Arial"/>
          <w:sz w:val="22"/>
          <w:szCs w:val="22"/>
        </w:rPr>
        <w:t xml:space="preserve">relación </w:t>
      </w:r>
      <w:r w:rsidR="004E73EE" w:rsidRPr="008174E3">
        <w:rPr>
          <w:rFonts w:ascii="Arial" w:hAnsi="Arial" w:cs="Arial"/>
          <w:sz w:val="22"/>
          <w:szCs w:val="22"/>
        </w:rPr>
        <w:t>al grupo de control</w:t>
      </w:r>
      <w:r w:rsidR="000A0C92" w:rsidRPr="008174E3">
        <w:rPr>
          <w:rFonts w:ascii="Arial" w:hAnsi="Arial" w:cs="Arial"/>
          <w:sz w:val="22"/>
          <w:szCs w:val="22"/>
        </w:rPr>
        <w:t>.</w:t>
      </w:r>
      <w:r w:rsidRPr="008174E3">
        <w:rPr>
          <w:rFonts w:ascii="Arial" w:hAnsi="Arial" w:cs="Arial"/>
          <w:sz w:val="22"/>
          <w:szCs w:val="22"/>
        </w:rPr>
        <w:t xml:space="preserve"> </w:t>
      </w:r>
      <w:r w:rsidR="00C72951" w:rsidRPr="008174E3">
        <w:rPr>
          <w:rFonts w:ascii="Arial" w:hAnsi="Arial" w:cs="Arial"/>
          <w:sz w:val="22"/>
          <w:szCs w:val="22"/>
        </w:rPr>
        <w:t>S</w:t>
      </w:r>
      <w:r w:rsidRPr="008174E3">
        <w:rPr>
          <w:rFonts w:ascii="Arial" w:hAnsi="Arial" w:cs="Arial"/>
          <w:sz w:val="22"/>
          <w:szCs w:val="22"/>
        </w:rPr>
        <w:t xml:space="preserve">e asume un ingreso laboral base en ausencia del programa </w:t>
      </w:r>
      <w:r w:rsidR="00CD604D" w:rsidRPr="008174E3">
        <w:rPr>
          <w:rFonts w:ascii="Arial" w:hAnsi="Arial" w:cs="Arial"/>
          <w:sz w:val="22"/>
          <w:szCs w:val="22"/>
        </w:rPr>
        <w:t xml:space="preserve">definido </w:t>
      </w:r>
      <w:r w:rsidR="00C41719" w:rsidRPr="008174E3">
        <w:rPr>
          <w:rFonts w:ascii="Arial" w:hAnsi="Arial" w:cs="Arial"/>
          <w:sz w:val="22"/>
          <w:szCs w:val="22"/>
        </w:rPr>
        <w:t>por género de</w:t>
      </w:r>
      <w:r w:rsidR="00B0718A" w:rsidRPr="008174E3">
        <w:rPr>
          <w:rFonts w:ascii="Arial" w:hAnsi="Arial" w:cs="Arial"/>
          <w:sz w:val="22"/>
          <w:szCs w:val="22"/>
        </w:rPr>
        <w:t>l Cuadro </w:t>
      </w:r>
      <w:r w:rsidR="00CD604D" w:rsidRPr="008174E3">
        <w:rPr>
          <w:rFonts w:ascii="Arial" w:hAnsi="Arial" w:cs="Arial"/>
          <w:sz w:val="22"/>
          <w:szCs w:val="22"/>
        </w:rPr>
        <w:t>1</w:t>
      </w:r>
      <w:r w:rsidR="004E73EE" w:rsidRPr="008174E3">
        <w:rPr>
          <w:rFonts w:ascii="Arial" w:hAnsi="Arial" w:cs="Arial"/>
          <w:sz w:val="22"/>
          <w:szCs w:val="22"/>
        </w:rPr>
        <w:t xml:space="preserve"> y que los beneficios en el primer año se dan solamente para los meses </w:t>
      </w:r>
      <w:r w:rsidR="0007065C" w:rsidRPr="008174E3">
        <w:rPr>
          <w:rFonts w:ascii="Arial" w:hAnsi="Arial" w:cs="Arial"/>
          <w:sz w:val="22"/>
          <w:szCs w:val="22"/>
        </w:rPr>
        <w:t>después</w:t>
      </w:r>
      <w:r w:rsidR="004E73EE" w:rsidRPr="008174E3">
        <w:rPr>
          <w:rFonts w:ascii="Arial" w:hAnsi="Arial" w:cs="Arial"/>
          <w:sz w:val="22"/>
          <w:szCs w:val="22"/>
        </w:rPr>
        <w:t xml:space="preserve"> del periodo de capacitación</w:t>
      </w:r>
      <w:r w:rsidR="004E73EE" w:rsidRPr="008174E3">
        <w:rPr>
          <w:rStyle w:val="FootnoteReference"/>
          <w:rFonts w:ascii="Arial" w:hAnsi="Arial" w:cs="Arial"/>
          <w:sz w:val="22"/>
          <w:szCs w:val="22"/>
        </w:rPr>
        <w:footnoteReference w:id="24"/>
      </w:r>
      <w:r w:rsidRPr="008174E3">
        <w:rPr>
          <w:rFonts w:ascii="Arial" w:hAnsi="Arial" w:cs="Arial"/>
          <w:sz w:val="22"/>
          <w:szCs w:val="22"/>
        </w:rPr>
        <w:t>.</w:t>
      </w:r>
      <w:r w:rsidR="001B00C9" w:rsidRPr="008174E3">
        <w:rPr>
          <w:rFonts w:ascii="Arial" w:hAnsi="Arial" w:cs="Arial"/>
          <w:sz w:val="22"/>
          <w:szCs w:val="22"/>
        </w:rPr>
        <w:t xml:space="preserve"> Se estima que </w:t>
      </w:r>
      <w:r w:rsidR="00474CDF" w:rsidRPr="008174E3">
        <w:rPr>
          <w:rFonts w:ascii="Arial" w:hAnsi="Arial" w:cs="Arial"/>
          <w:sz w:val="22"/>
          <w:szCs w:val="22"/>
        </w:rPr>
        <w:t xml:space="preserve">alrededor </w:t>
      </w:r>
      <w:r w:rsidR="006271B4" w:rsidRPr="008174E3">
        <w:rPr>
          <w:rFonts w:ascii="Arial" w:hAnsi="Arial" w:cs="Arial"/>
          <w:sz w:val="22"/>
          <w:szCs w:val="22"/>
        </w:rPr>
        <w:t>2</w:t>
      </w:r>
      <w:r w:rsidR="000C5997">
        <w:rPr>
          <w:rFonts w:ascii="Arial" w:hAnsi="Arial" w:cs="Arial"/>
          <w:sz w:val="22"/>
          <w:szCs w:val="22"/>
        </w:rPr>
        <w:t>2</w:t>
      </w:r>
      <w:r w:rsidR="00646AD4" w:rsidRPr="008174E3">
        <w:rPr>
          <w:rFonts w:ascii="Arial" w:hAnsi="Arial" w:cs="Arial"/>
          <w:sz w:val="22"/>
          <w:szCs w:val="22"/>
        </w:rPr>
        <w:t>.</w:t>
      </w:r>
      <w:r w:rsidR="000C5997">
        <w:rPr>
          <w:rFonts w:ascii="Arial" w:hAnsi="Arial" w:cs="Arial"/>
          <w:sz w:val="22"/>
          <w:szCs w:val="22"/>
        </w:rPr>
        <w:t>8</w:t>
      </w:r>
      <w:r w:rsidR="001B00C9" w:rsidRPr="008174E3">
        <w:rPr>
          <w:rFonts w:ascii="Arial" w:hAnsi="Arial" w:cs="Arial"/>
          <w:sz w:val="22"/>
          <w:szCs w:val="22"/>
        </w:rPr>
        <w:t>00</w:t>
      </w:r>
      <w:r w:rsidR="00693EC5" w:rsidRPr="008174E3">
        <w:rPr>
          <w:rFonts w:ascii="Arial" w:hAnsi="Arial" w:cs="Arial"/>
          <w:sz w:val="22"/>
          <w:szCs w:val="22"/>
        </w:rPr>
        <w:t xml:space="preserve"> beneficiarios </w:t>
      </w:r>
      <w:r w:rsidR="001B00C9" w:rsidRPr="008174E3">
        <w:rPr>
          <w:rFonts w:ascii="Arial" w:hAnsi="Arial" w:cs="Arial"/>
          <w:sz w:val="22"/>
          <w:szCs w:val="22"/>
        </w:rPr>
        <w:t>obtendrían empleos formales</w:t>
      </w:r>
      <w:r w:rsidR="005D0A72" w:rsidRPr="008174E3">
        <w:rPr>
          <w:rFonts w:ascii="Arial" w:hAnsi="Arial" w:cs="Arial"/>
          <w:sz w:val="22"/>
          <w:szCs w:val="22"/>
        </w:rPr>
        <w:t xml:space="preserve"> y se estima un impacto asociado a formalidad de igual magnitud que el presentado en </w:t>
      </w:r>
      <w:r w:rsidR="00827E44" w:rsidRPr="008174E3">
        <w:rPr>
          <w:rFonts w:ascii="Arial" w:hAnsi="Arial" w:cs="Arial"/>
          <w:sz w:val="22"/>
          <w:szCs w:val="22"/>
        </w:rPr>
        <w:t>el Cuadro 2</w:t>
      </w:r>
      <w:r w:rsidR="005D0A72" w:rsidRPr="008174E3">
        <w:rPr>
          <w:rFonts w:ascii="Arial" w:hAnsi="Arial" w:cs="Arial"/>
          <w:sz w:val="22"/>
          <w:szCs w:val="22"/>
        </w:rPr>
        <w:t xml:space="preserve">. </w:t>
      </w:r>
    </w:p>
    <w:p w14:paraId="782DF953" w14:textId="77777777" w:rsidR="004E73EE" w:rsidRPr="008174E3" w:rsidRDefault="004E73EE" w:rsidP="004E73EE">
      <w:pPr>
        <w:pStyle w:val="ListParagraph"/>
        <w:rPr>
          <w:rFonts w:ascii="Arial" w:hAnsi="Arial" w:cs="Arial"/>
          <w:sz w:val="22"/>
          <w:szCs w:val="22"/>
        </w:rPr>
      </w:pPr>
    </w:p>
    <w:p w14:paraId="177773A8" w14:textId="77777777" w:rsidR="00F65A8C" w:rsidRPr="008174E3" w:rsidRDefault="00F65A8C" w:rsidP="00F65A8C">
      <w:pPr>
        <w:pStyle w:val="ListParagraph"/>
        <w:rPr>
          <w:rFonts w:ascii="Arial" w:hAnsi="Arial" w:cs="Arial"/>
          <w:sz w:val="22"/>
          <w:szCs w:val="22"/>
        </w:rPr>
      </w:pPr>
    </w:p>
    <w:p w14:paraId="5C9CBF7C" w14:textId="77777777" w:rsidR="0002042F" w:rsidRPr="008174E3" w:rsidRDefault="0002042F" w:rsidP="0002042F">
      <w:pPr>
        <w:pStyle w:val="ListParagraph"/>
        <w:numPr>
          <w:ilvl w:val="0"/>
          <w:numId w:val="7"/>
        </w:numPr>
        <w:spacing w:before="120"/>
        <w:ind w:left="0"/>
        <w:jc w:val="both"/>
        <w:rPr>
          <w:rFonts w:ascii="Arial" w:hAnsi="Arial" w:cs="Arial"/>
          <w:b/>
        </w:rPr>
      </w:pPr>
      <w:r w:rsidRPr="008174E3">
        <w:rPr>
          <w:rFonts w:ascii="Arial" w:hAnsi="Arial" w:cs="Arial"/>
          <w:b/>
        </w:rPr>
        <w:t>Costos Económicos</w:t>
      </w:r>
    </w:p>
    <w:p w14:paraId="046ACE85" w14:textId="77777777" w:rsidR="00996CED" w:rsidRPr="008174E3" w:rsidRDefault="00996CED" w:rsidP="00996CED">
      <w:pPr>
        <w:widowControl w:val="0"/>
        <w:autoSpaceDE w:val="0"/>
        <w:autoSpaceDN w:val="0"/>
        <w:adjustRightInd w:val="0"/>
        <w:spacing w:line="360" w:lineRule="auto"/>
        <w:jc w:val="both"/>
        <w:rPr>
          <w:rFonts w:ascii="Arial" w:hAnsi="Arial" w:cs="Arial"/>
          <w:color w:val="000000"/>
        </w:rPr>
      </w:pPr>
    </w:p>
    <w:p w14:paraId="108168F6" w14:textId="1474909D" w:rsidR="000A4AD4" w:rsidRPr="008174E3" w:rsidRDefault="00E053DD" w:rsidP="000A4AD4">
      <w:pPr>
        <w:pStyle w:val="ListParagraph"/>
        <w:numPr>
          <w:ilvl w:val="0"/>
          <w:numId w:val="8"/>
        </w:numPr>
        <w:autoSpaceDE w:val="0"/>
        <w:autoSpaceDN w:val="0"/>
        <w:adjustRightInd w:val="0"/>
        <w:ind w:left="0"/>
        <w:jc w:val="both"/>
        <w:rPr>
          <w:rFonts w:ascii="Arial" w:hAnsi="Arial" w:cs="Arial"/>
          <w:sz w:val="22"/>
          <w:szCs w:val="22"/>
        </w:rPr>
      </w:pPr>
      <w:r w:rsidRPr="008174E3">
        <w:rPr>
          <w:rFonts w:ascii="Arial" w:hAnsi="Arial" w:cs="Arial"/>
          <w:sz w:val="22"/>
          <w:szCs w:val="22"/>
        </w:rPr>
        <w:t xml:space="preserve">Para el análisis de costos del programa se </w:t>
      </w:r>
      <w:r w:rsidR="003840B0" w:rsidRPr="008174E3">
        <w:rPr>
          <w:rFonts w:ascii="Arial" w:hAnsi="Arial" w:cs="Arial"/>
          <w:sz w:val="22"/>
          <w:szCs w:val="22"/>
        </w:rPr>
        <w:t>considerarán</w:t>
      </w:r>
      <w:r w:rsidRPr="008174E3">
        <w:rPr>
          <w:rFonts w:ascii="Arial" w:hAnsi="Arial" w:cs="Arial"/>
          <w:sz w:val="22"/>
          <w:szCs w:val="22"/>
        </w:rPr>
        <w:t xml:space="preserve"> los costos directos </w:t>
      </w:r>
      <w:r w:rsidR="00AF2983" w:rsidRPr="008174E3">
        <w:rPr>
          <w:rFonts w:ascii="Arial" w:hAnsi="Arial" w:cs="Arial"/>
          <w:sz w:val="22"/>
          <w:szCs w:val="22"/>
        </w:rPr>
        <w:t xml:space="preserve">asociados a la </w:t>
      </w:r>
      <w:r w:rsidRPr="008174E3">
        <w:rPr>
          <w:rFonts w:ascii="Arial" w:hAnsi="Arial" w:cs="Arial"/>
          <w:sz w:val="22"/>
          <w:szCs w:val="22"/>
        </w:rPr>
        <w:t xml:space="preserve">operación y </w:t>
      </w:r>
      <w:r w:rsidR="00AF2983" w:rsidRPr="008174E3">
        <w:rPr>
          <w:rFonts w:ascii="Arial" w:hAnsi="Arial" w:cs="Arial"/>
          <w:sz w:val="22"/>
          <w:szCs w:val="22"/>
        </w:rPr>
        <w:t xml:space="preserve">los </w:t>
      </w:r>
      <w:r w:rsidRPr="008174E3">
        <w:rPr>
          <w:rFonts w:ascii="Arial" w:hAnsi="Arial" w:cs="Arial"/>
          <w:sz w:val="22"/>
          <w:szCs w:val="22"/>
        </w:rPr>
        <w:t xml:space="preserve">costos económicos relacionados </w:t>
      </w:r>
      <w:r w:rsidR="00AF2983" w:rsidRPr="008174E3">
        <w:rPr>
          <w:rFonts w:ascii="Arial" w:hAnsi="Arial" w:cs="Arial"/>
          <w:sz w:val="22"/>
          <w:szCs w:val="22"/>
        </w:rPr>
        <w:t xml:space="preserve">con </w:t>
      </w:r>
      <w:r w:rsidRPr="008174E3">
        <w:rPr>
          <w:rFonts w:ascii="Arial" w:hAnsi="Arial" w:cs="Arial"/>
          <w:sz w:val="22"/>
          <w:szCs w:val="22"/>
        </w:rPr>
        <w:t>la provisión del programa.</w:t>
      </w:r>
    </w:p>
    <w:p w14:paraId="4FA45206" w14:textId="77777777" w:rsidR="000A4AD4" w:rsidRPr="008174E3" w:rsidRDefault="000A4AD4" w:rsidP="000A4AD4">
      <w:pPr>
        <w:pStyle w:val="ListParagraph"/>
        <w:autoSpaceDE w:val="0"/>
        <w:autoSpaceDN w:val="0"/>
        <w:adjustRightInd w:val="0"/>
        <w:ind w:left="0"/>
        <w:jc w:val="both"/>
        <w:rPr>
          <w:rFonts w:ascii="Arial" w:hAnsi="Arial" w:cs="Arial"/>
          <w:sz w:val="22"/>
          <w:szCs w:val="22"/>
        </w:rPr>
      </w:pPr>
    </w:p>
    <w:p w14:paraId="6DEB93E8" w14:textId="37DC6D73" w:rsidR="006671FD" w:rsidRPr="008174E3" w:rsidRDefault="00E053DD" w:rsidP="00A01D5B">
      <w:pPr>
        <w:pStyle w:val="ListParagraph"/>
        <w:numPr>
          <w:ilvl w:val="0"/>
          <w:numId w:val="8"/>
        </w:numPr>
        <w:autoSpaceDE w:val="0"/>
        <w:autoSpaceDN w:val="0"/>
        <w:adjustRightInd w:val="0"/>
        <w:ind w:left="0"/>
        <w:jc w:val="both"/>
        <w:rPr>
          <w:rFonts w:ascii="Arial" w:hAnsi="Arial" w:cs="Arial"/>
          <w:sz w:val="22"/>
          <w:szCs w:val="22"/>
        </w:rPr>
      </w:pPr>
      <w:r w:rsidRPr="008174E3">
        <w:rPr>
          <w:rFonts w:ascii="Arial" w:hAnsi="Arial" w:cs="Arial"/>
          <w:sz w:val="22"/>
          <w:szCs w:val="22"/>
        </w:rPr>
        <w:t xml:space="preserve">En cuanto a los costos directos, se </w:t>
      </w:r>
      <w:r w:rsidR="003840B0" w:rsidRPr="008174E3">
        <w:rPr>
          <w:rFonts w:ascii="Arial" w:hAnsi="Arial" w:cs="Arial"/>
          <w:sz w:val="22"/>
          <w:szCs w:val="22"/>
        </w:rPr>
        <w:t xml:space="preserve">toma en cuenta los </w:t>
      </w:r>
      <w:r w:rsidRPr="008174E3">
        <w:rPr>
          <w:rFonts w:ascii="Arial" w:hAnsi="Arial" w:cs="Arial"/>
          <w:sz w:val="22"/>
          <w:szCs w:val="22"/>
        </w:rPr>
        <w:t xml:space="preserve">costos de operación </w:t>
      </w:r>
      <w:r w:rsidR="003840B0" w:rsidRPr="008174E3">
        <w:rPr>
          <w:rFonts w:ascii="Arial" w:hAnsi="Arial" w:cs="Arial"/>
          <w:sz w:val="22"/>
          <w:szCs w:val="22"/>
        </w:rPr>
        <w:t xml:space="preserve">de </w:t>
      </w:r>
      <w:r w:rsidR="00CC1718" w:rsidRPr="008174E3">
        <w:rPr>
          <w:rFonts w:ascii="Arial" w:hAnsi="Arial" w:cs="Arial"/>
          <w:sz w:val="22"/>
          <w:szCs w:val="22"/>
        </w:rPr>
        <w:t>US$</w:t>
      </w:r>
      <w:r w:rsidR="00B22345" w:rsidRPr="008174E3">
        <w:rPr>
          <w:rFonts w:ascii="Arial" w:hAnsi="Arial" w:cs="Arial"/>
          <w:sz w:val="22"/>
          <w:szCs w:val="22"/>
        </w:rPr>
        <w:t>16</w:t>
      </w:r>
      <w:r w:rsidR="00996CED" w:rsidRPr="008174E3">
        <w:rPr>
          <w:rFonts w:ascii="Arial" w:hAnsi="Arial" w:cs="Arial"/>
          <w:sz w:val="22"/>
          <w:szCs w:val="22"/>
        </w:rPr>
        <w:t>0 millones.</w:t>
      </w:r>
      <w:r w:rsidRPr="008174E3">
        <w:rPr>
          <w:rFonts w:ascii="Arial" w:hAnsi="Arial" w:cs="Arial"/>
          <w:sz w:val="22"/>
          <w:szCs w:val="22"/>
        </w:rPr>
        <w:t xml:space="preserve"> </w:t>
      </w:r>
      <w:r w:rsidR="00AF2983" w:rsidRPr="008174E3">
        <w:rPr>
          <w:rFonts w:ascii="Arial" w:hAnsi="Arial" w:cs="Arial"/>
          <w:sz w:val="22"/>
          <w:szCs w:val="22"/>
        </w:rPr>
        <w:t xml:space="preserve">Estos </w:t>
      </w:r>
      <w:r w:rsidRPr="008174E3">
        <w:rPr>
          <w:rFonts w:ascii="Arial" w:hAnsi="Arial" w:cs="Arial"/>
          <w:sz w:val="22"/>
          <w:szCs w:val="22"/>
        </w:rPr>
        <w:t xml:space="preserve">costos se dividen en costos relacionados con </w:t>
      </w:r>
      <w:r w:rsidR="00694AC9" w:rsidRPr="008174E3">
        <w:rPr>
          <w:rFonts w:ascii="Arial" w:hAnsi="Arial" w:cs="Arial"/>
          <w:sz w:val="22"/>
          <w:szCs w:val="22"/>
        </w:rPr>
        <w:t xml:space="preserve">el componente de fortalecimiento del SNE </w:t>
      </w:r>
      <w:r w:rsidR="00A777F0" w:rsidRPr="008174E3">
        <w:rPr>
          <w:rFonts w:ascii="Arial" w:hAnsi="Arial" w:cs="Arial"/>
          <w:sz w:val="22"/>
          <w:szCs w:val="22"/>
        </w:rPr>
        <w:t>por US</w:t>
      </w:r>
      <w:r w:rsidR="005376FF" w:rsidRPr="008174E3">
        <w:rPr>
          <w:rFonts w:ascii="Arial" w:hAnsi="Arial" w:cs="Arial"/>
          <w:sz w:val="22"/>
          <w:szCs w:val="22"/>
        </w:rPr>
        <w:t>$</w:t>
      </w:r>
      <w:r w:rsidR="000C5997">
        <w:rPr>
          <w:rFonts w:ascii="Arial" w:hAnsi="Arial" w:cs="Arial"/>
          <w:sz w:val="22"/>
          <w:szCs w:val="22"/>
        </w:rPr>
        <w:t>30</w:t>
      </w:r>
      <w:r w:rsidR="00262BE2" w:rsidRPr="008174E3">
        <w:rPr>
          <w:rStyle w:val="FootnoteReference"/>
          <w:rFonts w:ascii="Arial" w:hAnsi="Arial" w:cs="Arial"/>
          <w:sz w:val="22"/>
          <w:szCs w:val="22"/>
        </w:rPr>
        <w:footnoteReference w:id="25"/>
      </w:r>
      <w:r w:rsidR="00A777F0" w:rsidRPr="008174E3">
        <w:rPr>
          <w:rFonts w:ascii="Arial" w:hAnsi="Arial" w:cs="Arial"/>
          <w:sz w:val="22"/>
          <w:szCs w:val="22"/>
        </w:rPr>
        <w:t xml:space="preserve"> millones y los costos relacionados con el componente de </w:t>
      </w:r>
      <w:r w:rsidR="00262BE2" w:rsidRPr="008174E3">
        <w:rPr>
          <w:rFonts w:ascii="Arial" w:hAnsi="Arial" w:cs="Arial"/>
          <w:sz w:val="22"/>
          <w:szCs w:val="22"/>
        </w:rPr>
        <w:t>fortalecimiento del PAE por</w:t>
      </w:r>
      <w:r w:rsidR="00694AC9" w:rsidRPr="008174E3">
        <w:rPr>
          <w:rFonts w:ascii="Arial" w:hAnsi="Arial" w:cs="Arial"/>
          <w:sz w:val="22"/>
          <w:szCs w:val="22"/>
        </w:rPr>
        <w:t xml:space="preserve"> </w:t>
      </w:r>
      <w:r w:rsidR="00A777F0" w:rsidRPr="008174E3">
        <w:rPr>
          <w:rFonts w:ascii="Arial" w:hAnsi="Arial" w:cs="Arial"/>
          <w:sz w:val="22"/>
          <w:szCs w:val="22"/>
        </w:rPr>
        <w:t>US</w:t>
      </w:r>
      <w:r w:rsidR="00FB5B07" w:rsidRPr="008174E3">
        <w:rPr>
          <w:rFonts w:ascii="Arial" w:hAnsi="Arial" w:cs="Arial"/>
          <w:sz w:val="22"/>
          <w:szCs w:val="22"/>
        </w:rPr>
        <w:t>$</w:t>
      </w:r>
      <w:r w:rsidR="0075413D" w:rsidRPr="008174E3">
        <w:rPr>
          <w:rFonts w:ascii="Arial" w:hAnsi="Arial" w:cs="Arial"/>
          <w:sz w:val="22"/>
          <w:szCs w:val="22"/>
        </w:rPr>
        <w:t>13</w:t>
      </w:r>
      <w:r w:rsidR="000C5997">
        <w:rPr>
          <w:rFonts w:ascii="Arial" w:hAnsi="Arial" w:cs="Arial"/>
          <w:sz w:val="22"/>
          <w:szCs w:val="22"/>
        </w:rPr>
        <w:t>0</w:t>
      </w:r>
      <w:r w:rsidR="00FB5B07" w:rsidRPr="008174E3">
        <w:rPr>
          <w:rFonts w:ascii="Arial" w:hAnsi="Arial" w:cs="Arial"/>
          <w:sz w:val="22"/>
          <w:szCs w:val="22"/>
        </w:rPr>
        <w:t> </w:t>
      </w:r>
      <w:r w:rsidR="00A970EE" w:rsidRPr="008174E3">
        <w:rPr>
          <w:rFonts w:ascii="Arial" w:hAnsi="Arial" w:cs="Arial"/>
          <w:sz w:val="22"/>
          <w:szCs w:val="22"/>
        </w:rPr>
        <w:t>millones.</w:t>
      </w:r>
      <w:r w:rsidR="00E0720B" w:rsidRPr="008174E3">
        <w:rPr>
          <w:rFonts w:ascii="Arial" w:hAnsi="Arial" w:cs="Arial"/>
          <w:sz w:val="22"/>
          <w:szCs w:val="22"/>
        </w:rPr>
        <w:t xml:space="preserve"> Para el </w:t>
      </w:r>
      <w:r w:rsidR="00514377" w:rsidRPr="008174E3">
        <w:rPr>
          <w:rFonts w:ascii="Arial" w:hAnsi="Arial" w:cs="Arial"/>
          <w:sz w:val="22"/>
          <w:szCs w:val="22"/>
        </w:rPr>
        <w:t>cálculo</w:t>
      </w:r>
      <w:r w:rsidR="00E0720B" w:rsidRPr="008174E3">
        <w:rPr>
          <w:rFonts w:ascii="Arial" w:hAnsi="Arial" w:cs="Arial"/>
          <w:sz w:val="22"/>
          <w:szCs w:val="22"/>
        </w:rPr>
        <w:t xml:space="preserve"> del Valor Presente de los mismos, se define </w:t>
      </w:r>
      <w:r w:rsidR="00593E90" w:rsidRPr="008174E3">
        <w:rPr>
          <w:rFonts w:ascii="Arial" w:hAnsi="Arial" w:cs="Arial"/>
          <w:sz w:val="22"/>
          <w:szCs w:val="22"/>
        </w:rPr>
        <w:t xml:space="preserve">por simplicidad </w:t>
      </w:r>
      <w:r w:rsidR="00E0720B" w:rsidRPr="008174E3">
        <w:rPr>
          <w:rFonts w:ascii="Arial" w:hAnsi="Arial" w:cs="Arial"/>
          <w:sz w:val="22"/>
          <w:szCs w:val="22"/>
        </w:rPr>
        <w:t xml:space="preserve">un costo per </w:t>
      </w:r>
      <w:r w:rsidR="00514377" w:rsidRPr="008174E3">
        <w:rPr>
          <w:rFonts w:ascii="Arial" w:hAnsi="Arial" w:cs="Arial"/>
          <w:sz w:val="22"/>
          <w:szCs w:val="22"/>
        </w:rPr>
        <w:t>cápita</w:t>
      </w:r>
      <w:r w:rsidR="00E0720B" w:rsidRPr="008174E3">
        <w:rPr>
          <w:rFonts w:ascii="Arial" w:hAnsi="Arial" w:cs="Arial"/>
          <w:sz w:val="22"/>
          <w:szCs w:val="22"/>
        </w:rPr>
        <w:t xml:space="preserve"> </w:t>
      </w:r>
      <w:r w:rsidR="00112940" w:rsidRPr="008174E3">
        <w:rPr>
          <w:rFonts w:ascii="Arial" w:hAnsi="Arial" w:cs="Arial"/>
          <w:sz w:val="22"/>
          <w:szCs w:val="22"/>
        </w:rPr>
        <w:t xml:space="preserve">constante </w:t>
      </w:r>
      <w:r w:rsidR="001526B2" w:rsidRPr="008174E3">
        <w:rPr>
          <w:rFonts w:ascii="Arial" w:hAnsi="Arial" w:cs="Arial"/>
          <w:sz w:val="22"/>
          <w:szCs w:val="22"/>
        </w:rPr>
        <w:t xml:space="preserve">que </w:t>
      </w:r>
      <w:r w:rsidR="00E0720B" w:rsidRPr="008174E3">
        <w:rPr>
          <w:rFonts w:ascii="Arial" w:hAnsi="Arial" w:cs="Arial"/>
          <w:sz w:val="22"/>
          <w:szCs w:val="22"/>
        </w:rPr>
        <w:t xml:space="preserve">va </w:t>
      </w:r>
      <w:r w:rsidR="00514377" w:rsidRPr="008174E3">
        <w:rPr>
          <w:rFonts w:ascii="Arial" w:hAnsi="Arial" w:cs="Arial"/>
          <w:sz w:val="22"/>
          <w:szCs w:val="22"/>
        </w:rPr>
        <w:t>incrementándose</w:t>
      </w:r>
      <w:r w:rsidR="00E0720B" w:rsidRPr="008174E3">
        <w:rPr>
          <w:rFonts w:ascii="Arial" w:hAnsi="Arial" w:cs="Arial"/>
          <w:sz w:val="22"/>
          <w:szCs w:val="22"/>
        </w:rPr>
        <w:t xml:space="preserve"> en función al número de beneficiarios del programa.</w:t>
      </w:r>
      <w:r w:rsidR="006671FD" w:rsidRPr="008174E3">
        <w:rPr>
          <w:rFonts w:ascii="Arial" w:hAnsi="Arial" w:cs="Arial"/>
          <w:sz w:val="22"/>
          <w:szCs w:val="22"/>
        </w:rPr>
        <w:t xml:space="preserve"> </w:t>
      </w:r>
    </w:p>
    <w:p w14:paraId="39A746E1" w14:textId="77777777" w:rsidR="00CD604D" w:rsidRPr="008174E3" w:rsidRDefault="00CD604D" w:rsidP="00CD604D">
      <w:pPr>
        <w:pStyle w:val="ListParagraph"/>
        <w:rPr>
          <w:rFonts w:ascii="Arial" w:hAnsi="Arial" w:cs="Arial"/>
          <w:sz w:val="22"/>
          <w:szCs w:val="22"/>
        </w:rPr>
      </w:pPr>
    </w:p>
    <w:p w14:paraId="1080E7CB" w14:textId="7913245A" w:rsidR="00CD604D" w:rsidRPr="008174E3" w:rsidRDefault="00CD604D" w:rsidP="00796D46">
      <w:pPr>
        <w:pStyle w:val="ListParagraph"/>
        <w:numPr>
          <w:ilvl w:val="0"/>
          <w:numId w:val="8"/>
        </w:numPr>
        <w:autoSpaceDE w:val="0"/>
        <w:autoSpaceDN w:val="0"/>
        <w:adjustRightInd w:val="0"/>
        <w:ind w:left="0"/>
        <w:jc w:val="both"/>
        <w:rPr>
          <w:rFonts w:ascii="Arial" w:hAnsi="Arial" w:cs="Arial"/>
          <w:sz w:val="22"/>
          <w:szCs w:val="22"/>
        </w:rPr>
      </w:pPr>
      <w:r w:rsidRPr="008174E3">
        <w:rPr>
          <w:rFonts w:ascii="Arial" w:hAnsi="Arial" w:cs="Arial"/>
          <w:sz w:val="22"/>
          <w:szCs w:val="22"/>
        </w:rPr>
        <w:t xml:space="preserve">Un costo económico identificado con relación a los PAML se </w:t>
      </w:r>
      <w:r w:rsidR="00140CC3" w:rsidRPr="008174E3">
        <w:rPr>
          <w:rFonts w:ascii="Arial" w:hAnsi="Arial" w:cs="Arial"/>
          <w:sz w:val="22"/>
          <w:szCs w:val="22"/>
        </w:rPr>
        <w:t xml:space="preserve">explica por </w:t>
      </w:r>
      <w:r w:rsidRPr="008174E3">
        <w:rPr>
          <w:rFonts w:ascii="Arial" w:hAnsi="Arial" w:cs="Arial"/>
          <w:sz w:val="22"/>
          <w:szCs w:val="22"/>
        </w:rPr>
        <w:t>la presencia de un efecto desplazamiento</w:t>
      </w:r>
      <w:r w:rsidRPr="008174E3">
        <w:rPr>
          <w:rStyle w:val="FootnoteReference"/>
          <w:rFonts w:ascii="Arial" w:hAnsi="Arial" w:cs="Arial"/>
          <w:sz w:val="22"/>
          <w:szCs w:val="22"/>
        </w:rPr>
        <w:footnoteReference w:id="26"/>
      </w:r>
      <w:r w:rsidRPr="008174E3">
        <w:rPr>
          <w:rFonts w:ascii="Arial" w:hAnsi="Arial" w:cs="Arial"/>
          <w:sz w:val="22"/>
          <w:szCs w:val="22"/>
        </w:rPr>
        <w:t xml:space="preserve"> de beneficiarios del programa hacia no beneficiarios en el mercado laboral. La literatura económica estima los efectos desplazamiento de este tipo de políticas es escasa y presenta resultados heterogéneos. Para el caso de Francia, </w:t>
      </w:r>
      <w:bookmarkStart w:id="2" w:name="_Hlk482611232"/>
      <w:r w:rsidRPr="008174E3">
        <w:rPr>
          <w:rFonts w:ascii="Arial" w:hAnsi="Arial" w:cs="Arial"/>
          <w:sz w:val="22"/>
          <w:szCs w:val="22"/>
        </w:rPr>
        <w:t xml:space="preserve">Crépon et al. (2013) encuentran que los efectos positivos de la inserción laboral de los </w:t>
      </w:r>
      <w:r w:rsidR="001E1D66" w:rsidRPr="008174E3">
        <w:rPr>
          <w:rFonts w:ascii="Arial" w:hAnsi="Arial" w:cs="Arial"/>
          <w:sz w:val="22"/>
          <w:szCs w:val="22"/>
        </w:rPr>
        <w:t>beneficiarios</w:t>
      </w:r>
      <w:r w:rsidRPr="008174E3">
        <w:rPr>
          <w:rFonts w:ascii="Arial" w:hAnsi="Arial" w:cs="Arial"/>
          <w:sz w:val="22"/>
          <w:szCs w:val="22"/>
        </w:rPr>
        <w:t xml:space="preserve"> se obtienen a expensas de una disminución en las tasas de inserción de los no beneficiarios, teniendo en agregado un efecto neto nulo. </w:t>
      </w:r>
      <w:bookmarkEnd w:id="2"/>
      <w:r w:rsidRPr="008174E3">
        <w:rPr>
          <w:rFonts w:ascii="Arial" w:hAnsi="Arial" w:cs="Arial"/>
          <w:sz w:val="22"/>
          <w:szCs w:val="22"/>
        </w:rPr>
        <w:t>En contraste, Berniell &amp; de la Mata (</w:t>
      </w:r>
      <w:r w:rsidRPr="008174E3">
        <w:rPr>
          <w:rFonts w:ascii="Arial" w:hAnsi="Arial" w:cs="Arial"/>
          <w:i/>
          <w:sz w:val="22"/>
          <w:szCs w:val="22"/>
        </w:rPr>
        <w:t>forthcoming</w:t>
      </w:r>
      <w:r w:rsidRPr="008174E3">
        <w:rPr>
          <w:rFonts w:ascii="Arial" w:hAnsi="Arial" w:cs="Arial"/>
          <w:sz w:val="22"/>
          <w:szCs w:val="22"/>
        </w:rPr>
        <w:t xml:space="preserve">) aprovechando la asignación aleatoria de un programa en Argentina no encuentran evidencia de efecto desplazamiento. </w:t>
      </w:r>
      <w:bookmarkStart w:id="3" w:name="_GoBack"/>
      <w:bookmarkEnd w:id="3"/>
      <w:r w:rsidR="00A724EA">
        <w:rPr>
          <w:rFonts w:ascii="Arial" w:hAnsi="Arial" w:cs="Arial"/>
          <w:sz w:val="22"/>
          <w:szCs w:val="22"/>
        </w:rPr>
        <w:t>Por lo rec</w:t>
      </w:r>
      <w:r w:rsidR="0077014A">
        <w:rPr>
          <w:rFonts w:ascii="Arial" w:hAnsi="Arial" w:cs="Arial"/>
          <w:sz w:val="22"/>
          <w:szCs w:val="22"/>
        </w:rPr>
        <w:t>ié</w:t>
      </w:r>
      <w:r w:rsidR="00A724EA">
        <w:rPr>
          <w:rFonts w:ascii="Arial" w:hAnsi="Arial" w:cs="Arial"/>
          <w:sz w:val="22"/>
          <w:szCs w:val="22"/>
        </w:rPr>
        <w:t xml:space="preserve">n señalado, </w:t>
      </w:r>
      <w:r w:rsidRPr="008174E3">
        <w:rPr>
          <w:rFonts w:ascii="Arial" w:hAnsi="Arial" w:cs="Arial"/>
          <w:sz w:val="22"/>
          <w:szCs w:val="22"/>
        </w:rPr>
        <w:t xml:space="preserve">el </w:t>
      </w:r>
      <w:r w:rsidR="00A724EA">
        <w:rPr>
          <w:rFonts w:ascii="Arial" w:hAnsi="Arial" w:cs="Arial"/>
          <w:sz w:val="22"/>
          <w:szCs w:val="22"/>
        </w:rPr>
        <w:t xml:space="preserve">documento incluirá </w:t>
      </w:r>
      <w:r w:rsidRPr="008174E3">
        <w:rPr>
          <w:rFonts w:ascii="Arial" w:hAnsi="Arial" w:cs="Arial"/>
          <w:sz w:val="22"/>
          <w:szCs w:val="22"/>
        </w:rPr>
        <w:t>la presencia de un efecto desplazamient</w:t>
      </w:r>
      <w:r w:rsidR="00C50A79" w:rsidRPr="008174E3">
        <w:rPr>
          <w:rFonts w:ascii="Arial" w:hAnsi="Arial" w:cs="Arial"/>
          <w:sz w:val="22"/>
          <w:szCs w:val="22"/>
        </w:rPr>
        <w:t>o</w:t>
      </w:r>
      <w:r w:rsidR="00A724EA">
        <w:rPr>
          <w:rFonts w:ascii="Arial" w:hAnsi="Arial" w:cs="Arial"/>
          <w:sz w:val="22"/>
          <w:szCs w:val="22"/>
        </w:rPr>
        <w:t xml:space="preserve"> solamente</w:t>
      </w:r>
      <w:r w:rsidRPr="008174E3">
        <w:rPr>
          <w:rFonts w:ascii="Arial" w:hAnsi="Arial" w:cs="Arial"/>
          <w:sz w:val="22"/>
          <w:szCs w:val="22"/>
        </w:rPr>
        <w:t xml:space="preserve"> </w:t>
      </w:r>
      <w:r w:rsidR="00140CC3" w:rsidRPr="008174E3">
        <w:rPr>
          <w:rFonts w:ascii="Arial" w:hAnsi="Arial" w:cs="Arial"/>
          <w:sz w:val="22"/>
          <w:szCs w:val="22"/>
        </w:rPr>
        <w:t xml:space="preserve">en </w:t>
      </w:r>
      <w:r w:rsidRPr="008174E3">
        <w:rPr>
          <w:rFonts w:ascii="Arial" w:hAnsi="Arial" w:cs="Arial"/>
          <w:sz w:val="22"/>
          <w:szCs w:val="22"/>
        </w:rPr>
        <w:t xml:space="preserve">el análisis de sensibilidad </w:t>
      </w:r>
      <w:r w:rsidR="00C50A79" w:rsidRPr="008174E3">
        <w:rPr>
          <w:rFonts w:ascii="Arial" w:hAnsi="Arial" w:cs="Arial"/>
          <w:sz w:val="22"/>
          <w:szCs w:val="22"/>
        </w:rPr>
        <w:t>(</w:t>
      </w:r>
      <w:r w:rsidR="00FC686C" w:rsidRPr="008174E3">
        <w:rPr>
          <w:rFonts w:ascii="Arial" w:hAnsi="Arial" w:cs="Arial"/>
          <w:sz w:val="22"/>
          <w:szCs w:val="22"/>
        </w:rPr>
        <w:t>Cuadro </w:t>
      </w:r>
      <w:r w:rsidR="00A724EA">
        <w:rPr>
          <w:rFonts w:ascii="Arial" w:hAnsi="Arial" w:cs="Arial"/>
          <w:sz w:val="22"/>
          <w:szCs w:val="22"/>
        </w:rPr>
        <w:t>7</w:t>
      </w:r>
      <w:r w:rsidR="00C50A79" w:rsidRPr="008174E3">
        <w:rPr>
          <w:rFonts w:ascii="Arial" w:hAnsi="Arial" w:cs="Arial"/>
          <w:sz w:val="22"/>
          <w:szCs w:val="22"/>
        </w:rPr>
        <w:t>)</w:t>
      </w:r>
      <w:r w:rsidR="00A724EA">
        <w:rPr>
          <w:rFonts w:ascii="Arial" w:hAnsi="Arial" w:cs="Arial"/>
          <w:sz w:val="22"/>
          <w:szCs w:val="22"/>
        </w:rPr>
        <w:t xml:space="preserve">, mismo que se incluirá como </w:t>
      </w:r>
      <w:r w:rsidR="00424F19">
        <w:rPr>
          <w:rFonts w:ascii="Arial" w:hAnsi="Arial" w:cs="Arial"/>
          <w:sz w:val="22"/>
          <w:szCs w:val="22"/>
        </w:rPr>
        <w:t xml:space="preserve">el desplazamiento del </w:t>
      </w:r>
      <w:r w:rsidRPr="008174E3">
        <w:rPr>
          <w:rFonts w:ascii="Arial" w:hAnsi="Arial" w:cs="Arial"/>
          <w:sz w:val="22"/>
          <w:szCs w:val="22"/>
        </w:rPr>
        <w:t xml:space="preserve">50% de </w:t>
      </w:r>
      <w:r w:rsidRPr="008174E3">
        <w:rPr>
          <w:rFonts w:ascii="Arial" w:hAnsi="Arial" w:cs="Arial"/>
          <w:sz w:val="22"/>
          <w:szCs w:val="22"/>
        </w:rPr>
        <w:lastRenderedPageBreak/>
        <w:t>los beneficiarios que obtienen empleos formales</w:t>
      </w:r>
      <w:r w:rsidR="00424F19">
        <w:rPr>
          <w:rFonts w:ascii="Arial" w:hAnsi="Arial" w:cs="Arial"/>
          <w:sz w:val="22"/>
          <w:szCs w:val="22"/>
        </w:rPr>
        <w:t xml:space="preserve"> y</w:t>
      </w:r>
      <w:r w:rsidRPr="008174E3">
        <w:rPr>
          <w:rFonts w:ascii="Arial" w:hAnsi="Arial" w:cs="Arial"/>
          <w:sz w:val="22"/>
          <w:szCs w:val="22"/>
        </w:rPr>
        <w:t xml:space="preserve"> </w:t>
      </w:r>
      <w:r w:rsidR="00424F19">
        <w:rPr>
          <w:rFonts w:ascii="Arial" w:hAnsi="Arial" w:cs="Arial"/>
          <w:sz w:val="22"/>
          <w:szCs w:val="22"/>
        </w:rPr>
        <w:t xml:space="preserve">que </w:t>
      </w:r>
      <w:r w:rsidRPr="008174E3">
        <w:rPr>
          <w:rFonts w:ascii="Arial" w:hAnsi="Arial" w:cs="Arial"/>
          <w:sz w:val="22"/>
          <w:szCs w:val="22"/>
        </w:rPr>
        <w:t xml:space="preserve">solamente </w:t>
      </w:r>
      <w:r w:rsidR="00424F19">
        <w:rPr>
          <w:rFonts w:ascii="Arial" w:hAnsi="Arial" w:cs="Arial"/>
          <w:sz w:val="22"/>
          <w:szCs w:val="22"/>
        </w:rPr>
        <w:t xml:space="preserve">tiene impacto </w:t>
      </w:r>
      <w:r w:rsidRPr="008174E3">
        <w:rPr>
          <w:rFonts w:ascii="Arial" w:hAnsi="Arial" w:cs="Arial"/>
          <w:sz w:val="22"/>
          <w:szCs w:val="22"/>
        </w:rPr>
        <w:t>el primer año que cada cohorte de beneficiarios se incorpora en el mercado laboral.</w:t>
      </w:r>
    </w:p>
    <w:p w14:paraId="5B23CFF4" w14:textId="77777777" w:rsidR="006B253D" w:rsidRPr="008174E3" w:rsidRDefault="006B253D" w:rsidP="006B253D">
      <w:pPr>
        <w:pStyle w:val="ListParagraph"/>
        <w:rPr>
          <w:rFonts w:ascii="Arial" w:hAnsi="Arial" w:cs="Arial"/>
        </w:rPr>
      </w:pPr>
    </w:p>
    <w:p w14:paraId="51388FEE" w14:textId="4B9470C6" w:rsidR="006B253D" w:rsidRPr="008174E3" w:rsidRDefault="006B253D" w:rsidP="00B0718A">
      <w:pPr>
        <w:pStyle w:val="ListParagraph"/>
        <w:keepNext/>
        <w:numPr>
          <w:ilvl w:val="1"/>
          <w:numId w:val="7"/>
        </w:numPr>
        <w:spacing w:before="120"/>
        <w:jc w:val="both"/>
        <w:rPr>
          <w:rFonts w:ascii="Arial" w:hAnsi="Arial" w:cs="Arial"/>
          <w:b/>
        </w:rPr>
      </w:pPr>
      <w:r w:rsidRPr="008174E3">
        <w:rPr>
          <w:rFonts w:ascii="Arial" w:hAnsi="Arial" w:cs="Arial"/>
          <w:b/>
        </w:rPr>
        <w:t>Costos del componente de fortalecimiento del SNE</w:t>
      </w:r>
    </w:p>
    <w:p w14:paraId="0196226C" w14:textId="77777777" w:rsidR="006671FD" w:rsidRPr="008174E3" w:rsidRDefault="006671FD" w:rsidP="00B0718A">
      <w:pPr>
        <w:pStyle w:val="ListParagraph"/>
        <w:keepNext/>
        <w:rPr>
          <w:rFonts w:ascii="Arial" w:hAnsi="Arial" w:cs="Arial"/>
        </w:rPr>
      </w:pPr>
    </w:p>
    <w:p w14:paraId="19A8C506" w14:textId="6EDE6D07" w:rsidR="006B253D" w:rsidRPr="008174E3" w:rsidRDefault="006B253D" w:rsidP="00B0718A">
      <w:pPr>
        <w:pStyle w:val="ListParagraph"/>
        <w:keepNext/>
        <w:numPr>
          <w:ilvl w:val="0"/>
          <w:numId w:val="8"/>
        </w:numPr>
        <w:autoSpaceDE w:val="0"/>
        <w:autoSpaceDN w:val="0"/>
        <w:adjustRightInd w:val="0"/>
        <w:ind w:left="0"/>
        <w:jc w:val="both"/>
        <w:rPr>
          <w:rFonts w:ascii="Arial" w:hAnsi="Arial" w:cs="Arial"/>
          <w:sz w:val="22"/>
          <w:szCs w:val="22"/>
        </w:rPr>
      </w:pPr>
      <w:r w:rsidRPr="008174E3">
        <w:rPr>
          <w:rFonts w:ascii="Arial" w:hAnsi="Arial" w:cs="Arial"/>
          <w:sz w:val="22"/>
          <w:szCs w:val="22"/>
        </w:rPr>
        <w:t>Una característica de los programas de intermediación laboral es que estos programas tien</w:t>
      </w:r>
      <w:r w:rsidR="00631B98" w:rsidRPr="008174E3">
        <w:rPr>
          <w:rFonts w:ascii="Arial" w:hAnsi="Arial" w:cs="Arial"/>
          <w:sz w:val="22"/>
          <w:szCs w:val="22"/>
        </w:rPr>
        <w:t>d</w:t>
      </w:r>
      <w:r w:rsidRPr="008174E3">
        <w:rPr>
          <w:rFonts w:ascii="Arial" w:hAnsi="Arial" w:cs="Arial"/>
          <w:sz w:val="22"/>
          <w:szCs w:val="22"/>
        </w:rPr>
        <w:t xml:space="preserve">en a ser </w:t>
      </w:r>
      <w:r w:rsidR="005D0A72" w:rsidRPr="008174E3">
        <w:rPr>
          <w:rFonts w:ascii="Arial" w:hAnsi="Arial" w:cs="Arial"/>
          <w:sz w:val="22"/>
          <w:szCs w:val="22"/>
        </w:rPr>
        <w:t xml:space="preserve">mucho más </w:t>
      </w:r>
      <w:r w:rsidRPr="008174E3">
        <w:rPr>
          <w:rFonts w:ascii="Arial" w:hAnsi="Arial" w:cs="Arial"/>
          <w:sz w:val="22"/>
          <w:szCs w:val="22"/>
        </w:rPr>
        <w:t xml:space="preserve">baratos que los otros tipos de PAML en </w:t>
      </w:r>
      <w:r w:rsidR="00D66E96" w:rsidRPr="008174E3">
        <w:rPr>
          <w:rFonts w:ascii="Arial" w:hAnsi="Arial" w:cs="Arial"/>
          <w:sz w:val="22"/>
          <w:szCs w:val="22"/>
        </w:rPr>
        <w:t>términos</w:t>
      </w:r>
      <w:r w:rsidRPr="008174E3">
        <w:rPr>
          <w:rFonts w:ascii="Arial" w:hAnsi="Arial" w:cs="Arial"/>
          <w:sz w:val="22"/>
          <w:szCs w:val="22"/>
        </w:rPr>
        <w:t xml:space="preserve"> de costo por buscador de empleo atendido</w:t>
      </w:r>
      <w:r w:rsidR="005D0A72" w:rsidRPr="008174E3">
        <w:rPr>
          <w:rFonts w:ascii="Arial" w:hAnsi="Arial" w:cs="Arial"/>
          <w:sz w:val="22"/>
          <w:szCs w:val="22"/>
        </w:rPr>
        <w:t xml:space="preserve"> (Kluve, 2016 &amp; McKenzie, 201</w:t>
      </w:r>
      <w:r w:rsidR="00442FFB" w:rsidRPr="008174E3">
        <w:rPr>
          <w:rFonts w:ascii="Arial" w:hAnsi="Arial" w:cs="Arial"/>
          <w:sz w:val="22"/>
          <w:szCs w:val="22"/>
        </w:rPr>
        <w:t>7</w:t>
      </w:r>
      <w:r w:rsidR="005D0A72" w:rsidRPr="008174E3">
        <w:rPr>
          <w:rFonts w:ascii="Arial" w:hAnsi="Arial" w:cs="Arial"/>
          <w:sz w:val="22"/>
          <w:szCs w:val="22"/>
        </w:rPr>
        <w:t>)</w:t>
      </w:r>
      <w:r w:rsidRPr="008174E3">
        <w:rPr>
          <w:rFonts w:ascii="Arial" w:hAnsi="Arial" w:cs="Arial"/>
          <w:sz w:val="22"/>
          <w:szCs w:val="22"/>
        </w:rPr>
        <w:t xml:space="preserve">. </w:t>
      </w:r>
    </w:p>
    <w:p w14:paraId="6AA6F6B4" w14:textId="77777777" w:rsidR="006B253D" w:rsidRPr="008174E3" w:rsidRDefault="006B253D" w:rsidP="006B253D">
      <w:pPr>
        <w:pStyle w:val="ListParagraph"/>
        <w:autoSpaceDE w:val="0"/>
        <w:autoSpaceDN w:val="0"/>
        <w:adjustRightInd w:val="0"/>
        <w:ind w:left="0"/>
        <w:jc w:val="both"/>
        <w:rPr>
          <w:rFonts w:ascii="Arial" w:hAnsi="Arial" w:cs="Arial"/>
          <w:sz w:val="22"/>
          <w:szCs w:val="22"/>
        </w:rPr>
      </w:pPr>
    </w:p>
    <w:p w14:paraId="731743F1" w14:textId="22AF1632" w:rsidR="00694AC9" w:rsidRPr="008174E3" w:rsidRDefault="00A777F0" w:rsidP="00694AC9">
      <w:pPr>
        <w:pStyle w:val="ListParagraph"/>
        <w:numPr>
          <w:ilvl w:val="0"/>
          <w:numId w:val="8"/>
        </w:numPr>
        <w:autoSpaceDE w:val="0"/>
        <w:autoSpaceDN w:val="0"/>
        <w:adjustRightInd w:val="0"/>
        <w:ind w:left="0"/>
        <w:jc w:val="both"/>
        <w:rPr>
          <w:rFonts w:ascii="Arial" w:hAnsi="Arial" w:cs="Arial"/>
          <w:sz w:val="22"/>
          <w:szCs w:val="22"/>
        </w:rPr>
      </w:pPr>
      <w:r w:rsidRPr="008174E3">
        <w:rPr>
          <w:rFonts w:ascii="Arial" w:hAnsi="Arial" w:cs="Arial"/>
          <w:sz w:val="22"/>
          <w:szCs w:val="22"/>
        </w:rPr>
        <w:t xml:space="preserve">En cuanto a los </w:t>
      </w:r>
      <w:r w:rsidR="002D7856" w:rsidRPr="008174E3">
        <w:rPr>
          <w:rFonts w:ascii="Arial" w:hAnsi="Arial" w:cs="Arial"/>
          <w:sz w:val="22"/>
          <w:szCs w:val="22"/>
        </w:rPr>
        <w:t>costo</w:t>
      </w:r>
      <w:r w:rsidRPr="008174E3">
        <w:rPr>
          <w:rFonts w:ascii="Arial" w:hAnsi="Arial" w:cs="Arial"/>
          <w:sz w:val="22"/>
          <w:szCs w:val="22"/>
        </w:rPr>
        <w:t>s</w:t>
      </w:r>
      <w:r w:rsidR="002D7856" w:rsidRPr="008174E3">
        <w:rPr>
          <w:rFonts w:ascii="Arial" w:hAnsi="Arial" w:cs="Arial"/>
          <w:sz w:val="22"/>
          <w:szCs w:val="22"/>
        </w:rPr>
        <w:t xml:space="preserve"> económico</w:t>
      </w:r>
      <w:r w:rsidRPr="008174E3">
        <w:rPr>
          <w:rFonts w:ascii="Arial" w:hAnsi="Arial" w:cs="Arial"/>
          <w:sz w:val="22"/>
          <w:szCs w:val="22"/>
        </w:rPr>
        <w:t>s</w:t>
      </w:r>
      <w:r w:rsidR="00E56425" w:rsidRPr="008174E3">
        <w:rPr>
          <w:rFonts w:ascii="Arial" w:hAnsi="Arial" w:cs="Arial"/>
          <w:sz w:val="22"/>
          <w:szCs w:val="22"/>
        </w:rPr>
        <w:t xml:space="preserve"> </w:t>
      </w:r>
      <w:r w:rsidR="00424F19">
        <w:rPr>
          <w:rFonts w:ascii="Arial" w:hAnsi="Arial" w:cs="Arial"/>
          <w:sz w:val="22"/>
          <w:szCs w:val="22"/>
        </w:rPr>
        <w:t>de</w:t>
      </w:r>
      <w:r w:rsidR="00E56425" w:rsidRPr="008174E3">
        <w:rPr>
          <w:rFonts w:ascii="Arial" w:hAnsi="Arial" w:cs="Arial"/>
          <w:sz w:val="22"/>
          <w:szCs w:val="22"/>
        </w:rPr>
        <w:t xml:space="preserve">l proceso de intermediación </w:t>
      </w:r>
      <w:r w:rsidR="00694AC9" w:rsidRPr="008174E3">
        <w:rPr>
          <w:rFonts w:ascii="Arial" w:hAnsi="Arial" w:cs="Arial"/>
          <w:sz w:val="22"/>
          <w:szCs w:val="22"/>
        </w:rPr>
        <w:t>laboral</w:t>
      </w:r>
      <w:r w:rsidR="00E56425" w:rsidRPr="008174E3">
        <w:rPr>
          <w:rFonts w:ascii="Arial" w:hAnsi="Arial" w:cs="Arial"/>
          <w:sz w:val="22"/>
          <w:szCs w:val="22"/>
        </w:rPr>
        <w:t>,</w:t>
      </w:r>
      <w:r w:rsidR="002D7856" w:rsidRPr="008174E3">
        <w:rPr>
          <w:rFonts w:ascii="Arial" w:hAnsi="Arial" w:cs="Arial"/>
          <w:sz w:val="22"/>
          <w:szCs w:val="22"/>
        </w:rPr>
        <w:t xml:space="preserve"> se</w:t>
      </w:r>
      <w:r w:rsidR="002D063D" w:rsidRPr="008174E3">
        <w:rPr>
          <w:rFonts w:ascii="Arial" w:hAnsi="Arial" w:cs="Arial"/>
          <w:sz w:val="22"/>
          <w:szCs w:val="22"/>
        </w:rPr>
        <w:t xml:space="preserve"> asume </w:t>
      </w:r>
      <w:r w:rsidR="00424F19">
        <w:rPr>
          <w:rFonts w:ascii="Arial" w:hAnsi="Arial" w:cs="Arial"/>
          <w:sz w:val="22"/>
          <w:szCs w:val="22"/>
        </w:rPr>
        <w:t>que estos</w:t>
      </w:r>
      <w:r w:rsidR="00694AC9" w:rsidRPr="008174E3">
        <w:rPr>
          <w:rFonts w:ascii="Arial" w:hAnsi="Arial" w:cs="Arial"/>
          <w:sz w:val="22"/>
          <w:szCs w:val="22"/>
        </w:rPr>
        <w:t xml:space="preserve"> </w:t>
      </w:r>
      <w:r w:rsidR="00E56425" w:rsidRPr="008174E3">
        <w:rPr>
          <w:rFonts w:ascii="Arial" w:hAnsi="Arial" w:cs="Arial"/>
          <w:sz w:val="22"/>
          <w:szCs w:val="22"/>
        </w:rPr>
        <w:t xml:space="preserve">se </w:t>
      </w:r>
      <w:r w:rsidR="00424F19">
        <w:rPr>
          <w:rFonts w:ascii="Arial" w:hAnsi="Arial" w:cs="Arial"/>
          <w:sz w:val="22"/>
          <w:szCs w:val="22"/>
        </w:rPr>
        <w:t xml:space="preserve">explican por </w:t>
      </w:r>
      <w:r w:rsidR="00112940" w:rsidRPr="008174E3">
        <w:rPr>
          <w:rFonts w:ascii="Arial" w:hAnsi="Arial" w:cs="Arial"/>
          <w:sz w:val="22"/>
          <w:szCs w:val="22"/>
        </w:rPr>
        <w:t>l</w:t>
      </w:r>
      <w:r w:rsidR="00424F19">
        <w:rPr>
          <w:rFonts w:ascii="Arial" w:hAnsi="Arial" w:cs="Arial"/>
          <w:sz w:val="22"/>
          <w:szCs w:val="22"/>
        </w:rPr>
        <w:t>os</w:t>
      </w:r>
      <w:r w:rsidR="00112940" w:rsidRPr="008174E3">
        <w:rPr>
          <w:rFonts w:ascii="Arial" w:hAnsi="Arial" w:cs="Arial"/>
          <w:sz w:val="22"/>
          <w:szCs w:val="22"/>
        </w:rPr>
        <w:t xml:space="preserve"> costo</w:t>
      </w:r>
      <w:r w:rsidR="00424F19">
        <w:rPr>
          <w:rFonts w:ascii="Arial" w:hAnsi="Arial" w:cs="Arial"/>
          <w:sz w:val="22"/>
          <w:szCs w:val="22"/>
        </w:rPr>
        <w:t>s</w:t>
      </w:r>
      <w:r w:rsidR="00112940" w:rsidRPr="008174E3">
        <w:rPr>
          <w:rFonts w:ascii="Arial" w:hAnsi="Arial" w:cs="Arial"/>
          <w:sz w:val="22"/>
          <w:szCs w:val="22"/>
        </w:rPr>
        <w:t xml:space="preserve"> </w:t>
      </w:r>
      <w:r w:rsidR="00424F19">
        <w:rPr>
          <w:rFonts w:ascii="Arial" w:hAnsi="Arial" w:cs="Arial"/>
          <w:sz w:val="22"/>
          <w:szCs w:val="22"/>
        </w:rPr>
        <w:t xml:space="preserve">asociados a la </w:t>
      </w:r>
      <w:r w:rsidR="009627BC" w:rsidRPr="008174E3">
        <w:rPr>
          <w:rFonts w:ascii="Arial" w:hAnsi="Arial" w:cs="Arial"/>
          <w:sz w:val="22"/>
          <w:szCs w:val="22"/>
        </w:rPr>
        <w:t>recolección</w:t>
      </w:r>
      <w:r w:rsidR="00E56425" w:rsidRPr="008174E3">
        <w:rPr>
          <w:rFonts w:ascii="Arial" w:hAnsi="Arial" w:cs="Arial"/>
          <w:sz w:val="22"/>
          <w:szCs w:val="22"/>
        </w:rPr>
        <w:t xml:space="preserve"> de información</w:t>
      </w:r>
      <w:r w:rsidR="00424F19">
        <w:rPr>
          <w:rFonts w:ascii="Arial" w:hAnsi="Arial" w:cs="Arial"/>
          <w:sz w:val="22"/>
          <w:szCs w:val="22"/>
        </w:rPr>
        <w:t>,</w:t>
      </w:r>
      <w:r w:rsidR="00E56425" w:rsidRPr="008174E3">
        <w:rPr>
          <w:rFonts w:ascii="Arial" w:hAnsi="Arial" w:cs="Arial"/>
          <w:sz w:val="22"/>
          <w:szCs w:val="22"/>
        </w:rPr>
        <w:t xml:space="preserve"> al tiempo que </w:t>
      </w:r>
      <w:r w:rsidR="00424F19">
        <w:rPr>
          <w:rFonts w:ascii="Arial" w:hAnsi="Arial" w:cs="Arial"/>
          <w:sz w:val="22"/>
          <w:szCs w:val="22"/>
        </w:rPr>
        <w:t xml:space="preserve">el buscador de empleo </w:t>
      </w:r>
      <w:r w:rsidR="00E56425" w:rsidRPr="008174E3">
        <w:rPr>
          <w:rFonts w:ascii="Arial" w:hAnsi="Arial" w:cs="Arial"/>
          <w:sz w:val="22"/>
          <w:szCs w:val="22"/>
        </w:rPr>
        <w:t>pasa en las oficinas</w:t>
      </w:r>
      <w:r w:rsidR="005D0A72" w:rsidRPr="008174E3">
        <w:rPr>
          <w:rFonts w:ascii="Arial" w:hAnsi="Arial" w:cs="Arial"/>
          <w:sz w:val="22"/>
          <w:szCs w:val="22"/>
        </w:rPr>
        <w:t xml:space="preserve"> de empleo</w:t>
      </w:r>
      <w:r w:rsidR="00424F19">
        <w:rPr>
          <w:rFonts w:ascii="Arial" w:hAnsi="Arial" w:cs="Arial"/>
          <w:sz w:val="22"/>
          <w:szCs w:val="22"/>
        </w:rPr>
        <w:t xml:space="preserve"> y el tiempo asociado a atender las entrevistas de trabajo que obtiene</w:t>
      </w:r>
      <w:r w:rsidR="00E56425" w:rsidRPr="008174E3">
        <w:rPr>
          <w:rFonts w:ascii="Arial" w:hAnsi="Arial" w:cs="Arial"/>
          <w:sz w:val="22"/>
          <w:szCs w:val="22"/>
        </w:rPr>
        <w:t>.</w:t>
      </w:r>
      <w:r w:rsidR="00BD1530" w:rsidRPr="008174E3">
        <w:rPr>
          <w:rFonts w:ascii="Arial" w:hAnsi="Arial" w:cs="Arial"/>
          <w:sz w:val="22"/>
          <w:szCs w:val="22"/>
        </w:rPr>
        <w:t xml:space="preserve"> </w:t>
      </w:r>
      <w:r w:rsidR="00424F19">
        <w:rPr>
          <w:rFonts w:ascii="Arial" w:hAnsi="Arial" w:cs="Arial"/>
          <w:sz w:val="22"/>
          <w:szCs w:val="22"/>
        </w:rPr>
        <w:t>Por simplicidad, s</w:t>
      </w:r>
      <w:r w:rsidR="00BD1530" w:rsidRPr="008174E3">
        <w:rPr>
          <w:rFonts w:ascii="Arial" w:hAnsi="Arial" w:cs="Arial"/>
          <w:sz w:val="22"/>
          <w:szCs w:val="22"/>
        </w:rPr>
        <w:t xml:space="preserve">e asume que el costo de oportunidad equivale a </w:t>
      </w:r>
      <w:r w:rsidR="006C614B" w:rsidRPr="008174E3">
        <w:rPr>
          <w:rFonts w:ascii="Arial" w:hAnsi="Arial" w:cs="Arial"/>
          <w:sz w:val="22"/>
          <w:szCs w:val="22"/>
        </w:rPr>
        <w:t xml:space="preserve">la </w:t>
      </w:r>
      <w:r w:rsidR="0078661C" w:rsidRPr="008174E3">
        <w:rPr>
          <w:rFonts w:ascii="Arial" w:hAnsi="Arial" w:cs="Arial"/>
          <w:sz w:val="22"/>
          <w:szCs w:val="22"/>
        </w:rPr>
        <w:t>pérdida</w:t>
      </w:r>
      <w:r w:rsidR="006C614B" w:rsidRPr="008174E3">
        <w:rPr>
          <w:rFonts w:ascii="Arial" w:hAnsi="Arial" w:cs="Arial"/>
          <w:sz w:val="22"/>
          <w:szCs w:val="22"/>
        </w:rPr>
        <w:t xml:space="preserve"> de </w:t>
      </w:r>
      <w:r w:rsidR="00CD604D" w:rsidRPr="008174E3">
        <w:rPr>
          <w:rFonts w:ascii="Arial" w:hAnsi="Arial" w:cs="Arial"/>
          <w:sz w:val="22"/>
          <w:szCs w:val="22"/>
        </w:rPr>
        <w:t xml:space="preserve">dos </w:t>
      </w:r>
      <w:r w:rsidR="00BD1530" w:rsidRPr="008174E3">
        <w:rPr>
          <w:rFonts w:ascii="Arial" w:hAnsi="Arial" w:cs="Arial"/>
          <w:sz w:val="22"/>
          <w:szCs w:val="22"/>
        </w:rPr>
        <w:t>día</w:t>
      </w:r>
      <w:r w:rsidR="00CD604D" w:rsidRPr="008174E3">
        <w:rPr>
          <w:rFonts w:ascii="Arial" w:hAnsi="Arial" w:cs="Arial"/>
          <w:sz w:val="22"/>
          <w:szCs w:val="22"/>
        </w:rPr>
        <w:t>s</w:t>
      </w:r>
      <w:r w:rsidR="00112940" w:rsidRPr="008174E3">
        <w:rPr>
          <w:rFonts w:ascii="Arial" w:hAnsi="Arial" w:cs="Arial"/>
          <w:sz w:val="22"/>
          <w:szCs w:val="22"/>
        </w:rPr>
        <w:t xml:space="preserve"> </w:t>
      </w:r>
      <w:r w:rsidR="00424F19">
        <w:rPr>
          <w:rFonts w:ascii="Arial" w:hAnsi="Arial" w:cs="Arial"/>
          <w:sz w:val="22"/>
          <w:szCs w:val="22"/>
        </w:rPr>
        <w:t>de trabajo (</w:t>
      </w:r>
      <w:r w:rsidR="00694AC9" w:rsidRPr="008174E3">
        <w:rPr>
          <w:rFonts w:ascii="Arial" w:hAnsi="Arial" w:cs="Arial"/>
          <w:sz w:val="22"/>
          <w:szCs w:val="22"/>
        </w:rPr>
        <w:t>US</w:t>
      </w:r>
      <w:r w:rsidR="005376FF" w:rsidRPr="008174E3">
        <w:rPr>
          <w:rFonts w:ascii="Arial" w:hAnsi="Arial" w:cs="Arial"/>
          <w:sz w:val="22"/>
          <w:szCs w:val="22"/>
        </w:rPr>
        <w:t>$</w:t>
      </w:r>
      <w:r w:rsidR="00CD604D" w:rsidRPr="008174E3">
        <w:rPr>
          <w:rFonts w:ascii="Arial" w:hAnsi="Arial" w:cs="Arial"/>
          <w:sz w:val="22"/>
          <w:szCs w:val="22"/>
        </w:rPr>
        <w:t>3</w:t>
      </w:r>
      <w:r w:rsidR="00112940" w:rsidRPr="008174E3">
        <w:rPr>
          <w:rFonts w:ascii="Arial" w:hAnsi="Arial" w:cs="Arial"/>
          <w:sz w:val="22"/>
          <w:szCs w:val="22"/>
        </w:rPr>
        <w:t>1</w:t>
      </w:r>
      <w:r w:rsidR="00CD604D" w:rsidRPr="008174E3">
        <w:rPr>
          <w:rFonts w:ascii="Arial" w:hAnsi="Arial" w:cs="Arial"/>
          <w:sz w:val="22"/>
          <w:szCs w:val="22"/>
        </w:rPr>
        <w:t xml:space="preserve"> para hombres y US</w:t>
      </w:r>
      <w:r w:rsidR="005376FF" w:rsidRPr="008174E3">
        <w:rPr>
          <w:rFonts w:ascii="Arial" w:hAnsi="Arial" w:cs="Arial"/>
          <w:sz w:val="22"/>
          <w:szCs w:val="22"/>
        </w:rPr>
        <w:t>$</w:t>
      </w:r>
      <w:r w:rsidR="00CD604D" w:rsidRPr="008174E3">
        <w:rPr>
          <w:rFonts w:ascii="Arial" w:hAnsi="Arial" w:cs="Arial"/>
          <w:sz w:val="22"/>
          <w:szCs w:val="22"/>
        </w:rPr>
        <w:t>2</w:t>
      </w:r>
      <w:r w:rsidR="00262BE2" w:rsidRPr="008174E3">
        <w:rPr>
          <w:rFonts w:ascii="Arial" w:hAnsi="Arial" w:cs="Arial"/>
          <w:sz w:val="22"/>
          <w:szCs w:val="22"/>
        </w:rPr>
        <w:t>2</w:t>
      </w:r>
      <w:r w:rsidR="00CD604D" w:rsidRPr="008174E3">
        <w:rPr>
          <w:rFonts w:ascii="Arial" w:hAnsi="Arial" w:cs="Arial"/>
          <w:sz w:val="22"/>
          <w:szCs w:val="22"/>
        </w:rPr>
        <w:t xml:space="preserve"> para mujeres</w:t>
      </w:r>
      <w:r w:rsidR="00424F19">
        <w:rPr>
          <w:rFonts w:ascii="Arial" w:hAnsi="Arial" w:cs="Arial"/>
          <w:sz w:val="22"/>
          <w:szCs w:val="22"/>
        </w:rPr>
        <w:t>)</w:t>
      </w:r>
      <w:r w:rsidR="002C3066" w:rsidRPr="008174E3">
        <w:rPr>
          <w:rFonts w:ascii="Arial" w:hAnsi="Arial" w:cs="Arial"/>
          <w:sz w:val="22"/>
          <w:szCs w:val="22"/>
        </w:rPr>
        <w:t xml:space="preserve"> y </w:t>
      </w:r>
      <w:r w:rsidR="00691DDB" w:rsidRPr="008174E3">
        <w:rPr>
          <w:rFonts w:ascii="Arial" w:hAnsi="Arial" w:cs="Arial"/>
          <w:sz w:val="22"/>
          <w:szCs w:val="22"/>
        </w:rPr>
        <w:t xml:space="preserve">que este costo </w:t>
      </w:r>
      <w:r w:rsidR="00E0720B" w:rsidRPr="008174E3">
        <w:rPr>
          <w:rFonts w:ascii="Arial" w:hAnsi="Arial" w:cs="Arial"/>
          <w:sz w:val="22"/>
          <w:szCs w:val="22"/>
        </w:rPr>
        <w:t xml:space="preserve">económico </w:t>
      </w:r>
      <w:r w:rsidR="00691DDB" w:rsidRPr="008174E3">
        <w:rPr>
          <w:rFonts w:ascii="Arial" w:hAnsi="Arial" w:cs="Arial"/>
          <w:sz w:val="22"/>
          <w:szCs w:val="22"/>
        </w:rPr>
        <w:t xml:space="preserve">se </w:t>
      </w:r>
      <w:r w:rsidR="00424F19">
        <w:rPr>
          <w:rFonts w:ascii="Arial" w:hAnsi="Arial" w:cs="Arial"/>
          <w:sz w:val="22"/>
          <w:szCs w:val="22"/>
        </w:rPr>
        <w:t xml:space="preserve">efectiviza </w:t>
      </w:r>
      <w:r w:rsidR="00E0720B" w:rsidRPr="008174E3">
        <w:rPr>
          <w:rFonts w:ascii="Arial" w:hAnsi="Arial" w:cs="Arial"/>
          <w:sz w:val="22"/>
          <w:szCs w:val="22"/>
        </w:rPr>
        <w:t xml:space="preserve">al momento de </w:t>
      </w:r>
      <w:r w:rsidR="00691DDB" w:rsidRPr="008174E3">
        <w:rPr>
          <w:rFonts w:ascii="Arial" w:hAnsi="Arial" w:cs="Arial"/>
          <w:sz w:val="22"/>
          <w:szCs w:val="22"/>
        </w:rPr>
        <w:t>la intermediación laboral</w:t>
      </w:r>
      <w:r w:rsidR="00424F19">
        <w:rPr>
          <w:rFonts w:ascii="Arial" w:hAnsi="Arial" w:cs="Arial"/>
          <w:sz w:val="22"/>
          <w:szCs w:val="22"/>
        </w:rPr>
        <w:t xml:space="preserve"> (t=0)</w:t>
      </w:r>
      <w:r w:rsidR="00691DDB" w:rsidRPr="008174E3">
        <w:rPr>
          <w:rFonts w:ascii="Arial" w:hAnsi="Arial" w:cs="Arial"/>
          <w:sz w:val="22"/>
          <w:szCs w:val="22"/>
        </w:rPr>
        <w:t>.</w:t>
      </w:r>
    </w:p>
    <w:p w14:paraId="3503A84B" w14:textId="77777777" w:rsidR="006B253D" w:rsidRPr="008174E3" w:rsidRDefault="006B253D" w:rsidP="006B253D">
      <w:pPr>
        <w:pStyle w:val="ListParagraph"/>
        <w:autoSpaceDE w:val="0"/>
        <w:autoSpaceDN w:val="0"/>
        <w:adjustRightInd w:val="0"/>
        <w:ind w:left="0"/>
        <w:jc w:val="both"/>
        <w:rPr>
          <w:rFonts w:ascii="Arial" w:hAnsi="Arial" w:cs="Arial"/>
        </w:rPr>
      </w:pPr>
    </w:p>
    <w:p w14:paraId="3C5E7008" w14:textId="153FA594" w:rsidR="00694AC9" w:rsidRPr="008174E3" w:rsidRDefault="006B253D" w:rsidP="006B253D">
      <w:pPr>
        <w:pStyle w:val="ListParagraph"/>
        <w:numPr>
          <w:ilvl w:val="1"/>
          <w:numId w:val="7"/>
        </w:numPr>
        <w:spacing w:before="120"/>
        <w:jc w:val="both"/>
        <w:rPr>
          <w:rFonts w:ascii="Arial" w:hAnsi="Arial" w:cs="Arial"/>
          <w:b/>
        </w:rPr>
      </w:pPr>
      <w:r w:rsidRPr="008174E3">
        <w:rPr>
          <w:rFonts w:ascii="Arial" w:hAnsi="Arial" w:cs="Arial"/>
          <w:b/>
        </w:rPr>
        <w:t>Costos del componente de fortalecimiento de</w:t>
      </w:r>
      <w:r w:rsidR="00442FFB" w:rsidRPr="008174E3">
        <w:rPr>
          <w:rFonts w:ascii="Arial" w:hAnsi="Arial" w:cs="Arial"/>
          <w:b/>
        </w:rPr>
        <w:t>l</w:t>
      </w:r>
      <w:r w:rsidRPr="008174E3">
        <w:rPr>
          <w:rFonts w:ascii="Arial" w:hAnsi="Arial" w:cs="Arial"/>
          <w:b/>
        </w:rPr>
        <w:t xml:space="preserve"> </w:t>
      </w:r>
      <w:r w:rsidR="00F01191" w:rsidRPr="008174E3">
        <w:rPr>
          <w:rFonts w:ascii="Arial" w:hAnsi="Arial" w:cs="Arial"/>
          <w:b/>
        </w:rPr>
        <w:t>PAE</w:t>
      </w:r>
    </w:p>
    <w:p w14:paraId="11DB2847" w14:textId="77777777" w:rsidR="006B253D" w:rsidRPr="008174E3" w:rsidRDefault="006B253D" w:rsidP="006B253D">
      <w:pPr>
        <w:pStyle w:val="ListParagraph"/>
        <w:rPr>
          <w:rFonts w:ascii="Arial" w:hAnsi="Arial" w:cs="Arial"/>
        </w:rPr>
      </w:pPr>
    </w:p>
    <w:p w14:paraId="0B60E87C" w14:textId="65B0D68E" w:rsidR="005D0A72" w:rsidRPr="008174E3" w:rsidRDefault="005D0A72" w:rsidP="000460A4">
      <w:pPr>
        <w:pStyle w:val="ListParagraph"/>
        <w:numPr>
          <w:ilvl w:val="0"/>
          <w:numId w:val="8"/>
        </w:numPr>
        <w:autoSpaceDE w:val="0"/>
        <w:autoSpaceDN w:val="0"/>
        <w:adjustRightInd w:val="0"/>
        <w:ind w:left="0"/>
        <w:jc w:val="both"/>
        <w:rPr>
          <w:rFonts w:ascii="Arial" w:hAnsi="Arial" w:cs="Arial"/>
          <w:sz w:val="22"/>
          <w:szCs w:val="22"/>
        </w:rPr>
      </w:pPr>
      <w:r w:rsidRPr="008174E3">
        <w:rPr>
          <w:rFonts w:ascii="Arial" w:hAnsi="Arial" w:cs="Arial"/>
          <w:sz w:val="22"/>
          <w:szCs w:val="22"/>
        </w:rPr>
        <w:t xml:space="preserve">Este tipo de programas tiene efectos relacionados con el tiempo que le toma al </w:t>
      </w:r>
      <w:r w:rsidR="00D66E96" w:rsidRPr="008174E3">
        <w:rPr>
          <w:rFonts w:ascii="Arial" w:hAnsi="Arial" w:cs="Arial"/>
          <w:sz w:val="22"/>
          <w:szCs w:val="22"/>
        </w:rPr>
        <w:t>buscador</w:t>
      </w:r>
      <w:r w:rsidRPr="008174E3">
        <w:rPr>
          <w:rFonts w:ascii="Arial" w:hAnsi="Arial" w:cs="Arial"/>
          <w:sz w:val="22"/>
          <w:szCs w:val="22"/>
        </w:rPr>
        <w:t xml:space="preserve"> de empleo asistir a los programas de entrenamiento, por lo que la literatura ha identificado efectos negativos en la probabilidad de empleo en el corto plazo –</w:t>
      </w:r>
      <w:r w:rsidRPr="008174E3">
        <w:rPr>
          <w:rFonts w:ascii="Arial" w:hAnsi="Arial" w:cs="Arial"/>
          <w:i/>
          <w:sz w:val="22"/>
          <w:szCs w:val="22"/>
        </w:rPr>
        <w:t>lock-in effect</w:t>
      </w:r>
      <w:r w:rsidR="00424F19">
        <w:rPr>
          <w:rFonts w:ascii="Arial" w:hAnsi="Arial" w:cs="Arial"/>
          <w:i/>
          <w:sz w:val="22"/>
          <w:szCs w:val="22"/>
        </w:rPr>
        <w:t xml:space="preserve">- </w:t>
      </w:r>
      <w:r w:rsidRPr="008174E3">
        <w:rPr>
          <w:rFonts w:ascii="Arial" w:hAnsi="Arial" w:cs="Arial"/>
          <w:sz w:val="22"/>
          <w:szCs w:val="22"/>
        </w:rPr>
        <w:t xml:space="preserve">(Kluve, 2016). </w:t>
      </w:r>
      <w:r w:rsidR="009D4A52" w:rsidRPr="008174E3">
        <w:rPr>
          <w:rFonts w:ascii="Arial" w:hAnsi="Arial" w:cs="Arial"/>
          <w:sz w:val="22"/>
          <w:szCs w:val="22"/>
        </w:rPr>
        <w:t>La posibilidad de efectos desplazamiento son menores en este tipo de programas, aunque los costos por trabajador son medios o altos (Kluve,2016).</w:t>
      </w:r>
    </w:p>
    <w:p w14:paraId="35DE874F" w14:textId="77777777" w:rsidR="009D4A52" w:rsidRPr="008174E3" w:rsidRDefault="009D4A52" w:rsidP="009D4A52">
      <w:pPr>
        <w:pStyle w:val="ListParagraph"/>
        <w:autoSpaceDE w:val="0"/>
        <w:autoSpaceDN w:val="0"/>
        <w:adjustRightInd w:val="0"/>
        <w:ind w:left="0"/>
        <w:jc w:val="both"/>
        <w:rPr>
          <w:rFonts w:ascii="Arial" w:hAnsi="Arial" w:cs="Arial"/>
          <w:sz w:val="22"/>
          <w:szCs w:val="22"/>
        </w:rPr>
      </w:pPr>
    </w:p>
    <w:p w14:paraId="48371807" w14:textId="759E183F" w:rsidR="002D063D" w:rsidRPr="008174E3" w:rsidRDefault="002D7856" w:rsidP="00796D46">
      <w:pPr>
        <w:pStyle w:val="ListParagraph"/>
        <w:numPr>
          <w:ilvl w:val="0"/>
          <w:numId w:val="8"/>
        </w:numPr>
        <w:autoSpaceDE w:val="0"/>
        <w:autoSpaceDN w:val="0"/>
        <w:adjustRightInd w:val="0"/>
        <w:ind w:left="0"/>
        <w:jc w:val="both"/>
        <w:rPr>
          <w:rFonts w:ascii="Arial" w:hAnsi="Arial" w:cs="Arial"/>
          <w:sz w:val="22"/>
          <w:szCs w:val="22"/>
        </w:rPr>
      </w:pPr>
      <w:r w:rsidRPr="008174E3">
        <w:rPr>
          <w:rFonts w:ascii="Arial" w:hAnsi="Arial" w:cs="Arial"/>
          <w:sz w:val="22"/>
          <w:szCs w:val="22"/>
        </w:rPr>
        <w:t>Para aquellos busca</w:t>
      </w:r>
      <w:r w:rsidR="005565DE" w:rsidRPr="008174E3">
        <w:rPr>
          <w:rFonts w:ascii="Arial" w:hAnsi="Arial" w:cs="Arial"/>
          <w:sz w:val="22"/>
          <w:szCs w:val="22"/>
        </w:rPr>
        <w:t xml:space="preserve">dores de empleo que </w:t>
      </w:r>
      <w:r w:rsidRPr="008174E3">
        <w:rPr>
          <w:rFonts w:ascii="Arial" w:hAnsi="Arial" w:cs="Arial"/>
          <w:sz w:val="22"/>
          <w:szCs w:val="22"/>
        </w:rPr>
        <w:t xml:space="preserve">son beneficiarios de </w:t>
      </w:r>
      <w:r w:rsidR="00694AC9" w:rsidRPr="008174E3">
        <w:rPr>
          <w:rFonts w:ascii="Arial" w:hAnsi="Arial" w:cs="Arial"/>
          <w:sz w:val="22"/>
          <w:szCs w:val="22"/>
        </w:rPr>
        <w:t xml:space="preserve">los </w:t>
      </w:r>
      <w:r w:rsidR="00D66E96" w:rsidRPr="008174E3">
        <w:rPr>
          <w:rFonts w:ascii="Arial" w:hAnsi="Arial" w:cs="Arial"/>
          <w:sz w:val="22"/>
          <w:szCs w:val="22"/>
        </w:rPr>
        <w:t>programas</w:t>
      </w:r>
      <w:r w:rsidR="00694AC9" w:rsidRPr="008174E3">
        <w:rPr>
          <w:rFonts w:ascii="Arial" w:hAnsi="Arial" w:cs="Arial"/>
          <w:sz w:val="22"/>
          <w:szCs w:val="22"/>
        </w:rPr>
        <w:t xml:space="preserve"> de </w:t>
      </w:r>
      <w:r w:rsidR="000460A4" w:rsidRPr="008174E3">
        <w:rPr>
          <w:rFonts w:ascii="Arial" w:hAnsi="Arial" w:cs="Arial"/>
          <w:sz w:val="22"/>
          <w:szCs w:val="22"/>
        </w:rPr>
        <w:t>formación de habilidades</w:t>
      </w:r>
      <w:r w:rsidRPr="008174E3">
        <w:rPr>
          <w:rFonts w:ascii="Arial" w:hAnsi="Arial" w:cs="Arial"/>
          <w:sz w:val="22"/>
          <w:szCs w:val="22"/>
        </w:rPr>
        <w:t>,</w:t>
      </w:r>
      <w:r w:rsidR="005565DE" w:rsidRPr="008174E3">
        <w:rPr>
          <w:rFonts w:ascii="Arial" w:hAnsi="Arial" w:cs="Arial"/>
          <w:sz w:val="22"/>
          <w:szCs w:val="22"/>
        </w:rPr>
        <w:t xml:space="preserve"> dentro del programa B</w:t>
      </w:r>
      <w:r w:rsidR="005376FF" w:rsidRPr="008174E3">
        <w:rPr>
          <w:rFonts w:ascii="Arial" w:hAnsi="Arial" w:cs="Arial"/>
          <w:sz w:val="22"/>
          <w:szCs w:val="22"/>
        </w:rPr>
        <w:t>É</w:t>
      </w:r>
      <w:r w:rsidR="005565DE" w:rsidRPr="008174E3">
        <w:rPr>
          <w:rFonts w:ascii="Arial" w:hAnsi="Arial" w:cs="Arial"/>
          <w:sz w:val="22"/>
          <w:szCs w:val="22"/>
        </w:rPr>
        <w:t>CATE,</w:t>
      </w:r>
      <w:r w:rsidRPr="008174E3">
        <w:rPr>
          <w:rFonts w:ascii="Arial" w:hAnsi="Arial" w:cs="Arial"/>
          <w:sz w:val="22"/>
          <w:szCs w:val="22"/>
        </w:rPr>
        <w:t xml:space="preserve"> </w:t>
      </w:r>
      <w:r w:rsidR="002D063D" w:rsidRPr="008174E3">
        <w:rPr>
          <w:rFonts w:ascii="Arial" w:hAnsi="Arial" w:cs="Arial"/>
          <w:sz w:val="22"/>
          <w:szCs w:val="22"/>
        </w:rPr>
        <w:t xml:space="preserve">se asume que el estipendio </w:t>
      </w:r>
      <w:r w:rsidR="00424F19">
        <w:rPr>
          <w:rFonts w:ascii="Arial" w:hAnsi="Arial" w:cs="Arial"/>
          <w:sz w:val="22"/>
          <w:szCs w:val="22"/>
        </w:rPr>
        <w:t xml:space="preserve">recibido por ser beneficiario </w:t>
      </w:r>
      <w:r w:rsidR="002D063D" w:rsidRPr="008174E3">
        <w:rPr>
          <w:rFonts w:ascii="Arial" w:hAnsi="Arial" w:cs="Arial"/>
          <w:sz w:val="22"/>
          <w:szCs w:val="22"/>
        </w:rPr>
        <w:t xml:space="preserve">es igual </w:t>
      </w:r>
      <w:r w:rsidR="001526B2" w:rsidRPr="008174E3">
        <w:rPr>
          <w:rFonts w:ascii="Arial" w:hAnsi="Arial" w:cs="Arial"/>
          <w:sz w:val="22"/>
          <w:szCs w:val="22"/>
        </w:rPr>
        <w:t>a</w:t>
      </w:r>
      <w:r w:rsidR="00424F19">
        <w:rPr>
          <w:rFonts w:ascii="Arial" w:hAnsi="Arial" w:cs="Arial"/>
          <w:sz w:val="22"/>
          <w:szCs w:val="22"/>
        </w:rPr>
        <w:t>l</w:t>
      </w:r>
      <w:r w:rsidR="001526B2" w:rsidRPr="008174E3">
        <w:rPr>
          <w:rFonts w:ascii="Arial" w:hAnsi="Arial" w:cs="Arial"/>
          <w:sz w:val="22"/>
          <w:szCs w:val="22"/>
        </w:rPr>
        <w:t xml:space="preserve"> </w:t>
      </w:r>
      <w:r w:rsidR="002D063D" w:rsidRPr="008174E3">
        <w:rPr>
          <w:rFonts w:ascii="Arial" w:hAnsi="Arial" w:cs="Arial"/>
          <w:sz w:val="22"/>
          <w:szCs w:val="22"/>
        </w:rPr>
        <w:t xml:space="preserve">costo de oportunidad por ingresar al programa. Este supuesto se sustenta en el hecho que el pago de estipendio </w:t>
      </w:r>
      <w:r w:rsidR="005565DE" w:rsidRPr="008174E3">
        <w:rPr>
          <w:rFonts w:ascii="Arial" w:hAnsi="Arial" w:cs="Arial"/>
          <w:sz w:val="22"/>
          <w:szCs w:val="22"/>
        </w:rPr>
        <w:t>de capacitación se encuentra entre 1 y 3 salarios mínimos</w:t>
      </w:r>
      <w:r w:rsidR="00424F19">
        <w:rPr>
          <w:rFonts w:ascii="Arial" w:hAnsi="Arial" w:cs="Arial"/>
          <w:sz w:val="22"/>
          <w:szCs w:val="22"/>
        </w:rPr>
        <w:t xml:space="preserve"> más</w:t>
      </w:r>
      <w:r w:rsidR="005565DE" w:rsidRPr="008174E3">
        <w:rPr>
          <w:rFonts w:ascii="Arial" w:hAnsi="Arial" w:cs="Arial"/>
          <w:sz w:val="22"/>
          <w:szCs w:val="22"/>
        </w:rPr>
        <w:t xml:space="preserve"> </w:t>
      </w:r>
      <w:r w:rsidR="00424F19">
        <w:rPr>
          <w:rFonts w:ascii="Arial" w:hAnsi="Arial" w:cs="Arial"/>
          <w:sz w:val="22"/>
          <w:szCs w:val="22"/>
        </w:rPr>
        <w:t xml:space="preserve">un </w:t>
      </w:r>
      <w:r w:rsidR="005565DE" w:rsidRPr="008174E3">
        <w:rPr>
          <w:rFonts w:ascii="Arial" w:hAnsi="Arial" w:cs="Arial"/>
          <w:sz w:val="22"/>
          <w:szCs w:val="22"/>
        </w:rPr>
        <w:t xml:space="preserve">pago </w:t>
      </w:r>
      <w:r w:rsidR="00424F19">
        <w:rPr>
          <w:rFonts w:ascii="Arial" w:hAnsi="Arial" w:cs="Arial"/>
          <w:sz w:val="22"/>
          <w:szCs w:val="22"/>
        </w:rPr>
        <w:t xml:space="preserve">de </w:t>
      </w:r>
      <w:r w:rsidR="005565DE" w:rsidRPr="008174E3">
        <w:rPr>
          <w:rFonts w:ascii="Arial" w:hAnsi="Arial" w:cs="Arial"/>
          <w:sz w:val="22"/>
          <w:szCs w:val="22"/>
        </w:rPr>
        <w:t xml:space="preserve">apoyo </w:t>
      </w:r>
      <w:r w:rsidR="00424F19">
        <w:rPr>
          <w:rFonts w:ascii="Arial" w:hAnsi="Arial" w:cs="Arial"/>
          <w:sz w:val="22"/>
          <w:szCs w:val="22"/>
        </w:rPr>
        <w:t xml:space="preserve">para </w:t>
      </w:r>
      <w:r w:rsidR="005565DE" w:rsidRPr="008174E3">
        <w:rPr>
          <w:rFonts w:ascii="Arial" w:hAnsi="Arial" w:cs="Arial"/>
          <w:sz w:val="22"/>
          <w:szCs w:val="22"/>
        </w:rPr>
        <w:t xml:space="preserve">transporte (según </w:t>
      </w:r>
      <w:r w:rsidR="001B00C9" w:rsidRPr="008174E3">
        <w:rPr>
          <w:rFonts w:ascii="Arial" w:hAnsi="Arial" w:cs="Arial"/>
          <w:sz w:val="22"/>
          <w:szCs w:val="22"/>
        </w:rPr>
        <w:t xml:space="preserve">las </w:t>
      </w:r>
      <w:r w:rsidR="005565DE" w:rsidRPr="008174E3">
        <w:rPr>
          <w:rFonts w:ascii="Arial" w:hAnsi="Arial" w:cs="Arial"/>
          <w:sz w:val="22"/>
          <w:szCs w:val="22"/>
        </w:rPr>
        <w:t>característica</w:t>
      </w:r>
      <w:r w:rsidR="001B00C9" w:rsidRPr="008174E3">
        <w:rPr>
          <w:rFonts w:ascii="Arial" w:hAnsi="Arial" w:cs="Arial"/>
          <w:sz w:val="22"/>
          <w:szCs w:val="22"/>
        </w:rPr>
        <w:t>s</w:t>
      </w:r>
      <w:r w:rsidR="005565DE" w:rsidRPr="008174E3">
        <w:rPr>
          <w:rFonts w:ascii="Arial" w:hAnsi="Arial" w:cs="Arial"/>
          <w:sz w:val="22"/>
          <w:szCs w:val="22"/>
        </w:rPr>
        <w:t xml:space="preserve"> del programa del cual son beneficiarios</w:t>
      </w:r>
      <w:r w:rsidR="001B00C9" w:rsidRPr="008174E3">
        <w:rPr>
          <w:rStyle w:val="FootnoteReference"/>
          <w:rFonts w:ascii="Arial" w:hAnsi="Arial" w:cs="Arial"/>
          <w:sz w:val="22"/>
          <w:szCs w:val="22"/>
        </w:rPr>
        <w:footnoteReference w:id="27"/>
      </w:r>
      <w:r w:rsidR="005565DE" w:rsidRPr="008174E3">
        <w:rPr>
          <w:rFonts w:ascii="Arial" w:hAnsi="Arial" w:cs="Arial"/>
          <w:sz w:val="22"/>
          <w:szCs w:val="22"/>
        </w:rPr>
        <w:t>)</w:t>
      </w:r>
      <w:r w:rsidR="00DB1DBA" w:rsidRPr="008174E3">
        <w:rPr>
          <w:rFonts w:ascii="Arial" w:hAnsi="Arial" w:cs="Arial"/>
          <w:sz w:val="22"/>
          <w:szCs w:val="22"/>
        </w:rPr>
        <w:t>.</w:t>
      </w:r>
      <w:r w:rsidR="001B00C9" w:rsidRPr="008174E3">
        <w:rPr>
          <w:rFonts w:ascii="Arial" w:hAnsi="Arial" w:cs="Arial"/>
          <w:sz w:val="22"/>
          <w:szCs w:val="22"/>
        </w:rPr>
        <w:t xml:space="preserve"> </w:t>
      </w:r>
      <w:r w:rsidR="002D063D" w:rsidRPr="008174E3">
        <w:rPr>
          <w:rFonts w:ascii="Arial" w:hAnsi="Arial" w:cs="Arial"/>
          <w:sz w:val="22"/>
          <w:szCs w:val="22"/>
        </w:rPr>
        <w:t xml:space="preserve"> </w:t>
      </w:r>
    </w:p>
    <w:p w14:paraId="04A1935F" w14:textId="77777777" w:rsidR="00593E90" w:rsidRPr="008174E3" w:rsidRDefault="00593E90" w:rsidP="00593E90">
      <w:pPr>
        <w:pStyle w:val="ListParagraph"/>
        <w:autoSpaceDE w:val="0"/>
        <w:autoSpaceDN w:val="0"/>
        <w:adjustRightInd w:val="0"/>
        <w:ind w:left="0"/>
        <w:jc w:val="both"/>
        <w:rPr>
          <w:rFonts w:ascii="Arial" w:hAnsi="Arial" w:cs="Arial"/>
          <w:sz w:val="22"/>
          <w:szCs w:val="22"/>
        </w:rPr>
      </w:pPr>
    </w:p>
    <w:p w14:paraId="6F05D5B4" w14:textId="105535CC" w:rsidR="00541D07" w:rsidRPr="008174E3" w:rsidRDefault="00541D07" w:rsidP="00F65A8C">
      <w:pPr>
        <w:pStyle w:val="ListParagraph"/>
        <w:numPr>
          <w:ilvl w:val="0"/>
          <w:numId w:val="7"/>
        </w:numPr>
        <w:spacing w:before="120"/>
        <w:ind w:left="0"/>
        <w:jc w:val="both"/>
        <w:rPr>
          <w:rFonts w:ascii="Arial" w:hAnsi="Arial" w:cs="Arial"/>
          <w:b/>
          <w:sz w:val="22"/>
          <w:szCs w:val="22"/>
        </w:rPr>
      </w:pPr>
      <w:r w:rsidRPr="008174E3">
        <w:rPr>
          <w:rFonts w:ascii="Arial" w:hAnsi="Arial" w:cs="Arial"/>
          <w:b/>
          <w:sz w:val="22"/>
          <w:szCs w:val="22"/>
        </w:rPr>
        <w:t>Retorno</w:t>
      </w:r>
      <w:r w:rsidR="00CD604D" w:rsidRPr="008174E3">
        <w:rPr>
          <w:rFonts w:ascii="Arial" w:hAnsi="Arial" w:cs="Arial"/>
          <w:b/>
          <w:sz w:val="22"/>
          <w:szCs w:val="22"/>
        </w:rPr>
        <w:t>s</w:t>
      </w:r>
      <w:r w:rsidRPr="008174E3">
        <w:rPr>
          <w:rFonts w:ascii="Arial" w:hAnsi="Arial" w:cs="Arial"/>
          <w:b/>
          <w:sz w:val="22"/>
          <w:szCs w:val="22"/>
        </w:rPr>
        <w:t xml:space="preserve"> Económico</w:t>
      </w:r>
      <w:r w:rsidR="00CD604D" w:rsidRPr="008174E3">
        <w:rPr>
          <w:rFonts w:ascii="Arial" w:hAnsi="Arial" w:cs="Arial"/>
          <w:b/>
          <w:sz w:val="22"/>
          <w:szCs w:val="22"/>
        </w:rPr>
        <w:t>s</w:t>
      </w:r>
    </w:p>
    <w:p w14:paraId="4299EC06" w14:textId="347ACC7C" w:rsidR="00CD604D" w:rsidRPr="008174E3" w:rsidRDefault="00CD604D" w:rsidP="00CD604D">
      <w:pPr>
        <w:pStyle w:val="ListParagraph"/>
        <w:spacing w:before="120"/>
        <w:ind w:left="0"/>
        <w:jc w:val="both"/>
        <w:rPr>
          <w:rFonts w:ascii="Arial" w:hAnsi="Arial" w:cs="Arial"/>
          <w:b/>
        </w:rPr>
      </w:pPr>
    </w:p>
    <w:p w14:paraId="13ECED2A" w14:textId="3117052B" w:rsidR="00CD604D" w:rsidRPr="008174E3" w:rsidRDefault="00CD604D" w:rsidP="00CD604D">
      <w:pPr>
        <w:pStyle w:val="ListParagraph"/>
        <w:numPr>
          <w:ilvl w:val="0"/>
          <w:numId w:val="8"/>
        </w:numPr>
        <w:autoSpaceDE w:val="0"/>
        <w:autoSpaceDN w:val="0"/>
        <w:adjustRightInd w:val="0"/>
        <w:ind w:left="0"/>
        <w:jc w:val="both"/>
        <w:rPr>
          <w:rFonts w:ascii="Arial" w:hAnsi="Arial" w:cs="Arial"/>
          <w:sz w:val="22"/>
          <w:szCs w:val="22"/>
        </w:rPr>
      </w:pPr>
      <w:r w:rsidRPr="008174E3">
        <w:rPr>
          <w:rFonts w:ascii="Arial" w:hAnsi="Arial" w:cs="Arial"/>
          <w:sz w:val="22"/>
          <w:szCs w:val="22"/>
        </w:rPr>
        <w:t>Con base en los supuestos descritos en la sección anterior, se proyecta el flujo de costos y beneficios del proyecto, con esta información se calcula el Valor Presente Neto (VPN) y la Relación Beneficio-Costo.</w:t>
      </w:r>
    </w:p>
    <w:p w14:paraId="6A71C6AB" w14:textId="77777777" w:rsidR="00CD604D" w:rsidRPr="008174E3" w:rsidRDefault="00CD604D" w:rsidP="00CD604D">
      <w:pPr>
        <w:pStyle w:val="ListParagraph"/>
        <w:autoSpaceDE w:val="0"/>
        <w:autoSpaceDN w:val="0"/>
        <w:adjustRightInd w:val="0"/>
        <w:ind w:left="0"/>
        <w:jc w:val="both"/>
        <w:rPr>
          <w:rFonts w:ascii="Arial" w:hAnsi="Arial" w:cs="Arial"/>
          <w:sz w:val="22"/>
          <w:szCs w:val="22"/>
        </w:rPr>
      </w:pPr>
    </w:p>
    <w:p w14:paraId="5B2E19C3" w14:textId="7304716A" w:rsidR="00DD13F0" w:rsidRPr="008174E3" w:rsidRDefault="00CD604D" w:rsidP="00CD604D">
      <w:pPr>
        <w:pStyle w:val="ListParagraph"/>
        <w:numPr>
          <w:ilvl w:val="0"/>
          <w:numId w:val="8"/>
        </w:numPr>
        <w:autoSpaceDE w:val="0"/>
        <w:autoSpaceDN w:val="0"/>
        <w:adjustRightInd w:val="0"/>
        <w:ind w:left="0"/>
        <w:jc w:val="both"/>
        <w:rPr>
          <w:rFonts w:ascii="Arial" w:hAnsi="Arial" w:cs="Arial"/>
          <w:sz w:val="22"/>
          <w:szCs w:val="22"/>
        </w:rPr>
      </w:pPr>
      <w:r w:rsidRPr="008174E3">
        <w:rPr>
          <w:rFonts w:ascii="Arial" w:hAnsi="Arial" w:cs="Arial"/>
          <w:sz w:val="22"/>
          <w:szCs w:val="22"/>
        </w:rPr>
        <w:t xml:space="preserve">A modo de resumen </w:t>
      </w:r>
      <w:r w:rsidR="002C3066" w:rsidRPr="008174E3">
        <w:rPr>
          <w:rFonts w:ascii="Arial" w:hAnsi="Arial" w:cs="Arial"/>
          <w:sz w:val="22"/>
          <w:szCs w:val="22"/>
        </w:rPr>
        <w:t xml:space="preserve">en el Cuadro 3 se </w:t>
      </w:r>
      <w:r w:rsidRPr="008174E3">
        <w:rPr>
          <w:rFonts w:ascii="Arial" w:hAnsi="Arial" w:cs="Arial"/>
          <w:sz w:val="22"/>
          <w:szCs w:val="22"/>
        </w:rPr>
        <w:t>presenta</w:t>
      </w:r>
      <w:r w:rsidR="002C3066" w:rsidRPr="008174E3">
        <w:rPr>
          <w:rFonts w:ascii="Arial" w:hAnsi="Arial" w:cs="Arial"/>
          <w:sz w:val="22"/>
          <w:szCs w:val="22"/>
        </w:rPr>
        <w:t>n</w:t>
      </w:r>
      <w:r w:rsidRPr="008174E3">
        <w:rPr>
          <w:rFonts w:ascii="Arial" w:hAnsi="Arial" w:cs="Arial"/>
          <w:sz w:val="22"/>
          <w:szCs w:val="22"/>
        </w:rPr>
        <w:t xml:space="preserve"> los supuestos utilizados para el </w:t>
      </w:r>
      <w:r w:rsidR="00757583" w:rsidRPr="008174E3">
        <w:rPr>
          <w:rFonts w:ascii="Arial" w:hAnsi="Arial" w:cs="Arial"/>
          <w:sz w:val="22"/>
          <w:szCs w:val="22"/>
        </w:rPr>
        <w:t>cálculo</w:t>
      </w:r>
      <w:r w:rsidRPr="008174E3">
        <w:rPr>
          <w:rFonts w:ascii="Arial" w:hAnsi="Arial" w:cs="Arial"/>
          <w:sz w:val="22"/>
          <w:szCs w:val="22"/>
        </w:rPr>
        <w:t xml:space="preserve"> de </w:t>
      </w:r>
      <w:r w:rsidR="002C3066" w:rsidRPr="008174E3">
        <w:rPr>
          <w:rFonts w:ascii="Arial" w:hAnsi="Arial" w:cs="Arial"/>
          <w:sz w:val="22"/>
          <w:szCs w:val="22"/>
        </w:rPr>
        <w:t xml:space="preserve">los </w:t>
      </w:r>
      <w:r w:rsidRPr="008174E3">
        <w:rPr>
          <w:rFonts w:ascii="Arial" w:hAnsi="Arial" w:cs="Arial"/>
          <w:sz w:val="22"/>
          <w:szCs w:val="22"/>
        </w:rPr>
        <w:t>retornos económicos de cada componente</w:t>
      </w:r>
      <w:r w:rsidR="00F14603" w:rsidRPr="008174E3">
        <w:rPr>
          <w:rFonts w:ascii="Arial" w:hAnsi="Arial" w:cs="Arial"/>
          <w:sz w:val="22"/>
          <w:szCs w:val="22"/>
        </w:rPr>
        <w:t xml:space="preserve">, </w:t>
      </w:r>
      <w:r w:rsidR="002C3066" w:rsidRPr="008174E3">
        <w:rPr>
          <w:rFonts w:ascii="Arial" w:hAnsi="Arial" w:cs="Arial"/>
          <w:sz w:val="22"/>
          <w:szCs w:val="22"/>
        </w:rPr>
        <w:t xml:space="preserve">mismos que </w:t>
      </w:r>
      <w:r w:rsidR="00F14603" w:rsidRPr="008174E3">
        <w:rPr>
          <w:rFonts w:ascii="Arial" w:hAnsi="Arial" w:cs="Arial"/>
          <w:sz w:val="22"/>
          <w:szCs w:val="22"/>
        </w:rPr>
        <w:t xml:space="preserve">en </w:t>
      </w:r>
      <w:r w:rsidR="00827E44" w:rsidRPr="008174E3">
        <w:rPr>
          <w:rFonts w:ascii="Arial" w:hAnsi="Arial" w:cs="Arial"/>
          <w:sz w:val="22"/>
          <w:szCs w:val="22"/>
        </w:rPr>
        <w:t>el Cuadro </w:t>
      </w:r>
      <w:r w:rsidR="00F14603" w:rsidRPr="008174E3">
        <w:rPr>
          <w:rFonts w:ascii="Arial" w:hAnsi="Arial" w:cs="Arial"/>
          <w:sz w:val="22"/>
          <w:szCs w:val="22"/>
        </w:rPr>
        <w:t>A</w:t>
      </w:r>
      <w:r w:rsidR="00CF3C1C" w:rsidRPr="008174E3">
        <w:rPr>
          <w:rFonts w:ascii="Arial" w:hAnsi="Arial" w:cs="Arial"/>
          <w:sz w:val="22"/>
          <w:szCs w:val="22"/>
        </w:rPr>
        <w:t>4</w:t>
      </w:r>
      <w:r w:rsidR="00F14603" w:rsidRPr="008174E3">
        <w:rPr>
          <w:rFonts w:ascii="Arial" w:hAnsi="Arial" w:cs="Arial"/>
          <w:sz w:val="22"/>
          <w:szCs w:val="22"/>
        </w:rPr>
        <w:t xml:space="preserve"> </w:t>
      </w:r>
      <w:r w:rsidR="002C3066" w:rsidRPr="008174E3">
        <w:rPr>
          <w:rFonts w:ascii="Arial" w:hAnsi="Arial" w:cs="Arial"/>
          <w:sz w:val="22"/>
          <w:szCs w:val="22"/>
        </w:rPr>
        <w:t xml:space="preserve">incluyen </w:t>
      </w:r>
      <w:r w:rsidR="00F14603" w:rsidRPr="008174E3">
        <w:rPr>
          <w:rFonts w:ascii="Arial" w:hAnsi="Arial" w:cs="Arial"/>
          <w:sz w:val="22"/>
          <w:szCs w:val="22"/>
        </w:rPr>
        <w:t xml:space="preserve">las fuentes </w:t>
      </w:r>
      <w:r w:rsidR="002C3066" w:rsidRPr="008174E3">
        <w:rPr>
          <w:rFonts w:ascii="Arial" w:hAnsi="Arial" w:cs="Arial"/>
          <w:sz w:val="22"/>
          <w:szCs w:val="22"/>
        </w:rPr>
        <w:t xml:space="preserve">que </w:t>
      </w:r>
      <w:r w:rsidR="00F14603" w:rsidRPr="008174E3">
        <w:rPr>
          <w:rFonts w:ascii="Arial" w:hAnsi="Arial" w:cs="Arial"/>
          <w:sz w:val="22"/>
          <w:szCs w:val="22"/>
        </w:rPr>
        <w:t xml:space="preserve">justificaciones </w:t>
      </w:r>
      <w:r w:rsidR="002C3066" w:rsidRPr="008174E3">
        <w:rPr>
          <w:rFonts w:ascii="Arial" w:hAnsi="Arial" w:cs="Arial"/>
          <w:sz w:val="22"/>
          <w:szCs w:val="22"/>
        </w:rPr>
        <w:t>su uso</w:t>
      </w:r>
      <w:r w:rsidR="00F14603" w:rsidRPr="008174E3">
        <w:rPr>
          <w:rFonts w:ascii="Arial" w:hAnsi="Arial" w:cs="Arial"/>
          <w:sz w:val="22"/>
          <w:szCs w:val="22"/>
        </w:rPr>
        <w:t>.</w:t>
      </w:r>
    </w:p>
    <w:p w14:paraId="383D2748" w14:textId="7E9AB373" w:rsidR="00D77621" w:rsidRPr="008174E3" w:rsidRDefault="00DD13F0" w:rsidP="00D77621">
      <w:pPr>
        <w:jc w:val="center"/>
        <w:rPr>
          <w:rFonts w:ascii="Arial" w:hAnsi="Arial" w:cs="Arial"/>
          <w:b/>
          <w:sz w:val="22"/>
          <w:szCs w:val="22"/>
        </w:rPr>
      </w:pPr>
      <w:r w:rsidRPr="008174E3">
        <w:rPr>
          <w:rFonts w:ascii="Arial" w:hAnsi="Arial" w:cs="Arial"/>
        </w:rPr>
        <w:br w:type="page"/>
      </w:r>
      <w:r w:rsidR="00827E44" w:rsidRPr="008174E3">
        <w:rPr>
          <w:rFonts w:ascii="Arial" w:hAnsi="Arial" w:cs="Arial"/>
          <w:b/>
          <w:sz w:val="22"/>
          <w:szCs w:val="22"/>
        </w:rPr>
        <w:lastRenderedPageBreak/>
        <w:t>Cuadro </w:t>
      </w:r>
      <w:r w:rsidR="00D77621" w:rsidRPr="008174E3">
        <w:rPr>
          <w:rFonts w:ascii="Arial" w:hAnsi="Arial" w:cs="Arial"/>
          <w:b/>
          <w:sz w:val="22"/>
          <w:szCs w:val="22"/>
        </w:rPr>
        <w:t xml:space="preserve">3: Supuestos </w:t>
      </w:r>
      <w:r w:rsidR="00271A72" w:rsidRPr="008174E3">
        <w:rPr>
          <w:rFonts w:ascii="Arial" w:hAnsi="Arial" w:cs="Arial"/>
          <w:b/>
          <w:sz w:val="22"/>
          <w:szCs w:val="22"/>
        </w:rPr>
        <w:t>del análisis</w:t>
      </w:r>
    </w:p>
    <w:p w14:paraId="71CBB56E" w14:textId="71BBA9B8" w:rsidR="00F14603" w:rsidRPr="008174E3" w:rsidRDefault="00F14603" w:rsidP="00D77621">
      <w:pPr>
        <w:jc w:val="center"/>
        <w:rPr>
          <w:rFonts w:ascii="Arial" w:hAnsi="Arial" w:cs="Arial"/>
          <w:b/>
        </w:rPr>
      </w:pPr>
    </w:p>
    <w:tbl>
      <w:tblPr>
        <w:tblW w:w="10240" w:type="dxa"/>
        <w:tblInd w:w="-290" w:type="dxa"/>
        <w:tblCellMar>
          <w:top w:w="15" w:type="dxa"/>
          <w:left w:w="70" w:type="dxa"/>
          <w:bottom w:w="15" w:type="dxa"/>
          <w:right w:w="70" w:type="dxa"/>
        </w:tblCellMar>
        <w:tblLook w:val="04A0" w:firstRow="1" w:lastRow="0" w:firstColumn="1" w:lastColumn="0" w:noHBand="0" w:noVBand="1"/>
      </w:tblPr>
      <w:tblGrid>
        <w:gridCol w:w="4050"/>
        <w:gridCol w:w="2540"/>
        <w:gridCol w:w="250"/>
        <w:gridCol w:w="3150"/>
        <w:gridCol w:w="250"/>
      </w:tblGrid>
      <w:tr w:rsidR="00F14603" w:rsidRPr="008174E3" w14:paraId="78A81432" w14:textId="77777777" w:rsidTr="0070754E">
        <w:trPr>
          <w:gridAfter w:val="1"/>
          <w:wAfter w:w="250" w:type="dxa"/>
          <w:trHeight w:val="585"/>
        </w:trPr>
        <w:tc>
          <w:tcPr>
            <w:tcW w:w="4050" w:type="dxa"/>
            <w:tcBorders>
              <w:top w:val="nil"/>
              <w:left w:val="nil"/>
              <w:bottom w:val="single" w:sz="8" w:space="0" w:color="auto"/>
              <w:right w:val="nil"/>
            </w:tcBorders>
            <w:shd w:val="clear" w:color="000000" w:fill="DDEBF7"/>
            <w:noWrap/>
            <w:vAlign w:val="center"/>
            <w:hideMark/>
          </w:tcPr>
          <w:p w14:paraId="2DC2C441" w14:textId="77777777" w:rsidR="00F14603" w:rsidRPr="008174E3" w:rsidRDefault="00F14603">
            <w:pPr>
              <w:jc w:val="center"/>
              <w:rPr>
                <w:rFonts w:ascii="Arial" w:hAnsi="Arial" w:cs="Arial"/>
                <w:b/>
                <w:bCs/>
                <w:color w:val="000000"/>
                <w:sz w:val="22"/>
                <w:szCs w:val="22"/>
              </w:rPr>
            </w:pPr>
          </w:p>
        </w:tc>
        <w:tc>
          <w:tcPr>
            <w:tcW w:w="2540" w:type="dxa"/>
            <w:tcBorders>
              <w:top w:val="nil"/>
              <w:left w:val="nil"/>
              <w:bottom w:val="single" w:sz="8" w:space="0" w:color="auto"/>
              <w:right w:val="nil"/>
            </w:tcBorders>
            <w:shd w:val="clear" w:color="000000" w:fill="DDEBF7"/>
            <w:noWrap/>
            <w:vAlign w:val="center"/>
            <w:hideMark/>
          </w:tcPr>
          <w:p w14:paraId="23EFC7DC" w14:textId="77777777" w:rsidR="00F14603" w:rsidRPr="008174E3" w:rsidRDefault="00F14603">
            <w:pPr>
              <w:jc w:val="center"/>
              <w:rPr>
                <w:rFonts w:ascii="Arial" w:hAnsi="Arial" w:cs="Arial"/>
                <w:b/>
                <w:bCs/>
                <w:color w:val="000000"/>
                <w:sz w:val="18"/>
                <w:szCs w:val="20"/>
              </w:rPr>
            </w:pPr>
            <w:r w:rsidRPr="008174E3">
              <w:rPr>
                <w:rFonts w:ascii="Arial" w:hAnsi="Arial" w:cs="Arial"/>
                <w:b/>
                <w:bCs/>
                <w:color w:val="000000"/>
                <w:sz w:val="18"/>
                <w:szCs w:val="20"/>
              </w:rPr>
              <w:t>Fortalecimiento del SNE</w:t>
            </w:r>
          </w:p>
        </w:tc>
        <w:tc>
          <w:tcPr>
            <w:tcW w:w="3400" w:type="dxa"/>
            <w:gridSpan w:val="2"/>
            <w:tcBorders>
              <w:top w:val="nil"/>
              <w:left w:val="nil"/>
              <w:bottom w:val="single" w:sz="8" w:space="0" w:color="auto"/>
              <w:right w:val="nil"/>
            </w:tcBorders>
            <w:shd w:val="clear" w:color="000000" w:fill="DDEBF7"/>
            <w:vAlign w:val="center"/>
            <w:hideMark/>
          </w:tcPr>
          <w:p w14:paraId="40D2F905" w14:textId="0FE34B13" w:rsidR="00F14603" w:rsidRPr="008174E3" w:rsidRDefault="00F14603">
            <w:pPr>
              <w:jc w:val="center"/>
              <w:rPr>
                <w:rFonts w:ascii="Arial" w:hAnsi="Arial" w:cs="Arial"/>
                <w:b/>
                <w:bCs/>
                <w:color w:val="000000"/>
                <w:sz w:val="18"/>
                <w:szCs w:val="20"/>
              </w:rPr>
            </w:pPr>
            <w:r w:rsidRPr="008174E3">
              <w:rPr>
                <w:rFonts w:ascii="Arial" w:hAnsi="Arial" w:cs="Arial"/>
                <w:b/>
                <w:bCs/>
                <w:color w:val="000000"/>
                <w:sz w:val="18"/>
                <w:szCs w:val="20"/>
              </w:rPr>
              <w:t xml:space="preserve">Fortalecimiento </w:t>
            </w:r>
            <w:r w:rsidR="00170561" w:rsidRPr="008174E3">
              <w:rPr>
                <w:rFonts w:ascii="Arial" w:hAnsi="Arial" w:cs="Arial"/>
                <w:b/>
                <w:bCs/>
                <w:color w:val="000000"/>
                <w:sz w:val="18"/>
                <w:szCs w:val="20"/>
              </w:rPr>
              <w:t>del PAE</w:t>
            </w:r>
            <w:r w:rsidRPr="008174E3">
              <w:rPr>
                <w:rFonts w:ascii="Arial" w:hAnsi="Arial" w:cs="Arial"/>
                <w:b/>
                <w:bCs/>
                <w:color w:val="000000"/>
                <w:sz w:val="18"/>
                <w:szCs w:val="20"/>
              </w:rPr>
              <w:t xml:space="preserve"> </w:t>
            </w:r>
          </w:p>
        </w:tc>
      </w:tr>
      <w:tr w:rsidR="00F14603" w:rsidRPr="008174E3" w14:paraId="12EC1F2A" w14:textId="77777777" w:rsidTr="0070754E">
        <w:trPr>
          <w:gridAfter w:val="1"/>
          <w:wAfter w:w="250" w:type="dxa"/>
          <w:trHeight w:val="480"/>
        </w:trPr>
        <w:tc>
          <w:tcPr>
            <w:tcW w:w="4050" w:type="dxa"/>
            <w:tcBorders>
              <w:top w:val="nil"/>
              <w:left w:val="nil"/>
              <w:bottom w:val="nil"/>
              <w:right w:val="nil"/>
            </w:tcBorders>
            <w:shd w:val="clear" w:color="000000" w:fill="FFFFFF"/>
            <w:noWrap/>
            <w:vAlign w:val="center"/>
            <w:hideMark/>
          </w:tcPr>
          <w:p w14:paraId="631BCB22" w14:textId="77777777" w:rsidR="00F14603" w:rsidRPr="008174E3" w:rsidRDefault="00F14603">
            <w:pPr>
              <w:rPr>
                <w:rFonts w:ascii="Arial" w:hAnsi="Arial" w:cs="Arial"/>
                <w:color w:val="000000"/>
                <w:sz w:val="18"/>
                <w:szCs w:val="20"/>
              </w:rPr>
            </w:pPr>
            <w:r w:rsidRPr="008174E3">
              <w:rPr>
                <w:rFonts w:ascii="Arial" w:hAnsi="Arial" w:cs="Arial"/>
                <w:color w:val="000000"/>
                <w:sz w:val="18"/>
                <w:szCs w:val="20"/>
              </w:rPr>
              <w:t>Ingreso Laboral Semanal Base</w:t>
            </w:r>
          </w:p>
        </w:tc>
        <w:tc>
          <w:tcPr>
            <w:tcW w:w="2540" w:type="dxa"/>
            <w:tcBorders>
              <w:top w:val="nil"/>
              <w:left w:val="nil"/>
              <w:bottom w:val="nil"/>
              <w:right w:val="nil"/>
            </w:tcBorders>
            <w:shd w:val="clear" w:color="000000" w:fill="FFFFFF"/>
            <w:vAlign w:val="center"/>
            <w:hideMark/>
          </w:tcPr>
          <w:p w14:paraId="3C4CB2B1" w14:textId="11894A1A" w:rsidR="00F14603" w:rsidRPr="008174E3" w:rsidRDefault="00B85737">
            <w:pPr>
              <w:jc w:val="right"/>
              <w:rPr>
                <w:rFonts w:ascii="Arial" w:hAnsi="Arial" w:cs="Arial"/>
                <w:color w:val="000000"/>
                <w:sz w:val="18"/>
                <w:szCs w:val="20"/>
              </w:rPr>
            </w:pPr>
            <w:r w:rsidRPr="008174E3">
              <w:rPr>
                <w:rFonts w:ascii="Arial" w:hAnsi="Arial" w:cs="Arial"/>
                <w:color w:val="000000"/>
                <w:sz w:val="18"/>
                <w:szCs w:val="20"/>
              </w:rPr>
              <w:t>93,</w:t>
            </w:r>
            <w:r w:rsidR="00F14603" w:rsidRPr="008174E3">
              <w:rPr>
                <w:rFonts w:ascii="Arial" w:hAnsi="Arial" w:cs="Arial"/>
                <w:color w:val="000000"/>
                <w:sz w:val="18"/>
                <w:szCs w:val="20"/>
              </w:rPr>
              <w:t>76 Hombres</w:t>
            </w:r>
            <w:r w:rsidR="00F14603" w:rsidRPr="008174E3">
              <w:rPr>
                <w:rFonts w:ascii="Arial" w:hAnsi="Arial" w:cs="Arial"/>
                <w:color w:val="000000"/>
                <w:sz w:val="18"/>
                <w:szCs w:val="20"/>
              </w:rPr>
              <w:br/>
              <w:t>65</w:t>
            </w:r>
            <w:r w:rsidRPr="008174E3">
              <w:rPr>
                <w:rFonts w:ascii="Arial" w:hAnsi="Arial" w:cs="Arial"/>
                <w:color w:val="000000"/>
                <w:sz w:val="18"/>
                <w:szCs w:val="20"/>
              </w:rPr>
              <w:t>,</w:t>
            </w:r>
            <w:r w:rsidR="00F14603" w:rsidRPr="008174E3">
              <w:rPr>
                <w:rFonts w:ascii="Arial" w:hAnsi="Arial" w:cs="Arial"/>
                <w:color w:val="000000"/>
                <w:sz w:val="18"/>
                <w:szCs w:val="20"/>
              </w:rPr>
              <w:t>71 Mujeres</w:t>
            </w:r>
          </w:p>
        </w:tc>
        <w:tc>
          <w:tcPr>
            <w:tcW w:w="3400" w:type="dxa"/>
            <w:gridSpan w:val="2"/>
            <w:tcBorders>
              <w:top w:val="nil"/>
              <w:left w:val="nil"/>
              <w:bottom w:val="nil"/>
              <w:right w:val="nil"/>
            </w:tcBorders>
            <w:shd w:val="clear" w:color="000000" w:fill="FFFFFF"/>
            <w:vAlign w:val="center"/>
            <w:hideMark/>
          </w:tcPr>
          <w:p w14:paraId="656FF3E2" w14:textId="255093DB" w:rsidR="00F14603" w:rsidRPr="008174E3" w:rsidRDefault="00B85737">
            <w:pPr>
              <w:jc w:val="right"/>
              <w:rPr>
                <w:rFonts w:ascii="Arial" w:hAnsi="Arial" w:cs="Arial"/>
                <w:color w:val="000000"/>
                <w:sz w:val="18"/>
                <w:szCs w:val="20"/>
              </w:rPr>
            </w:pPr>
            <w:r w:rsidRPr="008174E3">
              <w:rPr>
                <w:rFonts w:ascii="Arial" w:hAnsi="Arial" w:cs="Arial"/>
                <w:color w:val="000000"/>
                <w:sz w:val="18"/>
                <w:szCs w:val="20"/>
              </w:rPr>
              <w:t>93,</w:t>
            </w:r>
            <w:r w:rsidR="00F14603" w:rsidRPr="008174E3">
              <w:rPr>
                <w:rFonts w:ascii="Arial" w:hAnsi="Arial" w:cs="Arial"/>
                <w:color w:val="000000"/>
                <w:sz w:val="18"/>
                <w:szCs w:val="20"/>
              </w:rPr>
              <w:t>76 Hombres</w:t>
            </w:r>
            <w:r w:rsidR="00F14603" w:rsidRPr="008174E3">
              <w:rPr>
                <w:rFonts w:ascii="Arial" w:hAnsi="Arial" w:cs="Arial"/>
                <w:color w:val="000000"/>
                <w:sz w:val="18"/>
                <w:szCs w:val="20"/>
              </w:rPr>
              <w:br/>
              <w:t>65</w:t>
            </w:r>
            <w:r w:rsidRPr="008174E3">
              <w:rPr>
                <w:rFonts w:ascii="Arial" w:hAnsi="Arial" w:cs="Arial"/>
                <w:color w:val="000000"/>
                <w:sz w:val="18"/>
                <w:szCs w:val="20"/>
              </w:rPr>
              <w:t>,</w:t>
            </w:r>
            <w:r w:rsidR="00F14603" w:rsidRPr="008174E3">
              <w:rPr>
                <w:rFonts w:ascii="Arial" w:hAnsi="Arial" w:cs="Arial"/>
                <w:color w:val="000000"/>
                <w:sz w:val="18"/>
                <w:szCs w:val="20"/>
              </w:rPr>
              <w:t>71 Mujeres</w:t>
            </w:r>
          </w:p>
        </w:tc>
      </w:tr>
      <w:tr w:rsidR="00F14603" w:rsidRPr="008174E3" w14:paraId="175C291F" w14:textId="77777777" w:rsidTr="0070754E">
        <w:trPr>
          <w:gridAfter w:val="1"/>
          <w:wAfter w:w="250" w:type="dxa"/>
          <w:trHeight w:val="285"/>
        </w:trPr>
        <w:tc>
          <w:tcPr>
            <w:tcW w:w="4050" w:type="dxa"/>
            <w:tcBorders>
              <w:top w:val="nil"/>
              <w:left w:val="nil"/>
              <w:bottom w:val="nil"/>
              <w:right w:val="nil"/>
            </w:tcBorders>
            <w:shd w:val="clear" w:color="000000" w:fill="FFFFFF"/>
            <w:noWrap/>
            <w:vAlign w:val="center"/>
            <w:hideMark/>
          </w:tcPr>
          <w:p w14:paraId="07743D9E" w14:textId="77777777" w:rsidR="00F14603" w:rsidRPr="008174E3" w:rsidRDefault="00F14603">
            <w:pPr>
              <w:rPr>
                <w:rFonts w:ascii="Arial" w:hAnsi="Arial" w:cs="Arial"/>
                <w:color w:val="000000"/>
                <w:sz w:val="18"/>
                <w:szCs w:val="20"/>
              </w:rPr>
            </w:pPr>
            <w:r w:rsidRPr="008174E3">
              <w:rPr>
                <w:rFonts w:ascii="Arial" w:hAnsi="Arial" w:cs="Arial"/>
                <w:color w:val="000000"/>
                <w:sz w:val="18"/>
                <w:szCs w:val="20"/>
              </w:rPr>
              <w:t>Tasa de Descuento</w:t>
            </w:r>
          </w:p>
        </w:tc>
        <w:tc>
          <w:tcPr>
            <w:tcW w:w="2540" w:type="dxa"/>
            <w:tcBorders>
              <w:top w:val="nil"/>
              <w:left w:val="nil"/>
              <w:bottom w:val="nil"/>
              <w:right w:val="nil"/>
            </w:tcBorders>
            <w:shd w:val="clear" w:color="000000" w:fill="FFFFFF"/>
            <w:noWrap/>
            <w:vAlign w:val="center"/>
            <w:hideMark/>
          </w:tcPr>
          <w:p w14:paraId="116C8216" w14:textId="77777777" w:rsidR="00F14603" w:rsidRPr="008174E3" w:rsidRDefault="00F14603">
            <w:pPr>
              <w:jc w:val="right"/>
              <w:rPr>
                <w:rFonts w:ascii="Arial" w:hAnsi="Arial" w:cs="Arial"/>
                <w:color w:val="000000"/>
                <w:sz w:val="18"/>
                <w:szCs w:val="20"/>
              </w:rPr>
            </w:pPr>
            <w:r w:rsidRPr="008174E3">
              <w:rPr>
                <w:rFonts w:ascii="Arial" w:hAnsi="Arial" w:cs="Arial"/>
                <w:color w:val="000000"/>
                <w:sz w:val="18"/>
                <w:szCs w:val="20"/>
              </w:rPr>
              <w:t>12%</w:t>
            </w:r>
          </w:p>
        </w:tc>
        <w:tc>
          <w:tcPr>
            <w:tcW w:w="3400" w:type="dxa"/>
            <w:gridSpan w:val="2"/>
            <w:tcBorders>
              <w:top w:val="nil"/>
              <w:left w:val="nil"/>
              <w:bottom w:val="nil"/>
              <w:right w:val="nil"/>
            </w:tcBorders>
            <w:shd w:val="clear" w:color="000000" w:fill="FFFFFF"/>
            <w:noWrap/>
            <w:vAlign w:val="center"/>
            <w:hideMark/>
          </w:tcPr>
          <w:p w14:paraId="0AC73580" w14:textId="77777777" w:rsidR="00F14603" w:rsidRPr="008174E3" w:rsidRDefault="00F14603">
            <w:pPr>
              <w:jc w:val="right"/>
              <w:rPr>
                <w:rFonts w:ascii="Arial" w:hAnsi="Arial" w:cs="Arial"/>
                <w:color w:val="000000"/>
                <w:sz w:val="18"/>
                <w:szCs w:val="20"/>
              </w:rPr>
            </w:pPr>
            <w:r w:rsidRPr="008174E3">
              <w:rPr>
                <w:rFonts w:ascii="Arial" w:hAnsi="Arial" w:cs="Arial"/>
                <w:color w:val="000000"/>
                <w:sz w:val="18"/>
                <w:szCs w:val="20"/>
              </w:rPr>
              <w:t>12%</w:t>
            </w:r>
          </w:p>
        </w:tc>
      </w:tr>
      <w:tr w:rsidR="00F14603" w:rsidRPr="008174E3" w14:paraId="30646F0F" w14:textId="77777777" w:rsidTr="0070754E">
        <w:trPr>
          <w:gridAfter w:val="1"/>
          <w:wAfter w:w="250" w:type="dxa"/>
          <w:trHeight w:val="285"/>
        </w:trPr>
        <w:tc>
          <w:tcPr>
            <w:tcW w:w="4050" w:type="dxa"/>
            <w:tcBorders>
              <w:top w:val="nil"/>
              <w:left w:val="nil"/>
              <w:bottom w:val="nil"/>
              <w:right w:val="nil"/>
            </w:tcBorders>
            <w:shd w:val="clear" w:color="000000" w:fill="FFFFFF"/>
            <w:vAlign w:val="center"/>
            <w:hideMark/>
          </w:tcPr>
          <w:p w14:paraId="45A257E3" w14:textId="77777777" w:rsidR="00F14603" w:rsidRPr="008174E3" w:rsidRDefault="00F14603">
            <w:pPr>
              <w:rPr>
                <w:rFonts w:ascii="Arial" w:hAnsi="Arial" w:cs="Arial"/>
                <w:color w:val="000000"/>
                <w:sz w:val="18"/>
                <w:szCs w:val="20"/>
              </w:rPr>
            </w:pPr>
            <w:r w:rsidRPr="008174E3">
              <w:rPr>
                <w:rFonts w:ascii="Arial" w:hAnsi="Arial" w:cs="Arial"/>
                <w:color w:val="000000"/>
                <w:sz w:val="18"/>
                <w:szCs w:val="20"/>
              </w:rPr>
              <w:t>Incremento en formalidad</w:t>
            </w:r>
          </w:p>
        </w:tc>
        <w:tc>
          <w:tcPr>
            <w:tcW w:w="2540" w:type="dxa"/>
            <w:tcBorders>
              <w:top w:val="nil"/>
              <w:left w:val="nil"/>
              <w:bottom w:val="nil"/>
              <w:right w:val="nil"/>
            </w:tcBorders>
            <w:shd w:val="clear" w:color="000000" w:fill="FFFFFF"/>
            <w:noWrap/>
            <w:vAlign w:val="center"/>
            <w:hideMark/>
          </w:tcPr>
          <w:p w14:paraId="55D37F15" w14:textId="312FE64C" w:rsidR="00F14603" w:rsidRPr="008174E3" w:rsidRDefault="00F14603">
            <w:pPr>
              <w:jc w:val="right"/>
              <w:rPr>
                <w:rFonts w:ascii="Arial" w:hAnsi="Arial" w:cs="Arial"/>
                <w:color w:val="000000"/>
                <w:sz w:val="18"/>
                <w:szCs w:val="20"/>
              </w:rPr>
            </w:pPr>
            <w:r w:rsidRPr="008174E3">
              <w:rPr>
                <w:rFonts w:ascii="Arial" w:hAnsi="Arial" w:cs="Arial"/>
                <w:color w:val="000000"/>
                <w:sz w:val="18"/>
                <w:szCs w:val="20"/>
              </w:rPr>
              <w:t>3</w:t>
            </w:r>
            <w:r w:rsidR="00B85737" w:rsidRPr="008174E3">
              <w:rPr>
                <w:rFonts w:ascii="Arial" w:hAnsi="Arial" w:cs="Arial"/>
                <w:color w:val="000000"/>
                <w:sz w:val="18"/>
                <w:szCs w:val="20"/>
              </w:rPr>
              <w:t>,0</w:t>
            </w:r>
            <w:r w:rsidRPr="008174E3">
              <w:rPr>
                <w:rFonts w:ascii="Arial" w:hAnsi="Arial" w:cs="Arial"/>
                <w:color w:val="000000"/>
                <w:sz w:val="18"/>
                <w:szCs w:val="20"/>
              </w:rPr>
              <w:t xml:space="preserve"> pp.</w:t>
            </w:r>
            <w:r w:rsidR="008A57D0" w:rsidRPr="008174E3">
              <w:rPr>
                <w:rFonts w:ascii="Arial" w:hAnsi="Arial" w:cs="Arial"/>
                <w:color w:val="000000"/>
                <w:sz w:val="18"/>
                <w:szCs w:val="20"/>
              </w:rPr>
              <w:t xml:space="preserve"> Hombre</w:t>
            </w:r>
          </w:p>
          <w:p w14:paraId="00128034" w14:textId="085F56C1" w:rsidR="008A57D0" w:rsidRPr="008174E3" w:rsidRDefault="008A57D0">
            <w:pPr>
              <w:jc w:val="right"/>
              <w:rPr>
                <w:rFonts w:ascii="Arial" w:hAnsi="Arial" w:cs="Arial"/>
                <w:color w:val="000000"/>
                <w:sz w:val="18"/>
                <w:szCs w:val="20"/>
              </w:rPr>
            </w:pPr>
            <w:r w:rsidRPr="008174E3">
              <w:rPr>
                <w:rFonts w:ascii="Arial" w:hAnsi="Arial" w:cs="Arial"/>
                <w:color w:val="000000"/>
                <w:sz w:val="18"/>
                <w:szCs w:val="20"/>
              </w:rPr>
              <w:t xml:space="preserve">3,5 pp. Mujeres </w:t>
            </w:r>
          </w:p>
        </w:tc>
        <w:tc>
          <w:tcPr>
            <w:tcW w:w="3400" w:type="dxa"/>
            <w:gridSpan w:val="2"/>
            <w:tcBorders>
              <w:top w:val="nil"/>
              <w:left w:val="nil"/>
              <w:bottom w:val="nil"/>
              <w:right w:val="nil"/>
            </w:tcBorders>
            <w:shd w:val="clear" w:color="000000" w:fill="FFFFFF"/>
            <w:noWrap/>
            <w:vAlign w:val="center"/>
            <w:hideMark/>
          </w:tcPr>
          <w:p w14:paraId="60CCEB1C" w14:textId="248D2008" w:rsidR="00F14603" w:rsidRPr="008174E3" w:rsidRDefault="00F14603">
            <w:pPr>
              <w:jc w:val="right"/>
              <w:rPr>
                <w:rFonts w:ascii="Arial" w:hAnsi="Arial" w:cs="Arial"/>
                <w:color w:val="000000"/>
                <w:sz w:val="18"/>
                <w:szCs w:val="20"/>
              </w:rPr>
            </w:pPr>
            <w:r w:rsidRPr="008174E3">
              <w:rPr>
                <w:rFonts w:ascii="Arial" w:hAnsi="Arial" w:cs="Arial"/>
                <w:color w:val="000000"/>
                <w:sz w:val="18"/>
                <w:szCs w:val="20"/>
              </w:rPr>
              <w:t>6</w:t>
            </w:r>
            <w:r w:rsidR="00B85737" w:rsidRPr="008174E3">
              <w:rPr>
                <w:rFonts w:ascii="Arial" w:hAnsi="Arial" w:cs="Arial"/>
                <w:color w:val="000000"/>
                <w:sz w:val="18"/>
                <w:szCs w:val="20"/>
              </w:rPr>
              <w:t>,0</w:t>
            </w:r>
            <w:r w:rsidRPr="008174E3">
              <w:rPr>
                <w:rFonts w:ascii="Arial" w:hAnsi="Arial" w:cs="Arial"/>
                <w:color w:val="000000"/>
                <w:sz w:val="18"/>
                <w:szCs w:val="20"/>
              </w:rPr>
              <w:t xml:space="preserve"> pp.</w:t>
            </w:r>
          </w:p>
        </w:tc>
      </w:tr>
      <w:tr w:rsidR="00F14603" w:rsidRPr="008174E3" w14:paraId="716C53F9" w14:textId="77777777" w:rsidTr="0070754E">
        <w:trPr>
          <w:gridAfter w:val="1"/>
          <w:wAfter w:w="250" w:type="dxa"/>
          <w:trHeight w:val="285"/>
        </w:trPr>
        <w:tc>
          <w:tcPr>
            <w:tcW w:w="4050" w:type="dxa"/>
            <w:tcBorders>
              <w:top w:val="nil"/>
              <w:left w:val="nil"/>
              <w:bottom w:val="nil"/>
              <w:right w:val="nil"/>
            </w:tcBorders>
            <w:shd w:val="clear" w:color="000000" w:fill="FFFFFF"/>
            <w:noWrap/>
            <w:vAlign w:val="center"/>
            <w:hideMark/>
          </w:tcPr>
          <w:p w14:paraId="18056A6B" w14:textId="77777777" w:rsidR="00F14603" w:rsidRPr="008174E3" w:rsidRDefault="00F14603">
            <w:pPr>
              <w:rPr>
                <w:rFonts w:ascii="Arial" w:hAnsi="Arial" w:cs="Arial"/>
                <w:color w:val="000000"/>
                <w:sz w:val="18"/>
                <w:szCs w:val="20"/>
              </w:rPr>
            </w:pPr>
            <w:r w:rsidRPr="008174E3">
              <w:rPr>
                <w:rFonts w:ascii="Arial" w:hAnsi="Arial" w:cs="Arial"/>
                <w:color w:val="000000"/>
                <w:sz w:val="18"/>
                <w:szCs w:val="20"/>
              </w:rPr>
              <w:t>Impacto asociado a formalidad</w:t>
            </w:r>
          </w:p>
        </w:tc>
        <w:tc>
          <w:tcPr>
            <w:tcW w:w="2540" w:type="dxa"/>
            <w:tcBorders>
              <w:top w:val="nil"/>
              <w:left w:val="nil"/>
              <w:bottom w:val="nil"/>
              <w:right w:val="nil"/>
            </w:tcBorders>
            <w:shd w:val="clear" w:color="000000" w:fill="FFFFFF"/>
            <w:noWrap/>
            <w:vAlign w:val="center"/>
            <w:hideMark/>
          </w:tcPr>
          <w:p w14:paraId="22D047CA" w14:textId="77777777" w:rsidR="00F14603" w:rsidRPr="008174E3" w:rsidRDefault="00F14603">
            <w:pPr>
              <w:jc w:val="right"/>
              <w:rPr>
                <w:rFonts w:ascii="Arial" w:hAnsi="Arial" w:cs="Arial"/>
                <w:color w:val="000000"/>
                <w:sz w:val="18"/>
                <w:szCs w:val="20"/>
              </w:rPr>
            </w:pPr>
            <w:r w:rsidRPr="008174E3">
              <w:rPr>
                <w:rFonts w:ascii="Arial" w:hAnsi="Arial" w:cs="Arial"/>
                <w:color w:val="000000"/>
                <w:sz w:val="18"/>
                <w:szCs w:val="20"/>
              </w:rPr>
              <w:t>24% del ingreso de referencia</w:t>
            </w:r>
          </w:p>
        </w:tc>
        <w:tc>
          <w:tcPr>
            <w:tcW w:w="3400" w:type="dxa"/>
            <w:gridSpan w:val="2"/>
            <w:tcBorders>
              <w:top w:val="nil"/>
              <w:left w:val="nil"/>
              <w:bottom w:val="nil"/>
              <w:right w:val="nil"/>
            </w:tcBorders>
            <w:shd w:val="clear" w:color="000000" w:fill="FFFFFF"/>
            <w:noWrap/>
            <w:vAlign w:val="center"/>
            <w:hideMark/>
          </w:tcPr>
          <w:p w14:paraId="2B5EDDB6" w14:textId="77777777" w:rsidR="00F14603" w:rsidRPr="008174E3" w:rsidRDefault="00F14603">
            <w:pPr>
              <w:jc w:val="right"/>
              <w:rPr>
                <w:rFonts w:ascii="Arial" w:hAnsi="Arial" w:cs="Arial"/>
                <w:color w:val="000000"/>
                <w:sz w:val="18"/>
                <w:szCs w:val="20"/>
              </w:rPr>
            </w:pPr>
            <w:r w:rsidRPr="008174E3">
              <w:rPr>
                <w:rFonts w:ascii="Arial" w:hAnsi="Arial" w:cs="Arial"/>
                <w:color w:val="000000"/>
                <w:sz w:val="18"/>
                <w:szCs w:val="20"/>
              </w:rPr>
              <w:t>24% del ingreso de referencia</w:t>
            </w:r>
          </w:p>
        </w:tc>
      </w:tr>
      <w:tr w:rsidR="0070754E" w:rsidRPr="008174E3" w14:paraId="05D1D62F" w14:textId="77777777" w:rsidTr="0070754E">
        <w:trPr>
          <w:trHeight w:val="285"/>
        </w:trPr>
        <w:tc>
          <w:tcPr>
            <w:tcW w:w="4050" w:type="dxa"/>
            <w:tcBorders>
              <w:top w:val="nil"/>
              <w:left w:val="nil"/>
              <w:bottom w:val="nil"/>
              <w:right w:val="nil"/>
            </w:tcBorders>
            <w:shd w:val="clear" w:color="000000" w:fill="FFFFFF"/>
            <w:noWrap/>
            <w:vAlign w:val="center"/>
            <w:hideMark/>
          </w:tcPr>
          <w:p w14:paraId="63DE74E3" w14:textId="77777777" w:rsidR="0070754E" w:rsidRPr="008174E3" w:rsidRDefault="0070754E" w:rsidP="0070754E">
            <w:pPr>
              <w:rPr>
                <w:rFonts w:ascii="Arial" w:hAnsi="Arial" w:cs="Arial"/>
                <w:color w:val="000000"/>
                <w:sz w:val="18"/>
                <w:szCs w:val="20"/>
              </w:rPr>
            </w:pPr>
            <w:r w:rsidRPr="008174E3">
              <w:rPr>
                <w:rFonts w:ascii="Arial" w:hAnsi="Arial" w:cs="Arial"/>
                <w:color w:val="000000"/>
                <w:sz w:val="18"/>
                <w:szCs w:val="20"/>
              </w:rPr>
              <w:t>Impacto asociado a beneficios laborales por formalidad</w:t>
            </w:r>
          </w:p>
        </w:tc>
        <w:tc>
          <w:tcPr>
            <w:tcW w:w="2790" w:type="dxa"/>
            <w:gridSpan w:val="2"/>
            <w:tcBorders>
              <w:top w:val="nil"/>
              <w:left w:val="nil"/>
              <w:bottom w:val="nil"/>
              <w:right w:val="nil"/>
            </w:tcBorders>
            <w:noWrap/>
            <w:vAlign w:val="center"/>
            <w:hideMark/>
          </w:tcPr>
          <w:p w14:paraId="68370500" w14:textId="07B0C28B" w:rsidR="0070754E" w:rsidRPr="008174E3" w:rsidRDefault="0070754E" w:rsidP="0070754E">
            <w:pPr>
              <w:rPr>
                <w:rFonts w:ascii="Arial" w:hAnsi="Arial" w:cs="Arial"/>
                <w:color w:val="000000"/>
                <w:sz w:val="18"/>
                <w:szCs w:val="20"/>
              </w:rPr>
            </w:pPr>
            <w:r w:rsidRPr="008174E3">
              <w:rPr>
                <w:rFonts w:ascii="Arial" w:hAnsi="Arial" w:cs="Arial"/>
                <w:color w:val="000000"/>
                <w:sz w:val="18"/>
                <w:szCs w:val="20"/>
              </w:rPr>
              <w:t>7% del ingreso de referencia</w:t>
            </w:r>
            <w:r w:rsidRPr="008174E3">
              <w:rPr>
                <w:rStyle w:val="FootnoteReference"/>
                <w:rFonts w:ascii="Arial" w:hAnsi="Arial" w:cs="Arial"/>
                <w:color w:val="000000"/>
                <w:sz w:val="18"/>
                <w:szCs w:val="20"/>
              </w:rPr>
              <w:footnoteReference w:id="28"/>
            </w:r>
          </w:p>
        </w:tc>
        <w:tc>
          <w:tcPr>
            <w:tcW w:w="3400" w:type="dxa"/>
            <w:gridSpan w:val="2"/>
            <w:tcBorders>
              <w:top w:val="nil"/>
              <w:left w:val="nil"/>
              <w:bottom w:val="nil"/>
              <w:right w:val="nil"/>
            </w:tcBorders>
            <w:shd w:val="clear" w:color="000000" w:fill="FFFFFF"/>
            <w:noWrap/>
            <w:vAlign w:val="center"/>
            <w:hideMark/>
          </w:tcPr>
          <w:p w14:paraId="21C7B75B" w14:textId="4406E955" w:rsidR="0070754E" w:rsidRPr="008174E3" w:rsidRDefault="0070754E" w:rsidP="0070754E">
            <w:pPr>
              <w:jc w:val="right"/>
              <w:rPr>
                <w:rFonts w:ascii="Arial" w:hAnsi="Arial" w:cs="Arial"/>
                <w:color w:val="000000"/>
                <w:sz w:val="18"/>
                <w:szCs w:val="20"/>
              </w:rPr>
            </w:pPr>
            <w:r w:rsidRPr="008174E3">
              <w:rPr>
                <w:rFonts w:ascii="Arial" w:hAnsi="Arial" w:cs="Arial"/>
                <w:color w:val="000000"/>
                <w:sz w:val="18"/>
                <w:szCs w:val="20"/>
              </w:rPr>
              <w:t>7% del ingreso de referencia</w:t>
            </w:r>
            <w:r w:rsidRPr="008174E3">
              <w:rPr>
                <w:rStyle w:val="FootnoteReference"/>
                <w:rFonts w:ascii="Arial" w:hAnsi="Arial" w:cs="Arial"/>
                <w:color w:val="000000"/>
                <w:sz w:val="18"/>
                <w:szCs w:val="20"/>
              </w:rPr>
              <w:footnoteReference w:id="29"/>
            </w:r>
          </w:p>
        </w:tc>
      </w:tr>
      <w:tr w:rsidR="0070754E" w:rsidRPr="008174E3" w14:paraId="3482A76D" w14:textId="77777777" w:rsidTr="0070754E">
        <w:trPr>
          <w:gridAfter w:val="1"/>
          <w:wAfter w:w="250" w:type="dxa"/>
          <w:trHeight w:val="285"/>
        </w:trPr>
        <w:tc>
          <w:tcPr>
            <w:tcW w:w="4050" w:type="dxa"/>
            <w:tcBorders>
              <w:top w:val="nil"/>
              <w:left w:val="nil"/>
              <w:bottom w:val="nil"/>
              <w:right w:val="nil"/>
            </w:tcBorders>
            <w:shd w:val="clear" w:color="000000" w:fill="FFFFFF"/>
            <w:noWrap/>
            <w:vAlign w:val="center"/>
            <w:hideMark/>
          </w:tcPr>
          <w:p w14:paraId="5E127E6C" w14:textId="77777777" w:rsidR="0070754E" w:rsidRPr="008174E3" w:rsidRDefault="0070754E" w:rsidP="0070754E">
            <w:pPr>
              <w:rPr>
                <w:rFonts w:ascii="Arial" w:hAnsi="Arial" w:cs="Arial"/>
                <w:color w:val="000000"/>
                <w:sz w:val="18"/>
                <w:szCs w:val="20"/>
              </w:rPr>
            </w:pPr>
            <w:r w:rsidRPr="008174E3">
              <w:rPr>
                <w:rFonts w:ascii="Arial" w:hAnsi="Arial" w:cs="Arial"/>
                <w:color w:val="000000"/>
                <w:sz w:val="18"/>
                <w:szCs w:val="20"/>
              </w:rPr>
              <w:t>Beneficiarios intermediados mediante SNE</w:t>
            </w:r>
          </w:p>
        </w:tc>
        <w:tc>
          <w:tcPr>
            <w:tcW w:w="2540" w:type="dxa"/>
            <w:tcBorders>
              <w:top w:val="nil"/>
              <w:left w:val="nil"/>
              <w:bottom w:val="nil"/>
              <w:right w:val="nil"/>
            </w:tcBorders>
            <w:shd w:val="clear" w:color="000000" w:fill="FFFFFF"/>
            <w:noWrap/>
            <w:vAlign w:val="center"/>
            <w:hideMark/>
          </w:tcPr>
          <w:p w14:paraId="0688DBAA" w14:textId="53095753" w:rsidR="0070754E" w:rsidRPr="008174E3" w:rsidRDefault="000C5997" w:rsidP="0070754E">
            <w:pPr>
              <w:jc w:val="right"/>
              <w:rPr>
                <w:rFonts w:ascii="Arial" w:hAnsi="Arial" w:cs="Arial"/>
                <w:color w:val="000000"/>
                <w:sz w:val="18"/>
                <w:szCs w:val="20"/>
              </w:rPr>
            </w:pPr>
            <w:r>
              <w:rPr>
                <w:rFonts w:ascii="Arial" w:hAnsi="Arial" w:cs="Arial"/>
                <w:color w:val="000000"/>
                <w:sz w:val="18"/>
                <w:szCs w:val="20"/>
              </w:rPr>
              <w:t>5</w:t>
            </w:r>
            <w:r w:rsidR="0070754E" w:rsidRPr="008174E3">
              <w:rPr>
                <w:rFonts w:ascii="Arial" w:hAnsi="Arial" w:cs="Arial"/>
                <w:color w:val="000000"/>
                <w:sz w:val="18"/>
                <w:szCs w:val="20"/>
              </w:rPr>
              <w:t>00.000 al año</w:t>
            </w:r>
          </w:p>
        </w:tc>
        <w:tc>
          <w:tcPr>
            <w:tcW w:w="3400" w:type="dxa"/>
            <w:gridSpan w:val="2"/>
            <w:tcBorders>
              <w:top w:val="nil"/>
              <w:left w:val="nil"/>
              <w:bottom w:val="nil"/>
              <w:right w:val="nil"/>
            </w:tcBorders>
            <w:shd w:val="clear" w:color="000000" w:fill="FFFFFF"/>
            <w:noWrap/>
            <w:vAlign w:val="center"/>
            <w:hideMark/>
          </w:tcPr>
          <w:p w14:paraId="4B5FC7D9" w14:textId="4723BED1" w:rsidR="0070754E" w:rsidRPr="008174E3" w:rsidRDefault="000C5997" w:rsidP="0070754E">
            <w:pPr>
              <w:jc w:val="right"/>
              <w:rPr>
                <w:rFonts w:ascii="Arial" w:hAnsi="Arial" w:cs="Arial"/>
                <w:color w:val="000000"/>
                <w:sz w:val="18"/>
                <w:szCs w:val="20"/>
              </w:rPr>
            </w:pPr>
            <w:r>
              <w:rPr>
                <w:rFonts w:ascii="Arial" w:hAnsi="Arial" w:cs="Arial"/>
                <w:color w:val="000000"/>
                <w:sz w:val="18"/>
                <w:szCs w:val="20"/>
              </w:rPr>
              <w:t>76</w:t>
            </w:r>
            <w:r w:rsidR="0070754E" w:rsidRPr="008174E3">
              <w:rPr>
                <w:rFonts w:ascii="Arial" w:hAnsi="Arial" w:cs="Arial"/>
                <w:color w:val="000000"/>
                <w:sz w:val="18"/>
                <w:szCs w:val="20"/>
              </w:rPr>
              <w:t>.000 al año</w:t>
            </w:r>
          </w:p>
        </w:tc>
      </w:tr>
      <w:tr w:rsidR="0070754E" w:rsidRPr="008174E3" w14:paraId="75EBCB0C" w14:textId="77777777" w:rsidTr="0070754E">
        <w:trPr>
          <w:gridAfter w:val="1"/>
          <w:wAfter w:w="250" w:type="dxa"/>
          <w:trHeight w:val="285"/>
        </w:trPr>
        <w:tc>
          <w:tcPr>
            <w:tcW w:w="4050" w:type="dxa"/>
            <w:tcBorders>
              <w:top w:val="nil"/>
              <w:left w:val="nil"/>
              <w:bottom w:val="nil"/>
              <w:right w:val="nil"/>
            </w:tcBorders>
            <w:shd w:val="clear" w:color="000000" w:fill="FFFFFF"/>
            <w:vAlign w:val="center"/>
            <w:hideMark/>
          </w:tcPr>
          <w:p w14:paraId="135DC10A" w14:textId="0BADA863" w:rsidR="0070754E" w:rsidRPr="008174E3" w:rsidRDefault="0070754E" w:rsidP="0070754E">
            <w:pPr>
              <w:rPr>
                <w:rFonts w:ascii="Arial" w:hAnsi="Arial" w:cs="Arial"/>
                <w:color w:val="000000"/>
                <w:sz w:val="18"/>
                <w:szCs w:val="20"/>
              </w:rPr>
            </w:pPr>
            <w:r w:rsidRPr="008174E3">
              <w:rPr>
                <w:rFonts w:ascii="Arial" w:hAnsi="Arial" w:cs="Arial"/>
                <w:color w:val="000000"/>
                <w:sz w:val="18"/>
                <w:szCs w:val="20"/>
              </w:rPr>
              <w:t>Costos directos del componente</w:t>
            </w:r>
            <w:r w:rsidR="00B85737" w:rsidRPr="008174E3">
              <w:rPr>
                <w:rFonts w:ascii="Arial" w:hAnsi="Arial" w:cs="Arial"/>
                <w:color w:val="000000"/>
                <w:sz w:val="18"/>
                <w:szCs w:val="20"/>
              </w:rPr>
              <w:t xml:space="preserve"> (en dólares)</w:t>
            </w:r>
          </w:p>
        </w:tc>
        <w:tc>
          <w:tcPr>
            <w:tcW w:w="2540" w:type="dxa"/>
            <w:tcBorders>
              <w:top w:val="nil"/>
              <w:left w:val="nil"/>
              <w:bottom w:val="nil"/>
              <w:right w:val="nil"/>
            </w:tcBorders>
            <w:shd w:val="clear" w:color="000000" w:fill="FFFFFF"/>
            <w:noWrap/>
            <w:vAlign w:val="center"/>
            <w:hideMark/>
          </w:tcPr>
          <w:p w14:paraId="0EC35834" w14:textId="387400F0" w:rsidR="0070754E" w:rsidRPr="008174E3" w:rsidRDefault="002C3066" w:rsidP="0070754E">
            <w:pPr>
              <w:jc w:val="right"/>
              <w:rPr>
                <w:rFonts w:ascii="Arial" w:hAnsi="Arial" w:cs="Arial"/>
                <w:color w:val="000000"/>
                <w:sz w:val="18"/>
                <w:szCs w:val="20"/>
              </w:rPr>
            </w:pPr>
            <w:r w:rsidRPr="008174E3">
              <w:rPr>
                <w:rFonts w:ascii="Arial" w:hAnsi="Arial" w:cs="Arial"/>
                <w:color w:val="000000"/>
                <w:sz w:val="18"/>
                <w:szCs w:val="20"/>
              </w:rPr>
              <w:t xml:space="preserve"> </w:t>
            </w:r>
            <w:r w:rsidR="000C5997">
              <w:rPr>
                <w:rFonts w:ascii="Arial" w:hAnsi="Arial" w:cs="Arial"/>
                <w:color w:val="000000"/>
                <w:sz w:val="18"/>
                <w:szCs w:val="20"/>
              </w:rPr>
              <w:t>30</w:t>
            </w:r>
            <w:r w:rsidR="00B85737" w:rsidRPr="008174E3">
              <w:rPr>
                <w:rFonts w:ascii="Arial" w:hAnsi="Arial" w:cs="Arial"/>
                <w:color w:val="000000"/>
                <w:sz w:val="18"/>
                <w:szCs w:val="20"/>
              </w:rPr>
              <w:t>.</w:t>
            </w:r>
            <w:r w:rsidR="000C5997">
              <w:rPr>
                <w:rFonts w:ascii="Arial" w:hAnsi="Arial" w:cs="Arial"/>
                <w:color w:val="000000"/>
                <w:sz w:val="18"/>
                <w:szCs w:val="20"/>
              </w:rPr>
              <w:t>0</w:t>
            </w:r>
            <w:r w:rsidR="0070754E" w:rsidRPr="008174E3">
              <w:rPr>
                <w:rFonts w:ascii="Arial" w:hAnsi="Arial" w:cs="Arial"/>
                <w:color w:val="000000"/>
                <w:sz w:val="18"/>
                <w:szCs w:val="20"/>
              </w:rPr>
              <w:t>00</w:t>
            </w:r>
            <w:r w:rsidR="00B85737" w:rsidRPr="008174E3">
              <w:rPr>
                <w:rFonts w:ascii="Arial" w:hAnsi="Arial" w:cs="Arial"/>
                <w:color w:val="000000"/>
                <w:sz w:val="18"/>
                <w:szCs w:val="20"/>
              </w:rPr>
              <w:t>.</w:t>
            </w:r>
            <w:r w:rsidR="0070754E" w:rsidRPr="008174E3">
              <w:rPr>
                <w:rFonts w:ascii="Arial" w:hAnsi="Arial" w:cs="Arial"/>
                <w:color w:val="000000"/>
                <w:sz w:val="18"/>
                <w:szCs w:val="20"/>
              </w:rPr>
              <w:t xml:space="preserve">000 </w:t>
            </w:r>
          </w:p>
        </w:tc>
        <w:tc>
          <w:tcPr>
            <w:tcW w:w="3400" w:type="dxa"/>
            <w:gridSpan w:val="2"/>
            <w:tcBorders>
              <w:top w:val="nil"/>
              <w:left w:val="nil"/>
              <w:bottom w:val="nil"/>
              <w:right w:val="nil"/>
            </w:tcBorders>
            <w:shd w:val="clear" w:color="000000" w:fill="FFFFFF"/>
            <w:noWrap/>
            <w:vAlign w:val="center"/>
            <w:hideMark/>
          </w:tcPr>
          <w:p w14:paraId="771B85E0" w14:textId="5D5258AF" w:rsidR="0070754E" w:rsidRPr="008174E3" w:rsidRDefault="0070754E" w:rsidP="0070754E">
            <w:pPr>
              <w:jc w:val="right"/>
              <w:rPr>
                <w:rFonts w:ascii="Arial" w:hAnsi="Arial" w:cs="Arial"/>
                <w:color w:val="000000"/>
                <w:sz w:val="18"/>
                <w:szCs w:val="20"/>
              </w:rPr>
            </w:pPr>
            <w:r w:rsidRPr="008174E3">
              <w:rPr>
                <w:rFonts w:ascii="Arial" w:hAnsi="Arial" w:cs="Arial"/>
                <w:color w:val="000000"/>
                <w:sz w:val="18"/>
                <w:szCs w:val="20"/>
              </w:rPr>
              <w:t xml:space="preserve"> 1</w:t>
            </w:r>
            <w:r w:rsidR="002C3066" w:rsidRPr="008174E3">
              <w:rPr>
                <w:rFonts w:ascii="Arial" w:hAnsi="Arial" w:cs="Arial"/>
                <w:color w:val="000000"/>
                <w:sz w:val="18"/>
                <w:szCs w:val="20"/>
              </w:rPr>
              <w:t>3</w:t>
            </w:r>
            <w:r w:rsidR="000C5997">
              <w:rPr>
                <w:rFonts w:ascii="Arial" w:hAnsi="Arial" w:cs="Arial"/>
                <w:color w:val="000000"/>
                <w:sz w:val="18"/>
                <w:szCs w:val="20"/>
              </w:rPr>
              <w:t>0</w:t>
            </w:r>
            <w:r w:rsidR="00B85737" w:rsidRPr="008174E3">
              <w:rPr>
                <w:rFonts w:ascii="Arial" w:hAnsi="Arial" w:cs="Arial"/>
                <w:color w:val="000000"/>
                <w:sz w:val="18"/>
                <w:szCs w:val="20"/>
              </w:rPr>
              <w:t>.</w:t>
            </w:r>
            <w:r w:rsidR="000C5997">
              <w:rPr>
                <w:rFonts w:ascii="Arial" w:hAnsi="Arial" w:cs="Arial"/>
                <w:color w:val="000000"/>
                <w:sz w:val="18"/>
                <w:szCs w:val="20"/>
              </w:rPr>
              <w:t>0</w:t>
            </w:r>
            <w:r w:rsidRPr="008174E3">
              <w:rPr>
                <w:rFonts w:ascii="Arial" w:hAnsi="Arial" w:cs="Arial"/>
                <w:color w:val="000000"/>
                <w:sz w:val="18"/>
                <w:szCs w:val="20"/>
              </w:rPr>
              <w:t>00</w:t>
            </w:r>
            <w:r w:rsidR="00B85737" w:rsidRPr="008174E3">
              <w:rPr>
                <w:rFonts w:ascii="Arial" w:hAnsi="Arial" w:cs="Arial"/>
                <w:color w:val="000000"/>
                <w:sz w:val="18"/>
                <w:szCs w:val="20"/>
              </w:rPr>
              <w:t>.</w:t>
            </w:r>
            <w:r w:rsidRPr="008174E3">
              <w:rPr>
                <w:rFonts w:ascii="Arial" w:hAnsi="Arial" w:cs="Arial"/>
                <w:color w:val="000000"/>
                <w:sz w:val="18"/>
                <w:szCs w:val="20"/>
              </w:rPr>
              <w:t xml:space="preserve">000 </w:t>
            </w:r>
          </w:p>
        </w:tc>
      </w:tr>
      <w:tr w:rsidR="0070754E" w:rsidRPr="008174E3" w14:paraId="1ADF45A1" w14:textId="77777777" w:rsidTr="0070754E">
        <w:trPr>
          <w:gridAfter w:val="1"/>
          <w:wAfter w:w="250" w:type="dxa"/>
          <w:trHeight w:val="480"/>
        </w:trPr>
        <w:tc>
          <w:tcPr>
            <w:tcW w:w="4050" w:type="dxa"/>
            <w:tcBorders>
              <w:top w:val="nil"/>
              <w:left w:val="nil"/>
              <w:bottom w:val="nil"/>
              <w:right w:val="nil"/>
            </w:tcBorders>
            <w:shd w:val="clear" w:color="000000" w:fill="FFFFFF"/>
            <w:vAlign w:val="center"/>
            <w:hideMark/>
          </w:tcPr>
          <w:p w14:paraId="71D9821E" w14:textId="00EA8858" w:rsidR="0070754E" w:rsidRPr="008174E3" w:rsidRDefault="0070754E" w:rsidP="0070754E">
            <w:pPr>
              <w:rPr>
                <w:rFonts w:ascii="Arial" w:hAnsi="Arial" w:cs="Arial"/>
                <w:color w:val="000000"/>
                <w:sz w:val="18"/>
                <w:szCs w:val="20"/>
              </w:rPr>
            </w:pPr>
            <w:r w:rsidRPr="008174E3">
              <w:rPr>
                <w:rFonts w:ascii="Arial" w:hAnsi="Arial" w:cs="Arial"/>
                <w:color w:val="000000"/>
                <w:sz w:val="18"/>
                <w:szCs w:val="20"/>
              </w:rPr>
              <w:t>Costos Económicos por beneficiario (Igual a dos días de p</w:t>
            </w:r>
            <w:r w:rsidR="009C77BE" w:rsidRPr="008174E3">
              <w:rPr>
                <w:rFonts w:ascii="Arial" w:hAnsi="Arial" w:cs="Arial"/>
                <w:color w:val="000000"/>
                <w:sz w:val="18"/>
                <w:szCs w:val="20"/>
              </w:rPr>
              <w:t>é</w:t>
            </w:r>
            <w:r w:rsidRPr="008174E3">
              <w:rPr>
                <w:rFonts w:ascii="Arial" w:hAnsi="Arial" w:cs="Arial"/>
                <w:color w:val="000000"/>
                <w:sz w:val="18"/>
                <w:szCs w:val="20"/>
              </w:rPr>
              <w:t>rdida de trabajo</w:t>
            </w:r>
            <w:r w:rsidR="00B85737" w:rsidRPr="008174E3">
              <w:rPr>
                <w:rFonts w:ascii="Arial" w:hAnsi="Arial" w:cs="Arial"/>
                <w:color w:val="000000"/>
                <w:sz w:val="18"/>
                <w:szCs w:val="20"/>
              </w:rPr>
              <w:t>, en dólares)</w:t>
            </w:r>
          </w:p>
        </w:tc>
        <w:tc>
          <w:tcPr>
            <w:tcW w:w="2540" w:type="dxa"/>
            <w:tcBorders>
              <w:top w:val="nil"/>
              <w:left w:val="nil"/>
              <w:bottom w:val="nil"/>
              <w:right w:val="nil"/>
            </w:tcBorders>
            <w:shd w:val="clear" w:color="000000" w:fill="FFFFFF"/>
            <w:vAlign w:val="center"/>
            <w:hideMark/>
          </w:tcPr>
          <w:p w14:paraId="4061B55B" w14:textId="1DC3DAF7" w:rsidR="0070754E" w:rsidRPr="008174E3" w:rsidRDefault="0070754E" w:rsidP="0070754E">
            <w:pPr>
              <w:jc w:val="right"/>
              <w:rPr>
                <w:rFonts w:ascii="Arial" w:hAnsi="Arial" w:cs="Arial"/>
                <w:color w:val="000000"/>
                <w:sz w:val="18"/>
                <w:szCs w:val="20"/>
              </w:rPr>
            </w:pPr>
            <w:r w:rsidRPr="008174E3">
              <w:rPr>
                <w:rFonts w:ascii="Arial" w:hAnsi="Arial" w:cs="Arial"/>
                <w:color w:val="000000"/>
                <w:sz w:val="18"/>
                <w:szCs w:val="20"/>
              </w:rPr>
              <w:t>31</w:t>
            </w:r>
            <w:r w:rsidR="00B85737" w:rsidRPr="008174E3">
              <w:rPr>
                <w:rFonts w:ascii="Arial" w:hAnsi="Arial" w:cs="Arial"/>
                <w:color w:val="000000"/>
                <w:sz w:val="18"/>
                <w:szCs w:val="20"/>
              </w:rPr>
              <w:t>,</w:t>
            </w:r>
            <w:r w:rsidRPr="008174E3">
              <w:rPr>
                <w:rFonts w:ascii="Arial" w:hAnsi="Arial" w:cs="Arial"/>
                <w:color w:val="000000"/>
                <w:sz w:val="18"/>
                <w:szCs w:val="20"/>
              </w:rPr>
              <w:t>25 Hombres</w:t>
            </w:r>
            <w:r w:rsidRPr="008174E3">
              <w:rPr>
                <w:rFonts w:ascii="Arial" w:hAnsi="Arial" w:cs="Arial"/>
                <w:color w:val="000000"/>
                <w:sz w:val="18"/>
                <w:szCs w:val="20"/>
              </w:rPr>
              <w:br/>
              <w:t>2</w:t>
            </w:r>
            <w:r w:rsidR="00262BE2" w:rsidRPr="008174E3">
              <w:rPr>
                <w:rFonts w:ascii="Arial" w:hAnsi="Arial" w:cs="Arial"/>
                <w:color w:val="000000"/>
                <w:sz w:val="18"/>
                <w:szCs w:val="20"/>
              </w:rPr>
              <w:t>1</w:t>
            </w:r>
            <w:r w:rsidR="00B85737" w:rsidRPr="008174E3">
              <w:rPr>
                <w:rFonts w:ascii="Arial" w:hAnsi="Arial" w:cs="Arial"/>
                <w:color w:val="000000"/>
                <w:sz w:val="18"/>
                <w:szCs w:val="20"/>
              </w:rPr>
              <w:t>,</w:t>
            </w:r>
            <w:r w:rsidRPr="008174E3">
              <w:rPr>
                <w:rFonts w:ascii="Arial" w:hAnsi="Arial" w:cs="Arial"/>
                <w:color w:val="000000"/>
                <w:sz w:val="18"/>
                <w:szCs w:val="20"/>
              </w:rPr>
              <w:t>90 Mujeres</w:t>
            </w:r>
          </w:p>
        </w:tc>
        <w:tc>
          <w:tcPr>
            <w:tcW w:w="3400" w:type="dxa"/>
            <w:gridSpan w:val="2"/>
            <w:tcBorders>
              <w:top w:val="nil"/>
              <w:left w:val="nil"/>
              <w:bottom w:val="nil"/>
              <w:right w:val="nil"/>
            </w:tcBorders>
            <w:shd w:val="clear" w:color="000000" w:fill="FFFFFF"/>
            <w:vAlign w:val="center"/>
            <w:hideMark/>
          </w:tcPr>
          <w:p w14:paraId="7F7732A8" w14:textId="77777777" w:rsidR="0070754E" w:rsidRPr="008174E3" w:rsidRDefault="0070754E" w:rsidP="0070754E">
            <w:pPr>
              <w:jc w:val="right"/>
              <w:rPr>
                <w:rFonts w:ascii="Arial" w:hAnsi="Arial" w:cs="Arial"/>
                <w:color w:val="000000"/>
                <w:sz w:val="18"/>
                <w:szCs w:val="20"/>
              </w:rPr>
            </w:pPr>
            <w:r w:rsidRPr="008174E3">
              <w:rPr>
                <w:rFonts w:ascii="Arial" w:hAnsi="Arial" w:cs="Arial"/>
                <w:color w:val="000000"/>
                <w:sz w:val="18"/>
                <w:szCs w:val="20"/>
              </w:rPr>
              <w:t>Se asume un costo de oportunidad igual al estipendio recibido por los programas</w:t>
            </w:r>
          </w:p>
        </w:tc>
      </w:tr>
      <w:tr w:rsidR="0070754E" w:rsidRPr="008174E3" w14:paraId="7C9E0DF8" w14:textId="77777777" w:rsidTr="0070754E">
        <w:trPr>
          <w:gridAfter w:val="1"/>
          <w:wAfter w:w="250" w:type="dxa"/>
          <w:trHeight w:val="300"/>
        </w:trPr>
        <w:tc>
          <w:tcPr>
            <w:tcW w:w="4050" w:type="dxa"/>
            <w:tcBorders>
              <w:top w:val="nil"/>
              <w:left w:val="nil"/>
              <w:bottom w:val="single" w:sz="8" w:space="0" w:color="auto"/>
              <w:right w:val="nil"/>
            </w:tcBorders>
            <w:shd w:val="clear" w:color="000000" w:fill="FFFFFF"/>
            <w:noWrap/>
            <w:vAlign w:val="center"/>
            <w:hideMark/>
          </w:tcPr>
          <w:p w14:paraId="027EE8DD" w14:textId="77777777" w:rsidR="0070754E" w:rsidRPr="008174E3" w:rsidRDefault="0070754E" w:rsidP="0070754E">
            <w:pPr>
              <w:rPr>
                <w:rFonts w:ascii="Arial" w:hAnsi="Arial" w:cs="Arial"/>
                <w:color w:val="000000"/>
                <w:sz w:val="18"/>
                <w:szCs w:val="20"/>
              </w:rPr>
            </w:pPr>
            <w:r w:rsidRPr="008174E3">
              <w:rPr>
                <w:rFonts w:ascii="Arial" w:hAnsi="Arial" w:cs="Arial"/>
                <w:color w:val="000000"/>
                <w:sz w:val="18"/>
                <w:szCs w:val="20"/>
              </w:rPr>
              <w:t>Tiempo de impacto del componente</w:t>
            </w:r>
          </w:p>
        </w:tc>
        <w:tc>
          <w:tcPr>
            <w:tcW w:w="2540" w:type="dxa"/>
            <w:tcBorders>
              <w:top w:val="nil"/>
              <w:left w:val="nil"/>
              <w:bottom w:val="single" w:sz="8" w:space="0" w:color="auto"/>
              <w:right w:val="nil"/>
            </w:tcBorders>
            <w:shd w:val="clear" w:color="000000" w:fill="FFFFFF"/>
            <w:noWrap/>
            <w:vAlign w:val="center"/>
            <w:hideMark/>
          </w:tcPr>
          <w:p w14:paraId="59B822AD" w14:textId="77777777" w:rsidR="0070754E" w:rsidRPr="008174E3" w:rsidRDefault="0070754E" w:rsidP="0070754E">
            <w:pPr>
              <w:jc w:val="right"/>
              <w:rPr>
                <w:rFonts w:ascii="Arial" w:hAnsi="Arial" w:cs="Arial"/>
                <w:color w:val="000000"/>
                <w:sz w:val="18"/>
                <w:szCs w:val="20"/>
              </w:rPr>
            </w:pPr>
            <w:r w:rsidRPr="008174E3">
              <w:rPr>
                <w:rFonts w:ascii="Arial" w:hAnsi="Arial" w:cs="Arial"/>
                <w:color w:val="000000"/>
                <w:sz w:val="18"/>
                <w:szCs w:val="20"/>
              </w:rPr>
              <w:t>2</w:t>
            </w:r>
          </w:p>
        </w:tc>
        <w:tc>
          <w:tcPr>
            <w:tcW w:w="3400" w:type="dxa"/>
            <w:gridSpan w:val="2"/>
            <w:tcBorders>
              <w:top w:val="nil"/>
              <w:left w:val="nil"/>
              <w:bottom w:val="single" w:sz="8" w:space="0" w:color="auto"/>
              <w:right w:val="nil"/>
            </w:tcBorders>
            <w:shd w:val="clear" w:color="000000" w:fill="FFFFFF"/>
            <w:noWrap/>
            <w:vAlign w:val="center"/>
            <w:hideMark/>
          </w:tcPr>
          <w:p w14:paraId="08173021" w14:textId="77777777" w:rsidR="0070754E" w:rsidRPr="008174E3" w:rsidRDefault="0070754E" w:rsidP="0070754E">
            <w:pPr>
              <w:jc w:val="right"/>
              <w:rPr>
                <w:rFonts w:ascii="Arial" w:hAnsi="Arial" w:cs="Arial"/>
                <w:color w:val="000000"/>
                <w:sz w:val="18"/>
                <w:szCs w:val="20"/>
              </w:rPr>
            </w:pPr>
            <w:r w:rsidRPr="008174E3">
              <w:rPr>
                <w:rFonts w:ascii="Arial" w:hAnsi="Arial" w:cs="Arial"/>
                <w:color w:val="000000"/>
                <w:sz w:val="18"/>
                <w:szCs w:val="20"/>
              </w:rPr>
              <w:t>10</w:t>
            </w:r>
          </w:p>
        </w:tc>
      </w:tr>
    </w:tbl>
    <w:p w14:paraId="34C0D35D" w14:textId="43774A9E" w:rsidR="0037611C" w:rsidRPr="008174E3" w:rsidRDefault="0037611C" w:rsidP="0037611C">
      <w:pPr>
        <w:rPr>
          <w:rFonts w:ascii="Arial" w:hAnsi="Arial" w:cs="Arial"/>
        </w:rPr>
      </w:pPr>
    </w:p>
    <w:p w14:paraId="52765E5F" w14:textId="7DB3FF02" w:rsidR="0037611C" w:rsidRPr="008174E3" w:rsidRDefault="00444B75" w:rsidP="00B0718A">
      <w:pPr>
        <w:jc w:val="both"/>
        <w:rPr>
          <w:rFonts w:ascii="Arial" w:hAnsi="Arial" w:cs="Arial"/>
          <w:sz w:val="22"/>
          <w:szCs w:val="22"/>
        </w:rPr>
      </w:pPr>
      <w:r w:rsidRPr="008174E3">
        <w:rPr>
          <w:rFonts w:ascii="Arial" w:hAnsi="Arial" w:cs="Arial"/>
          <w:sz w:val="22"/>
          <w:szCs w:val="22"/>
        </w:rPr>
        <w:t>Adicionalmente, se pre</w:t>
      </w:r>
      <w:r w:rsidR="0037611C" w:rsidRPr="008174E3">
        <w:rPr>
          <w:rFonts w:ascii="Arial" w:hAnsi="Arial" w:cs="Arial"/>
          <w:sz w:val="22"/>
          <w:szCs w:val="22"/>
        </w:rPr>
        <w:t>se</w:t>
      </w:r>
      <w:r w:rsidRPr="008174E3">
        <w:rPr>
          <w:rFonts w:ascii="Arial" w:hAnsi="Arial" w:cs="Arial"/>
          <w:sz w:val="22"/>
          <w:szCs w:val="22"/>
        </w:rPr>
        <w:t>n</w:t>
      </w:r>
      <w:r w:rsidR="0037611C" w:rsidRPr="008174E3">
        <w:rPr>
          <w:rFonts w:ascii="Arial" w:hAnsi="Arial" w:cs="Arial"/>
          <w:sz w:val="22"/>
          <w:szCs w:val="22"/>
        </w:rPr>
        <w:t xml:space="preserve">tan </w:t>
      </w:r>
      <w:r w:rsidRPr="008174E3">
        <w:rPr>
          <w:rFonts w:ascii="Arial" w:hAnsi="Arial" w:cs="Arial"/>
          <w:sz w:val="22"/>
          <w:szCs w:val="22"/>
        </w:rPr>
        <w:t xml:space="preserve">la forma de </w:t>
      </w:r>
      <w:r w:rsidR="0007065C" w:rsidRPr="008174E3">
        <w:rPr>
          <w:rFonts w:ascii="Arial" w:hAnsi="Arial" w:cs="Arial"/>
          <w:sz w:val="22"/>
          <w:szCs w:val="22"/>
        </w:rPr>
        <w:t>cálculo</w:t>
      </w:r>
      <w:r w:rsidR="0037611C" w:rsidRPr="008174E3">
        <w:rPr>
          <w:rFonts w:ascii="Arial" w:hAnsi="Arial" w:cs="Arial"/>
          <w:sz w:val="22"/>
          <w:szCs w:val="22"/>
        </w:rPr>
        <w:t xml:space="preserve"> de beneficios y costos para los buscadores de empleo atendidos por el programa en sus dos componentes</w:t>
      </w:r>
      <w:r w:rsidRPr="008174E3">
        <w:rPr>
          <w:rFonts w:ascii="Arial" w:hAnsi="Arial" w:cs="Arial"/>
          <w:sz w:val="22"/>
          <w:szCs w:val="22"/>
        </w:rPr>
        <w:t xml:space="preserve"> en el Anexo</w:t>
      </w:r>
      <w:r w:rsidR="00755A0E" w:rsidRPr="008174E3">
        <w:rPr>
          <w:rFonts w:ascii="Arial" w:hAnsi="Arial" w:cs="Arial"/>
          <w:sz w:val="22"/>
          <w:szCs w:val="22"/>
        </w:rPr>
        <w:t xml:space="preserve"> en </w:t>
      </w:r>
      <w:r w:rsidR="00827E44" w:rsidRPr="008174E3">
        <w:rPr>
          <w:rFonts w:ascii="Arial" w:hAnsi="Arial" w:cs="Arial"/>
          <w:sz w:val="22"/>
          <w:szCs w:val="22"/>
        </w:rPr>
        <w:t>el Cuadro </w:t>
      </w:r>
      <w:r w:rsidR="00206363" w:rsidRPr="008174E3">
        <w:rPr>
          <w:rFonts w:ascii="Arial" w:hAnsi="Arial" w:cs="Arial"/>
          <w:sz w:val="22"/>
          <w:szCs w:val="22"/>
        </w:rPr>
        <w:t>A11</w:t>
      </w:r>
      <w:r w:rsidR="0037611C" w:rsidRPr="008174E3">
        <w:rPr>
          <w:rFonts w:ascii="Arial" w:hAnsi="Arial" w:cs="Arial"/>
          <w:sz w:val="22"/>
          <w:szCs w:val="22"/>
        </w:rPr>
        <w:t>.</w:t>
      </w:r>
    </w:p>
    <w:p w14:paraId="60EBF2DB" w14:textId="1BBC8FD7" w:rsidR="00444B75" w:rsidRPr="008174E3" w:rsidRDefault="00444B75" w:rsidP="0037611C">
      <w:pPr>
        <w:rPr>
          <w:rFonts w:ascii="Arial" w:hAnsi="Arial" w:cs="Arial"/>
        </w:rPr>
      </w:pPr>
    </w:p>
    <w:p w14:paraId="634661B7" w14:textId="1FFCDC3E" w:rsidR="00CD604D" w:rsidRPr="008174E3" w:rsidRDefault="00CD604D" w:rsidP="00A962D3">
      <w:pPr>
        <w:pStyle w:val="ListParagraph"/>
        <w:numPr>
          <w:ilvl w:val="1"/>
          <w:numId w:val="7"/>
        </w:numPr>
        <w:spacing w:before="120"/>
        <w:jc w:val="both"/>
        <w:rPr>
          <w:rFonts w:ascii="Arial" w:hAnsi="Arial" w:cs="Arial"/>
          <w:b/>
        </w:rPr>
      </w:pPr>
      <w:r w:rsidRPr="008174E3">
        <w:rPr>
          <w:rFonts w:ascii="Arial" w:hAnsi="Arial" w:cs="Arial"/>
          <w:b/>
        </w:rPr>
        <w:t>Retornos Económicos del Fortalecimiento del SNE</w:t>
      </w:r>
    </w:p>
    <w:p w14:paraId="04331B46" w14:textId="77777777" w:rsidR="00634271" w:rsidRPr="008174E3" w:rsidRDefault="00634271" w:rsidP="00634271">
      <w:pPr>
        <w:pStyle w:val="ListParagraph"/>
        <w:autoSpaceDE w:val="0"/>
        <w:autoSpaceDN w:val="0"/>
        <w:adjustRightInd w:val="0"/>
        <w:ind w:left="0"/>
        <w:jc w:val="both"/>
        <w:rPr>
          <w:rFonts w:ascii="Arial" w:hAnsi="Arial" w:cs="Arial"/>
        </w:rPr>
      </w:pPr>
    </w:p>
    <w:p w14:paraId="41F82B21" w14:textId="10D90EC5" w:rsidR="00F65A8C" w:rsidRPr="008174E3" w:rsidRDefault="00827E44" w:rsidP="00B96D87">
      <w:pPr>
        <w:pStyle w:val="ListParagraph"/>
        <w:numPr>
          <w:ilvl w:val="0"/>
          <w:numId w:val="8"/>
        </w:numPr>
        <w:autoSpaceDE w:val="0"/>
        <w:autoSpaceDN w:val="0"/>
        <w:adjustRightInd w:val="0"/>
        <w:ind w:left="0"/>
        <w:jc w:val="both"/>
        <w:rPr>
          <w:rFonts w:ascii="Arial" w:hAnsi="Arial" w:cs="Arial"/>
          <w:sz w:val="22"/>
          <w:szCs w:val="22"/>
        </w:rPr>
      </w:pPr>
      <w:r w:rsidRPr="008174E3">
        <w:rPr>
          <w:rFonts w:ascii="Arial" w:hAnsi="Arial" w:cs="Arial"/>
          <w:sz w:val="22"/>
          <w:szCs w:val="22"/>
        </w:rPr>
        <w:t>El Cuadro </w:t>
      </w:r>
      <w:r w:rsidR="00660D38" w:rsidRPr="008174E3">
        <w:rPr>
          <w:rFonts w:ascii="Arial" w:hAnsi="Arial" w:cs="Arial"/>
          <w:sz w:val="22"/>
          <w:szCs w:val="22"/>
        </w:rPr>
        <w:t>4</w:t>
      </w:r>
      <w:r w:rsidR="000A0C92" w:rsidRPr="008174E3">
        <w:rPr>
          <w:rFonts w:ascii="Arial" w:hAnsi="Arial" w:cs="Arial"/>
          <w:sz w:val="22"/>
          <w:szCs w:val="22"/>
        </w:rPr>
        <w:t xml:space="preserve"> </w:t>
      </w:r>
      <w:r w:rsidR="00F65A8C" w:rsidRPr="008174E3">
        <w:rPr>
          <w:rFonts w:ascii="Arial" w:hAnsi="Arial" w:cs="Arial"/>
          <w:sz w:val="22"/>
          <w:szCs w:val="22"/>
        </w:rPr>
        <w:t xml:space="preserve">presenta el resultado del </w:t>
      </w:r>
      <w:r w:rsidR="00702937" w:rsidRPr="008174E3">
        <w:rPr>
          <w:rFonts w:ascii="Arial" w:hAnsi="Arial" w:cs="Arial"/>
          <w:sz w:val="22"/>
          <w:szCs w:val="22"/>
        </w:rPr>
        <w:t xml:space="preserve">análisis costo-beneficio del componente de </w:t>
      </w:r>
      <w:r w:rsidR="00757583" w:rsidRPr="008174E3">
        <w:rPr>
          <w:rFonts w:ascii="Arial" w:hAnsi="Arial" w:cs="Arial"/>
          <w:sz w:val="22"/>
          <w:szCs w:val="22"/>
        </w:rPr>
        <w:t>fortalecimiento</w:t>
      </w:r>
      <w:r w:rsidR="00660D38" w:rsidRPr="008174E3">
        <w:rPr>
          <w:rFonts w:ascii="Arial" w:hAnsi="Arial" w:cs="Arial"/>
          <w:sz w:val="22"/>
          <w:szCs w:val="22"/>
        </w:rPr>
        <w:t xml:space="preserve"> del SNE</w:t>
      </w:r>
      <w:r w:rsidR="00DF355E" w:rsidRPr="008174E3">
        <w:rPr>
          <w:rFonts w:ascii="Arial" w:hAnsi="Arial" w:cs="Arial"/>
          <w:sz w:val="22"/>
          <w:szCs w:val="22"/>
        </w:rPr>
        <w:t>.</w:t>
      </w:r>
      <w:r w:rsidR="00F65A8C" w:rsidRPr="008174E3">
        <w:rPr>
          <w:rFonts w:ascii="Arial" w:hAnsi="Arial" w:cs="Arial"/>
          <w:sz w:val="22"/>
          <w:szCs w:val="22"/>
        </w:rPr>
        <w:t xml:space="preserve"> </w:t>
      </w:r>
      <w:r w:rsidR="002060F3" w:rsidRPr="008174E3">
        <w:rPr>
          <w:rFonts w:ascii="Arial" w:hAnsi="Arial" w:cs="Arial"/>
          <w:sz w:val="22"/>
          <w:szCs w:val="22"/>
        </w:rPr>
        <w:t xml:space="preserve">La desagregación del flujo de beneficios y costos </w:t>
      </w:r>
      <w:r w:rsidR="00702937" w:rsidRPr="008174E3">
        <w:rPr>
          <w:rFonts w:ascii="Arial" w:hAnsi="Arial" w:cs="Arial"/>
          <w:sz w:val="22"/>
          <w:szCs w:val="22"/>
        </w:rPr>
        <w:t xml:space="preserve">por año </w:t>
      </w:r>
      <w:r w:rsidR="002060F3" w:rsidRPr="008174E3">
        <w:rPr>
          <w:rFonts w:ascii="Arial" w:hAnsi="Arial" w:cs="Arial"/>
          <w:sz w:val="22"/>
          <w:szCs w:val="22"/>
        </w:rPr>
        <w:t xml:space="preserve">se presenta en el Anexo en </w:t>
      </w:r>
      <w:r w:rsidRPr="008174E3">
        <w:rPr>
          <w:rFonts w:ascii="Arial" w:hAnsi="Arial" w:cs="Arial"/>
          <w:sz w:val="22"/>
          <w:szCs w:val="22"/>
        </w:rPr>
        <w:t>el Cuadro </w:t>
      </w:r>
      <w:r w:rsidR="002060F3" w:rsidRPr="008174E3">
        <w:rPr>
          <w:rFonts w:ascii="Arial" w:hAnsi="Arial" w:cs="Arial"/>
          <w:sz w:val="22"/>
          <w:szCs w:val="22"/>
        </w:rPr>
        <w:t>A</w:t>
      </w:r>
      <w:r w:rsidR="00CF3C1C" w:rsidRPr="008174E3">
        <w:rPr>
          <w:rFonts w:ascii="Arial" w:hAnsi="Arial" w:cs="Arial"/>
          <w:sz w:val="22"/>
          <w:szCs w:val="22"/>
        </w:rPr>
        <w:t>7</w:t>
      </w:r>
      <w:r w:rsidR="002060F3" w:rsidRPr="008174E3">
        <w:rPr>
          <w:rFonts w:ascii="Arial" w:hAnsi="Arial" w:cs="Arial"/>
          <w:sz w:val="22"/>
          <w:szCs w:val="22"/>
        </w:rPr>
        <w:t>.</w:t>
      </w:r>
      <w:r w:rsidR="00C2589B" w:rsidRPr="008174E3">
        <w:rPr>
          <w:rFonts w:ascii="Arial" w:hAnsi="Arial" w:cs="Arial"/>
          <w:sz w:val="22"/>
          <w:szCs w:val="22"/>
        </w:rPr>
        <w:t xml:space="preserve"> </w:t>
      </w:r>
    </w:p>
    <w:p w14:paraId="40E472FC" w14:textId="06463CBB" w:rsidR="004024FE" w:rsidRPr="008174E3" w:rsidRDefault="004024FE" w:rsidP="004024FE">
      <w:pPr>
        <w:pStyle w:val="ListParagraph"/>
        <w:autoSpaceDE w:val="0"/>
        <w:autoSpaceDN w:val="0"/>
        <w:adjustRightInd w:val="0"/>
        <w:ind w:left="0"/>
        <w:jc w:val="both"/>
        <w:rPr>
          <w:rFonts w:ascii="Arial" w:hAnsi="Arial" w:cs="Arial"/>
          <w:sz w:val="22"/>
          <w:szCs w:val="22"/>
        </w:rPr>
      </w:pPr>
    </w:p>
    <w:p w14:paraId="57F7BF1F" w14:textId="72185422" w:rsidR="00D77621" w:rsidRPr="008174E3" w:rsidRDefault="00827E44" w:rsidP="00D77621">
      <w:pPr>
        <w:jc w:val="center"/>
        <w:rPr>
          <w:rFonts w:ascii="Arial" w:hAnsi="Arial" w:cs="Arial"/>
          <w:sz w:val="22"/>
          <w:szCs w:val="22"/>
        </w:rPr>
      </w:pPr>
      <w:r w:rsidRPr="008174E3">
        <w:rPr>
          <w:rFonts w:ascii="Arial" w:hAnsi="Arial" w:cs="Arial"/>
          <w:b/>
          <w:sz w:val="22"/>
          <w:szCs w:val="22"/>
        </w:rPr>
        <w:t>Cuadro </w:t>
      </w:r>
      <w:r w:rsidR="00D77621" w:rsidRPr="008174E3">
        <w:rPr>
          <w:rFonts w:ascii="Arial" w:hAnsi="Arial" w:cs="Arial"/>
          <w:b/>
          <w:sz w:val="22"/>
          <w:szCs w:val="22"/>
        </w:rPr>
        <w:t xml:space="preserve">4: Valor Presente Neto </w:t>
      </w:r>
    </w:p>
    <w:tbl>
      <w:tblPr>
        <w:tblW w:w="5818" w:type="dxa"/>
        <w:jc w:val="center"/>
        <w:tblCellMar>
          <w:left w:w="70" w:type="dxa"/>
          <w:right w:w="70" w:type="dxa"/>
        </w:tblCellMar>
        <w:tblLook w:val="04A0" w:firstRow="1" w:lastRow="0" w:firstColumn="1" w:lastColumn="0" w:noHBand="0" w:noVBand="1"/>
      </w:tblPr>
      <w:tblGrid>
        <w:gridCol w:w="4234"/>
        <w:gridCol w:w="1584"/>
      </w:tblGrid>
      <w:tr w:rsidR="00D77621" w:rsidRPr="008174E3" w14:paraId="54CEA011" w14:textId="77777777" w:rsidTr="008A57D0">
        <w:trPr>
          <w:trHeight w:val="360"/>
          <w:jc w:val="center"/>
        </w:trPr>
        <w:tc>
          <w:tcPr>
            <w:tcW w:w="5818" w:type="dxa"/>
            <w:gridSpan w:val="2"/>
            <w:tcBorders>
              <w:top w:val="nil"/>
              <w:left w:val="nil"/>
              <w:bottom w:val="single" w:sz="4" w:space="0" w:color="auto"/>
              <w:right w:val="nil"/>
            </w:tcBorders>
            <w:shd w:val="clear" w:color="000000" w:fill="DDEBF7"/>
            <w:vAlign w:val="bottom"/>
            <w:hideMark/>
          </w:tcPr>
          <w:p w14:paraId="566BDD74" w14:textId="77777777" w:rsidR="00D77621" w:rsidRPr="008174E3" w:rsidRDefault="00D77621" w:rsidP="00B96D87">
            <w:pPr>
              <w:jc w:val="center"/>
              <w:rPr>
                <w:rFonts w:ascii="Arial" w:hAnsi="Arial" w:cs="Arial"/>
                <w:b/>
                <w:bCs/>
                <w:color w:val="000000"/>
                <w:sz w:val="20"/>
                <w:szCs w:val="20"/>
                <w:lang w:eastAsia="es-ES"/>
              </w:rPr>
            </w:pPr>
            <w:r w:rsidRPr="008174E3">
              <w:rPr>
                <w:rFonts w:ascii="Arial" w:hAnsi="Arial" w:cs="Arial"/>
                <w:b/>
                <w:bCs/>
                <w:color w:val="000000"/>
                <w:sz w:val="20"/>
                <w:szCs w:val="20"/>
                <w:lang w:eastAsia="es-ES"/>
              </w:rPr>
              <w:t>Fortalecimiento del SNE</w:t>
            </w:r>
          </w:p>
          <w:p w14:paraId="031B9924" w14:textId="2A60A1E0" w:rsidR="00D77621" w:rsidRPr="008174E3" w:rsidRDefault="00D77621" w:rsidP="00B96D87">
            <w:pPr>
              <w:jc w:val="center"/>
              <w:rPr>
                <w:rFonts w:ascii="Arial" w:hAnsi="Arial" w:cs="Arial"/>
                <w:b/>
                <w:color w:val="000000"/>
                <w:sz w:val="20"/>
                <w:szCs w:val="20"/>
              </w:rPr>
            </w:pPr>
            <w:r w:rsidRPr="008174E3">
              <w:rPr>
                <w:rFonts w:ascii="Arial" w:hAnsi="Arial" w:cs="Arial"/>
                <w:b/>
                <w:bCs/>
                <w:color w:val="000000"/>
                <w:sz w:val="20"/>
                <w:szCs w:val="20"/>
                <w:lang w:eastAsia="es-ES"/>
              </w:rPr>
              <w:t xml:space="preserve">(Millones de </w:t>
            </w:r>
            <w:r w:rsidR="00827E44" w:rsidRPr="008174E3">
              <w:rPr>
                <w:rFonts w:ascii="Arial" w:hAnsi="Arial" w:cs="Arial"/>
                <w:b/>
                <w:bCs/>
                <w:color w:val="000000"/>
                <w:sz w:val="20"/>
                <w:szCs w:val="20"/>
                <w:lang w:eastAsia="es-ES"/>
              </w:rPr>
              <w:t>US$</w:t>
            </w:r>
            <w:r w:rsidRPr="008174E3">
              <w:rPr>
                <w:rFonts w:ascii="Arial" w:hAnsi="Arial" w:cs="Arial"/>
                <w:b/>
                <w:bCs/>
                <w:color w:val="000000"/>
                <w:sz w:val="20"/>
                <w:szCs w:val="20"/>
                <w:lang w:eastAsia="es-ES"/>
              </w:rPr>
              <w:t>)</w:t>
            </w:r>
          </w:p>
        </w:tc>
      </w:tr>
      <w:tr w:rsidR="000C5997" w:rsidRPr="008174E3" w14:paraId="5BA1A32C" w14:textId="77777777" w:rsidTr="008A57D0">
        <w:trPr>
          <w:trHeight w:val="300"/>
          <w:jc w:val="center"/>
        </w:trPr>
        <w:tc>
          <w:tcPr>
            <w:tcW w:w="4234" w:type="dxa"/>
            <w:tcBorders>
              <w:top w:val="nil"/>
              <w:left w:val="nil"/>
              <w:bottom w:val="nil"/>
              <w:right w:val="nil"/>
            </w:tcBorders>
            <w:shd w:val="clear" w:color="000000" w:fill="FFFFFF"/>
            <w:noWrap/>
            <w:vAlign w:val="bottom"/>
            <w:hideMark/>
          </w:tcPr>
          <w:p w14:paraId="15DF898B" w14:textId="77777777" w:rsidR="000C5997" w:rsidRPr="008174E3" w:rsidRDefault="000C5997" w:rsidP="000C5997">
            <w:pPr>
              <w:rPr>
                <w:rFonts w:ascii="Arial" w:hAnsi="Arial" w:cs="Arial"/>
                <w:color w:val="000000"/>
                <w:sz w:val="20"/>
                <w:szCs w:val="20"/>
              </w:rPr>
            </w:pPr>
            <w:r w:rsidRPr="008174E3">
              <w:rPr>
                <w:rFonts w:ascii="Arial" w:hAnsi="Arial" w:cs="Arial"/>
                <w:color w:val="000000"/>
                <w:sz w:val="20"/>
                <w:szCs w:val="20"/>
              </w:rPr>
              <w:t>Valor Presente de los Beneficios</w:t>
            </w:r>
          </w:p>
        </w:tc>
        <w:tc>
          <w:tcPr>
            <w:tcW w:w="1584" w:type="dxa"/>
            <w:tcBorders>
              <w:top w:val="single" w:sz="4" w:space="0" w:color="auto"/>
              <w:left w:val="nil"/>
              <w:bottom w:val="nil"/>
              <w:right w:val="nil"/>
            </w:tcBorders>
            <w:shd w:val="clear" w:color="000000" w:fill="FFFFFF"/>
            <w:noWrap/>
            <w:hideMark/>
          </w:tcPr>
          <w:p w14:paraId="3BAC4A0D" w14:textId="15818F77" w:rsidR="000C5997" w:rsidRPr="008174E3" w:rsidRDefault="000C5997" w:rsidP="000C5997">
            <w:pPr>
              <w:jc w:val="right"/>
              <w:rPr>
                <w:rFonts w:ascii="Arial" w:hAnsi="Arial" w:cs="Arial"/>
                <w:color w:val="000000"/>
                <w:sz w:val="20"/>
                <w:szCs w:val="20"/>
              </w:rPr>
            </w:pPr>
            <w:r w:rsidRPr="000C5997">
              <w:rPr>
                <w:rFonts w:ascii="Arial" w:hAnsi="Arial" w:cs="Arial"/>
                <w:color w:val="000000"/>
                <w:sz w:val="20"/>
                <w:szCs w:val="20"/>
              </w:rPr>
              <w:t xml:space="preserve"> $141</w:t>
            </w:r>
            <w:r>
              <w:rPr>
                <w:rFonts w:ascii="Arial" w:hAnsi="Arial" w:cs="Arial"/>
                <w:color w:val="000000"/>
                <w:sz w:val="20"/>
                <w:szCs w:val="20"/>
              </w:rPr>
              <w:t>,</w:t>
            </w:r>
            <w:r w:rsidRPr="000C5997">
              <w:rPr>
                <w:rFonts w:ascii="Arial" w:hAnsi="Arial" w:cs="Arial"/>
                <w:color w:val="000000"/>
                <w:sz w:val="20"/>
                <w:szCs w:val="20"/>
              </w:rPr>
              <w:t xml:space="preserve">57 </w:t>
            </w:r>
          </w:p>
        </w:tc>
      </w:tr>
      <w:tr w:rsidR="000C5997" w:rsidRPr="008174E3" w14:paraId="1C168598" w14:textId="77777777" w:rsidTr="008A57D0">
        <w:trPr>
          <w:trHeight w:val="300"/>
          <w:jc w:val="center"/>
        </w:trPr>
        <w:tc>
          <w:tcPr>
            <w:tcW w:w="4234" w:type="dxa"/>
            <w:tcBorders>
              <w:top w:val="nil"/>
              <w:left w:val="nil"/>
              <w:bottom w:val="nil"/>
              <w:right w:val="nil"/>
            </w:tcBorders>
            <w:shd w:val="clear" w:color="000000" w:fill="FFFFFF"/>
            <w:noWrap/>
            <w:vAlign w:val="bottom"/>
            <w:hideMark/>
          </w:tcPr>
          <w:p w14:paraId="62FDAFA4" w14:textId="77777777" w:rsidR="000C5997" w:rsidRPr="008174E3" w:rsidRDefault="000C5997" w:rsidP="000C5997">
            <w:pPr>
              <w:rPr>
                <w:rFonts w:ascii="Arial" w:hAnsi="Arial" w:cs="Arial"/>
                <w:color w:val="000000"/>
                <w:sz w:val="20"/>
                <w:szCs w:val="20"/>
              </w:rPr>
            </w:pPr>
            <w:r w:rsidRPr="008174E3">
              <w:rPr>
                <w:rFonts w:ascii="Arial" w:hAnsi="Arial" w:cs="Arial"/>
                <w:color w:val="000000"/>
                <w:sz w:val="20"/>
                <w:szCs w:val="20"/>
              </w:rPr>
              <w:t>Valor Presente de los Costos</w:t>
            </w:r>
          </w:p>
        </w:tc>
        <w:tc>
          <w:tcPr>
            <w:tcW w:w="1584" w:type="dxa"/>
            <w:tcBorders>
              <w:top w:val="nil"/>
              <w:left w:val="nil"/>
              <w:bottom w:val="nil"/>
              <w:right w:val="nil"/>
            </w:tcBorders>
            <w:shd w:val="clear" w:color="000000" w:fill="FFFFFF"/>
            <w:noWrap/>
            <w:hideMark/>
          </w:tcPr>
          <w:p w14:paraId="39480C8E" w14:textId="33DE5524" w:rsidR="000C5997" w:rsidRPr="008174E3" w:rsidRDefault="000C5997" w:rsidP="000C5997">
            <w:pPr>
              <w:jc w:val="right"/>
              <w:rPr>
                <w:rFonts w:ascii="Arial" w:hAnsi="Arial" w:cs="Arial"/>
                <w:color w:val="000000"/>
                <w:sz w:val="20"/>
                <w:szCs w:val="20"/>
              </w:rPr>
            </w:pPr>
            <w:r w:rsidRPr="000C5997">
              <w:rPr>
                <w:rFonts w:ascii="Arial" w:hAnsi="Arial" w:cs="Arial"/>
                <w:color w:val="000000"/>
                <w:sz w:val="20"/>
                <w:szCs w:val="20"/>
              </w:rPr>
              <w:t xml:space="preserve"> $79</w:t>
            </w:r>
            <w:r>
              <w:rPr>
                <w:rFonts w:ascii="Arial" w:hAnsi="Arial" w:cs="Arial"/>
                <w:color w:val="000000"/>
                <w:sz w:val="20"/>
                <w:szCs w:val="20"/>
              </w:rPr>
              <w:t>,</w:t>
            </w:r>
            <w:r w:rsidRPr="000C5997">
              <w:rPr>
                <w:rFonts w:ascii="Arial" w:hAnsi="Arial" w:cs="Arial"/>
                <w:color w:val="000000"/>
                <w:sz w:val="20"/>
                <w:szCs w:val="20"/>
              </w:rPr>
              <w:t xml:space="preserve">38 </w:t>
            </w:r>
          </w:p>
        </w:tc>
      </w:tr>
      <w:tr w:rsidR="000C5997" w:rsidRPr="008174E3" w14:paraId="58EFFCD4" w14:textId="77777777" w:rsidTr="008A57D0">
        <w:trPr>
          <w:trHeight w:val="300"/>
          <w:jc w:val="center"/>
        </w:trPr>
        <w:tc>
          <w:tcPr>
            <w:tcW w:w="4234" w:type="dxa"/>
            <w:tcBorders>
              <w:top w:val="nil"/>
              <w:left w:val="nil"/>
              <w:bottom w:val="nil"/>
              <w:right w:val="nil"/>
            </w:tcBorders>
            <w:shd w:val="clear" w:color="000000" w:fill="FFFFFF"/>
            <w:noWrap/>
            <w:vAlign w:val="bottom"/>
            <w:hideMark/>
          </w:tcPr>
          <w:p w14:paraId="270FE22D" w14:textId="7F57CE6B" w:rsidR="000C5997" w:rsidRPr="008174E3" w:rsidRDefault="000C5997" w:rsidP="000C5997">
            <w:pPr>
              <w:rPr>
                <w:rFonts w:ascii="Arial" w:hAnsi="Arial" w:cs="Arial"/>
                <w:color w:val="000000"/>
                <w:sz w:val="20"/>
                <w:szCs w:val="20"/>
              </w:rPr>
            </w:pPr>
            <w:r w:rsidRPr="008174E3">
              <w:rPr>
                <w:rFonts w:ascii="Arial" w:hAnsi="Arial" w:cs="Arial"/>
                <w:color w:val="000000"/>
                <w:sz w:val="20"/>
                <w:szCs w:val="20"/>
              </w:rPr>
              <w:t>Valor Presente Neto</w:t>
            </w:r>
          </w:p>
        </w:tc>
        <w:tc>
          <w:tcPr>
            <w:tcW w:w="1584" w:type="dxa"/>
            <w:tcBorders>
              <w:top w:val="nil"/>
              <w:left w:val="nil"/>
              <w:bottom w:val="nil"/>
              <w:right w:val="nil"/>
            </w:tcBorders>
            <w:shd w:val="clear" w:color="000000" w:fill="FFFFFF"/>
            <w:noWrap/>
            <w:hideMark/>
          </w:tcPr>
          <w:p w14:paraId="2764968A" w14:textId="6947471E" w:rsidR="000C5997" w:rsidRPr="008174E3" w:rsidRDefault="000C5997" w:rsidP="000C5997">
            <w:pPr>
              <w:jc w:val="right"/>
              <w:rPr>
                <w:rFonts w:ascii="Arial" w:hAnsi="Arial" w:cs="Arial"/>
                <w:color w:val="000000"/>
                <w:sz w:val="20"/>
                <w:szCs w:val="20"/>
              </w:rPr>
            </w:pPr>
            <w:r w:rsidRPr="000C5997">
              <w:rPr>
                <w:rFonts w:ascii="Arial" w:hAnsi="Arial" w:cs="Arial"/>
                <w:color w:val="000000"/>
                <w:sz w:val="20"/>
                <w:szCs w:val="20"/>
              </w:rPr>
              <w:t xml:space="preserve"> $62</w:t>
            </w:r>
            <w:r>
              <w:rPr>
                <w:rFonts w:ascii="Arial" w:hAnsi="Arial" w:cs="Arial"/>
                <w:color w:val="000000"/>
                <w:sz w:val="20"/>
                <w:szCs w:val="20"/>
              </w:rPr>
              <w:t>,</w:t>
            </w:r>
            <w:r w:rsidRPr="000C5997">
              <w:rPr>
                <w:rFonts w:ascii="Arial" w:hAnsi="Arial" w:cs="Arial"/>
                <w:color w:val="000000"/>
                <w:sz w:val="20"/>
                <w:szCs w:val="20"/>
              </w:rPr>
              <w:t xml:space="preserve">19 </w:t>
            </w:r>
          </w:p>
        </w:tc>
      </w:tr>
      <w:tr w:rsidR="000C5997" w:rsidRPr="008174E3" w14:paraId="1D64A8BA" w14:textId="77777777" w:rsidTr="008A57D0">
        <w:trPr>
          <w:trHeight w:val="300"/>
          <w:jc w:val="center"/>
        </w:trPr>
        <w:tc>
          <w:tcPr>
            <w:tcW w:w="4234" w:type="dxa"/>
            <w:tcBorders>
              <w:top w:val="nil"/>
              <w:left w:val="nil"/>
              <w:bottom w:val="nil"/>
              <w:right w:val="nil"/>
            </w:tcBorders>
            <w:shd w:val="clear" w:color="000000" w:fill="FFFFFF"/>
            <w:noWrap/>
            <w:vAlign w:val="bottom"/>
            <w:hideMark/>
          </w:tcPr>
          <w:p w14:paraId="09C342E9" w14:textId="0E7CC2BC" w:rsidR="000C5997" w:rsidRPr="008174E3" w:rsidRDefault="000C5997" w:rsidP="000C5997">
            <w:pPr>
              <w:rPr>
                <w:rFonts w:ascii="Arial" w:hAnsi="Arial" w:cs="Arial"/>
                <w:color w:val="000000"/>
                <w:sz w:val="20"/>
                <w:szCs w:val="20"/>
                <w:lang w:eastAsia="es-ES"/>
              </w:rPr>
            </w:pPr>
            <w:r w:rsidRPr="008174E3">
              <w:rPr>
                <w:rFonts w:ascii="Arial" w:hAnsi="Arial" w:cs="Arial"/>
                <w:color w:val="000000"/>
                <w:sz w:val="20"/>
                <w:szCs w:val="20"/>
                <w:lang w:eastAsia="es-ES"/>
              </w:rPr>
              <w:t xml:space="preserve">Tasa de Retorno </w:t>
            </w:r>
          </w:p>
        </w:tc>
        <w:tc>
          <w:tcPr>
            <w:tcW w:w="1584" w:type="dxa"/>
            <w:tcBorders>
              <w:top w:val="nil"/>
              <w:left w:val="nil"/>
              <w:bottom w:val="nil"/>
              <w:right w:val="nil"/>
            </w:tcBorders>
            <w:shd w:val="clear" w:color="000000" w:fill="FFFFFF"/>
            <w:noWrap/>
            <w:hideMark/>
          </w:tcPr>
          <w:p w14:paraId="22EA9BB8" w14:textId="5975F6DB" w:rsidR="000C5997" w:rsidRPr="008174E3" w:rsidRDefault="000C5997" w:rsidP="000C5997">
            <w:pPr>
              <w:jc w:val="right"/>
              <w:rPr>
                <w:rFonts w:ascii="Arial" w:hAnsi="Arial" w:cs="Arial"/>
                <w:color w:val="000000"/>
                <w:sz w:val="20"/>
                <w:szCs w:val="20"/>
              </w:rPr>
            </w:pPr>
            <w:r w:rsidRPr="000C5997">
              <w:rPr>
                <w:rFonts w:ascii="Arial" w:hAnsi="Arial" w:cs="Arial"/>
                <w:color w:val="000000"/>
                <w:sz w:val="20"/>
                <w:szCs w:val="20"/>
              </w:rPr>
              <w:t>51</w:t>
            </w:r>
            <w:r>
              <w:rPr>
                <w:rFonts w:ascii="Arial" w:hAnsi="Arial" w:cs="Arial"/>
                <w:color w:val="000000"/>
                <w:sz w:val="20"/>
                <w:szCs w:val="20"/>
              </w:rPr>
              <w:t>,</w:t>
            </w:r>
            <w:r w:rsidRPr="000C5997">
              <w:rPr>
                <w:rFonts w:ascii="Arial" w:hAnsi="Arial" w:cs="Arial"/>
                <w:color w:val="000000"/>
                <w:sz w:val="20"/>
                <w:szCs w:val="20"/>
              </w:rPr>
              <w:t>20%</w:t>
            </w:r>
          </w:p>
        </w:tc>
      </w:tr>
      <w:tr w:rsidR="000C5997" w:rsidRPr="008174E3" w14:paraId="3E975AB8" w14:textId="77777777" w:rsidTr="008A57D0">
        <w:trPr>
          <w:trHeight w:val="297"/>
          <w:jc w:val="center"/>
        </w:trPr>
        <w:tc>
          <w:tcPr>
            <w:tcW w:w="4234" w:type="dxa"/>
            <w:tcBorders>
              <w:top w:val="nil"/>
              <w:left w:val="nil"/>
              <w:bottom w:val="single" w:sz="4" w:space="0" w:color="auto"/>
              <w:right w:val="nil"/>
            </w:tcBorders>
            <w:shd w:val="clear" w:color="000000" w:fill="FFFFFF"/>
            <w:noWrap/>
            <w:vAlign w:val="bottom"/>
            <w:hideMark/>
          </w:tcPr>
          <w:p w14:paraId="39A9BAF7" w14:textId="77777777" w:rsidR="000C5997" w:rsidRPr="008174E3" w:rsidRDefault="000C5997" w:rsidP="000C5997">
            <w:pPr>
              <w:rPr>
                <w:rFonts w:ascii="Arial" w:hAnsi="Arial" w:cs="Arial"/>
                <w:color w:val="000000"/>
                <w:sz w:val="20"/>
                <w:szCs w:val="20"/>
              </w:rPr>
            </w:pPr>
            <w:r w:rsidRPr="008174E3">
              <w:rPr>
                <w:rFonts w:ascii="Arial" w:hAnsi="Arial" w:cs="Arial"/>
                <w:color w:val="000000"/>
                <w:sz w:val="20"/>
                <w:szCs w:val="20"/>
              </w:rPr>
              <w:t>Ratio Beneficio – Costo</w:t>
            </w:r>
          </w:p>
        </w:tc>
        <w:tc>
          <w:tcPr>
            <w:tcW w:w="1584" w:type="dxa"/>
            <w:tcBorders>
              <w:top w:val="nil"/>
              <w:left w:val="nil"/>
              <w:bottom w:val="single" w:sz="4" w:space="0" w:color="auto"/>
              <w:right w:val="nil"/>
            </w:tcBorders>
            <w:shd w:val="clear" w:color="000000" w:fill="FFFFFF"/>
            <w:noWrap/>
            <w:hideMark/>
          </w:tcPr>
          <w:p w14:paraId="3F7675F0" w14:textId="6B7C1703" w:rsidR="000C5997" w:rsidRPr="008174E3" w:rsidRDefault="000C5997" w:rsidP="000C5997">
            <w:pPr>
              <w:jc w:val="right"/>
              <w:rPr>
                <w:rFonts w:ascii="Arial" w:hAnsi="Arial" w:cs="Arial"/>
                <w:color w:val="000000"/>
                <w:sz w:val="20"/>
                <w:szCs w:val="20"/>
              </w:rPr>
            </w:pPr>
            <w:r w:rsidRPr="000C5997">
              <w:rPr>
                <w:rFonts w:ascii="Arial" w:hAnsi="Arial" w:cs="Arial"/>
                <w:color w:val="000000"/>
                <w:sz w:val="20"/>
                <w:szCs w:val="20"/>
              </w:rPr>
              <w:t xml:space="preserve"> 1</w:t>
            </w:r>
            <w:r>
              <w:rPr>
                <w:rFonts w:ascii="Arial" w:hAnsi="Arial" w:cs="Arial"/>
                <w:color w:val="000000"/>
                <w:sz w:val="20"/>
                <w:szCs w:val="20"/>
              </w:rPr>
              <w:t>,</w:t>
            </w:r>
            <w:r w:rsidRPr="000C5997">
              <w:rPr>
                <w:rFonts w:ascii="Arial" w:hAnsi="Arial" w:cs="Arial"/>
                <w:color w:val="000000"/>
                <w:sz w:val="20"/>
                <w:szCs w:val="20"/>
              </w:rPr>
              <w:t xml:space="preserve">78 </w:t>
            </w:r>
          </w:p>
        </w:tc>
      </w:tr>
    </w:tbl>
    <w:p w14:paraId="4F801936" w14:textId="77777777" w:rsidR="00D77621" w:rsidRPr="008174E3" w:rsidRDefault="00D77621" w:rsidP="00D77621">
      <w:pPr>
        <w:autoSpaceDE w:val="0"/>
        <w:autoSpaceDN w:val="0"/>
        <w:adjustRightInd w:val="0"/>
        <w:jc w:val="center"/>
        <w:rPr>
          <w:rFonts w:ascii="Arial" w:hAnsi="Arial" w:cs="Arial"/>
          <w:b/>
        </w:rPr>
      </w:pPr>
    </w:p>
    <w:p w14:paraId="225318CC" w14:textId="77777777" w:rsidR="00D77621" w:rsidRPr="008174E3" w:rsidRDefault="00D77621" w:rsidP="00660D38">
      <w:pPr>
        <w:pStyle w:val="ListParagraph"/>
        <w:autoSpaceDE w:val="0"/>
        <w:autoSpaceDN w:val="0"/>
        <w:adjustRightInd w:val="0"/>
        <w:ind w:left="0"/>
        <w:jc w:val="both"/>
        <w:rPr>
          <w:rFonts w:ascii="Arial" w:hAnsi="Arial" w:cs="Arial"/>
        </w:rPr>
      </w:pPr>
    </w:p>
    <w:p w14:paraId="40F39B3A" w14:textId="1BABD226" w:rsidR="006E3370" w:rsidRPr="008174E3" w:rsidRDefault="00B83AEB" w:rsidP="002D5DB3">
      <w:pPr>
        <w:pStyle w:val="ListParagraph"/>
        <w:numPr>
          <w:ilvl w:val="0"/>
          <w:numId w:val="8"/>
        </w:numPr>
        <w:autoSpaceDE w:val="0"/>
        <w:autoSpaceDN w:val="0"/>
        <w:adjustRightInd w:val="0"/>
        <w:ind w:left="0"/>
        <w:jc w:val="both"/>
        <w:rPr>
          <w:rFonts w:ascii="Arial" w:hAnsi="Arial" w:cs="Arial"/>
          <w:sz w:val="22"/>
          <w:szCs w:val="22"/>
        </w:rPr>
      </w:pPr>
      <w:r w:rsidRPr="008174E3">
        <w:rPr>
          <w:rFonts w:ascii="Arial" w:hAnsi="Arial" w:cs="Arial"/>
          <w:sz w:val="22"/>
          <w:szCs w:val="22"/>
        </w:rPr>
        <w:t>En términos de los beneficios</w:t>
      </w:r>
      <w:r w:rsidR="00660D38" w:rsidRPr="008174E3">
        <w:rPr>
          <w:rFonts w:ascii="Arial" w:hAnsi="Arial" w:cs="Arial"/>
          <w:sz w:val="22"/>
          <w:szCs w:val="22"/>
        </w:rPr>
        <w:t xml:space="preserve"> del componente de fortalecimiento del SNE </w:t>
      </w:r>
      <w:r w:rsidR="00702937" w:rsidRPr="008174E3">
        <w:rPr>
          <w:rFonts w:ascii="Arial" w:hAnsi="Arial" w:cs="Arial"/>
          <w:sz w:val="22"/>
          <w:szCs w:val="22"/>
        </w:rPr>
        <w:t xml:space="preserve">se calculan </w:t>
      </w:r>
      <w:r w:rsidR="003C3829" w:rsidRPr="008174E3">
        <w:rPr>
          <w:rFonts w:ascii="Arial" w:hAnsi="Arial" w:cs="Arial"/>
          <w:sz w:val="22"/>
          <w:szCs w:val="22"/>
        </w:rPr>
        <w:t xml:space="preserve">beneficios esperados por </w:t>
      </w:r>
      <w:r w:rsidR="00120727" w:rsidRPr="008174E3">
        <w:rPr>
          <w:rFonts w:ascii="Arial" w:hAnsi="Arial" w:cs="Arial"/>
          <w:sz w:val="22"/>
          <w:szCs w:val="22"/>
        </w:rPr>
        <w:t>US$</w:t>
      </w:r>
      <w:r w:rsidR="00EA72EE" w:rsidRPr="008174E3">
        <w:rPr>
          <w:rFonts w:ascii="Arial" w:hAnsi="Arial" w:cs="Arial"/>
          <w:sz w:val="22"/>
          <w:szCs w:val="22"/>
        </w:rPr>
        <w:t>1</w:t>
      </w:r>
      <w:r w:rsidR="000C5997">
        <w:rPr>
          <w:rFonts w:ascii="Arial" w:hAnsi="Arial" w:cs="Arial"/>
          <w:sz w:val="22"/>
          <w:szCs w:val="22"/>
        </w:rPr>
        <w:t>41</w:t>
      </w:r>
      <w:r w:rsidR="0075413D" w:rsidRPr="008174E3">
        <w:rPr>
          <w:rFonts w:ascii="Arial" w:hAnsi="Arial" w:cs="Arial"/>
          <w:sz w:val="22"/>
          <w:szCs w:val="22"/>
        </w:rPr>
        <w:t>,</w:t>
      </w:r>
      <w:r w:rsidR="000C5997">
        <w:rPr>
          <w:rFonts w:ascii="Arial" w:hAnsi="Arial" w:cs="Arial"/>
          <w:sz w:val="22"/>
          <w:szCs w:val="22"/>
        </w:rPr>
        <w:t>57</w:t>
      </w:r>
      <w:r w:rsidR="003C3829" w:rsidRPr="008174E3">
        <w:rPr>
          <w:rFonts w:ascii="Arial" w:hAnsi="Arial" w:cs="Arial"/>
          <w:sz w:val="22"/>
          <w:szCs w:val="22"/>
        </w:rPr>
        <w:t xml:space="preserve"> millones de dólares, lo que significa</w:t>
      </w:r>
      <w:r w:rsidR="00660D38" w:rsidRPr="008174E3">
        <w:rPr>
          <w:rFonts w:ascii="Arial" w:hAnsi="Arial" w:cs="Arial"/>
          <w:sz w:val="22"/>
          <w:szCs w:val="22"/>
        </w:rPr>
        <w:t xml:space="preserve"> un beneficio neto en valor presente de </w:t>
      </w:r>
      <w:r w:rsidR="00120727" w:rsidRPr="008174E3">
        <w:rPr>
          <w:rFonts w:ascii="Arial" w:hAnsi="Arial" w:cs="Arial"/>
          <w:sz w:val="22"/>
          <w:szCs w:val="22"/>
        </w:rPr>
        <w:t>US$</w:t>
      </w:r>
      <w:r w:rsidR="000C5997">
        <w:rPr>
          <w:rFonts w:ascii="Arial" w:hAnsi="Arial" w:cs="Arial"/>
          <w:sz w:val="22"/>
          <w:szCs w:val="22"/>
        </w:rPr>
        <w:t>62</w:t>
      </w:r>
      <w:r w:rsidR="000460A4" w:rsidRPr="008174E3">
        <w:rPr>
          <w:rFonts w:ascii="Arial" w:hAnsi="Arial" w:cs="Arial"/>
          <w:sz w:val="22"/>
          <w:szCs w:val="22"/>
        </w:rPr>
        <w:t>,</w:t>
      </w:r>
      <w:r w:rsidR="000C5997">
        <w:rPr>
          <w:rFonts w:ascii="Arial" w:hAnsi="Arial" w:cs="Arial"/>
          <w:sz w:val="22"/>
          <w:szCs w:val="22"/>
        </w:rPr>
        <w:t>19</w:t>
      </w:r>
      <w:r w:rsidR="003C3829" w:rsidRPr="008174E3">
        <w:rPr>
          <w:rFonts w:ascii="Arial" w:hAnsi="Arial" w:cs="Arial"/>
          <w:sz w:val="22"/>
          <w:szCs w:val="22"/>
        </w:rPr>
        <w:t xml:space="preserve"> millones. E</w:t>
      </w:r>
      <w:r w:rsidR="002F3AB6" w:rsidRPr="008174E3">
        <w:rPr>
          <w:rFonts w:ascii="Arial" w:hAnsi="Arial" w:cs="Arial"/>
          <w:sz w:val="22"/>
          <w:szCs w:val="22"/>
        </w:rPr>
        <w:t xml:space="preserve">sto a su vez, se traduce en </w:t>
      </w:r>
      <w:r w:rsidR="003C3829" w:rsidRPr="008174E3">
        <w:rPr>
          <w:rFonts w:ascii="Arial" w:hAnsi="Arial" w:cs="Arial"/>
          <w:sz w:val="22"/>
          <w:szCs w:val="22"/>
        </w:rPr>
        <w:t xml:space="preserve">un Ratio Beneficio/Costo de </w:t>
      </w:r>
      <w:r w:rsidR="000460A4" w:rsidRPr="008174E3">
        <w:rPr>
          <w:rFonts w:ascii="Arial" w:hAnsi="Arial" w:cs="Arial"/>
          <w:sz w:val="22"/>
          <w:szCs w:val="22"/>
        </w:rPr>
        <w:t>1</w:t>
      </w:r>
      <w:r w:rsidR="00646AD4" w:rsidRPr="008174E3">
        <w:rPr>
          <w:rFonts w:ascii="Arial" w:hAnsi="Arial" w:cs="Arial"/>
          <w:sz w:val="22"/>
          <w:szCs w:val="22"/>
        </w:rPr>
        <w:t>,</w:t>
      </w:r>
      <w:r w:rsidR="00F01191" w:rsidRPr="008174E3">
        <w:rPr>
          <w:rFonts w:ascii="Arial" w:hAnsi="Arial" w:cs="Arial"/>
          <w:sz w:val="22"/>
          <w:szCs w:val="22"/>
        </w:rPr>
        <w:t>7</w:t>
      </w:r>
      <w:r w:rsidR="000C5997">
        <w:rPr>
          <w:rFonts w:ascii="Arial" w:hAnsi="Arial" w:cs="Arial"/>
          <w:sz w:val="22"/>
          <w:szCs w:val="22"/>
        </w:rPr>
        <w:t>8</w:t>
      </w:r>
      <w:r w:rsidR="00693492" w:rsidRPr="008174E3">
        <w:rPr>
          <w:rFonts w:ascii="Arial" w:hAnsi="Arial" w:cs="Arial"/>
          <w:sz w:val="22"/>
          <w:szCs w:val="22"/>
        </w:rPr>
        <w:t xml:space="preserve"> y una Tasa </w:t>
      </w:r>
      <w:r w:rsidR="00130DC3" w:rsidRPr="008174E3">
        <w:rPr>
          <w:rFonts w:ascii="Arial" w:hAnsi="Arial" w:cs="Arial"/>
          <w:sz w:val="22"/>
          <w:szCs w:val="22"/>
        </w:rPr>
        <w:t xml:space="preserve">de Retorno de </w:t>
      </w:r>
      <w:r w:rsidR="000C5997">
        <w:rPr>
          <w:rFonts w:ascii="Arial" w:hAnsi="Arial" w:cs="Arial"/>
          <w:sz w:val="22"/>
          <w:szCs w:val="22"/>
        </w:rPr>
        <w:t>51</w:t>
      </w:r>
      <w:r w:rsidR="00BB41ED" w:rsidRPr="008174E3">
        <w:rPr>
          <w:rFonts w:ascii="Arial" w:hAnsi="Arial" w:cs="Arial"/>
          <w:sz w:val="22"/>
          <w:szCs w:val="22"/>
        </w:rPr>
        <w:t>,</w:t>
      </w:r>
      <w:r w:rsidR="000C5997">
        <w:rPr>
          <w:rFonts w:ascii="Arial" w:hAnsi="Arial" w:cs="Arial"/>
          <w:sz w:val="22"/>
          <w:szCs w:val="22"/>
        </w:rPr>
        <w:t>20</w:t>
      </w:r>
      <w:r w:rsidR="00130DC3" w:rsidRPr="008174E3">
        <w:rPr>
          <w:rFonts w:ascii="Arial" w:hAnsi="Arial" w:cs="Arial"/>
          <w:sz w:val="22"/>
          <w:szCs w:val="22"/>
        </w:rPr>
        <w:t>%</w:t>
      </w:r>
      <w:r w:rsidR="003C3829" w:rsidRPr="008174E3">
        <w:rPr>
          <w:rFonts w:ascii="Arial" w:hAnsi="Arial" w:cs="Arial"/>
          <w:sz w:val="22"/>
          <w:szCs w:val="22"/>
        </w:rPr>
        <w:t xml:space="preserve">. </w:t>
      </w:r>
    </w:p>
    <w:p w14:paraId="15C56567" w14:textId="74458628" w:rsidR="00A962D3" w:rsidRPr="008174E3" w:rsidRDefault="00A962D3" w:rsidP="00A962D3">
      <w:pPr>
        <w:rPr>
          <w:rFonts w:ascii="Arial" w:hAnsi="Arial" w:cs="Arial"/>
        </w:rPr>
      </w:pPr>
    </w:p>
    <w:p w14:paraId="2A389BBA" w14:textId="18C83367" w:rsidR="00A962D3" w:rsidRPr="008174E3" w:rsidRDefault="00A962D3" w:rsidP="00A962D3">
      <w:pPr>
        <w:pStyle w:val="ListParagraph"/>
        <w:numPr>
          <w:ilvl w:val="1"/>
          <w:numId w:val="7"/>
        </w:numPr>
        <w:spacing w:before="120"/>
        <w:jc w:val="both"/>
        <w:rPr>
          <w:rFonts w:ascii="Arial" w:hAnsi="Arial" w:cs="Arial"/>
          <w:b/>
        </w:rPr>
      </w:pPr>
      <w:r w:rsidRPr="008174E3">
        <w:rPr>
          <w:rFonts w:ascii="Arial" w:hAnsi="Arial" w:cs="Arial"/>
          <w:b/>
        </w:rPr>
        <w:lastRenderedPageBreak/>
        <w:t xml:space="preserve">Retornos Económicos del </w:t>
      </w:r>
      <w:r w:rsidR="00757583" w:rsidRPr="008174E3">
        <w:rPr>
          <w:rFonts w:ascii="Arial" w:hAnsi="Arial" w:cs="Arial"/>
          <w:b/>
        </w:rPr>
        <w:t>Fortalecimiento</w:t>
      </w:r>
      <w:r w:rsidRPr="008174E3">
        <w:rPr>
          <w:rFonts w:ascii="Arial" w:hAnsi="Arial" w:cs="Arial"/>
          <w:b/>
        </w:rPr>
        <w:t xml:space="preserve"> </w:t>
      </w:r>
      <w:r w:rsidR="001755CF" w:rsidRPr="008174E3">
        <w:rPr>
          <w:rFonts w:ascii="Arial" w:hAnsi="Arial" w:cs="Arial"/>
          <w:b/>
        </w:rPr>
        <w:t>del PAE</w:t>
      </w:r>
    </w:p>
    <w:p w14:paraId="48EDC827" w14:textId="531855E5" w:rsidR="00A962D3" w:rsidRPr="008174E3" w:rsidRDefault="00A962D3" w:rsidP="00A962D3">
      <w:pPr>
        <w:pStyle w:val="ListParagraph"/>
        <w:autoSpaceDE w:val="0"/>
        <w:autoSpaceDN w:val="0"/>
        <w:adjustRightInd w:val="0"/>
        <w:ind w:left="0"/>
        <w:jc w:val="both"/>
        <w:rPr>
          <w:rFonts w:ascii="Arial" w:hAnsi="Arial" w:cs="Arial"/>
        </w:rPr>
      </w:pPr>
    </w:p>
    <w:p w14:paraId="224B29D4" w14:textId="7577D7C0" w:rsidR="00660D38" w:rsidRPr="008174E3" w:rsidRDefault="00827E44" w:rsidP="00660D38">
      <w:pPr>
        <w:pStyle w:val="ListParagraph"/>
        <w:numPr>
          <w:ilvl w:val="0"/>
          <w:numId w:val="8"/>
        </w:numPr>
        <w:autoSpaceDE w:val="0"/>
        <w:autoSpaceDN w:val="0"/>
        <w:adjustRightInd w:val="0"/>
        <w:ind w:left="0"/>
        <w:jc w:val="both"/>
        <w:rPr>
          <w:rFonts w:ascii="Arial" w:hAnsi="Arial" w:cs="Arial"/>
          <w:sz w:val="22"/>
          <w:szCs w:val="22"/>
        </w:rPr>
      </w:pPr>
      <w:r w:rsidRPr="008174E3">
        <w:rPr>
          <w:rFonts w:ascii="Arial" w:hAnsi="Arial" w:cs="Arial"/>
          <w:sz w:val="22"/>
          <w:szCs w:val="22"/>
        </w:rPr>
        <w:t>El Cuadro </w:t>
      </w:r>
      <w:r w:rsidR="00693492" w:rsidRPr="008174E3">
        <w:rPr>
          <w:rFonts w:ascii="Arial" w:hAnsi="Arial" w:cs="Arial"/>
          <w:sz w:val="22"/>
          <w:szCs w:val="22"/>
        </w:rPr>
        <w:t>5</w:t>
      </w:r>
      <w:r w:rsidR="00660D38" w:rsidRPr="008174E3">
        <w:rPr>
          <w:rFonts w:ascii="Arial" w:hAnsi="Arial" w:cs="Arial"/>
          <w:sz w:val="22"/>
          <w:szCs w:val="22"/>
        </w:rPr>
        <w:t xml:space="preserve"> presenta el resultado del análisis costo-beneficio del componente de fortalecimiento </w:t>
      </w:r>
      <w:r w:rsidR="001755CF" w:rsidRPr="008174E3">
        <w:rPr>
          <w:rFonts w:ascii="Arial" w:hAnsi="Arial" w:cs="Arial"/>
          <w:sz w:val="22"/>
          <w:szCs w:val="22"/>
        </w:rPr>
        <w:t>del PAE</w:t>
      </w:r>
      <w:r w:rsidR="00660D38" w:rsidRPr="008174E3">
        <w:rPr>
          <w:rFonts w:ascii="Arial" w:hAnsi="Arial" w:cs="Arial"/>
          <w:sz w:val="22"/>
          <w:szCs w:val="22"/>
        </w:rPr>
        <w:t xml:space="preserve">. La desagregación del flujo de beneficios y costos por año se presenta en el Anexo en </w:t>
      </w:r>
      <w:r w:rsidRPr="008174E3">
        <w:rPr>
          <w:rFonts w:ascii="Arial" w:hAnsi="Arial" w:cs="Arial"/>
          <w:sz w:val="22"/>
          <w:szCs w:val="22"/>
        </w:rPr>
        <w:t>el Cuadro </w:t>
      </w:r>
      <w:r w:rsidR="00660D38" w:rsidRPr="008174E3">
        <w:rPr>
          <w:rFonts w:ascii="Arial" w:hAnsi="Arial" w:cs="Arial"/>
          <w:sz w:val="22"/>
          <w:szCs w:val="22"/>
        </w:rPr>
        <w:t>A</w:t>
      </w:r>
      <w:r w:rsidR="00CF3C1C" w:rsidRPr="008174E3">
        <w:rPr>
          <w:rFonts w:ascii="Arial" w:hAnsi="Arial" w:cs="Arial"/>
          <w:sz w:val="22"/>
          <w:szCs w:val="22"/>
        </w:rPr>
        <w:t>8</w:t>
      </w:r>
      <w:r w:rsidR="00660D38" w:rsidRPr="008174E3">
        <w:rPr>
          <w:rFonts w:ascii="Arial" w:hAnsi="Arial" w:cs="Arial"/>
          <w:sz w:val="22"/>
          <w:szCs w:val="22"/>
        </w:rPr>
        <w:t>.</w:t>
      </w:r>
    </w:p>
    <w:p w14:paraId="5C5D1387" w14:textId="77777777" w:rsidR="00AF639F" w:rsidRPr="008174E3" w:rsidRDefault="00AF639F" w:rsidP="00AF639F">
      <w:pPr>
        <w:pStyle w:val="ListParagraph"/>
        <w:autoSpaceDE w:val="0"/>
        <w:autoSpaceDN w:val="0"/>
        <w:adjustRightInd w:val="0"/>
        <w:ind w:left="0"/>
        <w:jc w:val="both"/>
        <w:rPr>
          <w:rFonts w:ascii="Arial" w:hAnsi="Arial" w:cs="Arial"/>
          <w:sz w:val="22"/>
          <w:szCs w:val="22"/>
        </w:rPr>
      </w:pPr>
    </w:p>
    <w:p w14:paraId="6228B842" w14:textId="2A0711F0" w:rsidR="00702937" w:rsidRPr="008174E3" w:rsidRDefault="003C3829" w:rsidP="002D5DB3">
      <w:pPr>
        <w:pStyle w:val="ListParagraph"/>
        <w:numPr>
          <w:ilvl w:val="0"/>
          <w:numId w:val="8"/>
        </w:numPr>
        <w:autoSpaceDE w:val="0"/>
        <w:autoSpaceDN w:val="0"/>
        <w:adjustRightInd w:val="0"/>
        <w:ind w:left="0"/>
        <w:jc w:val="both"/>
        <w:rPr>
          <w:rFonts w:ascii="Arial" w:hAnsi="Arial" w:cs="Arial"/>
          <w:sz w:val="22"/>
          <w:szCs w:val="22"/>
        </w:rPr>
      </w:pPr>
      <w:r w:rsidRPr="008174E3">
        <w:rPr>
          <w:rFonts w:ascii="Arial" w:hAnsi="Arial" w:cs="Arial"/>
          <w:sz w:val="22"/>
          <w:szCs w:val="22"/>
        </w:rPr>
        <w:t xml:space="preserve">Para </w:t>
      </w:r>
      <w:r w:rsidR="00474CDF" w:rsidRPr="008174E3">
        <w:rPr>
          <w:rFonts w:ascii="Arial" w:hAnsi="Arial" w:cs="Arial"/>
          <w:sz w:val="22"/>
          <w:szCs w:val="22"/>
        </w:rPr>
        <w:t>el beneficio de</w:t>
      </w:r>
      <w:r w:rsidR="00660D38" w:rsidRPr="008174E3">
        <w:rPr>
          <w:rFonts w:ascii="Arial" w:hAnsi="Arial" w:cs="Arial"/>
          <w:sz w:val="22"/>
          <w:szCs w:val="22"/>
        </w:rPr>
        <w:t>l componente</w:t>
      </w:r>
      <w:r w:rsidRPr="008174E3">
        <w:rPr>
          <w:rFonts w:ascii="Arial" w:hAnsi="Arial" w:cs="Arial"/>
          <w:sz w:val="22"/>
          <w:szCs w:val="22"/>
        </w:rPr>
        <w:t xml:space="preserve">, bajo los </w:t>
      </w:r>
      <w:r w:rsidR="00A970EE" w:rsidRPr="008174E3">
        <w:rPr>
          <w:rFonts w:ascii="Arial" w:hAnsi="Arial" w:cs="Arial"/>
          <w:sz w:val="22"/>
          <w:szCs w:val="22"/>
        </w:rPr>
        <w:t>supuestos</w:t>
      </w:r>
      <w:r w:rsidRPr="008174E3">
        <w:rPr>
          <w:rFonts w:ascii="Arial" w:hAnsi="Arial" w:cs="Arial"/>
          <w:sz w:val="22"/>
          <w:szCs w:val="22"/>
        </w:rPr>
        <w:t xml:space="preserve"> explicitados, se tiene un beneficio en valor presente por </w:t>
      </w:r>
      <w:r w:rsidR="00FB5B07" w:rsidRPr="008174E3">
        <w:rPr>
          <w:rFonts w:ascii="Arial" w:hAnsi="Arial" w:cs="Arial"/>
          <w:sz w:val="22"/>
          <w:szCs w:val="22"/>
        </w:rPr>
        <w:t>US$</w:t>
      </w:r>
      <w:r w:rsidR="0075413D" w:rsidRPr="008174E3">
        <w:rPr>
          <w:rFonts w:ascii="Arial" w:hAnsi="Arial" w:cs="Arial"/>
          <w:sz w:val="22"/>
          <w:szCs w:val="22"/>
        </w:rPr>
        <w:t>1</w:t>
      </w:r>
      <w:r w:rsidR="000C5997">
        <w:rPr>
          <w:rFonts w:ascii="Arial" w:hAnsi="Arial" w:cs="Arial"/>
          <w:sz w:val="22"/>
          <w:szCs w:val="22"/>
        </w:rPr>
        <w:t>27</w:t>
      </w:r>
      <w:r w:rsidR="00693492" w:rsidRPr="008174E3">
        <w:rPr>
          <w:rFonts w:ascii="Arial" w:hAnsi="Arial" w:cs="Arial"/>
          <w:sz w:val="22"/>
          <w:szCs w:val="22"/>
        </w:rPr>
        <w:t>,</w:t>
      </w:r>
      <w:r w:rsidR="000C5997">
        <w:rPr>
          <w:rFonts w:ascii="Arial" w:hAnsi="Arial" w:cs="Arial"/>
          <w:sz w:val="22"/>
          <w:szCs w:val="22"/>
        </w:rPr>
        <w:t>28</w:t>
      </w:r>
      <w:r w:rsidR="00693492" w:rsidRPr="008174E3">
        <w:rPr>
          <w:rFonts w:ascii="Arial" w:hAnsi="Arial" w:cs="Arial"/>
          <w:sz w:val="22"/>
          <w:szCs w:val="22"/>
        </w:rPr>
        <w:t xml:space="preserve"> </w:t>
      </w:r>
      <w:r w:rsidRPr="008174E3">
        <w:rPr>
          <w:rFonts w:ascii="Arial" w:hAnsi="Arial" w:cs="Arial"/>
          <w:sz w:val="22"/>
          <w:szCs w:val="22"/>
        </w:rPr>
        <w:t xml:space="preserve">millones, que se traducen en un </w:t>
      </w:r>
      <w:r w:rsidR="00A970EE" w:rsidRPr="008174E3">
        <w:rPr>
          <w:rFonts w:ascii="Arial" w:hAnsi="Arial" w:cs="Arial"/>
          <w:sz w:val="22"/>
          <w:szCs w:val="22"/>
        </w:rPr>
        <w:t>beneficio</w:t>
      </w:r>
      <w:r w:rsidR="002F3AB6" w:rsidRPr="008174E3">
        <w:rPr>
          <w:rFonts w:ascii="Arial" w:hAnsi="Arial" w:cs="Arial"/>
          <w:sz w:val="22"/>
          <w:szCs w:val="22"/>
        </w:rPr>
        <w:t xml:space="preserve"> neto económico de </w:t>
      </w:r>
      <w:r w:rsidR="00FB5B07" w:rsidRPr="008174E3">
        <w:rPr>
          <w:rFonts w:ascii="Arial" w:hAnsi="Arial" w:cs="Arial"/>
          <w:sz w:val="22"/>
          <w:szCs w:val="22"/>
        </w:rPr>
        <w:t>US</w:t>
      </w:r>
      <w:r w:rsidR="00693492" w:rsidRPr="008174E3">
        <w:rPr>
          <w:rFonts w:ascii="Arial" w:hAnsi="Arial" w:cs="Arial"/>
          <w:sz w:val="22"/>
          <w:szCs w:val="22"/>
        </w:rPr>
        <w:t>$</w:t>
      </w:r>
      <w:r w:rsidR="0075413D" w:rsidRPr="008174E3">
        <w:rPr>
          <w:rFonts w:ascii="Arial" w:hAnsi="Arial" w:cs="Arial"/>
          <w:sz w:val="22"/>
          <w:szCs w:val="22"/>
        </w:rPr>
        <w:t>25</w:t>
      </w:r>
      <w:r w:rsidR="00A01D5B" w:rsidRPr="008174E3">
        <w:rPr>
          <w:rFonts w:ascii="Arial" w:hAnsi="Arial" w:cs="Arial"/>
          <w:sz w:val="22"/>
          <w:szCs w:val="22"/>
        </w:rPr>
        <w:t>,</w:t>
      </w:r>
      <w:r w:rsidR="0075413D" w:rsidRPr="008174E3">
        <w:rPr>
          <w:rFonts w:ascii="Arial" w:hAnsi="Arial" w:cs="Arial"/>
          <w:sz w:val="22"/>
          <w:szCs w:val="22"/>
        </w:rPr>
        <w:t>13</w:t>
      </w:r>
      <w:r w:rsidR="0057432E" w:rsidRPr="008174E3">
        <w:rPr>
          <w:rFonts w:ascii="Arial" w:hAnsi="Arial" w:cs="Arial"/>
          <w:sz w:val="22"/>
          <w:szCs w:val="22"/>
        </w:rPr>
        <w:t> </w:t>
      </w:r>
      <w:r w:rsidRPr="008174E3">
        <w:rPr>
          <w:rFonts w:ascii="Arial" w:hAnsi="Arial" w:cs="Arial"/>
          <w:sz w:val="22"/>
          <w:szCs w:val="22"/>
        </w:rPr>
        <w:t>millones</w:t>
      </w:r>
      <w:r w:rsidR="00130DC3" w:rsidRPr="008174E3">
        <w:rPr>
          <w:rFonts w:ascii="Arial" w:hAnsi="Arial" w:cs="Arial"/>
          <w:sz w:val="22"/>
          <w:szCs w:val="22"/>
        </w:rPr>
        <w:t>,</w:t>
      </w:r>
      <w:r w:rsidRPr="008174E3">
        <w:rPr>
          <w:rFonts w:ascii="Arial" w:hAnsi="Arial" w:cs="Arial"/>
          <w:sz w:val="22"/>
          <w:szCs w:val="22"/>
        </w:rPr>
        <w:t xml:space="preserve"> un ratio Beneficio</w:t>
      </w:r>
      <w:r w:rsidR="00702937" w:rsidRPr="008174E3">
        <w:rPr>
          <w:rFonts w:ascii="Arial" w:hAnsi="Arial" w:cs="Arial"/>
          <w:sz w:val="22"/>
          <w:szCs w:val="22"/>
        </w:rPr>
        <w:t>-</w:t>
      </w:r>
      <w:r w:rsidRPr="008174E3">
        <w:rPr>
          <w:rFonts w:ascii="Arial" w:hAnsi="Arial" w:cs="Arial"/>
          <w:sz w:val="22"/>
          <w:szCs w:val="22"/>
        </w:rPr>
        <w:t xml:space="preserve">Costo de </w:t>
      </w:r>
      <w:r w:rsidR="000460A4" w:rsidRPr="008174E3">
        <w:rPr>
          <w:rFonts w:ascii="Arial" w:hAnsi="Arial" w:cs="Arial"/>
          <w:sz w:val="22"/>
          <w:szCs w:val="22"/>
        </w:rPr>
        <w:t>1</w:t>
      </w:r>
      <w:r w:rsidR="00646AD4" w:rsidRPr="008174E3">
        <w:rPr>
          <w:rFonts w:ascii="Arial" w:hAnsi="Arial" w:cs="Arial"/>
          <w:sz w:val="22"/>
          <w:szCs w:val="22"/>
        </w:rPr>
        <w:t>,</w:t>
      </w:r>
      <w:r w:rsidR="00EF5A17" w:rsidRPr="008174E3">
        <w:rPr>
          <w:rFonts w:ascii="Arial" w:hAnsi="Arial" w:cs="Arial"/>
          <w:sz w:val="22"/>
          <w:szCs w:val="22"/>
        </w:rPr>
        <w:t>2</w:t>
      </w:r>
      <w:r w:rsidR="000C5997">
        <w:rPr>
          <w:rFonts w:ascii="Arial" w:hAnsi="Arial" w:cs="Arial"/>
          <w:sz w:val="22"/>
          <w:szCs w:val="22"/>
        </w:rPr>
        <w:t>1</w:t>
      </w:r>
      <w:r w:rsidR="00130DC3" w:rsidRPr="008174E3">
        <w:rPr>
          <w:rFonts w:ascii="Arial" w:hAnsi="Arial" w:cs="Arial"/>
          <w:sz w:val="22"/>
          <w:szCs w:val="22"/>
        </w:rPr>
        <w:t xml:space="preserve"> y una Tasa </w:t>
      </w:r>
      <w:r w:rsidR="00693492" w:rsidRPr="008174E3">
        <w:rPr>
          <w:rFonts w:ascii="Arial" w:hAnsi="Arial" w:cs="Arial"/>
          <w:sz w:val="22"/>
          <w:szCs w:val="22"/>
        </w:rPr>
        <w:t>d</w:t>
      </w:r>
      <w:r w:rsidR="00130DC3" w:rsidRPr="008174E3">
        <w:rPr>
          <w:rFonts w:ascii="Arial" w:hAnsi="Arial" w:cs="Arial"/>
          <w:sz w:val="22"/>
          <w:szCs w:val="22"/>
        </w:rPr>
        <w:t xml:space="preserve">e Retorno de </w:t>
      </w:r>
      <w:r w:rsidR="00EF5A17" w:rsidRPr="008174E3">
        <w:rPr>
          <w:rFonts w:ascii="Arial" w:hAnsi="Arial" w:cs="Arial"/>
          <w:sz w:val="22"/>
          <w:szCs w:val="22"/>
        </w:rPr>
        <w:t>16</w:t>
      </w:r>
      <w:r w:rsidR="00BB41ED" w:rsidRPr="008174E3">
        <w:rPr>
          <w:rFonts w:ascii="Arial" w:hAnsi="Arial" w:cs="Arial"/>
          <w:sz w:val="22"/>
          <w:szCs w:val="22"/>
        </w:rPr>
        <w:t>,</w:t>
      </w:r>
      <w:r w:rsidR="000C5997">
        <w:rPr>
          <w:rFonts w:ascii="Arial" w:hAnsi="Arial" w:cs="Arial"/>
          <w:sz w:val="22"/>
          <w:szCs w:val="22"/>
        </w:rPr>
        <w:t>12</w:t>
      </w:r>
      <w:r w:rsidR="00130DC3" w:rsidRPr="008174E3">
        <w:rPr>
          <w:rFonts w:ascii="Arial" w:hAnsi="Arial" w:cs="Arial"/>
          <w:sz w:val="22"/>
          <w:szCs w:val="22"/>
        </w:rPr>
        <w:t>%</w:t>
      </w:r>
      <w:r w:rsidRPr="008174E3">
        <w:rPr>
          <w:rFonts w:ascii="Arial" w:hAnsi="Arial" w:cs="Arial"/>
          <w:sz w:val="22"/>
          <w:szCs w:val="22"/>
        </w:rPr>
        <w:t xml:space="preserve">. </w:t>
      </w:r>
    </w:p>
    <w:p w14:paraId="41F59932" w14:textId="77777777" w:rsidR="00702937" w:rsidRPr="008174E3" w:rsidRDefault="00702937" w:rsidP="00702937">
      <w:pPr>
        <w:pStyle w:val="ListParagraph"/>
        <w:rPr>
          <w:rFonts w:ascii="Arial" w:hAnsi="Arial" w:cs="Arial"/>
        </w:rPr>
      </w:pPr>
    </w:p>
    <w:p w14:paraId="120BBC25" w14:textId="23E76990" w:rsidR="002A45F0" w:rsidRPr="008174E3" w:rsidRDefault="00827E44">
      <w:pPr>
        <w:autoSpaceDE w:val="0"/>
        <w:autoSpaceDN w:val="0"/>
        <w:adjustRightInd w:val="0"/>
        <w:jc w:val="center"/>
        <w:rPr>
          <w:rFonts w:ascii="Arial" w:hAnsi="Arial" w:cs="Arial"/>
          <w:b/>
          <w:sz w:val="22"/>
          <w:szCs w:val="22"/>
        </w:rPr>
      </w:pPr>
      <w:r w:rsidRPr="008174E3">
        <w:rPr>
          <w:rFonts w:ascii="Arial" w:hAnsi="Arial" w:cs="Arial"/>
          <w:b/>
          <w:sz w:val="22"/>
          <w:szCs w:val="22"/>
        </w:rPr>
        <w:t>Cuadro </w:t>
      </w:r>
      <w:r w:rsidR="00693492" w:rsidRPr="008174E3">
        <w:rPr>
          <w:rFonts w:ascii="Arial" w:hAnsi="Arial" w:cs="Arial"/>
          <w:b/>
          <w:sz w:val="22"/>
          <w:szCs w:val="22"/>
        </w:rPr>
        <w:t>5</w:t>
      </w:r>
      <w:r w:rsidR="00F4445D" w:rsidRPr="008174E3">
        <w:rPr>
          <w:rFonts w:ascii="Arial" w:hAnsi="Arial" w:cs="Arial"/>
          <w:b/>
          <w:sz w:val="22"/>
          <w:szCs w:val="22"/>
        </w:rPr>
        <w:t>: Valor Presente Neto</w:t>
      </w:r>
      <w:r w:rsidR="002F3AB6" w:rsidRPr="008174E3">
        <w:rPr>
          <w:rFonts w:ascii="Arial" w:hAnsi="Arial" w:cs="Arial"/>
          <w:b/>
          <w:sz w:val="22"/>
          <w:szCs w:val="22"/>
        </w:rPr>
        <w:t xml:space="preserve"> </w:t>
      </w:r>
    </w:p>
    <w:tbl>
      <w:tblPr>
        <w:tblW w:w="6381" w:type="dxa"/>
        <w:tblInd w:w="1809" w:type="dxa"/>
        <w:tblLook w:val="04A0" w:firstRow="1" w:lastRow="0" w:firstColumn="1" w:lastColumn="0" w:noHBand="0" w:noVBand="1"/>
      </w:tblPr>
      <w:tblGrid>
        <w:gridCol w:w="4536"/>
        <w:gridCol w:w="1845"/>
      </w:tblGrid>
      <w:tr w:rsidR="00EA2820" w:rsidRPr="008174E3" w14:paraId="7ED513D8" w14:textId="34A04038" w:rsidTr="0075413D">
        <w:trPr>
          <w:trHeight w:val="405"/>
        </w:trPr>
        <w:tc>
          <w:tcPr>
            <w:tcW w:w="6381" w:type="dxa"/>
            <w:gridSpan w:val="2"/>
            <w:tcBorders>
              <w:top w:val="nil"/>
              <w:left w:val="nil"/>
              <w:bottom w:val="single" w:sz="4" w:space="0" w:color="auto"/>
              <w:right w:val="nil"/>
            </w:tcBorders>
            <w:shd w:val="clear" w:color="000000" w:fill="DDEBF7"/>
            <w:vAlign w:val="bottom"/>
            <w:hideMark/>
          </w:tcPr>
          <w:p w14:paraId="7A4B4CCF" w14:textId="2EC0C5DD" w:rsidR="00EA2820" w:rsidRPr="008174E3" w:rsidRDefault="00693492" w:rsidP="008721FC">
            <w:pPr>
              <w:jc w:val="center"/>
              <w:rPr>
                <w:rFonts w:ascii="Arial" w:hAnsi="Arial" w:cs="Arial"/>
                <w:b/>
                <w:color w:val="000000"/>
                <w:sz w:val="20"/>
                <w:szCs w:val="20"/>
              </w:rPr>
            </w:pPr>
            <w:r w:rsidRPr="008174E3">
              <w:rPr>
                <w:rFonts w:ascii="Arial" w:hAnsi="Arial" w:cs="Arial"/>
                <w:b/>
                <w:color w:val="000000"/>
                <w:sz w:val="20"/>
                <w:szCs w:val="20"/>
              </w:rPr>
              <w:t xml:space="preserve">Fortalecimiento </w:t>
            </w:r>
            <w:r w:rsidR="001755CF" w:rsidRPr="008174E3">
              <w:rPr>
                <w:rFonts w:ascii="Arial" w:hAnsi="Arial" w:cs="Arial"/>
                <w:b/>
                <w:color w:val="000000"/>
                <w:sz w:val="20"/>
                <w:szCs w:val="20"/>
              </w:rPr>
              <w:t>del PAE</w:t>
            </w:r>
          </w:p>
          <w:p w14:paraId="41F5694A" w14:textId="7FC982E3" w:rsidR="00367BDF" w:rsidRPr="008174E3" w:rsidRDefault="00367BDF" w:rsidP="008721FC">
            <w:pPr>
              <w:jc w:val="center"/>
              <w:rPr>
                <w:rFonts w:ascii="Arial" w:hAnsi="Arial" w:cs="Arial"/>
                <w:b/>
                <w:color w:val="000000"/>
                <w:sz w:val="20"/>
                <w:szCs w:val="20"/>
              </w:rPr>
            </w:pPr>
            <w:r w:rsidRPr="008174E3">
              <w:rPr>
                <w:rFonts w:ascii="Arial" w:hAnsi="Arial" w:cs="Arial"/>
                <w:b/>
                <w:bCs/>
                <w:color w:val="000000"/>
                <w:sz w:val="20"/>
                <w:szCs w:val="20"/>
                <w:lang w:eastAsia="es-ES"/>
              </w:rPr>
              <w:t xml:space="preserve">(Millones de </w:t>
            </w:r>
            <w:r w:rsidR="00827E44" w:rsidRPr="008174E3">
              <w:rPr>
                <w:rFonts w:ascii="Arial" w:hAnsi="Arial" w:cs="Arial"/>
                <w:b/>
                <w:bCs/>
                <w:color w:val="000000"/>
                <w:sz w:val="20"/>
                <w:szCs w:val="20"/>
                <w:lang w:eastAsia="es-ES"/>
              </w:rPr>
              <w:t>US$</w:t>
            </w:r>
            <w:r w:rsidRPr="008174E3">
              <w:rPr>
                <w:rFonts w:ascii="Arial" w:hAnsi="Arial" w:cs="Arial"/>
                <w:b/>
                <w:bCs/>
                <w:color w:val="000000"/>
                <w:sz w:val="20"/>
                <w:szCs w:val="20"/>
                <w:lang w:eastAsia="es-ES"/>
              </w:rPr>
              <w:t>)</w:t>
            </w:r>
          </w:p>
        </w:tc>
      </w:tr>
      <w:tr w:rsidR="0075413D" w:rsidRPr="008174E3" w14:paraId="0A593B05" w14:textId="34538690" w:rsidTr="0075413D">
        <w:trPr>
          <w:trHeight w:val="300"/>
        </w:trPr>
        <w:tc>
          <w:tcPr>
            <w:tcW w:w="4536" w:type="dxa"/>
            <w:tcBorders>
              <w:top w:val="nil"/>
              <w:left w:val="nil"/>
              <w:bottom w:val="nil"/>
              <w:right w:val="nil"/>
            </w:tcBorders>
            <w:shd w:val="clear" w:color="000000" w:fill="FFFFFF"/>
            <w:noWrap/>
            <w:vAlign w:val="bottom"/>
            <w:hideMark/>
          </w:tcPr>
          <w:p w14:paraId="4F674F1D" w14:textId="76AAC0EF" w:rsidR="0075413D" w:rsidRPr="008174E3" w:rsidRDefault="0075413D" w:rsidP="0075413D">
            <w:pPr>
              <w:rPr>
                <w:rFonts w:ascii="Arial" w:hAnsi="Arial" w:cs="Arial"/>
                <w:color w:val="000000"/>
                <w:sz w:val="20"/>
                <w:szCs w:val="20"/>
              </w:rPr>
            </w:pPr>
            <w:r w:rsidRPr="008174E3">
              <w:rPr>
                <w:rFonts w:ascii="Arial" w:hAnsi="Arial" w:cs="Arial"/>
                <w:color w:val="000000"/>
                <w:sz w:val="20"/>
                <w:szCs w:val="20"/>
              </w:rPr>
              <w:t xml:space="preserve">Valor Presente de los Beneficios </w:t>
            </w:r>
          </w:p>
        </w:tc>
        <w:tc>
          <w:tcPr>
            <w:tcW w:w="1845" w:type="dxa"/>
            <w:tcBorders>
              <w:top w:val="single" w:sz="4" w:space="0" w:color="auto"/>
              <w:left w:val="nil"/>
              <w:bottom w:val="nil"/>
              <w:right w:val="nil"/>
            </w:tcBorders>
            <w:shd w:val="clear" w:color="000000" w:fill="FFFFFF"/>
            <w:noWrap/>
            <w:hideMark/>
          </w:tcPr>
          <w:p w14:paraId="4952D8F0" w14:textId="450D888F" w:rsidR="0075413D" w:rsidRPr="008174E3" w:rsidRDefault="0075413D" w:rsidP="0075413D">
            <w:pPr>
              <w:jc w:val="right"/>
              <w:rPr>
                <w:rFonts w:ascii="Arial" w:hAnsi="Arial" w:cs="Arial"/>
                <w:color w:val="000000"/>
                <w:sz w:val="20"/>
                <w:szCs w:val="20"/>
              </w:rPr>
            </w:pPr>
            <w:r w:rsidRPr="008174E3">
              <w:rPr>
                <w:rFonts w:ascii="Arial" w:hAnsi="Arial" w:cs="Arial"/>
                <w:sz w:val="20"/>
                <w:szCs w:val="20"/>
              </w:rPr>
              <w:t xml:space="preserve"> $1</w:t>
            </w:r>
            <w:r w:rsidR="000C5997">
              <w:rPr>
                <w:rFonts w:ascii="Arial" w:hAnsi="Arial" w:cs="Arial"/>
                <w:sz w:val="20"/>
                <w:szCs w:val="20"/>
              </w:rPr>
              <w:t>27</w:t>
            </w:r>
            <w:r w:rsidRPr="008174E3">
              <w:rPr>
                <w:rFonts w:ascii="Arial" w:hAnsi="Arial" w:cs="Arial"/>
                <w:sz w:val="20"/>
                <w:szCs w:val="20"/>
              </w:rPr>
              <w:t>,</w:t>
            </w:r>
            <w:r w:rsidR="000C5997">
              <w:rPr>
                <w:rFonts w:ascii="Arial" w:hAnsi="Arial" w:cs="Arial"/>
                <w:sz w:val="20"/>
                <w:szCs w:val="20"/>
              </w:rPr>
              <w:t>28</w:t>
            </w:r>
            <w:r w:rsidRPr="008174E3">
              <w:rPr>
                <w:rFonts w:ascii="Arial" w:hAnsi="Arial" w:cs="Arial"/>
                <w:sz w:val="20"/>
                <w:szCs w:val="20"/>
              </w:rPr>
              <w:t xml:space="preserve"> </w:t>
            </w:r>
          </w:p>
        </w:tc>
      </w:tr>
      <w:tr w:rsidR="0075413D" w:rsidRPr="008174E3" w14:paraId="66FF8AD1" w14:textId="347363AB" w:rsidTr="0075413D">
        <w:trPr>
          <w:trHeight w:val="300"/>
        </w:trPr>
        <w:tc>
          <w:tcPr>
            <w:tcW w:w="4536" w:type="dxa"/>
            <w:tcBorders>
              <w:top w:val="nil"/>
              <w:left w:val="nil"/>
              <w:bottom w:val="nil"/>
              <w:right w:val="nil"/>
            </w:tcBorders>
            <w:shd w:val="clear" w:color="000000" w:fill="FFFFFF"/>
            <w:noWrap/>
            <w:vAlign w:val="bottom"/>
            <w:hideMark/>
          </w:tcPr>
          <w:p w14:paraId="1C39DB67" w14:textId="4AEF66E9" w:rsidR="0075413D" w:rsidRPr="008174E3" w:rsidRDefault="0075413D" w:rsidP="0075413D">
            <w:pPr>
              <w:rPr>
                <w:rFonts w:ascii="Arial" w:hAnsi="Arial" w:cs="Arial"/>
                <w:color w:val="000000"/>
                <w:sz w:val="20"/>
                <w:szCs w:val="20"/>
              </w:rPr>
            </w:pPr>
            <w:r w:rsidRPr="008174E3">
              <w:rPr>
                <w:rFonts w:ascii="Arial" w:hAnsi="Arial" w:cs="Arial"/>
                <w:color w:val="000000"/>
                <w:sz w:val="20"/>
                <w:szCs w:val="20"/>
              </w:rPr>
              <w:t>Valor Presente de los Costos</w:t>
            </w:r>
          </w:p>
        </w:tc>
        <w:tc>
          <w:tcPr>
            <w:tcW w:w="1845" w:type="dxa"/>
            <w:tcBorders>
              <w:top w:val="nil"/>
              <w:left w:val="nil"/>
              <w:bottom w:val="nil"/>
              <w:right w:val="nil"/>
            </w:tcBorders>
            <w:shd w:val="clear" w:color="000000" w:fill="FFFFFF"/>
            <w:noWrap/>
            <w:hideMark/>
          </w:tcPr>
          <w:p w14:paraId="72A2B4D0" w14:textId="5240426E" w:rsidR="0075413D" w:rsidRPr="008174E3" w:rsidRDefault="0075413D" w:rsidP="0075413D">
            <w:pPr>
              <w:jc w:val="right"/>
              <w:rPr>
                <w:rFonts w:ascii="Arial" w:hAnsi="Arial" w:cs="Arial"/>
                <w:color w:val="000000"/>
                <w:sz w:val="20"/>
                <w:szCs w:val="20"/>
              </w:rPr>
            </w:pPr>
            <w:r w:rsidRPr="008174E3">
              <w:rPr>
                <w:rFonts w:ascii="Arial" w:hAnsi="Arial" w:cs="Arial"/>
                <w:sz w:val="20"/>
                <w:szCs w:val="20"/>
              </w:rPr>
              <w:t xml:space="preserve"> $10</w:t>
            </w:r>
            <w:r w:rsidR="000C5997">
              <w:rPr>
                <w:rFonts w:ascii="Arial" w:hAnsi="Arial" w:cs="Arial"/>
                <w:sz w:val="20"/>
                <w:szCs w:val="20"/>
              </w:rPr>
              <w:t>4</w:t>
            </w:r>
            <w:r w:rsidRPr="008174E3">
              <w:rPr>
                <w:rFonts w:ascii="Arial" w:hAnsi="Arial" w:cs="Arial"/>
                <w:sz w:val="20"/>
                <w:szCs w:val="20"/>
              </w:rPr>
              <w:t>,</w:t>
            </w:r>
            <w:r w:rsidR="000C5997">
              <w:rPr>
                <w:rFonts w:ascii="Arial" w:hAnsi="Arial" w:cs="Arial"/>
                <w:sz w:val="20"/>
                <w:szCs w:val="20"/>
              </w:rPr>
              <w:t>97</w:t>
            </w:r>
          </w:p>
        </w:tc>
      </w:tr>
      <w:tr w:rsidR="0075413D" w:rsidRPr="008174E3" w14:paraId="44A1E6F0" w14:textId="538E848F" w:rsidTr="0075413D">
        <w:trPr>
          <w:trHeight w:val="300"/>
        </w:trPr>
        <w:tc>
          <w:tcPr>
            <w:tcW w:w="4536" w:type="dxa"/>
            <w:tcBorders>
              <w:top w:val="nil"/>
              <w:left w:val="nil"/>
              <w:bottom w:val="nil"/>
              <w:right w:val="nil"/>
            </w:tcBorders>
            <w:shd w:val="clear" w:color="000000" w:fill="FFFFFF"/>
            <w:noWrap/>
            <w:vAlign w:val="bottom"/>
            <w:hideMark/>
          </w:tcPr>
          <w:p w14:paraId="747D6C7C" w14:textId="66A3E3A3" w:rsidR="0075413D" w:rsidRPr="008174E3" w:rsidRDefault="0075413D" w:rsidP="0075413D">
            <w:pPr>
              <w:rPr>
                <w:rFonts w:ascii="Arial" w:hAnsi="Arial" w:cs="Arial"/>
                <w:color w:val="000000"/>
                <w:sz w:val="20"/>
                <w:szCs w:val="20"/>
              </w:rPr>
            </w:pPr>
            <w:r w:rsidRPr="008174E3">
              <w:rPr>
                <w:rFonts w:ascii="Arial" w:hAnsi="Arial" w:cs="Arial"/>
                <w:color w:val="000000"/>
                <w:sz w:val="20"/>
                <w:szCs w:val="20"/>
              </w:rPr>
              <w:t>Valor Presente Neto</w:t>
            </w:r>
          </w:p>
        </w:tc>
        <w:tc>
          <w:tcPr>
            <w:tcW w:w="1845" w:type="dxa"/>
            <w:tcBorders>
              <w:top w:val="nil"/>
              <w:left w:val="nil"/>
              <w:bottom w:val="nil"/>
              <w:right w:val="nil"/>
            </w:tcBorders>
            <w:shd w:val="clear" w:color="000000" w:fill="FFFFFF"/>
            <w:noWrap/>
            <w:hideMark/>
          </w:tcPr>
          <w:p w14:paraId="0AB7B4DB" w14:textId="0133ACE8" w:rsidR="0075413D" w:rsidRPr="008174E3" w:rsidRDefault="0075413D" w:rsidP="0075413D">
            <w:pPr>
              <w:jc w:val="right"/>
              <w:rPr>
                <w:rFonts w:ascii="Arial" w:hAnsi="Arial" w:cs="Arial"/>
                <w:color w:val="000000"/>
                <w:sz w:val="20"/>
                <w:szCs w:val="20"/>
              </w:rPr>
            </w:pPr>
            <w:r w:rsidRPr="008174E3">
              <w:rPr>
                <w:rFonts w:ascii="Arial" w:hAnsi="Arial" w:cs="Arial"/>
                <w:sz w:val="20"/>
                <w:szCs w:val="20"/>
              </w:rPr>
              <w:t xml:space="preserve"> $2</w:t>
            </w:r>
            <w:r w:rsidR="000C5997">
              <w:rPr>
                <w:rFonts w:ascii="Arial" w:hAnsi="Arial" w:cs="Arial"/>
                <w:sz w:val="20"/>
                <w:szCs w:val="20"/>
              </w:rPr>
              <w:t>2</w:t>
            </w:r>
            <w:r w:rsidRPr="008174E3">
              <w:rPr>
                <w:rFonts w:ascii="Arial" w:hAnsi="Arial" w:cs="Arial"/>
                <w:sz w:val="20"/>
                <w:szCs w:val="20"/>
              </w:rPr>
              <w:t>,</w:t>
            </w:r>
            <w:r w:rsidR="000C5997">
              <w:rPr>
                <w:rFonts w:ascii="Arial" w:hAnsi="Arial" w:cs="Arial"/>
                <w:sz w:val="20"/>
                <w:szCs w:val="20"/>
              </w:rPr>
              <w:t>30</w:t>
            </w:r>
            <w:r w:rsidRPr="008174E3">
              <w:rPr>
                <w:rFonts w:ascii="Arial" w:hAnsi="Arial" w:cs="Arial"/>
                <w:sz w:val="20"/>
                <w:szCs w:val="20"/>
              </w:rPr>
              <w:t xml:space="preserve"> </w:t>
            </w:r>
          </w:p>
        </w:tc>
      </w:tr>
      <w:tr w:rsidR="0075413D" w:rsidRPr="008174E3" w14:paraId="4D780B19" w14:textId="5929641E" w:rsidTr="0075413D">
        <w:trPr>
          <w:trHeight w:val="300"/>
        </w:trPr>
        <w:tc>
          <w:tcPr>
            <w:tcW w:w="4536" w:type="dxa"/>
            <w:tcBorders>
              <w:top w:val="nil"/>
              <w:left w:val="nil"/>
              <w:bottom w:val="nil"/>
              <w:right w:val="nil"/>
            </w:tcBorders>
            <w:shd w:val="clear" w:color="000000" w:fill="FFFFFF"/>
            <w:noWrap/>
            <w:vAlign w:val="bottom"/>
            <w:hideMark/>
          </w:tcPr>
          <w:p w14:paraId="12255391" w14:textId="34A81880" w:rsidR="0075413D" w:rsidRPr="008174E3" w:rsidRDefault="0075413D" w:rsidP="0075413D">
            <w:pPr>
              <w:rPr>
                <w:rFonts w:ascii="Arial" w:hAnsi="Arial" w:cs="Arial"/>
                <w:color w:val="000000"/>
                <w:sz w:val="20"/>
                <w:szCs w:val="20"/>
              </w:rPr>
            </w:pPr>
            <w:r w:rsidRPr="008174E3">
              <w:rPr>
                <w:rFonts w:ascii="Arial" w:hAnsi="Arial" w:cs="Arial"/>
                <w:color w:val="000000"/>
                <w:sz w:val="20"/>
                <w:szCs w:val="20"/>
                <w:lang w:eastAsia="es-ES"/>
              </w:rPr>
              <w:t>Tasa de Retorno</w:t>
            </w:r>
          </w:p>
        </w:tc>
        <w:tc>
          <w:tcPr>
            <w:tcW w:w="1845" w:type="dxa"/>
            <w:tcBorders>
              <w:top w:val="nil"/>
              <w:left w:val="nil"/>
              <w:bottom w:val="nil"/>
              <w:right w:val="nil"/>
            </w:tcBorders>
            <w:shd w:val="clear" w:color="000000" w:fill="FFFFFF"/>
            <w:noWrap/>
            <w:hideMark/>
          </w:tcPr>
          <w:p w14:paraId="3D039501" w14:textId="30DA41E1" w:rsidR="0075413D" w:rsidRPr="008174E3" w:rsidRDefault="0075413D" w:rsidP="0075413D">
            <w:pPr>
              <w:jc w:val="right"/>
              <w:rPr>
                <w:rFonts w:ascii="Arial" w:hAnsi="Arial" w:cs="Arial"/>
                <w:color w:val="000000"/>
                <w:sz w:val="20"/>
                <w:szCs w:val="20"/>
              </w:rPr>
            </w:pPr>
            <w:r w:rsidRPr="008174E3">
              <w:rPr>
                <w:rFonts w:ascii="Arial" w:hAnsi="Arial" w:cs="Arial"/>
                <w:sz w:val="20"/>
                <w:szCs w:val="20"/>
              </w:rPr>
              <w:t>16,</w:t>
            </w:r>
            <w:r w:rsidR="000C5997">
              <w:rPr>
                <w:rFonts w:ascii="Arial" w:hAnsi="Arial" w:cs="Arial"/>
                <w:sz w:val="20"/>
                <w:szCs w:val="20"/>
              </w:rPr>
              <w:t>12</w:t>
            </w:r>
            <w:r w:rsidRPr="008174E3">
              <w:rPr>
                <w:rFonts w:ascii="Arial" w:hAnsi="Arial" w:cs="Arial"/>
                <w:sz w:val="20"/>
                <w:szCs w:val="20"/>
              </w:rPr>
              <w:t>%</w:t>
            </w:r>
          </w:p>
        </w:tc>
      </w:tr>
      <w:tr w:rsidR="0075413D" w:rsidRPr="008174E3" w14:paraId="346215CD" w14:textId="6FA3B3EF" w:rsidTr="0075413D">
        <w:trPr>
          <w:trHeight w:val="300"/>
        </w:trPr>
        <w:tc>
          <w:tcPr>
            <w:tcW w:w="4536" w:type="dxa"/>
            <w:tcBorders>
              <w:top w:val="nil"/>
              <w:left w:val="nil"/>
              <w:bottom w:val="single" w:sz="4" w:space="0" w:color="auto"/>
              <w:right w:val="nil"/>
            </w:tcBorders>
            <w:shd w:val="clear" w:color="000000" w:fill="FFFFFF"/>
            <w:noWrap/>
            <w:vAlign w:val="bottom"/>
            <w:hideMark/>
          </w:tcPr>
          <w:p w14:paraId="114E9FB7" w14:textId="4BC56E1A" w:rsidR="0075413D" w:rsidRPr="008174E3" w:rsidRDefault="0075413D" w:rsidP="0075413D">
            <w:pPr>
              <w:rPr>
                <w:rFonts w:ascii="Arial" w:hAnsi="Arial" w:cs="Arial"/>
                <w:color w:val="000000"/>
                <w:sz w:val="20"/>
                <w:szCs w:val="20"/>
              </w:rPr>
            </w:pPr>
            <w:r w:rsidRPr="008174E3">
              <w:rPr>
                <w:rFonts w:ascii="Arial" w:hAnsi="Arial" w:cs="Arial"/>
                <w:color w:val="000000"/>
                <w:sz w:val="20"/>
                <w:szCs w:val="20"/>
              </w:rPr>
              <w:t>Ratio Beneficio – Costo</w:t>
            </w:r>
          </w:p>
        </w:tc>
        <w:tc>
          <w:tcPr>
            <w:tcW w:w="1845" w:type="dxa"/>
            <w:tcBorders>
              <w:top w:val="nil"/>
              <w:left w:val="nil"/>
              <w:bottom w:val="single" w:sz="4" w:space="0" w:color="auto"/>
              <w:right w:val="nil"/>
            </w:tcBorders>
            <w:shd w:val="clear" w:color="000000" w:fill="FFFFFF"/>
            <w:noWrap/>
            <w:hideMark/>
          </w:tcPr>
          <w:p w14:paraId="1051FCF6" w14:textId="1266343D" w:rsidR="0075413D" w:rsidRPr="008174E3" w:rsidRDefault="0075413D" w:rsidP="0075413D">
            <w:pPr>
              <w:jc w:val="right"/>
              <w:rPr>
                <w:rFonts w:ascii="Arial" w:hAnsi="Arial" w:cs="Arial"/>
                <w:color w:val="000000"/>
                <w:sz w:val="20"/>
                <w:szCs w:val="20"/>
              </w:rPr>
            </w:pPr>
            <w:r w:rsidRPr="008174E3">
              <w:rPr>
                <w:rFonts w:ascii="Arial" w:hAnsi="Arial" w:cs="Arial"/>
                <w:sz w:val="20"/>
                <w:szCs w:val="20"/>
              </w:rPr>
              <w:t xml:space="preserve"> 1,2</w:t>
            </w:r>
            <w:r w:rsidR="000C5997">
              <w:rPr>
                <w:rFonts w:ascii="Arial" w:hAnsi="Arial" w:cs="Arial"/>
                <w:sz w:val="20"/>
                <w:szCs w:val="20"/>
              </w:rPr>
              <w:t>1</w:t>
            </w:r>
            <w:r w:rsidRPr="008174E3">
              <w:rPr>
                <w:rFonts w:ascii="Arial" w:hAnsi="Arial" w:cs="Arial"/>
                <w:sz w:val="20"/>
                <w:szCs w:val="20"/>
              </w:rPr>
              <w:t xml:space="preserve"> </w:t>
            </w:r>
          </w:p>
        </w:tc>
      </w:tr>
    </w:tbl>
    <w:p w14:paraId="4F813362" w14:textId="5C496592" w:rsidR="00C074B4" w:rsidRPr="008174E3" w:rsidRDefault="00C074B4">
      <w:pPr>
        <w:autoSpaceDE w:val="0"/>
        <w:autoSpaceDN w:val="0"/>
        <w:adjustRightInd w:val="0"/>
        <w:jc w:val="center"/>
        <w:rPr>
          <w:rFonts w:ascii="Arial" w:hAnsi="Arial" w:cs="Arial"/>
          <w:b/>
        </w:rPr>
      </w:pPr>
    </w:p>
    <w:p w14:paraId="165FF0A5" w14:textId="48D5A0D5" w:rsidR="00693492" w:rsidRPr="008174E3" w:rsidRDefault="00693492" w:rsidP="00693492">
      <w:pPr>
        <w:pStyle w:val="ListParagraph"/>
        <w:numPr>
          <w:ilvl w:val="1"/>
          <w:numId w:val="7"/>
        </w:numPr>
        <w:spacing w:before="120"/>
        <w:jc w:val="both"/>
        <w:rPr>
          <w:rFonts w:ascii="Arial" w:hAnsi="Arial" w:cs="Arial"/>
          <w:b/>
        </w:rPr>
      </w:pPr>
      <w:r w:rsidRPr="008174E3">
        <w:rPr>
          <w:rFonts w:ascii="Arial" w:hAnsi="Arial" w:cs="Arial"/>
          <w:b/>
        </w:rPr>
        <w:t xml:space="preserve">Retornos Económicos del Programa </w:t>
      </w:r>
    </w:p>
    <w:p w14:paraId="06CA6B6F" w14:textId="77777777" w:rsidR="00693492" w:rsidRPr="008174E3" w:rsidRDefault="00693492">
      <w:pPr>
        <w:autoSpaceDE w:val="0"/>
        <w:autoSpaceDN w:val="0"/>
        <w:adjustRightInd w:val="0"/>
        <w:jc w:val="center"/>
        <w:rPr>
          <w:rFonts w:ascii="Arial" w:hAnsi="Arial" w:cs="Arial"/>
          <w:b/>
        </w:rPr>
      </w:pPr>
    </w:p>
    <w:p w14:paraId="0F5948F1" w14:textId="3D51E367" w:rsidR="00D77621" w:rsidRPr="008174E3" w:rsidRDefault="00D77621" w:rsidP="00D77621">
      <w:pPr>
        <w:pStyle w:val="ListParagraph"/>
        <w:numPr>
          <w:ilvl w:val="0"/>
          <w:numId w:val="8"/>
        </w:numPr>
        <w:autoSpaceDE w:val="0"/>
        <w:autoSpaceDN w:val="0"/>
        <w:adjustRightInd w:val="0"/>
        <w:ind w:left="0"/>
        <w:jc w:val="both"/>
        <w:rPr>
          <w:rFonts w:ascii="Arial" w:hAnsi="Arial" w:cs="Arial"/>
          <w:sz w:val="22"/>
          <w:szCs w:val="22"/>
        </w:rPr>
      </w:pPr>
      <w:r w:rsidRPr="008174E3">
        <w:rPr>
          <w:rFonts w:ascii="Arial" w:hAnsi="Arial" w:cs="Arial"/>
          <w:sz w:val="22"/>
          <w:szCs w:val="22"/>
        </w:rPr>
        <w:t xml:space="preserve">En conjunto, la rentabilidad del proyecto </w:t>
      </w:r>
      <w:r w:rsidR="008A57D0" w:rsidRPr="008174E3">
        <w:rPr>
          <w:rFonts w:ascii="Arial" w:hAnsi="Arial" w:cs="Arial"/>
          <w:sz w:val="22"/>
          <w:szCs w:val="22"/>
        </w:rPr>
        <w:t xml:space="preserve">alcanza a un Beneficio Neto en VPN de </w:t>
      </w:r>
      <w:r w:rsidR="0057432E" w:rsidRPr="008174E3">
        <w:rPr>
          <w:rFonts w:ascii="Arial" w:hAnsi="Arial" w:cs="Arial"/>
          <w:sz w:val="22"/>
          <w:szCs w:val="22"/>
        </w:rPr>
        <w:t>US$</w:t>
      </w:r>
      <w:r w:rsidR="000C5997">
        <w:rPr>
          <w:rFonts w:ascii="Arial" w:hAnsi="Arial" w:cs="Arial"/>
          <w:sz w:val="22"/>
          <w:szCs w:val="22"/>
        </w:rPr>
        <w:t>84</w:t>
      </w:r>
      <w:r w:rsidR="008A57D0" w:rsidRPr="008174E3">
        <w:rPr>
          <w:rFonts w:ascii="Arial" w:hAnsi="Arial" w:cs="Arial"/>
          <w:sz w:val="22"/>
          <w:szCs w:val="22"/>
        </w:rPr>
        <w:t>,</w:t>
      </w:r>
      <w:r w:rsidR="000C5997">
        <w:rPr>
          <w:rFonts w:ascii="Arial" w:hAnsi="Arial" w:cs="Arial"/>
          <w:sz w:val="22"/>
          <w:szCs w:val="22"/>
        </w:rPr>
        <w:t>49</w:t>
      </w:r>
      <w:r w:rsidR="0057432E" w:rsidRPr="008174E3">
        <w:rPr>
          <w:rFonts w:ascii="Arial" w:hAnsi="Arial" w:cs="Arial"/>
          <w:sz w:val="22"/>
          <w:szCs w:val="22"/>
        </w:rPr>
        <w:t> </w:t>
      </w:r>
      <w:r w:rsidR="008A57D0" w:rsidRPr="008174E3">
        <w:rPr>
          <w:rFonts w:ascii="Arial" w:hAnsi="Arial" w:cs="Arial"/>
          <w:sz w:val="22"/>
          <w:szCs w:val="22"/>
        </w:rPr>
        <w:t>millones, con un rat</w:t>
      </w:r>
      <w:r w:rsidR="002D37E4" w:rsidRPr="008174E3">
        <w:rPr>
          <w:rFonts w:ascii="Arial" w:hAnsi="Arial" w:cs="Arial"/>
          <w:sz w:val="22"/>
          <w:szCs w:val="22"/>
        </w:rPr>
        <w:t>i</w:t>
      </w:r>
      <w:r w:rsidR="008A57D0" w:rsidRPr="008174E3">
        <w:rPr>
          <w:rFonts w:ascii="Arial" w:hAnsi="Arial" w:cs="Arial"/>
          <w:sz w:val="22"/>
          <w:szCs w:val="22"/>
        </w:rPr>
        <w:t>o Beneficio – Costo de 1,</w:t>
      </w:r>
      <w:r w:rsidR="00EF5A17" w:rsidRPr="008174E3">
        <w:rPr>
          <w:rFonts w:ascii="Arial" w:hAnsi="Arial" w:cs="Arial"/>
          <w:sz w:val="22"/>
          <w:szCs w:val="22"/>
        </w:rPr>
        <w:t>4</w:t>
      </w:r>
      <w:r w:rsidR="000C5997">
        <w:rPr>
          <w:rFonts w:ascii="Arial" w:hAnsi="Arial" w:cs="Arial"/>
          <w:sz w:val="22"/>
          <w:szCs w:val="22"/>
        </w:rPr>
        <w:t>6</w:t>
      </w:r>
      <w:r w:rsidR="008A57D0" w:rsidRPr="008174E3">
        <w:rPr>
          <w:rFonts w:ascii="Arial" w:hAnsi="Arial" w:cs="Arial"/>
          <w:sz w:val="22"/>
          <w:szCs w:val="22"/>
        </w:rPr>
        <w:t xml:space="preserve">. Estos resultados son </w:t>
      </w:r>
      <w:r w:rsidRPr="008174E3">
        <w:rPr>
          <w:rFonts w:ascii="Arial" w:hAnsi="Arial" w:cs="Arial"/>
          <w:sz w:val="22"/>
          <w:szCs w:val="22"/>
        </w:rPr>
        <w:t>consistente</w:t>
      </w:r>
      <w:r w:rsidR="008A57D0" w:rsidRPr="008174E3">
        <w:rPr>
          <w:rFonts w:ascii="Arial" w:hAnsi="Arial" w:cs="Arial"/>
          <w:sz w:val="22"/>
          <w:szCs w:val="22"/>
        </w:rPr>
        <w:t>s</w:t>
      </w:r>
      <w:r w:rsidRPr="008174E3">
        <w:rPr>
          <w:rFonts w:ascii="Arial" w:hAnsi="Arial" w:cs="Arial"/>
          <w:sz w:val="22"/>
          <w:szCs w:val="22"/>
        </w:rPr>
        <w:t xml:space="preserve"> con los estudios existentes sobre PAML, que en general muestran que</w:t>
      </w:r>
      <w:r w:rsidR="009E762D" w:rsidRPr="008174E3">
        <w:rPr>
          <w:rFonts w:ascii="Arial" w:hAnsi="Arial" w:cs="Arial"/>
          <w:sz w:val="22"/>
          <w:szCs w:val="22"/>
        </w:rPr>
        <w:t xml:space="preserve"> estos programas </w:t>
      </w:r>
      <w:r w:rsidRPr="008174E3">
        <w:rPr>
          <w:rFonts w:ascii="Arial" w:hAnsi="Arial" w:cs="Arial"/>
          <w:sz w:val="22"/>
          <w:szCs w:val="22"/>
        </w:rPr>
        <w:t>son altamente costo efectivo</w:t>
      </w:r>
      <w:r w:rsidR="002D37E4" w:rsidRPr="008174E3">
        <w:rPr>
          <w:rFonts w:ascii="Arial" w:hAnsi="Arial" w:cs="Arial"/>
          <w:sz w:val="22"/>
          <w:szCs w:val="22"/>
        </w:rPr>
        <w:t>s</w:t>
      </w:r>
      <w:r w:rsidRPr="008174E3">
        <w:rPr>
          <w:rFonts w:ascii="Arial" w:hAnsi="Arial" w:cs="Arial"/>
          <w:sz w:val="22"/>
          <w:szCs w:val="22"/>
        </w:rPr>
        <w:t xml:space="preserve">, incluso ante supuestos restrictivos sobre beneficios del programa como los considerados en el presente documento. </w:t>
      </w:r>
      <w:r w:rsidR="00827E44" w:rsidRPr="008174E3">
        <w:rPr>
          <w:rFonts w:ascii="Arial" w:hAnsi="Arial" w:cs="Arial"/>
          <w:sz w:val="22"/>
          <w:szCs w:val="22"/>
        </w:rPr>
        <w:t>El Cuadro </w:t>
      </w:r>
      <w:r w:rsidR="00693492" w:rsidRPr="008174E3">
        <w:rPr>
          <w:rFonts w:ascii="Arial" w:hAnsi="Arial" w:cs="Arial"/>
          <w:sz w:val="22"/>
          <w:szCs w:val="22"/>
        </w:rPr>
        <w:t>6</w:t>
      </w:r>
      <w:r w:rsidRPr="008174E3">
        <w:rPr>
          <w:rFonts w:ascii="Arial" w:hAnsi="Arial" w:cs="Arial"/>
          <w:sz w:val="22"/>
          <w:szCs w:val="22"/>
        </w:rPr>
        <w:t xml:space="preserve"> presenta los resultados agregados del programa y </w:t>
      </w:r>
      <w:r w:rsidR="00206363" w:rsidRPr="008174E3">
        <w:rPr>
          <w:rFonts w:ascii="Arial" w:hAnsi="Arial" w:cs="Arial"/>
          <w:sz w:val="22"/>
          <w:szCs w:val="22"/>
        </w:rPr>
        <w:t xml:space="preserve">los cuadros </w:t>
      </w:r>
      <w:r w:rsidRPr="008174E3">
        <w:rPr>
          <w:rFonts w:ascii="Arial" w:hAnsi="Arial" w:cs="Arial"/>
          <w:sz w:val="22"/>
          <w:szCs w:val="22"/>
        </w:rPr>
        <w:t>A</w:t>
      </w:r>
      <w:r w:rsidR="00DD13F0" w:rsidRPr="008174E3">
        <w:rPr>
          <w:rFonts w:ascii="Arial" w:hAnsi="Arial" w:cs="Arial"/>
          <w:sz w:val="22"/>
          <w:szCs w:val="22"/>
        </w:rPr>
        <w:t>9</w:t>
      </w:r>
      <w:r w:rsidRPr="008174E3">
        <w:rPr>
          <w:rFonts w:ascii="Arial" w:hAnsi="Arial" w:cs="Arial"/>
          <w:sz w:val="22"/>
          <w:szCs w:val="22"/>
        </w:rPr>
        <w:t xml:space="preserve"> </w:t>
      </w:r>
      <w:r w:rsidR="00206363" w:rsidRPr="008174E3">
        <w:rPr>
          <w:rFonts w:ascii="Arial" w:hAnsi="Arial" w:cs="Arial"/>
          <w:sz w:val="22"/>
          <w:szCs w:val="22"/>
        </w:rPr>
        <w:t xml:space="preserve">y A10 </w:t>
      </w:r>
      <w:r w:rsidRPr="008174E3">
        <w:rPr>
          <w:rFonts w:ascii="Arial" w:hAnsi="Arial" w:cs="Arial"/>
          <w:sz w:val="22"/>
          <w:szCs w:val="22"/>
        </w:rPr>
        <w:t>en Anexos, presentan los flujos desagregados por año.</w:t>
      </w:r>
      <w:r w:rsidR="008A57D0" w:rsidRPr="008174E3">
        <w:rPr>
          <w:rFonts w:ascii="Arial" w:hAnsi="Arial" w:cs="Arial"/>
          <w:sz w:val="22"/>
          <w:szCs w:val="22"/>
        </w:rPr>
        <w:t xml:space="preserve"> </w:t>
      </w:r>
    </w:p>
    <w:p w14:paraId="29B532E7" w14:textId="77777777" w:rsidR="00D77621" w:rsidRPr="008174E3" w:rsidRDefault="00D77621">
      <w:pPr>
        <w:autoSpaceDE w:val="0"/>
        <w:autoSpaceDN w:val="0"/>
        <w:adjustRightInd w:val="0"/>
        <w:jc w:val="center"/>
        <w:rPr>
          <w:rFonts w:ascii="Arial" w:hAnsi="Arial" w:cs="Arial"/>
          <w:b/>
        </w:rPr>
      </w:pPr>
    </w:p>
    <w:p w14:paraId="32A318C3" w14:textId="316FD782" w:rsidR="00B926CA" w:rsidRPr="008174E3" w:rsidRDefault="00827E44" w:rsidP="00B926CA">
      <w:pPr>
        <w:autoSpaceDE w:val="0"/>
        <w:autoSpaceDN w:val="0"/>
        <w:adjustRightInd w:val="0"/>
        <w:jc w:val="center"/>
        <w:rPr>
          <w:rFonts w:ascii="Arial" w:hAnsi="Arial" w:cs="Arial"/>
          <w:b/>
          <w:sz w:val="22"/>
          <w:szCs w:val="22"/>
        </w:rPr>
      </w:pPr>
      <w:r w:rsidRPr="008174E3">
        <w:rPr>
          <w:rFonts w:ascii="Arial" w:hAnsi="Arial" w:cs="Arial"/>
          <w:b/>
          <w:sz w:val="22"/>
          <w:szCs w:val="22"/>
        </w:rPr>
        <w:t xml:space="preserve">Cuadro </w:t>
      </w:r>
      <w:r w:rsidR="00693492" w:rsidRPr="008174E3">
        <w:rPr>
          <w:rFonts w:ascii="Arial" w:hAnsi="Arial" w:cs="Arial"/>
          <w:b/>
          <w:sz w:val="22"/>
          <w:szCs w:val="22"/>
        </w:rPr>
        <w:t>6</w:t>
      </w:r>
      <w:r w:rsidR="00B926CA" w:rsidRPr="008174E3">
        <w:rPr>
          <w:rFonts w:ascii="Arial" w:hAnsi="Arial" w:cs="Arial"/>
          <w:b/>
          <w:sz w:val="22"/>
          <w:szCs w:val="22"/>
        </w:rPr>
        <w:t>: Valor Presente Neto</w:t>
      </w:r>
      <w:r w:rsidR="00B13A75" w:rsidRPr="008174E3">
        <w:rPr>
          <w:rFonts w:ascii="Arial" w:hAnsi="Arial" w:cs="Arial"/>
          <w:b/>
          <w:sz w:val="22"/>
          <w:szCs w:val="22"/>
        </w:rPr>
        <w:t xml:space="preserve"> </w:t>
      </w:r>
      <w:r w:rsidR="002F3AB6" w:rsidRPr="008174E3">
        <w:rPr>
          <w:rFonts w:ascii="Arial" w:hAnsi="Arial" w:cs="Arial"/>
          <w:b/>
          <w:sz w:val="22"/>
          <w:szCs w:val="22"/>
        </w:rPr>
        <w:t>y Ratio Beneficio/Costo</w:t>
      </w:r>
      <w:r w:rsidR="00E0720B" w:rsidRPr="008174E3">
        <w:rPr>
          <w:rFonts w:ascii="Arial" w:hAnsi="Arial" w:cs="Arial"/>
          <w:b/>
          <w:sz w:val="22"/>
          <w:szCs w:val="22"/>
        </w:rPr>
        <w:t xml:space="preserve"> </w:t>
      </w:r>
      <w:r w:rsidR="002F3AB6" w:rsidRPr="008174E3">
        <w:rPr>
          <w:rFonts w:ascii="Arial" w:hAnsi="Arial" w:cs="Arial"/>
          <w:b/>
          <w:sz w:val="22"/>
          <w:szCs w:val="22"/>
        </w:rPr>
        <w:t>del Programa</w:t>
      </w:r>
    </w:p>
    <w:p w14:paraId="35F9AE5B" w14:textId="77777777" w:rsidR="00EA2820" w:rsidRPr="008174E3" w:rsidRDefault="00EA2820" w:rsidP="00B926CA">
      <w:pPr>
        <w:autoSpaceDE w:val="0"/>
        <w:autoSpaceDN w:val="0"/>
        <w:adjustRightInd w:val="0"/>
        <w:jc w:val="center"/>
        <w:rPr>
          <w:rFonts w:ascii="Arial" w:hAnsi="Arial" w:cs="Arial"/>
          <w:b/>
          <w:sz w:val="22"/>
        </w:rPr>
      </w:pPr>
    </w:p>
    <w:tbl>
      <w:tblPr>
        <w:tblW w:w="5823" w:type="dxa"/>
        <w:jc w:val="center"/>
        <w:tblLook w:val="04A0" w:firstRow="1" w:lastRow="0" w:firstColumn="1" w:lastColumn="0" w:noHBand="0" w:noVBand="1"/>
      </w:tblPr>
      <w:tblGrid>
        <w:gridCol w:w="3902"/>
        <w:gridCol w:w="1921"/>
      </w:tblGrid>
      <w:tr w:rsidR="00EA2820" w:rsidRPr="008174E3" w14:paraId="6121B45A" w14:textId="77777777" w:rsidTr="00EA2820">
        <w:trPr>
          <w:trHeight w:val="300"/>
          <w:jc w:val="center"/>
        </w:trPr>
        <w:tc>
          <w:tcPr>
            <w:tcW w:w="5823" w:type="dxa"/>
            <w:gridSpan w:val="2"/>
            <w:tcBorders>
              <w:top w:val="nil"/>
              <w:left w:val="nil"/>
              <w:bottom w:val="single" w:sz="4" w:space="0" w:color="auto"/>
              <w:right w:val="nil"/>
            </w:tcBorders>
            <w:shd w:val="clear" w:color="000000" w:fill="DDEBF7"/>
            <w:vAlign w:val="bottom"/>
            <w:hideMark/>
          </w:tcPr>
          <w:p w14:paraId="46A2B7C5" w14:textId="77777777" w:rsidR="00EA2820" w:rsidRPr="008174E3" w:rsidRDefault="00EA2820" w:rsidP="00EA2820">
            <w:pPr>
              <w:jc w:val="center"/>
              <w:rPr>
                <w:rFonts w:ascii="Arial" w:hAnsi="Arial" w:cs="Arial"/>
                <w:b/>
                <w:bCs/>
                <w:color w:val="000000"/>
                <w:sz w:val="20"/>
                <w:szCs w:val="22"/>
              </w:rPr>
            </w:pPr>
            <w:r w:rsidRPr="008174E3">
              <w:rPr>
                <w:rFonts w:ascii="Arial" w:hAnsi="Arial" w:cs="Arial"/>
                <w:b/>
                <w:bCs/>
                <w:color w:val="000000"/>
                <w:sz w:val="20"/>
                <w:szCs w:val="22"/>
              </w:rPr>
              <w:t>Total</w:t>
            </w:r>
          </w:p>
          <w:p w14:paraId="6B70CAD1" w14:textId="2E494399" w:rsidR="00EA2820" w:rsidRPr="008174E3" w:rsidRDefault="00702937" w:rsidP="00EA2820">
            <w:pPr>
              <w:jc w:val="center"/>
              <w:rPr>
                <w:rFonts w:ascii="Arial" w:hAnsi="Arial" w:cs="Arial"/>
                <w:b/>
                <w:bCs/>
                <w:color w:val="000000"/>
                <w:sz w:val="20"/>
                <w:szCs w:val="22"/>
              </w:rPr>
            </w:pPr>
            <w:r w:rsidRPr="008174E3">
              <w:rPr>
                <w:rFonts w:ascii="Arial" w:hAnsi="Arial" w:cs="Arial"/>
                <w:b/>
                <w:bCs/>
                <w:color w:val="000000"/>
                <w:sz w:val="20"/>
                <w:szCs w:val="22"/>
              </w:rPr>
              <w:t>Fortalecimiento de la Gestión de la</w:t>
            </w:r>
            <w:r w:rsidR="001755CF" w:rsidRPr="008174E3">
              <w:rPr>
                <w:rFonts w:ascii="Arial" w:hAnsi="Arial" w:cs="Arial"/>
                <w:b/>
                <w:bCs/>
                <w:color w:val="000000"/>
                <w:sz w:val="20"/>
                <w:szCs w:val="22"/>
              </w:rPr>
              <w:t>s</w:t>
            </w:r>
            <w:r w:rsidRPr="008174E3">
              <w:rPr>
                <w:rFonts w:ascii="Arial" w:hAnsi="Arial" w:cs="Arial"/>
                <w:b/>
                <w:bCs/>
                <w:color w:val="000000"/>
                <w:sz w:val="20"/>
                <w:szCs w:val="22"/>
              </w:rPr>
              <w:t xml:space="preserve"> Políticas </w:t>
            </w:r>
            <w:r w:rsidR="001755CF" w:rsidRPr="008174E3">
              <w:rPr>
                <w:rFonts w:ascii="Arial" w:hAnsi="Arial" w:cs="Arial"/>
                <w:b/>
                <w:bCs/>
                <w:color w:val="000000"/>
                <w:sz w:val="20"/>
                <w:szCs w:val="22"/>
              </w:rPr>
              <w:t xml:space="preserve">de Promoción del Empleo </w:t>
            </w:r>
          </w:p>
        </w:tc>
      </w:tr>
      <w:tr w:rsidR="0075413D" w:rsidRPr="008174E3" w14:paraId="1DA778DB" w14:textId="77777777" w:rsidTr="00EB6872">
        <w:trPr>
          <w:trHeight w:val="300"/>
          <w:jc w:val="center"/>
        </w:trPr>
        <w:tc>
          <w:tcPr>
            <w:tcW w:w="3902" w:type="dxa"/>
            <w:tcBorders>
              <w:top w:val="nil"/>
              <w:left w:val="nil"/>
              <w:bottom w:val="nil"/>
              <w:right w:val="nil"/>
            </w:tcBorders>
            <w:shd w:val="clear" w:color="000000" w:fill="FFFFFF"/>
            <w:noWrap/>
            <w:vAlign w:val="bottom"/>
            <w:hideMark/>
          </w:tcPr>
          <w:p w14:paraId="6510C745" w14:textId="1EE61DD7" w:rsidR="0075413D" w:rsidRPr="008174E3" w:rsidRDefault="0075413D" w:rsidP="0075413D">
            <w:pPr>
              <w:rPr>
                <w:rFonts w:ascii="Arial" w:hAnsi="Arial" w:cs="Arial"/>
                <w:color w:val="000000"/>
                <w:sz w:val="20"/>
                <w:szCs w:val="20"/>
              </w:rPr>
            </w:pPr>
            <w:r w:rsidRPr="008174E3">
              <w:rPr>
                <w:rFonts w:ascii="Arial" w:hAnsi="Arial" w:cs="Arial"/>
                <w:color w:val="000000"/>
                <w:sz w:val="20"/>
                <w:szCs w:val="20"/>
              </w:rPr>
              <w:t>Valor Presente de los Beneficios</w:t>
            </w:r>
          </w:p>
        </w:tc>
        <w:tc>
          <w:tcPr>
            <w:tcW w:w="1921" w:type="dxa"/>
            <w:tcBorders>
              <w:top w:val="nil"/>
              <w:left w:val="nil"/>
              <w:bottom w:val="nil"/>
              <w:right w:val="nil"/>
            </w:tcBorders>
            <w:shd w:val="clear" w:color="000000" w:fill="FFFFFF"/>
            <w:noWrap/>
            <w:hideMark/>
          </w:tcPr>
          <w:p w14:paraId="4FB99575" w14:textId="78493A46" w:rsidR="0075413D" w:rsidRPr="008174E3" w:rsidRDefault="0075413D" w:rsidP="0075413D">
            <w:pPr>
              <w:jc w:val="right"/>
              <w:rPr>
                <w:rFonts w:ascii="Arial" w:hAnsi="Arial" w:cs="Arial"/>
                <w:color w:val="000000"/>
                <w:sz w:val="20"/>
                <w:szCs w:val="20"/>
              </w:rPr>
            </w:pPr>
            <w:r w:rsidRPr="008174E3">
              <w:rPr>
                <w:rFonts w:ascii="Arial" w:hAnsi="Arial" w:cs="Arial"/>
                <w:sz w:val="20"/>
                <w:szCs w:val="20"/>
              </w:rPr>
              <w:t xml:space="preserve"> $2</w:t>
            </w:r>
            <w:r w:rsidR="000C5997">
              <w:rPr>
                <w:rFonts w:ascii="Arial" w:hAnsi="Arial" w:cs="Arial"/>
                <w:sz w:val="20"/>
                <w:szCs w:val="20"/>
              </w:rPr>
              <w:t>68</w:t>
            </w:r>
            <w:r w:rsidRPr="008174E3">
              <w:rPr>
                <w:rFonts w:ascii="Arial" w:hAnsi="Arial" w:cs="Arial"/>
                <w:sz w:val="20"/>
                <w:szCs w:val="20"/>
              </w:rPr>
              <w:t>,</w:t>
            </w:r>
            <w:r w:rsidR="000C5997">
              <w:rPr>
                <w:rFonts w:ascii="Arial" w:hAnsi="Arial" w:cs="Arial"/>
                <w:sz w:val="20"/>
                <w:szCs w:val="20"/>
              </w:rPr>
              <w:t>85</w:t>
            </w:r>
            <w:r w:rsidRPr="008174E3">
              <w:rPr>
                <w:rFonts w:ascii="Arial" w:hAnsi="Arial" w:cs="Arial"/>
                <w:sz w:val="20"/>
                <w:szCs w:val="20"/>
              </w:rPr>
              <w:t xml:space="preserve"> </w:t>
            </w:r>
          </w:p>
        </w:tc>
      </w:tr>
      <w:tr w:rsidR="0075413D" w:rsidRPr="008174E3" w14:paraId="5CDBAFEE" w14:textId="77777777" w:rsidTr="00851BD8">
        <w:trPr>
          <w:trHeight w:val="300"/>
          <w:jc w:val="center"/>
        </w:trPr>
        <w:tc>
          <w:tcPr>
            <w:tcW w:w="3902" w:type="dxa"/>
            <w:tcBorders>
              <w:top w:val="nil"/>
              <w:left w:val="nil"/>
              <w:bottom w:val="nil"/>
              <w:right w:val="nil"/>
            </w:tcBorders>
            <w:shd w:val="clear" w:color="000000" w:fill="FFFFFF"/>
            <w:noWrap/>
            <w:vAlign w:val="bottom"/>
            <w:hideMark/>
          </w:tcPr>
          <w:p w14:paraId="3CD42ABF" w14:textId="028ADA84" w:rsidR="0075413D" w:rsidRPr="008174E3" w:rsidRDefault="0075413D" w:rsidP="0075413D">
            <w:pPr>
              <w:rPr>
                <w:rFonts w:ascii="Arial" w:hAnsi="Arial" w:cs="Arial"/>
                <w:color w:val="000000"/>
                <w:sz w:val="20"/>
                <w:szCs w:val="20"/>
              </w:rPr>
            </w:pPr>
            <w:r w:rsidRPr="008174E3">
              <w:rPr>
                <w:rFonts w:ascii="Arial" w:hAnsi="Arial" w:cs="Arial"/>
                <w:color w:val="000000"/>
                <w:sz w:val="20"/>
                <w:szCs w:val="20"/>
              </w:rPr>
              <w:t>Valor Presente de los Costos</w:t>
            </w:r>
          </w:p>
        </w:tc>
        <w:tc>
          <w:tcPr>
            <w:tcW w:w="1921" w:type="dxa"/>
            <w:tcBorders>
              <w:top w:val="nil"/>
              <w:left w:val="nil"/>
              <w:bottom w:val="nil"/>
              <w:right w:val="nil"/>
            </w:tcBorders>
            <w:shd w:val="clear" w:color="000000" w:fill="FFFFFF"/>
            <w:noWrap/>
            <w:hideMark/>
          </w:tcPr>
          <w:p w14:paraId="3278BC47" w14:textId="3754E34C" w:rsidR="0075413D" w:rsidRPr="008174E3" w:rsidRDefault="0075413D" w:rsidP="0075413D">
            <w:pPr>
              <w:jc w:val="right"/>
              <w:rPr>
                <w:rFonts w:ascii="Arial" w:hAnsi="Arial" w:cs="Arial"/>
                <w:color w:val="000000"/>
                <w:sz w:val="20"/>
                <w:szCs w:val="20"/>
              </w:rPr>
            </w:pPr>
            <w:r w:rsidRPr="008174E3">
              <w:rPr>
                <w:rFonts w:ascii="Arial" w:hAnsi="Arial" w:cs="Arial"/>
                <w:sz w:val="20"/>
                <w:szCs w:val="20"/>
              </w:rPr>
              <w:t xml:space="preserve"> $1</w:t>
            </w:r>
            <w:r w:rsidR="000C5997">
              <w:rPr>
                <w:rFonts w:ascii="Arial" w:hAnsi="Arial" w:cs="Arial"/>
                <w:sz w:val="20"/>
                <w:szCs w:val="20"/>
              </w:rPr>
              <w:t>84</w:t>
            </w:r>
            <w:r w:rsidRPr="008174E3">
              <w:rPr>
                <w:rFonts w:ascii="Arial" w:hAnsi="Arial" w:cs="Arial"/>
                <w:sz w:val="20"/>
                <w:szCs w:val="20"/>
              </w:rPr>
              <w:t>,</w:t>
            </w:r>
            <w:r w:rsidR="000C5997">
              <w:rPr>
                <w:rFonts w:ascii="Arial" w:hAnsi="Arial" w:cs="Arial"/>
                <w:sz w:val="20"/>
                <w:szCs w:val="20"/>
              </w:rPr>
              <w:t>36</w:t>
            </w:r>
            <w:r w:rsidRPr="008174E3">
              <w:rPr>
                <w:rFonts w:ascii="Arial" w:hAnsi="Arial" w:cs="Arial"/>
                <w:sz w:val="20"/>
                <w:szCs w:val="20"/>
              </w:rPr>
              <w:t xml:space="preserve"> </w:t>
            </w:r>
          </w:p>
        </w:tc>
      </w:tr>
      <w:tr w:rsidR="0075413D" w:rsidRPr="008174E3" w14:paraId="39454637" w14:textId="77777777" w:rsidTr="00851BD8">
        <w:trPr>
          <w:trHeight w:val="300"/>
          <w:jc w:val="center"/>
        </w:trPr>
        <w:tc>
          <w:tcPr>
            <w:tcW w:w="3902" w:type="dxa"/>
            <w:tcBorders>
              <w:top w:val="nil"/>
              <w:left w:val="nil"/>
              <w:bottom w:val="nil"/>
              <w:right w:val="nil"/>
            </w:tcBorders>
            <w:shd w:val="clear" w:color="000000" w:fill="FFFFFF"/>
            <w:noWrap/>
            <w:vAlign w:val="bottom"/>
            <w:hideMark/>
          </w:tcPr>
          <w:p w14:paraId="72F929E1" w14:textId="6EB33730" w:rsidR="0075413D" w:rsidRPr="008174E3" w:rsidRDefault="0075413D" w:rsidP="0075413D">
            <w:pPr>
              <w:rPr>
                <w:rFonts w:ascii="Arial" w:hAnsi="Arial" w:cs="Arial"/>
                <w:color w:val="000000"/>
                <w:sz w:val="20"/>
                <w:szCs w:val="20"/>
              </w:rPr>
            </w:pPr>
            <w:r w:rsidRPr="008174E3">
              <w:rPr>
                <w:rFonts w:ascii="Arial" w:hAnsi="Arial" w:cs="Arial"/>
                <w:color w:val="000000"/>
                <w:sz w:val="20"/>
                <w:szCs w:val="20"/>
              </w:rPr>
              <w:t>Valor Presente Neto</w:t>
            </w:r>
          </w:p>
        </w:tc>
        <w:tc>
          <w:tcPr>
            <w:tcW w:w="1921" w:type="dxa"/>
            <w:tcBorders>
              <w:top w:val="nil"/>
              <w:left w:val="nil"/>
              <w:bottom w:val="nil"/>
              <w:right w:val="nil"/>
            </w:tcBorders>
            <w:shd w:val="clear" w:color="000000" w:fill="FFFFFF"/>
            <w:noWrap/>
            <w:hideMark/>
          </w:tcPr>
          <w:p w14:paraId="5BC89692" w14:textId="7611EDFE" w:rsidR="0075413D" w:rsidRPr="008174E3" w:rsidRDefault="0075413D" w:rsidP="0075413D">
            <w:pPr>
              <w:jc w:val="right"/>
              <w:rPr>
                <w:rFonts w:ascii="Arial" w:hAnsi="Arial" w:cs="Arial"/>
                <w:color w:val="000000"/>
                <w:sz w:val="20"/>
                <w:szCs w:val="20"/>
              </w:rPr>
            </w:pPr>
            <w:r w:rsidRPr="008174E3">
              <w:rPr>
                <w:rFonts w:ascii="Arial" w:hAnsi="Arial" w:cs="Arial"/>
                <w:sz w:val="20"/>
                <w:szCs w:val="20"/>
              </w:rPr>
              <w:t xml:space="preserve"> $</w:t>
            </w:r>
            <w:r w:rsidR="000C5997">
              <w:rPr>
                <w:rFonts w:ascii="Arial" w:hAnsi="Arial" w:cs="Arial"/>
                <w:sz w:val="20"/>
                <w:szCs w:val="20"/>
              </w:rPr>
              <w:t>84</w:t>
            </w:r>
            <w:r w:rsidRPr="008174E3">
              <w:rPr>
                <w:rFonts w:ascii="Arial" w:hAnsi="Arial" w:cs="Arial"/>
                <w:sz w:val="20"/>
                <w:szCs w:val="20"/>
              </w:rPr>
              <w:t>,</w:t>
            </w:r>
            <w:r w:rsidR="000C5997">
              <w:rPr>
                <w:rFonts w:ascii="Arial" w:hAnsi="Arial" w:cs="Arial"/>
                <w:sz w:val="20"/>
                <w:szCs w:val="20"/>
              </w:rPr>
              <w:t>49</w:t>
            </w:r>
            <w:r w:rsidRPr="008174E3">
              <w:rPr>
                <w:rFonts w:ascii="Arial" w:hAnsi="Arial" w:cs="Arial"/>
                <w:sz w:val="20"/>
                <w:szCs w:val="20"/>
              </w:rPr>
              <w:t xml:space="preserve"> </w:t>
            </w:r>
          </w:p>
        </w:tc>
      </w:tr>
      <w:tr w:rsidR="0075413D" w:rsidRPr="008174E3" w14:paraId="6F1F01B6" w14:textId="77777777" w:rsidTr="00271A72">
        <w:trPr>
          <w:trHeight w:val="73"/>
          <w:jc w:val="center"/>
        </w:trPr>
        <w:tc>
          <w:tcPr>
            <w:tcW w:w="3902" w:type="dxa"/>
            <w:tcBorders>
              <w:top w:val="nil"/>
              <w:left w:val="nil"/>
              <w:bottom w:val="single" w:sz="4" w:space="0" w:color="auto"/>
              <w:right w:val="nil"/>
            </w:tcBorders>
            <w:shd w:val="clear" w:color="000000" w:fill="FFFFFF"/>
            <w:noWrap/>
            <w:vAlign w:val="bottom"/>
            <w:hideMark/>
          </w:tcPr>
          <w:p w14:paraId="7C300511" w14:textId="72C186A7" w:rsidR="0075413D" w:rsidRPr="008174E3" w:rsidRDefault="0075413D" w:rsidP="0075413D">
            <w:pPr>
              <w:rPr>
                <w:rFonts w:ascii="Arial" w:hAnsi="Arial" w:cs="Arial"/>
                <w:color w:val="000000"/>
                <w:sz w:val="20"/>
                <w:szCs w:val="20"/>
              </w:rPr>
            </w:pPr>
            <w:r w:rsidRPr="008174E3">
              <w:rPr>
                <w:rFonts w:ascii="Arial" w:hAnsi="Arial" w:cs="Arial"/>
                <w:color w:val="000000"/>
                <w:sz w:val="20"/>
                <w:szCs w:val="20"/>
              </w:rPr>
              <w:t>Ratio Beneficio – Costo</w:t>
            </w:r>
          </w:p>
        </w:tc>
        <w:tc>
          <w:tcPr>
            <w:tcW w:w="1921" w:type="dxa"/>
            <w:tcBorders>
              <w:top w:val="nil"/>
              <w:left w:val="nil"/>
              <w:bottom w:val="single" w:sz="4" w:space="0" w:color="auto"/>
              <w:right w:val="nil"/>
            </w:tcBorders>
            <w:shd w:val="clear" w:color="000000" w:fill="FFFFFF"/>
            <w:noWrap/>
            <w:hideMark/>
          </w:tcPr>
          <w:p w14:paraId="593F5EA7" w14:textId="3B105895" w:rsidR="0075413D" w:rsidRPr="008174E3" w:rsidRDefault="000C5997" w:rsidP="0075413D">
            <w:pPr>
              <w:jc w:val="right"/>
              <w:rPr>
                <w:rFonts w:ascii="Arial" w:hAnsi="Arial" w:cs="Arial"/>
                <w:color w:val="000000"/>
                <w:sz w:val="20"/>
                <w:szCs w:val="20"/>
              </w:rPr>
            </w:pPr>
            <w:r>
              <w:rPr>
                <w:rFonts w:ascii="Arial" w:hAnsi="Arial" w:cs="Arial"/>
                <w:sz w:val="20"/>
                <w:szCs w:val="20"/>
              </w:rPr>
              <w:t xml:space="preserve"> 1,46</w:t>
            </w:r>
            <w:r w:rsidR="0075413D" w:rsidRPr="008174E3">
              <w:rPr>
                <w:rFonts w:ascii="Arial" w:hAnsi="Arial" w:cs="Arial"/>
                <w:sz w:val="20"/>
                <w:szCs w:val="20"/>
              </w:rPr>
              <w:t xml:space="preserve"> </w:t>
            </w:r>
          </w:p>
        </w:tc>
      </w:tr>
    </w:tbl>
    <w:p w14:paraId="1391832E" w14:textId="77777777" w:rsidR="00EA2820" w:rsidRPr="008174E3" w:rsidRDefault="00EA2820" w:rsidP="00B926CA">
      <w:pPr>
        <w:autoSpaceDE w:val="0"/>
        <w:autoSpaceDN w:val="0"/>
        <w:adjustRightInd w:val="0"/>
        <w:jc w:val="center"/>
        <w:rPr>
          <w:rFonts w:ascii="Arial" w:hAnsi="Arial" w:cs="Arial"/>
          <w:b/>
        </w:rPr>
      </w:pPr>
    </w:p>
    <w:p w14:paraId="506229F1" w14:textId="03DA8B00" w:rsidR="00EA2820" w:rsidRPr="008174E3" w:rsidRDefault="00EA2820" w:rsidP="00C074B4">
      <w:pPr>
        <w:autoSpaceDE w:val="0"/>
        <w:autoSpaceDN w:val="0"/>
        <w:adjustRightInd w:val="0"/>
        <w:jc w:val="center"/>
        <w:rPr>
          <w:rFonts w:ascii="Arial" w:hAnsi="Arial" w:cs="Arial"/>
          <w:b/>
        </w:rPr>
      </w:pPr>
    </w:p>
    <w:p w14:paraId="60EFDF29" w14:textId="77777777" w:rsidR="00541D07" w:rsidRPr="008174E3" w:rsidRDefault="0056524B" w:rsidP="00827E44">
      <w:pPr>
        <w:pStyle w:val="ListParagraph"/>
        <w:keepNext/>
        <w:numPr>
          <w:ilvl w:val="0"/>
          <w:numId w:val="7"/>
        </w:numPr>
        <w:spacing w:before="120"/>
        <w:ind w:left="0"/>
        <w:jc w:val="both"/>
        <w:rPr>
          <w:rFonts w:ascii="Arial" w:hAnsi="Arial" w:cs="Arial"/>
          <w:b/>
        </w:rPr>
      </w:pPr>
      <w:r w:rsidRPr="008174E3">
        <w:rPr>
          <w:rFonts w:ascii="Arial" w:hAnsi="Arial" w:cs="Arial"/>
          <w:b/>
        </w:rPr>
        <w:t>Análisis</w:t>
      </w:r>
      <w:r w:rsidR="00541D07" w:rsidRPr="008174E3">
        <w:rPr>
          <w:rFonts w:ascii="Arial" w:hAnsi="Arial" w:cs="Arial"/>
          <w:b/>
        </w:rPr>
        <w:t xml:space="preserve"> de Sensibilidad</w:t>
      </w:r>
    </w:p>
    <w:p w14:paraId="6D511536" w14:textId="77777777" w:rsidR="00DD5F9F" w:rsidRPr="008174E3" w:rsidRDefault="00DD5F9F" w:rsidP="00827E44">
      <w:pPr>
        <w:pStyle w:val="ListParagraph"/>
        <w:keepNext/>
        <w:spacing w:before="120"/>
        <w:ind w:left="0"/>
        <w:jc w:val="both"/>
        <w:rPr>
          <w:rFonts w:ascii="Arial" w:hAnsi="Arial" w:cs="Arial"/>
          <w:b/>
        </w:rPr>
      </w:pPr>
    </w:p>
    <w:p w14:paraId="170EF149" w14:textId="3F18448C" w:rsidR="00814B75" w:rsidRPr="008174E3" w:rsidRDefault="00DD5F9F" w:rsidP="00827E44">
      <w:pPr>
        <w:pStyle w:val="ListParagraph"/>
        <w:keepNext/>
        <w:numPr>
          <w:ilvl w:val="0"/>
          <w:numId w:val="8"/>
        </w:numPr>
        <w:ind w:left="0"/>
        <w:jc w:val="both"/>
        <w:rPr>
          <w:rFonts w:ascii="Arial" w:hAnsi="Arial" w:cs="Arial"/>
          <w:sz w:val="22"/>
          <w:szCs w:val="22"/>
        </w:rPr>
      </w:pPr>
      <w:r w:rsidRPr="008174E3">
        <w:rPr>
          <w:rFonts w:ascii="Arial" w:hAnsi="Arial" w:cs="Arial"/>
          <w:sz w:val="22"/>
          <w:szCs w:val="22"/>
        </w:rPr>
        <w:t xml:space="preserve">En la presente sección se </w:t>
      </w:r>
      <w:r w:rsidR="00C338F2" w:rsidRPr="008174E3">
        <w:rPr>
          <w:rFonts w:ascii="Arial" w:hAnsi="Arial" w:cs="Arial"/>
          <w:sz w:val="22"/>
          <w:szCs w:val="22"/>
        </w:rPr>
        <w:t xml:space="preserve">presenta </w:t>
      </w:r>
      <w:r w:rsidRPr="008174E3">
        <w:rPr>
          <w:rFonts w:ascii="Arial" w:hAnsi="Arial" w:cs="Arial"/>
          <w:sz w:val="22"/>
          <w:szCs w:val="22"/>
        </w:rPr>
        <w:t xml:space="preserve">el </w:t>
      </w:r>
      <w:r w:rsidR="00A970EE" w:rsidRPr="008174E3">
        <w:rPr>
          <w:rFonts w:ascii="Arial" w:hAnsi="Arial" w:cs="Arial"/>
          <w:sz w:val="22"/>
          <w:szCs w:val="22"/>
        </w:rPr>
        <w:t>análisis</w:t>
      </w:r>
      <w:r w:rsidRPr="008174E3">
        <w:rPr>
          <w:rFonts w:ascii="Arial" w:hAnsi="Arial" w:cs="Arial"/>
          <w:sz w:val="22"/>
          <w:szCs w:val="22"/>
        </w:rPr>
        <w:t xml:space="preserve"> de </w:t>
      </w:r>
      <w:r w:rsidR="00A970EE" w:rsidRPr="008174E3">
        <w:rPr>
          <w:rFonts w:ascii="Arial" w:hAnsi="Arial" w:cs="Arial"/>
          <w:sz w:val="22"/>
          <w:szCs w:val="22"/>
        </w:rPr>
        <w:t>sensibilidad</w:t>
      </w:r>
      <w:r w:rsidRPr="008174E3">
        <w:rPr>
          <w:rFonts w:ascii="Arial" w:hAnsi="Arial" w:cs="Arial"/>
          <w:sz w:val="22"/>
          <w:szCs w:val="22"/>
        </w:rPr>
        <w:t xml:space="preserve"> </w:t>
      </w:r>
      <w:r w:rsidR="00D77621" w:rsidRPr="008174E3">
        <w:rPr>
          <w:rFonts w:ascii="Arial" w:hAnsi="Arial" w:cs="Arial"/>
          <w:sz w:val="22"/>
          <w:szCs w:val="22"/>
        </w:rPr>
        <w:t xml:space="preserve">del </w:t>
      </w:r>
      <w:r w:rsidR="003B25F7" w:rsidRPr="008174E3">
        <w:rPr>
          <w:rFonts w:ascii="Arial" w:hAnsi="Arial" w:cs="Arial"/>
          <w:sz w:val="22"/>
          <w:szCs w:val="22"/>
        </w:rPr>
        <w:t>programa</w:t>
      </w:r>
      <w:r w:rsidR="00D77621" w:rsidRPr="008174E3">
        <w:rPr>
          <w:rFonts w:ascii="Arial" w:hAnsi="Arial" w:cs="Arial"/>
          <w:sz w:val="22"/>
          <w:szCs w:val="22"/>
        </w:rPr>
        <w:t xml:space="preserve">, el objetivo del análisis de sensibilidad es cuantificar </w:t>
      </w:r>
      <w:r w:rsidR="003B25F7" w:rsidRPr="008174E3">
        <w:rPr>
          <w:rFonts w:ascii="Arial" w:hAnsi="Arial" w:cs="Arial"/>
          <w:sz w:val="22"/>
          <w:szCs w:val="22"/>
        </w:rPr>
        <w:t xml:space="preserve">la variación en </w:t>
      </w:r>
      <w:r w:rsidR="00D77621" w:rsidRPr="008174E3">
        <w:rPr>
          <w:rFonts w:ascii="Arial" w:hAnsi="Arial" w:cs="Arial"/>
          <w:sz w:val="22"/>
          <w:szCs w:val="22"/>
        </w:rPr>
        <w:t xml:space="preserve">los resultados </w:t>
      </w:r>
      <w:r w:rsidR="003B25F7" w:rsidRPr="008174E3">
        <w:rPr>
          <w:rFonts w:ascii="Arial" w:hAnsi="Arial" w:cs="Arial"/>
          <w:sz w:val="22"/>
          <w:szCs w:val="22"/>
        </w:rPr>
        <w:t xml:space="preserve">obtenidos </w:t>
      </w:r>
      <w:r w:rsidR="00D77621" w:rsidRPr="008174E3">
        <w:rPr>
          <w:rFonts w:ascii="Arial" w:hAnsi="Arial" w:cs="Arial"/>
          <w:sz w:val="22"/>
          <w:szCs w:val="22"/>
        </w:rPr>
        <w:t xml:space="preserve">ante cambios en las variables y supuestos fundamentales del presente análisis. </w:t>
      </w:r>
      <w:r w:rsidR="00814B75" w:rsidRPr="008174E3">
        <w:rPr>
          <w:rFonts w:ascii="Arial" w:hAnsi="Arial" w:cs="Arial"/>
          <w:sz w:val="22"/>
          <w:szCs w:val="22"/>
        </w:rPr>
        <w:t xml:space="preserve">Esta parte del análisis de sensibilidad se realiza mediante un análisis </w:t>
      </w:r>
      <w:r w:rsidR="00814B75" w:rsidRPr="008174E3">
        <w:rPr>
          <w:rFonts w:ascii="Arial" w:hAnsi="Arial" w:cs="Arial"/>
          <w:i/>
          <w:sz w:val="22"/>
          <w:szCs w:val="22"/>
        </w:rPr>
        <w:t>ceteris paribus</w:t>
      </w:r>
      <w:r w:rsidR="00814B75" w:rsidRPr="008174E3">
        <w:rPr>
          <w:rFonts w:ascii="Arial" w:hAnsi="Arial" w:cs="Arial"/>
          <w:sz w:val="22"/>
          <w:szCs w:val="22"/>
        </w:rPr>
        <w:t xml:space="preserve"> de sensibilidad en el que se modifica un solo parámetro a la vez. </w:t>
      </w:r>
    </w:p>
    <w:p w14:paraId="395BFAF8" w14:textId="77777777" w:rsidR="00814B75" w:rsidRPr="008174E3" w:rsidRDefault="00814B75" w:rsidP="00814B75">
      <w:pPr>
        <w:pStyle w:val="ListParagraph"/>
        <w:ind w:left="0"/>
        <w:jc w:val="both"/>
        <w:rPr>
          <w:rFonts w:ascii="Arial" w:hAnsi="Arial" w:cs="Arial"/>
          <w:sz w:val="22"/>
          <w:szCs w:val="22"/>
        </w:rPr>
      </w:pPr>
    </w:p>
    <w:p w14:paraId="6C3F768C" w14:textId="05F7C0D7" w:rsidR="009324CD" w:rsidRPr="008174E3" w:rsidRDefault="00827E44" w:rsidP="009C7E3B">
      <w:pPr>
        <w:pStyle w:val="ListParagraph"/>
        <w:numPr>
          <w:ilvl w:val="0"/>
          <w:numId w:val="8"/>
        </w:numPr>
        <w:spacing w:before="120"/>
        <w:ind w:left="0"/>
        <w:jc w:val="both"/>
        <w:rPr>
          <w:rFonts w:ascii="Arial" w:hAnsi="Arial" w:cs="Arial"/>
          <w:b/>
          <w:sz w:val="22"/>
          <w:szCs w:val="22"/>
        </w:rPr>
      </w:pPr>
      <w:r w:rsidRPr="008174E3">
        <w:rPr>
          <w:rFonts w:ascii="Arial" w:hAnsi="Arial" w:cs="Arial"/>
          <w:sz w:val="22"/>
          <w:szCs w:val="22"/>
        </w:rPr>
        <w:lastRenderedPageBreak/>
        <w:t>El Cuadro </w:t>
      </w:r>
      <w:r w:rsidR="000A0C92" w:rsidRPr="008174E3">
        <w:rPr>
          <w:rFonts w:ascii="Arial" w:hAnsi="Arial" w:cs="Arial"/>
          <w:sz w:val="22"/>
          <w:szCs w:val="22"/>
        </w:rPr>
        <w:t>6</w:t>
      </w:r>
      <w:r w:rsidR="00ED1E24" w:rsidRPr="008174E3">
        <w:rPr>
          <w:rFonts w:ascii="Arial" w:hAnsi="Arial" w:cs="Arial"/>
          <w:sz w:val="22"/>
          <w:szCs w:val="22"/>
        </w:rPr>
        <w:t xml:space="preserve"> describe los resultados del </w:t>
      </w:r>
      <w:r w:rsidR="00E50982" w:rsidRPr="008174E3">
        <w:rPr>
          <w:rFonts w:ascii="Arial" w:hAnsi="Arial" w:cs="Arial"/>
          <w:sz w:val="22"/>
          <w:szCs w:val="22"/>
        </w:rPr>
        <w:t>VPN</w:t>
      </w:r>
      <w:r w:rsidR="00ED1E24" w:rsidRPr="008174E3">
        <w:rPr>
          <w:rFonts w:ascii="Arial" w:hAnsi="Arial" w:cs="Arial"/>
          <w:sz w:val="22"/>
          <w:szCs w:val="22"/>
        </w:rPr>
        <w:t xml:space="preserve"> usando nuevos supuestos </w:t>
      </w:r>
      <w:r w:rsidR="00D60BA4" w:rsidRPr="008174E3">
        <w:rPr>
          <w:rFonts w:ascii="Arial" w:hAnsi="Arial" w:cs="Arial"/>
          <w:sz w:val="22"/>
          <w:szCs w:val="22"/>
        </w:rPr>
        <w:t xml:space="preserve">para el impacto sobre el </w:t>
      </w:r>
      <w:r w:rsidR="009324CD" w:rsidRPr="008174E3">
        <w:rPr>
          <w:rFonts w:ascii="Arial" w:hAnsi="Arial" w:cs="Arial"/>
          <w:sz w:val="22"/>
          <w:szCs w:val="22"/>
        </w:rPr>
        <w:t>acceso a empleo formal</w:t>
      </w:r>
      <w:r w:rsidR="003B25F7" w:rsidRPr="008174E3">
        <w:rPr>
          <w:rFonts w:ascii="Arial" w:hAnsi="Arial" w:cs="Arial"/>
          <w:sz w:val="22"/>
          <w:szCs w:val="22"/>
        </w:rPr>
        <w:t>. P</w:t>
      </w:r>
      <w:r w:rsidR="00D77621" w:rsidRPr="008174E3">
        <w:rPr>
          <w:rFonts w:ascii="Arial" w:hAnsi="Arial" w:cs="Arial"/>
          <w:sz w:val="22"/>
          <w:szCs w:val="22"/>
        </w:rPr>
        <w:t>ara esto se plantea un escenario optimista con mejoras en los resultados esperados y un escenario pesimista</w:t>
      </w:r>
      <w:r w:rsidR="003B25F7" w:rsidRPr="008174E3">
        <w:rPr>
          <w:rFonts w:ascii="Arial" w:hAnsi="Arial" w:cs="Arial"/>
          <w:sz w:val="22"/>
          <w:szCs w:val="22"/>
        </w:rPr>
        <w:t xml:space="preserve"> con supuestos aún más conservadores</w:t>
      </w:r>
      <w:r w:rsidR="00D77621" w:rsidRPr="008174E3">
        <w:rPr>
          <w:rFonts w:ascii="Arial" w:hAnsi="Arial" w:cs="Arial"/>
          <w:sz w:val="22"/>
          <w:szCs w:val="22"/>
        </w:rPr>
        <w:t>.</w:t>
      </w:r>
      <w:r w:rsidR="00B96D87" w:rsidRPr="008174E3">
        <w:rPr>
          <w:rFonts w:ascii="Arial" w:hAnsi="Arial" w:cs="Arial"/>
          <w:sz w:val="22"/>
          <w:szCs w:val="22"/>
        </w:rPr>
        <w:t xml:space="preserve"> </w:t>
      </w:r>
      <w:r w:rsidR="003B25F7" w:rsidRPr="008174E3">
        <w:rPr>
          <w:rFonts w:ascii="Arial" w:hAnsi="Arial" w:cs="Arial"/>
          <w:sz w:val="22"/>
          <w:szCs w:val="22"/>
        </w:rPr>
        <w:t>Adicionalmente, s</w:t>
      </w:r>
      <w:r w:rsidR="00814B75" w:rsidRPr="008174E3">
        <w:rPr>
          <w:rFonts w:ascii="Arial" w:hAnsi="Arial" w:cs="Arial"/>
          <w:sz w:val="22"/>
          <w:szCs w:val="22"/>
        </w:rPr>
        <w:t xml:space="preserve">e presenta el </w:t>
      </w:r>
      <w:r w:rsidR="0007065C" w:rsidRPr="008174E3">
        <w:rPr>
          <w:rFonts w:ascii="Arial" w:hAnsi="Arial" w:cs="Arial"/>
          <w:sz w:val="22"/>
          <w:szCs w:val="22"/>
        </w:rPr>
        <w:t>análisis</w:t>
      </w:r>
      <w:r w:rsidR="003B25F7" w:rsidRPr="008174E3">
        <w:rPr>
          <w:rFonts w:ascii="Arial" w:hAnsi="Arial" w:cs="Arial"/>
          <w:sz w:val="22"/>
          <w:szCs w:val="22"/>
        </w:rPr>
        <w:t xml:space="preserve"> de los resultados del programa ante la existencia de efecto </w:t>
      </w:r>
      <w:r w:rsidR="00814B75" w:rsidRPr="008174E3">
        <w:rPr>
          <w:rFonts w:ascii="Arial" w:hAnsi="Arial" w:cs="Arial"/>
          <w:sz w:val="22"/>
          <w:szCs w:val="22"/>
        </w:rPr>
        <w:t xml:space="preserve">desplazamiento. </w:t>
      </w:r>
      <w:r w:rsidR="003B25F7" w:rsidRPr="008174E3">
        <w:rPr>
          <w:rFonts w:ascii="Arial" w:hAnsi="Arial" w:cs="Arial"/>
          <w:sz w:val="22"/>
          <w:szCs w:val="22"/>
        </w:rPr>
        <w:t xml:space="preserve">Para esto, </w:t>
      </w:r>
      <w:r w:rsidR="00814B75" w:rsidRPr="008174E3">
        <w:rPr>
          <w:rFonts w:ascii="Arial" w:hAnsi="Arial" w:cs="Arial"/>
          <w:sz w:val="22"/>
          <w:szCs w:val="22"/>
        </w:rPr>
        <w:t>se sigue</w:t>
      </w:r>
      <w:r w:rsidR="003B25F7" w:rsidRPr="008174E3">
        <w:rPr>
          <w:rFonts w:ascii="Arial" w:hAnsi="Arial" w:cs="Arial"/>
          <w:sz w:val="22"/>
          <w:szCs w:val="22"/>
        </w:rPr>
        <w:t>n</w:t>
      </w:r>
      <w:r w:rsidR="00814B75" w:rsidRPr="008174E3">
        <w:rPr>
          <w:rFonts w:ascii="Arial" w:hAnsi="Arial" w:cs="Arial"/>
          <w:sz w:val="22"/>
          <w:szCs w:val="22"/>
        </w:rPr>
        <w:t xml:space="preserve"> </w:t>
      </w:r>
      <w:r w:rsidR="0057334C" w:rsidRPr="008174E3">
        <w:rPr>
          <w:rFonts w:ascii="Arial" w:hAnsi="Arial" w:cs="Arial"/>
          <w:sz w:val="22"/>
          <w:szCs w:val="22"/>
        </w:rPr>
        <w:t>los supuestos</w:t>
      </w:r>
      <w:r w:rsidR="00814B75" w:rsidRPr="008174E3">
        <w:rPr>
          <w:rFonts w:ascii="Arial" w:hAnsi="Arial" w:cs="Arial"/>
          <w:sz w:val="22"/>
          <w:szCs w:val="22"/>
        </w:rPr>
        <w:t xml:space="preserve"> de Gonzales (2014) y se asume que en </w:t>
      </w:r>
      <w:r w:rsidR="003B25F7" w:rsidRPr="008174E3">
        <w:rPr>
          <w:rFonts w:ascii="Arial" w:hAnsi="Arial" w:cs="Arial"/>
          <w:sz w:val="22"/>
          <w:szCs w:val="22"/>
        </w:rPr>
        <w:t xml:space="preserve">el impacto del </w:t>
      </w:r>
      <w:r w:rsidR="00814B75" w:rsidRPr="008174E3">
        <w:rPr>
          <w:rFonts w:ascii="Arial" w:hAnsi="Arial" w:cs="Arial"/>
          <w:sz w:val="22"/>
          <w:szCs w:val="22"/>
        </w:rPr>
        <w:t>efecto desplazamiento</w:t>
      </w:r>
      <w:r w:rsidR="003B25F7" w:rsidRPr="008174E3">
        <w:rPr>
          <w:rFonts w:ascii="Arial" w:hAnsi="Arial" w:cs="Arial"/>
          <w:sz w:val="22"/>
          <w:szCs w:val="22"/>
        </w:rPr>
        <w:t xml:space="preserve"> es igual a </w:t>
      </w:r>
      <w:r w:rsidR="00814B75" w:rsidRPr="008174E3">
        <w:rPr>
          <w:rFonts w:ascii="Arial" w:hAnsi="Arial" w:cs="Arial"/>
          <w:sz w:val="22"/>
          <w:szCs w:val="22"/>
        </w:rPr>
        <w:t>50% de</w:t>
      </w:r>
      <w:r w:rsidR="003B25F7" w:rsidRPr="008174E3">
        <w:rPr>
          <w:rFonts w:ascii="Arial" w:hAnsi="Arial" w:cs="Arial"/>
          <w:sz w:val="22"/>
          <w:szCs w:val="22"/>
        </w:rPr>
        <w:t xml:space="preserve"> los ingresos en el primer año del beneficio </w:t>
      </w:r>
      <w:r w:rsidR="00814B75" w:rsidRPr="008174E3">
        <w:rPr>
          <w:rFonts w:ascii="Arial" w:hAnsi="Arial" w:cs="Arial"/>
          <w:sz w:val="22"/>
          <w:szCs w:val="22"/>
        </w:rPr>
        <w:t xml:space="preserve">y que dicho efecto desaparece en los siguientes periodos.  </w:t>
      </w:r>
    </w:p>
    <w:p w14:paraId="71232BE0" w14:textId="77777777" w:rsidR="00814B75" w:rsidRPr="008174E3" w:rsidRDefault="00814B75" w:rsidP="00814B75">
      <w:pPr>
        <w:pStyle w:val="ListParagraph"/>
        <w:spacing w:before="120"/>
        <w:ind w:left="0"/>
        <w:jc w:val="both"/>
        <w:rPr>
          <w:rFonts w:ascii="Arial" w:hAnsi="Arial" w:cs="Arial"/>
          <w:b/>
          <w:sz w:val="22"/>
          <w:szCs w:val="22"/>
        </w:rPr>
      </w:pPr>
    </w:p>
    <w:p w14:paraId="599298FD" w14:textId="62B13B40" w:rsidR="00055F1B" w:rsidRPr="008174E3" w:rsidRDefault="00C338F2" w:rsidP="00BD0746">
      <w:pPr>
        <w:pStyle w:val="ListParagraph"/>
        <w:numPr>
          <w:ilvl w:val="0"/>
          <w:numId w:val="8"/>
        </w:numPr>
        <w:ind w:left="0"/>
        <w:jc w:val="both"/>
        <w:rPr>
          <w:rFonts w:ascii="Arial" w:hAnsi="Arial" w:cs="Arial"/>
        </w:rPr>
      </w:pPr>
      <w:r w:rsidRPr="008174E3">
        <w:rPr>
          <w:rFonts w:ascii="Arial" w:hAnsi="Arial" w:cs="Arial"/>
          <w:sz w:val="22"/>
          <w:szCs w:val="22"/>
        </w:rPr>
        <w:t xml:space="preserve">Las últimas </w:t>
      </w:r>
      <w:r w:rsidR="00FA4DCB" w:rsidRPr="008174E3">
        <w:rPr>
          <w:rFonts w:ascii="Arial" w:hAnsi="Arial" w:cs="Arial"/>
          <w:sz w:val="22"/>
          <w:szCs w:val="22"/>
        </w:rPr>
        <w:t xml:space="preserve">tres </w:t>
      </w:r>
      <w:r w:rsidRPr="008174E3">
        <w:rPr>
          <w:rFonts w:ascii="Arial" w:hAnsi="Arial" w:cs="Arial"/>
          <w:sz w:val="22"/>
          <w:szCs w:val="22"/>
        </w:rPr>
        <w:t xml:space="preserve">columnas </w:t>
      </w:r>
      <w:r w:rsidR="00827E44" w:rsidRPr="008174E3">
        <w:rPr>
          <w:rFonts w:ascii="Arial" w:hAnsi="Arial" w:cs="Arial"/>
          <w:sz w:val="22"/>
          <w:szCs w:val="22"/>
        </w:rPr>
        <w:t>del Cuadro </w:t>
      </w:r>
      <w:r w:rsidR="00B46F49" w:rsidRPr="008174E3">
        <w:rPr>
          <w:rFonts w:ascii="Arial" w:hAnsi="Arial" w:cs="Arial"/>
          <w:sz w:val="22"/>
          <w:szCs w:val="22"/>
        </w:rPr>
        <w:t>7</w:t>
      </w:r>
      <w:r w:rsidR="003B25F7" w:rsidRPr="008174E3">
        <w:rPr>
          <w:rFonts w:ascii="Arial" w:hAnsi="Arial" w:cs="Arial"/>
          <w:sz w:val="22"/>
          <w:szCs w:val="22"/>
        </w:rPr>
        <w:t xml:space="preserve"> </w:t>
      </w:r>
      <w:r w:rsidRPr="008174E3">
        <w:rPr>
          <w:rFonts w:ascii="Arial" w:hAnsi="Arial" w:cs="Arial"/>
          <w:sz w:val="22"/>
          <w:szCs w:val="22"/>
        </w:rPr>
        <w:t>muestran el VPN (en millones de dólares) de</w:t>
      </w:r>
      <w:r w:rsidR="00FA4DCB" w:rsidRPr="008174E3">
        <w:rPr>
          <w:rFonts w:ascii="Arial" w:hAnsi="Arial" w:cs="Arial"/>
          <w:sz w:val="22"/>
          <w:szCs w:val="22"/>
        </w:rPr>
        <w:t xml:space="preserve"> los beneficios netos de costos</w:t>
      </w:r>
      <w:r w:rsidRPr="008174E3">
        <w:rPr>
          <w:rFonts w:ascii="Arial" w:hAnsi="Arial" w:cs="Arial"/>
          <w:sz w:val="22"/>
          <w:szCs w:val="22"/>
        </w:rPr>
        <w:t>. En todos los escenarios el proyecto es rentable</w:t>
      </w:r>
      <w:r w:rsidR="00B21AFF" w:rsidRPr="008174E3">
        <w:rPr>
          <w:rFonts w:ascii="Arial" w:hAnsi="Arial" w:cs="Arial"/>
          <w:sz w:val="22"/>
          <w:szCs w:val="22"/>
        </w:rPr>
        <w:t xml:space="preserve">. </w:t>
      </w:r>
      <w:r w:rsidR="0057334C" w:rsidRPr="008174E3">
        <w:rPr>
          <w:rFonts w:ascii="Arial" w:hAnsi="Arial" w:cs="Arial"/>
          <w:sz w:val="22"/>
          <w:szCs w:val="22"/>
        </w:rPr>
        <w:t xml:space="preserve">Los resultados del impacto del análisis de sensibilidad con respecto al escenario </w:t>
      </w:r>
      <w:r w:rsidR="003B25F7" w:rsidRPr="008174E3">
        <w:rPr>
          <w:rFonts w:ascii="Arial" w:hAnsi="Arial" w:cs="Arial"/>
          <w:sz w:val="22"/>
          <w:szCs w:val="22"/>
        </w:rPr>
        <w:t xml:space="preserve">base </w:t>
      </w:r>
      <w:r w:rsidR="0057334C" w:rsidRPr="008174E3">
        <w:rPr>
          <w:rFonts w:ascii="Arial" w:hAnsi="Arial" w:cs="Arial"/>
          <w:sz w:val="22"/>
          <w:szCs w:val="22"/>
        </w:rPr>
        <w:t>para cada componente se resumen en la Gráfica 1 y 2.</w:t>
      </w:r>
    </w:p>
    <w:p w14:paraId="0E43827F" w14:textId="77777777" w:rsidR="00271A72" w:rsidRPr="008174E3" w:rsidRDefault="00271A72" w:rsidP="00C11D48">
      <w:pPr>
        <w:autoSpaceDE w:val="0"/>
        <w:autoSpaceDN w:val="0"/>
        <w:adjustRightInd w:val="0"/>
        <w:jc w:val="center"/>
        <w:rPr>
          <w:rFonts w:ascii="Arial" w:hAnsi="Arial" w:cs="Arial"/>
          <w:b/>
          <w:sz w:val="20"/>
          <w:szCs w:val="18"/>
        </w:rPr>
      </w:pPr>
    </w:p>
    <w:p w14:paraId="0709F5D7" w14:textId="757E6559" w:rsidR="00C11D48" w:rsidRPr="008174E3" w:rsidRDefault="00827E44" w:rsidP="00C11D48">
      <w:pPr>
        <w:autoSpaceDE w:val="0"/>
        <w:autoSpaceDN w:val="0"/>
        <w:adjustRightInd w:val="0"/>
        <w:jc w:val="center"/>
        <w:rPr>
          <w:rFonts w:ascii="Arial" w:hAnsi="Arial" w:cs="Arial"/>
          <w:b/>
          <w:sz w:val="20"/>
          <w:szCs w:val="18"/>
        </w:rPr>
      </w:pPr>
      <w:r w:rsidRPr="008174E3">
        <w:rPr>
          <w:rFonts w:ascii="Arial" w:hAnsi="Arial" w:cs="Arial"/>
          <w:b/>
          <w:sz w:val="20"/>
          <w:szCs w:val="18"/>
        </w:rPr>
        <w:t>Cuadro </w:t>
      </w:r>
      <w:r w:rsidR="00B46F49" w:rsidRPr="008174E3">
        <w:rPr>
          <w:rFonts w:ascii="Arial" w:hAnsi="Arial" w:cs="Arial"/>
          <w:b/>
          <w:sz w:val="20"/>
          <w:szCs w:val="18"/>
        </w:rPr>
        <w:t>7</w:t>
      </w:r>
      <w:r w:rsidR="00C11D48" w:rsidRPr="008174E3">
        <w:rPr>
          <w:rFonts w:ascii="Arial" w:hAnsi="Arial" w:cs="Arial"/>
          <w:b/>
          <w:sz w:val="20"/>
          <w:szCs w:val="18"/>
        </w:rPr>
        <w:t xml:space="preserve">: Análisis de Sensibilidad </w:t>
      </w:r>
    </w:p>
    <w:p w14:paraId="2428ED7B" w14:textId="31B01F0A" w:rsidR="00EA2820" w:rsidRPr="008174E3" w:rsidRDefault="00EA2820" w:rsidP="00C11D48">
      <w:pPr>
        <w:autoSpaceDE w:val="0"/>
        <w:autoSpaceDN w:val="0"/>
        <w:adjustRightInd w:val="0"/>
        <w:jc w:val="center"/>
        <w:rPr>
          <w:rFonts w:ascii="Arial" w:hAnsi="Arial" w:cs="Arial"/>
          <w:b/>
          <w:sz w:val="18"/>
          <w:szCs w:val="18"/>
        </w:rPr>
      </w:pPr>
      <w:bookmarkStart w:id="4" w:name="Analisis_de_Sensibilidad__solo1!A1:F7"/>
      <w:bookmarkEnd w:id="4"/>
    </w:p>
    <w:tbl>
      <w:tblPr>
        <w:tblW w:w="10670" w:type="dxa"/>
        <w:tblInd w:w="-650" w:type="dxa"/>
        <w:tblCellMar>
          <w:top w:w="15" w:type="dxa"/>
          <w:left w:w="70" w:type="dxa"/>
          <w:bottom w:w="15" w:type="dxa"/>
          <w:right w:w="70" w:type="dxa"/>
        </w:tblCellMar>
        <w:tblLook w:val="04A0" w:firstRow="1" w:lastRow="0" w:firstColumn="1" w:lastColumn="0" w:noHBand="0" w:noVBand="1"/>
      </w:tblPr>
      <w:tblGrid>
        <w:gridCol w:w="1530"/>
        <w:gridCol w:w="2260"/>
        <w:gridCol w:w="1210"/>
        <w:gridCol w:w="1072"/>
        <w:gridCol w:w="1178"/>
        <w:gridCol w:w="1170"/>
        <w:gridCol w:w="1047"/>
        <w:gridCol w:w="1203"/>
      </w:tblGrid>
      <w:tr w:rsidR="009D3DC2" w:rsidRPr="008174E3" w14:paraId="095625A2" w14:textId="77777777" w:rsidTr="00B0718A">
        <w:trPr>
          <w:trHeight w:val="285"/>
        </w:trPr>
        <w:tc>
          <w:tcPr>
            <w:tcW w:w="1530" w:type="dxa"/>
            <w:tcBorders>
              <w:top w:val="single" w:sz="8" w:space="0" w:color="auto"/>
              <w:left w:val="single" w:sz="8" w:space="0" w:color="auto"/>
              <w:bottom w:val="nil"/>
              <w:right w:val="nil"/>
            </w:tcBorders>
            <w:shd w:val="clear" w:color="000000" w:fill="DDEBF7"/>
            <w:noWrap/>
            <w:vAlign w:val="center"/>
            <w:hideMark/>
          </w:tcPr>
          <w:p w14:paraId="545E4EEF" w14:textId="77777777" w:rsidR="002C2FBD" w:rsidRPr="008174E3" w:rsidRDefault="002C2FBD" w:rsidP="002C2FBD">
            <w:pPr>
              <w:rPr>
                <w:rFonts w:ascii="Arial" w:hAnsi="Arial" w:cs="Arial"/>
                <w:sz w:val="18"/>
                <w:szCs w:val="18"/>
              </w:rPr>
            </w:pPr>
            <w:bookmarkStart w:id="5" w:name="Analisis_de_Sensibilidad__!A1:H7"/>
            <w:bookmarkStart w:id="6" w:name="Analisis_de_Sensibilidad__!A1:F8"/>
            <w:bookmarkStart w:id="7" w:name="Analisis_de_Sensibilidad__!A1:F10"/>
            <w:bookmarkEnd w:id="5"/>
            <w:bookmarkEnd w:id="6"/>
            <w:bookmarkEnd w:id="7"/>
          </w:p>
        </w:tc>
        <w:tc>
          <w:tcPr>
            <w:tcW w:w="2260" w:type="dxa"/>
            <w:vMerge w:val="restart"/>
            <w:tcBorders>
              <w:top w:val="single" w:sz="8" w:space="0" w:color="auto"/>
              <w:left w:val="nil"/>
              <w:bottom w:val="single" w:sz="4" w:space="0" w:color="auto"/>
              <w:right w:val="single" w:sz="8" w:space="0" w:color="auto"/>
            </w:tcBorders>
            <w:shd w:val="clear" w:color="000000" w:fill="DDEBF7"/>
            <w:noWrap/>
            <w:vAlign w:val="center"/>
            <w:hideMark/>
          </w:tcPr>
          <w:p w14:paraId="4107090E" w14:textId="77777777" w:rsidR="002C2FBD" w:rsidRPr="008174E3" w:rsidRDefault="002C2FBD" w:rsidP="002C2FBD">
            <w:pPr>
              <w:jc w:val="center"/>
              <w:rPr>
                <w:rFonts w:ascii="Arial" w:hAnsi="Arial" w:cs="Arial"/>
                <w:b/>
                <w:bCs/>
                <w:color w:val="000000"/>
                <w:sz w:val="18"/>
                <w:szCs w:val="18"/>
              </w:rPr>
            </w:pPr>
            <w:r w:rsidRPr="008174E3">
              <w:rPr>
                <w:rFonts w:ascii="Arial" w:hAnsi="Arial" w:cs="Arial"/>
                <w:b/>
                <w:bCs/>
                <w:color w:val="000000"/>
                <w:sz w:val="18"/>
                <w:szCs w:val="18"/>
              </w:rPr>
              <w:t>Variable</w:t>
            </w:r>
          </w:p>
        </w:tc>
        <w:tc>
          <w:tcPr>
            <w:tcW w:w="3460" w:type="dxa"/>
            <w:gridSpan w:val="3"/>
            <w:tcBorders>
              <w:top w:val="single" w:sz="8" w:space="0" w:color="auto"/>
              <w:left w:val="single" w:sz="8" w:space="0" w:color="auto"/>
              <w:bottom w:val="single" w:sz="4" w:space="0" w:color="auto"/>
              <w:right w:val="nil"/>
            </w:tcBorders>
            <w:shd w:val="clear" w:color="000000" w:fill="DDEBF7"/>
            <w:noWrap/>
            <w:vAlign w:val="center"/>
            <w:hideMark/>
          </w:tcPr>
          <w:p w14:paraId="45F33CF2" w14:textId="77777777" w:rsidR="002C2FBD" w:rsidRPr="008174E3" w:rsidRDefault="002C2FBD" w:rsidP="002C2FBD">
            <w:pPr>
              <w:jc w:val="center"/>
              <w:rPr>
                <w:rFonts w:ascii="Arial" w:hAnsi="Arial" w:cs="Arial"/>
                <w:b/>
                <w:bCs/>
                <w:color w:val="000000"/>
                <w:sz w:val="18"/>
                <w:szCs w:val="18"/>
              </w:rPr>
            </w:pPr>
            <w:r w:rsidRPr="008174E3">
              <w:rPr>
                <w:rFonts w:ascii="Arial" w:hAnsi="Arial" w:cs="Arial"/>
                <w:b/>
                <w:bCs/>
                <w:color w:val="000000"/>
                <w:sz w:val="18"/>
                <w:szCs w:val="18"/>
              </w:rPr>
              <w:t>Escenario</w:t>
            </w:r>
          </w:p>
        </w:tc>
        <w:tc>
          <w:tcPr>
            <w:tcW w:w="3420" w:type="dxa"/>
            <w:gridSpan w:val="3"/>
            <w:tcBorders>
              <w:top w:val="single" w:sz="8" w:space="0" w:color="auto"/>
              <w:left w:val="single" w:sz="8" w:space="0" w:color="000000"/>
              <w:bottom w:val="single" w:sz="4" w:space="0" w:color="auto"/>
              <w:right w:val="nil"/>
            </w:tcBorders>
            <w:shd w:val="clear" w:color="000000" w:fill="DDEBF7"/>
            <w:noWrap/>
            <w:vAlign w:val="center"/>
            <w:hideMark/>
          </w:tcPr>
          <w:p w14:paraId="1F75E81B" w14:textId="77777777" w:rsidR="002C2FBD" w:rsidRPr="008174E3" w:rsidRDefault="002C2FBD" w:rsidP="002C2FBD">
            <w:pPr>
              <w:jc w:val="center"/>
              <w:rPr>
                <w:rFonts w:ascii="Arial" w:hAnsi="Arial" w:cs="Arial"/>
                <w:b/>
                <w:bCs/>
                <w:color w:val="000000"/>
                <w:sz w:val="18"/>
                <w:szCs w:val="18"/>
              </w:rPr>
            </w:pPr>
            <w:r w:rsidRPr="008174E3">
              <w:rPr>
                <w:rFonts w:ascii="Arial" w:hAnsi="Arial" w:cs="Arial"/>
                <w:b/>
                <w:bCs/>
                <w:color w:val="000000"/>
                <w:sz w:val="18"/>
                <w:szCs w:val="18"/>
              </w:rPr>
              <w:t>VPN (en millones de $US)</w:t>
            </w:r>
          </w:p>
        </w:tc>
      </w:tr>
      <w:tr w:rsidR="009D3DC2" w:rsidRPr="008174E3" w14:paraId="5C76FAC4" w14:textId="77777777" w:rsidTr="00B0718A">
        <w:trPr>
          <w:trHeight w:val="300"/>
        </w:trPr>
        <w:tc>
          <w:tcPr>
            <w:tcW w:w="1530" w:type="dxa"/>
            <w:tcBorders>
              <w:top w:val="nil"/>
              <w:left w:val="single" w:sz="8" w:space="0" w:color="auto"/>
              <w:bottom w:val="single" w:sz="8" w:space="0" w:color="auto"/>
              <w:right w:val="nil"/>
            </w:tcBorders>
            <w:shd w:val="clear" w:color="000000" w:fill="DDEBF7"/>
            <w:noWrap/>
            <w:vAlign w:val="center"/>
            <w:hideMark/>
          </w:tcPr>
          <w:p w14:paraId="48EE78D0" w14:textId="77777777" w:rsidR="002C2FBD" w:rsidRPr="008174E3" w:rsidRDefault="002C2FBD" w:rsidP="002C2FBD">
            <w:pPr>
              <w:jc w:val="center"/>
              <w:rPr>
                <w:rFonts w:ascii="Arial" w:hAnsi="Arial" w:cs="Arial"/>
                <w:b/>
                <w:bCs/>
                <w:color w:val="000000"/>
                <w:sz w:val="18"/>
                <w:szCs w:val="18"/>
              </w:rPr>
            </w:pPr>
          </w:p>
        </w:tc>
        <w:tc>
          <w:tcPr>
            <w:tcW w:w="2260" w:type="dxa"/>
            <w:vMerge/>
            <w:tcBorders>
              <w:top w:val="single" w:sz="8" w:space="0" w:color="auto"/>
              <w:left w:val="nil"/>
              <w:bottom w:val="single" w:sz="4" w:space="0" w:color="auto"/>
              <w:right w:val="single" w:sz="8" w:space="0" w:color="auto"/>
            </w:tcBorders>
            <w:vAlign w:val="center"/>
            <w:hideMark/>
          </w:tcPr>
          <w:p w14:paraId="7F9DAFE8" w14:textId="77777777" w:rsidR="002C2FBD" w:rsidRPr="008174E3" w:rsidRDefault="002C2FBD" w:rsidP="002C2FBD">
            <w:pPr>
              <w:rPr>
                <w:rFonts w:ascii="Arial" w:hAnsi="Arial" w:cs="Arial"/>
                <w:b/>
                <w:bCs/>
                <w:color w:val="000000"/>
                <w:sz w:val="18"/>
                <w:szCs w:val="18"/>
              </w:rPr>
            </w:pPr>
          </w:p>
        </w:tc>
        <w:tc>
          <w:tcPr>
            <w:tcW w:w="1210" w:type="dxa"/>
            <w:tcBorders>
              <w:top w:val="nil"/>
              <w:left w:val="nil"/>
              <w:bottom w:val="single" w:sz="8" w:space="0" w:color="auto"/>
              <w:right w:val="nil"/>
            </w:tcBorders>
            <w:shd w:val="clear" w:color="000000" w:fill="DDEBF7"/>
            <w:noWrap/>
            <w:vAlign w:val="center"/>
            <w:hideMark/>
          </w:tcPr>
          <w:p w14:paraId="5F724A25" w14:textId="77777777" w:rsidR="002C2FBD" w:rsidRPr="008174E3" w:rsidRDefault="002C2FBD" w:rsidP="002C2FBD">
            <w:pPr>
              <w:jc w:val="center"/>
              <w:rPr>
                <w:rFonts w:ascii="Arial" w:hAnsi="Arial" w:cs="Arial"/>
                <w:b/>
                <w:bCs/>
                <w:color w:val="000000"/>
                <w:sz w:val="18"/>
                <w:szCs w:val="18"/>
              </w:rPr>
            </w:pPr>
            <w:r w:rsidRPr="008174E3">
              <w:rPr>
                <w:rFonts w:ascii="Arial" w:hAnsi="Arial" w:cs="Arial"/>
                <w:b/>
                <w:bCs/>
                <w:color w:val="000000"/>
                <w:sz w:val="18"/>
                <w:szCs w:val="18"/>
              </w:rPr>
              <w:t xml:space="preserve">Pesimista </w:t>
            </w:r>
          </w:p>
        </w:tc>
        <w:tc>
          <w:tcPr>
            <w:tcW w:w="1072" w:type="dxa"/>
            <w:tcBorders>
              <w:top w:val="nil"/>
              <w:left w:val="nil"/>
              <w:bottom w:val="single" w:sz="8" w:space="0" w:color="auto"/>
              <w:right w:val="nil"/>
            </w:tcBorders>
            <w:shd w:val="clear" w:color="000000" w:fill="DDEBF7"/>
            <w:noWrap/>
            <w:vAlign w:val="center"/>
            <w:hideMark/>
          </w:tcPr>
          <w:p w14:paraId="3E9358D0" w14:textId="77777777" w:rsidR="002C2FBD" w:rsidRPr="008174E3" w:rsidRDefault="002C2FBD" w:rsidP="002C2FBD">
            <w:pPr>
              <w:jc w:val="center"/>
              <w:rPr>
                <w:rFonts w:ascii="Arial" w:hAnsi="Arial" w:cs="Arial"/>
                <w:b/>
                <w:bCs/>
                <w:color w:val="000000"/>
                <w:sz w:val="18"/>
                <w:szCs w:val="18"/>
              </w:rPr>
            </w:pPr>
            <w:r w:rsidRPr="008174E3">
              <w:rPr>
                <w:rFonts w:ascii="Arial" w:hAnsi="Arial" w:cs="Arial"/>
                <w:b/>
                <w:bCs/>
                <w:color w:val="000000"/>
                <w:sz w:val="18"/>
                <w:szCs w:val="18"/>
              </w:rPr>
              <w:t xml:space="preserve">Base </w:t>
            </w:r>
          </w:p>
        </w:tc>
        <w:tc>
          <w:tcPr>
            <w:tcW w:w="1178" w:type="dxa"/>
            <w:tcBorders>
              <w:top w:val="nil"/>
              <w:left w:val="nil"/>
              <w:bottom w:val="single" w:sz="8" w:space="0" w:color="auto"/>
              <w:right w:val="single" w:sz="8" w:space="0" w:color="auto"/>
            </w:tcBorders>
            <w:shd w:val="clear" w:color="000000" w:fill="DDEBF7"/>
            <w:noWrap/>
            <w:vAlign w:val="center"/>
            <w:hideMark/>
          </w:tcPr>
          <w:p w14:paraId="35C30891" w14:textId="77777777" w:rsidR="002C2FBD" w:rsidRPr="008174E3" w:rsidRDefault="002C2FBD" w:rsidP="002C2FBD">
            <w:pPr>
              <w:jc w:val="center"/>
              <w:rPr>
                <w:rFonts w:ascii="Arial" w:hAnsi="Arial" w:cs="Arial"/>
                <w:b/>
                <w:bCs/>
                <w:color w:val="000000"/>
                <w:sz w:val="18"/>
                <w:szCs w:val="18"/>
              </w:rPr>
            </w:pPr>
            <w:r w:rsidRPr="008174E3">
              <w:rPr>
                <w:rFonts w:ascii="Arial" w:hAnsi="Arial" w:cs="Arial"/>
                <w:b/>
                <w:bCs/>
                <w:color w:val="000000"/>
                <w:sz w:val="18"/>
                <w:szCs w:val="18"/>
              </w:rPr>
              <w:t>Optimista</w:t>
            </w:r>
          </w:p>
        </w:tc>
        <w:tc>
          <w:tcPr>
            <w:tcW w:w="1170" w:type="dxa"/>
            <w:tcBorders>
              <w:top w:val="nil"/>
              <w:left w:val="nil"/>
              <w:bottom w:val="single" w:sz="8" w:space="0" w:color="auto"/>
              <w:right w:val="nil"/>
            </w:tcBorders>
            <w:shd w:val="clear" w:color="000000" w:fill="DDEBF7"/>
            <w:noWrap/>
            <w:vAlign w:val="center"/>
            <w:hideMark/>
          </w:tcPr>
          <w:p w14:paraId="162C76D3" w14:textId="77777777" w:rsidR="002C2FBD" w:rsidRPr="008174E3" w:rsidRDefault="002C2FBD" w:rsidP="002C2FBD">
            <w:pPr>
              <w:jc w:val="center"/>
              <w:rPr>
                <w:rFonts w:ascii="Arial" w:hAnsi="Arial" w:cs="Arial"/>
                <w:b/>
                <w:bCs/>
                <w:color w:val="000000"/>
                <w:sz w:val="18"/>
                <w:szCs w:val="18"/>
              </w:rPr>
            </w:pPr>
            <w:r w:rsidRPr="008174E3">
              <w:rPr>
                <w:rFonts w:ascii="Arial" w:hAnsi="Arial" w:cs="Arial"/>
                <w:b/>
                <w:bCs/>
                <w:color w:val="000000"/>
                <w:sz w:val="18"/>
                <w:szCs w:val="18"/>
              </w:rPr>
              <w:t xml:space="preserve">Pesimista </w:t>
            </w:r>
          </w:p>
        </w:tc>
        <w:tc>
          <w:tcPr>
            <w:tcW w:w="1047" w:type="dxa"/>
            <w:tcBorders>
              <w:top w:val="nil"/>
              <w:left w:val="nil"/>
              <w:bottom w:val="single" w:sz="8" w:space="0" w:color="auto"/>
              <w:right w:val="nil"/>
            </w:tcBorders>
            <w:shd w:val="clear" w:color="000000" w:fill="DDEBF7"/>
            <w:noWrap/>
            <w:vAlign w:val="center"/>
            <w:hideMark/>
          </w:tcPr>
          <w:p w14:paraId="42D72F74" w14:textId="77777777" w:rsidR="002C2FBD" w:rsidRPr="008174E3" w:rsidRDefault="002C2FBD" w:rsidP="002C2FBD">
            <w:pPr>
              <w:jc w:val="center"/>
              <w:rPr>
                <w:rFonts w:ascii="Arial" w:hAnsi="Arial" w:cs="Arial"/>
                <w:b/>
                <w:bCs/>
                <w:color w:val="000000"/>
                <w:sz w:val="18"/>
                <w:szCs w:val="18"/>
              </w:rPr>
            </w:pPr>
            <w:r w:rsidRPr="008174E3">
              <w:rPr>
                <w:rFonts w:ascii="Arial" w:hAnsi="Arial" w:cs="Arial"/>
                <w:b/>
                <w:bCs/>
                <w:color w:val="000000"/>
                <w:sz w:val="18"/>
                <w:szCs w:val="18"/>
              </w:rPr>
              <w:t xml:space="preserve">Base </w:t>
            </w:r>
          </w:p>
        </w:tc>
        <w:tc>
          <w:tcPr>
            <w:tcW w:w="1203" w:type="dxa"/>
            <w:tcBorders>
              <w:top w:val="nil"/>
              <w:left w:val="nil"/>
              <w:bottom w:val="single" w:sz="8" w:space="0" w:color="auto"/>
              <w:right w:val="nil"/>
            </w:tcBorders>
            <w:shd w:val="clear" w:color="000000" w:fill="DDEBF7"/>
            <w:noWrap/>
            <w:vAlign w:val="center"/>
            <w:hideMark/>
          </w:tcPr>
          <w:p w14:paraId="544454D3" w14:textId="77777777" w:rsidR="002C2FBD" w:rsidRPr="008174E3" w:rsidRDefault="002C2FBD" w:rsidP="002C2FBD">
            <w:pPr>
              <w:jc w:val="center"/>
              <w:rPr>
                <w:rFonts w:ascii="Arial" w:hAnsi="Arial" w:cs="Arial"/>
                <w:b/>
                <w:bCs/>
                <w:color w:val="000000"/>
                <w:sz w:val="18"/>
                <w:szCs w:val="18"/>
              </w:rPr>
            </w:pPr>
            <w:r w:rsidRPr="008174E3">
              <w:rPr>
                <w:rFonts w:ascii="Arial" w:hAnsi="Arial" w:cs="Arial"/>
                <w:b/>
                <w:bCs/>
                <w:color w:val="000000"/>
                <w:sz w:val="18"/>
                <w:szCs w:val="18"/>
              </w:rPr>
              <w:t>Optimista</w:t>
            </w:r>
          </w:p>
        </w:tc>
      </w:tr>
      <w:tr w:rsidR="000C5997" w:rsidRPr="008174E3" w14:paraId="63D9E30B" w14:textId="77777777" w:rsidTr="000C5997">
        <w:trPr>
          <w:trHeight w:val="300"/>
        </w:trPr>
        <w:tc>
          <w:tcPr>
            <w:tcW w:w="1530" w:type="dxa"/>
            <w:vMerge w:val="restart"/>
            <w:tcBorders>
              <w:top w:val="single" w:sz="8" w:space="0" w:color="auto"/>
              <w:left w:val="single" w:sz="8" w:space="0" w:color="auto"/>
              <w:bottom w:val="nil"/>
              <w:right w:val="single" w:sz="8" w:space="0" w:color="auto"/>
            </w:tcBorders>
            <w:shd w:val="clear" w:color="000000" w:fill="FFFFFF"/>
            <w:vAlign w:val="center"/>
            <w:hideMark/>
          </w:tcPr>
          <w:p w14:paraId="5B7F226B" w14:textId="77777777" w:rsidR="000C5997" w:rsidRPr="008174E3" w:rsidRDefault="000C5997" w:rsidP="000C5997">
            <w:pPr>
              <w:jc w:val="center"/>
              <w:rPr>
                <w:rFonts w:ascii="Arial" w:hAnsi="Arial" w:cs="Arial"/>
                <w:b/>
                <w:bCs/>
                <w:color w:val="000000"/>
                <w:sz w:val="18"/>
                <w:szCs w:val="18"/>
              </w:rPr>
            </w:pPr>
            <w:r w:rsidRPr="008174E3">
              <w:rPr>
                <w:rFonts w:ascii="Arial" w:hAnsi="Arial" w:cs="Arial"/>
                <w:b/>
                <w:bCs/>
                <w:color w:val="000000"/>
                <w:sz w:val="18"/>
                <w:szCs w:val="18"/>
              </w:rPr>
              <w:t>Fortalecimiento del SNE</w:t>
            </w:r>
          </w:p>
        </w:tc>
        <w:tc>
          <w:tcPr>
            <w:tcW w:w="2260" w:type="dxa"/>
            <w:tcBorders>
              <w:top w:val="single" w:sz="4" w:space="0" w:color="auto"/>
              <w:left w:val="nil"/>
              <w:bottom w:val="single" w:sz="8" w:space="0" w:color="auto"/>
              <w:right w:val="single" w:sz="8" w:space="0" w:color="auto"/>
            </w:tcBorders>
            <w:shd w:val="clear" w:color="000000" w:fill="FFFFFF"/>
            <w:vAlign w:val="center"/>
            <w:hideMark/>
          </w:tcPr>
          <w:p w14:paraId="37584E52" w14:textId="77777777" w:rsidR="000C5997" w:rsidRPr="008174E3" w:rsidRDefault="000C5997" w:rsidP="000C5997">
            <w:pPr>
              <w:rPr>
                <w:rFonts w:ascii="Arial" w:hAnsi="Arial" w:cs="Arial"/>
                <w:color w:val="000000"/>
                <w:sz w:val="18"/>
                <w:szCs w:val="18"/>
              </w:rPr>
            </w:pPr>
            <w:r w:rsidRPr="008174E3">
              <w:rPr>
                <w:rFonts w:ascii="Arial" w:hAnsi="Arial" w:cs="Arial"/>
                <w:color w:val="000000"/>
                <w:sz w:val="18"/>
                <w:szCs w:val="18"/>
              </w:rPr>
              <w:t>Impacto en formalidad</w:t>
            </w:r>
          </w:p>
        </w:tc>
        <w:tc>
          <w:tcPr>
            <w:tcW w:w="1210" w:type="dxa"/>
            <w:tcBorders>
              <w:top w:val="nil"/>
              <w:left w:val="nil"/>
              <w:bottom w:val="single" w:sz="8" w:space="0" w:color="auto"/>
              <w:right w:val="single" w:sz="8" w:space="0" w:color="auto"/>
            </w:tcBorders>
            <w:shd w:val="clear" w:color="000000" w:fill="FFF2CC"/>
            <w:noWrap/>
            <w:vAlign w:val="center"/>
            <w:hideMark/>
          </w:tcPr>
          <w:p w14:paraId="51C16566" w14:textId="710FC256" w:rsidR="000C5997" w:rsidRPr="008174E3" w:rsidRDefault="000C5997" w:rsidP="000C5997">
            <w:pPr>
              <w:jc w:val="center"/>
              <w:rPr>
                <w:rFonts w:ascii="Arial" w:hAnsi="Arial" w:cs="Arial"/>
                <w:color w:val="000000"/>
                <w:sz w:val="16"/>
                <w:szCs w:val="18"/>
              </w:rPr>
            </w:pPr>
            <w:r w:rsidRPr="008174E3">
              <w:rPr>
                <w:rFonts w:ascii="Arial" w:hAnsi="Arial" w:cs="Arial"/>
                <w:color w:val="000000"/>
                <w:sz w:val="16"/>
                <w:szCs w:val="18"/>
              </w:rPr>
              <w:t>2,5 pp.</w:t>
            </w:r>
            <w:r w:rsidRPr="008174E3">
              <w:rPr>
                <w:rFonts w:ascii="Arial" w:hAnsi="Arial" w:cs="Arial"/>
                <w:color w:val="000000"/>
                <w:sz w:val="16"/>
                <w:szCs w:val="18"/>
              </w:rPr>
              <w:br/>
              <w:t>2,9 pp.</w:t>
            </w:r>
          </w:p>
        </w:tc>
        <w:tc>
          <w:tcPr>
            <w:tcW w:w="1072" w:type="dxa"/>
            <w:tcBorders>
              <w:top w:val="nil"/>
              <w:left w:val="nil"/>
              <w:bottom w:val="single" w:sz="8" w:space="0" w:color="auto"/>
              <w:right w:val="single" w:sz="8" w:space="0" w:color="auto"/>
            </w:tcBorders>
            <w:shd w:val="clear" w:color="000000" w:fill="FFFFFF"/>
            <w:noWrap/>
            <w:vAlign w:val="center"/>
            <w:hideMark/>
          </w:tcPr>
          <w:p w14:paraId="035BCA15" w14:textId="0A5A5B1A" w:rsidR="000C5997" w:rsidRPr="008174E3" w:rsidRDefault="000C5997" w:rsidP="000C5997">
            <w:pPr>
              <w:jc w:val="center"/>
              <w:rPr>
                <w:rFonts w:ascii="Arial" w:hAnsi="Arial" w:cs="Arial"/>
                <w:color w:val="000000"/>
                <w:sz w:val="16"/>
                <w:szCs w:val="18"/>
              </w:rPr>
            </w:pPr>
            <w:r w:rsidRPr="008174E3">
              <w:rPr>
                <w:rFonts w:ascii="Arial" w:hAnsi="Arial" w:cs="Arial"/>
                <w:color w:val="000000"/>
                <w:sz w:val="16"/>
                <w:szCs w:val="18"/>
              </w:rPr>
              <w:t>3,0 pp.</w:t>
            </w:r>
            <w:r w:rsidRPr="008174E3">
              <w:rPr>
                <w:rFonts w:ascii="Arial" w:hAnsi="Arial" w:cs="Arial"/>
                <w:color w:val="000000"/>
                <w:sz w:val="16"/>
                <w:szCs w:val="18"/>
              </w:rPr>
              <w:br/>
              <w:t>3,5 pp.</w:t>
            </w:r>
          </w:p>
        </w:tc>
        <w:tc>
          <w:tcPr>
            <w:tcW w:w="1178" w:type="dxa"/>
            <w:tcBorders>
              <w:top w:val="nil"/>
              <w:left w:val="nil"/>
              <w:bottom w:val="single" w:sz="8" w:space="0" w:color="auto"/>
              <w:right w:val="single" w:sz="8" w:space="0" w:color="auto"/>
            </w:tcBorders>
            <w:shd w:val="clear" w:color="000000" w:fill="FFF2CC"/>
            <w:noWrap/>
            <w:vAlign w:val="center"/>
            <w:hideMark/>
          </w:tcPr>
          <w:p w14:paraId="73643ACD" w14:textId="50CDF723" w:rsidR="000C5997" w:rsidRPr="008174E3" w:rsidRDefault="000C5997" w:rsidP="000C5997">
            <w:pPr>
              <w:jc w:val="center"/>
              <w:rPr>
                <w:rFonts w:ascii="Arial" w:hAnsi="Arial" w:cs="Arial"/>
                <w:color w:val="000000"/>
                <w:sz w:val="16"/>
                <w:szCs w:val="18"/>
              </w:rPr>
            </w:pPr>
            <w:r w:rsidRPr="008174E3">
              <w:rPr>
                <w:rFonts w:ascii="Arial" w:hAnsi="Arial" w:cs="Arial"/>
                <w:color w:val="000000"/>
                <w:sz w:val="16"/>
                <w:szCs w:val="18"/>
              </w:rPr>
              <w:t>3,5 pp.</w:t>
            </w:r>
            <w:r w:rsidRPr="008174E3">
              <w:rPr>
                <w:rFonts w:ascii="Arial" w:hAnsi="Arial" w:cs="Arial"/>
                <w:color w:val="000000"/>
                <w:sz w:val="16"/>
                <w:szCs w:val="18"/>
              </w:rPr>
              <w:br/>
              <w:t>4,1 pp.</w:t>
            </w:r>
          </w:p>
        </w:tc>
        <w:tc>
          <w:tcPr>
            <w:tcW w:w="1170" w:type="dxa"/>
            <w:tcBorders>
              <w:top w:val="nil"/>
              <w:left w:val="nil"/>
              <w:bottom w:val="single" w:sz="8" w:space="0" w:color="auto"/>
              <w:right w:val="single" w:sz="8" w:space="0" w:color="auto"/>
            </w:tcBorders>
            <w:shd w:val="clear" w:color="000000" w:fill="FFF2CC"/>
            <w:noWrap/>
            <w:vAlign w:val="center"/>
            <w:hideMark/>
          </w:tcPr>
          <w:p w14:paraId="6730CCFF" w14:textId="139B0838" w:rsidR="000C5997" w:rsidRPr="000C5997" w:rsidRDefault="000C5997" w:rsidP="000C5997">
            <w:pPr>
              <w:jc w:val="center"/>
              <w:rPr>
                <w:rFonts w:ascii="Arial" w:hAnsi="Arial" w:cs="Arial"/>
                <w:color w:val="000000"/>
                <w:sz w:val="16"/>
                <w:szCs w:val="18"/>
              </w:rPr>
            </w:pPr>
            <w:r w:rsidRPr="000C5997">
              <w:rPr>
                <w:rFonts w:ascii="Arial" w:hAnsi="Arial" w:cs="Arial"/>
                <w:color w:val="000000"/>
                <w:sz w:val="16"/>
                <w:szCs w:val="18"/>
              </w:rPr>
              <w:t>$38</w:t>
            </w:r>
            <w:r>
              <w:rPr>
                <w:rFonts w:ascii="Arial" w:hAnsi="Arial" w:cs="Arial"/>
                <w:color w:val="000000"/>
                <w:sz w:val="16"/>
                <w:szCs w:val="18"/>
              </w:rPr>
              <w:t>,</w:t>
            </w:r>
            <w:r w:rsidRPr="000C5997">
              <w:rPr>
                <w:rFonts w:ascii="Arial" w:hAnsi="Arial" w:cs="Arial"/>
                <w:color w:val="000000"/>
                <w:sz w:val="16"/>
                <w:szCs w:val="18"/>
              </w:rPr>
              <w:t xml:space="preserve">34 </w:t>
            </w:r>
          </w:p>
        </w:tc>
        <w:tc>
          <w:tcPr>
            <w:tcW w:w="1047" w:type="dxa"/>
            <w:tcBorders>
              <w:top w:val="nil"/>
              <w:left w:val="nil"/>
              <w:bottom w:val="single" w:sz="8" w:space="0" w:color="auto"/>
              <w:right w:val="single" w:sz="8" w:space="0" w:color="auto"/>
            </w:tcBorders>
            <w:shd w:val="clear" w:color="000000" w:fill="FFFFFF"/>
            <w:noWrap/>
            <w:vAlign w:val="center"/>
            <w:hideMark/>
          </w:tcPr>
          <w:p w14:paraId="56353CA9" w14:textId="6639DD71" w:rsidR="000C5997" w:rsidRPr="000C5997" w:rsidRDefault="000C5997" w:rsidP="000C5997">
            <w:pPr>
              <w:jc w:val="center"/>
              <w:rPr>
                <w:rFonts w:ascii="Arial" w:hAnsi="Arial" w:cs="Arial"/>
                <w:color w:val="000000"/>
                <w:sz w:val="16"/>
                <w:szCs w:val="18"/>
              </w:rPr>
            </w:pPr>
            <w:r w:rsidRPr="000C5997">
              <w:rPr>
                <w:rFonts w:ascii="Arial" w:hAnsi="Arial" w:cs="Arial"/>
                <w:color w:val="000000"/>
                <w:sz w:val="16"/>
                <w:szCs w:val="18"/>
              </w:rPr>
              <w:t>$62</w:t>
            </w:r>
            <w:r>
              <w:rPr>
                <w:rFonts w:ascii="Arial" w:hAnsi="Arial" w:cs="Arial"/>
                <w:color w:val="000000"/>
                <w:sz w:val="16"/>
                <w:szCs w:val="18"/>
              </w:rPr>
              <w:t>,</w:t>
            </w:r>
            <w:r w:rsidRPr="000C5997">
              <w:rPr>
                <w:rFonts w:ascii="Arial" w:hAnsi="Arial" w:cs="Arial"/>
                <w:color w:val="000000"/>
                <w:sz w:val="16"/>
                <w:szCs w:val="18"/>
              </w:rPr>
              <w:t xml:space="preserve">19 </w:t>
            </w:r>
          </w:p>
        </w:tc>
        <w:tc>
          <w:tcPr>
            <w:tcW w:w="1203" w:type="dxa"/>
            <w:tcBorders>
              <w:top w:val="nil"/>
              <w:left w:val="nil"/>
              <w:bottom w:val="single" w:sz="8" w:space="0" w:color="auto"/>
              <w:right w:val="single" w:sz="8" w:space="0" w:color="auto"/>
            </w:tcBorders>
            <w:shd w:val="clear" w:color="000000" w:fill="FFF2CC"/>
            <w:noWrap/>
            <w:vAlign w:val="center"/>
            <w:hideMark/>
          </w:tcPr>
          <w:p w14:paraId="5364FA0F" w14:textId="3FD7E309" w:rsidR="000C5997" w:rsidRPr="000C5997" w:rsidRDefault="000C5997" w:rsidP="000C5997">
            <w:pPr>
              <w:jc w:val="center"/>
              <w:rPr>
                <w:rFonts w:ascii="Arial" w:hAnsi="Arial" w:cs="Arial"/>
                <w:color w:val="000000"/>
                <w:sz w:val="16"/>
                <w:szCs w:val="18"/>
              </w:rPr>
            </w:pPr>
            <w:r w:rsidRPr="000C5997">
              <w:rPr>
                <w:rFonts w:ascii="Arial" w:hAnsi="Arial" w:cs="Arial"/>
                <w:color w:val="000000"/>
                <w:sz w:val="16"/>
                <w:szCs w:val="18"/>
              </w:rPr>
              <w:t>$86</w:t>
            </w:r>
            <w:r>
              <w:rPr>
                <w:rFonts w:ascii="Arial" w:hAnsi="Arial" w:cs="Arial"/>
                <w:color w:val="000000"/>
                <w:sz w:val="16"/>
                <w:szCs w:val="18"/>
              </w:rPr>
              <w:t>,</w:t>
            </w:r>
            <w:r w:rsidRPr="000C5997">
              <w:rPr>
                <w:rFonts w:ascii="Arial" w:hAnsi="Arial" w:cs="Arial"/>
                <w:color w:val="000000"/>
                <w:sz w:val="16"/>
                <w:szCs w:val="18"/>
              </w:rPr>
              <w:t xml:space="preserve">03 </w:t>
            </w:r>
          </w:p>
        </w:tc>
      </w:tr>
      <w:tr w:rsidR="000C5997" w:rsidRPr="008174E3" w14:paraId="66BCB567" w14:textId="77777777" w:rsidTr="000C5997">
        <w:trPr>
          <w:trHeight w:val="495"/>
        </w:trPr>
        <w:tc>
          <w:tcPr>
            <w:tcW w:w="1530" w:type="dxa"/>
            <w:vMerge/>
            <w:tcBorders>
              <w:top w:val="single" w:sz="8" w:space="0" w:color="auto"/>
              <w:left w:val="single" w:sz="8" w:space="0" w:color="auto"/>
              <w:bottom w:val="nil"/>
              <w:right w:val="single" w:sz="8" w:space="0" w:color="auto"/>
            </w:tcBorders>
            <w:vAlign w:val="center"/>
            <w:hideMark/>
          </w:tcPr>
          <w:p w14:paraId="38E815C8" w14:textId="77777777" w:rsidR="000C5997" w:rsidRPr="008174E3" w:rsidRDefault="000C5997" w:rsidP="000C5997">
            <w:pPr>
              <w:rPr>
                <w:rFonts w:ascii="Arial" w:hAnsi="Arial" w:cs="Arial"/>
                <w:b/>
                <w:bCs/>
                <w:color w:val="000000"/>
                <w:sz w:val="18"/>
                <w:szCs w:val="18"/>
              </w:rPr>
            </w:pPr>
          </w:p>
        </w:tc>
        <w:tc>
          <w:tcPr>
            <w:tcW w:w="2260" w:type="dxa"/>
            <w:tcBorders>
              <w:top w:val="nil"/>
              <w:left w:val="nil"/>
              <w:bottom w:val="single" w:sz="8" w:space="0" w:color="auto"/>
              <w:right w:val="single" w:sz="8" w:space="0" w:color="auto"/>
            </w:tcBorders>
            <w:shd w:val="clear" w:color="000000" w:fill="FFFFFF"/>
            <w:vAlign w:val="center"/>
            <w:hideMark/>
          </w:tcPr>
          <w:p w14:paraId="3A986C01" w14:textId="2BDC28BB" w:rsidR="000C5997" w:rsidRPr="008174E3" w:rsidRDefault="000C5997" w:rsidP="000C5997">
            <w:pPr>
              <w:rPr>
                <w:rFonts w:ascii="Arial" w:hAnsi="Arial" w:cs="Arial"/>
                <w:color w:val="000000"/>
                <w:sz w:val="18"/>
                <w:szCs w:val="18"/>
              </w:rPr>
            </w:pPr>
            <w:r w:rsidRPr="008174E3">
              <w:rPr>
                <w:rFonts w:ascii="Arial" w:hAnsi="Arial" w:cs="Arial"/>
                <w:color w:val="000000"/>
                <w:sz w:val="18"/>
                <w:szCs w:val="18"/>
              </w:rPr>
              <w:t>Impacto asociado a formalidad (como % del salario de referencia)</w:t>
            </w:r>
          </w:p>
        </w:tc>
        <w:tc>
          <w:tcPr>
            <w:tcW w:w="1210" w:type="dxa"/>
            <w:tcBorders>
              <w:top w:val="nil"/>
              <w:left w:val="nil"/>
              <w:bottom w:val="single" w:sz="8" w:space="0" w:color="auto"/>
              <w:right w:val="single" w:sz="8" w:space="0" w:color="auto"/>
            </w:tcBorders>
            <w:shd w:val="clear" w:color="000000" w:fill="FFF2CC"/>
            <w:noWrap/>
            <w:vAlign w:val="center"/>
            <w:hideMark/>
          </w:tcPr>
          <w:p w14:paraId="04742DBF" w14:textId="6763DEAA" w:rsidR="000C5997" w:rsidRPr="008174E3" w:rsidRDefault="000C5997" w:rsidP="000C5997">
            <w:pPr>
              <w:jc w:val="center"/>
              <w:rPr>
                <w:rFonts w:ascii="Arial" w:hAnsi="Arial" w:cs="Arial"/>
                <w:color w:val="000000"/>
                <w:sz w:val="16"/>
                <w:szCs w:val="18"/>
              </w:rPr>
            </w:pPr>
            <w:r w:rsidRPr="008174E3">
              <w:rPr>
                <w:rFonts w:ascii="Arial" w:hAnsi="Arial" w:cs="Arial"/>
                <w:color w:val="000000"/>
                <w:sz w:val="16"/>
                <w:szCs w:val="18"/>
              </w:rPr>
              <w:t>20,0%</w:t>
            </w:r>
          </w:p>
        </w:tc>
        <w:tc>
          <w:tcPr>
            <w:tcW w:w="1072" w:type="dxa"/>
            <w:tcBorders>
              <w:top w:val="nil"/>
              <w:left w:val="nil"/>
              <w:bottom w:val="single" w:sz="8" w:space="0" w:color="auto"/>
              <w:right w:val="single" w:sz="8" w:space="0" w:color="auto"/>
            </w:tcBorders>
            <w:shd w:val="clear" w:color="000000" w:fill="FFFFFF"/>
            <w:noWrap/>
            <w:vAlign w:val="center"/>
            <w:hideMark/>
          </w:tcPr>
          <w:p w14:paraId="780BA185" w14:textId="70607A20" w:rsidR="000C5997" w:rsidRPr="008174E3" w:rsidRDefault="000C5997" w:rsidP="000C5997">
            <w:pPr>
              <w:jc w:val="center"/>
              <w:rPr>
                <w:rFonts w:ascii="Arial" w:hAnsi="Arial" w:cs="Arial"/>
                <w:color w:val="000000"/>
                <w:sz w:val="16"/>
                <w:szCs w:val="18"/>
              </w:rPr>
            </w:pPr>
            <w:r w:rsidRPr="008174E3">
              <w:rPr>
                <w:rFonts w:ascii="Arial" w:hAnsi="Arial" w:cs="Arial"/>
                <w:color w:val="000000"/>
                <w:sz w:val="16"/>
                <w:szCs w:val="18"/>
              </w:rPr>
              <w:t>24,0%</w:t>
            </w:r>
          </w:p>
        </w:tc>
        <w:tc>
          <w:tcPr>
            <w:tcW w:w="1178" w:type="dxa"/>
            <w:tcBorders>
              <w:top w:val="nil"/>
              <w:left w:val="nil"/>
              <w:bottom w:val="single" w:sz="8" w:space="0" w:color="auto"/>
              <w:right w:val="single" w:sz="8" w:space="0" w:color="auto"/>
            </w:tcBorders>
            <w:shd w:val="clear" w:color="000000" w:fill="FFF2CC"/>
            <w:noWrap/>
            <w:vAlign w:val="center"/>
            <w:hideMark/>
          </w:tcPr>
          <w:p w14:paraId="714060CD" w14:textId="37F678B8" w:rsidR="000C5997" w:rsidRPr="008174E3" w:rsidRDefault="000C5997" w:rsidP="000C5997">
            <w:pPr>
              <w:jc w:val="center"/>
              <w:rPr>
                <w:rFonts w:ascii="Arial" w:hAnsi="Arial" w:cs="Arial"/>
                <w:color w:val="000000"/>
                <w:sz w:val="16"/>
                <w:szCs w:val="18"/>
              </w:rPr>
            </w:pPr>
            <w:r w:rsidRPr="008174E3">
              <w:rPr>
                <w:rFonts w:ascii="Arial" w:hAnsi="Arial" w:cs="Arial"/>
                <w:color w:val="000000"/>
                <w:sz w:val="16"/>
                <w:szCs w:val="18"/>
              </w:rPr>
              <w:t>28,0%</w:t>
            </w:r>
          </w:p>
        </w:tc>
        <w:tc>
          <w:tcPr>
            <w:tcW w:w="1170" w:type="dxa"/>
            <w:tcBorders>
              <w:top w:val="nil"/>
              <w:left w:val="nil"/>
              <w:bottom w:val="single" w:sz="8" w:space="0" w:color="auto"/>
              <w:right w:val="single" w:sz="8" w:space="0" w:color="auto"/>
            </w:tcBorders>
            <w:shd w:val="clear" w:color="000000" w:fill="FFF2CC"/>
            <w:noWrap/>
            <w:vAlign w:val="center"/>
            <w:hideMark/>
          </w:tcPr>
          <w:p w14:paraId="4DCE917B" w14:textId="68B05F30" w:rsidR="000C5997" w:rsidRPr="000C5997" w:rsidRDefault="000C5997" w:rsidP="000C5997">
            <w:pPr>
              <w:jc w:val="center"/>
              <w:rPr>
                <w:rFonts w:ascii="Arial" w:hAnsi="Arial" w:cs="Arial"/>
                <w:color w:val="000000"/>
                <w:sz w:val="16"/>
                <w:szCs w:val="18"/>
              </w:rPr>
            </w:pPr>
            <w:r w:rsidRPr="000C5997">
              <w:rPr>
                <w:rFonts w:ascii="Arial" w:hAnsi="Arial" w:cs="Arial"/>
                <w:color w:val="000000"/>
                <w:sz w:val="16"/>
                <w:szCs w:val="18"/>
              </w:rPr>
              <w:t>$41</w:t>
            </w:r>
            <w:r>
              <w:rPr>
                <w:rFonts w:ascii="Arial" w:hAnsi="Arial" w:cs="Arial"/>
                <w:color w:val="000000"/>
                <w:sz w:val="16"/>
                <w:szCs w:val="18"/>
              </w:rPr>
              <w:t>,</w:t>
            </w:r>
            <w:r w:rsidRPr="000C5997">
              <w:rPr>
                <w:rFonts w:ascii="Arial" w:hAnsi="Arial" w:cs="Arial"/>
                <w:color w:val="000000"/>
                <w:sz w:val="16"/>
                <w:szCs w:val="18"/>
              </w:rPr>
              <w:t xml:space="preserve">54 </w:t>
            </w:r>
          </w:p>
        </w:tc>
        <w:tc>
          <w:tcPr>
            <w:tcW w:w="1047" w:type="dxa"/>
            <w:tcBorders>
              <w:top w:val="nil"/>
              <w:left w:val="nil"/>
              <w:bottom w:val="single" w:sz="8" w:space="0" w:color="auto"/>
              <w:right w:val="single" w:sz="8" w:space="0" w:color="auto"/>
            </w:tcBorders>
            <w:shd w:val="clear" w:color="000000" w:fill="FFFFFF"/>
            <w:noWrap/>
            <w:vAlign w:val="center"/>
            <w:hideMark/>
          </w:tcPr>
          <w:p w14:paraId="08B00303" w14:textId="3A9E0668" w:rsidR="000C5997" w:rsidRPr="000C5997" w:rsidRDefault="000C5997" w:rsidP="000C5997">
            <w:pPr>
              <w:jc w:val="center"/>
              <w:rPr>
                <w:rFonts w:ascii="Arial" w:hAnsi="Arial" w:cs="Arial"/>
                <w:color w:val="000000"/>
                <w:sz w:val="16"/>
                <w:szCs w:val="18"/>
              </w:rPr>
            </w:pPr>
            <w:r w:rsidRPr="000C5997">
              <w:rPr>
                <w:rFonts w:ascii="Arial" w:hAnsi="Arial" w:cs="Arial"/>
                <w:color w:val="000000"/>
                <w:sz w:val="16"/>
                <w:szCs w:val="18"/>
              </w:rPr>
              <w:t>$62</w:t>
            </w:r>
            <w:r>
              <w:rPr>
                <w:rFonts w:ascii="Arial" w:hAnsi="Arial" w:cs="Arial"/>
                <w:color w:val="000000"/>
                <w:sz w:val="16"/>
                <w:szCs w:val="18"/>
              </w:rPr>
              <w:t>,</w:t>
            </w:r>
            <w:r w:rsidRPr="000C5997">
              <w:rPr>
                <w:rFonts w:ascii="Arial" w:hAnsi="Arial" w:cs="Arial"/>
                <w:color w:val="000000"/>
                <w:sz w:val="16"/>
                <w:szCs w:val="18"/>
              </w:rPr>
              <w:t xml:space="preserve">19 </w:t>
            </w:r>
          </w:p>
        </w:tc>
        <w:tc>
          <w:tcPr>
            <w:tcW w:w="1203" w:type="dxa"/>
            <w:tcBorders>
              <w:top w:val="nil"/>
              <w:left w:val="nil"/>
              <w:bottom w:val="single" w:sz="8" w:space="0" w:color="auto"/>
              <w:right w:val="single" w:sz="8" w:space="0" w:color="auto"/>
            </w:tcBorders>
            <w:shd w:val="clear" w:color="000000" w:fill="FFF2CC"/>
            <w:noWrap/>
            <w:vAlign w:val="center"/>
            <w:hideMark/>
          </w:tcPr>
          <w:p w14:paraId="63705012" w14:textId="554BC743" w:rsidR="000C5997" w:rsidRPr="000C5997" w:rsidRDefault="000C5997" w:rsidP="000C5997">
            <w:pPr>
              <w:jc w:val="center"/>
              <w:rPr>
                <w:rFonts w:ascii="Arial" w:hAnsi="Arial" w:cs="Arial"/>
                <w:color w:val="000000"/>
                <w:sz w:val="16"/>
                <w:szCs w:val="18"/>
              </w:rPr>
            </w:pPr>
            <w:r w:rsidRPr="000C5997">
              <w:rPr>
                <w:rFonts w:ascii="Arial" w:hAnsi="Arial" w:cs="Arial"/>
                <w:color w:val="000000"/>
                <w:sz w:val="16"/>
                <w:szCs w:val="18"/>
              </w:rPr>
              <w:t>$82</w:t>
            </w:r>
            <w:r>
              <w:rPr>
                <w:rFonts w:ascii="Arial" w:hAnsi="Arial" w:cs="Arial"/>
                <w:color w:val="000000"/>
                <w:sz w:val="16"/>
                <w:szCs w:val="18"/>
              </w:rPr>
              <w:t>,</w:t>
            </w:r>
            <w:r w:rsidRPr="000C5997">
              <w:rPr>
                <w:rFonts w:ascii="Arial" w:hAnsi="Arial" w:cs="Arial"/>
                <w:color w:val="000000"/>
                <w:sz w:val="16"/>
                <w:szCs w:val="18"/>
              </w:rPr>
              <w:t xml:space="preserve">83 </w:t>
            </w:r>
          </w:p>
        </w:tc>
      </w:tr>
      <w:tr w:rsidR="000C5997" w:rsidRPr="008174E3" w14:paraId="40167DB8" w14:textId="77777777" w:rsidTr="000C5997">
        <w:trPr>
          <w:trHeight w:val="300"/>
        </w:trPr>
        <w:tc>
          <w:tcPr>
            <w:tcW w:w="1530" w:type="dxa"/>
            <w:vMerge/>
            <w:tcBorders>
              <w:top w:val="single" w:sz="8" w:space="0" w:color="auto"/>
              <w:left w:val="single" w:sz="8" w:space="0" w:color="auto"/>
              <w:bottom w:val="nil"/>
              <w:right w:val="single" w:sz="8" w:space="0" w:color="auto"/>
            </w:tcBorders>
            <w:vAlign w:val="center"/>
            <w:hideMark/>
          </w:tcPr>
          <w:p w14:paraId="70881BB6" w14:textId="77777777" w:rsidR="000C5997" w:rsidRPr="008174E3" w:rsidRDefault="000C5997" w:rsidP="000C5997">
            <w:pPr>
              <w:rPr>
                <w:rFonts w:ascii="Arial" w:hAnsi="Arial" w:cs="Arial"/>
                <w:b/>
                <w:bCs/>
                <w:color w:val="000000"/>
                <w:sz w:val="18"/>
                <w:szCs w:val="18"/>
              </w:rPr>
            </w:pPr>
          </w:p>
        </w:tc>
        <w:tc>
          <w:tcPr>
            <w:tcW w:w="2260" w:type="dxa"/>
            <w:tcBorders>
              <w:top w:val="nil"/>
              <w:left w:val="nil"/>
              <w:bottom w:val="single" w:sz="8" w:space="0" w:color="auto"/>
              <w:right w:val="single" w:sz="8" w:space="0" w:color="auto"/>
            </w:tcBorders>
            <w:shd w:val="clear" w:color="000000" w:fill="FFFFFF"/>
            <w:vAlign w:val="center"/>
            <w:hideMark/>
          </w:tcPr>
          <w:p w14:paraId="309C1984" w14:textId="77777777" w:rsidR="000C5997" w:rsidRPr="008174E3" w:rsidRDefault="000C5997" w:rsidP="000C5997">
            <w:pPr>
              <w:rPr>
                <w:rFonts w:ascii="Arial" w:hAnsi="Arial" w:cs="Arial"/>
                <w:color w:val="000000"/>
                <w:sz w:val="18"/>
                <w:szCs w:val="18"/>
              </w:rPr>
            </w:pPr>
            <w:r w:rsidRPr="008174E3">
              <w:rPr>
                <w:rFonts w:ascii="Arial" w:hAnsi="Arial" w:cs="Arial"/>
                <w:color w:val="000000"/>
                <w:sz w:val="18"/>
                <w:szCs w:val="18"/>
              </w:rPr>
              <w:t>Impacto de beneficios laborales*</w:t>
            </w:r>
          </w:p>
        </w:tc>
        <w:tc>
          <w:tcPr>
            <w:tcW w:w="1210" w:type="dxa"/>
            <w:tcBorders>
              <w:top w:val="nil"/>
              <w:left w:val="nil"/>
              <w:bottom w:val="single" w:sz="8" w:space="0" w:color="auto"/>
              <w:right w:val="single" w:sz="8" w:space="0" w:color="auto"/>
            </w:tcBorders>
            <w:shd w:val="clear" w:color="000000" w:fill="FFF2CC"/>
            <w:noWrap/>
            <w:vAlign w:val="center"/>
            <w:hideMark/>
          </w:tcPr>
          <w:p w14:paraId="6F8BB54A" w14:textId="51E0BAD1" w:rsidR="000C5997" w:rsidRPr="008174E3" w:rsidRDefault="000C5997" w:rsidP="000C5997">
            <w:pPr>
              <w:jc w:val="center"/>
              <w:rPr>
                <w:rFonts w:ascii="Arial" w:hAnsi="Arial" w:cs="Arial"/>
                <w:color w:val="000000"/>
                <w:sz w:val="16"/>
                <w:szCs w:val="18"/>
              </w:rPr>
            </w:pPr>
            <w:r w:rsidRPr="008174E3">
              <w:rPr>
                <w:rFonts w:ascii="Arial" w:hAnsi="Arial" w:cs="Arial"/>
                <w:color w:val="000000"/>
                <w:sz w:val="16"/>
                <w:szCs w:val="18"/>
              </w:rPr>
              <w:t>NO</w:t>
            </w:r>
          </w:p>
        </w:tc>
        <w:tc>
          <w:tcPr>
            <w:tcW w:w="1072" w:type="dxa"/>
            <w:tcBorders>
              <w:top w:val="nil"/>
              <w:left w:val="nil"/>
              <w:bottom w:val="single" w:sz="8" w:space="0" w:color="auto"/>
              <w:right w:val="single" w:sz="8" w:space="0" w:color="auto"/>
            </w:tcBorders>
            <w:shd w:val="clear" w:color="000000" w:fill="FFFFFF"/>
            <w:noWrap/>
            <w:vAlign w:val="center"/>
            <w:hideMark/>
          </w:tcPr>
          <w:p w14:paraId="5DB6DE01" w14:textId="00E8DF0D" w:rsidR="000C5997" w:rsidRPr="008174E3" w:rsidRDefault="000C5997" w:rsidP="000C5997">
            <w:pPr>
              <w:jc w:val="center"/>
              <w:rPr>
                <w:rFonts w:ascii="Arial" w:hAnsi="Arial" w:cs="Arial"/>
                <w:color w:val="000000"/>
                <w:sz w:val="16"/>
                <w:szCs w:val="18"/>
              </w:rPr>
            </w:pPr>
            <w:r w:rsidRPr="008174E3">
              <w:rPr>
                <w:rFonts w:ascii="Arial" w:hAnsi="Arial" w:cs="Arial"/>
                <w:color w:val="000000"/>
                <w:sz w:val="16"/>
                <w:szCs w:val="18"/>
              </w:rPr>
              <w:t>SI</w:t>
            </w:r>
          </w:p>
        </w:tc>
        <w:tc>
          <w:tcPr>
            <w:tcW w:w="1178" w:type="dxa"/>
            <w:tcBorders>
              <w:top w:val="nil"/>
              <w:left w:val="nil"/>
              <w:bottom w:val="single" w:sz="8" w:space="0" w:color="auto"/>
              <w:right w:val="single" w:sz="8" w:space="0" w:color="auto"/>
            </w:tcBorders>
            <w:shd w:val="clear" w:color="000000" w:fill="D9D9D9"/>
            <w:noWrap/>
            <w:vAlign w:val="center"/>
            <w:hideMark/>
          </w:tcPr>
          <w:p w14:paraId="4B6FAB99" w14:textId="77777777" w:rsidR="000C5997" w:rsidRPr="008174E3" w:rsidRDefault="000C5997" w:rsidP="000C5997">
            <w:pPr>
              <w:jc w:val="center"/>
              <w:rPr>
                <w:rFonts w:ascii="Arial" w:hAnsi="Arial" w:cs="Arial"/>
                <w:color w:val="000000"/>
                <w:sz w:val="16"/>
                <w:szCs w:val="18"/>
              </w:rPr>
            </w:pPr>
          </w:p>
        </w:tc>
        <w:tc>
          <w:tcPr>
            <w:tcW w:w="1170" w:type="dxa"/>
            <w:tcBorders>
              <w:top w:val="nil"/>
              <w:left w:val="nil"/>
              <w:bottom w:val="single" w:sz="8" w:space="0" w:color="auto"/>
              <w:right w:val="single" w:sz="8" w:space="0" w:color="auto"/>
            </w:tcBorders>
            <w:shd w:val="clear" w:color="000000" w:fill="FFF2CC"/>
            <w:noWrap/>
            <w:vAlign w:val="center"/>
            <w:hideMark/>
          </w:tcPr>
          <w:p w14:paraId="1616E141" w14:textId="3F2D60C6" w:rsidR="000C5997" w:rsidRPr="000C5997" w:rsidRDefault="000C5997" w:rsidP="000C5997">
            <w:pPr>
              <w:jc w:val="center"/>
              <w:rPr>
                <w:rFonts w:ascii="Arial" w:hAnsi="Arial" w:cs="Arial"/>
                <w:color w:val="000000"/>
                <w:sz w:val="16"/>
                <w:szCs w:val="18"/>
              </w:rPr>
            </w:pPr>
            <w:r w:rsidRPr="000C5997">
              <w:rPr>
                <w:rFonts w:ascii="Arial" w:hAnsi="Arial" w:cs="Arial"/>
                <w:color w:val="000000"/>
                <w:sz w:val="16"/>
                <w:szCs w:val="18"/>
              </w:rPr>
              <w:t>$44</w:t>
            </w:r>
            <w:r>
              <w:rPr>
                <w:rFonts w:ascii="Arial" w:hAnsi="Arial" w:cs="Arial"/>
                <w:color w:val="000000"/>
                <w:sz w:val="16"/>
                <w:szCs w:val="18"/>
              </w:rPr>
              <w:t>,</w:t>
            </w:r>
            <w:r w:rsidRPr="000C5997">
              <w:rPr>
                <w:rFonts w:ascii="Arial" w:hAnsi="Arial" w:cs="Arial"/>
                <w:color w:val="000000"/>
                <w:sz w:val="16"/>
                <w:szCs w:val="18"/>
              </w:rPr>
              <w:t xml:space="preserve">47 </w:t>
            </w:r>
          </w:p>
        </w:tc>
        <w:tc>
          <w:tcPr>
            <w:tcW w:w="1047" w:type="dxa"/>
            <w:tcBorders>
              <w:top w:val="nil"/>
              <w:left w:val="nil"/>
              <w:bottom w:val="single" w:sz="8" w:space="0" w:color="auto"/>
              <w:right w:val="single" w:sz="8" w:space="0" w:color="auto"/>
            </w:tcBorders>
            <w:shd w:val="clear" w:color="000000" w:fill="FFFFFF"/>
            <w:noWrap/>
            <w:vAlign w:val="center"/>
            <w:hideMark/>
          </w:tcPr>
          <w:p w14:paraId="06CC37D5" w14:textId="0556772C" w:rsidR="000C5997" w:rsidRPr="000C5997" w:rsidRDefault="000C5997" w:rsidP="000C5997">
            <w:pPr>
              <w:jc w:val="center"/>
              <w:rPr>
                <w:rFonts w:ascii="Arial" w:hAnsi="Arial" w:cs="Arial"/>
                <w:color w:val="000000"/>
                <w:sz w:val="16"/>
                <w:szCs w:val="18"/>
              </w:rPr>
            </w:pPr>
            <w:r w:rsidRPr="000C5997">
              <w:rPr>
                <w:rFonts w:ascii="Arial" w:hAnsi="Arial" w:cs="Arial"/>
                <w:color w:val="000000"/>
                <w:sz w:val="16"/>
                <w:szCs w:val="18"/>
              </w:rPr>
              <w:t>$62</w:t>
            </w:r>
            <w:r>
              <w:rPr>
                <w:rFonts w:ascii="Arial" w:hAnsi="Arial" w:cs="Arial"/>
                <w:color w:val="000000"/>
                <w:sz w:val="16"/>
                <w:szCs w:val="18"/>
              </w:rPr>
              <w:t>,</w:t>
            </w:r>
            <w:r w:rsidRPr="000C5997">
              <w:rPr>
                <w:rFonts w:ascii="Arial" w:hAnsi="Arial" w:cs="Arial"/>
                <w:color w:val="000000"/>
                <w:sz w:val="16"/>
                <w:szCs w:val="18"/>
              </w:rPr>
              <w:t xml:space="preserve">19 </w:t>
            </w:r>
          </w:p>
        </w:tc>
        <w:tc>
          <w:tcPr>
            <w:tcW w:w="1203" w:type="dxa"/>
            <w:tcBorders>
              <w:top w:val="nil"/>
              <w:left w:val="nil"/>
              <w:bottom w:val="single" w:sz="8" w:space="0" w:color="auto"/>
              <w:right w:val="single" w:sz="8" w:space="0" w:color="auto"/>
            </w:tcBorders>
            <w:shd w:val="clear" w:color="000000" w:fill="D9D9D9"/>
            <w:noWrap/>
            <w:vAlign w:val="center"/>
            <w:hideMark/>
          </w:tcPr>
          <w:p w14:paraId="6386A937" w14:textId="77777777" w:rsidR="000C5997" w:rsidRPr="000C5997" w:rsidRDefault="000C5997" w:rsidP="000C5997">
            <w:pPr>
              <w:jc w:val="center"/>
              <w:rPr>
                <w:rFonts w:ascii="Arial" w:hAnsi="Arial" w:cs="Arial"/>
                <w:color w:val="000000"/>
                <w:sz w:val="16"/>
                <w:szCs w:val="18"/>
              </w:rPr>
            </w:pPr>
          </w:p>
        </w:tc>
      </w:tr>
      <w:tr w:rsidR="000C5997" w:rsidRPr="008174E3" w14:paraId="7C7A895A" w14:textId="77777777" w:rsidTr="000C5997">
        <w:trPr>
          <w:trHeight w:val="300"/>
        </w:trPr>
        <w:tc>
          <w:tcPr>
            <w:tcW w:w="1530" w:type="dxa"/>
            <w:vMerge/>
            <w:tcBorders>
              <w:top w:val="single" w:sz="8" w:space="0" w:color="auto"/>
              <w:left w:val="single" w:sz="8" w:space="0" w:color="auto"/>
              <w:bottom w:val="nil"/>
              <w:right w:val="single" w:sz="8" w:space="0" w:color="auto"/>
            </w:tcBorders>
            <w:vAlign w:val="center"/>
            <w:hideMark/>
          </w:tcPr>
          <w:p w14:paraId="39E1D469" w14:textId="77777777" w:rsidR="000C5997" w:rsidRPr="008174E3" w:rsidRDefault="000C5997" w:rsidP="000C5997">
            <w:pPr>
              <w:rPr>
                <w:rFonts w:ascii="Arial" w:hAnsi="Arial" w:cs="Arial"/>
                <w:b/>
                <w:bCs/>
                <w:color w:val="000000"/>
                <w:sz w:val="18"/>
                <w:szCs w:val="18"/>
              </w:rPr>
            </w:pPr>
          </w:p>
        </w:tc>
        <w:tc>
          <w:tcPr>
            <w:tcW w:w="2260" w:type="dxa"/>
            <w:tcBorders>
              <w:top w:val="nil"/>
              <w:left w:val="nil"/>
              <w:bottom w:val="single" w:sz="8" w:space="0" w:color="auto"/>
              <w:right w:val="single" w:sz="8" w:space="0" w:color="auto"/>
            </w:tcBorders>
            <w:shd w:val="clear" w:color="000000" w:fill="FFFFFF"/>
            <w:vAlign w:val="center"/>
            <w:hideMark/>
          </w:tcPr>
          <w:p w14:paraId="279E8E72" w14:textId="77777777" w:rsidR="000C5997" w:rsidRPr="008174E3" w:rsidRDefault="000C5997" w:rsidP="000C5997">
            <w:pPr>
              <w:rPr>
                <w:rFonts w:ascii="Arial" w:hAnsi="Arial" w:cs="Arial"/>
                <w:color w:val="000000"/>
                <w:sz w:val="18"/>
                <w:szCs w:val="18"/>
              </w:rPr>
            </w:pPr>
            <w:r w:rsidRPr="008174E3">
              <w:rPr>
                <w:rFonts w:ascii="Arial" w:hAnsi="Arial" w:cs="Arial"/>
                <w:color w:val="000000"/>
                <w:sz w:val="18"/>
                <w:szCs w:val="18"/>
              </w:rPr>
              <w:t>Costo Económico (en días)</w:t>
            </w:r>
          </w:p>
        </w:tc>
        <w:tc>
          <w:tcPr>
            <w:tcW w:w="1210" w:type="dxa"/>
            <w:tcBorders>
              <w:top w:val="nil"/>
              <w:left w:val="nil"/>
              <w:bottom w:val="single" w:sz="8" w:space="0" w:color="auto"/>
              <w:right w:val="single" w:sz="8" w:space="0" w:color="auto"/>
            </w:tcBorders>
            <w:shd w:val="clear" w:color="000000" w:fill="FFF2CC"/>
            <w:noWrap/>
            <w:vAlign w:val="center"/>
            <w:hideMark/>
          </w:tcPr>
          <w:p w14:paraId="08CB7E23" w14:textId="02B45038" w:rsidR="000C5997" w:rsidRPr="008174E3" w:rsidRDefault="000C5997" w:rsidP="000C5997">
            <w:pPr>
              <w:jc w:val="center"/>
              <w:rPr>
                <w:rFonts w:ascii="Arial" w:hAnsi="Arial" w:cs="Arial"/>
                <w:color w:val="000000"/>
                <w:sz w:val="16"/>
                <w:szCs w:val="18"/>
              </w:rPr>
            </w:pPr>
            <w:r w:rsidRPr="008174E3">
              <w:rPr>
                <w:rFonts w:ascii="Arial" w:hAnsi="Arial" w:cs="Arial"/>
                <w:color w:val="000000"/>
                <w:sz w:val="16"/>
                <w:szCs w:val="18"/>
              </w:rPr>
              <w:t>3 días</w:t>
            </w:r>
          </w:p>
        </w:tc>
        <w:tc>
          <w:tcPr>
            <w:tcW w:w="1072" w:type="dxa"/>
            <w:tcBorders>
              <w:top w:val="nil"/>
              <w:left w:val="nil"/>
              <w:bottom w:val="single" w:sz="8" w:space="0" w:color="auto"/>
              <w:right w:val="single" w:sz="8" w:space="0" w:color="auto"/>
            </w:tcBorders>
            <w:shd w:val="clear" w:color="000000" w:fill="FFFFFF"/>
            <w:noWrap/>
            <w:vAlign w:val="center"/>
            <w:hideMark/>
          </w:tcPr>
          <w:p w14:paraId="01B2CC93" w14:textId="7FC60D46" w:rsidR="000C5997" w:rsidRPr="008174E3" w:rsidRDefault="000C5997" w:rsidP="000C5997">
            <w:pPr>
              <w:jc w:val="center"/>
              <w:rPr>
                <w:rFonts w:ascii="Arial" w:hAnsi="Arial" w:cs="Arial"/>
                <w:color w:val="000000"/>
                <w:sz w:val="16"/>
                <w:szCs w:val="18"/>
              </w:rPr>
            </w:pPr>
            <w:r w:rsidRPr="008174E3">
              <w:rPr>
                <w:rFonts w:ascii="Arial" w:hAnsi="Arial" w:cs="Arial"/>
                <w:color w:val="000000"/>
                <w:sz w:val="16"/>
                <w:szCs w:val="18"/>
              </w:rPr>
              <w:t xml:space="preserve"> 2 días</w:t>
            </w:r>
          </w:p>
        </w:tc>
        <w:tc>
          <w:tcPr>
            <w:tcW w:w="1178" w:type="dxa"/>
            <w:tcBorders>
              <w:top w:val="nil"/>
              <w:left w:val="nil"/>
              <w:bottom w:val="single" w:sz="8" w:space="0" w:color="auto"/>
              <w:right w:val="single" w:sz="8" w:space="0" w:color="auto"/>
            </w:tcBorders>
            <w:shd w:val="clear" w:color="000000" w:fill="FFF2CC"/>
            <w:noWrap/>
            <w:vAlign w:val="center"/>
            <w:hideMark/>
          </w:tcPr>
          <w:p w14:paraId="435EDE4C" w14:textId="2B15A4E1" w:rsidR="000C5997" w:rsidRPr="008174E3" w:rsidRDefault="000C5997" w:rsidP="000C5997">
            <w:pPr>
              <w:jc w:val="center"/>
              <w:rPr>
                <w:rFonts w:ascii="Arial" w:hAnsi="Arial" w:cs="Arial"/>
                <w:color w:val="000000"/>
                <w:sz w:val="16"/>
                <w:szCs w:val="18"/>
              </w:rPr>
            </w:pPr>
            <w:r w:rsidRPr="008174E3">
              <w:rPr>
                <w:rFonts w:ascii="Arial" w:hAnsi="Arial" w:cs="Arial"/>
                <w:color w:val="000000"/>
                <w:sz w:val="16"/>
                <w:szCs w:val="18"/>
              </w:rPr>
              <w:t>1 día</w:t>
            </w:r>
          </w:p>
        </w:tc>
        <w:tc>
          <w:tcPr>
            <w:tcW w:w="1170" w:type="dxa"/>
            <w:tcBorders>
              <w:top w:val="nil"/>
              <w:left w:val="nil"/>
              <w:bottom w:val="single" w:sz="8" w:space="0" w:color="auto"/>
              <w:right w:val="single" w:sz="8" w:space="0" w:color="auto"/>
            </w:tcBorders>
            <w:shd w:val="clear" w:color="000000" w:fill="FFF2CC"/>
            <w:noWrap/>
            <w:vAlign w:val="center"/>
            <w:hideMark/>
          </w:tcPr>
          <w:p w14:paraId="2982DA9C" w14:textId="1CE77B37" w:rsidR="000C5997" w:rsidRPr="000C5997" w:rsidRDefault="000C5997" w:rsidP="000C5997">
            <w:pPr>
              <w:jc w:val="center"/>
              <w:rPr>
                <w:rFonts w:ascii="Arial" w:hAnsi="Arial" w:cs="Arial"/>
                <w:color w:val="000000"/>
                <w:sz w:val="16"/>
                <w:szCs w:val="18"/>
              </w:rPr>
            </w:pPr>
            <w:r w:rsidRPr="000C5997">
              <w:rPr>
                <w:rFonts w:ascii="Arial" w:hAnsi="Arial" w:cs="Arial"/>
                <w:color w:val="000000"/>
                <w:sz w:val="16"/>
                <w:szCs w:val="18"/>
              </w:rPr>
              <w:t>$34</w:t>
            </w:r>
            <w:r>
              <w:rPr>
                <w:rFonts w:ascii="Arial" w:hAnsi="Arial" w:cs="Arial"/>
                <w:color w:val="000000"/>
                <w:sz w:val="16"/>
                <w:szCs w:val="18"/>
              </w:rPr>
              <w:t>,</w:t>
            </w:r>
            <w:r w:rsidRPr="000C5997">
              <w:rPr>
                <w:rFonts w:ascii="Arial" w:hAnsi="Arial" w:cs="Arial"/>
                <w:color w:val="000000"/>
                <w:sz w:val="16"/>
                <w:szCs w:val="18"/>
              </w:rPr>
              <w:t xml:space="preserve">60 </w:t>
            </w:r>
          </w:p>
        </w:tc>
        <w:tc>
          <w:tcPr>
            <w:tcW w:w="1047" w:type="dxa"/>
            <w:tcBorders>
              <w:top w:val="nil"/>
              <w:left w:val="nil"/>
              <w:bottom w:val="single" w:sz="8" w:space="0" w:color="auto"/>
              <w:right w:val="single" w:sz="8" w:space="0" w:color="auto"/>
            </w:tcBorders>
            <w:shd w:val="clear" w:color="000000" w:fill="FFFFFF"/>
            <w:noWrap/>
            <w:vAlign w:val="center"/>
            <w:hideMark/>
          </w:tcPr>
          <w:p w14:paraId="1C096AB7" w14:textId="6D055808" w:rsidR="000C5997" w:rsidRPr="000C5997" w:rsidRDefault="000C5997" w:rsidP="000C5997">
            <w:pPr>
              <w:jc w:val="center"/>
              <w:rPr>
                <w:rFonts w:ascii="Arial" w:hAnsi="Arial" w:cs="Arial"/>
                <w:color w:val="000000"/>
                <w:sz w:val="16"/>
                <w:szCs w:val="18"/>
              </w:rPr>
            </w:pPr>
            <w:r w:rsidRPr="000C5997">
              <w:rPr>
                <w:rFonts w:ascii="Arial" w:hAnsi="Arial" w:cs="Arial"/>
                <w:color w:val="000000"/>
                <w:sz w:val="16"/>
                <w:szCs w:val="18"/>
              </w:rPr>
              <w:t>$62</w:t>
            </w:r>
            <w:r>
              <w:rPr>
                <w:rFonts w:ascii="Arial" w:hAnsi="Arial" w:cs="Arial"/>
                <w:color w:val="000000"/>
                <w:sz w:val="16"/>
                <w:szCs w:val="18"/>
              </w:rPr>
              <w:t>,</w:t>
            </w:r>
            <w:r w:rsidRPr="000C5997">
              <w:rPr>
                <w:rFonts w:ascii="Arial" w:hAnsi="Arial" w:cs="Arial"/>
                <w:color w:val="000000"/>
                <w:sz w:val="16"/>
                <w:szCs w:val="18"/>
              </w:rPr>
              <w:t xml:space="preserve">19 </w:t>
            </w:r>
          </w:p>
        </w:tc>
        <w:tc>
          <w:tcPr>
            <w:tcW w:w="1203" w:type="dxa"/>
            <w:tcBorders>
              <w:top w:val="nil"/>
              <w:left w:val="nil"/>
              <w:bottom w:val="single" w:sz="8" w:space="0" w:color="auto"/>
              <w:right w:val="single" w:sz="8" w:space="0" w:color="auto"/>
            </w:tcBorders>
            <w:shd w:val="clear" w:color="000000" w:fill="FFF2CC"/>
            <w:noWrap/>
            <w:vAlign w:val="center"/>
            <w:hideMark/>
          </w:tcPr>
          <w:p w14:paraId="304FB25E" w14:textId="3BD93B3C" w:rsidR="000C5997" w:rsidRPr="000C5997" w:rsidRDefault="000C5997" w:rsidP="000C5997">
            <w:pPr>
              <w:jc w:val="center"/>
              <w:rPr>
                <w:rFonts w:ascii="Arial" w:hAnsi="Arial" w:cs="Arial"/>
                <w:color w:val="000000"/>
                <w:sz w:val="16"/>
                <w:szCs w:val="18"/>
              </w:rPr>
            </w:pPr>
            <w:r w:rsidRPr="000C5997">
              <w:rPr>
                <w:rFonts w:ascii="Arial" w:hAnsi="Arial" w:cs="Arial"/>
                <w:color w:val="000000"/>
                <w:sz w:val="16"/>
                <w:szCs w:val="18"/>
              </w:rPr>
              <w:t>$89</w:t>
            </w:r>
            <w:r>
              <w:rPr>
                <w:rFonts w:ascii="Arial" w:hAnsi="Arial" w:cs="Arial"/>
                <w:color w:val="000000"/>
                <w:sz w:val="16"/>
                <w:szCs w:val="18"/>
              </w:rPr>
              <w:t>,</w:t>
            </w:r>
            <w:r w:rsidRPr="000C5997">
              <w:rPr>
                <w:rFonts w:ascii="Arial" w:hAnsi="Arial" w:cs="Arial"/>
                <w:color w:val="000000"/>
                <w:sz w:val="16"/>
                <w:szCs w:val="18"/>
              </w:rPr>
              <w:t xml:space="preserve">77 </w:t>
            </w:r>
          </w:p>
        </w:tc>
      </w:tr>
      <w:tr w:rsidR="000C5997" w:rsidRPr="008174E3" w14:paraId="200E430B" w14:textId="77777777" w:rsidTr="000C5997">
        <w:trPr>
          <w:trHeight w:val="495"/>
        </w:trPr>
        <w:tc>
          <w:tcPr>
            <w:tcW w:w="1530" w:type="dxa"/>
            <w:vMerge/>
            <w:tcBorders>
              <w:top w:val="single" w:sz="8" w:space="0" w:color="auto"/>
              <w:left w:val="single" w:sz="8" w:space="0" w:color="auto"/>
              <w:bottom w:val="single" w:sz="8" w:space="0" w:color="auto"/>
              <w:right w:val="single" w:sz="8" w:space="0" w:color="auto"/>
            </w:tcBorders>
            <w:vAlign w:val="center"/>
            <w:hideMark/>
          </w:tcPr>
          <w:p w14:paraId="03F42D4C" w14:textId="77777777" w:rsidR="000C5997" w:rsidRPr="008174E3" w:rsidRDefault="000C5997" w:rsidP="000C5997">
            <w:pPr>
              <w:rPr>
                <w:rFonts w:ascii="Arial" w:hAnsi="Arial" w:cs="Arial"/>
                <w:b/>
                <w:bCs/>
                <w:color w:val="000000"/>
                <w:sz w:val="18"/>
                <w:szCs w:val="18"/>
              </w:rPr>
            </w:pPr>
          </w:p>
        </w:tc>
        <w:tc>
          <w:tcPr>
            <w:tcW w:w="2260" w:type="dxa"/>
            <w:tcBorders>
              <w:top w:val="nil"/>
              <w:left w:val="nil"/>
              <w:bottom w:val="single" w:sz="8" w:space="0" w:color="auto"/>
              <w:right w:val="single" w:sz="8" w:space="0" w:color="auto"/>
            </w:tcBorders>
            <w:shd w:val="clear" w:color="000000" w:fill="FFFFFF"/>
            <w:vAlign w:val="center"/>
            <w:hideMark/>
          </w:tcPr>
          <w:p w14:paraId="497A69CA" w14:textId="77777777" w:rsidR="000C5997" w:rsidRPr="008174E3" w:rsidRDefault="000C5997" w:rsidP="000C5997">
            <w:pPr>
              <w:rPr>
                <w:rFonts w:ascii="Arial" w:hAnsi="Arial" w:cs="Arial"/>
                <w:color w:val="000000"/>
                <w:sz w:val="18"/>
                <w:szCs w:val="18"/>
              </w:rPr>
            </w:pPr>
            <w:r w:rsidRPr="008174E3">
              <w:rPr>
                <w:rFonts w:ascii="Arial" w:hAnsi="Arial" w:cs="Arial"/>
                <w:color w:val="000000"/>
                <w:sz w:val="18"/>
                <w:szCs w:val="18"/>
              </w:rPr>
              <w:t>Efecto Desplazamiento (igual al 50% del ingreso del primer año)</w:t>
            </w:r>
          </w:p>
        </w:tc>
        <w:tc>
          <w:tcPr>
            <w:tcW w:w="1210" w:type="dxa"/>
            <w:tcBorders>
              <w:top w:val="nil"/>
              <w:left w:val="nil"/>
              <w:bottom w:val="single" w:sz="8" w:space="0" w:color="auto"/>
              <w:right w:val="single" w:sz="8" w:space="0" w:color="auto"/>
            </w:tcBorders>
            <w:shd w:val="clear" w:color="000000" w:fill="FFF2CC"/>
            <w:noWrap/>
            <w:vAlign w:val="center"/>
            <w:hideMark/>
          </w:tcPr>
          <w:p w14:paraId="78395886" w14:textId="690C25A2" w:rsidR="000C5997" w:rsidRPr="008174E3" w:rsidRDefault="000C5997" w:rsidP="000C5997">
            <w:pPr>
              <w:jc w:val="center"/>
              <w:rPr>
                <w:rFonts w:ascii="Arial" w:hAnsi="Arial" w:cs="Arial"/>
                <w:color w:val="000000"/>
                <w:sz w:val="16"/>
                <w:szCs w:val="18"/>
              </w:rPr>
            </w:pPr>
            <w:r w:rsidRPr="008174E3">
              <w:rPr>
                <w:rFonts w:ascii="Arial" w:hAnsi="Arial" w:cs="Arial"/>
                <w:color w:val="000000"/>
                <w:sz w:val="16"/>
                <w:szCs w:val="18"/>
              </w:rPr>
              <w:t>SI</w:t>
            </w:r>
          </w:p>
        </w:tc>
        <w:tc>
          <w:tcPr>
            <w:tcW w:w="1072" w:type="dxa"/>
            <w:tcBorders>
              <w:top w:val="nil"/>
              <w:left w:val="nil"/>
              <w:bottom w:val="single" w:sz="8" w:space="0" w:color="auto"/>
              <w:right w:val="single" w:sz="8" w:space="0" w:color="auto"/>
            </w:tcBorders>
            <w:shd w:val="clear" w:color="000000" w:fill="FFFFFF"/>
            <w:noWrap/>
            <w:vAlign w:val="center"/>
            <w:hideMark/>
          </w:tcPr>
          <w:p w14:paraId="4B060D55" w14:textId="082C9A3E" w:rsidR="000C5997" w:rsidRPr="008174E3" w:rsidRDefault="000C5997" w:rsidP="000C5997">
            <w:pPr>
              <w:jc w:val="center"/>
              <w:rPr>
                <w:rFonts w:ascii="Arial" w:hAnsi="Arial" w:cs="Arial"/>
                <w:color w:val="000000"/>
                <w:sz w:val="16"/>
                <w:szCs w:val="18"/>
              </w:rPr>
            </w:pPr>
            <w:r w:rsidRPr="008174E3">
              <w:rPr>
                <w:rFonts w:ascii="Arial" w:hAnsi="Arial" w:cs="Arial"/>
                <w:color w:val="000000"/>
                <w:sz w:val="16"/>
                <w:szCs w:val="18"/>
              </w:rPr>
              <w:t>NO</w:t>
            </w:r>
          </w:p>
        </w:tc>
        <w:tc>
          <w:tcPr>
            <w:tcW w:w="1178" w:type="dxa"/>
            <w:tcBorders>
              <w:top w:val="nil"/>
              <w:left w:val="nil"/>
              <w:bottom w:val="single" w:sz="8" w:space="0" w:color="auto"/>
              <w:right w:val="single" w:sz="8" w:space="0" w:color="auto"/>
            </w:tcBorders>
            <w:shd w:val="clear" w:color="000000" w:fill="D9D9D9"/>
            <w:noWrap/>
            <w:vAlign w:val="center"/>
            <w:hideMark/>
          </w:tcPr>
          <w:p w14:paraId="423A4B13" w14:textId="77777777" w:rsidR="000C5997" w:rsidRPr="008174E3" w:rsidRDefault="000C5997" w:rsidP="000C5997">
            <w:pPr>
              <w:jc w:val="center"/>
              <w:rPr>
                <w:rFonts w:ascii="Arial" w:hAnsi="Arial" w:cs="Arial"/>
                <w:color w:val="000000"/>
                <w:sz w:val="16"/>
                <w:szCs w:val="18"/>
              </w:rPr>
            </w:pPr>
          </w:p>
        </w:tc>
        <w:tc>
          <w:tcPr>
            <w:tcW w:w="1170" w:type="dxa"/>
            <w:tcBorders>
              <w:top w:val="nil"/>
              <w:left w:val="nil"/>
              <w:bottom w:val="single" w:sz="8" w:space="0" w:color="auto"/>
              <w:right w:val="single" w:sz="8" w:space="0" w:color="auto"/>
            </w:tcBorders>
            <w:shd w:val="clear" w:color="000000" w:fill="FFF2CC"/>
            <w:noWrap/>
            <w:vAlign w:val="center"/>
            <w:hideMark/>
          </w:tcPr>
          <w:p w14:paraId="515EDF88" w14:textId="0F768263" w:rsidR="000C5997" w:rsidRPr="000C5997" w:rsidRDefault="000C5997" w:rsidP="000C5997">
            <w:pPr>
              <w:jc w:val="center"/>
              <w:rPr>
                <w:rFonts w:ascii="Arial" w:hAnsi="Arial" w:cs="Arial"/>
                <w:color w:val="000000"/>
                <w:sz w:val="16"/>
                <w:szCs w:val="18"/>
              </w:rPr>
            </w:pPr>
            <w:r w:rsidRPr="000C5997">
              <w:rPr>
                <w:rFonts w:ascii="Arial" w:hAnsi="Arial" w:cs="Arial"/>
                <w:color w:val="000000"/>
                <w:sz w:val="16"/>
                <w:szCs w:val="18"/>
              </w:rPr>
              <w:t>$24</w:t>
            </w:r>
            <w:r>
              <w:rPr>
                <w:rFonts w:ascii="Arial" w:hAnsi="Arial" w:cs="Arial"/>
                <w:color w:val="000000"/>
                <w:sz w:val="16"/>
                <w:szCs w:val="18"/>
              </w:rPr>
              <w:t>,</w:t>
            </w:r>
            <w:r w:rsidRPr="000C5997">
              <w:rPr>
                <w:rFonts w:ascii="Arial" w:hAnsi="Arial" w:cs="Arial"/>
                <w:color w:val="000000"/>
                <w:sz w:val="16"/>
                <w:szCs w:val="18"/>
              </w:rPr>
              <w:t xml:space="preserve">79 </w:t>
            </w:r>
          </w:p>
        </w:tc>
        <w:tc>
          <w:tcPr>
            <w:tcW w:w="1047" w:type="dxa"/>
            <w:tcBorders>
              <w:top w:val="nil"/>
              <w:left w:val="nil"/>
              <w:bottom w:val="single" w:sz="8" w:space="0" w:color="auto"/>
              <w:right w:val="single" w:sz="8" w:space="0" w:color="auto"/>
            </w:tcBorders>
            <w:shd w:val="clear" w:color="000000" w:fill="FFFFFF"/>
            <w:noWrap/>
            <w:vAlign w:val="center"/>
            <w:hideMark/>
          </w:tcPr>
          <w:p w14:paraId="3FB2571F" w14:textId="28B46C28" w:rsidR="000C5997" w:rsidRPr="000C5997" w:rsidRDefault="000C5997" w:rsidP="000C5997">
            <w:pPr>
              <w:jc w:val="center"/>
              <w:rPr>
                <w:rFonts w:ascii="Arial" w:hAnsi="Arial" w:cs="Arial"/>
                <w:color w:val="000000"/>
                <w:sz w:val="16"/>
                <w:szCs w:val="18"/>
              </w:rPr>
            </w:pPr>
            <w:r w:rsidRPr="000C5997">
              <w:rPr>
                <w:rFonts w:ascii="Arial" w:hAnsi="Arial" w:cs="Arial"/>
                <w:color w:val="000000"/>
                <w:sz w:val="16"/>
                <w:szCs w:val="18"/>
              </w:rPr>
              <w:t>$62</w:t>
            </w:r>
            <w:r>
              <w:rPr>
                <w:rFonts w:ascii="Arial" w:hAnsi="Arial" w:cs="Arial"/>
                <w:color w:val="000000"/>
                <w:sz w:val="16"/>
                <w:szCs w:val="18"/>
              </w:rPr>
              <w:t>,</w:t>
            </w:r>
            <w:r w:rsidRPr="000C5997">
              <w:rPr>
                <w:rFonts w:ascii="Arial" w:hAnsi="Arial" w:cs="Arial"/>
                <w:color w:val="000000"/>
                <w:sz w:val="16"/>
                <w:szCs w:val="18"/>
              </w:rPr>
              <w:t xml:space="preserve">19 </w:t>
            </w:r>
          </w:p>
        </w:tc>
        <w:tc>
          <w:tcPr>
            <w:tcW w:w="1203" w:type="dxa"/>
            <w:tcBorders>
              <w:top w:val="nil"/>
              <w:left w:val="nil"/>
              <w:bottom w:val="single" w:sz="8" w:space="0" w:color="auto"/>
              <w:right w:val="single" w:sz="8" w:space="0" w:color="auto"/>
            </w:tcBorders>
            <w:shd w:val="clear" w:color="000000" w:fill="D9D9D9"/>
            <w:noWrap/>
            <w:vAlign w:val="center"/>
            <w:hideMark/>
          </w:tcPr>
          <w:p w14:paraId="37C51DA0" w14:textId="77777777" w:rsidR="000C5997" w:rsidRPr="000C5997" w:rsidRDefault="000C5997" w:rsidP="000C5997">
            <w:pPr>
              <w:jc w:val="center"/>
              <w:rPr>
                <w:rFonts w:ascii="Arial" w:hAnsi="Arial" w:cs="Arial"/>
                <w:color w:val="000000"/>
                <w:sz w:val="16"/>
                <w:szCs w:val="18"/>
              </w:rPr>
            </w:pPr>
          </w:p>
        </w:tc>
      </w:tr>
      <w:tr w:rsidR="000C5997" w:rsidRPr="008174E3" w14:paraId="22BFDC4F" w14:textId="77777777" w:rsidTr="000C5997">
        <w:trPr>
          <w:trHeight w:val="570"/>
        </w:trPr>
        <w:tc>
          <w:tcPr>
            <w:tcW w:w="1530" w:type="dxa"/>
            <w:vMerge w:val="restart"/>
            <w:tcBorders>
              <w:top w:val="single" w:sz="8" w:space="0" w:color="auto"/>
              <w:left w:val="single" w:sz="8" w:space="0" w:color="auto"/>
              <w:bottom w:val="single" w:sz="4" w:space="0" w:color="auto"/>
              <w:right w:val="single" w:sz="8" w:space="0" w:color="auto"/>
            </w:tcBorders>
            <w:shd w:val="clear" w:color="000000" w:fill="FFFFFF"/>
            <w:vAlign w:val="center"/>
            <w:hideMark/>
          </w:tcPr>
          <w:p w14:paraId="5E2EAE26" w14:textId="4542A4E2" w:rsidR="000C5997" w:rsidRPr="008174E3" w:rsidRDefault="000C5997" w:rsidP="000C5997">
            <w:pPr>
              <w:jc w:val="center"/>
              <w:rPr>
                <w:rFonts w:ascii="Arial" w:hAnsi="Arial" w:cs="Arial"/>
                <w:b/>
                <w:bCs/>
                <w:color w:val="000000"/>
                <w:sz w:val="18"/>
                <w:szCs w:val="18"/>
              </w:rPr>
            </w:pPr>
            <w:r w:rsidRPr="008174E3">
              <w:rPr>
                <w:rFonts w:ascii="Arial" w:hAnsi="Arial" w:cs="Arial"/>
                <w:b/>
                <w:bCs/>
                <w:color w:val="000000"/>
                <w:sz w:val="18"/>
                <w:szCs w:val="18"/>
              </w:rPr>
              <w:t>Fortalecimiento del PAE</w:t>
            </w:r>
          </w:p>
        </w:tc>
        <w:tc>
          <w:tcPr>
            <w:tcW w:w="2260" w:type="dxa"/>
            <w:tcBorders>
              <w:top w:val="nil"/>
              <w:left w:val="nil"/>
              <w:bottom w:val="single" w:sz="8" w:space="0" w:color="auto"/>
              <w:right w:val="single" w:sz="8" w:space="0" w:color="auto"/>
            </w:tcBorders>
            <w:shd w:val="clear" w:color="000000" w:fill="FFFFFF"/>
            <w:vAlign w:val="center"/>
            <w:hideMark/>
          </w:tcPr>
          <w:p w14:paraId="3FDBC7A3" w14:textId="77777777" w:rsidR="000C5997" w:rsidRPr="008174E3" w:rsidRDefault="000C5997" w:rsidP="000C5997">
            <w:pPr>
              <w:rPr>
                <w:rFonts w:ascii="Arial" w:hAnsi="Arial" w:cs="Arial"/>
                <w:color w:val="000000"/>
                <w:sz w:val="18"/>
                <w:szCs w:val="18"/>
              </w:rPr>
            </w:pPr>
            <w:r w:rsidRPr="008174E3">
              <w:rPr>
                <w:rFonts w:ascii="Arial" w:hAnsi="Arial" w:cs="Arial"/>
                <w:color w:val="000000"/>
                <w:sz w:val="18"/>
                <w:szCs w:val="18"/>
              </w:rPr>
              <w:t>Impacto en formalidad</w:t>
            </w:r>
          </w:p>
        </w:tc>
        <w:tc>
          <w:tcPr>
            <w:tcW w:w="1210" w:type="dxa"/>
            <w:tcBorders>
              <w:top w:val="nil"/>
              <w:left w:val="nil"/>
              <w:bottom w:val="single" w:sz="8" w:space="0" w:color="auto"/>
              <w:right w:val="single" w:sz="8" w:space="0" w:color="auto"/>
            </w:tcBorders>
            <w:shd w:val="clear" w:color="000000" w:fill="FFF2CC"/>
            <w:noWrap/>
            <w:vAlign w:val="center"/>
            <w:hideMark/>
          </w:tcPr>
          <w:p w14:paraId="6D869E44" w14:textId="730F82BA" w:rsidR="000C5997" w:rsidRPr="008174E3" w:rsidRDefault="000C5997" w:rsidP="000C5997">
            <w:pPr>
              <w:jc w:val="center"/>
              <w:rPr>
                <w:rFonts w:ascii="Arial" w:hAnsi="Arial" w:cs="Arial"/>
                <w:color w:val="000000"/>
                <w:sz w:val="16"/>
                <w:szCs w:val="18"/>
              </w:rPr>
            </w:pPr>
            <w:r w:rsidRPr="008174E3">
              <w:rPr>
                <w:rFonts w:ascii="Arial" w:hAnsi="Arial" w:cs="Arial"/>
                <w:color w:val="000000"/>
                <w:sz w:val="16"/>
                <w:szCs w:val="18"/>
              </w:rPr>
              <w:t>5,0 pp.</w:t>
            </w:r>
          </w:p>
        </w:tc>
        <w:tc>
          <w:tcPr>
            <w:tcW w:w="1072" w:type="dxa"/>
            <w:tcBorders>
              <w:top w:val="nil"/>
              <w:left w:val="nil"/>
              <w:bottom w:val="single" w:sz="8" w:space="0" w:color="auto"/>
              <w:right w:val="single" w:sz="8" w:space="0" w:color="auto"/>
            </w:tcBorders>
            <w:shd w:val="clear" w:color="000000" w:fill="FFFFFF"/>
            <w:noWrap/>
            <w:vAlign w:val="center"/>
            <w:hideMark/>
          </w:tcPr>
          <w:p w14:paraId="60727FAD" w14:textId="35BB4ABA" w:rsidR="000C5997" w:rsidRPr="008174E3" w:rsidRDefault="000C5997" w:rsidP="000C5997">
            <w:pPr>
              <w:jc w:val="center"/>
              <w:rPr>
                <w:rFonts w:ascii="Arial" w:hAnsi="Arial" w:cs="Arial"/>
                <w:color w:val="000000"/>
                <w:sz w:val="16"/>
                <w:szCs w:val="18"/>
              </w:rPr>
            </w:pPr>
            <w:r w:rsidRPr="008174E3">
              <w:rPr>
                <w:rFonts w:ascii="Arial" w:hAnsi="Arial" w:cs="Arial"/>
                <w:color w:val="000000"/>
                <w:sz w:val="16"/>
                <w:szCs w:val="18"/>
              </w:rPr>
              <w:t>6,0 pp.</w:t>
            </w:r>
          </w:p>
        </w:tc>
        <w:tc>
          <w:tcPr>
            <w:tcW w:w="1178" w:type="dxa"/>
            <w:tcBorders>
              <w:top w:val="nil"/>
              <w:left w:val="nil"/>
              <w:bottom w:val="single" w:sz="8" w:space="0" w:color="auto"/>
              <w:right w:val="single" w:sz="8" w:space="0" w:color="auto"/>
            </w:tcBorders>
            <w:shd w:val="clear" w:color="000000" w:fill="FFF2CC"/>
            <w:noWrap/>
            <w:vAlign w:val="center"/>
            <w:hideMark/>
          </w:tcPr>
          <w:p w14:paraId="2398FC1F" w14:textId="1E46FE4E" w:rsidR="000C5997" w:rsidRPr="008174E3" w:rsidRDefault="000C5997" w:rsidP="000C5997">
            <w:pPr>
              <w:jc w:val="center"/>
              <w:rPr>
                <w:rFonts w:ascii="Arial" w:hAnsi="Arial" w:cs="Arial"/>
                <w:color w:val="000000"/>
                <w:sz w:val="16"/>
                <w:szCs w:val="18"/>
              </w:rPr>
            </w:pPr>
            <w:r w:rsidRPr="008174E3">
              <w:rPr>
                <w:rFonts w:ascii="Arial" w:hAnsi="Arial" w:cs="Arial"/>
                <w:color w:val="000000"/>
                <w:sz w:val="16"/>
                <w:szCs w:val="18"/>
              </w:rPr>
              <w:t>7,0 pp.</w:t>
            </w:r>
          </w:p>
        </w:tc>
        <w:tc>
          <w:tcPr>
            <w:tcW w:w="1170" w:type="dxa"/>
            <w:tcBorders>
              <w:top w:val="nil"/>
              <w:left w:val="nil"/>
              <w:bottom w:val="single" w:sz="8" w:space="0" w:color="auto"/>
              <w:right w:val="single" w:sz="8" w:space="0" w:color="auto"/>
            </w:tcBorders>
            <w:shd w:val="clear" w:color="000000" w:fill="FFF2CC"/>
            <w:noWrap/>
            <w:vAlign w:val="center"/>
            <w:hideMark/>
          </w:tcPr>
          <w:p w14:paraId="3F0CF6CC" w14:textId="7A2ED4C4" w:rsidR="000C5997" w:rsidRPr="000C5997" w:rsidRDefault="000C5997" w:rsidP="000C5997">
            <w:pPr>
              <w:jc w:val="center"/>
              <w:rPr>
                <w:rFonts w:ascii="Arial" w:hAnsi="Arial" w:cs="Arial"/>
                <w:color w:val="000000"/>
                <w:sz w:val="16"/>
                <w:szCs w:val="18"/>
              </w:rPr>
            </w:pPr>
            <w:r w:rsidRPr="000C5997">
              <w:rPr>
                <w:rFonts w:ascii="Arial" w:hAnsi="Arial" w:cs="Arial"/>
                <w:color w:val="000000"/>
                <w:sz w:val="16"/>
                <w:szCs w:val="18"/>
              </w:rPr>
              <w:t>$1</w:t>
            </w:r>
            <w:r>
              <w:rPr>
                <w:rFonts w:ascii="Arial" w:hAnsi="Arial" w:cs="Arial"/>
                <w:color w:val="000000"/>
                <w:sz w:val="16"/>
                <w:szCs w:val="18"/>
              </w:rPr>
              <w:t>,</w:t>
            </w:r>
            <w:r w:rsidRPr="000C5997">
              <w:rPr>
                <w:rFonts w:ascii="Arial" w:hAnsi="Arial" w:cs="Arial"/>
                <w:color w:val="000000"/>
                <w:sz w:val="16"/>
                <w:szCs w:val="18"/>
              </w:rPr>
              <w:t xml:space="preserve">09 </w:t>
            </w:r>
          </w:p>
        </w:tc>
        <w:tc>
          <w:tcPr>
            <w:tcW w:w="1047" w:type="dxa"/>
            <w:tcBorders>
              <w:top w:val="nil"/>
              <w:left w:val="nil"/>
              <w:bottom w:val="single" w:sz="8" w:space="0" w:color="auto"/>
              <w:right w:val="single" w:sz="8" w:space="0" w:color="auto"/>
            </w:tcBorders>
            <w:shd w:val="clear" w:color="000000" w:fill="FFFFFF"/>
            <w:noWrap/>
            <w:vAlign w:val="center"/>
            <w:hideMark/>
          </w:tcPr>
          <w:p w14:paraId="6F64B929" w14:textId="71AC9579" w:rsidR="000C5997" w:rsidRPr="000C5997" w:rsidRDefault="000C5997" w:rsidP="000C5997">
            <w:pPr>
              <w:jc w:val="center"/>
              <w:rPr>
                <w:rFonts w:ascii="Arial" w:hAnsi="Arial" w:cs="Arial"/>
                <w:color w:val="000000"/>
                <w:sz w:val="16"/>
                <w:szCs w:val="18"/>
              </w:rPr>
            </w:pPr>
            <w:r w:rsidRPr="000C5997">
              <w:rPr>
                <w:rFonts w:ascii="Arial" w:hAnsi="Arial" w:cs="Arial"/>
                <w:color w:val="000000"/>
                <w:sz w:val="16"/>
                <w:szCs w:val="18"/>
              </w:rPr>
              <w:t>$22</w:t>
            </w:r>
            <w:r>
              <w:rPr>
                <w:rFonts w:ascii="Arial" w:hAnsi="Arial" w:cs="Arial"/>
                <w:color w:val="000000"/>
                <w:sz w:val="16"/>
                <w:szCs w:val="18"/>
              </w:rPr>
              <w:t>,</w:t>
            </w:r>
            <w:r w:rsidRPr="000C5997">
              <w:rPr>
                <w:rFonts w:ascii="Arial" w:hAnsi="Arial" w:cs="Arial"/>
                <w:color w:val="000000"/>
                <w:sz w:val="16"/>
                <w:szCs w:val="18"/>
              </w:rPr>
              <w:t xml:space="preserve">30 </w:t>
            </w:r>
          </w:p>
        </w:tc>
        <w:tc>
          <w:tcPr>
            <w:tcW w:w="1203" w:type="dxa"/>
            <w:tcBorders>
              <w:top w:val="nil"/>
              <w:left w:val="nil"/>
              <w:bottom w:val="single" w:sz="8" w:space="0" w:color="auto"/>
              <w:right w:val="single" w:sz="8" w:space="0" w:color="auto"/>
            </w:tcBorders>
            <w:shd w:val="clear" w:color="000000" w:fill="FFF2CC"/>
            <w:noWrap/>
            <w:vAlign w:val="center"/>
            <w:hideMark/>
          </w:tcPr>
          <w:p w14:paraId="06205DEC" w14:textId="67F0A4A9" w:rsidR="000C5997" w:rsidRPr="000C5997" w:rsidRDefault="000C5997" w:rsidP="000C5997">
            <w:pPr>
              <w:jc w:val="center"/>
              <w:rPr>
                <w:rFonts w:ascii="Arial" w:hAnsi="Arial" w:cs="Arial"/>
                <w:color w:val="000000"/>
                <w:sz w:val="16"/>
                <w:szCs w:val="18"/>
              </w:rPr>
            </w:pPr>
            <w:r w:rsidRPr="000C5997">
              <w:rPr>
                <w:rFonts w:ascii="Arial" w:hAnsi="Arial" w:cs="Arial"/>
                <w:color w:val="000000"/>
                <w:sz w:val="16"/>
                <w:szCs w:val="18"/>
              </w:rPr>
              <w:t>$43</w:t>
            </w:r>
            <w:r>
              <w:rPr>
                <w:rFonts w:ascii="Arial" w:hAnsi="Arial" w:cs="Arial"/>
                <w:color w:val="000000"/>
                <w:sz w:val="16"/>
                <w:szCs w:val="18"/>
              </w:rPr>
              <w:t>,</w:t>
            </w:r>
            <w:r w:rsidRPr="000C5997">
              <w:rPr>
                <w:rFonts w:ascii="Arial" w:hAnsi="Arial" w:cs="Arial"/>
                <w:color w:val="000000"/>
                <w:sz w:val="16"/>
                <w:szCs w:val="18"/>
              </w:rPr>
              <w:t xml:space="preserve">52 </w:t>
            </w:r>
          </w:p>
        </w:tc>
      </w:tr>
      <w:tr w:rsidR="000C5997" w:rsidRPr="008174E3" w14:paraId="0A384E5C" w14:textId="77777777" w:rsidTr="000C5997">
        <w:trPr>
          <w:trHeight w:val="495"/>
        </w:trPr>
        <w:tc>
          <w:tcPr>
            <w:tcW w:w="1530" w:type="dxa"/>
            <w:vMerge/>
            <w:tcBorders>
              <w:top w:val="single" w:sz="8" w:space="0" w:color="auto"/>
              <w:left w:val="single" w:sz="8" w:space="0" w:color="auto"/>
              <w:bottom w:val="single" w:sz="4" w:space="0" w:color="auto"/>
              <w:right w:val="single" w:sz="8" w:space="0" w:color="auto"/>
            </w:tcBorders>
            <w:vAlign w:val="center"/>
            <w:hideMark/>
          </w:tcPr>
          <w:p w14:paraId="357397AB" w14:textId="77777777" w:rsidR="000C5997" w:rsidRPr="008174E3" w:rsidRDefault="000C5997" w:rsidP="000C5997">
            <w:pPr>
              <w:rPr>
                <w:rFonts w:ascii="Arial" w:hAnsi="Arial" w:cs="Arial"/>
                <w:b/>
                <w:bCs/>
                <w:color w:val="000000"/>
                <w:sz w:val="18"/>
                <w:szCs w:val="18"/>
              </w:rPr>
            </w:pPr>
          </w:p>
        </w:tc>
        <w:tc>
          <w:tcPr>
            <w:tcW w:w="2260" w:type="dxa"/>
            <w:tcBorders>
              <w:top w:val="nil"/>
              <w:left w:val="nil"/>
              <w:bottom w:val="single" w:sz="8" w:space="0" w:color="auto"/>
              <w:right w:val="single" w:sz="8" w:space="0" w:color="auto"/>
            </w:tcBorders>
            <w:shd w:val="clear" w:color="000000" w:fill="FFFFFF"/>
            <w:vAlign w:val="center"/>
            <w:hideMark/>
          </w:tcPr>
          <w:p w14:paraId="2E8E5436" w14:textId="560F213A" w:rsidR="000C5997" w:rsidRPr="008174E3" w:rsidRDefault="000C5997" w:rsidP="000C5997">
            <w:pPr>
              <w:rPr>
                <w:rFonts w:ascii="Arial" w:hAnsi="Arial" w:cs="Arial"/>
                <w:color w:val="000000"/>
                <w:sz w:val="18"/>
                <w:szCs w:val="18"/>
              </w:rPr>
            </w:pPr>
            <w:r w:rsidRPr="008174E3">
              <w:rPr>
                <w:rFonts w:ascii="Arial" w:hAnsi="Arial" w:cs="Arial"/>
                <w:color w:val="000000"/>
                <w:sz w:val="18"/>
                <w:szCs w:val="18"/>
              </w:rPr>
              <w:t>Impacto asociado a formalidad (como % del salario de referencia)</w:t>
            </w:r>
          </w:p>
        </w:tc>
        <w:tc>
          <w:tcPr>
            <w:tcW w:w="1210" w:type="dxa"/>
            <w:tcBorders>
              <w:top w:val="nil"/>
              <w:left w:val="nil"/>
              <w:bottom w:val="single" w:sz="8" w:space="0" w:color="auto"/>
              <w:right w:val="single" w:sz="8" w:space="0" w:color="auto"/>
            </w:tcBorders>
            <w:shd w:val="clear" w:color="000000" w:fill="FFF2CC"/>
            <w:noWrap/>
            <w:vAlign w:val="center"/>
            <w:hideMark/>
          </w:tcPr>
          <w:p w14:paraId="25417456" w14:textId="354C07E8" w:rsidR="000C5997" w:rsidRPr="008174E3" w:rsidRDefault="000C5997" w:rsidP="000C5997">
            <w:pPr>
              <w:jc w:val="center"/>
              <w:rPr>
                <w:rFonts w:ascii="Arial" w:hAnsi="Arial" w:cs="Arial"/>
                <w:color w:val="000000"/>
                <w:sz w:val="16"/>
                <w:szCs w:val="18"/>
              </w:rPr>
            </w:pPr>
            <w:r w:rsidRPr="008174E3">
              <w:rPr>
                <w:rFonts w:ascii="Arial" w:hAnsi="Arial" w:cs="Arial"/>
                <w:color w:val="000000"/>
                <w:sz w:val="16"/>
                <w:szCs w:val="18"/>
              </w:rPr>
              <w:t>20,0%</w:t>
            </w:r>
          </w:p>
        </w:tc>
        <w:tc>
          <w:tcPr>
            <w:tcW w:w="1072" w:type="dxa"/>
            <w:tcBorders>
              <w:top w:val="nil"/>
              <w:left w:val="nil"/>
              <w:bottom w:val="single" w:sz="8" w:space="0" w:color="auto"/>
              <w:right w:val="single" w:sz="8" w:space="0" w:color="auto"/>
            </w:tcBorders>
            <w:shd w:val="clear" w:color="000000" w:fill="FFFFFF"/>
            <w:noWrap/>
            <w:vAlign w:val="center"/>
            <w:hideMark/>
          </w:tcPr>
          <w:p w14:paraId="5B18BD1D" w14:textId="57EF1F13" w:rsidR="000C5997" w:rsidRPr="008174E3" w:rsidRDefault="000C5997" w:rsidP="000C5997">
            <w:pPr>
              <w:jc w:val="center"/>
              <w:rPr>
                <w:rFonts w:ascii="Arial" w:hAnsi="Arial" w:cs="Arial"/>
                <w:color w:val="000000"/>
                <w:sz w:val="16"/>
                <w:szCs w:val="18"/>
              </w:rPr>
            </w:pPr>
            <w:r w:rsidRPr="008174E3">
              <w:rPr>
                <w:rFonts w:ascii="Arial" w:hAnsi="Arial" w:cs="Arial"/>
                <w:color w:val="000000"/>
                <w:sz w:val="16"/>
                <w:szCs w:val="18"/>
              </w:rPr>
              <w:t>24,0%</w:t>
            </w:r>
          </w:p>
        </w:tc>
        <w:tc>
          <w:tcPr>
            <w:tcW w:w="1178" w:type="dxa"/>
            <w:tcBorders>
              <w:top w:val="nil"/>
              <w:left w:val="nil"/>
              <w:bottom w:val="single" w:sz="8" w:space="0" w:color="auto"/>
              <w:right w:val="single" w:sz="8" w:space="0" w:color="auto"/>
            </w:tcBorders>
            <w:shd w:val="clear" w:color="000000" w:fill="FFF2CC"/>
            <w:noWrap/>
            <w:vAlign w:val="center"/>
            <w:hideMark/>
          </w:tcPr>
          <w:p w14:paraId="5F1BF260" w14:textId="240F0DCE" w:rsidR="000C5997" w:rsidRPr="008174E3" w:rsidRDefault="000C5997" w:rsidP="000C5997">
            <w:pPr>
              <w:jc w:val="center"/>
              <w:rPr>
                <w:rFonts w:ascii="Arial" w:hAnsi="Arial" w:cs="Arial"/>
                <w:color w:val="000000"/>
                <w:sz w:val="16"/>
                <w:szCs w:val="18"/>
              </w:rPr>
            </w:pPr>
            <w:r w:rsidRPr="008174E3">
              <w:rPr>
                <w:rFonts w:ascii="Arial" w:hAnsi="Arial" w:cs="Arial"/>
                <w:color w:val="000000"/>
                <w:sz w:val="16"/>
                <w:szCs w:val="18"/>
              </w:rPr>
              <w:t>28,0%</w:t>
            </w:r>
          </w:p>
        </w:tc>
        <w:tc>
          <w:tcPr>
            <w:tcW w:w="1170" w:type="dxa"/>
            <w:tcBorders>
              <w:top w:val="nil"/>
              <w:left w:val="nil"/>
              <w:bottom w:val="single" w:sz="8" w:space="0" w:color="auto"/>
              <w:right w:val="single" w:sz="8" w:space="0" w:color="auto"/>
            </w:tcBorders>
            <w:shd w:val="clear" w:color="000000" w:fill="FFF2CC"/>
            <w:noWrap/>
            <w:vAlign w:val="center"/>
            <w:hideMark/>
          </w:tcPr>
          <w:p w14:paraId="4E2E3BD8" w14:textId="45533933" w:rsidR="000C5997" w:rsidRPr="000C5997" w:rsidRDefault="000C5997" w:rsidP="000C5997">
            <w:pPr>
              <w:jc w:val="center"/>
              <w:rPr>
                <w:rFonts w:ascii="Arial" w:hAnsi="Arial" w:cs="Arial"/>
                <w:color w:val="000000"/>
                <w:sz w:val="16"/>
                <w:szCs w:val="18"/>
              </w:rPr>
            </w:pPr>
            <w:r w:rsidRPr="000C5997">
              <w:rPr>
                <w:rFonts w:ascii="Arial" w:hAnsi="Arial" w:cs="Arial"/>
                <w:color w:val="000000"/>
                <w:sz w:val="16"/>
                <w:szCs w:val="18"/>
              </w:rPr>
              <w:t>$3</w:t>
            </w:r>
            <w:r>
              <w:rPr>
                <w:rFonts w:ascii="Arial" w:hAnsi="Arial" w:cs="Arial"/>
                <w:color w:val="000000"/>
                <w:sz w:val="16"/>
                <w:szCs w:val="18"/>
              </w:rPr>
              <w:t>,</w:t>
            </w:r>
            <w:r w:rsidRPr="000C5997">
              <w:rPr>
                <w:rFonts w:ascii="Arial" w:hAnsi="Arial" w:cs="Arial"/>
                <w:color w:val="000000"/>
                <w:sz w:val="16"/>
                <w:szCs w:val="18"/>
              </w:rPr>
              <w:t xml:space="preserve">75 </w:t>
            </w:r>
          </w:p>
        </w:tc>
        <w:tc>
          <w:tcPr>
            <w:tcW w:w="1047" w:type="dxa"/>
            <w:tcBorders>
              <w:top w:val="nil"/>
              <w:left w:val="nil"/>
              <w:bottom w:val="single" w:sz="8" w:space="0" w:color="auto"/>
              <w:right w:val="single" w:sz="8" w:space="0" w:color="auto"/>
            </w:tcBorders>
            <w:shd w:val="clear" w:color="000000" w:fill="FFFFFF"/>
            <w:noWrap/>
            <w:vAlign w:val="center"/>
            <w:hideMark/>
          </w:tcPr>
          <w:p w14:paraId="5EBAA7AE" w14:textId="62938FFC" w:rsidR="000C5997" w:rsidRPr="000C5997" w:rsidRDefault="000C5997" w:rsidP="000C5997">
            <w:pPr>
              <w:jc w:val="center"/>
              <w:rPr>
                <w:rFonts w:ascii="Arial" w:hAnsi="Arial" w:cs="Arial"/>
                <w:color w:val="000000"/>
                <w:sz w:val="16"/>
                <w:szCs w:val="18"/>
              </w:rPr>
            </w:pPr>
            <w:r w:rsidRPr="000C5997">
              <w:rPr>
                <w:rFonts w:ascii="Arial" w:hAnsi="Arial" w:cs="Arial"/>
                <w:color w:val="000000"/>
                <w:sz w:val="16"/>
                <w:szCs w:val="18"/>
              </w:rPr>
              <w:t>$22</w:t>
            </w:r>
            <w:r>
              <w:rPr>
                <w:rFonts w:ascii="Arial" w:hAnsi="Arial" w:cs="Arial"/>
                <w:color w:val="000000"/>
                <w:sz w:val="16"/>
                <w:szCs w:val="18"/>
              </w:rPr>
              <w:t>,</w:t>
            </w:r>
            <w:r w:rsidRPr="000C5997">
              <w:rPr>
                <w:rFonts w:ascii="Arial" w:hAnsi="Arial" w:cs="Arial"/>
                <w:color w:val="000000"/>
                <w:sz w:val="16"/>
                <w:szCs w:val="18"/>
              </w:rPr>
              <w:t xml:space="preserve">30 </w:t>
            </w:r>
          </w:p>
        </w:tc>
        <w:tc>
          <w:tcPr>
            <w:tcW w:w="1203" w:type="dxa"/>
            <w:tcBorders>
              <w:top w:val="nil"/>
              <w:left w:val="nil"/>
              <w:bottom w:val="single" w:sz="8" w:space="0" w:color="auto"/>
              <w:right w:val="single" w:sz="8" w:space="0" w:color="auto"/>
            </w:tcBorders>
            <w:shd w:val="clear" w:color="000000" w:fill="FFF2CC"/>
            <w:noWrap/>
            <w:vAlign w:val="center"/>
            <w:hideMark/>
          </w:tcPr>
          <w:p w14:paraId="39BFB2BA" w14:textId="06F8DA9D" w:rsidR="000C5997" w:rsidRPr="000C5997" w:rsidRDefault="000C5997" w:rsidP="000C5997">
            <w:pPr>
              <w:jc w:val="center"/>
              <w:rPr>
                <w:rFonts w:ascii="Arial" w:hAnsi="Arial" w:cs="Arial"/>
                <w:color w:val="000000"/>
                <w:sz w:val="16"/>
                <w:szCs w:val="18"/>
              </w:rPr>
            </w:pPr>
            <w:r w:rsidRPr="000C5997">
              <w:rPr>
                <w:rFonts w:ascii="Arial" w:hAnsi="Arial" w:cs="Arial"/>
                <w:color w:val="000000"/>
                <w:sz w:val="16"/>
                <w:szCs w:val="18"/>
              </w:rPr>
              <w:t>$40</w:t>
            </w:r>
            <w:r>
              <w:rPr>
                <w:rFonts w:ascii="Arial" w:hAnsi="Arial" w:cs="Arial"/>
                <w:color w:val="000000"/>
                <w:sz w:val="16"/>
                <w:szCs w:val="18"/>
              </w:rPr>
              <w:t>,</w:t>
            </w:r>
            <w:r w:rsidRPr="000C5997">
              <w:rPr>
                <w:rFonts w:ascii="Arial" w:hAnsi="Arial" w:cs="Arial"/>
                <w:color w:val="000000"/>
                <w:sz w:val="16"/>
                <w:szCs w:val="18"/>
              </w:rPr>
              <w:t xml:space="preserve">86 </w:t>
            </w:r>
          </w:p>
        </w:tc>
      </w:tr>
      <w:tr w:rsidR="000C5997" w:rsidRPr="008174E3" w14:paraId="7FACC55A" w14:textId="77777777" w:rsidTr="000C5997">
        <w:trPr>
          <w:trHeight w:val="300"/>
        </w:trPr>
        <w:tc>
          <w:tcPr>
            <w:tcW w:w="1530" w:type="dxa"/>
            <w:vMerge/>
            <w:tcBorders>
              <w:top w:val="single" w:sz="8" w:space="0" w:color="auto"/>
              <w:left w:val="single" w:sz="8" w:space="0" w:color="auto"/>
              <w:bottom w:val="single" w:sz="4" w:space="0" w:color="auto"/>
              <w:right w:val="single" w:sz="8" w:space="0" w:color="auto"/>
            </w:tcBorders>
            <w:vAlign w:val="center"/>
            <w:hideMark/>
          </w:tcPr>
          <w:p w14:paraId="2D22C929" w14:textId="77777777" w:rsidR="000C5997" w:rsidRPr="008174E3" w:rsidRDefault="000C5997" w:rsidP="000C5997">
            <w:pPr>
              <w:rPr>
                <w:rFonts w:ascii="Arial" w:hAnsi="Arial" w:cs="Arial"/>
                <w:b/>
                <w:bCs/>
                <w:color w:val="000000"/>
                <w:sz w:val="18"/>
                <w:szCs w:val="18"/>
              </w:rPr>
            </w:pPr>
          </w:p>
        </w:tc>
        <w:tc>
          <w:tcPr>
            <w:tcW w:w="2260" w:type="dxa"/>
            <w:tcBorders>
              <w:top w:val="nil"/>
              <w:left w:val="nil"/>
              <w:bottom w:val="single" w:sz="8" w:space="0" w:color="auto"/>
              <w:right w:val="single" w:sz="8" w:space="0" w:color="auto"/>
            </w:tcBorders>
            <w:shd w:val="clear" w:color="000000" w:fill="FFFFFF"/>
            <w:vAlign w:val="center"/>
            <w:hideMark/>
          </w:tcPr>
          <w:p w14:paraId="2A8BE40A" w14:textId="77777777" w:rsidR="000C5997" w:rsidRPr="008174E3" w:rsidRDefault="000C5997" w:rsidP="000C5997">
            <w:pPr>
              <w:rPr>
                <w:rFonts w:ascii="Arial" w:hAnsi="Arial" w:cs="Arial"/>
                <w:color w:val="000000"/>
                <w:sz w:val="18"/>
                <w:szCs w:val="18"/>
              </w:rPr>
            </w:pPr>
            <w:r w:rsidRPr="008174E3">
              <w:rPr>
                <w:rFonts w:ascii="Arial" w:hAnsi="Arial" w:cs="Arial"/>
                <w:color w:val="000000"/>
                <w:sz w:val="18"/>
                <w:szCs w:val="18"/>
              </w:rPr>
              <w:t>Impacto de beneficios laborales*</w:t>
            </w:r>
          </w:p>
        </w:tc>
        <w:tc>
          <w:tcPr>
            <w:tcW w:w="1210" w:type="dxa"/>
            <w:tcBorders>
              <w:top w:val="nil"/>
              <w:left w:val="nil"/>
              <w:bottom w:val="single" w:sz="8" w:space="0" w:color="auto"/>
              <w:right w:val="single" w:sz="8" w:space="0" w:color="auto"/>
            </w:tcBorders>
            <w:shd w:val="clear" w:color="000000" w:fill="FFF2CC"/>
            <w:noWrap/>
            <w:vAlign w:val="center"/>
            <w:hideMark/>
          </w:tcPr>
          <w:p w14:paraId="53B82BAC" w14:textId="346943AD" w:rsidR="000C5997" w:rsidRPr="008174E3" w:rsidRDefault="000C5997" w:rsidP="000C5997">
            <w:pPr>
              <w:jc w:val="center"/>
              <w:rPr>
                <w:rFonts w:ascii="Arial" w:hAnsi="Arial" w:cs="Arial"/>
                <w:color w:val="000000"/>
                <w:sz w:val="16"/>
                <w:szCs w:val="18"/>
              </w:rPr>
            </w:pPr>
            <w:r w:rsidRPr="008174E3">
              <w:rPr>
                <w:rFonts w:ascii="Arial" w:hAnsi="Arial" w:cs="Arial"/>
                <w:color w:val="000000"/>
                <w:sz w:val="16"/>
                <w:szCs w:val="18"/>
              </w:rPr>
              <w:t>NO</w:t>
            </w:r>
          </w:p>
        </w:tc>
        <w:tc>
          <w:tcPr>
            <w:tcW w:w="1072" w:type="dxa"/>
            <w:tcBorders>
              <w:top w:val="nil"/>
              <w:left w:val="nil"/>
              <w:bottom w:val="single" w:sz="8" w:space="0" w:color="auto"/>
              <w:right w:val="single" w:sz="8" w:space="0" w:color="auto"/>
            </w:tcBorders>
            <w:shd w:val="clear" w:color="000000" w:fill="FFFFFF"/>
            <w:noWrap/>
            <w:vAlign w:val="center"/>
            <w:hideMark/>
          </w:tcPr>
          <w:p w14:paraId="5B704FBB" w14:textId="114DF6AD" w:rsidR="000C5997" w:rsidRPr="008174E3" w:rsidRDefault="000C5997" w:rsidP="000C5997">
            <w:pPr>
              <w:jc w:val="center"/>
              <w:rPr>
                <w:rFonts w:ascii="Arial" w:hAnsi="Arial" w:cs="Arial"/>
                <w:color w:val="000000"/>
                <w:sz w:val="16"/>
                <w:szCs w:val="18"/>
              </w:rPr>
            </w:pPr>
            <w:r w:rsidRPr="008174E3">
              <w:rPr>
                <w:rFonts w:ascii="Arial" w:hAnsi="Arial" w:cs="Arial"/>
                <w:color w:val="000000"/>
                <w:sz w:val="16"/>
                <w:szCs w:val="18"/>
              </w:rPr>
              <w:t>SI</w:t>
            </w:r>
          </w:p>
        </w:tc>
        <w:tc>
          <w:tcPr>
            <w:tcW w:w="1178" w:type="dxa"/>
            <w:tcBorders>
              <w:top w:val="nil"/>
              <w:left w:val="nil"/>
              <w:bottom w:val="single" w:sz="8" w:space="0" w:color="auto"/>
              <w:right w:val="single" w:sz="8" w:space="0" w:color="auto"/>
            </w:tcBorders>
            <w:shd w:val="clear" w:color="auto" w:fill="D9D9D9" w:themeFill="background1" w:themeFillShade="D9"/>
            <w:noWrap/>
            <w:vAlign w:val="center"/>
          </w:tcPr>
          <w:p w14:paraId="7EAFA880" w14:textId="76FD09C9" w:rsidR="000C5997" w:rsidRPr="008174E3" w:rsidRDefault="000C5997" w:rsidP="000C5997">
            <w:pPr>
              <w:jc w:val="center"/>
              <w:rPr>
                <w:rFonts w:ascii="Arial" w:hAnsi="Arial" w:cs="Arial"/>
                <w:color w:val="000000"/>
                <w:sz w:val="16"/>
                <w:szCs w:val="18"/>
              </w:rPr>
            </w:pPr>
            <w:r w:rsidRPr="008174E3">
              <w:rPr>
                <w:rFonts w:ascii="Arial" w:hAnsi="Arial" w:cs="Arial"/>
                <w:color w:val="000000"/>
                <w:sz w:val="16"/>
                <w:szCs w:val="18"/>
              </w:rPr>
              <w:t>SI</w:t>
            </w:r>
          </w:p>
        </w:tc>
        <w:tc>
          <w:tcPr>
            <w:tcW w:w="1170" w:type="dxa"/>
            <w:tcBorders>
              <w:top w:val="nil"/>
              <w:left w:val="nil"/>
              <w:bottom w:val="single" w:sz="8" w:space="0" w:color="auto"/>
              <w:right w:val="single" w:sz="8" w:space="0" w:color="auto"/>
            </w:tcBorders>
            <w:shd w:val="clear" w:color="000000" w:fill="FFF2CC"/>
            <w:noWrap/>
            <w:vAlign w:val="center"/>
            <w:hideMark/>
          </w:tcPr>
          <w:p w14:paraId="33E02219" w14:textId="32DE30DF" w:rsidR="000C5997" w:rsidRPr="000C5997" w:rsidRDefault="000C5997" w:rsidP="000C5997">
            <w:pPr>
              <w:jc w:val="center"/>
              <w:rPr>
                <w:rFonts w:ascii="Arial" w:hAnsi="Arial" w:cs="Arial"/>
                <w:color w:val="000000"/>
                <w:sz w:val="16"/>
                <w:szCs w:val="18"/>
              </w:rPr>
            </w:pPr>
            <w:r w:rsidRPr="000C5997">
              <w:rPr>
                <w:rFonts w:ascii="Arial" w:hAnsi="Arial" w:cs="Arial"/>
                <w:color w:val="000000"/>
                <w:sz w:val="16"/>
                <w:szCs w:val="18"/>
              </w:rPr>
              <w:t>$6</w:t>
            </w:r>
            <w:r>
              <w:rPr>
                <w:rFonts w:ascii="Arial" w:hAnsi="Arial" w:cs="Arial"/>
                <w:color w:val="000000"/>
                <w:sz w:val="16"/>
                <w:szCs w:val="18"/>
              </w:rPr>
              <w:t>,</w:t>
            </w:r>
            <w:r w:rsidRPr="000C5997">
              <w:rPr>
                <w:rFonts w:ascii="Arial" w:hAnsi="Arial" w:cs="Arial"/>
                <w:color w:val="000000"/>
                <w:sz w:val="16"/>
                <w:szCs w:val="18"/>
              </w:rPr>
              <w:t xml:space="preserve">38 </w:t>
            </w:r>
          </w:p>
        </w:tc>
        <w:tc>
          <w:tcPr>
            <w:tcW w:w="1047" w:type="dxa"/>
            <w:tcBorders>
              <w:top w:val="nil"/>
              <w:left w:val="nil"/>
              <w:bottom w:val="single" w:sz="8" w:space="0" w:color="auto"/>
              <w:right w:val="single" w:sz="8" w:space="0" w:color="auto"/>
            </w:tcBorders>
            <w:shd w:val="clear" w:color="000000" w:fill="FFFFFF"/>
            <w:noWrap/>
            <w:vAlign w:val="center"/>
            <w:hideMark/>
          </w:tcPr>
          <w:p w14:paraId="3888ECA1" w14:textId="217F51D0" w:rsidR="000C5997" w:rsidRPr="000C5997" w:rsidRDefault="000C5997" w:rsidP="000C5997">
            <w:pPr>
              <w:jc w:val="center"/>
              <w:rPr>
                <w:rFonts w:ascii="Arial" w:hAnsi="Arial" w:cs="Arial"/>
                <w:color w:val="000000"/>
                <w:sz w:val="16"/>
                <w:szCs w:val="18"/>
              </w:rPr>
            </w:pPr>
            <w:r w:rsidRPr="000C5997">
              <w:rPr>
                <w:rFonts w:ascii="Arial" w:hAnsi="Arial" w:cs="Arial"/>
                <w:color w:val="000000"/>
                <w:sz w:val="16"/>
                <w:szCs w:val="18"/>
              </w:rPr>
              <w:t>$22</w:t>
            </w:r>
            <w:r>
              <w:rPr>
                <w:rFonts w:ascii="Arial" w:hAnsi="Arial" w:cs="Arial"/>
                <w:color w:val="000000"/>
                <w:sz w:val="16"/>
                <w:szCs w:val="18"/>
              </w:rPr>
              <w:t>,</w:t>
            </w:r>
            <w:r w:rsidRPr="000C5997">
              <w:rPr>
                <w:rFonts w:ascii="Arial" w:hAnsi="Arial" w:cs="Arial"/>
                <w:color w:val="000000"/>
                <w:sz w:val="16"/>
                <w:szCs w:val="18"/>
              </w:rPr>
              <w:t xml:space="preserve">30 </w:t>
            </w:r>
          </w:p>
        </w:tc>
        <w:tc>
          <w:tcPr>
            <w:tcW w:w="1203" w:type="dxa"/>
            <w:tcBorders>
              <w:top w:val="nil"/>
              <w:left w:val="nil"/>
              <w:bottom w:val="single" w:sz="8" w:space="0" w:color="auto"/>
              <w:right w:val="single" w:sz="8" w:space="0" w:color="auto"/>
            </w:tcBorders>
            <w:shd w:val="clear" w:color="000000" w:fill="D9D9D9"/>
            <w:noWrap/>
            <w:vAlign w:val="center"/>
            <w:hideMark/>
          </w:tcPr>
          <w:p w14:paraId="77EAA444" w14:textId="77777777" w:rsidR="000C5997" w:rsidRPr="000C5997" w:rsidRDefault="000C5997" w:rsidP="000C5997">
            <w:pPr>
              <w:jc w:val="center"/>
              <w:rPr>
                <w:rFonts w:ascii="Arial" w:hAnsi="Arial" w:cs="Arial"/>
                <w:color w:val="000000"/>
                <w:sz w:val="16"/>
                <w:szCs w:val="18"/>
              </w:rPr>
            </w:pPr>
          </w:p>
        </w:tc>
      </w:tr>
      <w:tr w:rsidR="000C5997" w:rsidRPr="008174E3" w14:paraId="041D42AF" w14:textId="77777777" w:rsidTr="000C5997">
        <w:trPr>
          <w:trHeight w:val="495"/>
        </w:trPr>
        <w:tc>
          <w:tcPr>
            <w:tcW w:w="1530" w:type="dxa"/>
            <w:vMerge/>
            <w:tcBorders>
              <w:top w:val="single" w:sz="8" w:space="0" w:color="auto"/>
              <w:left w:val="single" w:sz="8" w:space="0" w:color="auto"/>
              <w:bottom w:val="single" w:sz="4" w:space="0" w:color="auto"/>
              <w:right w:val="single" w:sz="8" w:space="0" w:color="auto"/>
            </w:tcBorders>
            <w:vAlign w:val="center"/>
            <w:hideMark/>
          </w:tcPr>
          <w:p w14:paraId="221C0941" w14:textId="77777777" w:rsidR="000C5997" w:rsidRPr="008174E3" w:rsidRDefault="000C5997" w:rsidP="000C5997">
            <w:pPr>
              <w:rPr>
                <w:rFonts w:ascii="Arial" w:hAnsi="Arial" w:cs="Arial"/>
                <w:b/>
                <w:bCs/>
                <w:color w:val="000000"/>
                <w:sz w:val="18"/>
                <w:szCs w:val="18"/>
              </w:rPr>
            </w:pPr>
          </w:p>
        </w:tc>
        <w:tc>
          <w:tcPr>
            <w:tcW w:w="2260" w:type="dxa"/>
            <w:tcBorders>
              <w:top w:val="nil"/>
              <w:left w:val="nil"/>
              <w:bottom w:val="single" w:sz="8" w:space="0" w:color="auto"/>
              <w:right w:val="single" w:sz="8" w:space="0" w:color="auto"/>
            </w:tcBorders>
            <w:shd w:val="clear" w:color="000000" w:fill="FFFFFF"/>
            <w:vAlign w:val="center"/>
            <w:hideMark/>
          </w:tcPr>
          <w:p w14:paraId="289BCA52" w14:textId="77777777" w:rsidR="000C5997" w:rsidRPr="008174E3" w:rsidRDefault="000C5997" w:rsidP="000C5997">
            <w:pPr>
              <w:rPr>
                <w:rFonts w:ascii="Arial" w:hAnsi="Arial" w:cs="Arial"/>
                <w:color w:val="000000"/>
                <w:sz w:val="18"/>
                <w:szCs w:val="18"/>
              </w:rPr>
            </w:pPr>
            <w:r w:rsidRPr="008174E3">
              <w:rPr>
                <w:rFonts w:ascii="Arial" w:hAnsi="Arial" w:cs="Arial"/>
                <w:color w:val="000000"/>
                <w:sz w:val="18"/>
                <w:szCs w:val="18"/>
              </w:rPr>
              <w:t>Efecto Desplazamiento (igual al 50% del ingreso del primer año)</w:t>
            </w:r>
          </w:p>
        </w:tc>
        <w:tc>
          <w:tcPr>
            <w:tcW w:w="1210" w:type="dxa"/>
            <w:tcBorders>
              <w:top w:val="nil"/>
              <w:left w:val="nil"/>
              <w:bottom w:val="single" w:sz="8" w:space="0" w:color="auto"/>
              <w:right w:val="single" w:sz="8" w:space="0" w:color="auto"/>
            </w:tcBorders>
            <w:shd w:val="clear" w:color="000000" w:fill="FFF2CC"/>
            <w:noWrap/>
            <w:vAlign w:val="center"/>
            <w:hideMark/>
          </w:tcPr>
          <w:p w14:paraId="7BAD7F1B" w14:textId="3451FD5A" w:rsidR="000C5997" w:rsidRPr="008174E3" w:rsidRDefault="000C5997" w:rsidP="000C5997">
            <w:pPr>
              <w:jc w:val="center"/>
              <w:rPr>
                <w:rFonts w:ascii="Arial" w:hAnsi="Arial" w:cs="Arial"/>
                <w:color w:val="000000"/>
                <w:sz w:val="16"/>
                <w:szCs w:val="18"/>
              </w:rPr>
            </w:pPr>
            <w:r w:rsidRPr="008174E3">
              <w:rPr>
                <w:rFonts w:ascii="Arial" w:hAnsi="Arial" w:cs="Arial"/>
                <w:color w:val="000000"/>
                <w:sz w:val="16"/>
                <w:szCs w:val="18"/>
              </w:rPr>
              <w:t>SI</w:t>
            </w:r>
          </w:p>
        </w:tc>
        <w:tc>
          <w:tcPr>
            <w:tcW w:w="1072" w:type="dxa"/>
            <w:tcBorders>
              <w:top w:val="nil"/>
              <w:left w:val="nil"/>
              <w:bottom w:val="single" w:sz="8" w:space="0" w:color="auto"/>
              <w:right w:val="single" w:sz="8" w:space="0" w:color="auto"/>
            </w:tcBorders>
            <w:shd w:val="clear" w:color="000000" w:fill="FFFFFF"/>
            <w:noWrap/>
            <w:vAlign w:val="center"/>
            <w:hideMark/>
          </w:tcPr>
          <w:p w14:paraId="49F22E69" w14:textId="3C31D5D9" w:rsidR="000C5997" w:rsidRPr="008174E3" w:rsidRDefault="000C5997" w:rsidP="000C5997">
            <w:pPr>
              <w:jc w:val="center"/>
              <w:rPr>
                <w:rFonts w:ascii="Arial" w:hAnsi="Arial" w:cs="Arial"/>
                <w:color w:val="000000"/>
                <w:sz w:val="16"/>
                <w:szCs w:val="18"/>
              </w:rPr>
            </w:pPr>
            <w:r w:rsidRPr="008174E3">
              <w:rPr>
                <w:rFonts w:ascii="Arial" w:hAnsi="Arial" w:cs="Arial"/>
                <w:color w:val="000000"/>
                <w:sz w:val="16"/>
                <w:szCs w:val="18"/>
              </w:rPr>
              <w:t>NO</w:t>
            </w:r>
          </w:p>
        </w:tc>
        <w:tc>
          <w:tcPr>
            <w:tcW w:w="1178" w:type="dxa"/>
            <w:tcBorders>
              <w:top w:val="nil"/>
              <w:left w:val="nil"/>
              <w:bottom w:val="single" w:sz="8" w:space="0" w:color="auto"/>
              <w:right w:val="single" w:sz="8" w:space="0" w:color="auto"/>
            </w:tcBorders>
            <w:shd w:val="clear" w:color="000000" w:fill="D9D9D9"/>
            <w:noWrap/>
            <w:vAlign w:val="center"/>
            <w:hideMark/>
          </w:tcPr>
          <w:p w14:paraId="6AEB58DE" w14:textId="77777777" w:rsidR="000C5997" w:rsidRPr="008174E3" w:rsidRDefault="000C5997" w:rsidP="000C5997">
            <w:pPr>
              <w:jc w:val="center"/>
              <w:rPr>
                <w:rFonts w:ascii="Arial" w:hAnsi="Arial" w:cs="Arial"/>
                <w:color w:val="000000"/>
                <w:sz w:val="16"/>
                <w:szCs w:val="18"/>
              </w:rPr>
            </w:pPr>
          </w:p>
        </w:tc>
        <w:tc>
          <w:tcPr>
            <w:tcW w:w="1170" w:type="dxa"/>
            <w:tcBorders>
              <w:top w:val="nil"/>
              <w:left w:val="nil"/>
              <w:bottom w:val="single" w:sz="8" w:space="0" w:color="auto"/>
              <w:right w:val="single" w:sz="8" w:space="0" w:color="auto"/>
            </w:tcBorders>
            <w:shd w:val="clear" w:color="000000" w:fill="FFF2CC"/>
            <w:noWrap/>
            <w:vAlign w:val="center"/>
            <w:hideMark/>
          </w:tcPr>
          <w:p w14:paraId="61BD3DF9" w14:textId="3835094C" w:rsidR="000C5997" w:rsidRPr="000C5997" w:rsidRDefault="000C5997" w:rsidP="000C5997">
            <w:pPr>
              <w:jc w:val="center"/>
              <w:rPr>
                <w:rFonts w:ascii="Arial" w:hAnsi="Arial" w:cs="Arial"/>
                <w:color w:val="000000"/>
                <w:sz w:val="16"/>
                <w:szCs w:val="18"/>
              </w:rPr>
            </w:pPr>
            <w:r w:rsidRPr="000C5997">
              <w:rPr>
                <w:rFonts w:ascii="Arial" w:hAnsi="Arial" w:cs="Arial"/>
                <w:color w:val="000000"/>
                <w:sz w:val="16"/>
                <w:szCs w:val="18"/>
              </w:rPr>
              <w:t>$12</w:t>
            </w:r>
            <w:r>
              <w:rPr>
                <w:rFonts w:ascii="Arial" w:hAnsi="Arial" w:cs="Arial"/>
                <w:color w:val="000000"/>
                <w:sz w:val="16"/>
                <w:szCs w:val="18"/>
              </w:rPr>
              <w:t>,</w:t>
            </w:r>
            <w:r w:rsidRPr="000C5997">
              <w:rPr>
                <w:rFonts w:ascii="Arial" w:hAnsi="Arial" w:cs="Arial"/>
                <w:color w:val="000000"/>
                <w:sz w:val="16"/>
                <w:szCs w:val="18"/>
              </w:rPr>
              <w:t xml:space="preserve">48 </w:t>
            </w:r>
          </w:p>
        </w:tc>
        <w:tc>
          <w:tcPr>
            <w:tcW w:w="1047" w:type="dxa"/>
            <w:tcBorders>
              <w:top w:val="nil"/>
              <w:left w:val="nil"/>
              <w:bottom w:val="single" w:sz="8" w:space="0" w:color="auto"/>
              <w:right w:val="single" w:sz="8" w:space="0" w:color="auto"/>
            </w:tcBorders>
            <w:shd w:val="clear" w:color="000000" w:fill="FFFFFF"/>
            <w:noWrap/>
            <w:vAlign w:val="center"/>
            <w:hideMark/>
          </w:tcPr>
          <w:p w14:paraId="33FF6714" w14:textId="0A4C3E16" w:rsidR="000C5997" w:rsidRPr="000C5997" w:rsidRDefault="000C5997" w:rsidP="000C5997">
            <w:pPr>
              <w:jc w:val="center"/>
              <w:rPr>
                <w:rFonts w:ascii="Arial" w:hAnsi="Arial" w:cs="Arial"/>
                <w:color w:val="000000"/>
                <w:sz w:val="16"/>
                <w:szCs w:val="18"/>
              </w:rPr>
            </w:pPr>
            <w:r w:rsidRPr="000C5997">
              <w:rPr>
                <w:rFonts w:ascii="Arial" w:hAnsi="Arial" w:cs="Arial"/>
                <w:color w:val="000000"/>
                <w:sz w:val="16"/>
                <w:szCs w:val="18"/>
              </w:rPr>
              <w:t>$22</w:t>
            </w:r>
            <w:r>
              <w:rPr>
                <w:rFonts w:ascii="Arial" w:hAnsi="Arial" w:cs="Arial"/>
                <w:color w:val="000000"/>
                <w:sz w:val="16"/>
                <w:szCs w:val="18"/>
              </w:rPr>
              <w:t>,</w:t>
            </w:r>
            <w:r w:rsidRPr="000C5997">
              <w:rPr>
                <w:rFonts w:ascii="Arial" w:hAnsi="Arial" w:cs="Arial"/>
                <w:color w:val="000000"/>
                <w:sz w:val="16"/>
                <w:szCs w:val="18"/>
              </w:rPr>
              <w:t xml:space="preserve">30 </w:t>
            </w:r>
          </w:p>
        </w:tc>
        <w:tc>
          <w:tcPr>
            <w:tcW w:w="1203" w:type="dxa"/>
            <w:tcBorders>
              <w:top w:val="nil"/>
              <w:left w:val="nil"/>
              <w:bottom w:val="single" w:sz="8" w:space="0" w:color="auto"/>
              <w:right w:val="single" w:sz="8" w:space="0" w:color="auto"/>
            </w:tcBorders>
            <w:shd w:val="clear" w:color="000000" w:fill="D9D9D9"/>
            <w:noWrap/>
            <w:vAlign w:val="center"/>
            <w:hideMark/>
          </w:tcPr>
          <w:p w14:paraId="68223A23" w14:textId="77777777" w:rsidR="000C5997" w:rsidRPr="000C5997" w:rsidRDefault="000C5997" w:rsidP="000C5997">
            <w:pPr>
              <w:jc w:val="center"/>
              <w:rPr>
                <w:rFonts w:ascii="Arial" w:hAnsi="Arial" w:cs="Arial"/>
                <w:color w:val="000000"/>
                <w:sz w:val="16"/>
                <w:szCs w:val="18"/>
              </w:rPr>
            </w:pPr>
          </w:p>
        </w:tc>
      </w:tr>
    </w:tbl>
    <w:p w14:paraId="4CA3920E" w14:textId="77777777" w:rsidR="00764400" w:rsidRPr="008174E3" w:rsidRDefault="00764400" w:rsidP="00C11D48">
      <w:pPr>
        <w:autoSpaceDE w:val="0"/>
        <w:autoSpaceDN w:val="0"/>
        <w:adjustRightInd w:val="0"/>
        <w:jc w:val="center"/>
        <w:rPr>
          <w:rFonts w:ascii="Arial" w:hAnsi="Arial" w:cs="Arial"/>
          <w:b/>
          <w:sz w:val="18"/>
          <w:szCs w:val="18"/>
        </w:rPr>
      </w:pPr>
    </w:p>
    <w:p w14:paraId="56CE955E" w14:textId="77777777" w:rsidR="00766A7D" w:rsidRPr="008174E3" w:rsidRDefault="00766A7D" w:rsidP="00C11D48">
      <w:pPr>
        <w:autoSpaceDE w:val="0"/>
        <w:autoSpaceDN w:val="0"/>
        <w:adjustRightInd w:val="0"/>
        <w:jc w:val="center"/>
        <w:rPr>
          <w:rFonts w:ascii="Arial" w:hAnsi="Arial" w:cs="Arial"/>
          <w:b/>
        </w:rPr>
      </w:pPr>
    </w:p>
    <w:p w14:paraId="59DCDD5A" w14:textId="0DDCAA34" w:rsidR="00B96D87" w:rsidRPr="008174E3" w:rsidRDefault="00B96D87" w:rsidP="00827E44">
      <w:pPr>
        <w:pStyle w:val="ListParagraph"/>
        <w:keepNext/>
        <w:numPr>
          <w:ilvl w:val="1"/>
          <w:numId w:val="7"/>
        </w:numPr>
        <w:spacing w:before="120"/>
        <w:jc w:val="both"/>
        <w:rPr>
          <w:rFonts w:ascii="Arial" w:hAnsi="Arial" w:cs="Arial"/>
          <w:b/>
        </w:rPr>
      </w:pPr>
      <w:r w:rsidRPr="008174E3">
        <w:rPr>
          <w:rFonts w:ascii="Arial" w:hAnsi="Arial" w:cs="Arial"/>
          <w:b/>
        </w:rPr>
        <w:t>Fortalecimiento del SNE</w:t>
      </w:r>
    </w:p>
    <w:p w14:paraId="7C0C5079" w14:textId="77777777" w:rsidR="00B96D87" w:rsidRPr="008174E3" w:rsidRDefault="00B96D87" w:rsidP="00827E44">
      <w:pPr>
        <w:pStyle w:val="ListParagraph"/>
        <w:keepNext/>
        <w:spacing w:before="120"/>
        <w:ind w:left="0"/>
        <w:jc w:val="both"/>
        <w:rPr>
          <w:rFonts w:ascii="Arial" w:hAnsi="Arial" w:cs="Arial"/>
        </w:rPr>
      </w:pPr>
    </w:p>
    <w:p w14:paraId="639699AE" w14:textId="65EDE36E" w:rsidR="00B96D87" w:rsidRPr="008174E3" w:rsidRDefault="00B96D87" w:rsidP="00827E44">
      <w:pPr>
        <w:pStyle w:val="ListParagraph"/>
        <w:keepNext/>
        <w:numPr>
          <w:ilvl w:val="0"/>
          <w:numId w:val="8"/>
        </w:numPr>
        <w:spacing w:before="120"/>
        <w:ind w:left="0"/>
        <w:jc w:val="both"/>
        <w:rPr>
          <w:rFonts w:ascii="Arial" w:hAnsi="Arial" w:cs="Arial"/>
          <w:sz w:val="22"/>
          <w:szCs w:val="22"/>
        </w:rPr>
      </w:pPr>
      <w:r w:rsidRPr="008174E3">
        <w:rPr>
          <w:rFonts w:ascii="Arial" w:hAnsi="Arial" w:cs="Arial"/>
          <w:sz w:val="22"/>
          <w:szCs w:val="22"/>
        </w:rPr>
        <w:t xml:space="preserve">Para el escenario optimista se asume </w:t>
      </w:r>
      <w:r w:rsidR="003B25F7" w:rsidRPr="008174E3">
        <w:rPr>
          <w:rFonts w:ascii="Arial" w:hAnsi="Arial" w:cs="Arial"/>
          <w:sz w:val="22"/>
          <w:szCs w:val="22"/>
        </w:rPr>
        <w:t xml:space="preserve">el </w:t>
      </w:r>
      <w:r w:rsidRPr="008174E3">
        <w:rPr>
          <w:rFonts w:ascii="Arial" w:hAnsi="Arial" w:cs="Arial"/>
          <w:sz w:val="22"/>
          <w:szCs w:val="22"/>
        </w:rPr>
        <w:t>incremento en el impacto de formalidad de 3 pp. a 3</w:t>
      </w:r>
      <w:r w:rsidR="00D8226B" w:rsidRPr="008174E3">
        <w:rPr>
          <w:rFonts w:ascii="Arial" w:hAnsi="Arial" w:cs="Arial"/>
          <w:sz w:val="22"/>
          <w:szCs w:val="22"/>
        </w:rPr>
        <w:t>,</w:t>
      </w:r>
      <w:r w:rsidRPr="008174E3">
        <w:rPr>
          <w:rFonts w:ascii="Arial" w:hAnsi="Arial" w:cs="Arial"/>
          <w:sz w:val="22"/>
          <w:szCs w:val="22"/>
        </w:rPr>
        <w:t>5</w:t>
      </w:r>
      <w:r w:rsidR="00D8226B" w:rsidRPr="008174E3">
        <w:rPr>
          <w:rFonts w:ascii="Arial" w:hAnsi="Arial" w:cs="Arial"/>
          <w:sz w:val="22"/>
          <w:szCs w:val="22"/>
        </w:rPr>
        <w:t> </w:t>
      </w:r>
      <w:r w:rsidRPr="008174E3">
        <w:rPr>
          <w:rFonts w:ascii="Arial" w:hAnsi="Arial" w:cs="Arial"/>
          <w:sz w:val="22"/>
          <w:szCs w:val="22"/>
        </w:rPr>
        <w:t>pp.</w:t>
      </w:r>
      <w:r w:rsidR="00A1557F" w:rsidRPr="008174E3">
        <w:rPr>
          <w:rFonts w:ascii="Arial" w:hAnsi="Arial" w:cs="Arial"/>
          <w:sz w:val="22"/>
          <w:szCs w:val="22"/>
        </w:rPr>
        <w:t xml:space="preserve"> para hombres y de 3</w:t>
      </w:r>
      <w:r w:rsidR="00D8226B" w:rsidRPr="008174E3">
        <w:rPr>
          <w:rFonts w:ascii="Arial" w:hAnsi="Arial" w:cs="Arial"/>
          <w:sz w:val="22"/>
          <w:szCs w:val="22"/>
        </w:rPr>
        <w:t>,</w:t>
      </w:r>
      <w:r w:rsidR="00A1557F" w:rsidRPr="008174E3">
        <w:rPr>
          <w:rFonts w:ascii="Arial" w:hAnsi="Arial" w:cs="Arial"/>
          <w:sz w:val="22"/>
          <w:szCs w:val="22"/>
        </w:rPr>
        <w:t>5 pp. a 4</w:t>
      </w:r>
      <w:r w:rsidR="00D8226B" w:rsidRPr="008174E3">
        <w:rPr>
          <w:rFonts w:ascii="Arial" w:hAnsi="Arial" w:cs="Arial"/>
          <w:sz w:val="22"/>
          <w:szCs w:val="22"/>
        </w:rPr>
        <w:t>,</w:t>
      </w:r>
      <w:r w:rsidR="00A1557F" w:rsidRPr="008174E3">
        <w:rPr>
          <w:rFonts w:ascii="Arial" w:hAnsi="Arial" w:cs="Arial"/>
          <w:sz w:val="22"/>
          <w:szCs w:val="22"/>
        </w:rPr>
        <w:t>1 pp. para mujeres</w:t>
      </w:r>
      <w:r w:rsidRPr="008174E3">
        <w:rPr>
          <w:rFonts w:ascii="Arial" w:hAnsi="Arial" w:cs="Arial"/>
          <w:sz w:val="22"/>
          <w:szCs w:val="22"/>
        </w:rPr>
        <w:t xml:space="preserve"> (un incremento de 16% en el impacto esperado), siendo que este impacto es </w:t>
      </w:r>
      <w:r w:rsidR="00251B1A" w:rsidRPr="008174E3">
        <w:rPr>
          <w:rFonts w:ascii="Arial" w:hAnsi="Arial" w:cs="Arial"/>
          <w:sz w:val="22"/>
          <w:szCs w:val="22"/>
        </w:rPr>
        <w:t>todavía</w:t>
      </w:r>
      <w:r w:rsidRPr="008174E3">
        <w:rPr>
          <w:rFonts w:ascii="Arial" w:hAnsi="Arial" w:cs="Arial"/>
          <w:sz w:val="22"/>
          <w:szCs w:val="22"/>
        </w:rPr>
        <w:t xml:space="preserve"> conservador y se encuentra por debajo de los resultados encontrados en la literatura. Con este nuevo impacto, se </w:t>
      </w:r>
      <w:r w:rsidR="003B25F7" w:rsidRPr="008174E3">
        <w:rPr>
          <w:rFonts w:ascii="Arial" w:hAnsi="Arial" w:cs="Arial"/>
          <w:sz w:val="22"/>
          <w:szCs w:val="22"/>
        </w:rPr>
        <w:t xml:space="preserve">obtiene que el </w:t>
      </w:r>
      <w:r w:rsidRPr="008174E3">
        <w:rPr>
          <w:rFonts w:ascii="Arial" w:hAnsi="Arial" w:cs="Arial"/>
          <w:sz w:val="22"/>
          <w:szCs w:val="22"/>
        </w:rPr>
        <w:t xml:space="preserve">VPN del </w:t>
      </w:r>
      <w:r w:rsidR="00814B75" w:rsidRPr="008174E3">
        <w:rPr>
          <w:rFonts w:ascii="Arial" w:hAnsi="Arial" w:cs="Arial"/>
          <w:sz w:val="22"/>
          <w:szCs w:val="22"/>
        </w:rPr>
        <w:t xml:space="preserve">componente se incrementa a </w:t>
      </w:r>
      <w:r w:rsidR="00D8226B" w:rsidRPr="008174E3">
        <w:rPr>
          <w:rFonts w:ascii="Arial" w:hAnsi="Arial" w:cs="Arial"/>
          <w:sz w:val="22"/>
          <w:szCs w:val="22"/>
        </w:rPr>
        <w:t>US$</w:t>
      </w:r>
      <w:r w:rsidR="000C5997">
        <w:rPr>
          <w:rFonts w:ascii="Arial" w:hAnsi="Arial" w:cs="Arial"/>
          <w:sz w:val="22"/>
          <w:szCs w:val="22"/>
        </w:rPr>
        <w:t>86</w:t>
      </w:r>
      <w:r w:rsidR="009D1FD8" w:rsidRPr="008174E3">
        <w:rPr>
          <w:rFonts w:ascii="Arial" w:hAnsi="Arial" w:cs="Arial"/>
          <w:sz w:val="22"/>
          <w:szCs w:val="22"/>
        </w:rPr>
        <w:t>,</w:t>
      </w:r>
      <w:r w:rsidR="000C5997">
        <w:rPr>
          <w:rFonts w:ascii="Arial" w:hAnsi="Arial" w:cs="Arial"/>
          <w:sz w:val="22"/>
          <w:szCs w:val="22"/>
        </w:rPr>
        <w:t>03</w:t>
      </w:r>
      <w:r w:rsidRPr="008174E3">
        <w:rPr>
          <w:rFonts w:ascii="Arial" w:hAnsi="Arial" w:cs="Arial"/>
          <w:sz w:val="22"/>
          <w:szCs w:val="22"/>
        </w:rPr>
        <w:t xml:space="preserve"> millones. La segunda opción </w:t>
      </w:r>
      <w:r w:rsidR="00814B75" w:rsidRPr="008174E3">
        <w:rPr>
          <w:rFonts w:ascii="Arial" w:hAnsi="Arial" w:cs="Arial"/>
          <w:sz w:val="22"/>
          <w:szCs w:val="22"/>
        </w:rPr>
        <w:t>p</w:t>
      </w:r>
      <w:r w:rsidR="003B25F7" w:rsidRPr="008174E3">
        <w:rPr>
          <w:rFonts w:ascii="Arial" w:hAnsi="Arial" w:cs="Arial"/>
          <w:sz w:val="22"/>
          <w:szCs w:val="22"/>
        </w:rPr>
        <w:t xml:space="preserve">ara el escenario </w:t>
      </w:r>
      <w:r w:rsidR="004918CB" w:rsidRPr="008174E3">
        <w:rPr>
          <w:rFonts w:ascii="Arial" w:hAnsi="Arial" w:cs="Arial"/>
          <w:sz w:val="22"/>
          <w:szCs w:val="22"/>
        </w:rPr>
        <w:t>optimista</w:t>
      </w:r>
      <w:r w:rsidR="003B25F7" w:rsidRPr="008174E3">
        <w:rPr>
          <w:rFonts w:ascii="Arial" w:hAnsi="Arial" w:cs="Arial"/>
          <w:sz w:val="22"/>
          <w:szCs w:val="22"/>
        </w:rPr>
        <w:t xml:space="preserve"> implica </w:t>
      </w:r>
      <w:r w:rsidR="00814B75" w:rsidRPr="008174E3">
        <w:rPr>
          <w:rFonts w:ascii="Arial" w:hAnsi="Arial" w:cs="Arial"/>
          <w:sz w:val="22"/>
          <w:szCs w:val="22"/>
        </w:rPr>
        <w:t xml:space="preserve">que el impacto asociado a formalidad es </w:t>
      </w:r>
      <w:r w:rsidR="003B25F7" w:rsidRPr="008174E3">
        <w:rPr>
          <w:rFonts w:ascii="Arial" w:hAnsi="Arial" w:cs="Arial"/>
          <w:sz w:val="22"/>
          <w:szCs w:val="22"/>
        </w:rPr>
        <w:t xml:space="preserve">mayor al definido en </w:t>
      </w:r>
      <w:r w:rsidR="00827E44" w:rsidRPr="008174E3">
        <w:rPr>
          <w:rFonts w:ascii="Arial" w:hAnsi="Arial" w:cs="Arial"/>
          <w:sz w:val="22"/>
          <w:szCs w:val="22"/>
        </w:rPr>
        <w:t>el Cuadro </w:t>
      </w:r>
      <w:r w:rsidR="003B25F7" w:rsidRPr="008174E3">
        <w:rPr>
          <w:rFonts w:ascii="Arial" w:hAnsi="Arial" w:cs="Arial"/>
          <w:sz w:val="22"/>
          <w:szCs w:val="22"/>
        </w:rPr>
        <w:t xml:space="preserve">2 e </w:t>
      </w:r>
      <w:r w:rsidR="00814B75" w:rsidRPr="008174E3">
        <w:rPr>
          <w:rFonts w:ascii="Arial" w:hAnsi="Arial" w:cs="Arial"/>
          <w:sz w:val="22"/>
          <w:szCs w:val="22"/>
        </w:rPr>
        <w:t>igual a 28% del ingreso laboral de referencia. Ante este cambio se encuentra que el</w:t>
      </w:r>
      <w:r w:rsidR="00A1557F" w:rsidRPr="008174E3">
        <w:rPr>
          <w:rFonts w:ascii="Arial" w:hAnsi="Arial" w:cs="Arial"/>
          <w:sz w:val="22"/>
          <w:szCs w:val="22"/>
        </w:rPr>
        <w:t xml:space="preserve"> VPN del componente es igual a </w:t>
      </w:r>
      <w:r w:rsidR="00D8226B" w:rsidRPr="008174E3">
        <w:rPr>
          <w:rFonts w:ascii="Arial" w:hAnsi="Arial" w:cs="Arial"/>
          <w:sz w:val="22"/>
          <w:szCs w:val="22"/>
        </w:rPr>
        <w:t>US$</w:t>
      </w:r>
      <w:r w:rsidR="000F77AF">
        <w:rPr>
          <w:rFonts w:ascii="Arial" w:hAnsi="Arial" w:cs="Arial"/>
          <w:sz w:val="22"/>
          <w:szCs w:val="22"/>
        </w:rPr>
        <w:t>82</w:t>
      </w:r>
      <w:r w:rsidR="00A1557F" w:rsidRPr="008174E3">
        <w:rPr>
          <w:rFonts w:ascii="Arial" w:hAnsi="Arial" w:cs="Arial"/>
          <w:sz w:val="22"/>
          <w:szCs w:val="22"/>
        </w:rPr>
        <w:t>,</w:t>
      </w:r>
      <w:r w:rsidR="000F77AF">
        <w:rPr>
          <w:rFonts w:ascii="Arial" w:hAnsi="Arial" w:cs="Arial"/>
          <w:sz w:val="22"/>
          <w:szCs w:val="22"/>
        </w:rPr>
        <w:t>83</w:t>
      </w:r>
      <w:r w:rsidR="00814B75" w:rsidRPr="008174E3">
        <w:rPr>
          <w:rFonts w:ascii="Arial" w:hAnsi="Arial" w:cs="Arial"/>
          <w:sz w:val="22"/>
          <w:szCs w:val="22"/>
        </w:rPr>
        <w:t xml:space="preserve"> millones</w:t>
      </w:r>
      <w:r w:rsidR="0057334C" w:rsidRPr="008174E3">
        <w:rPr>
          <w:rFonts w:ascii="Arial" w:hAnsi="Arial" w:cs="Arial"/>
          <w:sz w:val="22"/>
          <w:szCs w:val="22"/>
        </w:rPr>
        <w:t xml:space="preserve">. </w:t>
      </w:r>
      <w:r w:rsidR="003B25F7" w:rsidRPr="008174E3">
        <w:rPr>
          <w:rFonts w:ascii="Arial" w:hAnsi="Arial" w:cs="Arial"/>
          <w:sz w:val="22"/>
          <w:szCs w:val="22"/>
        </w:rPr>
        <w:t xml:space="preserve">Por </w:t>
      </w:r>
      <w:r w:rsidR="00090F38" w:rsidRPr="008174E3">
        <w:rPr>
          <w:rFonts w:ascii="Arial" w:hAnsi="Arial" w:cs="Arial"/>
          <w:sz w:val="22"/>
          <w:szCs w:val="22"/>
        </w:rPr>
        <w:t>último,</w:t>
      </w:r>
      <w:r w:rsidR="003B25F7" w:rsidRPr="008174E3">
        <w:rPr>
          <w:rFonts w:ascii="Arial" w:hAnsi="Arial" w:cs="Arial"/>
          <w:sz w:val="22"/>
          <w:szCs w:val="22"/>
        </w:rPr>
        <w:t xml:space="preserve"> se presenta el VPN del componente ante un costo de </w:t>
      </w:r>
      <w:r w:rsidR="003B25F7" w:rsidRPr="008174E3">
        <w:rPr>
          <w:rFonts w:ascii="Arial" w:hAnsi="Arial" w:cs="Arial"/>
          <w:sz w:val="22"/>
          <w:szCs w:val="22"/>
        </w:rPr>
        <w:lastRenderedPageBreak/>
        <w:t xml:space="preserve">oportunidad de tan solo </w:t>
      </w:r>
      <w:r w:rsidRPr="008174E3">
        <w:rPr>
          <w:rFonts w:ascii="Arial" w:hAnsi="Arial" w:cs="Arial"/>
          <w:sz w:val="22"/>
          <w:szCs w:val="22"/>
        </w:rPr>
        <w:t xml:space="preserve">un día de perdida de trabajo, bajo este nuevo supuesto el </w:t>
      </w:r>
      <w:r w:rsidR="00251B1A" w:rsidRPr="008174E3">
        <w:rPr>
          <w:rFonts w:ascii="Arial" w:hAnsi="Arial" w:cs="Arial"/>
          <w:sz w:val="22"/>
          <w:szCs w:val="22"/>
        </w:rPr>
        <w:t>impacto</w:t>
      </w:r>
      <w:r w:rsidRPr="008174E3">
        <w:rPr>
          <w:rFonts w:ascii="Arial" w:hAnsi="Arial" w:cs="Arial"/>
          <w:sz w:val="22"/>
          <w:szCs w:val="22"/>
        </w:rPr>
        <w:t xml:space="preserve"> del componente en VPN se incrementa a </w:t>
      </w:r>
      <w:r w:rsidR="00D8226B" w:rsidRPr="008174E3">
        <w:rPr>
          <w:rFonts w:ascii="Arial" w:hAnsi="Arial" w:cs="Arial"/>
          <w:sz w:val="22"/>
          <w:szCs w:val="22"/>
        </w:rPr>
        <w:t>US$</w:t>
      </w:r>
      <w:r w:rsidR="000F77AF">
        <w:rPr>
          <w:rFonts w:ascii="Arial" w:hAnsi="Arial" w:cs="Arial"/>
          <w:sz w:val="22"/>
          <w:szCs w:val="22"/>
        </w:rPr>
        <w:t>89</w:t>
      </w:r>
      <w:r w:rsidR="00A1557F" w:rsidRPr="008174E3">
        <w:rPr>
          <w:rFonts w:ascii="Arial" w:hAnsi="Arial" w:cs="Arial"/>
          <w:sz w:val="22"/>
          <w:szCs w:val="22"/>
        </w:rPr>
        <w:t>,</w:t>
      </w:r>
      <w:r w:rsidR="000F77AF">
        <w:rPr>
          <w:rFonts w:ascii="Arial" w:hAnsi="Arial" w:cs="Arial"/>
          <w:sz w:val="22"/>
          <w:szCs w:val="22"/>
        </w:rPr>
        <w:t>77</w:t>
      </w:r>
      <w:r w:rsidRPr="008174E3">
        <w:rPr>
          <w:rFonts w:ascii="Arial" w:hAnsi="Arial" w:cs="Arial"/>
          <w:sz w:val="22"/>
          <w:szCs w:val="22"/>
        </w:rPr>
        <w:t xml:space="preserve"> millones. </w:t>
      </w:r>
    </w:p>
    <w:p w14:paraId="5AFDD580" w14:textId="77777777" w:rsidR="00B96D87" w:rsidRPr="008174E3" w:rsidRDefault="00B96D87" w:rsidP="00B96D87">
      <w:pPr>
        <w:pStyle w:val="ListParagraph"/>
        <w:spacing w:before="120"/>
        <w:ind w:left="0"/>
        <w:jc w:val="both"/>
        <w:rPr>
          <w:rFonts w:ascii="Arial" w:hAnsi="Arial" w:cs="Arial"/>
          <w:sz w:val="22"/>
          <w:szCs w:val="22"/>
        </w:rPr>
      </w:pPr>
    </w:p>
    <w:p w14:paraId="39D2E844" w14:textId="3272DCA2" w:rsidR="0057334C" w:rsidRPr="000F77AF" w:rsidRDefault="00B96D87" w:rsidP="00796D46">
      <w:pPr>
        <w:pStyle w:val="ListParagraph"/>
        <w:numPr>
          <w:ilvl w:val="0"/>
          <w:numId w:val="8"/>
        </w:numPr>
        <w:autoSpaceDE w:val="0"/>
        <w:autoSpaceDN w:val="0"/>
        <w:adjustRightInd w:val="0"/>
        <w:spacing w:before="120" w:after="200" w:line="276" w:lineRule="auto"/>
        <w:ind w:left="0"/>
        <w:jc w:val="both"/>
        <w:rPr>
          <w:rFonts w:ascii="Arial" w:hAnsi="Arial" w:cs="Arial"/>
          <w:b/>
          <w:sz w:val="22"/>
          <w:szCs w:val="22"/>
        </w:rPr>
      </w:pPr>
      <w:r w:rsidRPr="008174E3">
        <w:rPr>
          <w:rFonts w:ascii="Arial" w:hAnsi="Arial" w:cs="Arial"/>
          <w:sz w:val="22"/>
          <w:szCs w:val="22"/>
        </w:rPr>
        <w:t xml:space="preserve">Para </w:t>
      </w:r>
      <w:r w:rsidR="00814B75" w:rsidRPr="008174E3">
        <w:rPr>
          <w:rFonts w:ascii="Arial" w:hAnsi="Arial" w:cs="Arial"/>
          <w:sz w:val="22"/>
          <w:szCs w:val="22"/>
        </w:rPr>
        <w:t xml:space="preserve">los </w:t>
      </w:r>
      <w:r w:rsidRPr="008174E3">
        <w:rPr>
          <w:rFonts w:ascii="Arial" w:hAnsi="Arial" w:cs="Arial"/>
          <w:sz w:val="22"/>
          <w:szCs w:val="22"/>
        </w:rPr>
        <w:t>escenario</w:t>
      </w:r>
      <w:r w:rsidR="00D1223E" w:rsidRPr="008174E3">
        <w:rPr>
          <w:rFonts w:ascii="Arial" w:hAnsi="Arial" w:cs="Arial"/>
          <w:sz w:val="22"/>
          <w:szCs w:val="22"/>
        </w:rPr>
        <w:t>s</w:t>
      </w:r>
      <w:r w:rsidRPr="008174E3">
        <w:rPr>
          <w:rFonts w:ascii="Arial" w:hAnsi="Arial" w:cs="Arial"/>
          <w:sz w:val="22"/>
          <w:szCs w:val="22"/>
        </w:rPr>
        <w:t xml:space="preserve"> pesimista</w:t>
      </w:r>
      <w:r w:rsidR="00814B75" w:rsidRPr="008174E3">
        <w:rPr>
          <w:rFonts w:ascii="Arial" w:hAnsi="Arial" w:cs="Arial"/>
          <w:sz w:val="22"/>
          <w:szCs w:val="22"/>
        </w:rPr>
        <w:t>s</w:t>
      </w:r>
      <w:r w:rsidRPr="008174E3">
        <w:rPr>
          <w:rFonts w:ascii="Arial" w:hAnsi="Arial" w:cs="Arial"/>
          <w:sz w:val="22"/>
          <w:szCs w:val="22"/>
        </w:rPr>
        <w:t xml:space="preserve"> </w:t>
      </w:r>
      <w:r w:rsidR="00814B75" w:rsidRPr="008174E3">
        <w:rPr>
          <w:rFonts w:ascii="Arial" w:hAnsi="Arial" w:cs="Arial"/>
          <w:sz w:val="22"/>
          <w:szCs w:val="22"/>
        </w:rPr>
        <w:t xml:space="preserve">planteados </w:t>
      </w:r>
      <w:r w:rsidRPr="008174E3">
        <w:rPr>
          <w:rFonts w:ascii="Arial" w:hAnsi="Arial" w:cs="Arial"/>
          <w:sz w:val="22"/>
          <w:szCs w:val="22"/>
        </w:rPr>
        <w:t xml:space="preserve">se asume </w:t>
      </w:r>
      <w:r w:rsidR="00814B75" w:rsidRPr="008174E3">
        <w:rPr>
          <w:rFonts w:ascii="Arial" w:hAnsi="Arial" w:cs="Arial"/>
          <w:sz w:val="22"/>
          <w:szCs w:val="22"/>
        </w:rPr>
        <w:t xml:space="preserve">primero </w:t>
      </w:r>
      <w:r w:rsidRPr="008174E3">
        <w:rPr>
          <w:rFonts w:ascii="Arial" w:hAnsi="Arial" w:cs="Arial"/>
          <w:sz w:val="22"/>
          <w:szCs w:val="22"/>
        </w:rPr>
        <w:t xml:space="preserve">un decrecimiento en el impacto esperado </w:t>
      </w:r>
      <w:r w:rsidR="00090F38" w:rsidRPr="008174E3">
        <w:rPr>
          <w:rFonts w:ascii="Arial" w:hAnsi="Arial" w:cs="Arial"/>
          <w:sz w:val="22"/>
          <w:szCs w:val="22"/>
        </w:rPr>
        <w:t xml:space="preserve">en </w:t>
      </w:r>
      <w:r w:rsidRPr="008174E3">
        <w:rPr>
          <w:rFonts w:ascii="Arial" w:hAnsi="Arial" w:cs="Arial"/>
          <w:sz w:val="22"/>
          <w:szCs w:val="22"/>
        </w:rPr>
        <w:t>formalidad de 3 pp. a 2</w:t>
      </w:r>
      <w:r w:rsidR="00D8226B" w:rsidRPr="008174E3">
        <w:rPr>
          <w:rFonts w:ascii="Arial" w:hAnsi="Arial" w:cs="Arial"/>
          <w:sz w:val="22"/>
          <w:szCs w:val="22"/>
        </w:rPr>
        <w:t>,</w:t>
      </w:r>
      <w:r w:rsidRPr="008174E3">
        <w:rPr>
          <w:rFonts w:ascii="Arial" w:hAnsi="Arial" w:cs="Arial"/>
          <w:sz w:val="22"/>
          <w:szCs w:val="22"/>
        </w:rPr>
        <w:t>5 pp.</w:t>
      </w:r>
      <w:r w:rsidR="00A1557F" w:rsidRPr="008174E3">
        <w:rPr>
          <w:rFonts w:ascii="Arial" w:hAnsi="Arial" w:cs="Arial"/>
          <w:sz w:val="22"/>
          <w:szCs w:val="22"/>
        </w:rPr>
        <w:t xml:space="preserve"> para hombres y de 3</w:t>
      </w:r>
      <w:r w:rsidR="00D8226B" w:rsidRPr="008174E3">
        <w:rPr>
          <w:rFonts w:ascii="Arial" w:hAnsi="Arial" w:cs="Arial"/>
          <w:sz w:val="22"/>
          <w:szCs w:val="22"/>
        </w:rPr>
        <w:t>,</w:t>
      </w:r>
      <w:r w:rsidR="00A1557F" w:rsidRPr="008174E3">
        <w:rPr>
          <w:rFonts w:ascii="Arial" w:hAnsi="Arial" w:cs="Arial"/>
          <w:sz w:val="22"/>
          <w:szCs w:val="22"/>
        </w:rPr>
        <w:t>5 pp. a 2</w:t>
      </w:r>
      <w:r w:rsidR="00D8226B" w:rsidRPr="008174E3">
        <w:rPr>
          <w:rFonts w:ascii="Arial" w:hAnsi="Arial" w:cs="Arial"/>
          <w:sz w:val="22"/>
          <w:szCs w:val="22"/>
        </w:rPr>
        <w:t>,</w:t>
      </w:r>
      <w:r w:rsidR="00A1557F" w:rsidRPr="008174E3">
        <w:rPr>
          <w:rFonts w:ascii="Arial" w:hAnsi="Arial" w:cs="Arial"/>
          <w:sz w:val="22"/>
          <w:szCs w:val="22"/>
        </w:rPr>
        <w:t>9 pp. para mujeres</w:t>
      </w:r>
      <w:r w:rsidRPr="008174E3">
        <w:rPr>
          <w:rFonts w:ascii="Arial" w:hAnsi="Arial" w:cs="Arial"/>
          <w:sz w:val="22"/>
          <w:szCs w:val="22"/>
        </w:rPr>
        <w:t>, los resultados muestran un impacto todav</w:t>
      </w:r>
      <w:r w:rsidR="00A1557F" w:rsidRPr="008174E3">
        <w:rPr>
          <w:rFonts w:ascii="Arial" w:hAnsi="Arial" w:cs="Arial"/>
          <w:sz w:val="22"/>
          <w:szCs w:val="22"/>
        </w:rPr>
        <w:t xml:space="preserve">ía positivo del componente de </w:t>
      </w:r>
      <w:r w:rsidR="00D8226B" w:rsidRPr="008174E3">
        <w:rPr>
          <w:rFonts w:ascii="Arial" w:hAnsi="Arial" w:cs="Arial"/>
          <w:sz w:val="22"/>
          <w:szCs w:val="22"/>
        </w:rPr>
        <w:t>US$</w:t>
      </w:r>
      <w:r w:rsidR="000F77AF">
        <w:rPr>
          <w:rFonts w:ascii="Arial" w:hAnsi="Arial" w:cs="Arial"/>
          <w:sz w:val="22"/>
          <w:szCs w:val="22"/>
        </w:rPr>
        <w:t>38</w:t>
      </w:r>
      <w:r w:rsidRPr="008174E3">
        <w:rPr>
          <w:rFonts w:ascii="Arial" w:hAnsi="Arial" w:cs="Arial"/>
          <w:sz w:val="22"/>
          <w:szCs w:val="22"/>
        </w:rPr>
        <w:t>,</w:t>
      </w:r>
      <w:r w:rsidR="000F77AF">
        <w:rPr>
          <w:rFonts w:ascii="Arial" w:hAnsi="Arial" w:cs="Arial"/>
          <w:sz w:val="22"/>
          <w:szCs w:val="22"/>
        </w:rPr>
        <w:t>34</w:t>
      </w:r>
      <w:r w:rsidRPr="008174E3">
        <w:rPr>
          <w:rFonts w:ascii="Arial" w:hAnsi="Arial" w:cs="Arial"/>
          <w:sz w:val="22"/>
          <w:szCs w:val="22"/>
        </w:rPr>
        <w:t xml:space="preserve"> millones. </w:t>
      </w:r>
      <w:r w:rsidR="00A1557F" w:rsidRPr="008174E3">
        <w:rPr>
          <w:rFonts w:ascii="Arial" w:hAnsi="Arial" w:cs="Arial"/>
          <w:sz w:val="22"/>
          <w:szCs w:val="22"/>
        </w:rPr>
        <w:t xml:space="preserve">Segundo, se analiza que el impacto asociado a formalidad es menor al definido en </w:t>
      </w:r>
      <w:r w:rsidR="00827E44" w:rsidRPr="008174E3">
        <w:rPr>
          <w:rFonts w:ascii="Arial" w:hAnsi="Arial" w:cs="Arial"/>
          <w:sz w:val="22"/>
          <w:szCs w:val="22"/>
        </w:rPr>
        <w:t>el Cuadro </w:t>
      </w:r>
      <w:r w:rsidR="00A1557F" w:rsidRPr="008174E3">
        <w:rPr>
          <w:rFonts w:ascii="Arial" w:hAnsi="Arial" w:cs="Arial"/>
          <w:sz w:val="22"/>
          <w:szCs w:val="22"/>
        </w:rPr>
        <w:t xml:space="preserve">2 e igual a 20% del ingreso laboral de referencia, bajo este escenario el VPN del componente es positivo de </w:t>
      </w:r>
      <w:r w:rsidR="00D8226B" w:rsidRPr="008174E3">
        <w:rPr>
          <w:rFonts w:ascii="Arial" w:hAnsi="Arial" w:cs="Arial"/>
          <w:sz w:val="22"/>
          <w:szCs w:val="22"/>
        </w:rPr>
        <w:t>US$</w:t>
      </w:r>
      <w:r w:rsidR="000F77AF">
        <w:rPr>
          <w:rFonts w:ascii="Arial" w:hAnsi="Arial" w:cs="Arial"/>
          <w:sz w:val="22"/>
          <w:szCs w:val="22"/>
        </w:rPr>
        <w:t>41</w:t>
      </w:r>
      <w:r w:rsidR="00A1557F" w:rsidRPr="008174E3">
        <w:rPr>
          <w:rFonts w:ascii="Arial" w:hAnsi="Arial" w:cs="Arial"/>
          <w:sz w:val="22"/>
          <w:szCs w:val="22"/>
        </w:rPr>
        <w:t>,</w:t>
      </w:r>
      <w:r w:rsidR="000F77AF">
        <w:rPr>
          <w:rFonts w:ascii="Arial" w:hAnsi="Arial" w:cs="Arial"/>
          <w:sz w:val="22"/>
          <w:szCs w:val="22"/>
        </w:rPr>
        <w:t>54</w:t>
      </w:r>
      <w:r w:rsidR="00A1557F" w:rsidRPr="008174E3">
        <w:rPr>
          <w:rFonts w:ascii="Arial" w:hAnsi="Arial" w:cs="Arial"/>
          <w:sz w:val="22"/>
          <w:szCs w:val="22"/>
        </w:rPr>
        <w:t xml:space="preserve"> millones. Tercero</w:t>
      </w:r>
      <w:r w:rsidR="00814B75" w:rsidRPr="008174E3">
        <w:rPr>
          <w:rFonts w:ascii="Arial" w:hAnsi="Arial" w:cs="Arial"/>
          <w:sz w:val="22"/>
          <w:szCs w:val="22"/>
        </w:rPr>
        <w:t xml:space="preserve">, se asume un incremento en </w:t>
      </w:r>
      <w:r w:rsidRPr="008174E3">
        <w:rPr>
          <w:rFonts w:ascii="Arial" w:hAnsi="Arial" w:cs="Arial"/>
          <w:sz w:val="22"/>
          <w:szCs w:val="22"/>
        </w:rPr>
        <w:t xml:space="preserve">el costo de oportunidad </w:t>
      </w:r>
      <w:r w:rsidR="00814B75" w:rsidRPr="008174E3">
        <w:rPr>
          <w:rFonts w:ascii="Arial" w:hAnsi="Arial" w:cs="Arial"/>
          <w:sz w:val="22"/>
          <w:szCs w:val="22"/>
        </w:rPr>
        <w:t xml:space="preserve">estimado que pasa </w:t>
      </w:r>
      <w:r w:rsidRPr="008174E3">
        <w:rPr>
          <w:rFonts w:ascii="Arial" w:hAnsi="Arial" w:cs="Arial"/>
          <w:sz w:val="22"/>
          <w:szCs w:val="22"/>
        </w:rPr>
        <w:t>de 2 a 3 días de p</w:t>
      </w:r>
      <w:r w:rsidR="00D8226B" w:rsidRPr="008174E3">
        <w:rPr>
          <w:rFonts w:ascii="Arial" w:hAnsi="Arial" w:cs="Arial"/>
          <w:sz w:val="22"/>
          <w:szCs w:val="22"/>
        </w:rPr>
        <w:t>é</w:t>
      </w:r>
      <w:r w:rsidRPr="008174E3">
        <w:rPr>
          <w:rFonts w:ascii="Arial" w:hAnsi="Arial" w:cs="Arial"/>
          <w:sz w:val="22"/>
          <w:szCs w:val="22"/>
        </w:rPr>
        <w:t xml:space="preserve">rdida de ingreso, el VPN del componente </w:t>
      </w:r>
      <w:r w:rsidR="00814B75" w:rsidRPr="008174E3">
        <w:rPr>
          <w:rFonts w:ascii="Arial" w:hAnsi="Arial" w:cs="Arial"/>
          <w:sz w:val="22"/>
          <w:szCs w:val="22"/>
        </w:rPr>
        <w:t xml:space="preserve">es todavía positivo y equivale a </w:t>
      </w:r>
      <w:r w:rsidR="00D8226B" w:rsidRPr="008174E3">
        <w:rPr>
          <w:rFonts w:ascii="Arial" w:hAnsi="Arial" w:cs="Arial"/>
          <w:sz w:val="22"/>
          <w:szCs w:val="22"/>
        </w:rPr>
        <w:t>US$</w:t>
      </w:r>
      <w:r w:rsidR="000F77AF">
        <w:rPr>
          <w:rFonts w:ascii="Arial" w:hAnsi="Arial" w:cs="Arial"/>
          <w:sz w:val="22"/>
          <w:szCs w:val="22"/>
        </w:rPr>
        <w:t>34</w:t>
      </w:r>
      <w:r w:rsidR="00A1557F" w:rsidRPr="008174E3">
        <w:rPr>
          <w:rFonts w:ascii="Arial" w:hAnsi="Arial" w:cs="Arial"/>
          <w:sz w:val="22"/>
          <w:szCs w:val="22"/>
        </w:rPr>
        <w:t>,</w:t>
      </w:r>
      <w:r w:rsidR="000F77AF">
        <w:rPr>
          <w:rFonts w:ascii="Arial" w:hAnsi="Arial" w:cs="Arial"/>
          <w:sz w:val="22"/>
          <w:szCs w:val="22"/>
        </w:rPr>
        <w:t>60</w:t>
      </w:r>
      <w:r w:rsidRPr="008174E3">
        <w:rPr>
          <w:rFonts w:ascii="Arial" w:hAnsi="Arial" w:cs="Arial"/>
          <w:sz w:val="22"/>
          <w:szCs w:val="22"/>
        </w:rPr>
        <w:t xml:space="preserve"> millones. </w:t>
      </w:r>
      <w:r w:rsidR="00A1557F" w:rsidRPr="008174E3">
        <w:rPr>
          <w:rFonts w:ascii="Arial" w:hAnsi="Arial" w:cs="Arial"/>
          <w:sz w:val="22"/>
          <w:szCs w:val="22"/>
        </w:rPr>
        <w:t>Seguidamente</w:t>
      </w:r>
      <w:r w:rsidR="00D1223E" w:rsidRPr="008174E3">
        <w:rPr>
          <w:rFonts w:ascii="Arial" w:hAnsi="Arial" w:cs="Arial"/>
          <w:sz w:val="22"/>
          <w:szCs w:val="22"/>
        </w:rPr>
        <w:t xml:space="preserve">, se asume que no existen impactos asociados al acceso a beneficios laborales como son vacaciones y aguinaldo. Bajo este escenario el VPN del componente permanece </w:t>
      </w:r>
      <w:r w:rsidR="00090F38" w:rsidRPr="008174E3">
        <w:rPr>
          <w:rFonts w:ascii="Arial" w:hAnsi="Arial" w:cs="Arial"/>
          <w:sz w:val="22"/>
          <w:szCs w:val="22"/>
        </w:rPr>
        <w:t xml:space="preserve">positivo </w:t>
      </w:r>
      <w:r w:rsidR="00A1557F" w:rsidRPr="008174E3">
        <w:rPr>
          <w:rFonts w:ascii="Arial" w:hAnsi="Arial" w:cs="Arial"/>
          <w:sz w:val="22"/>
          <w:szCs w:val="22"/>
        </w:rPr>
        <w:t xml:space="preserve">y es igual a </w:t>
      </w:r>
      <w:r w:rsidR="00D8226B" w:rsidRPr="008174E3">
        <w:rPr>
          <w:rFonts w:ascii="Arial" w:hAnsi="Arial" w:cs="Arial"/>
          <w:sz w:val="22"/>
          <w:szCs w:val="22"/>
        </w:rPr>
        <w:t>US$</w:t>
      </w:r>
      <w:r w:rsidR="000F77AF">
        <w:rPr>
          <w:rFonts w:ascii="Arial" w:hAnsi="Arial" w:cs="Arial"/>
          <w:sz w:val="22"/>
          <w:szCs w:val="22"/>
        </w:rPr>
        <w:t>44</w:t>
      </w:r>
      <w:r w:rsidR="00D1223E" w:rsidRPr="008174E3">
        <w:rPr>
          <w:rFonts w:ascii="Arial" w:hAnsi="Arial" w:cs="Arial"/>
          <w:sz w:val="22"/>
          <w:szCs w:val="22"/>
        </w:rPr>
        <w:t>,</w:t>
      </w:r>
      <w:r w:rsidR="000F77AF">
        <w:rPr>
          <w:rFonts w:ascii="Arial" w:hAnsi="Arial" w:cs="Arial"/>
          <w:sz w:val="22"/>
          <w:szCs w:val="22"/>
        </w:rPr>
        <w:t>47</w:t>
      </w:r>
      <w:r w:rsidR="00D8226B" w:rsidRPr="008174E3">
        <w:rPr>
          <w:rFonts w:ascii="Arial" w:hAnsi="Arial" w:cs="Arial"/>
          <w:sz w:val="22"/>
          <w:szCs w:val="22"/>
        </w:rPr>
        <w:t> </w:t>
      </w:r>
      <w:r w:rsidR="00D1223E" w:rsidRPr="008174E3">
        <w:rPr>
          <w:rFonts w:ascii="Arial" w:hAnsi="Arial" w:cs="Arial"/>
          <w:sz w:val="22"/>
          <w:szCs w:val="22"/>
        </w:rPr>
        <w:t>millones.</w:t>
      </w:r>
      <w:r w:rsidR="0057334C" w:rsidRPr="008174E3">
        <w:rPr>
          <w:rFonts w:ascii="Arial" w:hAnsi="Arial" w:cs="Arial"/>
          <w:sz w:val="22"/>
          <w:szCs w:val="22"/>
        </w:rPr>
        <w:t xml:space="preserve"> </w:t>
      </w:r>
      <w:r w:rsidR="00D1223E" w:rsidRPr="008174E3">
        <w:rPr>
          <w:rFonts w:ascii="Arial" w:hAnsi="Arial" w:cs="Arial"/>
          <w:sz w:val="22"/>
          <w:szCs w:val="22"/>
        </w:rPr>
        <w:t xml:space="preserve">Por último, se analiza el VPN del componente ante la existencia de </w:t>
      </w:r>
      <w:r w:rsidRPr="008174E3">
        <w:rPr>
          <w:rFonts w:ascii="Arial" w:hAnsi="Arial" w:cs="Arial"/>
          <w:sz w:val="22"/>
          <w:szCs w:val="22"/>
        </w:rPr>
        <w:t xml:space="preserve">un efecto desplazamiento </w:t>
      </w:r>
      <w:r w:rsidR="00D1223E" w:rsidRPr="008174E3">
        <w:rPr>
          <w:rFonts w:ascii="Arial" w:hAnsi="Arial" w:cs="Arial"/>
          <w:sz w:val="22"/>
          <w:szCs w:val="22"/>
        </w:rPr>
        <w:t xml:space="preserve">de las </w:t>
      </w:r>
      <w:r w:rsidR="009106B4" w:rsidRPr="008174E3">
        <w:rPr>
          <w:rFonts w:ascii="Arial" w:hAnsi="Arial" w:cs="Arial"/>
          <w:sz w:val="22"/>
          <w:szCs w:val="22"/>
        </w:rPr>
        <w:t>características</w:t>
      </w:r>
      <w:r w:rsidR="00D1223E" w:rsidRPr="008174E3">
        <w:rPr>
          <w:rFonts w:ascii="Arial" w:hAnsi="Arial" w:cs="Arial"/>
          <w:sz w:val="22"/>
          <w:szCs w:val="22"/>
        </w:rPr>
        <w:t xml:space="preserve"> definidas anteriormente (</w:t>
      </w:r>
      <w:r w:rsidRPr="008174E3">
        <w:rPr>
          <w:rFonts w:ascii="Arial" w:hAnsi="Arial" w:cs="Arial"/>
          <w:sz w:val="22"/>
          <w:szCs w:val="22"/>
        </w:rPr>
        <w:t xml:space="preserve">50% de los beneficios obtenidos el primer año de impacto se </w:t>
      </w:r>
      <w:r w:rsidR="00090F38" w:rsidRPr="008174E3">
        <w:rPr>
          <w:rFonts w:ascii="Arial" w:hAnsi="Arial" w:cs="Arial"/>
          <w:sz w:val="22"/>
          <w:szCs w:val="22"/>
        </w:rPr>
        <w:t xml:space="preserve">explican por </w:t>
      </w:r>
      <w:r w:rsidRPr="008174E3">
        <w:rPr>
          <w:rFonts w:ascii="Arial" w:hAnsi="Arial" w:cs="Arial"/>
          <w:sz w:val="22"/>
          <w:szCs w:val="22"/>
        </w:rPr>
        <w:t>buscadores de empleo que pierden su trabajo</w:t>
      </w:r>
      <w:r w:rsidR="00D1223E" w:rsidRPr="008174E3">
        <w:rPr>
          <w:rFonts w:ascii="Arial" w:hAnsi="Arial" w:cs="Arial"/>
          <w:sz w:val="22"/>
          <w:szCs w:val="22"/>
        </w:rPr>
        <w:t xml:space="preserve">), </w:t>
      </w:r>
      <w:r w:rsidRPr="008174E3">
        <w:rPr>
          <w:rFonts w:ascii="Arial" w:hAnsi="Arial" w:cs="Arial"/>
          <w:sz w:val="22"/>
          <w:szCs w:val="22"/>
        </w:rPr>
        <w:t xml:space="preserve">los resultados de la presencia de efecto desplazamiento implican una reducción del VPN del componente, aunque todavía </w:t>
      </w:r>
      <w:r w:rsidR="00A1557F" w:rsidRPr="008174E3">
        <w:rPr>
          <w:rFonts w:ascii="Arial" w:hAnsi="Arial" w:cs="Arial"/>
          <w:sz w:val="22"/>
          <w:szCs w:val="22"/>
        </w:rPr>
        <w:t xml:space="preserve">positivo en </w:t>
      </w:r>
      <w:r w:rsidR="00D8226B" w:rsidRPr="008174E3">
        <w:rPr>
          <w:rFonts w:ascii="Arial" w:hAnsi="Arial" w:cs="Arial"/>
          <w:sz w:val="22"/>
          <w:szCs w:val="22"/>
        </w:rPr>
        <w:t>US$</w:t>
      </w:r>
      <w:r w:rsidR="000F77AF">
        <w:rPr>
          <w:rFonts w:ascii="Arial" w:hAnsi="Arial" w:cs="Arial"/>
          <w:sz w:val="22"/>
          <w:szCs w:val="22"/>
        </w:rPr>
        <w:t>24</w:t>
      </w:r>
      <w:r w:rsidR="00827E44" w:rsidRPr="008174E3">
        <w:rPr>
          <w:rFonts w:ascii="Arial" w:hAnsi="Arial" w:cs="Arial"/>
          <w:sz w:val="22"/>
          <w:szCs w:val="22"/>
        </w:rPr>
        <w:t>,</w:t>
      </w:r>
      <w:r w:rsidR="000F77AF">
        <w:rPr>
          <w:rFonts w:ascii="Arial" w:hAnsi="Arial" w:cs="Arial"/>
          <w:sz w:val="22"/>
          <w:szCs w:val="22"/>
        </w:rPr>
        <w:t>79</w:t>
      </w:r>
      <w:r w:rsidRPr="008174E3">
        <w:rPr>
          <w:rFonts w:ascii="Arial" w:hAnsi="Arial" w:cs="Arial"/>
          <w:sz w:val="22"/>
          <w:szCs w:val="22"/>
        </w:rPr>
        <w:t xml:space="preserve"> millones. </w:t>
      </w:r>
    </w:p>
    <w:p w14:paraId="7B86FD41" w14:textId="77777777" w:rsidR="000F77AF" w:rsidRPr="008174E3" w:rsidRDefault="000F77AF" w:rsidP="000F77AF">
      <w:pPr>
        <w:pStyle w:val="ListParagraph"/>
        <w:autoSpaceDE w:val="0"/>
        <w:autoSpaceDN w:val="0"/>
        <w:adjustRightInd w:val="0"/>
        <w:spacing w:before="120" w:after="200" w:line="276" w:lineRule="auto"/>
        <w:ind w:left="0"/>
        <w:jc w:val="both"/>
        <w:rPr>
          <w:rFonts w:ascii="Arial" w:hAnsi="Arial" w:cs="Arial"/>
          <w:b/>
          <w:sz w:val="22"/>
          <w:szCs w:val="22"/>
        </w:rPr>
      </w:pPr>
    </w:p>
    <w:p w14:paraId="11AA7B5E" w14:textId="566F3D80" w:rsidR="000F77AF" w:rsidRPr="008174E3" w:rsidRDefault="000F77AF" w:rsidP="000F77AF">
      <w:pPr>
        <w:pStyle w:val="ListParagraph"/>
        <w:autoSpaceDE w:val="0"/>
        <w:autoSpaceDN w:val="0"/>
        <w:adjustRightInd w:val="0"/>
        <w:jc w:val="center"/>
        <w:rPr>
          <w:rFonts w:ascii="Arial" w:hAnsi="Arial" w:cs="Arial"/>
          <w:b/>
          <w:sz w:val="20"/>
          <w:szCs w:val="18"/>
        </w:rPr>
      </w:pPr>
      <w:r w:rsidRPr="008174E3">
        <w:rPr>
          <w:rFonts w:ascii="Arial" w:hAnsi="Arial" w:cs="Arial"/>
          <w:b/>
          <w:sz w:val="20"/>
          <w:szCs w:val="18"/>
        </w:rPr>
        <w:t>Gráfica 1: Impacto en el VPN de cambios en los supuestos utilizados en el</w:t>
      </w:r>
    </w:p>
    <w:p w14:paraId="544B88A8" w14:textId="77777777" w:rsidR="000F77AF" w:rsidRPr="008174E3" w:rsidRDefault="000F77AF" w:rsidP="000F77AF">
      <w:pPr>
        <w:pStyle w:val="ListParagraph"/>
        <w:autoSpaceDE w:val="0"/>
        <w:autoSpaceDN w:val="0"/>
        <w:adjustRightInd w:val="0"/>
        <w:jc w:val="center"/>
        <w:rPr>
          <w:rFonts w:ascii="Arial" w:hAnsi="Arial" w:cs="Arial"/>
          <w:b/>
          <w:sz w:val="20"/>
          <w:szCs w:val="18"/>
        </w:rPr>
      </w:pPr>
      <w:r w:rsidRPr="008174E3">
        <w:rPr>
          <w:rFonts w:ascii="Arial" w:hAnsi="Arial" w:cs="Arial"/>
          <w:b/>
          <w:sz w:val="20"/>
          <w:szCs w:val="18"/>
        </w:rPr>
        <w:t>Componente de Fortalecimiento del SNE con respecto al escenario base</w:t>
      </w:r>
    </w:p>
    <w:p w14:paraId="0B60E71B" w14:textId="21AE7AEF" w:rsidR="000F77AF" w:rsidRPr="008174E3" w:rsidRDefault="000F77AF" w:rsidP="000F77AF">
      <w:pPr>
        <w:pStyle w:val="ListParagraph"/>
        <w:ind w:left="0"/>
        <w:rPr>
          <w:rFonts w:ascii="Arial" w:hAnsi="Arial" w:cs="Arial"/>
        </w:rPr>
      </w:pPr>
      <w:r>
        <w:rPr>
          <w:noProof/>
        </w:rPr>
        <w:drawing>
          <wp:inline distT="0" distB="0" distL="0" distR="0" wp14:anchorId="3DAEF04D" wp14:editId="58A083E7">
            <wp:extent cx="5943600" cy="2042160"/>
            <wp:effectExtent l="0" t="0" r="0" b="0"/>
            <wp:docPr id="1" name="Chart 1">
              <a:extLst xmlns:a="http://schemas.openxmlformats.org/drawingml/2006/main">
                <a:ext uri="{FF2B5EF4-FFF2-40B4-BE49-F238E27FC236}">
                  <a16:creationId xmlns:a16="http://schemas.microsoft.com/office/drawing/2014/main" id="{E3B6C8E9-4EA1-4A50-AD99-7B903BA623A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F8EA232" w14:textId="77777777" w:rsidR="000F77AF" w:rsidRPr="000F77AF" w:rsidRDefault="000F77AF" w:rsidP="000F77AF">
      <w:pPr>
        <w:pStyle w:val="ListParagraph"/>
        <w:rPr>
          <w:rFonts w:ascii="Arial" w:hAnsi="Arial" w:cs="Arial"/>
          <w:sz w:val="14"/>
          <w:szCs w:val="14"/>
        </w:rPr>
      </w:pPr>
      <w:r w:rsidRPr="000F77AF">
        <w:rPr>
          <w:rFonts w:ascii="Arial" w:hAnsi="Arial" w:cs="Arial"/>
          <w:sz w:val="14"/>
          <w:szCs w:val="14"/>
        </w:rPr>
        <w:t xml:space="preserve">Nota: (*) El análisis hace referencia a la </w:t>
      </w:r>
      <w:r w:rsidRPr="000F77AF">
        <w:rPr>
          <w:rFonts w:ascii="Arial" w:hAnsi="Arial" w:cs="Arial"/>
          <w:i/>
          <w:sz w:val="14"/>
          <w:szCs w:val="14"/>
        </w:rPr>
        <w:t>presencia o no</w:t>
      </w:r>
      <w:r w:rsidRPr="000F77AF">
        <w:rPr>
          <w:rFonts w:ascii="Arial" w:hAnsi="Arial" w:cs="Arial"/>
          <w:sz w:val="14"/>
          <w:szCs w:val="14"/>
        </w:rPr>
        <w:t xml:space="preserve"> del supuesto.</w:t>
      </w:r>
    </w:p>
    <w:p w14:paraId="0EA39E7F" w14:textId="77777777" w:rsidR="000F77AF" w:rsidRPr="008174E3" w:rsidRDefault="000F77AF" w:rsidP="00090F38">
      <w:pPr>
        <w:pStyle w:val="ListParagraph"/>
        <w:rPr>
          <w:rFonts w:ascii="Arial" w:hAnsi="Arial" w:cs="Arial"/>
          <w:b/>
          <w:sz w:val="22"/>
          <w:szCs w:val="22"/>
        </w:rPr>
      </w:pPr>
    </w:p>
    <w:p w14:paraId="5FFC7931" w14:textId="25196E9C" w:rsidR="00090F38" w:rsidRPr="000F77AF" w:rsidRDefault="00090F38" w:rsidP="000F77AF">
      <w:pPr>
        <w:pStyle w:val="ListParagraph"/>
        <w:numPr>
          <w:ilvl w:val="1"/>
          <w:numId w:val="7"/>
        </w:numPr>
        <w:spacing w:before="120"/>
        <w:jc w:val="both"/>
        <w:rPr>
          <w:rFonts w:ascii="Arial" w:hAnsi="Arial" w:cs="Arial"/>
          <w:b/>
          <w:sz w:val="22"/>
          <w:szCs w:val="22"/>
        </w:rPr>
      </w:pPr>
      <w:r w:rsidRPr="000F77AF">
        <w:rPr>
          <w:rFonts w:ascii="Arial" w:hAnsi="Arial" w:cs="Arial"/>
          <w:b/>
          <w:sz w:val="22"/>
          <w:szCs w:val="22"/>
        </w:rPr>
        <w:t xml:space="preserve">Fortalecimiento </w:t>
      </w:r>
      <w:r w:rsidR="001755CF" w:rsidRPr="000F77AF">
        <w:rPr>
          <w:rFonts w:ascii="Arial" w:hAnsi="Arial" w:cs="Arial"/>
          <w:b/>
          <w:sz w:val="22"/>
          <w:szCs w:val="22"/>
        </w:rPr>
        <w:t>del PAE</w:t>
      </w:r>
    </w:p>
    <w:p w14:paraId="73C23B51" w14:textId="77777777" w:rsidR="00090F38" w:rsidRPr="008174E3" w:rsidRDefault="00090F38" w:rsidP="00090F38">
      <w:pPr>
        <w:pStyle w:val="ListParagraph"/>
        <w:spacing w:before="120"/>
        <w:ind w:left="0"/>
        <w:jc w:val="both"/>
        <w:rPr>
          <w:rFonts w:ascii="Arial" w:hAnsi="Arial" w:cs="Arial"/>
          <w:sz w:val="22"/>
          <w:szCs w:val="22"/>
        </w:rPr>
      </w:pPr>
    </w:p>
    <w:p w14:paraId="4F3A8488" w14:textId="25FBD739" w:rsidR="00090F38" w:rsidRPr="008174E3" w:rsidRDefault="00090F38" w:rsidP="00BE0EAE">
      <w:pPr>
        <w:pStyle w:val="ListParagraph"/>
        <w:numPr>
          <w:ilvl w:val="0"/>
          <w:numId w:val="8"/>
        </w:numPr>
        <w:autoSpaceDE w:val="0"/>
        <w:autoSpaceDN w:val="0"/>
        <w:adjustRightInd w:val="0"/>
        <w:spacing w:before="120" w:after="200" w:line="276" w:lineRule="auto"/>
        <w:ind w:left="0"/>
        <w:jc w:val="both"/>
        <w:rPr>
          <w:rFonts w:ascii="Arial" w:hAnsi="Arial" w:cs="Arial"/>
          <w:b/>
          <w:sz w:val="20"/>
          <w:szCs w:val="18"/>
        </w:rPr>
      </w:pPr>
      <w:r w:rsidRPr="008174E3">
        <w:rPr>
          <w:rFonts w:ascii="Arial" w:hAnsi="Arial" w:cs="Arial"/>
          <w:sz w:val="22"/>
          <w:szCs w:val="22"/>
        </w:rPr>
        <w:t>Para el escenario optimista del componente de fortalecimiento de</w:t>
      </w:r>
      <w:r w:rsidR="001755CF" w:rsidRPr="008174E3">
        <w:rPr>
          <w:rFonts w:ascii="Arial" w:hAnsi="Arial" w:cs="Arial"/>
          <w:sz w:val="22"/>
          <w:szCs w:val="22"/>
        </w:rPr>
        <w:t xml:space="preserve">l PAE </w:t>
      </w:r>
      <w:r w:rsidRPr="008174E3">
        <w:rPr>
          <w:rFonts w:ascii="Arial" w:hAnsi="Arial" w:cs="Arial"/>
          <w:sz w:val="22"/>
          <w:szCs w:val="22"/>
        </w:rPr>
        <w:t xml:space="preserve">se asume primero un incremento en el impacto de formalidad de 6 pp. a 7 pp. (un incremento de 16% en el impacto esperado). Con este impacto se obtiene que el VPN del programa se incremente hasta </w:t>
      </w:r>
      <w:r w:rsidR="009C77BE" w:rsidRPr="008174E3">
        <w:rPr>
          <w:rFonts w:ascii="Arial" w:hAnsi="Arial" w:cs="Arial"/>
          <w:sz w:val="22"/>
          <w:szCs w:val="22"/>
        </w:rPr>
        <w:t>US$</w:t>
      </w:r>
      <w:r w:rsidR="000F77AF">
        <w:rPr>
          <w:rFonts w:ascii="Arial" w:hAnsi="Arial" w:cs="Arial"/>
          <w:sz w:val="22"/>
          <w:szCs w:val="22"/>
        </w:rPr>
        <w:t>43</w:t>
      </w:r>
      <w:r w:rsidRPr="008174E3">
        <w:rPr>
          <w:rFonts w:ascii="Arial" w:hAnsi="Arial" w:cs="Arial"/>
          <w:sz w:val="22"/>
          <w:szCs w:val="22"/>
        </w:rPr>
        <w:t>,</w:t>
      </w:r>
      <w:r w:rsidR="000F77AF">
        <w:rPr>
          <w:rFonts w:ascii="Arial" w:hAnsi="Arial" w:cs="Arial"/>
          <w:sz w:val="22"/>
          <w:szCs w:val="22"/>
        </w:rPr>
        <w:t>5</w:t>
      </w:r>
      <w:r w:rsidR="00672D62">
        <w:rPr>
          <w:rFonts w:ascii="Arial" w:hAnsi="Arial" w:cs="Arial"/>
          <w:sz w:val="22"/>
          <w:szCs w:val="22"/>
        </w:rPr>
        <w:t>2</w:t>
      </w:r>
      <w:r w:rsidRPr="008174E3">
        <w:rPr>
          <w:rFonts w:ascii="Arial" w:hAnsi="Arial" w:cs="Arial"/>
          <w:sz w:val="22"/>
          <w:szCs w:val="22"/>
        </w:rPr>
        <w:t xml:space="preserve"> millones. Adicionalmente, si el impacto de formalidad es igual a 28% del ingreso laboral de referencia el VPN del componente alcanza </w:t>
      </w:r>
      <w:r w:rsidR="009C77BE" w:rsidRPr="008174E3">
        <w:rPr>
          <w:rFonts w:ascii="Arial" w:hAnsi="Arial" w:cs="Arial"/>
          <w:sz w:val="22"/>
          <w:szCs w:val="22"/>
        </w:rPr>
        <w:t>US$</w:t>
      </w:r>
      <w:r w:rsidR="0075413D" w:rsidRPr="008174E3">
        <w:rPr>
          <w:rFonts w:ascii="Arial" w:hAnsi="Arial" w:cs="Arial"/>
          <w:sz w:val="22"/>
          <w:szCs w:val="22"/>
        </w:rPr>
        <w:t>4</w:t>
      </w:r>
      <w:r w:rsidR="000F77AF">
        <w:rPr>
          <w:rFonts w:ascii="Arial" w:hAnsi="Arial" w:cs="Arial"/>
          <w:sz w:val="22"/>
          <w:szCs w:val="22"/>
        </w:rPr>
        <w:t>0</w:t>
      </w:r>
      <w:r w:rsidR="00827E44" w:rsidRPr="008174E3">
        <w:rPr>
          <w:rFonts w:ascii="Arial" w:hAnsi="Arial" w:cs="Arial"/>
          <w:sz w:val="22"/>
          <w:szCs w:val="22"/>
        </w:rPr>
        <w:t>,</w:t>
      </w:r>
      <w:r w:rsidR="000F77AF">
        <w:rPr>
          <w:rFonts w:ascii="Arial" w:hAnsi="Arial" w:cs="Arial"/>
          <w:sz w:val="22"/>
          <w:szCs w:val="22"/>
        </w:rPr>
        <w:t>8</w:t>
      </w:r>
      <w:r w:rsidR="0075413D" w:rsidRPr="008174E3">
        <w:rPr>
          <w:rFonts w:ascii="Arial" w:hAnsi="Arial" w:cs="Arial"/>
          <w:sz w:val="22"/>
          <w:szCs w:val="22"/>
        </w:rPr>
        <w:t>6</w:t>
      </w:r>
      <w:r w:rsidR="009C77BE" w:rsidRPr="008174E3">
        <w:rPr>
          <w:rFonts w:ascii="Arial" w:hAnsi="Arial" w:cs="Arial"/>
          <w:sz w:val="22"/>
          <w:szCs w:val="22"/>
        </w:rPr>
        <w:t> </w:t>
      </w:r>
      <w:r w:rsidRPr="008174E3">
        <w:rPr>
          <w:rFonts w:ascii="Arial" w:hAnsi="Arial" w:cs="Arial"/>
          <w:sz w:val="22"/>
          <w:szCs w:val="22"/>
        </w:rPr>
        <w:t>millones</w:t>
      </w:r>
      <w:r w:rsidR="009C77BE" w:rsidRPr="008174E3">
        <w:rPr>
          <w:rFonts w:ascii="Arial" w:hAnsi="Arial" w:cs="Arial"/>
          <w:sz w:val="22"/>
          <w:szCs w:val="22"/>
        </w:rPr>
        <w:t>.</w:t>
      </w:r>
    </w:p>
    <w:p w14:paraId="3CBA94BE" w14:textId="77777777" w:rsidR="00B46F49" w:rsidRPr="008174E3" w:rsidRDefault="00B46F49" w:rsidP="00B46F49">
      <w:pPr>
        <w:pStyle w:val="ListParagraph"/>
        <w:autoSpaceDE w:val="0"/>
        <w:autoSpaceDN w:val="0"/>
        <w:adjustRightInd w:val="0"/>
        <w:spacing w:before="120" w:after="200" w:line="276" w:lineRule="auto"/>
        <w:ind w:left="0"/>
        <w:jc w:val="both"/>
        <w:rPr>
          <w:rFonts w:ascii="Arial" w:hAnsi="Arial" w:cs="Arial"/>
          <w:b/>
          <w:sz w:val="20"/>
          <w:szCs w:val="18"/>
        </w:rPr>
      </w:pPr>
    </w:p>
    <w:p w14:paraId="44DE8DC0" w14:textId="72FD587D" w:rsidR="00090F38" w:rsidRPr="008174E3" w:rsidRDefault="00B96D87" w:rsidP="006271B4">
      <w:pPr>
        <w:pStyle w:val="ListParagraph"/>
        <w:numPr>
          <w:ilvl w:val="0"/>
          <w:numId w:val="8"/>
        </w:numPr>
        <w:spacing w:before="120" w:after="200" w:line="276" w:lineRule="auto"/>
        <w:ind w:left="0"/>
        <w:jc w:val="both"/>
        <w:rPr>
          <w:rFonts w:ascii="Arial" w:hAnsi="Arial" w:cs="Arial"/>
          <w:b/>
          <w:sz w:val="22"/>
          <w:szCs w:val="22"/>
        </w:rPr>
      </w:pPr>
      <w:r w:rsidRPr="008174E3">
        <w:rPr>
          <w:rFonts w:ascii="Arial" w:hAnsi="Arial" w:cs="Arial"/>
          <w:sz w:val="22"/>
          <w:szCs w:val="22"/>
        </w:rPr>
        <w:t xml:space="preserve">Para </w:t>
      </w:r>
      <w:r w:rsidR="0057334C" w:rsidRPr="008174E3">
        <w:rPr>
          <w:rFonts w:ascii="Arial" w:hAnsi="Arial" w:cs="Arial"/>
          <w:sz w:val="22"/>
          <w:szCs w:val="22"/>
        </w:rPr>
        <w:t xml:space="preserve">los </w:t>
      </w:r>
      <w:r w:rsidRPr="008174E3">
        <w:rPr>
          <w:rFonts w:ascii="Arial" w:hAnsi="Arial" w:cs="Arial"/>
          <w:sz w:val="22"/>
          <w:szCs w:val="22"/>
        </w:rPr>
        <w:t>escenario</w:t>
      </w:r>
      <w:r w:rsidR="0057334C" w:rsidRPr="008174E3">
        <w:rPr>
          <w:rFonts w:ascii="Arial" w:hAnsi="Arial" w:cs="Arial"/>
          <w:sz w:val="22"/>
          <w:szCs w:val="22"/>
        </w:rPr>
        <w:t>s</w:t>
      </w:r>
      <w:r w:rsidRPr="008174E3">
        <w:rPr>
          <w:rFonts w:ascii="Arial" w:hAnsi="Arial" w:cs="Arial"/>
          <w:sz w:val="22"/>
          <w:szCs w:val="22"/>
        </w:rPr>
        <w:t xml:space="preserve"> pesimista</w:t>
      </w:r>
      <w:r w:rsidR="0057334C" w:rsidRPr="008174E3">
        <w:rPr>
          <w:rFonts w:ascii="Arial" w:hAnsi="Arial" w:cs="Arial"/>
          <w:sz w:val="22"/>
          <w:szCs w:val="22"/>
        </w:rPr>
        <w:t>s</w:t>
      </w:r>
      <w:r w:rsidRPr="008174E3">
        <w:rPr>
          <w:rFonts w:ascii="Arial" w:hAnsi="Arial" w:cs="Arial"/>
          <w:sz w:val="22"/>
          <w:szCs w:val="22"/>
        </w:rPr>
        <w:t xml:space="preserve"> se asume un </w:t>
      </w:r>
      <w:r w:rsidR="0057334C" w:rsidRPr="008174E3">
        <w:rPr>
          <w:rFonts w:ascii="Arial" w:hAnsi="Arial" w:cs="Arial"/>
          <w:sz w:val="22"/>
          <w:szCs w:val="22"/>
        </w:rPr>
        <w:t xml:space="preserve">como primer punto un </w:t>
      </w:r>
      <w:r w:rsidRPr="008174E3">
        <w:rPr>
          <w:rFonts w:ascii="Arial" w:hAnsi="Arial" w:cs="Arial"/>
          <w:sz w:val="22"/>
          <w:szCs w:val="22"/>
        </w:rPr>
        <w:t>decrecimiento en el imp</w:t>
      </w:r>
      <w:r w:rsidR="008F77C1" w:rsidRPr="008174E3">
        <w:rPr>
          <w:rFonts w:ascii="Arial" w:hAnsi="Arial" w:cs="Arial"/>
          <w:sz w:val="22"/>
          <w:szCs w:val="22"/>
        </w:rPr>
        <w:t>acto esperado de formalidad de 6</w:t>
      </w:r>
      <w:r w:rsidRPr="008174E3">
        <w:rPr>
          <w:rFonts w:ascii="Arial" w:hAnsi="Arial" w:cs="Arial"/>
          <w:sz w:val="22"/>
          <w:szCs w:val="22"/>
        </w:rPr>
        <w:t xml:space="preserve"> pp. a </w:t>
      </w:r>
      <w:r w:rsidR="008F77C1" w:rsidRPr="008174E3">
        <w:rPr>
          <w:rFonts w:ascii="Arial" w:hAnsi="Arial" w:cs="Arial"/>
          <w:sz w:val="22"/>
          <w:szCs w:val="22"/>
        </w:rPr>
        <w:t>5</w:t>
      </w:r>
      <w:r w:rsidRPr="008174E3">
        <w:rPr>
          <w:rFonts w:ascii="Arial" w:hAnsi="Arial" w:cs="Arial"/>
          <w:sz w:val="22"/>
          <w:szCs w:val="22"/>
        </w:rPr>
        <w:t xml:space="preserve"> pp., los resultados muestran un impacto todavía positivo del componente de </w:t>
      </w:r>
      <w:r w:rsidR="009C77BE" w:rsidRPr="008174E3">
        <w:rPr>
          <w:rFonts w:ascii="Arial" w:hAnsi="Arial" w:cs="Arial"/>
          <w:sz w:val="22"/>
          <w:szCs w:val="22"/>
        </w:rPr>
        <w:t>US$</w:t>
      </w:r>
      <w:r w:rsidR="000F77AF">
        <w:rPr>
          <w:rFonts w:ascii="Arial" w:hAnsi="Arial" w:cs="Arial"/>
          <w:sz w:val="22"/>
          <w:szCs w:val="22"/>
        </w:rPr>
        <w:t>1</w:t>
      </w:r>
      <w:r w:rsidRPr="008174E3">
        <w:rPr>
          <w:rFonts w:ascii="Arial" w:hAnsi="Arial" w:cs="Arial"/>
          <w:sz w:val="22"/>
          <w:szCs w:val="22"/>
        </w:rPr>
        <w:t>,</w:t>
      </w:r>
      <w:r w:rsidR="000F77AF">
        <w:rPr>
          <w:rFonts w:ascii="Arial" w:hAnsi="Arial" w:cs="Arial"/>
          <w:sz w:val="22"/>
          <w:szCs w:val="22"/>
        </w:rPr>
        <w:t>09</w:t>
      </w:r>
      <w:r w:rsidRPr="008174E3">
        <w:rPr>
          <w:rFonts w:ascii="Arial" w:hAnsi="Arial" w:cs="Arial"/>
          <w:sz w:val="22"/>
          <w:szCs w:val="22"/>
        </w:rPr>
        <w:t xml:space="preserve"> millones. </w:t>
      </w:r>
      <w:r w:rsidR="0057334C" w:rsidRPr="008174E3">
        <w:rPr>
          <w:rFonts w:ascii="Arial" w:hAnsi="Arial" w:cs="Arial"/>
          <w:sz w:val="22"/>
          <w:szCs w:val="22"/>
        </w:rPr>
        <w:t>Seguidamente se presenta un escenario en el cual el impacto asociado a formalidad es de tan solo 20% del ingreso base, en este caso</w:t>
      </w:r>
      <w:r w:rsidR="00A1557F" w:rsidRPr="008174E3">
        <w:rPr>
          <w:rFonts w:ascii="Arial" w:hAnsi="Arial" w:cs="Arial"/>
          <w:sz w:val="22"/>
          <w:szCs w:val="22"/>
        </w:rPr>
        <w:t xml:space="preserve"> el VPN del componente </w:t>
      </w:r>
      <w:r w:rsidR="00A1557F" w:rsidRPr="008174E3">
        <w:rPr>
          <w:rFonts w:ascii="Arial" w:hAnsi="Arial" w:cs="Arial"/>
          <w:sz w:val="22"/>
          <w:szCs w:val="22"/>
        </w:rPr>
        <w:lastRenderedPageBreak/>
        <w:t xml:space="preserve">es de </w:t>
      </w:r>
      <w:r w:rsidR="009C77BE" w:rsidRPr="008174E3">
        <w:rPr>
          <w:rFonts w:ascii="Arial" w:hAnsi="Arial" w:cs="Arial"/>
          <w:sz w:val="22"/>
          <w:szCs w:val="22"/>
        </w:rPr>
        <w:t>US$</w:t>
      </w:r>
      <w:r w:rsidR="000F77AF">
        <w:rPr>
          <w:rFonts w:ascii="Arial" w:hAnsi="Arial" w:cs="Arial"/>
          <w:sz w:val="22"/>
          <w:szCs w:val="22"/>
        </w:rPr>
        <w:t>3</w:t>
      </w:r>
      <w:r w:rsidR="00A1557F" w:rsidRPr="008174E3">
        <w:rPr>
          <w:rFonts w:ascii="Arial" w:hAnsi="Arial" w:cs="Arial"/>
          <w:sz w:val="22"/>
          <w:szCs w:val="22"/>
        </w:rPr>
        <w:t>,</w:t>
      </w:r>
      <w:r w:rsidR="000F77AF">
        <w:rPr>
          <w:rFonts w:ascii="Arial" w:hAnsi="Arial" w:cs="Arial"/>
          <w:sz w:val="22"/>
          <w:szCs w:val="22"/>
        </w:rPr>
        <w:t>75</w:t>
      </w:r>
      <w:r w:rsidR="00A1557F" w:rsidRPr="008174E3">
        <w:rPr>
          <w:rFonts w:ascii="Arial" w:hAnsi="Arial" w:cs="Arial"/>
          <w:sz w:val="22"/>
          <w:szCs w:val="22"/>
        </w:rPr>
        <w:t xml:space="preserve"> </w:t>
      </w:r>
      <w:r w:rsidR="0057334C" w:rsidRPr="008174E3">
        <w:rPr>
          <w:rFonts w:ascii="Arial" w:hAnsi="Arial" w:cs="Arial"/>
          <w:sz w:val="22"/>
          <w:szCs w:val="22"/>
        </w:rPr>
        <w:t>millones.</w:t>
      </w:r>
      <w:r w:rsidR="00A1557F" w:rsidRPr="008174E3">
        <w:rPr>
          <w:rFonts w:ascii="Arial" w:hAnsi="Arial" w:cs="Arial"/>
          <w:sz w:val="22"/>
          <w:szCs w:val="22"/>
        </w:rPr>
        <w:t xml:space="preserve"> </w:t>
      </w:r>
      <w:r w:rsidR="008F77C1" w:rsidRPr="008174E3">
        <w:rPr>
          <w:rFonts w:ascii="Arial" w:hAnsi="Arial" w:cs="Arial"/>
          <w:sz w:val="22"/>
          <w:szCs w:val="22"/>
        </w:rPr>
        <w:t>Adicionalmente</w:t>
      </w:r>
      <w:r w:rsidR="009C77BE" w:rsidRPr="008174E3">
        <w:rPr>
          <w:rFonts w:ascii="Arial" w:hAnsi="Arial" w:cs="Arial"/>
          <w:sz w:val="22"/>
          <w:szCs w:val="22"/>
        </w:rPr>
        <w:t>,</w:t>
      </w:r>
      <w:r w:rsidR="008F77C1" w:rsidRPr="008174E3">
        <w:rPr>
          <w:rFonts w:ascii="Arial" w:hAnsi="Arial" w:cs="Arial"/>
          <w:sz w:val="22"/>
          <w:szCs w:val="22"/>
        </w:rPr>
        <w:t xml:space="preserve"> se considera un escenario pesimista en el cual los beneficiarios del </w:t>
      </w:r>
      <w:r w:rsidR="00251B1A" w:rsidRPr="008174E3">
        <w:rPr>
          <w:rFonts w:ascii="Arial" w:hAnsi="Arial" w:cs="Arial"/>
          <w:sz w:val="22"/>
          <w:szCs w:val="22"/>
        </w:rPr>
        <w:t>componente</w:t>
      </w:r>
      <w:r w:rsidR="008F77C1" w:rsidRPr="008174E3">
        <w:rPr>
          <w:rFonts w:ascii="Arial" w:hAnsi="Arial" w:cs="Arial"/>
          <w:sz w:val="22"/>
          <w:szCs w:val="22"/>
        </w:rPr>
        <w:t xml:space="preserve"> no obtienen beneficios relativos a acceso a obtener beneficios laborales, en este escenario el VPN del componente es todavía </w:t>
      </w:r>
      <w:r w:rsidR="00251B1A" w:rsidRPr="008174E3">
        <w:rPr>
          <w:rFonts w:ascii="Arial" w:hAnsi="Arial" w:cs="Arial"/>
          <w:sz w:val="22"/>
          <w:szCs w:val="22"/>
        </w:rPr>
        <w:t>positivo</w:t>
      </w:r>
      <w:r w:rsidR="008F77C1" w:rsidRPr="008174E3">
        <w:rPr>
          <w:rFonts w:ascii="Arial" w:hAnsi="Arial" w:cs="Arial"/>
          <w:sz w:val="22"/>
          <w:szCs w:val="22"/>
        </w:rPr>
        <w:t xml:space="preserve"> en </w:t>
      </w:r>
      <w:r w:rsidR="009C77BE" w:rsidRPr="008174E3">
        <w:rPr>
          <w:rFonts w:ascii="Arial" w:hAnsi="Arial" w:cs="Arial"/>
          <w:sz w:val="22"/>
          <w:szCs w:val="22"/>
        </w:rPr>
        <w:t>US$</w:t>
      </w:r>
      <w:r w:rsidR="000F77AF">
        <w:rPr>
          <w:rFonts w:ascii="Arial" w:hAnsi="Arial" w:cs="Arial"/>
          <w:sz w:val="22"/>
          <w:szCs w:val="22"/>
        </w:rPr>
        <w:t>6</w:t>
      </w:r>
      <w:r w:rsidR="008F77C1" w:rsidRPr="008174E3">
        <w:rPr>
          <w:rFonts w:ascii="Arial" w:hAnsi="Arial" w:cs="Arial"/>
          <w:sz w:val="22"/>
          <w:szCs w:val="22"/>
        </w:rPr>
        <w:t>,</w:t>
      </w:r>
      <w:r w:rsidR="000F77AF">
        <w:rPr>
          <w:rFonts w:ascii="Arial" w:hAnsi="Arial" w:cs="Arial"/>
          <w:sz w:val="22"/>
          <w:szCs w:val="22"/>
        </w:rPr>
        <w:t>38</w:t>
      </w:r>
      <w:r w:rsidR="009C77BE" w:rsidRPr="008174E3">
        <w:rPr>
          <w:rFonts w:ascii="Arial" w:hAnsi="Arial" w:cs="Arial"/>
          <w:sz w:val="22"/>
          <w:szCs w:val="22"/>
        </w:rPr>
        <w:t> </w:t>
      </w:r>
      <w:r w:rsidR="008F77C1" w:rsidRPr="008174E3">
        <w:rPr>
          <w:rFonts w:ascii="Arial" w:hAnsi="Arial" w:cs="Arial"/>
          <w:sz w:val="22"/>
          <w:szCs w:val="22"/>
        </w:rPr>
        <w:t xml:space="preserve">millones. </w:t>
      </w:r>
      <w:r w:rsidR="0057334C" w:rsidRPr="008174E3">
        <w:rPr>
          <w:rFonts w:ascii="Arial" w:hAnsi="Arial" w:cs="Arial"/>
          <w:sz w:val="22"/>
          <w:szCs w:val="22"/>
        </w:rPr>
        <w:t xml:space="preserve">El último </w:t>
      </w:r>
      <w:r w:rsidRPr="008174E3">
        <w:rPr>
          <w:rFonts w:ascii="Arial" w:hAnsi="Arial" w:cs="Arial"/>
          <w:sz w:val="22"/>
          <w:szCs w:val="22"/>
        </w:rPr>
        <w:t xml:space="preserve">escenario pesimista </w:t>
      </w:r>
      <w:r w:rsidR="0057334C" w:rsidRPr="008174E3">
        <w:rPr>
          <w:rFonts w:ascii="Arial" w:hAnsi="Arial" w:cs="Arial"/>
          <w:sz w:val="22"/>
          <w:szCs w:val="22"/>
        </w:rPr>
        <w:t xml:space="preserve">presentado en el componente analiza la presencia de </w:t>
      </w:r>
      <w:r w:rsidRPr="008174E3">
        <w:rPr>
          <w:rFonts w:ascii="Arial" w:hAnsi="Arial" w:cs="Arial"/>
          <w:sz w:val="22"/>
          <w:szCs w:val="22"/>
        </w:rPr>
        <w:t>un efecto desplazamiento de 50% de los beneficios obtenidos el primer año de impacto, los resultados de la presencia de efecto desplazamiento implican una reducción del VPN del componente, aunque todavía permane</w:t>
      </w:r>
      <w:r w:rsidR="008F77C1" w:rsidRPr="008174E3">
        <w:rPr>
          <w:rFonts w:ascii="Arial" w:hAnsi="Arial" w:cs="Arial"/>
          <w:sz w:val="22"/>
          <w:szCs w:val="22"/>
        </w:rPr>
        <w:t>c</w:t>
      </w:r>
      <w:r w:rsidRPr="008174E3">
        <w:rPr>
          <w:rFonts w:ascii="Arial" w:hAnsi="Arial" w:cs="Arial"/>
          <w:sz w:val="22"/>
          <w:szCs w:val="22"/>
        </w:rPr>
        <w:t xml:space="preserve">e positivo en </w:t>
      </w:r>
      <w:r w:rsidR="009C77BE" w:rsidRPr="008174E3">
        <w:rPr>
          <w:rFonts w:ascii="Arial" w:hAnsi="Arial" w:cs="Arial"/>
          <w:sz w:val="22"/>
          <w:szCs w:val="22"/>
        </w:rPr>
        <w:t>US$</w:t>
      </w:r>
      <w:r w:rsidR="00A1557F" w:rsidRPr="008174E3">
        <w:rPr>
          <w:rFonts w:ascii="Arial" w:hAnsi="Arial" w:cs="Arial"/>
          <w:sz w:val="22"/>
          <w:szCs w:val="22"/>
        </w:rPr>
        <w:t>1</w:t>
      </w:r>
      <w:r w:rsidR="000F77AF">
        <w:rPr>
          <w:rFonts w:ascii="Arial" w:hAnsi="Arial" w:cs="Arial"/>
          <w:sz w:val="22"/>
          <w:szCs w:val="22"/>
        </w:rPr>
        <w:t>2</w:t>
      </w:r>
      <w:r w:rsidR="00A1557F" w:rsidRPr="008174E3">
        <w:rPr>
          <w:rFonts w:ascii="Arial" w:hAnsi="Arial" w:cs="Arial"/>
          <w:sz w:val="22"/>
          <w:szCs w:val="22"/>
        </w:rPr>
        <w:t>,</w:t>
      </w:r>
      <w:r w:rsidR="000F77AF">
        <w:rPr>
          <w:rFonts w:ascii="Arial" w:hAnsi="Arial" w:cs="Arial"/>
          <w:sz w:val="22"/>
          <w:szCs w:val="22"/>
        </w:rPr>
        <w:t>48</w:t>
      </w:r>
      <w:r w:rsidRPr="008174E3">
        <w:rPr>
          <w:rFonts w:ascii="Arial" w:hAnsi="Arial" w:cs="Arial"/>
          <w:sz w:val="22"/>
          <w:szCs w:val="22"/>
        </w:rPr>
        <w:t xml:space="preserve"> millones. </w:t>
      </w:r>
    </w:p>
    <w:p w14:paraId="70A08912" w14:textId="77777777" w:rsidR="003D6EB3" w:rsidRPr="008174E3" w:rsidRDefault="003D6EB3" w:rsidP="003D6EB3">
      <w:pPr>
        <w:pStyle w:val="ListParagraph"/>
        <w:spacing w:before="120" w:after="200" w:line="276" w:lineRule="auto"/>
        <w:ind w:left="0"/>
        <w:jc w:val="both"/>
        <w:rPr>
          <w:rFonts w:ascii="Arial" w:hAnsi="Arial" w:cs="Arial"/>
          <w:b/>
          <w:sz w:val="22"/>
          <w:szCs w:val="22"/>
        </w:rPr>
      </w:pPr>
    </w:p>
    <w:p w14:paraId="150B395A" w14:textId="77777777" w:rsidR="009C77BE" w:rsidRPr="008174E3" w:rsidRDefault="0057334C" w:rsidP="0057334C">
      <w:pPr>
        <w:pStyle w:val="ListParagraph"/>
        <w:autoSpaceDE w:val="0"/>
        <w:autoSpaceDN w:val="0"/>
        <w:adjustRightInd w:val="0"/>
        <w:rPr>
          <w:rFonts w:ascii="Arial" w:hAnsi="Arial" w:cs="Arial"/>
          <w:b/>
          <w:sz w:val="20"/>
          <w:szCs w:val="18"/>
        </w:rPr>
      </w:pPr>
      <w:r w:rsidRPr="008174E3">
        <w:rPr>
          <w:rFonts w:ascii="Arial" w:hAnsi="Arial" w:cs="Arial"/>
          <w:b/>
          <w:sz w:val="20"/>
          <w:szCs w:val="18"/>
        </w:rPr>
        <w:t xml:space="preserve">Gráfica 2: Impacto en el VPN de cambios en los </w:t>
      </w:r>
      <w:r w:rsidR="009106B4" w:rsidRPr="008174E3">
        <w:rPr>
          <w:rFonts w:ascii="Arial" w:hAnsi="Arial" w:cs="Arial"/>
          <w:b/>
          <w:sz w:val="20"/>
          <w:szCs w:val="18"/>
        </w:rPr>
        <w:t>supuestos</w:t>
      </w:r>
      <w:r w:rsidRPr="008174E3">
        <w:rPr>
          <w:rFonts w:ascii="Arial" w:hAnsi="Arial" w:cs="Arial"/>
          <w:b/>
          <w:sz w:val="20"/>
          <w:szCs w:val="18"/>
        </w:rPr>
        <w:t xml:space="preserve"> utilizados en el </w:t>
      </w:r>
    </w:p>
    <w:p w14:paraId="1278A1A9" w14:textId="7A93AAA5" w:rsidR="0057334C" w:rsidRPr="008174E3" w:rsidRDefault="0057334C" w:rsidP="0057334C">
      <w:pPr>
        <w:pStyle w:val="ListParagraph"/>
        <w:autoSpaceDE w:val="0"/>
        <w:autoSpaceDN w:val="0"/>
        <w:adjustRightInd w:val="0"/>
        <w:rPr>
          <w:rFonts w:ascii="Arial" w:hAnsi="Arial" w:cs="Arial"/>
          <w:b/>
          <w:sz w:val="20"/>
          <w:szCs w:val="18"/>
        </w:rPr>
      </w:pPr>
      <w:r w:rsidRPr="008174E3">
        <w:rPr>
          <w:rFonts w:ascii="Arial" w:hAnsi="Arial" w:cs="Arial"/>
          <w:b/>
          <w:sz w:val="20"/>
          <w:szCs w:val="18"/>
        </w:rPr>
        <w:t xml:space="preserve">Componente de Fortalecimiento del </w:t>
      </w:r>
      <w:r w:rsidR="001755CF" w:rsidRPr="008174E3">
        <w:rPr>
          <w:rFonts w:ascii="Arial" w:hAnsi="Arial" w:cs="Arial"/>
          <w:b/>
          <w:sz w:val="20"/>
          <w:szCs w:val="18"/>
        </w:rPr>
        <w:t xml:space="preserve">PAE </w:t>
      </w:r>
      <w:r w:rsidRPr="008174E3">
        <w:rPr>
          <w:rFonts w:ascii="Arial" w:hAnsi="Arial" w:cs="Arial"/>
          <w:b/>
          <w:sz w:val="20"/>
          <w:szCs w:val="18"/>
        </w:rPr>
        <w:t>con respecto al escenario base</w:t>
      </w:r>
    </w:p>
    <w:p w14:paraId="2C544A6A" w14:textId="551C8C85" w:rsidR="00B96D87" w:rsidRPr="008174E3" w:rsidRDefault="00DC1DDF" w:rsidP="009E762D">
      <w:pPr>
        <w:pStyle w:val="ListParagraph"/>
        <w:ind w:left="-270"/>
        <w:rPr>
          <w:rFonts w:ascii="Arial" w:hAnsi="Arial" w:cs="Arial"/>
        </w:rPr>
      </w:pPr>
      <w:r w:rsidRPr="008174E3">
        <w:rPr>
          <w:noProof/>
        </w:rPr>
        <w:t xml:space="preserve"> </w:t>
      </w:r>
      <w:r w:rsidR="000F77AF">
        <w:rPr>
          <w:noProof/>
        </w:rPr>
        <w:drawing>
          <wp:inline distT="0" distB="0" distL="0" distR="0" wp14:anchorId="4347B1CB" wp14:editId="09EB28FF">
            <wp:extent cx="5943600" cy="1722120"/>
            <wp:effectExtent l="0" t="0" r="0" b="0"/>
            <wp:docPr id="2" name="Chart 2">
              <a:extLst xmlns:a="http://schemas.openxmlformats.org/drawingml/2006/main">
                <a:ext uri="{FF2B5EF4-FFF2-40B4-BE49-F238E27FC236}">
                  <a16:creationId xmlns:a16="http://schemas.microsoft.com/office/drawing/2014/main" id="{518DE7BC-E68C-4753-9E1D-9A1E6B1F253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108AA76" w14:textId="1A06715E" w:rsidR="009106B4" w:rsidRPr="000F77AF" w:rsidRDefault="009106B4" w:rsidP="009106B4">
      <w:pPr>
        <w:rPr>
          <w:rFonts w:ascii="Arial" w:hAnsi="Arial" w:cs="Arial"/>
          <w:sz w:val="14"/>
          <w:szCs w:val="14"/>
        </w:rPr>
      </w:pPr>
      <w:r w:rsidRPr="000F77AF">
        <w:rPr>
          <w:rFonts w:ascii="Arial" w:hAnsi="Arial" w:cs="Arial"/>
          <w:sz w:val="14"/>
          <w:szCs w:val="14"/>
        </w:rPr>
        <w:t xml:space="preserve">Nota: (*) El </w:t>
      </w:r>
      <w:r w:rsidR="0007065C" w:rsidRPr="000F77AF">
        <w:rPr>
          <w:rFonts w:ascii="Arial" w:hAnsi="Arial" w:cs="Arial"/>
          <w:sz w:val="14"/>
          <w:szCs w:val="14"/>
        </w:rPr>
        <w:t>análisis</w:t>
      </w:r>
      <w:r w:rsidRPr="000F77AF">
        <w:rPr>
          <w:rFonts w:ascii="Arial" w:hAnsi="Arial" w:cs="Arial"/>
          <w:sz w:val="14"/>
          <w:szCs w:val="14"/>
        </w:rPr>
        <w:t xml:space="preserve"> hace referencia a la presencia o no del supuesto</w:t>
      </w:r>
      <w:r w:rsidR="00090F38" w:rsidRPr="000F77AF">
        <w:rPr>
          <w:rFonts w:ascii="Arial" w:hAnsi="Arial" w:cs="Arial"/>
          <w:sz w:val="14"/>
          <w:szCs w:val="14"/>
        </w:rPr>
        <w:t>.</w:t>
      </w:r>
    </w:p>
    <w:p w14:paraId="40C8F2F4" w14:textId="72FD3289" w:rsidR="009D3DC2" w:rsidRPr="008174E3" w:rsidRDefault="009106B4" w:rsidP="009D3DC2">
      <w:pPr>
        <w:pStyle w:val="ListParagraph"/>
        <w:numPr>
          <w:ilvl w:val="1"/>
          <w:numId w:val="7"/>
        </w:numPr>
        <w:spacing w:before="120"/>
        <w:jc w:val="both"/>
        <w:rPr>
          <w:rFonts w:ascii="Arial" w:hAnsi="Arial" w:cs="Arial"/>
        </w:rPr>
      </w:pPr>
      <w:r w:rsidRPr="008174E3">
        <w:rPr>
          <w:rFonts w:ascii="Arial" w:hAnsi="Arial" w:cs="Arial"/>
          <w:b/>
        </w:rPr>
        <w:t>Análisis</w:t>
      </w:r>
      <w:r w:rsidR="009D3DC2" w:rsidRPr="008174E3">
        <w:rPr>
          <w:rFonts w:ascii="Arial" w:hAnsi="Arial" w:cs="Arial"/>
          <w:b/>
        </w:rPr>
        <w:t xml:space="preserve"> de sensibilidad </w:t>
      </w:r>
      <w:r w:rsidRPr="008174E3">
        <w:rPr>
          <w:rFonts w:ascii="Arial" w:hAnsi="Arial" w:cs="Arial"/>
          <w:b/>
        </w:rPr>
        <w:t>agregado</w:t>
      </w:r>
    </w:p>
    <w:p w14:paraId="5DACAC58" w14:textId="77777777" w:rsidR="009D3DC2" w:rsidRPr="008174E3" w:rsidRDefault="009D3DC2" w:rsidP="009D3DC2">
      <w:pPr>
        <w:pStyle w:val="ListParagraph"/>
        <w:rPr>
          <w:rFonts w:ascii="Arial" w:hAnsi="Arial" w:cs="Arial"/>
        </w:rPr>
      </w:pPr>
    </w:p>
    <w:p w14:paraId="7B10C110" w14:textId="5FC9D0C1" w:rsidR="009D3DC2" w:rsidRPr="008174E3" w:rsidRDefault="009D3DC2" w:rsidP="009D3DC2">
      <w:pPr>
        <w:pStyle w:val="ListParagraph"/>
        <w:numPr>
          <w:ilvl w:val="0"/>
          <w:numId w:val="8"/>
        </w:numPr>
        <w:spacing w:before="120" w:line="276" w:lineRule="auto"/>
        <w:ind w:left="0"/>
        <w:jc w:val="both"/>
        <w:rPr>
          <w:rFonts w:ascii="Arial" w:hAnsi="Arial" w:cs="Arial"/>
          <w:b/>
          <w:sz w:val="22"/>
          <w:szCs w:val="22"/>
        </w:rPr>
      </w:pPr>
      <w:r w:rsidRPr="008174E3">
        <w:rPr>
          <w:rFonts w:ascii="Arial" w:hAnsi="Arial" w:cs="Arial"/>
          <w:sz w:val="22"/>
          <w:szCs w:val="22"/>
        </w:rPr>
        <w:t xml:space="preserve">Para dar mayor sustento al análisis de sensibilidad se calculan tres escenarios adicionales: </w:t>
      </w:r>
      <w:r w:rsidR="009C77BE" w:rsidRPr="008174E3">
        <w:rPr>
          <w:rFonts w:ascii="Arial" w:hAnsi="Arial" w:cs="Arial"/>
          <w:sz w:val="22"/>
          <w:szCs w:val="22"/>
        </w:rPr>
        <w:t>(</w:t>
      </w:r>
      <w:r w:rsidRPr="008174E3">
        <w:rPr>
          <w:rFonts w:ascii="Arial" w:hAnsi="Arial" w:cs="Arial"/>
          <w:sz w:val="22"/>
          <w:szCs w:val="22"/>
        </w:rPr>
        <w:t xml:space="preserve">i) el primero es un escenario negativo adicional que contempla el uso de varios supuestos pesimistas a la vez, definido como escenario pesimista complejo; </w:t>
      </w:r>
      <w:r w:rsidR="009C77BE" w:rsidRPr="008174E3">
        <w:rPr>
          <w:rFonts w:ascii="Arial" w:hAnsi="Arial" w:cs="Arial"/>
          <w:sz w:val="22"/>
          <w:szCs w:val="22"/>
        </w:rPr>
        <w:t>(</w:t>
      </w:r>
      <w:r w:rsidRPr="008174E3">
        <w:rPr>
          <w:rFonts w:ascii="Arial" w:hAnsi="Arial" w:cs="Arial"/>
          <w:sz w:val="22"/>
          <w:szCs w:val="22"/>
        </w:rPr>
        <w:t>ii)</w:t>
      </w:r>
      <w:r w:rsidR="009C77BE" w:rsidRPr="008174E3">
        <w:rPr>
          <w:rFonts w:ascii="Arial" w:hAnsi="Arial" w:cs="Arial"/>
          <w:sz w:val="22"/>
          <w:szCs w:val="22"/>
        </w:rPr>
        <w:t> </w:t>
      </w:r>
      <w:r w:rsidRPr="008174E3">
        <w:rPr>
          <w:rFonts w:ascii="Arial" w:hAnsi="Arial" w:cs="Arial"/>
          <w:sz w:val="22"/>
          <w:szCs w:val="22"/>
        </w:rPr>
        <w:t xml:space="preserve">el segundo escenario es uno en el cual se presentan las variables relevantes con el cual el VPN del proyecto sea igual a cero; </w:t>
      </w:r>
      <w:r w:rsidR="009C77BE" w:rsidRPr="008174E3">
        <w:rPr>
          <w:rFonts w:ascii="Arial" w:hAnsi="Arial" w:cs="Arial"/>
          <w:sz w:val="22"/>
          <w:szCs w:val="22"/>
        </w:rPr>
        <w:t>(</w:t>
      </w:r>
      <w:r w:rsidRPr="008174E3">
        <w:rPr>
          <w:rFonts w:ascii="Arial" w:hAnsi="Arial" w:cs="Arial"/>
          <w:sz w:val="22"/>
          <w:szCs w:val="22"/>
        </w:rPr>
        <w:t>iii) por último</w:t>
      </w:r>
      <w:r w:rsidR="009C77BE" w:rsidRPr="008174E3">
        <w:rPr>
          <w:rFonts w:ascii="Arial" w:hAnsi="Arial" w:cs="Arial"/>
          <w:sz w:val="22"/>
          <w:szCs w:val="22"/>
        </w:rPr>
        <w:t>,</w:t>
      </w:r>
      <w:r w:rsidRPr="008174E3">
        <w:rPr>
          <w:rFonts w:ascii="Arial" w:hAnsi="Arial" w:cs="Arial"/>
          <w:sz w:val="22"/>
          <w:szCs w:val="22"/>
        </w:rPr>
        <w:t xml:space="preserve"> se presenta el escenario con varios supuestos optimista</w:t>
      </w:r>
      <w:r w:rsidR="009C77BE" w:rsidRPr="008174E3">
        <w:rPr>
          <w:rFonts w:ascii="Arial" w:hAnsi="Arial" w:cs="Arial"/>
          <w:sz w:val="22"/>
          <w:szCs w:val="22"/>
        </w:rPr>
        <w:t>s</w:t>
      </w:r>
      <w:r w:rsidRPr="008174E3">
        <w:rPr>
          <w:rFonts w:ascii="Arial" w:hAnsi="Arial" w:cs="Arial"/>
          <w:sz w:val="22"/>
          <w:szCs w:val="22"/>
        </w:rPr>
        <w:t xml:space="preserve"> ocurriendo al mismo tiempo, definido como escenario optimista complejo</w:t>
      </w:r>
      <w:r w:rsidR="00090F38" w:rsidRPr="008174E3">
        <w:rPr>
          <w:rFonts w:ascii="Arial" w:hAnsi="Arial" w:cs="Arial"/>
          <w:sz w:val="22"/>
          <w:szCs w:val="22"/>
        </w:rPr>
        <w:t xml:space="preserve"> (</w:t>
      </w:r>
      <w:r w:rsidR="00827E44" w:rsidRPr="008174E3">
        <w:rPr>
          <w:rFonts w:ascii="Arial" w:hAnsi="Arial" w:cs="Arial"/>
          <w:sz w:val="22"/>
          <w:szCs w:val="22"/>
        </w:rPr>
        <w:t>Cuadro </w:t>
      </w:r>
      <w:r w:rsidR="00B46F49" w:rsidRPr="008174E3">
        <w:rPr>
          <w:rFonts w:ascii="Arial" w:hAnsi="Arial" w:cs="Arial"/>
          <w:sz w:val="22"/>
          <w:szCs w:val="22"/>
        </w:rPr>
        <w:t>8</w:t>
      </w:r>
      <w:r w:rsidR="00090F38" w:rsidRPr="008174E3">
        <w:rPr>
          <w:rFonts w:ascii="Arial" w:hAnsi="Arial" w:cs="Arial"/>
          <w:sz w:val="22"/>
          <w:szCs w:val="22"/>
        </w:rPr>
        <w:t>)</w:t>
      </w:r>
      <w:r w:rsidR="0057334C" w:rsidRPr="008174E3">
        <w:rPr>
          <w:rFonts w:ascii="Arial" w:hAnsi="Arial" w:cs="Arial"/>
          <w:sz w:val="22"/>
          <w:szCs w:val="22"/>
        </w:rPr>
        <w:t>.</w:t>
      </w:r>
    </w:p>
    <w:p w14:paraId="6798A6CD" w14:textId="77777777" w:rsidR="0057334C" w:rsidRPr="008174E3" w:rsidRDefault="0057334C" w:rsidP="0057334C">
      <w:pPr>
        <w:pStyle w:val="ListParagraph"/>
        <w:spacing w:before="120" w:line="276" w:lineRule="auto"/>
        <w:ind w:left="0"/>
        <w:jc w:val="both"/>
        <w:rPr>
          <w:rFonts w:ascii="Arial" w:hAnsi="Arial" w:cs="Arial"/>
          <w:sz w:val="22"/>
          <w:szCs w:val="22"/>
        </w:rPr>
      </w:pPr>
    </w:p>
    <w:p w14:paraId="4779A1E1" w14:textId="38D588A3" w:rsidR="009D3DC2" w:rsidRPr="008174E3" w:rsidRDefault="0057334C" w:rsidP="009C7E3B">
      <w:pPr>
        <w:pStyle w:val="ListParagraph"/>
        <w:numPr>
          <w:ilvl w:val="0"/>
          <w:numId w:val="8"/>
        </w:numPr>
        <w:spacing w:before="120" w:line="276" w:lineRule="auto"/>
        <w:ind w:left="0"/>
        <w:jc w:val="both"/>
        <w:rPr>
          <w:rFonts w:ascii="Arial" w:hAnsi="Arial" w:cs="Arial"/>
          <w:sz w:val="22"/>
          <w:szCs w:val="22"/>
        </w:rPr>
      </w:pPr>
      <w:r w:rsidRPr="008174E3">
        <w:rPr>
          <w:rFonts w:ascii="Arial" w:hAnsi="Arial" w:cs="Arial"/>
          <w:sz w:val="22"/>
          <w:szCs w:val="22"/>
        </w:rPr>
        <w:t>Con respecto al escenario pesimista complejo para el componente de fortalecimiento del SNE, este asume que el impacto de formalidad se reduce de 3 pp. a 2,5 pp.</w:t>
      </w:r>
      <w:r w:rsidR="00796D46" w:rsidRPr="008174E3">
        <w:rPr>
          <w:rFonts w:ascii="Arial" w:hAnsi="Arial" w:cs="Arial"/>
          <w:sz w:val="22"/>
          <w:szCs w:val="22"/>
        </w:rPr>
        <w:t xml:space="preserve"> para hombres y de 3</w:t>
      </w:r>
      <w:r w:rsidR="00827E44" w:rsidRPr="008174E3">
        <w:rPr>
          <w:rFonts w:ascii="Arial" w:hAnsi="Arial" w:cs="Arial"/>
          <w:sz w:val="22"/>
          <w:szCs w:val="22"/>
        </w:rPr>
        <w:t>,</w:t>
      </w:r>
      <w:r w:rsidR="00796D46" w:rsidRPr="008174E3">
        <w:rPr>
          <w:rFonts w:ascii="Arial" w:hAnsi="Arial" w:cs="Arial"/>
          <w:sz w:val="22"/>
          <w:szCs w:val="22"/>
        </w:rPr>
        <w:t>5 pp. a 2</w:t>
      </w:r>
      <w:r w:rsidR="00827E44" w:rsidRPr="008174E3">
        <w:rPr>
          <w:rFonts w:ascii="Arial" w:hAnsi="Arial" w:cs="Arial"/>
          <w:sz w:val="22"/>
          <w:szCs w:val="22"/>
        </w:rPr>
        <w:t>,</w:t>
      </w:r>
      <w:r w:rsidR="00796D46" w:rsidRPr="008174E3">
        <w:rPr>
          <w:rFonts w:ascii="Arial" w:hAnsi="Arial" w:cs="Arial"/>
          <w:sz w:val="22"/>
          <w:szCs w:val="22"/>
        </w:rPr>
        <w:t>9 pp.</w:t>
      </w:r>
      <w:r w:rsidRPr="008174E3">
        <w:rPr>
          <w:rFonts w:ascii="Arial" w:hAnsi="Arial" w:cs="Arial"/>
          <w:sz w:val="22"/>
          <w:szCs w:val="22"/>
        </w:rPr>
        <w:t xml:space="preserve"> </w:t>
      </w:r>
      <w:r w:rsidR="00796D46" w:rsidRPr="008174E3">
        <w:rPr>
          <w:rFonts w:ascii="Arial" w:hAnsi="Arial" w:cs="Arial"/>
          <w:sz w:val="22"/>
          <w:szCs w:val="22"/>
        </w:rPr>
        <w:t xml:space="preserve">para mujeres </w:t>
      </w:r>
      <w:r w:rsidRPr="008174E3">
        <w:rPr>
          <w:rFonts w:ascii="Arial" w:hAnsi="Arial" w:cs="Arial"/>
          <w:sz w:val="22"/>
          <w:szCs w:val="22"/>
        </w:rPr>
        <w:t xml:space="preserve">y que el </w:t>
      </w:r>
      <w:r w:rsidR="009106B4" w:rsidRPr="008174E3">
        <w:rPr>
          <w:rFonts w:ascii="Arial" w:hAnsi="Arial" w:cs="Arial"/>
          <w:sz w:val="22"/>
          <w:szCs w:val="22"/>
        </w:rPr>
        <w:t>impacto</w:t>
      </w:r>
      <w:r w:rsidRPr="008174E3">
        <w:rPr>
          <w:rFonts w:ascii="Arial" w:hAnsi="Arial" w:cs="Arial"/>
          <w:sz w:val="22"/>
          <w:szCs w:val="22"/>
        </w:rPr>
        <w:t xml:space="preserve"> asociado a formalidad es de tan solo 20% del ingreso. En este escenario, el VPN del componente es todavía positivo con un VPN de </w:t>
      </w:r>
      <w:r w:rsidR="009C77BE" w:rsidRPr="008174E3">
        <w:rPr>
          <w:rFonts w:ascii="Arial" w:hAnsi="Arial" w:cs="Arial"/>
          <w:sz w:val="22"/>
          <w:szCs w:val="22"/>
        </w:rPr>
        <w:t>US$</w:t>
      </w:r>
      <w:r w:rsidR="000F77AF">
        <w:rPr>
          <w:rFonts w:ascii="Arial" w:hAnsi="Arial" w:cs="Arial"/>
          <w:sz w:val="22"/>
          <w:szCs w:val="22"/>
        </w:rPr>
        <w:t>21</w:t>
      </w:r>
      <w:r w:rsidR="00796D46" w:rsidRPr="008174E3">
        <w:rPr>
          <w:rFonts w:ascii="Arial" w:hAnsi="Arial" w:cs="Arial"/>
          <w:sz w:val="22"/>
          <w:szCs w:val="22"/>
        </w:rPr>
        <w:t>,</w:t>
      </w:r>
      <w:r w:rsidR="000F77AF">
        <w:rPr>
          <w:rFonts w:ascii="Arial" w:hAnsi="Arial" w:cs="Arial"/>
          <w:sz w:val="22"/>
          <w:szCs w:val="22"/>
        </w:rPr>
        <w:t>1</w:t>
      </w:r>
      <w:r w:rsidR="008B5C51" w:rsidRPr="008174E3">
        <w:rPr>
          <w:rFonts w:ascii="Arial" w:hAnsi="Arial" w:cs="Arial"/>
          <w:sz w:val="22"/>
          <w:szCs w:val="22"/>
        </w:rPr>
        <w:t>7</w:t>
      </w:r>
      <w:r w:rsidRPr="008174E3">
        <w:rPr>
          <w:rFonts w:ascii="Arial" w:hAnsi="Arial" w:cs="Arial"/>
          <w:sz w:val="22"/>
          <w:szCs w:val="22"/>
        </w:rPr>
        <w:t xml:space="preserve"> millones. Para el escenario pesimista complejo del componente de </w:t>
      </w:r>
      <w:r w:rsidR="00B46F49" w:rsidRPr="008174E3">
        <w:rPr>
          <w:rFonts w:ascii="Arial" w:hAnsi="Arial" w:cs="Arial"/>
          <w:sz w:val="22"/>
          <w:szCs w:val="22"/>
        </w:rPr>
        <w:t>f</w:t>
      </w:r>
      <w:r w:rsidRPr="008174E3">
        <w:rPr>
          <w:rFonts w:ascii="Arial" w:hAnsi="Arial" w:cs="Arial"/>
          <w:sz w:val="22"/>
          <w:szCs w:val="22"/>
        </w:rPr>
        <w:t xml:space="preserve">ortalecimiento </w:t>
      </w:r>
      <w:r w:rsidR="00B46F49" w:rsidRPr="008174E3">
        <w:rPr>
          <w:rFonts w:ascii="Arial" w:hAnsi="Arial" w:cs="Arial"/>
          <w:sz w:val="22"/>
          <w:szCs w:val="22"/>
        </w:rPr>
        <w:t xml:space="preserve">del PAE </w:t>
      </w:r>
      <w:r w:rsidRPr="008174E3">
        <w:rPr>
          <w:rFonts w:ascii="Arial" w:hAnsi="Arial" w:cs="Arial"/>
          <w:sz w:val="22"/>
          <w:szCs w:val="22"/>
        </w:rPr>
        <w:t>asume una reducción en el impacto en formalidad de 6 pp. a 5 pp. con una reducción del impacto asociado a formalidad a 20% del ingreso de referencia, el resultado del VPN</w:t>
      </w:r>
      <w:r w:rsidR="00796D46" w:rsidRPr="008174E3">
        <w:rPr>
          <w:rFonts w:ascii="Arial" w:hAnsi="Arial" w:cs="Arial"/>
          <w:sz w:val="22"/>
          <w:szCs w:val="22"/>
        </w:rPr>
        <w:t xml:space="preserve"> del componente es negativo en </w:t>
      </w:r>
      <w:r w:rsidR="009C77BE" w:rsidRPr="008174E3">
        <w:rPr>
          <w:rFonts w:ascii="Arial" w:hAnsi="Arial" w:cs="Arial"/>
          <w:sz w:val="22"/>
          <w:szCs w:val="22"/>
        </w:rPr>
        <w:t>US$</w:t>
      </w:r>
      <w:r w:rsidR="00796D46" w:rsidRPr="008174E3">
        <w:rPr>
          <w:rFonts w:ascii="Arial" w:hAnsi="Arial" w:cs="Arial"/>
          <w:sz w:val="22"/>
          <w:szCs w:val="22"/>
        </w:rPr>
        <w:t>1</w:t>
      </w:r>
      <w:r w:rsidR="000F77AF">
        <w:rPr>
          <w:rFonts w:ascii="Arial" w:hAnsi="Arial" w:cs="Arial"/>
          <w:sz w:val="22"/>
          <w:szCs w:val="22"/>
        </w:rPr>
        <w:t>4</w:t>
      </w:r>
      <w:r w:rsidR="00796D46" w:rsidRPr="008174E3">
        <w:rPr>
          <w:rFonts w:ascii="Arial" w:hAnsi="Arial" w:cs="Arial"/>
          <w:sz w:val="22"/>
          <w:szCs w:val="22"/>
        </w:rPr>
        <w:t>,</w:t>
      </w:r>
      <w:r w:rsidR="000F77AF">
        <w:rPr>
          <w:rFonts w:ascii="Arial" w:hAnsi="Arial" w:cs="Arial"/>
          <w:sz w:val="22"/>
          <w:szCs w:val="22"/>
        </w:rPr>
        <w:t>37</w:t>
      </w:r>
      <w:r w:rsidRPr="008174E3">
        <w:rPr>
          <w:rFonts w:ascii="Arial" w:hAnsi="Arial" w:cs="Arial"/>
          <w:sz w:val="22"/>
          <w:szCs w:val="22"/>
        </w:rPr>
        <w:t xml:space="preserve"> millones. Sin embargo</w:t>
      </w:r>
      <w:r w:rsidR="006500B8" w:rsidRPr="008174E3">
        <w:rPr>
          <w:rFonts w:ascii="Arial" w:hAnsi="Arial" w:cs="Arial"/>
          <w:sz w:val="22"/>
          <w:szCs w:val="22"/>
        </w:rPr>
        <w:t>,</w:t>
      </w:r>
      <w:r w:rsidRPr="008174E3">
        <w:rPr>
          <w:rFonts w:ascii="Arial" w:hAnsi="Arial" w:cs="Arial"/>
          <w:sz w:val="22"/>
          <w:szCs w:val="22"/>
        </w:rPr>
        <w:t xml:space="preserve"> en conjunto el prog</w:t>
      </w:r>
      <w:r w:rsidR="00796D46" w:rsidRPr="008174E3">
        <w:rPr>
          <w:rFonts w:ascii="Arial" w:hAnsi="Arial" w:cs="Arial"/>
          <w:sz w:val="22"/>
          <w:szCs w:val="22"/>
        </w:rPr>
        <w:t xml:space="preserve">rama sigue siendo positivo por </w:t>
      </w:r>
      <w:r w:rsidR="009C77BE" w:rsidRPr="008174E3">
        <w:rPr>
          <w:rFonts w:ascii="Arial" w:hAnsi="Arial" w:cs="Arial"/>
          <w:sz w:val="22"/>
          <w:szCs w:val="22"/>
        </w:rPr>
        <w:t>US$</w:t>
      </w:r>
      <w:r w:rsidR="000F77AF">
        <w:rPr>
          <w:rFonts w:ascii="Arial" w:hAnsi="Arial" w:cs="Arial"/>
          <w:sz w:val="22"/>
          <w:szCs w:val="22"/>
        </w:rPr>
        <w:t>6</w:t>
      </w:r>
      <w:r w:rsidR="00796D46" w:rsidRPr="008174E3">
        <w:rPr>
          <w:rFonts w:ascii="Arial" w:hAnsi="Arial" w:cs="Arial"/>
          <w:sz w:val="22"/>
          <w:szCs w:val="22"/>
        </w:rPr>
        <w:t>,</w:t>
      </w:r>
      <w:r w:rsidR="000F77AF">
        <w:rPr>
          <w:rFonts w:ascii="Arial" w:hAnsi="Arial" w:cs="Arial"/>
          <w:sz w:val="22"/>
          <w:szCs w:val="22"/>
        </w:rPr>
        <w:t>80</w:t>
      </w:r>
      <w:r w:rsidRPr="008174E3">
        <w:rPr>
          <w:rFonts w:ascii="Arial" w:hAnsi="Arial" w:cs="Arial"/>
          <w:sz w:val="22"/>
          <w:szCs w:val="22"/>
        </w:rPr>
        <w:t xml:space="preserve"> millones</w:t>
      </w:r>
      <w:r w:rsidR="006500B8" w:rsidRPr="008174E3">
        <w:rPr>
          <w:rFonts w:ascii="Arial" w:hAnsi="Arial" w:cs="Arial"/>
          <w:sz w:val="22"/>
          <w:szCs w:val="22"/>
        </w:rPr>
        <w:t>, incluso ante</w:t>
      </w:r>
      <w:r w:rsidR="00090F38" w:rsidRPr="008174E3">
        <w:rPr>
          <w:rFonts w:ascii="Arial" w:hAnsi="Arial" w:cs="Arial"/>
          <w:sz w:val="22"/>
          <w:szCs w:val="22"/>
        </w:rPr>
        <w:t xml:space="preserve"> la presencia de</w:t>
      </w:r>
      <w:r w:rsidR="006500B8" w:rsidRPr="008174E3">
        <w:rPr>
          <w:rFonts w:ascii="Arial" w:hAnsi="Arial" w:cs="Arial"/>
          <w:sz w:val="22"/>
          <w:szCs w:val="22"/>
        </w:rPr>
        <w:t xml:space="preserve"> supuestos tan restrictivos</w:t>
      </w:r>
      <w:r w:rsidRPr="008174E3">
        <w:rPr>
          <w:rFonts w:ascii="Arial" w:hAnsi="Arial" w:cs="Arial"/>
          <w:sz w:val="22"/>
          <w:szCs w:val="22"/>
        </w:rPr>
        <w:t>.</w:t>
      </w:r>
    </w:p>
    <w:p w14:paraId="6F98586B" w14:textId="77777777" w:rsidR="0057334C" w:rsidRPr="008174E3" w:rsidRDefault="0057334C" w:rsidP="009D3DC2">
      <w:pPr>
        <w:pStyle w:val="ListParagraph"/>
        <w:spacing w:before="120"/>
        <w:ind w:left="0"/>
        <w:jc w:val="both"/>
        <w:rPr>
          <w:rFonts w:ascii="Arial" w:hAnsi="Arial" w:cs="Arial"/>
          <w:sz w:val="22"/>
          <w:szCs w:val="22"/>
        </w:rPr>
      </w:pPr>
    </w:p>
    <w:p w14:paraId="57B6B07F" w14:textId="41337BD4" w:rsidR="006500B8" w:rsidRPr="00AA5D3E" w:rsidRDefault="006500B8" w:rsidP="006500B8">
      <w:pPr>
        <w:pStyle w:val="ListParagraph"/>
        <w:numPr>
          <w:ilvl w:val="0"/>
          <w:numId w:val="8"/>
        </w:numPr>
        <w:spacing w:before="120"/>
        <w:ind w:left="0"/>
        <w:jc w:val="both"/>
        <w:rPr>
          <w:rFonts w:ascii="Arial" w:hAnsi="Arial" w:cs="Arial"/>
          <w:sz w:val="22"/>
          <w:szCs w:val="22"/>
        </w:rPr>
      </w:pPr>
      <w:r w:rsidRPr="00AA5D3E">
        <w:rPr>
          <w:rFonts w:ascii="Arial" w:hAnsi="Arial" w:cs="Arial"/>
          <w:sz w:val="22"/>
          <w:szCs w:val="22"/>
        </w:rPr>
        <w:t xml:space="preserve">Analizando el nivel de las </w:t>
      </w:r>
      <w:r w:rsidR="00814B75" w:rsidRPr="00AA5D3E">
        <w:rPr>
          <w:rFonts w:ascii="Arial" w:hAnsi="Arial" w:cs="Arial"/>
          <w:sz w:val="22"/>
          <w:szCs w:val="22"/>
        </w:rPr>
        <w:t xml:space="preserve">variables de impacto que hacen que el VPN </w:t>
      </w:r>
      <w:r w:rsidRPr="00AA5D3E">
        <w:rPr>
          <w:rFonts w:ascii="Arial" w:hAnsi="Arial" w:cs="Arial"/>
          <w:sz w:val="22"/>
          <w:szCs w:val="22"/>
        </w:rPr>
        <w:t xml:space="preserve">sea igual a 0 se </w:t>
      </w:r>
      <w:r w:rsidR="00796D46" w:rsidRPr="00AA5D3E">
        <w:rPr>
          <w:rFonts w:ascii="Arial" w:hAnsi="Arial" w:cs="Arial"/>
          <w:sz w:val="22"/>
          <w:szCs w:val="22"/>
        </w:rPr>
        <w:t xml:space="preserve">encuentra </w:t>
      </w:r>
      <w:r w:rsidRPr="00AA5D3E">
        <w:rPr>
          <w:rFonts w:ascii="Arial" w:hAnsi="Arial" w:cs="Arial"/>
          <w:sz w:val="22"/>
          <w:szCs w:val="22"/>
        </w:rPr>
        <w:t>que: Para el componente 1</w:t>
      </w:r>
      <w:r w:rsidR="00090F38" w:rsidRPr="00AA5D3E">
        <w:rPr>
          <w:rFonts w:ascii="Arial" w:hAnsi="Arial" w:cs="Arial"/>
          <w:sz w:val="22"/>
          <w:szCs w:val="22"/>
        </w:rPr>
        <w:t>,</w:t>
      </w:r>
      <w:r w:rsidRPr="00AA5D3E">
        <w:rPr>
          <w:rFonts w:ascii="Arial" w:hAnsi="Arial" w:cs="Arial"/>
          <w:sz w:val="22"/>
          <w:szCs w:val="22"/>
        </w:rPr>
        <w:t xml:space="preserve"> </w:t>
      </w:r>
      <w:r w:rsidR="00814B75" w:rsidRPr="00AA5D3E">
        <w:rPr>
          <w:rFonts w:ascii="Arial" w:hAnsi="Arial" w:cs="Arial"/>
          <w:sz w:val="22"/>
          <w:szCs w:val="22"/>
        </w:rPr>
        <w:t xml:space="preserve">un impacto en formalidad </w:t>
      </w:r>
      <w:r w:rsidR="00796D46" w:rsidRPr="00AA5D3E">
        <w:rPr>
          <w:rFonts w:ascii="Arial" w:hAnsi="Arial" w:cs="Arial"/>
          <w:sz w:val="22"/>
          <w:szCs w:val="22"/>
        </w:rPr>
        <w:t>de 1</w:t>
      </w:r>
      <w:r w:rsidR="00827E44" w:rsidRPr="00AA5D3E">
        <w:rPr>
          <w:rFonts w:ascii="Arial" w:hAnsi="Arial" w:cs="Arial"/>
          <w:sz w:val="22"/>
          <w:szCs w:val="22"/>
        </w:rPr>
        <w:t>,</w:t>
      </w:r>
      <w:r w:rsidR="00796D46" w:rsidRPr="00AA5D3E">
        <w:rPr>
          <w:rFonts w:ascii="Arial" w:hAnsi="Arial" w:cs="Arial"/>
          <w:sz w:val="22"/>
          <w:szCs w:val="22"/>
        </w:rPr>
        <w:t>6</w:t>
      </w:r>
      <w:r w:rsidR="00AA5D3E" w:rsidRPr="00AA5D3E">
        <w:rPr>
          <w:rFonts w:ascii="Arial" w:hAnsi="Arial" w:cs="Arial"/>
          <w:sz w:val="22"/>
          <w:szCs w:val="22"/>
        </w:rPr>
        <w:t>1</w:t>
      </w:r>
      <w:r w:rsidR="00814B75" w:rsidRPr="00AA5D3E">
        <w:rPr>
          <w:rFonts w:ascii="Arial" w:hAnsi="Arial" w:cs="Arial"/>
          <w:sz w:val="22"/>
          <w:szCs w:val="22"/>
        </w:rPr>
        <w:t xml:space="preserve"> pp.</w:t>
      </w:r>
      <w:r w:rsidR="00796D46" w:rsidRPr="00AA5D3E">
        <w:rPr>
          <w:rFonts w:ascii="Arial" w:hAnsi="Arial" w:cs="Arial"/>
          <w:sz w:val="22"/>
          <w:szCs w:val="22"/>
        </w:rPr>
        <w:t xml:space="preserve"> para mujeres y 2,1</w:t>
      </w:r>
      <w:r w:rsidR="00AA5D3E" w:rsidRPr="00AA5D3E">
        <w:rPr>
          <w:rFonts w:ascii="Arial" w:hAnsi="Arial" w:cs="Arial"/>
          <w:sz w:val="22"/>
          <w:szCs w:val="22"/>
        </w:rPr>
        <w:t>1</w:t>
      </w:r>
      <w:r w:rsidR="00796D46" w:rsidRPr="00AA5D3E">
        <w:rPr>
          <w:rFonts w:ascii="Arial" w:hAnsi="Arial" w:cs="Arial"/>
          <w:sz w:val="22"/>
          <w:szCs w:val="22"/>
        </w:rPr>
        <w:t xml:space="preserve"> pp. para hombres </w:t>
      </w:r>
      <w:r w:rsidRPr="00AA5D3E">
        <w:rPr>
          <w:rFonts w:ascii="Arial" w:hAnsi="Arial" w:cs="Arial"/>
          <w:sz w:val="22"/>
          <w:szCs w:val="22"/>
        </w:rPr>
        <w:t>genera un VPN de 0</w:t>
      </w:r>
      <w:r w:rsidR="00814B75" w:rsidRPr="00AA5D3E">
        <w:rPr>
          <w:rFonts w:ascii="Arial" w:hAnsi="Arial" w:cs="Arial"/>
          <w:sz w:val="22"/>
          <w:szCs w:val="22"/>
        </w:rPr>
        <w:t>. Así también</w:t>
      </w:r>
      <w:r w:rsidRPr="00AA5D3E">
        <w:rPr>
          <w:rFonts w:ascii="Arial" w:hAnsi="Arial" w:cs="Arial"/>
          <w:sz w:val="22"/>
          <w:szCs w:val="22"/>
        </w:rPr>
        <w:t>,</w:t>
      </w:r>
      <w:r w:rsidR="00814B75" w:rsidRPr="00AA5D3E">
        <w:rPr>
          <w:rFonts w:ascii="Arial" w:hAnsi="Arial" w:cs="Arial"/>
          <w:sz w:val="22"/>
          <w:szCs w:val="22"/>
        </w:rPr>
        <w:t xml:space="preserve"> un costo económico de la intermediación laboral </w:t>
      </w:r>
      <w:r w:rsidRPr="00AA5D3E">
        <w:rPr>
          <w:rFonts w:ascii="Arial" w:hAnsi="Arial" w:cs="Arial"/>
          <w:sz w:val="22"/>
          <w:szCs w:val="22"/>
        </w:rPr>
        <w:t xml:space="preserve">de </w:t>
      </w:r>
      <w:r w:rsidR="00796D46" w:rsidRPr="00AA5D3E">
        <w:rPr>
          <w:rFonts w:ascii="Arial" w:hAnsi="Arial" w:cs="Arial"/>
          <w:sz w:val="22"/>
          <w:szCs w:val="22"/>
        </w:rPr>
        <w:t>4,</w:t>
      </w:r>
      <w:r w:rsidR="005B4B8B" w:rsidRPr="00AA5D3E">
        <w:rPr>
          <w:rFonts w:ascii="Arial" w:hAnsi="Arial" w:cs="Arial"/>
          <w:sz w:val="22"/>
          <w:szCs w:val="22"/>
        </w:rPr>
        <w:t>2</w:t>
      </w:r>
      <w:r w:rsidR="00AA5D3E" w:rsidRPr="00AA5D3E">
        <w:rPr>
          <w:rFonts w:ascii="Arial" w:hAnsi="Arial" w:cs="Arial"/>
          <w:sz w:val="22"/>
          <w:szCs w:val="22"/>
        </w:rPr>
        <w:t>5</w:t>
      </w:r>
      <w:r w:rsidR="00814B75" w:rsidRPr="00AA5D3E">
        <w:rPr>
          <w:rFonts w:ascii="Arial" w:hAnsi="Arial" w:cs="Arial"/>
          <w:sz w:val="22"/>
          <w:szCs w:val="22"/>
        </w:rPr>
        <w:t xml:space="preserve"> días de p</w:t>
      </w:r>
      <w:r w:rsidR="009C77BE" w:rsidRPr="00AA5D3E">
        <w:rPr>
          <w:rFonts w:ascii="Arial" w:hAnsi="Arial" w:cs="Arial"/>
          <w:sz w:val="22"/>
          <w:szCs w:val="22"/>
        </w:rPr>
        <w:t>é</w:t>
      </w:r>
      <w:r w:rsidR="00814B75" w:rsidRPr="00AA5D3E">
        <w:rPr>
          <w:rFonts w:ascii="Arial" w:hAnsi="Arial" w:cs="Arial"/>
          <w:sz w:val="22"/>
          <w:szCs w:val="22"/>
        </w:rPr>
        <w:t xml:space="preserve">rdida de ingreso hace que el componente </w:t>
      </w:r>
      <w:r w:rsidRPr="00AA5D3E">
        <w:rPr>
          <w:rFonts w:ascii="Arial" w:hAnsi="Arial" w:cs="Arial"/>
          <w:sz w:val="22"/>
          <w:szCs w:val="22"/>
        </w:rPr>
        <w:t xml:space="preserve">tenga </w:t>
      </w:r>
      <w:r w:rsidR="00814B75" w:rsidRPr="00AA5D3E">
        <w:rPr>
          <w:rFonts w:ascii="Arial" w:hAnsi="Arial" w:cs="Arial"/>
          <w:sz w:val="22"/>
          <w:szCs w:val="22"/>
        </w:rPr>
        <w:t xml:space="preserve">un VPN </w:t>
      </w:r>
      <w:r w:rsidRPr="00AA5D3E">
        <w:rPr>
          <w:rFonts w:ascii="Arial" w:hAnsi="Arial" w:cs="Arial"/>
          <w:sz w:val="22"/>
          <w:szCs w:val="22"/>
        </w:rPr>
        <w:t>igual a 0</w:t>
      </w:r>
      <w:r w:rsidR="00814B75" w:rsidRPr="00AA5D3E">
        <w:rPr>
          <w:rFonts w:ascii="Arial" w:hAnsi="Arial" w:cs="Arial"/>
          <w:sz w:val="22"/>
          <w:szCs w:val="22"/>
        </w:rPr>
        <w:t>.</w:t>
      </w:r>
      <w:r w:rsidRPr="00AA5D3E">
        <w:rPr>
          <w:rFonts w:ascii="Arial" w:hAnsi="Arial" w:cs="Arial"/>
          <w:sz w:val="22"/>
          <w:szCs w:val="22"/>
        </w:rPr>
        <w:t xml:space="preserve"> Finalmente, un impacto asociado a formalidad </w:t>
      </w:r>
      <w:r w:rsidR="00796D46" w:rsidRPr="00AA5D3E">
        <w:rPr>
          <w:rFonts w:ascii="Arial" w:hAnsi="Arial" w:cs="Arial"/>
          <w:sz w:val="22"/>
          <w:szCs w:val="22"/>
        </w:rPr>
        <w:t xml:space="preserve">como porcentaje del ingreso </w:t>
      </w:r>
      <w:r w:rsidRPr="00AA5D3E">
        <w:rPr>
          <w:rFonts w:ascii="Arial" w:hAnsi="Arial" w:cs="Arial"/>
          <w:sz w:val="22"/>
          <w:szCs w:val="22"/>
        </w:rPr>
        <w:t xml:space="preserve">de </w:t>
      </w:r>
      <w:r w:rsidR="00796D46" w:rsidRPr="00AA5D3E">
        <w:rPr>
          <w:rFonts w:ascii="Arial" w:hAnsi="Arial" w:cs="Arial"/>
          <w:sz w:val="22"/>
          <w:szCs w:val="22"/>
        </w:rPr>
        <w:t>1</w:t>
      </w:r>
      <w:r w:rsidR="00AA5D3E" w:rsidRPr="00AA5D3E">
        <w:rPr>
          <w:rFonts w:ascii="Arial" w:hAnsi="Arial" w:cs="Arial"/>
          <w:sz w:val="22"/>
          <w:szCs w:val="22"/>
        </w:rPr>
        <w:t>1</w:t>
      </w:r>
      <w:r w:rsidR="009C77BE" w:rsidRPr="00AA5D3E">
        <w:rPr>
          <w:rFonts w:ascii="Arial" w:hAnsi="Arial" w:cs="Arial"/>
          <w:sz w:val="22"/>
          <w:szCs w:val="22"/>
        </w:rPr>
        <w:t>,</w:t>
      </w:r>
      <w:r w:rsidR="00AA5D3E" w:rsidRPr="00AA5D3E">
        <w:rPr>
          <w:rFonts w:ascii="Arial" w:hAnsi="Arial" w:cs="Arial"/>
          <w:sz w:val="22"/>
          <w:szCs w:val="22"/>
        </w:rPr>
        <w:t>95</w:t>
      </w:r>
      <w:r w:rsidRPr="00AA5D3E">
        <w:rPr>
          <w:rFonts w:ascii="Arial" w:hAnsi="Arial" w:cs="Arial"/>
          <w:sz w:val="22"/>
          <w:szCs w:val="22"/>
        </w:rPr>
        <w:t>% produce un VPN de 0. Con respecto al componente 2, se encuentra que un impacto en formalidad de 4,</w:t>
      </w:r>
      <w:r w:rsidR="00AA5D3E" w:rsidRPr="00AA5D3E">
        <w:rPr>
          <w:rFonts w:ascii="Arial" w:hAnsi="Arial" w:cs="Arial"/>
          <w:sz w:val="22"/>
          <w:szCs w:val="22"/>
        </w:rPr>
        <w:t>95</w:t>
      </w:r>
      <w:r w:rsidRPr="00AA5D3E">
        <w:rPr>
          <w:rFonts w:ascii="Arial" w:hAnsi="Arial" w:cs="Arial"/>
          <w:sz w:val="22"/>
          <w:szCs w:val="22"/>
        </w:rPr>
        <w:t xml:space="preserve"> pp. </w:t>
      </w:r>
      <w:r w:rsidRPr="00AA5D3E">
        <w:rPr>
          <w:rFonts w:ascii="Arial" w:hAnsi="Arial" w:cs="Arial"/>
          <w:sz w:val="22"/>
          <w:szCs w:val="22"/>
        </w:rPr>
        <w:lastRenderedPageBreak/>
        <w:t xml:space="preserve">generaría un VPN de 0. Así </w:t>
      </w:r>
      <w:r w:rsidR="009106B4" w:rsidRPr="00AA5D3E">
        <w:rPr>
          <w:rFonts w:ascii="Arial" w:hAnsi="Arial" w:cs="Arial"/>
          <w:sz w:val="22"/>
          <w:szCs w:val="22"/>
        </w:rPr>
        <w:t>también</w:t>
      </w:r>
      <w:r w:rsidRPr="00AA5D3E">
        <w:rPr>
          <w:rFonts w:ascii="Arial" w:hAnsi="Arial" w:cs="Arial"/>
          <w:sz w:val="22"/>
          <w:szCs w:val="22"/>
        </w:rPr>
        <w:t>, un imp</w:t>
      </w:r>
      <w:r w:rsidR="00796D46" w:rsidRPr="00AA5D3E">
        <w:rPr>
          <w:rFonts w:ascii="Arial" w:hAnsi="Arial" w:cs="Arial"/>
          <w:sz w:val="22"/>
          <w:szCs w:val="22"/>
        </w:rPr>
        <w:t>acto asociado a formalidad de 1</w:t>
      </w:r>
      <w:r w:rsidR="00AA5D3E" w:rsidRPr="00AA5D3E">
        <w:rPr>
          <w:rFonts w:ascii="Arial" w:hAnsi="Arial" w:cs="Arial"/>
          <w:sz w:val="22"/>
          <w:szCs w:val="22"/>
        </w:rPr>
        <w:t>9</w:t>
      </w:r>
      <w:r w:rsidRPr="00AA5D3E">
        <w:rPr>
          <w:rFonts w:ascii="Arial" w:hAnsi="Arial" w:cs="Arial"/>
          <w:sz w:val="22"/>
          <w:szCs w:val="22"/>
        </w:rPr>
        <w:t>,</w:t>
      </w:r>
      <w:r w:rsidR="00AA5D3E" w:rsidRPr="00AA5D3E">
        <w:rPr>
          <w:rFonts w:ascii="Arial" w:hAnsi="Arial" w:cs="Arial"/>
          <w:sz w:val="22"/>
          <w:szCs w:val="22"/>
        </w:rPr>
        <w:t>19</w:t>
      </w:r>
      <w:r w:rsidRPr="00AA5D3E">
        <w:rPr>
          <w:rFonts w:ascii="Arial" w:hAnsi="Arial" w:cs="Arial"/>
          <w:sz w:val="22"/>
          <w:szCs w:val="22"/>
        </w:rPr>
        <w:t>% del ingreso</w:t>
      </w:r>
      <w:r w:rsidR="00796D46" w:rsidRPr="00AA5D3E">
        <w:rPr>
          <w:rFonts w:ascii="Arial" w:hAnsi="Arial" w:cs="Arial"/>
          <w:sz w:val="22"/>
          <w:szCs w:val="22"/>
        </w:rPr>
        <w:t xml:space="preserve"> de referencia </w:t>
      </w:r>
      <w:r w:rsidR="0007065C" w:rsidRPr="00AA5D3E">
        <w:rPr>
          <w:rFonts w:ascii="Arial" w:hAnsi="Arial" w:cs="Arial"/>
          <w:sz w:val="22"/>
          <w:szCs w:val="22"/>
        </w:rPr>
        <w:t>genera</w:t>
      </w:r>
      <w:r w:rsidRPr="00AA5D3E">
        <w:rPr>
          <w:rFonts w:ascii="Arial" w:hAnsi="Arial" w:cs="Arial"/>
          <w:sz w:val="22"/>
          <w:szCs w:val="22"/>
        </w:rPr>
        <w:t xml:space="preserve"> un VPN de 0.</w:t>
      </w:r>
    </w:p>
    <w:p w14:paraId="782EB191" w14:textId="77777777" w:rsidR="006500B8" w:rsidRPr="008174E3" w:rsidRDefault="006500B8" w:rsidP="006500B8">
      <w:pPr>
        <w:pStyle w:val="ListParagraph"/>
        <w:rPr>
          <w:rFonts w:ascii="Arial" w:hAnsi="Arial" w:cs="Arial"/>
          <w:sz w:val="22"/>
          <w:szCs w:val="22"/>
        </w:rPr>
      </w:pPr>
    </w:p>
    <w:p w14:paraId="7614978C" w14:textId="5C260954" w:rsidR="00814B75" w:rsidRPr="008174E3" w:rsidRDefault="006500B8" w:rsidP="009C7E3B">
      <w:pPr>
        <w:pStyle w:val="ListParagraph"/>
        <w:numPr>
          <w:ilvl w:val="0"/>
          <w:numId w:val="8"/>
        </w:numPr>
        <w:spacing w:before="120"/>
        <w:ind w:left="0"/>
        <w:jc w:val="both"/>
        <w:rPr>
          <w:rFonts w:ascii="Arial" w:hAnsi="Arial" w:cs="Arial"/>
          <w:sz w:val="22"/>
          <w:szCs w:val="22"/>
        </w:rPr>
      </w:pPr>
      <w:r w:rsidRPr="008174E3">
        <w:rPr>
          <w:rFonts w:ascii="Arial" w:hAnsi="Arial" w:cs="Arial"/>
          <w:sz w:val="22"/>
          <w:szCs w:val="22"/>
        </w:rPr>
        <w:t xml:space="preserve">Por último, se presentan un escenario optimista complejo, donde las variables relevantes para el análisis se mueven en </w:t>
      </w:r>
      <w:r w:rsidR="009106B4" w:rsidRPr="008174E3">
        <w:rPr>
          <w:rFonts w:ascii="Arial" w:hAnsi="Arial" w:cs="Arial"/>
          <w:sz w:val="22"/>
          <w:szCs w:val="22"/>
        </w:rPr>
        <w:t>conjunto</w:t>
      </w:r>
      <w:r w:rsidRPr="008174E3">
        <w:rPr>
          <w:rFonts w:ascii="Arial" w:hAnsi="Arial" w:cs="Arial"/>
          <w:sz w:val="22"/>
          <w:szCs w:val="22"/>
        </w:rPr>
        <w:t xml:space="preserve">. Siguiendo los impactos descritos en </w:t>
      </w:r>
      <w:r w:rsidR="00827E44" w:rsidRPr="008174E3">
        <w:rPr>
          <w:rFonts w:ascii="Arial" w:hAnsi="Arial" w:cs="Arial"/>
          <w:sz w:val="22"/>
          <w:szCs w:val="22"/>
        </w:rPr>
        <w:t>el Cuadro </w:t>
      </w:r>
      <w:r w:rsidR="00B46F49" w:rsidRPr="008174E3">
        <w:rPr>
          <w:rFonts w:ascii="Arial" w:hAnsi="Arial" w:cs="Arial"/>
          <w:sz w:val="22"/>
          <w:szCs w:val="22"/>
        </w:rPr>
        <w:t>8</w:t>
      </w:r>
      <w:r w:rsidRPr="008174E3">
        <w:rPr>
          <w:rFonts w:ascii="Arial" w:hAnsi="Arial" w:cs="Arial"/>
          <w:sz w:val="22"/>
          <w:szCs w:val="22"/>
        </w:rPr>
        <w:t>, se obtiene que el VPN en este escenario para el componen</w:t>
      </w:r>
      <w:r w:rsidR="00796D46" w:rsidRPr="008174E3">
        <w:rPr>
          <w:rFonts w:ascii="Arial" w:hAnsi="Arial" w:cs="Arial"/>
          <w:sz w:val="22"/>
          <w:szCs w:val="22"/>
        </w:rPr>
        <w:t xml:space="preserve">te de Fortalecimiento </w:t>
      </w:r>
      <w:r w:rsidR="002F2240" w:rsidRPr="008174E3">
        <w:rPr>
          <w:rFonts w:ascii="Arial" w:hAnsi="Arial" w:cs="Arial"/>
          <w:sz w:val="22"/>
          <w:szCs w:val="22"/>
        </w:rPr>
        <w:t xml:space="preserve">del SNE </w:t>
      </w:r>
      <w:r w:rsidR="00796D46" w:rsidRPr="008174E3">
        <w:rPr>
          <w:rFonts w:ascii="Arial" w:hAnsi="Arial" w:cs="Arial"/>
          <w:sz w:val="22"/>
          <w:szCs w:val="22"/>
        </w:rPr>
        <w:t xml:space="preserve">sería de </w:t>
      </w:r>
      <w:r w:rsidR="009C77BE" w:rsidRPr="008174E3">
        <w:rPr>
          <w:rFonts w:ascii="Arial" w:hAnsi="Arial" w:cs="Arial"/>
          <w:sz w:val="22"/>
          <w:szCs w:val="22"/>
        </w:rPr>
        <w:t>US$</w:t>
      </w:r>
      <w:r w:rsidR="004C7107">
        <w:rPr>
          <w:rFonts w:ascii="Arial" w:hAnsi="Arial" w:cs="Arial"/>
          <w:sz w:val="22"/>
          <w:szCs w:val="22"/>
        </w:rPr>
        <w:t>137</w:t>
      </w:r>
      <w:r w:rsidR="00796D46" w:rsidRPr="008174E3">
        <w:rPr>
          <w:rFonts w:ascii="Arial" w:hAnsi="Arial" w:cs="Arial"/>
          <w:sz w:val="22"/>
          <w:szCs w:val="22"/>
        </w:rPr>
        <w:t>,</w:t>
      </w:r>
      <w:r w:rsidR="004C7107">
        <w:rPr>
          <w:rFonts w:ascii="Arial" w:hAnsi="Arial" w:cs="Arial"/>
          <w:sz w:val="22"/>
          <w:szCs w:val="22"/>
        </w:rPr>
        <w:t>73</w:t>
      </w:r>
      <w:r w:rsidRPr="008174E3">
        <w:rPr>
          <w:rFonts w:ascii="Arial" w:hAnsi="Arial" w:cs="Arial"/>
          <w:sz w:val="22"/>
          <w:szCs w:val="22"/>
        </w:rPr>
        <w:t xml:space="preserve"> millones y para el </w:t>
      </w:r>
      <w:r w:rsidR="009106B4" w:rsidRPr="008174E3">
        <w:rPr>
          <w:rFonts w:ascii="Arial" w:hAnsi="Arial" w:cs="Arial"/>
          <w:sz w:val="22"/>
          <w:szCs w:val="22"/>
        </w:rPr>
        <w:t>componente</w:t>
      </w:r>
      <w:r w:rsidR="002F2240" w:rsidRPr="008174E3">
        <w:rPr>
          <w:rFonts w:ascii="Arial" w:hAnsi="Arial" w:cs="Arial"/>
          <w:sz w:val="22"/>
          <w:szCs w:val="22"/>
        </w:rPr>
        <w:t xml:space="preserve"> de F</w:t>
      </w:r>
      <w:r w:rsidRPr="008174E3">
        <w:rPr>
          <w:rFonts w:ascii="Arial" w:hAnsi="Arial" w:cs="Arial"/>
          <w:sz w:val="22"/>
          <w:szCs w:val="22"/>
        </w:rPr>
        <w:t xml:space="preserve">ortalecimiento a los programas de desarrollo de habilidades </w:t>
      </w:r>
      <w:r w:rsidR="00796D46" w:rsidRPr="008174E3">
        <w:rPr>
          <w:rFonts w:ascii="Arial" w:hAnsi="Arial" w:cs="Arial"/>
          <w:sz w:val="22"/>
          <w:szCs w:val="22"/>
        </w:rPr>
        <w:t xml:space="preserve">un VPN de </w:t>
      </w:r>
      <w:r w:rsidR="009C77BE" w:rsidRPr="008174E3">
        <w:rPr>
          <w:rFonts w:ascii="Arial" w:hAnsi="Arial" w:cs="Arial"/>
          <w:sz w:val="22"/>
          <w:szCs w:val="22"/>
        </w:rPr>
        <w:t>US$</w:t>
      </w:r>
      <w:r w:rsidR="004C7107">
        <w:rPr>
          <w:rFonts w:ascii="Arial" w:hAnsi="Arial" w:cs="Arial"/>
          <w:sz w:val="22"/>
          <w:szCs w:val="22"/>
        </w:rPr>
        <w:t>65</w:t>
      </w:r>
      <w:r w:rsidR="00796D46" w:rsidRPr="008174E3">
        <w:rPr>
          <w:rFonts w:ascii="Arial" w:hAnsi="Arial" w:cs="Arial"/>
          <w:sz w:val="22"/>
          <w:szCs w:val="22"/>
        </w:rPr>
        <w:t>,</w:t>
      </w:r>
      <w:r w:rsidR="004C7107">
        <w:rPr>
          <w:rFonts w:ascii="Arial" w:hAnsi="Arial" w:cs="Arial"/>
          <w:sz w:val="22"/>
          <w:szCs w:val="22"/>
        </w:rPr>
        <w:t>17</w:t>
      </w:r>
      <w:r w:rsidRPr="008174E3">
        <w:rPr>
          <w:rFonts w:ascii="Arial" w:hAnsi="Arial" w:cs="Arial"/>
          <w:sz w:val="22"/>
          <w:szCs w:val="22"/>
        </w:rPr>
        <w:t xml:space="preserve"> millones.</w:t>
      </w:r>
    </w:p>
    <w:p w14:paraId="33C2C132" w14:textId="77777777" w:rsidR="00814B75" w:rsidRPr="008174E3" w:rsidRDefault="00814B75" w:rsidP="00814B75">
      <w:pPr>
        <w:pStyle w:val="ListParagraph"/>
        <w:spacing w:before="120"/>
        <w:ind w:left="0"/>
        <w:jc w:val="both"/>
        <w:rPr>
          <w:rFonts w:ascii="Arial" w:hAnsi="Arial" w:cs="Arial"/>
        </w:rPr>
      </w:pPr>
    </w:p>
    <w:p w14:paraId="3B64A741" w14:textId="2A671EA1" w:rsidR="00814B75" w:rsidRPr="008174E3" w:rsidRDefault="00827E44" w:rsidP="00814B75">
      <w:pPr>
        <w:autoSpaceDE w:val="0"/>
        <w:autoSpaceDN w:val="0"/>
        <w:adjustRightInd w:val="0"/>
        <w:jc w:val="center"/>
        <w:rPr>
          <w:rFonts w:ascii="Arial" w:hAnsi="Arial" w:cs="Arial"/>
          <w:b/>
          <w:sz w:val="20"/>
          <w:szCs w:val="18"/>
        </w:rPr>
      </w:pPr>
      <w:r w:rsidRPr="008174E3">
        <w:rPr>
          <w:rFonts w:ascii="Arial" w:hAnsi="Arial" w:cs="Arial"/>
          <w:b/>
          <w:sz w:val="20"/>
          <w:szCs w:val="18"/>
        </w:rPr>
        <w:t>Cuadro </w:t>
      </w:r>
      <w:r w:rsidR="00B46F49" w:rsidRPr="008174E3">
        <w:rPr>
          <w:rFonts w:ascii="Arial" w:hAnsi="Arial" w:cs="Arial"/>
          <w:b/>
          <w:sz w:val="20"/>
          <w:szCs w:val="18"/>
        </w:rPr>
        <w:t>8</w:t>
      </w:r>
      <w:r w:rsidR="00814B75" w:rsidRPr="008174E3">
        <w:rPr>
          <w:rFonts w:ascii="Arial" w:hAnsi="Arial" w:cs="Arial"/>
          <w:b/>
          <w:sz w:val="20"/>
          <w:szCs w:val="18"/>
        </w:rPr>
        <w:t>: Análisis de Sensibilidad Complejo</w:t>
      </w:r>
    </w:p>
    <w:p w14:paraId="04AE5E8A" w14:textId="77777777" w:rsidR="009D3DC2" w:rsidRPr="008174E3" w:rsidRDefault="009D3DC2" w:rsidP="009D3DC2">
      <w:pPr>
        <w:pStyle w:val="ListParagraph"/>
        <w:rPr>
          <w:rFonts w:ascii="Arial" w:hAnsi="Arial" w:cs="Arial"/>
        </w:rPr>
      </w:pPr>
    </w:p>
    <w:tbl>
      <w:tblPr>
        <w:tblW w:w="10609" w:type="dxa"/>
        <w:tblInd w:w="-830" w:type="dxa"/>
        <w:tblCellMar>
          <w:top w:w="15" w:type="dxa"/>
          <w:left w:w="70" w:type="dxa"/>
          <w:bottom w:w="15" w:type="dxa"/>
          <w:right w:w="70" w:type="dxa"/>
        </w:tblCellMar>
        <w:tblLook w:val="04A0" w:firstRow="1" w:lastRow="0" w:firstColumn="1" w:lastColumn="0" w:noHBand="0" w:noVBand="1"/>
      </w:tblPr>
      <w:tblGrid>
        <w:gridCol w:w="1360"/>
        <w:gridCol w:w="1890"/>
        <w:gridCol w:w="900"/>
        <w:gridCol w:w="1080"/>
        <w:gridCol w:w="810"/>
        <w:gridCol w:w="1080"/>
        <w:gridCol w:w="720"/>
        <w:gridCol w:w="990"/>
        <w:gridCol w:w="810"/>
        <w:gridCol w:w="969"/>
      </w:tblGrid>
      <w:tr w:rsidR="009D3DC2" w:rsidRPr="008174E3" w14:paraId="1E46A806" w14:textId="77777777" w:rsidTr="00B0718A">
        <w:trPr>
          <w:trHeight w:val="300"/>
        </w:trPr>
        <w:tc>
          <w:tcPr>
            <w:tcW w:w="1360" w:type="dxa"/>
            <w:tcBorders>
              <w:top w:val="single" w:sz="8" w:space="0" w:color="auto"/>
              <w:left w:val="single" w:sz="8" w:space="0" w:color="auto"/>
              <w:bottom w:val="nil"/>
              <w:right w:val="nil"/>
            </w:tcBorders>
            <w:shd w:val="clear" w:color="000000" w:fill="DDEBF7"/>
            <w:noWrap/>
            <w:vAlign w:val="center"/>
            <w:hideMark/>
          </w:tcPr>
          <w:p w14:paraId="0426F4C5" w14:textId="77777777" w:rsidR="009D3DC2" w:rsidRPr="008174E3" w:rsidRDefault="009D3DC2" w:rsidP="009D3DC2">
            <w:pPr>
              <w:rPr>
                <w:rFonts w:ascii="Arial" w:hAnsi="Arial" w:cs="Arial"/>
                <w:sz w:val="16"/>
                <w:szCs w:val="16"/>
              </w:rPr>
            </w:pPr>
          </w:p>
        </w:tc>
        <w:tc>
          <w:tcPr>
            <w:tcW w:w="1890" w:type="dxa"/>
            <w:vMerge w:val="restart"/>
            <w:tcBorders>
              <w:top w:val="single" w:sz="8" w:space="0" w:color="auto"/>
              <w:left w:val="nil"/>
              <w:bottom w:val="single" w:sz="4" w:space="0" w:color="auto"/>
              <w:right w:val="single" w:sz="8" w:space="0" w:color="auto"/>
            </w:tcBorders>
            <w:shd w:val="clear" w:color="000000" w:fill="DDEBF7"/>
            <w:noWrap/>
            <w:vAlign w:val="center"/>
            <w:hideMark/>
          </w:tcPr>
          <w:p w14:paraId="6588D266" w14:textId="77777777" w:rsidR="009D3DC2" w:rsidRPr="008174E3" w:rsidRDefault="009D3DC2" w:rsidP="009D3DC2">
            <w:pPr>
              <w:jc w:val="center"/>
              <w:rPr>
                <w:rFonts w:ascii="Arial" w:hAnsi="Arial" w:cs="Arial"/>
                <w:b/>
                <w:bCs/>
                <w:color w:val="000000"/>
                <w:sz w:val="16"/>
                <w:szCs w:val="16"/>
              </w:rPr>
            </w:pPr>
            <w:r w:rsidRPr="008174E3">
              <w:rPr>
                <w:rFonts w:ascii="Arial" w:hAnsi="Arial" w:cs="Arial"/>
                <w:b/>
                <w:bCs/>
                <w:color w:val="000000"/>
                <w:sz w:val="16"/>
                <w:szCs w:val="16"/>
              </w:rPr>
              <w:t>Variable</w:t>
            </w:r>
          </w:p>
        </w:tc>
        <w:tc>
          <w:tcPr>
            <w:tcW w:w="3870" w:type="dxa"/>
            <w:gridSpan w:val="4"/>
            <w:tcBorders>
              <w:top w:val="single" w:sz="8" w:space="0" w:color="auto"/>
              <w:left w:val="single" w:sz="8" w:space="0" w:color="auto"/>
              <w:bottom w:val="single" w:sz="8" w:space="0" w:color="auto"/>
              <w:right w:val="nil"/>
            </w:tcBorders>
            <w:shd w:val="clear" w:color="000000" w:fill="DDEBF7"/>
            <w:noWrap/>
            <w:vAlign w:val="center"/>
            <w:hideMark/>
          </w:tcPr>
          <w:p w14:paraId="4CFC9308" w14:textId="77777777" w:rsidR="009D3DC2" w:rsidRPr="008174E3" w:rsidRDefault="009D3DC2" w:rsidP="009D3DC2">
            <w:pPr>
              <w:jc w:val="center"/>
              <w:rPr>
                <w:rFonts w:ascii="Arial" w:hAnsi="Arial" w:cs="Arial"/>
                <w:b/>
                <w:bCs/>
                <w:color w:val="000000"/>
                <w:sz w:val="16"/>
                <w:szCs w:val="16"/>
              </w:rPr>
            </w:pPr>
            <w:r w:rsidRPr="008174E3">
              <w:rPr>
                <w:rFonts w:ascii="Arial" w:hAnsi="Arial" w:cs="Arial"/>
                <w:b/>
                <w:bCs/>
                <w:color w:val="000000"/>
                <w:sz w:val="16"/>
                <w:szCs w:val="16"/>
              </w:rPr>
              <w:t>Escenario</w:t>
            </w:r>
          </w:p>
        </w:tc>
        <w:tc>
          <w:tcPr>
            <w:tcW w:w="3489" w:type="dxa"/>
            <w:gridSpan w:val="4"/>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10A17D0A" w14:textId="572B1179" w:rsidR="009D3DC2" w:rsidRPr="008174E3" w:rsidRDefault="009D3DC2" w:rsidP="009D3DC2">
            <w:pPr>
              <w:jc w:val="center"/>
              <w:rPr>
                <w:rFonts w:ascii="Arial" w:hAnsi="Arial" w:cs="Arial"/>
                <w:b/>
                <w:bCs/>
                <w:color w:val="000000"/>
                <w:sz w:val="16"/>
                <w:szCs w:val="16"/>
              </w:rPr>
            </w:pPr>
            <w:r w:rsidRPr="008174E3">
              <w:rPr>
                <w:rFonts w:ascii="Arial" w:hAnsi="Arial" w:cs="Arial"/>
                <w:b/>
                <w:bCs/>
                <w:color w:val="000000"/>
                <w:sz w:val="16"/>
                <w:szCs w:val="16"/>
              </w:rPr>
              <w:t xml:space="preserve">VPN (en millones de </w:t>
            </w:r>
            <w:r w:rsidR="00B0718A" w:rsidRPr="008174E3">
              <w:rPr>
                <w:rFonts w:ascii="Arial" w:hAnsi="Arial" w:cs="Arial"/>
                <w:b/>
                <w:bCs/>
                <w:color w:val="000000"/>
                <w:sz w:val="16"/>
                <w:szCs w:val="16"/>
              </w:rPr>
              <w:t>U</w:t>
            </w:r>
            <w:r w:rsidRPr="008174E3">
              <w:rPr>
                <w:rFonts w:ascii="Arial" w:hAnsi="Arial" w:cs="Arial"/>
                <w:b/>
                <w:bCs/>
                <w:color w:val="000000"/>
                <w:sz w:val="16"/>
                <w:szCs w:val="16"/>
              </w:rPr>
              <w:t>S</w:t>
            </w:r>
            <w:r w:rsidR="00B0718A" w:rsidRPr="008174E3">
              <w:rPr>
                <w:rFonts w:ascii="Arial" w:hAnsi="Arial" w:cs="Arial"/>
                <w:b/>
                <w:bCs/>
                <w:color w:val="000000"/>
                <w:sz w:val="16"/>
                <w:szCs w:val="16"/>
              </w:rPr>
              <w:t>$</w:t>
            </w:r>
            <w:r w:rsidRPr="008174E3">
              <w:rPr>
                <w:rFonts w:ascii="Arial" w:hAnsi="Arial" w:cs="Arial"/>
                <w:b/>
                <w:bCs/>
                <w:color w:val="000000"/>
                <w:sz w:val="16"/>
                <w:szCs w:val="16"/>
              </w:rPr>
              <w:t>)</w:t>
            </w:r>
          </w:p>
        </w:tc>
      </w:tr>
      <w:tr w:rsidR="00162D39" w:rsidRPr="008174E3" w14:paraId="1498F8D9" w14:textId="77777777" w:rsidTr="009C77BE">
        <w:trPr>
          <w:trHeight w:val="465"/>
        </w:trPr>
        <w:tc>
          <w:tcPr>
            <w:tcW w:w="1360" w:type="dxa"/>
            <w:tcBorders>
              <w:top w:val="nil"/>
              <w:left w:val="single" w:sz="8" w:space="0" w:color="auto"/>
              <w:bottom w:val="single" w:sz="8" w:space="0" w:color="auto"/>
              <w:right w:val="nil"/>
            </w:tcBorders>
            <w:shd w:val="clear" w:color="000000" w:fill="DDEBF7"/>
            <w:noWrap/>
            <w:vAlign w:val="center"/>
            <w:hideMark/>
          </w:tcPr>
          <w:p w14:paraId="17A8BB49" w14:textId="77777777" w:rsidR="009D3DC2" w:rsidRPr="008174E3" w:rsidRDefault="009D3DC2" w:rsidP="009D3DC2">
            <w:pPr>
              <w:jc w:val="center"/>
              <w:rPr>
                <w:rFonts w:ascii="Arial" w:hAnsi="Arial" w:cs="Arial"/>
                <w:b/>
                <w:bCs/>
                <w:color w:val="000000"/>
                <w:sz w:val="16"/>
                <w:szCs w:val="16"/>
              </w:rPr>
            </w:pPr>
          </w:p>
        </w:tc>
        <w:tc>
          <w:tcPr>
            <w:tcW w:w="1890" w:type="dxa"/>
            <w:vMerge/>
            <w:tcBorders>
              <w:top w:val="single" w:sz="8" w:space="0" w:color="auto"/>
              <w:left w:val="nil"/>
              <w:bottom w:val="single" w:sz="4" w:space="0" w:color="auto"/>
              <w:right w:val="single" w:sz="8" w:space="0" w:color="auto"/>
            </w:tcBorders>
            <w:vAlign w:val="center"/>
            <w:hideMark/>
          </w:tcPr>
          <w:p w14:paraId="3F258F79" w14:textId="77777777" w:rsidR="009D3DC2" w:rsidRPr="008174E3" w:rsidRDefault="009D3DC2" w:rsidP="009D3DC2">
            <w:pPr>
              <w:rPr>
                <w:rFonts w:ascii="Arial" w:hAnsi="Arial" w:cs="Arial"/>
                <w:b/>
                <w:bCs/>
                <w:color w:val="000000"/>
                <w:sz w:val="16"/>
                <w:szCs w:val="16"/>
              </w:rPr>
            </w:pPr>
          </w:p>
        </w:tc>
        <w:tc>
          <w:tcPr>
            <w:tcW w:w="900" w:type="dxa"/>
            <w:tcBorders>
              <w:top w:val="nil"/>
              <w:left w:val="nil"/>
              <w:bottom w:val="single" w:sz="8" w:space="0" w:color="auto"/>
              <w:right w:val="nil"/>
            </w:tcBorders>
            <w:shd w:val="clear" w:color="000000" w:fill="DDEBF7"/>
            <w:vAlign w:val="center"/>
            <w:hideMark/>
          </w:tcPr>
          <w:p w14:paraId="1EFDF864" w14:textId="77777777" w:rsidR="009D3DC2" w:rsidRPr="008174E3" w:rsidRDefault="009D3DC2" w:rsidP="009D3DC2">
            <w:pPr>
              <w:jc w:val="center"/>
              <w:rPr>
                <w:rFonts w:ascii="Arial" w:hAnsi="Arial" w:cs="Arial"/>
                <w:b/>
                <w:bCs/>
                <w:color w:val="000000"/>
                <w:sz w:val="16"/>
                <w:szCs w:val="16"/>
              </w:rPr>
            </w:pPr>
            <w:r w:rsidRPr="008174E3">
              <w:rPr>
                <w:rFonts w:ascii="Arial" w:hAnsi="Arial" w:cs="Arial"/>
                <w:b/>
                <w:bCs/>
                <w:color w:val="000000"/>
                <w:sz w:val="16"/>
                <w:szCs w:val="16"/>
              </w:rPr>
              <w:t>VPN 0</w:t>
            </w:r>
          </w:p>
        </w:tc>
        <w:tc>
          <w:tcPr>
            <w:tcW w:w="1080" w:type="dxa"/>
            <w:tcBorders>
              <w:top w:val="single" w:sz="8" w:space="0" w:color="auto"/>
              <w:left w:val="single" w:sz="8" w:space="0" w:color="auto"/>
              <w:bottom w:val="single" w:sz="8" w:space="0" w:color="auto"/>
              <w:right w:val="single" w:sz="8" w:space="0" w:color="auto"/>
            </w:tcBorders>
            <w:shd w:val="clear" w:color="000000" w:fill="DDEBF7"/>
            <w:vAlign w:val="center"/>
            <w:hideMark/>
          </w:tcPr>
          <w:p w14:paraId="102EC93B" w14:textId="77777777" w:rsidR="009D3DC2" w:rsidRPr="008174E3" w:rsidRDefault="009D3DC2" w:rsidP="009D3DC2">
            <w:pPr>
              <w:jc w:val="center"/>
              <w:rPr>
                <w:rFonts w:ascii="Arial" w:hAnsi="Arial" w:cs="Arial"/>
                <w:b/>
                <w:bCs/>
                <w:color w:val="000000"/>
                <w:sz w:val="16"/>
                <w:szCs w:val="16"/>
              </w:rPr>
            </w:pPr>
            <w:r w:rsidRPr="008174E3">
              <w:rPr>
                <w:rFonts w:ascii="Arial" w:hAnsi="Arial" w:cs="Arial"/>
                <w:b/>
                <w:bCs/>
                <w:color w:val="000000"/>
                <w:sz w:val="16"/>
                <w:szCs w:val="16"/>
              </w:rPr>
              <w:t>Pesimista Complejo</w:t>
            </w:r>
          </w:p>
        </w:tc>
        <w:tc>
          <w:tcPr>
            <w:tcW w:w="810" w:type="dxa"/>
            <w:tcBorders>
              <w:top w:val="nil"/>
              <w:left w:val="nil"/>
              <w:bottom w:val="single" w:sz="8" w:space="0" w:color="auto"/>
              <w:right w:val="single" w:sz="4" w:space="0" w:color="auto"/>
            </w:tcBorders>
            <w:shd w:val="clear" w:color="000000" w:fill="DDEBF7"/>
            <w:noWrap/>
            <w:vAlign w:val="center"/>
            <w:hideMark/>
          </w:tcPr>
          <w:p w14:paraId="6DEA990C" w14:textId="77777777" w:rsidR="009D3DC2" w:rsidRPr="008174E3" w:rsidRDefault="009D3DC2" w:rsidP="009D3DC2">
            <w:pPr>
              <w:jc w:val="center"/>
              <w:rPr>
                <w:rFonts w:ascii="Arial" w:hAnsi="Arial" w:cs="Arial"/>
                <w:b/>
                <w:bCs/>
                <w:color w:val="000000"/>
                <w:sz w:val="16"/>
                <w:szCs w:val="16"/>
              </w:rPr>
            </w:pPr>
            <w:r w:rsidRPr="008174E3">
              <w:rPr>
                <w:rFonts w:ascii="Arial" w:hAnsi="Arial" w:cs="Arial"/>
                <w:b/>
                <w:bCs/>
                <w:color w:val="000000"/>
                <w:sz w:val="16"/>
                <w:szCs w:val="16"/>
              </w:rPr>
              <w:t xml:space="preserve">Base </w:t>
            </w:r>
          </w:p>
        </w:tc>
        <w:tc>
          <w:tcPr>
            <w:tcW w:w="1080" w:type="dxa"/>
            <w:tcBorders>
              <w:top w:val="nil"/>
              <w:left w:val="single" w:sz="4" w:space="0" w:color="auto"/>
              <w:bottom w:val="single" w:sz="8" w:space="0" w:color="auto"/>
              <w:right w:val="nil"/>
            </w:tcBorders>
            <w:shd w:val="clear" w:color="000000" w:fill="DDEBF7"/>
            <w:vAlign w:val="center"/>
            <w:hideMark/>
          </w:tcPr>
          <w:p w14:paraId="5BFE5F8A" w14:textId="0AA0B173" w:rsidR="009D3DC2" w:rsidRPr="008174E3" w:rsidRDefault="006500B8" w:rsidP="009D3DC2">
            <w:pPr>
              <w:jc w:val="center"/>
              <w:rPr>
                <w:rFonts w:ascii="Arial" w:hAnsi="Arial" w:cs="Arial"/>
                <w:b/>
                <w:bCs/>
                <w:color w:val="000000"/>
                <w:sz w:val="16"/>
                <w:szCs w:val="16"/>
              </w:rPr>
            </w:pPr>
            <w:r w:rsidRPr="008174E3">
              <w:rPr>
                <w:rFonts w:ascii="Arial" w:hAnsi="Arial" w:cs="Arial"/>
                <w:b/>
                <w:bCs/>
                <w:color w:val="000000"/>
                <w:sz w:val="16"/>
                <w:szCs w:val="16"/>
              </w:rPr>
              <w:t>Optimista Complejo</w:t>
            </w:r>
          </w:p>
        </w:tc>
        <w:tc>
          <w:tcPr>
            <w:tcW w:w="720" w:type="dxa"/>
            <w:tcBorders>
              <w:top w:val="nil"/>
              <w:left w:val="single" w:sz="8" w:space="0" w:color="auto"/>
              <w:bottom w:val="single" w:sz="8" w:space="0" w:color="auto"/>
              <w:right w:val="nil"/>
            </w:tcBorders>
            <w:shd w:val="clear" w:color="000000" w:fill="DDEBF7"/>
            <w:noWrap/>
            <w:vAlign w:val="center"/>
            <w:hideMark/>
          </w:tcPr>
          <w:p w14:paraId="48A4067A" w14:textId="77777777" w:rsidR="009D3DC2" w:rsidRPr="008174E3" w:rsidRDefault="009D3DC2" w:rsidP="009D3DC2">
            <w:pPr>
              <w:jc w:val="center"/>
              <w:rPr>
                <w:rFonts w:ascii="Arial" w:hAnsi="Arial" w:cs="Arial"/>
                <w:b/>
                <w:bCs/>
                <w:color w:val="000000"/>
                <w:sz w:val="16"/>
                <w:szCs w:val="16"/>
              </w:rPr>
            </w:pPr>
            <w:r w:rsidRPr="008174E3">
              <w:rPr>
                <w:rFonts w:ascii="Arial" w:hAnsi="Arial" w:cs="Arial"/>
                <w:b/>
                <w:bCs/>
                <w:color w:val="000000"/>
                <w:sz w:val="16"/>
                <w:szCs w:val="16"/>
              </w:rPr>
              <w:t>VPN 0</w:t>
            </w:r>
          </w:p>
        </w:tc>
        <w:tc>
          <w:tcPr>
            <w:tcW w:w="990" w:type="dxa"/>
            <w:tcBorders>
              <w:top w:val="single" w:sz="8" w:space="0" w:color="auto"/>
              <w:left w:val="single" w:sz="8" w:space="0" w:color="auto"/>
              <w:bottom w:val="single" w:sz="8" w:space="0" w:color="auto"/>
              <w:right w:val="single" w:sz="8" w:space="0" w:color="auto"/>
            </w:tcBorders>
            <w:shd w:val="clear" w:color="000000" w:fill="DDEBF7"/>
            <w:vAlign w:val="center"/>
            <w:hideMark/>
          </w:tcPr>
          <w:p w14:paraId="57994BE3" w14:textId="77777777" w:rsidR="009D3DC2" w:rsidRPr="008174E3" w:rsidRDefault="009D3DC2" w:rsidP="009D3DC2">
            <w:pPr>
              <w:jc w:val="center"/>
              <w:rPr>
                <w:rFonts w:ascii="Arial" w:hAnsi="Arial" w:cs="Arial"/>
                <w:b/>
                <w:bCs/>
                <w:color w:val="000000"/>
                <w:sz w:val="16"/>
                <w:szCs w:val="16"/>
              </w:rPr>
            </w:pPr>
            <w:r w:rsidRPr="008174E3">
              <w:rPr>
                <w:rFonts w:ascii="Arial" w:hAnsi="Arial" w:cs="Arial"/>
                <w:b/>
                <w:bCs/>
                <w:color w:val="000000"/>
                <w:sz w:val="16"/>
                <w:szCs w:val="16"/>
              </w:rPr>
              <w:t>Pesimista Complejo</w:t>
            </w:r>
          </w:p>
        </w:tc>
        <w:tc>
          <w:tcPr>
            <w:tcW w:w="810" w:type="dxa"/>
            <w:tcBorders>
              <w:top w:val="nil"/>
              <w:left w:val="nil"/>
              <w:bottom w:val="single" w:sz="8" w:space="0" w:color="auto"/>
              <w:right w:val="single" w:sz="8" w:space="0" w:color="auto"/>
            </w:tcBorders>
            <w:shd w:val="clear" w:color="000000" w:fill="DDEBF7"/>
            <w:noWrap/>
            <w:vAlign w:val="center"/>
            <w:hideMark/>
          </w:tcPr>
          <w:p w14:paraId="2F012DF0" w14:textId="77777777" w:rsidR="009D3DC2" w:rsidRPr="008174E3" w:rsidRDefault="009D3DC2" w:rsidP="009D3DC2">
            <w:pPr>
              <w:jc w:val="center"/>
              <w:rPr>
                <w:rFonts w:ascii="Arial" w:hAnsi="Arial" w:cs="Arial"/>
                <w:b/>
                <w:bCs/>
                <w:color w:val="000000"/>
                <w:sz w:val="16"/>
                <w:szCs w:val="16"/>
              </w:rPr>
            </w:pPr>
            <w:r w:rsidRPr="008174E3">
              <w:rPr>
                <w:rFonts w:ascii="Arial" w:hAnsi="Arial" w:cs="Arial"/>
                <w:b/>
                <w:bCs/>
                <w:color w:val="000000"/>
                <w:sz w:val="16"/>
                <w:szCs w:val="16"/>
              </w:rPr>
              <w:t xml:space="preserve">Base </w:t>
            </w:r>
          </w:p>
        </w:tc>
        <w:tc>
          <w:tcPr>
            <w:tcW w:w="969" w:type="dxa"/>
            <w:tcBorders>
              <w:top w:val="nil"/>
              <w:left w:val="nil"/>
              <w:bottom w:val="single" w:sz="8" w:space="0" w:color="auto"/>
              <w:right w:val="single" w:sz="4" w:space="0" w:color="auto"/>
            </w:tcBorders>
            <w:shd w:val="clear" w:color="000000" w:fill="DDEBF7"/>
            <w:vAlign w:val="center"/>
            <w:hideMark/>
          </w:tcPr>
          <w:p w14:paraId="5B4C2E4C" w14:textId="78D528DE" w:rsidR="009D3DC2" w:rsidRPr="008174E3" w:rsidRDefault="006500B8" w:rsidP="009D3DC2">
            <w:pPr>
              <w:jc w:val="center"/>
              <w:rPr>
                <w:rFonts w:ascii="Arial" w:hAnsi="Arial" w:cs="Arial"/>
                <w:b/>
                <w:bCs/>
                <w:color w:val="000000"/>
                <w:sz w:val="16"/>
                <w:szCs w:val="16"/>
              </w:rPr>
            </w:pPr>
            <w:r w:rsidRPr="008174E3">
              <w:rPr>
                <w:rFonts w:ascii="Arial" w:hAnsi="Arial" w:cs="Arial"/>
                <w:b/>
                <w:bCs/>
                <w:color w:val="000000"/>
                <w:sz w:val="16"/>
                <w:szCs w:val="16"/>
              </w:rPr>
              <w:t>Optimista Complejo</w:t>
            </w:r>
          </w:p>
        </w:tc>
      </w:tr>
      <w:tr w:rsidR="000F77AF" w:rsidRPr="008174E3" w14:paraId="68FDA4B4" w14:textId="77777777" w:rsidTr="000F77AF">
        <w:trPr>
          <w:trHeight w:val="300"/>
        </w:trPr>
        <w:tc>
          <w:tcPr>
            <w:tcW w:w="1360" w:type="dxa"/>
            <w:vMerge w:val="restart"/>
            <w:tcBorders>
              <w:top w:val="single" w:sz="8" w:space="0" w:color="auto"/>
              <w:left w:val="single" w:sz="8" w:space="0" w:color="auto"/>
              <w:bottom w:val="nil"/>
              <w:right w:val="single" w:sz="8" w:space="0" w:color="auto"/>
            </w:tcBorders>
            <w:shd w:val="clear" w:color="000000" w:fill="FFFFFF"/>
            <w:vAlign w:val="center"/>
            <w:hideMark/>
          </w:tcPr>
          <w:p w14:paraId="4B8F4B23" w14:textId="77777777" w:rsidR="000F77AF" w:rsidRPr="008174E3" w:rsidRDefault="000F77AF" w:rsidP="000F77AF">
            <w:pPr>
              <w:jc w:val="center"/>
              <w:rPr>
                <w:rFonts w:ascii="Arial" w:hAnsi="Arial" w:cs="Arial"/>
                <w:b/>
                <w:bCs/>
                <w:color w:val="000000"/>
                <w:sz w:val="16"/>
                <w:szCs w:val="16"/>
              </w:rPr>
            </w:pPr>
            <w:r w:rsidRPr="008174E3">
              <w:rPr>
                <w:rFonts w:ascii="Arial" w:hAnsi="Arial" w:cs="Arial"/>
                <w:b/>
                <w:bCs/>
                <w:color w:val="000000"/>
                <w:sz w:val="16"/>
                <w:szCs w:val="16"/>
              </w:rPr>
              <w:t>Fortalecimiento del SNE</w:t>
            </w:r>
          </w:p>
        </w:tc>
        <w:tc>
          <w:tcPr>
            <w:tcW w:w="1890" w:type="dxa"/>
            <w:tcBorders>
              <w:top w:val="single" w:sz="4" w:space="0" w:color="auto"/>
              <w:left w:val="nil"/>
              <w:bottom w:val="single" w:sz="8" w:space="0" w:color="auto"/>
              <w:right w:val="single" w:sz="8" w:space="0" w:color="auto"/>
            </w:tcBorders>
            <w:shd w:val="clear" w:color="000000" w:fill="FFFFFF"/>
            <w:vAlign w:val="center"/>
            <w:hideMark/>
          </w:tcPr>
          <w:p w14:paraId="5342614B" w14:textId="77777777" w:rsidR="000F77AF" w:rsidRPr="008174E3" w:rsidRDefault="000F77AF" w:rsidP="000F77AF">
            <w:pPr>
              <w:rPr>
                <w:rFonts w:ascii="Arial" w:hAnsi="Arial" w:cs="Arial"/>
                <w:color w:val="000000"/>
                <w:sz w:val="16"/>
                <w:szCs w:val="16"/>
              </w:rPr>
            </w:pPr>
            <w:r w:rsidRPr="008174E3">
              <w:rPr>
                <w:rFonts w:ascii="Arial" w:hAnsi="Arial" w:cs="Arial"/>
                <w:color w:val="000000"/>
                <w:sz w:val="16"/>
                <w:szCs w:val="16"/>
              </w:rPr>
              <w:t>Impacto en formalidad</w:t>
            </w:r>
          </w:p>
        </w:tc>
        <w:tc>
          <w:tcPr>
            <w:tcW w:w="900" w:type="dxa"/>
            <w:tcBorders>
              <w:top w:val="nil"/>
              <w:left w:val="nil"/>
              <w:bottom w:val="single" w:sz="8" w:space="0" w:color="auto"/>
              <w:right w:val="single" w:sz="8" w:space="0" w:color="auto"/>
            </w:tcBorders>
            <w:shd w:val="clear" w:color="000000" w:fill="FFF2CC"/>
            <w:noWrap/>
            <w:vAlign w:val="center"/>
            <w:hideMark/>
          </w:tcPr>
          <w:p w14:paraId="349B6372" w14:textId="7AB6EBAB" w:rsidR="000F77AF" w:rsidRPr="008174E3" w:rsidRDefault="000F77AF" w:rsidP="000F77AF">
            <w:pPr>
              <w:jc w:val="center"/>
              <w:rPr>
                <w:rFonts w:ascii="Arial" w:hAnsi="Arial" w:cs="Arial"/>
                <w:color w:val="000000"/>
                <w:sz w:val="16"/>
                <w:szCs w:val="16"/>
              </w:rPr>
            </w:pPr>
            <w:r w:rsidRPr="008174E3">
              <w:rPr>
                <w:rFonts w:ascii="Arial" w:hAnsi="Arial" w:cs="Arial"/>
                <w:color w:val="000000"/>
                <w:sz w:val="16"/>
                <w:szCs w:val="16"/>
              </w:rPr>
              <w:t>1,6</w:t>
            </w:r>
            <w:r w:rsidR="004C7107">
              <w:rPr>
                <w:rFonts w:ascii="Arial" w:hAnsi="Arial" w:cs="Arial"/>
                <w:color w:val="000000"/>
                <w:sz w:val="16"/>
                <w:szCs w:val="16"/>
              </w:rPr>
              <w:t>1</w:t>
            </w:r>
            <w:r w:rsidRPr="008174E3">
              <w:rPr>
                <w:rFonts w:ascii="Arial" w:hAnsi="Arial" w:cs="Arial"/>
                <w:color w:val="000000"/>
                <w:sz w:val="16"/>
                <w:szCs w:val="16"/>
              </w:rPr>
              <w:t xml:space="preserve"> pp.</w:t>
            </w:r>
            <w:r w:rsidRPr="008174E3">
              <w:rPr>
                <w:rFonts w:ascii="Arial" w:hAnsi="Arial" w:cs="Arial"/>
                <w:color w:val="000000"/>
                <w:sz w:val="16"/>
                <w:szCs w:val="16"/>
              </w:rPr>
              <w:br/>
              <w:t>2,1</w:t>
            </w:r>
            <w:r w:rsidR="004C7107">
              <w:rPr>
                <w:rFonts w:ascii="Arial" w:hAnsi="Arial" w:cs="Arial"/>
                <w:color w:val="000000"/>
                <w:sz w:val="16"/>
                <w:szCs w:val="16"/>
              </w:rPr>
              <w:t>1</w:t>
            </w:r>
            <w:r w:rsidRPr="008174E3">
              <w:rPr>
                <w:rFonts w:ascii="Arial" w:hAnsi="Arial" w:cs="Arial"/>
                <w:color w:val="000000"/>
                <w:sz w:val="16"/>
                <w:szCs w:val="16"/>
              </w:rPr>
              <w:t xml:space="preserve"> pp.</w:t>
            </w:r>
          </w:p>
        </w:tc>
        <w:tc>
          <w:tcPr>
            <w:tcW w:w="1080" w:type="dxa"/>
            <w:tcBorders>
              <w:top w:val="nil"/>
              <w:left w:val="nil"/>
              <w:bottom w:val="single" w:sz="8" w:space="0" w:color="auto"/>
              <w:right w:val="single" w:sz="8" w:space="0" w:color="auto"/>
            </w:tcBorders>
            <w:shd w:val="clear" w:color="000000" w:fill="FFF2CC"/>
            <w:noWrap/>
            <w:vAlign w:val="center"/>
            <w:hideMark/>
          </w:tcPr>
          <w:p w14:paraId="4842E727" w14:textId="777B6C53" w:rsidR="000F77AF" w:rsidRPr="008174E3" w:rsidRDefault="000F77AF" w:rsidP="000F77AF">
            <w:pPr>
              <w:jc w:val="center"/>
              <w:rPr>
                <w:rFonts w:ascii="Arial" w:hAnsi="Arial" w:cs="Arial"/>
                <w:color w:val="000000"/>
                <w:sz w:val="16"/>
                <w:szCs w:val="16"/>
              </w:rPr>
            </w:pPr>
            <w:r w:rsidRPr="008174E3">
              <w:rPr>
                <w:rFonts w:ascii="Arial" w:hAnsi="Arial" w:cs="Arial"/>
                <w:color w:val="000000"/>
                <w:sz w:val="16"/>
                <w:szCs w:val="16"/>
              </w:rPr>
              <w:t>2,5 pp.</w:t>
            </w:r>
            <w:r w:rsidRPr="008174E3">
              <w:rPr>
                <w:rFonts w:ascii="Arial" w:hAnsi="Arial" w:cs="Arial"/>
                <w:color w:val="000000"/>
                <w:sz w:val="16"/>
                <w:szCs w:val="16"/>
              </w:rPr>
              <w:br/>
              <w:t>2,9 pp.</w:t>
            </w:r>
          </w:p>
        </w:tc>
        <w:tc>
          <w:tcPr>
            <w:tcW w:w="810" w:type="dxa"/>
            <w:tcBorders>
              <w:top w:val="nil"/>
              <w:left w:val="nil"/>
              <w:bottom w:val="single" w:sz="8" w:space="0" w:color="auto"/>
              <w:right w:val="single" w:sz="8" w:space="0" w:color="auto"/>
            </w:tcBorders>
            <w:shd w:val="clear" w:color="000000" w:fill="FFFFFF"/>
            <w:noWrap/>
            <w:vAlign w:val="center"/>
            <w:hideMark/>
          </w:tcPr>
          <w:p w14:paraId="49AA9BBC" w14:textId="7FD4CE3C" w:rsidR="000F77AF" w:rsidRPr="008174E3" w:rsidRDefault="000F77AF" w:rsidP="000F77AF">
            <w:pPr>
              <w:jc w:val="center"/>
              <w:rPr>
                <w:rFonts w:ascii="Arial" w:hAnsi="Arial" w:cs="Arial"/>
                <w:color w:val="000000"/>
                <w:sz w:val="16"/>
                <w:szCs w:val="16"/>
              </w:rPr>
            </w:pPr>
            <w:r w:rsidRPr="008174E3">
              <w:rPr>
                <w:rFonts w:ascii="Arial" w:hAnsi="Arial" w:cs="Arial"/>
                <w:color w:val="000000"/>
                <w:sz w:val="16"/>
                <w:szCs w:val="16"/>
              </w:rPr>
              <w:t>3,0 pp.</w:t>
            </w:r>
            <w:r w:rsidRPr="008174E3">
              <w:rPr>
                <w:rFonts w:ascii="Arial" w:hAnsi="Arial" w:cs="Arial"/>
                <w:color w:val="000000"/>
                <w:sz w:val="16"/>
                <w:szCs w:val="16"/>
              </w:rPr>
              <w:br/>
              <w:t>3,5 pp.</w:t>
            </w:r>
          </w:p>
        </w:tc>
        <w:tc>
          <w:tcPr>
            <w:tcW w:w="1080" w:type="dxa"/>
            <w:tcBorders>
              <w:top w:val="nil"/>
              <w:left w:val="nil"/>
              <w:bottom w:val="single" w:sz="8" w:space="0" w:color="auto"/>
              <w:right w:val="single" w:sz="8" w:space="0" w:color="auto"/>
            </w:tcBorders>
            <w:shd w:val="clear" w:color="000000" w:fill="FFF2CC"/>
            <w:noWrap/>
            <w:vAlign w:val="center"/>
            <w:hideMark/>
          </w:tcPr>
          <w:p w14:paraId="31254999" w14:textId="1A869499" w:rsidR="000F77AF" w:rsidRPr="008174E3" w:rsidRDefault="000F77AF" w:rsidP="000F77AF">
            <w:pPr>
              <w:jc w:val="center"/>
              <w:rPr>
                <w:rFonts w:ascii="Arial" w:hAnsi="Arial" w:cs="Arial"/>
                <w:color w:val="000000"/>
                <w:sz w:val="16"/>
                <w:szCs w:val="16"/>
              </w:rPr>
            </w:pPr>
            <w:r w:rsidRPr="008174E3">
              <w:rPr>
                <w:rFonts w:ascii="Arial" w:hAnsi="Arial" w:cs="Arial"/>
                <w:color w:val="000000"/>
                <w:sz w:val="16"/>
                <w:szCs w:val="16"/>
              </w:rPr>
              <w:t>3,5 pp.</w:t>
            </w:r>
            <w:r w:rsidRPr="008174E3">
              <w:rPr>
                <w:rFonts w:ascii="Arial" w:hAnsi="Arial" w:cs="Arial"/>
                <w:color w:val="000000"/>
                <w:sz w:val="16"/>
                <w:szCs w:val="16"/>
              </w:rPr>
              <w:br/>
              <w:t>4,1 pp.</w:t>
            </w:r>
          </w:p>
        </w:tc>
        <w:tc>
          <w:tcPr>
            <w:tcW w:w="720" w:type="dxa"/>
            <w:vMerge w:val="restart"/>
            <w:tcBorders>
              <w:top w:val="single" w:sz="8" w:space="0" w:color="auto"/>
              <w:left w:val="single" w:sz="8" w:space="0" w:color="auto"/>
              <w:bottom w:val="nil"/>
              <w:right w:val="single" w:sz="8" w:space="0" w:color="auto"/>
            </w:tcBorders>
            <w:shd w:val="clear" w:color="000000" w:fill="FFF2CC"/>
            <w:noWrap/>
            <w:vAlign w:val="center"/>
            <w:hideMark/>
          </w:tcPr>
          <w:p w14:paraId="7E85454D" w14:textId="07E0E285" w:rsidR="000F77AF" w:rsidRPr="008174E3" w:rsidRDefault="000F77AF" w:rsidP="000F77AF">
            <w:pPr>
              <w:jc w:val="center"/>
              <w:rPr>
                <w:rFonts w:ascii="Arial" w:hAnsi="Arial" w:cs="Arial"/>
                <w:color w:val="000000"/>
                <w:sz w:val="16"/>
                <w:szCs w:val="16"/>
              </w:rPr>
            </w:pPr>
            <w:r w:rsidRPr="008174E3">
              <w:rPr>
                <w:rFonts w:ascii="Arial" w:hAnsi="Arial" w:cs="Arial"/>
                <w:color w:val="000000"/>
                <w:sz w:val="16"/>
                <w:szCs w:val="16"/>
              </w:rPr>
              <w:t xml:space="preserve"> $ 0   </w:t>
            </w:r>
          </w:p>
        </w:tc>
        <w:tc>
          <w:tcPr>
            <w:tcW w:w="990" w:type="dxa"/>
            <w:vMerge w:val="restart"/>
            <w:tcBorders>
              <w:top w:val="single" w:sz="8" w:space="0" w:color="auto"/>
              <w:left w:val="single" w:sz="8" w:space="0" w:color="auto"/>
              <w:bottom w:val="nil"/>
              <w:right w:val="single" w:sz="8" w:space="0" w:color="auto"/>
            </w:tcBorders>
            <w:shd w:val="clear" w:color="000000" w:fill="FFF2CC"/>
            <w:noWrap/>
            <w:vAlign w:val="center"/>
            <w:hideMark/>
          </w:tcPr>
          <w:p w14:paraId="59C08931" w14:textId="7CC5C2C9" w:rsidR="000F77AF" w:rsidRPr="000F77AF" w:rsidRDefault="000F77AF" w:rsidP="00AA5D3E">
            <w:pPr>
              <w:jc w:val="center"/>
              <w:rPr>
                <w:rFonts w:ascii="Arial" w:hAnsi="Arial" w:cs="Arial"/>
                <w:color w:val="000000"/>
                <w:sz w:val="16"/>
                <w:szCs w:val="16"/>
              </w:rPr>
            </w:pPr>
            <w:r w:rsidRPr="000F77AF">
              <w:rPr>
                <w:rFonts w:ascii="Arial" w:hAnsi="Arial" w:cs="Arial"/>
                <w:sz w:val="16"/>
                <w:szCs w:val="16"/>
              </w:rPr>
              <w:t>$21</w:t>
            </w:r>
            <w:r>
              <w:rPr>
                <w:rFonts w:ascii="Arial" w:hAnsi="Arial" w:cs="Arial"/>
                <w:sz w:val="16"/>
                <w:szCs w:val="16"/>
              </w:rPr>
              <w:t>,</w:t>
            </w:r>
            <w:r w:rsidRPr="000F77AF">
              <w:rPr>
                <w:rFonts w:ascii="Arial" w:hAnsi="Arial" w:cs="Arial"/>
                <w:sz w:val="16"/>
                <w:szCs w:val="16"/>
              </w:rPr>
              <w:t>17</w:t>
            </w:r>
          </w:p>
        </w:tc>
        <w:tc>
          <w:tcPr>
            <w:tcW w:w="810" w:type="dxa"/>
            <w:vMerge w:val="restart"/>
            <w:tcBorders>
              <w:top w:val="single" w:sz="8" w:space="0" w:color="auto"/>
              <w:left w:val="single" w:sz="8" w:space="0" w:color="auto"/>
              <w:bottom w:val="nil"/>
              <w:right w:val="single" w:sz="8" w:space="0" w:color="auto"/>
            </w:tcBorders>
            <w:shd w:val="clear" w:color="000000" w:fill="FFFFFF"/>
            <w:noWrap/>
            <w:vAlign w:val="center"/>
            <w:hideMark/>
          </w:tcPr>
          <w:p w14:paraId="4A5BFE22" w14:textId="006C5662" w:rsidR="000F77AF" w:rsidRPr="000F77AF" w:rsidRDefault="000F77AF" w:rsidP="00AA5D3E">
            <w:pPr>
              <w:jc w:val="center"/>
              <w:rPr>
                <w:rFonts w:ascii="Arial" w:hAnsi="Arial" w:cs="Arial"/>
                <w:color w:val="000000"/>
                <w:sz w:val="16"/>
                <w:szCs w:val="16"/>
              </w:rPr>
            </w:pPr>
            <w:r w:rsidRPr="000F77AF">
              <w:rPr>
                <w:rFonts w:ascii="Arial" w:hAnsi="Arial" w:cs="Arial"/>
                <w:sz w:val="16"/>
                <w:szCs w:val="16"/>
              </w:rPr>
              <w:t>$62</w:t>
            </w:r>
            <w:r>
              <w:rPr>
                <w:rFonts w:ascii="Arial" w:hAnsi="Arial" w:cs="Arial"/>
                <w:sz w:val="16"/>
                <w:szCs w:val="16"/>
              </w:rPr>
              <w:t>,</w:t>
            </w:r>
            <w:r w:rsidRPr="000F77AF">
              <w:rPr>
                <w:rFonts w:ascii="Arial" w:hAnsi="Arial" w:cs="Arial"/>
                <w:sz w:val="16"/>
                <w:szCs w:val="16"/>
              </w:rPr>
              <w:t>19</w:t>
            </w:r>
          </w:p>
        </w:tc>
        <w:tc>
          <w:tcPr>
            <w:tcW w:w="969" w:type="dxa"/>
            <w:vMerge w:val="restart"/>
            <w:tcBorders>
              <w:top w:val="single" w:sz="8" w:space="0" w:color="auto"/>
              <w:left w:val="single" w:sz="8" w:space="0" w:color="auto"/>
              <w:bottom w:val="nil"/>
              <w:right w:val="single" w:sz="8" w:space="0" w:color="auto"/>
            </w:tcBorders>
            <w:shd w:val="clear" w:color="000000" w:fill="FFF2CC"/>
            <w:noWrap/>
            <w:vAlign w:val="center"/>
            <w:hideMark/>
          </w:tcPr>
          <w:p w14:paraId="46313651" w14:textId="2CE7AA47" w:rsidR="000F77AF" w:rsidRPr="000F77AF" w:rsidRDefault="000F77AF" w:rsidP="00AA5D3E">
            <w:pPr>
              <w:jc w:val="center"/>
              <w:rPr>
                <w:rFonts w:ascii="Arial" w:hAnsi="Arial" w:cs="Arial"/>
                <w:color w:val="000000"/>
                <w:sz w:val="16"/>
                <w:szCs w:val="16"/>
              </w:rPr>
            </w:pPr>
            <w:r w:rsidRPr="000F77AF">
              <w:rPr>
                <w:rFonts w:ascii="Arial" w:hAnsi="Arial" w:cs="Arial"/>
                <w:sz w:val="16"/>
                <w:szCs w:val="16"/>
              </w:rPr>
              <w:t>$137</w:t>
            </w:r>
            <w:r>
              <w:rPr>
                <w:rFonts w:ascii="Arial" w:hAnsi="Arial" w:cs="Arial"/>
                <w:sz w:val="16"/>
                <w:szCs w:val="16"/>
              </w:rPr>
              <w:t>,</w:t>
            </w:r>
            <w:r w:rsidRPr="000F77AF">
              <w:rPr>
                <w:rFonts w:ascii="Arial" w:hAnsi="Arial" w:cs="Arial"/>
                <w:sz w:val="16"/>
                <w:szCs w:val="16"/>
              </w:rPr>
              <w:t>73</w:t>
            </w:r>
          </w:p>
        </w:tc>
      </w:tr>
      <w:tr w:rsidR="000F77AF" w:rsidRPr="008174E3" w14:paraId="7D68F000" w14:textId="77777777" w:rsidTr="000F77AF">
        <w:trPr>
          <w:trHeight w:val="495"/>
        </w:trPr>
        <w:tc>
          <w:tcPr>
            <w:tcW w:w="1360" w:type="dxa"/>
            <w:vMerge/>
            <w:tcBorders>
              <w:top w:val="single" w:sz="8" w:space="0" w:color="auto"/>
              <w:left w:val="single" w:sz="8" w:space="0" w:color="auto"/>
              <w:bottom w:val="nil"/>
              <w:right w:val="single" w:sz="8" w:space="0" w:color="auto"/>
            </w:tcBorders>
            <w:vAlign w:val="center"/>
            <w:hideMark/>
          </w:tcPr>
          <w:p w14:paraId="65A48114" w14:textId="77777777" w:rsidR="000F77AF" w:rsidRPr="008174E3" w:rsidRDefault="000F77AF" w:rsidP="000F77AF">
            <w:pPr>
              <w:rPr>
                <w:rFonts w:ascii="Arial" w:hAnsi="Arial" w:cs="Arial"/>
                <w:b/>
                <w:bCs/>
                <w:color w:val="000000"/>
                <w:sz w:val="16"/>
                <w:szCs w:val="16"/>
              </w:rPr>
            </w:pPr>
          </w:p>
        </w:tc>
        <w:tc>
          <w:tcPr>
            <w:tcW w:w="1890" w:type="dxa"/>
            <w:tcBorders>
              <w:top w:val="nil"/>
              <w:left w:val="nil"/>
              <w:bottom w:val="single" w:sz="8" w:space="0" w:color="auto"/>
              <w:right w:val="single" w:sz="8" w:space="0" w:color="auto"/>
            </w:tcBorders>
            <w:shd w:val="clear" w:color="000000" w:fill="FFFFFF"/>
            <w:vAlign w:val="center"/>
            <w:hideMark/>
          </w:tcPr>
          <w:p w14:paraId="72F8C77C" w14:textId="77777777" w:rsidR="000F77AF" w:rsidRPr="008174E3" w:rsidRDefault="000F77AF" w:rsidP="000F77AF">
            <w:pPr>
              <w:rPr>
                <w:rFonts w:ascii="Arial" w:hAnsi="Arial" w:cs="Arial"/>
                <w:color w:val="000000"/>
                <w:sz w:val="16"/>
                <w:szCs w:val="16"/>
              </w:rPr>
            </w:pPr>
            <w:r w:rsidRPr="008174E3">
              <w:rPr>
                <w:rFonts w:ascii="Arial" w:hAnsi="Arial" w:cs="Arial"/>
                <w:color w:val="000000"/>
                <w:sz w:val="16"/>
                <w:szCs w:val="16"/>
              </w:rPr>
              <w:t>Impacto asociado a formalidad (como % del salario de referencia)</w:t>
            </w:r>
          </w:p>
        </w:tc>
        <w:tc>
          <w:tcPr>
            <w:tcW w:w="900" w:type="dxa"/>
            <w:tcBorders>
              <w:top w:val="nil"/>
              <w:left w:val="nil"/>
              <w:bottom w:val="single" w:sz="8" w:space="0" w:color="auto"/>
              <w:right w:val="single" w:sz="8" w:space="0" w:color="auto"/>
            </w:tcBorders>
            <w:shd w:val="clear" w:color="000000" w:fill="FFF2CC"/>
            <w:noWrap/>
            <w:vAlign w:val="center"/>
            <w:hideMark/>
          </w:tcPr>
          <w:p w14:paraId="4D09DD7A" w14:textId="5E162651" w:rsidR="000F77AF" w:rsidRPr="008174E3" w:rsidRDefault="000F77AF" w:rsidP="000F77AF">
            <w:pPr>
              <w:jc w:val="center"/>
              <w:rPr>
                <w:rFonts w:ascii="Arial" w:hAnsi="Arial" w:cs="Arial"/>
                <w:color w:val="000000"/>
                <w:sz w:val="16"/>
                <w:szCs w:val="16"/>
              </w:rPr>
            </w:pPr>
            <w:r w:rsidRPr="008174E3">
              <w:rPr>
                <w:rFonts w:ascii="Arial" w:hAnsi="Arial" w:cs="Arial"/>
                <w:color w:val="000000"/>
                <w:sz w:val="16"/>
                <w:szCs w:val="16"/>
              </w:rPr>
              <w:t>1</w:t>
            </w:r>
            <w:r w:rsidR="004C7107">
              <w:rPr>
                <w:rFonts w:ascii="Arial" w:hAnsi="Arial" w:cs="Arial"/>
                <w:color w:val="000000"/>
                <w:sz w:val="16"/>
                <w:szCs w:val="16"/>
              </w:rPr>
              <w:t>1</w:t>
            </w:r>
            <w:r w:rsidRPr="008174E3">
              <w:rPr>
                <w:rFonts w:ascii="Arial" w:hAnsi="Arial" w:cs="Arial"/>
                <w:color w:val="000000"/>
                <w:sz w:val="16"/>
                <w:szCs w:val="16"/>
              </w:rPr>
              <w:t>,</w:t>
            </w:r>
            <w:r w:rsidR="004C7107">
              <w:rPr>
                <w:rFonts w:ascii="Arial" w:hAnsi="Arial" w:cs="Arial"/>
                <w:color w:val="000000"/>
                <w:sz w:val="16"/>
                <w:szCs w:val="16"/>
              </w:rPr>
              <w:t>95</w:t>
            </w:r>
            <w:r w:rsidRPr="008174E3">
              <w:rPr>
                <w:rFonts w:ascii="Arial" w:hAnsi="Arial" w:cs="Arial"/>
                <w:color w:val="000000"/>
                <w:sz w:val="16"/>
                <w:szCs w:val="16"/>
              </w:rPr>
              <w:t>%</w:t>
            </w:r>
          </w:p>
        </w:tc>
        <w:tc>
          <w:tcPr>
            <w:tcW w:w="1080" w:type="dxa"/>
            <w:tcBorders>
              <w:top w:val="nil"/>
              <w:left w:val="nil"/>
              <w:bottom w:val="single" w:sz="8" w:space="0" w:color="auto"/>
              <w:right w:val="single" w:sz="8" w:space="0" w:color="auto"/>
            </w:tcBorders>
            <w:shd w:val="clear" w:color="000000" w:fill="FFF2CC"/>
            <w:noWrap/>
            <w:vAlign w:val="center"/>
            <w:hideMark/>
          </w:tcPr>
          <w:p w14:paraId="0E826DDC" w14:textId="73D01842" w:rsidR="000F77AF" w:rsidRPr="008174E3" w:rsidRDefault="000F77AF" w:rsidP="000F77AF">
            <w:pPr>
              <w:jc w:val="center"/>
              <w:rPr>
                <w:rFonts w:ascii="Arial" w:hAnsi="Arial" w:cs="Arial"/>
                <w:color w:val="000000"/>
                <w:sz w:val="16"/>
                <w:szCs w:val="16"/>
              </w:rPr>
            </w:pPr>
            <w:r w:rsidRPr="008174E3">
              <w:rPr>
                <w:rFonts w:ascii="Arial" w:hAnsi="Arial" w:cs="Arial"/>
                <w:color w:val="000000"/>
                <w:sz w:val="16"/>
                <w:szCs w:val="16"/>
              </w:rPr>
              <w:t>20,00%</w:t>
            </w:r>
          </w:p>
        </w:tc>
        <w:tc>
          <w:tcPr>
            <w:tcW w:w="810" w:type="dxa"/>
            <w:tcBorders>
              <w:top w:val="nil"/>
              <w:left w:val="nil"/>
              <w:bottom w:val="single" w:sz="8" w:space="0" w:color="auto"/>
              <w:right w:val="single" w:sz="8" w:space="0" w:color="auto"/>
            </w:tcBorders>
            <w:shd w:val="clear" w:color="000000" w:fill="FFFFFF"/>
            <w:noWrap/>
            <w:vAlign w:val="center"/>
            <w:hideMark/>
          </w:tcPr>
          <w:p w14:paraId="3CBD50E9" w14:textId="5D6D7305" w:rsidR="000F77AF" w:rsidRPr="008174E3" w:rsidRDefault="000F77AF" w:rsidP="000F77AF">
            <w:pPr>
              <w:jc w:val="center"/>
              <w:rPr>
                <w:rFonts w:ascii="Arial" w:hAnsi="Arial" w:cs="Arial"/>
                <w:color w:val="000000"/>
                <w:sz w:val="16"/>
                <w:szCs w:val="16"/>
              </w:rPr>
            </w:pPr>
            <w:r w:rsidRPr="008174E3">
              <w:rPr>
                <w:rFonts w:ascii="Arial" w:hAnsi="Arial" w:cs="Arial"/>
                <w:color w:val="000000"/>
                <w:sz w:val="16"/>
                <w:szCs w:val="16"/>
              </w:rPr>
              <w:t>24%</w:t>
            </w:r>
          </w:p>
        </w:tc>
        <w:tc>
          <w:tcPr>
            <w:tcW w:w="1080" w:type="dxa"/>
            <w:tcBorders>
              <w:top w:val="nil"/>
              <w:left w:val="nil"/>
              <w:bottom w:val="single" w:sz="8" w:space="0" w:color="auto"/>
              <w:right w:val="single" w:sz="8" w:space="0" w:color="auto"/>
            </w:tcBorders>
            <w:shd w:val="clear" w:color="000000" w:fill="FFF2CC"/>
            <w:noWrap/>
            <w:vAlign w:val="center"/>
            <w:hideMark/>
          </w:tcPr>
          <w:p w14:paraId="45D5D921" w14:textId="4F910B75" w:rsidR="000F77AF" w:rsidRPr="008174E3" w:rsidRDefault="000F77AF" w:rsidP="000F77AF">
            <w:pPr>
              <w:jc w:val="center"/>
              <w:rPr>
                <w:rFonts w:ascii="Arial" w:hAnsi="Arial" w:cs="Arial"/>
                <w:color w:val="000000"/>
                <w:sz w:val="16"/>
                <w:szCs w:val="16"/>
              </w:rPr>
            </w:pPr>
            <w:r w:rsidRPr="008174E3">
              <w:rPr>
                <w:rFonts w:ascii="Arial" w:hAnsi="Arial" w:cs="Arial"/>
                <w:color w:val="000000"/>
                <w:sz w:val="16"/>
                <w:szCs w:val="16"/>
              </w:rPr>
              <w:t>28,00%</w:t>
            </w:r>
          </w:p>
        </w:tc>
        <w:tc>
          <w:tcPr>
            <w:tcW w:w="720" w:type="dxa"/>
            <w:vMerge/>
            <w:tcBorders>
              <w:top w:val="single" w:sz="8" w:space="0" w:color="auto"/>
              <w:left w:val="single" w:sz="8" w:space="0" w:color="auto"/>
              <w:bottom w:val="nil"/>
              <w:right w:val="single" w:sz="8" w:space="0" w:color="auto"/>
            </w:tcBorders>
            <w:vAlign w:val="center"/>
            <w:hideMark/>
          </w:tcPr>
          <w:p w14:paraId="37F7A2B4" w14:textId="77777777" w:rsidR="000F77AF" w:rsidRPr="008174E3" w:rsidRDefault="000F77AF" w:rsidP="000F77AF">
            <w:pPr>
              <w:rPr>
                <w:rFonts w:ascii="Arial" w:hAnsi="Arial" w:cs="Arial"/>
                <w:color w:val="000000"/>
                <w:sz w:val="16"/>
                <w:szCs w:val="16"/>
              </w:rPr>
            </w:pPr>
          </w:p>
        </w:tc>
        <w:tc>
          <w:tcPr>
            <w:tcW w:w="990" w:type="dxa"/>
            <w:vMerge/>
            <w:tcBorders>
              <w:top w:val="single" w:sz="8" w:space="0" w:color="auto"/>
              <w:left w:val="single" w:sz="8" w:space="0" w:color="auto"/>
              <w:bottom w:val="nil"/>
              <w:right w:val="single" w:sz="8" w:space="0" w:color="auto"/>
            </w:tcBorders>
            <w:vAlign w:val="center"/>
            <w:hideMark/>
          </w:tcPr>
          <w:p w14:paraId="32299375" w14:textId="77777777" w:rsidR="000F77AF" w:rsidRPr="000F77AF" w:rsidRDefault="000F77AF" w:rsidP="000F77AF">
            <w:pPr>
              <w:rPr>
                <w:rFonts w:ascii="Arial" w:hAnsi="Arial" w:cs="Arial"/>
                <w:color w:val="000000"/>
                <w:sz w:val="16"/>
                <w:szCs w:val="16"/>
              </w:rPr>
            </w:pPr>
          </w:p>
        </w:tc>
        <w:tc>
          <w:tcPr>
            <w:tcW w:w="810" w:type="dxa"/>
            <w:vMerge/>
            <w:tcBorders>
              <w:top w:val="single" w:sz="8" w:space="0" w:color="auto"/>
              <w:left w:val="single" w:sz="8" w:space="0" w:color="auto"/>
              <w:bottom w:val="nil"/>
              <w:right w:val="single" w:sz="8" w:space="0" w:color="auto"/>
            </w:tcBorders>
            <w:vAlign w:val="center"/>
            <w:hideMark/>
          </w:tcPr>
          <w:p w14:paraId="000AAE99" w14:textId="77777777" w:rsidR="000F77AF" w:rsidRPr="000F77AF" w:rsidRDefault="000F77AF" w:rsidP="000F77AF">
            <w:pPr>
              <w:rPr>
                <w:rFonts w:ascii="Arial" w:hAnsi="Arial" w:cs="Arial"/>
                <w:color w:val="000000"/>
                <w:sz w:val="16"/>
                <w:szCs w:val="16"/>
              </w:rPr>
            </w:pPr>
          </w:p>
        </w:tc>
        <w:tc>
          <w:tcPr>
            <w:tcW w:w="969" w:type="dxa"/>
            <w:vMerge/>
            <w:tcBorders>
              <w:top w:val="single" w:sz="8" w:space="0" w:color="auto"/>
              <w:left w:val="single" w:sz="8" w:space="0" w:color="auto"/>
              <w:bottom w:val="nil"/>
              <w:right w:val="single" w:sz="8" w:space="0" w:color="auto"/>
            </w:tcBorders>
            <w:vAlign w:val="center"/>
            <w:hideMark/>
          </w:tcPr>
          <w:p w14:paraId="34D8D4D0" w14:textId="77777777" w:rsidR="000F77AF" w:rsidRPr="000F77AF" w:rsidRDefault="000F77AF" w:rsidP="000F77AF">
            <w:pPr>
              <w:rPr>
                <w:rFonts w:ascii="Arial" w:hAnsi="Arial" w:cs="Arial"/>
                <w:color w:val="000000"/>
                <w:sz w:val="16"/>
                <w:szCs w:val="16"/>
              </w:rPr>
            </w:pPr>
          </w:p>
        </w:tc>
      </w:tr>
      <w:tr w:rsidR="000F77AF" w:rsidRPr="008174E3" w14:paraId="7FAF782A" w14:textId="77777777" w:rsidTr="000F77AF">
        <w:trPr>
          <w:trHeight w:val="570"/>
        </w:trPr>
        <w:tc>
          <w:tcPr>
            <w:tcW w:w="1360" w:type="dxa"/>
            <w:vMerge/>
            <w:tcBorders>
              <w:top w:val="single" w:sz="8" w:space="0" w:color="auto"/>
              <w:left w:val="single" w:sz="8" w:space="0" w:color="auto"/>
              <w:bottom w:val="nil"/>
              <w:right w:val="single" w:sz="8" w:space="0" w:color="auto"/>
            </w:tcBorders>
            <w:vAlign w:val="center"/>
            <w:hideMark/>
          </w:tcPr>
          <w:p w14:paraId="3DCC1F92" w14:textId="77777777" w:rsidR="000F77AF" w:rsidRPr="008174E3" w:rsidRDefault="000F77AF" w:rsidP="000F77AF">
            <w:pPr>
              <w:rPr>
                <w:rFonts w:ascii="Arial" w:hAnsi="Arial" w:cs="Arial"/>
                <w:b/>
                <w:bCs/>
                <w:color w:val="000000"/>
                <w:sz w:val="16"/>
                <w:szCs w:val="16"/>
              </w:rPr>
            </w:pPr>
          </w:p>
        </w:tc>
        <w:tc>
          <w:tcPr>
            <w:tcW w:w="1890" w:type="dxa"/>
            <w:tcBorders>
              <w:top w:val="nil"/>
              <w:left w:val="nil"/>
              <w:bottom w:val="single" w:sz="8" w:space="0" w:color="auto"/>
              <w:right w:val="single" w:sz="8" w:space="0" w:color="auto"/>
            </w:tcBorders>
            <w:shd w:val="clear" w:color="000000" w:fill="FFFFFF"/>
            <w:vAlign w:val="center"/>
            <w:hideMark/>
          </w:tcPr>
          <w:p w14:paraId="5AE3E959" w14:textId="77777777" w:rsidR="000F77AF" w:rsidRPr="008174E3" w:rsidRDefault="000F77AF" w:rsidP="000F77AF">
            <w:pPr>
              <w:rPr>
                <w:rFonts w:ascii="Arial" w:hAnsi="Arial" w:cs="Arial"/>
                <w:color w:val="000000"/>
                <w:sz w:val="16"/>
                <w:szCs w:val="16"/>
              </w:rPr>
            </w:pPr>
            <w:r w:rsidRPr="008174E3">
              <w:rPr>
                <w:rFonts w:ascii="Arial" w:hAnsi="Arial" w:cs="Arial"/>
                <w:color w:val="000000"/>
                <w:sz w:val="16"/>
                <w:szCs w:val="16"/>
              </w:rPr>
              <w:t>Impacto de beneficios laborales*</w:t>
            </w:r>
          </w:p>
        </w:tc>
        <w:tc>
          <w:tcPr>
            <w:tcW w:w="900" w:type="dxa"/>
            <w:tcBorders>
              <w:top w:val="nil"/>
              <w:left w:val="nil"/>
              <w:bottom w:val="single" w:sz="8" w:space="0" w:color="auto"/>
              <w:right w:val="single" w:sz="8" w:space="0" w:color="auto"/>
            </w:tcBorders>
            <w:shd w:val="clear" w:color="000000" w:fill="D9D9D9"/>
            <w:noWrap/>
            <w:vAlign w:val="center"/>
            <w:hideMark/>
          </w:tcPr>
          <w:p w14:paraId="747BD5D8" w14:textId="77777777" w:rsidR="000F77AF" w:rsidRPr="008174E3" w:rsidRDefault="000F77AF" w:rsidP="000F77AF">
            <w:pPr>
              <w:rPr>
                <w:rFonts w:ascii="Arial" w:hAnsi="Arial" w:cs="Arial"/>
                <w:color w:val="000000"/>
                <w:sz w:val="16"/>
                <w:szCs w:val="16"/>
              </w:rPr>
            </w:pPr>
          </w:p>
        </w:tc>
        <w:tc>
          <w:tcPr>
            <w:tcW w:w="1080" w:type="dxa"/>
            <w:tcBorders>
              <w:top w:val="nil"/>
              <w:left w:val="nil"/>
              <w:bottom w:val="single" w:sz="8" w:space="0" w:color="auto"/>
              <w:right w:val="single" w:sz="8" w:space="0" w:color="auto"/>
            </w:tcBorders>
            <w:shd w:val="clear" w:color="000000" w:fill="FFF2CC"/>
            <w:noWrap/>
            <w:vAlign w:val="center"/>
            <w:hideMark/>
          </w:tcPr>
          <w:p w14:paraId="4DC7A97E" w14:textId="3269264B" w:rsidR="000F77AF" w:rsidRPr="008174E3" w:rsidRDefault="000F77AF" w:rsidP="000F77AF">
            <w:pPr>
              <w:jc w:val="center"/>
              <w:rPr>
                <w:rFonts w:ascii="Arial" w:hAnsi="Arial" w:cs="Arial"/>
                <w:color w:val="000000"/>
                <w:sz w:val="16"/>
                <w:szCs w:val="16"/>
              </w:rPr>
            </w:pPr>
            <w:r w:rsidRPr="008174E3">
              <w:rPr>
                <w:rFonts w:ascii="Arial" w:hAnsi="Arial" w:cs="Arial"/>
                <w:color w:val="000000"/>
                <w:sz w:val="16"/>
                <w:szCs w:val="16"/>
              </w:rPr>
              <w:t>SI</w:t>
            </w:r>
          </w:p>
        </w:tc>
        <w:tc>
          <w:tcPr>
            <w:tcW w:w="810" w:type="dxa"/>
            <w:tcBorders>
              <w:top w:val="nil"/>
              <w:left w:val="nil"/>
              <w:bottom w:val="single" w:sz="8" w:space="0" w:color="auto"/>
              <w:right w:val="single" w:sz="8" w:space="0" w:color="auto"/>
            </w:tcBorders>
            <w:shd w:val="clear" w:color="000000" w:fill="FFFFFF"/>
            <w:noWrap/>
            <w:vAlign w:val="center"/>
            <w:hideMark/>
          </w:tcPr>
          <w:p w14:paraId="7FBE2182" w14:textId="15DFEE47" w:rsidR="000F77AF" w:rsidRPr="008174E3" w:rsidRDefault="000F77AF" w:rsidP="000F77AF">
            <w:pPr>
              <w:jc w:val="center"/>
              <w:rPr>
                <w:rFonts w:ascii="Arial" w:hAnsi="Arial" w:cs="Arial"/>
                <w:color w:val="000000"/>
                <w:sz w:val="16"/>
                <w:szCs w:val="16"/>
              </w:rPr>
            </w:pPr>
            <w:r w:rsidRPr="008174E3">
              <w:rPr>
                <w:rFonts w:ascii="Arial" w:hAnsi="Arial" w:cs="Arial"/>
                <w:color w:val="000000"/>
                <w:sz w:val="16"/>
                <w:szCs w:val="16"/>
              </w:rPr>
              <w:t>SI</w:t>
            </w:r>
          </w:p>
        </w:tc>
        <w:tc>
          <w:tcPr>
            <w:tcW w:w="1080" w:type="dxa"/>
            <w:tcBorders>
              <w:top w:val="nil"/>
              <w:left w:val="nil"/>
              <w:bottom w:val="single" w:sz="8" w:space="0" w:color="auto"/>
              <w:right w:val="single" w:sz="8" w:space="0" w:color="auto"/>
            </w:tcBorders>
            <w:shd w:val="clear" w:color="000000" w:fill="FFF2CC"/>
            <w:noWrap/>
            <w:vAlign w:val="center"/>
            <w:hideMark/>
          </w:tcPr>
          <w:p w14:paraId="3C187728" w14:textId="7ED7D5A2" w:rsidR="000F77AF" w:rsidRPr="008174E3" w:rsidRDefault="000F77AF" w:rsidP="000F77AF">
            <w:pPr>
              <w:jc w:val="center"/>
              <w:rPr>
                <w:rFonts w:ascii="Arial" w:hAnsi="Arial" w:cs="Arial"/>
                <w:color w:val="000000"/>
                <w:sz w:val="16"/>
                <w:szCs w:val="16"/>
              </w:rPr>
            </w:pPr>
            <w:r w:rsidRPr="008174E3">
              <w:rPr>
                <w:rFonts w:ascii="Arial" w:hAnsi="Arial" w:cs="Arial"/>
                <w:color w:val="000000"/>
                <w:sz w:val="16"/>
                <w:szCs w:val="16"/>
              </w:rPr>
              <w:t>SI</w:t>
            </w:r>
          </w:p>
        </w:tc>
        <w:tc>
          <w:tcPr>
            <w:tcW w:w="720" w:type="dxa"/>
            <w:vMerge/>
            <w:tcBorders>
              <w:top w:val="single" w:sz="8" w:space="0" w:color="auto"/>
              <w:left w:val="single" w:sz="8" w:space="0" w:color="auto"/>
              <w:bottom w:val="nil"/>
              <w:right w:val="single" w:sz="8" w:space="0" w:color="auto"/>
            </w:tcBorders>
            <w:vAlign w:val="center"/>
            <w:hideMark/>
          </w:tcPr>
          <w:p w14:paraId="11A007FC" w14:textId="77777777" w:rsidR="000F77AF" w:rsidRPr="008174E3" w:rsidRDefault="000F77AF" w:rsidP="000F77AF">
            <w:pPr>
              <w:rPr>
                <w:rFonts w:ascii="Arial" w:hAnsi="Arial" w:cs="Arial"/>
                <w:color w:val="000000"/>
                <w:sz w:val="16"/>
                <w:szCs w:val="16"/>
              </w:rPr>
            </w:pPr>
          </w:p>
        </w:tc>
        <w:tc>
          <w:tcPr>
            <w:tcW w:w="990" w:type="dxa"/>
            <w:vMerge/>
            <w:tcBorders>
              <w:top w:val="single" w:sz="8" w:space="0" w:color="auto"/>
              <w:left w:val="single" w:sz="8" w:space="0" w:color="auto"/>
              <w:bottom w:val="nil"/>
              <w:right w:val="single" w:sz="8" w:space="0" w:color="auto"/>
            </w:tcBorders>
            <w:vAlign w:val="center"/>
            <w:hideMark/>
          </w:tcPr>
          <w:p w14:paraId="435F08D7" w14:textId="77777777" w:rsidR="000F77AF" w:rsidRPr="000F77AF" w:rsidRDefault="000F77AF" w:rsidP="000F77AF">
            <w:pPr>
              <w:rPr>
                <w:rFonts w:ascii="Arial" w:hAnsi="Arial" w:cs="Arial"/>
                <w:color w:val="000000"/>
                <w:sz w:val="16"/>
                <w:szCs w:val="16"/>
              </w:rPr>
            </w:pPr>
          </w:p>
        </w:tc>
        <w:tc>
          <w:tcPr>
            <w:tcW w:w="810" w:type="dxa"/>
            <w:vMerge/>
            <w:tcBorders>
              <w:top w:val="single" w:sz="8" w:space="0" w:color="auto"/>
              <w:left w:val="single" w:sz="8" w:space="0" w:color="auto"/>
              <w:bottom w:val="nil"/>
              <w:right w:val="single" w:sz="8" w:space="0" w:color="auto"/>
            </w:tcBorders>
            <w:vAlign w:val="center"/>
            <w:hideMark/>
          </w:tcPr>
          <w:p w14:paraId="2FE30616" w14:textId="77777777" w:rsidR="000F77AF" w:rsidRPr="000F77AF" w:rsidRDefault="000F77AF" w:rsidP="000F77AF">
            <w:pPr>
              <w:rPr>
                <w:rFonts w:ascii="Arial" w:hAnsi="Arial" w:cs="Arial"/>
                <w:color w:val="000000"/>
                <w:sz w:val="16"/>
                <w:szCs w:val="16"/>
              </w:rPr>
            </w:pPr>
          </w:p>
        </w:tc>
        <w:tc>
          <w:tcPr>
            <w:tcW w:w="969" w:type="dxa"/>
            <w:vMerge/>
            <w:tcBorders>
              <w:top w:val="single" w:sz="8" w:space="0" w:color="auto"/>
              <w:left w:val="single" w:sz="8" w:space="0" w:color="auto"/>
              <w:bottom w:val="nil"/>
              <w:right w:val="single" w:sz="8" w:space="0" w:color="auto"/>
            </w:tcBorders>
            <w:vAlign w:val="center"/>
            <w:hideMark/>
          </w:tcPr>
          <w:p w14:paraId="336D35A3" w14:textId="77777777" w:rsidR="000F77AF" w:rsidRPr="000F77AF" w:rsidRDefault="000F77AF" w:rsidP="000F77AF">
            <w:pPr>
              <w:rPr>
                <w:rFonts w:ascii="Arial" w:hAnsi="Arial" w:cs="Arial"/>
                <w:color w:val="000000"/>
                <w:sz w:val="16"/>
                <w:szCs w:val="16"/>
              </w:rPr>
            </w:pPr>
          </w:p>
        </w:tc>
      </w:tr>
      <w:tr w:rsidR="000F77AF" w:rsidRPr="008174E3" w14:paraId="1068E911" w14:textId="77777777" w:rsidTr="000F77AF">
        <w:trPr>
          <w:trHeight w:val="300"/>
        </w:trPr>
        <w:tc>
          <w:tcPr>
            <w:tcW w:w="1360" w:type="dxa"/>
            <w:vMerge/>
            <w:tcBorders>
              <w:top w:val="single" w:sz="8" w:space="0" w:color="auto"/>
              <w:left w:val="single" w:sz="8" w:space="0" w:color="auto"/>
              <w:bottom w:val="single" w:sz="8" w:space="0" w:color="auto"/>
              <w:right w:val="single" w:sz="8" w:space="0" w:color="auto"/>
            </w:tcBorders>
            <w:vAlign w:val="center"/>
            <w:hideMark/>
          </w:tcPr>
          <w:p w14:paraId="09A1EE2E" w14:textId="77777777" w:rsidR="000F77AF" w:rsidRPr="008174E3" w:rsidRDefault="000F77AF" w:rsidP="000F77AF">
            <w:pPr>
              <w:rPr>
                <w:rFonts w:ascii="Arial" w:hAnsi="Arial" w:cs="Arial"/>
                <w:b/>
                <w:bCs/>
                <w:color w:val="000000"/>
                <w:sz w:val="16"/>
                <w:szCs w:val="16"/>
              </w:rPr>
            </w:pPr>
          </w:p>
        </w:tc>
        <w:tc>
          <w:tcPr>
            <w:tcW w:w="1890" w:type="dxa"/>
            <w:tcBorders>
              <w:top w:val="nil"/>
              <w:left w:val="nil"/>
              <w:bottom w:val="single" w:sz="8" w:space="0" w:color="auto"/>
              <w:right w:val="single" w:sz="8" w:space="0" w:color="auto"/>
            </w:tcBorders>
            <w:shd w:val="clear" w:color="000000" w:fill="FFFFFF"/>
            <w:vAlign w:val="center"/>
            <w:hideMark/>
          </w:tcPr>
          <w:p w14:paraId="243B0533" w14:textId="77777777" w:rsidR="000F77AF" w:rsidRPr="008174E3" w:rsidRDefault="000F77AF" w:rsidP="000F77AF">
            <w:pPr>
              <w:rPr>
                <w:rFonts w:ascii="Arial" w:hAnsi="Arial" w:cs="Arial"/>
                <w:color w:val="000000"/>
                <w:sz w:val="16"/>
                <w:szCs w:val="16"/>
              </w:rPr>
            </w:pPr>
            <w:r w:rsidRPr="008174E3">
              <w:rPr>
                <w:rFonts w:ascii="Arial" w:hAnsi="Arial" w:cs="Arial"/>
                <w:color w:val="000000"/>
                <w:sz w:val="16"/>
                <w:szCs w:val="16"/>
              </w:rPr>
              <w:t>Costo Económico (en días)</w:t>
            </w:r>
          </w:p>
        </w:tc>
        <w:tc>
          <w:tcPr>
            <w:tcW w:w="900" w:type="dxa"/>
            <w:tcBorders>
              <w:top w:val="nil"/>
              <w:left w:val="nil"/>
              <w:bottom w:val="single" w:sz="8" w:space="0" w:color="auto"/>
              <w:right w:val="single" w:sz="8" w:space="0" w:color="auto"/>
            </w:tcBorders>
            <w:shd w:val="clear" w:color="000000" w:fill="FFF2CC"/>
            <w:noWrap/>
            <w:vAlign w:val="center"/>
            <w:hideMark/>
          </w:tcPr>
          <w:p w14:paraId="074328A2" w14:textId="22F30423" w:rsidR="000F77AF" w:rsidRPr="008174E3" w:rsidRDefault="000F77AF" w:rsidP="000F77AF">
            <w:pPr>
              <w:jc w:val="center"/>
              <w:rPr>
                <w:rFonts w:ascii="Arial" w:hAnsi="Arial" w:cs="Arial"/>
                <w:color w:val="000000"/>
                <w:sz w:val="16"/>
                <w:szCs w:val="16"/>
              </w:rPr>
            </w:pPr>
            <w:r w:rsidRPr="008174E3">
              <w:rPr>
                <w:rFonts w:ascii="Arial" w:hAnsi="Arial" w:cs="Arial"/>
                <w:color w:val="000000"/>
                <w:sz w:val="16"/>
                <w:szCs w:val="16"/>
              </w:rPr>
              <w:t>4,2</w:t>
            </w:r>
            <w:r w:rsidR="004C7107">
              <w:rPr>
                <w:rFonts w:ascii="Arial" w:hAnsi="Arial" w:cs="Arial"/>
                <w:color w:val="000000"/>
                <w:sz w:val="16"/>
                <w:szCs w:val="16"/>
              </w:rPr>
              <w:t>5</w:t>
            </w:r>
            <w:r w:rsidRPr="008174E3">
              <w:rPr>
                <w:rFonts w:ascii="Arial" w:hAnsi="Arial" w:cs="Arial"/>
                <w:color w:val="000000"/>
                <w:sz w:val="16"/>
                <w:szCs w:val="16"/>
              </w:rPr>
              <w:t xml:space="preserve"> días</w:t>
            </w:r>
          </w:p>
        </w:tc>
        <w:tc>
          <w:tcPr>
            <w:tcW w:w="1080" w:type="dxa"/>
            <w:tcBorders>
              <w:top w:val="nil"/>
              <w:left w:val="nil"/>
              <w:bottom w:val="single" w:sz="8" w:space="0" w:color="auto"/>
              <w:right w:val="single" w:sz="8" w:space="0" w:color="auto"/>
            </w:tcBorders>
            <w:shd w:val="clear" w:color="000000" w:fill="FFF2CC"/>
            <w:noWrap/>
            <w:vAlign w:val="center"/>
            <w:hideMark/>
          </w:tcPr>
          <w:p w14:paraId="367A7DAF" w14:textId="72F69CC2" w:rsidR="000F77AF" w:rsidRPr="008174E3" w:rsidRDefault="000F77AF" w:rsidP="000F77AF">
            <w:pPr>
              <w:jc w:val="center"/>
              <w:rPr>
                <w:rFonts w:ascii="Arial" w:hAnsi="Arial" w:cs="Arial"/>
                <w:color w:val="000000"/>
                <w:sz w:val="16"/>
                <w:szCs w:val="16"/>
              </w:rPr>
            </w:pPr>
            <w:r w:rsidRPr="008174E3">
              <w:rPr>
                <w:rFonts w:ascii="Arial" w:hAnsi="Arial" w:cs="Arial"/>
                <w:color w:val="000000"/>
                <w:sz w:val="16"/>
                <w:szCs w:val="16"/>
              </w:rPr>
              <w:t>2 días</w:t>
            </w:r>
          </w:p>
        </w:tc>
        <w:tc>
          <w:tcPr>
            <w:tcW w:w="810" w:type="dxa"/>
            <w:tcBorders>
              <w:top w:val="nil"/>
              <w:left w:val="nil"/>
              <w:bottom w:val="single" w:sz="8" w:space="0" w:color="auto"/>
              <w:right w:val="single" w:sz="8" w:space="0" w:color="auto"/>
            </w:tcBorders>
            <w:shd w:val="clear" w:color="000000" w:fill="FFFFFF"/>
            <w:noWrap/>
            <w:vAlign w:val="center"/>
            <w:hideMark/>
          </w:tcPr>
          <w:p w14:paraId="14346A35" w14:textId="70133486" w:rsidR="000F77AF" w:rsidRPr="008174E3" w:rsidRDefault="000F77AF" w:rsidP="000F77AF">
            <w:pPr>
              <w:jc w:val="center"/>
              <w:rPr>
                <w:rFonts w:ascii="Arial" w:hAnsi="Arial" w:cs="Arial"/>
                <w:color w:val="000000"/>
                <w:sz w:val="16"/>
                <w:szCs w:val="16"/>
              </w:rPr>
            </w:pPr>
            <w:r w:rsidRPr="008174E3">
              <w:rPr>
                <w:rFonts w:ascii="Arial" w:hAnsi="Arial" w:cs="Arial"/>
                <w:color w:val="000000"/>
                <w:sz w:val="16"/>
                <w:szCs w:val="16"/>
              </w:rPr>
              <w:t xml:space="preserve"> 2 días</w:t>
            </w:r>
          </w:p>
        </w:tc>
        <w:tc>
          <w:tcPr>
            <w:tcW w:w="1080" w:type="dxa"/>
            <w:tcBorders>
              <w:top w:val="nil"/>
              <w:left w:val="nil"/>
              <w:bottom w:val="single" w:sz="8" w:space="0" w:color="auto"/>
              <w:right w:val="single" w:sz="8" w:space="0" w:color="auto"/>
            </w:tcBorders>
            <w:shd w:val="clear" w:color="000000" w:fill="FFF2CC"/>
            <w:noWrap/>
            <w:vAlign w:val="center"/>
            <w:hideMark/>
          </w:tcPr>
          <w:p w14:paraId="39DB3F9B" w14:textId="5854FFD4" w:rsidR="000F77AF" w:rsidRPr="008174E3" w:rsidRDefault="000F77AF" w:rsidP="000F77AF">
            <w:pPr>
              <w:jc w:val="center"/>
              <w:rPr>
                <w:rFonts w:ascii="Arial" w:hAnsi="Arial" w:cs="Arial"/>
                <w:color w:val="000000"/>
                <w:sz w:val="16"/>
                <w:szCs w:val="16"/>
              </w:rPr>
            </w:pPr>
            <w:r w:rsidRPr="008174E3">
              <w:rPr>
                <w:rFonts w:ascii="Arial" w:hAnsi="Arial" w:cs="Arial"/>
                <w:color w:val="000000"/>
                <w:sz w:val="16"/>
                <w:szCs w:val="16"/>
              </w:rPr>
              <w:t>1 día</w:t>
            </w:r>
          </w:p>
        </w:tc>
        <w:tc>
          <w:tcPr>
            <w:tcW w:w="720" w:type="dxa"/>
            <w:vMerge/>
            <w:tcBorders>
              <w:top w:val="single" w:sz="8" w:space="0" w:color="auto"/>
              <w:left w:val="single" w:sz="8" w:space="0" w:color="auto"/>
              <w:bottom w:val="single" w:sz="8" w:space="0" w:color="auto"/>
              <w:right w:val="single" w:sz="8" w:space="0" w:color="auto"/>
            </w:tcBorders>
            <w:vAlign w:val="center"/>
            <w:hideMark/>
          </w:tcPr>
          <w:p w14:paraId="2B23FAAC" w14:textId="77777777" w:rsidR="000F77AF" w:rsidRPr="008174E3" w:rsidRDefault="000F77AF" w:rsidP="000F77AF">
            <w:pPr>
              <w:rPr>
                <w:rFonts w:ascii="Arial" w:hAnsi="Arial" w:cs="Arial"/>
                <w:color w:val="000000"/>
                <w:sz w:val="16"/>
                <w:szCs w:val="16"/>
              </w:rPr>
            </w:pPr>
          </w:p>
        </w:tc>
        <w:tc>
          <w:tcPr>
            <w:tcW w:w="990" w:type="dxa"/>
            <w:vMerge/>
            <w:tcBorders>
              <w:top w:val="single" w:sz="8" w:space="0" w:color="auto"/>
              <w:left w:val="single" w:sz="8" w:space="0" w:color="auto"/>
              <w:bottom w:val="single" w:sz="8" w:space="0" w:color="auto"/>
              <w:right w:val="single" w:sz="8" w:space="0" w:color="auto"/>
            </w:tcBorders>
            <w:vAlign w:val="center"/>
            <w:hideMark/>
          </w:tcPr>
          <w:p w14:paraId="1E545867" w14:textId="77777777" w:rsidR="000F77AF" w:rsidRPr="000F77AF" w:rsidRDefault="000F77AF" w:rsidP="000F77AF">
            <w:pPr>
              <w:rPr>
                <w:rFonts w:ascii="Arial" w:hAnsi="Arial" w:cs="Arial"/>
                <w:color w:val="000000"/>
                <w:sz w:val="16"/>
                <w:szCs w:val="16"/>
              </w:rPr>
            </w:pPr>
          </w:p>
        </w:tc>
        <w:tc>
          <w:tcPr>
            <w:tcW w:w="810" w:type="dxa"/>
            <w:vMerge/>
            <w:tcBorders>
              <w:top w:val="single" w:sz="8" w:space="0" w:color="auto"/>
              <w:left w:val="single" w:sz="8" w:space="0" w:color="auto"/>
              <w:bottom w:val="single" w:sz="8" w:space="0" w:color="auto"/>
              <w:right w:val="single" w:sz="8" w:space="0" w:color="auto"/>
            </w:tcBorders>
            <w:vAlign w:val="center"/>
            <w:hideMark/>
          </w:tcPr>
          <w:p w14:paraId="24D01893" w14:textId="77777777" w:rsidR="000F77AF" w:rsidRPr="000F77AF" w:rsidRDefault="000F77AF" w:rsidP="000F77AF">
            <w:pPr>
              <w:rPr>
                <w:rFonts w:ascii="Arial" w:hAnsi="Arial" w:cs="Arial"/>
                <w:color w:val="000000"/>
                <w:sz w:val="16"/>
                <w:szCs w:val="16"/>
              </w:rPr>
            </w:pPr>
          </w:p>
        </w:tc>
        <w:tc>
          <w:tcPr>
            <w:tcW w:w="969" w:type="dxa"/>
            <w:vMerge/>
            <w:tcBorders>
              <w:top w:val="single" w:sz="8" w:space="0" w:color="auto"/>
              <w:left w:val="single" w:sz="8" w:space="0" w:color="auto"/>
              <w:bottom w:val="single" w:sz="8" w:space="0" w:color="auto"/>
              <w:right w:val="single" w:sz="8" w:space="0" w:color="auto"/>
            </w:tcBorders>
            <w:vAlign w:val="center"/>
            <w:hideMark/>
          </w:tcPr>
          <w:p w14:paraId="5E4B78DF" w14:textId="77777777" w:rsidR="000F77AF" w:rsidRPr="000F77AF" w:rsidRDefault="000F77AF" w:rsidP="000F77AF">
            <w:pPr>
              <w:rPr>
                <w:rFonts w:ascii="Arial" w:hAnsi="Arial" w:cs="Arial"/>
                <w:color w:val="000000"/>
                <w:sz w:val="16"/>
                <w:szCs w:val="16"/>
              </w:rPr>
            </w:pPr>
          </w:p>
        </w:tc>
      </w:tr>
      <w:tr w:rsidR="000F77AF" w:rsidRPr="008174E3" w14:paraId="1C0D33C2" w14:textId="77777777" w:rsidTr="000F77AF">
        <w:trPr>
          <w:trHeight w:val="570"/>
        </w:trPr>
        <w:tc>
          <w:tcPr>
            <w:tcW w:w="1360" w:type="dxa"/>
            <w:vMerge w:val="restart"/>
            <w:tcBorders>
              <w:top w:val="single" w:sz="8" w:space="0" w:color="auto"/>
              <w:left w:val="single" w:sz="8" w:space="0" w:color="auto"/>
              <w:bottom w:val="single" w:sz="4" w:space="0" w:color="auto"/>
              <w:right w:val="single" w:sz="8" w:space="0" w:color="auto"/>
            </w:tcBorders>
            <w:shd w:val="clear" w:color="000000" w:fill="FFFFFF"/>
            <w:vAlign w:val="center"/>
            <w:hideMark/>
          </w:tcPr>
          <w:p w14:paraId="23C1F3CA" w14:textId="1BCB1716" w:rsidR="000F77AF" w:rsidRPr="008174E3" w:rsidRDefault="000F77AF" w:rsidP="000F77AF">
            <w:pPr>
              <w:jc w:val="center"/>
              <w:rPr>
                <w:rFonts w:ascii="Arial" w:hAnsi="Arial" w:cs="Arial"/>
                <w:b/>
                <w:bCs/>
                <w:color w:val="000000"/>
                <w:sz w:val="16"/>
                <w:szCs w:val="16"/>
              </w:rPr>
            </w:pPr>
            <w:r w:rsidRPr="008174E3">
              <w:rPr>
                <w:rFonts w:ascii="Arial" w:hAnsi="Arial" w:cs="Arial"/>
                <w:b/>
                <w:bCs/>
                <w:color w:val="000000"/>
                <w:sz w:val="16"/>
                <w:szCs w:val="16"/>
              </w:rPr>
              <w:t>Fortalecimiento del PAE</w:t>
            </w:r>
          </w:p>
        </w:tc>
        <w:tc>
          <w:tcPr>
            <w:tcW w:w="1890" w:type="dxa"/>
            <w:tcBorders>
              <w:top w:val="nil"/>
              <w:left w:val="nil"/>
              <w:bottom w:val="single" w:sz="8" w:space="0" w:color="auto"/>
              <w:right w:val="single" w:sz="8" w:space="0" w:color="auto"/>
            </w:tcBorders>
            <w:shd w:val="clear" w:color="000000" w:fill="FFFFFF"/>
            <w:vAlign w:val="center"/>
            <w:hideMark/>
          </w:tcPr>
          <w:p w14:paraId="62B25237" w14:textId="77777777" w:rsidR="000F77AF" w:rsidRPr="008174E3" w:rsidRDefault="000F77AF" w:rsidP="000F77AF">
            <w:pPr>
              <w:rPr>
                <w:rFonts w:ascii="Arial" w:hAnsi="Arial" w:cs="Arial"/>
                <w:color w:val="000000"/>
                <w:sz w:val="16"/>
                <w:szCs w:val="16"/>
              </w:rPr>
            </w:pPr>
            <w:r w:rsidRPr="008174E3">
              <w:rPr>
                <w:rFonts w:ascii="Arial" w:hAnsi="Arial" w:cs="Arial"/>
                <w:color w:val="000000"/>
                <w:sz w:val="16"/>
                <w:szCs w:val="16"/>
              </w:rPr>
              <w:t>Impacto en formalidad</w:t>
            </w:r>
          </w:p>
        </w:tc>
        <w:tc>
          <w:tcPr>
            <w:tcW w:w="900" w:type="dxa"/>
            <w:tcBorders>
              <w:top w:val="nil"/>
              <w:left w:val="nil"/>
              <w:bottom w:val="single" w:sz="8" w:space="0" w:color="auto"/>
              <w:right w:val="single" w:sz="8" w:space="0" w:color="auto"/>
            </w:tcBorders>
            <w:shd w:val="clear" w:color="000000" w:fill="FFF2CC"/>
            <w:noWrap/>
            <w:vAlign w:val="center"/>
            <w:hideMark/>
          </w:tcPr>
          <w:p w14:paraId="6E08ECE8" w14:textId="799123BD" w:rsidR="000F77AF" w:rsidRPr="008174E3" w:rsidRDefault="000F77AF" w:rsidP="000F77AF">
            <w:pPr>
              <w:jc w:val="center"/>
              <w:rPr>
                <w:rFonts w:ascii="Arial" w:hAnsi="Arial" w:cs="Arial"/>
                <w:color w:val="000000"/>
                <w:sz w:val="16"/>
                <w:szCs w:val="16"/>
              </w:rPr>
            </w:pPr>
            <w:r w:rsidRPr="008174E3">
              <w:rPr>
                <w:rFonts w:ascii="Arial" w:hAnsi="Arial" w:cs="Arial"/>
                <w:color w:val="000000"/>
                <w:sz w:val="16"/>
                <w:szCs w:val="16"/>
              </w:rPr>
              <w:t>4,</w:t>
            </w:r>
            <w:r w:rsidR="004C7107">
              <w:rPr>
                <w:rFonts w:ascii="Arial" w:hAnsi="Arial" w:cs="Arial"/>
                <w:color w:val="000000"/>
                <w:sz w:val="16"/>
                <w:szCs w:val="16"/>
              </w:rPr>
              <w:t>95</w:t>
            </w:r>
            <w:r w:rsidRPr="008174E3">
              <w:rPr>
                <w:rFonts w:ascii="Arial" w:hAnsi="Arial" w:cs="Arial"/>
                <w:color w:val="000000"/>
                <w:sz w:val="16"/>
                <w:szCs w:val="16"/>
              </w:rPr>
              <w:t xml:space="preserve"> pp.</w:t>
            </w:r>
          </w:p>
        </w:tc>
        <w:tc>
          <w:tcPr>
            <w:tcW w:w="1080" w:type="dxa"/>
            <w:tcBorders>
              <w:top w:val="nil"/>
              <w:left w:val="nil"/>
              <w:bottom w:val="single" w:sz="8" w:space="0" w:color="auto"/>
              <w:right w:val="single" w:sz="8" w:space="0" w:color="auto"/>
            </w:tcBorders>
            <w:shd w:val="clear" w:color="000000" w:fill="FFF2CC"/>
            <w:noWrap/>
            <w:vAlign w:val="center"/>
            <w:hideMark/>
          </w:tcPr>
          <w:p w14:paraId="677573D2" w14:textId="00AEBE6F" w:rsidR="000F77AF" w:rsidRPr="008174E3" w:rsidRDefault="000F77AF" w:rsidP="000F77AF">
            <w:pPr>
              <w:jc w:val="center"/>
              <w:rPr>
                <w:rFonts w:ascii="Arial" w:hAnsi="Arial" w:cs="Arial"/>
                <w:color w:val="000000"/>
                <w:sz w:val="16"/>
                <w:szCs w:val="16"/>
              </w:rPr>
            </w:pPr>
            <w:r w:rsidRPr="008174E3">
              <w:rPr>
                <w:rFonts w:ascii="Arial" w:hAnsi="Arial" w:cs="Arial"/>
                <w:color w:val="000000"/>
                <w:sz w:val="16"/>
                <w:szCs w:val="16"/>
              </w:rPr>
              <w:t>5 pp.</w:t>
            </w:r>
          </w:p>
        </w:tc>
        <w:tc>
          <w:tcPr>
            <w:tcW w:w="81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FE91CBA" w14:textId="413B3A0E" w:rsidR="000F77AF" w:rsidRPr="008174E3" w:rsidRDefault="000F77AF" w:rsidP="000F77AF">
            <w:pPr>
              <w:jc w:val="center"/>
              <w:rPr>
                <w:rFonts w:ascii="Arial" w:hAnsi="Arial" w:cs="Arial"/>
                <w:color w:val="000000"/>
                <w:sz w:val="16"/>
                <w:szCs w:val="16"/>
              </w:rPr>
            </w:pPr>
            <w:r w:rsidRPr="008174E3">
              <w:rPr>
                <w:rFonts w:ascii="Arial" w:hAnsi="Arial" w:cs="Arial"/>
                <w:color w:val="000000"/>
                <w:sz w:val="16"/>
                <w:szCs w:val="16"/>
              </w:rPr>
              <w:t>6 pp.</w:t>
            </w:r>
          </w:p>
        </w:tc>
        <w:tc>
          <w:tcPr>
            <w:tcW w:w="1080" w:type="dxa"/>
            <w:tcBorders>
              <w:top w:val="nil"/>
              <w:left w:val="nil"/>
              <w:bottom w:val="single" w:sz="8" w:space="0" w:color="auto"/>
              <w:right w:val="single" w:sz="8" w:space="0" w:color="auto"/>
            </w:tcBorders>
            <w:shd w:val="clear" w:color="000000" w:fill="FFF2CC"/>
            <w:noWrap/>
            <w:vAlign w:val="center"/>
            <w:hideMark/>
          </w:tcPr>
          <w:p w14:paraId="4CFFD274" w14:textId="676720A7" w:rsidR="000F77AF" w:rsidRPr="008174E3" w:rsidRDefault="000F77AF" w:rsidP="000F77AF">
            <w:pPr>
              <w:jc w:val="center"/>
              <w:rPr>
                <w:rFonts w:ascii="Arial" w:hAnsi="Arial" w:cs="Arial"/>
                <w:color w:val="000000"/>
                <w:sz w:val="16"/>
                <w:szCs w:val="16"/>
              </w:rPr>
            </w:pPr>
            <w:r w:rsidRPr="008174E3">
              <w:rPr>
                <w:rFonts w:ascii="Arial" w:hAnsi="Arial" w:cs="Arial"/>
                <w:color w:val="000000"/>
                <w:sz w:val="16"/>
                <w:szCs w:val="16"/>
              </w:rPr>
              <w:t>7 pp.</w:t>
            </w:r>
          </w:p>
        </w:tc>
        <w:tc>
          <w:tcPr>
            <w:tcW w:w="720" w:type="dxa"/>
            <w:vMerge w:val="restart"/>
            <w:tcBorders>
              <w:top w:val="single" w:sz="8" w:space="0" w:color="auto"/>
              <w:left w:val="single" w:sz="8" w:space="0" w:color="auto"/>
              <w:bottom w:val="single" w:sz="4" w:space="0" w:color="auto"/>
              <w:right w:val="single" w:sz="8" w:space="0" w:color="auto"/>
            </w:tcBorders>
            <w:shd w:val="clear" w:color="000000" w:fill="FFF2CC"/>
            <w:noWrap/>
            <w:vAlign w:val="center"/>
            <w:hideMark/>
          </w:tcPr>
          <w:p w14:paraId="0D397F8A" w14:textId="0AFF384E" w:rsidR="000F77AF" w:rsidRPr="008174E3" w:rsidRDefault="000F77AF" w:rsidP="000F77AF">
            <w:pPr>
              <w:jc w:val="center"/>
              <w:rPr>
                <w:rFonts w:ascii="Arial" w:hAnsi="Arial" w:cs="Arial"/>
                <w:color w:val="000000"/>
                <w:sz w:val="16"/>
                <w:szCs w:val="16"/>
              </w:rPr>
            </w:pPr>
            <w:r w:rsidRPr="008174E3">
              <w:rPr>
                <w:rFonts w:ascii="Arial" w:hAnsi="Arial" w:cs="Arial"/>
                <w:color w:val="000000"/>
                <w:sz w:val="16"/>
                <w:szCs w:val="16"/>
              </w:rPr>
              <w:t xml:space="preserve"> $ 0       </w:t>
            </w:r>
          </w:p>
        </w:tc>
        <w:tc>
          <w:tcPr>
            <w:tcW w:w="990" w:type="dxa"/>
            <w:vMerge w:val="restart"/>
            <w:tcBorders>
              <w:top w:val="single" w:sz="8" w:space="0" w:color="auto"/>
              <w:left w:val="single" w:sz="8" w:space="0" w:color="auto"/>
              <w:bottom w:val="single" w:sz="4" w:space="0" w:color="auto"/>
              <w:right w:val="single" w:sz="8" w:space="0" w:color="auto"/>
            </w:tcBorders>
            <w:shd w:val="clear" w:color="000000" w:fill="FFF2CC"/>
            <w:noWrap/>
            <w:vAlign w:val="center"/>
            <w:hideMark/>
          </w:tcPr>
          <w:p w14:paraId="71DE8AFA" w14:textId="4B8C28F4" w:rsidR="000F77AF" w:rsidRPr="000F77AF" w:rsidRDefault="00AA5D3E" w:rsidP="000F77AF">
            <w:pPr>
              <w:jc w:val="center"/>
              <w:rPr>
                <w:rFonts w:ascii="Arial" w:hAnsi="Arial" w:cs="Arial"/>
                <w:color w:val="000000"/>
                <w:sz w:val="16"/>
                <w:szCs w:val="16"/>
              </w:rPr>
            </w:pPr>
            <w:r>
              <w:rPr>
                <w:rFonts w:ascii="Arial" w:hAnsi="Arial" w:cs="Arial"/>
                <w:sz w:val="16"/>
                <w:szCs w:val="16"/>
              </w:rPr>
              <w:t>-</w:t>
            </w:r>
            <w:r w:rsidR="000F77AF" w:rsidRPr="000F77AF">
              <w:rPr>
                <w:rFonts w:ascii="Arial" w:hAnsi="Arial" w:cs="Arial"/>
                <w:sz w:val="16"/>
                <w:szCs w:val="16"/>
              </w:rPr>
              <w:t>$14</w:t>
            </w:r>
            <w:r w:rsidR="000F77AF">
              <w:rPr>
                <w:rFonts w:ascii="Arial" w:hAnsi="Arial" w:cs="Arial"/>
                <w:sz w:val="16"/>
                <w:szCs w:val="16"/>
              </w:rPr>
              <w:t>,</w:t>
            </w:r>
            <w:r w:rsidR="000F77AF" w:rsidRPr="000F77AF">
              <w:rPr>
                <w:rFonts w:ascii="Arial" w:hAnsi="Arial" w:cs="Arial"/>
                <w:sz w:val="16"/>
                <w:szCs w:val="16"/>
              </w:rPr>
              <w:t>37</w:t>
            </w:r>
          </w:p>
        </w:tc>
        <w:tc>
          <w:tcPr>
            <w:tcW w:w="810" w:type="dxa"/>
            <w:vMerge w:val="restart"/>
            <w:tcBorders>
              <w:top w:val="single" w:sz="8" w:space="0" w:color="auto"/>
              <w:left w:val="single" w:sz="8" w:space="0" w:color="auto"/>
              <w:bottom w:val="single" w:sz="4" w:space="0" w:color="auto"/>
              <w:right w:val="single" w:sz="8" w:space="0" w:color="auto"/>
            </w:tcBorders>
            <w:shd w:val="clear" w:color="000000" w:fill="FFFFFF"/>
            <w:noWrap/>
            <w:vAlign w:val="center"/>
            <w:hideMark/>
          </w:tcPr>
          <w:p w14:paraId="01867B5B" w14:textId="2E86F496" w:rsidR="000F77AF" w:rsidRPr="000F77AF" w:rsidRDefault="000F77AF" w:rsidP="000F77AF">
            <w:pPr>
              <w:jc w:val="center"/>
              <w:rPr>
                <w:rFonts w:ascii="Arial" w:hAnsi="Arial" w:cs="Arial"/>
                <w:color w:val="000000"/>
                <w:sz w:val="16"/>
                <w:szCs w:val="16"/>
              </w:rPr>
            </w:pPr>
            <w:r w:rsidRPr="000F77AF">
              <w:rPr>
                <w:rFonts w:ascii="Arial" w:hAnsi="Arial" w:cs="Arial"/>
                <w:sz w:val="16"/>
                <w:szCs w:val="16"/>
              </w:rPr>
              <w:t>$22</w:t>
            </w:r>
            <w:r>
              <w:rPr>
                <w:rFonts w:ascii="Arial" w:hAnsi="Arial" w:cs="Arial"/>
                <w:sz w:val="16"/>
                <w:szCs w:val="16"/>
              </w:rPr>
              <w:t>,</w:t>
            </w:r>
            <w:r w:rsidRPr="000F77AF">
              <w:rPr>
                <w:rFonts w:ascii="Arial" w:hAnsi="Arial" w:cs="Arial"/>
                <w:sz w:val="16"/>
                <w:szCs w:val="16"/>
              </w:rPr>
              <w:t xml:space="preserve">30 </w:t>
            </w:r>
          </w:p>
        </w:tc>
        <w:tc>
          <w:tcPr>
            <w:tcW w:w="969" w:type="dxa"/>
            <w:vMerge w:val="restart"/>
            <w:tcBorders>
              <w:top w:val="single" w:sz="8" w:space="0" w:color="auto"/>
              <w:left w:val="single" w:sz="8" w:space="0" w:color="auto"/>
              <w:bottom w:val="single" w:sz="4" w:space="0" w:color="auto"/>
              <w:right w:val="single" w:sz="8" w:space="0" w:color="auto"/>
            </w:tcBorders>
            <w:shd w:val="clear" w:color="000000" w:fill="FFF2CC"/>
            <w:noWrap/>
            <w:vAlign w:val="center"/>
          </w:tcPr>
          <w:p w14:paraId="1F370024" w14:textId="6AB1AFDC" w:rsidR="000F77AF" w:rsidRPr="000F77AF" w:rsidRDefault="000F77AF" w:rsidP="000F77AF">
            <w:pPr>
              <w:jc w:val="center"/>
              <w:rPr>
                <w:rFonts w:ascii="Arial" w:hAnsi="Arial" w:cs="Arial"/>
                <w:color w:val="000000"/>
                <w:sz w:val="16"/>
                <w:szCs w:val="16"/>
              </w:rPr>
            </w:pPr>
            <w:r w:rsidRPr="000F77AF">
              <w:rPr>
                <w:rFonts w:ascii="Arial" w:hAnsi="Arial" w:cs="Arial"/>
                <w:sz w:val="16"/>
                <w:szCs w:val="16"/>
              </w:rPr>
              <w:t>$65</w:t>
            </w:r>
            <w:r>
              <w:rPr>
                <w:rFonts w:ascii="Arial" w:hAnsi="Arial" w:cs="Arial"/>
                <w:sz w:val="16"/>
                <w:szCs w:val="16"/>
              </w:rPr>
              <w:t>,</w:t>
            </w:r>
            <w:r w:rsidRPr="000F77AF">
              <w:rPr>
                <w:rFonts w:ascii="Arial" w:hAnsi="Arial" w:cs="Arial"/>
                <w:sz w:val="16"/>
                <w:szCs w:val="16"/>
              </w:rPr>
              <w:t xml:space="preserve">17 </w:t>
            </w:r>
          </w:p>
        </w:tc>
      </w:tr>
      <w:tr w:rsidR="00B034CD" w:rsidRPr="008174E3" w14:paraId="6CF3EDA0" w14:textId="77777777" w:rsidTr="00B0718A">
        <w:trPr>
          <w:trHeight w:val="495"/>
        </w:trPr>
        <w:tc>
          <w:tcPr>
            <w:tcW w:w="1360" w:type="dxa"/>
            <w:vMerge/>
            <w:tcBorders>
              <w:top w:val="single" w:sz="8" w:space="0" w:color="auto"/>
              <w:left w:val="single" w:sz="8" w:space="0" w:color="auto"/>
              <w:bottom w:val="single" w:sz="4" w:space="0" w:color="auto"/>
              <w:right w:val="single" w:sz="8" w:space="0" w:color="auto"/>
            </w:tcBorders>
            <w:vAlign w:val="center"/>
            <w:hideMark/>
          </w:tcPr>
          <w:p w14:paraId="41874DD0" w14:textId="77777777" w:rsidR="00B034CD" w:rsidRPr="008174E3" w:rsidRDefault="00B034CD" w:rsidP="00B034CD">
            <w:pPr>
              <w:rPr>
                <w:rFonts w:ascii="Arial" w:hAnsi="Arial" w:cs="Arial"/>
                <w:b/>
                <w:bCs/>
                <w:color w:val="000000"/>
                <w:sz w:val="16"/>
                <w:szCs w:val="16"/>
              </w:rPr>
            </w:pPr>
          </w:p>
        </w:tc>
        <w:tc>
          <w:tcPr>
            <w:tcW w:w="1890" w:type="dxa"/>
            <w:tcBorders>
              <w:top w:val="nil"/>
              <w:left w:val="nil"/>
              <w:bottom w:val="single" w:sz="8" w:space="0" w:color="auto"/>
              <w:right w:val="single" w:sz="8" w:space="0" w:color="auto"/>
            </w:tcBorders>
            <w:shd w:val="clear" w:color="000000" w:fill="FFFFFF"/>
            <w:vAlign w:val="center"/>
            <w:hideMark/>
          </w:tcPr>
          <w:p w14:paraId="7EC10CD2" w14:textId="77A31743" w:rsidR="00B034CD" w:rsidRPr="008174E3" w:rsidRDefault="00B034CD" w:rsidP="00B034CD">
            <w:pPr>
              <w:rPr>
                <w:rFonts w:ascii="Arial" w:hAnsi="Arial" w:cs="Arial"/>
                <w:color w:val="000000"/>
                <w:sz w:val="16"/>
                <w:szCs w:val="16"/>
              </w:rPr>
            </w:pPr>
            <w:r w:rsidRPr="008174E3">
              <w:rPr>
                <w:rFonts w:ascii="Arial" w:hAnsi="Arial" w:cs="Arial"/>
                <w:color w:val="000000"/>
                <w:sz w:val="16"/>
                <w:szCs w:val="16"/>
              </w:rPr>
              <w:t>Impacto asociado a formalidad (como % del salario de referencia)</w:t>
            </w:r>
          </w:p>
        </w:tc>
        <w:tc>
          <w:tcPr>
            <w:tcW w:w="900" w:type="dxa"/>
            <w:tcBorders>
              <w:top w:val="nil"/>
              <w:left w:val="nil"/>
              <w:bottom w:val="single" w:sz="8" w:space="0" w:color="auto"/>
              <w:right w:val="single" w:sz="8" w:space="0" w:color="auto"/>
            </w:tcBorders>
            <w:shd w:val="clear" w:color="000000" w:fill="FFF2CC"/>
            <w:noWrap/>
            <w:vAlign w:val="center"/>
            <w:hideMark/>
          </w:tcPr>
          <w:p w14:paraId="4F15DE28" w14:textId="67904443" w:rsidR="00B034CD" w:rsidRPr="008174E3" w:rsidRDefault="004C7107" w:rsidP="00B034CD">
            <w:pPr>
              <w:jc w:val="center"/>
              <w:rPr>
                <w:rFonts w:ascii="Arial" w:hAnsi="Arial" w:cs="Arial"/>
                <w:color w:val="000000"/>
                <w:sz w:val="16"/>
                <w:szCs w:val="16"/>
              </w:rPr>
            </w:pPr>
            <w:r>
              <w:rPr>
                <w:rFonts w:ascii="Arial" w:hAnsi="Arial" w:cs="Arial"/>
                <w:color w:val="000000"/>
                <w:sz w:val="16"/>
                <w:szCs w:val="16"/>
              </w:rPr>
              <w:t>19</w:t>
            </w:r>
            <w:r w:rsidR="00B85737" w:rsidRPr="008174E3">
              <w:rPr>
                <w:rFonts w:ascii="Arial" w:hAnsi="Arial" w:cs="Arial"/>
                <w:color w:val="000000"/>
                <w:sz w:val="16"/>
                <w:szCs w:val="16"/>
              </w:rPr>
              <w:t>,</w:t>
            </w:r>
            <w:r>
              <w:rPr>
                <w:rFonts w:ascii="Arial" w:hAnsi="Arial" w:cs="Arial"/>
                <w:color w:val="000000"/>
                <w:sz w:val="16"/>
                <w:szCs w:val="16"/>
              </w:rPr>
              <w:t>19</w:t>
            </w:r>
            <w:r w:rsidR="00B034CD" w:rsidRPr="008174E3">
              <w:rPr>
                <w:rFonts w:ascii="Arial" w:hAnsi="Arial" w:cs="Arial"/>
                <w:color w:val="000000"/>
                <w:sz w:val="16"/>
                <w:szCs w:val="16"/>
              </w:rPr>
              <w:t>%</w:t>
            </w:r>
          </w:p>
        </w:tc>
        <w:tc>
          <w:tcPr>
            <w:tcW w:w="1080" w:type="dxa"/>
            <w:tcBorders>
              <w:top w:val="nil"/>
              <w:left w:val="nil"/>
              <w:bottom w:val="single" w:sz="8" w:space="0" w:color="auto"/>
              <w:right w:val="single" w:sz="8" w:space="0" w:color="auto"/>
            </w:tcBorders>
            <w:shd w:val="clear" w:color="000000" w:fill="FFF2CC"/>
            <w:noWrap/>
            <w:vAlign w:val="center"/>
            <w:hideMark/>
          </w:tcPr>
          <w:p w14:paraId="14F886C4" w14:textId="526F1024" w:rsidR="00B034CD" w:rsidRPr="008174E3" w:rsidRDefault="00B034CD" w:rsidP="00B034CD">
            <w:pPr>
              <w:jc w:val="center"/>
              <w:rPr>
                <w:rFonts w:ascii="Arial" w:hAnsi="Arial" w:cs="Arial"/>
                <w:color w:val="000000"/>
                <w:sz w:val="16"/>
                <w:szCs w:val="16"/>
              </w:rPr>
            </w:pPr>
            <w:r w:rsidRPr="008174E3">
              <w:rPr>
                <w:rFonts w:ascii="Arial" w:hAnsi="Arial" w:cs="Arial"/>
                <w:color w:val="000000"/>
                <w:sz w:val="16"/>
                <w:szCs w:val="16"/>
              </w:rPr>
              <w:t>20</w:t>
            </w:r>
            <w:r w:rsidR="00B85737" w:rsidRPr="008174E3">
              <w:rPr>
                <w:rFonts w:ascii="Arial" w:hAnsi="Arial" w:cs="Arial"/>
                <w:color w:val="000000"/>
                <w:sz w:val="16"/>
                <w:szCs w:val="16"/>
              </w:rPr>
              <w:t>,</w:t>
            </w:r>
            <w:r w:rsidRPr="008174E3">
              <w:rPr>
                <w:rFonts w:ascii="Arial" w:hAnsi="Arial" w:cs="Arial"/>
                <w:color w:val="000000"/>
                <w:sz w:val="16"/>
                <w:szCs w:val="16"/>
              </w:rPr>
              <w:t>00%</w:t>
            </w:r>
          </w:p>
        </w:tc>
        <w:tc>
          <w:tcPr>
            <w:tcW w:w="810" w:type="dxa"/>
            <w:tcBorders>
              <w:top w:val="nil"/>
              <w:left w:val="single" w:sz="8" w:space="0" w:color="auto"/>
              <w:bottom w:val="single" w:sz="8" w:space="0" w:color="auto"/>
              <w:right w:val="single" w:sz="8" w:space="0" w:color="auto"/>
            </w:tcBorders>
            <w:shd w:val="clear" w:color="000000" w:fill="FFFFFF"/>
            <w:noWrap/>
            <w:vAlign w:val="center"/>
            <w:hideMark/>
          </w:tcPr>
          <w:p w14:paraId="1D56C5B4" w14:textId="2EDB08D3" w:rsidR="00B034CD" w:rsidRPr="008174E3" w:rsidRDefault="00B034CD" w:rsidP="00B034CD">
            <w:pPr>
              <w:jc w:val="center"/>
              <w:rPr>
                <w:rFonts w:ascii="Arial" w:hAnsi="Arial" w:cs="Arial"/>
                <w:color w:val="000000"/>
                <w:sz w:val="16"/>
                <w:szCs w:val="16"/>
              </w:rPr>
            </w:pPr>
            <w:r w:rsidRPr="008174E3">
              <w:rPr>
                <w:rFonts w:ascii="Arial" w:hAnsi="Arial" w:cs="Arial"/>
                <w:color w:val="000000"/>
                <w:sz w:val="16"/>
                <w:szCs w:val="16"/>
              </w:rPr>
              <w:t>24%</w:t>
            </w:r>
          </w:p>
        </w:tc>
        <w:tc>
          <w:tcPr>
            <w:tcW w:w="1080" w:type="dxa"/>
            <w:tcBorders>
              <w:top w:val="nil"/>
              <w:left w:val="nil"/>
              <w:bottom w:val="single" w:sz="8" w:space="0" w:color="auto"/>
              <w:right w:val="single" w:sz="8" w:space="0" w:color="auto"/>
            </w:tcBorders>
            <w:shd w:val="clear" w:color="000000" w:fill="FFF2CC"/>
            <w:noWrap/>
            <w:vAlign w:val="center"/>
            <w:hideMark/>
          </w:tcPr>
          <w:p w14:paraId="24EB3C38" w14:textId="4F109325" w:rsidR="00B034CD" w:rsidRPr="008174E3" w:rsidRDefault="00B034CD" w:rsidP="00B034CD">
            <w:pPr>
              <w:jc w:val="center"/>
              <w:rPr>
                <w:rFonts w:ascii="Arial" w:hAnsi="Arial" w:cs="Arial"/>
                <w:color w:val="000000"/>
                <w:sz w:val="16"/>
                <w:szCs w:val="16"/>
              </w:rPr>
            </w:pPr>
            <w:r w:rsidRPr="008174E3">
              <w:rPr>
                <w:rFonts w:ascii="Arial" w:hAnsi="Arial" w:cs="Arial"/>
                <w:color w:val="000000"/>
                <w:sz w:val="16"/>
                <w:szCs w:val="16"/>
              </w:rPr>
              <w:t>28</w:t>
            </w:r>
            <w:r w:rsidR="00B85737" w:rsidRPr="008174E3">
              <w:rPr>
                <w:rFonts w:ascii="Arial" w:hAnsi="Arial" w:cs="Arial"/>
                <w:color w:val="000000"/>
                <w:sz w:val="16"/>
                <w:szCs w:val="16"/>
              </w:rPr>
              <w:t>,</w:t>
            </w:r>
            <w:r w:rsidRPr="008174E3">
              <w:rPr>
                <w:rFonts w:ascii="Arial" w:hAnsi="Arial" w:cs="Arial"/>
                <w:color w:val="000000"/>
                <w:sz w:val="16"/>
                <w:szCs w:val="16"/>
              </w:rPr>
              <w:t>00%</w:t>
            </w:r>
          </w:p>
        </w:tc>
        <w:tc>
          <w:tcPr>
            <w:tcW w:w="720" w:type="dxa"/>
            <w:vMerge/>
            <w:tcBorders>
              <w:top w:val="single" w:sz="8" w:space="0" w:color="auto"/>
              <w:left w:val="single" w:sz="8" w:space="0" w:color="auto"/>
              <w:bottom w:val="single" w:sz="4" w:space="0" w:color="auto"/>
              <w:right w:val="single" w:sz="8" w:space="0" w:color="auto"/>
            </w:tcBorders>
            <w:vAlign w:val="center"/>
            <w:hideMark/>
          </w:tcPr>
          <w:p w14:paraId="6F72022A" w14:textId="77777777" w:rsidR="00B034CD" w:rsidRPr="008174E3" w:rsidRDefault="00B034CD" w:rsidP="00B034CD">
            <w:pPr>
              <w:rPr>
                <w:rFonts w:ascii="Arial" w:hAnsi="Arial" w:cs="Arial"/>
                <w:color w:val="000000"/>
                <w:sz w:val="16"/>
                <w:szCs w:val="16"/>
              </w:rPr>
            </w:pPr>
          </w:p>
        </w:tc>
        <w:tc>
          <w:tcPr>
            <w:tcW w:w="990" w:type="dxa"/>
            <w:vMerge/>
            <w:tcBorders>
              <w:top w:val="single" w:sz="8" w:space="0" w:color="auto"/>
              <w:left w:val="single" w:sz="8" w:space="0" w:color="auto"/>
              <w:bottom w:val="single" w:sz="4" w:space="0" w:color="auto"/>
              <w:right w:val="single" w:sz="8" w:space="0" w:color="auto"/>
            </w:tcBorders>
            <w:vAlign w:val="center"/>
            <w:hideMark/>
          </w:tcPr>
          <w:p w14:paraId="03C9EC97" w14:textId="77777777" w:rsidR="00B034CD" w:rsidRPr="008174E3" w:rsidRDefault="00B034CD" w:rsidP="00B034CD">
            <w:pPr>
              <w:rPr>
                <w:rFonts w:ascii="Arial" w:hAnsi="Arial" w:cs="Arial"/>
                <w:color w:val="000000"/>
                <w:sz w:val="16"/>
                <w:szCs w:val="16"/>
              </w:rPr>
            </w:pPr>
          </w:p>
        </w:tc>
        <w:tc>
          <w:tcPr>
            <w:tcW w:w="810" w:type="dxa"/>
            <w:vMerge/>
            <w:tcBorders>
              <w:top w:val="single" w:sz="8" w:space="0" w:color="auto"/>
              <w:left w:val="single" w:sz="8" w:space="0" w:color="auto"/>
              <w:bottom w:val="single" w:sz="4" w:space="0" w:color="auto"/>
              <w:right w:val="single" w:sz="8" w:space="0" w:color="auto"/>
            </w:tcBorders>
            <w:vAlign w:val="center"/>
            <w:hideMark/>
          </w:tcPr>
          <w:p w14:paraId="7485FC8C" w14:textId="77777777" w:rsidR="00B034CD" w:rsidRPr="008174E3" w:rsidRDefault="00B034CD" w:rsidP="00B034CD">
            <w:pPr>
              <w:rPr>
                <w:rFonts w:ascii="Arial" w:hAnsi="Arial" w:cs="Arial"/>
                <w:color w:val="000000"/>
                <w:sz w:val="16"/>
                <w:szCs w:val="16"/>
              </w:rPr>
            </w:pPr>
          </w:p>
        </w:tc>
        <w:tc>
          <w:tcPr>
            <w:tcW w:w="969" w:type="dxa"/>
            <w:vMerge/>
            <w:tcBorders>
              <w:top w:val="single" w:sz="8" w:space="0" w:color="auto"/>
              <w:left w:val="single" w:sz="8" w:space="0" w:color="auto"/>
              <w:bottom w:val="single" w:sz="4" w:space="0" w:color="auto"/>
              <w:right w:val="single" w:sz="8" w:space="0" w:color="auto"/>
            </w:tcBorders>
            <w:vAlign w:val="center"/>
            <w:hideMark/>
          </w:tcPr>
          <w:p w14:paraId="533680B1" w14:textId="77777777" w:rsidR="00B034CD" w:rsidRPr="008174E3" w:rsidRDefault="00B034CD" w:rsidP="00B034CD">
            <w:pPr>
              <w:rPr>
                <w:rFonts w:ascii="Arial" w:hAnsi="Arial" w:cs="Arial"/>
                <w:color w:val="000000"/>
                <w:sz w:val="16"/>
                <w:szCs w:val="16"/>
              </w:rPr>
            </w:pPr>
          </w:p>
        </w:tc>
      </w:tr>
      <w:tr w:rsidR="00B034CD" w:rsidRPr="008174E3" w14:paraId="5EE46A9D" w14:textId="77777777" w:rsidTr="00B0718A">
        <w:trPr>
          <w:trHeight w:val="300"/>
        </w:trPr>
        <w:tc>
          <w:tcPr>
            <w:tcW w:w="1360" w:type="dxa"/>
            <w:vMerge/>
            <w:tcBorders>
              <w:top w:val="single" w:sz="8" w:space="0" w:color="auto"/>
              <w:left w:val="single" w:sz="8" w:space="0" w:color="auto"/>
              <w:bottom w:val="single" w:sz="4" w:space="0" w:color="auto"/>
              <w:right w:val="single" w:sz="8" w:space="0" w:color="auto"/>
            </w:tcBorders>
            <w:vAlign w:val="center"/>
            <w:hideMark/>
          </w:tcPr>
          <w:p w14:paraId="64EFFF78" w14:textId="77777777" w:rsidR="00B034CD" w:rsidRPr="008174E3" w:rsidRDefault="00B034CD" w:rsidP="00B034CD">
            <w:pPr>
              <w:rPr>
                <w:rFonts w:ascii="Arial" w:hAnsi="Arial" w:cs="Arial"/>
                <w:b/>
                <w:bCs/>
                <w:color w:val="000000"/>
                <w:sz w:val="16"/>
                <w:szCs w:val="16"/>
              </w:rPr>
            </w:pPr>
          </w:p>
        </w:tc>
        <w:tc>
          <w:tcPr>
            <w:tcW w:w="1890" w:type="dxa"/>
            <w:tcBorders>
              <w:top w:val="nil"/>
              <w:left w:val="nil"/>
              <w:bottom w:val="single" w:sz="8" w:space="0" w:color="auto"/>
              <w:right w:val="single" w:sz="8" w:space="0" w:color="auto"/>
            </w:tcBorders>
            <w:shd w:val="clear" w:color="000000" w:fill="FFFFFF"/>
            <w:vAlign w:val="center"/>
            <w:hideMark/>
          </w:tcPr>
          <w:p w14:paraId="6628919B" w14:textId="77777777" w:rsidR="00B034CD" w:rsidRPr="008174E3" w:rsidRDefault="00B034CD" w:rsidP="00B034CD">
            <w:pPr>
              <w:rPr>
                <w:rFonts w:ascii="Arial" w:hAnsi="Arial" w:cs="Arial"/>
                <w:color w:val="000000"/>
                <w:sz w:val="16"/>
                <w:szCs w:val="16"/>
              </w:rPr>
            </w:pPr>
            <w:r w:rsidRPr="008174E3">
              <w:rPr>
                <w:rFonts w:ascii="Arial" w:hAnsi="Arial" w:cs="Arial"/>
                <w:color w:val="000000"/>
                <w:sz w:val="16"/>
                <w:szCs w:val="16"/>
              </w:rPr>
              <w:t>Impacto de beneficios laborales*</w:t>
            </w:r>
          </w:p>
        </w:tc>
        <w:tc>
          <w:tcPr>
            <w:tcW w:w="900" w:type="dxa"/>
            <w:tcBorders>
              <w:top w:val="nil"/>
              <w:left w:val="nil"/>
              <w:bottom w:val="single" w:sz="8" w:space="0" w:color="auto"/>
              <w:right w:val="single" w:sz="8" w:space="0" w:color="auto"/>
            </w:tcBorders>
            <w:shd w:val="clear" w:color="000000" w:fill="D9D9D9"/>
            <w:noWrap/>
            <w:vAlign w:val="center"/>
            <w:hideMark/>
          </w:tcPr>
          <w:p w14:paraId="3D66E08B" w14:textId="77777777" w:rsidR="00B034CD" w:rsidRPr="008174E3" w:rsidRDefault="00B034CD" w:rsidP="00B034CD">
            <w:pPr>
              <w:rPr>
                <w:rFonts w:ascii="Arial" w:hAnsi="Arial" w:cs="Arial"/>
                <w:color w:val="000000"/>
                <w:sz w:val="16"/>
                <w:szCs w:val="16"/>
              </w:rPr>
            </w:pPr>
          </w:p>
        </w:tc>
        <w:tc>
          <w:tcPr>
            <w:tcW w:w="1080" w:type="dxa"/>
            <w:tcBorders>
              <w:top w:val="nil"/>
              <w:left w:val="nil"/>
              <w:bottom w:val="single" w:sz="8" w:space="0" w:color="auto"/>
              <w:right w:val="single" w:sz="8" w:space="0" w:color="auto"/>
            </w:tcBorders>
            <w:shd w:val="clear" w:color="000000" w:fill="FFF2CC"/>
            <w:noWrap/>
            <w:vAlign w:val="center"/>
            <w:hideMark/>
          </w:tcPr>
          <w:p w14:paraId="2EC10A4A" w14:textId="43AE775A" w:rsidR="00B034CD" w:rsidRPr="008174E3" w:rsidRDefault="00B034CD" w:rsidP="00B034CD">
            <w:pPr>
              <w:jc w:val="center"/>
              <w:rPr>
                <w:rFonts w:ascii="Arial" w:hAnsi="Arial" w:cs="Arial"/>
                <w:color w:val="000000"/>
                <w:sz w:val="16"/>
                <w:szCs w:val="16"/>
              </w:rPr>
            </w:pPr>
            <w:r w:rsidRPr="008174E3">
              <w:rPr>
                <w:rFonts w:ascii="Arial" w:hAnsi="Arial" w:cs="Arial"/>
                <w:color w:val="000000"/>
                <w:sz w:val="16"/>
                <w:szCs w:val="16"/>
              </w:rPr>
              <w:t>SI</w:t>
            </w:r>
          </w:p>
        </w:tc>
        <w:tc>
          <w:tcPr>
            <w:tcW w:w="810" w:type="dxa"/>
            <w:tcBorders>
              <w:top w:val="nil"/>
              <w:left w:val="single" w:sz="8" w:space="0" w:color="auto"/>
              <w:bottom w:val="single" w:sz="8" w:space="0" w:color="auto"/>
              <w:right w:val="single" w:sz="8" w:space="0" w:color="auto"/>
            </w:tcBorders>
            <w:shd w:val="clear" w:color="000000" w:fill="FFFFFF"/>
            <w:noWrap/>
            <w:vAlign w:val="center"/>
            <w:hideMark/>
          </w:tcPr>
          <w:p w14:paraId="3EB491E6" w14:textId="16CE8C22" w:rsidR="00B034CD" w:rsidRPr="008174E3" w:rsidRDefault="00B034CD" w:rsidP="00B034CD">
            <w:pPr>
              <w:jc w:val="center"/>
              <w:rPr>
                <w:rFonts w:ascii="Arial" w:hAnsi="Arial" w:cs="Arial"/>
                <w:color w:val="000000"/>
                <w:sz w:val="16"/>
                <w:szCs w:val="16"/>
              </w:rPr>
            </w:pPr>
            <w:r w:rsidRPr="008174E3">
              <w:rPr>
                <w:rFonts w:ascii="Arial" w:hAnsi="Arial" w:cs="Arial"/>
                <w:color w:val="000000"/>
                <w:sz w:val="16"/>
                <w:szCs w:val="16"/>
              </w:rPr>
              <w:t>SI</w:t>
            </w:r>
          </w:p>
        </w:tc>
        <w:tc>
          <w:tcPr>
            <w:tcW w:w="1080" w:type="dxa"/>
            <w:tcBorders>
              <w:top w:val="nil"/>
              <w:left w:val="nil"/>
              <w:bottom w:val="single" w:sz="8" w:space="0" w:color="auto"/>
              <w:right w:val="single" w:sz="8" w:space="0" w:color="auto"/>
            </w:tcBorders>
            <w:shd w:val="clear" w:color="000000" w:fill="FFF2CC"/>
            <w:noWrap/>
            <w:vAlign w:val="center"/>
            <w:hideMark/>
          </w:tcPr>
          <w:p w14:paraId="304DF64E" w14:textId="7269525A" w:rsidR="00B034CD" w:rsidRPr="008174E3" w:rsidRDefault="00B034CD" w:rsidP="00B034CD">
            <w:pPr>
              <w:jc w:val="center"/>
              <w:rPr>
                <w:rFonts w:ascii="Arial" w:hAnsi="Arial" w:cs="Arial"/>
                <w:color w:val="000000"/>
                <w:sz w:val="16"/>
                <w:szCs w:val="16"/>
              </w:rPr>
            </w:pPr>
            <w:r w:rsidRPr="008174E3">
              <w:rPr>
                <w:rFonts w:ascii="Arial" w:hAnsi="Arial" w:cs="Arial"/>
                <w:color w:val="000000"/>
                <w:sz w:val="16"/>
                <w:szCs w:val="16"/>
              </w:rPr>
              <w:t>SI</w:t>
            </w:r>
          </w:p>
        </w:tc>
        <w:tc>
          <w:tcPr>
            <w:tcW w:w="720" w:type="dxa"/>
            <w:vMerge/>
            <w:tcBorders>
              <w:top w:val="single" w:sz="8" w:space="0" w:color="auto"/>
              <w:left w:val="single" w:sz="8" w:space="0" w:color="auto"/>
              <w:bottom w:val="single" w:sz="4" w:space="0" w:color="auto"/>
              <w:right w:val="single" w:sz="8" w:space="0" w:color="auto"/>
            </w:tcBorders>
            <w:vAlign w:val="center"/>
            <w:hideMark/>
          </w:tcPr>
          <w:p w14:paraId="39EEC855" w14:textId="77777777" w:rsidR="00B034CD" w:rsidRPr="008174E3" w:rsidRDefault="00B034CD" w:rsidP="00B034CD">
            <w:pPr>
              <w:rPr>
                <w:rFonts w:ascii="Arial" w:hAnsi="Arial" w:cs="Arial"/>
                <w:color w:val="000000"/>
                <w:sz w:val="16"/>
                <w:szCs w:val="16"/>
              </w:rPr>
            </w:pPr>
          </w:p>
        </w:tc>
        <w:tc>
          <w:tcPr>
            <w:tcW w:w="990" w:type="dxa"/>
            <w:vMerge/>
            <w:tcBorders>
              <w:top w:val="single" w:sz="8" w:space="0" w:color="auto"/>
              <w:left w:val="single" w:sz="8" w:space="0" w:color="auto"/>
              <w:bottom w:val="single" w:sz="4" w:space="0" w:color="auto"/>
              <w:right w:val="single" w:sz="8" w:space="0" w:color="auto"/>
            </w:tcBorders>
            <w:vAlign w:val="center"/>
            <w:hideMark/>
          </w:tcPr>
          <w:p w14:paraId="18882EFC" w14:textId="77777777" w:rsidR="00B034CD" w:rsidRPr="008174E3" w:rsidRDefault="00B034CD" w:rsidP="00B034CD">
            <w:pPr>
              <w:rPr>
                <w:rFonts w:ascii="Arial" w:hAnsi="Arial" w:cs="Arial"/>
                <w:color w:val="000000"/>
                <w:sz w:val="16"/>
                <w:szCs w:val="16"/>
              </w:rPr>
            </w:pPr>
          </w:p>
        </w:tc>
        <w:tc>
          <w:tcPr>
            <w:tcW w:w="810" w:type="dxa"/>
            <w:vMerge/>
            <w:tcBorders>
              <w:top w:val="single" w:sz="8" w:space="0" w:color="auto"/>
              <w:left w:val="single" w:sz="8" w:space="0" w:color="auto"/>
              <w:bottom w:val="single" w:sz="4" w:space="0" w:color="auto"/>
              <w:right w:val="single" w:sz="8" w:space="0" w:color="auto"/>
            </w:tcBorders>
            <w:vAlign w:val="center"/>
            <w:hideMark/>
          </w:tcPr>
          <w:p w14:paraId="3B7F45AD" w14:textId="77777777" w:rsidR="00B034CD" w:rsidRPr="008174E3" w:rsidRDefault="00B034CD" w:rsidP="00B034CD">
            <w:pPr>
              <w:rPr>
                <w:rFonts w:ascii="Arial" w:hAnsi="Arial" w:cs="Arial"/>
                <w:color w:val="000000"/>
                <w:sz w:val="16"/>
                <w:szCs w:val="16"/>
              </w:rPr>
            </w:pPr>
          </w:p>
        </w:tc>
        <w:tc>
          <w:tcPr>
            <w:tcW w:w="969" w:type="dxa"/>
            <w:vMerge/>
            <w:tcBorders>
              <w:top w:val="single" w:sz="8" w:space="0" w:color="auto"/>
              <w:left w:val="single" w:sz="8" w:space="0" w:color="auto"/>
              <w:bottom w:val="single" w:sz="4" w:space="0" w:color="auto"/>
              <w:right w:val="single" w:sz="8" w:space="0" w:color="auto"/>
            </w:tcBorders>
            <w:vAlign w:val="center"/>
            <w:hideMark/>
          </w:tcPr>
          <w:p w14:paraId="1CA0C64E" w14:textId="77777777" w:rsidR="00B034CD" w:rsidRPr="008174E3" w:rsidRDefault="00B034CD" w:rsidP="00B034CD">
            <w:pPr>
              <w:rPr>
                <w:rFonts w:ascii="Arial" w:hAnsi="Arial" w:cs="Arial"/>
                <w:color w:val="000000"/>
                <w:sz w:val="16"/>
                <w:szCs w:val="16"/>
              </w:rPr>
            </w:pPr>
          </w:p>
        </w:tc>
      </w:tr>
    </w:tbl>
    <w:p w14:paraId="63AA9FB0" w14:textId="7710058E" w:rsidR="009D3DC2" w:rsidRPr="008174E3" w:rsidRDefault="009D3DC2" w:rsidP="009D3DC2">
      <w:pPr>
        <w:pStyle w:val="ListParagraph"/>
        <w:spacing w:before="120"/>
        <w:ind w:left="0"/>
        <w:jc w:val="both"/>
        <w:rPr>
          <w:rFonts w:ascii="Arial" w:hAnsi="Arial" w:cs="Arial"/>
        </w:rPr>
      </w:pPr>
      <w:r w:rsidRPr="008174E3">
        <w:rPr>
          <w:rFonts w:ascii="Arial" w:hAnsi="Arial" w:cs="Arial"/>
        </w:rPr>
        <w:t xml:space="preserve"> </w:t>
      </w:r>
    </w:p>
    <w:p w14:paraId="183CDC54" w14:textId="77777777" w:rsidR="00FF5495" w:rsidRPr="008174E3" w:rsidRDefault="00FF5495" w:rsidP="007B65ED">
      <w:pPr>
        <w:pStyle w:val="ListParagraph"/>
        <w:numPr>
          <w:ilvl w:val="0"/>
          <w:numId w:val="7"/>
        </w:numPr>
        <w:spacing w:before="120"/>
        <w:ind w:left="0"/>
        <w:jc w:val="both"/>
        <w:rPr>
          <w:rFonts w:ascii="Arial" w:hAnsi="Arial" w:cs="Arial"/>
          <w:b/>
        </w:rPr>
      </w:pPr>
      <w:r w:rsidRPr="008174E3">
        <w:rPr>
          <w:rFonts w:ascii="Arial" w:hAnsi="Arial" w:cs="Arial"/>
          <w:b/>
        </w:rPr>
        <w:t>Conclusiones</w:t>
      </w:r>
    </w:p>
    <w:p w14:paraId="71DD3DC8" w14:textId="77777777" w:rsidR="00FF5495" w:rsidRPr="008174E3" w:rsidRDefault="00FF5495" w:rsidP="007B65ED">
      <w:pPr>
        <w:pStyle w:val="ListParagraph"/>
        <w:ind w:left="0"/>
        <w:rPr>
          <w:rFonts w:ascii="Arial" w:hAnsi="Arial" w:cs="Arial"/>
        </w:rPr>
      </w:pPr>
    </w:p>
    <w:p w14:paraId="4F98157F" w14:textId="18AFA4F1" w:rsidR="00531007" w:rsidRPr="008174E3" w:rsidRDefault="00FF5495" w:rsidP="00100566">
      <w:pPr>
        <w:pStyle w:val="ListParagraph"/>
        <w:numPr>
          <w:ilvl w:val="0"/>
          <w:numId w:val="8"/>
        </w:numPr>
        <w:ind w:left="0"/>
        <w:jc w:val="both"/>
        <w:rPr>
          <w:rFonts w:ascii="Arial" w:hAnsi="Arial" w:cs="Arial"/>
          <w:sz w:val="22"/>
          <w:szCs w:val="22"/>
        </w:rPr>
      </w:pPr>
      <w:r w:rsidRPr="008174E3">
        <w:rPr>
          <w:rFonts w:ascii="Arial" w:hAnsi="Arial" w:cs="Arial"/>
          <w:sz w:val="22"/>
          <w:szCs w:val="22"/>
        </w:rPr>
        <w:t xml:space="preserve">El presente </w:t>
      </w:r>
      <w:r w:rsidR="00A970EE" w:rsidRPr="008174E3">
        <w:rPr>
          <w:rFonts w:ascii="Arial" w:hAnsi="Arial" w:cs="Arial"/>
          <w:sz w:val="22"/>
          <w:szCs w:val="22"/>
        </w:rPr>
        <w:t>análisis</w:t>
      </w:r>
      <w:r w:rsidRPr="008174E3">
        <w:rPr>
          <w:rFonts w:ascii="Arial" w:hAnsi="Arial" w:cs="Arial"/>
          <w:sz w:val="22"/>
          <w:szCs w:val="22"/>
        </w:rPr>
        <w:t xml:space="preserve"> </w:t>
      </w:r>
      <w:r w:rsidR="00A970EE" w:rsidRPr="008174E3">
        <w:rPr>
          <w:rFonts w:ascii="Arial" w:hAnsi="Arial" w:cs="Arial"/>
          <w:sz w:val="22"/>
          <w:szCs w:val="22"/>
        </w:rPr>
        <w:t>económico</w:t>
      </w:r>
      <w:r w:rsidRPr="008174E3">
        <w:rPr>
          <w:rFonts w:ascii="Arial" w:hAnsi="Arial" w:cs="Arial"/>
          <w:sz w:val="22"/>
          <w:szCs w:val="22"/>
        </w:rPr>
        <w:t xml:space="preserve"> de la </w:t>
      </w:r>
      <w:r w:rsidR="00A970EE" w:rsidRPr="008174E3">
        <w:rPr>
          <w:rFonts w:ascii="Arial" w:hAnsi="Arial" w:cs="Arial"/>
          <w:sz w:val="22"/>
          <w:szCs w:val="22"/>
        </w:rPr>
        <w:t>operación</w:t>
      </w:r>
      <w:r w:rsidRPr="008174E3">
        <w:rPr>
          <w:rFonts w:ascii="Arial" w:hAnsi="Arial" w:cs="Arial"/>
          <w:sz w:val="22"/>
          <w:szCs w:val="22"/>
        </w:rPr>
        <w:t xml:space="preserve"> </w:t>
      </w:r>
      <w:r w:rsidR="00100566" w:rsidRPr="008174E3">
        <w:rPr>
          <w:rFonts w:ascii="Arial" w:hAnsi="Arial" w:cs="Arial"/>
          <w:i/>
          <w:sz w:val="22"/>
          <w:szCs w:val="22"/>
        </w:rPr>
        <w:t xml:space="preserve">Fortalecimiento de la Gestión de las Políticas </w:t>
      </w:r>
      <w:r w:rsidR="00170561" w:rsidRPr="008174E3">
        <w:rPr>
          <w:rFonts w:ascii="Arial" w:hAnsi="Arial" w:cs="Arial"/>
          <w:i/>
          <w:sz w:val="22"/>
          <w:szCs w:val="22"/>
        </w:rPr>
        <w:t>de Promoción al Empleo</w:t>
      </w:r>
      <w:r w:rsidR="00100566" w:rsidRPr="008174E3">
        <w:rPr>
          <w:rFonts w:ascii="Arial" w:hAnsi="Arial" w:cs="Arial"/>
          <w:i/>
          <w:sz w:val="22"/>
          <w:szCs w:val="22"/>
        </w:rPr>
        <w:t xml:space="preserve"> en México</w:t>
      </w:r>
      <w:r w:rsidR="007D7B34" w:rsidRPr="008174E3">
        <w:rPr>
          <w:rFonts w:ascii="Arial" w:hAnsi="Arial" w:cs="Arial"/>
          <w:sz w:val="22"/>
          <w:szCs w:val="22"/>
        </w:rPr>
        <w:t xml:space="preserve"> </w:t>
      </w:r>
      <w:r w:rsidRPr="008174E3">
        <w:rPr>
          <w:rFonts w:ascii="Arial" w:hAnsi="Arial" w:cs="Arial"/>
          <w:sz w:val="22"/>
          <w:szCs w:val="22"/>
        </w:rPr>
        <w:t xml:space="preserve">concluye que los beneficios esperados de la implementación del programa superan ampliamente los costos del mismo, incluso ante el uso de supuestos </w:t>
      </w:r>
      <w:r w:rsidR="007D7B34" w:rsidRPr="008174E3">
        <w:rPr>
          <w:rFonts w:ascii="Arial" w:hAnsi="Arial" w:cs="Arial"/>
          <w:sz w:val="22"/>
          <w:szCs w:val="22"/>
        </w:rPr>
        <w:t xml:space="preserve">sumamente </w:t>
      </w:r>
      <w:r w:rsidRPr="008174E3">
        <w:rPr>
          <w:rFonts w:ascii="Arial" w:hAnsi="Arial" w:cs="Arial"/>
          <w:sz w:val="22"/>
          <w:szCs w:val="22"/>
        </w:rPr>
        <w:t xml:space="preserve">conservadores. </w:t>
      </w:r>
    </w:p>
    <w:p w14:paraId="187D7BEF" w14:textId="77777777" w:rsidR="00531007" w:rsidRPr="008174E3" w:rsidRDefault="00531007" w:rsidP="007B65ED">
      <w:pPr>
        <w:pStyle w:val="ListParagraph"/>
        <w:ind w:left="0"/>
        <w:jc w:val="both"/>
        <w:rPr>
          <w:rFonts w:ascii="Arial" w:hAnsi="Arial" w:cs="Arial"/>
          <w:sz w:val="22"/>
          <w:szCs w:val="22"/>
        </w:rPr>
      </w:pPr>
    </w:p>
    <w:p w14:paraId="21084EA7" w14:textId="4D789346" w:rsidR="00531007" w:rsidRPr="008174E3" w:rsidRDefault="00FF5495" w:rsidP="007B65ED">
      <w:pPr>
        <w:pStyle w:val="ListParagraph"/>
        <w:numPr>
          <w:ilvl w:val="0"/>
          <w:numId w:val="8"/>
        </w:numPr>
        <w:ind w:left="0"/>
        <w:jc w:val="both"/>
        <w:rPr>
          <w:rFonts w:ascii="Arial" w:hAnsi="Arial" w:cs="Arial"/>
          <w:sz w:val="22"/>
          <w:szCs w:val="22"/>
        </w:rPr>
      </w:pPr>
      <w:r w:rsidRPr="008174E3">
        <w:rPr>
          <w:rFonts w:ascii="Arial" w:hAnsi="Arial" w:cs="Arial"/>
          <w:sz w:val="22"/>
          <w:szCs w:val="22"/>
        </w:rPr>
        <w:t xml:space="preserve">Desde una perspectiva sin proyecto, los buscadores de empleo intermediados por el </w:t>
      </w:r>
      <w:r w:rsidR="003D6EB3" w:rsidRPr="008174E3">
        <w:rPr>
          <w:rFonts w:ascii="Arial" w:hAnsi="Arial" w:cs="Arial"/>
          <w:sz w:val="22"/>
          <w:szCs w:val="22"/>
        </w:rPr>
        <w:t>SNE</w:t>
      </w:r>
      <w:r w:rsidRPr="008174E3">
        <w:rPr>
          <w:rFonts w:ascii="Arial" w:hAnsi="Arial" w:cs="Arial"/>
          <w:sz w:val="22"/>
          <w:szCs w:val="22"/>
        </w:rPr>
        <w:t xml:space="preserve"> </w:t>
      </w:r>
      <w:r w:rsidR="00A970EE" w:rsidRPr="008174E3">
        <w:rPr>
          <w:rFonts w:ascii="Arial" w:hAnsi="Arial" w:cs="Arial"/>
          <w:sz w:val="22"/>
          <w:szCs w:val="22"/>
        </w:rPr>
        <w:t>tendrían</w:t>
      </w:r>
      <w:r w:rsidRPr="008174E3">
        <w:rPr>
          <w:rFonts w:ascii="Arial" w:hAnsi="Arial" w:cs="Arial"/>
          <w:sz w:val="22"/>
          <w:szCs w:val="22"/>
        </w:rPr>
        <w:t xml:space="preserve"> mejor información sobre vacan</w:t>
      </w:r>
      <w:r w:rsidR="009C77BE" w:rsidRPr="008174E3">
        <w:rPr>
          <w:rFonts w:ascii="Arial" w:hAnsi="Arial" w:cs="Arial"/>
          <w:sz w:val="22"/>
          <w:szCs w:val="22"/>
        </w:rPr>
        <w:t>tes</w:t>
      </w:r>
      <w:r w:rsidRPr="008174E3">
        <w:rPr>
          <w:rFonts w:ascii="Arial" w:hAnsi="Arial" w:cs="Arial"/>
          <w:sz w:val="22"/>
          <w:szCs w:val="22"/>
        </w:rPr>
        <w:t>, lo que permitiría un mejor emparejamiento entre buscadores de empleo y empresas demandantes de mano de obra</w:t>
      </w:r>
      <w:r w:rsidR="008708A8" w:rsidRPr="008174E3">
        <w:rPr>
          <w:rFonts w:ascii="Arial" w:hAnsi="Arial" w:cs="Arial"/>
          <w:sz w:val="22"/>
          <w:szCs w:val="22"/>
        </w:rPr>
        <w:t xml:space="preserve">, mejorando </w:t>
      </w:r>
      <w:r w:rsidR="00D77621" w:rsidRPr="008174E3">
        <w:rPr>
          <w:rFonts w:ascii="Arial" w:hAnsi="Arial" w:cs="Arial"/>
          <w:sz w:val="22"/>
          <w:szCs w:val="22"/>
        </w:rPr>
        <w:t xml:space="preserve">el acceso a empleos de calidad </w:t>
      </w:r>
      <w:r w:rsidR="008708A8" w:rsidRPr="008174E3">
        <w:rPr>
          <w:rFonts w:ascii="Arial" w:hAnsi="Arial" w:cs="Arial"/>
          <w:sz w:val="22"/>
          <w:szCs w:val="22"/>
        </w:rPr>
        <w:t>de los buscadores de empleo</w:t>
      </w:r>
      <w:r w:rsidRPr="008174E3">
        <w:rPr>
          <w:rFonts w:ascii="Arial" w:hAnsi="Arial" w:cs="Arial"/>
          <w:sz w:val="22"/>
          <w:szCs w:val="22"/>
        </w:rPr>
        <w:t xml:space="preserve">. Para el componente de </w:t>
      </w:r>
      <w:r w:rsidR="00D77621" w:rsidRPr="008174E3">
        <w:rPr>
          <w:rFonts w:ascii="Arial" w:hAnsi="Arial" w:cs="Arial"/>
          <w:sz w:val="22"/>
          <w:szCs w:val="22"/>
        </w:rPr>
        <w:t xml:space="preserve">fortalecimiento </w:t>
      </w:r>
      <w:r w:rsidR="00B46F49" w:rsidRPr="008174E3">
        <w:rPr>
          <w:rFonts w:ascii="Arial" w:hAnsi="Arial" w:cs="Arial"/>
          <w:sz w:val="22"/>
          <w:szCs w:val="22"/>
        </w:rPr>
        <w:t>del PAE</w:t>
      </w:r>
      <w:r w:rsidRPr="008174E3">
        <w:rPr>
          <w:rFonts w:ascii="Arial" w:hAnsi="Arial" w:cs="Arial"/>
          <w:sz w:val="22"/>
          <w:szCs w:val="22"/>
        </w:rPr>
        <w:t xml:space="preserve">, los beneficiarios del programa </w:t>
      </w:r>
      <w:r w:rsidR="00A970EE" w:rsidRPr="008174E3">
        <w:rPr>
          <w:rFonts w:ascii="Arial" w:hAnsi="Arial" w:cs="Arial"/>
          <w:sz w:val="22"/>
          <w:szCs w:val="22"/>
        </w:rPr>
        <w:t>obtendrían</w:t>
      </w:r>
      <w:r w:rsidRPr="008174E3">
        <w:rPr>
          <w:rFonts w:ascii="Arial" w:hAnsi="Arial" w:cs="Arial"/>
          <w:sz w:val="22"/>
          <w:szCs w:val="22"/>
        </w:rPr>
        <w:t xml:space="preserve"> impactos en su stock de capital humano</w:t>
      </w:r>
      <w:r w:rsidR="00C94874" w:rsidRPr="008174E3">
        <w:rPr>
          <w:rFonts w:ascii="Arial" w:hAnsi="Arial" w:cs="Arial"/>
          <w:sz w:val="22"/>
          <w:szCs w:val="22"/>
        </w:rPr>
        <w:t xml:space="preserve">, experiencia, contactos </w:t>
      </w:r>
      <w:r w:rsidRPr="008174E3">
        <w:rPr>
          <w:rFonts w:ascii="Arial" w:hAnsi="Arial" w:cs="Arial"/>
          <w:sz w:val="22"/>
          <w:szCs w:val="22"/>
        </w:rPr>
        <w:t xml:space="preserve">y mejores emparejamientos, lo que los </w:t>
      </w:r>
      <w:r w:rsidR="00A970EE" w:rsidRPr="008174E3">
        <w:rPr>
          <w:rFonts w:ascii="Arial" w:hAnsi="Arial" w:cs="Arial"/>
          <w:sz w:val="22"/>
          <w:szCs w:val="22"/>
        </w:rPr>
        <w:t>encaminaría</w:t>
      </w:r>
      <w:r w:rsidRPr="008174E3">
        <w:rPr>
          <w:rFonts w:ascii="Arial" w:hAnsi="Arial" w:cs="Arial"/>
          <w:sz w:val="22"/>
          <w:szCs w:val="22"/>
        </w:rPr>
        <w:t xml:space="preserve"> hacia trabajos </w:t>
      </w:r>
      <w:r w:rsidR="00D77621" w:rsidRPr="008174E3">
        <w:rPr>
          <w:rFonts w:ascii="Arial" w:hAnsi="Arial" w:cs="Arial"/>
          <w:sz w:val="22"/>
          <w:szCs w:val="22"/>
        </w:rPr>
        <w:t>de mayor calidad</w:t>
      </w:r>
      <w:r w:rsidRPr="008174E3">
        <w:rPr>
          <w:rFonts w:ascii="Arial" w:hAnsi="Arial" w:cs="Arial"/>
          <w:sz w:val="22"/>
          <w:szCs w:val="22"/>
        </w:rPr>
        <w:t xml:space="preserve">. La provisión en conjunto de los componentes </w:t>
      </w:r>
      <w:r w:rsidR="003D6EB3" w:rsidRPr="008174E3">
        <w:rPr>
          <w:rFonts w:ascii="Arial" w:hAnsi="Arial" w:cs="Arial"/>
          <w:sz w:val="22"/>
          <w:szCs w:val="22"/>
        </w:rPr>
        <w:t>señalados</w:t>
      </w:r>
      <w:r w:rsidRPr="008174E3">
        <w:rPr>
          <w:rFonts w:ascii="Arial" w:hAnsi="Arial" w:cs="Arial"/>
          <w:sz w:val="22"/>
          <w:szCs w:val="22"/>
        </w:rPr>
        <w:t xml:space="preserve"> permite asegurar la eficiencia en la provisión de las PAML.</w:t>
      </w:r>
    </w:p>
    <w:p w14:paraId="56BE1371" w14:textId="77777777" w:rsidR="00531007" w:rsidRPr="008174E3" w:rsidRDefault="00531007" w:rsidP="007B65ED">
      <w:pPr>
        <w:pStyle w:val="ListParagraph"/>
        <w:ind w:left="0"/>
        <w:rPr>
          <w:rFonts w:ascii="Arial" w:hAnsi="Arial" w:cs="Arial"/>
          <w:sz w:val="22"/>
          <w:szCs w:val="22"/>
        </w:rPr>
      </w:pPr>
    </w:p>
    <w:p w14:paraId="7BAFBE1C" w14:textId="459D13EC" w:rsidR="00D45D2D" w:rsidRPr="008174E3" w:rsidRDefault="00FF5495" w:rsidP="00827E44">
      <w:pPr>
        <w:pStyle w:val="ListParagraph"/>
        <w:numPr>
          <w:ilvl w:val="0"/>
          <w:numId w:val="8"/>
        </w:numPr>
        <w:ind w:left="0"/>
        <w:jc w:val="both"/>
        <w:rPr>
          <w:rFonts w:ascii="Arial" w:hAnsi="Arial" w:cs="Arial"/>
          <w:b/>
          <w:sz w:val="22"/>
          <w:szCs w:val="22"/>
        </w:rPr>
      </w:pPr>
      <w:r w:rsidRPr="008174E3">
        <w:rPr>
          <w:rFonts w:ascii="Arial" w:hAnsi="Arial" w:cs="Arial"/>
          <w:sz w:val="22"/>
          <w:szCs w:val="22"/>
        </w:rPr>
        <w:t xml:space="preserve">Considerando que los beneficios </w:t>
      </w:r>
      <w:r w:rsidR="00531007" w:rsidRPr="008174E3">
        <w:rPr>
          <w:rFonts w:ascii="Arial" w:hAnsi="Arial" w:cs="Arial"/>
          <w:sz w:val="22"/>
          <w:szCs w:val="22"/>
        </w:rPr>
        <w:t xml:space="preserve">superan a los costos de la intervención y que </w:t>
      </w:r>
      <w:r w:rsidRPr="008174E3">
        <w:rPr>
          <w:rFonts w:ascii="Arial" w:hAnsi="Arial" w:cs="Arial"/>
          <w:sz w:val="22"/>
          <w:szCs w:val="22"/>
        </w:rPr>
        <w:t xml:space="preserve">según nuestros </w:t>
      </w:r>
      <w:r w:rsidR="00A970EE" w:rsidRPr="008174E3">
        <w:rPr>
          <w:rFonts w:ascii="Arial" w:hAnsi="Arial" w:cs="Arial"/>
          <w:sz w:val="22"/>
          <w:szCs w:val="22"/>
        </w:rPr>
        <w:t>cálculos</w:t>
      </w:r>
      <w:r w:rsidRPr="008174E3">
        <w:rPr>
          <w:rFonts w:ascii="Arial" w:hAnsi="Arial" w:cs="Arial"/>
          <w:sz w:val="22"/>
          <w:szCs w:val="22"/>
        </w:rPr>
        <w:t xml:space="preserve"> </w:t>
      </w:r>
      <w:r w:rsidR="00531007" w:rsidRPr="008174E3">
        <w:rPr>
          <w:rFonts w:ascii="Arial" w:hAnsi="Arial" w:cs="Arial"/>
          <w:sz w:val="22"/>
          <w:szCs w:val="22"/>
        </w:rPr>
        <w:t>el proyecto tendría un VPN de US$</w:t>
      </w:r>
      <w:r w:rsidR="00AA5D3E">
        <w:rPr>
          <w:rFonts w:ascii="Arial" w:hAnsi="Arial" w:cs="Arial"/>
          <w:sz w:val="22"/>
          <w:szCs w:val="22"/>
        </w:rPr>
        <w:t>84</w:t>
      </w:r>
      <w:r w:rsidR="00BB41ED" w:rsidRPr="008174E3">
        <w:rPr>
          <w:rFonts w:ascii="Arial" w:hAnsi="Arial" w:cs="Arial"/>
          <w:sz w:val="22"/>
          <w:szCs w:val="22"/>
        </w:rPr>
        <w:t xml:space="preserve"> </w:t>
      </w:r>
      <w:r w:rsidR="00531007" w:rsidRPr="008174E3">
        <w:rPr>
          <w:rFonts w:ascii="Arial" w:hAnsi="Arial" w:cs="Arial"/>
          <w:sz w:val="22"/>
          <w:szCs w:val="22"/>
        </w:rPr>
        <w:t xml:space="preserve">millones y un ratio Costo Beneficio de </w:t>
      </w:r>
      <w:r w:rsidR="002F5A46" w:rsidRPr="008174E3">
        <w:rPr>
          <w:rFonts w:ascii="Arial" w:hAnsi="Arial" w:cs="Arial"/>
          <w:sz w:val="22"/>
          <w:szCs w:val="22"/>
        </w:rPr>
        <w:t>1</w:t>
      </w:r>
      <w:r w:rsidR="005D4ADE" w:rsidRPr="008174E3">
        <w:rPr>
          <w:rFonts w:ascii="Arial" w:hAnsi="Arial" w:cs="Arial"/>
          <w:sz w:val="22"/>
          <w:szCs w:val="22"/>
        </w:rPr>
        <w:t>,</w:t>
      </w:r>
      <w:r w:rsidR="005B4B8B" w:rsidRPr="008174E3">
        <w:rPr>
          <w:rFonts w:ascii="Arial" w:hAnsi="Arial" w:cs="Arial"/>
          <w:sz w:val="22"/>
          <w:szCs w:val="22"/>
        </w:rPr>
        <w:t>4</w:t>
      </w:r>
      <w:r w:rsidR="00AA5D3E">
        <w:rPr>
          <w:rFonts w:ascii="Arial" w:hAnsi="Arial" w:cs="Arial"/>
          <w:sz w:val="22"/>
          <w:szCs w:val="22"/>
        </w:rPr>
        <w:t>6</w:t>
      </w:r>
      <w:r w:rsidRPr="008174E3">
        <w:rPr>
          <w:rFonts w:ascii="Arial" w:hAnsi="Arial" w:cs="Arial"/>
          <w:sz w:val="22"/>
          <w:szCs w:val="22"/>
        </w:rPr>
        <w:t xml:space="preserve">, desde un punto de vista económico se considera viable la implementación del </w:t>
      </w:r>
      <w:r w:rsidR="002F5A46" w:rsidRPr="008174E3">
        <w:rPr>
          <w:rFonts w:ascii="Arial" w:hAnsi="Arial" w:cs="Arial"/>
          <w:sz w:val="22"/>
          <w:szCs w:val="22"/>
        </w:rPr>
        <w:t>p</w:t>
      </w:r>
      <w:r w:rsidR="00A970EE" w:rsidRPr="008174E3">
        <w:rPr>
          <w:rFonts w:ascii="Arial" w:hAnsi="Arial" w:cs="Arial"/>
          <w:sz w:val="22"/>
          <w:szCs w:val="22"/>
        </w:rPr>
        <w:t>rograma</w:t>
      </w:r>
      <w:r w:rsidRPr="008174E3">
        <w:rPr>
          <w:rFonts w:ascii="Arial" w:hAnsi="Arial" w:cs="Arial"/>
          <w:sz w:val="22"/>
          <w:szCs w:val="22"/>
        </w:rPr>
        <w:t>.</w:t>
      </w:r>
      <w:r w:rsidR="00D45D2D" w:rsidRPr="008174E3">
        <w:rPr>
          <w:rFonts w:ascii="Arial" w:hAnsi="Arial" w:cs="Arial"/>
          <w:b/>
          <w:sz w:val="22"/>
          <w:szCs w:val="22"/>
        </w:rPr>
        <w:br w:type="page"/>
      </w:r>
    </w:p>
    <w:p w14:paraId="201D3D3F" w14:textId="77777777" w:rsidR="00D23ED9" w:rsidRPr="008174E3" w:rsidRDefault="00D23ED9" w:rsidP="00D23ED9">
      <w:pPr>
        <w:pStyle w:val="ListParagraph"/>
        <w:numPr>
          <w:ilvl w:val="0"/>
          <w:numId w:val="7"/>
        </w:numPr>
        <w:spacing w:before="120"/>
        <w:ind w:left="0"/>
        <w:jc w:val="both"/>
        <w:rPr>
          <w:rFonts w:ascii="Arial" w:hAnsi="Arial" w:cs="Arial"/>
        </w:rPr>
      </w:pPr>
      <w:r w:rsidRPr="008174E3">
        <w:rPr>
          <w:rFonts w:ascii="Arial" w:hAnsi="Arial" w:cs="Arial"/>
          <w:b/>
        </w:rPr>
        <w:lastRenderedPageBreak/>
        <w:t>Referencias</w:t>
      </w:r>
    </w:p>
    <w:p w14:paraId="1CC36425" w14:textId="77777777" w:rsidR="00D23ED9" w:rsidRPr="008174E3" w:rsidRDefault="00D23ED9" w:rsidP="00D23ED9">
      <w:pPr>
        <w:pStyle w:val="ListParagraph"/>
        <w:spacing w:before="120"/>
        <w:ind w:left="0"/>
        <w:jc w:val="both"/>
        <w:rPr>
          <w:rFonts w:ascii="Arial" w:hAnsi="Arial" w:cs="Arial"/>
        </w:rPr>
      </w:pPr>
    </w:p>
    <w:p w14:paraId="1545E892" w14:textId="2042E28A" w:rsidR="00A43C70" w:rsidRPr="008174E3" w:rsidRDefault="00A43C70" w:rsidP="00827E44">
      <w:pPr>
        <w:pStyle w:val="ListParagraph"/>
        <w:numPr>
          <w:ilvl w:val="0"/>
          <w:numId w:val="17"/>
        </w:numPr>
        <w:tabs>
          <w:tab w:val="left" w:pos="180"/>
        </w:tabs>
        <w:spacing w:before="120"/>
        <w:ind w:left="180" w:hanging="540"/>
        <w:jc w:val="both"/>
        <w:rPr>
          <w:rFonts w:ascii="Arial" w:hAnsi="Arial" w:cs="Arial"/>
          <w:lang w:val="en-US"/>
        </w:rPr>
      </w:pPr>
      <w:r w:rsidRPr="008174E3">
        <w:rPr>
          <w:rFonts w:ascii="Arial" w:hAnsi="Arial" w:cs="Arial"/>
          <w:lang w:val="en-US"/>
        </w:rPr>
        <w:t>Abebe, G.; Caria S., Fafchamps M., Falco P., Franklin S, Quinn S. &amp; Shilpi F. (2016) “All the fun of the (job) fair: Matching firms and workers in a field experiment in Ethiopia”, Mimeo.</w:t>
      </w:r>
    </w:p>
    <w:p w14:paraId="3C626225" w14:textId="77777777" w:rsidR="00A43C70" w:rsidRPr="008174E3" w:rsidRDefault="00A43C70" w:rsidP="00827E44">
      <w:pPr>
        <w:pStyle w:val="ListParagraph"/>
        <w:tabs>
          <w:tab w:val="left" w:pos="180"/>
        </w:tabs>
        <w:spacing w:before="120"/>
        <w:ind w:left="180" w:hanging="540"/>
        <w:jc w:val="both"/>
        <w:rPr>
          <w:rFonts w:ascii="Arial" w:hAnsi="Arial" w:cs="Arial"/>
          <w:lang w:val="en-US"/>
        </w:rPr>
      </w:pPr>
    </w:p>
    <w:p w14:paraId="0EE59325" w14:textId="34A411A6" w:rsidR="00D23ED9" w:rsidRPr="008174E3" w:rsidRDefault="00D23ED9" w:rsidP="00827E44">
      <w:pPr>
        <w:pStyle w:val="ListParagraph"/>
        <w:numPr>
          <w:ilvl w:val="0"/>
          <w:numId w:val="17"/>
        </w:numPr>
        <w:tabs>
          <w:tab w:val="left" w:pos="180"/>
        </w:tabs>
        <w:spacing w:before="120"/>
        <w:ind w:left="180" w:hanging="540"/>
        <w:jc w:val="both"/>
        <w:rPr>
          <w:rFonts w:ascii="Arial" w:hAnsi="Arial" w:cs="Arial"/>
        </w:rPr>
      </w:pPr>
      <w:r w:rsidRPr="008174E3">
        <w:rPr>
          <w:rFonts w:ascii="Arial" w:hAnsi="Arial" w:cs="Arial"/>
          <w:lang w:val="fr-FR"/>
        </w:rPr>
        <w:t>Alaimo V., Bosch M., Kaplan D., Pages C.</w:t>
      </w:r>
      <w:r w:rsidR="00D56A15" w:rsidRPr="008174E3">
        <w:rPr>
          <w:rFonts w:ascii="Arial" w:hAnsi="Arial" w:cs="Arial"/>
          <w:lang w:val="fr-FR"/>
        </w:rPr>
        <w:t xml:space="preserve"> &amp;</w:t>
      </w:r>
      <w:r w:rsidRPr="008174E3">
        <w:rPr>
          <w:rFonts w:ascii="Arial" w:hAnsi="Arial" w:cs="Arial"/>
          <w:lang w:val="fr-FR"/>
        </w:rPr>
        <w:t xml:space="preserve"> Ripani L., (2015). </w:t>
      </w:r>
      <w:r w:rsidRPr="008174E3">
        <w:rPr>
          <w:rFonts w:ascii="Arial" w:hAnsi="Arial" w:cs="Arial"/>
        </w:rPr>
        <w:t>“Empleos para Crecer”. BID Washington, DC.</w:t>
      </w:r>
    </w:p>
    <w:p w14:paraId="74DBFE96" w14:textId="77777777" w:rsidR="00394950" w:rsidRPr="008174E3" w:rsidRDefault="00394950" w:rsidP="00827E44">
      <w:pPr>
        <w:pStyle w:val="ListParagraph"/>
        <w:tabs>
          <w:tab w:val="left" w:pos="180"/>
        </w:tabs>
        <w:spacing w:before="120"/>
        <w:ind w:left="180" w:hanging="540"/>
        <w:jc w:val="both"/>
        <w:rPr>
          <w:rFonts w:ascii="Arial" w:hAnsi="Arial" w:cs="Arial"/>
        </w:rPr>
      </w:pPr>
    </w:p>
    <w:p w14:paraId="670D12D9" w14:textId="202A63ED" w:rsidR="00394950" w:rsidRPr="008174E3" w:rsidRDefault="00A43491" w:rsidP="00827E44">
      <w:pPr>
        <w:pStyle w:val="ListParagraph"/>
        <w:numPr>
          <w:ilvl w:val="0"/>
          <w:numId w:val="17"/>
        </w:numPr>
        <w:tabs>
          <w:tab w:val="left" w:pos="180"/>
        </w:tabs>
        <w:spacing w:before="120"/>
        <w:ind w:left="180" w:hanging="540"/>
        <w:jc w:val="both"/>
        <w:rPr>
          <w:rFonts w:ascii="Arial" w:hAnsi="Arial" w:cs="Arial"/>
        </w:rPr>
      </w:pPr>
      <w:r w:rsidRPr="008174E3">
        <w:rPr>
          <w:rFonts w:ascii="Arial" w:hAnsi="Arial" w:cs="Arial"/>
        </w:rPr>
        <w:t>Analítica</w:t>
      </w:r>
      <w:r w:rsidR="00394950" w:rsidRPr="008174E3">
        <w:rPr>
          <w:rFonts w:ascii="Arial" w:hAnsi="Arial" w:cs="Arial"/>
        </w:rPr>
        <w:t xml:space="preserve"> Consultores (2015). “Evaluación de Impacto de Bécate 2013-2015 Informe Final”</w:t>
      </w:r>
    </w:p>
    <w:p w14:paraId="184AB2A8" w14:textId="77777777" w:rsidR="006C3959" w:rsidRPr="008174E3" w:rsidRDefault="006C3959" w:rsidP="00827E44">
      <w:pPr>
        <w:pStyle w:val="ListParagraph"/>
        <w:tabs>
          <w:tab w:val="left" w:pos="180"/>
        </w:tabs>
        <w:spacing w:before="120"/>
        <w:ind w:left="180" w:hanging="540"/>
        <w:jc w:val="both"/>
        <w:rPr>
          <w:rFonts w:ascii="Arial" w:hAnsi="Arial" w:cs="Arial"/>
        </w:rPr>
      </w:pPr>
    </w:p>
    <w:p w14:paraId="7941D48D" w14:textId="77777777" w:rsidR="00440B93" w:rsidRPr="008174E3" w:rsidRDefault="00D23ED9" w:rsidP="00827E44">
      <w:pPr>
        <w:pStyle w:val="ListParagraph"/>
        <w:numPr>
          <w:ilvl w:val="0"/>
          <w:numId w:val="17"/>
        </w:numPr>
        <w:tabs>
          <w:tab w:val="left" w:pos="180"/>
        </w:tabs>
        <w:spacing w:before="120"/>
        <w:ind w:left="180" w:hanging="540"/>
        <w:jc w:val="both"/>
        <w:rPr>
          <w:rFonts w:ascii="Arial" w:hAnsi="Arial" w:cs="Arial"/>
        </w:rPr>
      </w:pPr>
      <w:r w:rsidRPr="008174E3">
        <w:rPr>
          <w:rFonts w:ascii="Arial" w:hAnsi="Arial" w:cs="Arial"/>
          <w:lang w:val="fr-FR"/>
        </w:rPr>
        <w:t xml:space="preserve">Attanasio, O., Kugler, A., &amp; Meghir, C. (2011). </w:t>
      </w:r>
      <w:r w:rsidR="00D56A15" w:rsidRPr="008174E3">
        <w:rPr>
          <w:rFonts w:ascii="Arial" w:hAnsi="Arial" w:cs="Arial"/>
          <w:lang w:val="en-US"/>
        </w:rPr>
        <w:t>“</w:t>
      </w:r>
      <w:r w:rsidRPr="008174E3">
        <w:rPr>
          <w:rFonts w:ascii="Arial" w:hAnsi="Arial" w:cs="Arial"/>
          <w:lang w:val="en-US"/>
        </w:rPr>
        <w:t>Subsidizing vocational training for disadvantaged youth in Colombia: Evidence from a randomized trial</w:t>
      </w:r>
      <w:r w:rsidR="00D56A15" w:rsidRPr="008174E3">
        <w:rPr>
          <w:rFonts w:ascii="Arial" w:hAnsi="Arial" w:cs="Arial"/>
          <w:lang w:val="en-US"/>
        </w:rPr>
        <w:t>”</w:t>
      </w:r>
      <w:r w:rsidRPr="008174E3">
        <w:rPr>
          <w:rFonts w:ascii="Arial" w:hAnsi="Arial" w:cs="Arial"/>
          <w:lang w:val="en-US"/>
        </w:rPr>
        <w:t xml:space="preserve">. </w:t>
      </w:r>
      <w:r w:rsidRPr="008174E3">
        <w:rPr>
          <w:rFonts w:ascii="Arial" w:hAnsi="Arial" w:cs="Arial"/>
        </w:rPr>
        <w:t>American Economic Journal: Applied Economics, 188-220.</w:t>
      </w:r>
    </w:p>
    <w:p w14:paraId="2A268FCE" w14:textId="77777777" w:rsidR="00440B93" w:rsidRPr="008174E3" w:rsidRDefault="00440B93" w:rsidP="00827E44">
      <w:pPr>
        <w:pStyle w:val="ListParagraph"/>
        <w:tabs>
          <w:tab w:val="left" w:pos="180"/>
        </w:tabs>
        <w:ind w:left="180" w:hanging="540"/>
        <w:rPr>
          <w:rFonts w:ascii="Arial" w:hAnsi="Arial" w:cs="Arial"/>
        </w:rPr>
      </w:pPr>
    </w:p>
    <w:p w14:paraId="70CB8183" w14:textId="42416D9A" w:rsidR="00440B93" w:rsidRPr="008174E3" w:rsidRDefault="00440B93" w:rsidP="00827E44">
      <w:pPr>
        <w:pStyle w:val="ListParagraph"/>
        <w:numPr>
          <w:ilvl w:val="0"/>
          <w:numId w:val="17"/>
        </w:numPr>
        <w:tabs>
          <w:tab w:val="left" w:pos="180"/>
        </w:tabs>
        <w:spacing w:before="120"/>
        <w:ind w:left="180" w:hanging="540"/>
        <w:jc w:val="both"/>
        <w:rPr>
          <w:rFonts w:ascii="Arial" w:hAnsi="Arial" w:cs="Arial"/>
          <w:lang w:val="en-US"/>
        </w:rPr>
      </w:pPr>
      <w:r w:rsidRPr="008174E3">
        <w:rPr>
          <w:rFonts w:ascii="Arial" w:hAnsi="Arial" w:cs="Arial"/>
          <w:lang w:val="en-US"/>
        </w:rPr>
        <w:t xml:space="preserve">Attanasio, </w:t>
      </w:r>
      <w:r w:rsidR="000032A7" w:rsidRPr="008174E3">
        <w:rPr>
          <w:rFonts w:ascii="Arial" w:hAnsi="Arial" w:cs="Arial"/>
          <w:lang w:val="en-US"/>
        </w:rPr>
        <w:t>O.;</w:t>
      </w:r>
      <w:r w:rsidRPr="008174E3">
        <w:rPr>
          <w:rFonts w:ascii="Arial" w:hAnsi="Arial" w:cs="Arial"/>
          <w:lang w:val="en-US"/>
        </w:rPr>
        <w:t xml:space="preserve"> Guarín</w:t>
      </w:r>
      <w:r w:rsidR="000032A7" w:rsidRPr="008174E3">
        <w:rPr>
          <w:rFonts w:ascii="Arial" w:hAnsi="Arial" w:cs="Arial"/>
          <w:lang w:val="en-US"/>
        </w:rPr>
        <w:t>, A.</w:t>
      </w:r>
      <w:r w:rsidRPr="008174E3">
        <w:rPr>
          <w:rFonts w:ascii="Arial" w:hAnsi="Arial" w:cs="Arial"/>
          <w:lang w:val="en-US"/>
        </w:rPr>
        <w:t xml:space="preserve">, Medina </w:t>
      </w:r>
      <w:r w:rsidR="000032A7" w:rsidRPr="008174E3">
        <w:rPr>
          <w:rFonts w:ascii="Arial" w:hAnsi="Arial" w:cs="Arial"/>
          <w:lang w:val="en-US"/>
        </w:rPr>
        <w:t xml:space="preserve">C &amp; </w:t>
      </w:r>
      <w:r w:rsidRPr="008174E3">
        <w:rPr>
          <w:rFonts w:ascii="Arial" w:hAnsi="Arial" w:cs="Arial"/>
          <w:lang w:val="en-US"/>
        </w:rPr>
        <w:t xml:space="preserve">Meghir </w:t>
      </w:r>
      <w:r w:rsidR="000032A7" w:rsidRPr="008174E3">
        <w:rPr>
          <w:rFonts w:ascii="Arial" w:hAnsi="Arial" w:cs="Arial"/>
          <w:lang w:val="en-US"/>
        </w:rPr>
        <w:t>C.</w:t>
      </w:r>
      <w:r w:rsidRPr="008174E3">
        <w:rPr>
          <w:rFonts w:ascii="Arial" w:hAnsi="Arial" w:cs="Arial"/>
          <w:lang w:val="en-US"/>
        </w:rPr>
        <w:t>(2015) “Long-term impacts of vouchers for vocational training: Experimental evidence for Colombia”. American Economic Journal: Applied Economics 2017, 9(2): 131–143</w:t>
      </w:r>
    </w:p>
    <w:p w14:paraId="0D3169F6" w14:textId="77777777" w:rsidR="009E75A1" w:rsidRPr="008174E3" w:rsidRDefault="009E75A1" w:rsidP="00827E44">
      <w:pPr>
        <w:pStyle w:val="ListParagraph"/>
        <w:tabs>
          <w:tab w:val="left" w:pos="180"/>
        </w:tabs>
        <w:ind w:left="180" w:hanging="540"/>
        <w:rPr>
          <w:rFonts w:ascii="Arial" w:hAnsi="Arial" w:cs="Arial"/>
          <w:lang w:val="en-US"/>
        </w:rPr>
      </w:pPr>
    </w:p>
    <w:p w14:paraId="515B155B" w14:textId="6B0DFA70" w:rsidR="009E75A1" w:rsidRPr="008174E3" w:rsidRDefault="009E75A1" w:rsidP="00827E44">
      <w:pPr>
        <w:pStyle w:val="ListParagraph"/>
        <w:numPr>
          <w:ilvl w:val="0"/>
          <w:numId w:val="17"/>
        </w:numPr>
        <w:tabs>
          <w:tab w:val="left" w:pos="180"/>
        </w:tabs>
        <w:spacing w:before="120"/>
        <w:ind w:left="180" w:hanging="540"/>
        <w:jc w:val="both"/>
        <w:rPr>
          <w:rFonts w:ascii="Arial" w:hAnsi="Arial" w:cs="Arial"/>
        </w:rPr>
      </w:pPr>
      <w:r w:rsidRPr="008174E3">
        <w:rPr>
          <w:rFonts w:ascii="Arial" w:hAnsi="Arial" w:cs="Arial"/>
          <w:lang w:val="en-US"/>
        </w:rPr>
        <w:t xml:space="preserve">Argente D &amp; Garcia J. (2015). “The price of the fringe benefits when formal and informal labor market coexist”. </w:t>
      </w:r>
      <w:r w:rsidRPr="008174E3">
        <w:rPr>
          <w:rFonts w:ascii="Arial" w:hAnsi="Arial" w:cs="Arial"/>
        </w:rPr>
        <w:t>Iza Journal of Labor Economics 4:1.</w:t>
      </w:r>
    </w:p>
    <w:p w14:paraId="6DB131F3" w14:textId="77777777" w:rsidR="006C2022" w:rsidRPr="008174E3" w:rsidRDefault="006C2022" w:rsidP="00827E44">
      <w:pPr>
        <w:pStyle w:val="ListParagraph"/>
        <w:tabs>
          <w:tab w:val="left" w:pos="180"/>
        </w:tabs>
        <w:ind w:left="180" w:hanging="540"/>
        <w:rPr>
          <w:rFonts w:ascii="Arial" w:hAnsi="Arial" w:cs="Arial"/>
        </w:rPr>
      </w:pPr>
    </w:p>
    <w:p w14:paraId="124D8B9C" w14:textId="2815932A" w:rsidR="006C2022" w:rsidRPr="008174E3" w:rsidRDefault="006C2022" w:rsidP="00827E44">
      <w:pPr>
        <w:pStyle w:val="ListParagraph"/>
        <w:numPr>
          <w:ilvl w:val="0"/>
          <w:numId w:val="17"/>
        </w:numPr>
        <w:tabs>
          <w:tab w:val="left" w:pos="180"/>
        </w:tabs>
        <w:spacing w:before="120"/>
        <w:ind w:left="180" w:hanging="540"/>
        <w:jc w:val="both"/>
        <w:rPr>
          <w:rFonts w:ascii="Arial" w:hAnsi="Arial" w:cs="Arial"/>
          <w:lang w:val="en-US"/>
        </w:rPr>
      </w:pPr>
      <w:r w:rsidRPr="008174E3">
        <w:rPr>
          <w:rFonts w:ascii="Arial" w:hAnsi="Arial" w:cs="Arial"/>
          <w:lang w:val="en-US"/>
        </w:rPr>
        <w:t>Beam, E. (2016) “Do job fairs matter? Experimental evidence on the impact of job fair attendance”, Journal of Development Economics 120: 32-40.</w:t>
      </w:r>
    </w:p>
    <w:p w14:paraId="2106A2CD" w14:textId="77777777" w:rsidR="009C339A" w:rsidRPr="008174E3" w:rsidRDefault="009C339A" w:rsidP="00827E44">
      <w:pPr>
        <w:pStyle w:val="ListParagraph"/>
        <w:tabs>
          <w:tab w:val="left" w:pos="180"/>
        </w:tabs>
        <w:ind w:left="180" w:hanging="540"/>
        <w:rPr>
          <w:rFonts w:ascii="Arial" w:hAnsi="Arial" w:cs="Arial"/>
          <w:lang w:val="en-US"/>
        </w:rPr>
      </w:pPr>
    </w:p>
    <w:p w14:paraId="30F291A9" w14:textId="77777777" w:rsidR="006C3959" w:rsidRPr="008174E3" w:rsidRDefault="006C3959" w:rsidP="00827E44">
      <w:pPr>
        <w:pStyle w:val="ListParagraph"/>
        <w:numPr>
          <w:ilvl w:val="0"/>
          <w:numId w:val="17"/>
        </w:numPr>
        <w:tabs>
          <w:tab w:val="left" w:pos="180"/>
        </w:tabs>
        <w:spacing w:before="120"/>
        <w:ind w:left="180" w:hanging="540"/>
        <w:jc w:val="both"/>
        <w:rPr>
          <w:rFonts w:ascii="Arial" w:hAnsi="Arial" w:cs="Arial"/>
        </w:rPr>
      </w:pPr>
      <w:r w:rsidRPr="008174E3">
        <w:rPr>
          <w:rFonts w:ascii="Arial" w:hAnsi="Arial" w:cs="Arial"/>
          <w:lang w:val="en-US"/>
        </w:rPr>
        <w:t>Berniell &amp; de la Mata (forthcoming)</w:t>
      </w:r>
      <w:r w:rsidR="00D56A15" w:rsidRPr="008174E3">
        <w:rPr>
          <w:rFonts w:ascii="Arial" w:hAnsi="Arial" w:cs="Arial"/>
          <w:lang w:val="en-US"/>
        </w:rPr>
        <w:t>.</w:t>
      </w:r>
      <w:r w:rsidRPr="008174E3">
        <w:rPr>
          <w:rFonts w:ascii="Arial" w:hAnsi="Arial" w:cs="Arial"/>
          <w:lang w:val="en-US"/>
        </w:rPr>
        <w:t xml:space="preserve"> </w:t>
      </w:r>
      <w:r w:rsidR="00D56A15" w:rsidRPr="008174E3">
        <w:rPr>
          <w:rFonts w:ascii="Arial" w:hAnsi="Arial" w:cs="Arial"/>
          <w:lang w:val="en-US"/>
        </w:rPr>
        <w:t>“</w:t>
      </w:r>
      <w:r w:rsidRPr="008174E3">
        <w:rPr>
          <w:rFonts w:ascii="Arial" w:hAnsi="Arial" w:cs="Arial"/>
          <w:lang w:val="en-US"/>
        </w:rPr>
        <w:t>Starting on the right track: Experimental evidence from a large-scale apprenticeship program</w:t>
      </w:r>
      <w:r w:rsidR="00D56A15" w:rsidRPr="008174E3">
        <w:rPr>
          <w:rFonts w:ascii="Arial" w:hAnsi="Arial" w:cs="Arial"/>
          <w:lang w:val="en-US"/>
        </w:rPr>
        <w:t>”</w:t>
      </w:r>
      <w:r w:rsidRPr="008174E3">
        <w:rPr>
          <w:rFonts w:ascii="Arial" w:hAnsi="Arial" w:cs="Arial"/>
          <w:lang w:val="en-US"/>
        </w:rPr>
        <w:t xml:space="preserve">. </w:t>
      </w:r>
      <w:r w:rsidRPr="008174E3">
        <w:rPr>
          <w:rFonts w:ascii="Arial" w:hAnsi="Arial" w:cs="Arial"/>
        </w:rPr>
        <w:t>Mimeo.</w:t>
      </w:r>
    </w:p>
    <w:p w14:paraId="64CAC673" w14:textId="77777777" w:rsidR="009C339A" w:rsidRPr="008174E3" w:rsidRDefault="009C339A" w:rsidP="00827E44">
      <w:pPr>
        <w:pStyle w:val="ListParagraph"/>
        <w:tabs>
          <w:tab w:val="left" w:pos="180"/>
        </w:tabs>
        <w:spacing w:before="120"/>
        <w:ind w:left="180" w:hanging="540"/>
        <w:jc w:val="both"/>
        <w:rPr>
          <w:rFonts w:ascii="Arial" w:hAnsi="Arial" w:cs="Arial"/>
        </w:rPr>
      </w:pPr>
    </w:p>
    <w:p w14:paraId="522C239C" w14:textId="77777777" w:rsidR="00D23ED9" w:rsidRPr="008174E3" w:rsidRDefault="00D23ED9" w:rsidP="00827E44">
      <w:pPr>
        <w:pStyle w:val="ListParagraph"/>
        <w:numPr>
          <w:ilvl w:val="0"/>
          <w:numId w:val="17"/>
        </w:numPr>
        <w:tabs>
          <w:tab w:val="left" w:pos="180"/>
        </w:tabs>
        <w:spacing w:before="120"/>
        <w:ind w:left="180" w:hanging="540"/>
        <w:jc w:val="both"/>
        <w:rPr>
          <w:rFonts w:ascii="Arial" w:hAnsi="Arial" w:cs="Arial"/>
        </w:rPr>
      </w:pPr>
      <w:r w:rsidRPr="008174E3">
        <w:rPr>
          <w:rFonts w:ascii="Arial" w:hAnsi="Arial" w:cs="Arial"/>
          <w:lang w:val="en-US"/>
        </w:rPr>
        <w:t>Betcherman, G., Godfrey M.</w:t>
      </w:r>
      <w:r w:rsidR="00D56A15" w:rsidRPr="008174E3">
        <w:rPr>
          <w:rFonts w:ascii="Arial" w:hAnsi="Arial" w:cs="Arial"/>
          <w:lang w:val="en-US"/>
        </w:rPr>
        <w:t xml:space="preserve"> &amp;</w:t>
      </w:r>
      <w:r w:rsidRPr="008174E3">
        <w:rPr>
          <w:rFonts w:ascii="Arial" w:hAnsi="Arial" w:cs="Arial"/>
          <w:lang w:val="en-US"/>
        </w:rPr>
        <w:t xml:space="preserve"> Puerto S. (2007). “A Review of Interventions to Support Young Workers: Findings of the Youth Employment Inventory”. </w:t>
      </w:r>
      <w:r w:rsidRPr="008174E3">
        <w:rPr>
          <w:rFonts w:ascii="Arial" w:hAnsi="Arial" w:cs="Arial"/>
        </w:rPr>
        <w:t>Social Protection Discussion Paper No 0715. Banco Mundial.</w:t>
      </w:r>
    </w:p>
    <w:p w14:paraId="025EFEDA" w14:textId="77777777" w:rsidR="009C339A" w:rsidRPr="008174E3" w:rsidRDefault="009C339A" w:rsidP="00827E44">
      <w:pPr>
        <w:pStyle w:val="ListParagraph"/>
        <w:tabs>
          <w:tab w:val="left" w:pos="180"/>
        </w:tabs>
        <w:ind w:left="180" w:hanging="540"/>
        <w:rPr>
          <w:rFonts w:ascii="Arial" w:hAnsi="Arial" w:cs="Arial"/>
        </w:rPr>
      </w:pPr>
    </w:p>
    <w:p w14:paraId="1163A93F" w14:textId="77777777" w:rsidR="00D23ED9" w:rsidRPr="008174E3" w:rsidRDefault="00D23ED9" w:rsidP="00827E44">
      <w:pPr>
        <w:pStyle w:val="ListParagraph"/>
        <w:numPr>
          <w:ilvl w:val="0"/>
          <w:numId w:val="17"/>
        </w:numPr>
        <w:tabs>
          <w:tab w:val="left" w:pos="180"/>
        </w:tabs>
        <w:spacing w:before="120"/>
        <w:ind w:left="180" w:hanging="540"/>
        <w:jc w:val="both"/>
        <w:rPr>
          <w:rFonts w:ascii="Arial" w:hAnsi="Arial" w:cs="Arial"/>
        </w:rPr>
      </w:pPr>
      <w:r w:rsidRPr="008174E3">
        <w:rPr>
          <w:rFonts w:ascii="Arial" w:hAnsi="Arial" w:cs="Arial"/>
          <w:lang w:val="en-US"/>
        </w:rPr>
        <w:t xml:space="preserve">Betcherman, G., Olivas K. &amp; Dar A. (2004). “Impacts of Active Labor Market Programs: New Evidence from Evaluations with Particular Attention to Developing and Transition Countries”. </w:t>
      </w:r>
      <w:r w:rsidRPr="008174E3">
        <w:rPr>
          <w:rFonts w:ascii="Arial" w:hAnsi="Arial" w:cs="Arial"/>
        </w:rPr>
        <w:t xml:space="preserve">Social Protection Discussion Paper Series No 0402. Banco Mundial. </w:t>
      </w:r>
    </w:p>
    <w:p w14:paraId="37608445" w14:textId="77777777" w:rsidR="009C339A" w:rsidRPr="008174E3" w:rsidRDefault="009C339A" w:rsidP="00827E44">
      <w:pPr>
        <w:pStyle w:val="ListParagraph"/>
        <w:tabs>
          <w:tab w:val="left" w:pos="180"/>
        </w:tabs>
        <w:ind w:left="180" w:hanging="540"/>
        <w:rPr>
          <w:rFonts w:ascii="Arial" w:hAnsi="Arial" w:cs="Arial"/>
        </w:rPr>
      </w:pPr>
    </w:p>
    <w:p w14:paraId="0CBF2642" w14:textId="77777777" w:rsidR="00D23ED9" w:rsidRPr="008174E3" w:rsidRDefault="00D23ED9" w:rsidP="00827E44">
      <w:pPr>
        <w:pStyle w:val="ListParagraph"/>
        <w:numPr>
          <w:ilvl w:val="0"/>
          <w:numId w:val="17"/>
        </w:numPr>
        <w:tabs>
          <w:tab w:val="left" w:pos="180"/>
        </w:tabs>
        <w:spacing w:before="120"/>
        <w:ind w:left="180" w:hanging="540"/>
        <w:jc w:val="both"/>
        <w:rPr>
          <w:rFonts w:ascii="Arial" w:hAnsi="Arial" w:cs="Arial"/>
          <w:lang w:val="en-US"/>
        </w:rPr>
      </w:pPr>
      <w:r w:rsidRPr="008174E3">
        <w:rPr>
          <w:rFonts w:ascii="Arial" w:hAnsi="Arial" w:cs="Arial"/>
          <w:lang w:val="en-US"/>
        </w:rPr>
        <w:t>BID (2012). “Guidelines for the Economic Analysis of IDB-Funded Projects”. Office of Strategic Planning and Development Effectiveness. BID Washington, DC</w:t>
      </w:r>
      <w:r w:rsidR="000F43FC" w:rsidRPr="008174E3">
        <w:rPr>
          <w:rFonts w:ascii="Arial" w:hAnsi="Arial" w:cs="Arial"/>
          <w:lang w:val="en-US"/>
        </w:rPr>
        <w:t>.</w:t>
      </w:r>
    </w:p>
    <w:p w14:paraId="1C2B67A1" w14:textId="77777777" w:rsidR="009C339A" w:rsidRPr="008174E3" w:rsidRDefault="009C339A" w:rsidP="00827E44">
      <w:pPr>
        <w:pStyle w:val="ListParagraph"/>
        <w:tabs>
          <w:tab w:val="left" w:pos="180"/>
        </w:tabs>
        <w:ind w:left="180" w:hanging="540"/>
        <w:rPr>
          <w:rFonts w:ascii="Arial" w:hAnsi="Arial" w:cs="Arial"/>
          <w:lang w:val="en-US"/>
        </w:rPr>
      </w:pPr>
    </w:p>
    <w:p w14:paraId="2F08663A" w14:textId="7B034E18" w:rsidR="009E75A1" w:rsidRPr="008174E3" w:rsidRDefault="00D23ED9" w:rsidP="00827E44">
      <w:pPr>
        <w:pStyle w:val="ListParagraph"/>
        <w:numPr>
          <w:ilvl w:val="0"/>
          <w:numId w:val="17"/>
        </w:numPr>
        <w:tabs>
          <w:tab w:val="left" w:pos="180"/>
        </w:tabs>
        <w:autoSpaceDE w:val="0"/>
        <w:autoSpaceDN w:val="0"/>
        <w:adjustRightInd w:val="0"/>
        <w:spacing w:before="120"/>
        <w:ind w:left="180" w:hanging="540"/>
        <w:jc w:val="both"/>
        <w:rPr>
          <w:rFonts w:ascii="Arial" w:hAnsi="Arial" w:cs="Arial"/>
          <w:lang w:val="en-US"/>
        </w:rPr>
      </w:pPr>
      <w:r w:rsidRPr="008174E3">
        <w:rPr>
          <w:rFonts w:ascii="Arial" w:hAnsi="Arial" w:cs="Arial"/>
          <w:lang w:val="en-US"/>
        </w:rPr>
        <w:t xml:space="preserve">BID, AMSPE, OCDE (2015) “The World of Public Employment Services”. Inter-American Development Bank (IDB); World Association of Public Employment Services; </w:t>
      </w:r>
      <w:r w:rsidR="009C77BE" w:rsidRPr="008174E3">
        <w:rPr>
          <w:rFonts w:ascii="Arial" w:hAnsi="Arial" w:cs="Arial"/>
          <w:lang w:val="en-US"/>
        </w:rPr>
        <w:t>Organization</w:t>
      </w:r>
      <w:r w:rsidRPr="008174E3">
        <w:rPr>
          <w:rFonts w:ascii="Arial" w:hAnsi="Arial" w:cs="Arial"/>
          <w:lang w:val="en-US"/>
        </w:rPr>
        <w:t xml:space="preserve"> for Economic Co</w:t>
      </w:r>
      <w:r w:rsidR="009C77BE" w:rsidRPr="008174E3">
        <w:rPr>
          <w:rFonts w:ascii="Arial" w:hAnsi="Arial" w:cs="Arial"/>
          <w:lang w:val="en-US"/>
        </w:rPr>
        <w:t>o</w:t>
      </w:r>
      <w:r w:rsidRPr="008174E3">
        <w:rPr>
          <w:rFonts w:ascii="Arial" w:hAnsi="Arial" w:cs="Arial"/>
          <w:lang w:val="en-US"/>
        </w:rPr>
        <w:t>peration and Development.</w:t>
      </w:r>
    </w:p>
    <w:p w14:paraId="40DFCF25" w14:textId="77777777" w:rsidR="009E75A1" w:rsidRPr="008174E3" w:rsidRDefault="009E75A1" w:rsidP="00827E44">
      <w:pPr>
        <w:pStyle w:val="ListParagraph"/>
        <w:tabs>
          <w:tab w:val="left" w:pos="180"/>
        </w:tabs>
        <w:ind w:left="180" w:hanging="540"/>
        <w:rPr>
          <w:rFonts w:ascii="Arial" w:hAnsi="Arial" w:cs="Arial"/>
          <w:lang w:val="en-US"/>
        </w:rPr>
      </w:pPr>
    </w:p>
    <w:p w14:paraId="67465B4D" w14:textId="0B7A7F8F" w:rsidR="009E75A1" w:rsidRPr="008174E3" w:rsidRDefault="009E75A1" w:rsidP="00827E44">
      <w:pPr>
        <w:pStyle w:val="ListParagraph"/>
        <w:numPr>
          <w:ilvl w:val="0"/>
          <w:numId w:val="17"/>
        </w:numPr>
        <w:tabs>
          <w:tab w:val="left" w:pos="180"/>
        </w:tabs>
        <w:autoSpaceDE w:val="0"/>
        <w:autoSpaceDN w:val="0"/>
        <w:adjustRightInd w:val="0"/>
        <w:spacing w:before="120"/>
        <w:ind w:left="180" w:hanging="540"/>
        <w:jc w:val="both"/>
        <w:rPr>
          <w:rFonts w:ascii="Arial" w:hAnsi="Arial" w:cs="Arial"/>
          <w:lang w:val="en-US"/>
        </w:rPr>
      </w:pPr>
      <w:r w:rsidRPr="008174E3">
        <w:rPr>
          <w:rFonts w:ascii="Arial" w:hAnsi="Arial" w:cs="Arial"/>
          <w:lang w:val="en-US"/>
        </w:rPr>
        <w:lastRenderedPageBreak/>
        <w:t>Calónico S. &amp; Ñopo H.</w:t>
      </w:r>
      <w:r w:rsidR="00A43491" w:rsidRPr="008174E3">
        <w:rPr>
          <w:rFonts w:ascii="Arial" w:hAnsi="Arial" w:cs="Arial"/>
          <w:lang w:val="en-US"/>
        </w:rPr>
        <w:t xml:space="preserve"> </w:t>
      </w:r>
      <w:r w:rsidRPr="008174E3">
        <w:rPr>
          <w:rFonts w:ascii="Arial" w:hAnsi="Arial" w:cs="Arial"/>
          <w:lang w:val="en-US"/>
        </w:rPr>
        <w:t>(2008). “Gender segregation in the workplace and wage gaps: evidence from urban Mexico 1994-`2004”. Research Department Working paper series; 636.</w:t>
      </w:r>
    </w:p>
    <w:p w14:paraId="7153D7C7" w14:textId="77777777" w:rsidR="009C339A" w:rsidRPr="008174E3" w:rsidRDefault="009C339A" w:rsidP="00827E44">
      <w:pPr>
        <w:pStyle w:val="ListParagraph"/>
        <w:tabs>
          <w:tab w:val="left" w:pos="180"/>
        </w:tabs>
        <w:spacing w:before="120"/>
        <w:ind w:left="180" w:hanging="540"/>
        <w:jc w:val="both"/>
        <w:rPr>
          <w:rFonts w:ascii="Arial" w:hAnsi="Arial" w:cs="Arial"/>
          <w:lang w:val="en-US"/>
        </w:rPr>
      </w:pPr>
    </w:p>
    <w:p w14:paraId="3889ECBF" w14:textId="77777777" w:rsidR="00D23ED9" w:rsidRPr="008174E3" w:rsidRDefault="00D23ED9" w:rsidP="00827E44">
      <w:pPr>
        <w:pStyle w:val="ListParagraph"/>
        <w:numPr>
          <w:ilvl w:val="0"/>
          <w:numId w:val="17"/>
        </w:numPr>
        <w:tabs>
          <w:tab w:val="left" w:pos="180"/>
        </w:tabs>
        <w:spacing w:before="120"/>
        <w:ind w:left="180" w:hanging="540"/>
        <w:jc w:val="both"/>
        <w:rPr>
          <w:rFonts w:ascii="Arial" w:hAnsi="Arial" w:cs="Arial"/>
        </w:rPr>
      </w:pPr>
      <w:r w:rsidRPr="008174E3">
        <w:rPr>
          <w:rFonts w:ascii="Arial" w:hAnsi="Arial" w:cs="Arial"/>
          <w:lang w:val="en-US"/>
        </w:rPr>
        <w:t>Card D, Kluve J.</w:t>
      </w:r>
      <w:r w:rsidR="00D56A15" w:rsidRPr="008174E3">
        <w:rPr>
          <w:rFonts w:ascii="Arial" w:hAnsi="Arial" w:cs="Arial"/>
          <w:lang w:val="en-US"/>
        </w:rPr>
        <w:t>&amp;</w:t>
      </w:r>
      <w:r w:rsidRPr="008174E3">
        <w:rPr>
          <w:rFonts w:ascii="Arial" w:hAnsi="Arial" w:cs="Arial"/>
          <w:lang w:val="en-US"/>
        </w:rPr>
        <w:t xml:space="preserve"> Weber A., (2010) “Active Labor Market Policy Evaluations: A Meta-Analysis”. </w:t>
      </w:r>
      <w:r w:rsidRPr="008174E3">
        <w:rPr>
          <w:rFonts w:ascii="Arial" w:hAnsi="Arial" w:cs="Arial"/>
        </w:rPr>
        <w:t>The Economic Journal, Volume 120, Issue 548</w:t>
      </w:r>
      <w:r w:rsidR="009C339A" w:rsidRPr="008174E3">
        <w:rPr>
          <w:rFonts w:ascii="Arial" w:hAnsi="Arial" w:cs="Arial"/>
        </w:rPr>
        <w:t>.</w:t>
      </w:r>
    </w:p>
    <w:p w14:paraId="1E4C342E" w14:textId="77777777" w:rsidR="009C339A" w:rsidRPr="008174E3" w:rsidRDefault="009C339A" w:rsidP="00827E44">
      <w:pPr>
        <w:pStyle w:val="ListParagraph"/>
        <w:tabs>
          <w:tab w:val="left" w:pos="180"/>
        </w:tabs>
        <w:spacing w:before="120"/>
        <w:ind w:left="180" w:hanging="540"/>
        <w:jc w:val="both"/>
        <w:rPr>
          <w:rFonts w:ascii="Arial" w:hAnsi="Arial" w:cs="Arial"/>
        </w:rPr>
      </w:pPr>
    </w:p>
    <w:p w14:paraId="6C7A858D" w14:textId="49076CBD" w:rsidR="00D23ED9" w:rsidRPr="008174E3" w:rsidRDefault="00D23ED9" w:rsidP="00827E44">
      <w:pPr>
        <w:pStyle w:val="ListParagraph"/>
        <w:numPr>
          <w:ilvl w:val="0"/>
          <w:numId w:val="17"/>
        </w:numPr>
        <w:tabs>
          <w:tab w:val="left" w:pos="180"/>
        </w:tabs>
        <w:spacing w:before="120"/>
        <w:ind w:left="180" w:hanging="540"/>
        <w:jc w:val="both"/>
        <w:rPr>
          <w:rFonts w:ascii="Arial" w:hAnsi="Arial" w:cs="Arial"/>
        </w:rPr>
      </w:pPr>
      <w:r w:rsidRPr="008174E3">
        <w:rPr>
          <w:rFonts w:ascii="Arial" w:hAnsi="Arial" w:cs="Arial"/>
          <w:lang w:val="en-US"/>
        </w:rPr>
        <w:t>Card D, Kluve J.</w:t>
      </w:r>
      <w:r w:rsidR="00D56A15" w:rsidRPr="008174E3">
        <w:rPr>
          <w:rFonts w:ascii="Arial" w:hAnsi="Arial" w:cs="Arial"/>
          <w:lang w:val="en-US"/>
        </w:rPr>
        <w:t xml:space="preserve"> &amp;</w:t>
      </w:r>
      <w:r w:rsidRPr="008174E3">
        <w:rPr>
          <w:rFonts w:ascii="Arial" w:hAnsi="Arial" w:cs="Arial"/>
          <w:lang w:val="en-US"/>
        </w:rPr>
        <w:t xml:space="preserve"> Weber A., (2015) “What Works? A </w:t>
      </w:r>
      <w:r w:rsidR="001F0F05" w:rsidRPr="008174E3">
        <w:rPr>
          <w:rFonts w:ascii="Arial" w:hAnsi="Arial" w:cs="Arial"/>
          <w:lang w:val="en-US"/>
        </w:rPr>
        <w:t>Meta-Analysis</w:t>
      </w:r>
      <w:r w:rsidRPr="008174E3">
        <w:rPr>
          <w:rFonts w:ascii="Arial" w:hAnsi="Arial" w:cs="Arial"/>
          <w:lang w:val="en-US"/>
        </w:rPr>
        <w:t xml:space="preserve"> of Recent Active Labor Market Program Evaluations”. </w:t>
      </w:r>
      <w:r w:rsidRPr="008174E3">
        <w:rPr>
          <w:rFonts w:ascii="Arial" w:hAnsi="Arial" w:cs="Arial"/>
        </w:rPr>
        <w:t>IZA Discussion Paper No. 9236.</w:t>
      </w:r>
    </w:p>
    <w:p w14:paraId="33625EF2" w14:textId="77777777" w:rsidR="009C339A" w:rsidRPr="008174E3" w:rsidRDefault="009C339A" w:rsidP="00827E44">
      <w:pPr>
        <w:pStyle w:val="ListParagraph"/>
        <w:tabs>
          <w:tab w:val="left" w:pos="180"/>
        </w:tabs>
        <w:spacing w:before="120"/>
        <w:ind w:left="180" w:hanging="540"/>
        <w:jc w:val="both"/>
        <w:rPr>
          <w:rFonts w:ascii="Arial" w:hAnsi="Arial" w:cs="Arial"/>
        </w:rPr>
      </w:pPr>
    </w:p>
    <w:p w14:paraId="5FE132F8" w14:textId="7A07C259" w:rsidR="00D23ED9" w:rsidRPr="008174E3" w:rsidRDefault="00D23ED9" w:rsidP="00827E44">
      <w:pPr>
        <w:pStyle w:val="ListParagraph"/>
        <w:numPr>
          <w:ilvl w:val="0"/>
          <w:numId w:val="17"/>
        </w:numPr>
        <w:tabs>
          <w:tab w:val="left" w:pos="180"/>
        </w:tabs>
        <w:spacing w:before="120"/>
        <w:ind w:left="180" w:hanging="540"/>
        <w:jc w:val="both"/>
        <w:rPr>
          <w:rFonts w:ascii="Arial" w:hAnsi="Arial" w:cs="Arial"/>
        </w:rPr>
      </w:pPr>
      <w:r w:rsidRPr="008174E3">
        <w:rPr>
          <w:rFonts w:ascii="Arial" w:hAnsi="Arial" w:cs="Arial"/>
          <w:lang w:val="en-US"/>
        </w:rPr>
        <w:t xml:space="preserve">Card, D., </w:t>
      </w:r>
      <w:r w:rsidR="00826DE6" w:rsidRPr="008174E3">
        <w:rPr>
          <w:rFonts w:ascii="Arial" w:hAnsi="Arial" w:cs="Arial"/>
          <w:lang w:val="en-US"/>
        </w:rPr>
        <w:t>Ibarrarán</w:t>
      </w:r>
      <w:r w:rsidRPr="008174E3">
        <w:rPr>
          <w:rFonts w:ascii="Arial" w:hAnsi="Arial" w:cs="Arial"/>
          <w:lang w:val="en-US"/>
        </w:rPr>
        <w:t xml:space="preserve">, P., Regalia, F., Rosas-Shady, D., &amp; Soares, Y. (2011). </w:t>
      </w:r>
      <w:r w:rsidR="00D56A15" w:rsidRPr="008174E3">
        <w:rPr>
          <w:rFonts w:ascii="Arial" w:hAnsi="Arial" w:cs="Arial"/>
          <w:lang w:val="en-US"/>
        </w:rPr>
        <w:t>“</w:t>
      </w:r>
      <w:r w:rsidRPr="008174E3">
        <w:rPr>
          <w:rFonts w:ascii="Arial" w:hAnsi="Arial" w:cs="Arial"/>
          <w:lang w:val="en-US"/>
        </w:rPr>
        <w:t>The labor market impacts of youth training in the Dominican Republic</w:t>
      </w:r>
      <w:r w:rsidR="00D56A15" w:rsidRPr="008174E3">
        <w:rPr>
          <w:rFonts w:ascii="Arial" w:hAnsi="Arial" w:cs="Arial"/>
          <w:lang w:val="en-US"/>
        </w:rPr>
        <w:t>”</w:t>
      </w:r>
      <w:r w:rsidRPr="008174E3">
        <w:rPr>
          <w:rFonts w:ascii="Arial" w:hAnsi="Arial" w:cs="Arial"/>
          <w:lang w:val="en-US"/>
        </w:rPr>
        <w:t>. </w:t>
      </w:r>
      <w:r w:rsidRPr="008174E3">
        <w:rPr>
          <w:rFonts w:ascii="Arial" w:hAnsi="Arial" w:cs="Arial"/>
        </w:rPr>
        <w:t>Journal of Labor Economics, 29(2)</w:t>
      </w:r>
      <w:r w:rsidR="000F43FC" w:rsidRPr="008174E3">
        <w:rPr>
          <w:rFonts w:ascii="Arial" w:hAnsi="Arial" w:cs="Arial"/>
        </w:rPr>
        <w:t>.</w:t>
      </w:r>
    </w:p>
    <w:p w14:paraId="5D6D31C1" w14:textId="77777777" w:rsidR="009C339A" w:rsidRPr="008174E3" w:rsidRDefault="009C339A" w:rsidP="00827E44">
      <w:pPr>
        <w:pStyle w:val="ListParagraph"/>
        <w:tabs>
          <w:tab w:val="left" w:pos="180"/>
        </w:tabs>
        <w:spacing w:before="120"/>
        <w:ind w:left="180" w:hanging="540"/>
        <w:jc w:val="both"/>
        <w:rPr>
          <w:rFonts w:ascii="Arial" w:hAnsi="Arial" w:cs="Arial"/>
        </w:rPr>
      </w:pPr>
    </w:p>
    <w:p w14:paraId="2D62D39C" w14:textId="77777777" w:rsidR="00D23ED9" w:rsidRPr="008174E3" w:rsidRDefault="00D23ED9" w:rsidP="00827E44">
      <w:pPr>
        <w:pStyle w:val="ListParagraph"/>
        <w:numPr>
          <w:ilvl w:val="0"/>
          <w:numId w:val="17"/>
        </w:numPr>
        <w:tabs>
          <w:tab w:val="left" w:pos="180"/>
        </w:tabs>
        <w:spacing w:before="120"/>
        <w:ind w:left="180" w:hanging="540"/>
        <w:jc w:val="both"/>
        <w:rPr>
          <w:rFonts w:ascii="Arial" w:hAnsi="Arial" w:cs="Arial"/>
        </w:rPr>
      </w:pPr>
      <w:r w:rsidRPr="008174E3">
        <w:rPr>
          <w:rFonts w:ascii="Arial" w:hAnsi="Arial" w:cs="Arial"/>
        </w:rPr>
        <w:t>Chacaltana, J., &amp; Sulmont, D. (2003). “Políticas Activas en el Mercado Laboral Peruano: el potencial de la capacitación y los servicios de empleo”. Políticas de empleo en el Perú, 1, 221-298.</w:t>
      </w:r>
    </w:p>
    <w:p w14:paraId="435CDFA3" w14:textId="77777777" w:rsidR="009C339A" w:rsidRPr="008174E3" w:rsidRDefault="009C339A" w:rsidP="00827E44">
      <w:pPr>
        <w:pStyle w:val="ListParagraph"/>
        <w:tabs>
          <w:tab w:val="left" w:pos="180"/>
        </w:tabs>
        <w:spacing w:before="120"/>
        <w:ind w:left="180" w:hanging="540"/>
        <w:jc w:val="both"/>
        <w:rPr>
          <w:rFonts w:ascii="Arial" w:hAnsi="Arial" w:cs="Arial"/>
        </w:rPr>
      </w:pPr>
    </w:p>
    <w:p w14:paraId="5CFC537E" w14:textId="77777777" w:rsidR="009C339A" w:rsidRPr="008174E3" w:rsidRDefault="009C339A" w:rsidP="00827E44">
      <w:pPr>
        <w:pStyle w:val="ListParagraph"/>
        <w:numPr>
          <w:ilvl w:val="0"/>
          <w:numId w:val="17"/>
        </w:numPr>
        <w:tabs>
          <w:tab w:val="left" w:pos="180"/>
        </w:tabs>
        <w:spacing w:before="120"/>
        <w:ind w:left="180" w:hanging="540"/>
        <w:jc w:val="both"/>
        <w:rPr>
          <w:rFonts w:ascii="Arial" w:hAnsi="Arial" w:cs="Arial"/>
          <w:lang w:val="en-US"/>
        </w:rPr>
      </w:pPr>
      <w:r w:rsidRPr="008174E3">
        <w:rPr>
          <w:rFonts w:ascii="Arial" w:hAnsi="Arial" w:cs="Arial"/>
          <w:lang w:val="en-US"/>
        </w:rPr>
        <w:t>Crepón, B., Duflo E., Gurgand, M., Rathelot, R.</w:t>
      </w:r>
      <w:r w:rsidR="00D56A15" w:rsidRPr="008174E3">
        <w:rPr>
          <w:rFonts w:ascii="Arial" w:hAnsi="Arial" w:cs="Arial"/>
          <w:lang w:val="en-US"/>
        </w:rPr>
        <w:t xml:space="preserve"> &amp;</w:t>
      </w:r>
      <w:r w:rsidRPr="008174E3">
        <w:rPr>
          <w:rFonts w:ascii="Arial" w:hAnsi="Arial" w:cs="Arial"/>
          <w:lang w:val="en-US"/>
        </w:rPr>
        <w:t xml:space="preserve"> Zamora, P. (2013). “Do Labour Market Policies Have Displacement Effects? Evidence from a Clustered Randomized Experiment” Quarterly Journal of Economics, 128(2).</w:t>
      </w:r>
    </w:p>
    <w:p w14:paraId="571BFC76" w14:textId="77777777" w:rsidR="009C339A" w:rsidRPr="008174E3" w:rsidRDefault="009C339A" w:rsidP="00827E44">
      <w:pPr>
        <w:pStyle w:val="ListParagraph"/>
        <w:tabs>
          <w:tab w:val="left" w:pos="180"/>
        </w:tabs>
        <w:spacing w:before="120"/>
        <w:ind w:left="180" w:hanging="540"/>
        <w:jc w:val="both"/>
        <w:rPr>
          <w:rFonts w:ascii="Arial" w:hAnsi="Arial" w:cs="Arial"/>
          <w:lang w:val="en-US"/>
        </w:rPr>
      </w:pPr>
    </w:p>
    <w:p w14:paraId="67B12616" w14:textId="3534D2D8" w:rsidR="00D23ED9" w:rsidRPr="008174E3" w:rsidRDefault="00D56A15" w:rsidP="00827E44">
      <w:pPr>
        <w:pStyle w:val="ListParagraph"/>
        <w:numPr>
          <w:ilvl w:val="0"/>
          <w:numId w:val="17"/>
        </w:numPr>
        <w:tabs>
          <w:tab w:val="left" w:pos="180"/>
        </w:tabs>
        <w:spacing w:before="120"/>
        <w:ind w:left="180" w:hanging="540"/>
        <w:jc w:val="both"/>
        <w:rPr>
          <w:rFonts w:ascii="Arial" w:hAnsi="Arial" w:cs="Arial"/>
          <w:lang w:val="en-US"/>
        </w:rPr>
      </w:pPr>
      <w:r w:rsidRPr="008174E3">
        <w:rPr>
          <w:rFonts w:ascii="Arial" w:hAnsi="Arial" w:cs="Arial"/>
          <w:lang w:val="en-US"/>
        </w:rPr>
        <w:t>Dammert, A., J. Galdo, &amp;</w:t>
      </w:r>
      <w:r w:rsidR="00D23ED9" w:rsidRPr="008174E3">
        <w:rPr>
          <w:rFonts w:ascii="Arial" w:hAnsi="Arial" w:cs="Arial"/>
          <w:lang w:val="en-US"/>
        </w:rPr>
        <w:t xml:space="preserve"> V. Galdo (201</w:t>
      </w:r>
      <w:r w:rsidR="006C2022" w:rsidRPr="008174E3">
        <w:rPr>
          <w:rFonts w:ascii="Arial" w:hAnsi="Arial" w:cs="Arial"/>
          <w:lang w:val="en-US"/>
        </w:rPr>
        <w:t>5</w:t>
      </w:r>
      <w:r w:rsidR="00D23ED9" w:rsidRPr="008174E3">
        <w:rPr>
          <w:rFonts w:ascii="Arial" w:hAnsi="Arial" w:cs="Arial"/>
          <w:lang w:val="en-US"/>
        </w:rPr>
        <w:t xml:space="preserve">). </w:t>
      </w:r>
      <w:r w:rsidR="006C2022" w:rsidRPr="008174E3">
        <w:rPr>
          <w:rFonts w:ascii="Arial" w:hAnsi="Arial" w:cs="Arial"/>
          <w:lang w:val="en-US"/>
        </w:rPr>
        <w:t>“Integrating mobile phone technologies into labor-market intermediation: a multi-treatment experimental design”, IZA Journal of Labor and Development 4:11</w:t>
      </w:r>
    </w:p>
    <w:p w14:paraId="5E8AAAD0" w14:textId="77777777" w:rsidR="00E12DB8" w:rsidRPr="008174E3" w:rsidRDefault="00E12DB8" w:rsidP="00E12DB8">
      <w:pPr>
        <w:pStyle w:val="ListParagraph"/>
        <w:rPr>
          <w:rFonts w:ascii="Arial" w:hAnsi="Arial" w:cs="Arial"/>
          <w:lang w:val="en-US"/>
        </w:rPr>
      </w:pPr>
    </w:p>
    <w:p w14:paraId="46896636" w14:textId="0A0009DA" w:rsidR="00E12DB8" w:rsidRPr="008174E3" w:rsidRDefault="00E12DB8" w:rsidP="00E12DB8">
      <w:pPr>
        <w:pStyle w:val="ListParagraph"/>
        <w:numPr>
          <w:ilvl w:val="0"/>
          <w:numId w:val="17"/>
        </w:numPr>
        <w:tabs>
          <w:tab w:val="left" w:pos="180"/>
        </w:tabs>
        <w:spacing w:before="120"/>
        <w:ind w:left="180" w:hanging="540"/>
        <w:jc w:val="both"/>
        <w:rPr>
          <w:rFonts w:ascii="Arial" w:hAnsi="Arial" w:cs="Arial"/>
          <w:lang w:val="en-US"/>
        </w:rPr>
      </w:pPr>
      <w:r w:rsidRPr="008174E3">
        <w:rPr>
          <w:rFonts w:ascii="Arial" w:hAnsi="Arial" w:cs="Arial"/>
          <w:lang w:val="en-US"/>
        </w:rPr>
        <w:t>Dhaliwal I., Duflo, E., Glennerster, R. &amp; Tulloch, C. (2012). Comparative Cost-Effectiveness Analysis to Inform Policy in Developing Countries: A General Framework with Applications for Education.</w:t>
      </w:r>
    </w:p>
    <w:p w14:paraId="120F176D" w14:textId="77777777" w:rsidR="009C339A" w:rsidRPr="008174E3" w:rsidRDefault="009C339A" w:rsidP="00827E44">
      <w:pPr>
        <w:pStyle w:val="ListParagraph"/>
        <w:tabs>
          <w:tab w:val="left" w:pos="180"/>
        </w:tabs>
        <w:spacing w:before="120"/>
        <w:ind w:left="180" w:hanging="540"/>
        <w:jc w:val="both"/>
        <w:rPr>
          <w:rFonts w:ascii="Arial" w:hAnsi="Arial" w:cs="Arial"/>
          <w:lang w:val="en-US"/>
        </w:rPr>
      </w:pPr>
    </w:p>
    <w:p w14:paraId="6802669E" w14:textId="16E3362A" w:rsidR="00D23ED9" w:rsidRPr="008174E3" w:rsidRDefault="00D23ED9" w:rsidP="00827E44">
      <w:pPr>
        <w:pStyle w:val="ListParagraph"/>
        <w:numPr>
          <w:ilvl w:val="0"/>
          <w:numId w:val="17"/>
        </w:numPr>
        <w:tabs>
          <w:tab w:val="left" w:pos="180"/>
        </w:tabs>
        <w:spacing w:before="120"/>
        <w:ind w:left="180" w:hanging="540"/>
        <w:jc w:val="both"/>
        <w:rPr>
          <w:rFonts w:ascii="Arial" w:hAnsi="Arial" w:cs="Arial"/>
        </w:rPr>
      </w:pPr>
      <w:r w:rsidRPr="008174E3">
        <w:rPr>
          <w:rFonts w:ascii="Arial" w:hAnsi="Arial" w:cs="Arial"/>
          <w:lang w:val="en-US"/>
        </w:rPr>
        <w:t xml:space="preserve">Di Capua L. (2015). “Análisis económico del programa Strengthening Human and Social Development in </w:t>
      </w:r>
      <w:r w:rsidR="009106B4" w:rsidRPr="008174E3">
        <w:rPr>
          <w:rFonts w:ascii="Arial" w:hAnsi="Arial" w:cs="Arial"/>
          <w:lang w:val="en-US"/>
        </w:rPr>
        <w:t>Barbados (</w:t>
      </w:r>
      <w:r w:rsidRPr="008174E3">
        <w:rPr>
          <w:rFonts w:ascii="Arial" w:hAnsi="Arial" w:cs="Arial"/>
          <w:lang w:val="en-US"/>
        </w:rPr>
        <w:t xml:space="preserve">BA-L1032)”. </w:t>
      </w:r>
      <w:r w:rsidRPr="008174E3">
        <w:rPr>
          <w:rFonts w:ascii="Arial" w:hAnsi="Arial" w:cs="Arial"/>
        </w:rPr>
        <w:t>Inter-American Development Bank, internal document.</w:t>
      </w:r>
    </w:p>
    <w:p w14:paraId="3F27BA2D" w14:textId="77777777" w:rsidR="009C339A" w:rsidRPr="008174E3" w:rsidRDefault="009C339A" w:rsidP="00827E44">
      <w:pPr>
        <w:pStyle w:val="ListParagraph"/>
        <w:tabs>
          <w:tab w:val="left" w:pos="180"/>
        </w:tabs>
        <w:spacing w:before="120"/>
        <w:ind w:left="180" w:hanging="540"/>
        <w:jc w:val="both"/>
        <w:rPr>
          <w:rFonts w:ascii="Arial" w:hAnsi="Arial" w:cs="Arial"/>
        </w:rPr>
      </w:pPr>
    </w:p>
    <w:p w14:paraId="721E3712" w14:textId="77777777" w:rsidR="00D23ED9" w:rsidRPr="008174E3" w:rsidRDefault="00D23ED9" w:rsidP="00827E44">
      <w:pPr>
        <w:pStyle w:val="ListParagraph"/>
        <w:numPr>
          <w:ilvl w:val="0"/>
          <w:numId w:val="17"/>
        </w:numPr>
        <w:tabs>
          <w:tab w:val="left" w:pos="180"/>
        </w:tabs>
        <w:spacing w:before="120"/>
        <w:ind w:left="180" w:hanging="540"/>
        <w:jc w:val="both"/>
        <w:rPr>
          <w:rFonts w:ascii="Arial" w:hAnsi="Arial" w:cs="Arial"/>
          <w:lang w:val="en-US"/>
        </w:rPr>
      </w:pPr>
      <w:r w:rsidRPr="008174E3">
        <w:rPr>
          <w:rFonts w:ascii="Arial" w:hAnsi="Arial" w:cs="Arial"/>
          <w:lang w:val="en-US"/>
        </w:rPr>
        <w:t>Dolton P. &amp; O'Neill D.  (1995). "The Impact of Restart on Reservation Wages and Long-Term Unemployment," Oxford Bulletin of Economics and Statistics, Department of Economics, University of Oxford, vol. 57(4).</w:t>
      </w:r>
    </w:p>
    <w:p w14:paraId="0C33AEDE" w14:textId="77777777" w:rsidR="009C339A" w:rsidRPr="008174E3" w:rsidRDefault="009C339A" w:rsidP="00827E44">
      <w:pPr>
        <w:pStyle w:val="ListParagraph"/>
        <w:tabs>
          <w:tab w:val="left" w:pos="180"/>
        </w:tabs>
        <w:spacing w:before="120"/>
        <w:ind w:left="180" w:hanging="540"/>
        <w:jc w:val="both"/>
        <w:rPr>
          <w:rFonts w:ascii="Arial" w:hAnsi="Arial" w:cs="Arial"/>
          <w:lang w:val="en-US"/>
        </w:rPr>
      </w:pPr>
    </w:p>
    <w:p w14:paraId="35C841C2" w14:textId="63168968" w:rsidR="00D23ED9" w:rsidRPr="008174E3" w:rsidRDefault="00D23ED9" w:rsidP="00827E44">
      <w:pPr>
        <w:pStyle w:val="ListParagraph"/>
        <w:numPr>
          <w:ilvl w:val="0"/>
          <w:numId w:val="17"/>
        </w:numPr>
        <w:tabs>
          <w:tab w:val="left" w:pos="180"/>
        </w:tabs>
        <w:spacing w:before="120"/>
        <w:ind w:left="180" w:hanging="540"/>
        <w:jc w:val="both"/>
        <w:rPr>
          <w:rFonts w:ascii="Arial" w:hAnsi="Arial" w:cs="Arial"/>
          <w:lang w:val="en-US"/>
        </w:rPr>
      </w:pPr>
      <w:r w:rsidRPr="008174E3">
        <w:rPr>
          <w:rFonts w:ascii="Arial" w:hAnsi="Arial" w:cs="Arial"/>
          <w:lang w:val="en-US"/>
        </w:rPr>
        <w:t>Dolton P. &amp; O'Neill D.  (199</w:t>
      </w:r>
      <w:r w:rsidR="00442FFB" w:rsidRPr="008174E3">
        <w:rPr>
          <w:rFonts w:ascii="Arial" w:hAnsi="Arial" w:cs="Arial"/>
          <w:lang w:val="en-US"/>
        </w:rPr>
        <w:t>6</w:t>
      </w:r>
      <w:r w:rsidRPr="008174E3">
        <w:rPr>
          <w:rFonts w:ascii="Arial" w:hAnsi="Arial" w:cs="Arial"/>
          <w:lang w:val="en-US"/>
        </w:rPr>
        <w:t>). "Unemployment Duration and the Restart Effect: Some Experimental Evidence," Economic Journal, Royal Economic Society, vol. 106(435)</w:t>
      </w:r>
      <w:r w:rsidR="006C3959" w:rsidRPr="008174E3">
        <w:rPr>
          <w:rFonts w:ascii="Arial" w:hAnsi="Arial" w:cs="Arial"/>
          <w:lang w:val="en-US"/>
        </w:rPr>
        <w:t>.</w:t>
      </w:r>
    </w:p>
    <w:p w14:paraId="5E8F7169" w14:textId="77777777" w:rsidR="006C3959" w:rsidRPr="008174E3" w:rsidRDefault="006C3959" w:rsidP="00827E44">
      <w:pPr>
        <w:pStyle w:val="ListParagraph"/>
        <w:tabs>
          <w:tab w:val="left" w:pos="180"/>
        </w:tabs>
        <w:ind w:left="180" w:hanging="540"/>
        <w:rPr>
          <w:rFonts w:ascii="Arial" w:hAnsi="Arial" w:cs="Arial"/>
          <w:lang w:val="en-US"/>
        </w:rPr>
      </w:pPr>
    </w:p>
    <w:p w14:paraId="3FFEC35A" w14:textId="77777777" w:rsidR="006C3959" w:rsidRPr="008174E3" w:rsidRDefault="006C3959" w:rsidP="00827E44">
      <w:pPr>
        <w:pStyle w:val="ListParagraph"/>
        <w:numPr>
          <w:ilvl w:val="0"/>
          <w:numId w:val="17"/>
        </w:numPr>
        <w:tabs>
          <w:tab w:val="left" w:pos="180"/>
        </w:tabs>
        <w:spacing w:before="120"/>
        <w:ind w:left="180" w:hanging="540"/>
        <w:jc w:val="both"/>
        <w:rPr>
          <w:rFonts w:ascii="Arial" w:hAnsi="Arial" w:cs="Arial"/>
        </w:rPr>
      </w:pPr>
      <w:r w:rsidRPr="008174E3">
        <w:rPr>
          <w:rFonts w:ascii="Arial" w:hAnsi="Arial" w:cs="Arial"/>
          <w:lang w:val="en-US"/>
        </w:rPr>
        <w:t xml:space="preserve">Ecorys (2012). </w:t>
      </w:r>
      <w:r w:rsidR="00D56A15" w:rsidRPr="008174E3">
        <w:rPr>
          <w:rFonts w:ascii="Arial" w:hAnsi="Arial" w:cs="Arial"/>
          <w:lang w:val="en-US"/>
        </w:rPr>
        <w:t>“</w:t>
      </w:r>
      <w:r w:rsidRPr="008174E3">
        <w:rPr>
          <w:rFonts w:ascii="Arial" w:hAnsi="Arial" w:cs="Arial"/>
          <w:lang w:val="en-US"/>
        </w:rPr>
        <w:t>PES Performance Measurement Systems and Geographical Labour Mobility</w:t>
      </w:r>
      <w:r w:rsidR="00D56A15" w:rsidRPr="008174E3">
        <w:rPr>
          <w:rFonts w:ascii="Arial" w:hAnsi="Arial" w:cs="Arial"/>
          <w:lang w:val="en-US"/>
        </w:rPr>
        <w:t>”</w:t>
      </w:r>
      <w:r w:rsidRPr="008174E3">
        <w:rPr>
          <w:rFonts w:ascii="Arial" w:hAnsi="Arial" w:cs="Arial"/>
          <w:lang w:val="en-US"/>
        </w:rPr>
        <w:t xml:space="preserve">. </w:t>
      </w:r>
      <w:r w:rsidRPr="008174E3">
        <w:rPr>
          <w:rFonts w:ascii="Arial" w:hAnsi="Arial" w:cs="Arial"/>
        </w:rPr>
        <w:t xml:space="preserve">Rotterdam, London. Final </w:t>
      </w:r>
      <w:r w:rsidR="00D56A15" w:rsidRPr="008174E3">
        <w:rPr>
          <w:rFonts w:ascii="Arial" w:hAnsi="Arial" w:cs="Arial"/>
        </w:rPr>
        <w:t>R</w:t>
      </w:r>
      <w:r w:rsidRPr="008174E3">
        <w:rPr>
          <w:rFonts w:ascii="Arial" w:hAnsi="Arial" w:cs="Arial"/>
        </w:rPr>
        <w:t>eport.</w:t>
      </w:r>
    </w:p>
    <w:p w14:paraId="2B99375A" w14:textId="77777777" w:rsidR="009C339A" w:rsidRPr="008174E3" w:rsidRDefault="009C339A" w:rsidP="00827E44">
      <w:pPr>
        <w:pStyle w:val="ListParagraph"/>
        <w:tabs>
          <w:tab w:val="left" w:pos="180"/>
        </w:tabs>
        <w:spacing w:before="120"/>
        <w:ind w:left="180" w:hanging="540"/>
        <w:jc w:val="both"/>
        <w:rPr>
          <w:rFonts w:ascii="Arial" w:hAnsi="Arial" w:cs="Arial"/>
        </w:rPr>
      </w:pPr>
    </w:p>
    <w:p w14:paraId="2FED4180" w14:textId="5F64A203" w:rsidR="00D23ED9" w:rsidRPr="008174E3" w:rsidRDefault="00D23ED9" w:rsidP="00827E44">
      <w:pPr>
        <w:pStyle w:val="ListParagraph"/>
        <w:numPr>
          <w:ilvl w:val="0"/>
          <w:numId w:val="17"/>
        </w:numPr>
        <w:tabs>
          <w:tab w:val="left" w:pos="180"/>
        </w:tabs>
        <w:spacing w:before="120"/>
        <w:ind w:left="180" w:hanging="540"/>
        <w:jc w:val="both"/>
        <w:rPr>
          <w:rFonts w:ascii="Arial" w:hAnsi="Arial" w:cs="Arial"/>
        </w:rPr>
      </w:pPr>
      <w:r w:rsidRPr="008174E3">
        <w:rPr>
          <w:rFonts w:ascii="Arial" w:hAnsi="Arial" w:cs="Arial"/>
        </w:rPr>
        <w:lastRenderedPageBreak/>
        <w:t>Flores, R. “Innovaciones en la Evaluación de Impacto del Servicio de Intermediación Laboral en México”. Banco Interamericano de Desarrollo. Nota técnica IDB-TN-118 (</w:t>
      </w:r>
      <w:r w:rsidR="009106B4" w:rsidRPr="008174E3">
        <w:rPr>
          <w:rFonts w:ascii="Arial" w:hAnsi="Arial" w:cs="Arial"/>
        </w:rPr>
        <w:t>abril</w:t>
      </w:r>
      <w:r w:rsidRPr="008174E3">
        <w:rPr>
          <w:rFonts w:ascii="Arial" w:hAnsi="Arial" w:cs="Arial"/>
        </w:rPr>
        <w:t xml:space="preserve"> 2010).</w:t>
      </w:r>
    </w:p>
    <w:p w14:paraId="09C1EA9B" w14:textId="77777777" w:rsidR="009929A0" w:rsidRPr="008174E3" w:rsidRDefault="009929A0" w:rsidP="00827E44">
      <w:pPr>
        <w:pStyle w:val="ListParagraph"/>
        <w:tabs>
          <w:tab w:val="left" w:pos="180"/>
        </w:tabs>
        <w:ind w:left="180" w:hanging="540"/>
        <w:rPr>
          <w:rFonts w:ascii="Arial" w:hAnsi="Arial" w:cs="Arial"/>
        </w:rPr>
      </w:pPr>
    </w:p>
    <w:p w14:paraId="68426B53" w14:textId="36EEBD6D" w:rsidR="009929A0" w:rsidRPr="008174E3" w:rsidRDefault="009929A0" w:rsidP="00827E44">
      <w:pPr>
        <w:pStyle w:val="ListParagraph"/>
        <w:numPr>
          <w:ilvl w:val="0"/>
          <w:numId w:val="17"/>
        </w:numPr>
        <w:tabs>
          <w:tab w:val="left" w:pos="180"/>
        </w:tabs>
        <w:spacing w:before="120"/>
        <w:ind w:left="180" w:hanging="540"/>
        <w:jc w:val="both"/>
        <w:rPr>
          <w:rFonts w:ascii="Arial" w:hAnsi="Arial" w:cs="Arial"/>
          <w:lang w:val="en-US"/>
        </w:rPr>
      </w:pPr>
      <w:r w:rsidRPr="008174E3">
        <w:rPr>
          <w:rFonts w:ascii="Arial" w:hAnsi="Arial" w:cs="Arial"/>
          <w:lang w:val="en-US"/>
        </w:rPr>
        <w:t>Franklin, S. (2015) “Location, Search Costs and Youth Unemployment: A Randomized Trial of Transport Subsidies in Ethiopia”, CSAE Working Paper WPS/2015-11.</w:t>
      </w:r>
    </w:p>
    <w:p w14:paraId="32A82CC6" w14:textId="77777777" w:rsidR="009929A0" w:rsidRPr="008174E3" w:rsidRDefault="009929A0" w:rsidP="00827E44">
      <w:pPr>
        <w:pStyle w:val="ListParagraph"/>
        <w:tabs>
          <w:tab w:val="left" w:pos="180"/>
        </w:tabs>
        <w:spacing w:before="120"/>
        <w:ind w:left="180" w:hanging="540"/>
        <w:jc w:val="both"/>
        <w:rPr>
          <w:rFonts w:ascii="Arial" w:hAnsi="Arial" w:cs="Arial"/>
          <w:lang w:val="en-US"/>
        </w:rPr>
      </w:pPr>
    </w:p>
    <w:p w14:paraId="3BF6A21E" w14:textId="77777777" w:rsidR="0003327B" w:rsidRPr="008174E3" w:rsidRDefault="0003327B" w:rsidP="00827E44">
      <w:pPr>
        <w:pStyle w:val="ListParagraph"/>
        <w:tabs>
          <w:tab w:val="left" w:pos="180"/>
        </w:tabs>
        <w:ind w:left="180" w:hanging="540"/>
        <w:rPr>
          <w:rFonts w:ascii="Arial" w:hAnsi="Arial" w:cs="Arial"/>
          <w:lang w:val="en-US"/>
        </w:rPr>
      </w:pPr>
    </w:p>
    <w:p w14:paraId="000DF596" w14:textId="77777777" w:rsidR="00D23ED9" w:rsidRPr="008174E3" w:rsidRDefault="00D56A15" w:rsidP="00827E44">
      <w:pPr>
        <w:pStyle w:val="ListParagraph"/>
        <w:numPr>
          <w:ilvl w:val="0"/>
          <w:numId w:val="17"/>
        </w:numPr>
        <w:tabs>
          <w:tab w:val="left" w:pos="180"/>
        </w:tabs>
        <w:spacing w:before="120"/>
        <w:ind w:left="180" w:hanging="540"/>
        <w:jc w:val="both"/>
        <w:rPr>
          <w:rFonts w:ascii="Arial" w:hAnsi="Arial" w:cs="Arial"/>
        </w:rPr>
      </w:pPr>
      <w:r w:rsidRPr="008174E3">
        <w:rPr>
          <w:rFonts w:ascii="Arial" w:hAnsi="Arial" w:cs="Arial"/>
          <w:lang w:val="en-US"/>
        </w:rPr>
        <w:t>Gelber A., Isen A. &amp;</w:t>
      </w:r>
      <w:r w:rsidR="00D23ED9" w:rsidRPr="008174E3">
        <w:rPr>
          <w:rFonts w:ascii="Arial" w:hAnsi="Arial" w:cs="Arial"/>
          <w:lang w:val="en-US"/>
        </w:rPr>
        <w:t xml:space="preserve"> Kessler J. (2016). “The Effects of Youth Employment: Evidence from New York City Summer Youth Employment Program Lotteries”. </w:t>
      </w:r>
      <w:r w:rsidR="00D23ED9" w:rsidRPr="008174E3">
        <w:rPr>
          <w:rFonts w:ascii="Arial" w:hAnsi="Arial" w:cs="Arial"/>
        </w:rPr>
        <w:t>The Quarterly Journal of Economics (26)</w:t>
      </w:r>
      <w:r w:rsidR="000F43FC" w:rsidRPr="008174E3">
        <w:rPr>
          <w:rFonts w:ascii="Arial" w:hAnsi="Arial" w:cs="Arial"/>
        </w:rPr>
        <w:t>.</w:t>
      </w:r>
    </w:p>
    <w:p w14:paraId="32931EDC" w14:textId="77777777" w:rsidR="009C339A" w:rsidRPr="008174E3" w:rsidRDefault="009C339A" w:rsidP="00827E44">
      <w:pPr>
        <w:pStyle w:val="ListParagraph"/>
        <w:tabs>
          <w:tab w:val="left" w:pos="180"/>
        </w:tabs>
        <w:spacing w:before="120"/>
        <w:ind w:left="180" w:hanging="540"/>
        <w:jc w:val="both"/>
        <w:rPr>
          <w:rFonts w:ascii="Arial" w:hAnsi="Arial" w:cs="Arial"/>
        </w:rPr>
      </w:pPr>
    </w:p>
    <w:p w14:paraId="5113AD92" w14:textId="77777777" w:rsidR="00D23ED9" w:rsidRPr="008174E3" w:rsidRDefault="00D23ED9" w:rsidP="00827E44">
      <w:pPr>
        <w:pStyle w:val="ListParagraph"/>
        <w:numPr>
          <w:ilvl w:val="0"/>
          <w:numId w:val="17"/>
        </w:numPr>
        <w:tabs>
          <w:tab w:val="left" w:pos="180"/>
        </w:tabs>
        <w:spacing w:before="120"/>
        <w:ind w:left="180" w:hanging="540"/>
        <w:jc w:val="both"/>
        <w:rPr>
          <w:rFonts w:ascii="Arial" w:hAnsi="Arial" w:cs="Arial"/>
        </w:rPr>
      </w:pPr>
      <w:r w:rsidRPr="008174E3">
        <w:rPr>
          <w:rFonts w:ascii="Arial" w:hAnsi="Arial" w:cs="Arial"/>
        </w:rPr>
        <w:t>González-Velosa, C. (2014). “Análisis económico del programa Mejoramiento de la efectividad de los servicios de ventanilla única de promoción del empleo (CE) para la inserción laboral formal de los jóvenes en el Perú urbano (PE-L1152)”. Inter-American Development Bank, internal document.</w:t>
      </w:r>
    </w:p>
    <w:p w14:paraId="7AF6A4BC" w14:textId="77777777" w:rsidR="009C339A" w:rsidRPr="008174E3" w:rsidRDefault="009C339A" w:rsidP="00827E44">
      <w:pPr>
        <w:pStyle w:val="ListParagraph"/>
        <w:tabs>
          <w:tab w:val="left" w:pos="180"/>
        </w:tabs>
        <w:spacing w:before="120"/>
        <w:ind w:left="180" w:hanging="540"/>
        <w:jc w:val="both"/>
        <w:rPr>
          <w:rFonts w:ascii="Arial" w:hAnsi="Arial" w:cs="Arial"/>
        </w:rPr>
      </w:pPr>
    </w:p>
    <w:p w14:paraId="631AB34F" w14:textId="438911F8" w:rsidR="00D23ED9" w:rsidRPr="008174E3" w:rsidRDefault="00D23ED9" w:rsidP="00827E44">
      <w:pPr>
        <w:pStyle w:val="ListParagraph"/>
        <w:numPr>
          <w:ilvl w:val="0"/>
          <w:numId w:val="17"/>
        </w:numPr>
        <w:tabs>
          <w:tab w:val="left" w:pos="180"/>
        </w:tabs>
        <w:spacing w:before="120"/>
        <w:ind w:left="180" w:hanging="540"/>
        <w:jc w:val="both"/>
        <w:rPr>
          <w:rFonts w:ascii="Arial" w:hAnsi="Arial" w:cs="Arial"/>
        </w:rPr>
      </w:pPr>
      <w:r w:rsidRPr="008174E3">
        <w:rPr>
          <w:rFonts w:ascii="Arial" w:hAnsi="Arial" w:cs="Arial"/>
        </w:rPr>
        <w:t xml:space="preserve">González-Velosa, C., Ripani, L. </w:t>
      </w:r>
      <w:r w:rsidR="00D56A15" w:rsidRPr="008174E3">
        <w:rPr>
          <w:rFonts w:ascii="Arial" w:hAnsi="Arial" w:cs="Arial"/>
        </w:rPr>
        <w:t>&amp;</w:t>
      </w:r>
      <w:r w:rsidRPr="008174E3">
        <w:rPr>
          <w:rFonts w:ascii="Arial" w:hAnsi="Arial" w:cs="Arial"/>
        </w:rPr>
        <w:t xml:space="preserve"> D. Rosas-Shady.</w:t>
      </w:r>
      <w:r w:rsidR="000E62B2" w:rsidRPr="008174E3">
        <w:rPr>
          <w:rFonts w:ascii="Arial" w:hAnsi="Arial" w:cs="Arial"/>
        </w:rPr>
        <w:t xml:space="preserve"> (2012)</w:t>
      </w:r>
      <w:r w:rsidRPr="008174E3">
        <w:rPr>
          <w:rFonts w:ascii="Arial" w:hAnsi="Arial" w:cs="Arial"/>
        </w:rPr>
        <w:t xml:space="preserve"> “¿Cómo mejorar las oportunidades de inserción laboral de los jóvenes en América Latina?”. Banco Interamericano de Desarrollo, Unidad de Mercados Laborales y Seguridad Social. Nota Técnica IDB-TN-305.</w:t>
      </w:r>
    </w:p>
    <w:p w14:paraId="5A70E4D7" w14:textId="77777777" w:rsidR="006C2022" w:rsidRPr="008174E3" w:rsidRDefault="006C2022" w:rsidP="00827E44">
      <w:pPr>
        <w:pStyle w:val="ListParagraph"/>
        <w:tabs>
          <w:tab w:val="left" w:pos="180"/>
        </w:tabs>
        <w:ind w:left="180" w:hanging="540"/>
        <w:rPr>
          <w:rFonts w:ascii="Arial" w:hAnsi="Arial" w:cs="Arial"/>
        </w:rPr>
      </w:pPr>
    </w:p>
    <w:p w14:paraId="617C22FF" w14:textId="6ED37D1D" w:rsidR="006C2022" w:rsidRPr="008174E3" w:rsidRDefault="006C2022" w:rsidP="00827E44">
      <w:pPr>
        <w:pStyle w:val="ListParagraph"/>
        <w:numPr>
          <w:ilvl w:val="0"/>
          <w:numId w:val="17"/>
        </w:numPr>
        <w:tabs>
          <w:tab w:val="left" w:pos="180"/>
        </w:tabs>
        <w:spacing w:before="120"/>
        <w:ind w:left="180" w:hanging="540"/>
        <w:jc w:val="both"/>
        <w:rPr>
          <w:rFonts w:ascii="Arial" w:hAnsi="Arial" w:cs="Arial"/>
          <w:lang w:val="en-US"/>
        </w:rPr>
      </w:pPr>
      <w:r w:rsidRPr="008174E3">
        <w:rPr>
          <w:rFonts w:ascii="Arial" w:hAnsi="Arial" w:cs="Arial"/>
          <w:lang w:val="en-US"/>
        </w:rPr>
        <w:t xml:space="preserve">Hirshleifer, S., McKenzie D., Almeida R. &amp; Ridao-Cano </w:t>
      </w:r>
      <w:r w:rsidR="00C541F1" w:rsidRPr="008174E3">
        <w:rPr>
          <w:rFonts w:ascii="Arial" w:hAnsi="Arial" w:cs="Arial"/>
          <w:lang w:val="en-US"/>
        </w:rPr>
        <w:t>C. (</w:t>
      </w:r>
      <w:r w:rsidRPr="008174E3">
        <w:rPr>
          <w:rFonts w:ascii="Arial" w:hAnsi="Arial" w:cs="Arial"/>
          <w:lang w:val="en-US"/>
        </w:rPr>
        <w:t>2016) “The Impact of Vocational Training for the Unemployed: Experimental Evidence from Turkey”, Economic Journal 126: 2115-2146.</w:t>
      </w:r>
    </w:p>
    <w:p w14:paraId="125DD703" w14:textId="77777777" w:rsidR="006C3959" w:rsidRPr="008174E3" w:rsidRDefault="006C3959" w:rsidP="00827E44">
      <w:pPr>
        <w:pStyle w:val="ListParagraph"/>
        <w:tabs>
          <w:tab w:val="left" w:pos="180"/>
        </w:tabs>
        <w:ind w:left="180" w:hanging="540"/>
        <w:rPr>
          <w:rFonts w:ascii="Arial" w:hAnsi="Arial" w:cs="Arial"/>
          <w:lang w:val="en-US"/>
        </w:rPr>
      </w:pPr>
    </w:p>
    <w:p w14:paraId="11573676" w14:textId="77777777" w:rsidR="00D23ED9" w:rsidRPr="008174E3" w:rsidRDefault="00D23ED9" w:rsidP="00827E44">
      <w:pPr>
        <w:pStyle w:val="ListParagraph"/>
        <w:numPr>
          <w:ilvl w:val="0"/>
          <w:numId w:val="17"/>
        </w:numPr>
        <w:tabs>
          <w:tab w:val="left" w:pos="180"/>
        </w:tabs>
        <w:spacing w:before="120"/>
        <w:ind w:left="180" w:hanging="540"/>
        <w:jc w:val="both"/>
        <w:rPr>
          <w:rFonts w:ascii="Arial" w:hAnsi="Arial" w:cs="Arial"/>
        </w:rPr>
      </w:pPr>
      <w:r w:rsidRPr="008174E3">
        <w:rPr>
          <w:rFonts w:ascii="Arial" w:hAnsi="Arial" w:cs="Arial"/>
          <w:lang w:val="en-US"/>
        </w:rPr>
        <w:t xml:space="preserve">Ibarrarán, P., &amp; Rosas D. (2009). “Evaluating the Impact of Job Training Programmes in Latin America: Evidence from IDB Funded Operations”. </w:t>
      </w:r>
      <w:r w:rsidRPr="008174E3">
        <w:rPr>
          <w:rFonts w:ascii="Arial" w:hAnsi="Arial" w:cs="Arial"/>
        </w:rPr>
        <w:t>Journal of Development Effectiveness. 1 (2): 195-216.</w:t>
      </w:r>
    </w:p>
    <w:p w14:paraId="59D10357" w14:textId="77777777" w:rsidR="006C3959" w:rsidRPr="008174E3" w:rsidRDefault="006C3959" w:rsidP="00827E44">
      <w:pPr>
        <w:pStyle w:val="ListParagraph"/>
        <w:tabs>
          <w:tab w:val="left" w:pos="180"/>
        </w:tabs>
        <w:ind w:left="180" w:hanging="540"/>
        <w:rPr>
          <w:rFonts w:ascii="Arial" w:hAnsi="Arial" w:cs="Arial"/>
        </w:rPr>
      </w:pPr>
    </w:p>
    <w:p w14:paraId="4279FC78" w14:textId="143F40C1" w:rsidR="006C3959" w:rsidRPr="008174E3" w:rsidRDefault="006C3959" w:rsidP="00827E44">
      <w:pPr>
        <w:pStyle w:val="ListParagraph"/>
        <w:numPr>
          <w:ilvl w:val="0"/>
          <w:numId w:val="17"/>
        </w:numPr>
        <w:tabs>
          <w:tab w:val="left" w:pos="180"/>
        </w:tabs>
        <w:spacing w:before="120"/>
        <w:ind w:left="180" w:hanging="540"/>
        <w:jc w:val="both"/>
        <w:rPr>
          <w:rFonts w:ascii="Arial" w:hAnsi="Arial" w:cs="Arial"/>
        </w:rPr>
      </w:pPr>
      <w:r w:rsidRPr="008174E3">
        <w:rPr>
          <w:rFonts w:ascii="Arial" w:hAnsi="Arial" w:cs="Arial"/>
          <w:lang w:val="en-US"/>
        </w:rPr>
        <w:t>Ibarrarán J., Kluve J., Ripani L. &amp; Rosas David (2015)</w:t>
      </w:r>
      <w:r w:rsidR="00D56A15" w:rsidRPr="008174E3">
        <w:rPr>
          <w:rFonts w:ascii="Arial" w:hAnsi="Arial" w:cs="Arial"/>
          <w:lang w:val="en-US"/>
        </w:rPr>
        <w:t>.</w:t>
      </w:r>
      <w:r w:rsidRPr="008174E3">
        <w:rPr>
          <w:rFonts w:ascii="Arial" w:hAnsi="Arial" w:cs="Arial"/>
          <w:lang w:val="en-US"/>
        </w:rPr>
        <w:t xml:space="preserve"> </w:t>
      </w:r>
      <w:r w:rsidR="00D56A15" w:rsidRPr="008174E3">
        <w:rPr>
          <w:rFonts w:ascii="Arial" w:hAnsi="Arial" w:cs="Arial"/>
          <w:lang w:val="en-US"/>
        </w:rPr>
        <w:t>“</w:t>
      </w:r>
      <w:r w:rsidRPr="008174E3">
        <w:rPr>
          <w:rFonts w:ascii="Arial" w:hAnsi="Arial" w:cs="Arial"/>
          <w:lang w:val="en-US"/>
        </w:rPr>
        <w:t>Experimental Evidence on the Long-Term Impacts of a Youth Training Program</w:t>
      </w:r>
      <w:r w:rsidR="00D56A15" w:rsidRPr="008174E3">
        <w:rPr>
          <w:rFonts w:ascii="Arial" w:hAnsi="Arial" w:cs="Arial"/>
          <w:lang w:val="en-US"/>
        </w:rPr>
        <w:t>”</w:t>
      </w:r>
      <w:r w:rsidRPr="008174E3">
        <w:rPr>
          <w:rFonts w:ascii="Arial" w:hAnsi="Arial" w:cs="Arial"/>
          <w:lang w:val="en-US"/>
        </w:rPr>
        <w:t xml:space="preserve">. </w:t>
      </w:r>
      <w:r w:rsidRPr="008174E3">
        <w:rPr>
          <w:rFonts w:ascii="Arial" w:hAnsi="Arial" w:cs="Arial"/>
        </w:rPr>
        <w:t>IZA DP No.9136</w:t>
      </w:r>
      <w:r w:rsidR="000F43FC" w:rsidRPr="008174E3">
        <w:rPr>
          <w:rFonts w:ascii="Arial" w:hAnsi="Arial" w:cs="Arial"/>
        </w:rPr>
        <w:t>.</w:t>
      </w:r>
    </w:p>
    <w:p w14:paraId="5FEDAD47" w14:textId="77777777" w:rsidR="006C2022" w:rsidRPr="008174E3" w:rsidRDefault="006C2022" w:rsidP="00827E44">
      <w:pPr>
        <w:pStyle w:val="ListParagraph"/>
        <w:tabs>
          <w:tab w:val="left" w:pos="180"/>
        </w:tabs>
        <w:ind w:left="180" w:hanging="540"/>
        <w:rPr>
          <w:rFonts w:ascii="Arial" w:hAnsi="Arial" w:cs="Arial"/>
        </w:rPr>
      </w:pPr>
    </w:p>
    <w:p w14:paraId="59A3F3D2" w14:textId="5C93B962" w:rsidR="006C2022" w:rsidRPr="008174E3" w:rsidRDefault="006C2022" w:rsidP="00827E44">
      <w:pPr>
        <w:pStyle w:val="ListParagraph"/>
        <w:numPr>
          <w:ilvl w:val="0"/>
          <w:numId w:val="17"/>
        </w:numPr>
        <w:tabs>
          <w:tab w:val="left" w:pos="180"/>
        </w:tabs>
        <w:spacing w:before="120"/>
        <w:ind w:left="180" w:hanging="540"/>
        <w:jc w:val="both"/>
        <w:rPr>
          <w:rFonts w:ascii="Arial" w:hAnsi="Arial" w:cs="Arial"/>
        </w:rPr>
      </w:pPr>
      <w:r w:rsidRPr="008174E3">
        <w:rPr>
          <w:rFonts w:ascii="Arial" w:hAnsi="Arial" w:cs="Arial"/>
          <w:lang w:val="en-US"/>
        </w:rPr>
        <w:t xml:space="preserve">Jensen, R. (2012) “Do labor market opportunities affect young women's work and family decisions? </w:t>
      </w:r>
      <w:r w:rsidRPr="008174E3">
        <w:rPr>
          <w:rFonts w:ascii="Arial" w:hAnsi="Arial" w:cs="Arial"/>
        </w:rPr>
        <w:t>Experimental evidence from India”, Quarterly Journal of Economics 127 (2), 753–792.</w:t>
      </w:r>
    </w:p>
    <w:p w14:paraId="5CD75598" w14:textId="77777777" w:rsidR="009C339A" w:rsidRPr="008174E3" w:rsidRDefault="009C339A" w:rsidP="00827E44">
      <w:pPr>
        <w:pStyle w:val="ListParagraph"/>
        <w:tabs>
          <w:tab w:val="left" w:pos="180"/>
        </w:tabs>
        <w:spacing w:before="120"/>
        <w:ind w:left="180" w:hanging="540"/>
        <w:jc w:val="both"/>
        <w:rPr>
          <w:rFonts w:ascii="Arial" w:hAnsi="Arial" w:cs="Arial"/>
        </w:rPr>
      </w:pPr>
    </w:p>
    <w:p w14:paraId="4BFB856E" w14:textId="1409128D" w:rsidR="00D23ED9" w:rsidRPr="008174E3" w:rsidRDefault="00D23ED9" w:rsidP="00827E44">
      <w:pPr>
        <w:pStyle w:val="ListParagraph"/>
        <w:numPr>
          <w:ilvl w:val="0"/>
          <w:numId w:val="17"/>
        </w:numPr>
        <w:tabs>
          <w:tab w:val="left" w:pos="180"/>
        </w:tabs>
        <w:spacing w:before="120"/>
        <w:ind w:left="180" w:hanging="540"/>
        <w:jc w:val="both"/>
        <w:rPr>
          <w:rFonts w:ascii="Arial" w:hAnsi="Arial" w:cs="Arial"/>
        </w:rPr>
      </w:pPr>
      <w:r w:rsidRPr="008174E3">
        <w:rPr>
          <w:rFonts w:ascii="Arial" w:hAnsi="Arial" w:cs="Arial"/>
        </w:rPr>
        <w:t>Kaplan D. (2012) “Análisis económico del programa de Apoyo a la Capacitación y al Empleo (PACE) - FASE III (ME-L1114)”. Inter-American Development Bank, internal document.</w:t>
      </w:r>
    </w:p>
    <w:p w14:paraId="0B3AA54E" w14:textId="77777777" w:rsidR="009C339A" w:rsidRPr="008174E3" w:rsidRDefault="009C339A" w:rsidP="00827E44">
      <w:pPr>
        <w:pStyle w:val="ListParagraph"/>
        <w:tabs>
          <w:tab w:val="left" w:pos="180"/>
        </w:tabs>
        <w:spacing w:before="120"/>
        <w:ind w:left="180" w:hanging="540"/>
        <w:jc w:val="both"/>
        <w:rPr>
          <w:rFonts w:ascii="Arial" w:hAnsi="Arial" w:cs="Arial"/>
        </w:rPr>
      </w:pPr>
    </w:p>
    <w:p w14:paraId="63E45ABB" w14:textId="043FF6A1" w:rsidR="00D23ED9" w:rsidRPr="008174E3" w:rsidRDefault="00D23ED9" w:rsidP="00827E44">
      <w:pPr>
        <w:pStyle w:val="ListParagraph"/>
        <w:numPr>
          <w:ilvl w:val="0"/>
          <w:numId w:val="17"/>
        </w:numPr>
        <w:tabs>
          <w:tab w:val="left" w:pos="180"/>
        </w:tabs>
        <w:spacing w:before="120"/>
        <w:ind w:left="180" w:hanging="540"/>
        <w:jc w:val="both"/>
        <w:rPr>
          <w:rFonts w:ascii="Arial" w:hAnsi="Arial" w:cs="Arial"/>
        </w:rPr>
      </w:pPr>
      <w:r w:rsidRPr="008174E3">
        <w:rPr>
          <w:rFonts w:ascii="Arial" w:hAnsi="Arial" w:cs="Arial"/>
          <w:lang w:val="en-US"/>
        </w:rPr>
        <w:t xml:space="preserve">Kluve J. (2014). “Youth labor market interventions Comprehensive programs that focus on skills can reduce unemployment and upgrade skills in OECD countries”. </w:t>
      </w:r>
      <w:r w:rsidRPr="008174E3">
        <w:rPr>
          <w:rFonts w:ascii="Arial" w:hAnsi="Arial" w:cs="Arial"/>
        </w:rPr>
        <w:t>Youth labor market interventions. IZA World of Labor 2014: 106</w:t>
      </w:r>
      <w:r w:rsidR="000F43FC" w:rsidRPr="008174E3">
        <w:rPr>
          <w:rFonts w:ascii="Arial" w:hAnsi="Arial" w:cs="Arial"/>
        </w:rPr>
        <w:t>.</w:t>
      </w:r>
    </w:p>
    <w:p w14:paraId="4225B497" w14:textId="77777777" w:rsidR="009E75A1" w:rsidRPr="008174E3" w:rsidRDefault="009E75A1" w:rsidP="00827E44">
      <w:pPr>
        <w:pStyle w:val="ListParagraph"/>
        <w:tabs>
          <w:tab w:val="left" w:pos="180"/>
        </w:tabs>
        <w:spacing w:before="120"/>
        <w:ind w:left="180" w:hanging="540"/>
        <w:jc w:val="both"/>
        <w:rPr>
          <w:rFonts w:ascii="Arial" w:hAnsi="Arial" w:cs="Arial"/>
        </w:rPr>
      </w:pPr>
    </w:p>
    <w:p w14:paraId="5ED1B3F6" w14:textId="77777777" w:rsidR="00E12DB8" w:rsidRPr="008174E3" w:rsidRDefault="009E75A1" w:rsidP="00E12DB8">
      <w:pPr>
        <w:pStyle w:val="ListParagraph"/>
        <w:numPr>
          <w:ilvl w:val="0"/>
          <w:numId w:val="17"/>
        </w:numPr>
        <w:tabs>
          <w:tab w:val="left" w:pos="180"/>
        </w:tabs>
        <w:spacing w:before="120"/>
        <w:ind w:left="180" w:hanging="540"/>
        <w:jc w:val="both"/>
        <w:rPr>
          <w:rFonts w:ascii="Arial" w:hAnsi="Arial" w:cs="Arial"/>
          <w:lang w:val="en-US"/>
        </w:rPr>
      </w:pPr>
      <w:r w:rsidRPr="008174E3">
        <w:rPr>
          <w:rFonts w:ascii="Arial" w:hAnsi="Arial" w:cs="Arial"/>
          <w:lang w:val="en-US"/>
        </w:rPr>
        <w:lastRenderedPageBreak/>
        <w:t>Kluve J. (2016). “A review of the effectiveness of Active Labour Market Programmes with focus on Latin America and the Caribbean”. Research Department Working Paper No. 9. International Labor Office. Research Dept.</w:t>
      </w:r>
    </w:p>
    <w:p w14:paraId="75EAAACF" w14:textId="77777777" w:rsidR="00E12DB8" w:rsidRPr="008174E3" w:rsidRDefault="00E12DB8" w:rsidP="00E12DB8">
      <w:pPr>
        <w:pStyle w:val="ListParagraph"/>
        <w:rPr>
          <w:rFonts w:ascii="Arial" w:hAnsi="Arial" w:cs="Arial"/>
          <w:lang w:val="en-US"/>
        </w:rPr>
      </w:pPr>
    </w:p>
    <w:p w14:paraId="5EEB743E" w14:textId="17B39116" w:rsidR="00E12DB8" w:rsidRPr="008174E3" w:rsidRDefault="00E12DB8" w:rsidP="00E12DB8">
      <w:pPr>
        <w:pStyle w:val="ListParagraph"/>
        <w:numPr>
          <w:ilvl w:val="0"/>
          <w:numId w:val="17"/>
        </w:numPr>
        <w:tabs>
          <w:tab w:val="left" w:pos="180"/>
        </w:tabs>
        <w:spacing w:before="120"/>
        <w:ind w:left="180" w:hanging="540"/>
        <w:jc w:val="both"/>
        <w:rPr>
          <w:rFonts w:ascii="Arial" w:hAnsi="Arial" w:cs="Arial"/>
          <w:lang w:val="en-US"/>
        </w:rPr>
      </w:pPr>
      <w:r w:rsidRPr="008174E3">
        <w:rPr>
          <w:rFonts w:ascii="Arial" w:hAnsi="Arial" w:cs="Arial"/>
          <w:lang w:val="en-US"/>
        </w:rPr>
        <w:t>Mazza, J. (2012). Fast Tracking Jobs: Advances and Next Steps in Labor Intermediation Services in Latin America and the Caribbean, Inter-American Development Bank, Washington, DC</w:t>
      </w:r>
      <w:r w:rsidRPr="008174E3">
        <w:rPr>
          <w:rFonts w:ascii="FdjddrPhymttWhwctvGalliardStd-R" w:eastAsia="Batang" w:hAnsi="FdjddrPhymttWhwctvGalliardStd-R" w:cs="FdjddrPhymttWhwctvGalliardStd-R"/>
          <w:sz w:val="18"/>
          <w:szCs w:val="18"/>
          <w:lang w:val="en-US" w:eastAsia="en-US"/>
        </w:rPr>
        <w:t>.</w:t>
      </w:r>
    </w:p>
    <w:p w14:paraId="40FB8BEC" w14:textId="77777777" w:rsidR="009E75A1" w:rsidRPr="008174E3" w:rsidRDefault="009E75A1" w:rsidP="00827E44">
      <w:pPr>
        <w:pStyle w:val="ListParagraph"/>
        <w:tabs>
          <w:tab w:val="left" w:pos="180"/>
        </w:tabs>
        <w:ind w:left="180" w:hanging="540"/>
        <w:rPr>
          <w:rFonts w:ascii="Arial" w:hAnsi="Arial" w:cs="Arial"/>
          <w:lang w:val="en-US"/>
        </w:rPr>
      </w:pPr>
    </w:p>
    <w:p w14:paraId="045A2F16" w14:textId="709E06BC" w:rsidR="009E75A1" w:rsidRPr="008174E3" w:rsidRDefault="009E75A1" w:rsidP="00827E44">
      <w:pPr>
        <w:pStyle w:val="ListParagraph"/>
        <w:numPr>
          <w:ilvl w:val="0"/>
          <w:numId w:val="17"/>
        </w:numPr>
        <w:tabs>
          <w:tab w:val="left" w:pos="180"/>
        </w:tabs>
        <w:spacing w:before="120"/>
        <w:ind w:left="180" w:hanging="540"/>
        <w:jc w:val="both"/>
        <w:rPr>
          <w:rFonts w:ascii="Arial" w:hAnsi="Arial" w:cs="Arial"/>
          <w:lang w:val="en-US"/>
        </w:rPr>
      </w:pPr>
      <w:r w:rsidRPr="008174E3">
        <w:rPr>
          <w:rFonts w:ascii="Arial" w:hAnsi="Arial" w:cs="Arial"/>
          <w:lang w:val="en-US"/>
        </w:rPr>
        <w:t xml:space="preserve">McKenzie </w:t>
      </w:r>
      <w:r w:rsidR="006C2022" w:rsidRPr="008174E3">
        <w:rPr>
          <w:rFonts w:ascii="Arial" w:hAnsi="Arial" w:cs="Arial"/>
          <w:lang w:val="en-US"/>
        </w:rPr>
        <w:t>D. (201</w:t>
      </w:r>
      <w:r w:rsidR="00442FFB" w:rsidRPr="008174E3">
        <w:rPr>
          <w:rFonts w:ascii="Arial" w:hAnsi="Arial" w:cs="Arial"/>
          <w:lang w:val="en-US"/>
        </w:rPr>
        <w:t>7</w:t>
      </w:r>
      <w:r w:rsidR="006C2022" w:rsidRPr="008174E3">
        <w:rPr>
          <w:rFonts w:ascii="Arial" w:hAnsi="Arial" w:cs="Arial"/>
          <w:lang w:val="en-US"/>
        </w:rPr>
        <w:t>). “How effective Are Active Labor Market Policies in Development Countries? A</w:t>
      </w:r>
      <w:r w:rsidR="00E12DB8" w:rsidRPr="008174E3">
        <w:rPr>
          <w:rFonts w:ascii="Arial" w:hAnsi="Arial" w:cs="Arial"/>
          <w:lang w:val="en-US"/>
        </w:rPr>
        <w:t xml:space="preserve"> </w:t>
      </w:r>
      <w:r w:rsidR="006C2022" w:rsidRPr="008174E3">
        <w:rPr>
          <w:rFonts w:ascii="Arial" w:hAnsi="Arial" w:cs="Arial"/>
          <w:lang w:val="en-US"/>
        </w:rPr>
        <w:t xml:space="preserve">critical Review of Recent Evidence”. Working Paper. World Bank. </w:t>
      </w:r>
    </w:p>
    <w:p w14:paraId="72C5A688" w14:textId="77777777" w:rsidR="009929A0" w:rsidRPr="008174E3" w:rsidRDefault="009929A0" w:rsidP="00827E44">
      <w:pPr>
        <w:pStyle w:val="ListParagraph"/>
        <w:tabs>
          <w:tab w:val="left" w:pos="180"/>
        </w:tabs>
        <w:ind w:left="180" w:hanging="540"/>
        <w:rPr>
          <w:rFonts w:ascii="Arial" w:hAnsi="Arial" w:cs="Arial"/>
          <w:lang w:val="en-US"/>
        </w:rPr>
      </w:pPr>
    </w:p>
    <w:p w14:paraId="2392B3E2" w14:textId="77777777" w:rsidR="009929A0" w:rsidRPr="008174E3" w:rsidRDefault="009929A0" w:rsidP="00827E44">
      <w:pPr>
        <w:pStyle w:val="ListParagraph"/>
        <w:numPr>
          <w:ilvl w:val="0"/>
          <w:numId w:val="17"/>
        </w:numPr>
        <w:tabs>
          <w:tab w:val="left" w:pos="180"/>
        </w:tabs>
        <w:spacing w:before="120"/>
        <w:ind w:left="180" w:hanging="540"/>
        <w:jc w:val="both"/>
        <w:rPr>
          <w:rFonts w:ascii="Arial" w:hAnsi="Arial" w:cs="Arial"/>
        </w:rPr>
      </w:pPr>
      <w:r w:rsidRPr="008174E3">
        <w:rPr>
          <w:rFonts w:ascii="Arial" w:hAnsi="Arial" w:cs="Arial"/>
          <w:lang w:val="en-US"/>
        </w:rPr>
        <w:t xml:space="preserve">Ñopo (2012). “New century, Old Disparities: gender and ethnic earnings gaps in Latin America and the Caribbean”. </w:t>
      </w:r>
      <w:r w:rsidRPr="008174E3">
        <w:rPr>
          <w:rFonts w:ascii="Arial" w:hAnsi="Arial" w:cs="Arial"/>
        </w:rPr>
        <w:t>Inter-American Development Bank. Washington, DC.</w:t>
      </w:r>
    </w:p>
    <w:p w14:paraId="4E0B9DF9" w14:textId="77777777" w:rsidR="009929A0" w:rsidRPr="008174E3" w:rsidRDefault="009929A0" w:rsidP="00827E44">
      <w:pPr>
        <w:pStyle w:val="ListParagraph"/>
        <w:tabs>
          <w:tab w:val="left" w:pos="180"/>
        </w:tabs>
        <w:spacing w:before="120"/>
        <w:ind w:left="180" w:hanging="540"/>
        <w:jc w:val="both"/>
        <w:rPr>
          <w:rFonts w:ascii="Arial" w:hAnsi="Arial" w:cs="Arial"/>
        </w:rPr>
      </w:pPr>
    </w:p>
    <w:p w14:paraId="2EB82E21" w14:textId="60C8C9AF" w:rsidR="009929A0" w:rsidRPr="008174E3" w:rsidRDefault="009929A0" w:rsidP="00827E44">
      <w:pPr>
        <w:pStyle w:val="ListParagraph"/>
        <w:numPr>
          <w:ilvl w:val="0"/>
          <w:numId w:val="17"/>
        </w:numPr>
        <w:tabs>
          <w:tab w:val="left" w:pos="180"/>
        </w:tabs>
        <w:spacing w:before="120"/>
        <w:ind w:left="180" w:hanging="540"/>
        <w:jc w:val="both"/>
        <w:rPr>
          <w:rFonts w:ascii="Arial" w:hAnsi="Arial" w:cs="Arial"/>
        </w:rPr>
      </w:pPr>
      <w:r w:rsidRPr="008174E3">
        <w:rPr>
          <w:rFonts w:ascii="Arial" w:hAnsi="Arial" w:cs="Arial"/>
          <w:lang w:val="en-US"/>
        </w:rPr>
        <w:t xml:space="preserve">Nunn A. (2013). “Review of Performance Management in Public Employment Services”. </w:t>
      </w:r>
      <w:r w:rsidRPr="008174E3">
        <w:rPr>
          <w:rFonts w:ascii="Arial" w:hAnsi="Arial" w:cs="Arial"/>
        </w:rPr>
        <w:t>European Commission, Brussels.</w:t>
      </w:r>
    </w:p>
    <w:p w14:paraId="6D954EBD" w14:textId="77777777" w:rsidR="00894E19" w:rsidRPr="008174E3" w:rsidRDefault="00894E19" w:rsidP="00894E19">
      <w:pPr>
        <w:pStyle w:val="ListParagraph"/>
        <w:rPr>
          <w:rFonts w:ascii="Arial" w:hAnsi="Arial" w:cs="Arial"/>
        </w:rPr>
      </w:pPr>
    </w:p>
    <w:p w14:paraId="11EE3364" w14:textId="46884712" w:rsidR="00894E19" w:rsidRPr="008174E3" w:rsidRDefault="00894E19" w:rsidP="00894E19">
      <w:pPr>
        <w:pStyle w:val="ListParagraph"/>
        <w:numPr>
          <w:ilvl w:val="0"/>
          <w:numId w:val="17"/>
        </w:numPr>
        <w:tabs>
          <w:tab w:val="left" w:pos="180"/>
        </w:tabs>
        <w:spacing w:before="120"/>
        <w:ind w:left="180" w:hanging="540"/>
        <w:jc w:val="both"/>
        <w:rPr>
          <w:rFonts w:ascii="Arial" w:hAnsi="Arial" w:cs="Arial"/>
          <w:lang w:val="en-US"/>
        </w:rPr>
      </w:pPr>
      <w:r w:rsidRPr="008174E3">
        <w:rPr>
          <w:rFonts w:ascii="Arial" w:hAnsi="Arial" w:cs="Arial"/>
          <w:lang w:val="en-US"/>
        </w:rPr>
        <w:t>OECD (2017). “Taxing Wages: special feature: Taxation and Skills”. OECD Publishing, Paris.</w:t>
      </w:r>
    </w:p>
    <w:p w14:paraId="22DEF178" w14:textId="77777777" w:rsidR="009E75A1" w:rsidRPr="008174E3" w:rsidRDefault="009E75A1" w:rsidP="00827E44">
      <w:pPr>
        <w:pStyle w:val="ListParagraph"/>
        <w:tabs>
          <w:tab w:val="left" w:pos="180"/>
        </w:tabs>
        <w:spacing w:before="120"/>
        <w:ind w:left="180" w:hanging="540"/>
        <w:jc w:val="both"/>
        <w:rPr>
          <w:rFonts w:ascii="Arial" w:hAnsi="Arial" w:cs="Arial"/>
          <w:lang w:val="en-US"/>
        </w:rPr>
      </w:pPr>
    </w:p>
    <w:p w14:paraId="289A4455" w14:textId="4D256503" w:rsidR="009E75A1" w:rsidRPr="008174E3" w:rsidRDefault="009E75A1" w:rsidP="00827E44">
      <w:pPr>
        <w:pStyle w:val="ListParagraph"/>
        <w:numPr>
          <w:ilvl w:val="0"/>
          <w:numId w:val="17"/>
        </w:numPr>
        <w:tabs>
          <w:tab w:val="left" w:pos="180"/>
        </w:tabs>
        <w:spacing w:before="120"/>
        <w:ind w:left="180" w:hanging="540"/>
        <w:jc w:val="both"/>
        <w:rPr>
          <w:rFonts w:ascii="Arial" w:hAnsi="Arial" w:cs="Arial"/>
          <w:lang w:val="en-US"/>
        </w:rPr>
      </w:pPr>
      <w:r w:rsidRPr="008174E3">
        <w:rPr>
          <w:rFonts w:ascii="Arial" w:hAnsi="Arial" w:cs="Arial"/>
          <w:lang w:val="en-US"/>
        </w:rPr>
        <w:t xml:space="preserve">Pignati C (2016). “Do public employment services improve employment </w:t>
      </w:r>
      <w:r w:rsidR="00C541F1" w:rsidRPr="008174E3">
        <w:rPr>
          <w:rFonts w:ascii="Arial" w:hAnsi="Arial" w:cs="Arial"/>
          <w:lang w:val="en-US"/>
        </w:rPr>
        <w:t>outcomes?</w:t>
      </w:r>
      <w:r w:rsidRPr="008174E3">
        <w:rPr>
          <w:rFonts w:ascii="Arial" w:hAnsi="Arial" w:cs="Arial"/>
          <w:lang w:val="en-US"/>
        </w:rPr>
        <w:t xml:space="preserve"> Evidence from Colombia”. Research Department working paper; No. 10. International Labour Office. Research Dept.</w:t>
      </w:r>
    </w:p>
    <w:p w14:paraId="52F5DF2D" w14:textId="77777777" w:rsidR="0003327B" w:rsidRPr="008174E3" w:rsidRDefault="0003327B" w:rsidP="00827E44">
      <w:pPr>
        <w:pStyle w:val="ListParagraph"/>
        <w:tabs>
          <w:tab w:val="left" w:pos="180"/>
        </w:tabs>
        <w:ind w:left="180" w:hanging="540"/>
        <w:rPr>
          <w:rFonts w:ascii="Arial" w:hAnsi="Arial" w:cs="Arial"/>
          <w:lang w:val="en-US"/>
        </w:rPr>
      </w:pPr>
    </w:p>
    <w:p w14:paraId="192E8545" w14:textId="77777777" w:rsidR="00D23ED9" w:rsidRPr="008174E3" w:rsidRDefault="00D23ED9" w:rsidP="00827E44">
      <w:pPr>
        <w:pStyle w:val="ListParagraph"/>
        <w:numPr>
          <w:ilvl w:val="0"/>
          <w:numId w:val="17"/>
        </w:numPr>
        <w:tabs>
          <w:tab w:val="left" w:pos="180"/>
        </w:tabs>
        <w:spacing w:before="120"/>
        <w:ind w:left="180" w:hanging="540"/>
        <w:jc w:val="both"/>
        <w:rPr>
          <w:rFonts w:ascii="Arial" w:hAnsi="Arial" w:cs="Arial"/>
        </w:rPr>
      </w:pPr>
      <w:r w:rsidRPr="008174E3">
        <w:rPr>
          <w:rFonts w:ascii="Arial" w:hAnsi="Arial" w:cs="Arial"/>
        </w:rPr>
        <w:t xml:space="preserve">Van Den Berg, G &amp; Van Der Klaauw B (2006). </w:t>
      </w:r>
      <w:r w:rsidRPr="008174E3">
        <w:rPr>
          <w:rFonts w:ascii="Arial" w:hAnsi="Arial" w:cs="Arial"/>
          <w:lang w:val="en-US"/>
        </w:rPr>
        <w:t xml:space="preserve">“Counseling and Monitoring of Unemployed Workers: Theory and Evidence from a Controlled Social Experiment”. </w:t>
      </w:r>
      <w:r w:rsidRPr="008174E3">
        <w:rPr>
          <w:rFonts w:ascii="Arial" w:hAnsi="Arial" w:cs="Arial"/>
        </w:rPr>
        <w:t>International Economic Review, Vol. 47, No. 3.</w:t>
      </w:r>
    </w:p>
    <w:p w14:paraId="28BB57CC" w14:textId="77777777" w:rsidR="009C339A" w:rsidRPr="008174E3" w:rsidRDefault="009C339A" w:rsidP="00827E44">
      <w:pPr>
        <w:pStyle w:val="ListParagraph"/>
        <w:tabs>
          <w:tab w:val="left" w:pos="180"/>
        </w:tabs>
        <w:spacing w:before="120"/>
        <w:ind w:left="180" w:hanging="540"/>
        <w:jc w:val="both"/>
        <w:rPr>
          <w:rFonts w:ascii="Arial" w:hAnsi="Arial" w:cs="Arial"/>
        </w:rPr>
      </w:pPr>
    </w:p>
    <w:p w14:paraId="3623FBA3" w14:textId="77777777" w:rsidR="00D23ED9" w:rsidRPr="008174E3" w:rsidRDefault="00D23ED9" w:rsidP="00827E44">
      <w:pPr>
        <w:pStyle w:val="ListParagraph"/>
        <w:numPr>
          <w:ilvl w:val="0"/>
          <w:numId w:val="17"/>
        </w:numPr>
        <w:tabs>
          <w:tab w:val="left" w:pos="180"/>
        </w:tabs>
        <w:spacing w:before="120"/>
        <w:ind w:left="180" w:hanging="540"/>
        <w:jc w:val="both"/>
        <w:rPr>
          <w:rFonts w:ascii="Arial" w:hAnsi="Arial" w:cs="Arial"/>
        </w:rPr>
      </w:pPr>
      <w:r w:rsidRPr="008174E3">
        <w:rPr>
          <w:rFonts w:ascii="Arial" w:hAnsi="Arial" w:cs="Arial"/>
        </w:rPr>
        <w:t>Van Gamaren E. (2010). “Evaluación de Impacto del Programa de Apoyo al Empleo”. Centro de Estudios Económicos. El Colegio de México</w:t>
      </w:r>
      <w:r w:rsidR="000F43FC" w:rsidRPr="008174E3">
        <w:rPr>
          <w:rFonts w:ascii="Arial" w:hAnsi="Arial" w:cs="Arial"/>
        </w:rPr>
        <w:t>.</w:t>
      </w:r>
    </w:p>
    <w:p w14:paraId="1D795D7B" w14:textId="77777777" w:rsidR="009C339A" w:rsidRPr="008174E3" w:rsidRDefault="009C339A" w:rsidP="00827E44">
      <w:pPr>
        <w:pStyle w:val="ListParagraph"/>
        <w:tabs>
          <w:tab w:val="left" w:pos="180"/>
        </w:tabs>
        <w:spacing w:before="120"/>
        <w:ind w:left="180" w:hanging="540"/>
        <w:jc w:val="both"/>
        <w:rPr>
          <w:rFonts w:ascii="Arial" w:hAnsi="Arial" w:cs="Arial"/>
        </w:rPr>
      </w:pPr>
    </w:p>
    <w:p w14:paraId="5403F32D" w14:textId="4E89289A" w:rsidR="002060F3" w:rsidRPr="008174E3" w:rsidRDefault="00D23ED9" w:rsidP="00827E44">
      <w:pPr>
        <w:pStyle w:val="ListParagraph"/>
        <w:numPr>
          <w:ilvl w:val="0"/>
          <w:numId w:val="17"/>
        </w:numPr>
        <w:tabs>
          <w:tab w:val="left" w:pos="180"/>
        </w:tabs>
        <w:spacing w:before="120"/>
        <w:ind w:left="180" w:hanging="540"/>
        <w:jc w:val="both"/>
        <w:rPr>
          <w:rFonts w:ascii="Arial" w:hAnsi="Arial" w:cs="Arial"/>
        </w:rPr>
      </w:pPr>
      <w:r w:rsidRPr="008174E3">
        <w:rPr>
          <w:rFonts w:ascii="Arial" w:hAnsi="Arial" w:cs="Arial"/>
          <w:lang w:val="en-US"/>
        </w:rPr>
        <w:t>Vera, C (2014</w:t>
      </w:r>
      <w:r w:rsidR="009106B4" w:rsidRPr="008174E3">
        <w:rPr>
          <w:rFonts w:ascii="Arial" w:hAnsi="Arial" w:cs="Arial"/>
          <w:lang w:val="en-US"/>
        </w:rPr>
        <w:t>) “</w:t>
      </w:r>
      <w:r w:rsidRPr="008174E3">
        <w:rPr>
          <w:rFonts w:ascii="Arial" w:hAnsi="Arial" w:cs="Arial"/>
          <w:lang w:val="en-US"/>
        </w:rPr>
        <w:t>A Qu</w:t>
      </w:r>
      <w:r w:rsidR="001A5BAD" w:rsidRPr="008174E3">
        <w:rPr>
          <w:rFonts w:ascii="Arial" w:hAnsi="Arial" w:cs="Arial"/>
          <w:lang w:val="en-US"/>
        </w:rPr>
        <w:t>a</w:t>
      </w:r>
      <w:r w:rsidRPr="008174E3">
        <w:rPr>
          <w:rFonts w:ascii="Arial" w:hAnsi="Arial" w:cs="Arial"/>
          <w:lang w:val="en-US"/>
        </w:rPr>
        <w:t xml:space="preserve">si-Experimental Evaluation of the Public Employment Service: Evidence from Peru”. </w:t>
      </w:r>
      <w:r w:rsidRPr="008174E3">
        <w:rPr>
          <w:rFonts w:ascii="Arial" w:hAnsi="Arial" w:cs="Arial"/>
        </w:rPr>
        <w:t xml:space="preserve">Mimeo. </w:t>
      </w:r>
    </w:p>
    <w:p w14:paraId="3694E7BB" w14:textId="77777777" w:rsidR="002060F3" w:rsidRPr="008174E3" w:rsidRDefault="002060F3">
      <w:pPr>
        <w:rPr>
          <w:rFonts w:ascii="Arial" w:hAnsi="Arial" w:cs="Arial"/>
        </w:rPr>
      </w:pPr>
      <w:r w:rsidRPr="008174E3">
        <w:rPr>
          <w:rFonts w:ascii="Arial" w:hAnsi="Arial" w:cs="Arial"/>
        </w:rPr>
        <w:br w:type="page"/>
      </w:r>
    </w:p>
    <w:p w14:paraId="098AB75F" w14:textId="77777777" w:rsidR="00D23ED9" w:rsidRPr="008174E3" w:rsidRDefault="002060F3" w:rsidP="00831A6B">
      <w:pPr>
        <w:pStyle w:val="ListParagraph"/>
        <w:spacing w:before="120"/>
        <w:ind w:left="0"/>
        <w:jc w:val="center"/>
        <w:rPr>
          <w:rFonts w:ascii="Arial" w:hAnsi="Arial" w:cs="Arial"/>
          <w:b/>
        </w:rPr>
      </w:pPr>
      <w:r w:rsidRPr="008174E3">
        <w:rPr>
          <w:rFonts w:ascii="Arial" w:hAnsi="Arial" w:cs="Arial"/>
          <w:b/>
        </w:rPr>
        <w:lastRenderedPageBreak/>
        <w:t xml:space="preserve">Anexo </w:t>
      </w:r>
    </w:p>
    <w:p w14:paraId="29A96119" w14:textId="77777777" w:rsidR="008457CF" w:rsidRPr="008174E3" w:rsidRDefault="008457CF" w:rsidP="00831A6B">
      <w:pPr>
        <w:pStyle w:val="ListParagraph"/>
        <w:spacing w:before="120"/>
        <w:ind w:left="0"/>
        <w:jc w:val="center"/>
        <w:rPr>
          <w:rFonts w:ascii="Arial" w:hAnsi="Arial" w:cs="Arial"/>
          <w:b/>
        </w:rPr>
      </w:pPr>
    </w:p>
    <w:p w14:paraId="61FECEA7" w14:textId="1AEC6566" w:rsidR="008457CF" w:rsidRPr="008174E3" w:rsidRDefault="00827E44" w:rsidP="00F42B1D">
      <w:pPr>
        <w:jc w:val="center"/>
        <w:rPr>
          <w:rFonts w:ascii="Arial" w:hAnsi="Arial" w:cs="Arial"/>
          <w:color w:val="000000"/>
          <w:sz w:val="22"/>
          <w:lang w:eastAsia="es-ES"/>
        </w:rPr>
      </w:pPr>
      <w:r w:rsidRPr="008174E3">
        <w:rPr>
          <w:rFonts w:ascii="Arial" w:hAnsi="Arial" w:cs="Arial"/>
          <w:b/>
          <w:sz w:val="22"/>
        </w:rPr>
        <w:t>Cuadro </w:t>
      </w:r>
      <w:r w:rsidR="008457CF" w:rsidRPr="008174E3">
        <w:rPr>
          <w:rFonts w:ascii="Arial" w:hAnsi="Arial" w:cs="Arial"/>
          <w:b/>
          <w:sz w:val="22"/>
        </w:rPr>
        <w:t xml:space="preserve">A1: </w:t>
      </w:r>
      <w:r w:rsidR="00AF5196" w:rsidRPr="008174E3">
        <w:rPr>
          <w:rFonts w:ascii="Arial" w:hAnsi="Arial" w:cs="Arial"/>
          <w:b/>
          <w:sz w:val="22"/>
        </w:rPr>
        <w:t xml:space="preserve">Número de </w:t>
      </w:r>
      <w:r w:rsidR="008457CF" w:rsidRPr="008174E3">
        <w:rPr>
          <w:rFonts w:ascii="Arial" w:hAnsi="Arial" w:cs="Arial"/>
          <w:b/>
          <w:sz w:val="22"/>
        </w:rPr>
        <w:t xml:space="preserve">Beneficiarios </w:t>
      </w:r>
      <w:r w:rsidR="007D7B34" w:rsidRPr="008174E3">
        <w:rPr>
          <w:rFonts w:ascii="Arial" w:hAnsi="Arial" w:cs="Arial"/>
          <w:b/>
          <w:sz w:val="22"/>
        </w:rPr>
        <w:t xml:space="preserve">del Fortalecimiento </w:t>
      </w:r>
      <w:r w:rsidR="008457CF" w:rsidRPr="008174E3">
        <w:rPr>
          <w:rFonts w:ascii="Arial" w:hAnsi="Arial" w:cs="Arial"/>
          <w:b/>
          <w:sz w:val="22"/>
        </w:rPr>
        <w:t>de</w:t>
      </w:r>
      <w:r w:rsidR="007D7B34" w:rsidRPr="008174E3">
        <w:rPr>
          <w:rFonts w:ascii="Arial" w:hAnsi="Arial" w:cs="Arial"/>
          <w:b/>
          <w:sz w:val="22"/>
        </w:rPr>
        <w:t>l SNE</w:t>
      </w:r>
    </w:p>
    <w:tbl>
      <w:tblPr>
        <w:tblW w:w="9360" w:type="dxa"/>
        <w:jc w:val="center"/>
        <w:tblCellMar>
          <w:left w:w="70" w:type="dxa"/>
          <w:right w:w="70" w:type="dxa"/>
        </w:tblCellMar>
        <w:tblLook w:val="04A0" w:firstRow="1" w:lastRow="0" w:firstColumn="1" w:lastColumn="0" w:noHBand="0" w:noVBand="1"/>
      </w:tblPr>
      <w:tblGrid>
        <w:gridCol w:w="2610"/>
        <w:gridCol w:w="1080"/>
        <w:gridCol w:w="1170"/>
        <w:gridCol w:w="1170"/>
        <w:gridCol w:w="990"/>
        <w:gridCol w:w="1170"/>
        <w:gridCol w:w="1170"/>
      </w:tblGrid>
      <w:tr w:rsidR="008457CF" w:rsidRPr="008174E3" w14:paraId="39EDC559" w14:textId="6456331D" w:rsidTr="00184002">
        <w:trPr>
          <w:trHeight w:val="300"/>
          <w:jc w:val="center"/>
        </w:trPr>
        <w:tc>
          <w:tcPr>
            <w:tcW w:w="2610" w:type="dxa"/>
            <w:tcBorders>
              <w:top w:val="nil"/>
              <w:left w:val="nil"/>
              <w:bottom w:val="single" w:sz="4" w:space="0" w:color="auto"/>
            </w:tcBorders>
            <w:shd w:val="clear" w:color="000000" w:fill="DDEBF7"/>
            <w:noWrap/>
            <w:vAlign w:val="bottom"/>
            <w:hideMark/>
          </w:tcPr>
          <w:p w14:paraId="074ABCF4" w14:textId="72779EF6" w:rsidR="008457CF" w:rsidRPr="008174E3" w:rsidRDefault="008457CF" w:rsidP="00DE2791">
            <w:pPr>
              <w:rPr>
                <w:rFonts w:ascii="Arial" w:hAnsi="Arial" w:cs="Arial"/>
                <w:b/>
                <w:bCs/>
                <w:color w:val="000000"/>
                <w:sz w:val="20"/>
                <w:lang w:eastAsia="es-ES"/>
              </w:rPr>
            </w:pPr>
          </w:p>
        </w:tc>
        <w:tc>
          <w:tcPr>
            <w:tcW w:w="1080" w:type="dxa"/>
            <w:tcBorders>
              <w:top w:val="nil"/>
              <w:bottom w:val="single" w:sz="4" w:space="0" w:color="auto"/>
            </w:tcBorders>
            <w:shd w:val="clear" w:color="000000" w:fill="DDEBF7"/>
            <w:noWrap/>
            <w:vAlign w:val="bottom"/>
            <w:hideMark/>
          </w:tcPr>
          <w:p w14:paraId="593F9FC6" w14:textId="721A4870" w:rsidR="008457CF" w:rsidRPr="008174E3" w:rsidRDefault="008457CF" w:rsidP="00DE2791">
            <w:pPr>
              <w:jc w:val="center"/>
              <w:rPr>
                <w:rFonts w:ascii="Arial" w:hAnsi="Arial" w:cs="Arial"/>
                <w:b/>
                <w:bCs/>
                <w:color w:val="000000"/>
                <w:sz w:val="20"/>
                <w:lang w:eastAsia="es-ES"/>
              </w:rPr>
            </w:pPr>
            <w:r w:rsidRPr="008174E3">
              <w:rPr>
                <w:rFonts w:ascii="Arial" w:hAnsi="Arial" w:cs="Arial"/>
                <w:b/>
                <w:bCs/>
                <w:color w:val="000000"/>
                <w:sz w:val="20"/>
                <w:lang w:eastAsia="es-ES"/>
              </w:rPr>
              <w:t>Año 1</w:t>
            </w:r>
          </w:p>
        </w:tc>
        <w:tc>
          <w:tcPr>
            <w:tcW w:w="1170" w:type="dxa"/>
            <w:tcBorders>
              <w:top w:val="nil"/>
              <w:bottom w:val="single" w:sz="4" w:space="0" w:color="auto"/>
            </w:tcBorders>
            <w:shd w:val="clear" w:color="000000" w:fill="DDEBF7"/>
            <w:noWrap/>
            <w:vAlign w:val="bottom"/>
            <w:hideMark/>
          </w:tcPr>
          <w:p w14:paraId="78E1658A" w14:textId="7559E14D" w:rsidR="008457CF" w:rsidRPr="008174E3" w:rsidRDefault="008457CF" w:rsidP="00DE2791">
            <w:pPr>
              <w:jc w:val="center"/>
              <w:rPr>
                <w:rFonts w:ascii="Arial" w:hAnsi="Arial" w:cs="Arial"/>
                <w:b/>
                <w:bCs/>
                <w:color w:val="000000"/>
                <w:sz w:val="20"/>
                <w:lang w:eastAsia="es-ES"/>
              </w:rPr>
            </w:pPr>
            <w:r w:rsidRPr="008174E3">
              <w:rPr>
                <w:rFonts w:ascii="Arial" w:hAnsi="Arial" w:cs="Arial"/>
                <w:b/>
                <w:bCs/>
                <w:color w:val="000000"/>
                <w:sz w:val="20"/>
                <w:lang w:eastAsia="es-ES"/>
              </w:rPr>
              <w:t>Año 2</w:t>
            </w:r>
          </w:p>
        </w:tc>
        <w:tc>
          <w:tcPr>
            <w:tcW w:w="1170" w:type="dxa"/>
            <w:tcBorders>
              <w:top w:val="nil"/>
              <w:bottom w:val="single" w:sz="4" w:space="0" w:color="auto"/>
            </w:tcBorders>
            <w:shd w:val="clear" w:color="000000" w:fill="DDEBF7"/>
            <w:noWrap/>
            <w:vAlign w:val="bottom"/>
            <w:hideMark/>
          </w:tcPr>
          <w:p w14:paraId="7A014D93" w14:textId="1425477A" w:rsidR="008457CF" w:rsidRPr="008174E3" w:rsidRDefault="008457CF" w:rsidP="00DE2791">
            <w:pPr>
              <w:jc w:val="center"/>
              <w:rPr>
                <w:rFonts w:ascii="Arial" w:hAnsi="Arial" w:cs="Arial"/>
                <w:b/>
                <w:bCs/>
                <w:color w:val="000000"/>
                <w:sz w:val="20"/>
                <w:lang w:eastAsia="es-ES"/>
              </w:rPr>
            </w:pPr>
            <w:r w:rsidRPr="008174E3">
              <w:rPr>
                <w:rFonts w:ascii="Arial" w:hAnsi="Arial" w:cs="Arial"/>
                <w:b/>
                <w:bCs/>
                <w:color w:val="000000"/>
                <w:sz w:val="20"/>
                <w:lang w:eastAsia="es-ES"/>
              </w:rPr>
              <w:t>Año 3</w:t>
            </w:r>
          </w:p>
        </w:tc>
        <w:tc>
          <w:tcPr>
            <w:tcW w:w="990" w:type="dxa"/>
            <w:tcBorders>
              <w:top w:val="nil"/>
              <w:bottom w:val="single" w:sz="4" w:space="0" w:color="auto"/>
            </w:tcBorders>
            <w:shd w:val="clear" w:color="000000" w:fill="DDEBF7"/>
            <w:noWrap/>
            <w:vAlign w:val="bottom"/>
            <w:hideMark/>
          </w:tcPr>
          <w:p w14:paraId="1F09F691" w14:textId="7533DA93" w:rsidR="008457CF" w:rsidRPr="008174E3" w:rsidRDefault="008457CF" w:rsidP="00DE2791">
            <w:pPr>
              <w:jc w:val="center"/>
              <w:rPr>
                <w:rFonts w:ascii="Arial" w:hAnsi="Arial" w:cs="Arial"/>
                <w:b/>
                <w:bCs/>
                <w:color w:val="000000"/>
                <w:sz w:val="20"/>
                <w:lang w:eastAsia="es-ES"/>
              </w:rPr>
            </w:pPr>
            <w:r w:rsidRPr="008174E3">
              <w:rPr>
                <w:rFonts w:ascii="Arial" w:hAnsi="Arial" w:cs="Arial"/>
                <w:b/>
                <w:bCs/>
                <w:color w:val="000000"/>
                <w:sz w:val="20"/>
                <w:lang w:eastAsia="es-ES"/>
              </w:rPr>
              <w:t>Año 4</w:t>
            </w:r>
          </w:p>
        </w:tc>
        <w:tc>
          <w:tcPr>
            <w:tcW w:w="1170" w:type="dxa"/>
            <w:tcBorders>
              <w:top w:val="nil"/>
              <w:bottom w:val="single" w:sz="4" w:space="0" w:color="auto"/>
            </w:tcBorders>
            <w:shd w:val="clear" w:color="000000" w:fill="DDEBF7"/>
            <w:noWrap/>
            <w:vAlign w:val="bottom"/>
            <w:hideMark/>
          </w:tcPr>
          <w:p w14:paraId="5C44DD62" w14:textId="61552FA3" w:rsidR="008457CF" w:rsidRPr="008174E3" w:rsidRDefault="008457CF" w:rsidP="00DE2791">
            <w:pPr>
              <w:jc w:val="center"/>
              <w:rPr>
                <w:rFonts w:ascii="Arial" w:hAnsi="Arial" w:cs="Arial"/>
                <w:b/>
                <w:bCs/>
                <w:color w:val="000000"/>
                <w:sz w:val="20"/>
                <w:lang w:eastAsia="es-ES"/>
              </w:rPr>
            </w:pPr>
            <w:r w:rsidRPr="008174E3">
              <w:rPr>
                <w:rFonts w:ascii="Arial" w:hAnsi="Arial" w:cs="Arial"/>
                <w:b/>
                <w:bCs/>
                <w:color w:val="000000"/>
                <w:sz w:val="20"/>
                <w:lang w:eastAsia="es-ES"/>
              </w:rPr>
              <w:t>Año 5</w:t>
            </w:r>
          </w:p>
        </w:tc>
        <w:tc>
          <w:tcPr>
            <w:tcW w:w="1170" w:type="dxa"/>
            <w:tcBorders>
              <w:top w:val="nil"/>
              <w:bottom w:val="single" w:sz="4" w:space="0" w:color="auto"/>
            </w:tcBorders>
            <w:shd w:val="clear" w:color="000000" w:fill="DDEBF7"/>
            <w:noWrap/>
            <w:vAlign w:val="bottom"/>
            <w:hideMark/>
          </w:tcPr>
          <w:p w14:paraId="58EDE818" w14:textId="1C11722F" w:rsidR="008457CF" w:rsidRPr="008174E3" w:rsidRDefault="008457CF" w:rsidP="00DE2791">
            <w:pPr>
              <w:jc w:val="center"/>
              <w:rPr>
                <w:rFonts w:ascii="Arial" w:hAnsi="Arial" w:cs="Arial"/>
                <w:b/>
                <w:bCs/>
                <w:color w:val="000000"/>
                <w:sz w:val="20"/>
                <w:lang w:eastAsia="es-ES"/>
              </w:rPr>
            </w:pPr>
            <w:r w:rsidRPr="008174E3">
              <w:rPr>
                <w:rFonts w:ascii="Arial" w:hAnsi="Arial" w:cs="Arial"/>
                <w:b/>
                <w:bCs/>
                <w:color w:val="000000"/>
                <w:sz w:val="20"/>
                <w:lang w:eastAsia="es-ES"/>
              </w:rPr>
              <w:t>Total</w:t>
            </w:r>
          </w:p>
        </w:tc>
      </w:tr>
      <w:tr w:rsidR="000C1E37" w:rsidRPr="008174E3" w14:paraId="1B544627" w14:textId="37FF3821" w:rsidTr="000C1E37">
        <w:trPr>
          <w:trHeight w:val="300"/>
          <w:jc w:val="center"/>
        </w:trPr>
        <w:tc>
          <w:tcPr>
            <w:tcW w:w="2610" w:type="dxa"/>
            <w:tcBorders>
              <w:top w:val="single" w:sz="4" w:space="0" w:color="auto"/>
              <w:left w:val="nil"/>
              <w:bottom w:val="single" w:sz="4" w:space="0" w:color="auto"/>
            </w:tcBorders>
            <w:shd w:val="clear" w:color="auto" w:fill="auto"/>
            <w:noWrap/>
            <w:vAlign w:val="center"/>
            <w:hideMark/>
          </w:tcPr>
          <w:p w14:paraId="71B8BEFF" w14:textId="59F3C8A9" w:rsidR="000C1E37" w:rsidRPr="008174E3" w:rsidRDefault="000C1E37" w:rsidP="000C1E37">
            <w:pPr>
              <w:rPr>
                <w:rFonts w:ascii="Arial" w:hAnsi="Arial" w:cs="Arial"/>
                <w:color w:val="000000"/>
                <w:sz w:val="18"/>
                <w:szCs w:val="18"/>
                <w:lang w:eastAsia="es-ES"/>
              </w:rPr>
            </w:pPr>
            <w:r w:rsidRPr="008174E3">
              <w:rPr>
                <w:rFonts w:ascii="Arial" w:hAnsi="Arial" w:cs="Arial"/>
                <w:color w:val="000000"/>
                <w:sz w:val="18"/>
                <w:szCs w:val="18"/>
                <w:lang w:eastAsia="es-ES"/>
              </w:rPr>
              <w:t>Beneficiarios de Intermediación Directa</w:t>
            </w:r>
          </w:p>
        </w:tc>
        <w:tc>
          <w:tcPr>
            <w:tcW w:w="1080" w:type="dxa"/>
            <w:tcBorders>
              <w:top w:val="single" w:sz="4" w:space="0" w:color="auto"/>
              <w:bottom w:val="single" w:sz="4" w:space="0" w:color="auto"/>
            </w:tcBorders>
            <w:shd w:val="clear" w:color="auto" w:fill="auto"/>
            <w:noWrap/>
            <w:vAlign w:val="center"/>
            <w:hideMark/>
          </w:tcPr>
          <w:p w14:paraId="57842A68" w14:textId="67709E54" w:rsidR="000C1E37" w:rsidRPr="000C1E37" w:rsidRDefault="000C1E37" w:rsidP="00802D00">
            <w:pPr>
              <w:jc w:val="right"/>
              <w:rPr>
                <w:rFonts w:ascii="Arial" w:hAnsi="Arial" w:cs="Arial"/>
                <w:sz w:val="18"/>
                <w:szCs w:val="18"/>
              </w:rPr>
            </w:pPr>
            <w:r w:rsidRPr="000C1E37">
              <w:rPr>
                <w:rFonts w:ascii="Arial" w:hAnsi="Arial" w:cs="Arial"/>
                <w:sz w:val="18"/>
                <w:szCs w:val="18"/>
              </w:rPr>
              <w:t xml:space="preserve"> 500</w:t>
            </w:r>
            <w:r>
              <w:rPr>
                <w:rFonts w:ascii="Arial" w:hAnsi="Arial" w:cs="Arial"/>
                <w:sz w:val="18"/>
                <w:szCs w:val="18"/>
              </w:rPr>
              <w:t>.</w:t>
            </w:r>
            <w:r w:rsidRPr="000C1E37">
              <w:rPr>
                <w:rFonts w:ascii="Arial" w:hAnsi="Arial" w:cs="Arial"/>
                <w:sz w:val="18"/>
                <w:szCs w:val="18"/>
              </w:rPr>
              <w:t xml:space="preserve">000 </w:t>
            </w:r>
          </w:p>
        </w:tc>
        <w:tc>
          <w:tcPr>
            <w:tcW w:w="1170" w:type="dxa"/>
            <w:tcBorders>
              <w:top w:val="single" w:sz="4" w:space="0" w:color="auto"/>
              <w:bottom w:val="single" w:sz="4" w:space="0" w:color="auto"/>
            </w:tcBorders>
            <w:shd w:val="clear" w:color="auto" w:fill="auto"/>
            <w:noWrap/>
            <w:vAlign w:val="center"/>
            <w:hideMark/>
          </w:tcPr>
          <w:p w14:paraId="045BB5AC" w14:textId="795D6378" w:rsidR="000C1E37" w:rsidRPr="000C1E37" w:rsidRDefault="000C1E37" w:rsidP="00802D00">
            <w:pPr>
              <w:jc w:val="right"/>
              <w:rPr>
                <w:rFonts w:ascii="Arial" w:hAnsi="Arial" w:cs="Arial"/>
                <w:sz w:val="18"/>
                <w:szCs w:val="18"/>
              </w:rPr>
            </w:pPr>
            <w:r w:rsidRPr="000C1E37">
              <w:rPr>
                <w:rFonts w:ascii="Arial" w:hAnsi="Arial" w:cs="Arial"/>
                <w:sz w:val="18"/>
                <w:szCs w:val="18"/>
              </w:rPr>
              <w:t xml:space="preserve"> 500</w:t>
            </w:r>
            <w:r>
              <w:rPr>
                <w:rFonts w:ascii="Arial" w:hAnsi="Arial" w:cs="Arial"/>
                <w:sz w:val="18"/>
                <w:szCs w:val="18"/>
              </w:rPr>
              <w:t>.</w:t>
            </w:r>
            <w:r w:rsidRPr="000C1E37">
              <w:rPr>
                <w:rFonts w:ascii="Arial" w:hAnsi="Arial" w:cs="Arial"/>
                <w:sz w:val="18"/>
                <w:szCs w:val="18"/>
              </w:rPr>
              <w:t xml:space="preserve">000 </w:t>
            </w:r>
          </w:p>
        </w:tc>
        <w:tc>
          <w:tcPr>
            <w:tcW w:w="1170" w:type="dxa"/>
            <w:tcBorders>
              <w:top w:val="single" w:sz="4" w:space="0" w:color="auto"/>
              <w:bottom w:val="single" w:sz="4" w:space="0" w:color="auto"/>
            </w:tcBorders>
            <w:shd w:val="clear" w:color="auto" w:fill="auto"/>
            <w:noWrap/>
            <w:vAlign w:val="center"/>
            <w:hideMark/>
          </w:tcPr>
          <w:p w14:paraId="4D552B73" w14:textId="24247B62" w:rsidR="000C1E37" w:rsidRPr="000C1E37" w:rsidRDefault="000C1E37" w:rsidP="00802D00">
            <w:pPr>
              <w:jc w:val="right"/>
              <w:rPr>
                <w:rFonts w:ascii="Arial" w:hAnsi="Arial" w:cs="Arial"/>
                <w:sz w:val="18"/>
                <w:szCs w:val="18"/>
              </w:rPr>
            </w:pPr>
            <w:r w:rsidRPr="000C1E37">
              <w:rPr>
                <w:rFonts w:ascii="Arial" w:hAnsi="Arial" w:cs="Arial"/>
                <w:sz w:val="18"/>
                <w:szCs w:val="18"/>
              </w:rPr>
              <w:t xml:space="preserve"> 500</w:t>
            </w:r>
            <w:r>
              <w:rPr>
                <w:rFonts w:ascii="Arial" w:hAnsi="Arial" w:cs="Arial"/>
                <w:sz w:val="18"/>
                <w:szCs w:val="18"/>
              </w:rPr>
              <w:t>.</w:t>
            </w:r>
            <w:r w:rsidRPr="000C1E37">
              <w:rPr>
                <w:rFonts w:ascii="Arial" w:hAnsi="Arial" w:cs="Arial"/>
                <w:sz w:val="18"/>
                <w:szCs w:val="18"/>
              </w:rPr>
              <w:t xml:space="preserve">000 </w:t>
            </w:r>
          </w:p>
        </w:tc>
        <w:tc>
          <w:tcPr>
            <w:tcW w:w="990" w:type="dxa"/>
            <w:tcBorders>
              <w:top w:val="single" w:sz="4" w:space="0" w:color="auto"/>
              <w:bottom w:val="single" w:sz="4" w:space="0" w:color="auto"/>
            </w:tcBorders>
            <w:shd w:val="clear" w:color="auto" w:fill="auto"/>
            <w:noWrap/>
            <w:vAlign w:val="center"/>
            <w:hideMark/>
          </w:tcPr>
          <w:p w14:paraId="5770BBCF" w14:textId="190E7C1B" w:rsidR="000C1E37" w:rsidRPr="000C1E37" w:rsidRDefault="000C1E37" w:rsidP="00802D00">
            <w:pPr>
              <w:jc w:val="right"/>
              <w:rPr>
                <w:rFonts w:ascii="Arial" w:hAnsi="Arial" w:cs="Arial"/>
                <w:sz w:val="18"/>
                <w:szCs w:val="18"/>
              </w:rPr>
            </w:pPr>
            <w:r w:rsidRPr="000C1E37">
              <w:rPr>
                <w:rFonts w:ascii="Arial" w:hAnsi="Arial" w:cs="Arial"/>
                <w:sz w:val="18"/>
                <w:szCs w:val="18"/>
              </w:rPr>
              <w:t xml:space="preserve"> 500</w:t>
            </w:r>
            <w:r>
              <w:rPr>
                <w:rFonts w:ascii="Arial" w:hAnsi="Arial" w:cs="Arial"/>
                <w:sz w:val="18"/>
                <w:szCs w:val="18"/>
              </w:rPr>
              <w:t>.</w:t>
            </w:r>
            <w:r w:rsidRPr="000C1E37">
              <w:rPr>
                <w:rFonts w:ascii="Arial" w:hAnsi="Arial" w:cs="Arial"/>
                <w:sz w:val="18"/>
                <w:szCs w:val="18"/>
              </w:rPr>
              <w:t xml:space="preserve">000 </w:t>
            </w:r>
          </w:p>
        </w:tc>
        <w:tc>
          <w:tcPr>
            <w:tcW w:w="1170" w:type="dxa"/>
            <w:tcBorders>
              <w:top w:val="single" w:sz="4" w:space="0" w:color="auto"/>
              <w:bottom w:val="single" w:sz="4" w:space="0" w:color="auto"/>
            </w:tcBorders>
            <w:shd w:val="clear" w:color="auto" w:fill="auto"/>
            <w:noWrap/>
            <w:vAlign w:val="center"/>
            <w:hideMark/>
          </w:tcPr>
          <w:p w14:paraId="1AE1D6A8" w14:textId="4E30642A" w:rsidR="000C1E37" w:rsidRPr="000C1E37" w:rsidRDefault="000C1E37" w:rsidP="00802D00">
            <w:pPr>
              <w:jc w:val="right"/>
              <w:rPr>
                <w:rFonts w:ascii="Arial" w:hAnsi="Arial" w:cs="Arial"/>
                <w:sz w:val="18"/>
                <w:szCs w:val="18"/>
              </w:rPr>
            </w:pPr>
            <w:r w:rsidRPr="000C1E37">
              <w:rPr>
                <w:rFonts w:ascii="Arial" w:hAnsi="Arial" w:cs="Arial"/>
                <w:sz w:val="18"/>
                <w:szCs w:val="18"/>
              </w:rPr>
              <w:t xml:space="preserve"> 500</w:t>
            </w:r>
            <w:r>
              <w:rPr>
                <w:rFonts w:ascii="Arial" w:hAnsi="Arial" w:cs="Arial"/>
                <w:sz w:val="18"/>
                <w:szCs w:val="18"/>
              </w:rPr>
              <w:t>.</w:t>
            </w:r>
            <w:r w:rsidRPr="000C1E37">
              <w:rPr>
                <w:rFonts w:ascii="Arial" w:hAnsi="Arial" w:cs="Arial"/>
                <w:sz w:val="18"/>
                <w:szCs w:val="18"/>
              </w:rPr>
              <w:t xml:space="preserve">000 </w:t>
            </w:r>
          </w:p>
        </w:tc>
        <w:tc>
          <w:tcPr>
            <w:tcW w:w="1170" w:type="dxa"/>
            <w:tcBorders>
              <w:top w:val="single" w:sz="4" w:space="0" w:color="auto"/>
              <w:bottom w:val="single" w:sz="4" w:space="0" w:color="auto"/>
            </w:tcBorders>
            <w:shd w:val="clear" w:color="auto" w:fill="auto"/>
            <w:noWrap/>
            <w:vAlign w:val="center"/>
            <w:hideMark/>
          </w:tcPr>
          <w:p w14:paraId="64F4B86E" w14:textId="66EEC0BD" w:rsidR="000C1E37" w:rsidRPr="000C1E37" w:rsidRDefault="000C1E37" w:rsidP="00802D00">
            <w:pPr>
              <w:jc w:val="right"/>
              <w:rPr>
                <w:rFonts w:ascii="Arial" w:hAnsi="Arial" w:cs="Arial"/>
                <w:sz w:val="18"/>
                <w:szCs w:val="18"/>
              </w:rPr>
            </w:pPr>
            <w:r w:rsidRPr="000C1E37">
              <w:rPr>
                <w:rFonts w:ascii="Arial" w:hAnsi="Arial" w:cs="Arial"/>
                <w:sz w:val="18"/>
                <w:szCs w:val="18"/>
              </w:rPr>
              <w:t xml:space="preserve"> 2</w:t>
            </w:r>
            <w:r>
              <w:rPr>
                <w:rFonts w:ascii="Arial" w:hAnsi="Arial" w:cs="Arial"/>
                <w:sz w:val="18"/>
                <w:szCs w:val="18"/>
              </w:rPr>
              <w:t>.</w:t>
            </w:r>
            <w:r w:rsidRPr="000C1E37">
              <w:rPr>
                <w:rFonts w:ascii="Arial" w:hAnsi="Arial" w:cs="Arial"/>
                <w:sz w:val="18"/>
                <w:szCs w:val="18"/>
              </w:rPr>
              <w:t>500</w:t>
            </w:r>
            <w:r>
              <w:rPr>
                <w:rFonts w:ascii="Arial" w:hAnsi="Arial" w:cs="Arial"/>
                <w:sz w:val="18"/>
                <w:szCs w:val="18"/>
              </w:rPr>
              <w:t>.</w:t>
            </w:r>
            <w:r w:rsidRPr="000C1E37">
              <w:rPr>
                <w:rFonts w:ascii="Arial" w:hAnsi="Arial" w:cs="Arial"/>
                <w:sz w:val="18"/>
                <w:szCs w:val="18"/>
              </w:rPr>
              <w:t xml:space="preserve">000 </w:t>
            </w:r>
          </w:p>
        </w:tc>
      </w:tr>
    </w:tbl>
    <w:p w14:paraId="0B14191E" w14:textId="301F89DE" w:rsidR="008457CF" w:rsidRPr="008174E3" w:rsidRDefault="008457CF" w:rsidP="00DE2791">
      <w:pPr>
        <w:rPr>
          <w:rFonts w:ascii="Arial" w:hAnsi="Arial" w:cs="Arial"/>
          <w:color w:val="000000"/>
          <w:sz w:val="18"/>
          <w:szCs w:val="18"/>
          <w:lang w:eastAsia="es-ES"/>
        </w:rPr>
      </w:pPr>
      <w:r w:rsidRPr="008174E3">
        <w:rPr>
          <w:rFonts w:ascii="Arial" w:hAnsi="Arial" w:cs="Arial"/>
          <w:color w:val="000000"/>
          <w:sz w:val="18"/>
          <w:szCs w:val="18"/>
          <w:lang w:eastAsia="es-ES"/>
        </w:rPr>
        <w:t>Fuente: Matriz de Resultados</w:t>
      </w:r>
      <w:r w:rsidR="00AF5196" w:rsidRPr="008174E3">
        <w:rPr>
          <w:rFonts w:ascii="Arial" w:hAnsi="Arial" w:cs="Arial"/>
          <w:color w:val="000000"/>
          <w:sz w:val="18"/>
          <w:szCs w:val="18"/>
          <w:lang w:eastAsia="es-ES"/>
        </w:rPr>
        <w:t>.</w:t>
      </w:r>
      <w:r w:rsidRPr="008174E3">
        <w:rPr>
          <w:rFonts w:ascii="Arial" w:hAnsi="Arial" w:cs="Arial"/>
          <w:color w:val="000000"/>
          <w:sz w:val="18"/>
          <w:szCs w:val="18"/>
          <w:lang w:eastAsia="es-ES"/>
        </w:rPr>
        <w:t xml:space="preserve"> </w:t>
      </w:r>
    </w:p>
    <w:p w14:paraId="1D144A4D" w14:textId="53190907" w:rsidR="008457CF" w:rsidRPr="008174E3" w:rsidRDefault="008457CF" w:rsidP="00F42B1D">
      <w:pPr>
        <w:jc w:val="center"/>
        <w:rPr>
          <w:rFonts w:ascii="Arial" w:hAnsi="Arial" w:cs="Arial"/>
          <w:b/>
        </w:rPr>
      </w:pPr>
    </w:p>
    <w:p w14:paraId="2E731A81" w14:textId="79FAA8E2" w:rsidR="008457CF" w:rsidRPr="008174E3" w:rsidRDefault="00827E44" w:rsidP="001D2029">
      <w:pPr>
        <w:jc w:val="center"/>
        <w:rPr>
          <w:rFonts w:ascii="Arial" w:hAnsi="Arial" w:cs="Arial"/>
        </w:rPr>
      </w:pPr>
      <w:r w:rsidRPr="008174E3">
        <w:rPr>
          <w:rFonts w:ascii="Arial" w:hAnsi="Arial" w:cs="Arial"/>
          <w:b/>
        </w:rPr>
        <w:t>Cuadro </w:t>
      </w:r>
      <w:r w:rsidR="008457CF" w:rsidRPr="008174E3">
        <w:rPr>
          <w:rFonts w:ascii="Arial" w:hAnsi="Arial" w:cs="Arial"/>
          <w:b/>
        </w:rPr>
        <w:t xml:space="preserve">A2: </w:t>
      </w:r>
      <w:r w:rsidR="00AF5196" w:rsidRPr="008174E3">
        <w:rPr>
          <w:rFonts w:ascii="Arial" w:hAnsi="Arial" w:cs="Arial"/>
          <w:b/>
        </w:rPr>
        <w:t xml:space="preserve">Número de </w:t>
      </w:r>
      <w:r w:rsidR="008457CF" w:rsidRPr="008174E3">
        <w:rPr>
          <w:rFonts w:ascii="Arial" w:hAnsi="Arial" w:cs="Arial"/>
          <w:b/>
        </w:rPr>
        <w:t>Beneficiarios de Capacitación Laboral en el PAE II por género</w:t>
      </w:r>
    </w:p>
    <w:tbl>
      <w:tblPr>
        <w:tblW w:w="9450" w:type="dxa"/>
        <w:tblInd w:w="70" w:type="dxa"/>
        <w:tblCellMar>
          <w:left w:w="70" w:type="dxa"/>
          <w:right w:w="70" w:type="dxa"/>
        </w:tblCellMar>
        <w:tblLook w:val="04A0" w:firstRow="1" w:lastRow="0" w:firstColumn="1" w:lastColumn="0" w:noHBand="0" w:noVBand="1"/>
      </w:tblPr>
      <w:tblGrid>
        <w:gridCol w:w="2700"/>
        <w:gridCol w:w="1080"/>
        <w:gridCol w:w="1170"/>
        <w:gridCol w:w="1170"/>
        <w:gridCol w:w="990"/>
        <w:gridCol w:w="1170"/>
        <w:gridCol w:w="1170"/>
      </w:tblGrid>
      <w:tr w:rsidR="008457CF" w:rsidRPr="008174E3" w14:paraId="5B025517" w14:textId="77777777" w:rsidTr="007D7B34">
        <w:trPr>
          <w:trHeight w:val="300"/>
        </w:trPr>
        <w:tc>
          <w:tcPr>
            <w:tcW w:w="2700" w:type="dxa"/>
            <w:tcBorders>
              <w:top w:val="nil"/>
              <w:left w:val="nil"/>
              <w:bottom w:val="single" w:sz="4" w:space="0" w:color="auto"/>
              <w:right w:val="nil"/>
            </w:tcBorders>
            <w:shd w:val="clear" w:color="000000" w:fill="DDEBF7"/>
            <w:noWrap/>
            <w:vAlign w:val="bottom"/>
            <w:hideMark/>
          </w:tcPr>
          <w:p w14:paraId="10CC98FD" w14:textId="77777777" w:rsidR="008457CF" w:rsidRPr="008174E3" w:rsidRDefault="008457CF" w:rsidP="00AE43CF">
            <w:pPr>
              <w:jc w:val="center"/>
              <w:rPr>
                <w:rFonts w:ascii="Arial" w:hAnsi="Arial" w:cs="Arial"/>
                <w:b/>
                <w:bCs/>
                <w:color w:val="000000"/>
                <w:sz w:val="20"/>
                <w:lang w:eastAsia="es-ES"/>
              </w:rPr>
            </w:pPr>
          </w:p>
        </w:tc>
        <w:tc>
          <w:tcPr>
            <w:tcW w:w="1080" w:type="dxa"/>
            <w:tcBorders>
              <w:top w:val="nil"/>
              <w:left w:val="nil"/>
              <w:bottom w:val="single" w:sz="4" w:space="0" w:color="auto"/>
              <w:right w:val="nil"/>
            </w:tcBorders>
            <w:shd w:val="clear" w:color="000000" w:fill="DDEBF7"/>
            <w:noWrap/>
            <w:vAlign w:val="bottom"/>
            <w:hideMark/>
          </w:tcPr>
          <w:p w14:paraId="1415D863" w14:textId="77777777" w:rsidR="008457CF" w:rsidRPr="008174E3" w:rsidRDefault="008457CF" w:rsidP="00AE43CF">
            <w:pPr>
              <w:jc w:val="center"/>
              <w:rPr>
                <w:rFonts w:ascii="Arial" w:hAnsi="Arial" w:cs="Arial"/>
                <w:b/>
                <w:bCs/>
                <w:color w:val="000000"/>
                <w:sz w:val="20"/>
                <w:lang w:eastAsia="es-ES"/>
              </w:rPr>
            </w:pPr>
            <w:r w:rsidRPr="008174E3">
              <w:rPr>
                <w:rFonts w:ascii="Arial" w:hAnsi="Arial" w:cs="Arial"/>
                <w:b/>
                <w:bCs/>
                <w:color w:val="000000"/>
                <w:sz w:val="20"/>
                <w:lang w:eastAsia="es-ES"/>
              </w:rPr>
              <w:t>Año 1</w:t>
            </w:r>
          </w:p>
        </w:tc>
        <w:tc>
          <w:tcPr>
            <w:tcW w:w="1170" w:type="dxa"/>
            <w:tcBorders>
              <w:top w:val="nil"/>
              <w:left w:val="nil"/>
              <w:bottom w:val="single" w:sz="4" w:space="0" w:color="auto"/>
              <w:right w:val="nil"/>
            </w:tcBorders>
            <w:shd w:val="clear" w:color="000000" w:fill="DDEBF7"/>
            <w:noWrap/>
            <w:vAlign w:val="bottom"/>
            <w:hideMark/>
          </w:tcPr>
          <w:p w14:paraId="251B0377" w14:textId="77777777" w:rsidR="008457CF" w:rsidRPr="008174E3" w:rsidRDefault="008457CF" w:rsidP="00AE43CF">
            <w:pPr>
              <w:jc w:val="center"/>
              <w:rPr>
                <w:rFonts w:ascii="Arial" w:hAnsi="Arial" w:cs="Arial"/>
                <w:b/>
                <w:bCs/>
                <w:color w:val="000000"/>
                <w:sz w:val="20"/>
                <w:lang w:eastAsia="es-ES"/>
              </w:rPr>
            </w:pPr>
            <w:r w:rsidRPr="008174E3">
              <w:rPr>
                <w:rFonts w:ascii="Arial" w:hAnsi="Arial" w:cs="Arial"/>
                <w:b/>
                <w:bCs/>
                <w:color w:val="000000"/>
                <w:sz w:val="20"/>
                <w:lang w:eastAsia="es-ES"/>
              </w:rPr>
              <w:t>Año 2</w:t>
            </w:r>
          </w:p>
        </w:tc>
        <w:tc>
          <w:tcPr>
            <w:tcW w:w="1170" w:type="dxa"/>
            <w:tcBorders>
              <w:top w:val="nil"/>
              <w:left w:val="nil"/>
              <w:bottom w:val="single" w:sz="4" w:space="0" w:color="auto"/>
              <w:right w:val="nil"/>
            </w:tcBorders>
            <w:shd w:val="clear" w:color="000000" w:fill="DDEBF7"/>
            <w:noWrap/>
            <w:vAlign w:val="bottom"/>
            <w:hideMark/>
          </w:tcPr>
          <w:p w14:paraId="1860BA3C" w14:textId="77777777" w:rsidR="008457CF" w:rsidRPr="008174E3" w:rsidRDefault="008457CF" w:rsidP="00AE43CF">
            <w:pPr>
              <w:jc w:val="center"/>
              <w:rPr>
                <w:rFonts w:ascii="Arial" w:hAnsi="Arial" w:cs="Arial"/>
                <w:b/>
                <w:bCs/>
                <w:color w:val="000000"/>
                <w:sz w:val="20"/>
                <w:lang w:eastAsia="es-ES"/>
              </w:rPr>
            </w:pPr>
            <w:r w:rsidRPr="008174E3">
              <w:rPr>
                <w:rFonts w:ascii="Arial" w:hAnsi="Arial" w:cs="Arial"/>
                <w:b/>
                <w:bCs/>
                <w:color w:val="000000"/>
                <w:sz w:val="20"/>
                <w:lang w:eastAsia="es-ES"/>
              </w:rPr>
              <w:t>Año 3</w:t>
            </w:r>
          </w:p>
        </w:tc>
        <w:tc>
          <w:tcPr>
            <w:tcW w:w="990" w:type="dxa"/>
            <w:tcBorders>
              <w:top w:val="nil"/>
              <w:left w:val="nil"/>
              <w:bottom w:val="single" w:sz="4" w:space="0" w:color="auto"/>
              <w:right w:val="nil"/>
            </w:tcBorders>
            <w:shd w:val="clear" w:color="000000" w:fill="DDEBF7"/>
            <w:noWrap/>
            <w:vAlign w:val="bottom"/>
            <w:hideMark/>
          </w:tcPr>
          <w:p w14:paraId="51D546A5" w14:textId="77777777" w:rsidR="008457CF" w:rsidRPr="008174E3" w:rsidRDefault="008457CF" w:rsidP="00AE43CF">
            <w:pPr>
              <w:jc w:val="center"/>
              <w:rPr>
                <w:rFonts w:ascii="Arial" w:hAnsi="Arial" w:cs="Arial"/>
                <w:b/>
                <w:bCs/>
                <w:color w:val="000000"/>
                <w:sz w:val="20"/>
                <w:lang w:eastAsia="es-ES"/>
              </w:rPr>
            </w:pPr>
            <w:r w:rsidRPr="008174E3">
              <w:rPr>
                <w:rFonts w:ascii="Arial" w:hAnsi="Arial" w:cs="Arial"/>
                <w:b/>
                <w:bCs/>
                <w:color w:val="000000"/>
                <w:sz w:val="20"/>
                <w:lang w:eastAsia="es-ES"/>
              </w:rPr>
              <w:t>Año 4</w:t>
            </w:r>
          </w:p>
        </w:tc>
        <w:tc>
          <w:tcPr>
            <w:tcW w:w="1170" w:type="dxa"/>
            <w:tcBorders>
              <w:top w:val="nil"/>
              <w:left w:val="nil"/>
              <w:bottom w:val="single" w:sz="4" w:space="0" w:color="auto"/>
              <w:right w:val="nil"/>
            </w:tcBorders>
            <w:shd w:val="clear" w:color="000000" w:fill="DDEBF7"/>
            <w:noWrap/>
            <w:vAlign w:val="bottom"/>
            <w:hideMark/>
          </w:tcPr>
          <w:p w14:paraId="7E040047" w14:textId="77777777" w:rsidR="008457CF" w:rsidRPr="008174E3" w:rsidRDefault="008457CF" w:rsidP="00AE43CF">
            <w:pPr>
              <w:jc w:val="center"/>
              <w:rPr>
                <w:rFonts w:ascii="Arial" w:hAnsi="Arial" w:cs="Arial"/>
                <w:b/>
                <w:bCs/>
                <w:color w:val="000000"/>
                <w:sz w:val="20"/>
                <w:lang w:eastAsia="es-ES"/>
              </w:rPr>
            </w:pPr>
            <w:r w:rsidRPr="008174E3">
              <w:rPr>
                <w:rFonts w:ascii="Arial" w:hAnsi="Arial" w:cs="Arial"/>
                <w:b/>
                <w:bCs/>
                <w:color w:val="000000"/>
                <w:sz w:val="20"/>
                <w:lang w:eastAsia="es-ES"/>
              </w:rPr>
              <w:t>Año 5</w:t>
            </w:r>
          </w:p>
        </w:tc>
        <w:tc>
          <w:tcPr>
            <w:tcW w:w="1170" w:type="dxa"/>
            <w:tcBorders>
              <w:top w:val="nil"/>
              <w:left w:val="nil"/>
              <w:bottom w:val="single" w:sz="4" w:space="0" w:color="auto"/>
              <w:right w:val="nil"/>
            </w:tcBorders>
            <w:shd w:val="clear" w:color="000000" w:fill="DDEBF7"/>
            <w:noWrap/>
            <w:vAlign w:val="bottom"/>
            <w:hideMark/>
          </w:tcPr>
          <w:p w14:paraId="7A8BA9E9" w14:textId="77777777" w:rsidR="008457CF" w:rsidRPr="008174E3" w:rsidRDefault="008457CF" w:rsidP="00AE43CF">
            <w:pPr>
              <w:jc w:val="center"/>
              <w:rPr>
                <w:rFonts w:ascii="Arial" w:hAnsi="Arial" w:cs="Arial"/>
                <w:b/>
                <w:bCs/>
                <w:color w:val="000000"/>
                <w:sz w:val="20"/>
                <w:lang w:eastAsia="es-ES"/>
              </w:rPr>
            </w:pPr>
            <w:r w:rsidRPr="008174E3">
              <w:rPr>
                <w:rFonts w:ascii="Arial" w:hAnsi="Arial" w:cs="Arial"/>
                <w:b/>
                <w:bCs/>
                <w:color w:val="000000"/>
                <w:sz w:val="20"/>
                <w:lang w:eastAsia="es-ES"/>
              </w:rPr>
              <w:t>Total</w:t>
            </w:r>
          </w:p>
        </w:tc>
      </w:tr>
      <w:tr w:rsidR="000C1E37" w:rsidRPr="008174E3" w14:paraId="2266850B" w14:textId="77777777" w:rsidTr="000C1E37">
        <w:trPr>
          <w:trHeight w:val="300"/>
        </w:trPr>
        <w:tc>
          <w:tcPr>
            <w:tcW w:w="2700" w:type="dxa"/>
            <w:tcBorders>
              <w:top w:val="single" w:sz="4" w:space="0" w:color="auto"/>
              <w:left w:val="nil"/>
              <w:bottom w:val="single" w:sz="4" w:space="0" w:color="auto"/>
              <w:right w:val="nil"/>
            </w:tcBorders>
            <w:shd w:val="clear" w:color="auto" w:fill="auto"/>
            <w:noWrap/>
            <w:vAlign w:val="center"/>
            <w:hideMark/>
          </w:tcPr>
          <w:p w14:paraId="03874088" w14:textId="68969EFB" w:rsidR="000C1E37" w:rsidRPr="008174E3" w:rsidRDefault="000C1E37" w:rsidP="000C1E37">
            <w:pPr>
              <w:rPr>
                <w:rFonts w:ascii="Arial" w:hAnsi="Arial" w:cs="Arial"/>
                <w:color w:val="000000"/>
                <w:sz w:val="18"/>
                <w:szCs w:val="18"/>
                <w:lang w:eastAsia="es-ES"/>
              </w:rPr>
            </w:pPr>
            <w:r w:rsidRPr="008174E3">
              <w:rPr>
                <w:rFonts w:ascii="Arial" w:hAnsi="Arial" w:cs="Arial"/>
                <w:color w:val="000000"/>
                <w:sz w:val="18"/>
                <w:szCs w:val="18"/>
                <w:lang w:eastAsia="es-ES"/>
              </w:rPr>
              <w:t xml:space="preserve">Beneficiarios de los programas de formación de habilidades </w:t>
            </w:r>
          </w:p>
        </w:tc>
        <w:tc>
          <w:tcPr>
            <w:tcW w:w="1080" w:type="dxa"/>
            <w:tcBorders>
              <w:top w:val="single" w:sz="4" w:space="0" w:color="auto"/>
              <w:left w:val="nil"/>
              <w:bottom w:val="single" w:sz="4" w:space="0" w:color="auto"/>
              <w:right w:val="nil"/>
            </w:tcBorders>
            <w:shd w:val="clear" w:color="auto" w:fill="auto"/>
            <w:noWrap/>
            <w:vAlign w:val="center"/>
            <w:hideMark/>
          </w:tcPr>
          <w:p w14:paraId="76C34778" w14:textId="66FB0836" w:rsidR="000C1E37" w:rsidRPr="000C1E37" w:rsidRDefault="000C1E37" w:rsidP="00802D00">
            <w:pPr>
              <w:jc w:val="right"/>
              <w:rPr>
                <w:rFonts w:ascii="Arial" w:hAnsi="Arial" w:cs="Arial"/>
                <w:sz w:val="18"/>
                <w:szCs w:val="18"/>
              </w:rPr>
            </w:pPr>
            <w:r w:rsidRPr="000C1E37">
              <w:rPr>
                <w:rFonts w:ascii="Arial" w:hAnsi="Arial" w:cs="Arial"/>
                <w:sz w:val="18"/>
                <w:szCs w:val="18"/>
              </w:rPr>
              <w:t xml:space="preserve"> 76</w:t>
            </w:r>
            <w:r>
              <w:rPr>
                <w:rFonts w:ascii="Arial" w:hAnsi="Arial" w:cs="Arial"/>
                <w:sz w:val="18"/>
                <w:szCs w:val="18"/>
              </w:rPr>
              <w:t>.</w:t>
            </w:r>
            <w:r w:rsidRPr="000C1E37">
              <w:rPr>
                <w:rFonts w:ascii="Arial" w:hAnsi="Arial" w:cs="Arial"/>
                <w:sz w:val="18"/>
                <w:szCs w:val="18"/>
              </w:rPr>
              <w:t xml:space="preserve">000 </w:t>
            </w:r>
          </w:p>
        </w:tc>
        <w:tc>
          <w:tcPr>
            <w:tcW w:w="1170" w:type="dxa"/>
            <w:tcBorders>
              <w:top w:val="single" w:sz="4" w:space="0" w:color="auto"/>
              <w:left w:val="nil"/>
              <w:bottom w:val="single" w:sz="4" w:space="0" w:color="auto"/>
              <w:right w:val="nil"/>
            </w:tcBorders>
            <w:shd w:val="clear" w:color="auto" w:fill="auto"/>
            <w:noWrap/>
            <w:vAlign w:val="center"/>
            <w:hideMark/>
          </w:tcPr>
          <w:p w14:paraId="3C99AAEC" w14:textId="377558AD" w:rsidR="000C1E37" w:rsidRPr="000C1E37" w:rsidRDefault="000C1E37" w:rsidP="00802D00">
            <w:pPr>
              <w:jc w:val="right"/>
              <w:rPr>
                <w:rFonts w:ascii="Arial" w:hAnsi="Arial" w:cs="Arial"/>
                <w:sz w:val="18"/>
                <w:szCs w:val="18"/>
              </w:rPr>
            </w:pPr>
            <w:r w:rsidRPr="000C1E37">
              <w:rPr>
                <w:rFonts w:ascii="Arial" w:hAnsi="Arial" w:cs="Arial"/>
                <w:sz w:val="18"/>
                <w:szCs w:val="18"/>
              </w:rPr>
              <w:t xml:space="preserve"> 76</w:t>
            </w:r>
            <w:r>
              <w:rPr>
                <w:rFonts w:ascii="Arial" w:hAnsi="Arial" w:cs="Arial"/>
                <w:sz w:val="18"/>
                <w:szCs w:val="18"/>
              </w:rPr>
              <w:t>.</w:t>
            </w:r>
            <w:r w:rsidRPr="000C1E37">
              <w:rPr>
                <w:rFonts w:ascii="Arial" w:hAnsi="Arial" w:cs="Arial"/>
                <w:sz w:val="18"/>
                <w:szCs w:val="18"/>
              </w:rPr>
              <w:t xml:space="preserve">000 </w:t>
            </w:r>
          </w:p>
        </w:tc>
        <w:tc>
          <w:tcPr>
            <w:tcW w:w="1170" w:type="dxa"/>
            <w:tcBorders>
              <w:top w:val="single" w:sz="4" w:space="0" w:color="auto"/>
              <w:left w:val="nil"/>
              <w:bottom w:val="single" w:sz="4" w:space="0" w:color="auto"/>
              <w:right w:val="nil"/>
            </w:tcBorders>
            <w:shd w:val="clear" w:color="auto" w:fill="auto"/>
            <w:noWrap/>
            <w:vAlign w:val="center"/>
            <w:hideMark/>
          </w:tcPr>
          <w:p w14:paraId="6E3F01F6" w14:textId="0AB0662C" w:rsidR="000C1E37" w:rsidRPr="000C1E37" w:rsidRDefault="000C1E37" w:rsidP="00802D00">
            <w:pPr>
              <w:jc w:val="right"/>
              <w:rPr>
                <w:rFonts w:ascii="Arial" w:hAnsi="Arial" w:cs="Arial"/>
                <w:sz w:val="18"/>
                <w:szCs w:val="18"/>
              </w:rPr>
            </w:pPr>
            <w:r w:rsidRPr="000C1E37">
              <w:rPr>
                <w:rFonts w:ascii="Arial" w:hAnsi="Arial" w:cs="Arial"/>
                <w:sz w:val="18"/>
                <w:szCs w:val="18"/>
              </w:rPr>
              <w:t xml:space="preserve"> 76</w:t>
            </w:r>
            <w:r>
              <w:rPr>
                <w:rFonts w:ascii="Arial" w:hAnsi="Arial" w:cs="Arial"/>
                <w:sz w:val="18"/>
                <w:szCs w:val="18"/>
              </w:rPr>
              <w:t>.</w:t>
            </w:r>
            <w:r w:rsidRPr="000C1E37">
              <w:rPr>
                <w:rFonts w:ascii="Arial" w:hAnsi="Arial" w:cs="Arial"/>
                <w:sz w:val="18"/>
                <w:szCs w:val="18"/>
              </w:rPr>
              <w:t xml:space="preserve">000 </w:t>
            </w:r>
          </w:p>
        </w:tc>
        <w:tc>
          <w:tcPr>
            <w:tcW w:w="990" w:type="dxa"/>
            <w:tcBorders>
              <w:top w:val="single" w:sz="4" w:space="0" w:color="auto"/>
              <w:left w:val="nil"/>
              <w:bottom w:val="single" w:sz="4" w:space="0" w:color="auto"/>
              <w:right w:val="nil"/>
            </w:tcBorders>
            <w:shd w:val="clear" w:color="auto" w:fill="auto"/>
            <w:noWrap/>
            <w:vAlign w:val="center"/>
            <w:hideMark/>
          </w:tcPr>
          <w:p w14:paraId="023B3F98" w14:textId="061CAC0C" w:rsidR="000C1E37" w:rsidRPr="000C1E37" w:rsidRDefault="000C1E37" w:rsidP="00802D00">
            <w:pPr>
              <w:jc w:val="right"/>
              <w:rPr>
                <w:rFonts w:ascii="Arial" w:hAnsi="Arial" w:cs="Arial"/>
                <w:sz w:val="18"/>
                <w:szCs w:val="18"/>
              </w:rPr>
            </w:pPr>
            <w:r w:rsidRPr="000C1E37">
              <w:rPr>
                <w:rFonts w:ascii="Arial" w:hAnsi="Arial" w:cs="Arial"/>
                <w:sz w:val="18"/>
                <w:szCs w:val="18"/>
              </w:rPr>
              <w:t xml:space="preserve"> 76</w:t>
            </w:r>
            <w:r>
              <w:rPr>
                <w:rFonts w:ascii="Arial" w:hAnsi="Arial" w:cs="Arial"/>
                <w:sz w:val="18"/>
                <w:szCs w:val="18"/>
              </w:rPr>
              <w:t>.</w:t>
            </w:r>
            <w:r w:rsidRPr="000C1E37">
              <w:rPr>
                <w:rFonts w:ascii="Arial" w:hAnsi="Arial" w:cs="Arial"/>
                <w:sz w:val="18"/>
                <w:szCs w:val="18"/>
              </w:rPr>
              <w:t xml:space="preserve">000 </w:t>
            </w:r>
          </w:p>
        </w:tc>
        <w:tc>
          <w:tcPr>
            <w:tcW w:w="1170" w:type="dxa"/>
            <w:tcBorders>
              <w:top w:val="single" w:sz="4" w:space="0" w:color="auto"/>
              <w:left w:val="nil"/>
              <w:bottom w:val="single" w:sz="4" w:space="0" w:color="auto"/>
              <w:right w:val="nil"/>
            </w:tcBorders>
            <w:shd w:val="clear" w:color="auto" w:fill="auto"/>
            <w:noWrap/>
            <w:vAlign w:val="center"/>
            <w:hideMark/>
          </w:tcPr>
          <w:p w14:paraId="36035C0C" w14:textId="5FF2A79F" w:rsidR="000C1E37" w:rsidRPr="000C1E37" w:rsidRDefault="000C1E37" w:rsidP="00802D00">
            <w:pPr>
              <w:jc w:val="right"/>
              <w:rPr>
                <w:rFonts w:ascii="Arial" w:hAnsi="Arial" w:cs="Arial"/>
                <w:sz w:val="18"/>
                <w:szCs w:val="18"/>
              </w:rPr>
            </w:pPr>
            <w:r w:rsidRPr="000C1E37">
              <w:rPr>
                <w:rFonts w:ascii="Arial" w:hAnsi="Arial" w:cs="Arial"/>
                <w:sz w:val="18"/>
                <w:szCs w:val="18"/>
              </w:rPr>
              <w:t xml:space="preserve"> 76</w:t>
            </w:r>
            <w:r>
              <w:rPr>
                <w:rFonts w:ascii="Arial" w:hAnsi="Arial" w:cs="Arial"/>
                <w:sz w:val="18"/>
                <w:szCs w:val="18"/>
              </w:rPr>
              <w:t>.</w:t>
            </w:r>
            <w:r w:rsidRPr="000C1E37">
              <w:rPr>
                <w:rFonts w:ascii="Arial" w:hAnsi="Arial" w:cs="Arial"/>
                <w:sz w:val="18"/>
                <w:szCs w:val="18"/>
              </w:rPr>
              <w:t xml:space="preserve">000 </w:t>
            </w:r>
          </w:p>
        </w:tc>
        <w:tc>
          <w:tcPr>
            <w:tcW w:w="1170" w:type="dxa"/>
            <w:tcBorders>
              <w:top w:val="single" w:sz="4" w:space="0" w:color="auto"/>
              <w:left w:val="nil"/>
              <w:bottom w:val="single" w:sz="4" w:space="0" w:color="auto"/>
              <w:right w:val="nil"/>
            </w:tcBorders>
            <w:shd w:val="clear" w:color="auto" w:fill="auto"/>
            <w:noWrap/>
            <w:vAlign w:val="center"/>
            <w:hideMark/>
          </w:tcPr>
          <w:p w14:paraId="39EF0A2F" w14:textId="006FF588" w:rsidR="000C1E37" w:rsidRPr="000C1E37" w:rsidRDefault="000C1E37" w:rsidP="00802D00">
            <w:pPr>
              <w:jc w:val="right"/>
              <w:rPr>
                <w:rFonts w:ascii="Arial" w:hAnsi="Arial" w:cs="Arial"/>
                <w:sz w:val="18"/>
                <w:szCs w:val="18"/>
              </w:rPr>
            </w:pPr>
            <w:r w:rsidRPr="000C1E37">
              <w:rPr>
                <w:rFonts w:ascii="Arial" w:hAnsi="Arial" w:cs="Arial"/>
                <w:sz w:val="18"/>
                <w:szCs w:val="18"/>
              </w:rPr>
              <w:t xml:space="preserve"> 380</w:t>
            </w:r>
            <w:r>
              <w:rPr>
                <w:rFonts w:ascii="Arial" w:hAnsi="Arial" w:cs="Arial"/>
                <w:sz w:val="18"/>
                <w:szCs w:val="18"/>
              </w:rPr>
              <w:t>.</w:t>
            </w:r>
            <w:r w:rsidRPr="000C1E37">
              <w:rPr>
                <w:rFonts w:ascii="Arial" w:hAnsi="Arial" w:cs="Arial"/>
                <w:sz w:val="18"/>
                <w:szCs w:val="18"/>
              </w:rPr>
              <w:t xml:space="preserve">000 </w:t>
            </w:r>
          </w:p>
        </w:tc>
      </w:tr>
    </w:tbl>
    <w:p w14:paraId="3E674753" w14:textId="77777777" w:rsidR="008457CF" w:rsidRPr="008174E3" w:rsidRDefault="008457CF" w:rsidP="008457CF">
      <w:pPr>
        <w:rPr>
          <w:rFonts w:ascii="Arial" w:hAnsi="Arial" w:cs="Arial"/>
          <w:color w:val="000000"/>
          <w:sz w:val="20"/>
          <w:lang w:eastAsia="es-ES"/>
        </w:rPr>
      </w:pPr>
      <w:r w:rsidRPr="008174E3">
        <w:rPr>
          <w:rFonts w:ascii="Arial" w:hAnsi="Arial" w:cs="Arial"/>
          <w:color w:val="000000"/>
          <w:sz w:val="20"/>
          <w:lang w:eastAsia="es-ES"/>
        </w:rPr>
        <w:t>Fuente: Matriz de Resultados</w:t>
      </w:r>
      <w:r w:rsidR="00AF5196" w:rsidRPr="008174E3">
        <w:rPr>
          <w:rFonts w:ascii="Arial" w:hAnsi="Arial" w:cs="Arial"/>
          <w:color w:val="000000"/>
          <w:sz w:val="20"/>
          <w:lang w:eastAsia="es-ES"/>
        </w:rPr>
        <w:t>.</w:t>
      </w:r>
      <w:r w:rsidRPr="008174E3">
        <w:rPr>
          <w:rFonts w:ascii="Arial" w:hAnsi="Arial" w:cs="Arial"/>
          <w:color w:val="000000"/>
          <w:sz w:val="20"/>
          <w:lang w:eastAsia="es-ES"/>
        </w:rPr>
        <w:t xml:space="preserve"> </w:t>
      </w:r>
    </w:p>
    <w:p w14:paraId="1B2810CC" w14:textId="77777777" w:rsidR="008457CF" w:rsidRPr="008174E3" w:rsidRDefault="008457CF" w:rsidP="008457CF">
      <w:pPr>
        <w:rPr>
          <w:rFonts w:ascii="Arial" w:hAnsi="Arial" w:cs="Arial"/>
          <w:color w:val="000000"/>
          <w:lang w:eastAsia="es-ES"/>
        </w:rPr>
      </w:pPr>
    </w:p>
    <w:p w14:paraId="02C7075D" w14:textId="77777777" w:rsidR="0022742F" w:rsidRPr="008174E3" w:rsidRDefault="0022742F" w:rsidP="0022742F">
      <w:pPr>
        <w:pStyle w:val="ListParagraph"/>
        <w:spacing w:before="120"/>
        <w:ind w:left="0"/>
        <w:jc w:val="center"/>
        <w:rPr>
          <w:rFonts w:ascii="Arial" w:hAnsi="Arial" w:cs="Arial"/>
          <w:b/>
        </w:rPr>
      </w:pPr>
    </w:p>
    <w:p w14:paraId="28722A97" w14:textId="202DEB1A" w:rsidR="0022742F" w:rsidRPr="008174E3" w:rsidRDefault="00827E44" w:rsidP="0022742F">
      <w:pPr>
        <w:jc w:val="center"/>
        <w:rPr>
          <w:rFonts w:ascii="Arial" w:hAnsi="Arial" w:cs="Arial"/>
          <w:b/>
          <w:sz w:val="22"/>
        </w:rPr>
      </w:pPr>
      <w:r w:rsidRPr="008174E3">
        <w:rPr>
          <w:rFonts w:ascii="Arial" w:hAnsi="Arial" w:cs="Arial"/>
          <w:b/>
          <w:sz w:val="22"/>
        </w:rPr>
        <w:t>Cuadro </w:t>
      </w:r>
      <w:r w:rsidR="0022742F" w:rsidRPr="008174E3">
        <w:rPr>
          <w:rFonts w:ascii="Arial" w:hAnsi="Arial" w:cs="Arial"/>
          <w:b/>
          <w:sz w:val="22"/>
        </w:rPr>
        <w:t>A3: Número de Beneficiarios del Fortalecimiento del SNE</w:t>
      </w:r>
    </w:p>
    <w:p w14:paraId="6DA11116" w14:textId="77777777" w:rsidR="008F0CC6" w:rsidRPr="008174E3" w:rsidRDefault="008F0CC6" w:rsidP="0022742F">
      <w:pPr>
        <w:jc w:val="center"/>
        <w:rPr>
          <w:rFonts w:ascii="Arial" w:hAnsi="Arial" w:cs="Arial"/>
          <w:color w:val="000000"/>
          <w:sz w:val="22"/>
          <w:lang w:eastAsia="es-ES"/>
        </w:rPr>
      </w:pPr>
    </w:p>
    <w:tbl>
      <w:tblPr>
        <w:tblW w:w="9250" w:type="dxa"/>
        <w:tblInd w:w="70" w:type="dxa"/>
        <w:tblCellMar>
          <w:top w:w="15" w:type="dxa"/>
          <w:left w:w="70" w:type="dxa"/>
          <w:bottom w:w="15" w:type="dxa"/>
          <w:right w:w="70" w:type="dxa"/>
        </w:tblCellMar>
        <w:tblLook w:val="04A0" w:firstRow="1" w:lastRow="0" w:firstColumn="1" w:lastColumn="0" w:noHBand="0" w:noVBand="1"/>
      </w:tblPr>
      <w:tblGrid>
        <w:gridCol w:w="3870"/>
        <w:gridCol w:w="900"/>
        <w:gridCol w:w="920"/>
        <w:gridCol w:w="912"/>
        <w:gridCol w:w="8"/>
        <w:gridCol w:w="834"/>
        <w:gridCol w:w="920"/>
        <w:gridCol w:w="920"/>
      </w:tblGrid>
      <w:tr w:rsidR="0022742F" w:rsidRPr="008174E3" w14:paraId="51628D88" w14:textId="77777777" w:rsidTr="0022742F">
        <w:trPr>
          <w:trHeight w:val="285"/>
        </w:trPr>
        <w:tc>
          <w:tcPr>
            <w:tcW w:w="3870" w:type="dxa"/>
            <w:vMerge w:val="restart"/>
            <w:tcBorders>
              <w:top w:val="nil"/>
              <w:left w:val="nil"/>
              <w:bottom w:val="nil"/>
              <w:right w:val="nil"/>
            </w:tcBorders>
            <w:shd w:val="clear" w:color="000000" w:fill="DDEBF7"/>
            <w:vAlign w:val="bottom"/>
            <w:hideMark/>
          </w:tcPr>
          <w:p w14:paraId="5F903CA4" w14:textId="549E3FDD" w:rsidR="0022742F" w:rsidRPr="008174E3" w:rsidRDefault="0022742F" w:rsidP="0022742F">
            <w:pPr>
              <w:jc w:val="center"/>
              <w:rPr>
                <w:rFonts w:ascii="Arial" w:hAnsi="Arial" w:cs="Arial"/>
                <w:b/>
                <w:color w:val="000000"/>
                <w:sz w:val="16"/>
                <w:szCs w:val="16"/>
              </w:rPr>
            </w:pPr>
          </w:p>
        </w:tc>
        <w:tc>
          <w:tcPr>
            <w:tcW w:w="5380" w:type="dxa"/>
            <w:gridSpan w:val="7"/>
            <w:tcBorders>
              <w:top w:val="nil"/>
              <w:left w:val="nil"/>
              <w:bottom w:val="single" w:sz="4" w:space="0" w:color="auto"/>
              <w:right w:val="nil"/>
            </w:tcBorders>
            <w:shd w:val="clear" w:color="000000" w:fill="DDEBF7"/>
            <w:noWrap/>
            <w:vAlign w:val="bottom"/>
            <w:hideMark/>
          </w:tcPr>
          <w:p w14:paraId="3B734D20" w14:textId="5604DC9F" w:rsidR="0022742F" w:rsidRPr="008174E3" w:rsidRDefault="0022742F" w:rsidP="0022742F">
            <w:pPr>
              <w:jc w:val="center"/>
              <w:rPr>
                <w:rFonts w:ascii="Arial" w:hAnsi="Arial" w:cs="Arial"/>
                <w:b/>
                <w:color w:val="000000"/>
                <w:sz w:val="16"/>
                <w:szCs w:val="16"/>
              </w:rPr>
            </w:pPr>
            <w:r w:rsidRPr="008174E3">
              <w:rPr>
                <w:rFonts w:ascii="Arial" w:hAnsi="Arial" w:cs="Arial"/>
                <w:b/>
                <w:color w:val="000000"/>
                <w:sz w:val="16"/>
                <w:szCs w:val="16"/>
              </w:rPr>
              <w:t xml:space="preserve">Enero - </w:t>
            </w:r>
            <w:r w:rsidR="008B5C51" w:rsidRPr="008174E3">
              <w:rPr>
                <w:rFonts w:ascii="Arial" w:hAnsi="Arial" w:cs="Arial"/>
                <w:b/>
                <w:color w:val="000000"/>
                <w:sz w:val="16"/>
                <w:szCs w:val="16"/>
              </w:rPr>
              <w:t>D</w:t>
            </w:r>
            <w:r w:rsidRPr="008174E3">
              <w:rPr>
                <w:rFonts w:ascii="Arial" w:hAnsi="Arial" w:cs="Arial"/>
                <w:b/>
                <w:color w:val="000000"/>
                <w:sz w:val="16"/>
                <w:szCs w:val="16"/>
              </w:rPr>
              <w:t>iciembre 2016</w:t>
            </w:r>
          </w:p>
        </w:tc>
      </w:tr>
      <w:tr w:rsidR="0022742F" w:rsidRPr="008174E3" w14:paraId="17FB6D76" w14:textId="77777777" w:rsidTr="0022742F">
        <w:trPr>
          <w:trHeight w:val="285"/>
        </w:trPr>
        <w:tc>
          <w:tcPr>
            <w:tcW w:w="3870" w:type="dxa"/>
            <w:vMerge/>
            <w:tcBorders>
              <w:top w:val="nil"/>
              <w:left w:val="nil"/>
              <w:bottom w:val="nil"/>
              <w:right w:val="nil"/>
            </w:tcBorders>
            <w:vAlign w:val="center"/>
            <w:hideMark/>
          </w:tcPr>
          <w:p w14:paraId="4CDC6A21" w14:textId="77777777" w:rsidR="0022742F" w:rsidRPr="008174E3" w:rsidRDefault="0022742F" w:rsidP="0022742F">
            <w:pPr>
              <w:rPr>
                <w:rFonts w:ascii="Arial" w:hAnsi="Arial" w:cs="Arial"/>
                <w:color w:val="000000"/>
                <w:sz w:val="16"/>
                <w:szCs w:val="16"/>
              </w:rPr>
            </w:pPr>
          </w:p>
        </w:tc>
        <w:tc>
          <w:tcPr>
            <w:tcW w:w="2732" w:type="dxa"/>
            <w:gridSpan w:val="3"/>
            <w:tcBorders>
              <w:top w:val="single" w:sz="4" w:space="0" w:color="auto"/>
              <w:left w:val="nil"/>
              <w:bottom w:val="single" w:sz="4" w:space="0" w:color="auto"/>
              <w:right w:val="nil"/>
            </w:tcBorders>
            <w:shd w:val="clear" w:color="000000" w:fill="DDEBF7"/>
            <w:noWrap/>
            <w:vAlign w:val="bottom"/>
            <w:hideMark/>
          </w:tcPr>
          <w:p w14:paraId="3EE05805" w14:textId="77777777" w:rsidR="0022742F" w:rsidRPr="008174E3" w:rsidRDefault="0022742F" w:rsidP="0022742F">
            <w:pPr>
              <w:jc w:val="center"/>
              <w:rPr>
                <w:rFonts w:ascii="Arial" w:hAnsi="Arial" w:cs="Arial"/>
                <w:b/>
                <w:color w:val="000000"/>
                <w:sz w:val="16"/>
                <w:szCs w:val="16"/>
              </w:rPr>
            </w:pPr>
            <w:r w:rsidRPr="008174E3">
              <w:rPr>
                <w:rFonts w:ascii="Arial" w:hAnsi="Arial" w:cs="Arial"/>
                <w:b/>
                <w:color w:val="000000"/>
                <w:sz w:val="16"/>
                <w:szCs w:val="16"/>
              </w:rPr>
              <w:t>Atendidos</w:t>
            </w:r>
          </w:p>
        </w:tc>
        <w:tc>
          <w:tcPr>
            <w:tcW w:w="2648" w:type="dxa"/>
            <w:gridSpan w:val="4"/>
            <w:tcBorders>
              <w:top w:val="single" w:sz="4" w:space="0" w:color="auto"/>
              <w:left w:val="nil"/>
              <w:bottom w:val="single" w:sz="4" w:space="0" w:color="auto"/>
              <w:right w:val="nil"/>
            </w:tcBorders>
            <w:shd w:val="clear" w:color="000000" w:fill="DDEBF7"/>
            <w:noWrap/>
            <w:vAlign w:val="bottom"/>
            <w:hideMark/>
          </w:tcPr>
          <w:p w14:paraId="3F9D7E19" w14:textId="77777777" w:rsidR="0022742F" w:rsidRPr="008174E3" w:rsidRDefault="0022742F" w:rsidP="0022742F">
            <w:pPr>
              <w:jc w:val="center"/>
              <w:rPr>
                <w:rFonts w:ascii="Arial" w:hAnsi="Arial" w:cs="Arial"/>
                <w:b/>
                <w:color w:val="000000"/>
                <w:sz w:val="16"/>
                <w:szCs w:val="16"/>
              </w:rPr>
            </w:pPr>
            <w:r w:rsidRPr="008174E3">
              <w:rPr>
                <w:rFonts w:ascii="Arial" w:hAnsi="Arial" w:cs="Arial"/>
                <w:b/>
                <w:color w:val="000000"/>
                <w:sz w:val="16"/>
                <w:szCs w:val="16"/>
              </w:rPr>
              <w:t>Colocados</w:t>
            </w:r>
          </w:p>
        </w:tc>
      </w:tr>
      <w:tr w:rsidR="0022742F" w:rsidRPr="008174E3" w14:paraId="28F70BD4" w14:textId="77777777" w:rsidTr="0022742F">
        <w:trPr>
          <w:trHeight w:val="285"/>
        </w:trPr>
        <w:tc>
          <w:tcPr>
            <w:tcW w:w="3870" w:type="dxa"/>
            <w:vMerge/>
            <w:tcBorders>
              <w:top w:val="nil"/>
              <w:left w:val="nil"/>
              <w:bottom w:val="nil"/>
              <w:right w:val="nil"/>
            </w:tcBorders>
            <w:vAlign w:val="center"/>
            <w:hideMark/>
          </w:tcPr>
          <w:p w14:paraId="23A2FC52" w14:textId="77777777" w:rsidR="0022742F" w:rsidRPr="008174E3" w:rsidRDefault="0022742F" w:rsidP="0022742F">
            <w:pPr>
              <w:rPr>
                <w:rFonts w:ascii="Arial" w:hAnsi="Arial" w:cs="Arial"/>
                <w:color w:val="000000"/>
                <w:sz w:val="16"/>
                <w:szCs w:val="16"/>
              </w:rPr>
            </w:pPr>
          </w:p>
        </w:tc>
        <w:tc>
          <w:tcPr>
            <w:tcW w:w="900" w:type="dxa"/>
            <w:tcBorders>
              <w:top w:val="nil"/>
              <w:left w:val="nil"/>
              <w:bottom w:val="single" w:sz="4" w:space="0" w:color="auto"/>
              <w:right w:val="nil"/>
            </w:tcBorders>
            <w:shd w:val="clear" w:color="000000" w:fill="DDEBF7"/>
            <w:noWrap/>
            <w:vAlign w:val="bottom"/>
            <w:hideMark/>
          </w:tcPr>
          <w:p w14:paraId="3EB68EF6" w14:textId="77777777" w:rsidR="0022742F" w:rsidRPr="008174E3" w:rsidRDefault="0022742F" w:rsidP="0022742F">
            <w:pPr>
              <w:jc w:val="center"/>
              <w:rPr>
                <w:rFonts w:ascii="Arial" w:hAnsi="Arial" w:cs="Arial"/>
                <w:b/>
                <w:color w:val="000000"/>
                <w:sz w:val="16"/>
                <w:szCs w:val="16"/>
              </w:rPr>
            </w:pPr>
            <w:r w:rsidRPr="008174E3">
              <w:rPr>
                <w:rFonts w:ascii="Arial" w:hAnsi="Arial" w:cs="Arial"/>
                <w:b/>
                <w:color w:val="000000"/>
                <w:sz w:val="16"/>
                <w:szCs w:val="16"/>
              </w:rPr>
              <w:t>Hombres</w:t>
            </w:r>
          </w:p>
        </w:tc>
        <w:tc>
          <w:tcPr>
            <w:tcW w:w="920" w:type="dxa"/>
            <w:tcBorders>
              <w:top w:val="nil"/>
              <w:left w:val="nil"/>
              <w:bottom w:val="single" w:sz="4" w:space="0" w:color="auto"/>
              <w:right w:val="nil"/>
            </w:tcBorders>
            <w:shd w:val="clear" w:color="000000" w:fill="DDEBF7"/>
            <w:noWrap/>
            <w:vAlign w:val="bottom"/>
            <w:hideMark/>
          </w:tcPr>
          <w:p w14:paraId="7C973D8B" w14:textId="77777777" w:rsidR="0022742F" w:rsidRPr="008174E3" w:rsidRDefault="0022742F" w:rsidP="0022742F">
            <w:pPr>
              <w:jc w:val="center"/>
              <w:rPr>
                <w:rFonts w:ascii="Arial" w:hAnsi="Arial" w:cs="Arial"/>
                <w:b/>
                <w:color w:val="000000"/>
                <w:sz w:val="16"/>
                <w:szCs w:val="16"/>
              </w:rPr>
            </w:pPr>
            <w:r w:rsidRPr="008174E3">
              <w:rPr>
                <w:rFonts w:ascii="Arial" w:hAnsi="Arial" w:cs="Arial"/>
                <w:b/>
                <w:color w:val="000000"/>
                <w:sz w:val="16"/>
                <w:szCs w:val="16"/>
              </w:rPr>
              <w:t>Mujeres</w:t>
            </w:r>
          </w:p>
        </w:tc>
        <w:tc>
          <w:tcPr>
            <w:tcW w:w="920" w:type="dxa"/>
            <w:gridSpan w:val="2"/>
            <w:tcBorders>
              <w:top w:val="nil"/>
              <w:left w:val="nil"/>
              <w:bottom w:val="single" w:sz="4" w:space="0" w:color="auto"/>
              <w:right w:val="nil"/>
            </w:tcBorders>
            <w:shd w:val="clear" w:color="000000" w:fill="DDEBF7"/>
            <w:noWrap/>
            <w:vAlign w:val="bottom"/>
            <w:hideMark/>
          </w:tcPr>
          <w:p w14:paraId="5120F6F4" w14:textId="77777777" w:rsidR="0022742F" w:rsidRPr="008174E3" w:rsidRDefault="0022742F" w:rsidP="0022742F">
            <w:pPr>
              <w:jc w:val="center"/>
              <w:rPr>
                <w:rFonts w:ascii="Arial" w:hAnsi="Arial" w:cs="Arial"/>
                <w:b/>
                <w:color w:val="000000"/>
                <w:sz w:val="16"/>
                <w:szCs w:val="16"/>
              </w:rPr>
            </w:pPr>
            <w:r w:rsidRPr="008174E3">
              <w:rPr>
                <w:rFonts w:ascii="Arial" w:hAnsi="Arial" w:cs="Arial"/>
                <w:b/>
                <w:color w:val="000000"/>
                <w:sz w:val="16"/>
                <w:szCs w:val="16"/>
              </w:rPr>
              <w:t>Total</w:t>
            </w:r>
          </w:p>
        </w:tc>
        <w:tc>
          <w:tcPr>
            <w:tcW w:w="800" w:type="dxa"/>
            <w:tcBorders>
              <w:top w:val="nil"/>
              <w:left w:val="nil"/>
              <w:bottom w:val="single" w:sz="4" w:space="0" w:color="auto"/>
              <w:right w:val="nil"/>
            </w:tcBorders>
            <w:shd w:val="clear" w:color="000000" w:fill="DDEBF7"/>
            <w:noWrap/>
            <w:vAlign w:val="bottom"/>
            <w:hideMark/>
          </w:tcPr>
          <w:p w14:paraId="78AED969" w14:textId="77777777" w:rsidR="0022742F" w:rsidRPr="008174E3" w:rsidRDefault="0022742F" w:rsidP="0022742F">
            <w:pPr>
              <w:jc w:val="center"/>
              <w:rPr>
                <w:rFonts w:ascii="Arial" w:hAnsi="Arial" w:cs="Arial"/>
                <w:b/>
                <w:color w:val="000000"/>
                <w:sz w:val="16"/>
                <w:szCs w:val="16"/>
              </w:rPr>
            </w:pPr>
            <w:r w:rsidRPr="008174E3">
              <w:rPr>
                <w:rFonts w:ascii="Arial" w:hAnsi="Arial" w:cs="Arial"/>
                <w:b/>
                <w:color w:val="000000"/>
                <w:sz w:val="16"/>
                <w:szCs w:val="16"/>
              </w:rPr>
              <w:t>Hombres</w:t>
            </w:r>
          </w:p>
        </w:tc>
        <w:tc>
          <w:tcPr>
            <w:tcW w:w="920" w:type="dxa"/>
            <w:tcBorders>
              <w:top w:val="nil"/>
              <w:left w:val="nil"/>
              <w:bottom w:val="single" w:sz="4" w:space="0" w:color="auto"/>
              <w:right w:val="nil"/>
            </w:tcBorders>
            <w:shd w:val="clear" w:color="000000" w:fill="DDEBF7"/>
            <w:noWrap/>
            <w:vAlign w:val="bottom"/>
            <w:hideMark/>
          </w:tcPr>
          <w:p w14:paraId="66D78B20" w14:textId="77777777" w:rsidR="0022742F" w:rsidRPr="008174E3" w:rsidRDefault="0022742F" w:rsidP="0022742F">
            <w:pPr>
              <w:jc w:val="center"/>
              <w:rPr>
                <w:rFonts w:ascii="Arial" w:hAnsi="Arial" w:cs="Arial"/>
                <w:b/>
                <w:color w:val="000000"/>
                <w:sz w:val="16"/>
                <w:szCs w:val="16"/>
              </w:rPr>
            </w:pPr>
            <w:r w:rsidRPr="008174E3">
              <w:rPr>
                <w:rFonts w:ascii="Arial" w:hAnsi="Arial" w:cs="Arial"/>
                <w:b/>
                <w:color w:val="000000"/>
                <w:sz w:val="16"/>
                <w:szCs w:val="16"/>
              </w:rPr>
              <w:t>Mujeres</w:t>
            </w:r>
          </w:p>
        </w:tc>
        <w:tc>
          <w:tcPr>
            <w:tcW w:w="920" w:type="dxa"/>
            <w:tcBorders>
              <w:top w:val="nil"/>
              <w:left w:val="nil"/>
              <w:bottom w:val="single" w:sz="4" w:space="0" w:color="auto"/>
              <w:right w:val="nil"/>
            </w:tcBorders>
            <w:shd w:val="clear" w:color="000000" w:fill="DDEBF7"/>
            <w:noWrap/>
            <w:vAlign w:val="bottom"/>
            <w:hideMark/>
          </w:tcPr>
          <w:p w14:paraId="76013FBC" w14:textId="77777777" w:rsidR="0022742F" w:rsidRPr="008174E3" w:rsidRDefault="0022742F" w:rsidP="0022742F">
            <w:pPr>
              <w:jc w:val="center"/>
              <w:rPr>
                <w:rFonts w:ascii="Arial" w:hAnsi="Arial" w:cs="Arial"/>
                <w:b/>
                <w:color w:val="000000"/>
                <w:sz w:val="16"/>
                <w:szCs w:val="16"/>
              </w:rPr>
            </w:pPr>
            <w:r w:rsidRPr="008174E3">
              <w:rPr>
                <w:rFonts w:ascii="Arial" w:hAnsi="Arial" w:cs="Arial"/>
                <w:b/>
                <w:color w:val="000000"/>
                <w:sz w:val="16"/>
                <w:szCs w:val="16"/>
              </w:rPr>
              <w:t>Total</w:t>
            </w:r>
          </w:p>
        </w:tc>
      </w:tr>
      <w:tr w:rsidR="0022742F" w:rsidRPr="008174E3" w14:paraId="64A02B83" w14:textId="77777777" w:rsidTr="0022742F">
        <w:trPr>
          <w:trHeight w:val="285"/>
        </w:trPr>
        <w:tc>
          <w:tcPr>
            <w:tcW w:w="3870" w:type="dxa"/>
            <w:tcBorders>
              <w:top w:val="single" w:sz="4" w:space="0" w:color="auto"/>
              <w:left w:val="nil"/>
              <w:bottom w:val="single" w:sz="4" w:space="0" w:color="auto"/>
              <w:right w:val="nil"/>
            </w:tcBorders>
            <w:noWrap/>
            <w:vAlign w:val="bottom"/>
            <w:hideMark/>
          </w:tcPr>
          <w:p w14:paraId="288D99A9" w14:textId="573B211A" w:rsidR="0022742F" w:rsidRPr="008174E3" w:rsidRDefault="0022742F" w:rsidP="0022742F">
            <w:pPr>
              <w:rPr>
                <w:rFonts w:ascii="Arial" w:hAnsi="Arial" w:cs="Arial"/>
                <w:color w:val="000000"/>
                <w:sz w:val="16"/>
                <w:szCs w:val="16"/>
              </w:rPr>
            </w:pPr>
            <w:r w:rsidRPr="008174E3">
              <w:rPr>
                <w:rFonts w:ascii="Arial" w:hAnsi="Arial" w:cs="Arial"/>
                <w:b/>
                <w:color w:val="000000"/>
                <w:sz w:val="16"/>
                <w:szCs w:val="16"/>
              </w:rPr>
              <w:t>Subprogramas</w:t>
            </w:r>
            <w:r w:rsidR="008B5C51" w:rsidRPr="008174E3">
              <w:rPr>
                <w:rFonts w:ascii="Arial" w:hAnsi="Arial" w:cs="Arial"/>
                <w:b/>
                <w:color w:val="000000"/>
                <w:sz w:val="16"/>
                <w:szCs w:val="16"/>
              </w:rPr>
              <w:t xml:space="preserve"> PAE</w:t>
            </w:r>
          </w:p>
        </w:tc>
        <w:tc>
          <w:tcPr>
            <w:tcW w:w="900" w:type="dxa"/>
            <w:tcBorders>
              <w:top w:val="single" w:sz="4" w:space="0" w:color="auto"/>
              <w:left w:val="nil"/>
              <w:bottom w:val="single" w:sz="4" w:space="0" w:color="auto"/>
              <w:right w:val="nil"/>
            </w:tcBorders>
            <w:noWrap/>
            <w:vAlign w:val="bottom"/>
            <w:hideMark/>
          </w:tcPr>
          <w:p w14:paraId="5B4CB379" w14:textId="77777777" w:rsidR="0022742F" w:rsidRPr="008174E3" w:rsidRDefault="0022742F" w:rsidP="0022742F">
            <w:pPr>
              <w:rPr>
                <w:rFonts w:ascii="Arial" w:hAnsi="Arial" w:cs="Arial"/>
                <w:color w:val="000000"/>
                <w:sz w:val="16"/>
                <w:szCs w:val="16"/>
              </w:rPr>
            </w:pPr>
          </w:p>
        </w:tc>
        <w:tc>
          <w:tcPr>
            <w:tcW w:w="920" w:type="dxa"/>
            <w:tcBorders>
              <w:top w:val="single" w:sz="4" w:space="0" w:color="auto"/>
              <w:left w:val="nil"/>
              <w:bottom w:val="single" w:sz="4" w:space="0" w:color="auto"/>
              <w:right w:val="nil"/>
            </w:tcBorders>
            <w:noWrap/>
            <w:vAlign w:val="bottom"/>
            <w:hideMark/>
          </w:tcPr>
          <w:p w14:paraId="288E02F3" w14:textId="77777777" w:rsidR="0022742F" w:rsidRPr="008174E3" w:rsidRDefault="0022742F" w:rsidP="0022742F">
            <w:pPr>
              <w:rPr>
                <w:rFonts w:ascii="Arial" w:hAnsi="Arial" w:cs="Arial"/>
                <w:sz w:val="16"/>
                <w:szCs w:val="16"/>
              </w:rPr>
            </w:pPr>
          </w:p>
        </w:tc>
        <w:tc>
          <w:tcPr>
            <w:tcW w:w="920" w:type="dxa"/>
            <w:gridSpan w:val="2"/>
            <w:tcBorders>
              <w:top w:val="single" w:sz="4" w:space="0" w:color="auto"/>
              <w:left w:val="nil"/>
              <w:bottom w:val="single" w:sz="4" w:space="0" w:color="auto"/>
              <w:right w:val="nil"/>
            </w:tcBorders>
            <w:noWrap/>
            <w:vAlign w:val="bottom"/>
            <w:hideMark/>
          </w:tcPr>
          <w:p w14:paraId="6B13DD85" w14:textId="77777777" w:rsidR="0022742F" w:rsidRPr="008174E3" w:rsidRDefault="0022742F" w:rsidP="0022742F">
            <w:pPr>
              <w:rPr>
                <w:rFonts w:ascii="Arial" w:hAnsi="Arial" w:cs="Arial"/>
                <w:sz w:val="16"/>
                <w:szCs w:val="16"/>
              </w:rPr>
            </w:pPr>
          </w:p>
        </w:tc>
        <w:tc>
          <w:tcPr>
            <w:tcW w:w="800" w:type="dxa"/>
            <w:tcBorders>
              <w:top w:val="single" w:sz="4" w:space="0" w:color="auto"/>
              <w:left w:val="nil"/>
              <w:bottom w:val="single" w:sz="4" w:space="0" w:color="auto"/>
              <w:right w:val="nil"/>
            </w:tcBorders>
            <w:noWrap/>
            <w:vAlign w:val="bottom"/>
            <w:hideMark/>
          </w:tcPr>
          <w:p w14:paraId="74262ED3" w14:textId="77777777" w:rsidR="0022742F" w:rsidRPr="008174E3" w:rsidRDefault="0022742F" w:rsidP="0022742F">
            <w:pPr>
              <w:rPr>
                <w:rFonts w:ascii="Arial" w:hAnsi="Arial" w:cs="Arial"/>
                <w:sz w:val="16"/>
                <w:szCs w:val="16"/>
              </w:rPr>
            </w:pPr>
          </w:p>
        </w:tc>
        <w:tc>
          <w:tcPr>
            <w:tcW w:w="920" w:type="dxa"/>
            <w:tcBorders>
              <w:top w:val="single" w:sz="4" w:space="0" w:color="auto"/>
              <w:left w:val="nil"/>
              <w:bottom w:val="single" w:sz="4" w:space="0" w:color="auto"/>
              <w:right w:val="nil"/>
            </w:tcBorders>
            <w:noWrap/>
            <w:vAlign w:val="bottom"/>
            <w:hideMark/>
          </w:tcPr>
          <w:p w14:paraId="77DF4A10" w14:textId="77777777" w:rsidR="0022742F" w:rsidRPr="008174E3" w:rsidRDefault="0022742F" w:rsidP="0022742F">
            <w:pPr>
              <w:rPr>
                <w:rFonts w:ascii="Arial" w:hAnsi="Arial" w:cs="Arial"/>
                <w:sz w:val="16"/>
                <w:szCs w:val="16"/>
              </w:rPr>
            </w:pPr>
          </w:p>
        </w:tc>
        <w:tc>
          <w:tcPr>
            <w:tcW w:w="920" w:type="dxa"/>
            <w:tcBorders>
              <w:top w:val="single" w:sz="4" w:space="0" w:color="auto"/>
              <w:left w:val="nil"/>
              <w:bottom w:val="single" w:sz="4" w:space="0" w:color="auto"/>
              <w:right w:val="nil"/>
            </w:tcBorders>
            <w:noWrap/>
            <w:vAlign w:val="bottom"/>
            <w:hideMark/>
          </w:tcPr>
          <w:p w14:paraId="4C2939EE" w14:textId="77777777" w:rsidR="0022742F" w:rsidRPr="008174E3" w:rsidRDefault="0022742F" w:rsidP="0022742F">
            <w:pPr>
              <w:rPr>
                <w:rFonts w:ascii="Arial" w:hAnsi="Arial" w:cs="Arial"/>
                <w:sz w:val="16"/>
                <w:szCs w:val="16"/>
              </w:rPr>
            </w:pPr>
          </w:p>
        </w:tc>
      </w:tr>
      <w:tr w:rsidR="0022742F" w:rsidRPr="008174E3" w14:paraId="6F005640" w14:textId="77777777" w:rsidTr="0022742F">
        <w:trPr>
          <w:trHeight w:val="285"/>
        </w:trPr>
        <w:tc>
          <w:tcPr>
            <w:tcW w:w="3870" w:type="dxa"/>
            <w:tcBorders>
              <w:top w:val="nil"/>
              <w:left w:val="nil"/>
              <w:bottom w:val="nil"/>
              <w:right w:val="nil"/>
            </w:tcBorders>
            <w:noWrap/>
            <w:vAlign w:val="bottom"/>
            <w:hideMark/>
          </w:tcPr>
          <w:p w14:paraId="6FB22870" w14:textId="77777777" w:rsidR="0022742F" w:rsidRPr="008174E3" w:rsidRDefault="0022742F" w:rsidP="0022742F">
            <w:pPr>
              <w:rPr>
                <w:rFonts w:ascii="Arial" w:hAnsi="Arial" w:cs="Arial"/>
                <w:color w:val="000000"/>
                <w:sz w:val="16"/>
                <w:szCs w:val="16"/>
              </w:rPr>
            </w:pPr>
            <w:r w:rsidRPr="008174E3">
              <w:rPr>
                <w:rFonts w:ascii="Arial" w:hAnsi="Arial" w:cs="Arial"/>
                <w:color w:val="000000"/>
                <w:sz w:val="16"/>
                <w:szCs w:val="16"/>
              </w:rPr>
              <w:t>Bécate</w:t>
            </w:r>
          </w:p>
        </w:tc>
        <w:tc>
          <w:tcPr>
            <w:tcW w:w="900" w:type="dxa"/>
            <w:tcBorders>
              <w:top w:val="nil"/>
              <w:left w:val="nil"/>
              <w:bottom w:val="nil"/>
              <w:right w:val="nil"/>
            </w:tcBorders>
            <w:noWrap/>
            <w:hideMark/>
          </w:tcPr>
          <w:p w14:paraId="20C64773" w14:textId="3892698D"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78</w:t>
            </w:r>
            <w:r w:rsidR="009929A0" w:rsidRPr="008174E3">
              <w:rPr>
                <w:rFonts w:ascii="Arial" w:hAnsi="Arial" w:cs="Arial"/>
                <w:sz w:val="16"/>
                <w:szCs w:val="16"/>
              </w:rPr>
              <w:t>.</w:t>
            </w:r>
            <w:r w:rsidRPr="008174E3">
              <w:rPr>
                <w:rFonts w:ascii="Arial" w:hAnsi="Arial" w:cs="Arial"/>
                <w:sz w:val="16"/>
                <w:szCs w:val="16"/>
              </w:rPr>
              <w:t xml:space="preserve">303 </w:t>
            </w:r>
          </w:p>
        </w:tc>
        <w:tc>
          <w:tcPr>
            <w:tcW w:w="920" w:type="dxa"/>
            <w:tcBorders>
              <w:top w:val="nil"/>
              <w:left w:val="nil"/>
              <w:bottom w:val="nil"/>
              <w:right w:val="nil"/>
            </w:tcBorders>
            <w:noWrap/>
            <w:hideMark/>
          </w:tcPr>
          <w:p w14:paraId="71AFDCDE" w14:textId="63E81AE4"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203</w:t>
            </w:r>
            <w:r w:rsidR="009929A0" w:rsidRPr="008174E3">
              <w:rPr>
                <w:rFonts w:ascii="Arial" w:hAnsi="Arial" w:cs="Arial"/>
                <w:sz w:val="16"/>
                <w:szCs w:val="16"/>
              </w:rPr>
              <w:t>.</w:t>
            </w:r>
            <w:r w:rsidRPr="008174E3">
              <w:rPr>
                <w:rFonts w:ascii="Arial" w:hAnsi="Arial" w:cs="Arial"/>
                <w:sz w:val="16"/>
                <w:szCs w:val="16"/>
              </w:rPr>
              <w:t xml:space="preserve">820 </w:t>
            </w:r>
          </w:p>
        </w:tc>
        <w:tc>
          <w:tcPr>
            <w:tcW w:w="920" w:type="dxa"/>
            <w:gridSpan w:val="2"/>
            <w:tcBorders>
              <w:top w:val="nil"/>
              <w:left w:val="nil"/>
              <w:bottom w:val="nil"/>
              <w:right w:val="nil"/>
            </w:tcBorders>
            <w:noWrap/>
            <w:hideMark/>
          </w:tcPr>
          <w:p w14:paraId="02B9258A" w14:textId="5A5C8068"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282</w:t>
            </w:r>
            <w:r w:rsidR="009929A0" w:rsidRPr="008174E3">
              <w:rPr>
                <w:rFonts w:ascii="Arial" w:hAnsi="Arial" w:cs="Arial"/>
                <w:sz w:val="16"/>
                <w:szCs w:val="16"/>
              </w:rPr>
              <w:t>.</w:t>
            </w:r>
            <w:r w:rsidRPr="008174E3">
              <w:rPr>
                <w:rFonts w:ascii="Arial" w:hAnsi="Arial" w:cs="Arial"/>
                <w:sz w:val="16"/>
                <w:szCs w:val="16"/>
              </w:rPr>
              <w:t xml:space="preserve">123 </w:t>
            </w:r>
          </w:p>
        </w:tc>
        <w:tc>
          <w:tcPr>
            <w:tcW w:w="800" w:type="dxa"/>
            <w:tcBorders>
              <w:top w:val="nil"/>
              <w:left w:val="nil"/>
              <w:bottom w:val="nil"/>
              <w:right w:val="nil"/>
            </w:tcBorders>
            <w:noWrap/>
            <w:hideMark/>
          </w:tcPr>
          <w:p w14:paraId="13E1E066" w14:textId="29B6FEFB"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59</w:t>
            </w:r>
            <w:r w:rsidR="009929A0" w:rsidRPr="008174E3">
              <w:rPr>
                <w:rFonts w:ascii="Arial" w:hAnsi="Arial" w:cs="Arial"/>
                <w:sz w:val="16"/>
                <w:szCs w:val="16"/>
              </w:rPr>
              <w:t>.</w:t>
            </w:r>
            <w:r w:rsidRPr="008174E3">
              <w:rPr>
                <w:rFonts w:ascii="Arial" w:hAnsi="Arial" w:cs="Arial"/>
                <w:sz w:val="16"/>
                <w:szCs w:val="16"/>
              </w:rPr>
              <w:t xml:space="preserve">902 </w:t>
            </w:r>
          </w:p>
        </w:tc>
        <w:tc>
          <w:tcPr>
            <w:tcW w:w="920" w:type="dxa"/>
            <w:tcBorders>
              <w:top w:val="nil"/>
              <w:left w:val="nil"/>
              <w:bottom w:val="nil"/>
              <w:right w:val="nil"/>
            </w:tcBorders>
            <w:noWrap/>
            <w:hideMark/>
          </w:tcPr>
          <w:p w14:paraId="5B6A648C" w14:textId="6C60BDEB"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166</w:t>
            </w:r>
            <w:r w:rsidR="009929A0" w:rsidRPr="008174E3">
              <w:rPr>
                <w:rFonts w:ascii="Arial" w:hAnsi="Arial" w:cs="Arial"/>
                <w:sz w:val="16"/>
                <w:szCs w:val="16"/>
              </w:rPr>
              <w:t>.</w:t>
            </w:r>
            <w:r w:rsidRPr="008174E3">
              <w:rPr>
                <w:rFonts w:ascii="Arial" w:hAnsi="Arial" w:cs="Arial"/>
                <w:sz w:val="16"/>
                <w:szCs w:val="16"/>
              </w:rPr>
              <w:t xml:space="preserve">410 </w:t>
            </w:r>
          </w:p>
        </w:tc>
        <w:tc>
          <w:tcPr>
            <w:tcW w:w="920" w:type="dxa"/>
            <w:tcBorders>
              <w:top w:val="nil"/>
              <w:left w:val="nil"/>
              <w:bottom w:val="nil"/>
              <w:right w:val="nil"/>
            </w:tcBorders>
            <w:noWrap/>
            <w:hideMark/>
          </w:tcPr>
          <w:p w14:paraId="1BA0483F" w14:textId="5662DF4C"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226</w:t>
            </w:r>
            <w:r w:rsidR="009929A0" w:rsidRPr="008174E3">
              <w:rPr>
                <w:rFonts w:ascii="Arial" w:hAnsi="Arial" w:cs="Arial"/>
                <w:sz w:val="16"/>
                <w:szCs w:val="16"/>
              </w:rPr>
              <w:t>.</w:t>
            </w:r>
            <w:r w:rsidRPr="008174E3">
              <w:rPr>
                <w:rFonts w:ascii="Arial" w:hAnsi="Arial" w:cs="Arial"/>
                <w:sz w:val="16"/>
                <w:szCs w:val="16"/>
              </w:rPr>
              <w:t xml:space="preserve">312 </w:t>
            </w:r>
          </w:p>
        </w:tc>
      </w:tr>
      <w:tr w:rsidR="0022742F" w:rsidRPr="008174E3" w14:paraId="1B748372" w14:textId="77777777" w:rsidTr="0022742F">
        <w:trPr>
          <w:trHeight w:val="285"/>
        </w:trPr>
        <w:tc>
          <w:tcPr>
            <w:tcW w:w="3870" w:type="dxa"/>
            <w:tcBorders>
              <w:top w:val="nil"/>
              <w:left w:val="nil"/>
              <w:bottom w:val="nil"/>
              <w:right w:val="nil"/>
            </w:tcBorders>
            <w:noWrap/>
            <w:vAlign w:val="bottom"/>
            <w:hideMark/>
          </w:tcPr>
          <w:p w14:paraId="7AF9CC62" w14:textId="77777777" w:rsidR="0022742F" w:rsidRPr="008174E3" w:rsidRDefault="0022742F" w:rsidP="0022742F">
            <w:pPr>
              <w:rPr>
                <w:rFonts w:ascii="Arial" w:hAnsi="Arial" w:cs="Arial"/>
                <w:color w:val="000000"/>
                <w:sz w:val="16"/>
                <w:szCs w:val="16"/>
              </w:rPr>
            </w:pPr>
            <w:r w:rsidRPr="008174E3">
              <w:rPr>
                <w:rFonts w:ascii="Arial" w:hAnsi="Arial" w:cs="Arial"/>
                <w:color w:val="000000"/>
                <w:sz w:val="16"/>
                <w:szCs w:val="16"/>
              </w:rPr>
              <w:t>Fomento al Autoempleo</w:t>
            </w:r>
          </w:p>
        </w:tc>
        <w:tc>
          <w:tcPr>
            <w:tcW w:w="900" w:type="dxa"/>
            <w:tcBorders>
              <w:top w:val="nil"/>
              <w:left w:val="nil"/>
              <w:bottom w:val="nil"/>
              <w:right w:val="nil"/>
            </w:tcBorders>
            <w:noWrap/>
            <w:hideMark/>
          </w:tcPr>
          <w:p w14:paraId="5C22C49C" w14:textId="2A1D5B6D"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5</w:t>
            </w:r>
            <w:r w:rsidR="009929A0" w:rsidRPr="008174E3">
              <w:rPr>
                <w:rFonts w:ascii="Arial" w:hAnsi="Arial" w:cs="Arial"/>
                <w:sz w:val="16"/>
                <w:szCs w:val="16"/>
              </w:rPr>
              <w:t>.</w:t>
            </w:r>
            <w:r w:rsidRPr="008174E3">
              <w:rPr>
                <w:rFonts w:ascii="Arial" w:hAnsi="Arial" w:cs="Arial"/>
                <w:sz w:val="16"/>
                <w:szCs w:val="16"/>
              </w:rPr>
              <w:t xml:space="preserve">188 </w:t>
            </w:r>
          </w:p>
        </w:tc>
        <w:tc>
          <w:tcPr>
            <w:tcW w:w="920" w:type="dxa"/>
            <w:tcBorders>
              <w:top w:val="nil"/>
              <w:left w:val="nil"/>
              <w:bottom w:val="nil"/>
              <w:right w:val="nil"/>
            </w:tcBorders>
            <w:noWrap/>
            <w:hideMark/>
          </w:tcPr>
          <w:p w14:paraId="3CDD7C00" w14:textId="43491EE4"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7</w:t>
            </w:r>
            <w:r w:rsidR="009929A0" w:rsidRPr="008174E3">
              <w:rPr>
                <w:rFonts w:ascii="Arial" w:hAnsi="Arial" w:cs="Arial"/>
                <w:sz w:val="16"/>
                <w:szCs w:val="16"/>
              </w:rPr>
              <w:t>.</w:t>
            </w:r>
            <w:r w:rsidRPr="008174E3">
              <w:rPr>
                <w:rFonts w:ascii="Arial" w:hAnsi="Arial" w:cs="Arial"/>
                <w:sz w:val="16"/>
                <w:szCs w:val="16"/>
              </w:rPr>
              <w:t xml:space="preserve">547 </w:t>
            </w:r>
          </w:p>
        </w:tc>
        <w:tc>
          <w:tcPr>
            <w:tcW w:w="920" w:type="dxa"/>
            <w:gridSpan w:val="2"/>
            <w:tcBorders>
              <w:top w:val="nil"/>
              <w:left w:val="nil"/>
              <w:bottom w:val="nil"/>
              <w:right w:val="nil"/>
            </w:tcBorders>
            <w:noWrap/>
            <w:hideMark/>
          </w:tcPr>
          <w:p w14:paraId="17EAD1FC" w14:textId="6732F6CE"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12</w:t>
            </w:r>
            <w:r w:rsidR="009929A0" w:rsidRPr="008174E3">
              <w:rPr>
                <w:rFonts w:ascii="Arial" w:hAnsi="Arial" w:cs="Arial"/>
                <w:sz w:val="16"/>
                <w:szCs w:val="16"/>
              </w:rPr>
              <w:t>.</w:t>
            </w:r>
            <w:r w:rsidRPr="008174E3">
              <w:rPr>
                <w:rFonts w:ascii="Arial" w:hAnsi="Arial" w:cs="Arial"/>
                <w:sz w:val="16"/>
                <w:szCs w:val="16"/>
              </w:rPr>
              <w:t xml:space="preserve">735 </w:t>
            </w:r>
          </w:p>
        </w:tc>
        <w:tc>
          <w:tcPr>
            <w:tcW w:w="800" w:type="dxa"/>
            <w:tcBorders>
              <w:top w:val="nil"/>
              <w:left w:val="nil"/>
              <w:bottom w:val="nil"/>
              <w:right w:val="nil"/>
            </w:tcBorders>
            <w:noWrap/>
            <w:hideMark/>
          </w:tcPr>
          <w:p w14:paraId="26867D0D" w14:textId="29331ED8"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5</w:t>
            </w:r>
            <w:r w:rsidR="009929A0" w:rsidRPr="008174E3">
              <w:rPr>
                <w:rFonts w:ascii="Arial" w:hAnsi="Arial" w:cs="Arial"/>
                <w:sz w:val="16"/>
                <w:szCs w:val="16"/>
              </w:rPr>
              <w:t>.</w:t>
            </w:r>
            <w:r w:rsidRPr="008174E3">
              <w:rPr>
                <w:rFonts w:ascii="Arial" w:hAnsi="Arial" w:cs="Arial"/>
                <w:sz w:val="16"/>
                <w:szCs w:val="16"/>
              </w:rPr>
              <w:t xml:space="preserve">188 </w:t>
            </w:r>
          </w:p>
        </w:tc>
        <w:tc>
          <w:tcPr>
            <w:tcW w:w="920" w:type="dxa"/>
            <w:tcBorders>
              <w:top w:val="nil"/>
              <w:left w:val="nil"/>
              <w:bottom w:val="nil"/>
              <w:right w:val="nil"/>
            </w:tcBorders>
            <w:noWrap/>
            <w:hideMark/>
          </w:tcPr>
          <w:p w14:paraId="107820A9" w14:textId="29330E6D"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7</w:t>
            </w:r>
            <w:r w:rsidR="009929A0" w:rsidRPr="008174E3">
              <w:rPr>
                <w:rFonts w:ascii="Arial" w:hAnsi="Arial" w:cs="Arial"/>
                <w:sz w:val="16"/>
                <w:szCs w:val="16"/>
              </w:rPr>
              <w:t>.</w:t>
            </w:r>
            <w:r w:rsidRPr="008174E3">
              <w:rPr>
                <w:rFonts w:ascii="Arial" w:hAnsi="Arial" w:cs="Arial"/>
                <w:sz w:val="16"/>
                <w:szCs w:val="16"/>
              </w:rPr>
              <w:t xml:space="preserve">547 </w:t>
            </w:r>
          </w:p>
        </w:tc>
        <w:tc>
          <w:tcPr>
            <w:tcW w:w="920" w:type="dxa"/>
            <w:tcBorders>
              <w:top w:val="nil"/>
              <w:left w:val="nil"/>
              <w:bottom w:val="nil"/>
              <w:right w:val="nil"/>
            </w:tcBorders>
            <w:noWrap/>
            <w:hideMark/>
          </w:tcPr>
          <w:p w14:paraId="6B89AB10" w14:textId="26BD29CA"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12</w:t>
            </w:r>
            <w:r w:rsidR="009929A0" w:rsidRPr="008174E3">
              <w:rPr>
                <w:rFonts w:ascii="Arial" w:hAnsi="Arial" w:cs="Arial"/>
                <w:sz w:val="16"/>
                <w:szCs w:val="16"/>
              </w:rPr>
              <w:t>.</w:t>
            </w:r>
            <w:r w:rsidRPr="008174E3">
              <w:rPr>
                <w:rFonts w:ascii="Arial" w:hAnsi="Arial" w:cs="Arial"/>
                <w:sz w:val="16"/>
                <w:szCs w:val="16"/>
              </w:rPr>
              <w:t xml:space="preserve">735 </w:t>
            </w:r>
          </w:p>
        </w:tc>
      </w:tr>
      <w:tr w:rsidR="0022742F" w:rsidRPr="008174E3" w14:paraId="53724C08" w14:textId="77777777" w:rsidTr="0022742F">
        <w:trPr>
          <w:trHeight w:val="285"/>
        </w:trPr>
        <w:tc>
          <w:tcPr>
            <w:tcW w:w="3870" w:type="dxa"/>
            <w:tcBorders>
              <w:top w:val="nil"/>
              <w:left w:val="nil"/>
              <w:bottom w:val="nil"/>
              <w:right w:val="nil"/>
            </w:tcBorders>
            <w:noWrap/>
            <w:vAlign w:val="bottom"/>
            <w:hideMark/>
          </w:tcPr>
          <w:p w14:paraId="5FE35EFD" w14:textId="77777777" w:rsidR="0022742F" w:rsidRPr="008174E3" w:rsidRDefault="0022742F" w:rsidP="0022742F">
            <w:pPr>
              <w:rPr>
                <w:rFonts w:ascii="Arial" w:hAnsi="Arial" w:cs="Arial"/>
                <w:color w:val="000000"/>
                <w:sz w:val="16"/>
                <w:szCs w:val="16"/>
              </w:rPr>
            </w:pPr>
            <w:r w:rsidRPr="008174E3">
              <w:rPr>
                <w:rFonts w:ascii="Arial" w:hAnsi="Arial" w:cs="Arial"/>
                <w:color w:val="000000"/>
                <w:sz w:val="16"/>
                <w:szCs w:val="16"/>
              </w:rPr>
              <w:t>Movilidad Laboral, Sector Agrícola</w:t>
            </w:r>
          </w:p>
        </w:tc>
        <w:tc>
          <w:tcPr>
            <w:tcW w:w="900" w:type="dxa"/>
            <w:tcBorders>
              <w:top w:val="nil"/>
              <w:left w:val="nil"/>
              <w:bottom w:val="nil"/>
              <w:right w:val="nil"/>
            </w:tcBorders>
            <w:noWrap/>
            <w:hideMark/>
          </w:tcPr>
          <w:p w14:paraId="30C0010E" w14:textId="41F8FB15"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74</w:t>
            </w:r>
            <w:r w:rsidR="009929A0" w:rsidRPr="008174E3">
              <w:rPr>
                <w:rFonts w:ascii="Arial" w:hAnsi="Arial" w:cs="Arial"/>
                <w:sz w:val="16"/>
                <w:szCs w:val="16"/>
              </w:rPr>
              <w:t>.</w:t>
            </w:r>
            <w:r w:rsidRPr="008174E3">
              <w:rPr>
                <w:rFonts w:ascii="Arial" w:hAnsi="Arial" w:cs="Arial"/>
                <w:sz w:val="16"/>
                <w:szCs w:val="16"/>
              </w:rPr>
              <w:t xml:space="preserve">341 </w:t>
            </w:r>
          </w:p>
        </w:tc>
        <w:tc>
          <w:tcPr>
            <w:tcW w:w="920" w:type="dxa"/>
            <w:tcBorders>
              <w:top w:val="nil"/>
              <w:left w:val="nil"/>
              <w:bottom w:val="nil"/>
              <w:right w:val="nil"/>
            </w:tcBorders>
            <w:noWrap/>
            <w:hideMark/>
          </w:tcPr>
          <w:p w14:paraId="50F53433" w14:textId="07C52029"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27</w:t>
            </w:r>
            <w:r w:rsidR="009929A0" w:rsidRPr="008174E3">
              <w:rPr>
                <w:rFonts w:ascii="Arial" w:hAnsi="Arial" w:cs="Arial"/>
                <w:sz w:val="16"/>
                <w:szCs w:val="16"/>
              </w:rPr>
              <w:t>.</w:t>
            </w:r>
            <w:r w:rsidRPr="008174E3">
              <w:rPr>
                <w:rFonts w:ascii="Arial" w:hAnsi="Arial" w:cs="Arial"/>
                <w:sz w:val="16"/>
                <w:szCs w:val="16"/>
              </w:rPr>
              <w:t xml:space="preserve">540 </w:t>
            </w:r>
          </w:p>
        </w:tc>
        <w:tc>
          <w:tcPr>
            <w:tcW w:w="920" w:type="dxa"/>
            <w:gridSpan w:val="2"/>
            <w:tcBorders>
              <w:top w:val="nil"/>
              <w:left w:val="nil"/>
              <w:bottom w:val="nil"/>
              <w:right w:val="nil"/>
            </w:tcBorders>
            <w:noWrap/>
            <w:hideMark/>
          </w:tcPr>
          <w:p w14:paraId="69E0789E" w14:textId="306F7BF8"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101</w:t>
            </w:r>
            <w:r w:rsidR="009929A0" w:rsidRPr="008174E3">
              <w:rPr>
                <w:rFonts w:ascii="Arial" w:hAnsi="Arial" w:cs="Arial"/>
                <w:sz w:val="16"/>
                <w:szCs w:val="16"/>
              </w:rPr>
              <w:t>.</w:t>
            </w:r>
            <w:r w:rsidRPr="008174E3">
              <w:rPr>
                <w:rFonts w:ascii="Arial" w:hAnsi="Arial" w:cs="Arial"/>
                <w:sz w:val="16"/>
                <w:szCs w:val="16"/>
              </w:rPr>
              <w:t xml:space="preserve">881 </w:t>
            </w:r>
          </w:p>
        </w:tc>
        <w:tc>
          <w:tcPr>
            <w:tcW w:w="800" w:type="dxa"/>
            <w:tcBorders>
              <w:top w:val="nil"/>
              <w:left w:val="nil"/>
              <w:bottom w:val="nil"/>
              <w:right w:val="nil"/>
            </w:tcBorders>
            <w:noWrap/>
            <w:hideMark/>
          </w:tcPr>
          <w:p w14:paraId="63803B69" w14:textId="3FF39FFA"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53</w:t>
            </w:r>
            <w:r w:rsidR="009929A0" w:rsidRPr="008174E3">
              <w:rPr>
                <w:rFonts w:ascii="Arial" w:hAnsi="Arial" w:cs="Arial"/>
                <w:sz w:val="16"/>
                <w:szCs w:val="16"/>
              </w:rPr>
              <w:t>.</w:t>
            </w:r>
            <w:r w:rsidRPr="008174E3">
              <w:rPr>
                <w:rFonts w:ascii="Arial" w:hAnsi="Arial" w:cs="Arial"/>
                <w:sz w:val="16"/>
                <w:szCs w:val="16"/>
              </w:rPr>
              <w:t xml:space="preserve">200 </w:t>
            </w:r>
          </w:p>
        </w:tc>
        <w:tc>
          <w:tcPr>
            <w:tcW w:w="920" w:type="dxa"/>
            <w:tcBorders>
              <w:top w:val="nil"/>
              <w:left w:val="nil"/>
              <w:bottom w:val="nil"/>
              <w:right w:val="nil"/>
            </w:tcBorders>
            <w:noWrap/>
            <w:hideMark/>
          </w:tcPr>
          <w:p w14:paraId="49740835" w14:textId="004D0D38"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20</w:t>
            </w:r>
            <w:r w:rsidR="009929A0" w:rsidRPr="008174E3">
              <w:rPr>
                <w:rFonts w:ascii="Arial" w:hAnsi="Arial" w:cs="Arial"/>
                <w:sz w:val="16"/>
                <w:szCs w:val="16"/>
              </w:rPr>
              <w:t>.</w:t>
            </w:r>
            <w:r w:rsidRPr="008174E3">
              <w:rPr>
                <w:rFonts w:ascii="Arial" w:hAnsi="Arial" w:cs="Arial"/>
                <w:sz w:val="16"/>
                <w:szCs w:val="16"/>
              </w:rPr>
              <w:t xml:space="preserve">303 </w:t>
            </w:r>
          </w:p>
        </w:tc>
        <w:tc>
          <w:tcPr>
            <w:tcW w:w="920" w:type="dxa"/>
            <w:tcBorders>
              <w:top w:val="nil"/>
              <w:left w:val="nil"/>
              <w:bottom w:val="nil"/>
              <w:right w:val="nil"/>
            </w:tcBorders>
            <w:noWrap/>
            <w:hideMark/>
          </w:tcPr>
          <w:p w14:paraId="036BA3A9" w14:textId="2700D731"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73</w:t>
            </w:r>
            <w:r w:rsidR="009929A0" w:rsidRPr="008174E3">
              <w:rPr>
                <w:rFonts w:ascii="Arial" w:hAnsi="Arial" w:cs="Arial"/>
                <w:sz w:val="16"/>
                <w:szCs w:val="16"/>
              </w:rPr>
              <w:t>.</w:t>
            </w:r>
            <w:r w:rsidRPr="008174E3">
              <w:rPr>
                <w:rFonts w:ascii="Arial" w:hAnsi="Arial" w:cs="Arial"/>
                <w:sz w:val="16"/>
                <w:szCs w:val="16"/>
              </w:rPr>
              <w:t xml:space="preserve">503 </w:t>
            </w:r>
          </w:p>
        </w:tc>
      </w:tr>
      <w:tr w:rsidR="0022742F" w:rsidRPr="008174E3" w14:paraId="4D347D76" w14:textId="77777777" w:rsidTr="0022742F">
        <w:trPr>
          <w:trHeight w:val="285"/>
        </w:trPr>
        <w:tc>
          <w:tcPr>
            <w:tcW w:w="3870" w:type="dxa"/>
            <w:tcBorders>
              <w:top w:val="nil"/>
              <w:left w:val="nil"/>
              <w:bottom w:val="nil"/>
              <w:right w:val="nil"/>
            </w:tcBorders>
            <w:noWrap/>
            <w:vAlign w:val="bottom"/>
            <w:hideMark/>
          </w:tcPr>
          <w:p w14:paraId="62DBAD3D" w14:textId="77777777" w:rsidR="0022742F" w:rsidRPr="008174E3" w:rsidRDefault="0022742F" w:rsidP="0022742F">
            <w:pPr>
              <w:rPr>
                <w:rFonts w:ascii="Arial" w:hAnsi="Arial" w:cs="Arial"/>
                <w:color w:val="000000"/>
                <w:sz w:val="16"/>
                <w:szCs w:val="16"/>
              </w:rPr>
            </w:pPr>
            <w:r w:rsidRPr="008174E3">
              <w:rPr>
                <w:rFonts w:ascii="Arial" w:hAnsi="Arial" w:cs="Arial"/>
                <w:color w:val="000000"/>
                <w:sz w:val="16"/>
                <w:szCs w:val="16"/>
              </w:rPr>
              <w:t>Movilidad Laboral, Sectores Industrial y de Servicios</w:t>
            </w:r>
          </w:p>
        </w:tc>
        <w:tc>
          <w:tcPr>
            <w:tcW w:w="900" w:type="dxa"/>
            <w:tcBorders>
              <w:top w:val="nil"/>
              <w:left w:val="nil"/>
              <w:bottom w:val="nil"/>
              <w:right w:val="nil"/>
            </w:tcBorders>
            <w:noWrap/>
            <w:hideMark/>
          </w:tcPr>
          <w:p w14:paraId="2091F14D" w14:textId="664C2EF8"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4</w:t>
            </w:r>
            <w:r w:rsidR="009929A0" w:rsidRPr="008174E3">
              <w:rPr>
                <w:rFonts w:ascii="Arial" w:hAnsi="Arial" w:cs="Arial"/>
                <w:sz w:val="16"/>
                <w:szCs w:val="16"/>
              </w:rPr>
              <w:t>.</w:t>
            </w:r>
            <w:r w:rsidRPr="008174E3">
              <w:rPr>
                <w:rFonts w:ascii="Arial" w:hAnsi="Arial" w:cs="Arial"/>
                <w:sz w:val="16"/>
                <w:szCs w:val="16"/>
              </w:rPr>
              <w:t xml:space="preserve">034 </w:t>
            </w:r>
          </w:p>
        </w:tc>
        <w:tc>
          <w:tcPr>
            <w:tcW w:w="920" w:type="dxa"/>
            <w:tcBorders>
              <w:top w:val="nil"/>
              <w:left w:val="nil"/>
              <w:bottom w:val="nil"/>
              <w:right w:val="nil"/>
            </w:tcBorders>
            <w:noWrap/>
            <w:hideMark/>
          </w:tcPr>
          <w:p w14:paraId="19E2DF48" w14:textId="13B2C2DA"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1</w:t>
            </w:r>
            <w:r w:rsidR="009929A0" w:rsidRPr="008174E3">
              <w:rPr>
                <w:rFonts w:ascii="Arial" w:hAnsi="Arial" w:cs="Arial"/>
                <w:sz w:val="16"/>
                <w:szCs w:val="16"/>
              </w:rPr>
              <w:t>.</w:t>
            </w:r>
            <w:r w:rsidRPr="008174E3">
              <w:rPr>
                <w:rFonts w:ascii="Arial" w:hAnsi="Arial" w:cs="Arial"/>
                <w:sz w:val="16"/>
                <w:szCs w:val="16"/>
              </w:rPr>
              <w:t xml:space="preserve">122 </w:t>
            </w:r>
          </w:p>
        </w:tc>
        <w:tc>
          <w:tcPr>
            <w:tcW w:w="920" w:type="dxa"/>
            <w:gridSpan w:val="2"/>
            <w:tcBorders>
              <w:top w:val="nil"/>
              <w:left w:val="nil"/>
              <w:bottom w:val="nil"/>
              <w:right w:val="nil"/>
            </w:tcBorders>
            <w:noWrap/>
            <w:hideMark/>
          </w:tcPr>
          <w:p w14:paraId="2F9C8B7F" w14:textId="4BE9E81B"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5</w:t>
            </w:r>
            <w:r w:rsidR="009929A0" w:rsidRPr="008174E3">
              <w:rPr>
                <w:rFonts w:ascii="Arial" w:hAnsi="Arial" w:cs="Arial"/>
                <w:sz w:val="16"/>
                <w:szCs w:val="16"/>
              </w:rPr>
              <w:t>.</w:t>
            </w:r>
            <w:r w:rsidRPr="008174E3">
              <w:rPr>
                <w:rFonts w:ascii="Arial" w:hAnsi="Arial" w:cs="Arial"/>
                <w:sz w:val="16"/>
                <w:szCs w:val="16"/>
              </w:rPr>
              <w:t xml:space="preserve">156 </w:t>
            </w:r>
          </w:p>
        </w:tc>
        <w:tc>
          <w:tcPr>
            <w:tcW w:w="800" w:type="dxa"/>
            <w:tcBorders>
              <w:top w:val="nil"/>
              <w:left w:val="nil"/>
              <w:bottom w:val="nil"/>
              <w:right w:val="nil"/>
            </w:tcBorders>
            <w:noWrap/>
            <w:hideMark/>
          </w:tcPr>
          <w:p w14:paraId="23A065C6" w14:textId="677A3583"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4</w:t>
            </w:r>
            <w:r w:rsidR="009929A0" w:rsidRPr="008174E3">
              <w:rPr>
                <w:rFonts w:ascii="Arial" w:hAnsi="Arial" w:cs="Arial"/>
                <w:sz w:val="16"/>
                <w:szCs w:val="16"/>
              </w:rPr>
              <w:t>.</w:t>
            </w:r>
            <w:r w:rsidRPr="008174E3">
              <w:rPr>
                <w:rFonts w:ascii="Arial" w:hAnsi="Arial" w:cs="Arial"/>
                <w:sz w:val="16"/>
                <w:szCs w:val="16"/>
              </w:rPr>
              <w:t xml:space="preserve">034 </w:t>
            </w:r>
          </w:p>
        </w:tc>
        <w:tc>
          <w:tcPr>
            <w:tcW w:w="920" w:type="dxa"/>
            <w:tcBorders>
              <w:top w:val="nil"/>
              <w:left w:val="nil"/>
              <w:bottom w:val="nil"/>
              <w:right w:val="nil"/>
            </w:tcBorders>
            <w:noWrap/>
            <w:hideMark/>
          </w:tcPr>
          <w:p w14:paraId="5B6D2037" w14:textId="5663DD65"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1</w:t>
            </w:r>
            <w:r w:rsidR="009929A0" w:rsidRPr="008174E3">
              <w:rPr>
                <w:rFonts w:ascii="Arial" w:hAnsi="Arial" w:cs="Arial"/>
                <w:sz w:val="16"/>
                <w:szCs w:val="16"/>
              </w:rPr>
              <w:t>.</w:t>
            </w:r>
            <w:r w:rsidRPr="008174E3">
              <w:rPr>
                <w:rFonts w:ascii="Arial" w:hAnsi="Arial" w:cs="Arial"/>
                <w:sz w:val="16"/>
                <w:szCs w:val="16"/>
              </w:rPr>
              <w:t xml:space="preserve">122 </w:t>
            </w:r>
          </w:p>
        </w:tc>
        <w:tc>
          <w:tcPr>
            <w:tcW w:w="920" w:type="dxa"/>
            <w:tcBorders>
              <w:top w:val="nil"/>
              <w:left w:val="nil"/>
              <w:bottom w:val="nil"/>
              <w:right w:val="nil"/>
            </w:tcBorders>
            <w:noWrap/>
            <w:hideMark/>
          </w:tcPr>
          <w:p w14:paraId="0479BC2B" w14:textId="503160BB"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5</w:t>
            </w:r>
            <w:r w:rsidR="009929A0" w:rsidRPr="008174E3">
              <w:rPr>
                <w:rFonts w:ascii="Arial" w:hAnsi="Arial" w:cs="Arial"/>
                <w:sz w:val="16"/>
                <w:szCs w:val="16"/>
              </w:rPr>
              <w:t>.</w:t>
            </w:r>
            <w:r w:rsidRPr="008174E3">
              <w:rPr>
                <w:rFonts w:ascii="Arial" w:hAnsi="Arial" w:cs="Arial"/>
                <w:sz w:val="16"/>
                <w:szCs w:val="16"/>
              </w:rPr>
              <w:t xml:space="preserve">156 </w:t>
            </w:r>
          </w:p>
        </w:tc>
      </w:tr>
      <w:tr w:rsidR="0022742F" w:rsidRPr="008174E3" w14:paraId="58D09F9A" w14:textId="77777777" w:rsidTr="0022742F">
        <w:trPr>
          <w:trHeight w:val="285"/>
        </w:trPr>
        <w:tc>
          <w:tcPr>
            <w:tcW w:w="3870" w:type="dxa"/>
            <w:tcBorders>
              <w:top w:val="nil"/>
              <w:left w:val="nil"/>
              <w:bottom w:val="nil"/>
              <w:right w:val="nil"/>
            </w:tcBorders>
            <w:noWrap/>
            <w:vAlign w:val="bottom"/>
            <w:hideMark/>
          </w:tcPr>
          <w:p w14:paraId="71BDE86A" w14:textId="77777777" w:rsidR="0022742F" w:rsidRPr="008174E3" w:rsidRDefault="0022742F" w:rsidP="0022742F">
            <w:pPr>
              <w:rPr>
                <w:rFonts w:ascii="Arial" w:hAnsi="Arial" w:cs="Arial"/>
                <w:color w:val="000000"/>
                <w:sz w:val="16"/>
                <w:szCs w:val="16"/>
              </w:rPr>
            </w:pPr>
            <w:r w:rsidRPr="008174E3">
              <w:rPr>
                <w:rFonts w:ascii="Arial" w:hAnsi="Arial" w:cs="Arial"/>
                <w:color w:val="000000"/>
                <w:sz w:val="16"/>
                <w:szCs w:val="16"/>
              </w:rPr>
              <w:t>Repatriados Trabajando</w:t>
            </w:r>
          </w:p>
        </w:tc>
        <w:tc>
          <w:tcPr>
            <w:tcW w:w="900" w:type="dxa"/>
            <w:tcBorders>
              <w:top w:val="nil"/>
              <w:left w:val="nil"/>
              <w:bottom w:val="nil"/>
              <w:right w:val="nil"/>
            </w:tcBorders>
            <w:noWrap/>
            <w:hideMark/>
          </w:tcPr>
          <w:p w14:paraId="1D8A0E77" w14:textId="1158B523"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6</w:t>
            </w:r>
            <w:r w:rsidR="009929A0" w:rsidRPr="008174E3">
              <w:rPr>
                <w:rFonts w:ascii="Arial" w:hAnsi="Arial" w:cs="Arial"/>
                <w:sz w:val="16"/>
                <w:szCs w:val="16"/>
              </w:rPr>
              <w:t>.</w:t>
            </w:r>
            <w:r w:rsidRPr="008174E3">
              <w:rPr>
                <w:rFonts w:ascii="Arial" w:hAnsi="Arial" w:cs="Arial"/>
                <w:sz w:val="16"/>
                <w:szCs w:val="16"/>
              </w:rPr>
              <w:t xml:space="preserve">367 </w:t>
            </w:r>
          </w:p>
        </w:tc>
        <w:tc>
          <w:tcPr>
            <w:tcW w:w="920" w:type="dxa"/>
            <w:tcBorders>
              <w:top w:val="nil"/>
              <w:left w:val="nil"/>
              <w:bottom w:val="nil"/>
              <w:right w:val="nil"/>
            </w:tcBorders>
            <w:noWrap/>
            <w:hideMark/>
          </w:tcPr>
          <w:p w14:paraId="5459AAB2" w14:textId="031CEF26"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362 </w:t>
            </w:r>
          </w:p>
        </w:tc>
        <w:tc>
          <w:tcPr>
            <w:tcW w:w="920" w:type="dxa"/>
            <w:gridSpan w:val="2"/>
            <w:tcBorders>
              <w:top w:val="nil"/>
              <w:left w:val="nil"/>
              <w:bottom w:val="nil"/>
              <w:right w:val="nil"/>
            </w:tcBorders>
            <w:noWrap/>
            <w:hideMark/>
          </w:tcPr>
          <w:p w14:paraId="0EF642BD" w14:textId="1329B2F8"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6</w:t>
            </w:r>
            <w:r w:rsidR="009929A0" w:rsidRPr="008174E3">
              <w:rPr>
                <w:rFonts w:ascii="Arial" w:hAnsi="Arial" w:cs="Arial"/>
                <w:sz w:val="16"/>
                <w:szCs w:val="16"/>
              </w:rPr>
              <w:t>.</w:t>
            </w:r>
            <w:r w:rsidRPr="008174E3">
              <w:rPr>
                <w:rFonts w:ascii="Arial" w:hAnsi="Arial" w:cs="Arial"/>
                <w:sz w:val="16"/>
                <w:szCs w:val="16"/>
              </w:rPr>
              <w:t xml:space="preserve">729 </w:t>
            </w:r>
          </w:p>
        </w:tc>
        <w:tc>
          <w:tcPr>
            <w:tcW w:w="800" w:type="dxa"/>
            <w:tcBorders>
              <w:top w:val="nil"/>
              <w:left w:val="nil"/>
              <w:bottom w:val="nil"/>
              <w:right w:val="nil"/>
            </w:tcBorders>
            <w:noWrap/>
            <w:hideMark/>
          </w:tcPr>
          <w:p w14:paraId="186AF87F" w14:textId="77777777" w:rsidR="0022742F" w:rsidRPr="008174E3" w:rsidRDefault="0022742F" w:rsidP="0022742F">
            <w:pPr>
              <w:jc w:val="right"/>
              <w:rPr>
                <w:rFonts w:ascii="Arial" w:hAnsi="Arial" w:cs="Arial"/>
                <w:color w:val="000000"/>
                <w:sz w:val="16"/>
                <w:szCs w:val="16"/>
              </w:rPr>
            </w:pPr>
          </w:p>
        </w:tc>
        <w:tc>
          <w:tcPr>
            <w:tcW w:w="920" w:type="dxa"/>
            <w:tcBorders>
              <w:top w:val="nil"/>
              <w:left w:val="nil"/>
              <w:bottom w:val="nil"/>
              <w:right w:val="nil"/>
            </w:tcBorders>
            <w:noWrap/>
            <w:hideMark/>
          </w:tcPr>
          <w:p w14:paraId="5ACBDD94" w14:textId="77777777" w:rsidR="0022742F" w:rsidRPr="008174E3" w:rsidRDefault="0022742F" w:rsidP="0022742F">
            <w:pPr>
              <w:rPr>
                <w:rFonts w:ascii="Arial" w:hAnsi="Arial" w:cs="Arial"/>
                <w:sz w:val="16"/>
                <w:szCs w:val="16"/>
              </w:rPr>
            </w:pPr>
          </w:p>
        </w:tc>
        <w:tc>
          <w:tcPr>
            <w:tcW w:w="920" w:type="dxa"/>
            <w:tcBorders>
              <w:top w:val="nil"/>
              <w:left w:val="nil"/>
              <w:bottom w:val="nil"/>
              <w:right w:val="nil"/>
            </w:tcBorders>
            <w:noWrap/>
            <w:hideMark/>
          </w:tcPr>
          <w:p w14:paraId="5A004E81" w14:textId="77777777" w:rsidR="0022742F" w:rsidRPr="008174E3" w:rsidRDefault="0022742F" w:rsidP="0022742F">
            <w:pPr>
              <w:rPr>
                <w:rFonts w:ascii="Arial" w:hAnsi="Arial" w:cs="Arial"/>
                <w:sz w:val="16"/>
                <w:szCs w:val="16"/>
              </w:rPr>
            </w:pPr>
          </w:p>
        </w:tc>
      </w:tr>
      <w:tr w:rsidR="0022742F" w:rsidRPr="008174E3" w14:paraId="6CFA1B90" w14:textId="77777777" w:rsidTr="0022742F">
        <w:trPr>
          <w:trHeight w:val="285"/>
        </w:trPr>
        <w:tc>
          <w:tcPr>
            <w:tcW w:w="4770" w:type="dxa"/>
            <w:gridSpan w:val="2"/>
            <w:tcBorders>
              <w:top w:val="single" w:sz="4" w:space="0" w:color="auto"/>
              <w:left w:val="nil"/>
              <w:bottom w:val="single" w:sz="4" w:space="0" w:color="auto"/>
              <w:right w:val="nil"/>
            </w:tcBorders>
            <w:noWrap/>
            <w:vAlign w:val="bottom"/>
            <w:hideMark/>
          </w:tcPr>
          <w:p w14:paraId="5687B0A2" w14:textId="77777777" w:rsidR="0022742F" w:rsidRPr="008174E3" w:rsidRDefault="0022742F" w:rsidP="0022742F">
            <w:pPr>
              <w:rPr>
                <w:rFonts w:ascii="Arial" w:hAnsi="Arial" w:cs="Arial"/>
                <w:b/>
                <w:color w:val="000000"/>
                <w:sz w:val="16"/>
                <w:szCs w:val="16"/>
              </w:rPr>
            </w:pPr>
            <w:r w:rsidRPr="008174E3">
              <w:rPr>
                <w:rFonts w:ascii="Arial" w:hAnsi="Arial" w:cs="Arial"/>
                <w:b/>
                <w:color w:val="000000"/>
                <w:sz w:val="16"/>
                <w:szCs w:val="16"/>
              </w:rPr>
              <w:t>Servicios de Vinculación Laboral</w:t>
            </w:r>
          </w:p>
        </w:tc>
        <w:tc>
          <w:tcPr>
            <w:tcW w:w="920" w:type="dxa"/>
            <w:tcBorders>
              <w:top w:val="single" w:sz="4" w:space="0" w:color="auto"/>
              <w:left w:val="nil"/>
              <w:bottom w:val="single" w:sz="4" w:space="0" w:color="auto"/>
              <w:right w:val="nil"/>
            </w:tcBorders>
            <w:noWrap/>
            <w:vAlign w:val="bottom"/>
            <w:hideMark/>
          </w:tcPr>
          <w:p w14:paraId="2E9020F4" w14:textId="77777777" w:rsidR="0022742F" w:rsidRPr="008174E3" w:rsidRDefault="0022742F" w:rsidP="0022742F">
            <w:pPr>
              <w:rPr>
                <w:rFonts w:ascii="Arial" w:hAnsi="Arial" w:cs="Arial"/>
                <w:color w:val="000000"/>
                <w:sz w:val="16"/>
                <w:szCs w:val="16"/>
              </w:rPr>
            </w:pPr>
          </w:p>
        </w:tc>
        <w:tc>
          <w:tcPr>
            <w:tcW w:w="920" w:type="dxa"/>
            <w:gridSpan w:val="2"/>
            <w:tcBorders>
              <w:top w:val="single" w:sz="4" w:space="0" w:color="auto"/>
              <w:left w:val="nil"/>
              <w:bottom w:val="single" w:sz="4" w:space="0" w:color="auto"/>
              <w:right w:val="nil"/>
            </w:tcBorders>
            <w:noWrap/>
            <w:vAlign w:val="bottom"/>
            <w:hideMark/>
          </w:tcPr>
          <w:p w14:paraId="6A4CEBE8" w14:textId="77777777" w:rsidR="0022742F" w:rsidRPr="008174E3" w:rsidRDefault="0022742F" w:rsidP="0022742F">
            <w:pPr>
              <w:rPr>
                <w:rFonts w:ascii="Arial" w:hAnsi="Arial" w:cs="Arial"/>
                <w:sz w:val="16"/>
                <w:szCs w:val="16"/>
              </w:rPr>
            </w:pPr>
          </w:p>
        </w:tc>
        <w:tc>
          <w:tcPr>
            <w:tcW w:w="800" w:type="dxa"/>
            <w:tcBorders>
              <w:top w:val="single" w:sz="4" w:space="0" w:color="auto"/>
              <w:left w:val="nil"/>
              <w:bottom w:val="single" w:sz="4" w:space="0" w:color="auto"/>
              <w:right w:val="nil"/>
            </w:tcBorders>
            <w:noWrap/>
            <w:vAlign w:val="bottom"/>
            <w:hideMark/>
          </w:tcPr>
          <w:p w14:paraId="2403171F" w14:textId="77777777" w:rsidR="0022742F" w:rsidRPr="008174E3" w:rsidRDefault="0022742F" w:rsidP="0022742F">
            <w:pPr>
              <w:rPr>
                <w:rFonts w:ascii="Arial" w:hAnsi="Arial" w:cs="Arial"/>
                <w:sz w:val="16"/>
                <w:szCs w:val="16"/>
              </w:rPr>
            </w:pPr>
          </w:p>
        </w:tc>
        <w:tc>
          <w:tcPr>
            <w:tcW w:w="920" w:type="dxa"/>
            <w:tcBorders>
              <w:top w:val="single" w:sz="4" w:space="0" w:color="auto"/>
              <w:left w:val="nil"/>
              <w:bottom w:val="single" w:sz="4" w:space="0" w:color="auto"/>
              <w:right w:val="nil"/>
            </w:tcBorders>
            <w:noWrap/>
            <w:vAlign w:val="bottom"/>
            <w:hideMark/>
          </w:tcPr>
          <w:p w14:paraId="259AD30F" w14:textId="77777777" w:rsidR="0022742F" w:rsidRPr="008174E3" w:rsidRDefault="0022742F" w:rsidP="0022742F">
            <w:pPr>
              <w:rPr>
                <w:rFonts w:ascii="Arial" w:hAnsi="Arial" w:cs="Arial"/>
                <w:sz w:val="16"/>
                <w:szCs w:val="16"/>
              </w:rPr>
            </w:pPr>
          </w:p>
        </w:tc>
        <w:tc>
          <w:tcPr>
            <w:tcW w:w="920" w:type="dxa"/>
            <w:tcBorders>
              <w:top w:val="single" w:sz="4" w:space="0" w:color="auto"/>
              <w:left w:val="nil"/>
              <w:bottom w:val="single" w:sz="4" w:space="0" w:color="auto"/>
              <w:right w:val="nil"/>
            </w:tcBorders>
            <w:noWrap/>
            <w:vAlign w:val="bottom"/>
            <w:hideMark/>
          </w:tcPr>
          <w:p w14:paraId="3F9FB546" w14:textId="77777777" w:rsidR="0022742F" w:rsidRPr="008174E3" w:rsidRDefault="0022742F" w:rsidP="0022742F">
            <w:pPr>
              <w:rPr>
                <w:rFonts w:ascii="Arial" w:hAnsi="Arial" w:cs="Arial"/>
                <w:sz w:val="16"/>
                <w:szCs w:val="16"/>
              </w:rPr>
            </w:pPr>
          </w:p>
        </w:tc>
      </w:tr>
      <w:tr w:rsidR="0022742F" w:rsidRPr="008174E3" w14:paraId="7A2DEDF8" w14:textId="77777777" w:rsidTr="0022742F">
        <w:trPr>
          <w:trHeight w:val="285"/>
        </w:trPr>
        <w:tc>
          <w:tcPr>
            <w:tcW w:w="3870" w:type="dxa"/>
            <w:tcBorders>
              <w:top w:val="nil"/>
              <w:left w:val="nil"/>
              <w:bottom w:val="nil"/>
              <w:right w:val="nil"/>
            </w:tcBorders>
            <w:noWrap/>
            <w:vAlign w:val="bottom"/>
            <w:hideMark/>
          </w:tcPr>
          <w:p w14:paraId="52005B0C" w14:textId="77777777" w:rsidR="0022742F" w:rsidRPr="008174E3" w:rsidRDefault="0022742F" w:rsidP="0022742F">
            <w:pPr>
              <w:rPr>
                <w:rFonts w:ascii="Arial" w:hAnsi="Arial" w:cs="Arial"/>
                <w:color w:val="000000"/>
                <w:sz w:val="16"/>
                <w:szCs w:val="16"/>
              </w:rPr>
            </w:pPr>
            <w:r w:rsidRPr="008174E3">
              <w:rPr>
                <w:rFonts w:ascii="Arial" w:hAnsi="Arial" w:cs="Arial"/>
                <w:color w:val="000000"/>
                <w:sz w:val="16"/>
                <w:szCs w:val="16"/>
              </w:rPr>
              <w:t>Bolsa de Trabajo</w:t>
            </w:r>
          </w:p>
        </w:tc>
        <w:tc>
          <w:tcPr>
            <w:tcW w:w="900" w:type="dxa"/>
            <w:tcBorders>
              <w:top w:val="nil"/>
              <w:left w:val="nil"/>
              <w:bottom w:val="nil"/>
              <w:right w:val="nil"/>
            </w:tcBorders>
            <w:noWrap/>
            <w:hideMark/>
          </w:tcPr>
          <w:p w14:paraId="72B1BF63" w14:textId="41C390DC"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944</w:t>
            </w:r>
            <w:r w:rsidR="009929A0" w:rsidRPr="008174E3">
              <w:rPr>
                <w:rFonts w:ascii="Arial" w:hAnsi="Arial" w:cs="Arial"/>
                <w:sz w:val="16"/>
                <w:szCs w:val="16"/>
              </w:rPr>
              <w:t>.</w:t>
            </w:r>
            <w:r w:rsidRPr="008174E3">
              <w:rPr>
                <w:rFonts w:ascii="Arial" w:hAnsi="Arial" w:cs="Arial"/>
                <w:sz w:val="16"/>
                <w:szCs w:val="16"/>
              </w:rPr>
              <w:t xml:space="preserve">727 </w:t>
            </w:r>
          </w:p>
        </w:tc>
        <w:tc>
          <w:tcPr>
            <w:tcW w:w="920" w:type="dxa"/>
            <w:tcBorders>
              <w:top w:val="nil"/>
              <w:left w:val="nil"/>
              <w:bottom w:val="nil"/>
              <w:right w:val="nil"/>
            </w:tcBorders>
            <w:noWrap/>
            <w:hideMark/>
          </w:tcPr>
          <w:p w14:paraId="2808259D" w14:textId="06992DAE"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697</w:t>
            </w:r>
            <w:r w:rsidR="009929A0" w:rsidRPr="008174E3">
              <w:rPr>
                <w:rFonts w:ascii="Arial" w:hAnsi="Arial" w:cs="Arial"/>
                <w:sz w:val="16"/>
                <w:szCs w:val="16"/>
              </w:rPr>
              <w:t>.</w:t>
            </w:r>
            <w:r w:rsidRPr="008174E3">
              <w:rPr>
                <w:rFonts w:ascii="Arial" w:hAnsi="Arial" w:cs="Arial"/>
                <w:sz w:val="16"/>
                <w:szCs w:val="16"/>
              </w:rPr>
              <w:t xml:space="preserve">324 </w:t>
            </w:r>
          </w:p>
        </w:tc>
        <w:tc>
          <w:tcPr>
            <w:tcW w:w="920" w:type="dxa"/>
            <w:gridSpan w:val="2"/>
            <w:tcBorders>
              <w:top w:val="nil"/>
              <w:left w:val="nil"/>
              <w:bottom w:val="nil"/>
              <w:right w:val="nil"/>
            </w:tcBorders>
            <w:noWrap/>
            <w:hideMark/>
          </w:tcPr>
          <w:p w14:paraId="5B97BA32" w14:textId="0F35CA99"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1</w:t>
            </w:r>
            <w:r w:rsidR="009929A0" w:rsidRPr="008174E3">
              <w:rPr>
                <w:rFonts w:ascii="Arial" w:hAnsi="Arial" w:cs="Arial"/>
                <w:sz w:val="16"/>
                <w:szCs w:val="16"/>
              </w:rPr>
              <w:t>.</w:t>
            </w:r>
            <w:r w:rsidRPr="008174E3">
              <w:rPr>
                <w:rFonts w:ascii="Arial" w:hAnsi="Arial" w:cs="Arial"/>
                <w:sz w:val="16"/>
                <w:szCs w:val="16"/>
              </w:rPr>
              <w:t>642</w:t>
            </w:r>
            <w:r w:rsidR="009929A0" w:rsidRPr="008174E3">
              <w:rPr>
                <w:rFonts w:ascii="Arial" w:hAnsi="Arial" w:cs="Arial"/>
                <w:sz w:val="16"/>
                <w:szCs w:val="16"/>
              </w:rPr>
              <w:t>.</w:t>
            </w:r>
            <w:r w:rsidRPr="008174E3">
              <w:rPr>
                <w:rFonts w:ascii="Arial" w:hAnsi="Arial" w:cs="Arial"/>
                <w:sz w:val="16"/>
                <w:szCs w:val="16"/>
              </w:rPr>
              <w:t xml:space="preserve">051 </w:t>
            </w:r>
          </w:p>
        </w:tc>
        <w:tc>
          <w:tcPr>
            <w:tcW w:w="800" w:type="dxa"/>
            <w:tcBorders>
              <w:top w:val="nil"/>
              <w:left w:val="nil"/>
              <w:bottom w:val="nil"/>
              <w:right w:val="nil"/>
            </w:tcBorders>
            <w:noWrap/>
            <w:hideMark/>
          </w:tcPr>
          <w:p w14:paraId="66CEF8E9" w14:textId="1DAA0CA7"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278</w:t>
            </w:r>
            <w:r w:rsidR="009929A0" w:rsidRPr="008174E3">
              <w:rPr>
                <w:rFonts w:ascii="Arial" w:hAnsi="Arial" w:cs="Arial"/>
                <w:sz w:val="16"/>
                <w:szCs w:val="16"/>
              </w:rPr>
              <w:t>.</w:t>
            </w:r>
            <w:r w:rsidRPr="008174E3">
              <w:rPr>
                <w:rFonts w:ascii="Arial" w:hAnsi="Arial" w:cs="Arial"/>
                <w:sz w:val="16"/>
                <w:szCs w:val="16"/>
              </w:rPr>
              <w:t xml:space="preserve">488 </w:t>
            </w:r>
          </w:p>
        </w:tc>
        <w:tc>
          <w:tcPr>
            <w:tcW w:w="920" w:type="dxa"/>
            <w:tcBorders>
              <w:top w:val="nil"/>
              <w:left w:val="nil"/>
              <w:bottom w:val="nil"/>
              <w:right w:val="nil"/>
            </w:tcBorders>
            <w:noWrap/>
            <w:hideMark/>
          </w:tcPr>
          <w:p w14:paraId="2D30004D" w14:textId="1FB41792"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198</w:t>
            </w:r>
            <w:r w:rsidR="009929A0" w:rsidRPr="008174E3">
              <w:rPr>
                <w:rFonts w:ascii="Arial" w:hAnsi="Arial" w:cs="Arial"/>
                <w:sz w:val="16"/>
                <w:szCs w:val="16"/>
              </w:rPr>
              <w:t>.</w:t>
            </w:r>
            <w:r w:rsidRPr="008174E3">
              <w:rPr>
                <w:rFonts w:ascii="Arial" w:hAnsi="Arial" w:cs="Arial"/>
                <w:sz w:val="16"/>
                <w:szCs w:val="16"/>
              </w:rPr>
              <w:t xml:space="preserve">124 </w:t>
            </w:r>
          </w:p>
        </w:tc>
        <w:tc>
          <w:tcPr>
            <w:tcW w:w="920" w:type="dxa"/>
            <w:tcBorders>
              <w:top w:val="nil"/>
              <w:left w:val="nil"/>
              <w:bottom w:val="nil"/>
              <w:right w:val="nil"/>
            </w:tcBorders>
            <w:noWrap/>
            <w:hideMark/>
          </w:tcPr>
          <w:p w14:paraId="258854E7" w14:textId="5AF8F8A8"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476</w:t>
            </w:r>
            <w:r w:rsidR="009929A0" w:rsidRPr="008174E3">
              <w:rPr>
                <w:rFonts w:ascii="Arial" w:hAnsi="Arial" w:cs="Arial"/>
                <w:sz w:val="16"/>
                <w:szCs w:val="16"/>
              </w:rPr>
              <w:t>.</w:t>
            </w:r>
            <w:r w:rsidRPr="008174E3">
              <w:rPr>
                <w:rFonts w:ascii="Arial" w:hAnsi="Arial" w:cs="Arial"/>
                <w:sz w:val="16"/>
                <w:szCs w:val="16"/>
              </w:rPr>
              <w:t xml:space="preserve">612 </w:t>
            </w:r>
          </w:p>
        </w:tc>
      </w:tr>
      <w:tr w:rsidR="0022742F" w:rsidRPr="008174E3" w14:paraId="0CAA9751" w14:textId="77777777" w:rsidTr="0022742F">
        <w:trPr>
          <w:trHeight w:val="285"/>
        </w:trPr>
        <w:tc>
          <w:tcPr>
            <w:tcW w:w="3870" w:type="dxa"/>
            <w:tcBorders>
              <w:top w:val="nil"/>
              <w:left w:val="nil"/>
              <w:bottom w:val="nil"/>
              <w:right w:val="nil"/>
            </w:tcBorders>
            <w:noWrap/>
            <w:vAlign w:val="bottom"/>
            <w:hideMark/>
          </w:tcPr>
          <w:p w14:paraId="4F0F2AF2" w14:textId="77777777" w:rsidR="0022742F" w:rsidRPr="008174E3" w:rsidRDefault="0022742F" w:rsidP="0022742F">
            <w:pPr>
              <w:rPr>
                <w:rFonts w:ascii="Arial" w:hAnsi="Arial" w:cs="Arial"/>
                <w:color w:val="000000"/>
                <w:sz w:val="16"/>
                <w:szCs w:val="16"/>
              </w:rPr>
            </w:pPr>
            <w:r w:rsidRPr="008174E3">
              <w:rPr>
                <w:rFonts w:ascii="Arial" w:hAnsi="Arial" w:cs="Arial"/>
                <w:color w:val="000000"/>
                <w:sz w:val="16"/>
                <w:szCs w:val="16"/>
              </w:rPr>
              <w:t>Ferias de Empleo</w:t>
            </w:r>
          </w:p>
        </w:tc>
        <w:tc>
          <w:tcPr>
            <w:tcW w:w="900" w:type="dxa"/>
            <w:tcBorders>
              <w:top w:val="nil"/>
              <w:left w:val="nil"/>
              <w:bottom w:val="nil"/>
              <w:right w:val="nil"/>
            </w:tcBorders>
            <w:noWrap/>
            <w:hideMark/>
          </w:tcPr>
          <w:p w14:paraId="13EF5677" w14:textId="1C681CDA"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227</w:t>
            </w:r>
            <w:r w:rsidR="009929A0" w:rsidRPr="008174E3">
              <w:rPr>
                <w:rFonts w:ascii="Arial" w:hAnsi="Arial" w:cs="Arial"/>
                <w:sz w:val="16"/>
                <w:szCs w:val="16"/>
              </w:rPr>
              <w:t>.</w:t>
            </w:r>
            <w:r w:rsidRPr="008174E3">
              <w:rPr>
                <w:rFonts w:ascii="Arial" w:hAnsi="Arial" w:cs="Arial"/>
                <w:sz w:val="16"/>
                <w:szCs w:val="16"/>
              </w:rPr>
              <w:t xml:space="preserve">693 </w:t>
            </w:r>
          </w:p>
        </w:tc>
        <w:tc>
          <w:tcPr>
            <w:tcW w:w="920" w:type="dxa"/>
            <w:tcBorders>
              <w:top w:val="nil"/>
              <w:left w:val="nil"/>
              <w:bottom w:val="nil"/>
              <w:right w:val="nil"/>
            </w:tcBorders>
            <w:noWrap/>
            <w:hideMark/>
          </w:tcPr>
          <w:p w14:paraId="5FD4D0D2" w14:textId="6127862C"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177</w:t>
            </w:r>
            <w:r w:rsidR="009929A0" w:rsidRPr="008174E3">
              <w:rPr>
                <w:rFonts w:ascii="Arial" w:hAnsi="Arial" w:cs="Arial"/>
                <w:sz w:val="16"/>
                <w:szCs w:val="16"/>
              </w:rPr>
              <w:t>.</w:t>
            </w:r>
            <w:r w:rsidRPr="008174E3">
              <w:rPr>
                <w:rFonts w:ascii="Arial" w:hAnsi="Arial" w:cs="Arial"/>
                <w:sz w:val="16"/>
                <w:szCs w:val="16"/>
              </w:rPr>
              <w:t xml:space="preserve">798 </w:t>
            </w:r>
          </w:p>
        </w:tc>
        <w:tc>
          <w:tcPr>
            <w:tcW w:w="920" w:type="dxa"/>
            <w:gridSpan w:val="2"/>
            <w:tcBorders>
              <w:top w:val="nil"/>
              <w:left w:val="nil"/>
              <w:bottom w:val="nil"/>
              <w:right w:val="nil"/>
            </w:tcBorders>
            <w:noWrap/>
            <w:hideMark/>
          </w:tcPr>
          <w:p w14:paraId="025BEDF9" w14:textId="445341EA"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405</w:t>
            </w:r>
            <w:r w:rsidR="009929A0" w:rsidRPr="008174E3">
              <w:rPr>
                <w:rFonts w:ascii="Arial" w:hAnsi="Arial" w:cs="Arial"/>
                <w:sz w:val="16"/>
                <w:szCs w:val="16"/>
              </w:rPr>
              <w:t>.</w:t>
            </w:r>
            <w:r w:rsidRPr="008174E3">
              <w:rPr>
                <w:rFonts w:ascii="Arial" w:hAnsi="Arial" w:cs="Arial"/>
                <w:sz w:val="16"/>
                <w:szCs w:val="16"/>
              </w:rPr>
              <w:t xml:space="preserve">491 </w:t>
            </w:r>
          </w:p>
        </w:tc>
        <w:tc>
          <w:tcPr>
            <w:tcW w:w="800" w:type="dxa"/>
            <w:tcBorders>
              <w:top w:val="nil"/>
              <w:left w:val="nil"/>
              <w:bottom w:val="nil"/>
              <w:right w:val="nil"/>
            </w:tcBorders>
            <w:noWrap/>
            <w:hideMark/>
          </w:tcPr>
          <w:p w14:paraId="1BC5093B" w14:textId="4914987B"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81</w:t>
            </w:r>
            <w:r w:rsidR="009929A0" w:rsidRPr="008174E3">
              <w:rPr>
                <w:rFonts w:ascii="Arial" w:hAnsi="Arial" w:cs="Arial"/>
                <w:sz w:val="16"/>
                <w:szCs w:val="16"/>
              </w:rPr>
              <w:t>.</w:t>
            </w:r>
            <w:r w:rsidRPr="008174E3">
              <w:rPr>
                <w:rFonts w:ascii="Arial" w:hAnsi="Arial" w:cs="Arial"/>
                <w:sz w:val="16"/>
                <w:szCs w:val="16"/>
              </w:rPr>
              <w:t xml:space="preserve">347 </w:t>
            </w:r>
          </w:p>
        </w:tc>
        <w:tc>
          <w:tcPr>
            <w:tcW w:w="920" w:type="dxa"/>
            <w:tcBorders>
              <w:top w:val="nil"/>
              <w:left w:val="nil"/>
              <w:bottom w:val="nil"/>
              <w:right w:val="nil"/>
            </w:tcBorders>
            <w:noWrap/>
            <w:hideMark/>
          </w:tcPr>
          <w:p w14:paraId="70FFD082" w14:textId="362A84CB"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59</w:t>
            </w:r>
            <w:r w:rsidR="009929A0" w:rsidRPr="008174E3">
              <w:rPr>
                <w:rFonts w:ascii="Arial" w:hAnsi="Arial" w:cs="Arial"/>
                <w:sz w:val="16"/>
                <w:szCs w:val="16"/>
              </w:rPr>
              <w:t>.</w:t>
            </w:r>
            <w:r w:rsidRPr="008174E3">
              <w:rPr>
                <w:rFonts w:ascii="Arial" w:hAnsi="Arial" w:cs="Arial"/>
                <w:sz w:val="16"/>
                <w:szCs w:val="16"/>
              </w:rPr>
              <w:t xml:space="preserve">777 </w:t>
            </w:r>
          </w:p>
        </w:tc>
        <w:tc>
          <w:tcPr>
            <w:tcW w:w="920" w:type="dxa"/>
            <w:tcBorders>
              <w:top w:val="nil"/>
              <w:left w:val="nil"/>
              <w:bottom w:val="nil"/>
              <w:right w:val="nil"/>
            </w:tcBorders>
            <w:noWrap/>
            <w:hideMark/>
          </w:tcPr>
          <w:p w14:paraId="20EF0549" w14:textId="18353EFC"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141</w:t>
            </w:r>
            <w:r w:rsidR="009929A0" w:rsidRPr="008174E3">
              <w:rPr>
                <w:rFonts w:ascii="Arial" w:hAnsi="Arial" w:cs="Arial"/>
                <w:sz w:val="16"/>
                <w:szCs w:val="16"/>
              </w:rPr>
              <w:t>.</w:t>
            </w:r>
            <w:r w:rsidRPr="008174E3">
              <w:rPr>
                <w:rFonts w:ascii="Arial" w:hAnsi="Arial" w:cs="Arial"/>
                <w:sz w:val="16"/>
                <w:szCs w:val="16"/>
              </w:rPr>
              <w:t xml:space="preserve">124 </w:t>
            </w:r>
          </w:p>
        </w:tc>
      </w:tr>
      <w:tr w:rsidR="0022742F" w:rsidRPr="008174E3" w14:paraId="5BCFA033" w14:textId="77777777" w:rsidTr="0022742F">
        <w:trPr>
          <w:trHeight w:val="285"/>
        </w:trPr>
        <w:tc>
          <w:tcPr>
            <w:tcW w:w="3870" w:type="dxa"/>
            <w:tcBorders>
              <w:top w:val="nil"/>
              <w:left w:val="nil"/>
              <w:bottom w:val="single" w:sz="4" w:space="0" w:color="auto"/>
              <w:right w:val="nil"/>
            </w:tcBorders>
            <w:noWrap/>
            <w:vAlign w:val="bottom"/>
            <w:hideMark/>
          </w:tcPr>
          <w:p w14:paraId="077BB115" w14:textId="77777777" w:rsidR="0022742F" w:rsidRPr="008174E3" w:rsidRDefault="0022742F" w:rsidP="0022742F">
            <w:pPr>
              <w:rPr>
                <w:rFonts w:ascii="Arial" w:hAnsi="Arial" w:cs="Arial"/>
                <w:color w:val="000000"/>
                <w:sz w:val="16"/>
                <w:szCs w:val="16"/>
              </w:rPr>
            </w:pPr>
            <w:r w:rsidRPr="008174E3">
              <w:rPr>
                <w:rFonts w:ascii="Arial" w:hAnsi="Arial" w:cs="Arial"/>
                <w:color w:val="000000"/>
                <w:sz w:val="16"/>
                <w:szCs w:val="16"/>
              </w:rPr>
              <w:t>Portal del Empleo</w:t>
            </w:r>
          </w:p>
        </w:tc>
        <w:tc>
          <w:tcPr>
            <w:tcW w:w="900" w:type="dxa"/>
            <w:tcBorders>
              <w:top w:val="nil"/>
              <w:left w:val="nil"/>
              <w:bottom w:val="single" w:sz="4" w:space="0" w:color="auto"/>
              <w:right w:val="nil"/>
            </w:tcBorders>
            <w:noWrap/>
            <w:hideMark/>
          </w:tcPr>
          <w:p w14:paraId="2F451E04" w14:textId="4DBDF7DA"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834</w:t>
            </w:r>
            <w:r w:rsidR="009929A0" w:rsidRPr="008174E3">
              <w:rPr>
                <w:rFonts w:ascii="Arial" w:hAnsi="Arial" w:cs="Arial"/>
                <w:sz w:val="16"/>
                <w:szCs w:val="16"/>
              </w:rPr>
              <w:t>.</w:t>
            </w:r>
            <w:r w:rsidRPr="008174E3">
              <w:rPr>
                <w:rFonts w:ascii="Arial" w:hAnsi="Arial" w:cs="Arial"/>
                <w:sz w:val="16"/>
                <w:szCs w:val="16"/>
              </w:rPr>
              <w:t xml:space="preserve">605 </w:t>
            </w:r>
          </w:p>
        </w:tc>
        <w:tc>
          <w:tcPr>
            <w:tcW w:w="920" w:type="dxa"/>
            <w:tcBorders>
              <w:top w:val="nil"/>
              <w:left w:val="nil"/>
              <w:bottom w:val="single" w:sz="4" w:space="0" w:color="auto"/>
              <w:right w:val="nil"/>
            </w:tcBorders>
            <w:noWrap/>
            <w:hideMark/>
          </w:tcPr>
          <w:p w14:paraId="099D3974" w14:textId="0BDA49C7"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625</w:t>
            </w:r>
            <w:r w:rsidR="009929A0" w:rsidRPr="008174E3">
              <w:rPr>
                <w:rFonts w:ascii="Arial" w:hAnsi="Arial" w:cs="Arial"/>
                <w:sz w:val="16"/>
                <w:szCs w:val="16"/>
              </w:rPr>
              <w:t>.</w:t>
            </w:r>
            <w:r w:rsidRPr="008174E3">
              <w:rPr>
                <w:rFonts w:ascii="Arial" w:hAnsi="Arial" w:cs="Arial"/>
                <w:sz w:val="16"/>
                <w:szCs w:val="16"/>
              </w:rPr>
              <w:t xml:space="preserve">050 </w:t>
            </w:r>
          </w:p>
        </w:tc>
        <w:tc>
          <w:tcPr>
            <w:tcW w:w="920" w:type="dxa"/>
            <w:gridSpan w:val="2"/>
            <w:tcBorders>
              <w:top w:val="nil"/>
              <w:left w:val="nil"/>
              <w:bottom w:val="single" w:sz="4" w:space="0" w:color="auto"/>
              <w:right w:val="nil"/>
            </w:tcBorders>
            <w:noWrap/>
            <w:hideMark/>
          </w:tcPr>
          <w:p w14:paraId="6FB1BAE1" w14:textId="38F03EBA"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1</w:t>
            </w:r>
            <w:r w:rsidR="009929A0" w:rsidRPr="008174E3">
              <w:rPr>
                <w:rFonts w:ascii="Arial" w:hAnsi="Arial" w:cs="Arial"/>
                <w:sz w:val="16"/>
                <w:szCs w:val="16"/>
              </w:rPr>
              <w:t>.</w:t>
            </w:r>
            <w:r w:rsidRPr="008174E3">
              <w:rPr>
                <w:rFonts w:ascii="Arial" w:hAnsi="Arial" w:cs="Arial"/>
                <w:sz w:val="16"/>
                <w:szCs w:val="16"/>
              </w:rPr>
              <w:t>459</w:t>
            </w:r>
            <w:r w:rsidR="009929A0" w:rsidRPr="008174E3">
              <w:rPr>
                <w:rFonts w:ascii="Arial" w:hAnsi="Arial" w:cs="Arial"/>
                <w:sz w:val="16"/>
                <w:szCs w:val="16"/>
              </w:rPr>
              <w:t>.</w:t>
            </w:r>
            <w:r w:rsidRPr="008174E3">
              <w:rPr>
                <w:rFonts w:ascii="Arial" w:hAnsi="Arial" w:cs="Arial"/>
                <w:sz w:val="16"/>
                <w:szCs w:val="16"/>
              </w:rPr>
              <w:t xml:space="preserve">655 </w:t>
            </w:r>
          </w:p>
        </w:tc>
        <w:tc>
          <w:tcPr>
            <w:tcW w:w="800" w:type="dxa"/>
            <w:tcBorders>
              <w:top w:val="nil"/>
              <w:left w:val="nil"/>
              <w:bottom w:val="single" w:sz="4" w:space="0" w:color="auto"/>
              <w:right w:val="nil"/>
            </w:tcBorders>
            <w:noWrap/>
            <w:hideMark/>
          </w:tcPr>
          <w:p w14:paraId="105B3C3B" w14:textId="73A33E22"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148</w:t>
            </w:r>
            <w:r w:rsidR="009929A0" w:rsidRPr="008174E3">
              <w:rPr>
                <w:rFonts w:ascii="Arial" w:hAnsi="Arial" w:cs="Arial"/>
                <w:sz w:val="16"/>
                <w:szCs w:val="16"/>
              </w:rPr>
              <w:t>.</w:t>
            </w:r>
            <w:r w:rsidRPr="008174E3">
              <w:rPr>
                <w:rFonts w:ascii="Arial" w:hAnsi="Arial" w:cs="Arial"/>
                <w:sz w:val="16"/>
                <w:szCs w:val="16"/>
              </w:rPr>
              <w:t xml:space="preserve">556 </w:t>
            </w:r>
          </w:p>
        </w:tc>
        <w:tc>
          <w:tcPr>
            <w:tcW w:w="920" w:type="dxa"/>
            <w:tcBorders>
              <w:top w:val="nil"/>
              <w:left w:val="nil"/>
              <w:bottom w:val="single" w:sz="4" w:space="0" w:color="auto"/>
              <w:right w:val="nil"/>
            </w:tcBorders>
            <w:noWrap/>
            <w:hideMark/>
          </w:tcPr>
          <w:p w14:paraId="17226BE4" w14:textId="58939304"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107</w:t>
            </w:r>
            <w:r w:rsidR="009929A0" w:rsidRPr="008174E3">
              <w:rPr>
                <w:rFonts w:ascii="Arial" w:hAnsi="Arial" w:cs="Arial"/>
                <w:sz w:val="16"/>
                <w:szCs w:val="16"/>
              </w:rPr>
              <w:t>.</w:t>
            </w:r>
            <w:r w:rsidRPr="008174E3">
              <w:rPr>
                <w:rFonts w:ascii="Arial" w:hAnsi="Arial" w:cs="Arial"/>
                <w:sz w:val="16"/>
                <w:szCs w:val="16"/>
              </w:rPr>
              <w:t xml:space="preserve">756 </w:t>
            </w:r>
          </w:p>
        </w:tc>
        <w:tc>
          <w:tcPr>
            <w:tcW w:w="920" w:type="dxa"/>
            <w:tcBorders>
              <w:top w:val="nil"/>
              <w:left w:val="nil"/>
              <w:bottom w:val="single" w:sz="4" w:space="0" w:color="auto"/>
              <w:right w:val="nil"/>
            </w:tcBorders>
            <w:noWrap/>
            <w:hideMark/>
          </w:tcPr>
          <w:p w14:paraId="1E91D61C" w14:textId="307BD340" w:rsidR="0022742F" w:rsidRPr="008174E3" w:rsidRDefault="0022742F" w:rsidP="0022742F">
            <w:pPr>
              <w:jc w:val="right"/>
              <w:rPr>
                <w:rFonts w:ascii="Arial" w:hAnsi="Arial" w:cs="Arial"/>
                <w:color w:val="000000"/>
                <w:sz w:val="16"/>
                <w:szCs w:val="16"/>
              </w:rPr>
            </w:pPr>
            <w:r w:rsidRPr="008174E3">
              <w:rPr>
                <w:rFonts w:ascii="Arial" w:hAnsi="Arial" w:cs="Arial"/>
                <w:sz w:val="16"/>
                <w:szCs w:val="16"/>
              </w:rPr>
              <w:t xml:space="preserve"> 256</w:t>
            </w:r>
            <w:r w:rsidR="009929A0" w:rsidRPr="008174E3">
              <w:rPr>
                <w:rFonts w:ascii="Arial" w:hAnsi="Arial" w:cs="Arial"/>
                <w:sz w:val="16"/>
                <w:szCs w:val="16"/>
              </w:rPr>
              <w:t>.</w:t>
            </w:r>
            <w:r w:rsidRPr="008174E3">
              <w:rPr>
                <w:rFonts w:ascii="Arial" w:hAnsi="Arial" w:cs="Arial"/>
                <w:sz w:val="16"/>
                <w:szCs w:val="16"/>
              </w:rPr>
              <w:t xml:space="preserve">312 </w:t>
            </w:r>
          </w:p>
        </w:tc>
      </w:tr>
    </w:tbl>
    <w:p w14:paraId="6B192D2F" w14:textId="506D1F9E" w:rsidR="008457CF" w:rsidRPr="008174E3" w:rsidRDefault="00090F38" w:rsidP="008457CF">
      <w:pPr>
        <w:rPr>
          <w:rFonts w:ascii="Arial" w:hAnsi="Arial" w:cs="Arial"/>
          <w:color w:val="000000"/>
          <w:sz w:val="20"/>
          <w:lang w:eastAsia="es-ES"/>
        </w:rPr>
      </w:pPr>
      <w:r w:rsidRPr="008174E3">
        <w:rPr>
          <w:rFonts w:ascii="Arial" w:hAnsi="Arial" w:cs="Arial"/>
          <w:color w:val="000000"/>
          <w:sz w:val="20"/>
          <w:lang w:eastAsia="es-ES"/>
        </w:rPr>
        <w:t xml:space="preserve">Fuente: </w:t>
      </w:r>
      <w:r w:rsidR="00DA556B" w:rsidRPr="008174E3">
        <w:rPr>
          <w:rFonts w:ascii="Arial" w:hAnsi="Arial" w:cs="Arial"/>
          <w:color w:val="000000"/>
          <w:sz w:val="20"/>
          <w:lang w:eastAsia="es-ES"/>
        </w:rPr>
        <w:t xml:space="preserve">Datos administrativos del </w:t>
      </w:r>
      <w:r w:rsidRPr="008174E3">
        <w:rPr>
          <w:rFonts w:ascii="Arial" w:hAnsi="Arial" w:cs="Arial"/>
          <w:color w:val="000000"/>
          <w:sz w:val="20"/>
          <w:lang w:eastAsia="es-ES"/>
        </w:rPr>
        <w:t>SNE</w:t>
      </w:r>
    </w:p>
    <w:p w14:paraId="0C11E4A6" w14:textId="77777777" w:rsidR="00090F38" w:rsidRPr="008174E3" w:rsidRDefault="00090F38" w:rsidP="008457CF">
      <w:pPr>
        <w:rPr>
          <w:rFonts w:ascii="Arial" w:hAnsi="Arial" w:cs="Arial"/>
          <w:color w:val="000000"/>
          <w:lang w:eastAsia="es-ES"/>
        </w:rPr>
      </w:pPr>
    </w:p>
    <w:p w14:paraId="1CDAFE22" w14:textId="68B54EFD" w:rsidR="00465780" w:rsidRPr="008174E3" w:rsidRDefault="00827E44" w:rsidP="001559F8">
      <w:pPr>
        <w:jc w:val="center"/>
        <w:rPr>
          <w:rFonts w:ascii="Arial" w:hAnsi="Arial" w:cs="Arial"/>
          <w:b/>
          <w:sz w:val="22"/>
        </w:rPr>
      </w:pPr>
      <w:r w:rsidRPr="008174E3">
        <w:rPr>
          <w:rFonts w:ascii="Arial" w:hAnsi="Arial" w:cs="Arial"/>
          <w:b/>
          <w:sz w:val="22"/>
        </w:rPr>
        <w:t>Cuadro </w:t>
      </w:r>
      <w:r w:rsidR="008457CF" w:rsidRPr="008174E3">
        <w:rPr>
          <w:rFonts w:ascii="Arial" w:hAnsi="Arial" w:cs="Arial"/>
          <w:b/>
          <w:sz w:val="22"/>
        </w:rPr>
        <w:t>A</w:t>
      </w:r>
      <w:r w:rsidR="0022742F" w:rsidRPr="008174E3">
        <w:rPr>
          <w:rFonts w:ascii="Arial" w:hAnsi="Arial" w:cs="Arial"/>
          <w:b/>
          <w:sz w:val="22"/>
        </w:rPr>
        <w:t>4</w:t>
      </w:r>
      <w:r w:rsidR="008457CF" w:rsidRPr="008174E3">
        <w:rPr>
          <w:rFonts w:ascii="Arial" w:hAnsi="Arial" w:cs="Arial"/>
          <w:b/>
          <w:sz w:val="22"/>
        </w:rPr>
        <w:t xml:space="preserve">: Supuestos Utilizados para </w:t>
      </w:r>
      <w:r w:rsidR="00DB1805" w:rsidRPr="008174E3">
        <w:rPr>
          <w:rFonts w:ascii="Arial" w:hAnsi="Arial" w:cs="Arial"/>
          <w:b/>
          <w:sz w:val="22"/>
        </w:rPr>
        <w:t xml:space="preserve">el </w:t>
      </w:r>
      <w:r w:rsidR="00E4461A" w:rsidRPr="008174E3">
        <w:rPr>
          <w:rFonts w:ascii="Arial" w:hAnsi="Arial" w:cs="Arial"/>
          <w:b/>
          <w:sz w:val="22"/>
        </w:rPr>
        <w:t>cálculo</w:t>
      </w:r>
      <w:r w:rsidR="00DB1805" w:rsidRPr="008174E3">
        <w:rPr>
          <w:rFonts w:ascii="Arial" w:hAnsi="Arial" w:cs="Arial"/>
          <w:b/>
          <w:sz w:val="22"/>
        </w:rPr>
        <w:t xml:space="preserve"> de</w:t>
      </w:r>
      <w:r w:rsidR="001559F8" w:rsidRPr="008174E3">
        <w:rPr>
          <w:rFonts w:ascii="Arial" w:hAnsi="Arial" w:cs="Arial"/>
          <w:b/>
          <w:sz w:val="22"/>
        </w:rPr>
        <w:t>l análisis económico</w:t>
      </w:r>
    </w:p>
    <w:p w14:paraId="5D9C7CE9" w14:textId="6CCD6AC5" w:rsidR="001559F8" w:rsidRPr="008174E3" w:rsidRDefault="001559F8" w:rsidP="001559F8">
      <w:pPr>
        <w:jc w:val="center"/>
        <w:rPr>
          <w:rFonts w:ascii="Arial" w:hAnsi="Arial" w:cs="Arial"/>
          <w:b/>
        </w:rPr>
      </w:pPr>
    </w:p>
    <w:tbl>
      <w:tblPr>
        <w:tblW w:w="9900" w:type="dxa"/>
        <w:tblInd w:w="70" w:type="dxa"/>
        <w:tblCellMar>
          <w:top w:w="15" w:type="dxa"/>
          <w:left w:w="70" w:type="dxa"/>
          <w:bottom w:w="15" w:type="dxa"/>
          <w:right w:w="70" w:type="dxa"/>
        </w:tblCellMar>
        <w:tblLook w:val="04A0" w:firstRow="1" w:lastRow="0" w:firstColumn="1" w:lastColumn="0" w:noHBand="0" w:noVBand="1"/>
      </w:tblPr>
      <w:tblGrid>
        <w:gridCol w:w="3600"/>
        <w:gridCol w:w="2160"/>
        <w:gridCol w:w="4140"/>
      </w:tblGrid>
      <w:tr w:rsidR="001559F8" w:rsidRPr="008174E3" w14:paraId="5232559D" w14:textId="77777777" w:rsidTr="001559F8">
        <w:trPr>
          <w:trHeight w:val="300"/>
        </w:trPr>
        <w:tc>
          <w:tcPr>
            <w:tcW w:w="3600" w:type="dxa"/>
            <w:tcBorders>
              <w:top w:val="nil"/>
              <w:left w:val="nil"/>
              <w:bottom w:val="single" w:sz="8" w:space="0" w:color="auto"/>
              <w:right w:val="nil"/>
            </w:tcBorders>
            <w:shd w:val="clear" w:color="000000" w:fill="DDEBF7"/>
            <w:noWrap/>
            <w:vAlign w:val="center"/>
            <w:hideMark/>
          </w:tcPr>
          <w:p w14:paraId="4F5677CB" w14:textId="77777777" w:rsidR="001559F8" w:rsidRPr="008174E3" w:rsidRDefault="001559F8" w:rsidP="001559F8">
            <w:pPr>
              <w:jc w:val="center"/>
              <w:rPr>
                <w:rFonts w:ascii="Arial" w:hAnsi="Arial" w:cs="Arial"/>
                <w:b/>
                <w:bCs/>
                <w:color w:val="000000"/>
                <w:sz w:val="22"/>
                <w:szCs w:val="22"/>
              </w:rPr>
            </w:pPr>
          </w:p>
        </w:tc>
        <w:tc>
          <w:tcPr>
            <w:tcW w:w="2160" w:type="dxa"/>
            <w:tcBorders>
              <w:top w:val="nil"/>
              <w:left w:val="nil"/>
              <w:bottom w:val="single" w:sz="8" w:space="0" w:color="auto"/>
              <w:right w:val="nil"/>
            </w:tcBorders>
            <w:shd w:val="clear" w:color="000000" w:fill="DDEBF7"/>
            <w:noWrap/>
            <w:vAlign w:val="center"/>
            <w:hideMark/>
          </w:tcPr>
          <w:p w14:paraId="433E7A71" w14:textId="77777777" w:rsidR="001559F8" w:rsidRPr="008174E3" w:rsidRDefault="001559F8" w:rsidP="001559F8">
            <w:pPr>
              <w:jc w:val="center"/>
              <w:rPr>
                <w:rFonts w:ascii="Arial" w:hAnsi="Arial" w:cs="Arial"/>
                <w:b/>
                <w:bCs/>
                <w:color w:val="000000"/>
                <w:sz w:val="22"/>
                <w:szCs w:val="22"/>
              </w:rPr>
            </w:pPr>
            <w:r w:rsidRPr="008174E3">
              <w:rPr>
                <w:rFonts w:ascii="Arial" w:hAnsi="Arial" w:cs="Arial"/>
                <w:b/>
                <w:bCs/>
                <w:color w:val="000000"/>
                <w:sz w:val="22"/>
                <w:szCs w:val="22"/>
              </w:rPr>
              <w:t>Supuestos</w:t>
            </w:r>
          </w:p>
        </w:tc>
        <w:tc>
          <w:tcPr>
            <w:tcW w:w="4140" w:type="dxa"/>
            <w:tcBorders>
              <w:top w:val="nil"/>
              <w:left w:val="nil"/>
              <w:bottom w:val="single" w:sz="8" w:space="0" w:color="auto"/>
              <w:right w:val="nil"/>
            </w:tcBorders>
            <w:shd w:val="clear" w:color="000000" w:fill="DDEBF7"/>
            <w:noWrap/>
            <w:vAlign w:val="center"/>
            <w:hideMark/>
          </w:tcPr>
          <w:p w14:paraId="4EEC16C5" w14:textId="77777777" w:rsidR="001559F8" w:rsidRPr="008174E3" w:rsidRDefault="001559F8" w:rsidP="001559F8">
            <w:pPr>
              <w:jc w:val="center"/>
              <w:rPr>
                <w:rFonts w:ascii="Arial" w:hAnsi="Arial" w:cs="Arial"/>
                <w:b/>
                <w:bCs/>
                <w:color w:val="000000"/>
                <w:sz w:val="22"/>
                <w:szCs w:val="22"/>
              </w:rPr>
            </w:pPr>
            <w:r w:rsidRPr="008174E3">
              <w:rPr>
                <w:rFonts w:ascii="Arial" w:hAnsi="Arial" w:cs="Arial"/>
                <w:b/>
                <w:bCs/>
                <w:color w:val="000000"/>
                <w:sz w:val="22"/>
                <w:szCs w:val="22"/>
              </w:rPr>
              <w:t>Fuente</w:t>
            </w:r>
          </w:p>
        </w:tc>
      </w:tr>
      <w:tr w:rsidR="001559F8" w:rsidRPr="008174E3" w14:paraId="7A52A6E6" w14:textId="77777777" w:rsidTr="001559F8">
        <w:trPr>
          <w:trHeight w:val="285"/>
        </w:trPr>
        <w:tc>
          <w:tcPr>
            <w:tcW w:w="9900" w:type="dxa"/>
            <w:gridSpan w:val="3"/>
            <w:tcBorders>
              <w:top w:val="single" w:sz="8" w:space="0" w:color="auto"/>
              <w:left w:val="nil"/>
              <w:bottom w:val="nil"/>
              <w:right w:val="nil"/>
            </w:tcBorders>
            <w:shd w:val="clear" w:color="000000" w:fill="DDEBF7"/>
            <w:noWrap/>
            <w:vAlign w:val="center"/>
            <w:hideMark/>
          </w:tcPr>
          <w:p w14:paraId="700B3DE6" w14:textId="77777777" w:rsidR="001559F8" w:rsidRPr="008174E3" w:rsidRDefault="001559F8" w:rsidP="001559F8">
            <w:pPr>
              <w:rPr>
                <w:rFonts w:ascii="Arial" w:hAnsi="Arial" w:cs="Arial"/>
                <w:b/>
                <w:bCs/>
                <w:color w:val="000000"/>
                <w:sz w:val="22"/>
                <w:szCs w:val="22"/>
              </w:rPr>
            </w:pPr>
            <w:r w:rsidRPr="008174E3">
              <w:rPr>
                <w:rFonts w:ascii="Arial" w:hAnsi="Arial" w:cs="Arial"/>
                <w:b/>
                <w:bCs/>
                <w:color w:val="000000"/>
                <w:sz w:val="22"/>
                <w:szCs w:val="22"/>
              </w:rPr>
              <w:t>Fortalecimiento del SNE</w:t>
            </w:r>
          </w:p>
        </w:tc>
      </w:tr>
      <w:tr w:rsidR="001559F8" w:rsidRPr="008174E3" w14:paraId="76CF516E" w14:textId="77777777" w:rsidTr="001559F8">
        <w:trPr>
          <w:trHeight w:val="480"/>
        </w:trPr>
        <w:tc>
          <w:tcPr>
            <w:tcW w:w="3600" w:type="dxa"/>
            <w:tcBorders>
              <w:top w:val="nil"/>
              <w:left w:val="nil"/>
              <w:bottom w:val="nil"/>
              <w:right w:val="nil"/>
            </w:tcBorders>
            <w:shd w:val="clear" w:color="000000" w:fill="FFFFFF"/>
            <w:noWrap/>
            <w:vAlign w:val="center"/>
            <w:hideMark/>
          </w:tcPr>
          <w:p w14:paraId="4FD9B99E" w14:textId="77777777" w:rsidR="001559F8" w:rsidRPr="008174E3" w:rsidRDefault="001559F8" w:rsidP="001559F8">
            <w:pPr>
              <w:rPr>
                <w:rFonts w:ascii="Arial" w:hAnsi="Arial" w:cs="Arial"/>
                <w:color w:val="000000"/>
                <w:sz w:val="18"/>
                <w:szCs w:val="18"/>
              </w:rPr>
            </w:pPr>
            <w:r w:rsidRPr="008174E3">
              <w:rPr>
                <w:rFonts w:ascii="Arial" w:hAnsi="Arial" w:cs="Arial"/>
                <w:color w:val="000000"/>
                <w:sz w:val="18"/>
                <w:szCs w:val="18"/>
              </w:rPr>
              <w:t>Ingreso Laboral Semanal Base</w:t>
            </w:r>
          </w:p>
        </w:tc>
        <w:tc>
          <w:tcPr>
            <w:tcW w:w="2160" w:type="dxa"/>
            <w:tcBorders>
              <w:top w:val="nil"/>
              <w:left w:val="nil"/>
              <w:bottom w:val="nil"/>
              <w:right w:val="nil"/>
            </w:tcBorders>
            <w:shd w:val="clear" w:color="000000" w:fill="FFFFFF"/>
            <w:vAlign w:val="center"/>
            <w:hideMark/>
          </w:tcPr>
          <w:p w14:paraId="6EB2CA2C" w14:textId="2EB51911" w:rsidR="001559F8" w:rsidRPr="008174E3" w:rsidRDefault="001559F8" w:rsidP="001559F8">
            <w:pPr>
              <w:jc w:val="right"/>
              <w:rPr>
                <w:rFonts w:ascii="Arial" w:hAnsi="Arial" w:cs="Arial"/>
                <w:color w:val="000000"/>
                <w:sz w:val="18"/>
                <w:szCs w:val="18"/>
              </w:rPr>
            </w:pPr>
            <w:r w:rsidRPr="008174E3">
              <w:rPr>
                <w:rFonts w:ascii="Arial" w:hAnsi="Arial" w:cs="Arial"/>
                <w:color w:val="000000"/>
                <w:sz w:val="18"/>
                <w:szCs w:val="18"/>
              </w:rPr>
              <w:t>93</w:t>
            </w:r>
            <w:r w:rsidR="00DA556B" w:rsidRPr="008174E3">
              <w:rPr>
                <w:rFonts w:ascii="Arial" w:hAnsi="Arial" w:cs="Arial"/>
                <w:color w:val="000000"/>
                <w:sz w:val="18"/>
                <w:szCs w:val="18"/>
              </w:rPr>
              <w:t>,</w:t>
            </w:r>
            <w:r w:rsidRPr="008174E3">
              <w:rPr>
                <w:rFonts w:ascii="Arial" w:hAnsi="Arial" w:cs="Arial"/>
                <w:color w:val="000000"/>
                <w:sz w:val="18"/>
                <w:szCs w:val="18"/>
              </w:rPr>
              <w:t>76 Hombres</w:t>
            </w:r>
            <w:r w:rsidRPr="008174E3">
              <w:rPr>
                <w:rFonts w:ascii="Arial" w:hAnsi="Arial" w:cs="Arial"/>
                <w:color w:val="000000"/>
                <w:sz w:val="18"/>
                <w:szCs w:val="18"/>
              </w:rPr>
              <w:br/>
              <w:t>65</w:t>
            </w:r>
            <w:r w:rsidR="00DA556B" w:rsidRPr="008174E3">
              <w:rPr>
                <w:rFonts w:ascii="Arial" w:hAnsi="Arial" w:cs="Arial"/>
                <w:color w:val="000000"/>
                <w:sz w:val="18"/>
                <w:szCs w:val="18"/>
              </w:rPr>
              <w:t>,</w:t>
            </w:r>
            <w:r w:rsidRPr="008174E3">
              <w:rPr>
                <w:rFonts w:ascii="Arial" w:hAnsi="Arial" w:cs="Arial"/>
                <w:color w:val="000000"/>
                <w:sz w:val="18"/>
                <w:szCs w:val="18"/>
              </w:rPr>
              <w:t>71 Mujeres</w:t>
            </w:r>
          </w:p>
        </w:tc>
        <w:tc>
          <w:tcPr>
            <w:tcW w:w="4140" w:type="dxa"/>
            <w:tcBorders>
              <w:top w:val="nil"/>
              <w:left w:val="nil"/>
              <w:bottom w:val="nil"/>
              <w:right w:val="nil"/>
            </w:tcBorders>
            <w:shd w:val="clear" w:color="000000" w:fill="FFFFFF"/>
            <w:vAlign w:val="center"/>
            <w:hideMark/>
          </w:tcPr>
          <w:p w14:paraId="5C02E9C7" w14:textId="77777777" w:rsidR="001559F8" w:rsidRPr="008174E3" w:rsidRDefault="001559F8" w:rsidP="001559F8">
            <w:pPr>
              <w:jc w:val="right"/>
              <w:rPr>
                <w:rFonts w:ascii="Arial" w:hAnsi="Arial" w:cs="Arial"/>
                <w:color w:val="000000"/>
                <w:sz w:val="18"/>
                <w:szCs w:val="18"/>
              </w:rPr>
            </w:pPr>
            <w:r w:rsidRPr="008174E3">
              <w:rPr>
                <w:rFonts w:ascii="Arial" w:hAnsi="Arial" w:cs="Arial"/>
                <w:color w:val="000000"/>
                <w:sz w:val="18"/>
                <w:szCs w:val="18"/>
              </w:rPr>
              <w:t>Evaluación de Impacto BECATE (2015), corregido por IPC a precios de 2017</w:t>
            </w:r>
          </w:p>
        </w:tc>
      </w:tr>
      <w:tr w:rsidR="001559F8" w:rsidRPr="00BE0EAE" w14:paraId="658A6AB6" w14:textId="77777777" w:rsidTr="001559F8">
        <w:trPr>
          <w:trHeight w:val="480"/>
        </w:trPr>
        <w:tc>
          <w:tcPr>
            <w:tcW w:w="3600" w:type="dxa"/>
            <w:tcBorders>
              <w:top w:val="nil"/>
              <w:left w:val="nil"/>
              <w:bottom w:val="nil"/>
              <w:right w:val="nil"/>
            </w:tcBorders>
            <w:shd w:val="clear" w:color="000000" w:fill="FFFFFF"/>
            <w:noWrap/>
            <w:vAlign w:val="center"/>
            <w:hideMark/>
          </w:tcPr>
          <w:p w14:paraId="0A73D682" w14:textId="77777777" w:rsidR="001559F8" w:rsidRPr="008174E3" w:rsidRDefault="001559F8" w:rsidP="001559F8">
            <w:pPr>
              <w:rPr>
                <w:rFonts w:ascii="Arial" w:hAnsi="Arial" w:cs="Arial"/>
                <w:color w:val="000000"/>
                <w:sz w:val="18"/>
                <w:szCs w:val="18"/>
              </w:rPr>
            </w:pPr>
            <w:r w:rsidRPr="008174E3">
              <w:rPr>
                <w:rFonts w:ascii="Arial" w:hAnsi="Arial" w:cs="Arial"/>
                <w:color w:val="000000"/>
                <w:sz w:val="18"/>
                <w:szCs w:val="18"/>
              </w:rPr>
              <w:t>Tasa de Descuento</w:t>
            </w:r>
          </w:p>
        </w:tc>
        <w:tc>
          <w:tcPr>
            <w:tcW w:w="2160" w:type="dxa"/>
            <w:tcBorders>
              <w:top w:val="nil"/>
              <w:left w:val="nil"/>
              <w:bottom w:val="nil"/>
              <w:right w:val="nil"/>
            </w:tcBorders>
            <w:shd w:val="clear" w:color="000000" w:fill="FFFFFF"/>
            <w:noWrap/>
            <w:vAlign w:val="center"/>
            <w:hideMark/>
          </w:tcPr>
          <w:p w14:paraId="18F90249" w14:textId="77777777" w:rsidR="001559F8" w:rsidRPr="008174E3" w:rsidRDefault="001559F8" w:rsidP="001559F8">
            <w:pPr>
              <w:jc w:val="right"/>
              <w:rPr>
                <w:rFonts w:ascii="Arial" w:hAnsi="Arial" w:cs="Arial"/>
                <w:color w:val="000000"/>
                <w:sz w:val="18"/>
                <w:szCs w:val="18"/>
              </w:rPr>
            </w:pPr>
            <w:r w:rsidRPr="008174E3">
              <w:rPr>
                <w:rFonts w:ascii="Arial" w:hAnsi="Arial" w:cs="Arial"/>
                <w:color w:val="000000"/>
                <w:sz w:val="18"/>
                <w:szCs w:val="18"/>
              </w:rPr>
              <w:t>12%</w:t>
            </w:r>
          </w:p>
        </w:tc>
        <w:tc>
          <w:tcPr>
            <w:tcW w:w="4140" w:type="dxa"/>
            <w:tcBorders>
              <w:top w:val="nil"/>
              <w:left w:val="nil"/>
              <w:bottom w:val="nil"/>
              <w:right w:val="nil"/>
            </w:tcBorders>
            <w:shd w:val="clear" w:color="000000" w:fill="FFFFFF"/>
            <w:vAlign w:val="center"/>
            <w:hideMark/>
          </w:tcPr>
          <w:p w14:paraId="23D961D2" w14:textId="77777777" w:rsidR="001559F8" w:rsidRPr="008174E3" w:rsidRDefault="001559F8" w:rsidP="001559F8">
            <w:pPr>
              <w:jc w:val="right"/>
              <w:rPr>
                <w:rFonts w:ascii="Arial" w:hAnsi="Arial" w:cs="Arial"/>
                <w:color w:val="000000"/>
                <w:sz w:val="18"/>
                <w:szCs w:val="18"/>
                <w:lang w:val="en-US"/>
              </w:rPr>
            </w:pPr>
            <w:r w:rsidRPr="008174E3">
              <w:rPr>
                <w:rFonts w:ascii="Arial" w:hAnsi="Arial" w:cs="Arial"/>
                <w:color w:val="000000"/>
                <w:sz w:val="18"/>
                <w:szCs w:val="18"/>
                <w:lang w:val="en-US"/>
              </w:rPr>
              <w:t>Guidelines for the Economic Analysis of IDB-Funded Projects, 2012</w:t>
            </w:r>
          </w:p>
        </w:tc>
      </w:tr>
      <w:tr w:rsidR="001559F8" w:rsidRPr="008174E3" w14:paraId="3D509275" w14:textId="77777777" w:rsidTr="001559F8">
        <w:trPr>
          <w:trHeight w:val="720"/>
        </w:trPr>
        <w:tc>
          <w:tcPr>
            <w:tcW w:w="3600" w:type="dxa"/>
            <w:tcBorders>
              <w:top w:val="nil"/>
              <w:left w:val="nil"/>
              <w:bottom w:val="nil"/>
              <w:right w:val="nil"/>
            </w:tcBorders>
            <w:shd w:val="clear" w:color="000000" w:fill="FFFFFF"/>
            <w:vAlign w:val="center"/>
            <w:hideMark/>
          </w:tcPr>
          <w:p w14:paraId="0A2CB584" w14:textId="77777777" w:rsidR="001559F8" w:rsidRPr="008174E3" w:rsidRDefault="001559F8" w:rsidP="001559F8">
            <w:pPr>
              <w:rPr>
                <w:rFonts w:ascii="Arial" w:hAnsi="Arial" w:cs="Arial"/>
                <w:color w:val="000000"/>
                <w:sz w:val="18"/>
                <w:szCs w:val="18"/>
              </w:rPr>
            </w:pPr>
            <w:r w:rsidRPr="008174E3">
              <w:rPr>
                <w:rFonts w:ascii="Arial" w:hAnsi="Arial" w:cs="Arial"/>
                <w:color w:val="000000"/>
                <w:sz w:val="18"/>
                <w:szCs w:val="18"/>
              </w:rPr>
              <w:t>Incremento en formalidad</w:t>
            </w:r>
          </w:p>
        </w:tc>
        <w:tc>
          <w:tcPr>
            <w:tcW w:w="2160" w:type="dxa"/>
            <w:tcBorders>
              <w:top w:val="nil"/>
              <w:left w:val="nil"/>
              <w:bottom w:val="nil"/>
              <w:right w:val="nil"/>
            </w:tcBorders>
            <w:shd w:val="clear" w:color="000000" w:fill="FFFFFF"/>
            <w:noWrap/>
            <w:vAlign w:val="center"/>
            <w:hideMark/>
          </w:tcPr>
          <w:p w14:paraId="36CF11D8" w14:textId="00180DD3" w:rsidR="001559F8" w:rsidRPr="008174E3" w:rsidRDefault="001559F8" w:rsidP="001559F8">
            <w:pPr>
              <w:jc w:val="right"/>
              <w:rPr>
                <w:rFonts w:ascii="Arial" w:hAnsi="Arial" w:cs="Arial"/>
                <w:color w:val="000000"/>
                <w:sz w:val="18"/>
                <w:szCs w:val="18"/>
              </w:rPr>
            </w:pPr>
            <w:r w:rsidRPr="008174E3">
              <w:rPr>
                <w:rFonts w:ascii="Arial" w:hAnsi="Arial" w:cs="Arial"/>
                <w:color w:val="000000"/>
                <w:sz w:val="18"/>
                <w:szCs w:val="18"/>
              </w:rPr>
              <w:t>3</w:t>
            </w:r>
            <w:r w:rsidR="00DC2B20" w:rsidRPr="008174E3">
              <w:rPr>
                <w:rFonts w:ascii="Arial" w:hAnsi="Arial" w:cs="Arial"/>
                <w:color w:val="000000"/>
                <w:sz w:val="18"/>
                <w:szCs w:val="18"/>
              </w:rPr>
              <w:t>,0</w:t>
            </w:r>
            <w:r w:rsidRPr="008174E3">
              <w:rPr>
                <w:rFonts w:ascii="Arial" w:hAnsi="Arial" w:cs="Arial"/>
                <w:color w:val="000000"/>
                <w:sz w:val="18"/>
                <w:szCs w:val="18"/>
              </w:rPr>
              <w:t xml:space="preserve"> pp.</w:t>
            </w:r>
            <w:r w:rsidR="00DC2B20" w:rsidRPr="008174E3">
              <w:rPr>
                <w:rFonts w:ascii="Arial" w:hAnsi="Arial" w:cs="Arial"/>
                <w:color w:val="000000"/>
                <w:sz w:val="18"/>
                <w:szCs w:val="18"/>
              </w:rPr>
              <w:t xml:space="preserve"> Hombres</w:t>
            </w:r>
          </w:p>
          <w:p w14:paraId="703C43EB" w14:textId="3D9FF50C" w:rsidR="00DC2B20" w:rsidRPr="008174E3" w:rsidRDefault="00DC2B20" w:rsidP="001559F8">
            <w:pPr>
              <w:jc w:val="right"/>
              <w:rPr>
                <w:rFonts w:ascii="Arial" w:hAnsi="Arial" w:cs="Arial"/>
                <w:color w:val="000000"/>
                <w:sz w:val="18"/>
                <w:szCs w:val="18"/>
              </w:rPr>
            </w:pPr>
            <w:r w:rsidRPr="008174E3">
              <w:rPr>
                <w:rFonts w:ascii="Arial" w:hAnsi="Arial" w:cs="Arial"/>
                <w:color w:val="000000"/>
                <w:sz w:val="18"/>
                <w:szCs w:val="18"/>
              </w:rPr>
              <w:t>3,5 pp. Hombres</w:t>
            </w:r>
          </w:p>
        </w:tc>
        <w:tc>
          <w:tcPr>
            <w:tcW w:w="4140" w:type="dxa"/>
            <w:tcBorders>
              <w:top w:val="nil"/>
              <w:left w:val="nil"/>
              <w:bottom w:val="nil"/>
              <w:right w:val="nil"/>
            </w:tcBorders>
            <w:shd w:val="clear" w:color="000000" w:fill="FFFFFF"/>
            <w:vAlign w:val="center"/>
            <w:hideMark/>
          </w:tcPr>
          <w:p w14:paraId="53068CB3" w14:textId="48D84EC2" w:rsidR="001559F8" w:rsidRPr="008174E3" w:rsidRDefault="001559F8" w:rsidP="001559F8">
            <w:pPr>
              <w:jc w:val="right"/>
              <w:rPr>
                <w:rFonts w:ascii="Arial" w:hAnsi="Arial" w:cs="Arial"/>
                <w:color w:val="000000"/>
                <w:sz w:val="18"/>
                <w:szCs w:val="18"/>
                <w:lang w:val="en-US"/>
              </w:rPr>
            </w:pPr>
            <w:r w:rsidRPr="008174E3">
              <w:rPr>
                <w:rFonts w:ascii="Arial" w:hAnsi="Arial" w:cs="Arial"/>
                <w:color w:val="000000"/>
                <w:sz w:val="18"/>
                <w:szCs w:val="18"/>
                <w:lang w:val="en-US"/>
              </w:rPr>
              <w:t>Pignatti (2016) 9 pp.; Beam (2016) 10 pp.; Franklin (2015) 6 pp.; Abebe et al (2016) 6.9 pp.</w:t>
            </w:r>
          </w:p>
        </w:tc>
      </w:tr>
      <w:tr w:rsidR="001559F8" w:rsidRPr="008174E3" w14:paraId="41510D2C" w14:textId="77777777" w:rsidTr="001559F8">
        <w:trPr>
          <w:trHeight w:val="480"/>
        </w:trPr>
        <w:tc>
          <w:tcPr>
            <w:tcW w:w="3600" w:type="dxa"/>
            <w:tcBorders>
              <w:top w:val="nil"/>
              <w:left w:val="nil"/>
              <w:bottom w:val="nil"/>
              <w:right w:val="nil"/>
            </w:tcBorders>
            <w:shd w:val="clear" w:color="000000" w:fill="FFFFFF"/>
            <w:noWrap/>
            <w:vAlign w:val="center"/>
            <w:hideMark/>
          </w:tcPr>
          <w:p w14:paraId="570F6DC4" w14:textId="77777777" w:rsidR="001559F8" w:rsidRPr="008174E3" w:rsidRDefault="001559F8" w:rsidP="001559F8">
            <w:pPr>
              <w:rPr>
                <w:rFonts w:ascii="Arial" w:hAnsi="Arial" w:cs="Arial"/>
                <w:color w:val="000000"/>
                <w:sz w:val="18"/>
                <w:szCs w:val="18"/>
              </w:rPr>
            </w:pPr>
            <w:r w:rsidRPr="008174E3">
              <w:rPr>
                <w:rFonts w:ascii="Arial" w:hAnsi="Arial" w:cs="Arial"/>
                <w:color w:val="000000"/>
                <w:sz w:val="18"/>
                <w:szCs w:val="18"/>
              </w:rPr>
              <w:t>Impacto asociado a formalidad</w:t>
            </w:r>
          </w:p>
        </w:tc>
        <w:tc>
          <w:tcPr>
            <w:tcW w:w="2160" w:type="dxa"/>
            <w:tcBorders>
              <w:top w:val="nil"/>
              <w:left w:val="nil"/>
              <w:bottom w:val="nil"/>
              <w:right w:val="nil"/>
            </w:tcBorders>
            <w:shd w:val="clear" w:color="000000" w:fill="FFFFFF"/>
            <w:noWrap/>
            <w:vAlign w:val="center"/>
            <w:hideMark/>
          </w:tcPr>
          <w:p w14:paraId="05F2DB30" w14:textId="77777777" w:rsidR="001559F8" w:rsidRPr="008174E3" w:rsidRDefault="001559F8" w:rsidP="001559F8">
            <w:pPr>
              <w:jc w:val="right"/>
              <w:rPr>
                <w:rFonts w:ascii="Arial" w:hAnsi="Arial" w:cs="Arial"/>
                <w:color w:val="000000"/>
                <w:sz w:val="18"/>
                <w:szCs w:val="18"/>
              </w:rPr>
            </w:pPr>
            <w:r w:rsidRPr="008174E3">
              <w:rPr>
                <w:rFonts w:ascii="Arial" w:hAnsi="Arial" w:cs="Arial"/>
                <w:color w:val="000000"/>
                <w:sz w:val="18"/>
                <w:szCs w:val="18"/>
              </w:rPr>
              <w:t>24% del ingreso de referencia</w:t>
            </w:r>
          </w:p>
        </w:tc>
        <w:tc>
          <w:tcPr>
            <w:tcW w:w="4140" w:type="dxa"/>
            <w:tcBorders>
              <w:top w:val="nil"/>
              <w:left w:val="nil"/>
              <w:bottom w:val="nil"/>
              <w:right w:val="nil"/>
            </w:tcBorders>
            <w:shd w:val="clear" w:color="000000" w:fill="FFFFFF"/>
            <w:vAlign w:val="center"/>
            <w:hideMark/>
          </w:tcPr>
          <w:p w14:paraId="50CF71E4" w14:textId="1CAFE111" w:rsidR="001559F8" w:rsidRPr="008174E3" w:rsidRDefault="001559F8" w:rsidP="001559F8">
            <w:pPr>
              <w:jc w:val="right"/>
              <w:rPr>
                <w:rFonts w:ascii="Arial" w:hAnsi="Arial" w:cs="Arial"/>
                <w:color w:val="000000"/>
                <w:sz w:val="18"/>
                <w:szCs w:val="18"/>
              </w:rPr>
            </w:pPr>
            <w:r w:rsidRPr="008174E3">
              <w:rPr>
                <w:rFonts w:ascii="Arial" w:hAnsi="Arial" w:cs="Arial"/>
                <w:color w:val="000000"/>
                <w:sz w:val="18"/>
                <w:szCs w:val="18"/>
              </w:rPr>
              <w:t>Taxing Wages (2017) y Ley Federal del Trabajo de México</w:t>
            </w:r>
          </w:p>
        </w:tc>
      </w:tr>
      <w:tr w:rsidR="001559F8" w:rsidRPr="008174E3" w14:paraId="16CD0E2B" w14:textId="77777777" w:rsidTr="001559F8">
        <w:trPr>
          <w:trHeight w:val="720"/>
        </w:trPr>
        <w:tc>
          <w:tcPr>
            <w:tcW w:w="3600" w:type="dxa"/>
            <w:tcBorders>
              <w:top w:val="nil"/>
              <w:left w:val="nil"/>
              <w:bottom w:val="nil"/>
              <w:right w:val="nil"/>
            </w:tcBorders>
            <w:shd w:val="clear" w:color="000000" w:fill="FFFFFF"/>
            <w:noWrap/>
            <w:vAlign w:val="center"/>
            <w:hideMark/>
          </w:tcPr>
          <w:p w14:paraId="5D73268D" w14:textId="77777777" w:rsidR="001559F8" w:rsidRPr="008174E3" w:rsidRDefault="001559F8" w:rsidP="001559F8">
            <w:pPr>
              <w:rPr>
                <w:rFonts w:ascii="Arial" w:hAnsi="Arial" w:cs="Arial"/>
                <w:color w:val="000000"/>
                <w:sz w:val="18"/>
                <w:szCs w:val="18"/>
              </w:rPr>
            </w:pPr>
            <w:r w:rsidRPr="008174E3">
              <w:rPr>
                <w:rFonts w:ascii="Arial" w:hAnsi="Arial" w:cs="Arial"/>
                <w:color w:val="000000"/>
                <w:sz w:val="18"/>
                <w:szCs w:val="18"/>
              </w:rPr>
              <w:lastRenderedPageBreak/>
              <w:t>Beneficiarios intermediados mediante SNE</w:t>
            </w:r>
          </w:p>
        </w:tc>
        <w:tc>
          <w:tcPr>
            <w:tcW w:w="2160" w:type="dxa"/>
            <w:tcBorders>
              <w:top w:val="nil"/>
              <w:left w:val="nil"/>
              <w:bottom w:val="nil"/>
              <w:right w:val="nil"/>
            </w:tcBorders>
            <w:shd w:val="clear" w:color="000000" w:fill="FFFFFF"/>
            <w:noWrap/>
            <w:vAlign w:val="center"/>
            <w:hideMark/>
          </w:tcPr>
          <w:p w14:paraId="259AD9B3" w14:textId="341599A1" w:rsidR="001559F8" w:rsidRPr="008174E3" w:rsidRDefault="000C1E37" w:rsidP="001559F8">
            <w:pPr>
              <w:jc w:val="right"/>
              <w:rPr>
                <w:rFonts w:ascii="Arial" w:hAnsi="Arial" w:cs="Arial"/>
                <w:color w:val="000000"/>
                <w:sz w:val="18"/>
                <w:szCs w:val="18"/>
              </w:rPr>
            </w:pPr>
            <w:r>
              <w:rPr>
                <w:rFonts w:ascii="Arial" w:hAnsi="Arial" w:cs="Arial"/>
                <w:color w:val="000000"/>
                <w:sz w:val="18"/>
                <w:szCs w:val="18"/>
              </w:rPr>
              <w:t>5</w:t>
            </w:r>
            <w:r w:rsidR="001559F8" w:rsidRPr="008174E3">
              <w:rPr>
                <w:rFonts w:ascii="Arial" w:hAnsi="Arial" w:cs="Arial"/>
                <w:color w:val="000000"/>
                <w:sz w:val="18"/>
                <w:szCs w:val="18"/>
              </w:rPr>
              <w:t>00.000 al año</w:t>
            </w:r>
          </w:p>
        </w:tc>
        <w:tc>
          <w:tcPr>
            <w:tcW w:w="4140" w:type="dxa"/>
            <w:tcBorders>
              <w:top w:val="nil"/>
              <w:left w:val="nil"/>
              <w:bottom w:val="nil"/>
              <w:right w:val="nil"/>
            </w:tcBorders>
            <w:shd w:val="clear" w:color="000000" w:fill="FFFFFF"/>
            <w:vAlign w:val="center"/>
            <w:hideMark/>
          </w:tcPr>
          <w:p w14:paraId="409E5FC6" w14:textId="1E80D5F2" w:rsidR="001559F8" w:rsidRPr="008174E3" w:rsidRDefault="001559F8" w:rsidP="001559F8">
            <w:pPr>
              <w:jc w:val="right"/>
              <w:rPr>
                <w:rFonts w:ascii="Arial" w:hAnsi="Arial" w:cs="Arial"/>
                <w:color w:val="000000"/>
                <w:sz w:val="18"/>
                <w:szCs w:val="18"/>
              </w:rPr>
            </w:pPr>
            <w:r w:rsidRPr="008174E3">
              <w:rPr>
                <w:rFonts w:ascii="Arial" w:hAnsi="Arial" w:cs="Arial"/>
                <w:color w:val="000000"/>
                <w:sz w:val="18"/>
                <w:szCs w:val="18"/>
              </w:rPr>
              <w:t>Matriz de Resultados y datos administrativos del SNE (</w:t>
            </w:r>
            <w:r w:rsidR="00FC686C" w:rsidRPr="008174E3">
              <w:rPr>
                <w:rFonts w:ascii="Arial" w:hAnsi="Arial" w:cs="Arial"/>
                <w:color w:val="000000"/>
                <w:sz w:val="18"/>
                <w:szCs w:val="18"/>
              </w:rPr>
              <w:t>Cuadro </w:t>
            </w:r>
            <w:r w:rsidR="00090F38" w:rsidRPr="008174E3">
              <w:rPr>
                <w:rFonts w:ascii="Arial" w:hAnsi="Arial" w:cs="Arial"/>
                <w:color w:val="000000"/>
                <w:sz w:val="18"/>
                <w:szCs w:val="18"/>
              </w:rPr>
              <w:t>A3</w:t>
            </w:r>
            <w:r w:rsidRPr="008174E3">
              <w:rPr>
                <w:rFonts w:ascii="Arial" w:hAnsi="Arial" w:cs="Arial"/>
                <w:color w:val="000000"/>
                <w:sz w:val="18"/>
                <w:szCs w:val="18"/>
              </w:rPr>
              <w:t>)</w:t>
            </w:r>
          </w:p>
        </w:tc>
      </w:tr>
      <w:tr w:rsidR="001559F8" w:rsidRPr="008174E3" w14:paraId="0C9C4D1A" w14:textId="77777777" w:rsidTr="001559F8">
        <w:trPr>
          <w:trHeight w:val="480"/>
        </w:trPr>
        <w:tc>
          <w:tcPr>
            <w:tcW w:w="3600" w:type="dxa"/>
            <w:tcBorders>
              <w:top w:val="nil"/>
              <w:left w:val="nil"/>
              <w:bottom w:val="nil"/>
              <w:right w:val="nil"/>
            </w:tcBorders>
            <w:shd w:val="clear" w:color="000000" w:fill="FFFFFF"/>
            <w:vAlign w:val="center"/>
            <w:hideMark/>
          </w:tcPr>
          <w:p w14:paraId="53A535ED" w14:textId="77777777" w:rsidR="001559F8" w:rsidRPr="008174E3" w:rsidRDefault="001559F8" w:rsidP="001559F8">
            <w:pPr>
              <w:rPr>
                <w:rFonts w:ascii="Arial" w:hAnsi="Arial" w:cs="Arial"/>
                <w:color w:val="000000"/>
                <w:sz w:val="18"/>
                <w:szCs w:val="18"/>
              </w:rPr>
            </w:pPr>
            <w:r w:rsidRPr="008174E3">
              <w:rPr>
                <w:rFonts w:ascii="Arial" w:hAnsi="Arial" w:cs="Arial"/>
                <w:color w:val="000000"/>
                <w:sz w:val="18"/>
                <w:szCs w:val="18"/>
              </w:rPr>
              <w:t>Costos directos del componente</w:t>
            </w:r>
          </w:p>
        </w:tc>
        <w:tc>
          <w:tcPr>
            <w:tcW w:w="2160" w:type="dxa"/>
            <w:tcBorders>
              <w:top w:val="nil"/>
              <w:left w:val="nil"/>
              <w:bottom w:val="nil"/>
              <w:right w:val="nil"/>
            </w:tcBorders>
            <w:shd w:val="clear" w:color="000000" w:fill="FFFFFF"/>
            <w:noWrap/>
            <w:vAlign w:val="center"/>
            <w:hideMark/>
          </w:tcPr>
          <w:p w14:paraId="0412A8AE" w14:textId="280793C3" w:rsidR="001559F8" w:rsidRPr="008174E3" w:rsidRDefault="00B46F49" w:rsidP="001559F8">
            <w:pPr>
              <w:jc w:val="right"/>
              <w:rPr>
                <w:rFonts w:ascii="Arial" w:hAnsi="Arial" w:cs="Arial"/>
                <w:color w:val="000000"/>
                <w:sz w:val="18"/>
                <w:szCs w:val="18"/>
              </w:rPr>
            </w:pPr>
            <w:r w:rsidRPr="008174E3">
              <w:rPr>
                <w:rFonts w:ascii="Arial" w:hAnsi="Arial" w:cs="Arial"/>
                <w:color w:val="000000"/>
                <w:sz w:val="18"/>
                <w:szCs w:val="18"/>
              </w:rPr>
              <w:t xml:space="preserve"> </w:t>
            </w:r>
            <w:r w:rsidR="000C1E37">
              <w:rPr>
                <w:rFonts w:ascii="Arial" w:hAnsi="Arial" w:cs="Arial"/>
                <w:color w:val="000000"/>
                <w:sz w:val="18"/>
                <w:szCs w:val="18"/>
              </w:rPr>
              <w:t>30</w:t>
            </w:r>
            <w:r w:rsidR="00DA556B" w:rsidRPr="008174E3">
              <w:rPr>
                <w:rFonts w:ascii="Arial" w:hAnsi="Arial" w:cs="Arial"/>
                <w:color w:val="000000"/>
                <w:sz w:val="18"/>
                <w:szCs w:val="18"/>
              </w:rPr>
              <w:t>.</w:t>
            </w:r>
            <w:r w:rsidR="000C1E37">
              <w:rPr>
                <w:rFonts w:ascii="Arial" w:hAnsi="Arial" w:cs="Arial"/>
                <w:color w:val="000000"/>
                <w:sz w:val="18"/>
                <w:szCs w:val="18"/>
              </w:rPr>
              <w:t>0</w:t>
            </w:r>
            <w:r w:rsidR="001559F8" w:rsidRPr="008174E3">
              <w:rPr>
                <w:rFonts w:ascii="Arial" w:hAnsi="Arial" w:cs="Arial"/>
                <w:color w:val="000000"/>
                <w:sz w:val="18"/>
                <w:szCs w:val="18"/>
              </w:rPr>
              <w:t>00</w:t>
            </w:r>
            <w:r w:rsidR="00DA556B" w:rsidRPr="008174E3">
              <w:rPr>
                <w:rFonts w:ascii="Arial" w:hAnsi="Arial" w:cs="Arial"/>
                <w:color w:val="000000"/>
                <w:sz w:val="18"/>
                <w:szCs w:val="18"/>
              </w:rPr>
              <w:t>.</w:t>
            </w:r>
            <w:r w:rsidR="001559F8" w:rsidRPr="008174E3">
              <w:rPr>
                <w:rFonts w:ascii="Arial" w:hAnsi="Arial" w:cs="Arial"/>
                <w:color w:val="000000"/>
                <w:sz w:val="18"/>
                <w:szCs w:val="18"/>
              </w:rPr>
              <w:t xml:space="preserve">000 </w:t>
            </w:r>
          </w:p>
        </w:tc>
        <w:tc>
          <w:tcPr>
            <w:tcW w:w="4140" w:type="dxa"/>
            <w:tcBorders>
              <w:top w:val="nil"/>
              <w:left w:val="nil"/>
              <w:bottom w:val="nil"/>
              <w:right w:val="nil"/>
            </w:tcBorders>
            <w:shd w:val="clear" w:color="000000" w:fill="FFFFFF"/>
            <w:vAlign w:val="center"/>
            <w:hideMark/>
          </w:tcPr>
          <w:p w14:paraId="5ADDDE0C" w14:textId="77777777" w:rsidR="001559F8" w:rsidRPr="008174E3" w:rsidRDefault="001559F8" w:rsidP="001559F8">
            <w:pPr>
              <w:jc w:val="right"/>
              <w:rPr>
                <w:rFonts w:ascii="Arial" w:hAnsi="Arial" w:cs="Arial"/>
                <w:color w:val="000000"/>
                <w:sz w:val="18"/>
                <w:szCs w:val="18"/>
              </w:rPr>
            </w:pPr>
            <w:r w:rsidRPr="008174E3">
              <w:rPr>
                <w:rFonts w:ascii="Arial" w:hAnsi="Arial" w:cs="Arial"/>
                <w:color w:val="000000"/>
                <w:sz w:val="18"/>
                <w:szCs w:val="18"/>
              </w:rPr>
              <w:t>Propuesta para el Desarrollo de la Operación ME-L1258</w:t>
            </w:r>
          </w:p>
        </w:tc>
      </w:tr>
      <w:tr w:rsidR="001559F8" w:rsidRPr="008174E3" w14:paraId="060121C4" w14:textId="77777777" w:rsidTr="001559F8">
        <w:trPr>
          <w:trHeight w:val="720"/>
        </w:trPr>
        <w:tc>
          <w:tcPr>
            <w:tcW w:w="3600" w:type="dxa"/>
            <w:tcBorders>
              <w:top w:val="nil"/>
              <w:left w:val="nil"/>
              <w:bottom w:val="nil"/>
              <w:right w:val="nil"/>
            </w:tcBorders>
            <w:shd w:val="clear" w:color="000000" w:fill="FFFFFF"/>
            <w:vAlign w:val="center"/>
            <w:hideMark/>
          </w:tcPr>
          <w:p w14:paraId="634690A5" w14:textId="23AE31AD" w:rsidR="001559F8" w:rsidRPr="008174E3" w:rsidRDefault="001559F8" w:rsidP="001559F8">
            <w:pPr>
              <w:rPr>
                <w:rFonts w:ascii="Arial" w:hAnsi="Arial" w:cs="Arial"/>
                <w:color w:val="000000"/>
                <w:sz w:val="18"/>
                <w:szCs w:val="18"/>
              </w:rPr>
            </w:pPr>
            <w:r w:rsidRPr="008174E3">
              <w:rPr>
                <w:rFonts w:ascii="Arial" w:hAnsi="Arial" w:cs="Arial"/>
                <w:color w:val="000000"/>
                <w:sz w:val="18"/>
                <w:szCs w:val="18"/>
              </w:rPr>
              <w:t>Costos Económicos por beneficiario (Igual a dos días de perdida de trabajo)</w:t>
            </w:r>
          </w:p>
        </w:tc>
        <w:tc>
          <w:tcPr>
            <w:tcW w:w="2160" w:type="dxa"/>
            <w:tcBorders>
              <w:top w:val="nil"/>
              <w:left w:val="nil"/>
              <w:bottom w:val="nil"/>
              <w:right w:val="nil"/>
            </w:tcBorders>
            <w:shd w:val="clear" w:color="000000" w:fill="FFFFFF"/>
            <w:vAlign w:val="center"/>
            <w:hideMark/>
          </w:tcPr>
          <w:p w14:paraId="2527FE9B" w14:textId="1390A9B7" w:rsidR="001559F8" w:rsidRPr="008174E3" w:rsidRDefault="001559F8" w:rsidP="001559F8">
            <w:pPr>
              <w:jc w:val="right"/>
              <w:rPr>
                <w:rFonts w:ascii="Arial" w:hAnsi="Arial" w:cs="Arial"/>
                <w:color w:val="000000"/>
                <w:sz w:val="18"/>
                <w:szCs w:val="18"/>
              </w:rPr>
            </w:pPr>
            <w:r w:rsidRPr="008174E3">
              <w:rPr>
                <w:rFonts w:ascii="Arial" w:hAnsi="Arial" w:cs="Arial"/>
                <w:color w:val="000000"/>
                <w:sz w:val="18"/>
                <w:szCs w:val="18"/>
              </w:rPr>
              <w:t>31</w:t>
            </w:r>
            <w:r w:rsidR="00DA556B" w:rsidRPr="008174E3">
              <w:rPr>
                <w:rFonts w:ascii="Arial" w:hAnsi="Arial" w:cs="Arial"/>
                <w:color w:val="000000"/>
                <w:sz w:val="18"/>
                <w:szCs w:val="18"/>
              </w:rPr>
              <w:t>,</w:t>
            </w:r>
            <w:r w:rsidRPr="008174E3">
              <w:rPr>
                <w:rFonts w:ascii="Arial" w:hAnsi="Arial" w:cs="Arial"/>
                <w:color w:val="000000"/>
                <w:sz w:val="18"/>
                <w:szCs w:val="18"/>
              </w:rPr>
              <w:t>25 Hombres</w:t>
            </w:r>
            <w:r w:rsidRPr="008174E3">
              <w:rPr>
                <w:rFonts w:ascii="Arial" w:hAnsi="Arial" w:cs="Arial"/>
                <w:color w:val="000000"/>
                <w:sz w:val="18"/>
                <w:szCs w:val="18"/>
              </w:rPr>
              <w:br/>
              <w:t>2</w:t>
            </w:r>
            <w:r w:rsidR="00262BE2" w:rsidRPr="008174E3">
              <w:rPr>
                <w:rFonts w:ascii="Arial" w:hAnsi="Arial" w:cs="Arial"/>
                <w:color w:val="000000"/>
                <w:sz w:val="18"/>
                <w:szCs w:val="18"/>
              </w:rPr>
              <w:t>1</w:t>
            </w:r>
            <w:r w:rsidR="00DA556B" w:rsidRPr="008174E3">
              <w:rPr>
                <w:rFonts w:ascii="Arial" w:hAnsi="Arial" w:cs="Arial"/>
                <w:color w:val="000000"/>
                <w:sz w:val="18"/>
                <w:szCs w:val="18"/>
              </w:rPr>
              <w:t>,</w:t>
            </w:r>
            <w:r w:rsidRPr="008174E3">
              <w:rPr>
                <w:rFonts w:ascii="Arial" w:hAnsi="Arial" w:cs="Arial"/>
                <w:color w:val="000000"/>
                <w:sz w:val="18"/>
                <w:szCs w:val="18"/>
              </w:rPr>
              <w:t>90 Mujeres</w:t>
            </w:r>
          </w:p>
        </w:tc>
        <w:tc>
          <w:tcPr>
            <w:tcW w:w="4140" w:type="dxa"/>
            <w:tcBorders>
              <w:top w:val="nil"/>
              <w:left w:val="nil"/>
              <w:bottom w:val="nil"/>
              <w:right w:val="nil"/>
            </w:tcBorders>
            <w:shd w:val="clear" w:color="000000" w:fill="FFFFFF"/>
            <w:vAlign w:val="center"/>
            <w:hideMark/>
          </w:tcPr>
          <w:p w14:paraId="0A5F5308" w14:textId="77777777" w:rsidR="001559F8" w:rsidRPr="008174E3" w:rsidRDefault="001559F8" w:rsidP="001559F8">
            <w:pPr>
              <w:jc w:val="right"/>
              <w:rPr>
                <w:rFonts w:ascii="Arial" w:hAnsi="Arial" w:cs="Arial"/>
                <w:color w:val="000000"/>
                <w:sz w:val="18"/>
                <w:szCs w:val="18"/>
              </w:rPr>
            </w:pPr>
            <w:r w:rsidRPr="008174E3">
              <w:rPr>
                <w:rFonts w:ascii="Arial" w:hAnsi="Arial" w:cs="Arial"/>
                <w:color w:val="000000"/>
                <w:sz w:val="18"/>
                <w:szCs w:val="18"/>
              </w:rPr>
              <w:t>Estimado en función a los ingresos laborales obtenidos de la Evaluación de Impacto BECATE (2015)</w:t>
            </w:r>
          </w:p>
        </w:tc>
      </w:tr>
      <w:tr w:rsidR="001559F8" w:rsidRPr="008174E3" w14:paraId="0BBA5DF2" w14:textId="77777777" w:rsidTr="001559F8">
        <w:trPr>
          <w:trHeight w:val="300"/>
        </w:trPr>
        <w:tc>
          <w:tcPr>
            <w:tcW w:w="3600" w:type="dxa"/>
            <w:tcBorders>
              <w:top w:val="nil"/>
              <w:left w:val="nil"/>
              <w:bottom w:val="single" w:sz="8" w:space="0" w:color="auto"/>
              <w:right w:val="nil"/>
            </w:tcBorders>
            <w:shd w:val="clear" w:color="000000" w:fill="FFFFFF"/>
            <w:noWrap/>
            <w:vAlign w:val="center"/>
            <w:hideMark/>
          </w:tcPr>
          <w:p w14:paraId="74791718" w14:textId="77777777" w:rsidR="001559F8" w:rsidRPr="008174E3" w:rsidRDefault="001559F8" w:rsidP="001559F8">
            <w:pPr>
              <w:rPr>
                <w:rFonts w:ascii="Arial" w:hAnsi="Arial" w:cs="Arial"/>
                <w:color w:val="000000"/>
                <w:sz w:val="18"/>
                <w:szCs w:val="18"/>
              </w:rPr>
            </w:pPr>
            <w:r w:rsidRPr="008174E3">
              <w:rPr>
                <w:rFonts w:ascii="Arial" w:hAnsi="Arial" w:cs="Arial"/>
                <w:color w:val="000000"/>
                <w:sz w:val="18"/>
                <w:szCs w:val="18"/>
              </w:rPr>
              <w:t>Tiempo de impacto del componente</w:t>
            </w:r>
          </w:p>
        </w:tc>
        <w:tc>
          <w:tcPr>
            <w:tcW w:w="2160" w:type="dxa"/>
            <w:tcBorders>
              <w:top w:val="nil"/>
              <w:left w:val="nil"/>
              <w:bottom w:val="single" w:sz="8" w:space="0" w:color="auto"/>
              <w:right w:val="nil"/>
            </w:tcBorders>
            <w:shd w:val="clear" w:color="000000" w:fill="FFFFFF"/>
            <w:noWrap/>
            <w:vAlign w:val="center"/>
            <w:hideMark/>
          </w:tcPr>
          <w:p w14:paraId="6477EB14" w14:textId="77777777" w:rsidR="001559F8" w:rsidRPr="008174E3" w:rsidRDefault="001559F8" w:rsidP="001559F8">
            <w:pPr>
              <w:jc w:val="right"/>
              <w:rPr>
                <w:rFonts w:ascii="Arial" w:hAnsi="Arial" w:cs="Arial"/>
                <w:color w:val="000000"/>
                <w:sz w:val="18"/>
                <w:szCs w:val="18"/>
              </w:rPr>
            </w:pPr>
            <w:r w:rsidRPr="008174E3">
              <w:rPr>
                <w:rFonts w:ascii="Arial" w:hAnsi="Arial" w:cs="Arial"/>
                <w:color w:val="000000"/>
                <w:sz w:val="18"/>
                <w:szCs w:val="18"/>
              </w:rPr>
              <w:t>2</w:t>
            </w:r>
          </w:p>
        </w:tc>
        <w:tc>
          <w:tcPr>
            <w:tcW w:w="4140" w:type="dxa"/>
            <w:tcBorders>
              <w:top w:val="nil"/>
              <w:left w:val="nil"/>
              <w:bottom w:val="single" w:sz="8" w:space="0" w:color="auto"/>
              <w:right w:val="nil"/>
            </w:tcBorders>
            <w:shd w:val="clear" w:color="000000" w:fill="FFFFFF"/>
            <w:noWrap/>
            <w:vAlign w:val="center"/>
            <w:hideMark/>
          </w:tcPr>
          <w:p w14:paraId="678245BD" w14:textId="77777777" w:rsidR="001559F8" w:rsidRPr="008174E3" w:rsidRDefault="001559F8" w:rsidP="001559F8">
            <w:pPr>
              <w:jc w:val="right"/>
              <w:rPr>
                <w:rFonts w:ascii="Arial" w:hAnsi="Arial" w:cs="Arial"/>
                <w:color w:val="000000"/>
                <w:sz w:val="18"/>
                <w:szCs w:val="18"/>
              </w:rPr>
            </w:pPr>
            <w:r w:rsidRPr="008174E3">
              <w:rPr>
                <w:rFonts w:ascii="Arial" w:hAnsi="Arial" w:cs="Arial"/>
                <w:color w:val="000000"/>
                <w:sz w:val="18"/>
                <w:szCs w:val="18"/>
              </w:rPr>
              <w:t>SIMS (2017) &amp; Gualavisi &amp; Oliveri (2016)</w:t>
            </w:r>
          </w:p>
        </w:tc>
      </w:tr>
      <w:tr w:rsidR="001559F8" w:rsidRPr="008174E3" w14:paraId="720F7107" w14:textId="77777777" w:rsidTr="001559F8">
        <w:trPr>
          <w:trHeight w:val="285"/>
        </w:trPr>
        <w:tc>
          <w:tcPr>
            <w:tcW w:w="9900" w:type="dxa"/>
            <w:gridSpan w:val="3"/>
            <w:tcBorders>
              <w:top w:val="single" w:sz="8" w:space="0" w:color="auto"/>
              <w:left w:val="nil"/>
              <w:bottom w:val="nil"/>
              <w:right w:val="nil"/>
            </w:tcBorders>
            <w:shd w:val="clear" w:color="000000" w:fill="DDEBF7"/>
            <w:noWrap/>
            <w:vAlign w:val="center"/>
            <w:hideMark/>
          </w:tcPr>
          <w:p w14:paraId="07B2D12D" w14:textId="2FCB7ED0" w:rsidR="001559F8" w:rsidRPr="008174E3" w:rsidRDefault="001559F8" w:rsidP="001559F8">
            <w:pPr>
              <w:rPr>
                <w:rFonts w:ascii="Arial" w:hAnsi="Arial" w:cs="Arial"/>
                <w:b/>
                <w:bCs/>
                <w:color w:val="000000"/>
                <w:sz w:val="22"/>
                <w:szCs w:val="22"/>
              </w:rPr>
            </w:pPr>
            <w:r w:rsidRPr="008174E3">
              <w:rPr>
                <w:rFonts w:ascii="Arial" w:hAnsi="Arial" w:cs="Arial"/>
                <w:b/>
                <w:bCs/>
                <w:color w:val="000000"/>
                <w:sz w:val="22"/>
                <w:szCs w:val="22"/>
              </w:rPr>
              <w:t xml:space="preserve">Fortalecimiento </w:t>
            </w:r>
            <w:r w:rsidR="00170561" w:rsidRPr="008174E3">
              <w:rPr>
                <w:rFonts w:ascii="Arial" w:hAnsi="Arial" w:cs="Arial"/>
                <w:b/>
                <w:bCs/>
                <w:color w:val="000000"/>
                <w:sz w:val="22"/>
                <w:szCs w:val="22"/>
              </w:rPr>
              <w:t>del PAE</w:t>
            </w:r>
          </w:p>
        </w:tc>
      </w:tr>
      <w:tr w:rsidR="001559F8" w:rsidRPr="008174E3" w14:paraId="32DA7684" w14:textId="77777777" w:rsidTr="001559F8">
        <w:trPr>
          <w:trHeight w:val="480"/>
        </w:trPr>
        <w:tc>
          <w:tcPr>
            <w:tcW w:w="3600" w:type="dxa"/>
            <w:tcBorders>
              <w:top w:val="nil"/>
              <w:left w:val="nil"/>
              <w:bottom w:val="nil"/>
              <w:right w:val="nil"/>
            </w:tcBorders>
            <w:shd w:val="clear" w:color="000000" w:fill="FFFFFF"/>
            <w:noWrap/>
            <w:vAlign w:val="center"/>
            <w:hideMark/>
          </w:tcPr>
          <w:p w14:paraId="557016E6" w14:textId="77777777" w:rsidR="001559F8" w:rsidRPr="008174E3" w:rsidRDefault="001559F8" w:rsidP="001559F8">
            <w:pPr>
              <w:rPr>
                <w:rFonts w:ascii="Arial" w:hAnsi="Arial" w:cs="Arial"/>
                <w:color w:val="000000"/>
                <w:sz w:val="18"/>
                <w:szCs w:val="18"/>
              </w:rPr>
            </w:pPr>
            <w:r w:rsidRPr="008174E3">
              <w:rPr>
                <w:rFonts w:ascii="Arial" w:hAnsi="Arial" w:cs="Arial"/>
                <w:color w:val="000000"/>
                <w:sz w:val="18"/>
                <w:szCs w:val="18"/>
              </w:rPr>
              <w:t>Ingreso Laboral Semanal Base</w:t>
            </w:r>
          </w:p>
        </w:tc>
        <w:tc>
          <w:tcPr>
            <w:tcW w:w="2160" w:type="dxa"/>
            <w:tcBorders>
              <w:top w:val="nil"/>
              <w:left w:val="nil"/>
              <w:bottom w:val="nil"/>
              <w:right w:val="nil"/>
            </w:tcBorders>
            <w:shd w:val="clear" w:color="000000" w:fill="FFFFFF"/>
            <w:vAlign w:val="center"/>
            <w:hideMark/>
          </w:tcPr>
          <w:p w14:paraId="482B4B0C" w14:textId="27388104" w:rsidR="001559F8" w:rsidRPr="008174E3" w:rsidRDefault="00DA556B" w:rsidP="001559F8">
            <w:pPr>
              <w:jc w:val="right"/>
              <w:rPr>
                <w:rFonts w:ascii="Arial" w:hAnsi="Arial" w:cs="Arial"/>
                <w:color w:val="000000"/>
                <w:sz w:val="18"/>
                <w:szCs w:val="18"/>
              </w:rPr>
            </w:pPr>
            <w:r w:rsidRPr="008174E3">
              <w:rPr>
                <w:rFonts w:ascii="Arial" w:hAnsi="Arial" w:cs="Arial"/>
                <w:color w:val="000000"/>
                <w:sz w:val="18"/>
                <w:szCs w:val="18"/>
              </w:rPr>
              <w:t>93,</w:t>
            </w:r>
            <w:r w:rsidR="001559F8" w:rsidRPr="008174E3">
              <w:rPr>
                <w:rFonts w:ascii="Arial" w:hAnsi="Arial" w:cs="Arial"/>
                <w:color w:val="000000"/>
                <w:sz w:val="18"/>
                <w:szCs w:val="18"/>
              </w:rPr>
              <w:t>76 Hombres</w:t>
            </w:r>
            <w:r w:rsidR="001559F8" w:rsidRPr="008174E3">
              <w:rPr>
                <w:rFonts w:ascii="Arial" w:hAnsi="Arial" w:cs="Arial"/>
                <w:color w:val="000000"/>
                <w:sz w:val="18"/>
                <w:szCs w:val="18"/>
              </w:rPr>
              <w:br/>
              <w:t>65</w:t>
            </w:r>
            <w:r w:rsidRPr="008174E3">
              <w:rPr>
                <w:rFonts w:ascii="Arial" w:hAnsi="Arial" w:cs="Arial"/>
                <w:color w:val="000000"/>
                <w:sz w:val="18"/>
                <w:szCs w:val="18"/>
              </w:rPr>
              <w:t>,</w:t>
            </w:r>
            <w:r w:rsidR="001559F8" w:rsidRPr="008174E3">
              <w:rPr>
                <w:rFonts w:ascii="Arial" w:hAnsi="Arial" w:cs="Arial"/>
                <w:color w:val="000000"/>
                <w:sz w:val="18"/>
                <w:szCs w:val="18"/>
              </w:rPr>
              <w:t>71 Mujeres</w:t>
            </w:r>
          </w:p>
        </w:tc>
        <w:tc>
          <w:tcPr>
            <w:tcW w:w="4140" w:type="dxa"/>
            <w:tcBorders>
              <w:top w:val="nil"/>
              <w:left w:val="nil"/>
              <w:bottom w:val="nil"/>
              <w:right w:val="nil"/>
            </w:tcBorders>
            <w:shd w:val="clear" w:color="000000" w:fill="FFFFFF"/>
            <w:vAlign w:val="center"/>
            <w:hideMark/>
          </w:tcPr>
          <w:p w14:paraId="3FEAEEDD" w14:textId="77777777" w:rsidR="001559F8" w:rsidRPr="008174E3" w:rsidRDefault="001559F8" w:rsidP="001559F8">
            <w:pPr>
              <w:jc w:val="right"/>
              <w:rPr>
                <w:rFonts w:ascii="Arial" w:hAnsi="Arial" w:cs="Arial"/>
                <w:color w:val="000000"/>
                <w:sz w:val="18"/>
                <w:szCs w:val="18"/>
              </w:rPr>
            </w:pPr>
            <w:r w:rsidRPr="008174E3">
              <w:rPr>
                <w:rFonts w:ascii="Arial" w:hAnsi="Arial" w:cs="Arial"/>
                <w:color w:val="000000"/>
                <w:sz w:val="18"/>
                <w:szCs w:val="18"/>
              </w:rPr>
              <w:t>Evaluación de Impacto BECATE (2015), corregido por IPC a precios de 2017</w:t>
            </w:r>
          </w:p>
        </w:tc>
      </w:tr>
      <w:tr w:rsidR="001559F8" w:rsidRPr="00BE0EAE" w14:paraId="41556727" w14:textId="77777777" w:rsidTr="001559F8">
        <w:trPr>
          <w:trHeight w:val="480"/>
        </w:trPr>
        <w:tc>
          <w:tcPr>
            <w:tcW w:w="3600" w:type="dxa"/>
            <w:tcBorders>
              <w:top w:val="nil"/>
              <w:left w:val="nil"/>
              <w:bottom w:val="nil"/>
              <w:right w:val="nil"/>
            </w:tcBorders>
            <w:shd w:val="clear" w:color="000000" w:fill="FFFFFF"/>
            <w:noWrap/>
            <w:vAlign w:val="center"/>
            <w:hideMark/>
          </w:tcPr>
          <w:p w14:paraId="020184D1" w14:textId="77777777" w:rsidR="001559F8" w:rsidRPr="008174E3" w:rsidRDefault="001559F8" w:rsidP="001559F8">
            <w:pPr>
              <w:rPr>
                <w:rFonts w:ascii="Arial" w:hAnsi="Arial" w:cs="Arial"/>
                <w:color w:val="000000"/>
                <w:sz w:val="18"/>
                <w:szCs w:val="18"/>
              </w:rPr>
            </w:pPr>
            <w:r w:rsidRPr="008174E3">
              <w:rPr>
                <w:rFonts w:ascii="Arial" w:hAnsi="Arial" w:cs="Arial"/>
                <w:color w:val="000000"/>
                <w:sz w:val="18"/>
                <w:szCs w:val="18"/>
              </w:rPr>
              <w:t>Tasa de Descuento</w:t>
            </w:r>
          </w:p>
        </w:tc>
        <w:tc>
          <w:tcPr>
            <w:tcW w:w="2160" w:type="dxa"/>
            <w:tcBorders>
              <w:top w:val="nil"/>
              <w:left w:val="nil"/>
              <w:bottom w:val="nil"/>
              <w:right w:val="nil"/>
            </w:tcBorders>
            <w:shd w:val="clear" w:color="000000" w:fill="FFFFFF"/>
            <w:noWrap/>
            <w:vAlign w:val="center"/>
            <w:hideMark/>
          </w:tcPr>
          <w:p w14:paraId="0F50F7C2" w14:textId="77777777" w:rsidR="001559F8" w:rsidRPr="008174E3" w:rsidRDefault="001559F8" w:rsidP="001559F8">
            <w:pPr>
              <w:jc w:val="right"/>
              <w:rPr>
                <w:rFonts w:ascii="Arial" w:hAnsi="Arial" w:cs="Arial"/>
                <w:color w:val="000000"/>
                <w:sz w:val="18"/>
                <w:szCs w:val="18"/>
              </w:rPr>
            </w:pPr>
            <w:r w:rsidRPr="008174E3">
              <w:rPr>
                <w:rFonts w:ascii="Arial" w:hAnsi="Arial" w:cs="Arial"/>
                <w:color w:val="000000"/>
                <w:sz w:val="18"/>
                <w:szCs w:val="18"/>
              </w:rPr>
              <w:t>12%</w:t>
            </w:r>
          </w:p>
        </w:tc>
        <w:tc>
          <w:tcPr>
            <w:tcW w:w="4140" w:type="dxa"/>
            <w:tcBorders>
              <w:top w:val="nil"/>
              <w:left w:val="nil"/>
              <w:bottom w:val="nil"/>
              <w:right w:val="nil"/>
            </w:tcBorders>
            <w:shd w:val="clear" w:color="000000" w:fill="FFFFFF"/>
            <w:vAlign w:val="center"/>
            <w:hideMark/>
          </w:tcPr>
          <w:p w14:paraId="303D78F0" w14:textId="77777777" w:rsidR="001559F8" w:rsidRPr="008174E3" w:rsidRDefault="001559F8" w:rsidP="001559F8">
            <w:pPr>
              <w:jc w:val="right"/>
              <w:rPr>
                <w:rFonts w:ascii="Arial" w:hAnsi="Arial" w:cs="Arial"/>
                <w:color w:val="000000"/>
                <w:sz w:val="18"/>
                <w:szCs w:val="18"/>
                <w:lang w:val="en-US"/>
              </w:rPr>
            </w:pPr>
            <w:r w:rsidRPr="008174E3">
              <w:rPr>
                <w:rFonts w:ascii="Arial" w:hAnsi="Arial" w:cs="Arial"/>
                <w:color w:val="000000"/>
                <w:sz w:val="18"/>
                <w:szCs w:val="18"/>
                <w:lang w:val="en-US"/>
              </w:rPr>
              <w:t>Guidelines for the Economic Analysis of IDB-Funded Projects, 2012</w:t>
            </w:r>
          </w:p>
        </w:tc>
      </w:tr>
      <w:tr w:rsidR="001559F8" w:rsidRPr="008174E3" w14:paraId="7AFBD642" w14:textId="77777777" w:rsidTr="001559F8">
        <w:trPr>
          <w:trHeight w:val="720"/>
        </w:trPr>
        <w:tc>
          <w:tcPr>
            <w:tcW w:w="3600" w:type="dxa"/>
            <w:tcBorders>
              <w:top w:val="nil"/>
              <w:left w:val="nil"/>
              <w:bottom w:val="nil"/>
              <w:right w:val="nil"/>
            </w:tcBorders>
            <w:shd w:val="clear" w:color="000000" w:fill="FFFFFF"/>
            <w:vAlign w:val="center"/>
            <w:hideMark/>
          </w:tcPr>
          <w:p w14:paraId="04632674" w14:textId="77777777" w:rsidR="001559F8" w:rsidRPr="008174E3" w:rsidRDefault="001559F8" w:rsidP="001559F8">
            <w:pPr>
              <w:rPr>
                <w:rFonts w:ascii="Arial" w:hAnsi="Arial" w:cs="Arial"/>
                <w:color w:val="000000"/>
                <w:sz w:val="18"/>
                <w:szCs w:val="18"/>
              </w:rPr>
            </w:pPr>
            <w:r w:rsidRPr="008174E3">
              <w:rPr>
                <w:rFonts w:ascii="Arial" w:hAnsi="Arial" w:cs="Arial"/>
                <w:color w:val="000000"/>
                <w:sz w:val="18"/>
                <w:szCs w:val="18"/>
              </w:rPr>
              <w:t>Incremento en formalidad</w:t>
            </w:r>
          </w:p>
        </w:tc>
        <w:tc>
          <w:tcPr>
            <w:tcW w:w="2160" w:type="dxa"/>
            <w:tcBorders>
              <w:top w:val="nil"/>
              <w:left w:val="nil"/>
              <w:bottom w:val="nil"/>
              <w:right w:val="nil"/>
            </w:tcBorders>
            <w:shd w:val="clear" w:color="000000" w:fill="FFFFFF"/>
            <w:noWrap/>
            <w:vAlign w:val="center"/>
            <w:hideMark/>
          </w:tcPr>
          <w:p w14:paraId="6AC6D71A" w14:textId="77777777" w:rsidR="001559F8" w:rsidRPr="008174E3" w:rsidRDefault="001559F8" w:rsidP="001559F8">
            <w:pPr>
              <w:jc w:val="right"/>
              <w:rPr>
                <w:rFonts w:ascii="Arial" w:hAnsi="Arial" w:cs="Arial"/>
                <w:color w:val="000000"/>
                <w:sz w:val="18"/>
                <w:szCs w:val="18"/>
              </w:rPr>
            </w:pPr>
            <w:r w:rsidRPr="008174E3">
              <w:rPr>
                <w:rFonts w:ascii="Arial" w:hAnsi="Arial" w:cs="Arial"/>
                <w:color w:val="000000"/>
                <w:sz w:val="18"/>
                <w:szCs w:val="18"/>
              </w:rPr>
              <w:t>6 pp.</w:t>
            </w:r>
          </w:p>
        </w:tc>
        <w:tc>
          <w:tcPr>
            <w:tcW w:w="4140" w:type="dxa"/>
            <w:tcBorders>
              <w:top w:val="nil"/>
              <w:left w:val="nil"/>
              <w:bottom w:val="nil"/>
              <w:right w:val="nil"/>
            </w:tcBorders>
            <w:shd w:val="clear" w:color="000000" w:fill="FFFFFF"/>
            <w:vAlign w:val="center"/>
            <w:hideMark/>
          </w:tcPr>
          <w:p w14:paraId="6936EBAA" w14:textId="77777777" w:rsidR="001559F8" w:rsidRPr="008174E3" w:rsidRDefault="001559F8" w:rsidP="001559F8">
            <w:pPr>
              <w:jc w:val="right"/>
              <w:rPr>
                <w:rFonts w:ascii="Arial" w:hAnsi="Arial" w:cs="Arial"/>
                <w:color w:val="000000"/>
                <w:sz w:val="18"/>
                <w:szCs w:val="18"/>
              </w:rPr>
            </w:pPr>
            <w:r w:rsidRPr="008174E3">
              <w:rPr>
                <w:rFonts w:ascii="Arial" w:hAnsi="Arial" w:cs="Arial"/>
                <w:color w:val="000000"/>
                <w:sz w:val="18"/>
                <w:szCs w:val="18"/>
              </w:rPr>
              <w:t>Berniell &amp; de la Mata (forthcoming) - 6pp.; Attanasio et al. (2015) 5 pp.; Ibarrarán et al (2016), 2016 7.8 pp.</w:t>
            </w:r>
          </w:p>
        </w:tc>
      </w:tr>
      <w:tr w:rsidR="001559F8" w:rsidRPr="008174E3" w14:paraId="73E9F408" w14:textId="77777777" w:rsidTr="001559F8">
        <w:trPr>
          <w:trHeight w:val="480"/>
        </w:trPr>
        <w:tc>
          <w:tcPr>
            <w:tcW w:w="3600" w:type="dxa"/>
            <w:tcBorders>
              <w:top w:val="nil"/>
              <w:left w:val="nil"/>
              <w:bottom w:val="nil"/>
              <w:right w:val="nil"/>
            </w:tcBorders>
            <w:shd w:val="clear" w:color="000000" w:fill="FFFFFF"/>
            <w:noWrap/>
            <w:vAlign w:val="center"/>
            <w:hideMark/>
          </w:tcPr>
          <w:p w14:paraId="2A57ABB2" w14:textId="77777777" w:rsidR="001559F8" w:rsidRPr="008174E3" w:rsidRDefault="001559F8" w:rsidP="001559F8">
            <w:pPr>
              <w:rPr>
                <w:rFonts w:ascii="Arial" w:hAnsi="Arial" w:cs="Arial"/>
                <w:color w:val="000000"/>
                <w:sz w:val="18"/>
                <w:szCs w:val="18"/>
              </w:rPr>
            </w:pPr>
            <w:r w:rsidRPr="008174E3">
              <w:rPr>
                <w:rFonts w:ascii="Arial" w:hAnsi="Arial" w:cs="Arial"/>
                <w:color w:val="000000"/>
                <w:sz w:val="18"/>
                <w:szCs w:val="18"/>
              </w:rPr>
              <w:t>Impacto asociado a formalidad</w:t>
            </w:r>
          </w:p>
        </w:tc>
        <w:tc>
          <w:tcPr>
            <w:tcW w:w="2160" w:type="dxa"/>
            <w:tcBorders>
              <w:top w:val="nil"/>
              <w:left w:val="nil"/>
              <w:bottom w:val="nil"/>
              <w:right w:val="nil"/>
            </w:tcBorders>
            <w:shd w:val="clear" w:color="000000" w:fill="FFFFFF"/>
            <w:noWrap/>
            <w:vAlign w:val="center"/>
            <w:hideMark/>
          </w:tcPr>
          <w:p w14:paraId="0062A01D" w14:textId="77777777" w:rsidR="001559F8" w:rsidRPr="008174E3" w:rsidRDefault="001559F8" w:rsidP="001559F8">
            <w:pPr>
              <w:jc w:val="right"/>
              <w:rPr>
                <w:rFonts w:ascii="Arial" w:hAnsi="Arial" w:cs="Arial"/>
                <w:color w:val="000000"/>
                <w:sz w:val="18"/>
                <w:szCs w:val="18"/>
              </w:rPr>
            </w:pPr>
            <w:r w:rsidRPr="008174E3">
              <w:rPr>
                <w:rFonts w:ascii="Arial" w:hAnsi="Arial" w:cs="Arial"/>
                <w:color w:val="000000"/>
                <w:sz w:val="18"/>
                <w:szCs w:val="18"/>
              </w:rPr>
              <w:t>24% del ingreso de referencia</w:t>
            </w:r>
          </w:p>
        </w:tc>
        <w:tc>
          <w:tcPr>
            <w:tcW w:w="4140" w:type="dxa"/>
            <w:tcBorders>
              <w:top w:val="nil"/>
              <w:left w:val="nil"/>
              <w:bottom w:val="nil"/>
              <w:right w:val="nil"/>
            </w:tcBorders>
            <w:shd w:val="clear" w:color="000000" w:fill="FFFFFF"/>
            <w:vAlign w:val="center"/>
            <w:hideMark/>
          </w:tcPr>
          <w:p w14:paraId="62A520D8" w14:textId="1B3278B2" w:rsidR="001559F8" w:rsidRPr="008174E3" w:rsidRDefault="001559F8" w:rsidP="001559F8">
            <w:pPr>
              <w:jc w:val="right"/>
              <w:rPr>
                <w:rFonts w:ascii="Arial" w:hAnsi="Arial" w:cs="Arial"/>
                <w:color w:val="000000"/>
                <w:sz w:val="18"/>
                <w:szCs w:val="18"/>
              </w:rPr>
            </w:pPr>
            <w:r w:rsidRPr="008174E3">
              <w:rPr>
                <w:rFonts w:ascii="Arial" w:hAnsi="Arial" w:cs="Arial"/>
                <w:color w:val="000000"/>
                <w:sz w:val="18"/>
                <w:szCs w:val="18"/>
              </w:rPr>
              <w:t>Taxing Wages (2017) y Ley Federal del Trabajo de México</w:t>
            </w:r>
          </w:p>
        </w:tc>
      </w:tr>
      <w:tr w:rsidR="001559F8" w:rsidRPr="008174E3" w14:paraId="7F5BFD85" w14:textId="77777777" w:rsidTr="001559F8">
        <w:trPr>
          <w:trHeight w:val="480"/>
        </w:trPr>
        <w:tc>
          <w:tcPr>
            <w:tcW w:w="3600" w:type="dxa"/>
            <w:tcBorders>
              <w:top w:val="nil"/>
              <w:left w:val="nil"/>
              <w:bottom w:val="nil"/>
              <w:right w:val="nil"/>
            </w:tcBorders>
            <w:shd w:val="clear" w:color="000000" w:fill="FFFFFF"/>
            <w:noWrap/>
            <w:vAlign w:val="center"/>
            <w:hideMark/>
          </w:tcPr>
          <w:p w14:paraId="7143BEE7" w14:textId="77777777" w:rsidR="001559F8" w:rsidRPr="008174E3" w:rsidRDefault="001559F8" w:rsidP="001559F8">
            <w:pPr>
              <w:rPr>
                <w:rFonts w:ascii="Arial" w:hAnsi="Arial" w:cs="Arial"/>
                <w:color w:val="000000"/>
                <w:sz w:val="18"/>
                <w:szCs w:val="18"/>
              </w:rPr>
            </w:pPr>
            <w:r w:rsidRPr="008174E3">
              <w:rPr>
                <w:rFonts w:ascii="Arial" w:hAnsi="Arial" w:cs="Arial"/>
                <w:color w:val="000000"/>
                <w:sz w:val="18"/>
                <w:szCs w:val="18"/>
              </w:rPr>
              <w:t>Impacto asociado a beneficios laborales por formalidad</w:t>
            </w:r>
          </w:p>
        </w:tc>
        <w:tc>
          <w:tcPr>
            <w:tcW w:w="2160" w:type="dxa"/>
            <w:tcBorders>
              <w:top w:val="nil"/>
              <w:left w:val="nil"/>
              <w:bottom w:val="nil"/>
              <w:right w:val="nil"/>
            </w:tcBorders>
            <w:shd w:val="clear" w:color="000000" w:fill="FFFFFF"/>
            <w:noWrap/>
            <w:vAlign w:val="center"/>
            <w:hideMark/>
          </w:tcPr>
          <w:p w14:paraId="4EFFA89E" w14:textId="77777777" w:rsidR="001559F8" w:rsidRPr="008174E3" w:rsidRDefault="001559F8" w:rsidP="001559F8">
            <w:pPr>
              <w:jc w:val="right"/>
              <w:rPr>
                <w:rFonts w:ascii="Arial" w:hAnsi="Arial" w:cs="Arial"/>
                <w:color w:val="000000"/>
                <w:sz w:val="18"/>
                <w:szCs w:val="18"/>
              </w:rPr>
            </w:pPr>
            <w:r w:rsidRPr="008174E3">
              <w:rPr>
                <w:rFonts w:ascii="Arial" w:hAnsi="Arial" w:cs="Arial"/>
                <w:color w:val="000000"/>
                <w:sz w:val="18"/>
                <w:szCs w:val="18"/>
              </w:rPr>
              <w:t>7% del ingreso de referencia</w:t>
            </w:r>
          </w:p>
        </w:tc>
        <w:tc>
          <w:tcPr>
            <w:tcW w:w="4140" w:type="dxa"/>
            <w:tcBorders>
              <w:top w:val="nil"/>
              <w:left w:val="nil"/>
              <w:bottom w:val="nil"/>
              <w:right w:val="nil"/>
            </w:tcBorders>
            <w:shd w:val="clear" w:color="000000" w:fill="FFFFFF"/>
            <w:vAlign w:val="center"/>
            <w:hideMark/>
          </w:tcPr>
          <w:p w14:paraId="40F48340" w14:textId="44500720" w:rsidR="001559F8" w:rsidRPr="008174E3" w:rsidRDefault="001559F8" w:rsidP="001559F8">
            <w:pPr>
              <w:jc w:val="right"/>
              <w:rPr>
                <w:rFonts w:ascii="Arial" w:hAnsi="Arial" w:cs="Arial"/>
                <w:color w:val="000000"/>
                <w:sz w:val="18"/>
                <w:szCs w:val="18"/>
              </w:rPr>
            </w:pPr>
            <w:r w:rsidRPr="008174E3">
              <w:rPr>
                <w:rFonts w:ascii="Arial" w:hAnsi="Arial" w:cs="Arial"/>
                <w:color w:val="000000"/>
                <w:sz w:val="18"/>
                <w:szCs w:val="18"/>
              </w:rPr>
              <w:t>Ibid.  6 días de vacación pagada y 15 días por aguinaldo</w:t>
            </w:r>
          </w:p>
        </w:tc>
      </w:tr>
      <w:tr w:rsidR="001559F8" w:rsidRPr="008174E3" w14:paraId="1FC7F557" w14:textId="77777777" w:rsidTr="001559F8">
        <w:trPr>
          <w:trHeight w:val="720"/>
        </w:trPr>
        <w:tc>
          <w:tcPr>
            <w:tcW w:w="3600" w:type="dxa"/>
            <w:tcBorders>
              <w:top w:val="nil"/>
              <w:left w:val="nil"/>
              <w:bottom w:val="nil"/>
              <w:right w:val="nil"/>
            </w:tcBorders>
            <w:shd w:val="clear" w:color="000000" w:fill="FFFFFF"/>
            <w:noWrap/>
            <w:vAlign w:val="center"/>
            <w:hideMark/>
          </w:tcPr>
          <w:p w14:paraId="0719DE44" w14:textId="77777777" w:rsidR="001559F8" w:rsidRPr="008174E3" w:rsidRDefault="001559F8" w:rsidP="001559F8">
            <w:pPr>
              <w:rPr>
                <w:rFonts w:ascii="Arial" w:hAnsi="Arial" w:cs="Arial"/>
                <w:color w:val="000000"/>
                <w:sz w:val="18"/>
                <w:szCs w:val="18"/>
              </w:rPr>
            </w:pPr>
            <w:r w:rsidRPr="008174E3">
              <w:rPr>
                <w:rFonts w:ascii="Arial" w:hAnsi="Arial" w:cs="Arial"/>
                <w:color w:val="000000"/>
                <w:sz w:val="18"/>
                <w:szCs w:val="18"/>
              </w:rPr>
              <w:t>Beneficiarios intermediados mediante SNE</w:t>
            </w:r>
          </w:p>
        </w:tc>
        <w:tc>
          <w:tcPr>
            <w:tcW w:w="2160" w:type="dxa"/>
            <w:tcBorders>
              <w:top w:val="nil"/>
              <w:left w:val="nil"/>
              <w:bottom w:val="nil"/>
              <w:right w:val="nil"/>
            </w:tcBorders>
            <w:shd w:val="clear" w:color="000000" w:fill="FFFFFF"/>
            <w:noWrap/>
            <w:vAlign w:val="center"/>
            <w:hideMark/>
          </w:tcPr>
          <w:p w14:paraId="06708F6D" w14:textId="50895B8C" w:rsidR="001559F8" w:rsidRPr="008174E3" w:rsidRDefault="000C1E37" w:rsidP="001559F8">
            <w:pPr>
              <w:jc w:val="right"/>
              <w:rPr>
                <w:rFonts w:ascii="Arial" w:hAnsi="Arial" w:cs="Arial"/>
                <w:color w:val="000000"/>
                <w:sz w:val="18"/>
                <w:szCs w:val="18"/>
              </w:rPr>
            </w:pPr>
            <w:r>
              <w:rPr>
                <w:rFonts w:ascii="Arial" w:hAnsi="Arial" w:cs="Arial"/>
                <w:color w:val="000000"/>
                <w:sz w:val="18"/>
                <w:szCs w:val="18"/>
              </w:rPr>
              <w:t>76</w:t>
            </w:r>
            <w:r w:rsidR="001559F8" w:rsidRPr="008174E3">
              <w:rPr>
                <w:rFonts w:ascii="Arial" w:hAnsi="Arial" w:cs="Arial"/>
                <w:color w:val="000000"/>
                <w:sz w:val="18"/>
                <w:szCs w:val="18"/>
              </w:rPr>
              <w:t>.000 al año</w:t>
            </w:r>
          </w:p>
        </w:tc>
        <w:tc>
          <w:tcPr>
            <w:tcW w:w="4140" w:type="dxa"/>
            <w:tcBorders>
              <w:top w:val="nil"/>
              <w:left w:val="nil"/>
              <w:bottom w:val="nil"/>
              <w:right w:val="nil"/>
            </w:tcBorders>
            <w:shd w:val="clear" w:color="000000" w:fill="FFFFFF"/>
            <w:vAlign w:val="center"/>
            <w:hideMark/>
          </w:tcPr>
          <w:p w14:paraId="273B0F55" w14:textId="306FFFE3" w:rsidR="001559F8" w:rsidRPr="008174E3" w:rsidRDefault="001559F8" w:rsidP="001559F8">
            <w:pPr>
              <w:jc w:val="right"/>
              <w:rPr>
                <w:rFonts w:ascii="Arial" w:hAnsi="Arial" w:cs="Arial"/>
                <w:color w:val="000000"/>
                <w:sz w:val="18"/>
                <w:szCs w:val="18"/>
              </w:rPr>
            </w:pPr>
            <w:r w:rsidRPr="008174E3">
              <w:rPr>
                <w:rFonts w:ascii="Arial" w:hAnsi="Arial" w:cs="Arial"/>
                <w:color w:val="000000"/>
                <w:sz w:val="18"/>
                <w:szCs w:val="18"/>
              </w:rPr>
              <w:t>Matriz de Resultados y datos administrativos del SNE (</w:t>
            </w:r>
            <w:r w:rsidR="00FC686C" w:rsidRPr="008174E3">
              <w:rPr>
                <w:rFonts w:ascii="Arial" w:hAnsi="Arial" w:cs="Arial"/>
                <w:color w:val="000000"/>
                <w:sz w:val="18"/>
                <w:szCs w:val="18"/>
              </w:rPr>
              <w:t>Cuadro </w:t>
            </w:r>
            <w:r w:rsidR="00090F38" w:rsidRPr="008174E3">
              <w:rPr>
                <w:rFonts w:ascii="Arial" w:hAnsi="Arial" w:cs="Arial"/>
                <w:color w:val="000000"/>
                <w:sz w:val="18"/>
                <w:szCs w:val="18"/>
              </w:rPr>
              <w:t>A3</w:t>
            </w:r>
            <w:r w:rsidRPr="008174E3">
              <w:rPr>
                <w:rFonts w:ascii="Arial" w:hAnsi="Arial" w:cs="Arial"/>
                <w:color w:val="000000"/>
                <w:sz w:val="18"/>
                <w:szCs w:val="18"/>
              </w:rPr>
              <w:t>)</w:t>
            </w:r>
          </w:p>
        </w:tc>
      </w:tr>
      <w:tr w:rsidR="001559F8" w:rsidRPr="008174E3" w14:paraId="56A8718C" w14:textId="77777777" w:rsidTr="001559F8">
        <w:trPr>
          <w:trHeight w:val="480"/>
        </w:trPr>
        <w:tc>
          <w:tcPr>
            <w:tcW w:w="3600" w:type="dxa"/>
            <w:tcBorders>
              <w:top w:val="nil"/>
              <w:left w:val="nil"/>
              <w:bottom w:val="nil"/>
              <w:right w:val="nil"/>
            </w:tcBorders>
            <w:shd w:val="clear" w:color="000000" w:fill="FFFFFF"/>
            <w:vAlign w:val="center"/>
            <w:hideMark/>
          </w:tcPr>
          <w:p w14:paraId="551BCCB1" w14:textId="77777777" w:rsidR="001559F8" w:rsidRPr="008174E3" w:rsidRDefault="001559F8" w:rsidP="001559F8">
            <w:pPr>
              <w:rPr>
                <w:rFonts w:ascii="Arial" w:hAnsi="Arial" w:cs="Arial"/>
                <w:color w:val="000000"/>
                <w:sz w:val="18"/>
                <w:szCs w:val="18"/>
              </w:rPr>
            </w:pPr>
            <w:r w:rsidRPr="008174E3">
              <w:rPr>
                <w:rFonts w:ascii="Arial" w:hAnsi="Arial" w:cs="Arial"/>
                <w:color w:val="000000"/>
                <w:sz w:val="18"/>
                <w:szCs w:val="18"/>
              </w:rPr>
              <w:t>Costos directos del componente</w:t>
            </w:r>
          </w:p>
        </w:tc>
        <w:tc>
          <w:tcPr>
            <w:tcW w:w="2160" w:type="dxa"/>
            <w:tcBorders>
              <w:top w:val="nil"/>
              <w:left w:val="nil"/>
              <w:bottom w:val="nil"/>
              <w:right w:val="nil"/>
            </w:tcBorders>
            <w:shd w:val="clear" w:color="000000" w:fill="FFFFFF"/>
            <w:noWrap/>
            <w:vAlign w:val="center"/>
            <w:hideMark/>
          </w:tcPr>
          <w:p w14:paraId="26888416" w14:textId="0398F049" w:rsidR="001559F8" w:rsidRPr="008174E3" w:rsidRDefault="00DA556B" w:rsidP="001559F8">
            <w:pPr>
              <w:jc w:val="right"/>
              <w:rPr>
                <w:rFonts w:ascii="Arial" w:hAnsi="Arial" w:cs="Arial"/>
                <w:color w:val="000000"/>
                <w:sz w:val="18"/>
                <w:szCs w:val="18"/>
              </w:rPr>
            </w:pPr>
            <w:r w:rsidRPr="008174E3">
              <w:rPr>
                <w:rFonts w:ascii="Arial" w:hAnsi="Arial" w:cs="Arial"/>
                <w:color w:val="000000"/>
                <w:sz w:val="18"/>
                <w:szCs w:val="18"/>
              </w:rPr>
              <w:t xml:space="preserve"> 1</w:t>
            </w:r>
            <w:r w:rsidR="00B46F49" w:rsidRPr="008174E3">
              <w:rPr>
                <w:rFonts w:ascii="Arial" w:hAnsi="Arial" w:cs="Arial"/>
                <w:color w:val="000000"/>
                <w:sz w:val="18"/>
                <w:szCs w:val="18"/>
              </w:rPr>
              <w:t>3</w:t>
            </w:r>
            <w:r w:rsidR="000C1E37">
              <w:rPr>
                <w:rFonts w:ascii="Arial" w:hAnsi="Arial" w:cs="Arial"/>
                <w:color w:val="000000"/>
                <w:sz w:val="18"/>
                <w:szCs w:val="18"/>
              </w:rPr>
              <w:t>0</w:t>
            </w:r>
            <w:r w:rsidRPr="008174E3">
              <w:rPr>
                <w:rFonts w:ascii="Arial" w:hAnsi="Arial" w:cs="Arial"/>
                <w:color w:val="000000"/>
                <w:sz w:val="18"/>
                <w:szCs w:val="18"/>
              </w:rPr>
              <w:t>.</w:t>
            </w:r>
            <w:r w:rsidR="000C1E37">
              <w:rPr>
                <w:rFonts w:ascii="Arial" w:hAnsi="Arial" w:cs="Arial"/>
                <w:color w:val="000000"/>
                <w:sz w:val="18"/>
                <w:szCs w:val="18"/>
              </w:rPr>
              <w:t>0</w:t>
            </w:r>
            <w:r w:rsidR="001559F8" w:rsidRPr="008174E3">
              <w:rPr>
                <w:rFonts w:ascii="Arial" w:hAnsi="Arial" w:cs="Arial"/>
                <w:color w:val="000000"/>
                <w:sz w:val="18"/>
                <w:szCs w:val="18"/>
              </w:rPr>
              <w:t>00</w:t>
            </w:r>
            <w:r w:rsidRPr="008174E3">
              <w:rPr>
                <w:rFonts w:ascii="Arial" w:hAnsi="Arial" w:cs="Arial"/>
                <w:color w:val="000000"/>
                <w:sz w:val="18"/>
                <w:szCs w:val="18"/>
              </w:rPr>
              <w:t>.</w:t>
            </w:r>
            <w:r w:rsidR="001559F8" w:rsidRPr="008174E3">
              <w:rPr>
                <w:rFonts w:ascii="Arial" w:hAnsi="Arial" w:cs="Arial"/>
                <w:color w:val="000000"/>
                <w:sz w:val="18"/>
                <w:szCs w:val="18"/>
              </w:rPr>
              <w:t xml:space="preserve">000 </w:t>
            </w:r>
          </w:p>
        </w:tc>
        <w:tc>
          <w:tcPr>
            <w:tcW w:w="4140" w:type="dxa"/>
            <w:tcBorders>
              <w:top w:val="nil"/>
              <w:left w:val="nil"/>
              <w:bottom w:val="nil"/>
              <w:right w:val="nil"/>
            </w:tcBorders>
            <w:shd w:val="clear" w:color="000000" w:fill="FFFFFF"/>
            <w:vAlign w:val="center"/>
            <w:hideMark/>
          </w:tcPr>
          <w:p w14:paraId="5E3FF50A" w14:textId="77777777" w:rsidR="001559F8" w:rsidRPr="008174E3" w:rsidRDefault="001559F8" w:rsidP="001559F8">
            <w:pPr>
              <w:jc w:val="right"/>
              <w:rPr>
                <w:rFonts w:ascii="Arial" w:hAnsi="Arial" w:cs="Arial"/>
                <w:color w:val="000000"/>
                <w:sz w:val="18"/>
                <w:szCs w:val="18"/>
              </w:rPr>
            </w:pPr>
            <w:r w:rsidRPr="008174E3">
              <w:rPr>
                <w:rFonts w:ascii="Arial" w:hAnsi="Arial" w:cs="Arial"/>
                <w:color w:val="000000"/>
                <w:sz w:val="18"/>
                <w:szCs w:val="18"/>
              </w:rPr>
              <w:t>Propuesta para el Desarrollo de la Operación ME-L1258</w:t>
            </w:r>
          </w:p>
        </w:tc>
      </w:tr>
      <w:tr w:rsidR="001559F8" w:rsidRPr="008174E3" w14:paraId="794FF821" w14:textId="77777777" w:rsidTr="001559F8">
        <w:trPr>
          <w:trHeight w:val="480"/>
        </w:trPr>
        <w:tc>
          <w:tcPr>
            <w:tcW w:w="3600" w:type="dxa"/>
            <w:tcBorders>
              <w:top w:val="nil"/>
              <w:left w:val="nil"/>
              <w:bottom w:val="nil"/>
              <w:right w:val="nil"/>
            </w:tcBorders>
            <w:shd w:val="clear" w:color="000000" w:fill="FFFFFF"/>
            <w:vAlign w:val="center"/>
            <w:hideMark/>
          </w:tcPr>
          <w:p w14:paraId="1718FDCD" w14:textId="773479CD" w:rsidR="001559F8" w:rsidRPr="008174E3" w:rsidRDefault="001559F8" w:rsidP="001559F8">
            <w:pPr>
              <w:rPr>
                <w:rFonts w:ascii="Arial" w:hAnsi="Arial" w:cs="Arial"/>
                <w:color w:val="000000"/>
                <w:sz w:val="18"/>
                <w:szCs w:val="18"/>
              </w:rPr>
            </w:pPr>
            <w:r w:rsidRPr="008174E3">
              <w:rPr>
                <w:rFonts w:ascii="Arial" w:hAnsi="Arial" w:cs="Arial"/>
                <w:color w:val="000000"/>
                <w:sz w:val="18"/>
                <w:szCs w:val="18"/>
              </w:rPr>
              <w:t xml:space="preserve">Costos Económicos por beneficiario </w:t>
            </w:r>
          </w:p>
        </w:tc>
        <w:tc>
          <w:tcPr>
            <w:tcW w:w="2160" w:type="dxa"/>
            <w:tcBorders>
              <w:top w:val="nil"/>
              <w:left w:val="nil"/>
              <w:bottom w:val="nil"/>
              <w:right w:val="nil"/>
            </w:tcBorders>
            <w:shd w:val="clear" w:color="000000" w:fill="FFFFFF"/>
            <w:vAlign w:val="center"/>
            <w:hideMark/>
          </w:tcPr>
          <w:p w14:paraId="34CD5134" w14:textId="77A9767A" w:rsidR="001559F8" w:rsidRPr="008174E3" w:rsidRDefault="001559F8" w:rsidP="001559F8">
            <w:pPr>
              <w:jc w:val="right"/>
              <w:rPr>
                <w:rFonts w:ascii="Arial" w:hAnsi="Arial" w:cs="Arial"/>
                <w:color w:val="000000"/>
                <w:sz w:val="18"/>
                <w:szCs w:val="18"/>
              </w:rPr>
            </w:pPr>
            <w:r w:rsidRPr="008174E3">
              <w:rPr>
                <w:rFonts w:ascii="Arial" w:hAnsi="Arial" w:cs="Arial"/>
                <w:color w:val="000000"/>
                <w:sz w:val="18"/>
                <w:szCs w:val="18"/>
              </w:rPr>
              <w:t>Sin costo</w:t>
            </w:r>
          </w:p>
        </w:tc>
        <w:tc>
          <w:tcPr>
            <w:tcW w:w="4140" w:type="dxa"/>
            <w:tcBorders>
              <w:top w:val="nil"/>
              <w:left w:val="nil"/>
              <w:bottom w:val="nil"/>
              <w:right w:val="nil"/>
            </w:tcBorders>
            <w:shd w:val="clear" w:color="000000" w:fill="FFFFFF"/>
            <w:vAlign w:val="center"/>
            <w:hideMark/>
          </w:tcPr>
          <w:p w14:paraId="43B1066A" w14:textId="77777777" w:rsidR="001559F8" w:rsidRPr="008174E3" w:rsidRDefault="001559F8" w:rsidP="001559F8">
            <w:pPr>
              <w:jc w:val="right"/>
              <w:rPr>
                <w:rFonts w:ascii="Arial" w:hAnsi="Arial" w:cs="Arial"/>
                <w:color w:val="000000"/>
                <w:sz w:val="18"/>
                <w:szCs w:val="18"/>
              </w:rPr>
            </w:pPr>
            <w:r w:rsidRPr="008174E3">
              <w:rPr>
                <w:rFonts w:ascii="Arial" w:hAnsi="Arial" w:cs="Arial"/>
                <w:color w:val="000000"/>
                <w:sz w:val="18"/>
                <w:szCs w:val="18"/>
              </w:rPr>
              <w:t>Se asume un costo de oportunidad igual al estipendio recibido por los programas</w:t>
            </w:r>
          </w:p>
        </w:tc>
      </w:tr>
      <w:tr w:rsidR="001559F8" w:rsidRPr="008174E3" w14:paraId="41A4102F" w14:textId="77777777" w:rsidTr="001559F8">
        <w:trPr>
          <w:trHeight w:val="300"/>
        </w:trPr>
        <w:tc>
          <w:tcPr>
            <w:tcW w:w="3600" w:type="dxa"/>
            <w:tcBorders>
              <w:top w:val="nil"/>
              <w:left w:val="nil"/>
              <w:bottom w:val="single" w:sz="8" w:space="0" w:color="auto"/>
              <w:right w:val="nil"/>
            </w:tcBorders>
            <w:shd w:val="clear" w:color="000000" w:fill="FFFFFF"/>
            <w:noWrap/>
            <w:vAlign w:val="center"/>
            <w:hideMark/>
          </w:tcPr>
          <w:p w14:paraId="0BEF1236" w14:textId="77777777" w:rsidR="001559F8" w:rsidRPr="008174E3" w:rsidRDefault="001559F8" w:rsidP="001559F8">
            <w:pPr>
              <w:rPr>
                <w:rFonts w:ascii="Arial" w:hAnsi="Arial" w:cs="Arial"/>
                <w:color w:val="000000"/>
                <w:sz w:val="18"/>
                <w:szCs w:val="18"/>
              </w:rPr>
            </w:pPr>
            <w:r w:rsidRPr="008174E3">
              <w:rPr>
                <w:rFonts w:ascii="Arial" w:hAnsi="Arial" w:cs="Arial"/>
                <w:color w:val="000000"/>
                <w:sz w:val="18"/>
                <w:szCs w:val="18"/>
              </w:rPr>
              <w:t>Tiempo de impacto del componente</w:t>
            </w:r>
          </w:p>
        </w:tc>
        <w:tc>
          <w:tcPr>
            <w:tcW w:w="2160" w:type="dxa"/>
            <w:tcBorders>
              <w:top w:val="nil"/>
              <w:left w:val="nil"/>
              <w:bottom w:val="single" w:sz="8" w:space="0" w:color="auto"/>
              <w:right w:val="nil"/>
            </w:tcBorders>
            <w:shd w:val="clear" w:color="000000" w:fill="FFFFFF"/>
            <w:noWrap/>
            <w:vAlign w:val="center"/>
            <w:hideMark/>
          </w:tcPr>
          <w:p w14:paraId="6D9A5DC8" w14:textId="77777777" w:rsidR="001559F8" w:rsidRPr="008174E3" w:rsidRDefault="001559F8" w:rsidP="001559F8">
            <w:pPr>
              <w:jc w:val="right"/>
              <w:rPr>
                <w:rFonts w:ascii="Arial" w:hAnsi="Arial" w:cs="Arial"/>
                <w:color w:val="000000"/>
                <w:sz w:val="18"/>
                <w:szCs w:val="18"/>
              </w:rPr>
            </w:pPr>
            <w:r w:rsidRPr="008174E3">
              <w:rPr>
                <w:rFonts w:ascii="Arial" w:hAnsi="Arial" w:cs="Arial"/>
                <w:color w:val="000000"/>
                <w:sz w:val="18"/>
                <w:szCs w:val="18"/>
              </w:rPr>
              <w:t>10</w:t>
            </w:r>
          </w:p>
        </w:tc>
        <w:tc>
          <w:tcPr>
            <w:tcW w:w="4140" w:type="dxa"/>
            <w:tcBorders>
              <w:top w:val="nil"/>
              <w:left w:val="nil"/>
              <w:bottom w:val="single" w:sz="8" w:space="0" w:color="auto"/>
              <w:right w:val="nil"/>
            </w:tcBorders>
            <w:shd w:val="clear" w:color="000000" w:fill="FFFFFF"/>
            <w:noWrap/>
            <w:vAlign w:val="center"/>
            <w:hideMark/>
          </w:tcPr>
          <w:p w14:paraId="560CBC63" w14:textId="77777777" w:rsidR="001559F8" w:rsidRPr="008174E3" w:rsidRDefault="001559F8" w:rsidP="001559F8">
            <w:pPr>
              <w:jc w:val="right"/>
              <w:rPr>
                <w:rFonts w:ascii="Arial" w:hAnsi="Arial" w:cs="Arial"/>
                <w:color w:val="000000"/>
                <w:sz w:val="18"/>
                <w:szCs w:val="18"/>
              </w:rPr>
            </w:pPr>
            <w:r w:rsidRPr="008174E3">
              <w:rPr>
                <w:rFonts w:ascii="Arial" w:hAnsi="Arial" w:cs="Arial"/>
                <w:color w:val="000000"/>
                <w:sz w:val="18"/>
                <w:szCs w:val="18"/>
              </w:rPr>
              <w:t>Attanasio et al. (2015) &amp; Ibarrarán et al (2016)</w:t>
            </w:r>
          </w:p>
        </w:tc>
      </w:tr>
    </w:tbl>
    <w:p w14:paraId="1F85F21E" w14:textId="70A293C7" w:rsidR="001559F8" w:rsidRPr="008174E3" w:rsidRDefault="001559F8" w:rsidP="001559F8">
      <w:pPr>
        <w:jc w:val="center"/>
        <w:rPr>
          <w:rFonts w:ascii="Arial" w:hAnsi="Arial" w:cs="Arial"/>
          <w:b/>
        </w:rPr>
      </w:pPr>
    </w:p>
    <w:p w14:paraId="280C280A" w14:textId="77777777" w:rsidR="001559F8" w:rsidRPr="008174E3" w:rsidRDefault="001559F8" w:rsidP="001559F8">
      <w:pPr>
        <w:jc w:val="center"/>
        <w:rPr>
          <w:rFonts w:ascii="Arial" w:hAnsi="Arial" w:cs="Arial"/>
          <w:b/>
        </w:rPr>
      </w:pPr>
    </w:p>
    <w:p w14:paraId="7E091E0D" w14:textId="77777777" w:rsidR="001559F8" w:rsidRPr="008174E3" w:rsidRDefault="001559F8" w:rsidP="00DB1805">
      <w:pPr>
        <w:autoSpaceDE w:val="0"/>
        <w:autoSpaceDN w:val="0"/>
        <w:adjustRightInd w:val="0"/>
        <w:jc w:val="both"/>
        <w:rPr>
          <w:rFonts w:ascii="Arial" w:hAnsi="Arial" w:cs="Arial"/>
        </w:rPr>
      </w:pPr>
    </w:p>
    <w:p w14:paraId="18543280" w14:textId="2353D23F" w:rsidR="00545287" w:rsidRPr="008174E3" w:rsidRDefault="00827E44" w:rsidP="00DB1805">
      <w:pPr>
        <w:autoSpaceDE w:val="0"/>
        <w:autoSpaceDN w:val="0"/>
        <w:adjustRightInd w:val="0"/>
        <w:jc w:val="both"/>
        <w:rPr>
          <w:rFonts w:ascii="Arial" w:hAnsi="Arial" w:cs="Arial"/>
        </w:rPr>
      </w:pPr>
      <w:r w:rsidRPr="008174E3">
        <w:rPr>
          <w:rFonts w:ascii="Arial" w:hAnsi="Arial" w:cs="Arial"/>
        </w:rPr>
        <w:t>El Cuadro </w:t>
      </w:r>
      <w:r w:rsidR="002060F3" w:rsidRPr="008174E3">
        <w:rPr>
          <w:rFonts w:ascii="Arial" w:hAnsi="Arial" w:cs="Arial"/>
        </w:rPr>
        <w:t>A</w:t>
      </w:r>
      <w:r w:rsidR="0022742F" w:rsidRPr="008174E3">
        <w:rPr>
          <w:rFonts w:ascii="Arial" w:hAnsi="Arial" w:cs="Arial"/>
        </w:rPr>
        <w:t>5</w:t>
      </w:r>
      <w:r w:rsidR="002060F3" w:rsidRPr="008174E3">
        <w:rPr>
          <w:rFonts w:ascii="Arial" w:hAnsi="Arial" w:cs="Arial"/>
        </w:rPr>
        <w:t xml:space="preserve"> muestra el flujo de beneficios y costos para intermediación laboral y </w:t>
      </w:r>
      <w:r w:rsidR="00FC686C" w:rsidRPr="008174E3">
        <w:rPr>
          <w:rFonts w:ascii="Arial" w:hAnsi="Arial" w:cs="Arial"/>
        </w:rPr>
        <w:t>e</w:t>
      </w:r>
      <w:r w:rsidR="002060F3" w:rsidRPr="008174E3">
        <w:rPr>
          <w:rFonts w:ascii="Arial" w:hAnsi="Arial" w:cs="Arial"/>
        </w:rPr>
        <w:t xml:space="preserve">l </w:t>
      </w:r>
      <w:r w:rsidR="00FC686C" w:rsidRPr="008174E3">
        <w:rPr>
          <w:rFonts w:ascii="Arial" w:hAnsi="Arial" w:cs="Arial"/>
        </w:rPr>
        <w:t>Cuadro </w:t>
      </w:r>
      <w:r w:rsidR="002060F3" w:rsidRPr="008174E3">
        <w:rPr>
          <w:rFonts w:ascii="Arial" w:hAnsi="Arial" w:cs="Arial"/>
        </w:rPr>
        <w:t>A</w:t>
      </w:r>
      <w:r w:rsidR="0022742F" w:rsidRPr="008174E3">
        <w:rPr>
          <w:rFonts w:ascii="Arial" w:hAnsi="Arial" w:cs="Arial"/>
        </w:rPr>
        <w:t>6</w:t>
      </w:r>
      <w:r w:rsidR="008457CF" w:rsidRPr="008174E3">
        <w:rPr>
          <w:rFonts w:ascii="Arial" w:hAnsi="Arial" w:cs="Arial"/>
        </w:rPr>
        <w:t xml:space="preserve"> </w:t>
      </w:r>
      <w:r w:rsidR="002060F3" w:rsidRPr="008174E3">
        <w:rPr>
          <w:rFonts w:ascii="Arial" w:hAnsi="Arial" w:cs="Arial"/>
        </w:rPr>
        <w:t>para capacitación laboral.</w:t>
      </w:r>
      <w:r w:rsidR="008457CF" w:rsidRPr="008174E3">
        <w:rPr>
          <w:rFonts w:ascii="Arial" w:hAnsi="Arial" w:cs="Arial"/>
        </w:rPr>
        <w:t xml:space="preserve"> Es importante notar que para el componente de intermediación laboral se espera </w:t>
      </w:r>
      <w:r w:rsidR="00545287" w:rsidRPr="008174E3">
        <w:rPr>
          <w:rFonts w:ascii="Arial" w:hAnsi="Arial" w:cs="Arial"/>
        </w:rPr>
        <w:t xml:space="preserve">un </w:t>
      </w:r>
      <w:r w:rsidR="008457CF" w:rsidRPr="008174E3">
        <w:rPr>
          <w:rFonts w:ascii="Arial" w:hAnsi="Arial" w:cs="Arial"/>
        </w:rPr>
        <w:t xml:space="preserve">flujo de beneficios de </w:t>
      </w:r>
      <w:r w:rsidR="00D77621" w:rsidRPr="008174E3">
        <w:rPr>
          <w:rFonts w:ascii="Arial" w:hAnsi="Arial" w:cs="Arial"/>
        </w:rPr>
        <w:t>2</w:t>
      </w:r>
      <w:r w:rsidR="008457CF" w:rsidRPr="008174E3">
        <w:rPr>
          <w:rFonts w:ascii="Arial" w:hAnsi="Arial" w:cs="Arial"/>
        </w:rPr>
        <w:t xml:space="preserve"> años a partir de la intermediación laboral</w:t>
      </w:r>
      <w:r w:rsidR="00545287" w:rsidRPr="008174E3">
        <w:rPr>
          <w:rFonts w:ascii="Arial" w:hAnsi="Arial" w:cs="Arial"/>
        </w:rPr>
        <w:t xml:space="preserve"> (</w:t>
      </w:r>
      <w:r w:rsidRPr="008174E3">
        <w:rPr>
          <w:rFonts w:ascii="Arial" w:hAnsi="Arial" w:cs="Arial"/>
        </w:rPr>
        <w:t>Cuadro </w:t>
      </w:r>
      <w:r w:rsidR="00545287" w:rsidRPr="008174E3">
        <w:rPr>
          <w:rFonts w:ascii="Arial" w:hAnsi="Arial" w:cs="Arial"/>
        </w:rPr>
        <w:t>A4)</w:t>
      </w:r>
      <w:r w:rsidR="008457CF" w:rsidRPr="008174E3">
        <w:rPr>
          <w:rFonts w:ascii="Arial" w:hAnsi="Arial" w:cs="Arial"/>
        </w:rPr>
        <w:t xml:space="preserve">. </w:t>
      </w:r>
      <w:r w:rsidR="00545287" w:rsidRPr="008174E3">
        <w:rPr>
          <w:rFonts w:ascii="Arial" w:hAnsi="Arial" w:cs="Arial"/>
        </w:rPr>
        <w:t>Se asume que los costos directos y económicos se realizan al momento de la intermediación laboral.</w:t>
      </w:r>
      <w:r w:rsidR="008E2E6E" w:rsidRPr="008174E3">
        <w:rPr>
          <w:rFonts w:ascii="Arial" w:hAnsi="Arial" w:cs="Arial"/>
        </w:rPr>
        <w:t xml:space="preserve"> El </w:t>
      </w:r>
      <w:r w:rsidR="00514377" w:rsidRPr="008174E3">
        <w:rPr>
          <w:rFonts w:ascii="Arial" w:hAnsi="Arial" w:cs="Arial"/>
        </w:rPr>
        <w:t>cálculo</w:t>
      </w:r>
      <w:r w:rsidR="008E2E6E" w:rsidRPr="008174E3">
        <w:rPr>
          <w:rFonts w:ascii="Arial" w:hAnsi="Arial" w:cs="Arial"/>
        </w:rPr>
        <w:t xml:space="preserve"> es </w:t>
      </w:r>
      <w:r w:rsidR="00514377" w:rsidRPr="008174E3">
        <w:rPr>
          <w:rFonts w:ascii="Arial" w:hAnsi="Arial" w:cs="Arial"/>
        </w:rPr>
        <w:t>análogo</w:t>
      </w:r>
      <w:r w:rsidR="008E2E6E" w:rsidRPr="008174E3">
        <w:rPr>
          <w:rFonts w:ascii="Arial" w:hAnsi="Arial" w:cs="Arial"/>
        </w:rPr>
        <w:t xml:space="preserve"> para </w:t>
      </w:r>
      <w:r w:rsidR="00514377" w:rsidRPr="008174E3">
        <w:rPr>
          <w:rFonts w:ascii="Arial" w:hAnsi="Arial" w:cs="Arial"/>
        </w:rPr>
        <w:t>beneficiarios</w:t>
      </w:r>
      <w:r w:rsidR="008E2E6E" w:rsidRPr="008174E3">
        <w:rPr>
          <w:rFonts w:ascii="Arial" w:hAnsi="Arial" w:cs="Arial"/>
        </w:rPr>
        <w:t xml:space="preserve"> del programa de capacitación laboral, pero con una duración del impacto por 10 años. </w:t>
      </w:r>
    </w:p>
    <w:p w14:paraId="71220B4C" w14:textId="77777777" w:rsidR="0003327B" w:rsidRPr="008174E3" w:rsidRDefault="0003327B" w:rsidP="00DB1805">
      <w:pPr>
        <w:autoSpaceDE w:val="0"/>
        <w:autoSpaceDN w:val="0"/>
        <w:adjustRightInd w:val="0"/>
        <w:jc w:val="both"/>
        <w:rPr>
          <w:rFonts w:ascii="Arial" w:hAnsi="Arial" w:cs="Arial"/>
        </w:rPr>
      </w:pPr>
    </w:p>
    <w:p w14:paraId="3923638D" w14:textId="0BC61F0A" w:rsidR="001610C3" w:rsidRPr="008174E3" w:rsidRDefault="00FC686C" w:rsidP="001610C3">
      <w:pPr>
        <w:jc w:val="center"/>
        <w:rPr>
          <w:rFonts w:ascii="Arial" w:hAnsi="Arial" w:cs="Arial"/>
          <w:b/>
          <w:sz w:val="22"/>
        </w:rPr>
      </w:pPr>
      <w:r w:rsidRPr="008174E3">
        <w:rPr>
          <w:rFonts w:ascii="Arial" w:hAnsi="Arial" w:cs="Arial"/>
          <w:b/>
          <w:sz w:val="22"/>
        </w:rPr>
        <w:t>Cuadro </w:t>
      </w:r>
      <w:r w:rsidR="00545287" w:rsidRPr="008174E3">
        <w:rPr>
          <w:rFonts w:ascii="Arial" w:hAnsi="Arial" w:cs="Arial"/>
          <w:b/>
          <w:sz w:val="22"/>
        </w:rPr>
        <w:t>A</w:t>
      </w:r>
      <w:r w:rsidR="00DB1805" w:rsidRPr="008174E3">
        <w:rPr>
          <w:rFonts w:ascii="Arial" w:hAnsi="Arial" w:cs="Arial"/>
          <w:b/>
          <w:sz w:val="22"/>
        </w:rPr>
        <w:t>5</w:t>
      </w:r>
      <w:r w:rsidR="00545287" w:rsidRPr="008174E3">
        <w:rPr>
          <w:rFonts w:ascii="Arial" w:hAnsi="Arial" w:cs="Arial"/>
          <w:b/>
          <w:sz w:val="22"/>
        </w:rPr>
        <w:t xml:space="preserve">: </w:t>
      </w:r>
      <w:r w:rsidR="00347084" w:rsidRPr="008174E3">
        <w:rPr>
          <w:rFonts w:ascii="Arial" w:hAnsi="Arial" w:cs="Arial"/>
          <w:b/>
          <w:sz w:val="22"/>
        </w:rPr>
        <w:t>C</w:t>
      </w:r>
      <w:r w:rsidRPr="008174E3">
        <w:rPr>
          <w:rFonts w:ascii="Arial" w:hAnsi="Arial" w:cs="Arial"/>
          <w:b/>
          <w:sz w:val="22"/>
        </w:rPr>
        <w:t>á</w:t>
      </w:r>
      <w:r w:rsidR="00347084" w:rsidRPr="008174E3">
        <w:rPr>
          <w:rFonts w:ascii="Arial" w:hAnsi="Arial" w:cs="Arial"/>
          <w:b/>
          <w:sz w:val="22"/>
        </w:rPr>
        <w:t>lculo del f</w:t>
      </w:r>
      <w:r w:rsidR="00545287" w:rsidRPr="008174E3">
        <w:rPr>
          <w:rFonts w:ascii="Arial" w:hAnsi="Arial" w:cs="Arial"/>
          <w:b/>
          <w:sz w:val="22"/>
        </w:rPr>
        <w:t xml:space="preserve">lujo de Beneficios </w:t>
      </w:r>
      <w:r w:rsidR="001610C3" w:rsidRPr="008174E3">
        <w:rPr>
          <w:rFonts w:ascii="Arial" w:hAnsi="Arial" w:cs="Arial"/>
          <w:b/>
          <w:sz w:val="22"/>
        </w:rPr>
        <w:t xml:space="preserve">Esperados de Beneficiarios del Componente de Fortalecimiento del SNE </w:t>
      </w:r>
    </w:p>
    <w:p w14:paraId="4AA4FC36" w14:textId="77777777" w:rsidR="008F0CC6" w:rsidRPr="008174E3" w:rsidRDefault="008F0CC6" w:rsidP="001610C3">
      <w:pPr>
        <w:jc w:val="center"/>
        <w:rPr>
          <w:rFonts w:ascii="Arial" w:hAnsi="Arial" w:cs="Arial"/>
          <w:b/>
          <w:sz w:val="22"/>
        </w:rPr>
      </w:pPr>
    </w:p>
    <w:tbl>
      <w:tblPr>
        <w:tblW w:w="6593" w:type="dxa"/>
        <w:jc w:val="center"/>
        <w:tblCellMar>
          <w:left w:w="70" w:type="dxa"/>
          <w:right w:w="70" w:type="dxa"/>
        </w:tblCellMar>
        <w:tblLook w:val="04A0" w:firstRow="1" w:lastRow="0" w:firstColumn="1" w:lastColumn="0" w:noHBand="0" w:noVBand="1"/>
      </w:tblPr>
      <w:tblGrid>
        <w:gridCol w:w="2250"/>
        <w:gridCol w:w="720"/>
        <w:gridCol w:w="810"/>
        <w:gridCol w:w="720"/>
        <w:gridCol w:w="720"/>
        <w:gridCol w:w="720"/>
        <w:gridCol w:w="653"/>
      </w:tblGrid>
      <w:tr w:rsidR="001610C3" w:rsidRPr="008174E3" w14:paraId="4D70256C" w14:textId="77777777" w:rsidTr="001610C3">
        <w:trPr>
          <w:trHeight w:val="300"/>
          <w:jc w:val="center"/>
        </w:trPr>
        <w:tc>
          <w:tcPr>
            <w:tcW w:w="2250"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16CFD359" w14:textId="77777777"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 </w:t>
            </w:r>
          </w:p>
        </w:tc>
        <w:tc>
          <w:tcPr>
            <w:tcW w:w="720" w:type="dxa"/>
            <w:tcBorders>
              <w:top w:val="single" w:sz="4" w:space="0" w:color="auto"/>
              <w:left w:val="nil"/>
              <w:bottom w:val="single" w:sz="4" w:space="0" w:color="auto"/>
              <w:right w:val="single" w:sz="4" w:space="0" w:color="auto"/>
            </w:tcBorders>
            <w:shd w:val="clear" w:color="000000" w:fill="DDEBF7"/>
            <w:noWrap/>
            <w:vAlign w:val="bottom"/>
            <w:hideMark/>
          </w:tcPr>
          <w:p w14:paraId="3DEBBDFF" w14:textId="77777777" w:rsidR="001610C3" w:rsidRPr="008174E3" w:rsidRDefault="001610C3" w:rsidP="000C74EF">
            <w:pPr>
              <w:rPr>
                <w:rFonts w:ascii="Arial" w:hAnsi="Arial" w:cs="Arial"/>
                <w:b/>
                <w:bCs/>
                <w:color w:val="000000"/>
                <w:sz w:val="18"/>
                <w:szCs w:val="20"/>
                <w:lang w:eastAsia="es-ES"/>
              </w:rPr>
            </w:pPr>
            <w:r w:rsidRPr="008174E3">
              <w:rPr>
                <w:rFonts w:ascii="Arial" w:hAnsi="Arial" w:cs="Arial"/>
                <w:b/>
                <w:bCs/>
                <w:color w:val="000000"/>
                <w:sz w:val="18"/>
                <w:szCs w:val="20"/>
                <w:lang w:eastAsia="es-ES"/>
              </w:rPr>
              <w:t>Año 1</w:t>
            </w:r>
          </w:p>
        </w:tc>
        <w:tc>
          <w:tcPr>
            <w:tcW w:w="810" w:type="dxa"/>
            <w:tcBorders>
              <w:top w:val="single" w:sz="4" w:space="0" w:color="auto"/>
              <w:left w:val="nil"/>
              <w:bottom w:val="single" w:sz="4" w:space="0" w:color="auto"/>
              <w:right w:val="single" w:sz="4" w:space="0" w:color="auto"/>
            </w:tcBorders>
            <w:shd w:val="clear" w:color="000000" w:fill="DDEBF7"/>
            <w:noWrap/>
            <w:vAlign w:val="bottom"/>
            <w:hideMark/>
          </w:tcPr>
          <w:p w14:paraId="17E4B01D" w14:textId="77777777" w:rsidR="001610C3" w:rsidRPr="008174E3" w:rsidRDefault="001610C3" w:rsidP="000C74EF">
            <w:pPr>
              <w:rPr>
                <w:rFonts w:ascii="Arial" w:hAnsi="Arial" w:cs="Arial"/>
                <w:b/>
                <w:bCs/>
                <w:color w:val="000000"/>
                <w:sz w:val="18"/>
                <w:szCs w:val="20"/>
                <w:lang w:eastAsia="es-ES"/>
              </w:rPr>
            </w:pPr>
            <w:r w:rsidRPr="008174E3">
              <w:rPr>
                <w:rFonts w:ascii="Arial" w:hAnsi="Arial" w:cs="Arial"/>
                <w:b/>
                <w:bCs/>
                <w:color w:val="000000"/>
                <w:sz w:val="18"/>
                <w:szCs w:val="20"/>
                <w:lang w:eastAsia="es-ES"/>
              </w:rPr>
              <w:t>Año 2</w:t>
            </w:r>
          </w:p>
        </w:tc>
        <w:tc>
          <w:tcPr>
            <w:tcW w:w="720" w:type="dxa"/>
            <w:tcBorders>
              <w:top w:val="single" w:sz="4" w:space="0" w:color="auto"/>
              <w:left w:val="nil"/>
              <w:bottom w:val="single" w:sz="4" w:space="0" w:color="auto"/>
              <w:right w:val="single" w:sz="4" w:space="0" w:color="auto"/>
            </w:tcBorders>
            <w:shd w:val="clear" w:color="000000" w:fill="DDEBF7"/>
            <w:noWrap/>
            <w:vAlign w:val="bottom"/>
            <w:hideMark/>
          </w:tcPr>
          <w:p w14:paraId="3B44FF29" w14:textId="77777777" w:rsidR="001610C3" w:rsidRPr="008174E3" w:rsidRDefault="001610C3" w:rsidP="000C74EF">
            <w:pPr>
              <w:rPr>
                <w:rFonts w:ascii="Arial" w:hAnsi="Arial" w:cs="Arial"/>
                <w:b/>
                <w:bCs/>
                <w:color w:val="000000"/>
                <w:sz w:val="18"/>
                <w:szCs w:val="20"/>
                <w:lang w:eastAsia="es-ES"/>
              </w:rPr>
            </w:pPr>
            <w:r w:rsidRPr="008174E3">
              <w:rPr>
                <w:rFonts w:ascii="Arial" w:hAnsi="Arial" w:cs="Arial"/>
                <w:b/>
                <w:bCs/>
                <w:color w:val="000000"/>
                <w:sz w:val="18"/>
                <w:szCs w:val="20"/>
                <w:lang w:eastAsia="es-ES"/>
              </w:rPr>
              <w:t>Año 3</w:t>
            </w:r>
          </w:p>
        </w:tc>
        <w:tc>
          <w:tcPr>
            <w:tcW w:w="720" w:type="dxa"/>
            <w:tcBorders>
              <w:top w:val="single" w:sz="4" w:space="0" w:color="auto"/>
              <w:left w:val="nil"/>
              <w:bottom w:val="single" w:sz="4" w:space="0" w:color="auto"/>
              <w:right w:val="single" w:sz="4" w:space="0" w:color="auto"/>
            </w:tcBorders>
            <w:shd w:val="clear" w:color="000000" w:fill="DDEBF7"/>
            <w:noWrap/>
            <w:vAlign w:val="bottom"/>
            <w:hideMark/>
          </w:tcPr>
          <w:p w14:paraId="60FD8B54" w14:textId="77777777" w:rsidR="001610C3" w:rsidRPr="008174E3" w:rsidRDefault="001610C3" w:rsidP="000C74EF">
            <w:pPr>
              <w:rPr>
                <w:rFonts w:ascii="Arial" w:hAnsi="Arial" w:cs="Arial"/>
                <w:b/>
                <w:bCs/>
                <w:color w:val="000000"/>
                <w:sz w:val="18"/>
                <w:szCs w:val="20"/>
                <w:lang w:eastAsia="es-ES"/>
              </w:rPr>
            </w:pPr>
            <w:r w:rsidRPr="008174E3">
              <w:rPr>
                <w:rFonts w:ascii="Arial" w:hAnsi="Arial" w:cs="Arial"/>
                <w:b/>
                <w:bCs/>
                <w:color w:val="000000"/>
                <w:sz w:val="18"/>
                <w:szCs w:val="20"/>
                <w:lang w:eastAsia="es-ES"/>
              </w:rPr>
              <w:t>Año 4</w:t>
            </w:r>
          </w:p>
        </w:tc>
        <w:tc>
          <w:tcPr>
            <w:tcW w:w="720" w:type="dxa"/>
            <w:tcBorders>
              <w:top w:val="single" w:sz="4" w:space="0" w:color="auto"/>
              <w:left w:val="nil"/>
              <w:bottom w:val="single" w:sz="4" w:space="0" w:color="auto"/>
              <w:right w:val="single" w:sz="4" w:space="0" w:color="auto"/>
            </w:tcBorders>
            <w:shd w:val="clear" w:color="000000" w:fill="DDEBF7"/>
            <w:noWrap/>
            <w:vAlign w:val="bottom"/>
            <w:hideMark/>
          </w:tcPr>
          <w:p w14:paraId="79D701A2" w14:textId="77777777" w:rsidR="001610C3" w:rsidRPr="008174E3" w:rsidRDefault="001610C3" w:rsidP="000C74EF">
            <w:pPr>
              <w:rPr>
                <w:rFonts w:ascii="Arial" w:hAnsi="Arial" w:cs="Arial"/>
                <w:b/>
                <w:bCs/>
                <w:color w:val="000000"/>
                <w:sz w:val="18"/>
                <w:szCs w:val="20"/>
                <w:lang w:eastAsia="es-ES"/>
              </w:rPr>
            </w:pPr>
            <w:r w:rsidRPr="008174E3">
              <w:rPr>
                <w:rFonts w:ascii="Arial" w:hAnsi="Arial" w:cs="Arial"/>
                <w:b/>
                <w:bCs/>
                <w:color w:val="000000"/>
                <w:sz w:val="18"/>
                <w:szCs w:val="20"/>
                <w:lang w:eastAsia="es-ES"/>
              </w:rPr>
              <w:t>Año 5</w:t>
            </w:r>
          </w:p>
        </w:tc>
        <w:tc>
          <w:tcPr>
            <w:tcW w:w="653" w:type="dxa"/>
            <w:tcBorders>
              <w:top w:val="single" w:sz="4" w:space="0" w:color="auto"/>
              <w:left w:val="nil"/>
              <w:bottom w:val="single" w:sz="4" w:space="0" w:color="auto"/>
              <w:right w:val="single" w:sz="4" w:space="0" w:color="auto"/>
            </w:tcBorders>
            <w:shd w:val="clear" w:color="000000" w:fill="DDEBF7"/>
            <w:noWrap/>
            <w:vAlign w:val="bottom"/>
            <w:hideMark/>
          </w:tcPr>
          <w:p w14:paraId="4866A82D" w14:textId="77777777" w:rsidR="001610C3" w:rsidRPr="008174E3" w:rsidRDefault="001610C3" w:rsidP="000C74EF">
            <w:pPr>
              <w:rPr>
                <w:rFonts w:ascii="Arial" w:hAnsi="Arial" w:cs="Arial"/>
                <w:b/>
                <w:bCs/>
                <w:color w:val="000000"/>
                <w:sz w:val="18"/>
                <w:szCs w:val="20"/>
                <w:lang w:eastAsia="es-ES"/>
              </w:rPr>
            </w:pPr>
            <w:r w:rsidRPr="008174E3">
              <w:rPr>
                <w:rFonts w:ascii="Arial" w:hAnsi="Arial" w:cs="Arial"/>
                <w:b/>
                <w:bCs/>
                <w:color w:val="000000"/>
                <w:sz w:val="18"/>
                <w:szCs w:val="20"/>
                <w:lang w:eastAsia="es-ES"/>
              </w:rPr>
              <w:t>Año 6</w:t>
            </w:r>
          </w:p>
        </w:tc>
      </w:tr>
      <w:tr w:rsidR="001610C3" w:rsidRPr="008174E3" w14:paraId="322C74DC" w14:textId="77777777" w:rsidTr="00A43491">
        <w:trPr>
          <w:trHeight w:val="278"/>
          <w:jc w:val="center"/>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14:paraId="62587DD1" w14:textId="0761D5FB"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Beneficiarios Año 1</w:t>
            </w:r>
          </w:p>
        </w:tc>
        <w:tc>
          <w:tcPr>
            <w:tcW w:w="720" w:type="dxa"/>
            <w:tcBorders>
              <w:top w:val="nil"/>
              <w:left w:val="nil"/>
              <w:bottom w:val="single" w:sz="4" w:space="0" w:color="auto"/>
              <w:right w:val="single" w:sz="4" w:space="0" w:color="auto"/>
            </w:tcBorders>
            <w:shd w:val="clear" w:color="000000" w:fill="D9D9D9"/>
            <w:noWrap/>
            <w:vAlign w:val="bottom"/>
            <w:hideMark/>
          </w:tcPr>
          <w:p w14:paraId="77DFB61B" w14:textId="77777777"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 </w:t>
            </w:r>
          </w:p>
        </w:tc>
        <w:tc>
          <w:tcPr>
            <w:tcW w:w="810" w:type="dxa"/>
            <w:tcBorders>
              <w:top w:val="nil"/>
              <w:left w:val="nil"/>
              <w:bottom w:val="single" w:sz="4" w:space="0" w:color="auto"/>
              <w:right w:val="single" w:sz="4" w:space="0" w:color="auto"/>
            </w:tcBorders>
            <w:shd w:val="clear" w:color="000000" w:fill="D9D9D9"/>
            <w:noWrap/>
            <w:vAlign w:val="bottom"/>
            <w:hideMark/>
          </w:tcPr>
          <w:p w14:paraId="5C5A1B53" w14:textId="77777777"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 </w:t>
            </w:r>
          </w:p>
        </w:tc>
        <w:tc>
          <w:tcPr>
            <w:tcW w:w="720" w:type="dxa"/>
            <w:tcBorders>
              <w:top w:val="nil"/>
              <w:left w:val="nil"/>
              <w:bottom w:val="single" w:sz="4" w:space="0" w:color="auto"/>
              <w:right w:val="single" w:sz="4" w:space="0" w:color="auto"/>
            </w:tcBorders>
            <w:shd w:val="clear" w:color="auto" w:fill="auto"/>
            <w:noWrap/>
            <w:vAlign w:val="bottom"/>
            <w:hideMark/>
          </w:tcPr>
          <w:p w14:paraId="07D72030" w14:textId="77777777"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 </w:t>
            </w:r>
          </w:p>
        </w:tc>
        <w:tc>
          <w:tcPr>
            <w:tcW w:w="720" w:type="dxa"/>
            <w:tcBorders>
              <w:top w:val="nil"/>
              <w:left w:val="nil"/>
              <w:bottom w:val="single" w:sz="4" w:space="0" w:color="auto"/>
              <w:right w:val="single" w:sz="4" w:space="0" w:color="auto"/>
            </w:tcBorders>
            <w:shd w:val="clear" w:color="auto" w:fill="auto"/>
            <w:noWrap/>
            <w:vAlign w:val="bottom"/>
            <w:hideMark/>
          </w:tcPr>
          <w:p w14:paraId="62FA8D87" w14:textId="77777777"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 </w:t>
            </w:r>
          </w:p>
        </w:tc>
        <w:tc>
          <w:tcPr>
            <w:tcW w:w="720" w:type="dxa"/>
            <w:tcBorders>
              <w:top w:val="nil"/>
              <w:left w:val="nil"/>
              <w:bottom w:val="single" w:sz="4" w:space="0" w:color="auto"/>
              <w:right w:val="single" w:sz="4" w:space="0" w:color="auto"/>
            </w:tcBorders>
            <w:shd w:val="clear" w:color="auto" w:fill="auto"/>
            <w:noWrap/>
            <w:vAlign w:val="bottom"/>
            <w:hideMark/>
          </w:tcPr>
          <w:p w14:paraId="411467CF" w14:textId="77777777"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 </w:t>
            </w:r>
          </w:p>
        </w:tc>
        <w:tc>
          <w:tcPr>
            <w:tcW w:w="653" w:type="dxa"/>
            <w:tcBorders>
              <w:top w:val="nil"/>
              <w:left w:val="nil"/>
              <w:bottom w:val="single" w:sz="4" w:space="0" w:color="auto"/>
              <w:right w:val="single" w:sz="4" w:space="0" w:color="auto"/>
            </w:tcBorders>
            <w:shd w:val="clear" w:color="auto" w:fill="auto"/>
            <w:noWrap/>
            <w:vAlign w:val="bottom"/>
            <w:hideMark/>
          </w:tcPr>
          <w:p w14:paraId="46DF3C07" w14:textId="77777777"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 </w:t>
            </w:r>
          </w:p>
        </w:tc>
      </w:tr>
      <w:tr w:rsidR="001610C3" w:rsidRPr="008174E3" w14:paraId="7F23F8EE" w14:textId="77777777" w:rsidTr="00A43491">
        <w:trPr>
          <w:trHeight w:val="260"/>
          <w:jc w:val="center"/>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14:paraId="6E8BF8C1" w14:textId="2A47BE9F"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Beneficiarios Año 2</w:t>
            </w:r>
          </w:p>
        </w:tc>
        <w:tc>
          <w:tcPr>
            <w:tcW w:w="720" w:type="dxa"/>
            <w:tcBorders>
              <w:top w:val="nil"/>
              <w:left w:val="nil"/>
              <w:bottom w:val="single" w:sz="4" w:space="0" w:color="auto"/>
              <w:right w:val="single" w:sz="4" w:space="0" w:color="auto"/>
            </w:tcBorders>
            <w:shd w:val="clear" w:color="auto" w:fill="auto"/>
            <w:noWrap/>
            <w:vAlign w:val="bottom"/>
            <w:hideMark/>
          </w:tcPr>
          <w:p w14:paraId="0AD30658" w14:textId="77777777"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 </w:t>
            </w:r>
          </w:p>
        </w:tc>
        <w:tc>
          <w:tcPr>
            <w:tcW w:w="810" w:type="dxa"/>
            <w:tcBorders>
              <w:top w:val="nil"/>
              <w:left w:val="nil"/>
              <w:bottom w:val="single" w:sz="4" w:space="0" w:color="auto"/>
              <w:right w:val="single" w:sz="4" w:space="0" w:color="auto"/>
            </w:tcBorders>
            <w:shd w:val="clear" w:color="000000" w:fill="D9D9D9"/>
            <w:noWrap/>
            <w:vAlign w:val="bottom"/>
            <w:hideMark/>
          </w:tcPr>
          <w:p w14:paraId="5CA7059B" w14:textId="77777777"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 </w:t>
            </w:r>
          </w:p>
        </w:tc>
        <w:tc>
          <w:tcPr>
            <w:tcW w:w="720" w:type="dxa"/>
            <w:tcBorders>
              <w:top w:val="nil"/>
              <w:left w:val="nil"/>
              <w:bottom w:val="single" w:sz="4" w:space="0" w:color="auto"/>
              <w:right w:val="single" w:sz="4" w:space="0" w:color="auto"/>
            </w:tcBorders>
            <w:shd w:val="clear" w:color="000000" w:fill="D9D9D9"/>
            <w:noWrap/>
            <w:vAlign w:val="bottom"/>
            <w:hideMark/>
          </w:tcPr>
          <w:p w14:paraId="0E8EE886" w14:textId="77777777"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 </w:t>
            </w:r>
          </w:p>
        </w:tc>
        <w:tc>
          <w:tcPr>
            <w:tcW w:w="720" w:type="dxa"/>
            <w:tcBorders>
              <w:top w:val="nil"/>
              <w:left w:val="nil"/>
              <w:bottom w:val="single" w:sz="4" w:space="0" w:color="auto"/>
              <w:right w:val="single" w:sz="4" w:space="0" w:color="auto"/>
            </w:tcBorders>
            <w:shd w:val="clear" w:color="auto" w:fill="auto"/>
            <w:noWrap/>
            <w:vAlign w:val="bottom"/>
            <w:hideMark/>
          </w:tcPr>
          <w:p w14:paraId="1B7B0EA9" w14:textId="77777777"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 </w:t>
            </w:r>
          </w:p>
        </w:tc>
        <w:tc>
          <w:tcPr>
            <w:tcW w:w="720" w:type="dxa"/>
            <w:tcBorders>
              <w:top w:val="nil"/>
              <w:left w:val="nil"/>
              <w:bottom w:val="single" w:sz="4" w:space="0" w:color="auto"/>
              <w:right w:val="single" w:sz="4" w:space="0" w:color="auto"/>
            </w:tcBorders>
            <w:shd w:val="clear" w:color="auto" w:fill="auto"/>
            <w:noWrap/>
            <w:vAlign w:val="bottom"/>
            <w:hideMark/>
          </w:tcPr>
          <w:p w14:paraId="5AEE22CA" w14:textId="77777777"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 </w:t>
            </w:r>
          </w:p>
        </w:tc>
        <w:tc>
          <w:tcPr>
            <w:tcW w:w="653" w:type="dxa"/>
            <w:tcBorders>
              <w:top w:val="nil"/>
              <w:left w:val="nil"/>
              <w:bottom w:val="single" w:sz="4" w:space="0" w:color="auto"/>
              <w:right w:val="single" w:sz="4" w:space="0" w:color="auto"/>
            </w:tcBorders>
            <w:shd w:val="clear" w:color="auto" w:fill="auto"/>
            <w:noWrap/>
            <w:vAlign w:val="bottom"/>
            <w:hideMark/>
          </w:tcPr>
          <w:p w14:paraId="7CB97E77" w14:textId="77777777"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 </w:t>
            </w:r>
          </w:p>
        </w:tc>
      </w:tr>
      <w:tr w:rsidR="001610C3" w:rsidRPr="008174E3" w14:paraId="29F3E4B9" w14:textId="77777777" w:rsidTr="00A43491">
        <w:trPr>
          <w:trHeight w:val="260"/>
          <w:jc w:val="center"/>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14:paraId="2211C01E" w14:textId="2BE3E7EF"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Beneficiarios Año 3</w:t>
            </w:r>
          </w:p>
        </w:tc>
        <w:tc>
          <w:tcPr>
            <w:tcW w:w="720" w:type="dxa"/>
            <w:tcBorders>
              <w:top w:val="nil"/>
              <w:left w:val="nil"/>
              <w:bottom w:val="single" w:sz="4" w:space="0" w:color="auto"/>
              <w:right w:val="single" w:sz="4" w:space="0" w:color="auto"/>
            </w:tcBorders>
            <w:shd w:val="clear" w:color="auto" w:fill="auto"/>
            <w:noWrap/>
            <w:vAlign w:val="bottom"/>
            <w:hideMark/>
          </w:tcPr>
          <w:p w14:paraId="1E0409E7" w14:textId="77777777"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 </w:t>
            </w:r>
          </w:p>
        </w:tc>
        <w:tc>
          <w:tcPr>
            <w:tcW w:w="810" w:type="dxa"/>
            <w:tcBorders>
              <w:top w:val="nil"/>
              <w:left w:val="nil"/>
              <w:bottom w:val="single" w:sz="4" w:space="0" w:color="auto"/>
              <w:right w:val="single" w:sz="4" w:space="0" w:color="auto"/>
            </w:tcBorders>
            <w:shd w:val="clear" w:color="auto" w:fill="auto"/>
            <w:noWrap/>
            <w:vAlign w:val="bottom"/>
            <w:hideMark/>
          </w:tcPr>
          <w:p w14:paraId="1BFCB5F1" w14:textId="77777777"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 </w:t>
            </w:r>
          </w:p>
        </w:tc>
        <w:tc>
          <w:tcPr>
            <w:tcW w:w="720" w:type="dxa"/>
            <w:tcBorders>
              <w:top w:val="nil"/>
              <w:left w:val="nil"/>
              <w:bottom w:val="single" w:sz="4" w:space="0" w:color="auto"/>
              <w:right w:val="single" w:sz="4" w:space="0" w:color="auto"/>
            </w:tcBorders>
            <w:shd w:val="clear" w:color="000000" w:fill="D9D9D9"/>
            <w:noWrap/>
            <w:vAlign w:val="bottom"/>
            <w:hideMark/>
          </w:tcPr>
          <w:p w14:paraId="48DC9BEB" w14:textId="77777777"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 </w:t>
            </w:r>
          </w:p>
        </w:tc>
        <w:tc>
          <w:tcPr>
            <w:tcW w:w="720" w:type="dxa"/>
            <w:tcBorders>
              <w:top w:val="nil"/>
              <w:left w:val="nil"/>
              <w:bottom w:val="single" w:sz="4" w:space="0" w:color="auto"/>
              <w:right w:val="single" w:sz="4" w:space="0" w:color="auto"/>
            </w:tcBorders>
            <w:shd w:val="clear" w:color="000000" w:fill="D9D9D9"/>
            <w:noWrap/>
            <w:vAlign w:val="bottom"/>
            <w:hideMark/>
          </w:tcPr>
          <w:p w14:paraId="52565725" w14:textId="77777777"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 </w:t>
            </w:r>
          </w:p>
        </w:tc>
        <w:tc>
          <w:tcPr>
            <w:tcW w:w="720" w:type="dxa"/>
            <w:tcBorders>
              <w:top w:val="nil"/>
              <w:left w:val="nil"/>
              <w:bottom w:val="single" w:sz="4" w:space="0" w:color="auto"/>
              <w:right w:val="single" w:sz="4" w:space="0" w:color="auto"/>
            </w:tcBorders>
            <w:shd w:val="clear" w:color="auto" w:fill="auto"/>
            <w:noWrap/>
            <w:vAlign w:val="bottom"/>
            <w:hideMark/>
          </w:tcPr>
          <w:p w14:paraId="5559F8F0" w14:textId="77777777"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 </w:t>
            </w:r>
          </w:p>
        </w:tc>
        <w:tc>
          <w:tcPr>
            <w:tcW w:w="653" w:type="dxa"/>
            <w:tcBorders>
              <w:top w:val="nil"/>
              <w:left w:val="nil"/>
              <w:bottom w:val="single" w:sz="4" w:space="0" w:color="auto"/>
              <w:right w:val="single" w:sz="4" w:space="0" w:color="auto"/>
            </w:tcBorders>
            <w:shd w:val="clear" w:color="auto" w:fill="auto"/>
            <w:noWrap/>
            <w:vAlign w:val="bottom"/>
            <w:hideMark/>
          </w:tcPr>
          <w:p w14:paraId="77AFE880" w14:textId="77777777"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 </w:t>
            </w:r>
          </w:p>
        </w:tc>
      </w:tr>
      <w:tr w:rsidR="001610C3" w:rsidRPr="008174E3" w14:paraId="752199E5" w14:textId="77777777" w:rsidTr="00A43491">
        <w:trPr>
          <w:trHeight w:val="260"/>
          <w:jc w:val="center"/>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14:paraId="0C9A5059" w14:textId="02CA556E"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Beneficiarios Año 4</w:t>
            </w:r>
          </w:p>
        </w:tc>
        <w:tc>
          <w:tcPr>
            <w:tcW w:w="720" w:type="dxa"/>
            <w:tcBorders>
              <w:top w:val="nil"/>
              <w:left w:val="nil"/>
              <w:bottom w:val="single" w:sz="4" w:space="0" w:color="auto"/>
              <w:right w:val="single" w:sz="4" w:space="0" w:color="auto"/>
            </w:tcBorders>
            <w:shd w:val="clear" w:color="auto" w:fill="auto"/>
            <w:noWrap/>
            <w:vAlign w:val="bottom"/>
            <w:hideMark/>
          </w:tcPr>
          <w:p w14:paraId="17091038" w14:textId="77777777"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 </w:t>
            </w:r>
          </w:p>
        </w:tc>
        <w:tc>
          <w:tcPr>
            <w:tcW w:w="810" w:type="dxa"/>
            <w:tcBorders>
              <w:top w:val="nil"/>
              <w:left w:val="nil"/>
              <w:bottom w:val="single" w:sz="4" w:space="0" w:color="auto"/>
              <w:right w:val="single" w:sz="4" w:space="0" w:color="auto"/>
            </w:tcBorders>
            <w:shd w:val="clear" w:color="auto" w:fill="auto"/>
            <w:noWrap/>
            <w:vAlign w:val="bottom"/>
            <w:hideMark/>
          </w:tcPr>
          <w:p w14:paraId="51BFFC6D" w14:textId="77777777"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 </w:t>
            </w:r>
          </w:p>
        </w:tc>
        <w:tc>
          <w:tcPr>
            <w:tcW w:w="720" w:type="dxa"/>
            <w:tcBorders>
              <w:top w:val="nil"/>
              <w:left w:val="nil"/>
              <w:bottom w:val="single" w:sz="4" w:space="0" w:color="auto"/>
              <w:right w:val="single" w:sz="4" w:space="0" w:color="auto"/>
            </w:tcBorders>
            <w:shd w:val="clear" w:color="auto" w:fill="auto"/>
            <w:noWrap/>
            <w:vAlign w:val="bottom"/>
            <w:hideMark/>
          </w:tcPr>
          <w:p w14:paraId="4D43B165" w14:textId="77777777"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 </w:t>
            </w:r>
          </w:p>
        </w:tc>
        <w:tc>
          <w:tcPr>
            <w:tcW w:w="720" w:type="dxa"/>
            <w:tcBorders>
              <w:top w:val="nil"/>
              <w:left w:val="nil"/>
              <w:bottom w:val="single" w:sz="4" w:space="0" w:color="auto"/>
              <w:right w:val="single" w:sz="4" w:space="0" w:color="auto"/>
            </w:tcBorders>
            <w:shd w:val="clear" w:color="000000" w:fill="D9D9D9"/>
            <w:noWrap/>
            <w:vAlign w:val="bottom"/>
            <w:hideMark/>
          </w:tcPr>
          <w:p w14:paraId="38F95AB1" w14:textId="77777777"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 </w:t>
            </w:r>
          </w:p>
        </w:tc>
        <w:tc>
          <w:tcPr>
            <w:tcW w:w="720" w:type="dxa"/>
            <w:tcBorders>
              <w:top w:val="nil"/>
              <w:left w:val="nil"/>
              <w:bottom w:val="single" w:sz="4" w:space="0" w:color="auto"/>
              <w:right w:val="single" w:sz="4" w:space="0" w:color="auto"/>
            </w:tcBorders>
            <w:shd w:val="clear" w:color="000000" w:fill="D9D9D9"/>
            <w:noWrap/>
            <w:vAlign w:val="bottom"/>
            <w:hideMark/>
          </w:tcPr>
          <w:p w14:paraId="5118FA76" w14:textId="77777777"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 </w:t>
            </w:r>
          </w:p>
        </w:tc>
        <w:tc>
          <w:tcPr>
            <w:tcW w:w="653" w:type="dxa"/>
            <w:tcBorders>
              <w:top w:val="nil"/>
              <w:left w:val="nil"/>
              <w:bottom w:val="single" w:sz="4" w:space="0" w:color="auto"/>
              <w:right w:val="single" w:sz="4" w:space="0" w:color="auto"/>
            </w:tcBorders>
            <w:shd w:val="clear" w:color="auto" w:fill="auto"/>
            <w:noWrap/>
            <w:vAlign w:val="bottom"/>
            <w:hideMark/>
          </w:tcPr>
          <w:p w14:paraId="464D699E" w14:textId="77777777"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 </w:t>
            </w:r>
          </w:p>
        </w:tc>
      </w:tr>
      <w:tr w:rsidR="001610C3" w:rsidRPr="008174E3" w14:paraId="0182A6F8" w14:textId="77777777" w:rsidTr="00A43491">
        <w:trPr>
          <w:trHeight w:val="260"/>
          <w:jc w:val="center"/>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14:paraId="2519DCF4" w14:textId="451C8009"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Beneficiarios Año 5</w:t>
            </w:r>
          </w:p>
        </w:tc>
        <w:tc>
          <w:tcPr>
            <w:tcW w:w="720" w:type="dxa"/>
            <w:tcBorders>
              <w:top w:val="nil"/>
              <w:left w:val="nil"/>
              <w:bottom w:val="single" w:sz="4" w:space="0" w:color="auto"/>
              <w:right w:val="single" w:sz="4" w:space="0" w:color="auto"/>
            </w:tcBorders>
            <w:shd w:val="clear" w:color="auto" w:fill="auto"/>
            <w:noWrap/>
            <w:vAlign w:val="bottom"/>
            <w:hideMark/>
          </w:tcPr>
          <w:p w14:paraId="6C3E52BB" w14:textId="77777777"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 </w:t>
            </w:r>
          </w:p>
        </w:tc>
        <w:tc>
          <w:tcPr>
            <w:tcW w:w="810" w:type="dxa"/>
            <w:tcBorders>
              <w:top w:val="nil"/>
              <w:left w:val="nil"/>
              <w:bottom w:val="single" w:sz="4" w:space="0" w:color="auto"/>
              <w:right w:val="single" w:sz="4" w:space="0" w:color="auto"/>
            </w:tcBorders>
            <w:shd w:val="clear" w:color="auto" w:fill="auto"/>
            <w:noWrap/>
            <w:vAlign w:val="bottom"/>
            <w:hideMark/>
          </w:tcPr>
          <w:p w14:paraId="2DF8C4D3" w14:textId="77777777"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 </w:t>
            </w:r>
          </w:p>
        </w:tc>
        <w:tc>
          <w:tcPr>
            <w:tcW w:w="720" w:type="dxa"/>
            <w:tcBorders>
              <w:top w:val="nil"/>
              <w:left w:val="nil"/>
              <w:bottom w:val="single" w:sz="4" w:space="0" w:color="auto"/>
              <w:right w:val="single" w:sz="4" w:space="0" w:color="auto"/>
            </w:tcBorders>
            <w:shd w:val="clear" w:color="auto" w:fill="auto"/>
            <w:noWrap/>
            <w:vAlign w:val="bottom"/>
            <w:hideMark/>
          </w:tcPr>
          <w:p w14:paraId="3BA393EA" w14:textId="77777777"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 </w:t>
            </w:r>
          </w:p>
        </w:tc>
        <w:tc>
          <w:tcPr>
            <w:tcW w:w="720" w:type="dxa"/>
            <w:tcBorders>
              <w:top w:val="nil"/>
              <w:left w:val="nil"/>
              <w:bottom w:val="single" w:sz="4" w:space="0" w:color="auto"/>
              <w:right w:val="single" w:sz="4" w:space="0" w:color="auto"/>
            </w:tcBorders>
            <w:shd w:val="clear" w:color="auto" w:fill="auto"/>
            <w:noWrap/>
            <w:vAlign w:val="bottom"/>
            <w:hideMark/>
          </w:tcPr>
          <w:p w14:paraId="0D6E59DE" w14:textId="77777777"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 </w:t>
            </w:r>
          </w:p>
        </w:tc>
        <w:tc>
          <w:tcPr>
            <w:tcW w:w="720" w:type="dxa"/>
            <w:tcBorders>
              <w:top w:val="nil"/>
              <w:left w:val="nil"/>
              <w:bottom w:val="single" w:sz="4" w:space="0" w:color="auto"/>
              <w:right w:val="single" w:sz="4" w:space="0" w:color="auto"/>
            </w:tcBorders>
            <w:shd w:val="clear" w:color="000000" w:fill="D9D9D9"/>
            <w:noWrap/>
            <w:vAlign w:val="bottom"/>
            <w:hideMark/>
          </w:tcPr>
          <w:p w14:paraId="5D7A55AA" w14:textId="77777777"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 </w:t>
            </w:r>
          </w:p>
        </w:tc>
        <w:tc>
          <w:tcPr>
            <w:tcW w:w="653" w:type="dxa"/>
            <w:tcBorders>
              <w:top w:val="nil"/>
              <w:left w:val="nil"/>
              <w:bottom w:val="single" w:sz="4" w:space="0" w:color="auto"/>
              <w:right w:val="single" w:sz="4" w:space="0" w:color="auto"/>
            </w:tcBorders>
            <w:shd w:val="clear" w:color="000000" w:fill="D9D9D9"/>
            <w:noWrap/>
            <w:vAlign w:val="bottom"/>
            <w:hideMark/>
          </w:tcPr>
          <w:p w14:paraId="3935478E" w14:textId="77777777" w:rsidR="001610C3" w:rsidRPr="008174E3" w:rsidRDefault="001610C3" w:rsidP="000C74EF">
            <w:pPr>
              <w:rPr>
                <w:rFonts w:ascii="Arial" w:hAnsi="Arial" w:cs="Arial"/>
                <w:color w:val="000000"/>
                <w:sz w:val="18"/>
                <w:szCs w:val="20"/>
                <w:lang w:eastAsia="es-ES"/>
              </w:rPr>
            </w:pPr>
            <w:r w:rsidRPr="008174E3">
              <w:rPr>
                <w:rFonts w:ascii="Arial" w:hAnsi="Arial" w:cs="Arial"/>
                <w:color w:val="000000"/>
                <w:sz w:val="18"/>
                <w:szCs w:val="20"/>
                <w:lang w:eastAsia="es-ES"/>
              </w:rPr>
              <w:t> </w:t>
            </w:r>
          </w:p>
        </w:tc>
      </w:tr>
    </w:tbl>
    <w:p w14:paraId="3A108489" w14:textId="29666D89" w:rsidR="00347084" w:rsidRPr="008174E3" w:rsidRDefault="00347084" w:rsidP="00545287">
      <w:pPr>
        <w:jc w:val="center"/>
        <w:rPr>
          <w:rFonts w:ascii="Arial" w:hAnsi="Arial" w:cs="Arial"/>
          <w:b/>
        </w:rPr>
      </w:pPr>
    </w:p>
    <w:p w14:paraId="5984DDD6" w14:textId="77777777" w:rsidR="0022742F" w:rsidRPr="008174E3" w:rsidRDefault="0022742F" w:rsidP="00545287">
      <w:pPr>
        <w:jc w:val="center"/>
        <w:rPr>
          <w:rFonts w:ascii="Arial" w:hAnsi="Arial" w:cs="Arial"/>
          <w:b/>
        </w:rPr>
      </w:pPr>
    </w:p>
    <w:p w14:paraId="792D2222" w14:textId="2CCCC748" w:rsidR="00194C0D" w:rsidRPr="008174E3" w:rsidRDefault="00347084" w:rsidP="00194C0D">
      <w:pPr>
        <w:jc w:val="center"/>
        <w:rPr>
          <w:rFonts w:ascii="Arial" w:hAnsi="Arial" w:cs="Arial"/>
          <w:b/>
          <w:sz w:val="22"/>
        </w:rPr>
      </w:pPr>
      <w:r w:rsidRPr="008174E3">
        <w:rPr>
          <w:rFonts w:ascii="Arial" w:hAnsi="Arial" w:cs="Arial"/>
          <w:b/>
          <w:sz w:val="22"/>
        </w:rPr>
        <w:tab/>
      </w:r>
      <w:r w:rsidR="00FC686C" w:rsidRPr="008174E3">
        <w:rPr>
          <w:rFonts w:ascii="Arial" w:hAnsi="Arial" w:cs="Arial"/>
          <w:b/>
          <w:sz w:val="22"/>
        </w:rPr>
        <w:t>Cuadro </w:t>
      </w:r>
      <w:r w:rsidR="00194C0D" w:rsidRPr="008174E3">
        <w:rPr>
          <w:rFonts w:ascii="Arial" w:hAnsi="Arial" w:cs="Arial"/>
          <w:b/>
          <w:sz w:val="22"/>
        </w:rPr>
        <w:t>A</w:t>
      </w:r>
      <w:r w:rsidR="0022742F" w:rsidRPr="008174E3">
        <w:rPr>
          <w:rFonts w:ascii="Arial" w:hAnsi="Arial" w:cs="Arial"/>
          <w:b/>
          <w:sz w:val="22"/>
        </w:rPr>
        <w:t>6</w:t>
      </w:r>
      <w:r w:rsidR="00194C0D" w:rsidRPr="008174E3">
        <w:rPr>
          <w:rFonts w:ascii="Arial" w:hAnsi="Arial" w:cs="Arial"/>
          <w:b/>
          <w:sz w:val="22"/>
        </w:rPr>
        <w:t>: C</w:t>
      </w:r>
      <w:r w:rsidR="00FC686C" w:rsidRPr="008174E3">
        <w:rPr>
          <w:rFonts w:ascii="Arial" w:hAnsi="Arial" w:cs="Arial"/>
          <w:b/>
          <w:sz w:val="22"/>
        </w:rPr>
        <w:t>á</w:t>
      </w:r>
      <w:r w:rsidR="00194C0D" w:rsidRPr="008174E3">
        <w:rPr>
          <w:rFonts w:ascii="Arial" w:hAnsi="Arial" w:cs="Arial"/>
          <w:b/>
          <w:sz w:val="22"/>
        </w:rPr>
        <w:t xml:space="preserve">lculo del flujo de Beneficios Esperados de Beneficiarios del Componente de Fortalecimiento </w:t>
      </w:r>
      <w:r w:rsidR="00170561" w:rsidRPr="008174E3">
        <w:rPr>
          <w:rFonts w:ascii="Arial" w:hAnsi="Arial" w:cs="Arial"/>
          <w:b/>
          <w:sz w:val="22"/>
        </w:rPr>
        <w:t>del PAE</w:t>
      </w:r>
    </w:p>
    <w:p w14:paraId="4DAFD4CB" w14:textId="77777777" w:rsidR="008F0CC6" w:rsidRPr="008174E3" w:rsidRDefault="008F0CC6" w:rsidP="00194C0D">
      <w:pPr>
        <w:jc w:val="center"/>
        <w:rPr>
          <w:rFonts w:ascii="Arial" w:hAnsi="Arial" w:cs="Arial"/>
          <w:b/>
          <w:sz w:val="22"/>
        </w:rPr>
      </w:pPr>
    </w:p>
    <w:tbl>
      <w:tblPr>
        <w:tblW w:w="10350" w:type="dxa"/>
        <w:tblInd w:w="-380" w:type="dxa"/>
        <w:tblCellMar>
          <w:top w:w="15" w:type="dxa"/>
          <w:left w:w="70" w:type="dxa"/>
          <w:bottom w:w="15" w:type="dxa"/>
          <w:right w:w="70" w:type="dxa"/>
        </w:tblCellMar>
        <w:tblLook w:val="04A0" w:firstRow="1" w:lastRow="0" w:firstColumn="1" w:lastColumn="0" w:noHBand="0" w:noVBand="1"/>
      </w:tblPr>
      <w:tblGrid>
        <w:gridCol w:w="1980"/>
        <w:gridCol w:w="720"/>
        <w:gridCol w:w="720"/>
        <w:gridCol w:w="540"/>
        <w:gridCol w:w="540"/>
        <w:gridCol w:w="530"/>
        <w:gridCol w:w="550"/>
        <w:gridCol w:w="540"/>
        <w:gridCol w:w="530"/>
        <w:gridCol w:w="550"/>
        <w:gridCol w:w="630"/>
        <w:gridCol w:w="630"/>
        <w:gridCol w:w="630"/>
        <w:gridCol w:w="630"/>
        <w:gridCol w:w="630"/>
      </w:tblGrid>
      <w:tr w:rsidR="008F0CC6" w:rsidRPr="008174E3" w14:paraId="083FA01B" w14:textId="77777777" w:rsidTr="008F0CC6">
        <w:trPr>
          <w:trHeight w:val="285"/>
        </w:trPr>
        <w:tc>
          <w:tcPr>
            <w:tcW w:w="1980"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204D8A6F" w14:textId="77777777" w:rsidR="008F0CC6" w:rsidRPr="008174E3" w:rsidRDefault="008F0CC6">
            <w:pPr>
              <w:rPr>
                <w:rFonts w:ascii="Arial" w:hAnsi="Arial" w:cs="Arial"/>
                <w:sz w:val="14"/>
                <w:szCs w:val="14"/>
              </w:rPr>
            </w:pPr>
          </w:p>
        </w:tc>
        <w:tc>
          <w:tcPr>
            <w:tcW w:w="720"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59C48F07" w14:textId="77777777" w:rsidR="008F0CC6" w:rsidRPr="008174E3" w:rsidRDefault="008F0CC6">
            <w:pPr>
              <w:rPr>
                <w:rFonts w:ascii="Arial" w:hAnsi="Arial" w:cs="Arial"/>
                <w:b/>
                <w:bCs/>
                <w:color w:val="000000"/>
                <w:sz w:val="14"/>
                <w:szCs w:val="14"/>
                <w:lang w:eastAsia="es-ES"/>
              </w:rPr>
            </w:pPr>
            <w:r w:rsidRPr="008174E3">
              <w:rPr>
                <w:rFonts w:ascii="Arial" w:hAnsi="Arial" w:cs="Arial"/>
                <w:b/>
                <w:bCs/>
                <w:color w:val="000000"/>
                <w:sz w:val="14"/>
                <w:szCs w:val="14"/>
                <w:lang w:eastAsia="es-ES"/>
              </w:rPr>
              <w:t>Año 1</w:t>
            </w:r>
          </w:p>
        </w:tc>
        <w:tc>
          <w:tcPr>
            <w:tcW w:w="720"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64AFDD0D" w14:textId="77777777" w:rsidR="008F0CC6" w:rsidRPr="008174E3" w:rsidRDefault="008F0CC6">
            <w:pPr>
              <w:rPr>
                <w:rFonts w:ascii="Arial" w:hAnsi="Arial" w:cs="Arial"/>
                <w:b/>
                <w:bCs/>
                <w:color w:val="000000"/>
                <w:sz w:val="14"/>
                <w:szCs w:val="14"/>
                <w:lang w:eastAsia="es-ES"/>
              </w:rPr>
            </w:pPr>
            <w:r w:rsidRPr="008174E3">
              <w:rPr>
                <w:rFonts w:ascii="Arial" w:hAnsi="Arial" w:cs="Arial"/>
                <w:b/>
                <w:bCs/>
                <w:color w:val="000000"/>
                <w:sz w:val="14"/>
                <w:szCs w:val="14"/>
                <w:lang w:eastAsia="es-ES"/>
              </w:rPr>
              <w:t>Año 2</w:t>
            </w:r>
          </w:p>
        </w:tc>
        <w:tc>
          <w:tcPr>
            <w:tcW w:w="540"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49C02FF0" w14:textId="77777777" w:rsidR="008F0CC6" w:rsidRPr="008174E3" w:rsidRDefault="008F0CC6">
            <w:pPr>
              <w:rPr>
                <w:rFonts w:ascii="Arial" w:hAnsi="Arial" w:cs="Arial"/>
                <w:b/>
                <w:bCs/>
                <w:color w:val="000000"/>
                <w:sz w:val="14"/>
                <w:szCs w:val="14"/>
                <w:lang w:eastAsia="es-ES"/>
              </w:rPr>
            </w:pPr>
            <w:r w:rsidRPr="008174E3">
              <w:rPr>
                <w:rFonts w:ascii="Arial" w:hAnsi="Arial" w:cs="Arial"/>
                <w:b/>
                <w:bCs/>
                <w:color w:val="000000"/>
                <w:sz w:val="14"/>
                <w:szCs w:val="14"/>
                <w:lang w:eastAsia="es-ES"/>
              </w:rPr>
              <w:t>Año 3</w:t>
            </w:r>
          </w:p>
        </w:tc>
        <w:tc>
          <w:tcPr>
            <w:tcW w:w="540"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6CFBD976" w14:textId="77777777" w:rsidR="008F0CC6" w:rsidRPr="008174E3" w:rsidRDefault="008F0CC6">
            <w:pPr>
              <w:rPr>
                <w:rFonts w:ascii="Arial" w:hAnsi="Arial" w:cs="Arial"/>
                <w:b/>
                <w:bCs/>
                <w:color w:val="000000"/>
                <w:sz w:val="14"/>
                <w:szCs w:val="14"/>
                <w:lang w:eastAsia="es-ES"/>
              </w:rPr>
            </w:pPr>
            <w:r w:rsidRPr="008174E3">
              <w:rPr>
                <w:rFonts w:ascii="Arial" w:hAnsi="Arial" w:cs="Arial"/>
                <w:b/>
                <w:bCs/>
                <w:color w:val="000000"/>
                <w:sz w:val="14"/>
                <w:szCs w:val="14"/>
                <w:lang w:eastAsia="es-ES"/>
              </w:rPr>
              <w:t>Año 4</w:t>
            </w:r>
          </w:p>
        </w:tc>
        <w:tc>
          <w:tcPr>
            <w:tcW w:w="530"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14D26474" w14:textId="77777777" w:rsidR="008F0CC6" w:rsidRPr="008174E3" w:rsidRDefault="008F0CC6">
            <w:pPr>
              <w:rPr>
                <w:rFonts w:ascii="Arial" w:hAnsi="Arial" w:cs="Arial"/>
                <w:b/>
                <w:bCs/>
                <w:color w:val="000000"/>
                <w:sz w:val="14"/>
                <w:szCs w:val="14"/>
                <w:lang w:eastAsia="es-ES"/>
              </w:rPr>
            </w:pPr>
            <w:r w:rsidRPr="008174E3">
              <w:rPr>
                <w:rFonts w:ascii="Arial" w:hAnsi="Arial" w:cs="Arial"/>
                <w:b/>
                <w:bCs/>
                <w:color w:val="000000"/>
                <w:sz w:val="14"/>
                <w:szCs w:val="14"/>
                <w:lang w:eastAsia="es-ES"/>
              </w:rPr>
              <w:t>Año 5</w:t>
            </w:r>
          </w:p>
        </w:tc>
        <w:tc>
          <w:tcPr>
            <w:tcW w:w="550"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66646EDC" w14:textId="77777777" w:rsidR="008F0CC6" w:rsidRPr="008174E3" w:rsidRDefault="008F0CC6">
            <w:pPr>
              <w:rPr>
                <w:rFonts w:ascii="Arial" w:hAnsi="Arial" w:cs="Arial"/>
                <w:b/>
                <w:bCs/>
                <w:color w:val="000000"/>
                <w:sz w:val="14"/>
                <w:szCs w:val="14"/>
                <w:lang w:eastAsia="es-ES"/>
              </w:rPr>
            </w:pPr>
            <w:r w:rsidRPr="008174E3">
              <w:rPr>
                <w:rFonts w:ascii="Arial" w:hAnsi="Arial" w:cs="Arial"/>
                <w:b/>
                <w:bCs/>
                <w:color w:val="000000"/>
                <w:sz w:val="14"/>
                <w:szCs w:val="14"/>
                <w:lang w:eastAsia="es-ES"/>
              </w:rPr>
              <w:t>Año 6</w:t>
            </w:r>
          </w:p>
        </w:tc>
        <w:tc>
          <w:tcPr>
            <w:tcW w:w="540"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35FDDB05" w14:textId="77777777" w:rsidR="008F0CC6" w:rsidRPr="008174E3" w:rsidRDefault="008F0CC6">
            <w:pPr>
              <w:rPr>
                <w:rFonts w:ascii="Arial" w:hAnsi="Arial" w:cs="Arial"/>
                <w:b/>
                <w:bCs/>
                <w:color w:val="000000"/>
                <w:sz w:val="14"/>
                <w:szCs w:val="14"/>
                <w:lang w:eastAsia="es-ES"/>
              </w:rPr>
            </w:pPr>
            <w:r w:rsidRPr="008174E3">
              <w:rPr>
                <w:rFonts w:ascii="Arial" w:hAnsi="Arial" w:cs="Arial"/>
                <w:b/>
                <w:bCs/>
                <w:color w:val="000000"/>
                <w:sz w:val="14"/>
                <w:szCs w:val="14"/>
                <w:lang w:eastAsia="es-ES"/>
              </w:rPr>
              <w:t>Año 7</w:t>
            </w:r>
          </w:p>
        </w:tc>
        <w:tc>
          <w:tcPr>
            <w:tcW w:w="530"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66C81446" w14:textId="77777777" w:rsidR="008F0CC6" w:rsidRPr="008174E3" w:rsidRDefault="008F0CC6">
            <w:pPr>
              <w:rPr>
                <w:rFonts w:ascii="Arial" w:hAnsi="Arial" w:cs="Arial"/>
                <w:b/>
                <w:bCs/>
                <w:color w:val="000000"/>
                <w:sz w:val="14"/>
                <w:szCs w:val="14"/>
                <w:lang w:eastAsia="es-ES"/>
              </w:rPr>
            </w:pPr>
            <w:r w:rsidRPr="008174E3">
              <w:rPr>
                <w:rFonts w:ascii="Arial" w:hAnsi="Arial" w:cs="Arial"/>
                <w:b/>
                <w:bCs/>
                <w:color w:val="000000"/>
                <w:sz w:val="14"/>
                <w:szCs w:val="14"/>
                <w:lang w:eastAsia="es-ES"/>
              </w:rPr>
              <w:t>Año 8</w:t>
            </w:r>
          </w:p>
        </w:tc>
        <w:tc>
          <w:tcPr>
            <w:tcW w:w="550"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24BEA9E2" w14:textId="77777777" w:rsidR="008F0CC6" w:rsidRPr="008174E3" w:rsidRDefault="008F0CC6">
            <w:pPr>
              <w:rPr>
                <w:rFonts w:ascii="Arial" w:hAnsi="Arial" w:cs="Arial"/>
                <w:b/>
                <w:bCs/>
                <w:color w:val="000000"/>
                <w:sz w:val="14"/>
                <w:szCs w:val="14"/>
                <w:lang w:eastAsia="es-ES"/>
              </w:rPr>
            </w:pPr>
            <w:r w:rsidRPr="008174E3">
              <w:rPr>
                <w:rFonts w:ascii="Arial" w:hAnsi="Arial" w:cs="Arial"/>
                <w:b/>
                <w:bCs/>
                <w:color w:val="000000"/>
                <w:sz w:val="14"/>
                <w:szCs w:val="14"/>
                <w:lang w:eastAsia="es-ES"/>
              </w:rPr>
              <w:t>Año 9</w:t>
            </w:r>
          </w:p>
        </w:tc>
        <w:tc>
          <w:tcPr>
            <w:tcW w:w="630"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4187FE85" w14:textId="77777777" w:rsidR="008F0CC6" w:rsidRPr="008174E3" w:rsidRDefault="008F0CC6">
            <w:pPr>
              <w:rPr>
                <w:rFonts w:ascii="Arial" w:hAnsi="Arial" w:cs="Arial"/>
                <w:b/>
                <w:bCs/>
                <w:color w:val="000000"/>
                <w:sz w:val="14"/>
                <w:szCs w:val="14"/>
                <w:lang w:eastAsia="es-ES"/>
              </w:rPr>
            </w:pPr>
            <w:r w:rsidRPr="008174E3">
              <w:rPr>
                <w:rFonts w:ascii="Arial" w:hAnsi="Arial" w:cs="Arial"/>
                <w:b/>
                <w:bCs/>
                <w:color w:val="000000"/>
                <w:sz w:val="14"/>
                <w:szCs w:val="14"/>
                <w:lang w:eastAsia="es-ES"/>
              </w:rPr>
              <w:t>Año 10</w:t>
            </w:r>
          </w:p>
        </w:tc>
        <w:tc>
          <w:tcPr>
            <w:tcW w:w="630"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193C0FBB" w14:textId="77777777" w:rsidR="008F0CC6" w:rsidRPr="008174E3" w:rsidRDefault="008F0CC6">
            <w:pPr>
              <w:rPr>
                <w:rFonts w:ascii="Arial" w:hAnsi="Arial" w:cs="Arial"/>
                <w:b/>
                <w:bCs/>
                <w:color w:val="000000"/>
                <w:sz w:val="14"/>
                <w:szCs w:val="14"/>
              </w:rPr>
            </w:pPr>
            <w:r w:rsidRPr="008174E3">
              <w:rPr>
                <w:rFonts w:ascii="Arial" w:hAnsi="Arial" w:cs="Arial"/>
                <w:b/>
                <w:bCs/>
                <w:color w:val="000000"/>
                <w:sz w:val="14"/>
                <w:szCs w:val="14"/>
              </w:rPr>
              <w:t>Año 11</w:t>
            </w:r>
          </w:p>
        </w:tc>
        <w:tc>
          <w:tcPr>
            <w:tcW w:w="630"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3034437D" w14:textId="77777777" w:rsidR="008F0CC6" w:rsidRPr="008174E3" w:rsidRDefault="008F0CC6">
            <w:pPr>
              <w:rPr>
                <w:rFonts w:ascii="Arial" w:hAnsi="Arial" w:cs="Arial"/>
                <w:b/>
                <w:bCs/>
                <w:color w:val="000000"/>
                <w:sz w:val="14"/>
                <w:szCs w:val="14"/>
              </w:rPr>
            </w:pPr>
            <w:r w:rsidRPr="008174E3">
              <w:rPr>
                <w:rFonts w:ascii="Arial" w:hAnsi="Arial" w:cs="Arial"/>
                <w:b/>
                <w:bCs/>
                <w:color w:val="000000"/>
                <w:sz w:val="14"/>
                <w:szCs w:val="14"/>
              </w:rPr>
              <w:t>Año 12</w:t>
            </w:r>
          </w:p>
        </w:tc>
        <w:tc>
          <w:tcPr>
            <w:tcW w:w="630"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600DE1FB" w14:textId="77777777" w:rsidR="008F0CC6" w:rsidRPr="008174E3" w:rsidRDefault="008F0CC6">
            <w:pPr>
              <w:rPr>
                <w:rFonts w:ascii="Arial" w:hAnsi="Arial" w:cs="Arial"/>
                <w:b/>
                <w:bCs/>
                <w:color w:val="000000"/>
                <w:sz w:val="14"/>
                <w:szCs w:val="14"/>
              </w:rPr>
            </w:pPr>
            <w:r w:rsidRPr="008174E3">
              <w:rPr>
                <w:rFonts w:ascii="Arial" w:hAnsi="Arial" w:cs="Arial"/>
                <w:b/>
                <w:bCs/>
                <w:color w:val="000000"/>
                <w:sz w:val="14"/>
                <w:szCs w:val="14"/>
              </w:rPr>
              <w:t>Año 13</w:t>
            </w:r>
          </w:p>
        </w:tc>
        <w:tc>
          <w:tcPr>
            <w:tcW w:w="630"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0FA356A5" w14:textId="40A97E83" w:rsidR="008F0CC6" w:rsidRPr="008174E3" w:rsidRDefault="008F0CC6">
            <w:pPr>
              <w:rPr>
                <w:rFonts w:ascii="Arial" w:hAnsi="Arial" w:cs="Arial"/>
                <w:b/>
                <w:bCs/>
                <w:color w:val="000000"/>
                <w:sz w:val="14"/>
                <w:szCs w:val="14"/>
              </w:rPr>
            </w:pPr>
            <w:r w:rsidRPr="008174E3">
              <w:rPr>
                <w:rFonts w:ascii="Arial" w:hAnsi="Arial" w:cs="Arial"/>
                <w:b/>
                <w:bCs/>
                <w:color w:val="000000"/>
                <w:sz w:val="14"/>
                <w:szCs w:val="14"/>
              </w:rPr>
              <w:t>Año 14</w:t>
            </w:r>
          </w:p>
        </w:tc>
      </w:tr>
      <w:tr w:rsidR="008F0CC6" w:rsidRPr="008174E3" w14:paraId="48FF2382" w14:textId="77777777" w:rsidTr="008F0CC6">
        <w:trPr>
          <w:trHeight w:val="285"/>
        </w:trPr>
        <w:tc>
          <w:tcPr>
            <w:tcW w:w="1980" w:type="dxa"/>
            <w:tcBorders>
              <w:top w:val="single" w:sz="4" w:space="0" w:color="auto"/>
              <w:left w:val="single" w:sz="4" w:space="0" w:color="auto"/>
              <w:bottom w:val="single" w:sz="4" w:space="0" w:color="auto"/>
              <w:right w:val="single" w:sz="4" w:space="0" w:color="auto"/>
            </w:tcBorders>
            <w:noWrap/>
            <w:vAlign w:val="bottom"/>
            <w:hideMark/>
          </w:tcPr>
          <w:p w14:paraId="0BEDED13" w14:textId="55754088" w:rsidR="008F0CC6" w:rsidRPr="008174E3" w:rsidRDefault="008F0CC6" w:rsidP="0022742F">
            <w:pPr>
              <w:rPr>
                <w:rFonts w:ascii="Arial" w:hAnsi="Arial" w:cs="Arial"/>
                <w:color w:val="000000"/>
                <w:sz w:val="14"/>
                <w:szCs w:val="14"/>
              </w:rPr>
            </w:pPr>
            <w:r w:rsidRPr="008174E3">
              <w:rPr>
                <w:rFonts w:ascii="Arial" w:hAnsi="Arial" w:cs="Arial"/>
                <w:color w:val="000000"/>
                <w:sz w:val="14"/>
                <w:szCs w:val="14"/>
                <w:lang w:eastAsia="es-ES"/>
              </w:rPr>
              <w:t>Beneficiarios Año 1</w:t>
            </w:r>
          </w:p>
        </w:tc>
        <w:tc>
          <w:tcPr>
            <w:tcW w:w="72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1ACAD65" w14:textId="77777777" w:rsidR="008F0CC6" w:rsidRPr="008174E3" w:rsidRDefault="008F0CC6" w:rsidP="0022742F">
            <w:pPr>
              <w:rPr>
                <w:rFonts w:ascii="Arial" w:hAnsi="Arial" w:cs="Arial"/>
                <w:b/>
                <w:bCs/>
                <w:color w:val="000000"/>
                <w:sz w:val="14"/>
                <w:szCs w:val="14"/>
                <w:lang w:eastAsia="es-ES"/>
              </w:rPr>
            </w:pPr>
          </w:p>
        </w:tc>
        <w:tc>
          <w:tcPr>
            <w:tcW w:w="72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1884DE13" w14:textId="77777777" w:rsidR="008F0CC6" w:rsidRPr="008174E3" w:rsidRDefault="008F0CC6" w:rsidP="0022742F">
            <w:pPr>
              <w:rPr>
                <w:rFonts w:ascii="Arial" w:hAnsi="Arial" w:cs="Arial"/>
                <w:b/>
                <w:bCs/>
                <w:color w:val="000000"/>
                <w:sz w:val="14"/>
                <w:szCs w:val="14"/>
                <w:lang w:eastAsia="es-ES"/>
              </w:rPr>
            </w:pPr>
          </w:p>
        </w:tc>
        <w:tc>
          <w:tcPr>
            <w:tcW w:w="54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C484556" w14:textId="77777777" w:rsidR="008F0CC6" w:rsidRPr="008174E3" w:rsidRDefault="008F0CC6" w:rsidP="0022742F">
            <w:pPr>
              <w:rPr>
                <w:rFonts w:ascii="Arial" w:hAnsi="Arial" w:cs="Arial"/>
                <w:b/>
                <w:bCs/>
                <w:color w:val="000000"/>
                <w:sz w:val="14"/>
                <w:szCs w:val="14"/>
                <w:lang w:eastAsia="es-ES"/>
              </w:rPr>
            </w:pPr>
          </w:p>
        </w:tc>
        <w:tc>
          <w:tcPr>
            <w:tcW w:w="54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B98C431" w14:textId="77777777" w:rsidR="008F0CC6" w:rsidRPr="008174E3" w:rsidRDefault="008F0CC6" w:rsidP="0022742F">
            <w:pPr>
              <w:rPr>
                <w:rFonts w:ascii="Arial" w:hAnsi="Arial" w:cs="Arial"/>
                <w:b/>
                <w:bCs/>
                <w:color w:val="000000"/>
                <w:sz w:val="14"/>
                <w:szCs w:val="14"/>
                <w:lang w:eastAsia="es-ES"/>
              </w:rPr>
            </w:pPr>
          </w:p>
        </w:tc>
        <w:tc>
          <w:tcPr>
            <w:tcW w:w="53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EAB5E5F" w14:textId="77777777" w:rsidR="008F0CC6" w:rsidRPr="008174E3" w:rsidRDefault="008F0CC6" w:rsidP="0022742F">
            <w:pPr>
              <w:rPr>
                <w:rFonts w:ascii="Arial" w:hAnsi="Arial" w:cs="Arial"/>
                <w:b/>
                <w:bCs/>
                <w:color w:val="000000"/>
                <w:sz w:val="14"/>
                <w:szCs w:val="14"/>
                <w:lang w:eastAsia="es-ES"/>
              </w:rPr>
            </w:pPr>
          </w:p>
        </w:tc>
        <w:tc>
          <w:tcPr>
            <w:tcW w:w="55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F5042CC" w14:textId="77777777" w:rsidR="008F0CC6" w:rsidRPr="008174E3" w:rsidRDefault="008F0CC6" w:rsidP="0022742F">
            <w:pPr>
              <w:rPr>
                <w:rFonts w:ascii="Arial" w:hAnsi="Arial" w:cs="Arial"/>
                <w:b/>
                <w:bCs/>
                <w:color w:val="000000"/>
                <w:sz w:val="14"/>
                <w:szCs w:val="14"/>
                <w:lang w:eastAsia="es-ES"/>
              </w:rPr>
            </w:pPr>
          </w:p>
        </w:tc>
        <w:tc>
          <w:tcPr>
            <w:tcW w:w="54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51F4F53" w14:textId="77777777" w:rsidR="008F0CC6" w:rsidRPr="008174E3" w:rsidRDefault="008F0CC6" w:rsidP="0022742F">
            <w:pPr>
              <w:rPr>
                <w:rFonts w:ascii="Arial" w:hAnsi="Arial" w:cs="Arial"/>
                <w:b/>
                <w:bCs/>
                <w:color w:val="000000"/>
                <w:sz w:val="14"/>
                <w:szCs w:val="14"/>
                <w:lang w:eastAsia="es-ES"/>
              </w:rPr>
            </w:pPr>
          </w:p>
        </w:tc>
        <w:tc>
          <w:tcPr>
            <w:tcW w:w="53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1D32D402" w14:textId="77777777" w:rsidR="008F0CC6" w:rsidRPr="008174E3" w:rsidRDefault="008F0CC6" w:rsidP="0022742F">
            <w:pPr>
              <w:rPr>
                <w:rFonts w:ascii="Arial" w:hAnsi="Arial" w:cs="Arial"/>
                <w:b/>
                <w:bCs/>
                <w:color w:val="000000"/>
                <w:sz w:val="14"/>
                <w:szCs w:val="14"/>
                <w:lang w:eastAsia="es-ES"/>
              </w:rPr>
            </w:pPr>
          </w:p>
        </w:tc>
        <w:tc>
          <w:tcPr>
            <w:tcW w:w="55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1FC14B0" w14:textId="77777777" w:rsidR="008F0CC6" w:rsidRPr="008174E3" w:rsidRDefault="008F0CC6" w:rsidP="0022742F">
            <w:pPr>
              <w:rPr>
                <w:rFonts w:ascii="Arial" w:hAnsi="Arial" w:cs="Arial"/>
                <w:b/>
                <w:bCs/>
                <w:color w:val="000000"/>
                <w:sz w:val="14"/>
                <w:szCs w:val="14"/>
                <w:lang w:eastAsia="es-ES"/>
              </w:rPr>
            </w:pPr>
          </w:p>
        </w:tc>
        <w:tc>
          <w:tcPr>
            <w:tcW w:w="63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7EB2741B" w14:textId="77777777" w:rsidR="008F0CC6" w:rsidRPr="008174E3" w:rsidRDefault="008F0CC6" w:rsidP="0022742F">
            <w:pPr>
              <w:rPr>
                <w:rFonts w:ascii="Arial" w:hAnsi="Arial" w:cs="Arial"/>
                <w:b/>
                <w:bCs/>
                <w:color w:val="000000"/>
                <w:sz w:val="14"/>
                <w:szCs w:val="14"/>
                <w:lang w:eastAsia="es-ES"/>
              </w:rPr>
            </w:pPr>
          </w:p>
        </w:tc>
        <w:tc>
          <w:tcPr>
            <w:tcW w:w="630" w:type="dxa"/>
            <w:tcBorders>
              <w:top w:val="single" w:sz="4" w:space="0" w:color="auto"/>
              <w:left w:val="single" w:sz="4" w:space="0" w:color="auto"/>
              <w:bottom w:val="single" w:sz="4" w:space="0" w:color="auto"/>
              <w:right w:val="single" w:sz="4" w:space="0" w:color="auto"/>
            </w:tcBorders>
            <w:noWrap/>
            <w:vAlign w:val="bottom"/>
            <w:hideMark/>
          </w:tcPr>
          <w:p w14:paraId="1F1D3DA6" w14:textId="77777777" w:rsidR="008F0CC6" w:rsidRPr="008174E3" w:rsidRDefault="008F0CC6" w:rsidP="0022742F">
            <w:pPr>
              <w:rPr>
                <w:rFonts w:ascii="Arial" w:hAnsi="Arial" w:cs="Arial"/>
                <w:sz w:val="14"/>
                <w:szCs w:val="14"/>
              </w:rPr>
            </w:pPr>
          </w:p>
        </w:tc>
        <w:tc>
          <w:tcPr>
            <w:tcW w:w="630" w:type="dxa"/>
            <w:tcBorders>
              <w:top w:val="single" w:sz="4" w:space="0" w:color="auto"/>
              <w:left w:val="single" w:sz="4" w:space="0" w:color="auto"/>
              <w:bottom w:val="single" w:sz="4" w:space="0" w:color="auto"/>
              <w:right w:val="single" w:sz="4" w:space="0" w:color="auto"/>
            </w:tcBorders>
            <w:noWrap/>
            <w:vAlign w:val="bottom"/>
            <w:hideMark/>
          </w:tcPr>
          <w:p w14:paraId="3FD2DD4D" w14:textId="77777777" w:rsidR="008F0CC6" w:rsidRPr="008174E3" w:rsidRDefault="008F0CC6" w:rsidP="0022742F">
            <w:pPr>
              <w:rPr>
                <w:rFonts w:ascii="Arial" w:hAnsi="Arial" w:cs="Arial"/>
                <w:sz w:val="14"/>
                <w:szCs w:val="14"/>
              </w:rPr>
            </w:pPr>
          </w:p>
        </w:tc>
        <w:tc>
          <w:tcPr>
            <w:tcW w:w="630" w:type="dxa"/>
            <w:tcBorders>
              <w:top w:val="single" w:sz="4" w:space="0" w:color="auto"/>
              <w:left w:val="single" w:sz="4" w:space="0" w:color="auto"/>
              <w:bottom w:val="single" w:sz="4" w:space="0" w:color="auto"/>
              <w:right w:val="single" w:sz="4" w:space="0" w:color="auto"/>
            </w:tcBorders>
            <w:noWrap/>
            <w:vAlign w:val="bottom"/>
            <w:hideMark/>
          </w:tcPr>
          <w:p w14:paraId="17809E34" w14:textId="77777777" w:rsidR="008F0CC6" w:rsidRPr="008174E3" w:rsidRDefault="008F0CC6" w:rsidP="0022742F">
            <w:pPr>
              <w:rPr>
                <w:rFonts w:ascii="Arial" w:hAnsi="Arial" w:cs="Arial"/>
                <w:sz w:val="14"/>
                <w:szCs w:val="14"/>
              </w:rPr>
            </w:pPr>
          </w:p>
        </w:tc>
        <w:tc>
          <w:tcPr>
            <w:tcW w:w="630" w:type="dxa"/>
            <w:tcBorders>
              <w:top w:val="single" w:sz="4" w:space="0" w:color="auto"/>
              <w:left w:val="single" w:sz="4" w:space="0" w:color="auto"/>
              <w:bottom w:val="single" w:sz="4" w:space="0" w:color="auto"/>
              <w:right w:val="single" w:sz="4" w:space="0" w:color="auto"/>
            </w:tcBorders>
            <w:noWrap/>
            <w:vAlign w:val="bottom"/>
            <w:hideMark/>
          </w:tcPr>
          <w:p w14:paraId="3C41F274" w14:textId="2FD5FB30" w:rsidR="008F0CC6" w:rsidRPr="008174E3" w:rsidRDefault="008F0CC6" w:rsidP="0022742F">
            <w:pPr>
              <w:rPr>
                <w:rFonts w:ascii="Arial" w:hAnsi="Arial" w:cs="Arial"/>
                <w:sz w:val="14"/>
                <w:szCs w:val="14"/>
              </w:rPr>
            </w:pPr>
          </w:p>
        </w:tc>
      </w:tr>
      <w:tr w:rsidR="008F0CC6" w:rsidRPr="008174E3" w14:paraId="4CEC9AE0" w14:textId="77777777" w:rsidTr="008F0CC6">
        <w:trPr>
          <w:trHeight w:val="285"/>
        </w:trPr>
        <w:tc>
          <w:tcPr>
            <w:tcW w:w="1980" w:type="dxa"/>
            <w:tcBorders>
              <w:top w:val="single" w:sz="4" w:space="0" w:color="auto"/>
              <w:left w:val="single" w:sz="4" w:space="0" w:color="auto"/>
              <w:bottom w:val="single" w:sz="4" w:space="0" w:color="auto"/>
              <w:right w:val="single" w:sz="4" w:space="0" w:color="auto"/>
            </w:tcBorders>
            <w:noWrap/>
            <w:vAlign w:val="bottom"/>
            <w:hideMark/>
          </w:tcPr>
          <w:p w14:paraId="7F02041F" w14:textId="4D2E9D96" w:rsidR="008F0CC6" w:rsidRPr="008174E3" w:rsidRDefault="008F0CC6" w:rsidP="0022742F">
            <w:pPr>
              <w:rPr>
                <w:rFonts w:ascii="Arial" w:hAnsi="Arial" w:cs="Arial"/>
                <w:color w:val="000000"/>
                <w:sz w:val="14"/>
                <w:szCs w:val="14"/>
              </w:rPr>
            </w:pPr>
            <w:r w:rsidRPr="008174E3">
              <w:rPr>
                <w:rFonts w:ascii="Arial" w:hAnsi="Arial" w:cs="Arial"/>
                <w:color w:val="000000"/>
                <w:sz w:val="14"/>
                <w:szCs w:val="14"/>
                <w:lang w:eastAsia="es-ES"/>
              </w:rPr>
              <w:t>Beneficiarios Año 2</w:t>
            </w:r>
          </w:p>
        </w:tc>
        <w:tc>
          <w:tcPr>
            <w:tcW w:w="720" w:type="dxa"/>
            <w:tcBorders>
              <w:top w:val="single" w:sz="4" w:space="0" w:color="auto"/>
              <w:left w:val="single" w:sz="4" w:space="0" w:color="auto"/>
              <w:bottom w:val="single" w:sz="4" w:space="0" w:color="auto"/>
              <w:right w:val="single" w:sz="4" w:space="0" w:color="auto"/>
            </w:tcBorders>
            <w:noWrap/>
            <w:vAlign w:val="bottom"/>
            <w:hideMark/>
          </w:tcPr>
          <w:p w14:paraId="0B65078F" w14:textId="77777777" w:rsidR="008F0CC6" w:rsidRPr="008174E3" w:rsidRDefault="008F0CC6" w:rsidP="0022742F">
            <w:pPr>
              <w:rPr>
                <w:rFonts w:ascii="Arial" w:hAnsi="Arial" w:cs="Arial"/>
                <w:color w:val="000000"/>
                <w:sz w:val="14"/>
                <w:szCs w:val="14"/>
              </w:rPr>
            </w:pPr>
          </w:p>
        </w:tc>
        <w:tc>
          <w:tcPr>
            <w:tcW w:w="72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DDFBAD0" w14:textId="77777777" w:rsidR="008F0CC6" w:rsidRPr="008174E3" w:rsidRDefault="008F0CC6" w:rsidP="0022742F">
            <w:pPr>
              <w:rPr>
                <w:rFonts w:ascii="Arial" w:hAnsi="Arial" w:cs="Arial"/>
                <w:sz w:val="14"/>
                <w:szCs w:val="14"/>
              </w:rPr>
            </w:pPr>
          </w:p>
        </w:tc>
        <w:tc>
          <w:tcPr>
            <w:tcW w:w="54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B0E8A70" w14:textId="77777777" w:rsidR="008F0CC6" w:rsidRPr="008174E3" w:rsidRDefault="008F0CC6" w:rsidP="0022742F">
            <w:pPr>
              <w:rPr>
                <w:rFonts w:ascii="Arial" w:hAnsi="Arial" w:cs="Arial"/>
                <w:sz w:val="14"/>
                <w:szCs w:val="14"/>
              </w:rPr>
            </w:pPr>
          </w:p>
        </w:tc>
        <w:tc>
          <w:tcPr>
            <w:tcW w:w="54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7E1D278" w14:textId="77777777" w:rsidR="008F0CC6" w:rsidRPr="008174E3" w:rsidRDefault="008F0CC6" w:rsidP="0022742F">
            <w:pPr>
              <w:rPr>
                <w:rFonts w:ascii="Arial" w:hAnsi="Arial" w:cs="Arial"/>
                <w:sz w:val="14"/>
                <w:szCs w:val="14"/>
              </w:rPr>
            </w:pPr>
          </w:p>
        </w:tc>
        <w:tc>
          <w:tcPr>
            <w:tcW w:w="53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7D53E8A8" w14:textId="77777777" w:rsidR="008F0CC6" w:rsidRPr="008174E3" w:rsidRDefault="008F0CC6" w:rsidP="0022742F">
            <w:pPr>
              <w:rPr>
                <w:rFonts w:ascii="Arial" w:hAnsi="Arial" w:cs="Arial"/>
                <w:sz w:val="14"/>
                <w:szCs w:val="14"/>
              </w:rPr>
            </w:pPr>
          </w:p>
        </w:tc>
        <w:tc>
          <w:tcPr>
            <w:tcW w:w="55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17117589" w14:textId="77777777" w:rsidR="008F0CC6" w:rsidRPr="008174E3" w:rsidRDefault="008F0CC6" w:rsidP="0022742F">
            <w:pPr>
              <w:rPr>
                <w:rFonts w:ascii="Arial" w:hAnsi="Arial" w:cs="Arial"/>
                <w:sz w:val="14"/>
                <w:szCs w:val="14"/>
              </w:rPr>
            </w:pPr>
          </w:p>
        </w:tc>
        <w:tc>
          <w:tcPr>
            <w:tcW w:w="54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13D6D008" w14:textId="77777777" w:rsidR="008F0CC6" w:rsidRPr="008174E3" w:rsidRDefault="008F0CC6" w:rsidP="0022742F">
            <w:pPr>
              <w:rPr>
                <w:rFonts w:ascii="Arial" w:hAnsi="Arial" w:cs="Arial"/>
                <w:sz w:val="14"/>
                <w:szCs w:val="14"/>
              </w:rPr>
            </w:pPr>
          </w:p>
        </w:tc>
        <w:tc>
          <w:tcPr>
            <w:tcW w:w="53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2F76C6B" w14:textId="77777777" w:rsidR="008F0CC6" w:rsidRPr="008174E3" w:rsidRDefault="008F0CC6" w:rsidP="0022742F">
            <w:pPr>
              <w:rPr>
                <w:rFonts w:ascii="Arial" w:hAnsi="Arial" w:cs="Arial"/>
                <w:sz w:val="14"/>
                <w:szCs w:val="14"/>
              </w:rPr>
            </w:pPr>
          </w:p>
        </w:tc>
        <w:tc>
          <w:tcPr>
            <w:tcW w:w="55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59071079" w14:textId="77777777" w:rsidR="008F0CC6" w:rsidRPr="008174E3" w:rsidRDefault="008F0CC6" w:rsidP="0022742F">
            <w:pPr>
              <w:rPr>
                <w:rFonts w:ascii="Arial" w:hAnsi="Arial" w:cs="Arial"/>
                <w:sz w:val="14"/>
                <w:szCs w:val="14"/>
              </w:rPr>
            </w:pPr>
          </w:p>
        </w:tc>
        <w:tc>
          <w:tcPr>
            <w:tcW w:w="63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7F0FD65B" w14:textId="77777777" w:rsidR="008F0CC6" w:rsidRPr="008174E3" w:rsidRDefault="008F0CC6" w:rsidP="0022742F">
            <w:pPr>
              <w:rPr>
                <w:rFonts w:ascii="Arial" w:hAnsi="Arial" w:cs="Arial"/>
                <w:sz w:val="14"/>
                <w:szCs w:val="14"/>
              </w:rPr>
            </w:pPr>
          </w:p>
        </w:tc>
        <w:tc>
          <w:tcPr>
            <w:tcW w:w="63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1D9F708C" w14:textId="77777777" w:rsidR="008F0CC6" w:rsidRPr="008174E3" w:rsidRDefault="008F0CC6" w:rsidP="0022742F">
            <w:pPr>
              <w:rPr>
                <w:rFonts w:ascii="Arial" w:hAnsi="Arial" w:cs="Arial"/>
                <w:sz w:val="14"/>
                <w:szCs w:val="14"/>
              </w:rPr>
            </w:pPr>
          </w:p>
        </w:tc>
        <w:tc>
          <w:tcPr>
            <w:tcW w:w="630" w:type="dxa"/>
            <w:tcBorders>
              <w:top w:val="single" w:sz="4" w:space="0" w:color="auto"/>
              <w:left w:val="single" w:sz="4" w:space="0" w:color="auto"/>
              <w:bottom w:val="single" w:sz="4" w:space="0" w:color="auto"/>
              <w:right w:val="single" w:sz="4" w:space="0" w:color="auto"/>
            </w:tcBorders>
            <w:noWrap/>
            <w:vAlign w:val="bottom"/>
            <w:hideMark/>
          </w:tcPr>
          <w:p w14:paraId="08AD7EB5" w14:textId="77777777" w:rsidR="008F0CC6" w:rsidRPr="008174E3" w:rsidRDefault="008F0CC6" w:rsidP="0022742F">
            <w:pPr>
              <w:rPr>
                <w:rFonts w:ascii="Arial" w:hAnsi="Arial" w:cs="Arial"/>
                <w:sz w:val="14"/>
                <w:szCs w:val="14"/>
              </w:rPr>
            </w:pPr>
          </w:p>
        </w:tc>
        <w:tc>
          <w:tcPr>
            <w:tcW w:w="630" w:type="dxa"/>
            <w:tcBorders>
              <w:top w:val="single" w:sz="4" w:space="0" w:color="auto"/>
              <w:left w:val="single" w:sz="4" w:space="0" w:color="auto"/>
              <w:bottom w:val="single" w:sz="4" w:space="0" w:color="auto"/>
              <w:right w:val="single" w:sz="4" w:space="0" w:color="auto"/>
            </w:tcBorders>
            <w:noWrap/>
            <w:vAlign w:val="bottom"/>
            <w:hideMark/>
          </w:tcPr>
          <w:p w14:paraId="02E2A30D" w14:textId="77777777" w:rsidR="008F0CC6" w:rsidRPr="008174E3" w:rsidRDefault="008F0CC6" w:rsidP="0022742F">
            <w:pPr>
              <w:rPr>
                <w:rFonts w:ascii="Arial" w:hAnsi="Arial" w:cs="Arial"/>
                <w:sz w:val="14"/>
                <w:szCs w:val="14"/>
              </w:rPr>
            </w:pPr>
          </w:p>
        </w:tc>
        <w:tc>
          <w:tcPr>
            <w:tcW w:w="630" w:type="dxa"/>
            <w:tcBorders>
              <w:top w:val="single" w:sz="4" w:space="0" w:color="auto"/>
              <w:left w:val="single" w:sz="4" w:space="0" w:color="auto"/>
              <w:bottom w:val="single" w:sz="4" w:space="0" w:color="auto"/>
              <w:right w:val="single" w:sz="4" w:space="0" w:color="auto"/>
            </w:tcBorders>
            <w:noWrap/>
            <w:vAlign w:val="bottom"/>
            <w:hideMark/>
          </w:tcPr>
          <w:p w14:paraId="4B95CD2A" w14:textId="37D158CC" w:rsidR="008F0CC6" w:rsidRPr="008174E3" w:rsidRDefault="008F0CC6" w:rsidP="0022742F">
            <w:pPr>
              <w:rPr>
                <w:rFonts w:ascii="Arial" w:hAnsi="Arial" w:cs="Arial"/>
                <w:sz w:val="14"/>
                <w:szCs w:val="14"/>
              </w:rPr>
            </w:pPr>
          </w:p>
        </w:tc>
      </w:tr>
      <w:tr w:rsidR="008F0CC6" w:rsidRPr="008174E3" w14:paraId="7BB777DC" w14:textId="77777777" w:rsidTr="008F0CC6">
        <w:trPr>
          <w:trHeight w:val="285"/>
        </w:trPr>
        <w:tc>
          <w:tcPr>
            <w:tcW w:w="1980" w:type="dxa"/>
            <w:tcBorders>
              <w:top w:val="single" w:sz="4" w:space="0" w:color="auto"/>
              <w:left w:val="single" w:sz="4" w:space="0" w:color="auto"/>
              <w:bottom w:val="single" w:sz="4" w:space="0" w:color="auto"/>
              <w:right w:val="single" w:sz="4" w:space="0" w:color="auto"/>
            </w:tcBorders>
            <w:noWrap/>
            <w:vAlign w:val="bottom"/>
            <w:hideMark/>
          </w:tcPr>
          <w:p w14:paraId="2BFE7352" w14:textId="5BC9B8F9" w:rsidR="008F0CC6" w:rsidRPr="008174E3" w:rsidRDefault="008F0CC6" w:rsidP="0022742F">
            <w:pPr>
              <w:rPr>
                <w:rFonts w:ascii="Arial" w:hAnsi="Arial" w:cs="Arial"/>
                <w:color w:val="000000"/>
                <w:sz w:val="14"/>
                <w:szCs w:val="14"/>
              </w:rPr>
            </w:pPr>
            <w:r w:rsidRPr="008174E3">
              <w:rPr>
                <w:rFonts w:ascii="Arial" w:hAnsi="Arial" w:cs="Arial"/>
                <w:color w:val="000000"/>
                <w:sz w:val="14"/>
                <w:szCs w:val="14"/>
                <w:lang w:eastAsia="es-ES"/>
              </w:rPr>
              <w:t>Beneficiarios Año 3</w:t>
            </w:r>
          </w:p>
        </w:tc>
        <w:tc>
          <w:tcPr>
            <w:tcW w:w="720" w:type="dxa"/>
            <w:tcBorders>
              <w:top w:val="single" w:sz="4" w:space="0" w:color="auto"/>
              <w:left w:val="single" w:sz="4" w:space="0" w:color="auto"/>
              <w:bottom w:val="single" w:sz="4" w:space="0" w:color="auto"/>
              <w:right w:val="single" w:sz="4" w:space="0" w:color="auto"/>
            </w:tcBorders>
            <w:noWrap/>
            <w:vAlign w:val="bottom"/>
            <w:hideMark/>
          </w:tcPr>
          <w:p w14:paraId="5B9AD280" w14:textId="77777777" w:rsidR="008F0CC6" w:rsidRPr="008174E3" w:rsidRDefault="008F0CC6" w:rsidP="0022742F">
            <w:pPr>
              <w:rPr>
                <w:rFonts w:ascii="Arial" w:hAnsi="Arial" w:cs="Arial"/>
                <w:color w:val="000000"/>
                <w:sz w:val="14"/>
                <w:szCs w:val="14"/>
              </w:rPr>
            </w:pPr>
          </w:p>
        </w:tc>
        <w:tc>
          <w:tcPr>
            <w:tcW w:w="720" w:type="dxa"/>
            <w:tcBorders>
              <w:top w:val="single" w:sz="4" w:space="0" w:color="auto"/>
              <w:left w:val="single" w:sz="4" w:space="0" w:color="auto"/>
              <w:bottom w:val="single" w:sz="4" w:space="0" w:color="auto"/>
              <w:right w:val="single" w:sz="4" w:space="0" w:color="auto"/>
            </w:tcBorders>
            <w:noWrap/>
            <w:vAlign w:val="bottom"/>
            <w:hideMark/>
          </w:tcPr>
          <w:p w14:paraId="5D8A5DCD" w14:textId="77777777" w:rsidR="008F0CC6" w:rsidRPr="008174E3" w:rsidRDefault="008F0CC6" w:rsidP="0022742F">
            <w:pPr>
              <w:rPr>
                <w:rFonts w:ascii="Arial" w:hAnsi="Arial" w:cs="Arial"/>
                <w:sz w:val="14"/>
                <w:szCs w:val="14"/>
              </w:rPr>
            </w:pPr>
          </w:p>
        </w:tc>
        <w:tc>
          <w:tcPr>
            <w:tcW w:w="54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203D717E" w14:textId="77777777" w:rsidR="008F0CC6" w:rsidRPr="008174E3" w:rsidRDefault="008F0CC6" w:rsidP="0022742F">
            <w:pPr>
              <w:rPr>
                <w:rFonts w:ascii="Arial" w:hAnsi="Arial" w:cs="Arial"/>
                <w:sz w:val="14"/>
                <w:szCs w:val="14"/>
              </w:rPr>
            </w:pPr>
          </w:p>
        </w:tc>
        <w:tc>
          <w:tcPr>
            <w:tcW w:w="54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7037B774" w14:textId="77777777" w:rsidR="008F0CC6" w:rsidRPr="008174E3" w:rsidRDefault="008F0CC6" w:rsidP="0022742F">
            <w:pPr>
              <w:rPr>
                <w:rFonts w:ascii="Arial" w:hAnsi="Arial" w:cs="Arial"/>
                <w:sz w:val="14"/>
                <w:szCs w:val="14"/>
              </w:rPr>
            </w:pPr>
          </w:p>
        </w:tc>
        <w:tc>
          <w:tcPr>
            <w:tcW w:w="53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2485BE53" w14:textId="77777777" w:rsidR="008F0CC6" w:rsidRPr="008174E3" w:rsidRDefault="008F0CC6" w:rsidP="0022742F">
            <w:pPr>
              <w:rPr>
                <w:rFonts w:ascii="Arial" w:hAnsi="Arial" w:cs="Arial"/>
                <w:sz w:val="14"/>
                <w:szCs w:val="14"/>
              </w:rPr>
            </w:pPr>
          </w:p>
        </w:tc>
        <w:tc>
          <w:tcPr>
            <w:tcW w:w="55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9E34042" w14:textId="77777777" w:rsidR="008F0CC6" w:rsidRPr="008174E3" w:rsidRDefault="008F0CC6" w:rsidP="0022742F">
            <w:pPr>
              <w:rPr>
                <w:rFonts w:ascii="Arial" w:hAnsi="Arial" w:cs="Arial"/>
                <w:sz w:val="14"/>
                <w:szCs w:val="14"/>
              </w:rPr>
            </w:pPr>
          </w:p>
        </w:tc>
        <w:tc>
          <w:tcPr>
            <w:tcW w:w="54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5E24F01A" w14:textId="77777777" w:rsidR="008F0CC6" w:rsidRPr="008174E3" w:rsidRDefault="008F0CC6" w:rsidP="0022742F">
            <w:pPr>
              <w:rPr>
                <w:rFonts w:ascii="Arial" w:hAnsi="Arial" w:cs="Arial"/>
                <w:sz w:val="14"/>
                <w:szCs w:val="14"/>
              </w:rPr>
            </w:pPr>
          </w:p>
        </w:tc>
        <w:tc>
          <w:tcPr>
            <w:tcW w:w="53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A1C0444" w14:textId="77777777" w:rsidR="008F0CC6" w:rsidRPr="008174E3" w:rsidRDefault="008F0CC6" w:rsidP="0022742F">
            <w:pPr>
              <w:rPr>
                <w:rFonts w:ascii="Arial" w:hAnsi="Arial" w:cs="Arial"/>
                <w:sz w:val="14"/>
                <w:szCs w:val="14"/>
              </w:rPr>
            </w:pPr>
          </w:p>
        </w:tc>
        <w:tc>
          <w:tcPr>
            <w:tcW w:w="55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2FDC70FB" w14:textId="77777777" w:rsidR="008F0CC6" w:rsidRPr="008174E3" w:rsidRDefault="008F0CC6" w:rsidP="0022742F">
            <w:pPr>
              <w:rPr>
                <w:rFonts w:ascii="Arial" w:hAnsi="Arial" w:cs="Arial"/>
                <w:sz w:val="14"/>
                <w:szCs w:val="14"/>
              </w:rPr>
            </w:pPr>
          </w:p>
        </w:tc>
        <w:tc>
          <w:tcPr>
            <w:tcW w:w="63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6E72394" w14:textId="77777777" w:rsidR="008F0CC6" w:rsidRPr="008174E3" w:rsidRDefault="008F0CC6" w:rsidP="0022742F">
            <w:pPr>
              <w:rPr>
                <w:rFonts w:ascii="Arial" w:hAnsi="Arial" w:cs="Arial"/>
                <w:sz w:val="14"/>
                <w:szCs w:val="14"/>
              </w:rPr>
            </w:pPr>
          </w:p>
        </w:tc>
        <w:tc>
          <w:tcPr>
            <w:tcW w:w="63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5C4CA8CD" w14:textId="77777777" w:rsidR="008F0CC6" w:rsidRPr="008174E3" w:rsidRDefault="008F0CC6" w:rsidP="0022742F">
            <w:pPr>
              <w:rPr>
                <w:rFonts w:ascii="Arial" w:hAnsi="Arial" w:cs="Arial"/>
                <w:sz w:val="14"/>
                <w:szCs w:val="14"/>
              </w:rPr>
            </w:pPr>
          </w:p>
        </w:tc>
        <w:tc>
          <w:tcPr>
            <w:tcW w:w="63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3F4979E" w14:textId="77777777" w:rsidR="008F0CC6" w:rsidRPr="008174E3" w:rsidRDefault="008F0CC6" w:rsidP="0022742F">
            <w:pPr>
              <w:rPr>
                <w:rFonts w:ascii="Arial" w:hAnsi="Arial" w:cs="Arial"/>
                <w:sz w:val="14"/>
                <w:szCs w:val="14"/>
              </w:rPr>
            </w:pPr>
          </w:p>
        </w:tc>
        <w:tc>
          <w:tcPr>
            <w:tcW w:w="630" w:type="dxa"/>
            <w:tcBorders>
              <w:top w:val="single" w:sz="4" w:space="0" w:color="auto"/>
              <w:left w:val="single" w:sz="4" w:space="0" w:color="auto"/>
              <w:bottom w:val="single" w:sz="4" w:space="0" w:color="auto"/>
              <w:right w:val="single" w:sz="4" w:space="0" w:color="auto"/>
            </w:tcBorders>
            <w:noWrap/>
            <w:vAlign w:val="bottom"/>
            <w:hideMark/>
          </w:tcPr>
          <w:p w14:paraId="59694564" w14:textId="77777777" w:rsidR="008F0CC6" w:rsidRPr="008174E3" w:rsidRDefault="008F0CC6" w:rsidP="0022742F">
            <w:pPr>
              <w:rPr>
                <w:rFonts w:ascii="Arial" w:hAnsi="Arial" w:cs="Arial"/>
                <w:sz w:val="14"/>
                <w:szCs w:val="14"/>
              </w:rPr>
            </w:pPr>
          </w:p>
        </w:tc>
        <w:tc>
          <w:tcPr>
            <w:tcW w:w="630" w:type="dxa"/>
            <w:tcBorders>
              <w:top w:val="single" w:sz="4" w:space="0" w:color="auto"/>
              <w:left w:val="single" w:sz="4" w:space="0" w:color="auto"/>
              <w:bottom w:val="single" w:sz="4" w:space="0" w:color="auto"/>
              <w:right w:val="single" w:sz="4" w:space="0" w:color="auto"/>
            </w:tcBorders>
            <w:noWrap/>
            <w:vAlign w:val="bottom"/>
            <w:hideMark/>
          </w:tcPr>
          <w:p w14:paraId="3697E1A0" w14:textId="71A2DBD0" w:rsidR="008F0CC6" w:rsidRPr="008174E3" w:rsidRDefault="008F0CC6" w:rsidP="0022742F">
            <w:pPr>
              <w:rPr>
                <w:rFonts w:ascii="Arial" w:hAnsi="Arial" w:cs="Arial"/>
                <w:sz w:val="14"/>
                <w:szCs w:val="14"/>
              </w:rPr>
            </w:pPr>
          </w:p>
        </w:tc>
      </w:tr>
      <w:tr w:rsidR="008F0CC6" w:rsidRPr="008174E3" w14:paraId="5E333E40" w14:textId="77777777" w:rsidTr="008F0CC6">
        <w:trPr>
          <w:trHeight w:val="285"/>
        </w:trPr>
        <w:tc>
          <w:tcPr>
            <w:tcW w:w="1980" w:type="dxa"/>
            <w:tcBorders>
              <w:top w:val="single" w:sz="4" w:space="0" w:color="auto"/>
              <w:left w:val="single" w:sz="4" w:space="0" w:color="auto"/>
              <w:bottom w:val="single" w:sz="4" w:space="0" w:color="auto"/>
              <w:right w:val="single" w:sz="4" w:space="0" w:color="auto"/>
            </w:tcBorders>
            <w:noWrap/>
            <w:vAlign w:val="bottom"/>
            <w:hideMark/>
          </w:tcPr>
          <w:p w14:paraId="487E30BA" w14:textId="35C10408" w:rsidR="008F0CC6" w:rsidRPr="008174E3" w:rsidRDefault="008F0CC6" w:rsidP="0022742F">
            <w:pPr>
              <w:rPr>
                <w:rFonts w:ascii="Arial" w:hAnsi="Arial" w:cs="Arial"/>
                <w:color w:val="000000"/>
                <w:sz w:val="14"/>
                <w:szCs w:val="14"/>
              </w:rPr>
            </w:pPr>
            <w:r w:rsidRPr="008174E3">
              <w:rPr>
                <w:rFonts w:ascii="Arial" w:hAnsi="Arial" w:cs="Arial"/>
                <w:color w:val="000000"/>
                <w:sz w:val="14"/>
                <w:szCs w:val="14"/>
                <w:lang w:eastAsia="es-ES"/>
              </w:rPr>
              <w:t>Beneficiarios Año 4</w:t>
            </w:r>
          </w:p>
        </w:tc>
        <w:tc>
          <w:tcPr>
            <w:tcW w:w="720" w:type="dxa"/>
            <w:tcBorders>
              <w:top w:val="single" w:sz="4" w:space="0" w:color="auto"/>
              <w:left w:val="single" w:sz="4" w:space="0" w:color="auto"/>
              <w:bottom w:val="single" w:sz="4" w:space="0" w:color="auto"/>
              <w:right w:val="single" w:sz="4" w:space="0" w:color="auto"/>
            </w:tcBorders>
            <w:noWrap/>
            <w:vAlign w:val="bottom"/>
            <w:hideMark/>
          </w:tcPr>
          <w:p w14:paraId="2C202883" w14:textId="77777777" w:rsidR="008F0CC6" w:rsidRPr="008174E3" w:rsidRDefault="008F0CC6" w:rsidP="0022742F">
            <w:pPr>
              <w:rPr>
                <w:rFonts w:ascii="Arial" w:hAnsi="Arial" w:cs="Arial"/>
                <w:color w:val="000000"/>
                <w:sz w:val="14"/>
                <w:szCs w:val="14"/>
              </w:rPr>
            </w:pPr>
          </w:p>
        </w:tc>
        <w:tc>
          <w:tcPr>
            <w:tcW w:w="720" w:type="dxa"/>
            <w:tcBorders>
              <w:top w:val="single" w:sz="4" w:space="0" w:color="auto"/>
              <w:left w:val="single" w:sz="4" w:space="0" w:color="auto"/>
              <w:bottom w:val="single" w:sz="4" w:space="0" w:color="auto"/>
              <w:right w:val="single" w:sz="4" w:space="0" w:color="auto"/>
            </w:tcBorders>
            <w:noWrap/>
            <w:vAlign w:val="bottom"/>
            <w:hideMark/>
          </w:tcPr>
          <w:p w14:paraId="68BEF45E" w14:textId="77777777" w:rsidR="008F0CC6" w:rsidRPr="008174E3" w:rsidRDefault="008F0CC6" w:rsidP="0022742F">
            <w:pPr>
              <w:rPr>
                <w:rFonts w:ascii="Arial" w:hAnsi="Arial" w:cs="Arial"/>
                <w:sz w:val="14"/>
                <w:szCs w:val="14"/>
              </w:rPr>
            </w:pPr>
          </w:p>
        </w:tc>
        <w:tc>
          <w:tcPr>
            <w:tcW w:w="540" w:type="dxa"/>
            <w:tcBorders>
              <w:top w:val="single" w:sz="4" w:space="0" w:color="auto"/>
              <w:left w:val="single" w:sz="4" w:space="0" w:color="auto"/>
              <w:bottom w:val="single" w:sz="4" w:space="0" w:color="auto"/>
              <w:right w:val="single" w:sz="4" w:space="0" w:color="auto"/>
            </w:tcBorders>
            <w:noWrap/>
            <w:vAlign w:val="bottom"/>
            <w:hideMark/>
          </w:tcPr>
          <w:p w14:paraId="00B19EA2" w14:textId="77777777" w:rsidR="008F0CC6" w:rsidRPr="008174E3" w:rsidRDefault="008F0CC6" w:rsidP="0022742F">
            <w:pPr>
              <w:rPr>
                <w:rFonts w:ascii="Arial" w:hAnsi="Arial" w:cs="Arial"/>
                <w:sz w:val="14"/>
                <w:szCs w:val="14"/>
              </w:rPr>
            </w:pPr>
          </w:p>
        </w:tc>
        <w:tc>
          <w:tcPr>
            <w:tcW w:w="54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91F5038" w14:textId="77777777" w:rsidR="008F0CC6" w:rsidRPr="008174E3" w:rsidRDefault="008F0CC6" w:rsidP="0022742F">
            <w:pPr>
              <w:rPr>
                <w:rFonts w:ascii="Arial" w:hAnsi="Arial" w:cs="Arial"/>
                <w:sz w:val="14"/>
                <w:szCs w:val="14"/>
              </w:rPr>
            </w:pPr>
          </w:p>
        </w:tc>
        <w:tc>
          <w:tcPr>
            <w:tcW w:w="53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15543FF" w14:textId="77777777" w:rsidR="008F0CC6" w:rsidRPr="008174E3" w:rsidRDefault="008F0CC6" w:rsidP="0022742F">
            <w:pPr>
              <w:rPr>
                <w:rFonts w:ascii="Arial" w:hAnsi="Arial" w:cs="Arial"/>
                <w:sz w:val="14"/>
                <w:szCs w:val="14"/>
              </w:rPr>
            </w:pPr>
          </w:p>
        </w:tc>
        <w:tc>
          <w:tcPr>
            <w:tcW w:w="55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F1E4FCC" w14:textId="77777777" w:rsidR="008F0CC6" w:rsidRPr="008174E3" w:rsidRDefault="008F0CC6" w:rsidP="0022742F">
            <w:pPr>
              <w:rPr>
                <w:rFonts w:ascii="Arial" w:hAnsi="Arial" w:cs="Arial"/>
                <w:sz w:val="14"/>
                <w:szCs w:val="14"/>
              </w:rPr>
            </w:pPr>
          </w:p>
        </w:tc>
        <w:tc>
          <w:tcPr>
            <w:tcW w:w="54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8E82DDD" w14:textId="77777777" w:rsidR="008F0CC6" w:rsidRPr="008174E3" w:rsidRDefault="008F0CC6" w:rsidP="0022742F">
            <w:pPr>
              <w:rPr>
                <w:rFonts w:ascii="Arial" w:hAnsi="Arial" w:cs="Arial"/>
                <w:sz w:val="14"/>
                <w:szCs w:val="14"/>
              </w:rPr>
            </w:pPr>
          </w:p>
        </w:tc>
        <w:tc>
          <w:tcPr>
            <w:tcW w:w="53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E3433AD" w14:textId="77777777" w:rsidR="008F0CC6" w:rsidRPr="008174E3" w:rsidRDefault="008F0CC6" w:rsidP="0022742F">
            <w:pPr>
              <w:rPr>
                <w:rFonts w:ascii="Arial" w:hAnsi="Arial" w:cs="Arial"/>
                <w:sz w:val="14"/>
                <w:szCs w:val="14"/>
              </w:rPr>
            </w:pPr>
          </w:p>
        </w:tc>
        <w:tc>
          <w:tcPr>
            <w:tcW w:w="55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3AF5D1F" w14:textId="77777777" w:rsidR="008F0CC6" w:rsidRPr="008174E3" w:rsidRDefault="008F0CC6" w:rsidP="0022742F">
            <w:pPr>
              <w:rPr>
                <w:rFonts w:ascii="Arial" w:hAnsi="Arial" w:cs="Arial"/>
                <w:sz w:val="14"/>
                <w:szCs w:val="14"/>
              </w:rPr>
            </w:pPr>
          </w:p>
        </w:tc>
        <w:tc>
          <w:tcPr>
            <w:tcW w:w="63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9944FF8" w14:textId="77777777" w:rsidR="008F0CC6" w:rsidRPr="008174E3" w:rsidRDefault="008F0CC6" w:rsidP="0022742F">
            <w:pPr>
              <w:rPr>
                <w:rFonts w:ascii="Arial" w:hAnsi="Arial" w:cs="Arial"/>
                <w:sz w:val="14"/>
                <w:szCs w:val="14"/>
              </w:rPr>
            </w:pPr>
          </w:p>
        </w:tc>
        <w:tc>
          <w:tcPr>
            <w:tcW w:w="63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9CCB18B" w14:textId="77777777" w:rsidR="008F0CC6" w:rsidRPr="008174E3" w:rsidRDefault="008F0CC6" w:rsidP="0022742F">
            <w:pPr>
              <w:rPr>
                <w:rFonts w:ascii="Arial" w:hAnsi="Arial" w:cs="Arial"/>
                <w:sz w:val="14"/>
                <w:szCs w:val="14"/>
              </w:rPr>
            </w:pPr>
          </w:p>
        </w:tc>
        <w:tc>
          <w:tcPr>
            <w:tcW w:w="63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CC3C9D0" w14:textId="77777777" w:rsidR="008F0CC6" w:rsidRPr="008174E3" w:rsidRDefault="008F0CC6" w:rsidP="0022742F">
            <w:pPr>
              <w:rPr>
                <w:rFonts w:ascii="Arial" w:hAnsi="Arial" w:cs="Arial"/>
                <w:sz w:val="14"/>
                <w:szCs w:val="14"/>
              </w:rPr>
            </w:pPr>
          </w:p>
        </w:tc>
        <w:tc>
          <w:tcPr>
            <w:tcW w:w="63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E21D966" w14:textId="77777777" w:rsidR="008F0CC6" w:rsidRPr="008174E3" w:rsidRDefault="008F0CC6" w:rsidP="0022742F">
            <w:pPr>
              <w:rPr>
                <w:rFonts w:ascii="Arial" w:hAnsi="Arial" w:cs="Arial"/>
                <w:sz w:val="14"/>
                <w:szCs w:val="14"/>
              </w:rPr>
            </w:pPr>
          </w:p>
        </w:tc>
        <w:tc>
          <w:tcPr>
            <w:tcW w:w="630" w:type="dxa"/>
            <w:tcBorders>
              <w:top w:val="single" w:sz="4" w:space="0" w:color="auto"/>
              <w:left w:val="single" w:sz="4" w:space="0" w:color="auto"/>
              <w:bottom w:val="single" w:sz="4" w:space="0" w:color="auto"/>
              <w:right w:val="single" w:sz="4" w:space="0" w:color="auto"/>
            </w:tcBorders>
            <w:noWrap/>
            <w:vAlign w:val="bottom"/>
            <w:hideMark/>
          </w:tcPr>
          <w:p w14:paraId="039DF7AC" w14:textId="61C8C716" w:rsidR="008F0CC6" w:rsidRPr="008174E3" w:rsidRDefault="008F0CC6" w:rsidP="0022742F">
            <w:pPr>
              <w:rPr>
                <w:rFonts w:ascii="Arial" w:hAnsi="Arial" w:cs="Arial"/>
                <w:sz w:val="14"/>
                <w:szCs w:val="14"/>
              </w:rPr>
            </w:pPr>
          </w:p>
        </w:tc>
      </w:tr>
      <w:tr w:rsidR="008F0CC6" w:rsidRPr="008174E3" w14:paraId="4B3CA8F5" w14:textId="77777777" w:rsidTr="008F0CC6">
        <w:trPr>
          <w:trHeight w:val="285"/>
        </w:trPr>
        <w:tc>
          <w:tcPr>
            <w:tcW w:w="1980" w:type="dxa"/>
            <w:tcBorders>
              <w:top w:val="single" w:sz="4" w:space="0" w:color="auto"/>
              <w:left w:val="single" w:sz="4" w:space="0" w:color="auto"/>
              <w:bottom w:val="single" w:sz="4" w:space="0" w:color="auto"/>
              <w:right w:val="single" w:sz="4" w:space="0" w:color="auto"/>
            </w:tcBorders>
            <w:noWrap/>
            <w:vAlign w:val="bottom"/>
            <w:hideMark/>
          </w:tcPr>
          <w:p w14:paraId="6EE80300" w14:textId="337DE8BA" w:rsidR="008F0CC6" w:rsidRPr="008174E3" w:rsidRDefault="008F0CC6" w:rsidP="0022742F">
            <w:pPr>
              <w:rPr>
                <w:rFonts w:ascii="Arial" w:hAnsi="Arial" w:cs="Arial"/>
                <w:color w:val="000000"/>
                <w:sz w:val="14"/>
                <w:szCs w:val="14"/>
              </w:rPr>
            </w:pPr>
            <w:r w:rsidRPr="008174E3">
              <w:rPr>
                <w:rFonts w:ascii="Arial" w:hAnsi="Arial" w:cs="Arial"/>
                <w:color w:val="000000"/>
                <w:sz w:val="14"/>
                <w:szCs w:val="14"/>
                <w:lang w:eastAsia="es-ES"/>
              </w:rPr>
              <w:t>Beneficiarios Año 5</w:t>
            </w:r>
          </w:p>
        </w:tc>
        <w:tc>
          <w:tcPr>
            <w:tcW w:w="720" w:type="dxa"/>
            <w:tcBorders>
              <w:top w:val="single" w:sz="4" w:space="0" w:color="auto"/>
              <w:left w:val="single" w:sz="4" w:space="0" w:color="auto"/>
              <w:bottom w:val="single" w:sz="4" w:space="0" w:color="auto"/>
              <w:right w:val="single" w:sz="4" w:space="0" w:color="auto"/>
            </w:tcBorders>
            <w:noWrap/>
            <w:vAlign w:val="bottom"/>
            <w:hideMark/>
          </w:tcPr>
          <w:p w14:paraId="55C80A77" w14:textId="77777777" w:rsidR="008F0CC6" w:rsidRPr="008174E3" w:rsidRDefault="008F0CC6" w:rsidP="0022742F">
            <w:pPr>
              <w:rPr>
                <w:rFonts w:ascii="Arial" w:hAnsi="Arial" w:cs="Arial"/>
                <w:color w:val="000000"/>
                <w:sz w:val="14"/>
                <w:szCs w:val="14"/>
              </w:rPr>
            </w:pPr>
          </w:p>
        </w:tc>
        <w:tc>
          <w:tcPr>
            <w:tcW w:w="720" w:type="dxa"/>
            <w:tcBorders>
              <w:top w:val="single" w:sz="4" w:space="0" w:color="auto"/>
              <w:left w:val="single" w:sz="4" w:space="0" w:color="auto"/>
              <w:bottom w:val="single" w:sz="4" w:space="0" w:color="auto"/>
              <w:right w:val="single" w:sz="4" w:space="0" w:color="auto"/>
            </w:tcBorders>
            <w:noWrap/>
            <w:vAlign w:val="bottom"/>
            <w:hideMark/>
          </w:tcPr>
          <w:p w14:paraId="76464D9F" w14:textId="77777777" w:rsidR="008F0CC6" w:rsidRPr="008174E3" w:rsidRDefault="008F0CC6" w:rsidP="0022742F">
            <w:pPr>
              <w:rPr>
                <w:rFonts w:ascii="Arial" w:hAnsi="Arial" w:cs="Arial"/>
                <w:sz w:val="14"/>
                <w:szCs w:val="14"/>
              </w:rPr>
            </w:pPr>
          </w:p>
        </w:tc>
        <w:tc>
          <w:tcPr>
            <w:tcW w:w="540" w:type="dxa"/>
            <w:tcBorders>
              <w:top w:val="single" w:sz="4" w:space="0" w:color="auto"/>
              <w:left w:val="single" w:sz="4" w:space="0" w:color="auto"/>
              <w:bottom w:val="single" w:sz="4" w:space="0" w:color="auto"/>
              <w:right w:val="single" w:sz="4" w:space="0" w:color="auto"/>
            </w:tcBorders>
            <w:noWrap/>
            <w:vAlign w:val="bottom"/>
            <w:hideMark/>
          </w:tcPr>
          <w:p w14:paraId="021CB72A" w14:textId="77777777" w:rsidR="008F0CC6" w:rsidRPr="008174E3" w:rsidRDefault="008F0CC6" w:rsidP="0022742F">
            <w:pPr>
              <w:rPr>
                <w:rFonts w:ascii="Arial" w:hAnsi="Arial" w:cs="Arial"/>
                <w:sz w:val="14"/>
                <w:szCs w:val="14"/>
              </w:rPr>
            </w:pPr>
          </w:p>
        </w:tc>
        <w:tc>
          <w:tcPr>
            <w:tcW w:w="540" w:type="dxa"/>
            <w:tcBorders>
              <w:top w:val="single" w:sz="4" w:space="0" w:color="auto"/>
              <w:left w:val="single" w:sz="4" w:space="0" w:color="auto"/>
              <w:bottom w:val="single" w:sz="4" w:space="0" w:color="auto"/>
              <w:right w:val="single" w:sz="4" w:space="0" w:color="auto"/>
            </w:tcBorders>
            <w:noWrap/>
            <w:vAlign w:val="bottom"/>
            <w:hideMark/>
          </w:tcPr>
          <w:p w14:paraId="22AB770A" w14:textId="77777777" w:rsidR="008F0CC6" w:rsidRPr="008174E3" w:rsidRDefault="008F0CC6" w:rsidP="0022742F">
            <w:pPr>
              <w:rPr>
                <w:rFonts w:ascii="Arial" w:hAnsi="Arial" w:cs="Arial"/>
                <w:sz w:val="14"/>
                <w:szCs w:val="14"/>
              </w:rPr>
            </w:pPr>
          </w:p>
        </w:tc>
        <w:tc>
          <w:tcPr>
            <w:tcW w:w="53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270277A1" w14:textId="77777777" w:rsidR="008F0CC6" w:rsidRPr="008174E3" w:rsidRDefault="008F0CC6" w:rsidP="0022742F">
            <w:pPr>
              <w:rPr>
                <w:rFonts w:ascii="Arial" w:hAnsi="Arial" w:cs="Arial"/>
                <w:sz w:val="14"/>
                <w:szCs w:val="14"/>
              </w:rPr>
            </w:pPr>
          </w:p>
        </w:tc>
        <w:tc>
          <w:tcPr>
            <w:tcW w:w="55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24B4206D" w14:textId="77777777" w:rsidR="008F0CC6" w:rsidRPr="008174E3" w:rsidRDefault="008F0CC6" w:rsidP="0022742F">
            <w:pPr>
              <w:rPr>
                <w:rFonts w:ascii="Arial" w:hAnsi="Arial" w:cs="Arial"/>
                <w:sz w:val="14"/>
                <w:szCs w:val="14"/>
              </w:rPr>
            </w:pPr>
          </w:p>
        </w:tc>
        <w:tc>
          <w:tcPr>
            <w:tcW w:w="54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2D4CAD45" w14:textId="77777777" w:rsidR="008F0CC6" w:rsidRPr="008174E3" w:rsidRDefault="008F0CC6" w:rsidP="0022742F">
            <w:pPr>
              <w:rPr>
                <w:rFonts w:ascii="Arial" w:hAnsi="Arial" w:cs="Arial"/>
                <w:sz w:val="14"/>
                <w:szCs w:val="14"/>
              </w:rPr>
            </w:pPr>
          </w:p>
        </w:tc>
        <w:tc>
          <w:tcPr>
            <w:tcW w:w="53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71A00854" w14:textId="77777777" w:rsidR="008F0CC6" w:rsidRPr="008174E3" w:rsidRDefault="008F0CC6" w:rsidP="0022742F">
            <w:pPr>
              <w:rPr>
                <w:rFonts w:ascii="Arial" w:hAnsi="Arial" w:cs="Arial"/>
                <w:sz w:val="14"/>
                <w:szCs w:val="14"/>
              </w:rPr>
            </w:pPr>
          </w:p>
        </w:tc>
        <w:tc>
          <w:tcPr>
            <w:tcW w:w="55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236C7DAC" w14:textId="77777777" w:rsidR="008F0CC6" w:rsidRPr="008174E3" w:rsidRDefault="008F0CC6" w:rsidP="0022742F">
            <w:pPr>
              <w:rPr>
                <w:rFonts w:ascii="Arial" w:hAnsi="Arial" w:cs="Arial"/>
                <w:sz w:val="14"/>
                <w:szCs w:val="14"/>
              </w:rPr>
            </w:pPr>
          </w:p>
        </w:tc>
        <w:tc>
          <w:tcPr>
            <w:tcW w:w="63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141DEC67" w14:textId="77777777" w:rsidR="008F0CC6" w:rsidRPr="008174E3" w:rsidRDefault="008F0CC6" w:rsidP="0022742F">
            <w:pPr>
              <w:rPr>
                <w:rFonts w:ascii="Arial" w:hAnsi="Arial" w:cs="Arial"/>
                <w:sz w:val="14"/>
                <w:szCs w:val="14"/>
              </w:rPr>
            </w:pPr>
          </w:p>
        </w:tc>
        <w:tc>
          <w:tcPr>
            <w:tcW w:w="63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5B02F8BE" w14:textId="77777777" w:rsidR="008F0CC6" w:rsidRPr="008174E3" w:rsidRDefault="008F0CC6" w:rsidP="0022742F">
            <w:pPr>
              <w:rPr>
                <w:rFonts w:ascii="Arial" w:hAnsi="Arial" w:cs="Arial"/>
                <w:sz w:val="14"/>
                <w:szCs w:val="14"/>
              </w:rPr>
            </w:pPr>
          </w:p>
        </w:tc>
        <w:tc>
          <w:tcPr>
            <w:tcW w:w="63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1C0D7C40" w14:textId="77777777" w:rsidR="008F0CC6" w:rsidRPr="008174E3" w:rsidRDefault="008F0CC6" w:rsidP="0022742F">
            <w:pPr>
              <w:rPr>
                <w:rFonts w:ascii="Arial" w:hAnsi="Arial" w:cs="Arial"/>
                <w:sz w:val="14"/>
                <w:szCs w:val="14"/>
              </w:rPr>
            </w:pPr>
          </w:p>
        </w:tc>
        <w:tc>
          <w:tcPr>
            <w:tcW w:w="63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C6453F4" w14:textId="77777777" w:rsidR="008F0CC6" w:rsidRPr="008174E3" w:rsidRDefault="008F0CC6" w:rsidP="0022742F">
            <w:pPr>
              <w:rPr>
                <w:rFonts w:ascii="Arial" w:hAnsi="Arial" w:cs="Arial"/>
                <w:sz w:val="14"/>
                <w:szCs w:val="14"/>
              </w:rPr>
            </w:pPr>
          </w:p>
        </w:tc>
        <w:tc>
          <w:tcPr>
            <w:tcW w:w="63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FF59407" w14:textId="539564D4" w:rsidR="008F0CC6" w:rsidRPr="008174E3" w:rsidRDefault="008F0CC6" w:rsidP="0022742F">
            <w:pPr>
              <w:rPr>
                <w:rFonts w:ascii="Arial" w:hAnsi="Arial" w:cs="Arial"/>
                <w:sz w:val="14"/>
                <w:szCs w:val="14"/>
              </w:rPr>
            </w:pPr>
          </w:p>
        </w:tc>
      </w:tr>
    </w:tbl>
    <w:p w14:paraId="0FF92E3E" w14:textId="77777777" w:rsidR="0022742F" w:rsidRPr="008174E3" w:rsidRDefault="0022742F" w:rsidP="00194C0D">
      <w:pPr>
        <w:jc w:val="center"/>
        <w:rPr>
          <w:rFonts w:ascii="Arial" w:hAnsi="Arial" w:cs="Arial"/>
          <w:b/>
        </w:rPr>
      </w:pPr>
    </w:p>
    <w:p w14:paraId="1976DC0D" w14:textId="5DDB9B17" w:rsidR="002060F3" w:rsidRPr="008174E3" w:rsidRDefault="00FC686C" w:rsidP="004C3097">
      <w:pPr>
        <w:jc w:val="center"/>
        <w:rPr>
          <w:rFonts w:ascii="Arial" w:hAnsi="Arial" w:cs="Arial"/>
          <w:b/>
          <w:sz w:val="22"/>
        </w:rPr>
      </w:pPr>
      <w:r w:rsidRPr="008174E3">
        <w:rPr>
          <w:rFonts w:ascii="Arial" w:hAnsi="Arial" w:cs="Arial"/>
          <w:b/>
          <w:sz w:val="22"/>
        </w:rPr>
        <w:t>Cuadro </w:t>
      </w:r>
      <w:r w:rsidR="002060F3" w:rsidRPr="008174E3">
        <w:rPr>
          <w:rFonts w:ascii="Arial" w:hAnsi="Arial" w:cs="Arial"/>
          <w:b/>
          <w:sz w:val="22"/>
        </w:rPr>
        <w:t>A</w:t>
      </w:r>
      <w:r w:rsidR="0022742F" w:rsidRPr="008174E3">
        <w:rPr>
          <w:rFonts w:ascii="Arial" w:hAnsi="Arial" w:cs="Arial"/>
          <w:b/>
          <w:sz w:val="22"/>
        </w:rPr>
        <w:t>7</w:t>
      </w:r>
      <w:r w:rsidR="008457CF" w:rsidRPr="008174E3">
        <w:rPr>
          <w:rFonts w:ascii="Arial" w:hAnsi="Arial" w:cs="Arial"/>
          <w:b/>
          <w:sz w:val="22"/>
        </w:rPr>
        <w:t>:</w:t>
      </w:r>
      <w:r w:rsidR="002060F3" w:rsidRPr="008174E3">
        <w:rPr>
          <w:rFonts w:ascii="Arial" w:hAnsi="Arial" w:cs="Arial"/>
          <w:b/>
          <w:sz w:val="22"/>
        </w:rPr>
        <w:t xml:space="preserve"> Flujo</w:t>
      </w:r>
      <w:r w:rsidR="00E50982" w:rsidRPr="008174E3">
        <w:rPr>
          <w:rFonts w:ascii="Arial" w:hAnsi="Arial" w:cs="Arial"/>
          <w:b/>
          <w:sz w:val="22"/>
        </w:rPr>
        <w:t xml:space="preserve"> Anual</w:t>
      </w:r>
      <w:r w:rsidR="002060F3" w:rsidRPr="008174E3">
        <w:rPr>
          <w:rFonts w:ascii="Arial" w:hAnsi="Arial" w:cs="Arial"/>
          <w:b/>
          <w:sz w:val="22"/>
        </w:rPr>
        <w:t xml:space="preserve"> de Beneficios y Costos </w:t>
      </w:r>
      <w:r w:rsidR="008457CF" w:rsidRPr="008174E3">
        <w:rPr>
          <w:rFonts w:ascii="Arial" w:hAnsi="Arial" w:cs="Arial"/>
          <w:b/>
          <w:sz w:val="22"/>
        </w:rPr>
        <w:t xml:space="preserve">en VPN para el </w:t>
      </w:r>
      <w:r w:rsidR="001610C3" w:rsidRPr="008174E3">
        <w:rPr>
          <w:rFonts w:ascii="Arial" w:hAnsi="Arial" w:cs="Arial"/>
          <w:b/>
          <w:sz w:val="22"/>
        </w:rPr>
        <w:t>Fortalecimiento del SNE</w:t>
      </w:r>
    </w:p>
    <w:p w14:paraId="106862FA" w14:textId="77777777" w:rsidR="008F0CC6" w:rsidRPr="008174E3" w:rsidRDefault="008F0CC6" w:rsidP="004C3097">
      <w:pPr>
        <w:jc w:val="center"/>
        <w:rPr>
          <w:rFonts w:ascii="Arial" w:hAnsi="Arial" w:cs="Arial"/>
          <w:b/>
          <w:sz w:val="22"/>
        </w:rPr>
      </w:pPr>
    </w:p>
    <w:tbl>
      <w:tblPr>
        <w:tblW w:w="7430" w:type="dxa"/>
        <w:jc w:val="center"/>
        <w:tblLayout w:type="fixed"/>
        <w:tblCellMar>
          <w:left w:w="70" w:type="dxa"/>
          <w:right w:w="70" w:type="dxa"/>
        </w:tblCellMar>
        <w:tblLook w:val="04A0" w:firstRow="1" w:lastRow="0" w:firstColumn="1" w:lastColumn="0" w:noHBand="0" w:noVBand="1"/>
      </w:tblPr>
      <w:tblGrid>
        <w:gridCol w:w="2242"/>
        <w:gridCol w:w="778"/>
        <w:gridCol w:w="695"/>
        <w:gridCol w:w="655"/>
        <w:gridCol w:w="720"/>
        <w:gridCol w:w="720"/>
        <w:gridCol w:w="720"/>
        <w:gridCol w:w="875"/>
        <w:gridCol w:w="25"/>
      </w:tblGrid>
      <w:tr w:rsidR="001610C3" w:rsidRPr="008174E3" w14:paraId="49D7CDBD" w14:textId="77777777" w:rsidTr="001610C3">
        <w:trPr>
          <w:trHeight w:val="300"/>
          <w:jc w:val="center"/>
        </w:trPr>
        <w:tc>
          <w:tcPr>
            <w:tcW w:w="7430" w:type="dxa"/>
            <w:gridSpan w:val="9"/>
            <w:tcBorders>
              <w:top w:val="nil"/>
              <w:left w:val="nil"/>
              <w:bottom w:val="single" w:sz="4" w:space="0" w:color="auto"/>
              <w:right w:val="nil"/>
            </w:tcBorders>
            <w:shd w:val="clear" w:color="000000" w:fill="DDEBF7"/>
            <w:noWrap/>
            <w:vAlign w:val="bottom"/>
          </w:tcPr>
          <w:p w14:paraId="5270BB8C" w14:textId="15F5FE4A" w:rsidR="001610C3" w:rsidRPr="008174E3" w:rsidRDefault="001610C3" w:rsidP="005F10A7">
            <w:pPr>
              <w:jc w:val="center"/>
              <w:rPr>
                <w:rFonts w:ascii="Arial" w:hAnsi="Arial" w:cs="Arial"/>
                <w:b/>
                <w:bCs/>
                <w:color w:val="000000"/>
                <w:sz w:val="20"/>
                <w:szCs w:val="20"/>
                <w:lang w:eastAsia="es-ES"/>
              </w:rPr>
            </w:pPr>
            <w:r w:rsidRPr="008174E3">
              <w:rPr>
                <w:rFonts w:ascii="Arial" w:hAnsi="Arial" w:cs="Arial"/>
                <w:b/>
                <w:bCs/>
                <w:color w:val="000000"/>
                <w:sz w:val="20"/>
                <w:szCs w:val="20"/>
                <w:lang w:eastAsia="es-ES"/>
              </w:rPr>
              <w:t>Fortalecimiento del SNE</w:t>
            </w:r>
            <w:r w:rsidRPr="008174E3">
              <w:rPr>
                <w:rFonts w:ascii="Arial" w:hAnsi="Arial" w:cs="Arial"/>
                <w:b/>
                <w:bCs/>
                <w:color w:val="000000"/>
                <w:sz w:val="20"/>
                <w:szCs w:val="20"/>
                <w:lang w:eastAsia="es-ES"/>
              </w:rPr>
              <w:br/>
              <w:t>Millones de dólares</w:t>
            </w:r>
          </w:p>
        </w:tc>
      </w:tr>
      <w:tr w:rsidR="001610C3" w:rsidRPr="008174E3" w14:paraId="3EB4F488" w14:textId="7D9686A6" w:rsidTr="001610C3">
        <w:trPr>
          <w:trHeight w:val="300"/>
          <w:jc w:val="center"/>
        </w:trPr>
        <w:tc>
          <w:tcPr>
            <w:tcW w:w="2242" w:type="dxa"/>
            <w:tcBorders>
              <w:top w:val="nil"/>
              <w:left w:val="nil"/>
              <w:bottom w:val="single" w:sz="4" w:space="0" w:color="auto"/>
              <w:right w:val="nil"/>
            </w:tcBorders>
            <w:shd w:val="clear" w:color="000000" w:fill="DDEBF7"/>
            <w:noWrap/>
            <w:vAlign w:val="bottom"/>
            <w:hideMark/>
          </w:tcPr>
          <w:p w14:paraId="76673C4E" w14:textId="72DD81EE" w:rsidR="001610C3" w:rsidRPr="008174E3" w:rsidRDefault="001610C3" w:rsidP="005F10A7">
            <w:pPr>
              <w:rPr>
                <w:rFonts w:ascii="Arial" w:hAnsi="Arial" w:cs="Arial"/>
                <w:b/>
                <w:bCs/>
                <w:color w:val="000000"/>
                <w:sz w:val="20"/>
                <w:szCs w:val="20"/>
                <w:lang w:eastAsia="es-ES"/>
              </w:rPr>
            </w:pPr>
            <w:r w:rsidRPr="008174E3">
              <w:rPr>
                <w:rFonts w:ascii="Arial" w:hAnsi="Arial" w:cs="Arial"/>
                <w:b/>
                <w:bCs/>
                <w:color w:val="000000"/>
                <w:sz w:val="20"/>
                <w:szCs w:val="20"/>
                <w:lang w:eastAsia="es-ES"/>
              </w:rPr>
              <w:t> </w:t>
            </w:r>
          </w:p>
        </w:tc>
        <w:tc>
          <w:tcPr>
            <w:tcW w:w="778" w:type="dxa"/>
            <w:tcBorders>
              <w:top w:val="nil"/>
              <w:left w:val="nil"/>
              <w:bottom w:val="single" w:sz="4" w:space="0" w:color="auto"/>
              <w:right w:val="nil"/>
            </w:tcBorders>
            <w:shd w:val="clear" w:color="000000" w:fill="DDEBF7"/>
            <w:noWrap/>
            <w:vAlign w:val="bottom"/>
            <w:hideMark/>
          </w:tcPr>
          <w:p w14:paraId="718180CE" w14:textId="36CE76BB" w:rsidR="001610C3" w:rsidRPr="008174E3" w:rsidRDefault="001610C3" w:rsidP="005F10A7">
            <w:pPr>
              <w:jc w:val="center"/>
              <w:rPr>
                <w:rFonts w:ascii="Arial" w:hAnsi="Arial" w:cs="Arial"/>
                <w:b/>
                <w:bCs/>
                <w:color w:val="000000"/>
                <w:sz w:val="18"/>
                <w:szCs w:val="20"/>
                <w:lang w:eastAsia="es-ES"/>
              </w:rPr>
            </w:pPr>
            <w:r w:rsidRPr="008174E3">
              <w:rPr>
                <w:rFonts w:ascii="Arial" w:hAnsi="Arial" w:cs="Arial"/>
                <w:b/>
                <w:bCs/>
                <w:color w:val="000000"/>
                <w:sz w:val="18"/>
                <w:szCs w:val="20"/>
                <w:lang w:eastAsia="es-ES"/>
              </w:rPr>
              <w:t>Año 1</w:t>
            </w:r>
          </w:p>
        </w:tc>
        <w:tc>
          <w:tcPr>
            <w:tcW w:w="695" w:type="dxa"/>
            <w:tcBorders>
              <w:top w:val="nil"/>
              <w:left w:val="nil"/>
              <w:bottom w:val="single" w:sz="4" w:space="0" w:color="auto"/>
              <w:right w:val="nil"/>
            </w:tcBorders>
            <w:shd w:val="clear" w:color="000000" w:fill="DDEBF7"/>
            <w:noWrap/>
            <w:vAlign w:val="bottom"/>
            <w:hideMark/>
          </w:tcPr>
          <w:p w14:paraId="10376470" w14:textId="29ADB3BC" w:rsidR="001610C3" w:rsidRPr="008174E3" w:rsidRDefault="001610C3" w:rsidP="005F10A7">
            <w:pPr>
              <w:jc w:val="center"/>
              <w:rPr>
                <w:rFonts w:ascii="Arial" w:hAnsi="Arial" w:cs="Arial"/>
                <w:b/>
                <w:bCs/>
                <w:color w:val="000000"/>
                <w:sz w:val="18"/>
                <w:szCs w:val="20"/>
                <w:lang w:eastAsia="es-ES"/>
              </w:rPr>
            </w:pPr>
            <w:r w:rsidRPr="008174E3">
              <w:rPr>
                <w:rFonts w:ascii="Arial" w:hAnsi="Arial" w:cs="Arial"/>
                <w:b/>
                <w:bCs/>
                <w:color w:val="000000"/>
                <w:sz w:val="18"/>
                <w:szCs w:val="20"/>
                <w:lang w:eastAsia="es-ES"/>
              </w:rPr>
              <w:t>Año 2</w:t>
            </w:r>
          </w:p>
        </w:tc>
        <w:tc>
          <w:tcPr>
            <w:tcW w:w="655" w:type="dxa"/>
            <w:tcBorders>
              <w:top w:val="nil"/>
              <w:left w:val="nil"/>
              <w:bottom w:val="single" w:sz="4" w:space="0" w:color="auto"/>
              <w:right w:val="nil"/>
            </w:tcBorders>
            <w:shd w:val="clear" w:color="000000" w:fill="DDEBF7"/>
            <w:noWrap/>
            <w:vAlign w:val="bottom"/>
            <w:hideMark/>
          </w:tcPr>
          <w:p w14:paraId="3814CB12" w14:textId="07D4F7EF" w:rsidR="001610C3" w:rsidRPr="008174E3" w:rsidRDefault="001610C3" w:rsidP="005F10A7">
            <w:pPr>
              <w:jc w:val="center"/>
              <w:rPr>
                <w:rFonts w:ascii="Arial" w:hAnsi="Arial" w:cs="Arial"/>
                <w:b/>
                <w:bCs/>
                <w:color w:val="000000"/>
                <w:sz w:val="18"/>
                <w:szCs w:val="20"/>
                <w:lang w:eastAsia="es-ES"/>
              </w:rPr>
            </w:pPr>
            <w:r w:rsidRPr="008174E3">
              <w:rPr>
                <w:rFonts w:ascii="Arial" w:hAnsi="Arial" w:cs="Arial"/>
                <w:b/>
                <w:bCs/>
                <w:color w:val="000000"/>
                <w:sz w:val="18"/>
                <w:szCs w:val="20"/>
                <w:lang w:eastAsia="es-ES"/>
              </w:rPr>
              <w:t>Año 3</w:t>
            </w:r>
          </w:p>
        </w:tc>
        <w:tc>
          <w:tcPr>
            <w:tcW w:w="720" w:type="dxa"/>
            <w:tcBorders>
              <w:top w:val="nil"/>
              <w:left w:val="nil"/>
              <w:bottom w:val="single" w:sz="4" w:space="0" w:color="auto"/>
              <w:right w:val="nil"/>
            </w:tcBorders>
            <w:shd w:val="clear" w:color="000000" w:fill="DDEBF7"/>
            <w:noWrap/>
            <w:vAlign w:val="bottom"/>
            <w:hideMark/>
          </w:tcPr>
          <w:p w14:paraId="10BF35BA" w14:textId="10384DFD" w:rsidR="001610C3" w:rsidRPr="008174E3" w:rsidRDefault="001610C3" w:rsidP="005F10A7">
            <w:pPr>
              <w:jc w:val="center"/>
              <w:rPr>
                <w:rFonts w:ascii="Arial" w:hAnsi="Arial" w:cs="Arial"/>
                <w:b/>
                <w:bCs/>
                <w:color w:val="000000"/>
                <w:sz w:val="18"/>
                <w:szCs w:val="20"/>
                <w:lang w:eastAsia="es-ES"/>
              </w:rPr>
            </w:pPr>
            <w:r w:rsidRPr="008174E3">
              <w:rPr>
                <w:rFonts w:ascii="Arial" w:hAnsi="Arial" w:cs="Arial"/>
                <w:b/>
                <w:bCs/>
                <w:color w:val="000000"/>
                <w:sz w:val="18"/>
                <w:szCs w:val="20"/>
                <w:lang w:eastAsia="es-ES"/>
              </w:rPr>
              <w:t>Año 4</w:t>
            </w:r>
          </w:p>
        </w:tc>
        <w:tc>
          <w:tcPr>
            <w:tcW w:w="720" w:type="dxa"/>
            <w:tcBorders>
              <w:top w:val="nil"/>
              <w:left w:val="nil"/>
              <w:bottom w:val="single" w:sz="4" w:space="0" w:color="auto"/>
              <w:right w:val="nil"/>
            </w:tcBorders>
            <w:shd w:val="clear" w:color="000000" w:fill="DDEBF7"/>
            <w:noWrap/>
            <w:vAlign w:val="bottom"/>
            <w:hideMark/>
          </w:tcPr>
          <w:p w14:paraId="127CDF4A" w14:textId="5B14A54C" w:rsidR="001610C3" w:rsidRPr="008174E3" w:rsidRDefault="001610C3" w:rsidP="005F10A7">
            <w:pPr>
              <w:jc w:val="center"/>
              <w:rPr>
                <w:rFonts w:ascii="Arial" w:hAnsi="Arial" w:cs="Arial"/>
                <w:b/>
                <w:bCs/>
                <w:color w:val="000000"/>
                <w:sz w:val="18"/>
                <w:szCs w:val="20"/>
                <w:lang w:eastAsia="es-ES"/>
              </w:rPr>
            </w:pPr>
            <w:r w:rsidRPr="008174E3">
              <w:rPr>
                <w:rFonts w:ascii="Arial" w:hAnsi="Arial" w:cs="Arial"/>
                <w:b/>
                <w:bCs/>
                <w:color w:val="000000"/>
                <w:sz w:val="18"/>
                <w:szCs w:val="20"/>
                <w:lang w:eastAsia="es-ES"/>
              </w:rPr>
              <w:t>Año 5</w:t>
            </w:r>
          </w:p>
        </w:tc>
        <w:tc>
          <w:tcPr>
            <w:tcW w:w="720" w:type="dxa"/>
            <w:tcBorders>
              <w:top w:val="nil"/>
              <w:left w:val="nil"/>
              <w:bottom w:val="single" w:sz="4" w:space="0" w:color="auto"/>
              <w:right w:val="nil"/>
            </w:tcBorders>
            <w:shd w:val="clear" w:color="000000" w:fill="DDEBF7"/>
            <w:noWrap/>
            <w:vAlign w:val="bottom"/>
            <w:hideMark/>
          </w:tcPr>
          <w:p w14:paraId="5B8ECEA2" w14:textId="42162BE7" w:rsidR="001610C3" w:rsidRPr="008174E3" w:rsidRDefault="001610C3" w:rsidP="005F10A7">
            <w:pPr>
              <w:jc w:val="center"/>
              <w:rPr>
                <w:rFonts w:ascii="Arial" w:hAnsi="Arial" w:cs="Arial"/>
                <w:b/>
                <w:bCs/>
                <w:color w:val="000000"/>
                <w:sz w:val="18"/>
                <w:szCs w:val="20"/>
                <w:lang w:eastAsia="es-ES"/>
              </w:rPr>
            </w:pPr>
            <w:r w:rsidRPr="008174E3">
              <w:rPr>
                <w:rFonts w:ascii="Arial" w:hAnsi="Arial" w:cs="Arial"/>
                <w:b/>
                <w:bCs/>
                <w:color w:val="000000"/>
                <w:sz w:val="18"/>
                <w:szCs w:val="20"/>
                <w:lang w:eastAsia="es-ES"/>
              </w:rPr>
              <w:t>Año 6</w:t>
            </w:r>
          </w:p>
        </w:tc>
        <w:tc>
          <w:tcPr>
            <w:tcW w:w="900" w:type="dxa"/>
            <w:gridSpan w:val="2"/>
            <w:tcBorders>
              <w:top w:val="nil"/>
              <w:left w:val="nil"/>
              <w:bottom w:val="single" w:sz="4" w:space="0" w:color="auto"/>
              <w:right w:val="nil"/>
            </w:tcBorders>
            <w:shd w:val="clear" w:color="000000" w:fill="DDEBF7"/>
            <w:noWrap/>
            <w:vAlign w:val="bottom"/>
            <w:hideMark/>
          </w:tcPr>
          <w:p w14:paraId="3EB84828" w14:textId="6FA3E509" w:rsidR="001610C3" w:rsidRPr="008174E3" w:rsidRDefault="001610C3" w:rsidP="005F10A7">
            <w:pPr>
              <w:jc w:val="center"/>
              <w:rPr>
                <w:rFonts w:ascii="Arial" w:hAnsi="Arial" w:cs="Arial"/>
                <w:b/>
                <w:bCs/>
                <w:color w:val="000000"/>
                <w:sz w:val="18"/>
                <w:szCs w:val="20"/>
                <w:lang w:eastAsia="es-ES"/>
              </w:rPr>
            </w:pPr>
            <w:r w:rsidRPr="008174E3">
              <w:rPr>
                <w:rFonts w:ascii="Arial" w:hAnsi="Arial" w:cs="Arial"/>
                <w:b/>
                <w:bCs/>
                <w:color w:val="000000"/>
                <w:sz w:val="18"/>
                <w:szCs w:val="20"/>
                <w:lang w:eastAsia="es-ES"/>
              </w:rPr>
              <w:t>Total</w:t>
            </w:r>
          </w:p>
        </w:tc>
      </w:tr>
      <w:tr w:rsidR="000C1E37" w:rsidRPr="000C1E37" w14:paraId="094EAFF1" w14:textId="0F9AB8B0" w:rsidTr="000C1E37">
        <w:trPr>
          <w:gridAfter w:val="1"/>
          <w:wAfter w:w="25" w:type="dxa"/>
          <w:trHeight w:val="300"/>
          <w:jc w:val="center"/>
        </w:trPr>
        <w:tc>
          <w:tcPr>
            <w:tcW w:w="2242" w:type="dxa"/>
            <w:tcBorders>
              <w:top w:val="single" w:sz="4" w:space="0" w:color="auto"/>
              <w:left w:val="nil"/>
              <w:right w:val="nil"/>
            </w:tcBorders>
            <w:shd w:val="clear" w:color="000000" w:fill="FFFFFF"/>
            <w:noWrap/>
            <w:vAlign w:val="center"/>
            <w:hideMark/>
          </w:tcPr>
          <w:p w14:paraId="3F15E29E" w14:textId="0BD65D7F" w:rsidR="000C1E37" w:rsidRPr="008174E3" w:rsidRDefault="000C1E37" w:rsidP="000C1E37">
            <w:pPr>
              <w:rPr>
                <w:rFonts w:ascii="Arial" w:hAnsi="Arial" w:cs="Arial"/>
                <w:color w:val="000000"/>
                <w:sz w:val="16"/>
                <w:szCs w:val="20"/>
                <w:lang w:eastAsia="es-ES"/>
              </w:rPr>
            </w:pPr>
            <w:r w:rsidRPr="008174E3">
              <w:rPr>
                <w:rFonts w:ascii="Arial" w:hAnsi="Arial" w:cs="Arial"/>
                <w:color w:val="000000"/>
                <w:sz w:val="16"/>
                <w:szCs w:val="20"/>
                <w:lang w:eastAsia="es-ES"/>
              </w:rPr>
              <w:t>Beneficios Económicos en VPN</w:t>
            </w:r>
          </w:p>
        </w:tc>
        <w:tc>
          <w:tcPr>
            <w:tcW w:w="778" w:type="dxa"/>
            <w:tcBorders>
              <w:top w:val="single" w:sz="4" w:space="0" w:color="auto"/>
              <w:left w:val="nil"/>
              <w:right w:val="nil"/>
            </w:tcBorders>
            <w:shd w:val="clear" w:color="000000" w:fill="FFFFFF"/>
            <w:noWrap/>
            <w:vAlign w:val="center"/>
            <w:hideMark/>
          </w:tcPr>
          <w:p w14:paraId="45A39FBD" w14:textId="0194FB20" w:rsidR="000C1E37" w:rsidRPr="000C1E37" w:rsidRDefault="000C1E37" w:rsidP="000C1E37">
            <w:pPr>
              <w:jc w:val="right"/>
              <w:rPr>
                <w:rFonts w:ascii="Arial" w:hAnsi="Arial" w:cs="Arial"/>
                <w:color w:val="000000"/>
                <w:sz w:val="16"/>
                <w:szCs w:val="20"/>
                <w:lang w:eastAsia="es-ES"/>
              </w:rPr>
            </w:pPr>
            <w:r w:rsidRPr="000C1E37">
              <w:rPr>
                <w:rFonts w:ascii="Arial" w:hAnsi="Arial" w:cs="Arial"/>
                <w:color w:val="000000"/>
                <w:sz w:val="16"/>
                <w:szCs w:val="20"/>
                <w:lang w:eastAsia="es-ES"/>
              </w:rPr>
              <w:t>18</w:t>
            </w:r>
            <w:r>
              <w:rPr>
                <w:rFonts w:ascii="Arial" w:hAnsi="Arial" w:cs="Arial"/>
                <w:color w:val="000000"/>
                <w:sz w:val="16"/>
                <w:szCs w:val="20"/>
                <w:lang w:eastAsia="es-ES"/>
              </w:rPr>
              <w:t>,</w:t>
            </w:r>
            <w:r w:rsidRPr="000C1E37">
              <w:rPr>
                <w:rFonts w:ascii="Arial" w:hAnsi="Arial" w:cs="Arial"/>
                <w:color w:val="000000"/>
                <w:sz w:val="16"/>
                <w:szCs w:val="20"/>
                <w:lang w:eastAsia="es-ES"/>
              </w:rPr>
              <w:t>52</w:t>
            </w:r>
          </w:p>
        </w:tc>
        <w:tc>
          <w:tcPr>
            <w:tcW w:w="695" w:type="dxa"/>
            <w:tcBorders>
              <w:top w:val="single" w:sz="4" w:space="0" w:color="auto"/>
              <w:left w:val="nil"/>
              <w:right w:val="nil"/>
            </w:tcBorders>
            <w:shd w:val="clear" w:color="000000" w:fill="FFFFFF"/>
            <w:noWrap/>
            <w:vAlign w:val="center"/>
            <w:hideMark/>
          </w:tcPr>
          <w:p w14:paraId="3133F56B" w14:textId="0B347A1C" w:rsidR="000C1E37" w:rsidRPr="000C1E37" w:rsidRDefault="000C1E37" w:rsidP="000C1E37">
            <w:pPr>
              <w:jc w:val="right"/>
              <w:rPr>
                <w:rFonts w:ascii="Arial" w:hAnsi="Arial" w:cs="Arial"/>
                <w:color w:val="000000"/>
                <w:sz w:val="16"/>
                <w:szCs w:val="20"/>
                <w:lang w:eastAsia="es-ES"/>
              </w:rPr>
            </w:pPr>
            <w:r w:rsidRPr="000C1E37">
              <w:rPr>
                <w:rFonts w:ascii="Arial" w:hAnsi="Arial" w:cs="Arial"/>
                <w:color w:val="000000"/>
                <w:sz w:val="16"/>
                <w:szCs w:val="20"/>
                <w:lang w:eastAsia="es-ES"/>
              </w:rPr>
              <w:t>33</w:t>
            </w:r>
            <w:r>
              <w:rPr>
                <w:rFonts w:ascii="Arial" w:hAnsi="Arial" w:cs="Arial"/>
                <w:color w:val="000000"/>
                <w:sz w:val="16"/>
                <w:szCs w:val="20"/>
                <w:lang w:eastAsia="es-ES"/>
              </w:rPr>
              <w:t>,</w:t>
            </w:r>
            <w:r w:rsidRPr="000C1E37">
              <w:rPr>
                <w:rFonts w:ascii="Arial" w:hAnsi="Arial" w:cs="Arial"/>
                <w:color w:val="000000"/>
                <w:sz w:val="16"/>
                <w:szCs w:val="20"/>
                <w:lang w:eastAsia="es-ES"/>
              </w:rPr>
              <w:t>08</w:t>
            </w:r>
          </w:p>
        </w:tc>
        <w:tc>
          <w:tcPr>
            <w:tcW w:w="655" w:type="dxa"/>
            <w:tcBorders>
              <w:top w:val="single" w:sz="4" w:space="0" w:color="auto"/>
              <w:left w:val="nil"/>
              <w:right w:val="nil"/>
            </w:tcBorders>
            <w:shd w:val="clear" w:color="000000" w:fill="FFFFFF"/>
            <w:noWrap/>
            <w:vAlign w:val="center"/>
            <w:hideMark/>
          </w:tcPr>
          <w:p w14:paraId="315AE8F5" w14:textId="0566CC22" w:rsidR="000C1E37" w:rsidRPr="000C1E37" w:rsidRDefault="000C1E37" w:rsidP="000C1E37">
            <w:pPr>
              <w:jc w:val="right"/>
              <w:rPr>
                <w:rFonts w:ascii="Arial" w:hAnsi="Arial" w:cs="Arial"/>
                <w:color w:val="000000"/>
                <w:sz w:val="16"/>
                <w:szCs w:val="20"/>
                <w:lang w:eastAsia="es-ES"/>
              </w:rPr>
            </w:pPr>
            <w:r w:rsidRPr="000C1E37">
              <w:rPr>
                <w:rFonts w:ascii="Arial" w:hAnsi="Arial" w:cs="Arial"/>
                <w:color w:val="000000"/>
                <w:sz w:val="16"/>
                <w:szCs w:val="20"/>
                <w:lang w:eastAsia="es-ES"/>
              </w:rPr>
              <w:t>29</w:t>
            </w:r>
            <w:r>
              <w:rPr>
                <w:rFonts w:ascii="Arial" w:hAnsi="Arial" w:cs="Arial"/>
                <w:color w:val="000000"/>
                <w:sz w:val="16"/>
                <w:szCs w:val="20"/>
                <w:lang w:eastAsia="es-ES"/>
              </w:rPr>
              <w:t>,</w:t>
            </w:r>
            <w:r w:rsidRPr="000C1E37">
              <w:rPr>
                <w:rFonts w:ascii="Arial" w:hAnsi="Arial" w:cs="Arial"/>
                <w:color w:val="000000"/>
                <w:sz w:val="16"/>
                <w:szCs w:val="20"/>
                <w:lang w:eastAsia="es-ES"/>
              </w:rPr>
              <w:t>54</w:t>
            </w:r>
          </w:p>
        </w:tc>
        <w:tc>
          <w:tcPr>
            <w:tcW w:w="720" w:type="dxa"/>
            <w:tcBorders>
              <w:top w:val="single" w:sz="4" w:space="0" w:color="auto"/>
              <w:left w:val="nil"/>
              <w:right w:val="nil"/>
            </w:tcBorders>
            <w:shd w:val="clear" w:color="000000" w:fill="FFFFFF"/>
            <w:noWrap/>
            <w:vAlign w:val="center"/>
            <w:hideMark/>
          </w:tcPr>
          <w:p w14:paraId="07A7C5BD" w14:textId="69629558" w:rsidR="000C1E37" w:rsidRPr="000C1E37" w:rsidRDefault="000C1E37" w:rsidP="000C1E37">
            <w:pPr>
              <w:jc w:val="right"/>
              <w:rPr>
                <w:rFonts w:ascii="Arial" w:hAnsi="Arial" w:cs="Arial"/>
                <w:color w:val="000000"/>
                <w:sz w:val="16"/>
                <w:szCs w:val="20"/>
                <w:lang w:eastAsia="es-ES"/>
              </w:rPr>
            </w:pPr>
            <w:r w:rsidRPr="000C1E37">
              <w:rPr>
                <w:rFonts w:ascii="Arial" w:hAnsi="Arial" w:cs="Arial"/>
                <w:color w:val="000000"/>
                <w:sz w:val="16"/>
                <w:szCs w:val="20"/>
                <w:lang w:eastAsia="es-ES"/>
              </w:rPr>
              <w:t>26</w:t>
            </w:r>
            <w:r>
              <w:rPr>
                <w:rFonts w:ascii="Arial" w:hAnsi="Arial" w:cs="Arial"/>
                <w:color w:val="000000"/>
                <w:sz w:val="16"/>
                <w:szCs w:val="20"/>
                <w:lang w:eastAsia="es-ES"/>
              </w:rPr>
              <w:t>,</w:t>
            </w:r>
            <w:r w:rsidRPr="000C1E37">
              <w:rPr>
                <w:rFonts w:ascii="Arial" w:hAnsi="Arial" w:cs="Arial"/>
                <w:color w:val="000000"/>
                <w:sz w:val="16"/>
                <w:szCs w:val="20"/>
                <w:lang w:eastAsia="es-ES"/>
              </w:rPr>
              <w:t>37</w:t>
            </w:r>
          </w:p>
        </w:tc>
        <w:tc>
          <w:tcPr>
            <w:tcW w:w="720" w:type="dxa"/>
            <w:tcBorders>
              <w:top w:val="single" w:sz="4" w:space="0" w:color="auto"/>
              <w:left w:val="nil"/>
              <w:right w:val="nil"/>
            </w:tcBorders>
            <w:shd w:val="clear" w:color="000000" w:fill="FFFFFF"/>
            <w:noWrap/>
            <w:vAlign w:val="center"/>
            <w:hideMark/>
          </w:tcPr>
          <w:p w14:paraId="4A59A91E" w14:textId="0430C3ED" w:rsidR="000C1E37" w:rsidRPr="000C1E37" w:rsidRDefault="000C1E37" w:rsidP="000C1E37">
            <w:pPr>
              <w:jc w:val="right"/>
              <w:rPr>
                <w:rFonts w:ascii="Arial" w:hAnsi="Arial" w:cs="Arial"/>
                <w:color w:val="000000"/>
                <w:sz w:val="16"/>
                <w:szCs w:val="20"/>
                <w:lang w:eastAsia="es-ES"/>
              </w:rPr>
            </w:pPr>
            <w:r w:rsidRPr="000C1E37">
              <w:rPr>
                <w:rFonts w:ascii="Arial" w:hAnsi="Arial" w:cs="Arial"/>
                <w:color w:val="000000"/>
                <w:sz w:val="16"/>
                <w:szCs w:val="20"/>
                <w:lang w:eastAsia="es-ES"/>
              </w:rPr>
              <w:t>23</w:t>
            </w:r>
            <w:r>
              <w:rPr>
                <w:rFonts w:ascii="Arial" w:hAnsi="Arial" w:cs="Arial"/>
                <w:color w:val="000000"/>
                <w:sz w:val="16"/>
                <w:szCs w:val="20"/>
                <w:lang w:eastAsia="es-ES"/>
              </w:rPr>
              <w:t>,</w:t>
            </w:r>
            <w:r w:rsidRPr="000C1E37">
              <w:rPr>
                <w:rFonts w:ascii="Arial" w:hAnsi="Arial" w:cs="Arial"/>
                <w:color w:val="000000"/>
                <w:sz w:val="16"/>
                <w:szCs w:val="20"/>
                <w:lang w:eastAsia="es-ES"/>
              </w:rPr>
              <w:t>55</w:t>
            </w:r>
          </w:p>
        </w:tc>
        <w:tc>
          <w:tcPr>
            <w:tcW w:w="720" w:type="dxa"/>
            <w:tcBorders>
              <w:top w:val="single" w:sz="4" w:space="0" w:color="auto"/>
              <w:left w:val="nil"/>
              <w:right w:val="nil"/>
            </w:tcBorders>
            <w:shd w:val="clear" w:color="000000" w:fill="FFFFFF"/>
            <w:noWrap/>
            <w:vAlign w:val="center"/>
            <w:hideMark/>
          </w:tcPr>
          <w:p w14:paraId="6CB9CC59" w14:textId="68AF8A7D" w:rsidR="000C1E37" w:rsidRPr="000C1E37" w:rsidRDefault="000C1E37" w:rsidP="000C1E37">
            <w:pPr>
              <w:jc w:val="right"/>
              <w:rPr>
                <w:rFonts w:ascii="Arial" w:hAnsi="Arial" w:cs="Arial"/>
                <w:color w:val="000000"/>
                <w:sz w:val="16"/>
                <w:szCs w:val="20"/>
                <w:lang w:eastAsia="es-ES"/>
              </w:rPr>
            </w:pPr>
            <w:r w:rsidRPr="000C1E37">
              <w:rPr>
                <w:rFonts w:ascii="Arial" w:hAnsi="Arial" w:cs="Arial"/>
                <w:color w:val="000000"/>
                <w:sz w:val="16"/>
                <w:szCs w:val="20"/>
                <w:lang w:eastAsia="es-ES"/>
              </w:rPr>
              <w:t>10</w:t>
            </w:r>
            <w:r>
              <w:rPr>
                <w:rFonts w:ascii="Arial" w:hAnsi="Arial" w:cs="Arial"/>
                <w:color w:val="000000"/>
                <w:sz w:val="16"/>
                <w:szCs w:val="20"/>
                <w:lang w:eastAsia="es-ES"/>
              </w:rPr>
              <w:t>,</w:t>
            </w:r>
            <w:r w:rsidRPr="000C1E37">
              <w:rPr>
                <w:rFonts w:ascii="Arial" w:hAnsi="Arial" w:cs="Arial"/>
                <w:color w:val="000000"/>
                <w:sz w:val="16"/>
                <w:szCs w:val="20"/>
                <w:lang w:eastAsia="es-ES"/>
              </w:rPr>
              <w:t>51</w:t>
            </w:r>
          </w:p>
        </w:tc>
        <w:tc>
          <w:tcPr>
            <w:tcW w:w="875" w:type="dxa"/>
            <w:tcBorders>
              <w:top w:val="single" w:sz="4" w:space="0" w:color="auto"/>
              <w:left w:val="nil"/>
              <w:right w:val="nil"/>
            </w:tcBorders>
            <w:shd w:val="clear" w:color="000000" w:fill="FFFFFF"/>
            <w:noWrap/>
            <w:vAlign w:val="center"/>
            <w:hideMark/>
          </w:tcPr>
          <w:p w14:paraId="6839B7D7" w14:textId="6AC3F17C" w:rsidR="000C1E37" w:rsidRPr="000C1E37" w:rsidRDefault="000C1E37" w:rsidP="000C1E37">
            <w:pPr>
              <w:jc w:val="right"/>
              <w:rPr>
                <w:rFonts w:ascii="Arial" w:hAnsi="Arial" w:cs="Arial"/>
                <w:color w:val="000000"/>
                <w:sz w:val="16"/>
                <w:szCs w:val="20"/>
                <w:lang w:eastAsia="es-ES"/>
              </w:rPr>
            </w:pPr>
            <w:r w:rsidRPr="000C1E37">
              <w:rPr>
                <w:rFonts w:ascii="Arial" w:hAnsi="Arial" w:cs="Arial"/>
                <w:color w:val="000000"/>
                <w:sz w:val="16"/>
                <w:szCs w:val="20"/>
                <w:lang w:eastAsia="es-ES"/>
              </w:rPr>
              <w:t>141</w:t>
            </w:r>
            <w:r>
              <w:rPr>
                <w:rFonts w:ascii="Arial" w:hAnsi="Arial" w:cs="Arial"/>
                <w:color w:val="000000"/>
                <w:sz w:val="16"/>
                <w:szCs w:val="20"/>
                <w:lang w:eastAsia="es-ES"/>
              </w:rPr>
              <w:t>,</w:t>
            </w:r>
            <w:r w:rsidRPr="000C1E37">
              <w:rPr>
                <w:rFonts w:ascii="Arial" w:hAnsi="Arial" w:cs="Arial"/>
                <w:color w:val="000000"/>
                <w:sz w:val="16"/>
                <w:szCs w:val="20"/>
                <w:lang w:eastAsia="es-ES"/>
              </w:rPr>
              <w:t>57</w:t>
            </w:r>
          </w:p>
        </w:tc>
      </w:tr>
      <w:tr w:rsidR="000C1E37" w:rsidRPr="000C1E37" w14:paraId="7898AFC8" w14:textId="6D6F74B4" w:rsidTr="000C1E37">
        <w:trPr>
          <w:gridAfter w:val="1"/>
          <w:wAfter w:w="25" w:type="dxa"/>
          <w:trHeight w:val="300"/>
          <w:jc w:val="center"/>
        </w:trPr>
        <w:tc>
          <w:tcPr>
            <w:tcW w:w="2242" w:type="dxa"/>
            <w:tcBorders>
              <w:top w:val="nil"/>
              <w:left w:val="nil"/>
              <w:bottom w:val="single" w:sz="4" w:space="0" w:color="auto"/>
              <w:right w:val="nil"/>
            </w:tcBorders>
            <w:shd w:val="clear" w:color="000000" w:fill="FFFFFF"/>
            <w:noWrap/>
            <w:vAlign w:val="center"/>
            <w:hideMark/>
          </w:tcPr>
          <w:p w14:paraId="2AC05531" w14:textId="43083FD7" w:rsidR="000C1E37" w:rsidRPr="008174E3" w:rsidRDefault="000C1E37" w:rsidP="000C1E37">
            <w:pPr>
              <w:rPr>
                <w:rFonts w:ascii="Arial" w:hAnsi="Arial" w:cs="Arial"/>
                <w:color w:val="000000"/>
                <w:sz w:val="16"/>
                <w:szCs w:val="20"/>
                <w:lang w:eastAsia="es-ES"/>
              </w:rPr>
            </w:pPr>
            <w:r w:rsidRPr="008174E3">
              <w:rPr>
                <w:rFonts w:ascii="Arial" w:hAnsi="Arial" w:cs="Arial"/>
                <w:color w:val="000000"/>
                <w:sz w:val="16"/>
                <w:szCs w:val="20"/>
                <w:lang w:eastAsia="es-ES"/>
              </w:rPr>
              <w:t>Costos Económicos en VPN</w:t>
            </w:r>
          </w:p>
        </w:tc>
        <w:tc>
          <w:tcPr>
            <w:tcW w:w="778" w:type="dxa"/>
            <w:tcBorders>
              <w:top w:val="nil"/>
              <w:left w:val="nil"/>
              <w:bottom w:val="single" w:sz="4" w:space="0" w:color="auto"/>
              <w:right w:val="nil"/>
            </w:tcBorders>
            <w:shd w:val="clear" w:color="000000" w:fill="FFFFFF"/>
            <w:noWrap/>
            <w:vAlign w:val="center"/>
            <w:hideMark/>
          </w:tcPr>
          <w:p w14:paraId="2F910BD3" w14:textId="6C3CFEED" w:rsidR="000C1E37" w:rsidRPr="000C1E37" w:rsidRDefault="000C1E37" w:rsidP="000C1E37">
            <w:pPr>
              <w:jc w:val="right"/>
              <w:rPr>
                <w:rFonts w:ascii="Arial" w:hAnsi="Arial" w:cs="Arial"/>
                <w:color w:val="000000"/>
                <w:sz w:val="16"/>
                <w:szCs w:val="20"/>
                <w:lang w:eastAsia="es-ES"/>
              </w:rPr>
            </w:pPr>
            <w:r w:rsidRPr="000C1E37">
              <w:rPr>
                <w:rFonts w:ascii="Arial" w:hAnsi="Arial" w:cs="Arial"/>
                <w:color w:val="000000"/>
                <w:sz w:val="16"/>
                <w:szCs w:val="20"/>
                <w:lang w:eastAsia="es-ES"/>
              </w:rPr>
              <w:t>19</w:t>
            </w:r>
            <w:r>
              <w:rPr>
                <w:rFonts w:ascii="Arial" w:hAnsi="Arial" w:cs="Arial"/>
                <w:color w:val="000000"/>
                <w:sz w:val="16"/>
                <w:szCs w:val="20"/>
                <w:lang w:eastAsia="es-ES"/>
              </w:rPr>
              <w:t>,</w:t>
            </w:r>
            <w:r w:rsidRPr="000C1E37">
              <w:rPr>
                <w:rFonts w:ascii="Arial" w:hAnsi="Arial" w:cs="Arial"/>
                <w:color w:val="000000"/>
                <w:sz w:val="16"/>
                <w:szCs w:val="20"/>
                <w:lang w:eastAsia="es-ES"/>
              </w:rPr>
              <w:t>66</w:t>
            </w:r>
          </w:p>
        </w:tc>
        <w:tc>
          <w:tcPr>
            <w:tcW w:w="695" w:type="dxa"/>
            <w:tcBorders>
              <w:top w:val="nil"/>
              <w:left w:val="nil"/>
              <w:bottom w:val="single" w:sz="4" w:space="0" w:color="auto"/>
              <w:right w:val="nil"/>
            </w:tcBorders>
            <w:shd w:val="clear" w:color="000000" w:fill="FFFFFF"/>
            <w:noWrap/>
            <w:vAlign w:val="center"/>
            <w:hideMark/>
          </w:tcPr>
          <w:p w14:paraId="6A7F5B04" w14:textId="33C84895" w:rsidR="000C1E37" w:rsidRPr="000C1E37" w:rsidRDefault="000C1E37" w:rsidP="000C1E37">
            <w:pPr>
              <w:jc w:val="right"/>
              <w:rPr>
                <w:rFonts w:ascii="Arial" w:hAnsi="Arial" w:cs="Arial"/>
                <w:color w:val="000000"/>
                <w:sz w:val="16"/>
                <w:szCs w:val="20"/>
                <w:lang w:eastAsia="es-ES"/>
              </w:rPr>
            </w:pPr>
            <w:r w:rsidRPr="000C1E37">
              <w:rPr>
                <w:rFonts w:ascii="Arial" w:hAnsi="Arial" w:cs="Arial"/>
                <w:color w:val="000000"/>
                <w:sz w:val="16"/>
                <w:szCs w:val="20"/>
                <w:lang w:eastAsia="es-ES"/>
              </w:rPr>
              <w:t>17</w:t>
            </w:r>
            <w:r>
              <w:rPr>
                <w:rFonts w:ascii="Arial" w:hAnsi="Arial" w:cs="Arial"/>
                <w:color w:val="000000"/>
                <w:sz w:val="16"/>
                <w:szCs w:val="20"/>
                <w:lang w:eastAsia="es-ES"/>
              </w:rPr>
              <w:t>,</w:t>
            </w:r>
            <w:r w:rsidRPr="000C1E37">
              <w:rPr>
                <w:rFonts w:ascii="Arial" w:hAnsi="Arial" w:cs="Arial"/>
                <w:color w:val="000000"/>
                <w:sz w:val="16"/>
                <w:szCs w:val="20"/>
                <w:lang w:eastAsia="es-ES"/>
              </w:rPr>
              <w:t>56</w:t>
            </w:r>
          </w:p>
        </w:tc>
        <w:tc>
          <w:tcPr>
            <w:tcW w:w="655" w:type="dxa"/>
            <w:tcBorders>
              <w:top w:val="nil"/>
              <w:left w:val="nil"/>
              <w:bottom w:val="single" w:sz="4" w:space="0" w:color="auto"/>
              <w:right w:val="nil"/>
            </w:tcBorders>
            <w:shd w:val="clear" w:color="000000" w:fill="FFFFFF"/>
            <w:noWrap/>
            <w:vAlign w:val="center"/>
            <w:hideMark/>
          </w:tcPr>
          <w:p w14:paraId="32D39F97" w14:textId="6E2F4FD5" w:rsidR="000C1E37" w:rsidRPr="000C1E37" w:rsidRDefault="000C1E37" w:rsidP="000C1E37">
            <w:pPr>
              <w:jc w:val="right"/>
              <w:rPr>
                <w:rFonts w:ascii="Arial" w:hAnsi="Arial" w:cs="Arial"/>
                <w:color w:val="000000"/>
                <w:sz w:val="16"/>
                <w:szCs w:val="20"/>
                <w:lang w:eastAsia="es-ES"/>
              </w:rPr>
            </w:pPr>
            <w:r w:rsidRPr="000C1E37">
              <w:rPr>
                <w:rFonts w:ascii="Arial" w:hAnsi="Arial" w:cs="Arial"/>
                <w:color w:val="000000"/>
                <w:sz w:val="16"/>
                <w:szCs w:val="20"/>
                <w:lang w:eastAsia="es-ES"/>
              </w:rPr>
              <w:t>15</w:t>
            </w:r>
            <w:r>
              <w:rPr>
                <w:rFonts w:ascii="Arial" w:hAnsi="Arial" w:cs="Arial"/>
                <w:color w:val="000000"/>
                <w:sz w:val="16"/>
                <w:szCs w:val="20"/>
                <w:lang w:eastAsia="es-ES"/>
              </w:rPr>
              <w:t>,</w:t>
            </w:r>
            <w:r w:rsidRPr="000C1E37">
              <w:rPr>
                <w:rFonts w:ascii="Arial" w:hAnsi="Arial" w:cs="Arial"/>
                <w:color w:val="000000"/>
                <w:sz w:val="16"/>
                <w:szCs w:val="20"/>
                <w:lang w:eastAsia="es-ES"/>
              </w:rPr>
              <w:t>67</w:t>
            </w:r>
          </w:p>
        </w:tc>
        <w:tc>
          <w:tcPr>
            <w:tcW w:w="720" w:type="dxa"/>
            <w:tcBorders>
              <w:top w:val="nil"/>
              <w:left w:val="nil"/>
              <w:bottom w:val="single" w:sz="4" w:space="0" w:color="auto"/>
              <w:right w:val="nil"/>
            </w:tcBorders>
            <w:shd w:val="clear" w:color="000000" w:fill="FFFFFF"/>
            <w:noWrap/>
            <w:vAlign w:val="center"/>
            <w:hideMark/>
          </w:tcPr>
          <w:p w14:paraId="7B9E3659" w14:textId="0278FDCD" w:rsidR="000C1E37" w:rsidRPr="000C1E37" w:rsidRDefault="000C1E37" w:rsidP="000C1E37">
            <w:pPr>
              <w:jc w:val="right"/>
              <w:rPr>
                <w:rFonts w:ascii="Arial" w:hAnsi="Arial" w:cs="Arial"/>
                <w:color w:val="000000"/>
                <w:sz w:val="16"/>
                <w:szCs w:val="20"/>
                <w:lang w:eastAsia="es-ES"/>
              </w:rPr>
            </w:pPr>
            <w:r w:rsidRPr="000C1E37">
              <w:rPr>
                <w:rFonts w:ascii="Arial" w:hAnsi="Arial" w:cs="Arial"/>
                <w:color w:val="000000"/>
                <w:sz w:val="16"/>
                <w:szCs w:val="20"/>
                <w:lang w:eastAsia="es-ES"/>
              </w:rPr>
              <w:t>14</w:t>
            </w:r>
            <w:r>
              <w:rPr>
                <w:rFonts w:ascii="Arial" w:hAnsi="Arial" w:cs="Arial"/>
                <w:color w:val="000000"/>
                <w:sz w:val="16"/>
                <w:szCs w:val="20"/>
                <w:lang w:eastAsia="es-ES"/>
              </w:rPr>
              <w:t>,</w:t>
            </w:r>
            <w:r w:rsidRPr="000C1E37">
              <w:rPr>
                <w:rFonts w:ascii="Arial" w:hAnsi="Arial" w:cs="Arial"/>
                <w:color w:val="000000"/>
                <w:sz w:val="16"/>
                <w:szCs w:val="20"/>
                <w:lang w:eastAsia="es-ES"/>
              </w:rPr>
              <w:t>00</w:t>
            </w:r>
          </w:p>
        </w:tc>
        <w:tc>
          <w:tcPr>
            <w:tcW w:w="720" w:type="dxa"/>
            <w:tcBorders>
              <w:top w:val="nil"/>
              <w:left w:val="nil"/>
              <w:bottom w:val="single" w:sz="4" w:space="0" w:color="auto"/>
              <w:right w:val="nil"/>
            </w:tcBorders>
            <w:shd w:val="clear" w:color="000000" w:fill="FFFFFF"/>
            <w:noWrap/>
            <w:vAlign w:val="center"/>
            <w:hideMark/>
          </w:tcPr>
          <w:p w14:paraId="7F97F402" w14:textId="70873822" w:rsidR="000C1E37" w:rsidRPr="000C1E37" w:rsidRDefault="000C1E37" w:rsidP="000C1E37">
            <w:pPr>
              <w:jc w:val="right"/>
              <w:rPr>
                <w:rFonts w:ascii="Arial" w:hAnsi="Arial" w:cs="Arial"/>
                <w:color w:val="000000"/>
                <w:sz w:val="16"/>
                <w:szCs w:val="20"/>
                <w:lang w:eastAsia="es-ES"/>
              </w:rPr>
            </w:pPr>
            <w:r w:rsidRPr="000C1E37">
              <w:rPr>
                <w:rFonts w:ascii="Arial" w:hAnsi="Arial" w:cs="Arial"/>
                <w:color w:val="000000"/>
                <w:sz w:val="16"/>
                <w:szCs w:val="20"/>
                <w:lang w:eastAsia="es-ES"/>
              </w:rPr>
              <w:t>12</w:t>
            </w:r>
            <w:r>
              <w:rPr>
                <w:rFonts w:ascii="Arial" w:hAnsi="Arial" w:cs="Arial"/>
                <w:color w:val="000000"/>
                <w:sz w:val="16"/>
                <w:szCs w:val="20"/>
                <w:lang w:eastAsia="es-ES"/>
              </w:rPr>
              <w:t>,</w:t>
            </w:r>
            <w:r w:rsidRPr="000C1E37">
              <w:rPr>
                <w:rFonts w:ascii="Arial" w:hAnsi="Arial" w:cs="Arial"/>
                <w:color w:val="000000"/>
                <w:sz w:val="16"/>
                <w:szCs w:val="20"/>
                <w:lang w:eastAsia="es-ES"/>
              </w:rPr>
              <w:t>50</w:t>
            </w:r>
          </w:p>
        </w:tc>
        <w:tc>
          <w:tcPr>
            <w:tcW w:w="720" w:type="dxa"/>
            <w:tcBorders>
              <w:top w:val="nil"/>
              <w:left w:val="nil"/>
              <w:bottom w:val="single" w:sz="4" w:space="0" w:color="auto"/>
              <w:right w:val="nil"/>
            </w:tcBorders>
            <w:shd w:val="clear" w:color="000000" w:fill="FFFFFF"/>
            <w:noWrap/>
            <w:vAlign w:val="center"/>
            <w:hideMark/>
          </w:tcPr>
          <w:p w14:paraId="0378DE5A" w14:textId="0F279F8D" w:rsidR="000C1E37" w:rsidRPr="000C1E37" w:rsidRDefault="000C1E37" w:rsidP="000C1E37">
            <w:pPr>
              <w:jc w:val="right"/>
              <w:rPr>
                <w:rFonts w:ascii="Arial" w:hAnsi="Arial" w:cs="Arial"/>
                <w:color w:val="000000"/>
                <w:sz w:val="16"/>
                <w:szCs w:val="20"/>
                <w:lang w:eastAsia="es-ES"/>
              </w:rPr>
            </w:pPr>
          </w:p>
        </w:tc>
        <w:tc>
          <w:tcPr>
            <w:tcW w:w="875" w:type="dxa"/>
            <w:tcBorders>
              <w:top w:val="nil"/>
              <w:left w:val="nil"/>
              <w:bottom w:val="single" w:sz="4" w:space="0" w:color="auto"/>
              <w:right w:val="nil"/>
            </w:tcBorders>
            <w:shd w:val="clear" w:color="000000" w:fill="FFFFFF"/>
            <w:noWrap/>
            <w:vAlign w:val="center"/>
            <w:hideMark/>
          </w:tcPr>
          <w:p w14:paraId="1B3C6FC6" w14:textId="14EA9ECE" w:rsidR="000C1E37" w:rsidRPr="000C1E37" w:rsidRDefault="000C1E37" w:rsidP="000C1E37">
            <w:pPr>
              <w:jc w:val="right"/>
              <w:rPr>
                <w:rFonts w:ascii="Arial" w:hAnsi="Arial" w:cs="Arial"/>
                <w:color w:val="000000"/>
                <w:sz w:val="16"/>
                <w:szCs w:val="20"/>
                <w:lang w:eastAsia="es-ES"/>
              </w:rPr>
            </w:pPr>
            <w:r w:rsidRPr="000C1E37">
              <w:rPr>
                <w:rFonts w:ascii="Arial" w:hAnsi="Arial" w:cs="Arial"/>
                <w:color w:val="000000"/>
                <w:sz w:val="16"/>
                <w:szCs w:val="20"/>
                <w:lang w:eastAsia="es-ES"/>
              </w:rPr>
              <w:t>79</w:t>
            </w:r>
            <w:r>
              <w:rPr>
                <w:rFonts w:ascii="Arial" w:hAnsi="Arial" w:cs="Arial"/>
                <w:color w:val="000000"/>
                <w:sz w:val="16"/>
                <w:szCs w:val="20"/>
                <w:lang w:eastAsia="es-ES"/>
              </w:rPr>
              <w:t>,</w:t>
            </w:r>
            <w:r w:rsidRPr="000C1E37">
              <w:rPr>
                <w:rFonts w:ascii="Arial" w:hAnsi="Arial" w:cs="Arial"/>
                <w:color w:val="000000"/>
                <w:sz w:val="16"/>
                <w:szCs w:val="20"/>
                <w:lang w:eastAsia="es-ES"/>
              </w:rPr>
              <w:t>38</w:t>
            </w:r>
          </w:p>
        </w:tc>
      </w:tr>
      <w:tr w:rsidR="000C1E37" w:rsidRPr="000C1E37" w14:paraId="3C3FE36F" w14:textId="72302746" w:rsidTr="000C1E37">
        <w:trPr>
          <w:gridAfter w:val="1"/>
          <w:wAfter w:w="25" w:type="dxa"/>
          <w:trHeight w:val="300"/>
          <w:jc w:val="center"/>
        </w:trPr>
        <w:tc>
          <w:tcPr>
            <w:tcW w:w="2242" w:type="dxa"/>
            <w:tcBorders>
              <w:top w:val="single" w:sz="4" w:space="0" w:color="auto"/>
              <w:left w:val="nil"/>
              <w:bottom w:val="single" w:sz="4" w:space="0" w:color="auto"/>
              <w:right w:val="nil"/>
            </w:tcBorders>
            <w:shd w:val="clear" w:color="000000" w:fill="FFFFFF"/>
            <w:noWrap/>
            <w:vAlign w:val="center"/>
            <w:hideMark/>
          </w:tcPr>
          <w:p w14:paraId="149C75FC" w14:textId="67DD059D" w:rsidR="000C1E37" w:rsidRPr="008174E3" w:rsidRDefault="000C1E37" w:rsidP="000C1E37">
            <w:pPr>
              <w:rPr>
                <w:rFonts w:ascii="Arial" w:hAnsi="Arial" w:cs="Arial"/>
                <w:b/>
                <w:color w:val="000000"/>
                <w:sz w:val="16"/>
                <w:szCs w:val="20"/>
                <w:lang w:eastAsia="es-ES"/>
              </w:rPr>
            </w:pPr>
            <w:r w:rsidRPr="008174E3">
              <w:rPr>
                <w:rFonts w:ascii="Arial" w:hAnsi="Arial" w:cs="Arial"/>
                <w:b/>
                <w:color w:val="000000"/>
                <w:sz w:val="16"/>
                <w:szCs w:val="20"/>
                <w:lang w:eastAsia="es-ES"/>
              </w:rPr>
              <w:t>Beneficios Netos en VPN</w:t>
            </w:r>
          </w:p>
        </w:tc>
        <w:tc>
          <w:tcPr>
            <w:tcW w:w="778" w:type="dxa"/>
            <w:tcBorders>
              <w:top w:val="single" w:sz="4" w:space="0" w:color="auto"/>
              <w:left w:val="nil"/>
              <w:bottom w:val="single" w:sz="4" w:space="0" w:color="auto"/>
              <w:right w:val="nil"/>
            </w:tcBorders>
            <w:shd w:val="clear" w:color="000000" w:fill="FFFFFF"/>
            <w:noWrap/>
            <w:vAlign w:val="center"/>
            <w:hideMark/>
          </w:tcPr>
          <w:p w14:paraId="5166EE6E" w14:textId="7677C69A" w:rsidR="000C1E37" w:rsidRPr="000C1E37" w:rsidRDefault="000C1E37" w:rsidP="000C1E37">
            <w:pPr>
              <w:jc w:val="right"/>
              <w:rPr>
                <w:rFonts w:ascii="Arial" w:hAnsi="Arial" w:cs="Arial"/>
                <w:color w:val="000000"/>
                <w:sz w:val="16"/>
                <w:szCs w:val="20"/>
                <w:lang w:eastAsia="es-ES"/>
              </w:rPr>
            </w:pPr>
            <w:r w:rsidRPr="000C1E37">
              <w:rPr>
                <w:rFonts w:ascii="Arial" w:hAnsi="Arial" w:cs="Arial"/>
                <w:color w:val="000000"/>
                <w:sz w:val="16"/>
                <w:szCs w:val="20"/>
                <w:lang w:eastAsia="es-ES"/>
              </w:rPr>
              <w:t>-1</w:t>
            </w:r>
            <w:r>
              <w:rPr>
                <w:rFonts w:ascii="Arial" w:hAnsi="Arial" w:cs="Arial"/>
                <w:color w:val="000000"/>
                <w:sz w:val="16"/>
                <w:szCs w:val="20"/>
                <w:lang w:eastAsia="es-ES"/>
              </w:rPr>
              <w:t>,</w:t>
            </w:r>
            <w:r w:rsidRPr="000C1E37">
              <w:rPr>
                <w:rFonts w:ascii="Arial" w:hAnsi="Arial" w:cs="Arial"/>
                <w:color w:val="000000"/>
                <w:sz w:val="16"/>
                <w:szCs w:val="20"/>
                <w:lang w:eastAsia="es-ES"/>
              </w:rPr>
              <w:t>14</w:t>
            </w:r>
          </w:p>
        </w:tc>
        <w:tc>
          <w:tcPr>
            <w:tcW w:w="695" w:type="dxa"/>
            <w:tcBorders>
              <w:top w:val="single" w:sz="4" w:space="0" w:color="auto"/>
              <w:left w:val="nil"/>
              <w:bottom w:val="single" w:sz="4" w:space="0" w:color="auto"/>
              <w:right w:val="nil"/>
            </w:tcBorders>
            <w:shd w:val="clear" w:color="000000" w:fill="FFFFFF"/>
            <w:noWrap/>
            <w:vAlign w:val="center"/>
            <w:hideMark/>
          </w:tcPr>
          <w:p w14:paraId="74D5E067" w14:textId="7CAEE583" w:rsidR="000C1E37" w:rsidRPr="000C1E37" w:rsidRDefault="000C1E37" w:rsidP="000C1E37">
            <w:pPr>
              <w:jc w:val="right"/>
              <w:rPr>
                <w:rFonts w:ascii="Arial" w:hAnsi="Arial" w:cs="Arial"/>
                <w:color w:val="000000"/>
                <w:sz w:val="16"/>
                <w:szCs w:val="20"/>
                <w:lang w:eastAsia="es-ES"/>
              </w:rPr>
            </w:pPr>
            <w:r w:rsidRPr="000C1E37">
              <w:rPr>
                <w:rFonts w:ascii="Arial" w:hAnsi="Arial" w:cs="Arial"/>
                <w:color w:val="000000"/>
                <w:sz w:val="16"/>
                <w:szCs w:val="20"/>
                <w:lang w:eastAsia="es-ES"/>
              </w:rPr>
              <w:t>15</w:t>
            </w:r>
            <w:r>
              <w:rPr>
                <w:rFonts w:ascii="Arial" w:hAnsi="Arial" w:cs="Arial"/>
                <w:color w:val="000000"/>
                <w:sz w:val="16"/>
                <w:szCs w:val="20"/>
                <w:lang w:eastAsia="es-ES"/>
              </w:rPr>
              <w:t>,</w:t>
            </w:r>
            <w:r w:rsidRPr="000C1E37">
              <w:rPr>
                <w:rFonts w:ascii="Arial" w:hAnsi="Arial" w:cs="Arial"/>
                <w:color w:val="000000"/>
                <w:sz w:val="16"/>
                <w:szCs w:val="20"/>
                <w:lang w:eastAsia="es-ES"/>
              </w:rPr>
              <w:t>52</w:t>
            </w:r>
          </w:p>
        </w:tc>
        <w:tc>
          <w:tcPr>
            <w:tcW w:w="655" w:type="dxa"/>
            <w:tcBorders>
              <w:top w:val="single" w:sz="4" w:space="0" w:color="auto"/>
              <w:left w:val="nil"/>
              <w:bottom w:val="single" w:sz="4" w:space="0" w:color="auto"/>
              <w:right w:val="nil"/>
            </w:tcBorders>
            <w:shd w:val="clear" w:color="000000" w:fill="FFFFFF"/>
            <w:noWrap/>
            <w:vAlign w:val="center"/>
            <w:hideMark/>
          </w:tcPr>
          <w:p w14:paraId="4C0EC594" w14:textId="2CC48DB4" w:rsidR="000C1E37" w:rsidRPr="000C1E37" w:rsidRDefault="000C1E37" w:rsidP="000C1E37">
            <w:pPr>
              <w:jc w:val="right"/>
              <w:rPr>
                <w:rFonts w:ascii="Arial" w:hAnsi="Arial" w:cs="Arial"/>
                <w:color w:val="000000"/>
                <w:sz w:val="16"/>
                <w:szCs w:val="20"/>
                <w:lang w:eastAsia="es-ES"/>
              </w:rPr>
            </w:pPr>
            <w:r w:rsidRPr="000C1E37">
              <w:rPr>
                <w:rFonts w:ascii="Arial" w:hAnsi="Arial" w:cs="Arial"/>
                <w:color w:val="000000"/>
                <w:sz w:val="16"/>
                <w:szCs w:val="20"/>
                <w:lang w:eastAsia="es-ES"/>
              </w:rPr>
              <w:t>13</w:t>
            </w:r>
            <w:r>
              <w:rPr>
                <w:rFonts w:ascii="Arial" w:hAnsi="Arial" w:cs="Arial"/>
                <w:color w:val="000000"/>
                <w:sz w:val="16"/>
                <w:szCs w:val="20"/>
                <w:lang w:eastAsia="es-ES"/>
              </w:rPr>
              <w:t>,</w:t>
            </w:r>
            <w:r w:rsidRPr="000C1E37">
              <w:rPr>
                <w:rFonts w:ascii="Arial" w:hAnsi="Arial" w:cs="Arial"/>
                <w:color w:val="000000"/>
                <w:sz w:val="16"/>
                <w:szCs w:val="20"/>
                <w:lang w:eastAsia="es-ES"/>
              </w:rPr>
              <w:t>86</w:t>
            </w:r>
          </w:p>
        </w:tc>
        <w:tc>
          <w:tcPr>
            <w:tcW w:w="720" w:type="dxa"/>
            <w:tcBorders>
              <w:top w:val="single" w:sz="4" w:space="0" w:color="auto"/>
              <w:left w:val="nil"/>
              <w:bottom w:val="single" w:sz="4" w:space="0" w:color="auto"/>
              <w:right w:val="nil"/>
            </w:tcBorders>
            <w:shd w:val="clear" w:color="000000" w:fill="FFFFFF"/>
            <w:noWrap/>
            <w:vAlign w:val="center"/>
            <w:hideMark/>
          </w:tcPr>
          <w:p w14:paraId="6DBEA9D6" w14:textId="536B51B9" w:rsidR="000C1E37" w:rsidRPr="000C1E37" w:rsidRDefault="000C1E37" w:rsidP="000C1E37">
            <w:pPr>
              <w:jc w:val="right"/>
              <w:rPr>
                <w:rFonts w:ascii="Arial" w:hAnsi="Arial" w:cs="Arial"/>
                <w:color w:val="000000"/>
                <w:sz w:val="16"/>
                <w:szCs w:val="20"/>
                <w:lang w:eastAsia="es-ES"/>
              </w:rPr>
            </w:pPr>
            <w:r w:rsidRPr="000C1E37">
              <w:rPr>
                <w:rFonts w:ascii="Arial" w:hAnsi="Arial" w:cs="Arial"/>
                <w:color w:val="000000"/>
                <w:sz w:val="16"/>
                <w:szCs w:val="20"/>
                <w:lang w:eastAsia="es-ES"/>
              </w:rPr>
              <w:t>12</w:t>
            </w:r>
            <w:r>
              <w:rPr>
                <w:rFonts w:ascii="Arial" w:hAnsi="Arial" w:cs="Arial"/>
                <w:color w:val="000000"/>
                <w:sz w:val="16"/>
                <w:szCs w:val="20"/>
                <w:lang w:eastAsia="es-ES"/>
              </w:rPr>
              <w:t>,</w:t>
            </w:r>
            <w:r w:rsidRPr="000C1E37">
              <w:rPr>
                <w:rFonts w:ascii="Arial" w:hAnsi="Arial" w:cs="Arial"/>
                <w:color w:val="000000"/>
                <w:sz w:val="16"/>
                <w:szCs w:val="20"/>
                <w:lang w:eastAsia="es-ES"/>
              </w:rPr>
              <w:t>38</w:t>
            </w:r>
          </w:p>
        </w:tc>
        <w:tc>
          <w:tcPr>
            <w:tcW w:w="720" w:type="dxa"/>
            <w:tcBorders>
              <w:top w:val="single" w:sz="4" w:space="0" w:color="auto"/>
              <w:left w:val="nil"/>
              <w:bottom w:val="single" w:sz="4" w:space="0" w:color="auto"/>
              <w:right w:val="nil"/>
            </w:tcBorders>
            <w:shd w:val="clear" w:color="000000" w:fill="FFFFFF"/>
            <w:noWrap/>
            <w:vAlign w:val="center"/>
            <w:hideMark/>
          </w:tcPr>
          <w:p w14:paraId="4686663C" w14:textId="27F57ACD" w:rsidR="000C1E37" w:rsidRPr="000C1E37" w:rsidRDefault="000C1E37" w:rsidP="000C1E37">
            <w:pPr>
              <w:jc w:val="right"/>
              <w:rPr>
                <w:rFonts w:ascii="Arial" w:hAnsi="Arial" w:cs="Arial"/>
                <w:color w:val="000000"/>
                <w:sz w:val="16"/>
                <w:szCs w:val="20"/>
                <w:lang w:eastAsia="es-ES"/>
              </w:rPr>
            </w:pPr>
            <w:r w:rsidRPr="000C1E37">
              <w:rPr>
                <w:rFonts w:ascii="Arial" w:hAnsi="Arial" w:cs="Arial"/>
                <w:color w:val="000000"/>
                <w:sz w:val="16"/>
                <w:szCs w:val="20"/>
                <w:lang w:eastAsia="es-ES"/>
              </w:rPr>
              <w:t>11</w:t>
            </w:r>
            <w:r>
              <w:rPr>
                <w:rFonts w:ascii="Arial" w:hAnsi="Arial" w:cs="Arial"/>
                <w:color w:val="000000"/>
                <w:sz w:val="16"/>
                <w:szCs w:val="20"/>
                <w:lang w:eastAsia="es-ES"/>
              </w:rPr>
              <w:t>,</w:t>
            </w:r>
            <w:r w:rsidRPr="000C1E37">
              <w:rPr>
                <w:rFonts w:ascii="Arial" w:hAnsi="Arial" w:cs="Arial"/>
                <w:color w:val="000000"/>
                <w:sz w:val="16"/>
                <w:szCs w:val="20"/>
                <w:lang w:eastAsia="es-ES"/>
              </w:rPr>
              <w:t>05</w:t>
            </w:r>
          </w:p>
        </w:tc>
        <w:tc>
          <w:tcPr>
            <w:tcW w:w="720" w:type="dxa"/>
            <w:tcBorders>
              <w:top w:val="single" w:sz="4" w:space="0" w:color="auto"/>
              <w:left w:val="nil"/>
              <w:bottom w:val="single" w:sz="4" w:space="0" w:color="auto"/>
              <w:right w:val="nil"/>
            </w:tcBorders>
            <w:shd w:val="clear" w:color="000000" w:fill="FFFFFF"/>
            <w:noWrap/>
            <w:vAlign w:val="center"/>
            <w:hideMark/>
          </w:tcPr>
          <w:p w14:paraId="2D0CF06D" w14:textId="0E6570E8" w:rsidR="000C1E37" w:rsidRPr="000C1E37" w:rsidRDefault="000C1E37" w:rsidP="000C1E37">
            <w:pPr>
              <w:jc w:val="right"/>
              <w:rPr>
                <w:rFonts w:ascii="Arial" w:hAnsi="Arial" w:cs="Arial"/>
                <w:color w:val="000000"/>
                <w:sz w:val="16"/>
                <w:szCs w:val="20"/>
                <w:lang w:eastAsia="es-ES"/>
              </w:rPr>
            </w:pPr>
            <w:r w:rsidRPr="000C1E37">
              <w:rPr>
                <w:rFonts w:ascii="Arial" w:hAnsi="Arial" w:cs="Arial"/>
                <w:color w:val="000000"/>
                <w:sz w:val="16"/>
                <w:szCs w:val="20"/>
                <w:lang w:eastAsia="es-ES"/>
              </w:rPr>
              <w:t>10</w:t>
            </w:r>
            <w:r>
              <w:rPr>
                <w:rFonts w:ascii="Arial" w:hAnsi="Arial" w:cs="Arial"/>
                <w:color w:val="000000"/>
                <w:sz w:val="16"/>
                <w:szCs w:val="20"/>
                <w:lang w:eastAsia="es-ES"/>
              </w:rPr>
              <w:t>,</w:t>
            </w:r>
            <w:r w:rsidRPr="000C1E37">
              <w:rPr>
                <w:rFonts w:ascii="Arial" w:hAnsi="Arial" w:cs="Arial"/>
                <w:color w:val="000000"/>
                <w:sz w:val="16"/>
                <w:szCs w:val="20"/>
                <w:lang w:eastAsia="es-ES"/>
              </w:rPr>
              <w:t>51</w:t>
            </w:r>
          </w:p>
        </w:tc>
        <w:tc>
          <w:tcPr>
            <w:tcW w:w="875" w:type="dxa"/>
            <w:tcBorders>
              <w:top w:val="single" w:sz="4" w:space="0" w:color="auto"/>
              <w:left w:val="nil"/>
              <w:bottom w:val="single" w:sz="4" w:space="0" w:color="auto"/>
              <w:right w:val="nil"/>
            </w:tcBorders>
            <w:shd w:val="clear" w:color="000000" w:fill="FFFFFF"/>
            <w:noWrap/>
            <w:vAlign w:val="center"/>
            <w:hideMark/>
          </w:tcPr>
          <w:p w14:paraId="209982E9" w14:textId="4A5858C6" w:rsidR="000C1E37" w:rsidRPr="000C1E37" w:rsidRDefault="000C1E37" w:rsidP="000C1E37">
            <w:pPr>
              <w:jc w:val="right"/>
              <w:rPr>
                <w:rFonts w:ascii="Arial" w:hAnsi="Arial" w:cs="Arial"/>
                <w:color w:val="000000"/>
                <w:sz w:val="16"/>
                <w:szCs w:val="20"/>
                <w:lang w:eastAsia="es-ES"/>
              </w:rPr>
            </w:pPr>
            <w:r w:rsidRPr="000C1E37">
              <w:rPr>
                <w:rFonts w:ascii="Arial" w:hAnsi="Arial" w:cs="Arial"/>
                <w:color w:val="000000"/>
                <w:sz w:val="16"/>
                <w:szCs w:val="20"/>
                <w:lang w:eastAsia="es-ES"/>
              </w:rPr>
              <w:t>62</w:t>
            </w:r>
            <w:r>
              <w:rPr>
                <w:rFonts w:ascii="Arial" w:hAnsi="Arial" w:cs="Arial"/>
                <w:color w:val="000000"/>
                <w:sz w:val="16"/>
                <w:szCs w:val="20"/>
                <w:lang w:eastAsia="es-ES"/>
              </w:rPr>
              <w:t>,</w:t>
            </w:r>
            <w:r w:rsidRPr="000C1E37">
              <w:rPr>
                <w:rFonts w:ascii="Arial" w:hAnsi="Arial" w:cs="Arial"/>
                <w:color w:val="000000"/>
                <w:sz w:val="16"/>
                <w:szCs w:val="20"/>
                <w:lang w:eastAsia="es-ES"/>
              </w:rPr>
              <w:t>19</w:t>
            </w:r>
          </w:p>
        </w:tc>
      </w:tr>
    </w:tbl>
    <w:p w14:paraId="1A088E05" w14:textId="60C2941E" w:rsidR="00206363" w:rsidRPr="008174E3" w:rsidRDefault="00206363" w:rsidP="00CF214F">
      <w:pPr>
        <w:rPr>
          <w:rFonts w:ascii="Arial" w:hAnsi="Arial" w:cs="Arial"/>
          <w:b/>
        </w:rPr>
      </w:pPr>
    </w:p>
    <w:p w14:paraId="35F0AF7F" w14:textId="77777777" w:rsidR="00206363" w:rsidRPr="008174E3" w:rsidRDefault="00206363" w:rsidP="00206363">
      <w:pPr>
        <w:jc w:val="center"/>
        <w:rPr>
          <w:rFonts w:ascii="Arial" w:hAnsi="Arial" w:cs="Arial"/>
          <w:b/>
          <w:lang w:val="es-ES"/>
        </w:rPr>
      </w:pPr>
    </w:p>
    <w:p w14:paraId="6D89787F" w14:textId="19678A7E" w:rsidR="00206363" w:rsidRPr="008174E3" w:rsidRDefault="00206363" w:rsidP="00206363">
      <w:pPr>
        <w:jc w:val="both"/>
        <w:rPr>
          <w:rFonts w:ascii="Arial" w:hAnsi="Arial" w:cs="Arial"/>
          <w:sz w:val="18"/>
          <w:szCs w:val="20"/>
        </w:rPr>
      </w:pPr>
      <w:r w:rsidRPr="008174E3">
        <w:rPr>
          <w:rFonts w:ascii="Arial" w:hAnsi="Arial" w:cs="Arial"/>
          <w:sz w:val="18"/>
          <w:szCs w:val="20"/>
        </w:rPr>
        <w:t xml:space="preserve">A modo de ejemplo, el </w:t>
      </w:r>
      <w:r w:rsidR="00894E19" w:rsidRPr="008174E3">
        <w:rPr>
          <w:rFonts w:ascii="Arial" w:hAnsi="Arial" w:cs="Arial"/>
          <w:sz w:val="18"/>
          <w:szCs w:val="20"/>
        </w:rPr>
        <w:t>cálculo</w:t>
      </w:r>
      <w:r w:rsidRPr="008174E3">
        <w:rPr>
          <w:rFonts w:ascii="Arial" w:hAnsi="Arial" w:cs="Arial"/>
          <w:sz w:val="18"/>
          <w:szCs w:val="20"/>
        </w:rPr>
        <w:t xml:space="preserve"> de los beneficios económicos asociados al componente de Fortalecimiento del SNE para el año 1 se calcula siguiendo las </w:t>
      </w:r>
      <w:r w:rsidR="00894E19" w:rsidRPr="008174E3">
        <w:rPr>
          <w:rFonts w:ascii="Arial" w:hAnsi="Arial" w:cs="Arial"/>
          <w:sz w:val="18"/>
          <w:szCs w:val="20"/>
        </w:rPr>
        <w:t>fórmulas</w:t>
      </w:r>
      <w:r w:rsidRPr="008174E3">
        <w:rPr>
          <w:rFonts w:ascii="Arial" w:hAnsi="Arial" w:cs="Arial"/>
          <w:sz w:val="18"/>
          <w:szCs w:val="20"/>
        </w:rPr>
        <w:t xml:space="preserve"> de A11 como:</w:t>
      </w:r>
    </w:p>
    <w:p w14:paraId="4DE0866A" w14:textId="7214A085" w:rsidR="00206363" w:rsidRPr="008174E3" w:rsidRDefault="00206363" w:rsidP="00206363">
      <w:pPr>
        <w:spacing w:before="360"/>
        <w:rPr>
          <w:rFonts w:ascii="Arial" w:hAnsi="Arial" w:cs="Arial"/>
          <w:color w:val="000000"/>
          <w:sz w:val="14"/>
        </w:rPr>
      </w:pPr>
      <m:oMathPara>
        <m:oMath>
          <m:r>
            <w:rPr>
              <w:rFonts w:ascii="Cambria Math" w:hAnsi="Cambria Math"/>
              <w:color w:val="000000"/>
              <w:sz w:val="14"/>
              <w:szCs w:val="22"/>
            </w:rPr>
            <m:t>Beneficio SNE</m:t>
          </m:r>
          <m:r>
            <w:rPr>
              <w:rFonts w:ascii="Cambria Math" w:hAnsi="Cambria Math"/>
              <w:color w:val="000000"/>
              <w:sz w:val="14"/>
            </w:rPr>
            <m:t>=</m:t>
          </m:r>
          <m:d>
            <m:dPr>
              <m:ctrlPr>
                <w:rPr>
                  <w:rFonts w:ascii="Cambria Math" w:hAnsi="Cambria Math"/>
                  <w:i/>
                  <w:color w:val="000000"/>
                  <w:sz w:val="14"/>
                </w:rPr>
              </m:ctrlPr>
            </m:dPr>
            <m:e>
              <m:sSub>
                <m:sSubPr>
                  <m:ctrlPr>
                    <w:rPr>
                      <w:rFonts w:ascii="Cambria Math" w:hAnsi="Cambria Math"/>
                      <w:i/>
                      <w:color w:val="000000"/>
                      <w:sz w:val="14"/>
                      <w:szCs w:val="22"/>
                    </w:rPr>
                  </m:ctrlPr>
                </m:sSubPr>
                <m:e>
                  <m:r>
                    <w:rPr>
                      <w:rFonts w:ascii="Cambria Math" w:hAnsi="Cambria Math"/>
                      <w:color w:val="000000"/>
                      <w:sz w:val="14"/>
                    </w:rPr>
                    <m:t>f</m:t>
                  </m:r>
                </m:e>
                <m:sub>
                  <m:r>
                    <w:rPr>
                      <w:rFonts w:ascii="Cambria Math" w:hAnsi="Cambria Math"/>
                      <w:color w:val="000000"/>
                      <w:sz w:val="14"/>
                    </w:rPr>
                    <m:t>i,H</m:t>
                  </m:r>
                </m:sub>
              </m:sSub>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N</m:t>
                  </m:r>
                </m:e>
                <m:sub>
                  <m:r>
                    <w:rPr>
                      <w:rFonts w:ascii="Cambria Math" w:hAnsi="Cambria Math"/>
                      <w:color w:val="000000"/>
                      <w:sz w:val="14"/>
                    </w:rPr>
                    <m:t>i,H</m:t>
                  </m:r>
                </m:sub>
              </m:sSub>
            </m:e>
          </m:d>
          <m:r>
            <w:rPr>
              <w:rFonts w:ascii="Cambria Math" w:hAnsi="Cambria Math"/>
              <w:color w:val="000000"/>
              <w:sz w:val="14"/>
            </w:rPr>
            <m:t>+</m:t>
          </m:r>
          <m:d>
            <m:dPr>
              <m:ctrlPr>
                <w:rPr>
                  <w:rFonts w:ascii="Cambria Math" w:hAnsi="Cambria Math"/>
                  <w:i/>
                  <w:color w:val="000000"/>
                  <w:sz w:val="14"/>
                </w:rPr>
              </m:ctrlPr>
            </m:dPr>
            <m:e>
              <m:sSub>
                <m:sSubPr>
                  <m:ctrlPr>
                    <w:rPr>
                      <w:rFonts w:ascii="Cambria Math" w:hAnsi="Cambria Math"/>
                      <w:i/>
                      <w:color w:val="000000"/>
                      <w:sz w:val="14"/>
                      <w:szCs w:val="22"/>
                    </w:rPr>
                  </m:ctrlPr>
                </m:sSubPr>
                <m:e>
                  <m:r>
                    <w:rPr>
                      <w:rFonts w:ascii="Cambria Math" w:hAnsi="Cambria Math"/>
                      <w:color w:val="000000"/>
                      <w:sz w:val="14"/>
                    </w:rPr>
                    <m:t>f</m:t>
                  </m:r>
                </m:e>
                <m:sub>
                  <m:r>
                    <w:rPr>
                      <w:rFonts w:ascii="Cambria Math" w:hAnsi="Cambria Math"/>
                      <w:color w:val="000000"/>
                      <w:sz w:val="14"/>
                    </w:rPr>
                    <m:t>i,M</m:t>
                  </m:r>
                </m:sub>
              </m:sSub>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N</m:t>
                  </m:r>
                </m:e>
                <m:sub>
                  <m:r>
                    <w:rPr>
                      <w:rFonts w:ascii="Cambria Math" w:hAnsi="Cambria Math"/>
                      <w:color w:val="000000"/>
                      <w:sz w:val="14"/>
                    </w:rPr>
                    <m:t>i,M</m:t>
                  </m:r>
                </m:sub>
              </m:sSub>
            </m:e>
          </m:d>
          <m:r>
            <w:rPr>
              <w:rFonts w:ascii="Cambria Math" w:hAnsi="Cambria Math"/>
              <w:color w:val="000000"/>
              <w:sz w:val="14"/>
            </w:rPr>
            <m:t>+</m:t>
          </m:r>
          <m:d>
            <m:dPr>
              <m:ctrlPr>
                <w:rPr>
                  <w:rFonts w:ascii="Cambria Math" w:hAnsi="Cambria Math"/>
                  <w:i/>
                  <w:color w:val="000000"/>
                  <w:sz w:val="14"/>
                </w:rPr>
              </m:ctrlPr>
            </m:dPr>
            <m:e>
              <m:sSub>
                <m:sSubPr>
                  <m:ctrlPr>
                    <w:rPr>
                      <w:rFonts w:ascii="Cambria Math" w:hAnsi="Cambria Math"/>
                      <w:i/>
                      <w:color w:val="000000"/>
                      <w:sz w:val="14"/>
                      <w:szCs w:val="22"/>
                    </w:rPr>
                  </m:ctrlPr>
                </m:sSubPr>
                <m:e>
                  <m:r>
                    <w:rPr>
                      <w:rFonts w:ascii="Cambria Math" w:hAnsi="Cambria Math"/>
                      <w:color w:val="000000"/>
                      <w:sz w:val="14"/>
                    </w:rPr>
                    <m:t>β</m:t>
                  </m:r>
                </m:e>
                <m:sub>
                  <m:r>
                    <w:rPr>
                      <w:rFonts w:ascii="Cambria Math" w:hAnsi="Cambria Math"/>
                      <w:color w:val="000000"/>
                      <w:sz w:val="14"/>
                    </w:rPr>
                    <m:t>i,H</m:t>
                  </m:r>
                </m:sub>
              </m:sSub>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N</m:t>
                  </m:r>
                </m:e>
                <m:sub>
                  <m:r>
                    <w:rPr>
                      <w:rFonts w:ascii="Cambria Math" w:hAnsi="Cambria Math"/>
                      <w:color w:val="000000"/>
                      <w:sz w:val="14"/>
                    </w:rPr>
                    <m:t>i,H</m:t>
                  </m:r>
                </m:sub>
              </m:sSub>
            </m:e>
          </m:d>
          <m:r>
            <w:rPr>
              <w:rFonts w:ascii="Cambria Math" w:hAnsi="Cambria Math"/>
              <w:color w:val="000000"/>
              <w:sz w:val="14"/>
            </w:rPr>
            <m:t>+</m:t>
          </m:r>
          <m:d>
            <m:dPr>
              <m:ctrlPr>
                <w:rPr>
                  <w:rFonts w:ascii="Cambria Math" w:hAnsi="Cambria Math"/>
                  <w:i/>
                  <w:color w:val="000000"/>
                  <w:sz w:val="14"/>
                </w:rPr>
              </m:ctrlPr>
            </m:dPr>
            <m:e>
              <m:sSub>
                <m:sSubPr>
                  <m:ctrlPr>
                    <w:rPr>
                      <w:rFonts w:ascii="Cambria Math" w:hAnsi="Cambria Math"/>
                      <w:i/>
                      <w:color w:val="000000"/>
                      <w:sz w:val="14"/>
                      <w:szCs w:val="22"/>
                    </w:rPr>
                  </m:ctrlPr>
                </m:sSubPr>
                <m:e>
                  <m:r>
                    <w:rPr>
                      <w:rFonts w:ascii="Cambria Math" w:hAnsi="Cambria Math"/>
                      <w:color w:val="000000"/>
                      <w:sz w:val="14"/>
                    </w:rPr>
                    <m:t>β</m:t>
                  </m:r>
                </m:e>
                <m:sub>
                  <m:r>
                    <w:rPr>
                      <w:rFonts w:ascii="Cambria Math" w:hAnsi="Cambria Math"/>
                      <w:color w:val="000000"/>
                      <w:sz w:val="14"/>
                    </w:rPr>
                    <m:t>i,M</m:t>
                  </m:r>
                </m:sub>
              </m:sSub>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N</m:t>
                  </m:r>
                </m:e>
                <m:sub>
                  <m:r>
                    <w:rPr>
                      <w:rFonts w:ascii="Cambria Math" w:hAnsi="Cambria Math"/>
                      <w:color w:val="000000"/>
                      <w:sz w:val="14"/>
                    </w:rPr>
                    <m:t>i,M</m:t>
                  </m:r>
                </m:sub>
              </m:sSub>
            </m:e>
          </m:d>
        </m:oMath>
      </m:oMathPara>
    </w:p>
    <w:p w14:paraId="3991681A" w14:textId="77777777" w:rsidR="00206363" w:rsidRPr="008174E3" w:rsidRDefault="00206363" w:rsidP="00206363">
      <w:pPr>
        <w:spacing w:before="360"/>
        <w:rPr>
          <w:rFonts w:ascii="Arial" w:hAnsi="Arial" w:cs="Arial"/>
          <w:color w:val="000000"/>
          <w:sz w:val="14"/>
        </w:rPr>
      </w:pPr>
      <m:oMathPara>
        <m:oMath>
          <m:r>
            <w:rPr>
              <w:rFonts w:ascii="Cambria Math" w:hAnsi="Cambria Math"/>
              <w:color w:val="000000"/>
              <w:sz w:val="14"/>
            </w:rPr>
            <m:t>=</m:t>
          </m:r>
          <m:d>
            <m:dPr>
              <m:ctrlPr>
                <w:rPr>
                  <w:rFonts w:ascii="Cambria Math" w:hAnsi="Cambria Math"/>
                  <w:i/>
                  <w:color w:val="000000"/>
                  <w:sz w:val="14"/>
                </w:rPr>
              </m:ctrlPr>
            </m:dPr>
            <m:e>
              <m:d>
                <m:dPr>
                  <m:ctrlPr>
                    <w:rPr>
                      <w:rFonts w:ascii="Cambria Math" w:hAnsi="Cambria Math"/>
                      <w:i/>
                      <w:color w:val="000000"/>
                      <w:sz w:val="14"/>
                    </w:rPr>
                  </m:ctrlPr>
                </m:dPr>
                <m:e>
                  <m:sSub>
                    <m:sSubPr>
                      <m:ctrlPr>
                        <w:rPr>
                          <w:rFonts w:ascii="Cambria Math" w:hAnsi="Cambria Math"/>
                          <w:i/>
                          <w:color w:val="000000"/>
                          <w:sz w:val="14"/>
                        </w:rPr>
                      </m:ctrlPr>
                    </m:sSubPr>
                    <m:e>
                      <m:r>
                        <w:rPr>
                          <w:rFonts w:ascii="Cambria Math" w:hAnsi="Cambria Math"/>
                          <w:color w:val="000000"/>
                          <w:sz w:val="14"/>
                        </w:rPr>
                        <m:t>y</m:t>
                      </m:r>
                    </m:e>
                    <m:sub>
                      <m:r>
                        <w:rPr>
                          <w:rFonts w:ascii="Cambria Math" w:hAnsi="Cambria Math"/>
                          <w:color w:val="000000"/>
                          <w:sz w:val="14"/>
                        </w:rPr>
                        <m:t>semanal,H</m:t>
                      </m:r>
                    </m:sub>
                  </m:sSub>
                  <m:r>
                    <w:rPr>
                      <w:rFonts w:ascii="Cambria Math" w:hAnsi="Cambria Math"/>
                      <w:color w:val="000000"/>
                      <w:sz w:val="14"/>
                    </w:rPr>
                    <m:t>*</m:t>
                  </m:r>
                  <m:sSub>
                    <m:sSubPr>
                      <m:ctrlPr>
                        <w:rPr>
                          <w:rFonts w:ascii="Cambria Math" w:hAnsi="Cambria Math"/>
                          <w:i/>
                          <w:color w:val="000000"/>
                          <w:sz w:val="14"/>
                        </w:rPr>
                      </m:ctrlPr>
                    </m:sSubPr>
                    <m:e>
                      <m:r>
                        <w:rPr>
                          <w:rFonts w:ascii="Cambria Math" w:hAnsi="Cambria Math"/>
                          <w:color w:val="000000"/>
                          <w:sz w:val="14"/>
                        </w:rPr>
                        <m:t>∆</m:t>
                      </m:r>
                    </m:e>
                    <m:sub>
                      <m:r>
                        <w:rPr>
                          <w:rFonts w:ascii="Cambria Math" w:hAnsi="Cambria Math"/>
                          <w:color w:val="000000"/>
                          <w:sz w:val="14"/>
                        </w:rPr>
                        <m:t>aportes SS</m:t>
                      </m:r>
                    </m:sub>
                  </m:sSub>
                  <m:r>
                    <w:rPr>
                      <w:rFonts w:ascii="Cambria Math" w:hAnsi="Cambria Math"/>
                      <w:color w:val="000000"/>
                      <w:sz w:val="14"/>
                    </w:rPr>
                    <m:t>*52*</m:t>
                  </m:r>
                  <m:sSub>
                    <m:sSubPr>
                      <m:ctrlPr>
                        <w:rPr>
                          <w:rFonts w:ascii="Cambria Math" w:hAnsi="Cambria Math"/>
                          <w:i/>
                          <w:color w:val="000000"/>
                          <w:sz w:val="14"/>
                        </w:rPr>
                      </m:ctrlPr>
                    </m:sSubPr>
                    <m:e>
                      <m:r>
                        <w:rPr>
                          <w:rFonts w:ascii="Cambria Math" w:hAnsi="Cambria Math"/>
                          <w:color w:val="000000"/>
                          <w:sz w:val="14"/>
                        </w:rPr>
                        <m:t>δ</m:t>
                      </m:r>
                    </m:e>
                    <m:sub>
                      <m:r>
                        <w:rPr>
                          <w:rFonts w:ascii="Cambria Math" w:hAnsi="Cambria Math"/>
                          <w:color w:val="000000"/>
                          <w:sz w:val="14"/>
                        </w:rPr>
                        <m:t>H</m:t>
                      </m:r>
                    </m:sub>
                  </m:sSub>
                </m:e>
              </m:d>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N</m:t>
                  </m:r>
                </m:e>
                <m:sub>
                  <m:r>
                    <w:rPr>
                      <w:rFonts w:ascii="Cambria Math" w:hAnsi="Cambria Math"/>
                      <w:color w:val="000000"/>
                      <w:sz w:val="14"/>
                    </w:rPr>
                    <m:t>1,H</m:t>
                  </m:r>
                </m:sub>
              </m:sSub>
            </m:e>
          </m:d>
          <m:r>
            <w:rPr>
              <w:rFonts w:ascii="Cambria Math" w:hAnsi="Cambria Math"/>
              <w:color w:val="000000"/>
              <w:sz w:val="14"/>
            </w:rPr>
            <m:t>+</m:t>
          </m:r>
          <m:d>
            <m:dPr>
              <m:ctrlPr>
                <w:rPr>
                  <w:rFonts w:ascii="Cambria Math" w:hAnsi="Cambria Math"/>
                  <w:i/>
                  <w:color w:val="000000"/>
                  <w:sz w:val="14"/>
                </w:rPr>
              </m:ctrlPr>
            </m:dPr>
            <m:e>
              <m:d>
                <m:dPr>
                  <m:ctrlPr>
                    <w:rPr>
                      <w:rFonts w:ascii="Cambria Math" w:hAnsi="Cambria Math"/>
                      <w:i/>
                      <w:color w:val="000000"/>
                      <w:sz w:val="14"/>
                    </w:rPr>
                  </m:ctrlPr>
                </m:dPr>
                <m:e>
                  <m:sSub>
                    <m:sSubPr>
                      <m:ctrlPr>
                        <w:rPr>
                          <w:rFonts w:ascii="Cambria Math" w:hAnsi="Cambria Math"/>
                          <w:i/>
                          <w:color w:val="000000"/>
                          <w:sz w:val="14"/>
                        </w:rPr>
                      </m:ctrlPr>
                    </m:sSubPr>
                    <m:e>
                      <m:r>
                        <w:rPr>
                          <w:rFonts w:ascii="Cambria Math" w:hAnsi="Cambria Math"/>
                          <w:color w:val="000000"/>
                          <w:sz w:val="14"/>
                        </w:rPr>
                        <m:t>y</m:t>
                      </m:r>
                    </m:e>
                    <m:sub>
                      <m:r>
                        <w:rPr>
                          <w:rFonts w:ascii="Cambria Math" w:hAnsi="Cambria Math"/>
                          <w:color w:val="000000"/>
                          <w:sz w:val="14"/>
                        </w:rPr>
                        <m:t>semanal,M</m:t>
                      </m:r>
                    </m:sub>
                  </m:sSub>
                  <m:r>
                    <w:rPr>
                      <w:rFonts w:ascii="Cambria Math" w:hAnsi="Cambria Math"/>
                      <w:color w:val="000000"/>
                      <w:sz w:val="14"/>
                    </w:rPr>
                    <m:t>*</m:t>
                  </m:r>
                  <m:sSub>
                    <m:sSubPr>
                      <m:ctrlPr>
                        <w:rPr>
                          <w:rFonts w:ascii="Cambria Math" w:hAnsi="Cambria Math"/>
                          <w:i/>
                          <w:color w:val="000000"/>
                          <w:sz w:val="14"/>
                        </w:rPr>
                      </m:ctrlPr>
                    </m:sSubPr>
                    <m:e>
                      <m:r>
                        <w:rPr>
                          <w:rFonts w:ascii="Cambria Math" w:hAnsi="Cambria Math"/>
                          <w:color w:val="000000"/>
                          <w:sz w:val="14"/>
                        </w:rPr>
                        <m:t>∆</m:t>
                      </m:r>
                    </m:e>
                    <m:sub>
                      <m:r>
                        <w:rPr>
                          <w:rFonts w:ascii="Cambria Math" w:hAnsi="Cambria Math"/>
                          <w:color w:val="000000"/>
                          <w:sz w:val="14"/>
                        </w:rPr>
                        <m:t>aportes SS</m:t>
                      </m:r>
                    </m:sub>
                  </m:sSub>
                  <m:r>
                    <w:rPr>
                      <w:rFonts w:ascii="Cambria Math" w:hAnsi="Cambria Math"/>
                      <w:color w:val="000000"/>
                      <w:sz w:val="14"/>
                    </w:rPr>
                    <m:t>*52*</m:t>
                  </m:r>
                  <m:sSub>
                    <m:sSubPr>
                      <m:ctrlPr>
                        <w:rPr>
                          <w:rFonts w:ascii="Cambria Math" w:hAnsi="Cambria Math"/>
                          <w:i/>
                          <w:color w:val="000000"/>
                          <w:sz w:val="14"/>
                        </w:rPr>
                      </m:ctrlPr>
                    </m:sSubPr>
                    <m:e>
                      <m:r>
                        <w:rPr>
                          <w:rFonts w:ascii="Cambria Math" w:hAnsi="Cambria Math"/>
                          <w:color w:val="000000"/>
                          <w:sz w:val="14"/>
                        </w:rPr>
                        <m:t>δ</m:t>
                      </m:r>
                    </m:e>
                    <m:sub>
                      <m:r>
                        <w:rPr>
                          <w:rFonts w:ascii="Cambria Math" w:hAnsi="Cambria Math"/>
                          <w:color w:val="000000"/>
                          <w:sz w:val="14"/>
                        </w:rPr>
                        <m:t>M</m:t>
                      </m:r>
                    </m:sub>
                  </m:sSub>
                </m:e>
              </m:d>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N</m:t>
                  </m:r>
                </m:e>
                <m:sub>
                  <m:r>
                    <w:rPr>
                      <w:rFonts w:ascii="Cambria Math" w:hAnsi="Cambria Math"/>
                      <w:color w:val="000000"/>
                      <w:sz w:val="14"/>
                    </w:rPr>
                    <m:t>1,M</m:t>
                  </m:r>
                </m:sub>
              </m:sSub>
            </m:e>
          </m:d>
          <m:r>
            <w:rPr>
              <w:rFonts w:ascii="Cambria Math" w:hAnsi="Cambria Math"/>
              <w:color w:val="000000"/>
              <w:sz w:val="14"/>
            </w:rPr>
            <m:t>+</m:t>
          </m:r>
          <m:d>
            <m:dPr>
              <m:ctrlPr>
                <w:rPr>
                  <w:rFonts w:ascii="Cambria Math" w:hAnsi="Cambria Math"/>
                  <w:i/>
                  <w:color w:val="000000"/>
                  <w:sz w:val="14"/>
                </w:rPr>
              </m:ctrlPr>
            </m:dPr>
            <m:e>
              <m:d>
                <m:dPr>
                  <m:ctrlPr>
                    <w:rPr>
                      <w:rFonts w:ascii="Cambria Math" w:hAnsi="Cambria Math"/>
                      <w:i/>
                      <w:color w:val="000000"/>
                      <w:sz w:val="14"/>
                    </w:rPr>
                  </m:ctrlPr>
                </m:dPr>
                <m:e>
                  <m:sSub>
                    <m:sSubPr>
                      <m:ctrlPr>
                        <w:rPr>
                          <w:rFonts w:ascii="Cambria Math" w:hAnsi="Cambria Math"/>
                          <w:i/>
                          <w:color w:val="000000"/>
                          <w:sz w:val="14"/>
                          <w:szCs w:val="22"/>
                        </w:rPr>
                      </m:ctrlPr>
                    </m:sSubPr>
                    <m:e>
                      <m:r>
                        <w:rPr>
                          <w:rFonts w:ascii="Cambria Math" w:hAnsi="Cambria Math"/>
                          <w:color w:val="000000"/>
                          <w:sz w:val="14"/>
                        </w:rPr>
                        <m:t>d</m:t>
                      </m:r>
                    </m:e>
                    <m:sub>
                      <m:r>
                        <w:rPr>
                          <w:rFonts w:ascii="Cambria Math" w:hAnsi="Cambria Math"/>
                          <w:color w:val="000000"/>
                          <w:sz w:val="14"/>
                        </w:rPr>
                        <m:t>vacación</m:t>
                      </m:r>
                    </m:sub>
                  </m:sSub>
                  <m:r>
                    <w:rPr>
                      <w:rFonts w:ascii="Cambria Math" w:hAnsi="Cambria Math"/>
                      <w:color w:val="000000"/>
                      <w:sz w:val="14"/>
                    </w:rPr>
                    <m:t>*</m:t>
                  </m:r>
                  <m:sSub>
                    <m:sSubPr>
                      <m:ctrlPr>
                        <w:rPr>
                          <w:rFonts w:ascii="Cambria Math" w:hAnsi="Cambria Math"/>
                          <w:i/>
                          <w:color w:val="000000"/>
                          <w:sz w:val="14"/>
                        </w:rPr>
                      </m:ctrlPr>
                    </m:sSubPr>
                    <m:e>
                      <m:r>
                        <w:rPr>
                          <w:rFonts w:ascii="Cambria Math" w:hAnsi="Cambria Math"/>
                          <w:color w:val="000000"/>
                          <w:sz w:val="14"/>
                        </w:rPr>
                        <m:t>y</m:t>
                      </m:r>
                    </m:e>
                    <m:sub>
                      <m:r>
                        <w:rPr>
                          <w:rFonts w:ascii="Cambria Math" w:hAnsi="Cambria Math"/>
                          <w:color w:val="000000"/>
                          <w:sz w:val="14"/>
                        </w:rPr>
                        <m:t>diario,H</m:t>
                      </m:r>
                    </m:sub>
                  </m:sSub>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ρ</m:t>
                      </m:r>
                    </m:e>
                    <m:sub>
                      <m:func>
                        <m:funcPr>
                          <m:ctrlPr>
                            <w:rPr>
                              <w:rFonts w:ascii="Cambria Math" w:hAnsi="Cambria Math"/>
                              <w:i/>
                              <w:color w:val="000000"/>
                              <w:sz w:val="14"/>
                            </w:rPr>
                          </m:ctrlPr>
                        </m:funcPr>
                        <m:fName>
                          <m:r>
                            <m:rPr>
                              <m:sty m:val="p"/>
                            </m:rPr>
                            <w:rPr>
                              <w:rFonts w:ascii="Cambria Math" w:hAnsi="Cambria Math"/>
                              <w:color w:val="000000"/>
                              <w:sz w:val="14"/>
                            </w:rPr>
                            <m:t>sin</m:t>
                          </m:r>
                        </m:fName>
                        <m:e>
                          <m:r>
                            <w:rPr>
                              <w:rFonts w:ascii="Cambria Math" w:hAnsi="Cambria Math"/>
                              <w:color w:val="000000"/>
                              <w:sz w:val="14"/>
                            </w:rPr>
                            <m:t xml:space="preserve">acceso </m:t>
                          </m:r>
                        </m:e>
                      </m:func>
                      <m:r>
                        <w:rPr>
                          <w:rFonts w:ascii="Cambria Math" w:hAnsi="Cambria Math"/>
                          <w:color w:val="000000"/>
                          <w:sz w:val="14"/>
                        </w:rPr>
                        <m:t>a vacaciones</m:t>
                      </m:r>
                    </m:sub>
                  </m:sSub>
                </m:e>
              </m:d>
              <m:r>
                <w:rPr>
                  <w:rFonts w:ascii="Cambria Math" w:hAnsi="Cambria Math"/>
                  <w:color w:val="000000"/>
                  <w:sz w:val="14"/>
                </w:rPr>
                <m:t>+</m:t>
              </m:r>
              <m:d>
                <m:dPr>
                  <m:ctrlPr>
                    <w:rPr>
                      <w:rFonts w:ascii="Cambria Math" w:hAnsi="Cambria Math"/>
                      <w:i/>
                      <w:color w:val="000000"/>
                      <w:sz w:val="14"/>
                    </w:rPr>
                  </m:ctrlPr>
                </m:dPr>
                <m:e>
                  <m:sSub>
                    <m:sSubPr>
                      <m:ctrlPr>
                        <w:rPr>
                          <w:rFonts w:ascii="Cambria Math" w:hAnsi="Cambria Math"/>
                          <w:i/>
                          <w:color w:val="000000"/>
                          <w:sz w:val="14"/>
                          <w:szCs w:val="22"/>
                        </w:rPr>
                      </m:ctrlPr>
                    </m:sSubPr>
                    <m:e>
                      <m:r>
                        <w:rPr>
                          <w:rFonts w:ascii="Cambria Math" w:hAnsi="Cambria Math"/>
                          <w:color w:val="000000"/>
                          <w:sz w:val="14"/>
                        </w:rPr>
                        <m:t>d</m:t>
                      </m:r>
                    </m:e>
                    <m:sub>
                      <m:r>
                        <w:rPr>
                          <w:rFonts w:ascii="Cambria Math" w:hAnsi="Cambria Math"/>
                          <w:color w:val="000000"/>
                          <w:sz w:val="14"/>
                        </w:rPr>
                        <m:t>aguinaldo</m:t>
                      </m:r>
                    </m:sub>
                  </m:sSub>
                  <m:r>
                    <w:rPr>
                      <w:rFonts w:ascii="Cambria Math" w:hAnsi="Cambria Math"/>
                      <w:color w:val="000000"/>
                      <w:sz w:val="14"/>
                    </w:rPr>
                    <m:t>*</m:t>
                  </m:r>
                  <m:sSub>
                    <m:sSubPr>
                      <m:ctrlPr>
                        <w:rPr>
                          <w:rFonts w:ascii="Cambria Math" w:hAnsi="Cambria Math"/>
                          <w:i/>
                          <w:color w:val="000000"/>
                          <w:sz w:val="14"/>
                        </w:rPr>
                      </m:ctrlPr>
                    </m:sSubPr>
                    <m:e>
                      <m:r>
                        <w:rPr>
                          <w:rFonts w:ascii="Cambria Math" w:hAnsi="Cambria Math"/>
                          <w:color w:val="000000"/>
                          <w:sz w:val="14"/>
                        </w:rPr>
                        <m:t>y</m:t>
                      </m:r>
                    </m:e>
                    <m:sub>
                      <m:r>
                        <w:rPr>
                          <w:rFonts w:ascii="Cambria Math" w:hAnsi="Cambria Math"/>
                          <w:color w:val="000000"/>
                          <w:sz w:val="14"/>
                        </w:rPr>
                        <m:t>diario,H</m:t>
                      </m:r>
                    </m:sub>
                  </m:sSub>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ρ</m:t>
                      </m:r>
                    </m:e>
                    <m:sub>
                      <m:func>
                        <m:funcPr>
                          <m:ctrlPr>
                            <w:rPr>
                              <w:rFonts w:ascii="Cambria Math" w:hAnsi="Cambria Math"/>
                              <w:i/>
                              <w:color w:val="000000"/>
                              <w:sz w:val="14"/>
                            </w:rPr>
                          </m:ctrlPr>
                        </m:funcPr>
                        <m:fName>
                          <m:r>
                            <m:rPr>
                              <m:sty m:val="p"/>
                            </m:rPr>
                            <w:rPr>
                              <w:rFonts w:ascii="Cambria Math" w:hAnsi="Cambria Math"/>
                              <w:color w:val="000000"/>
                              <w:sz w:val="14"/>
                            </w:rPr>
                            <m:t>sin</m:t>
                          </m:r>
                        </m:fName>
                        <m:e>
                          <m:r>
                            <w:rPr>
                              <w:rFonts w:ascii="Cambria Math" w:hAnsi="Cambria Math"/>
                              <w:color w:val="000000"/>
                              <w:sz w:val="14"/>
                            </w:rPr>
                            <m:t>acceso a</m:t>
                          </m:r>
                        </m:e>
                      </m:func>
                      <m:r>
                        <w:rPr>
                          <w:rFonts w:ascii="Cambria Math" w:hAnsi="Cambria Math"/>
                          <w:color w:val="000000"/>
                          <w:sz w:val="14"/>
                        </w:rPr>
                        <m:t xml:space="preserve"> aguinaldo</m:t>
                      </m:r>
                    </m:sub>
                  </m:sSub>
                </m:e>
              </m:d>
              <m:r>
                <w:rPr>
                  <w:rFonts w:ascii="Cambria Math" w:hAnsi="Cambria Math"/>
                  <w:color w:val="000000"/>
                  <w:sz w:val="14"/>
                </w:rPr>
                <m:t>}*</m:t>
              </m:r>
              <m:sSub>
                <m:sSubPr>
                  <m:ctrlPr>
                    <w:rPr>
                      <w:rFonts w:ascii="Cambria Math" w:hAnsi="Cambria Math"/>
                      <w:i/>
                      <w:color w:val="000000"/>
                      <w:sz w:val="14"/>
                    </w:rPr>
                  </m:ctrlPr>
                </m:sSubPr>
                <m:e>
                  <m:r>
                    <w:rPr>
                      <w:rFonts w:ascii="Cambria Math" w:hAnsi="Cambria Math"/>
                      <w:color w:val="000000"/>
                      <w:sz w:val="14"/>
                    </w:rPr>
                    <m:t>δ</m:t>
                  </m:r>
                </m:e>
                <m:sub>
                  <m:r>
                    <w:rPr>
                      <w:rFonts w:ascii="Cambria Math" w:hAnsi="Cambria Math"/>
                      <w:color w:val="000000"/>
                      <w:sz w:val="14"/>
                    </w:rPr>
                    <m:t>H</m:t>
                  </m:r>
                </m:sub>
              </m:sSub>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N</m:t>
                  </m:r>
                </m:e>
                <m:sub>
                  <m:r>
                    <w:rPr>
                      <w:rFonts w:ascii="Cambria Math" w:hAnsi="Cambria Math"/>
                      <w:color w:val="000000"/>
                      <w:sz w:val="14"/>
                    </w:rPr>
                    <m:t>1,H</m:t>
                  </m:r>
                </m:sub>
              </m:sSub>
            </m:e>
          </m:d>
          <m:r>
            <w:rPr>
              <w:rFonts w:ascii="Cambria Math" w:hAnsi="Cambria Math"/>
              <w:color w:val="000000"/>
              <w:sz w:val="14"/>
            </w:rPr>
            <m:t>+</m:t>
          </m:r>
          <m:d>
            <m:dPr>
              <m:ctrlPr>
                <w:rPr>
                  <w:rFonts w:ascii="Cambria Math" w:hAnsi="Cambria Math"/>
                  <w:i/>
                  <w:color w:val="000000"/>
                  <w:sz w:val="14"/>
                </w:rPr>
              </m:ctrlPr>
            </m:dPr>
            <m:e>
              <m:d>
                <m:dPr>
                  <m:ctrlPr>
                    <w:rPr>
                      <w:rFonts w:ascii="Cambria Math" w:hAnsi="Cambria Math"/>
                      <w:i/>
                      <w:color w:val="000000"/>
                      <w:sz w:val="14"/>
                    </w:rPr>
                  </m:ctrlPr>
                </m:dPr>
                <m:e>
                  <m:sSub>
                    <m:sSubPr>
                      <m:ctrlPr>
                        <w:rPr>
                          <w:rFonts w:ascii="Cambria Math" w:hAnsi="Cambria Math"/>
                          <w:i/>
                          <w:color w:val="000000"/>
                          <w:sz w:val="14"/>
                          <w:szCs w:val="22"/>
                        </w:rPr>
                      </m:ctrlPr>
                    </m:sSubPr>
                    <m:e>
                      <m:r>
                        <w:rPr>
                          <w:rFonts w:ascii="Cambria Math" w:hAnsi="Cambria Math"/>
                          <w:color w:val="000000"/>
                          <w:sz w:val="14"/>
                        </w:rPr>
                        <m:t>d</m:t>
                      </m:r>
                    </m:e>
                    <m:sub>
                      <m:r>
                        <w:rPr>
                          <w:rFonts w:ascii="Cambria Math" w:hAnsi="Cambria Math"/>
                          <w:color w:val="000000"/>
                          <w:sz w:val="14"/>
                        </w:rPr>
                        <m:t>vacación</m:t>
                      </m:r>
                    </m:sub>
                  </m:sSub>
                  <m:r>
                    <w:rPr>
                      <w:rFonts w:ascii="Cambria Math" w:hAnsi="Cambria Math"/>
                      <w:color w:val="000000"/>
                      <w:sz w:val="14"/>
                    </w:rPr>
                    <m:t>*</m:t>
                  </m:r>
                  <m:sSub>
                    <m:sSubPr>
                      <m:ctrlPr>
                        <w:rPr>
                          <w:rFonts w:ascii="Cambria Math" w:hAnsi="Cambria Math"/>
                          <w:i/>
                          <w:color w:val="000000"/>
                          <w:sz w:val="14"/>
                        </w:rPr>
                      </m:ctrlPr>
                    </m:sSubPr>
                    <m:e>
                      <m:r>
                        <w:rPr>
                          <w:rFonts w:ascii="Cambria Math" w:hAnsi="Cambria Math"/>
                          <w:color w:val="000000"/>
                          <w:sz w:val="14"/>
                        </w:rPr>
                        <m:t>y</m:t>
                      </m:r>
                    </m:e>
                    <m:sub>
                      <m:r>
                        <w:rPr>
                          <w:rFonts w:ascii="Cambria Math" w:hAnsi="Cambria Math"/>
                          <w:color w:val="000000"/>
                          <w:sz w:val="14"/>
                        </w:rPr>
                        <m:t>diario,M</m:t>
                      </m:r>
                    </m:sub>
                  </m:sSub>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ρ</m:t>
                      </m:r>
                    </m:e>
                    <m:sub>
                      <m:func>
                        <m:funcPr>
                          <m:ctrlPr>
                            <w:rPr>
                              <w:rFonts w:ascii="Cambria Math" w:hAnsi="Cambria Math"/>
                              <w:i/>
                              <w:color w:val="000000"/>
                              <w:sz w:val="14"/>
                            </w:rPr>
                          </m:ctrlPr>
                        </m:funcPr>
                        <m:fName>
                          <m:r>
                            <m:rPr>
                              <m:sty m:val="p"/>
                            </m:rPr>
                            <w:rPr>
                              <w:rFonts w:ascii="Cambria Math" w:hAnsi="Cambria Math"/>
                              <w:color w:val="000000"/>
                              <w:sz w:val="14"/>
                            </w:rPr>
                            <m:t>sin</m:t>
                          </m:r>
                        </m:fName>
                        <m:e>
                          <m:r>
                            <w:rPr>
                              <w:rFonts w:ascii="Cambria Math" w:hAnsi="Cambria Math"/>
                              <w:color w:val="000000"/>
                              <w:sz w:val="14"/>
                            </w:rPr>
                            <m:t xml:space="preserve">acceso </m:t>
                          </m:r>
                        </m:e>
                      </m:func>
                      <m:r>
                        <w:rPr>
                          <w:rFonts w:ascii="Cambria Math" w:hAnsi="Cambria Math"/>
                          <w:color w:val="000000"/>
                          <w:sz w:val="14"/>
                        </w:rPr>
                        <m:t>a vacaciones</m:t>
                      </m:r>
                    </m:sub>
                  </m:sSub>
                </m:e>
              </m:d>
              <m:r>
                <w:rPr>
                  <w:rFonts w:ascii="Cambria Math" w:hAnsi="Cambria Math"/>
                  <w:color w:val="000000"/>
                  <w:sz w:val="14"/>
                </w:rPr>
                <m:t>+</m:t>
              </m:r>
              <m:d>
                <m:dPr>
                  <m:ctrlPr>
                    <w:rPr>
                      <w:rFonts w:ascii="Cambria Math" w:hAnsi="Cambria Math"/>
                      <w:i/>
                      <w:color w:val="000000"/>
                      <w:sz w:val="14"/>
                    </w:rPr>
                  </m:ctrlPr>
                </m:dPr>
                <m:e>
                  <m:sSub>
                    <m:sSubPr>
                      <m:ctrlPr>
                        <w:rPr>
                          <w:rFonts w:ascii="Cambria Math" w:hAnsi="Cambria Math"/>
                          <w:i/>
                          <w:color w:val="000000"/>
                          <w:sz w:val="14"/>
                          <w:szCs w:val="22"/>
                        </w:rPr>
                      </m:ctrlPr>
                    </m:sSubPr>
                    <m:e>
                      <m:r>
                        <w:rPr>
                          <w:rFonts w:ascii="Cambria Math" w:hAnsi="Cambria Math"/>
                          <w:color w:val="000000"/>
                          <w:sz w:val="14"/>
                        </w:rPr>
                        <m:t>d</m:t>
                      </m:r>
                    </m:e>
                    <m:sub>
                      <m:r>
                        <w:rPr>
                          <w:rFonts w:ascii="Cambria Math" w:hAnsi="Cambria Math"/>
                          <w:color w:val="000000"/>
                          <w:sz w:val="14"/>
                        </w:rPr>
                        <m:t>aguinaldo</m:t>
                      </m:r>
                    </m:sub>
                  </m:sSub>
                  <m:r>
                    <w:rPr>
                      <w:rFonts w:ascii="Cambria Math" w:hAnsi="Cambria Math"/>
                      <w:color w:val="000000"/>
                      <w:sz w:val="14"/>
                    </w:rPr>
                    <m:t>*</m:t>
                  </m:r>
                  <m:sSub>
                    <m:sSubPr>
                      <m:ctrlPr>
                        <w:rPr>
                          <w:rFonts w:ascii="Cambria Math" w:hAnsi="Cambria Math"/>
                          <w:i/>
                          <w:color w:val="000000"/>
                          <w:sz w:val="14"/>
                        </w:rPr>
                      </m:ctrlPr>
                    </m:sSubPr>
                    <m:e>
                      <m:r>
                        <w:rPr>
                          <w:rFonts w:ascii="Cambria Math" w:hAnsi="Cambria Math"/>
                          <w:color w:val="000000"/>
                          <w:sz w:val="14"/>
                        </w:rPr>
                        <m:t>y</m:t>
                      </m:r>
                    </m:e>
                    <m:sub>
                      <m:r>
                        <w:rPr>
                          <w:rFonts w:ascii="Cambria Math" w:hAnsi="Cambria Math"/>
                          <w:color w:val="000000"/>
                          <w:sz w:val="14"/>
                        </w:rPr>
                        <m:t>diario,M</m:t>
                      </m:r>
                    </m:sub>
                  </m:sSub>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ρ</m:t>
                      </m:r>
                    </m:e>
                    <m:sub>
                      <m:func>
                        <m:funcPr>
                          <m:ctrlPr>
                            <w:rPr>
                              <w:rFonts w:ascii="Cambria Math" w:hAnsi="Cambria Math"/>
                              <w:i/>
                              <w:color w:val="000000"/>
                              <w:sz w:val="14"/>
                            </w:rPr>
                          </m:ctrlPr>
                        </m:funcPr>
                        <m:fName>
                          <m:r>
                            <m:rPr>
                              <m:sty m:val="p"/>
                            </m:rPr>
                            <w:rPr>
                              <w:rFonts w:ascii="Cambria Math" w:hAnsi="Cambria Math"/>
                              <w:color w:val="000000"/>
                              <w:sz w:val="14"/>
                            </w:rPr>
                            <m:t>sin</m:t>
                          </m:r>
                        </m:fName>
                        <m:e>
                          <m:r>
                            <w:rPr>
                              <w:rFonts w:ascii="Cambria Math" w:hAnsi="Cambria Math"/>
                              <w:color w:val="000000"/>
                              <w:sz w:val="14"/>
                            </w:rPr>
                            <m:t>acceso a</m:t>
                          </m:r>
                        </m:e>
                      </m:func>
                      <m:r>
                        <w:rPr>
                          <w:rFonts w:ascii="Cambria Math" w:hAnsi="Cambria Math"/>
                          <w:color w:val="000000"/>
                          <w:sz w:val="14"/>
                        </w:rPr>
                        <m:t xml:space="preserve"> aguinaldo</m:t>
                      </m:r>
                    </m:sub>
                  </m:sSub>
                </m:e>
              </m:d>
              <m:r>
                <w:rPr>
                  <w:rFonts w:ascii="Cambria Math" w:hAnsi="Cambria Math"/>
                  <w:color w:val="000000"/>
                  <w:sz w:val="14"/>
                </w:rPr>
                <m:t>}*</m:t>
              </m:r>
              <m:sSub>
                <m:sSubPr>
                  <m:ctrlPr>
                    <w:rPr>
                      <w:rFonts w:ascii="Cambria Math" w:hAnsi="Cambria Math"/>
                      <w:i/>
                      <w:color w:val="000000"/>
                      <w:sz w:val="14"/>
                    </w:rPr>
                  </m:ctrlPr>
                </m:sSubPr>
                <m:e>
                  <m:r>
                    <w:rPr>
                      <w:rFonts w:ascii="Cambria Math" w:hAnsi="Cambria Math"/>
                      <w:color w:val="000000"/>
                      <w:sz w:val="14"/>
                    </w:rPr>
                    <m:t>δ</m:t>
                  </m:r>
                </m:e>
                <m:sub>
                  <m:r>
                    <w:rPr>
                      <w:rFonts w:ascii="Cambria Math" w:hAnsi="Cambria Math"/>
                      <w:color w:val="000000"/>
                      <w:sz w:val="14"/>
                    </w:rPr>
                    <m:t>M</m:t>
                  </m:r>
                </m:sub>
              </m:sSub>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N</m:t>
                  </m:r>
                </m:e>
                <m:sub>
                  <m:r>
                    <w:rPr>
                      <w:rFonts w:ascii="Cambria Math" w:hAnsi="Cambria Math"/>
                      <w:color w:val="000000"/>
                      <w:sz w:val="14"/>
                    </w:rPr>
                    <m:t>i,M</m:t>
                  </m:r>
                </m:sub>
              </m:sSub>
            </m:e>
          </m:d>
        </m:oMath>
      </m:oMathPara>
    </w:p>
    <w:p w14:paraId="1A536DE3" w14:textId="41F056AB" w:rsidR="00206363" w:rsidRPr="008174E3" w:rsidRDefault="00206363" w:rsidP="00206363">
      <w:pPr>
        <w:spacing w:before="360"/>
        <w:rPr>
          <w:rFonts w:ascii="Arial" w:hAnsi="Arial" w:cs="Arial"/>
          <w:color w:val="000000"/>
          <w:sz w:val="14"/>
        </w:rPr>
      </w:pPr>
      <m:oMathPara>
        <m:oMath>
          <m:r>
            <w:rPr>
              <w:rFonts w:ascii="Cambria Math" w:hAnsi="Cambria Math"/>
              <w:color w:val="000000"/>
              <w:sz w:val="14"/>
            </w:rPr>
            <m:t>=</m:t>
          </m:r>
          <m:d>
            <m:dPr>
              <m:ctrlPr>
                <w:rPr>
                  <w:rFonts w:ascii="Cambria Math" w:hAnsi="Cambria Math"/>
                  <w:i/>
                  <w:color w:val="000000"/>
                  <w:sz w:val="14"/>
                </w:rPr>
              </m:ctrlPr>
            </m:dPr>
            <m:e>
              <m:d>
                <m:dPr>
                  <m:ctrlPr>
                    <w:rPr>
                      <w:rFonts w:ascii="Cambria Math" w:hAnsi="Cambria Math"/>
                      <w:i/>
                      <w:color w:val="000000"/>
                      <w:sz w:val="14"/>
                    </w:rPr>
                  </m:ctrlPr>
                </m:dPr>
                <m:e>
                  <m:r>
                    <w:rPr>
                      <w:rFonts w:ascii="Cambria Math" w:hAnsi="Cambria Math"/>
                      <w:color w:val="000000"/>
                      <w:sz w:val="14"/>
                    </w:rPr>
                    <m:t>$93,76*24%*52*3%</m:t>
                  </m:r>
                </m:e>
              </m:d>
              <m:r>
                <w:rPr>
                  <w:rFonts w:ascii="Cambria Math" w:hAnsi="Cambria Math"/>
                  <w:color w:val="000000"/>
                  <w:sz w:val="14"/>
                </w:rPr>
                <m:t>*</m:t>
              </m:r>
              <m:r>
                <w:rPr>
                  <w:rFonts w:ascii="Cambria Math" w:hAnsi="Cambria Math"/>
                  <w:color w:val="000000"/>
                  <w:sz w:val="14"/>
                  <w:szCs w:val="22"/>
                </w:rPr>
                <m:t>290</m:t>
              </m:r>
              <m:r>
                <w:rPr>
                  <w:rFonts w:ascii="Cambria Math" w:hAnsi="Cambria Math"/>
                  <w:color w:val="000000"/>
                  <w:sz w:val="14"/>
                  <w:szCs w:val="22"/>
                </w:rPr>
                <m:t>.000</m:t>
              </m:r>
            </m:e>
          </m:d>
          <m:r>
            <w:rPr>
              <w:rFonts w:ascii="Cambria Math" w:hAnsi="Cambria Math"/>
              <w:color w:val="000000"/>
              <w:sz w:val="14"/>
            </w:rPr>
            <m:t>+</m:t>
          </m:r>
          <m:d>
            <m:dPr>
              <m:ctrlPr>
                <w:rPr>
                  <w:rFonts w:ascii="Cambria Math" w:hAnsi="Cambria Math"/>
                  <w:i/>
                  <w:color w:val="000000"/>
                  <w:sz w:val="14"/>
                </w:rPr>
              </m:ctrlPr>
            </m:dPr>
            <m:e>
              <m:d>
                <m:dPr>
                  <m:ctrlPr>
                    <w:rPr>
                      <w:rFonts w:ascii="Cambria Math" w:hAnsi="Cambria Math"/>
                      <w:i/>
                      <w:color w:val="000000"/>
                      <w:sz w:val="14"/>
                    </w:rPr>
                  </m:ctrlPr>
                </m:dPr>
                <m:e>
                  <m:r>
                    <w:rPr>
                      <w:rFonts w:ascii="Cambria Math" w:hAnsi="Cambria Math"/>
                      <w:color w:val="000000"/>
                      <w:sz w:val="14"/>
                    </w:rPr>
                    <m:t>$65,71*24%*52*3,5%</m:t>
                  </m:r>
                </m:e>
              </m:d>
              <m:r>
                <w:rPr>
                  <w:rFonts w:ascii="Cambria Math" w:hAnsi="Cambria Math"/>
                  <w:color w:val="000000"/>
                  <w:sz w:val="14"/>
                </w:rPr>
                <m:t>*</m:t>
              </m:r>
              <m:r>
                <w:rPr>
                  <w:rFonts w:ascii="Cambria Math" w:hAnsi="Cambria Math"/>
                  <w:color w:val="000000"/>
                  <w:sz w:val="14"/>
                </w:rPr>
                <m:t>210</m:t>
              </m:r>
              <m:r>
                <w:rPr>
                  <w:rFonts w:ascii="Cambria Math" w:hAnsi="Cambria Math"/>
                  <w:color w:val="000000"/>
                  <w:sz w:val="14"/>
                  <w:szCs w:val="22"/>
                </w:rPr>
                <m:t>.000</m:t>
              </m:r>
            </m:e>
          </m:d>
          <m:r>
            <w:rPr>
              <w:rFonts w:ascii="Cambria Math" w:hAnsi="Cambria Math"/>
              <w:color w:val="000000"/>
              <w:sz w:val="14"/>
            </w:rPr>
            <m:t>+</m:t>
          </m:r>
          <m:d>
            <m:dPr>
              <m:ctrlPr>
                <w:rPr>
                  <w:rFonts w:ascii="Cambria Math" w:hAnsi="Cambria Math"/>
                  <w:i/>
                  <w:color w:val="000000"/>
                  <w:sz w:val="14"/>
                </w:rPr>
              </m:ctrlPr>
            </m:dPr>
            <m:e>
              <m:d>
                <m:dPr>
                  <m:ctrlPr>
                    <w:rPr>
                      <w:rFonts w:ascii="Cambria Math" w:hAnsi="Cambria Math"/>
                      <w:i/>
                      <w:color w:val="000000"/>
                      <w:sz w:val="14"/>
                    </w:rPr>
                  </m:ctrlPr>
                </m:dPr>
                <m:e>
                  <m:r>
                    <w:rPr>
                      <w:rFonts w:ascii="Cambria Math" w:hAnsi="Cambria Math"/>
                      <w:color w:val="000000"/>
                      <w:sz w:val="14"/>
                      <w:szCs w:val="22"/>
                    </w:rPr>
                    <m:t>6</m:t>
                  </m:r>
                  <m:r>
                    <w:rPr>
                      <w:rFonts w:ascii="Cambria Math" w:hAnsi="Cambria Math"/>
                      <w:color w:val="000000"/>
                      <w:sz w:val="14"/>
                    </w:rPr>
                    <m:t>*$15,63*</m:t>
                  </m:r>
                  <m:r>
                    <w:rPr>
                      <w:rFonts w:ascii="Cambria Math" w:hAnsi="Cambria Math"/>
                      <w:color w:val="000000"/>
                      <w:sz w:val="14"/>
                      <w:szCs w:val="22"/>
                    </w:rPr>
                    <m:t>56%</m:t>
                  </m:r>
                </m:e>
              </m:d>
              <m:r>
                <w:rPr>
                  <w:rFonts w:ascii="Cambria Math" w:hAnsi="Cambria Math"/>
                  <w:color w:val="000000"/>
                  <w:sz w:val="14"/>
                </w:rPr>
                <m:t>+</m:t>
              </m:r>
              <m:d>
                <m:dPr>
                  <m:ctrlPr>
                    <w:rPr>
                      <w:rFonts w:ascii="Cambria Math" w:hAnsi="Cambria Math"/>
                      <w:i/>
                      <w:color w:val="000000"/>
                      <w:sz w:val="14"/>
                    </w:rPr>
                  </m:ctrlPr>
                </m:dPr>
                <m:e>
                  <m:r>
                    <w:rPr>
                      <w:rFonts w:ascii="Cambria Math" w:hAnsi="Cambria Math"/>
                      <w:color w:val="000000"/>
                      <w:sz w:val="14"/>
                    </w:rPr>
                    <m:t>15*15,63%*49%</m:t>
                  </m:r>
                </m:e>
              </m:d>
              <m:r>
                <w:rPr>
                  <w:rFonts w:ascii="Cambria Math" w:hAnsi="Cambria Math"/>
                  <w:color w:val="000000"/>
                  <w:sz w:val="14"/>
                </w:rPr>
                <m:t>}*3%*2</m:t>
              </m:r>
              <m:r>
                <w:rPr>
                  <w:rFonts w:ascii="Cambria Math" w:hAnsi="Cambria Math"/>
                  <w:color w:val="000000"/>
                  <w:sz w:val="14"/>
                </w:rPr>
                <m:t>90</m:t>
              </m:r>
              <m:r>
                <w:rPr>
                  <w:rFonts w:ascii="Cambria Math" w:hAnsi="Cambria Math"/>
                  <w:color w:val="000000"/>
                  <w:sz w:val="14"/>
                </w:rPr>
                <m:t>.000</m:t>
              </m:r>
            </m:e>
          </m:d>
          <m:r>
            <w:rPr>
              <w:rFonts w:ascii="Cambria Math" w:hAnsi="Cambria Math"/>
              <w:color w:val="000000"/>
              <w:sz w:val="14"/>
            </w:rPr>
            <m:t>+</m:t>
          </m:r>
          <m:d>
            <m:dPr>
              <m:ctrlPr>
                <w:rPr>
                  <w:rFonts w:ascii="Cambria Math" w:hAnsi="Cambria Math"/>
                  <w:i/>
                  <w:color w:val="000000"/>
                  <w:sz w:val="14"/>
                </w:rPr>
              </m:ctrlPr>
            </m:dPr>
            <m:e>
              <m:d>
                <m:dPr>
                  <m:ctrlPr>
                    <w:rPr>
                      <w:rFonts w:ascii="Cambria Math" w:hAnsi="Cambria Math"/>
                      <w:i/>
                      <w:color w:val="000000"/>
                      <w:sz w:val="14"/>
                    </w:rPr>
                  </m:ctrlPr>
                </m:dPr>
                <m:e>
                  <m:r>
                    <w:rPr>
                      <w:rFonts w:ascii="Cambria Math" w:hAnsi="Cambria Math"/>
                      <w:color w:val="000000"/>
                      <w:sz w:val="14"/>
                      <w:szCs w:val="22"/>
                    </w:rPr>
                    <m:t>6</m:t>
                  </m:r>
                  <m:r>
                    <w:rPr>
                      <w:rFonts w:ascii="Cambria Math" w:hAnsi="Cambria Math"/>
                      <w:color w:val="000000"/>
                      <w:sz w:val="14"/>
                    </w:rPr>
                    <m:t>*$10,95*</m:t>
                  </m:r>
                  <m:r>
                    <w:rPr>
                      <w:rFonts w:ascii="Cambria Math" w:hAnsi="Cambria Math"/>
                      <w:color w:val="000000"/>
                      <w:sz w:val="14"/>
                      <w:szCs w:val="22"/>
                    </w:rPr>
                    <m:t>56%</m:t>
                  </m:r>
                </m:e>
              </m:d>
              <m:r>
                <w:rPr>
                  <w:rFonts w:ascii="Cambria Math" w:hAnsi="Cambria Math"/>
                  <w:color w:val="000000"/>
                  <w:sz w:val="14"/>
                </w:rPr>
                <m:t>+</m:t>
              </m:r>
              <m:d>
                <m:dPr>
                  <m:ctrlPr>
                    <w:rPr>
                      <w:rFonts w:ascii="Cambria Math" w:hAnsi="Cambria Math"/>
                      <w:i/>
                      <w:color w:val="000000"/>
                      <w:sz w:val="14"/>
                    </w:rPr>
                  </m:ctrlPr>
                </m:dPr>
                <m:e>
                  <m:r>
                    <w:rPr>
                      <w:rFonts w:ascii="Cambria Math" w:hAnsi="Cambria Math"/>
                      <w:color w:val="000000"/>
                      <w:sz w:val="14"/>
                    </w:rPr>
                    <m:t>15*10,95%*49%</m:t>
                  </m:r>
                </m:e>
              </m:d>
              <m:r>
                <w:rPr>
                  <w:rFonts w:ascii="Cambria Math" w:hAnsi="Cambria Math"/>
                  <w:color w:val="000000"/>
                  <w:sz w:val="14"/>
                </w:rPr>
                <m:t>}*3.5%*</m:t>
              </m:r>
              <m:r>
                <w:rPr>
                  <w:rFonts w:ascii="Cambria Math" w:hAnsi="Cambria Math"/>
                  <w:color w:val="000000"/>
                  <w:sz w:val="14"/>
                </w:rPr>
                <m:t>210</m:t>
              </m:r>
              <m:r>
                <w:rPr>
                  <w:rFonts w:ascii="Cambria Math" w:hAnsi="Cambria Math"/>
                  <w:color w:val="000000"/>
                  <w:sz w:val="14"/>
                </w:rPr>
                <m:t>.000</m:t>
              </m:r>
            </m:e>
          </m:d>
        </m:oMath>
      </m:oMathPara>
    </w:p>
    <w:p w14:paraId="23B92AFA" w14:textId="44A28665" w:rsidR="00206363" w:rsidRPr="008174E3" w:rsidRDefault="00206363" w:rsidP="000C49A6">
      <w:pPr>
        <w:spacing w:before="360"/>
        <w:rPr>
          <w:rFonts w:ascii="Arial" w:hAnsi="Arial" w:cs="Arial"/>
          <w:b/>
        </w:rPr>
      </w:pPr>
      <m:oMathPara>
        <m:oMath>
          <m:r>
            <w:rPr>
              <w:rFonts w:ascii="Cambria Math" w:hAnsi="Cambria Math"/>
              <w:color w:val="000000"/>
              <w:sz w:val="14"/>
            </w:rPr>
            <m:t>=$1</m:t>
          </m:r>
          <m:r>
            <w:rPr>
              <w:rFonts w:ascii="Cambria Math" w:hAnsi="Cambria Math"/>
              <w:color w:val="000000"/>
              <w:sz w:val="14"/>
            </w:rPr>
            <m:t>8</m:t>
          </m:r>
          <m:r>
            <w:rPr>
              <w:rFonts w:ascii="Cambria Math" w:hAnsi="Cambria Math"/>
              <w:color w:val="000000"/>
              <w:sz w:val="14"/>
            </w:rPr>
            <m:t>.</m:t>
          </m:r>
          <m:r>
            <w:rPr>
              <w:rFonts w:ascii="Cambria Math" w:hAnsi="Cambria Math"/>
              <w:color w:val="000000"/>
              <w:sz w:val="14"/>
            </w:rPr>
            <m:t>524</m:t>
          </m:r>
          <m:r>
            <w:rPr>
              <w:rFonts w:ascii="Cambria Math" w:hAnsi="Cambria Math"/>
              <w:color w:val="000000"/>
              <w:sz w:val="14"/>
            </w:rPr>
            <m:t>.98</m:t>
          </m:r>
          <m:r>
            <w:rPr>
              <w:rFonts w:ascii="Cambria Math" w:hAnsi="Cambria Math"/>
              <w:color w:val="000000"/>
              <w:sz w:val="14"/>
            </w:rPr>
            <m:t>7</m:t>
          </m:r>
        </m:oMath>
      </m:oMathPara>
    </w:p>
    <w:p w14:paraId="07C2A7FD" w14:textId="77777777" w:rsidR="00A74A4E" w:rsidRPr="008174E3" w:rsidRDefault="00A74A4E" w:rsidP="002060F3">
      <w:pPr>
        <w:jc w:val="center"/>
        <w:rPr>
          <w:rFonts w:ascii="Arial" w:hAnsi="Arial" w:cs="Arial"/>
          <w:b/>
        </w:rPr>
      </w:pPr>
    </w:p>
    <w:p w14:paraId="2C2D95B5" w14:textId="69746CA5" w:rsidR="008457CF" w:rsidRPr="008174E3" w:rsidRDefault="00FC686C" w:rsidP="008457CF">
      <w:pPr>
        <w:jc w:val="center"/>
        <w:rPr>
          <w:rFonts w:ascii="Arial" w:hAnsi="Arial" w:cs="Arial"/>
          <w:b/>
          <w:sz w:val="22"/>
        </w:rPr>
      </w:pPr>
      <w:r w:rsidRPr="008174E3">
        <w:rPr>
          <w:rFonts w:ascii="Arial" w:hAnsi="Arial" w:cs="Arial"/>
          <w:b/>
          <w:sz w:val="22"/>
        </w:rPr>
        <w:t>Cuadro </w:t>
      </w:r>
      <w:r w:rsidR="008457CF" w:rsidRPr="008174E3">
        <w:rPr>
          <w:rFonts w:ascii="Arial" w:hAnsi="Arial" w:cs="Arial"/>
          <w:b/>
          <w:sz w:val="22"/>
        </w:rPr>
        <w:t>A</w:t>
      </w:r>
      <w:r w:rsidR="0022742F" w:rsidRPr="008174E3">
        <w:rPr>
          <w:rFonts w:ascii="Arial" w:hAnsi="Arial" w:cs="Arial"/>
          <w:b/>
          <w:sz w:val="22"/>
        </w:rPr>
        <w:t>8</w:t>
      </w:r>
      <w:r w:rsidR="008457CF" w:rsidRPr="008174E3">
        <w:rPr>
          <w:rFonts w:ascii="Arial" w:hAnsi="Arial" w:cs="Arial"/>
          <w:b/>
          <w:sz w:val="22"/>
        </w:rPr>
        <w:t xml:space="preserve">: Flujo </w:t>
      </w:r>
      <w:r w:rsidR="00E50982" w:rsidRPr="008174E3">
        <w:rPr>
          <w:rFonts w:ascii="Arial" w:hAnsi="Arial" w:cs="Arial"/>
          <w:b/>
          <w:sz w:val="22"/>
        </w:rPr>
        <w:t xml:space="preserve">Anual </w:t>
      </w:r>
      <w:r w:rsidR="008457CF" w:rsidRPr="008174E3">
        <w:rPr>
          <w:rFonts w:ascii="Arial" w:hAnsi="Arial" w:cs="Arial"/>
          <w:b/>
          <w:sz w:val="22"/>
        </w:rPr>
        <w:t xml:space="preserve">de Beneficios y Costos en VPN para </w:t>
      </w:r>
      <w:r w:rsidR="00170561" w:rsidRPr="008174E3">
        <w:rPr>
          <w:rFonts w:ascii="Arial" w:hAnsi="Arial" w:cs="Arial"/>
          <w:b/>
          <w:sz w:val="22"/>
        </w:rPr>
        <w:t>Fortalecimiento del PAE</w:t>
      </w:r>
      <w:r w:rsidR="008457CF" w:rsidRPr="008174E3">
        <w:rPr>
          <w:rFonts w:ascii="Arial" w:hAnsi="Arial" w:cs="Arial"/>
          <w:b/>
          <w:sz w:val="22"/>
        </w:rPr>
        <w:t xml:space="preserve"> </w:t>
      </w:r>
    </w:p>
    <w:p w14:paraId="3A49A6E3" w14:textId="77777777" w:rsidR="008F0CC6" w:rsidRPr="008174E3" w:rsidRDefault="008F0CC6" w:rsidP="008457CF">
      <w:pPr>
        <w:jc w:val="center"/>
        <w:rPr>
          <w:rFonts w:ascii="Arial" w:hAnsi="Arial" w:cs="Arial"/>
          <w:b/>
          <w:sz w:val="22"/>
        </w:rPr>
      </w:pPr>
    </w:p>
    <w:tbl>
      <w:tblPr>
        <w:tblW w:w="11556" w:type="dxa"/>
        <w:jc w:val="center"/>
        <w:tblLayout w:type="fixed"/>
        <w:tblLook w:val="04A0" w:firstRow="1" w:lastRow="0" w:firstColumn="1" w:lastColumn="0" w:noHBand="0" w:noVBand="1"/>
      </w:tblPr>
      <w:tblGrid>
        <w:gridCol w:w="1649"/>
        <w:gridCol w:w="632"/>
        <w:gridCol w:w="617"/>
        <w:gridCol w:w="651"/>
        <w:gridCol w:w="606"/>
        <w:gridCol w:w="675"/>
        <w:gridCol w:w="585"/>
        <w:gridCol w:w="648"/>
        <w:gridCol w:w="678"/>
        <w:gridCol w:w="567"/>
        <w:gridCol w:w="709"/>
        <w:gridCol w:w="709"/>
        <w:gridCol w:w="708"/>
        <w:gridCol w:w="706"/>
        <w:gridCol w:w="709"/>
        <w:gridCol w:w="707"/>
      </w:tblGrid>
      <w:tr w:rsidR="000B5330" w:rsidRPr="008174E3" w14:paraId="7F914493" w14:textId="77777777" w:rsidTr="00163274">
        <w:trPr>
          <w:trHeight w:val="567"/>
          <w:jc w:val="center"/>
        </w:trPr>
        <w:tc>
          <w:tcPr>
            <w:tcW w:w="11556" w:type="dxa"/>
            <w:gridSpan w:val="16"/>
            <w:tcBorders>
              <w:top w:val="nil"/>
              <w:left w:val="nil"/>
              <w:right w:val="nil"/>
            </w:tcBorders>
            <w:shd w:val="clear" w:color="000000" w:fill="DDEBF7"/>
            <w:vAlign w:val="bottom"/>
            <w:hideMark/>
          </w:tcPr>
          <w:p w14:paraId="64A741B9" w14:textId="6445C999" w:rsidR="005F760D" w:rsidRPr="008174E3" w:rsidRDefault="00281617" w:rsidP="000C74EF">
            <w:pPr>
              <w:jc w:val="center"/>
              <w:rPr>
                <w:rFonts w:ascii="Arial" w:hAnsi="Arial" w:cs="Arial"/>
                <w:b/>
                <w:bCs/>
                <w:color w:val="000000"/>
                <w:sz w:val="14"/>
                <w:szCs w:val="14"/>
              </w:rPr>
            </w:pPr>
            <w:r w:rsidRPr="008174E3">
              <w:rPr>
                <w:rFonts w:ascii="Arial" w:hAnsi="Arial" w:cs="Arial"/>
                <w:b/>
                <w:bCs/>
                <w:color w:val="000000"/>
                <w:sz w:val="14"/>
                <w:szCs w:val="14"/>
                <w:lang w:eastAsia="es-ES"/>
              </w:rPr>
              <w:t xml:space="preserve">Fortalecimiento </w:t>
            </w:r>
            <w:r w:rsidR="00170561" w:rsidRPr="008174E3">
              <w:rPr>
                <w:rFonts w:ascii="Arial" w:hAnsi="Arial" w:cs="Arial"/>
                <w:b/>
                <w:bCs/>
                <w:color w:val="000000"/>
                <w:sz w:val="14"/>
                <w:szCs w:val="14"/>
                <w:lang w:eastAsia="es-ES"/>
              </w:rPr>
              <w:t>del PAE</w:t>
            </w:r>
            <w:r w:rsidR="005F760D" w:rsidRPr="008174E3">
              <w:rPr>
                <w:rFonts w:ascii="Arial" w:hAnsi="Arial" w:cs="Arial"/>
                <w:b/>
                <w:bCs/>
                <w:color w:val="000000"/>
                <w:sz w:val="14"/>
                <w:szCs w:val="14"/>
                <w:lang w:eastAsia="es-ES"/>
              </w:rPr>
              <w:br/>
              <w:t>Millones de dólares</w:t>
            </w:r>
          </w:p>
        </w:tc>
      </w:tr>
      <w:tr w:rsidR="000B5330" w:rsidRPr="008174E3" w14:paraId="6BC140E4" w14:textId="77777777" w:rsidTr="001559F8">
        <w:trPr>
          <w:trHeight w:val="300"/>
          <w:jc w:val="center"/>
        </w:trPr>
        <w:tc>
          <w:tcPr>
            <w:tcW w:w="1649" w:type="dxa"/>
            <w:tcBorders>
              <w:top w:val="nil"/>
              <w:left w:val="nil"/>
              <w:bottom w:val="single" w:sz="4" w:space="0" w:color="auto"/>
              <w:right w:val="nil"/>
            </w:tcBorders>
            <w:shd w:val="clear" w:color="000000" w:fill="DDEBF7"/>
            <w:noWrap/>
            <w:vAlign w:val="bottom"/>
            <w:hideMark/>
          </w:tcPr>
          <w:p w14:paraId="0300AA9A" w14:textId="77777777" w:rsidR="005F760D" w:rsidRPr="008174E3" w:rsidRDefault="005F760D" w:rsidP="005F760D">
            <w:pPr>
              <w:rPr>
                <w:rFonts w:ascii="Arial" w:hAnsi="Arial" w:cs="Arial"/>
                <w:b/>
                <w:bCs/>
                <w:color w:val="000000"/>
                <w:sz w:val="14"/>
                <w:szCs w:val="14"/>
              </w:rPr>
            </w:pPr>
            <w:r w:rsidRPr="008174E3">
              <w:rPr>
                <w:rFonts w:ascii="Arial" w:hAnsi="Arial" w:cs="Arial"/>
                <w:b/>
                <w:bCs/>
                <w:color w:val="000000"/>
                <w:sz w:val="14"/>
                <w:szCs w:val="14"/>
              </w:rPr>
              <w:t> </w:t>
            </w:r>
          </w:p>
        </w:tc>
        <w:tc>
          <w:tcPr>
            <w:tcW w:w="632" w:type="dxa"/>
            <w:tcBorders>
              <w:top w:val="nil"/>
              <w:left w:val="nil"/>
              <w:bottom w:val="single" w:sz="4" w:space="0" w:color="auto"/>
              <w:right w:val="nil"/>
            </w:tcBorders>
            <w:shd w:val="clear" w:color="000000" w:fill="DDEBF7"/>
            <w:noWrap/>
            <w:vAlign w:val="center"/>
            <w:hideMark/>
          </w:tcPr>
          <w:p w14:paraId="4B9D7856" w14:textId="77777777" w:rsidR="005F760D" w:rsidRPr="008174E3" w:rsidRDefault="005F760D" w:rsidP="005F760D">
            <w:pPr>
              <w:rPr>
                <w:rFonts w:ascii="Arial" w:hAnsi="Arial" w:cs="Arial"/>
                <w:b/>
                <w:bCs/>
                <w:color w:val="000000"/>
                <w:sz w:val="14"/>
                <w:szCs w:val="14"/>
              </w:rPr>
            </w:pPr>
            <w:r w:rsidRPr="008174E3">
              <w:rPr>
                <w:rFonts w:ascii="Arial" w:hAnsi="Arial" w:cs="Arial"/>
                <w:b/>
                <w:bCs/>
                <w:color w:val="000000"/>
                <w:sz w:val="14"/>
                <w:szCs w:val="14"/>
              </w:rPr>
              <w:t>Año1</w:t>
            </w:r>
          </w:p>
        </w:tc>
        <w:tc>
          <w:tcPr>
            <w:tcW w:w="617" w:type="dxa"/>
            <w:tcBorders>
              <w:top w:val="nil"/>
              <w:left w:val="nil"/>
              <w:bottom w:val="single" w:sz="4" w:space="0" w:color="auto"/>
              <w:right w:val="nil"/>
            </w:tcBorders>
            <w:shd w:val="clear" w:color="000000" w:fill="DDEBF7"/>
            <w:noWrap/>
            <w:vAlign w:val="center"/>
            <w:hideMark/>
          </w:tcPr>
          <w:p w14:paraId="731E6364" w14:textId="77777777" w:rsidR="005F760D" w:rsidRPr="008174E3" w:rsidRDefault="005F760D" w:rsidP="005F760D">
            <w:pPr>
              <w:rPr>
                <w:rFonts w:ascii="Arial" w:hAnsi="Arial" w:cs="Arial"/>
                <w:b/>
                <w:bCs/>
                <w:color w:val="000000"/>
                <w:sz w:val="14"/>
                <w:szCs w:val="14"/>
              </w:rPr>
            </w:pPr>
            <w:r w:rsidRPr="008174E3">
              <w:rPr>
                <w:rFonts w:ascii="Arial" w:hAnsi="Arial" w:cs="Arial"/>
                <w:b/>
                <w:bCs/>
                <w:color w:val="000000"/>
                <w:sz w:val="14"/>
                <w:szCs w:val="14"/>
              </w:rPr>
              <w:t>Año2</w:t>
            </w:r>
          </w:p>
        </w:tc>
        <w:tc>
          <w:tcPr>
            <w:tcW w:w="651" w:type="dxa"/>
            <w:tcBorders>
              <w:top w:val="nil"/>
              <w:left w:val="nil"/>
              <w:bottom w:val="single" w:sz="4" w:space="0" w:color="auto"/>
              <w:right w:val="nil"/>
            </w:tcBorders>
            <w:shd w:val="clear" w:color="000000" w:fill="DDEBF7"/>
            <w:noWrap/>
            <w:vAlign w:val="center"/>
            <w:hideMark/>
          </w:tcPr>
          <w:p w14:paraId="6FD7F69A" w14:textId="77777777" w:rsidR="005F760D" w:rsidRPr="008174E3" w:rsidRDefault="005F760D" w:rsidP="005F760D">
            <w:pPr>
              <w:rPr>
                <w:rFonts w:ascii="Arial" w:hAnsi="Arial" w:cs="Arial"/>
                <w:b/>
                <w:bCs/>
                <w:color w:val="000000"/>
                <w:sz w:val="14"/>
                <w:szCs w:val="14"/>
              </w:rPr>
            </w:pPr>
            <w:r w:rsidRPr="008174E3">
              <w:rPr>
                <w:rFonts w:ascii="Arial" w:hAnsi="Arial" w:cs="Arial"/>
                <w:b/>
                <w:bCs/>
                <w:color w:val="000000"/>
                <w:sz w:val="14"/>
                <w:szCs w:val="14"/>
              </w:rPr>
              <w:t>Año3</w:t>
            </w:r>
          </w:p>
        </w:tc>
        <w:tc>
          <w:tcPr>
            <w:tcW w:w="606" w:type="dxa"/>
            <w:tcBorders>
              <w:top w:val="nil"/>
              <w:left w:val="nil"/>
              <w:bottom w:val="single" w:sz="4" w:space="0" w:color="auto"/>
              <w:right w:val="nil"/>
            </w:tcBorders>
            <w:shd w:val="clear" w:color="000000" w:fill="DDEBF7"/>
            <w:noWrap/>
            <w:vAlign w:val="center"/>
            <w:hideMark/>
          </w:tcPr>
          <w:p w14:paraId="4B1C54C6" w14:textId="77777777" w:rsidR="005F760D" w:rsidRPr="008174E3" w:rsidRDefault="005F760D" w:rsidP="005F760D">
            <w:pPr>
              <w:rPr>
                <w:rFonts w:ascii="Arial" w:hAnsi="Arial" w:cs="Arial"/>
                <w:b/>
                <w:bCs/>
                <w:color w:val="000000"/>
                <w:sz w:val="14"/>
                <w:szCs w:val="14"/>
              </w:rPr>
            </w:pPr>
            <w:r w:rsidRPr="008174E3">
              <w:rPr>
                <w:rFonts w:ascii="Arial" w:hAnsi="Arial" w:cs="Arial"/>
                <w:b/>
                <w:bCs/>
                <w:color w:val="000000"/>
                <w:sz w:val="14"/>
                <w:szCs w:val="14"/>
              </w:rPr>
              <w:t>Año4</w:t>
            </w:r>
          </w:p>
        </w:tc>
        <w:tc>
          <w:tcPr>
            <w:tcW w:w="675" w:type="dxa"/>
            <w:tcBorders>
              <w:top w:val="nil"/>
              <w:left w:val="nil"/>
              <w:bottom w:val="single" w:sz="4" w:space="0" w:color="auto"/>
              <w:right w:val="nil"/>
            </w:tcBorders>
            <w:shd w:val="clear" w:color="000000" w:fill="DDEBF7"/>
            <w:noWrap/>
            <w:vAlign w:val="center"/>
            <w:hideMark/>
          </w:tcPr>
          <w:p w14:paraId="18ED2040" w14:textId="77777777" w:rsidR="005F760D" w:rsidRPr="008174E3" w:rsidRDefault="005F760D" w:rsidP="005F760D">
            <w:pPr>
              <w:rPr>
                <w:rFonts w:ascii="Arial" w:hAnsi="Arial" w:cs="Arial"/>
                <w:b/>
                <w:bCs/>
                <w:color w:val="000000"/>
                <w:sz w:val="14"/>
                <w:szCs w:val="14"/>
              </w:rPr>
            </w:pPr>
            <w:r w:rsidRPr="008174E3">
              <w:rPr>
                <w:rFonts w:ascii="Arial" w:hAnsi="Arial" w:cs="Arial"/>
                <w:b/>
                <w:bCs/>
                <w:color w:val="000000"/>
                <w:sz w:val="14"/>
                <w:szCs w:val="14"/>
              </w:rPr>
              <w:t>Año5</w:t>
            </w:r>
          </w:p>
        </w:tc>
        <w:tc>
          <w:tcPr>
            <w:tcW w:w="585" w:type="dxa"/>
            <w:tcBorders>
              <w:top w:val="nil"/>
              <w:left w:val="nil"/>
              <w:bottom w:val="single" w:sz="4" w:space="0" w:color="auto"/>
              <w:right w:val="nil"/>
            </w:tcBorders>
            <w:shd w:val="clear" w:color="000000" w:fill="DDEBF7"/>
            <w:noWrap/>
            <w:vAlign w:val="center"/>
            <w:hideMark/>
          </w:tcPr>
          <w:p w14:paraId="5BFAF570" w14:textId="77777777" w:rsidR="005F760D" w:rsidRPr="008174E3" w:rsidRDefault="005F760D" w:rsidP="005F760D">
            <w:pPr>
              <w:rPr>
                <w:rFonts w:ascii="Arial" w:hAnsi="Arial" w:cs="Arial"/>
                <w:b/>
                <w:bCs/>
                <w:color w:val="000000"/>
                <w:sz w:val="14"/>
                <w:szCs w:val="14"/>
              </w:rPr>
            </w:pPr>
            <w:r w:rsidRPr="008174E3">
              <w:rPr>
                <w:rFonts w:ascii="Arial" w:hAnsi="Arial" w:cs="Arial"/>
                <w:b/>
                <w:bCs/>
                <w:color w:val="000000"/>
                <w:sz w:val="14"/>
                <w:szCs w:val="14"/>
              </w:rPr>
              <w:t>Año6</w:t>
            </w:r>
          </w:p>
        </w:tc>
        <w:tc>
          <w:tcPr>
            <w:tcW w:w="648" w:type="dxa"/>
            <w:tcBorders>
              <w:top w:val="nil"/>
              <w:left w:val="nil"/>
              <w:bottom w:val="single" w:sz="4" w:space="0" w:color="auto"/>
              <w:right w:val="nil"/>
            </w:tcBorders>
            <w:shd w:val="clear" w:color="000000" w:fill="DDEBF7"/>
            <w:noWrap/>
            <w:vAlign w:val="center"/>
            <w:hideMark/>
          </w:tcPr>
          <w:p w14:paraId="45A6C0C0" w14:textId="77777777" w:rsidR="005F760D" w:rsidRPr="008174E3" w:rsidRDefault="005F760D" w:rsidP="005F760D">
            <w:pPr>
              <w:rPr>
                <w:rFonts w:ascii="Arial" w:hAnsi="Arial" w:cs="Arial"/>
                <w:b/>
                <w:bCs/>
                <w:color w:val="000000"/>
                <w:sz w:val="14"/>
                <w:szCs w:val="14"/>
              </w:rPr>
            </w:pPr>
            <w:r w:rsidRPr="008174E3">
              <w:rPr>
                <w:rFonts w:ascii="Arial" w:hAnsi="Arial" w:cs="Arial"/>
                <w:b/>
                <w:bCs/>
                <w:color w:val="000000"/>
                <w:sz w:val="14"/>
                <w:szCs w:val="14"/>
              </w:rPr>
              <w:t>Año7</w:t>
            </w:r>
          </w:p>
        </w:tc>
        <w:tc>
          <w:tcPr>
            <w:tcW w:w="678" w:type="dxa"/>
            <w:tcBorders>
              <w:top w:val="nil"/>
              <w:left w:val="nil"/>
              <w:bottom w:val="single" w:sz="4" w:space="0" w:color="auto"/>
              <w:right w:val="nil"/>
            </w:tcBorders>
            <w:shd w:val="clear" w:color="000000" w:fill="DDEBF7"/>
            <w:noWrap/>
            <w:vAlign w:val="center"/>
            <w:hideMark/>
          </w:tcPr>
          <w:p w14:paraId="293D5148" w14:textId="77777777" w:rsidR="005F760D" w:rsidRPr="008174E3" w:rsidRDefault="005F760D" w:rsidP="005F760D">
            <w:pPr>
              <w:rPr>
                <w:rFonts w:ascii="Arial" w:hAnsi="Arial" w:cs="Arial"/>
                <w:b/>
                <w:bCs/>
                <w:color w:val="000000"/>
                <w:sz w:val="14"/>
                <w:szCs w:val="14"/>
              </w:rPr>
            </w:pPr>
            <w:r w:rsidRPr="008174E3">
              <w:rPr>
                <w:rFonts w:ascii="Arial" w:hAnsi="Arial" w:cs="Arial"/>
                <w:b/>
                <w:bCs/>
                <w:color w:val="000000"/>
                <w:sz w:val="14"/>
                <w:szCs w:val="14"/>
              </w:rPr>
              <w:t>Año8</w:t>
            </w:r>
          </w:p>
        </w:tc>
        <w:tc>
          <w:tcPr>
            <w:tcW w:w="567" w:type="dxa"/>
            <w:tcBorders>
              <w:top w:val="nil"/>
              <w:left w:val="nil"/>
              <w:bottom w:val="single" w:sz="4" w:space="0" w:color="auto"/>
              <w:right w:val="nil"/>
            </w:tcBorders>
            <w:shd w:val="clear" w:color="000000" w:fill="DDEBF7"/>
            <w:noWrap/>
            <w:vAlign w:val="center"/>
            <w:hideMark/>
          </w:tcPr>
          <w:p w14:paraId="3063EE3B" w14:textId="77777777" w:rsidR="005F760D" w:rsidRPr="008174E3" w:rsidRDefault="005F760D" w:rsidP="005F760D">
            <w:pPr>
              <w:rPr>
                <w:rFonts w:ascii="Arial" w:hAnsi="Arial" w:cs="Arial"/>
                <w:b/>
                <w:bCs/>
                <w:color w:val="000000"/>
                <w:sz w:val="14"/>
                <w:szCs w:val="14"/>
              </w:rPr>
            </w:pPr>
            <w:r w:rsidRPr="008174E3">
              <w:rPr>
                <w:rFonts w:ascii="Arial" w:hAnsi="Arial" w:cs="Arial"/>
                <w:b/>
                <w:bCs/>
                <w:color w:val="000000"/>
                <w:sz w:val="14"/>
                <w:szCs w:val="14"/>
              </w:rPr>
              <w:t>Año9</w:t>
            </w:r>
          </w:p>
        </w:tc>
        <w:tc>
          <w:tcPr>
            <w:tcW w:w="709" w:type="dxa"/>
            <w:tcBorders>
              <w:top w:val="nil"/>
              <w:left w:val="nil"/>
              <w:bottom w:val="single" w:sz="4" w:space="0" w:color="auto"/>
              <w:right w:val="nil"/>
            </w:tcBorders>
            <w:shd w:val="clear" w:color="000000" w:fill="DDEBF7"/>
            <w:noWrap/>
            <w:vAlign w:val="center"/>
            <w:hideMark/>
          </w:tcPr>
          <w:p w14:paraId="04B71452" w14:textId="77777777" w:rsidR="005F760D" w:rsidRPr="008174E3" w:rsidRDefault="005F760D" w:rsidP="005F760D">
            <w:pPr>
              <w:rPr>
                <w:rFonts w:ascii="Arial" w:hAnsi="Arial" w:cs="Arial"/>
                <w:b/>
                <w:bCs/>
                <w:color w:val="000000"/>
                <w:sz w:val="14"/>
                <w:szCs w:val="14"/>
              </w:rPr>
            </w:pPr>
            <w:r w:rsidRPr="008174E3">
              <w:rPr>
                <w:rFonts w:ascii="Arial" w:hAnsi="Arial" w:cs="Arial"/>
                <w:b/>
                <w:bCs/>
                <w:color w:val="000000"/>
                <w:sz w:val="14"/>
                <w:szCs w:val="14"/>
              </w:rPr>
              <w:t>Año10</w:t>
            </w:r>
          </w:p>
        </w:tc>
        <w:tc>
          <w:tcPr>
            <w:tcW w:w="709" w:type="dxa"/>
            <w:tcBorders>
              <w:top w:val="nil"/>
              <w:left w:val="nil"/>
              <w:bottom w:val="single" w:sz="4" w:space="0" w:color="auto"/>
              <w:right w:val="nil"/>
            </w:tcBorders>
            <w:shd w:val="clear" w:color="000000" w:fill="DDEBF7"/>
            <w:noWrap/>
            <w:vAlign w:val="center"/>
            <w:hideMark/>
          </w:tcPr>
          <w:p w14:paraId="7E933AD1" w14:textId="77777777" w:rsidR="005F760D" w:rsidRPr="008174E3" w:rsidRDefault="005F760D" w:rsidP="005F760D">
            <w:pPr>
              <w:rPr>
                <w:rFonts w:ascii="Arial" w:hAnsi="Arial" w:cs="Arial"/>
                <w:b/>
                <w:bCs/>
                <w:color w:val="000000"/>
                <w:sz w:val="14"/>
                <w:szCs w:val="14"/>
              </w:rPr>
            </w:pPr>
            <w:r w:rsidRPr="008174E3">
              <w:rPr>
                <w:rFonts w:ascii="Arial" w:hAnsi="Arial" w:cs="Arial"/>
                <w:b/>
                <w:bCs/>
                <w:color w:val="000000"/>
                <w:sz w:val="14"/>
                <w:szCs w:val="14"/>
              </w:rPr>
              <w:t>Año11</w:t>
            </w:r>
          </w:p>
        </w:tc>
        <w:tc>
          <w:tcPr>
            <w:tcW w:w="708" w:type="dxa"/>
            <w:tcBorders>
              <w:top w:val="nil"/>
              <w:left w:val="nil"/>
              <w:bottom w:val="single" w:sz="4" w:space="0" w:color="auto"/>
              <w:right w:val="nil"/>
            </w:tcBorders>
            <w:shd w:val="clear" w:color="000000" w:fill="DDEBF7"/>
            <w:noWrap/>
            <w:vAlign w:val="center"/>
            <w:hideMark/>
          </w:tcPr>
          <w:p w14:paraId="71446A7F" w14:textId="77777777" w:rsidR="005F760D" w:rsidRPr="008174E3" w:rsidRDefault="005F760D" w:rsidP="005F760D">
            <w:pPr>
              <w:rPr>
                <w:rFonts w:ascii="Arial" w:hAnsi="Arial" w:cs="Arial"/>
                <w:b/>
                <w:bCs/>
                <w:color w:val="000000"/>
                <w:sz w:val="14"/>
                <w:szCs w:val="14"/>
              </w:rPr>
            </w:pPr>
            <w:r w:rsidRPr="008174E3">
              <w:rPr>
                <w:rFonts w:ascii="Arial" w:hAnsi="Arial" w:cs="Arial"/>
                <w:b/>
                <w:bCs/>
                <w:color w:val="000000"/>
                <w:sz w:val="14"/>
                <w:szCs w:val="14"/>
              </w:rPr>
              <w:t>Año12</w:t>
            </w:r>
          </w:p>
        </w:tc>
        <w:tc>
          <w:tcPr>
            <w:tcW w:w="706" w:type="dxa"/>
            <w:tcBorders>
              <w:top w:val="nil"/>
              <w:left w:val="nil"/>
              <w:bottom w:val="single" w:sz="4" w:space="0" w:color="auto"/>
              <w:right w:val="nil"/>
            </w:tcBorders>
            <w:shd w:val="clear" w:color="000000" w:fill="DDEBF7"/>
            <w:noWrap/>
            <w:vAlign w:val="center"/>
            <w:hideMark/>
          </w:tcPr>
          <w:p w14:paraId="68B66CAA" w14:textId="77777777" w:rsidR="005F760D" w:rsidRPr="008174E3" w:rsidRDefault="005F760D" w:rsidP="005F760D">
            <w:pPr>
              <w:rPr>
                <w:rFonts w:ascii="Arial" w:hAnsi="Arial" w:cs="Arial"/>
                <w:b/>
                <w:bCs/>
                <w:color w:val="000000"/>
                <w:sz w:val="14"/>
                <w:szCs w:val="14"/>
              </w:rPr>
            </w:pPr>
            <w:r w:rsidRPr="008174E3">
              <w:rPr>
                <w:rFonts w:ascii="Arial" w:hAnsi="Arial" w:cs="Arial"/>
                <w:b/>
                <w:bCs/>
                <w:color w:val="000000"/>
                <w:sz w:val="14"/>
                <w:szCs w:val="14"/>
              </w:rPr>
              <w:t>Año13</w:t>
            </w:r>
          </w:p>
        </w:tc>
        <w:tc>
          <w:tcPr>
            <w:tcW w:w="709" w:type="dxa"/>
            <w:tcBorders>
              <w:top w:val="nil"/>
              <w:left w:val="nil"/>
              <w:bottom w:val="single" w:sz="4" w:space="0" w:color="auto"/>
              <w:right w:val="nil"/>
            </w:tcBorders>
            <w:shd w:val="clear" w:color="000000" w:fill="DDEBF7"/>
            <w:noWrap/>
            <w:vAlign w:val="center"/>
            <w:hideMark/>
          </w:tcPr>
          <w:p w14:paraId="3973B091" w14:textId="77777777" w:rsidR="005F760D" w:rsidRPr="008174E3" w:rsidRDefault="005F760D" w:rsidP="005F760D">
            <w:pPr>
              <w:rPr>
                <w:rFonts w:ascii="Arial" w:hAnsi="Arial" w:cs="Arial"/>
                <w:b/>
                <w:bCs/>
                <w:color w:val="000000"/>
                <w:sz w:val="14"/>
                <w:szCs w:val="14"/>
              </w:rPr>
            </w:pPr>
            <w:r w:rsidRPr="008174E3">
              <w:rPr>
                <w:rFonts w:ascii="Arial" w:hAnsi="Arial" w:cs="Arial"/>
                <w:b/>
                <w:bCs/>
                <w:color w:val="000000"/>
                <w:sz w:val="14"/>
                <w:szCs w:val="14"/>
              </w:rPr>
              <w:t>Año14</w:t>
            </w:r>
          </w:p>
        </w:tc>
        <w:tc>
          <w:tcPr>
            <w:tcW w:w="707" w:type="dxa"/>
            <w:tcBorders>
              <w:top w:val="nil"/>
              <w:left w:val="nil"/>
              <w:bottom w:val="single" w:sz="4" w:space="0" w:color="auto"/>
              <w:right w:val="nil"/>
            </w:tcBorders>
            <w:shd w:val="clear" w:color="000000" w:fill="DDEBF7"/>
            <w:noWrap/>
            <w:vAlign w:val="center"/>
            <w:hideMark/>
          </w:tcPr>
          <w:p w14:paraId="2649795A" w14:textId="77777777" w:rsidR="005F760D" w:rsidRPr="008174E3" w:rsidRDefault="005F760D" w:rsidP="005F760D">
            <w:pPr>
              <w:rPr>
                <w:rFonts w:ascii="Arial" w:hAnsi="Arial" w:cs="Arial"/>
                <w:b/>
                <w:bCs/>
                <w:color w:val="000000"/>
                <w:sz w:val="14"/>
                <w:szCs w:val="14"/>
              </w:rPr>
            </w:pPr>
            <w:r w:rsidRPr="008174E3">
              <w:rPr>
                <w:rFonts w:ascii="Arial" w:hAnsi="Arial" w:cs="Arial"/>
                <w:b/>
                <w:bCs/>
                <w:color w:val="000000"/>
                <w:sz w:val="14"/>
                <w:szCs w:val="14"/>
              </w:rPr>
              <w:t>Total</w:t>
            </w:r>
          </w:p>
        </w:tc>
      </w:tr>
      <w:tr w:rsidR="000C1E37" w:rsidRPr="008174E3" w14:paraId="22E199E1" w14:textId="77777777" w:rsidTr="000C1E37">
        <w:trPr>
          <w:trHeight w:val="300"/>
          <w:jc w:val="center"/>
        </w:trPr>
        <w:tc>
          <w:tcPr>
            <w:tcW w:w="1649" w:type="dxa"/>
            <w:tcBorders>
              <w:top w:val="single" w:sz="4" w:space="0" w:color="auto"/>
              <w:left w:val="nil"/>
              <w:bottom w:val="nil"/>
              <w:right w:val="nil"/>
            </w:tcBorders>
            <w:shd w:val="clear" w:color="auto" w:fill="auto"/>
            <w:noWrap/>
            <w:hideMark/>
          </w:tcPr>
          <w:p w14:paraId="6FE36ACE" w14:textId="03EEE30C" w:rsidR="000C1E37" w:rsidRPr="008174E3" w:rsidRDefault="000C1E37" w:rsidP="000C1E37">
            <w:pPr>
              <w:rPr>
                <w:rFonts w:ascii="Arial" w:hAnsi="Arial" w:cs="Arial"/>
                <w:color w:val="000000"/>
                <w:sz w:val="14"/>
                <w:szCs w:val="14"/>
              </w:rPr>
            </w:pPr>
            <w:r w:rsidRPr="008174E3">
              <w:rPr>
                <w:rFonts w:ascii="Arial" w:hAnsi="Arial" w:cs="Arial"/>
                <w:sz w:val="14"/>
                <w:szCs w:val="14"/>
              </w:rPr>
              <w:t xml:space="preserve">Beneficios Económicos en VPN </w:t>
            </w:r>
          </w:p>
        </w:tc>
        <w:tc>
          <w:tcPr>
            <w:tcW w:w="632" w:type="dxa"/>
            <w:tcBorders>
              <w:top w:val="single" w:sz="4" w:space="0" w:color="auto"/>
              <w:left w:val="nil"/>
              <w:bottom w:val="nil"/>
              <w:right w:val="nil"/>
            </w:tcBorders>
            <w:shd w:val="clear" w:color="auto" w:fill="auto"/>
            <w:noWrap/>
            <w:vAlign w:val="center"/>
            <w:hideMark/>
          </w:tcPr>
          <w:p w14:paraId="028543F8" w14:textId="04050AE4" w:rsidR="000C1E37" w:rsidRPr="008174E3" w:rsidRDefault="000C1E37" w:rsidP="000C1E37">
            <w:pPr>
              <w:jc w:val="right"/>
              <w:rPr>
                <w:rFonts w:ascii="Arial" w:hAnsi="Arial" w:cs="Arial"/>
                <w:sz w:val="14"/>
                <w:szCs w:val="14"/>
              </w:rPr>
            </w:pPr>
            <w:r w:rsidRPr="000C1E37">
              <w:rPr>
                <w:rFonts w:ascii="Arial" w:hAnsi="Arial" w:cs="Arial"/>
                <w:sz w:val="14"/>
                <w:szCs w:val="14"/>
              </w:rPr>
              <w:t>3</w:t>
            </w:r>
            <w:r>
              <w:rPr>
                <w:rFonts w:ascii="Arial" w:hAnsi="Arial" w:cs="Arial"/>
                <w:sz w:val="14"/>
                <w:szCs w:val="14"/>
              </w:rPr>
              <w:t>,</w:t>
            </w:r>
            <w:r w:rsidRPr="000C1E37">
              <w:rPr>
                <w:rFonts w:ascii="Arial" w:hAnsi="Arial" w:cs="Arial"/>
                <w:sz w:val="14"/>
                <w:szCs w:val="14"/>
              </w:rPr>
              <w:t>89</w:t>
            </w:r>
          </w:p>
        </w:tc>
        <w:tc>
          <w:tcPr>
            <w:tcW w:w="617" w:type="dxa"/>
            <w:tcBorders>
              <w:top w:val="single" w:sz="4" w:space="0" w:color="auto"/>
              <w:left w:val="nil"/>
              <w:bottom w:val="nil"/>
              <w:right w:val="nil"/>
            </w:tcBorders>
            <w:shd w:val="clear" w:color="auto" w:fill="auto"/>
            <w:noWrap/>
            <w:vAlign w:val="center"/>
            <w:hideMark/>
          </w:tcPr>
          <w:p w14:paraId="4D8D408F" w14:textId="44A0F692" w:rsidR="000C1E37" w:rsidRPr="008174E3" w:rsidRDefault="000C1E37" w:rsidP="000C1E37">
            <w:pPr>
              <w:jc w:val="right"/>
              <w:rPr>
                <w:rFonts w:ascii="Arial" w:hAnsi="Arial" w:cs="Arial"/>
                <w:sz w:val="14"/>
                <w:szCs w:val="14"/>
              </w:rPr>
            </w:pPr>
            <w:r w:rsidRPr="000C1E37">
              <w:rPr>
                <w:rFonts w:ascii="Arial" w:hAnsi="Arial" w:cs="Arial"/>
                <w:sz w:val="14"/>
                <w:szCs w:val="14"/>
              </w:rPr>
              <w:t>8</w:t>
            </w:r>
            <w:r>
              <w:rPr>
                <w:rFonts w:ascii="Arial" w:hAnsi="Arial" w:cs="Arial"/>
                <w:sz w:val="14"/>
                <w:szCs w:val="14"/>
              </w:rPr>
              <w:t>,</w:t>
            </w:r>
            <w:r w:rsidRPr="000C1E37">
              <w:rPr>
                <w:rFonts w:ascii="Arial" w:hAnsi="Arial" w:cs="Arial"/>
                <w:sz w:val="14"/>
                <w:szCs w:val="14"/>
              </w:rPr>
              <w:t>10</w:t>
            </w:r>
          </w:p>
        </w:tc>
        <w:tc>
          <w:tcPr>
            <w:tcW w:w="651" w:type="dxa"/>
            <w:tcBorders>
              <w:top w:val="single" w:sz="4" w:space="0" w:color="auto"/>
              <w:left w:val="nil"/>
              <w:bottom w:val="nil"/>
              <w:right w:val="nil"/>
            </w:tcBorders>
            <w:shd w:val="clear" w:color="auto" w:fill="auto"/>
            <w:noWrap/>
            <w:vAlign w:val="center"/>
            <w:hideMark/>
          </w:tcPr>
          <w:p w14:paraId="3EF28206" w14:textId="60CBDCE2" w:rsidR="000C1E37" w:rsidRPr="008174E3" w:rsidRDefault="000C1E37" w:rsidP="000C1E37">
            <w:pPr>
              <w:jc w:val="right"/>
              <w:rPr>
                <w:rFonts w:ascii="Arial" w:hAnsi="Arial" w:cs="Arial"/>
                <w:sz w:val="14"/>
                <w:szCs w:val="14"/>
              </w:rPr>
            </w:pPr>
            <w:r w:rsidRPr="000C1E37">
              <w:rPr>
                <w:rFonts w:ascii="Arial" w:hAnsi="Arial" w:cs="Arial"/>
                <w:sz w:val="14"/>
                <w:szCs w:val="14"/>
              </w:rPr>
              <w:t>11</w:t>
            </w:r>
            <w:r>
              <w:rPr>
                <w:rFonts w:ascii="Arial" w:hAnsi="Arial" w:cs="Arial"/>
                <w:sz w:val="14"/>
                <w:szCs w:val="14"/>
              </w:rPr>
              <w:t>,</w:t>
            </w:r>
            <w:r w:rsidRPr="000C1E37">
              <w:rPr>
                <w:rFonts w:ascii="Arial" w:hAnsi="Arial" w:cs="Arial"/>
                <w:sz w:val="14"/>
                <w:szCs w:val="14"/>
              </w:rPr>
              <w:t>37</w:t>
            </w:r>
          </w:p>
        </w:tc>
        <w:tc>
          <w:tcPr>
            <w:tcW w:w="606" w:type="dxa"/>
            <w:tcBorders>
              <w:top w:val="single" w:sz="4" w:space="0" w:color="auto"/>
              <w:left w:val="nil"/>
              <w:bottom w:val="nil"/>
              <w:right w:val="nil"/>
            </w:tcBorders>
            <w:shd w:val="clear" w:color="auto" w:fill="auto"/>
            <w:noWrap/>
            <w:vAlign w:val="center"/>
            <w:hideMark/>
          </w:tcPr>
          <w:p w14:paraId="7872E303" w14:textId="112256F7" w:rsidR="000C1E37" w:rsidRPr="008174E3" w:rsidRDefault="000C1E37" w:rsidP="000C1E37">
            <w:pPr>
              <w:jc w:val="right"/>
              <w:rPr>
                <w:rFonts w:ascii="Arial" w:hAnsi="Arial" w:cs="Arial"/>
                <w:sz w:val="14"/>
                <w:szCs w:val="14"/>
              </w:rPr>
            </w:pPr>
            <w:r w:rsidRPr="000C1E37">
              <w:rPr>
                <w:rFonts w:ascii="Arial" w:hAnsi="Arial" w:cs="Arial"/>
                <w:sz w:val="14"/>
                <w:szCs w:val="14"/>
              </w:rPr>
              <w:t>13</w:t>
            </w:r>
            <w:r>
              <w:rPr>
                <w:rFonts w:ascii="Arial" w:hAnsi="Arial" w:cs="Arial"/>
                <w:sz w:val="14"/>
                <w:szCs w:val="14"/>
              </w:rPr>
              <w:t>,</w:t>
            </w:r>
            <w:r w:rsidRPr="000C1E37">
              <w:rPr>
                <w:rFonts w:ascii="Arial" w:hAnsi="Arial" w:cs="Arial"/>
                <w:sz w:val="14"/>
                <w:szCs w:val="14"/>
              </w:rPr>
              <w:t>84</w:t>
            </w:r>
          </w:p>
        </w:tc>
        <w:tc>
          <w:tcPr>
            <w:tcW w:w="675" w:type="dxa"/>
            <w:tcBorders>
              <w:top w:val="single" w:sz="4" w:space="0" w:color="auto"/>
              <w:left w:val="nil"/>
              <w:bottom w:val="nil"/>
              <w:right w:val="nil"/>
            </w:tcBorders>
            <w:shd w:val="clear" w:color="auto" w:fill="auto"/>
            <w:noWrap/>
            <w:vAlign w:val="center"/>
            <w:hideMark/>
          </w:tcPr>
          <w:p w14:paraId="6A7BEB30" w14:textId="568DAF3C" w:rsidR="000C1E37" w:rsidRPr="008174E3" w:rsidRDefault="000C1E37" w:rsidP="000C1E37">
            <w:pPr>
              <w:jc w:val="right"/>
              <w:rPr>
                <w:rFonts w:ascii="Arial" w:hAnsi="Arial" w:cs="Arial"/>
                <w:sz w:val="14"/>
                <w:szCs w:val="14"/>
              </w:rPr>
            </w:pPr>
            <w:r w:rsidRPr="000C1E37">
              <w:rPr>
                <w:rFonts w:ascii="Arial" w:hAnsi="Arial" w:cs="Arial"/>
                <w:sz w:val="14"/>
                <w:szCs w:val="14"/>
              </w:rPr>
              <w:t>15</w:t>
            </w:r>
            <w:r>
              <w:rPr>
                <w:rFonts w:ascii="Arial" w:hAnsi="Arial" w:cs="Arial"/>
                <w:sz w:val="14"/>
                <w:szCs w:val="14"/>
              </w:rPr>
              <w:t>,</w:t>
            </w:r>
            <w:r w:rsidRPr="000C1E37">
              <w:rPr>
                <w:rFonts w:ascii="Arial" w:hAnsi="Arial" w:cs="Arial"/>
                <w:sz w:val="14"/>
                <w:szCs w:val="14"/>
              </w:rPr>
              <w:t>66</w:t>
            </w:r>
          </w:p>
        </w:tc>
        <w:tc>
          <w:tcPr>
            <w:tcW w:w="585" w:type="dxa"/>
            <w:tcBorders>
              <w:top w:val="single" w:sz="4" w:space="0" w:color="auto"/>
              <w:left w:val="nil"/>
              <w:bottom w:val="nil"/>
              <w:right w:val="nil"/>
            </w:tcBorders>
            <w:shd w:val="clear" w:color="auto" w:fill="auto"/>
            <w:noWrap/>
            <w:vAlign w:val="center"/>
            <w:hideMark/>
          </w:tcPr>
          <w:p w14:paraId="2EFA8F71" w14:textId="4F504DD2" w:rsidR="000C1E37" w:rsidRPr="008174E3" w:rsidRDefault="000C1E37" w:rsidP="000C1E37">
            <w:pPr>
              <w:jc w:val="right"/>
              <w:rPr>
                <w:rFonts w:ascii="Arial" w:hAnsi="Arial" w:cs="Arial"/>
                <w:sz w:val="14"/>
                <w:szCs w:val="14"/>
              </w:rPr>
            </w:pPr>
            <w:r w:rsidRPr="000C1E37">
              <w:rPr>
                <w:rFonts w:ascii="Arial" w:hAnsi="Arial" w:cs="Arial"/>
                <w:sz w:val="14"/>
                <w:szCs w:val="14"/>
              </w:rPr>
              <w:t>14</w:t>
            </w:r>
            <w:r>
              <w:rPr>
                <w:rFonts w:ascii="Arial" w:hAnsi="Arial" w:cs="Arial"/>
                <w:sz w:val="14"/>
                <w:szCs w:val="14"/>
              </w:rPr>
              <w:t>,</w:t>
            </w:r>
            <w:r w:rsidRPr="000C1E37">
              <w:rPr>
                <w:rFonts w:ascii="Arial" w:hAnsi="Arial" w:cs="Arial"/>
                <w:sz w:val="14"/>
                <w:szCs w:val="14"/>
              </w:rPr>
              <w:t>71</w:t>
            </w:r>
          </w:p>
        </w:tc>
        <w:tc>
          <w:tcPr>
            <w:tcW w:w="648" w:type="dxa"/>
            <w:tcBorders>
              <w:top w:val="single" w:sz="4" w:space="0" w:color="auto"/>
              <w:left w:val="nil"/>
              <w:bottom w:val="nil"/>
              <w:right w:val="nil"/>
            </w:tcBorders>
            <w:shd w:val="clear" w:color="auto" w:fill="auto"/>
            <w:noWrap/>
            <w:vAlign w:val="center"/>
            <w:hideMark/>
          </w:tcPr>
          <w:p w14:paraId="5D5DB751" w14:textId="0EB05483" w:rsidR="000C1E37" w:rsidRPr="008174E3" w:rsidRDefault="000C1E37" w:rsidP="000C1E37">
            <w:pPr>
              <w:jc w:val="right"/>
              <w:rPr>
                <w:rFonts w:ascii="Arial" w:hAnsi="Arial" w:cs="Arial"/>
                <w:sz w:val="14"/>
                <w:szCs w:val="14"/>
              </w:rPr>
            </w:pPr>
            <w:r w:rsidRPr="000C1E37">
              <w:rPr>
                <w:rFonts w:ascii="Arial" w:hAnsi="Arial" w:cs="Arial"/>
                <w:sz w:val="14"/>
                <w:szCs w:val="14"/>
              </w:rPr>
              <w:t>13</w:t>
            </w:r>
            <w:r>
              <w:rPr>
                <w:rFonts w:ascii="Arial" w:hAnsi="Arial" w:cs="Arial"/>
                <w:sz w:val="14"/>
                <w:szCs w:val="14"/>
              </w:rPr>
              <w:t>,</w:t>
            </w:r>
            <w:r w:rsidRPr="000C1E37">
              <w:rPr>
                <w:rFonts w:ascii="Arial" w:hAnsi="Arial" w:cs="Arial"/>
                <w:sz w:val="14"/>
                <w:szCs w:val="14"/>
              </w:rPr>
              <w:t>14</w:t>
            </w:r>
          </w:p>
        </w:tc>
        <w:tc>
          <w:tcPr>
            <w:tcW w:w="678" w:type="dxa"/>
            <w:tcBorders>
              <w:top w:val="single" w:sz="4" w:space="0" w:color="auto"/>
              <w:left w:val="nil"/>
              <w:bottom w:val="nil"/>
              <w:right w:val="nil"/>
            </w:tcBorders>
            <w:shd w:val="clear" w:color="auto" w:fill="auto"/>
            <w:noWrap/>
            <w:vAlign w:val="center"/>
            <w:hideMark/>
          </w:tcPr>
          <w:p w14:paraId="6F4E9363" w14:textId="23CE3F44" w:rsidR="000C1E37" w:rsidRPr="008174E3" w:rsidRDefault="000C1E37" w:rsidP="000C1E37">
            <w:pPr>
              <w:jc w:val="right"/>
              <w:rPr>
                <w:rFonts w:ascii="Arial" w:hAnsi="Arial" w:cs="Arial"/>
                <w:sz w:val="14"/>
                <w:szCs w:val="14"/>
              </w:rPr>
            </w:pPr>
            <w:r w:rsidRPr="000C1E37">
              <w:rPr>
                <w:rFonts w:ascii="Arial" w:hAnsi="Arial" w:cs="Arial"/>
                <w:sz w:val="14"/>
                <w:szCs w:val="14"/>
              </w:rPr>
              <w:t>11</w:t>
            </w:r>
            <w:r>
              <w:rPr>
                <w:rFonts w:ascii="Arial" w:hAnsi="Arial" w:cs="Arial"/>
                <w:sz w:val="14"/>
                <w:szCs w:val="14"/>
              </w:rPr>
              <w:t>,</w:t>
            </w:r>
            <w:r w:rsidRPr="000C1E37">
              <w:rPr>
                <w:rFonts w:ascii="Arial" w:hAnsi="Arial" w:cs="Arial"/>
                <w:sz w:val="14"/>
                <w:szCs w:val="14"/>
              </w:rPr>
              <w:t>73</w:t>
            </w:r>
          </w:p>
        </w:tc>
        <w:tc>
          <w:tcPr>
            <w:tcW w:w="567" w:type="dxa"/>
            <w:tcBorders>
              <w:top w:val="single" w:sz="4" w:space="0" w:color="auto"/>
              <w:left w:val="nil"/>
              <w:bottom w:val="nil"/>
              <w:right w:val="nil"/>
            </w:tcBorders>
            <w:shd w:val="clear" w:color="auto" w:fill="auto"/>
            <w:noWrap/>
            <w:vAlign w:val="center"/>
            <w:hideMark/>
          </w:tcPr>
          <w:p w14:paraId="34792B8F" w14:textId="3C69AD78" w:rsidR="000C1E37" w:rsidRPr="008174E3" w:rsidRDefault="000C1E37" w:rsidP="000C1E37">
            <w:pPr>
              <w:jc w:val="right"/>
              <w:rPr>
                <w:rFonts w:ascii="Arial" w:hAnsi="Arial" w:cs="Arial"/>
                <w:sz w:val="14"/>
                <w:szCs w:val="14"/>
              </w:rPr>
            </w:pPr>
            <w:r w:rsidRPr="000C1E37">
              <w:rPr>
                <w:rFonts w:ascii="Arial" w:hAnsi="Arial" w:cs="Arial"/>
                <w:sz w:val="14"/>
                <w:szCs w:val="14"/>
              </w:rPr>
              <w:t>10</w:t>
            </w:r>
            <w:r>
              <w:rPr>
                <w:rFonts w:ascii="Arial" w:hAnsi="Arial" w:cs="Arial"/>
                <w:sz w:val="14"/>
                <w:szCs w:val="14"/>
              </w:rPr>
              <w:t>,</w:t>
            </w:r>
            <w:r w:rsidRPr="000C1E37">
              <w:rPr>
                <w:rFonts w:ascii="Arial" w:hAnsi="Arial" w:cs="Arial"/>
                <w:sz w:val="14"/>
                <w:szCs w:val="14"/>
              </w:rPr>
              <w:t>47</w:t>
            </w:r>
          </w:p>
        </w:tc>
        <w:tc>
          <w:tcPr>
            <w:tcW w:w="709" w:type="dxa"/>
            <w:tcBorders>
              <w:top w:val="single" w:sz="4" w:space="0" w:color="auto"/>
              <w:left w:val="nil"/>
              <w:bottom w:val="nil"/>
              <w:right w:val="nil"/>
            </w:tcBorders>
            <w:shd w:val="clear" w:color="auto" w:fill="auto"/>
            <w:noWrap/>
            <w:vAlign w:val="center"/>
            <w:hideMark/>
          </w:tcPr>
          <w:p w14:paraId="2788EAB0" w14:textId="0C704EBA" w:rsidR="000C1E37" w:rsidRPr="008174E3" w:rsidRDefault="000C1E37" w:rsidP="000C1E37">
            <w:pPr>
              <w:jc w:val="right"/>
              <w:rPr>
                <w:rFonts w:ascii="Arial" w:hAnsi="Arial" w:cs="Arial"/>
                <w:sz w:val="14"/>
                <w:szCs w:val="14"/>
              </w:rPr>
            </w:pPr>
            <w:r w:rsidRPr="000C1E37">
              <w:rPr>
                <w:rFonts w:ascii="Arial" w:hAnsi="Arial" w:cs="Arial"/>
                <w:sz w:val="14"/>
                <w:szCs w:val="14"/>
              </w:rPr>
              <w:t>9</w:t>
            </w:r>
            <w:r>
              <w:rPr>
                <w:rFonts w:ascii="Arial" w:hAnsi="Arial" w:cs="Arial"/>
                <w:sz w:val="14"/>
                <w:szCs w:val="14"/>
              </w:rPr>
              <w:t>,</w:t>
            </w:r>
            <w:r w:rsidRPr="000C1E37">
              <w:rPr>
                <w:rFonts w:ascii="Arial" w:hAnsi="Arial" w:cs="Arial"/>
                <w:sz w:val="14"/>
                <w:szCs w:val="14"/>
              </w:rPr>
              <w:t>35</w:t>
            </w:r>
          </w:p>
        </w:tc>
        <w:tc>
          <w:tcPr>
            <w:tcW w:w="709" w:type="dxa"/>
            <w:tcBorders>
              <w:top w:val="single" w:sz="4" w:space="0" w:color="auto"/>
              <w:left w:val="nil"/>
              <w:bottom w:val="nil"/>
              <w:right w:val="nil"/>
            </w:tcBorders>
            <w:shd w:val="clear" w:color="auto" w:fill="auto"/>
            <w:noWrap/>
            <w:vAlign w:val="center"/>
            <w:hideMark/>
          </w:tcPr>
          <w:p w14:paraId="4AA01E54" w14:textId="613B622E" w:rsidR="000C1E37" w:rsidRPr="008174E3" w:rsidRDefault="000C1E37" w:rsidP="000C1E37">
            <w:pPr>
              <w:jc w:val="right"/>
              <w:rPr>
                <w:rFonts w:ascii="Arial" w:hAnsi="Arial" w:cs="Arial"/>
                <w:sz w:val="14"/>
                <w:szCs w:val="14"/>
              </w:rPr>
            </w:pPr>
            <w:r w:rsidRPr="000C1E37">
              <w:rPr>
                <w:rFonts w:ascii="Arial" w:hAnsi="Arial" w:cs="Arial"/>
                <w:sz w:val="14"/>
                <w:szCs w:val="14"/>
              </w:rPr>
              <w:t>6</w:t>
            </w:r>
            <w:r>
              <w:rPr>
                <w:rFonts w:ascii="Arial" w:hAnsi="Arial" w:cs="Arial"/>
                <w:sz w:val="14"/>
                <w:szCs w:val="14"/>
              </w:rPr>
              <w:t>,</w:t>
            </w:r>
            <w:r w:rsidRPr="000C1E37">
              <w:rPr>
                <w:rFonts w:ascii="Arial" w:hAnsi="Arial" w:cs="Arial"/>
                <w:sz w:val="14"/>
                <w:szCs w:val="14"/>
              </w:rPr>
              <w:t>68</w:t>
            </w:r>
          </w:p>
        </w:tc>
        <w:tc>
          <w:tcPr>
            <w:tcW w:w="708" w:type="dxa"/>
            <w:tcBorders>
              <w:top w:val="single" w:sz="4" w:space="0" w:color="auto"/>
              <w:left w:val="nil"/>
              <w:bottom w:val="nil"/>
              <w:right w:val="nil"/>
            </w:tcBorders>
            <w:shd w:val="clear" w:color="auto" w:fill="auto"/>
            <w:noWrap/>
            <w:vAlign w:val="center"/>
            <w:hideMark/>
          </w:tcPr>
          <w:p w14:paraId="7BB865C9" w14:textId="3086BC57" w:rsidR="000C1E37" w:rsidRPr="008174E3" w:rsidRDefault="000C1E37" w:rsidP="000C1E37">
            <w:pPr>
              <w:jc w:val="right"/>
              <w:rPr>
                <w:rFonts w:ascii="Arial" w:hAnsi="Arial" w:cs="Arial"/>
                <w:sz w:val="14"/>
                <w:szCs w:val="14"/>
              </w:rPr>
            </w:pPr>
            <w:r w:rsidRPr="000C1E37">
              <w:rPr>
                <w:rFonts w:ascii="Arial" w:hAnsi="Arial" w:cs="Arial"/>
                <w:sz w:val="14"/>
                <w:szCs w:val="14"/>
              </w:rPr>
              <w:t>4</w:t>
            </w:r>
            <w:r>
              <w:rPr>
                <w:rFonts w:ascii="Arial" w:hAnsi="Arial" w:cs="Arial"/>
                <w:sz w:val="14"/>
                <w:szCs w:val="14"/>
              </w:rPr>
              <w:t>,</w:t>
            </w:r>
            <w:r w:rsidRPr="000C1E37">
              <w:rPr>
                <w:rFonts w:ascii="Arial" w:hAnsi="Arial" w:cs="Arial"/>
                <w:sz w:val="14"/>
                <w:szCs w:val="14"/>
              </w:rPr>
              <w:t>47</w:t>
            </w:r>
          </w:p>
        </w:tc>
        <w:tc>
          <w:tcPr>
            <w:tcW w:w="706" w:type="dxa"/>
            <w:tcBorders>
              <w:top w:val="single" w:sz="4" w:space="0" w:color="auto"/>
              <w:left w:val="nil"/>
              <w:bottom w:val="nil"/>
              <w:right w:val="nil"/>
            </w:tcBorders>
            <w:shd w:val="clear" w:color="auto" w:fill="auto"/>
            <w:noWrap/>
            <w:vAlign w:val="center"/>
            <w:hideMark/>
          </w:tcPr>
          <w:p w14:paraId="6C25D816" w14:textId="1DDEE75A" w:rsidR="000C1E37" w:rsidRPr="008174E3" w:rsidRDefault="000C1E37" w:rsidP="000C1E37">
            <w:pPr>
              <w:jc w:val="right"/>
              <w:rPr>
                <w:rFonts w:ascii="Arial" w:hAnsi="Arial" w:cs="Arial"/>
                <w:sz w:val="14"/>
                <w:szCs w:val="14"/>
              </w:rPr>
            </w:pPr>
            <w:r w:rsidRPr="000C1E37">
              <w:rPr>
                <w:rFonts w:ascii="Arial" w:hAnsi="Arial" w:cs="Arial"/>
                <w:sz w:val="14"/>
                <w:szCs w:val="14"/>
              </w:rPr>
              <w:t>2</w:t>
            </w:r>
            <w:r>
              <w:rPr>
                <w:rFonts w:ascii="Arial" w:hAnsi="Arial" w:cs="Arial"/>
                <w:sz w:val="14"/>
                <w:szCs w:val="14"/>
              </w:rPr>
              <w:t>,</w:t>
            </w:r>
            <w:r w:rsidRPr="000C1E37">
              <w:rPr>
                <w:rFonts w:ascii="Arial" w:hAnsi="Arial" w:cs="Arial"/>
                <w:sz w:val="14"/>
                <w:szCs w:val="14"/>
              </w:rPr>
              <w:t>66</w:t>
            </w:r>
          </w:p>
        </w:tc>
        <w:tc>
          <w:tcPr>
            <w:tcW w:w="709" w:type="dxa"/>
            <w:tcBorders>
              <w:top w:val="single" w:sz="4" w:space="0" w:color="auto"/>
              <w:left w:val="nil"/>
              <w:bottom w:val="nil"/>
              <w:right w:val="nil"/>
            </w:tcBorders>
            <w:shd w:val="clear" w:color="auto" w:fill="auto"/>
            <w:noWrap/>
            <w:vAlign w:val="center"/>
            <w:hideMark/>
          </w:tcPr>
          <w:p w14:paraId="02DFBECE" w14:textId="37A391DC" w:rsidR="000C1E37" w:rsidRPr="008174E3" w:rsidRDefault="000C1E37" w:rsidP="000C1E37">
            <w:pPr>
              <w:jc w:val="right"/>
              <w:rPr>
                <w:rFonts w:ascii="Arial" w:hAnsi="Arial" w:cs="Arial"/>
                <w:sz w:val="14"/>
                <w:szCs w:val="14"/>
              </w:rPr>
            </w:pPr>
            <w:r w:rsidRPr="000C1E37">
              <w:rPr>
                <w:rFonts w:ascii="Arial" w:hAnsi="Arial" w:cs="Arial"/>
                <w:sz w:val="14"/>
                <w:szCs w:val="14"/>
              </w:rPr>
              <w:t>1</w:t>
            </w:r>
            <w:r>
              <w:rPr>
                <w:rFonts w:ascii="Arial" w:hAnsi="Arial" w:cs="Arial"/>
                <w:sz w:val="14"/>
                <w:szCs w:val="14"/>
              </w:rPr>
              <w:t>,</w:t>
            </w:r>
            <w:r w:rsidRPr="000C1E37">
              <w:rPr>
                <w:rFonts w:ascii="Arial" w:hAnsi="Arial" w:cs="Arial"/>
                <w:sz w:val="14"/>
                <w:szCs w:val="14"/>
              </w:rPr>
              <w:t>19</w:t>
            </w:r>
          </w:p>
        </w:tc>
        <w:tc>
          <w:tcPr>
            <w:tcW w:w="707" w:type="dxa"/>
            <w:tcBorders>
              <w:top w:val="single" w:sz="4" w:space="0" w:color="auto"/>
              <w:left w:val="nil"/>
              <w:bottom w:val="nil"/>
              <w:right w:val="nil"/>
            </w:tcBorders>
            <w:shd w:val="clear" w:color="auto" w:fill="auto"/>
            <w:noWrap/>
            <w:vAlign w:val="center"/>
            <w:hideMark/>
          </w:tcPr>
          <w:p w14:paraId="5CA78D39" w14:textId="66F0204A" w:rsidR="000C1E37" w:rsidRPr="008174E3" w:rsidRDefault="000C1E37" w:rsidP="000C1E37">
            <w:pPr>
              <w:jc w:val="right"/>
              <w:rPr>
                <w:rFonts w:ascii="Arial" w:hAnsi="Arial" w:cs="Arial"/>
                <w:sz w:val="14"/>
                <w:szCs w:val="14"/>
              </w:rPr>
            </w:pPr>
            <w:r w:rsidRPr="000C1E37">
              <w:rPr>
                <w:rFonts w:ascii="Arial" w:hAnsi="Arial" w:cs="Arial"/>
                <w:sz w:val="14"/>
                <w:szCs w:val="14"/>
              </w:rPr>
              <w:t>127</w:t>
            </w:r>
            <w:r>
              <w:rPr>
                <w:rFonts w:ascii="Arial" w:hAnsi="Arial" w:cs="Arial"/>
                <w:sz w:val="14"/>
                <w:szCs w:val="14"/>
              </w:rPr>
              <w:t>,</w:t>
            </w:r>
            <w:r w:rsidRPr="000C1E37">
              <w:rPr>
                <w:rFonts w:ascii="Arial" w:hAnsi="Arial" w:cs="Arial"/>
                <w:sz w:val="14"/>
                <w:szCs w:val="14"/>
              </w:rPr>
              <w:t>28</w:t>
            </w:r>
          </w:p>
        </w:tc>
      </w:tr>
      <w:tr w:rsidR="000C1E37" w:rsidRPr="008174E3" w14:paraId="0E1EA760" w14:textId="77777777" w:rsidTr="000C1E37">
        <w:trPr>
          <w:trHeight w:val="300"/>
          <w:jc w:val="center"/>
        </w:trPr>
        <w:tc>
          <w:tcPr>
            <w:tcW w:w="1649" w:type="dxa"/>
            <w:tcBorders>
              <w:top w:val="nil"/>
              <w:left w:val="nil"/>
              <w:bottom w:val="single" w:sz="4" w:space="0" w:color="auto"/>
              <w:right w:val="nil"/>
            </w:tcBorders>
            <w:shd w:val="clear" w:color="auto" w:fill="auto"/>
            <w:noWrap/>
            <w:hideMark/>
          </w:tcPr>
          <w:p w14:paraId="0683E093" w14:textId="60806F1D" w:rsidR="000C1E37" w:rsidRPr="008174E3" w:rsidRDefault="000C1E37" w:rsidP="000C1E37">
            <w:pPr>
              <w:rPr>
                <w:rFonts w:ascii="Arial" w:hAnsi="Arial" w:cs="Arial"/>
                <w:color w:val="000000"/>
                <w:sz w:val="14"/>
                <w:szCs w:val="14"/>
              </w:rPr>
            </w:pPr>
            <w:r w:rsidRPr="008174E3">
              <w:rPr>
                <w:rFonts w:ascii="Arial" w:hAnsi="Arial" w:cs="Arial"/>
                <w:sz w:val="14"/>
                <w:szCs w:val="14"/>
              </w:rPr>
              <w:t>Costos Económicos en VPN</w:t>
            </w:r>
          </w:p>
        </w:tc>
        <w:tc>
          <w:tcPr>
            <w:tcW w:w="632" w:type="dxa"/>
            <w:tcBorders>
              <w:top w:val="nil"/>
              <w:left w:val="nil"/>
              <w:bottom w:val="single" w:sz="4" w:space="0" w:color="auto"/>
              <w:right w:val="nil"/>
            </w:tcBorders>
            <w:shd w:val="clear" w:color="auto" w:fill="auto"/>
            <w:noWrap/>
            <w:vAlign w:val="center"/>
            <w:hideMark/>
          </w:tcPr>
          <w:p w14:paraId="0C4B2A18" w14:textId="7B2DD4AB" w:rsidR="000C1E37" w:rsidRPr="008174E3" w:rsidRDefault="000C1E37" w:rsidP="000C1E37">
            <w:pPr>
              <w:jc w:val="right"/>
              <w:rPr>
                <w:rFonts w:ascii="Arial" w:hAnsi="Arial" w:cs="Arial"/>
                <w:sz w:val="14"/>
                <w:szCs w:val="14"/>
              </w:rPr>
            </w:pPr>
            <w:r w:rsidRPr="000C1E37">
              <w:rPr>
                <w:rFonts w:ascii="Arial" w:hAnsi="Arial" w:cs="Arial"/>
                <w:sz w:val="14"/>
                <w:szCs w:val="14"/>
              </w:rPr>
              <w:t>26</w:t>
            </w:r>
            <w:r>
              <w:rPr>
                <w:rFonts w:ascii="Arial" w:hAnsi="Arial" w:cs="Arial"/>
                <w:sz w:val="14"/>
                <w:szCs w:val="14"/>
              </w:rPr>
              <w:t>,</w:t>
            </w:r>
            <w:r w:rsidRPr="000C1E37">
              <w:rPr>
                <w:rFonts w:ascii="Arial" w:hAnsi="Arial" w:cs="Arial"/>
                <w:sz w:val="14"/>
                <w:szCs w:val="14"/>
              </w:rPr>
              <w:t>00</w:t>
            </w:r>
          </w:p>
        </w:tc>
        <w:tc>
          <w:tcPr>
            <w:tcW w:w="617" w:type="dxa"/>
            <w:tcBorders>
              <w:top w:val="nil"/>
              <w:left w:val="nil"/>
              <w:bottom w:val="single" w:sz="4" w:space="0" w:color="auto"/>
              <w:right w:val="nil"/>
            </w:tcBorders>
            <w:shd w:val="clear" w:color="auto" w:fill="auto"/>
            <w:noWrap/>
            <w:vAlign w:val="center"/>
            <w:hideMark/>
          </w:tcPr>
          <w:p w14:paraId="3A9A8F88" w14:textId="6B69A105" w:rsidR="000C1E37" w:rsidRPr="008174E3" w:rsidRDefault="000C1E37" w:rsidP="000C1E37">
            <w:pPr>
              <w:jc w:val="right"/>
              <w:rPr>
                <w:rFonts w:ascii="Arial" w:hAnsi="Arial" w:cs="Arial"/>
                <w:sz w:val="14"/>
                <w:szCs w:val="14"/>
              </w:rPr>
            </w:pPr>
            <w:r w:rsidRPr="000C1E37">
              <w:rPr>
                <w:rFonts w:ascii="Arial" w:hAnsi="Arial" w:cs="Arial"/>
                <w:sz w:val="14"/>
                <w:szCs w:val="14"/>
              </w:rPr>
              <w:t>23</w:t>
            </w:r>
            <w:r>
              <w:rPr>
                <w:rFonts w:ascii="Arial" w:hAnsi="Arial" w:cs="Arial"/>
                <w:sz w:val="14"/>
                <w:szCs w:val="14"/>
              </w:rPr>
              <w:t>,</w:t>
            </w:r>
            <w:r w:rsidRPr="000C1E37">
              <w:rPr>
                <w:rFonts w:ascii="Arial" w:hAnsi="Arial" w:cs="Arial"/>
                <w:sz w:val="14"/>
                <w:szCs w:val="14"/>
              </w:rPr>
              <w:t>21</w:t>
            </w:r>
          </w:p>
        </w:tc>
        <w:tc>
          <w:tcPr>
            <w:tcW w:w="651" w:type="dxa"/>
            <w:tcBorders>
              <w:top w:val="nil"/>
              <w:left w:val="nil"/>
              <w:bottom w:val="single" w:sz="4" w:space="0" w:color="auto"/>
              <w:right w:val="nil"/>
            </w:tcBorders>
            <w:shd w:val="clear" w:color="auto" w:fill="auto"/>
            <w:noWrap/>
            <w:vAlign w:val="center"/>
            <w:hideMark/>
          </w:tcPr>
          <w:p w14:paraId="56811989" w14:textId="66F1C1AC" w:rsidR="000C1E37" w:rsidRPr="008174E3" w:rsidRDefault="000C1E37" w:rsidP="000C1E37">
            <w:pPr>
              <w:jc w:val="right"/>
              <w:rPr>
                <w:rFonts w:ascii="Arial" w:hAnsi="Arial" w:cs="Arial"/>
                <w:sz w:val="14"/>
                <w:szCs w:val="14"/>
              </w:rPr>
            </w:pPr>
            <w:r w:rsidRPr="000C1E37">
              <w:rPr>
                <w:rFonts w:ascii="Arial" w:hAnsi="Arial" w:cs="Arial"/>
                <w:sz w:val="14"/>
                <w:szCs w:val="14"/>
              </w:rPr>
              <w:t>20</w:t>
            </w:r>
            <w:r>
              <w:rPr>
                <w:rFonts w:ascii="Arial" w:hAnsi="Arial" w:cs="Arial"/>
                <w:sz w:val="14"/>
                <w:szCs w:val="14"/>
              </w:rPr>
              <w:t>,</w:t>
            </w:r>
            <w:r w:rsidRPr="000C1E37">
              <w:rPr>
                <w:rFonts w:ascii="Arial" w:hAnsi="Arial" w:cs="Arial"/>
                <w:sz w:val="14"/>
                <w:szCs w:val="14"/>
              </w:rPr>
              <w:t>73</w:t>
            </w:r>
          </w:p>
        </w:tc>
        <w:tc>
          <w:tcPr>
            <w:tcW w:w="606" w:type="dxa"/>
            <w:tcBorders>
              <w:top w:val="nil"/>
              <w:left w:val="nil"/>
              <w:bottom w:val="single" w:sz="4" w:space="0" w:color="auto"/>
              <w:right w:val="nil"/>
            </w:tcBorders>
            <w:shd w:val="clear" w:color="auto" w:fill="auto"/>
            <w:noWrap/>
            <w:vAlign w:val="center"/>
            <w:hideMark/>
          </w:tcPr>
          <w:p w14:paraId="31BD884B" w14:textId="05456743" w:rsidR="000C1E37" w:rsidRPr="008174E3" w:rsidRDefault="000C1E37" w:rsidP="000C1E37">
            <w:pPr>
              <w:jc w:val="right"/>
              <w:rPr>
                <w:rFonts w:ascii="Arial" w:hAnsi="Arial" w:cs="Arial"/>
                <w:sz w:val="14"/>
                <w:szCs w:val="14"/>
              </w:rPr>
            </w:pPr>
            <w:r w:rsidRPr="000C1E37">
              <w:rPr>
                <w:rFonts w:ascii="Arial" w:hAnsi="Arial" w:cs="Arial"/>
                <w:sz w:val="14"/>
                <w:szCs w:val="14"/>
              </w:rPr>
              <w:t>18</w:t>
            </w:r>
            <w:r>
              <w:rPr>
                <w:rFonts w:ascii="Arial" w:hAnsi="Arial" w:cs="Arial"/>
                <w:sz w:val="14"/>
                <w:szCs w:val="14"/>
              </w:rPr>
              <w:t>,</w:t>
            </w:r>
            <w:r w:rsidRPr="000C1E37">
              <w:rPr>
                <w:rFonts w:ascii="Arial" w:hAnsi="Arial" w:cs="Arial"/>
                <w:sz w:val="14"/>
                <w:szCs w:val="14"/>
              </w:rPr>
              <w:t>51</w:t>
            </w:r>
          </w:p>
        </w:tc>
        <w:tc>
          <w:tcPr>
            <w:tcW w:w="675" w:type="dxa"/>
            <w:tcBorders>
              <w:top w:val="nil"/>
              <w:left w:val="nil"/>
              <w:bottom w:val="single" w:sz="4" w:space="0" w:color="auto"/>
              <w:right w:val="nil"/>
            </w:tcBorders>
            <w:shd w:val="clear" w:color="auto" w:fill="auto"/>
            <w:noWrap/>
            <w:vAlign w:val="center"/>
            <w:hideMark/>
          </w:tcPr>
          <w:p w14:paraId="4F2271D2" w14:textId="0E97EDFC" w:rsidR="000C1E37" w:rsidRPr="008174E3" w:rsidRDefault="000C1E37" w:rsidP="000C1E37">
            <w:pPr>
              <w:jc w:val="right"/>
              <w:rPr>
                <w:rFonts w:ascii="Arial" w:hAnsi="Arial" w:cs="Arial"/>
                <w:sz w:val="14"/>
                <w:szCs w:val="14"/>
              </w:rPr>
            </w:pPr>
            <w:r w:rsidRPr="000C1E37">
              <w:rPr>
                <w:rFonts w:ascii="Arial" w:hAnsi="Arial" w:cs="Arial"/>
                <w:sz w:val="14"/>
                <w:szCs w:val="14"/>
              </w:rPr>
              <w:t>16</w:t>
            </w:r>
            <w:r>
              <w:rPr>
                <w:rFonts w:ascii="Arial" w:hAnsi="Arial" w:cs="Arial"/>
                <w:sz w:val="14"/>
                <w:szCs w:val="14"/>
              </w:rPr>
              <w:t>,</w:t>
            </w:r>
            <w:r w:rsidRPr="000C1E37">
              <w:rPr>
                <w:rFonts w:ascii="Arial" w:hAnsi="Arial" w:cs="Arial"/>
                <w:sz w:val="14"/>
                <w:szCs w:val="14"/>
              </w:rPr>
              <w:t>52</w:t>
            </w:r>
          </w:p>
        </w:tc>
        <w:tc>
          <w:tcPr>
            <w:tcW w:w="585" w:type="dxa"/>
            <w:tcBorders>
              <w:top w:val="nil"/>
              <w:left w:val="nil"/>
              <w:bottom w:val="single" w:sz="4" w:space="0" w:color="auto"/>
              <w:right w:val="nil"/>
            </w:tcBorders>
            <w:shd w:val="clear" w:color="auto" w:fill="auto"/>
            <w:noWrap/>
            <w:vAlign w:val="center"/>
            <w:hideMark/>
          </w:tcPr>
          <w:p w14:paraId="7775778D" w14:textId="77777777" w:rsidR="000C1E37" w:rsidRPr="008174E3" w:rsidRDefault="000C1E37" w:rsidP="000C1E37">
            <w:pPr>
              <w:jc w:val="right"/>
              <w:rPr>
                <w:rFonts w:ascii="Arial" w:hAnsi="Arial" w:cs="Arial"/>
                <w:sz w:val="14"/>
                <w:szCs w:val="14"/>
              </w:rPr>
            </w:pPr>
          </w:p>
        </w:tc>
        <w:tc>
          <w:tcPr>
            <w:tcW w:w="648" w:type="dxa"/>
            <w:tcBorders>
              <w:top w:val="nil"/>
              <w:left w:val="nil"/>
              <w:bottom w:val="single" w:sz="4" w:space="0" w:color="auto"/>
              <w:right w:val="nil"/>
            </w:tcBorders>
            <w:shd w:val="clear" w:color="auto" w:fill="auto"/>
            <w:noWrap/>
            <w:vAlign w:val="center"/>
            <w:hideMark/>
          </w:tcPr>
          <w:p w14:paraId="70785C7F" w14:textId="77777777" w:rsidR="000C1E37" w:rsidRPr="008174E3" w:rsidRDefault="000C1E37" w:rsidP="000C1E37">
            <w:pPr>
              <w:jc w:val="right"/>
              <w:rPr>
                <w:rFonts w:ascii="Arial" w:hAnsi="Arial" w:cs="Arial"/>
                <w:sz w:val="14"/>
                <w:szCs w:val="14"/>
              </w:rPr>
            </w:pPr>
          </w:p>
        </w:tc>
        <w:tc>
          <w:tcPr>
            <w:tcW w:w="678" w:type="dxa"/>
            <w:tcBorders>
              <w:top w:val="nil"/>
              <w:left w:val="nil"/>
              <w:bottom w:val="single" w:sz="4" w:space="0" w:color="auto"/>
              <w:right w:val="nil"/>
            </w:tcBorders>
            <w:shd w:val="clear" w:color="auto" w:fill="auto"/>
            <w:noWrap/>
            <w:vAlign w:val="center"/>
            <w:hideMark/>
          </w:tcPr>
          <w:p w14:paraId="54817324" w14:textId="77777777" w:rsidR="000C1E37" w:rsidRPr="008174E3" w:rsidRDefault="000C1E37" w:rsidP="000C1E37">
            <w:pPr>
              <w:jc w:val="right"/>
              <w:rPr>
                <w:rFonts w:ascii="Arial" w:hAnsi="Arial" w:cs="Arial"/>
                <w:sz w:val="14"/>
                <w:szCs w:val="14"/>
              </w:rPr>
            </w:pPr>
          </w:p>
        </w:tc>
        <w:tc>
          <w:tcPr>
            <w:tcW w:w="567" w:type="dxa"/>
            <w:tcBorders>
              <w:top w:val="nil"/>
              <w:left w:val="nil"/>
              <w:bottom w:val="single" w:sz="4" w:space="0" w:color="auto"/>
              <w:right w:val="nil"/>
            </w:tcBorders>
            <w:shd w:val="clear" w:color="auto" w:fill="auto"/>
            <w:noWrap/>
            <w:vAlign w:val="center"/>
            <w:hideMark/>
          </w:tcPr>
          <w:p w14:paraId="052B016D" w14:textId="77777777" w:rsidR="000C1E37" w:rsidRPr="008174E3" w:rsidRDefault="000C1E37" w:rsidP="000C1E37">
            <w:pPr>
              <w:jc w:val="right"/>
              <w:rPr>
                <w:rFonts w:ascii="Arial" w:hAnsi="Arial" w:cs="Arial"/>
                <w:sz w:val="14"/>
                <w:szCs w:val="14"/>
              </w:rPr>
            </w:pPr>
          </w:p>
        </w:tc>
        <w:tc>
          <w:tcPr>
            <w:tcW w:w="709" w:type="dxa"/>
            <w:tcBorders>
              <w:top w:val="nil"/>
              <w:left w:val="nil"/>
              <w:bottom w:val="single" w:sz="4" w:space="0" w:color="auto"/>
              <w:right w:val="nil"/>
            </w:tcBorders>
            <w:shd w:val="clear" w:color="auto" w:fill="auto"/>
            <w:noWrap/>
            <w:vAlign w:val="center"/>
            <w:hideMark/>
          </w:tcPr>
          <w:p w14:paraId="5DE261CD" w14:textId="77777777" w:rsidR="000C1E37" w:rsidRPr="008174E3" w:rsidRDefault="000C1E37" w:rsidP="000C1E37">
            <w:pPr>
              <w:jc w:val="right"/>
              <w:rPr>
                <w:rFonts w:ascii="Arial" w:hAnsi="Arial" w:cs="Arial"/>
                <w:sz w:val="14"/>
                <w:szCs w:val="14"/>
              </w:rPr>
            </w:pPr>
          </w:p>
        </w:tc>
        <w:tc>
          <w:tcPr>
            <w:tcW w:w="709" w:type="dxa"/>
            <w:tcBorders>
              <w:top w:val="nil"/>
              <w:left w:val="nil"/>
              <w:bottom w:val="single" w:sz="4" w:space="0" w:color="auto"/>
              <w:right w:val="nil"/>
            </w:tcBorders>
            <w:shd w:val="clear" w:color="auto" w:fill="auto"/>
            <w:noWrap/>
            <w:vAlign w:val="center"/>
            <w:hideMark/>
          </w:tcPr>
          <w:p w14:paraId="50CEDFF2" w14:textId="77777777" w:rsidR="000C1E37" w:rsidRPr="008174E3" w:rsidRDefault="000C1E37" w:rsidP="000C1E37">
            <w:pPr>
              <w:jc w:val="right"/>
              <w:rPr>
                <w:rFonts w:ascii="Arial" w:hAnsi="Arial" w:cs="Arial"/>
                <w:sz w:val="14"/>
                <w:szCs w:val="14"/>
              </w:rPr>
            </w:pPr>
          </w:p>
        </w:tc>
        <w:tc>
          <w:tcPr>
            <w:tcW w:w="708" w:type="dxa"/>
            <w:tcBorders>
              <w:top w:val="nil"/>
              <w:left w:val="nil"/>
              <w:bottom w:val="single" w:sz="4" w:space="0" w:color="auto"/>
              <w:right w:val="nil"/>
            </w:tcBorders>
            <w:shd w:val="clear" w:color="auto" w:fill="auto"/>
            <w:noWrap/>
            <w:vAlign w:val="center"/>
            <w:hideMark/>
          </w:tcPr>
          <w:p w14:paraId="2B722507" w14:textId="77777777" w:rsidR="000C1E37" w:rsidRPr="008174E3" w:rsidRDefault="000C1E37" w:rsidP="000C1E37">
            <w:pPr>
              <w:jc w:val="right"/>
              <w:rPr>
                <w:rFonts w:ascii="Arial" w:hAnsi="Arial" w:cs="Arial"/>
                <w:sz w:val="14"/>
                <w:szCs w:val="14"/>
              </w:rPr>
            </w:pPr>
          </w:p>
        </w:tc>
        <w:tc>
          <w:tcPr>
            <w:tcW w:w="706" w:type="dxa"/>
            <w:tcBorders>
              <w:top w:val="nil"/>
              <w:left w:val="nil"/>
              <w:bottom w:val="single" w:sz="4" w:space="0" w:color="auto"/>
              <w:right w:val="nil"/>
            </w:tcBorders>
            <w:shd w:val="clear" w:color="auto" w:fill="auto"/>
            <w:noWrap/>
            <w:vAlign w:val="center"/>
            <w:hideMark/>
          </w:tcPr>
          <w:p w14:paraId="5503366A" w14:textId="77777777" w:rsidR="000C1E37" w:rsidRPr="008174E3" w:rsidRDefault="000C1E37" w:rsidP="000C1E37">
            <w:pPr>
              <w:jc w:val="right"/>
              <w:rPr>
                <w:rFonts w:ascii="Arial" w:hAnsi="Arial" w:cs="Arial"/>
                <w:sz w:val="14"/>
                <w:szCs w:val="14"/>
              </w:rPr>
            </w:pPr>
          </w:p>
        </w:tc>
        <w:tc>
          <w:tcPr>
            <w:tcW w:w="709" w:type="dxa"/>
            <w:tcBorders>
              <w:top w:val="nil"/>
              <w:left w:val="nil"/>
              <w:bottom w:val="single" w:sz="4" w:space="0" w:color="auto"/>
              <w:right w:val="nil"/>
            </w:tcBorders>
            <w:shd w:val="clear" w:color="auto" w:fill="auto"/>
            <w:noWrap/>
            <w:vAlign w:val="center"/>
            <w:hideMark/>
          </w:tcPr>
          <w:p w14:paraId="774B552C" w14:textId="77777777" w:rsidR="000C1E37" w:rsidRPr="008174E3" w:rsidRDefault="000C1E37" w:rsidP="000C1E37">
            <w:pPr>
              <w:jc w:val="right"/>
              <w:rPr>
                <w:rFonts w:ascii="Arial" w:hAnsi="Arial" w:cs="Arial"/>
                <w:sz w:val="14"/>
                <w:szCs w:val="14"/>
              </w:rPr>
            </w:pPr>
          </w:p>
        </w:tc>
        <w:tc>
          <w:tcPr>
            <w:tcW w:w="707" w:type="dxa"/>
            <w:tcBorders>
              <w:top w:val="nil"/>
              <w:left w:val="nil"/>
              <w:bottom w:val="single" w:sz="4" w:space="0" w:color="auto"/>
              <w:right w:val="nil"/>
            </w:tcBorders>
            <w:shd w:val="clear" w:color="auto" w:fill="auto"/>
            <w:noWrap/>
            <w:vAlign w:val="center"/>
            <w:hideMark/>
          </w:tcPr>
          <w:p w14:paraId="200F82EE" w14:textId="6E8B0E1D" w:rsidR="000C1E37" w:rsidRPr="008174E3" w:rsidRDefault="000C1E37" w:rsidP="000C1E37">
            <w:pPr>
              <w:jc w:val="right"/>
              <w:rPr>
                <w:rFonts w:ascii="Arial" w:hAnsi="Arial" w:cs="Arial"/>
                <w:sz w:val="14"/>
                <w:szCs w:val="14"/>
              </w:rPr>
            </w:pPr>
            <w:r w:rsidRPr="000C1E37">
              <w:rPr>
                <w:rFonts w:ascii="Arial" w:hAnsi="Arial" w:cs="Arial"/>
                <w:sz w:val="14"/>
                <w:szCs w:val="14"/>
              </w:rPr>
              <w:t>104</w:t>
            </w:r>
            <w:r>
              <w:rPr>
                <w:rFonts w:ascii="Arial" w:hAnsi="Arial" w:cs="Arial"/>
                <w:sz w:val="14"/>
                <w:szCs w:val="14"/>
              </w:rPr>
              <w:t>,</w:t>
            </w:r>
            <w:r w:rsidRPr="000C1E37">
              <w:rPr>
                <w:rFonts w:ascii="Arial" w:hAnsi="Arial" w:cs="Arial"/>
                <w:sz w:val="14"/>
                <w:szCs w:val="14"/>
              </w:rPr>
              <w:t>97</w:t>
            </w:r>
          </w:p>
        </w:tc>
      </w:tr>
      <w:tr w:rsidR="000C1E37" w:rsidRPr="008174E3" w14:paraId="6387EFB9" w14:textId="77777777" w:rsidTr="000C1E37">
        <w:trPr>
          <w:trHeight w:val="300"/>
          <w:jc w:val="center"/>
        </w:trPr>
        <w:tc>
          <w:tcPr>
            <w:tcW w:w="1649" w:type="dxa"/>
            <w:tcBorders>
              <w:top w:val="single" w:sz="4" w:space="0" w:color="auto"/>
              <w:left w:val="nil"/>
              <w:bottom w:val="single" w:sz="4" w:space="0" w:color="auto"/>
              <w:right w:val="nil"/>
            </w:tcBorders>
            <w:shd w:val="clear" w:color="auto" w:fill="auto"/>
            <w:noWrap/>
            <w:hideMark/>
          </w:tcPr>
          <w:p w14:paraId="4907C938" w14:textId="3B8A2161" w:rsidR="000C1E37" w:rsidRPr="008174E3" w:rsidRDefault="000C1E37" w:rsidP="000C1E37">
            <w:pPr>
              <w:rPr>
                <w:rFonts w:ascii="Arial" w:hAnsi="Arial" w:cs="Arial"/>
                <w:b/>
                <w:color w:val="000000"/>
                <w:sz w:val="14"/>
                <w:szCs w:val="14"/>
              </w:rPr>
            </w:pPr>
            <w:r w:rsidRPr="008174E3">
              <w:rPr>
                <w:rFonts w:ascii="Arial" w:hAnsi="Arial" w:cs="Arial"/>
                <w:b/>
                <w:sz w:val="14"/>
                <w:szCs w:val="14"/>
              </w:rPr>
              <w:t>Beneficios Netos en VPN</w:t>
            </w:r>
          </w:p>
        </w:tc>
        <w:tc>
          <w:tcPr>
            <w:tcW w:w="632" w:type="dxa"/>
            <w:tcBorders>
              <w:top w:val="single" w:sz="4" w:space="0" w:color="auto"/>
              <w:left w:val="nil"/>
              <w:bottom w:val="single" w:sz="4" w:space="0" w:color="auto"/>
              <w:right w:val="nil"/>
            </w:tcBorders>
            <w:shd w:val="clear" w:color="auto" w:fill="auto"/>
            <w:noWrap/>
            <w:vAlign w:val="center"/>
            <w:hideMark/>
          </w:tcPr>
          <w:p w14:paraId="4ABF3DCA" w14:textId="67D0F403" w:rsidR="000C1E37" w:rsidRPr="008174E3" w:rsidRDefault="000C1E37" w:rsidP="000C1E37">
            <w:pPr>
              <w:jc w:val="right"/>
              <w:rPr>
                <w:rFonts w:ascii="Arial" w:hAnsi="Arial" w:cs="Arial"/>
                <w:sz w:val="14"/>
                <w:szCs w:val="14"/>
              </w:rPr>
            </w:pPr>
            <w:r w:rsidRPr="000C1E37">
              <w:rPr>
                <w:rFonts w:ascii="Arial" w:hAnsi="Arial" w:cs="Arial"/>
                <w:sz w:val="14"/>
                <w:szCs w:val="14"/>
              </w:rPr>
              <w:t>-22</w:t>
            </w:r>
            <w:r>
              <w:rPr>
                <w:rFonts w:ascii="Arial" w:hAnsi="Arial" w:cs="Arial"/>
                <w:sz w:val="14"/>
                <w:szCs w:val="14"/>
              </w:rPr>
              <w:t>,</w:t>
            </w:r>
            <w:r w:rsidRPr="000C1E37">
              <w:rPr>
                <w:rFonts w:ascii="Arial" w:hAnsi="Arial" w:cs="Arial"/>
                <w:sz w:val="14"/>
                <w:szCs w:val="14"/>
              </w:rPr>
              <w:t>11</w:t>
            </w:r>
          </w:p>
        </w:tc>
        <w:tc>
          <w:tcPr>
            <w:tcW w:w="617" w:type="dxa"/>
            <w:tcBorders>
              <w:top w:val="single" w:sz="4" w:space="0" w:color="auto"/>
              <w:left w:val="nil"/>
              <w:bottom w:val="single" w:sz="4" w:space="0" w:color="auto"/>
              <w:right w:val="nil"/>
            </w:tcBorders>
            <w:shd w:val="clear" w:color="auto" w:fill="auto"/>
            <w:noWrap/>
            <w:vAlign w:val="center"/>
            <w:hideMark/>
          </w:tcPr>
          <w:p w14:paraId="25B23D0F" w14:textId="3E076F09" w:rsidR="000C1E37" w:rsidRPr="008174E3" w:rsidRDefault="000C1E37" w:rsidP="000C1E37">
            <w:pPr>
              <w:jc w:val="right"/>
              <w:rPr>
                <w:rFonts w:ascii="Arial" w:hAnsi="Arial" w:cs="Arial"/>
                <w:sz w:val="14"/>
                <w:szCs w:val="14"/>
              </w:rPr>
            </w:pPr>
            <w:r w:rsidRPr="000C1E37">
              <w:rPr>
                <w:rFonts w:ascii="Arial" w:hAnsi="Arial" w:cs="Arial"/>
                <w:sz w:val="14"/>
                <w:szCs w:val="14"/>
              </w:rPr>
              <w:t>-15</w:t>
            </w:r>
            <w:r>
              <w:rPr>
                <w:rFonts w:ascii="Arial" w:hAnsi="Arial" w:cs="Arial"/>
                <w:sz w:val="14"/>
                <w:szCs w:val="14"/>
              </w:rPr>
              <w:t>,</w:t>
            </w:r>
            <w:r w:rsidRPr="000C1E37">
              <w:rPr>
                <w:rFonts w:ascii="Arial" w:hAnsi="Arial" w:cs="Arial"/>
                <w:sz w:val="14"/>
                <w:szCs w:val="14"/>
              </w:rPr>
              <w:t>11</w:t>
            </w:r>
          </w:p>
        </w:tc>
        <w:tc>
          <w:tcPr>
            <w:tcW w:w="651" w:type="dxa"/>
            <w:tcBorders>
              <w:top w:val="single" w:sz="4" w:space="0" w:color="auto"/>
              <w:left w:val="nil"/>
              <w:bottom w:val="single" w:sz="4" w:space="0" w:color="auto"/>
              <w:right w:val="nil"/>
            </w:tcBorders>
            <w:shd w:val="clear" w:color="auto" w:fill="auto"/>
            <w:noWrap/>
            <w:vAlign w:val="center"/>
            <w:hideMark/>
          </w:tcPr>
          <w:p w14:paraId="41DD37A6" w14:textId="0B895DE0" w:rsidR="000C1E37" w:rsidRPr="008174E3" w:rsidRDefault="000C1E37" w:rsidP="000C1E37">
            <w:pPr>
              <w:jc w:val="right"/>
              <w:rPr>
                <w:rFonts w:ascii="Arial" w:hAnsi="Arial" w:cs="Arial"/>
                <w:sz w:val="14"/>
                <w:szCs w:val="14"/>
              </w:rPr>
            </w:pPr>
            <w:r w:rsidRPr="000C1E37">
              <w:rPr>
                <w:rFonts w:ascii="Arial" w:hAnsi="Arial" w:cs="Arial"/>
                <w:sz w:val="14"/>
                <w:szCs w:val="14"/>
              </w:rPr>
              <w:t>-9</w:t>
            </w:r>
            <w:r>
              <w:rPr>
                <w:rFonts w:ascii="Arial" w:hAnsi="Arial" w:cs="Arial"/>
                <w:sz w:val="14"/>
                <w:szCs w:val="14"/>
              </w:rPr>
              <w:t>,</w:t>
            </w:r>
            <w:r w:rsidRPr="000C1E37">
              <w:rPr>
                <w:rFonts w:ascii="Arial" w:hAnsi="Arial" w:cs="Arial"/>
                <w:sz w:val="14"/>
                <w:szCs w:val="14"/>
              </w:rPr>
              <w:t>36</w:t>
            </w:r>
          </w:p>
        </w:tc>
        <w:tc>
          <w:tcPr>
            <w:tcW w:w="606" w:type="dxa"/>
            <w:tcBorders>
              <w:top w:val="single" w:sz="4" w:space="0" w:color="auto"/>
              <w:left w:val="nil"/>
              <w:bottom w:val="single" w:sz="4" w:space="0" w:color="auto"/>
              <w:right w:val="nil"/>
            </w:tcBorders>
            <w:shd w:val="clear" w:color="auto" w:fill="auto"/>
            <w:noWrap/>
            <w:vAlign w:val="center"/>
            <w:hideMark/>
          </w:tcPr>
          <w:p w14:paraId="5EACB4EB" w14:textId="3477974A" w:rsidR="000C1E37" w:rsidRPr="008174E3" w:rsidRDefault="000C1E37" w:rsidP="000C1E37">
            <w:pPr>
              <w:jc w:val="right"/>
              <w:rPr>
                <w:rFonts w:ascii="Arial" w:hAnsi="Arial" w:cs="Arial"/>
                <w:sz w:val="14"/>
                <w:szCs w:val="14"/>
              </w:rPr>
            </w:pPr>
            <w:r w:rsidRPr="000C1E37">
              <w:rPr>
                <w:rFonts w:ascii="Arial" w:hAnsi="Arial" w:cs="Arial"/>
                <w:sz w:val="14"/>
                <w:szCs w:val="14"/>
              </w:rPr>
              <w:t>-4</w:t>
            </w:r>
            <w:r>
              <w:rPr>
                <w:rFonts w:ascii="Arial" w:hAnsi="Arial" w:cs="Arial"/>
                <w:sz w:val="14"/>
                <w:szCs w:val="14"/>
              </w:rPr>
              <w:t>,</w:t>
            </w:r>
            <w:r w:rsidRPr="000C1E37">
              <w:rPr>
                <w:rFonts w:ascii="Arial" w:hAnsi="Arial" w:cs="Arial"/>
                <w:sz w:val="14"/>
                <w:szCs w:val="14"/>
              </w:rPr>
              <w:t>66</w:t>
            </w:r>
          </w:p>
        </w:tc>
        <w:tc>
          <w:tcPr>
            <w:tcW w:w="675" w:type="dxa"/>
            <w:tcBorders>
              <w:top w:val="single" w:sz="4" w:space="0" w:color="auto"/>
              <w:left w:val="nil"/>
              <w:bottom w:val="single" w:sz="4" w:space="0" w:color="auto"/>
              <w:right w:val="nil"/>
            </w:tcBorders>
            <w:shd w:val="clear" w:color="auto" w:fill="auto"/>
            <w:noWrap/>
            <w:vAlign w:val="center"/>
            <w:hideMark/>
          </w:tcPr>
          <w:p w14:paraId="22A57E81" w14:textId="26D55EA1" w:rsidR="000C1E37" w:rsidRPr="008174E3" w:rsidRDefault="000C1E37" w:rsidP="000C1E37">
            <w:pPr>
              <w:jc w:val="right"/>
              <w:rPr>
                <w:rFonts w:ascii="Arial" w:hAnsi="Arial" w:cs="Arial"/>
                <w:sz w:val="14"/>
                <w:szCs w:val="14"/>
              </w:rPr>
            </w:pPr>
            <w:r w:rsidRPr="000C1E37">
              <w:rPr>
                <w:rFonts w:ascii="Arial" w:hAnsi="Arial" w:cs="Arial"/>
                <w:sz w:val="14"/>
                <w:szCs w:val="14"/>
              </w:rPr>
              <w:t>-0</w:t>
            </w:r>
            <w:r>
              <w:rPr>
                <w:rFonts w:ascii="Arial" w:hAnsi="Arial" w:cs="Arial"/>
                <w:sz w:val="14"/>
                <w:szCs w:val="14"/>
              </w:rPr>
              <w:t>,</w:t>
            </w:r>
            <w:r w:rsidRPr="000C1E37">
              <w:rPr>
                <w:rFonts w:ascii="Arial" w:hAnsi="Arial" w:cs="Arial"/>
                <w:sz w:val="14"/>
                <w:szCs w:val="14"/>
              </w:rPr>
              <w:t>87</w:t>
            </w:r>
          </w:p>
        </w:tc>
        <w:tc>
          <w:tcPr>
            <w:tcW w:w="585" w:type="dxa"/>
            <w:tcBorders>
              <w:top w:val="single" w:sz="4" w:space="0" w:color="auto"/>
              <w:left w:val="nil"/>
              <w:bottom w:val="single" w:sz="4" w:space="0" w:color="auto"/>
              <w:right w:val="nil"/>
            </w:tcBorders>
            <w:shd w:val="clear" w:color="auto" w:fill="auto"/>
            <w:noWrap/>
            <w:vAlign w:val="center"/>
            <w:hideMark/>
          </w:tcPr>
          <w:p w14:paraId="41F2DA41" w14:textId="1885DFBA" w:rsidR="000C1E37" w:rsidRPr="008174E3" w:rsidRDefault="000C1E37" w:rsidP="000C1E37">
            <w:pPr>
              <w:jc w:val="right"/>
              <w:rPr>
                <w:rFonts w:ascii="Arial" w:hAnsi="Arial" w:cs="Arial"/>
                <w:sz w:val="14"/>
                <w:szCs w:val="14"/>
              </w:rPr>
            </w:pPr>
            <w:r w:rsidRPr="000C1E37">
              <w:rPr>
                <w:rFonts w:ascii="Arial" w:hAnsi="Arial" w:cs="Arial"/>
                <w:sz w:val="14"/>
                <w:szCs w:val="14"/>
              </w:rPr>
              <w:t>14</w:t>
            </w:r>
            <w:r>
              <w:rPr>
                <w:rFonts w:ascii="Arial" w:hAnsi="Arial" w:cs="Arial"/>
                <w:sz w:val="14"/>
                <w:szCs w:val="14"/>
              </w:rPr>
              <w:t>,</w:t>
            </w:r>
            <w:r w:rsidRPr="000C1E37">
              <w:rPr>
                <w:rFonts w:ascii="Arial" w:hAnsi="Arial" w:cs="Arial"/>
                <w:sz w:val="14"/>
                <w:szCs w:val="14"/>
              </w:rPr>
              <w:t>71</w:t>
            </w:r>
          </w:p>
        </w:tc>
        <w:tc>
          <w:tcPr>
            <w:tcW w:w="648" w:type="dxa"/>
            <w:tcBorders>
              <w:top w:val="single" w:sz="4" w:space="0" w:color="auto"/>
              <w:left w:val="nil"/>
              <w:bottom w:val="single" w:sz="4" w:space="0" w:color="auto"/>
              <w:right w:val="nil"/>
            </w:tcBorders>
            <w:shd w:val="clear" w:color="auto" w:fill="auto"/>
            <w:noWrap/>
            <w:vAlign w:val="center"/>
            <w:hideMark/>
          </w:tcPr>
          <w:p w14:paraId="1CABBCB8" w14:textId="79767856" w:rsidR="000C1E37" w:rsidRPr="008174E3" w:rsidRDefault="000C1E37" w:rsidP="000C1E37">
            <w:pPr>
              <w:jc w:val="right"/>
              <w:rPr>
                <w:rFonts w:ascii="Arial" w:hAnsi="Arial" w:cs="Arial"/>
                <w:sz w:val="14"/>
                <w:szCs w:val="14"/>
              </w:rPr>
            </w:pPr>
            <w:r w:rsidRPr="000C1E37">
              <w:rPr>
                <w:rFonts w:ascii="Arial" w:hAnsi="Arial" w:cs="Arial"/>
                <w:sz w:val="14"/>
                <w:szCs w:val="14"/>
              </w:rPr>
              <w:t>13</w:t>
            </w:r>
            <w:r>
              <w:rPr>
                <w:rFonts w:ascii="Arial" w:hAnsi="Arial" w:cs="Arial"/>
                <w:sz w:val="14"/>
                <w:szCs w:val="14"/>
              </w:rPr>
              <w:t>,</w:t>
            </w:r>
            <w:r w:rsidRPr="000C1E37">
              <w:rPr>
                <w:rFonts w:ascii="Arial" w:hAnsi="Arial" w:cs="Arial"/>
                <w:sz w:val="14"/>
                <w:szCs w:val="14"/>
              </w:rPr>
              <w:t>14</w:t>
            </w:r>
          </w:p>
        </w:tc>
        <w:tc>
          <w:tcPr>
            <w:tcW w:w="678" w:type="dxa"/>
            <w:tcBorders>
              <w:top w:val="single" w:sz="4" w:space="0" w:color="auto"/>
              <w:left w:val="nil"/>
              <w:bottom w:val="single" w:sz="4" w:space="0" w:color="auto"/>
              <w:right w:val="nil"/>
            </w:tcBorders>
            <w:shd w:val="clear" w:color="auto" w:fill="auto"/>
            <w:noWrap/>
            <w:vAlign w:val="center"/>
            <w:hideMark/>
          </w:tcPr>
          <w:p w14:paraId="03738ECD" w14:textId="240801E0" w:rsidR="000C1E37" w:rsidRPr="008174E3" w:rsidRDefault="000C1E37" w:rsidP="000C1E37">
            <w:pPr>
              <w:jc w:val="right"/>
              <w:rPr>
                <w:rFonts w:ascii="Arial" w:hAnsi="Arial" w:cs="Arial"/>
                <w:sz w:val="14"/>
                <w:szCs w:val="14"/>
              </w:rPr>
            </w:pPr>
            <w:r w:rsidRPr="000C1E37">
              <w:rPr>
                <w:rFonts w:ascii="Arial" w:hAnsi="Arial" w:cs="Arial"/>
                <w:sz w:val="14"/>
                <w:szCs w:val="14"/>
              </w:rPr>
              <w:t>11</w:t>
            </w:r>
            <w:r>
              <w:rPr>
                <w:rFonts w:ascii="Arial" w:hAnsi="Arial" w:cs="Arial"/>
                <w:sz w:val="14"/>
                <w:szCs w:val="14"/>
              </w:rPr>
              <w:t>,</w:t>
            </w:r>
            <w:r w:rsidRPr="000C1E37">
              <w:rPr>
                <w:rFonts w:ascii="Arial" w:hAnsi="Arial" w:cs="Arial"/>
                <w:sz w:val="14"/>
                <w:szCs w:val="14"/>
              </w:rPr>
              <w:t>73</w:t>
            </w:r>
          </w:p>
        </w:tc>
        <w:tc>
          <w:tcPr>
            <w:tcW w:w="567" w:type="dxa"/>
            <w:tcBorders>
              <w:top w:val="single" w:sz="4" w:space="0" w:color="auto"/>
              <w:left w:val="nil"/>
              <w:bottom w:val="single" w:sz="4" w:space="0" w:color="auto"/>
              <w:right w:val="nil"/>
            </w:tcBorders>
            <w:shd w:val="clear" w:color="auto" w:fill="auto"/>
            <w:noWrap/>
            <w:vAlign w:val="center"/>
            <w:hideMark/>
          </w:tcPr>
          <w:p w14:paraId="033A0B8B" w14:textId="4DDA3A2F" w:rsidR="000C1E37" w:rsidRPr="008174E3" w:rsidRDefault="000C1E37" w:rsidP="000C1E37">
            <w:pPr>
              <w:jc w:val="right"/>
              <w:rPr>
                <w:rFonts w:ascii="Arial" w:hAnsi="Arial" w:cs="Arial"/>
                <w:sz w:val="14"/>
                <w:szCs w:val="14"/>
              </w:rPr>
            </w:pPr>
            <w:r w:rsidRPr="000C1E37">
              <w:rPr>
                <w:rFonts w:ascii="Arial" w:hAnsi="Arial" w:cs="Arial"/>
                <w:sz w:val="14"/>
                <w:szCs w:val="14"/>
              </w:rPr>
              <w:t>10</w:t>
            </w:r>
            <w:r>
              <w:rPr>
                <w:rFonts w:ascii="Arial" w:hAnsi="Arial" w:cs="Arial"/>
                <w:sz w:val="14"/>
                <w:szCs w:val="14"/>
              </w:rPr>
              <w:t>,</w:t>
            </w:r>
            <w:r w:rsidRPr="000C1E37">
              <w:rPr>
                <w:rFonts w:ascii="Arial" w:hAnsi="Arial" w:cs="Arial"/>
                <w:sz w:val="14"/>
                <w:szCs w:val="14"/>
              </w:rPr>
              <w:t>47</w:t>
            </w:r>
          </w:p>
        </w:tc>
        <w:tc>
          <w:tcPr>
            <w:tcW w:w="709" w:type="dxa"/>
            <w:tcBorders>
              <w:top w:val="single" w:sz="4" w:space="0" w:color="auto"/>
              <w:left w:val="nil"/>
              <w:bottom w:val="single" w:sz="4" w:space="0" w:color="auto"/>
              <w:right w:val="nil"/>
            </w:tcBorders>
            <w:shd w:val="clear" w:color="auto" w:fill="auto"/>
            <w:noWrap/>
            <w:vAlign w:val="center"/>
            <w:hideMark/>
          </w:tcPr>
          <w:p w14:paraId="64D98865" w14:textId="66857689" w:rsidR="000C1E37" w:rsidRPr="008174E3" w:rsidRDefault="000C1E37" w:rsidP="000C1E37">
            <w:pPr>
              <w:jc w:val="right"/>
              <w:rPr>
                <w:rFonts w:ascii="Arial" w:hAnsi="Arial" w:cs="Arial"/>
                <w:sz w:val="14"/>
                <w:szCs w:val="14"/>
              </w:rPr>
            </w:pPr>
            <w:r w:rsidRPr="000C1E37">
              <w:rPr>
                <w:rFonts w:ascii="Arial" w:hAnsi="Arial" w:cs="Arial"/>
                <w:sz w:val="14"/>
                <w:szCs w:val="14"/>
              </w:rPr>
              <w:t>9</w:t>
            </w:r>
            <w:r>
              <w:rPr>
                <w:rFonts w:ascii="Arial" w:hAnsi="Arial" w:cs="Arial"/>
                <w:sz w:val="14"/>
                <w:szCs w:val="14"/>
              </w:rPr>
              <w:t>,</w:t>
            </w:r>
            <w:r w:rsidRPr="000C1E37">
              <w:rPr>
                <w:rFonts w:ascii="Arial" w:hAnsi="Arial" w:cs="Arial"/>
                <w:sz w:val="14"/>
                <w:szCs w:val="14"/>
              </w:rPr>
              <w:t>35</w:t>
            </w:r>
          </w:p>
        </w:tc>
        <w:tc>
          <w:tcPr>
            <w:tcW w:w="709" w:type="dxa"/>
            <w:tcBorders>
              <w:top w:val="single" w:sz="4" w:space="0" w:color="auto"/>
              <w:left w:val="nil"/>
              <w:bottom w:val="single" w:sz="4" w:space="0" w:color="auto"/>
              <w:right w:val="nil"/>
            </w:tcBorders>
            <w:shd w:val="clear" w:color="auto" w:fill="auto"/>
            <w:noWrap/>
            <w:vAlign w:val="center"/>
            <w:hideMark/>
          </w:tcPr>
          <w:p w14:paraId="08526DAE" w14:textId="7C63EBE6" w:rsidR="000C1E37" w:rsidRPr="008174E3" w:rsidRDefault="000C1E37" w:rsidP="000C1E37">
            <w:pPr>
              <w:jc w:val="right"/>
              <w:rPr>
                <w:rFonts w:ascii="Arial" w:hAnsi="Arial" w:cs="Arial"/>
                <w:sz w:val="14"/>
                <w:szCs w:val="14"/>
              </w:rPr>
            </w:pPr>
            <w:r w:rsidRPr="000C1E37">
              <w:rPr>
                <w:rFonts w:ascii="Arial" w:hAnsi="Arial" w:cs="Arial"/>
                <w:sz w:val="14"/>
                <w:szCs w:val="14"/>
              </w:rPr>
              <w:t>6</w:t>
            </w:r>
            <w:r>
              <w:rPr>
                <w:rFonts w:ascii="Arial" w:hAnsi="Arial" w:cs="Arial"/>
                <w:sz w:val="14"/>
                <w:szCs w:val="14"/>
              </w:rPr>
              <w:t>,</w:t>
            </w:r>
            <w:r w:rsidRPr="000C1E37">
              <w:rPr>
                <w:rFonts w:ascii="Arial" w:hAnsi="Arial" w:cs="Arial"/>
                <w:sz w:val="14"/>
                <w:szCs w:val="14"/>
              </w:rPr>
              <w:t>68</w:t>
            </w:r>
          </w:p>
        </w:tc>
        <w:tc>
          <w:tcPr>
            <w:tcW w:w="708" w:type="dxa"/>
            <w:tcBorders>
              <w:top w:val="single" w:sz="4" w:space="0" w:color="auto"/>
              <w:left w:val="nil"/>
              <w:bottom w:val="single" w:sz="4" w:space="0" w:color="auto"/>
              <w:right w:val="nil"/>
            </w:tcBorders>
            <w:shd w:val="clear" w:color="auto" w:fill="auto"/>
            <w:noWrap/>
            <w:vAlign w:val="center"/>
            <w:hideMark/>
          </w:tcPr>
          <w:p w14:paraId="5D464E4D" w14:textId="4BDC3899" w:rsidR="000C1E37" w:rsidRPr="008174E3" w:rsidRDefault="000C1E37" w:rsidP="000C1E37">
            <w:pPr>
              <w:jc w:val="right"/>
              <w:rPr>
                <w:rFonts w:ascii="Arial" w:hAnsi="Arial" w:cs="Arial"/>
                <w:sz w:val="14"/>
                <w:szCs w:val="14"/>
              </w:rPr>
            </w:pPr>
            <w:r w:rsidRPr="000C1E37">
              <w:rPr>
                <w:rFonts w:ascii="Arial" w:hAnsi="Arial" w:cs="Arial"/>
                <w:sz w:val="14"/>
                <w:szCs w:val="14"/>
              </w:rPr>
              <w:t>4</w:t>
            </w:r>
            <w:r>
              <w:rPr>
                <w:rFonts w:ascii="Arial" w:hAnsi="Arial" w:cs="Arial"/>
                <w:sz w:val="14"/>
                <w:szCs w:val="14"/>
              </w:rPr>
              <w:t>,</w:t>
            </w:r>
            <w:r w:rsidRPr="000C1E37">
              <w:rPr>
                <w:rFonts w:ascii="Arial" w:hAnsi="Arial" w:cs="Arial"/>
                <w:sz w:val="14"/>
                <w:szCs w:val="14"/>
              </w:rPr>
              <w:t>47</w:t>
            </w:r>
          </w:p>
        </w:tc>
        <w:tc>
          <w:tcPr>
            <w:tcW w:w="706" w:type="dxa"/>
            <w:tcBorders>
              <w:top w:val="single" w:sz="4" w:space="0" w:color="auto"/>
              <w:left w:val="nil"/>
              <w:bottom w:val="single" w:sz="4" w:space="0" w:color="auto"/>
              <w:right w:val="nil"/>
            </w:tcBorders>
            <w:shd w:val="clear" w:color="auto" w:fill="auto"/>
            <w:noWrap/>
            <w:vAlign w:val="center"/>
            <w:hideMark/>
          </w:tcPr>
          <w:p w14:paraId="6D36D29C" w14:textId="35985061" w:rsidR="000C1E37" w:rsidRPr="008174E3" w:rsidRDefault="000C1E37" w:rsidP="000C1E37">
            <w:pPr>
              <w:jc w:val="right"/>
              <w:rPr>
                <w:rFonts w:ascii="Arial" w:hAnsi="Arial" w:cs="Arial"/>
                <w:sz w:val="14"/>
                <w:szCs w:val="14"/>
              </w:rPr>
            </w:pPr>
            <w:r w:rsidRPr="000C1E37">
              <w:rPr>
                <w:rFonts w:ascii="Arial" w:hAnsi="Arial" w:cs="Arial"/>
                <w:sz w:val="14"/>
                <w:szCs w:val="14"/>
              </w:rPr>
              <w:t>2</w:t>
            </w:r>
            <w:r>
              <w:rPr>
                <w:rFonts w:ascii="Arial" w:hAnsi="Arial" w:cs="Arial"/>
                <w:sz w:val="14"/>
                <w:szCs w:val="14"/>
              </w:rPr>
              <w:t>,</w:t>
            </w:r>
            <w:r w:rsidRPr="000C1E37">
              <w:rPr>
                <w:rFonts w:ascii="Arial" w:hAnsi="Arial" w:cs="Arial"/>
                <w:sz w:val="14"/>
                <w:szCs w:val="14"/>
              </w:rPr>
              <w:t>66</w:t>
            </w:r>
          </w:p>
        </w:tc>
        <w:tc>
          <w:tcPr>
            <w:tcW w:w="709" w:type="dxa"/>
            <w:tcBorders>
              <w:top w:val="single" w:sz="4" w:space="0" w:color="auto"/>
              <w:left w:val="nil"/>
              <w:bottom w:val="single" w:sz="4" w:space="0" w:color="auto"/>
              <w:right w:val="nil"/>
            </w:tcBorders>
            <w:shd w:val="clear" w:color="auto" w:fill="auto"/>
            <w:noWrap/>
            <w:vAlign w:val="center"/>
            <w:hideMark/>
          </w:tcPr>
          <w:p w14:paraId="6B3AA76D" w14:textId="3B058754" w:rsidR="000C1E37" w:rsidRPr="008174E3" w:rsidRDefault="000C1E37" w:rsidP="000C1E37">
            <w:pPr>
              <w:jc w:val="right"/>
              <w:rPr>
                <w:rFonts w:ascii="Arial" w:hAnsi="Arial" w:cs="Arial"/>
                <w:sz w:val="14"/>
                <w:szCs w:val="14"/>
              </w:rPr>
            </w:pPr>
            <w:r w:rsidRPr="000C1E37">
              <w:rPr>
                <w:rFonts w:ascii="Arial" w:hAnsi="Arial" w:cs="Arial"/>
                <w:sz w:val="14"/>
                <w:szCs w:val="14"/>
              </w:rPr>
              <w:t>1</w:t>
            </w:r>
            <w:r>
              <w:rPr>
                <w:rFonts w:ascii="Arial" w:hAnsi="Arial" w:cs="Arial"/>
                <w:sz w:val="14"/>
                <w:szCs w:val="14"/>
              </w:rPr>
              <w:t>,</w:t>
            </w:r>
            <w:r w:rsidRPr="000C1E37">
              <w:rPr>
                <w:rFonts w:ascii="Arial" w:hAnsi="Arial" w:cs="Arial"/>
                <w:sz w:val="14"/>
                <w:szCs w:val="14"/>
              </w:rPr>
              <w:t>19</w:t>
            </w:r>
          </w:p>
        </w:tc>
        <w:tc>
          <w:tcPr>
            <w:tcW w:w="707" w:type="dxa"/>
            <w:tcBorders>
              <w:top w:val="single" w:sz="4" w:space="0" w:color="auto"/>
              <w:left w:val="nil"/>
              <w:bottom w:val="single" w:sz="4" w:space="0" w:color="auto"/>
              <w:right w:val="nil"/>
            </w:tcBorders>
            <w:shd w:val="clear" w:color="auto" w:fill="auto"/>
            <w:noWrap/>
            <w:vAlign w:val="center"/>
            <w:hideMark/>
          </w:tcPr>
          <w:p w14:paraId="4435EB12" w14:textId="5DA9D2DC" w:rsidR="000C1E37" w:rsidRPr="008174E3" w:rsidRDefault="000C1E37" w:rsidP="000C1E37">
            <w:pPr>
              <w:jc w:val="right"/>
              <w:rPr>
                <w:rFonts w:ascii="Arial" w:hAnsi="Arial" w:cs="Arial"/>
                <w:sz w:val="14"/>
                <w:szCs w:val="14"/>
              </w:rPr>
            </w:pPr>
            <w:r w:rsidRPr="000C1E37">
              <w:rPr>
                <w:rFonts w:ascii="Arial" w:hAnsi="Arial" w:cs="Arial"/>
                <w:sz w:val="14"/>
                <w:szCs w:val="14"/>
              </w:rPr>
              <w:t>22</w:t>
            </w:r>
            <w:r>
              <w:rPr>
                <w:rFonts w:ascii="Arial" w:hAnsi="Arial" w:cs="Arial"/>
                <w:sz w:val="14"/>
                <w:szCs w:val="14"/>
              </w:rPr>
              <w:t>,</w:t>
            </w:r>
            <w:r w:rsidRPr="000C1E37">
              <w:rPr>
                <w:rFonts w:ascii="Arial" w:hAnsi="Arial" w:cs="Arial"/>
                <w:sz w:val="14"/>
                <w:szCs w:val="14"/>
              </w:rPr>
              <w:t>30</w:t>
            </w:r>
          </w:p>
        </w:tc>
      </w:tr>
    </w:tbl>
    <w:p w14:paraId="03C9C689" w14:textId="5A78DF5C" w:rsidR="00C074B4" w:rsidRPr="008174E3" w:rsidRDefault="00C074B4" w:rsidP="00CF214F">
      <w:pPr>
        <w:rPr>
          <w:rFonts w:ascii="Arial" w:hAnsi="Arial" w:cs="Arial"/>
          <w:b/>
        </w:rPr>
      </w:pPr>
    </w:p>
    <w:p w14:paraId="7A7FA0A9" w14:textId="7F74D4BA" w:rsidR="00206363" w:rsidRPr="008174E3" w:rsidRDefault="00206363" w:rsidP="00206363">
      <w:pPr>
        <w:jc w:val="both"/>
        <w:rPr>
          <w:rFonts w:ascii="Arial" w:hAnsi="Arial" w:cs="Arial"/>
          <w:sz w:val="18"/>
          <w:szCs w:val="20"/>
        </w:rPr>
      </w:pPr>
      <w:r w:rsidRPr="008174E3">
        <w:rPr>
          <w:rFonts w:ascii="Arial" w:hAnsi="Arial" w:cs="Arial"/>
          <w:sz w:val="18"/>
          <w:szCs w:val="20"/>
        </w:rPr>
        <w:lastRenderedPageBreak/>
        <w:t xml:space="preserve">Del mismo modo, el </w:t>
      </w:r>
      <w:r w:rsidR="00894E19" w:rsidRPr="008174E3">
        <w:rPr>
          <w:rFonts w:ascii="Arial" w:hAnsi="Arial" w:cs="Arial"/>
          <w:sz w:val="18"/>
          <w:szCs w:val="20"/>
        </w:rPr>
        <w:t>cálculo</w:t>
      </w:r>
      <w:r w:rsidRPr="008174E3">
        <w:rPr>
          <w:rFonts w:ascii="Arial" w:hAnsi="Arial" w:cs="Arial"/>
          <w:sz w:val="18"/>
          <w:szCs w:val="20"/>
        </w:rPr>
        <w:t xml:space="preserve"> de los beneficios económicos asociados al componente de Fortalecimiento de</w:t>
      </w:r>
      <w:r w:rsidR="00442FFB" w:rsidRPr="008174E3">
        <w:rPr>
          <w:rFonts w:ascii="Arial" w:hAnsi="Arial" w:cs="Arial"/>
          <w:sz w:val="18"/>
          <w:szCs w:val="20"/>
        </w:rPr>
        <w:t>l PAE</w:t>
      </w:r>
      <w:r w:rsidRPr="008174E3">
        <w:rPr>
          <w:rFonts w:ascii="Arial" w:hAnsi="Arial" w:cs="Arial"/>
          <w:sz w:val="18"/>
          <w:szCs w:val="20"/>
        </w:rPr>
        <w:t xml:space="preserve"> para el año 1 se calcula de la siguiente forma</w:t>
      </w:r>
      <w:r w:rsidR="00442FFB" w:rsidRPr="008174E3">
        <w:rPr>
          <w:rStyle w:val="FootnoteReference"/>
          <w:rFonts w:ascii="Arial" w:hAnsi="Arial" w:cs="Arial"/>
          <w:sz w:val="18"/>
          <w:szCs w:val="20"/>
        </w:rPr>
        <w:footnoteReference w:id="30"/>
      </w:r>
      <w:r w:rsidRPr="008174E3">
        <w:rPr>
          <w:rFonts w:ascii="Arial" w:hAnsi="Arial" w:cs="Arial"/>
          <w:sz w:val="18"/>
          <w:szCs w:val="20"/>
        </w:rPr>
        <w:t>:</w:t>
      </w:r>
    </w:p>
    <w:p w14:paraId="0D4365F7" w14:textId="34D9E2F4" w:rsidR="00206363" w:rsidRPr="008174E3" w:rsidRDefault="00206363" w:rsidP="00206363">
      <w:pPr>
        <w:spacing w:before="360"/>
        <w:rPr>
          <w:rFonts w:ascii="Arial" w:hAnsi="Arial" w:cs="Arial"/>
          <w:color w:val="000000"/>
          <w:sz w:val="14"/>
        </w:rPr>
      </w:pPr>
      <m:oMathPara>
        <m:oMath>
          <m:r>
            <w:rPr>
              <w:rFonts w:ascii="Cambria Math" w:hAnsi="Cambria Math"/>
              <w:color w:val="000000"/>
              <w:sz w:val="14"/>
              <w:szCs w:val="22"/>
            </w:rPr>
            <m:t>Beneficio PAE</m:t>
          </m:r>
          <m:r>
            <w:rPr>
              <w:rFonts w:ascii="Cambria Math" w:hAnsi="Cambria Math"/>
              <w:color w:val="000000"/>
              <w:sz w:val="14"/>
            </w:rPr>
            <m:t>=</m:t>
          </m:r>
          <m:d>
            <m:dPr>
              <m:begChr m:val="{"/>
              <m:endChr m:val="}"/>
              <m:ctrlPr>
                <w:rPr>
                  <w:rFonts w:ascii="Cambria Math" w:hAnsi="Cambria Math"/>
                  <w:i/>
                  <w:color w:val="000000"/>
                  <w:sz w:val="14"/>
                </w:rPr>
              </m:ctrlPr>
            </m:dPr>
            <m:e>
              <m:d>
                <m:dPr>
                  <m:ctrlPr>
                    <w:rPr>
                      <w:rFonts w:ascii="Cambria Math" w:hAnsi="Cambria Math"/>
                      <w:i/>
                      <w:color w:val="000000"/>
                      <w:sz w:val="14"/>
                    </w:rPr>
                  </m:ctrlPr>
                </m:dPr>
                <m:e>
                  <m:sSub>
                    <m:sSubPr>
                      <m:ctrlPr>
                        <w:rPr>
                          <w:rFonts w:ascii="Cambria Math" w:hAnsi="Cambria Math"/>
                          <w:i/>
                          <w:color w:val="000000"/>
                          <w:sz w:val="14"/>
                          <w:szCs w:val="22"/>
                        </w:rPr>
                      </m:ctrlPr>
                    </m:sSubPr>
                    <m:e>
                      <m:r>
                        <w:rPr>
                          <w:rFonts w:ascii="Cambria Math" w:hAnsi="Cambria Math"/>
                          <w:color w:val="000000"/>
                          <w:sz w:val="14"/>
                        </w:rPr>
                        <m:t>f</m:t>
                      </m:r>
                    </m:e>
                    <m:sub>
                      <m:r>
                        <w:rPr>
                          <w:rFonts w:ascii="Cambria Math" w:hAnsi="Cambria Math"/>
                          <w:color w:val="000000"/>
                          <w:sz w:val="14"/>
                        </w:rPr>
                        <m:t>i,H</m:t>
                      </m:r>
                    </m:sub>
                  </m:sSub>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N</m:t>
                      </m:r>
                    </m:e>
                    <m:sub>
                      <m:r>
                        <w:rPr>
                          <w:rFonts w:ascii="Cambria Math" w:hAnsi="Cambria Math"/>
                          <w:color w:val="000000"/>
                          <w:sz w:val="14"/>
                        </w:rPr>
                        <m:t>i,H</m:t>
                      </m:r>
                    </m:sub>
                  </m:sSub>
                </m:e>
              </m:d>
              <m:r>
                <w:rPr>
                  <w:rFonts w:ascii="Cambria Math" w:hAnsi="Cambria Math"/>
                  <w:color w:val="000000"/>
                  <w:sz w:val="14"/>
                </w:rPr>
                <m:t>+</m:t>
              </m:r>
              <m:d>
                <m:dPr>
                  <m:ctrlPr>
                    <w:rPr>
                      <w:rFonts w:ascii="Cambria Math" w:hAnsi="Cambria Math"/>
                      <w:i/>
                      <w:color w:val="000000"/>
                      <w:sz w:val="14"/>
                    </w:rPr>
                  </m:ctrlPr>
                </m:dPr>
                <m:e>
                  <m:sSub>
                    <m:sSubPr>
                      <m:ctrlPr>
                        <w:rPr>
                          <w:rFonts w:ascii="Cambria Math" w:hAnsi="Cambria Math"/>
                          <w:i/>
                          <w:color w:val="000000"/>
                          <w:sz w:val="14"/>
                          <w:szCs w:val="22"/>
                        </w:rPr>
                      </m:ctrlPr>
                    </m:sSubPr>
                    <m:e>
                      <m:r>
                        <w:rPr>
                          <w:rFonts w:ascii="Cambria Math" w:hAnsi="Cambria Math"/>
                          <w:color w:val="000000"/>
                          <w:sz w:val="14"/>
                        </w:rPr>
                        <m:t>f</m:t>
                      </m:r>
                    </m:e>
                    <m:sub>
                      <m:r>
                        <w:rPr>
                          <w:rFonts w:ascii="Cambria Math" w:hAnsi="Cambria Math"/>
                          <w:color w:val="000000"/>
                          <w:sz w:val="14"/>
                        </w:rPr>
                        <m:t>i,M</m:t>
                      </m:r>
                    </m:sub>
                  </m:sSub>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N</m:t>
                      </m:r>
                    </m:e>
                    <m:sub>
                      <m:r>
                        <w:rPr>
                          <w:rFonts w:ascii="Cambria Math" w:hAnsi="Cambria Math"/>
                          <w:color w:val="000000"/>
                          <w:sz w:val="14"/>
                        </w:rPr>
                        <m:t>i,M</m:t>
                      </m:r>
                    </m:sub>
                  </m:sSub>
                </m:e>
              </m:d>
              <m:r>
                <w:rPr>
                  <w:rFonts w:ascii="Cambria Math" w:hAnsi="Cambria Math"/>
                  <w:color w:val="000000"/>
                  <w:sz w:val="14"/>
                </w:rPr>
                <m:t>+</m:t>
              </m:r>
              <m:d>
                <m:dPr>
                  <m:ctrlPr>
                    <w:rPr>
                      <w:rFonts w:ascii="Cambria Math" w:hAnsi="Cambria Math"/>
                      <w:i/>
                      <w:color w:val="000000"/>
                      <w:sz w:val="14"/>
                    </w:rPr>
                  </m:ctrlPr>
                </m:dPr>
                <m:e>
                  <m:sSub>
                    <m:sSubPr>
                      <m:ctrlPr>
                        <w:rPr>
                          <w:rFonts w:ascii="Cambria Math" w:hAnsi="Cambria Math"/>
                          <w:i/>
                          <w:color w:val="000000"/>
                          <w:sz w:val="14"/>
                          <w:szCs w:val="22"/>
                        </w:rPr>
                      </m:ctrlPr>
                    </m:sSubPr>
                    <m:e>
                      <m:r>
                        <w:rPr>
                          <w:rFonts w:ascii="Cambria Math" w:hAnsi="Cambria Math"/>
                          <w:color w:val="000000"/>
                          <w:sz w:val="14"/>
                        </w:rPr>
                        <m:t>β</m:t>
                      </m:r>
                    </m:e>
                    <m:sub>
                      <m:r>
                        <w:rPr>
                          <w:rFonts w:ascii="Cambria Math" w:hAnsi="Cambria Math"/>
                          <w:color w:val="000000"/>
                          <w:sz w:val="14"/>
                        </w:rPr>
                        <m:t>i,H</m:t>
                      </m:r>
                    </m:sub>
                  </m:sSub>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N</m:t>
                      </m:r>
                    </m:e>
                    <m:sub>
                      <m:r>
                        <w:rPr>
                          <w:rFonts w:ascii="Cambria Math" w:hAnsi="Cambria Math"/>
                          <w:color w:val="000000"/>
                          <w:sz w:val="14"/>
                        </w:rPr>
                        <m:t>i,H</m:t>
                      </m:r>
                    </m:sub>
                  </m:sSub>
                </m:e>
              </m:d>
              <m:r>
                <w:rPr>
                  <w:rFonts w:ascii="Cambria Math" w:hAnsi="Cambria Math"/>
                  <w:color w:val="000000"/>
                  <w:sz w:val="14"/>
                </w:rPr>
                <m:t>+</m:t>
              </m:r>
              <m:d>
                <m:dPr>
                  <m:ctrlPr>
                    <w:rPr>
                      <w:rFonts w:ascii="Cambria Math" w:hAnsi="Cambria Math"/>
                      <w:i/>
                      <w:color w:val="000000"/>
                      <w:sz w:val="14"/>
                    </w:rPr>
                  </m:ctrlPr>
                </m:dPr>
                <m:e>
                  <m:sSub>
                    <m:sSubPr>
                      <m:ctrlPr>
                        <w:rPr>
                          <w:rFonts w:ascii="Cambria Math" w:hAnsi="Cambria Math"/>
                          <w:i/>
                          <w:color w:val="000000"/>
                          <w:sz w:val="14"/>
                          <w:szCs w:val="22"/>
                        </w:rPr>
                      </m:ctrlPr>
                    </m:sSubPr>
                    <m:e>
                      <m:r>
                        <w:rPr>
                          <w:rFonts w:ascii="Cambria Math" w:hAnsi="Cambria Math"/>
                          <w:color w:val="000000"/>
                          <w:sz w:val="14"/>
                        </w:rPr>
                        <m:t>β</m:t>
                      </m:r>
                    </m:e>
                    <m:sub>
                      <m:r>
                        <w:rPr>
                          <w:rFonts w:ascii="Cambria Math" w:hAnsi="Cambria Math"/>
                          <w:color w:val="000000"/>
                          <w:sz w:val="14"/>
                        </w:rPr>
                        <m:t>i,M</m:t>
                      </m:r>
                    </m:sub>
                  </m:sSub>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N</m:t>
                      </m:r>
                    </m:e>
                    <m:sub>
                      <m:r>
                        <w:rPr>
                          <w:rFonts w:ascii="Cambria Math" w:hAnsi="Cambria Math"/>
                          <w:color w:val="000000"/>
                          <w:sz w:val="14"/>
                        </w:rPr>
                        <m:t>i,M</m:t>
                      </m:r>
                    </m:sub>
                  </m:sSub>
                </m:e>
              </m:d>
            </m:e>
          </m:d>
          <m:r>
            <w:rPr>
              <w:rFonts w:ascii="Cambria Math" w:hAnsi="Cambria Math"/>
              <w:color w:val="000000"/>
              <w:sz w:val="14"/>
            </w:rPr>
            <m:t>*9/12</m:t>
          </m:r>
        </m:oMath>
      </m:oMathPara>
    </w:p>
    <w:p w14:paraId="6DAB5DDD" w14:textId="729E5873" w:rsidR="00206363" w:rsidRPr="008174E3" w:rsidRDefault="00206363" w:rsidP="00206363">
      <w:pPr>
        <w:spacing w:before="360"/>
        <w:rPr>
          <w:rFonts w:ascii="Arial" w:hAnsi="Arial" w:cs="Arial"/>
          <w:color w:val="000000"/>
          <w:sz w:val="14"/>
        </w:rPr>
      </w:pPr>
      <m:oMathPara>
        <m:oMath>
          <m:r>
            <w:rPr>
              <w:rFonts w:ascii="Cambria Math" w:hAnsi="Cambria Math"/>
              <w:color w:val="000000"/>
              <w:sz w:val="14"/>
            </w:rPr>
            <m:t>=</m:t>
          </m:r>
          <m:d>
            <m:dPr>
              <m:begChr m:val="{"/>
              <m:endChr m:val="}"/>
              <m:ctrlPr>
                <w:rPr>
                  <w:rFonts w:ascii="Cambria Math" w:hAnsi="Cambria Math"/>
                  <w:i/>
                  <w:color w:val="000000"/>
                  <w:sz w:val="14"/>
                </w:rPr>
              </m:ctrlPr>
            </m:dPr>
            <m:e>
              <m:d>
                <m:dPr>
                  <m:ctrlPr>
                    <w:rPr>
                      <w:rFonts w:ascii="Cambria Math" w:hAnsi="Cambria Math"/>
                      <w:i/>
                      <w:color w:val="000000"/>
                      <w:sz w:val="14"/>
                    </w:rPr>
                  </m:ctrlPr>
                </m:dPr>
                <m:e>
                  <m:d>
                    <m:dPr>
                      <m:ctrlPr>
                        <w:rPr>
                          <w:rFonts w:ascii="Cambria Math" w:hAnsi="Cambria Math"/>
                          <w:i/>
                          <w:color w:val="000000"/>
                          <w:sz w:val="14"/>
                        </w:rPr>
                      </m:ctrlPr>
                    </m:dPr>
                    <m:e>
                      <m:sSub>
                        <m:sSubPr>
                          <m:ctrlPr>
                            <w:rPr>
                              <w:rFonts w:ascii="Cambria Math" w:hAnsi="Cambria Math"/>
                              <w:i/>
                              <w:color w:val="000000"/>
                              <w:sz w:val="14"/>
                            </w:rPr>
                          </m:ctrlPr>
                        </m:sSubPr>
                        <m:e>
                          <m:r>
                            <w:rPr>
                              <w:rFonts w:ascii="Cambria Math" w:hAnsi="Cambria Math"/>
                              <w:color w:val="000000"/>
                              <w:sz w:val="14"/>
                            </w:rPr>
                            <m:t>y</m:t>
                          </m:r>
                        </m:e>
                        <m:sub>
                          <m:r>
                            <w:rPr>
                              <w:rFonts w:ascii="Cambria Math" w:hAnsi="Cambria Math"/>
                              <w:color w:val="000000"/>
                              <w:sz w:val="14"/>
                            </w:rPr>
                            <m:t>semanal,H</m:t>
                          </m:r>
                        </m:sub>
                      </m:sSub>
                      <m:r>
                        <w:rPr>
                          <w:rFonts w:ascii="Cambria Math" w:hAnsi="Cambria Math"/>
                          <w:color w:val="000000"/>
                          <w:sz w:val="14"/>
                        </w:rPr>
                        <m:t>*</m:t>
                      </m:r>
                      <m:sSub>
                        <m:sSubPr>
                          <m:ctrlPr>
                            <w:rPr>
                              <w:rFonts w:ascii="Cambria Math" w:hAnsi="Cambria Math"/>
                              <w:i/>
                              <w:color w:val="000000"/>
                              <w:sz w:val="14"/>
                            </w:rPr>
                          </m:ctrlPr>
                        </m:sSubPr>
                        <m:e>
                          <m:r>
                            <w:rPr>
                              <w:rFonts w:ascii="Cambria Math" w:hAnsi="Cambria Math"/>
                              <w:color w:val="000000"/>
                              <w:sz w:val="14"/>
                            </w:rPr>
                            <m:t>∆</m:t>
                          </m:r>
                        </m:e>
                        <m:sub>
                          <m:r>
                            <w:rPr>
                              <w:rFonts w:ascii="Cambria Math" w:hAnsi="Cambria Math"/>
                              <w:color w:val="000000"/>
                              <w:sz w:val="14"/>
                            </w:rPr>
                            <m:t>aportes SS</m:t>
                          </m:r>
                        </m:sub>
                      </m:sSub>
                      <m:r>
                        <w:rPr>
                          <w:rFonts w:ascii="Cambria Math" w:hAnsi="Cambria Math"/>
                          <w:color w:val="000000"/>
                          <w:sz w:val="14"/>
                        </w:rPr>
                        <m:t>*52*δ</m:t>
                      </m:r>
                    </m:e>
                  </m:d>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N</m:t>
                      </m:r>
                    </m:e>
                    <m:sub>
                      <m:r>
                        <w:rPr>
                          <w:rFonts w:ascii="Cambria Math" w:hAnsi="Cambria Math"/>
                          <w:color w:val="000000"/>
                          <w:sz w:val="14"/>
                        </w:rPr>
                        <m:t>1,H</m:t>
                      </m:r>
                    </m:sub>
                  </m:sSub>
                </m:e>
              </m:d>
              <m:r>
                <w:rPr>
                  <w:rFonts w:ascii="Cambria Math" w:hAnsi="Cambria Math"/>
                  <w:color w:val="000000"/>
                  <w:sz w:val="14"/>
                </w:rPr>
                <m:t>+</m:t>
              </m:r>
              <m:d>
                <m:dPr>
                  <m:ctrlPr>
                    <w:rPr>
                      <w:rFonts w:ascii="Cambria Math" w:hAnsi="Cambria Math"/>
                      <w:i/>
                      <w:color w:val="000000"/>
                      <w:sz w:val="14"/>
                    </w:rPr>
                  </m:ctrlPr>
                </m:dPr>
                <m:e>
                  <m:d>
                    <m:dPr>
                      <m:ctrlPr>
                        <w:rPr>
                          <w:rFonts w:ascii="Cambria Math" w:hAnsi="Cambria Math"/>
                          <w:i/>
                          <w:color w:val="000000"/>
                          <w:sz w:val="14"/>
                        </w:rPr>
                      </m:ctrlPr>
                    </m:dPr>
                    <m:e>
                      <m:sSub>
                        <m:sSubPr>
                          <m:ctrlPr>
                            <w:rPr>
                              <w:rFonts w:ascii="Cambria Math" w:hAnsi="Cambria Math"/>
                              <w:i/>
                              <w:color w:val="000000"/>
                              <w:sz w:val="14"/>
                            </w:rPr>
                          </m:ctrlPr>
                        </m:sSubPr>
                        <m:e>
                          <m:r>
                            <w:rPr>
                              <w:rFonts w:ascii="Cambria Math" w:hAnsi="Cambria Math"/>
                              <w:color w:val="000000"/>
                              <w:sz w:val="14"/>
                            </w:rPr>
                            <m:t>y</m:t>
                          </m:r>
                        </m:e>
                        <m:sub>
                          <m:r>
                            <w:rPr>
                              <w:rFonts w:ascii="Cambria Math" w:hAnsi="Cambria Math"/>
                              <w:color w:val="000000"/>
                              <w:sz w:val="14"/>
                            </w:rPr>
                            <m:t>semanal,M</m:t>
                          </m:r>
                        </m:sub>
                      </m:sSub>
                      <m:r>
                        <w:rPr>
                          <w:rFonts w:ascii="Cambria Math" w:hAnsi="Cambria Math"/>
                          <w:color w:val="000000"/>
                          <w:sz w:val="14"/>
                        </w:rPr>
                        <m:t>*</m:t>
                      </m:r>
                      <m:sSub>
                        <m:sSubPr>
                          <m:ctrlPr>
                            <w:rPr>
                              <w:rFonts w:ascii="Cambria Math" w:hAnsi="Cambria Math"/>
                              <w:i/>
                              <w:color w:val="000000"/>
                              <w:sz w:val="14"/>
                            </w:rPr>
                          </m:ctrlPr>
                        </m:sSubPr>
                        <m:e>
                          <m:r>
                            <w:rPr>
                              <w:rFonts w:ascii="Cambria Math" w:hAnsi="Cambria Math"/>
                              <w:color w:val="000000"/>
                              <w:sz w:val="14"/>
                            </w:rPr>
                            <m:t>∆</m:t>
                          </m:r>
                        </m:e>
                        <m:sub>
                          <m:r>
                            <w:rPr>
                              <w:rFonts w:ascii="Cambria Math" w:hAnsi="Cambria Math"/>
                              <w:color w:val="000000"/>
                              <w:sz w:val="14"/>
                            </w:rPr>
                            <m:t>aportes SS</m:t>
                          </m:r>
                        </m:sub>
                      </m:sSub>
                      <m:r>
                        <w:rPr>
                          <w:rFonts w:ascii="Cambria Math" w:hAnsi="Cambria Math"/>
                          <w:color w:val="000000"/>
                          <w:sz w:val="14"/>
                        </w:rPr>
                        <m:t>*52*δ</m:t>
                      </m:r>
                    </m:e>
                  </m:d>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N</m:t>
                      </m:r>
                    </m:e>
                    <m:sub>
                      <m:r>
                        <w:rPr>
                          <w:rFonts w:ascii="Cambria Math" w:hAnsi="Cambria Math"/>
                          <w:color w:val="000000"/>
                          <w:sz w:val="14"/>
                        </w:rPr>
                        <m:t>1,M</m:t>
                      </m:r>
                    </m:sub>
                  </m:sSub>
                </m:e>
              </m:d>
              <m:r>
                <w:rPr>
                  <w:rFonts w:ascii="Cambria Math" w:hAnsi="Cambria Math"/>
                  <w:color w:val="000000"/>
                  <w:sz w:val="14"/>
                </w:rPr>
                <m:t>+</m:t>
              </m:r>
              <m:d>
                <m:dPr>
                  <m:ctrlPr>
                    <w:rPr>
                      <w:rFonts w:ascii="Cambria Math" w:hAnsi="Cambria Math"/>
                      <w:i/>
                      <w:color w:val="000000"/>
                      <w:sz w:val="14"/>
                    </w:rPr>
                  </m:ctrlPr>
                </m:dPr>
                <m:e>
                  <m:d>
                    <m:dPr>
                      <m:ctrlPr>
                        <w:rPr>
                          <w:rFonts w:ascii="Cambria Math" w:hAnsi="Cambria Math"/>
                          <w:i/>
                          <w:color w:val="000000"/>
                          <w:sz w:val="14"/>
                        </w:rPr>
                      </m:ctrlPr>
                    </m:dPr>
                    <m:e>
                      <m:sSub>
                        <m:sSubPr>
                          <m:ctrlPr>
                            <w:rPr>
                              <w:rFonts w:ascii="Cambria Math" w:hAnsi="Cambria Math"/>
                              <w:i/>
                              <w:color w:val="000000"/>
                              <w:sz w:val="14"/>
                              <w:szCs w:val="22"/>
                            </w:rPr>
                          </m:ctrlPr>
                        </m:sSubPr>
                        <m:e>
                          <m:r>
                            <w:rPr>
                              <w:rFonts w:ascii="Cambria Math" w:hAnsi="Cambria Math"/>
                              <w:color w:val="000000"/>
                              <w:sz w:val="14"/>
                            </w:rPr>
                            <m:t>d</m:t>
                          </m:r>
                        </m:e>
                        <m:sub>
                          <m:r>
                            <w:rPr>
                              <w:rFonts w:ascii="Cambria Math" w:hAnsi="Cambria Math"/>
                              <w:color w:val="000000"/>
                              <w:sz w:val="14"/>
                            </w:rPr>
                            <m:t>vacación</m:t>
                          </m:r>
                        </m:sub>
                      </m:sSub>
                      <m:r>
                        <w:rPr>
                          <w:rFonts w:ascii="Cambria Math" w:hAnsi="Cambria Math"/>
                          <w:color w:val="000000"/>
                          <w:sz w:val="14"/>
                        </w:rPr>
                        <m:t>*</m:t>
                      </m:r>
                      <m:sSub>
                        <m:sSubPr>
                          <m:ctrlPr>
                            <w:rPr>
                              <w:rFonts w:ascii="Cambria Math" w:hAnsi="Cambria Math"/>
                              <w:i/>
                              <w:color w:val="000000"/>
                              <w:sz w:val="14"/>
                            </w:rPr>
                          </m:ctrlPr>
                        </m:sSubPr>
                        <m:e>
                          <m:r>
                            <w:rPr>
                              <w:rFonts w:ascii="Cambria Math" w:hAnsi="Cambria Math"/>
                              <w:color w:val="000000"/>
                              <w:sz w:val="14"/>
                            </w:rPr>
                            <m:t>y</m:t>
                          </m:r>
                        </m:e>
                        <m:sub>
                          <m:r>
                            <w:rPr>
                              <w:rFonts w:ascii="Cambria Math" w:hAnsi="Cambria Math"/>
                              <w:color w:val="000000"/>
                              <w:sz w:val="14"/>
                            </w:rPr>
                            <m:t>diario,H</m:t>
                          </m:r>
                        </m:sub>
                      </m:sSub>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ρ</m:t>
                          </m:r>
                        </m:e>
                        <m:sub>
                          <m:func>
                            <m:funcPr>
                              <m:ctrlPr>
                                <w:rPr>
                                  <w:rFonts w:ascii="Cambria Math" w:hAnsi="Cambria Math"/>
                                  <w:i/>
                                  <w:color w:val="000000"/>
                                  <w:sz w:val="14"/>
                                </w:rPr>
                              </m:ctrlPr>
                            </m:funcPr>
                            <m:fName>
                              <m:r>
                                <m:rPr>
                                  <m:sty m:val="p"/>
                                </m:rPr>
                                <w:rPr>
                                  <w:rFonts w:ascii="Cambria Math" w:hAnsi="Cambria Math"/>
                                  <w:color w:val="000000"/>
                                  <w:sz w:val="14"/>
                                </w:rPr>
                                <m:t>sin</m:t>
                              </m:r>
                            </m:fName>
                            <m:e>
                              <m:r>
                                <w:rPr>
                                  <w:rFonts w:ascii="Cambria Math" w:hAnsi="Cambria Math"/>
                                  <w:color w:val="000000"/>
                                  <w:sz w:val="14"/>
                                </w:rPr>
                                <m:t xml:space="preserve">acceso </m:t>
                              </m:r>
                            </m:e>
                          </m:func>
                          <m:r>
                            <w:rPr>
                              <w:rFonts w:ascii="Cambria Math" w:hAnsi="Cambria Math"/>
                              <w:color w:val="000000"/>
                              <w:sz w:val="14"/>
                            </w:rPr>
                            <m:t>a vacaciones</m:t>
                          </m:r>
                        </m:sub>
                      </m:sSub>
                    </m:e>
                  </m:d>
                  <m:r>
                    <w:rPr>
                      <w:rFonts w:ascii="Cambria Math" w:hAnsi="Cambria Math"/>
                      <w:color w:val="000000"/>
                      <w:sz w:val="14"/>
                    </w:rPr>
                    <m:t>+</m:t>
                  </m:r>
                  <m:d>
                    <m:dPr>
                      <m:ctrlPr>
                        <w:rPr>
                          <w:rFonts w:ascii="Cambria Math" w:hAnsi="Cambria Math"/>
                          <w:i/>
                          <w:color w:val="000000"/>
                          <w:sz w:val="14"/>
                        </w:rPr>
                      </m:ctrlPr>
                    </m:dPr>
                    <m:e>
                      <m:sSub>
                        <m:sSubPr>
                          <m:ctrlPr>
                            <w:rPr>
                              <w:rFonts w:ascii="Cambria Math" w:hAnsi="Cambria Math"/>
                              <w:i/>
                              <w:color w:val="000000"/>
                              <w:sz w:val="14"/>
                              <w:szCs w:val="22"/>
                            </w:rPr>
                          </m:ctrlPr>
                        </m:sSubPr>
                        <m:e>
                          <m:r>
                            <w:rPr>
                              <w:rFonts w:ascii="Cambria Math" w:hAnsi="Cambria Math"/>
                              <w:color w:val="000000"/>
                              <w:sz w:val="14"/>
                            </w:rPr>
                            <m:t>d</m:t>
                          </m:r>
                        </m:e>
                        <m:sub>
                          <m:r>
                            <w:rPr>
                              <w:rFonts w:ascii="Cambria Math" w:hAnsi="Cambria Math"/>
                              <w:color w:val="000000"/>
                              <w:sz w:val="14"/>
                            </w:rPr>
                            <m:t>aguinaldo</m:t>
                          </m:r>
                        </m:sub>
                      </m:sSub>
                      <m:r>
                        <w:rPr>
                          <w:rFonts w:ascii="Cambria Math" w:hAnsi="Cambria Math"/>
                          <w:color w:val="000000"/>
                          <w:sz w:val="14"/>
                        </w:rPr>
                        <m:t>*</m:t>
                      </m:r>
                      <m:sSub>
                        <m:sSubPr>
                          <m:ctrlPr>
                            <w:rPr>
                              <w:rFonts w:ascii="Cambria Math" w:hAnsi="Cambria Math"/>
                              <w:i/>
                              <w:color w:val="000000"/>
                              <w:sz w:val="14"/>
                            </w:rPr>
                          </m:ctrlPr>
                        </m:sSubPr>
                        <m:e>
                          <m:r>
                            <w:rPr>
                              <w:rFonts w:ascii="Cambria Math" w:hAnsi="Cambria Math"/>
                              <w:color w:val="000000"/>
                              <w:sz w:val="14"/>
                            </w:rPr>
                            <m:t>y</m:t>
                          </m:r>
                        </m:e>
                        <m:sub>
                          <m:r>
                            <w:rPr>
                              <w:rFonts w:ascii="Cambria Math" w:hAnsi="Cambria Math"/>
                              <w:color w:val="000000"/>
                              <w:sz w:val="14"/>
                            </w:rPr>
                            <m:t>diario,H</m:t>
                          </m:r>
                        </m:sub>
                      </m:sSub>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ρ</m:t>
                          </m:r>
                        </m:e>
                        <m:sub>
                          <m:func>
                            <m:funcPr>
                              <m:ctrlPr>
                                <w:rPr>
                                  <w:rFonts w:ascii="Cambria Math" w:hAnsi="Cambria Math"/>
                                  <w:i/>
                                  <w:color w:val="000000"/>
                                  <w:sz w:val="14"/>
                                </w:rPr>
                              </m:ctrlPr>
                            </m:funcPr>
                            <m:fName>
                              <m:r>
                                <m:rPr>
                                  <m:sty m:val="p"/>
                                </m:rPr>
                                <w:rPr>
                                  <w:rFonts w:ascii="Cambria Math" w:hAnsi="Cambria Math"/>
                                  <w:color w:val="000000"/>
                                  <w:sz w:val="14"/>
                                </w:rPr>
                                <m:t>sin</m:t>
                              </m:r>
                            </m:fName>
                            <m:e>
                              <m:r>
                                <w:rPr>
                                  <w:rFonts w:ascii="Cambria Math" w:hAnsi="Cambria Math"/>
                                  <w:color w:val="000000"/>
                                  <w:sz w:val="14"/>
                                </w:rPr>
                                <m:t>acceso a</m:t>
                              </m:r>
                            </m:e>
                          </m:func>
                          <m:r>
                            <w:rPr>
                              <w:rFonts w:ascii="Cambria Math" w:hAnsi="Cambria Math"/>
                              <w:color w:val="000000"/>
                              <w:sz w:val="14"/>
                            </w:rPr>
                            <m:t xml:space="preserve"> aguinaldo</m:t>
                          </m:r>
                        </m:sub>
                      </m:sSub>
                    </m:e>
                  </m:d>
                  <m:r>
                    <w:rPr>
                      <w:rFonts w:ascii="Cambria Math" w:hAnsi="Cambria Math"/>
                      <w:color w:val="000000"/>
                      <w:sz w:val="14"/>
                    </w:rPr>
                    <m:t>}*δ*</m:t>
                  </m:r>
                  <m:sSub>
                    <m:sSubPr>
                      <m:ctrlPr>
                        <w:rPr>
                          <w:rFonts w:ascii="Cambria Math" w:hAnsi="Cambria Math"/>
                          <w:i/>
                          <w:color w:val="000000"/>
                          <w:sz w:val="14"/>
                          <w:szCs w:val="22"/>
                        </w:rPr>
                      </m:ctrlPr>
                    </m:sSubPr>
                    <m:e>
                      <m:r>
                        <w:rPr>
                          <w:rFonts w:ascii="Cambria Math" w:hAnsi="Cambria Math"/>
                          <w:color w:val="000000"/>
                          <w:sz w:val="14"/>
                        </w:rPr>
                        <m:t>N</m:t>
                      </m:r>
                    </m:e>
                    <m:sub>
                      <m:r>
                        <w:rPr>
                          <w:rFonts w:ascii="Cambria Math" w:hAnsi="Cambria Math"/>
                          <w:color w:val="000000"/>
                          <w:sz w:val="14"/>
                        </w:rPr>
                        <m:t>1,H</m:t>
                      </m:r>
                    </m:sub>
                  </m:sSub>
                </m:e>
              </m:d>
              <m:r>
                <w:rPr>
                  <w:rFonts w:ascii="Cambria Math" w:hAnsi="Cambria Math"/>
                  <w:color w:val="000000"/>
                  <w:sz w:val="14"/>
                </w:rPr>
                <m:t>+</m:t>
              </m:r>
              <m:d>
                <m:dPr>
                  <m:ctrlPr>
                    <w:rPr>
                      <w:rFonts w:ascii="Cambria Math" w:hAnsi="Cambria Math"/>
                      <w:i/>
                      <w:color w:val="000000"/>
                      <w:sz w:val="14"/>
                    </w:rPr>
                  </m:ctrlPr>
                </m:dPr>
                <m:e>
                  <m:d>
                    <m:dPr>
                      <m:ctrlPr>
                        <w:rPr>
                          <w:rFonts w:ascii="Cambria Math" w:hAnsi="Cambria Math"/>
                          <w:i/>
                          <w:color w:val="000000"/>
                          <w:sz w:val="14"/>
                        </w:rPr>
                      </m:ctrlPr>
                    </m:dPr>
                    <m:e>
                      <m:sSub>
                        <m:sSubPr>
                          <m:ctrlPr>
                            <w:rPr>
                              <w:rFonts w:ascii="Cambria Math" w:hAnsi="Cambria Math"/>
                              <w:i/>
                              <w:color w:val="000000"/>
                              <w:sz w:val="14"/>
                              <w:szCs w:val="22"/>
                            </w:rPr>
                          </m:ctrlPr>
                        </m:sSubPr>
                        <m:e>
                          <m:r>
                            <w:rPr>
                              <w:rFonts w:ascii="Cambria Math" w:hAnsi="Cambria Math"/>
                              <w:color w:val="000000"/>
                              <w:sz w:val="14"/>
                            </w:rPr>
                            <m:t>d</m:t>
                          </m:r>
                        </m:e>
                        <m:sub>
                          <m:r>
                            <w:rPr>
                              <w:rFonts w:ascii="Cambria Math" w:hAnsi="Cambria Math"/>
                              <w:color w:val="000000"/>
                              <w:sz w:val="14"/>
                            </w:rPr>
                            <m:t>vacación</m:t>
                          </m:r>
                        </m:sub>
                      </m:sSub>
                      <m:r>
                        <w:rPr>
                          <w:rFonts w:ascii="Cambria Math" w:hAnsi="Cambria Math"/>
                          <w:color w:val="000000"/>
                          <w:sz w:val="14"/>
                        </w:rPr>
                        <m:t>*</m:t>
                      </m:r>
                      <m:sSub>
                        <m:sSubPr>
                          <m:ctrlPr>
                            <w:rPr>
                              <w:rFonts w:ascii="Cambria Math" w:hAnsi="Cambria Math"/>
                              <w:i/>
                              <w:color w:val="000000"/>
                              <w:sz w:val="14"/>
                            </w:rPr>
                          </m:ctrlPr>
                        </m:sSubPr>
                        <m:e>
                          <m:r>
                            <w:rPr>
                              <w:rFonts w:ascii="Cambria Math" w:hAnsi="Cambria Math"/>
                              <w:color w:val="000000"/>
                              <w:sz w:val="14"/>
                            </w:rPr>
                            <m:t>y</m:t>
                          </m:r>
                        </m:e>
                        <m:sub>
                          <m:r>
                            <w:rPr>
                              <w:rFonts w:ascii="Cambria Math" w:hAnsi="Cambria Math"/>
                              <w:color w:val="000000"/>
                              <w:sz w:val="14"/>
                            </w:rPr>
                            <m:t>diario,M</m:t>
                          </m:r>
                        </m:sub>
                      </m:sSub>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ρ</m:t>
                          </m:r>
                        </m:e>
                        <m:sub>
                          <m:func>
                            <m:funcPr>
                              <m:ctrlPr>
                                <w:rPr>
                                  <w:rFonts w:ascii="Cambria Math" w:hAnsi="Cambria Math"/>
                                  <w:i/>
                                  <w:color w:val="000000"/>
                                  <w:sz w:val="14"/>
                                </w:rPr>
                              </m:ctrlPr>
                            </m:funcPr>
                            <m:fName>
                              <m:r>
                                <m:rPr>
                                  <m:sty m:val="p"/>
                                </m:rPr>
                                <w:rPr>
                                  <w:rFonts w:ascii="Cambria Math" w:hAnsi="Cambria Math"/>
                                  <w:color w:val="000000"/>
                                  <w:sz w:val="14"/>
                                </w:rPr>
                                <m:t>sin</m:t>
                              </m:r>
                            </m:fName>
                            <m:e>
                              <m:r>
                                <w:rPr>
                                  <w:rFonts w:ascii="Cambria Math" w:hAnsi="Cambria Math"/>
                                  <w:color w:val="000000"/>
                                  <w:sz w:val="14"/>
                                </w:rPr>
                                <m:t xml:space="preserve">acceso </m:t>
                              </m:r>
                            </m:e>
                          </m:func>
                          <m:r>
                            <w:rPr>
                              <w:rFonts w:ascii="Cambria Math" w:hAnsi="Cambria Math"/>
                              <w:color w:val="000000"/>
                              <w:sz w:val="14"/>
                            </w:rPr>
                            <m:t>a vacaciones</m:t>
                          </m:r>
                        </m:sub>
                      </m:sSub>
                    </m:e>
                  </m:d>
                  <m:r>
                    <w:rPr>
                      <w:rFonts w:ascii="Cambria Math" w:hAnsi="Cambria Math"/>
                      <w:color w:val="000000"/>
                      <w:sz w:val="14"/>
                    </w:rPr>
                    <m:t>+</m:t>
                  </m:r>
                  <m:d>
                    <m:dPr>
                      <m:ctrlPr>
                        <w:rPr>
                          <w:rFonts w:ascii="Cambria Math" w:hAnsi="Cambria Math"/>
                          <w:i/>
                          <w:color w:val="000000"/>
                          <w:sz w:val="14"/>
                        </w:rPr>
                      </m:ctrlPr>
                    </m:dPr>
                    <m:e>
                      <m:sSub>
                        <m:sSubPr>
                          <m:ctrlPr>
                            <w:rPr>
                              <w:rFonts w:ascii="Cambria Math" w:hAnsi="Cambria Math"/>
                              <w:i/>
                              <w:color w:val="000000"/>
                              <w:sz w:val="14"/>
                              <w:szCs w:val="22"/>
                            </w:rPr>
                          </m:ctrlPr>
                        </m:sSubPr>
                        <m:e>
                          <m:r>
                            <w:rPr>
                              <w:rFonts w:ascii="Cambria Math" w:hAnsi="Cambria Math"/>
                              <w:color w:val="000000"/>
                              <w:sz w:val="14"/>
                            </w:rPr>
                            <m:t>d</m:t>
                          </m:r>
                        </m:e>
                        <m:sub>
                          <m:r>
                            <w:rPr>
                              <w:rFonts w:ascii="Cambria Math" w:hAnsi="Cambria Math"/>
                              <w:color w:val="000000"/>
                              <w:sz w:val="14"/>
                            </w:rPr>
                            <m:t>aguinaldo</m:t>
                          </m:r>
                        </m:sub>
                      </m:sSub>
                      <m:r>
                        <w:rPr>
                          <w:rFonts w:ascii="Cambria Math" w:hAnsi="Cambria Math"/>
                          <w:color w:val="000000"/>
                          <w:sz w:val="14"/>
                        </w:rPr>
                        <m:t>*</m:t>
                      </m:r>
                      <m:sSub>
                        <m:sSubPr>
                          <m:ctrlPr>
                            <w:rPr>
                              <w:rFonts w:ascii="Cambria Math" w:hAnsi="Cambria Math"/>
                              <w:i/>
                              <w:color w:val="000000"/>
                              <w:sz w:val="14"/>
                            </w:rPr>
                          </m:ctrlPr>
                        </m:sSubPr>
                        <m:e>
                          <m:r>
                            <w:rPr>
                              <w:rFonts w:ascii="Cambria Math" w:hAnsi="Cambria Math"/>
                              <w:color w:val="000000"/>
                              <w:sz w:val="14"/>
                            </w:rPr>
                            <m:t>y</m:t>
                          </m:r>
                        </m:e>
                        <m:sub>
                          <m:r>
                            <w:rPr>
                              <w:rFonts w:ascii="Cambria Math" w:hAnsi="Cambria Math"/>
                              <w:color w:val="000000"/>
                              <w:sz w:val="14"/>
                            </w:rPr>
                            <m:t>diario,M</m:t>
                          </m:r>
                        </m:sub>
                      </m:sSub>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ρ</m:t>
                          </m:r>
                        </m:e>
                        <m:sub>
                          <m:func>
                            <m:funcPr>
                              <m:ctrlPr>
                                <w:rPr>
                                  <w:rFonts w:ascii="Cambria Math" w:hAnsi="Cambria Math"/>
                                  <w:i/>
                                  <w:color w:val="000000"/>
                                  <w:sz w:val="14"/>
                                </w:rPr>
                              </m:ctrlPr>
                            </m:funcPr>
                            <m:fName>
                              <m:r>
                                <m:rPr>
                                  <m:sty m:val="p"/>
                                </m:rPr>
                                <w:rPr>
                                  <w:rFonts w:ascii="Cambria Math" w:hAnsi="Cambria Math"/>
                                  <w:color w:val="000000"/>
                                  <w:sz w:val="14"/>
                                </w:rPr>
                                <m:t>sin</m:t>
                              </m:r>
                            </m:fName>
                            <m:e>
                              <m:r>
                                <w:rPr>
                                  <w:rFonts w:ascii="Cambria Math" w:hAnsi="Cambria Math"/>
                                  <w:color w:val="000000"/>
                                  <w:sz w:val="14"/>
                                </w:rPr>
                                <m:t>acceso a</m:t>
                              </m:r>
                            </m:e>
                          </m:func>
                          <m:r>
                            <w:rPr>
                              <w:rFonts w:ascii="Cambria Math" w:hAnsi="Cambria Math"/>
                              <w:color w:val="000000"/>
                              <w:sz w:val="14"/>
                            </w:rPr>
                            <m:t xml:space="preserve"> aguinaldo</m:t>
                          </m:r>
                        </m:sub>
                      </m:sSub>
                    </m:e>
                  </m:d>
                  <m:r>
                    <w:rPr>
                      <w:rFonts w:ascii="Cambria Math" w:hAnsi="Cambria Math"/>
                      <w:color w:val="000000"/>
                      <w:sz w:val="14"/>
                    </w:rPr>
                    <m:t>}*δ*</m:t>
                  </m:r>
                  <m:sSub>
                    <m:sSubPr>
                      <m:ctrlPr>
                        <w:rPr>
                          <w:rFonts w:ascii="Cambria Math" w:hAnsi="Cambria Math"/>
                          <w:i/>
                          <w:color w:val="000000"/>
                          <w:sz w:val="14"/>
                          <w:szCs w:val="22"/>
                        </w:rPr>
                      </m:ctrlPr>
                    </m:sSubPr>
                    <m:e>
                      <m:r>
                        <w:rPr>
                          <w:rFonts w:ascii="Cambria Math" w:hAnsi="Cambria Math"/>
                          <w:color w:val="000000"/>
                          <w:sz w:val="14"/>
                        </w:rPr>
                        <m:t>N</m:t>
                      </m:r>
                    </m:e>
                    <m:sub>
                      <m:r>
                        <w:rPr>
                          <w:rFonts w:ascii="Cambria Math" w:hAnsi="Cambria Math"/>
                          <w:color w:val="000000"/>
                          <w:sz w:val="14"/>
                        </w:rPr>
                        <m:t>1,M</m:t>
                      </m:r>
                    </m:sub>
                  </m:sSub>
                </m:e>
              </m:d>
            </m:e>
          </m:d>
          <m:r>
            <w:rPr>
              <w:rFonts w:ascii="Cambria Math" w:hAnsi="Cambria Math"/>
              <w:color w:val="000000"/>
              <w:sz w:val="14"/>
            </w:rPr>
            <m:t>*9/12</m:t>
          </m:r>
        </m:oMath>
      </m:oMathPara>
    </w:p>
    <w:p w14:paraId="623CDCC5" w14:textId="0FBDC77D" w:rsidR="00206363" w:rsidRPr="008174E3" w:rsidRDefault="00206363" w:rsidP="00206363">
      <w:pPr>
        <w:spacing w:before="360"/>
        <w:rPr>
          <w:rFonts w:ascii="Arial" w:hAnsi="Arial" w:cs="Arial"/>
          <w:color w:val="000000"/>
          <w:sz w:val="14"/>
        </w:rPr>
      </w:pPr>
      <m:oMathPara>
        <m:oMath>
          <m:r>
            <w:rPr>
              <w:rFonts w:ascii="Cambria Math" w:hAnsi="Cambria Math"/>
              <w:color w:val="000000"/>
              <w:sz w:val="14"/>
            </w:rPr>
            <m:t>=</m:t>
          </m:r>
          <m:d>
            <m:dPr>
              <m:begChr m:val="{"/>
              <m:endChr m:val="}"/>
              <m:ctrlPr>
                <w:rPr>
                  <w:rFonts w:ascii="Cambria Math" w:hAnsi="Cambria Math"/>
                  <w:i/>
                  <w:color w:val="000000"/>
                  <w:sz w:val="14"/>
                </w:rPr>
              </m:ctrlPr>
            </m:dPr>
            <m:e>
              <m:d>
                <m:dPr>
                  <m:ctrlPr>
                    <w:rPr>
                      <w:rFonts w:ascii="Cambria Math" w:hAnsi="Cambria Math"/>
                      <w:i/>
                      <w:color w:val="000000"/>
                      <w:sz w:val="14"/>
                    </w:rPr>
                  </m:ctrlPr>
                </m:dPr>
                <m:e>
                  <m:d>
                    <m:dPr>
                      <m:ctrlPr>
                        <w:rPr>
                          <w:rFonts w:ascii="Cambria Math" w:hAnsi="Cambria Math"/>
                          <w:i/>
                          <w:color w:val="000000"/>
                          <w:sz w:val="14"/>
                        </w:rPr>
                      </m:ctrlPr>
                    </m:dPr>
                    <m:e>
                      <m:r>
                        <w:rPr>
                          <w:rFonts w:ascii="Cambria Math" w:hAnsi="Cambria Math"/>
                          <w:color w:val="000000"/>
                          <w:sz w:val="14"/>
                        </w:rPr>
                        <m:t>$93,76*24%*52*6%</m:t>
                      </m:r>
                    </m:e>
                  </m:d>
                  <m:r>
                    <w:rPr>
                      <w:rFonts w:ascii="Cambria Math" w:hAnsi="Cambria Math"/>
                      <w:color w:val="000000"/>
                      <w:sz w:val="14"/>
                    </w:rPr>
                    <m:t>*38</m:t>
                  </m:r>
                  <m:r>
                    <w:rPr>
                      <w:rFonts w:ascii="Cambria Math" w:hAnsi="Cambria Math"/>
                      <w:color w:val="000000"/>
                      <w:sz w:val="14"/>
                      <w:szCs w:val="22"/>
                    </w:rPr>
                    <m:t>.000</m:t>
                  </m:r>
                </m:e>
              </m:d>
              <m:r>
                <w:rPr>
                  <w:rFonts w:ascii="Cambria Math" w:hAnsi="Cambria Math"/>
                  <w:color w:val="000000"/>
                  <w:sz w:val="14"/>
                </w:rPr>
                <m:t>+</m:t>
              </m:r>
              <m:d>
                <m:dPr>
                  <m:ctrlPr>
                    <w:rPr>
                      <w:rFonts w:ascii="Cambria Math" w:hAnsi="Cambria Math"/>
                      <w:i/>
                      <w:color w:val="000000"/>
                      <w:sz w:val="14"/>
                    </w:rPr>
                  </m:ctrlPr>
                </m:dPr>
                <m:e>
                  <m:d>
                    <m:dPr>
                      <m:ctrlPr>
                        <w:rPr>
                          <w:rFonts w:ascii="Cambria Math" w:hAnsi="Cambria Math"/>
                          <w:i/>
                          <w:color w:val="000000"/>
                          <w:sz w:val="14"/>
                        </w:rPr>
                      </m:ctrlPr>
                    </m:dPr>
                    <m:e>
                      <m:r>
                        <w:rPr>
                          <w:rFonts w:ascii="Cambria Math" w:hAnsi="Cambria Math"/>
                          <w:color w:val="000000"/>
                          <w:sz w:val="14"/>
                        </w:rPr>
                        <m:t>$65,71*24%*52*6%</m:t>
                      </m:r>
                    </m:e>
                  </m:d>
                  <m:r>
                    <w:rPr>
                      <w:rFonts w:ascii="Cambria Math" w:hAnsi="Cambria Math"/>
                      <w:color w:val="000000"/>
                      <w:sz w:val="14"/>
                    </w:rPr>
                    <m:t>*</m:t>
                  </m:r>
                  <m:r>
                    <w:rPr>
                      <w:rFonts w:ascii="Cambria Math" w:hAnsi="Cambria Math"/>
                      <w:color w:val="000000"/>
                      <w:sz w:val="14"/>
                    </w:rPr>
                    <m:t>38</m:t>
                  </m:r>
                  <m:r>
                    <w:rPr>
                      <w:rFonts w:ascii="Cambria Math" w:hAnsi="Cambria Math"/>
                      <w:color w:val="000000"/>
                      <w:sz w:val="14"/>
                      <w:szCs w:val="22"/>
                    </w:rPr>
                    <m:t>.000</m:t>
                  </m:r>
                </m:e>
              </m:d>
              <m:r>
                <w:rPr>
                  <w:rFonts w:ascii="Cambria Math" w:hAnsi="Cambria Math"/>
                  <w:color w:val="000000"/>
                  <w:sz w:val="14"/>
                </w:rPr>
                <m:t>+</m:t>
              </m:r>
              <m:d>
                <m:dPr>
                  <m:ctrlPr>
                    <w:rPr>
                      <w:rFonts w:ascii="Cambria Math" w:hAnsi="Cambria Math"/>
                      <w:i/>
                      <w:color w:val="000000"/>
                      <w:sz w:val="14"/>
                    </w:rPr>
                  </m:ctrlPr>
                </m:dPr>
                <m:e>
                  <m:d>
                    <m:dPr>
                      <m:ctrlPr>
                        <w:rPr>
                          <w:rFonts w:ascii="Cambria Math" w:hAnsi="Cambria Math"/>
                          <w:i/>
                          <w:color w:val="000000"/>
                          <w:sz w:val="14"/>
                        </w:rPr>
                      </m:ctrlPr>
                    </m:dPr>
                    <m:e>
                      <m:r>
                        <w:rPr>
                          <w:rFonts w:ascii="Cambria Math" w:hAnsi="Cambria Math"/>
                          <w:color w:val="000000"/>
                          <w:sz w:val="14"/>
                          <w:szCs w:val="22"/>
                        </w:rPr>
                        <m:t>6</m:t>
                      </m:r>
                      <m:r>
                        <w:rPr>
                          <w:rFonts w:ascii="Cambria Math" w:hAnsi="Cambria Math"/>
                          <w:color w:val="000000"/>
                          <w:sz w:val="14"/>
                        </w:rPr>
                        <m:t>*$15,63*</m:t>
                      </m:r>
                      <m:r>
                        <w:rPr>
                          <w:rFonts w:ascii="Cambria Math" w:hAnsi="Cambria Math"/>
                          <w:color w:val="000000"/>
                          <w:sz w:val="14"/>
                          <w:szCs w:val="22"/>
                        </w:rPr>
                        <m:t>56%</m:t>
                      </m:r>
                    </m:e>
                  </m:d>
                  <m:r>
                    <w:rPr>
                      <w:rFonts w:ascii="Cambria Math" w:hAnsi="Cambria Math"/>
                      <w:color w:val="000000"/>
                      <w:sz w:val="14"/>
                    </w:rPr>
                    <m:t>+</m:t>
                  </m:r>
                  <m:d>
                    <m:dPr>
                      <m:ctrlPr>
                        <w:rPr>
                          <w:rFonts w:ascii="Cambria Math" w:hAnsi="Cambria Math"/>
                          <w:i/>
                          <w:color w:val="000000"/>
                          <w:sz w:val="14"/>
                        </w:rPr>
                      </m:ctrlPr>
                    </m:dPr>
                    <m:e>
                      <m:r>
                        <w:rPr>
                          <w:rFonts w:ascii="Cambria Math" w:hAnsi="Cambria Math"/>
                          <w:color w:val="000000"/>
                          <w:sz w:val="14"/>
                        </w:rPr>
                        <m:t>15*15,63%*49%</m:t>
                      </m:r>
                    </m:e>
                  </m:d>
                  <m:r>
                    <w:rPr>
                      <w:rFonts w:ascii="Cambria Math" w:hAnsi="Cambria Math"/>
                      <w:color w:val="000000"/>
                      <w:sz w:val="14"/>
                    </w:rPr>
                    <m:t>}*6%*</m:t>
                  </m:r>
                  <m:r>
                    <w:rPr>
                      <w:rFonts w:ascii="Cambria Math" w:hAnsi="Cambria Math"/>
                      <w:color w:val="000000"/>
                      <w:sz w:val="14"/>
                    </w:rPr>
                    <m:t>38</m:t>
                  </m:r>
                  <m:r>
                    <w:rPr>
                      <w:rFonts w:ascii="Cambria Math" w:hAnsi="Cambria Math"/>
                      <w:color w:val="000000"/>
                      <w:sz w:val="14"/>
                    </w:rPr>
                    <m:t>.000</m:t>
                  </m:r>
                </m:e>
              </m:d>
              <m:r>
                <w:rPr>
                  <w:rFonts w:ascii="Cambria Math" w:hAnsi="Cambria Math"/>
                  <w:color w:val="000000"/>
                  <w:sz w:val="14"/>
                </w:rPr>
                <m:t>+</m:t>
              </m:r>
              <m:d>
                <m:dPr>
                  <m:ctrlPr>
                    <w:rPr>
                      <w:rFonts w:ascii="Cambria Math" w:hAnsi="Cambria Math"/>
                      <w:i/>
                      <w:color w:val="000000"/>
                      <w:sz w:val="14"/>
                    </w:rPr>
                  </m:ctrlPr>
                </m:dPr>
                <m:e>
                  <m:d>
                    <m:dPr>
                      <m:ctrlPr>
                        <w:rPr>
                          <w:rFonts w:ascii="Cambria Math" w:hAnsi="Cambria Math"/>
                          <w:i/>
                          <w:color w:val="000000"/>
                          <w:sz w:val="14"/>
                        </w:rPr>
                      </m:ctrlPr>
                    </m:dPr>
                    <m:e>
                      <m:r>
                        <w:rPr>
                          <w:rFonts w:ascii="Cambria Math" w:hAnsi="Cambria Math"/>
                          <w:color w:val="000000"/>
                          <w:sz w:val="14"/>
                          <w:szCs w:val="22"/>
                        </w:rPr>
                        <m:t>6</m:t>
                      </m:r>
                      <m:r>
                        <w:rPr>
                          <w:rFonts w:ascii="Cambria Math" w:hAnsi="Cambria Math"/>
                          <w:color w:val="000000"/>
                          <w:sz w:val="14"/>
                        </w:rPr>
                        <m:t>*$10,95*</m:t>
                      </m:r>
                      <m:r>
                        <w:rPr>
                          <w:rFonts w:ascii="Cambria Math" w:hAnsi="Cambria Math"/>
                          <w:color w:val="000000"/>
                          <w:sz w:val="14"/>
                          <w:szCs w:val="22"/>
                        </w:rPr>
                        <m:t>56%</m:t>
                      </m:r>
                    </m:e>
                  </m:d>
                  <m:r>
                    <w:rPr>
                      <w:rFonts w:ascii="Cambria Math" w:hAnsi="Cambria Math"/>
                      <w:color w:val="000000"/>
                      <w:sz w:val="14"/>
                    </w:rPr>
                    <m:t>+</m:t>
                  </m:r>
                  <m:d>
                    <m:dPr>
                      <m:ctrlPr>
                        <w:rPr>
                          <w:rFonts w:ascii="Cambria Math" w:hAnsi="Cambria Math"/>
                          <w:i/>
                          <w:color w:val="000000"/>
                          <w:sz w:val="14"/>
                        </w:rPr>
                      </m:ctrlPr>
                    </m:dPr>
                    <m:e>
                      <m:r>
                        <w:rPr>
                          <w:rFonts w:ascii="Cambria Math" w:hAnsi="Cambria Math"/>
                          <w:color w:val="000000"/>
                          <w:sz w:val="14"/>
                        </w:rPr>
                        <m:t>15*10,95%*49%</m:t>
                      </m:r>
                    </m:e>
                  </m:d>
                  <m:r>
                    <w:rPr>
                      <w:rFonts w:ascii="Cambria Math" w:hAnsi="Cambria Math"/>
                      <w:color w:val="000000"/>
                      <w:sz w:val="14"/>
                    </w:rPr>
                    <m:t>}*6%*</m:t>
                  </m:r>
                  <m:r>
                    <w:rPr>
                      <w:rFonts w:ascii="Cambria Math" w:hAnsi="Cambria Math"/>
                      <w:color w:val="000000"/>
                      <w:sz w:val="14"/>
                    </w:rPr>
                    <m:t>38</m:t>
                  </m:r>
                  <m:r>
                    <w:rPr>
                      <w:rFonts w:ascii="Cambria Math" w:hAnsi="Cambria Math"/>
                      <w:color w:val="000000"/>
                      <w:sz w:val="14"/>
                    </w:rPr>
                    <m:t>.000</m:t>
                  </m:r>
                </m:e>
              </m:d>
            </m:e>
          </m:d>
          <m:r>
            <w:rPr>
              <w:rFonts w:ascii="Cambria Math" w:hAnsi="Cambria Math"/>
              <w:color w:val="000000"/>
              <w:sz w:val="14"/>
            </w:rPr>
            <m:t>*9/12</m:t>
          </m:r>
        </m:oMath>
      </m:oMathPara>
    </w:p>
    <w:p w14:paraId="53EE6A93" w14:textId="3D894AC2" w:rsidR="00206363" w:rsidRPr="008174E3" w:rsidRDefault="00802D00" w:rsidP="00206363">
      <w:pPr>
        <w:spacing w:before="360"/>
        <w:rPr>
          <w:rFonts w:ascii="Arial" w:hAnsi="Arial" w:cs="Arial"/>
          <w:color w:val="000000"/>
          <w:sz w:val="14"/>
        </w:rPr>
      </w:pPr>
      <m:oMathPara>
        <m:oMath>
          <m:r>
            <w:rPr>
              <w:rFonts w:ascii="Cambria Math" w:hAnsi="Cambria Math"/>
              <w:color w:val="000000"/>
              <w:sz w:val="14"/>
            </w:rPr>
            <m:t>=$3</m:t>
          </m:r>
          <m:r>
            <w:rPr>
              <w:rFonts w:ascii="Cambria Math" w:hAnsi="Cambria Math"/>
              <w:color w:val="000000"/>
              <w:sz w:val="14"/>
            </w:rPr>
            <m:t>.</m:t>
          </m:r>
          <m:r>
            <w:rPr>
              <w:rFonts w:ascii="Cambria Math" w:hAnsi="Cambria Math"/>
              <w:color w:val="000000"/>
              <w:sz w:val="14"/>
            </w:rPr>
            <m:t>889</m:t>
          </m:r>
          <m:r>
            <w:rPr>
              <w:rFonts w:ascii="Cambria Math" w:hAnsi="Cambria Math"/>
              <w:color w:val="000000"/>
              <w:sz w:val="14"/>
            </w:rPr>
            <m:t>.</m:t>
          </m:r>
          <m:r>
            <w:rPr>
              <w:rFonts w:ascii="Cambria Math" w:hAnsi="Cambria Math"/>
              <w:color w:val="000000"/>
              <w:sz w:val="14"/>
            </w:rPr>
            <m:t>836</m:t>
          </m:r>
        </m:oMath>
      </m:oMathPara>
    </w:p>
    <w:p w14:paraId="6A1DB9F7" w14:textId="77777777" w:rsidR="00206363" w:rsidRPr="008174E3" w:rsidRDefault="00206363" w:rsidP="00CF214F">
      <w:pPr>
        <w:rPr>
          <w:rFonts w:ascii="Arial" w:hAnsi="Arial" w:cs="Arial"/>
          <w:b/>
        </w:rPr>
      </w:pPr>
    </w:p>
    <w:p w14:paraId="797A2039" w14:textId="3DFE8D25" w:rsidR="00796D46" w:rsidRPr="008174E3" w:rsidRDefault="00FC686C" w:rsidP="00796D46">
      <w:pPr>
        <w:jc w:val="center"/>
        <w:rPr>
          <w:rFonts w:ascii="Arial" w:hAnsi="Arial" w:cs="Arial"/>
          <w:b/>
          <w:sz w:val="22"/>
        </w:rPr>
      </w:pPr>
      <w:r w:rsidRPr="008174E3">
        <w:rPr>
          <w:rFonts w:ascii="Arial" w:hAnsi="Arial" w:cs="Arial"/>
          <w:b/>
          <w:sz w:val="22"/>
        </w:rPr>
        <w:t>Cuadro </w:t>
      </w:r>
      <w:r w:rsidR="00796D46" w:rsidRPr="008174E3">
        <w:rPr>
          <w:rFonts w:ascii="Arial" w:hAnsi="Arial" w:cs="Arial"/>
          <w:b/>
          <w:sz w:val="22"/>
        </w:rPr>
        <w:t>A</w:t>
      </w:r>
      <w:r w:rsidR="00DD13F0" w:rsidRPr="008174E3">
        <w:rPr>
          <w:rFonts w:ascii="Arial" w:hAnsi="Arial" w:cs="Arial"/>
          <w:b/>
          <w:sz w:val="22"/>
        </w:rPr>
        <w:t>9</w:t>
      </w:r>
      <w:r w:rsidR="00796D46" w:rsidRPr="008174E3">
        <w:rPr>
          <w:rFonts w:ascii="Arial" w:hAnsi="Arial" w:cs="Arial"/>
          <w:b/>
          <w:sz w:val="22"/>
        </w:rPr>
        <w:t xml:space="preserve">: Flujo Anual de Beneficios y Costos en VPN </w:t>
      </w:r>
      <w:r w:rsidR="00DD13F0" w:rsidRPr="008174E3">
        <w:rPr>
          <w:rFonts w:ascii="Arial" w:hAnsi="Arial" w:cs="Arial"/>
          <w:b/>
          <w:sz w:val="22"/>
        </w:rPr>
        <w:t>del Programa</w:t>
      </w:r>
      <w:r w:rsidR="00796D46" w:rsidRPr="008174E3">
        <w:rPr>
          <w:rFonts w:ascii="Arial" w:hAnsi="Arial" w:cs="Arial"/>
          <w:b/>
          <w:sz w:val="22"/>
        </w:rPr>
        <w:t xml:space="preserve"> </w:t>
      </w:r>
    </w:p>
    <w:p w14:paraId="5D3330E7" w14:textId="77777777" w:rsidR="00796D46" w:rsidRPr="008174E3" w:rsidRDefault="00796D46" w:rsidP="00796D46">
      <w:pPr>
        <w:jc w:val="center"/>
        <w:rPr>
          <w:rFonts w:ascii="Arial" w:hAnsi="Arial" w:cs="Arial"/>
          <w:b/>
          <w:sz w:val="22"/>
        </w:rPr>
      </w:pPr>
    </w:p>
    <w:tbl>
      <w:tblPr>
        <w:tblW w:w="11616" w:type="dxa"/>
        <w:jc w:val="center"/>
        <w:tblLayout w:type="fixed"/>
        <w:tblLook w:val="04A0" w:firstRow="1" w:lastRow="0" w:firstColumn="1" w:lastColumn="0" w:noHBand="0" w:noVBand="1"/>
      </w:tblPr>
      <w:tblGrid>
        <w:gridCol w:w="1649"/>
        <w:gridCol w:w="691"/>
        <w:gridCol w:w="617"/>
        <w:gridCol w:w="651"/>
        <w:gridCol w:w="606"/>
        <w:gridCol w:w="675"/>
        <w:gridCol w:w="585"/>
        <w:gridCol w:w="648"/>
        <w:gridCol w:w="678"/>
        <w:gridCol w:w="567"/>
        <w:gridCol w:w="709"/>
        <w:gridCol w:w="709"/>
        <w:gridCol w:w="708"/>
        <w:gridCol w:w="706"/>
        <w:gridCol w:w="709"/>
        <w:gridCol w:w="708"/>
      </w:tblGrid>
      <w:tr w:rsidR="00796D46" w:rsidRPr="008174E3" w14:paraId="508A39F0" w14:textId="77777777" w:rsidTr="002A13D6">
        <w:trPr>
          <w:trHeight w:val="567"/>
          <w:jc w:val="center"/>
        </w:trPr>
        <w:tc>
          <w:tcPr>
            <w:tcW w:w="11616" w:type="dxa"/>
            <w:gridSpan w:val="16"/>
            <w:tcBorders>
              <w:top w:val="nil"/>
              <w:left w:val="nil"/>
              <w:right w:val="nil"/>
            </w:tcBorders>
            <w:shd w:val="clear" w:color="000000" w:fill="DDEBF7"/>
            <w:vAlign w:val="bottom"/>
            <w:hideMark/>
          </w:tcPr>
          <w:p w14:paraId="0FE7F40C" w14:textId="567E07AB" w:rsidR="00796D46" w:rsidRPr="008174E3" w:rsidRDefault="00796D46" w:rsidP="00796D46">
            <w:pPr>
              <w:jc w:val="center"/>
              <w:rPr>
                <w:rFonts w:ascii="Arial" w:hAnsi="Arial" w:cs="Arial"/>
                <w:b/>
                <w:bCs/>
                <w:color w:val="000000"/>
                <w:sz w:val="14"/>
                <w:szCs w:val="14"/>
              </w:rPr>
            </w:pPr>
            <w:r w:rsidRPr="008174E3">
              <w:rPr>
                <w:rFonts w:ascii="Arial" w:hAnsi="Arial" w:cs="Arial"/>
                <w:b/>
                <w:bCs/>
                <w:color w:val="000000"/>
                <w:sz w:val="14"/>
                <w:szCs w:val="14"/>
                <w:lang w:eastAsia="es-ES"/>
              </w:rPr>
              <w:t xml:space="preserve">Fortalecimiento </w:t>
            </w:r>
            <w:r w:rsidR="00170561" w:rsidRPr="008174E3">
              <w:rPr>
                <w:rFonts w:ascii="Arial" w:hAnsi="Arial" w:cs="Arial"/>
                <w:b/>
                <w:bCs/>
                <w:color w:val="000000"/>
                <w:sz w:val="14"/>
                <w:szCs w:val="14"/>
                <w:lang w:eastAsia="es-ES"/>
              </w:rPr>
              <w:t>de la Gestión de las Políticas de Promoción al Empleo</w:t>
            </w:r>
            <w:r w:rsidRPr="008174E3">
              <w:rPr>
                <w:rFonts w:ascii="Arial" w:hAnsi="Arial" w:cs="Arial"/>
                <w:b/>
                <w:bCs/>
                <w:color w:val="000000"/>
                <w:sz w:val="14"/>
                <w:szCs w:val="14"/>
                <w:lang w:eastAsia="es-ES"/>
              </w:rPr>
              <w:br/>
              <w:t>Millones de dólares</w:t>
            </w:r>
          </w:p>
        </w:tc>
      </w:tr>
      <w:tr w:rsidR="00796D46" w:rsidRPr="008174E3" w14:paraId="6267E2E7" w14:textId="77777777" w:rsidTr="003B6385">
        <w:trPr>
          <w:trHeight w:val="300"/>
          <w:jc w:val="center"/>
        </w:trPr>
        <w:tc>
          <w:tcPr>
            <w:tcW w:w="1649" w:type="dxa"/>
            <w:tcBorders>
              <w:top w:val="nil"/>
              <w:left w:val="nil"/>
              <w:bottom w:val="single" w:sz="4" w:space="0" w:color="auto"/>
              <w:right w:val="nil"/>
            </w:tcBorders>
            <w:shd w:val="clear" w:color="000000" w:fill="DDEBF7"/>
            <w:noWrap/>
            <w:vAlign w:val="bottom"/>
            <w:hideMark/>
          </w:tcPr>
          <w:p w14:paraId="61DD9443" w14:textId="77777777" w:rsidR="00796D46" w:rsidRPr="008174E3" w:rsidRDefault="00796D46" w:rsidP="00796D46">
            <w:pPr>
              <w:rPr>
                <w:rFonts w:ascii="Arial" w:hAnsi="Arial" w:cs="Arial"/>
                <w:b/>
                <w:bCs/>
                <w:color w:val="000000"/>
                <w:sz w:val="14"/>
                <w:szCs w:val="14"/>
              </w:rPr>
            </w:pPr>
            <w:r w:rsidRPr="008174E3">
              <w:rPr>
                <w:rFonts w:ascii="Arial" w:hAnsi="Arial" w:cs="Arial"/>
                <w:b/>
                <w:bCs/>
                <w:color w:val="000000"/>
                <w:sz w:val="14"/>
                <w:szCs w:val="14"/>
              </w:rPr>
              <w:t> </w:t>
            </w:r>
          </w:p>
        </w:tc>
        <w:tc>
          <w:tcPr>
            <w:tcW w:w="691" w:type="dxa"/>
            <w:tcBorders>
              <w:top w:val="nil"/>
              <w:left w:val="nil"/>
              <w:bottom w:val="single" w:sz="4" w:space="0" w:color="auto"/>
              <w:right w:val="nil"/>
            </w:tcBorders>
            <w:shd w:val="clear" w:color="000000" w:fill="DDEBF7"/>
            <w:noWrap/>
            <w:vAlign w:val="center"/>
            <w:hideMark/>
          </w:tcPr>
          <w:p w14:paraId="0C8DB3A5" w14:textId="77777777" w:rsidR="00796D46" w:rsidRPr="008174E3" w:rsidRDefault="00796D46" w:rsidP="00796D46">
            <w:pPr>
              <w:rPr>
                <w:rFonts w:ascii="Arial" w:hAnsi="Arial" w:cs="Arial"/>
                <w:b/>
                <w:bCs/>
                <w:color w:val="000000"/>
                <w:sz w:val="14"/>
                <w:szCs w:val="14"/>
              </w:rPr>
            </w:pPr>
            <w:r w:rsidRPr="008174E3">
              <w:rPr>
                <w:rFonts w:ascii="Arial" w:hAnsi="Arial" w:cs="Arial"/>
                <w:b/>
                <w:bCs/>
                <w:color w:val="000000"/>
                <w:sz w:val="14"/>
                <w:szCs w:val="14"/>
              </w:rPr>
              <w:t>Año1</w:t>
            </w:r>
          </w:p>
        </w:tc>
        <w:tc>
          <w:tcPr>
            <w:tcW w:w="617" w:type="dxa"/>
            <w:tcBorders>
              <w:top w:val="nil"/>
              <w:left w:val="nil"/>
              <w:bottom w:val="single" w:sz="4" w:space="0" w:color="auto"/>
              <w:right w:val="nil"/>
            </w:tcBorders>
            <w:shd w:val="clear" w:color="000000" w:fill="DDEBF7"/>
            <w:noWrap/>
            <w:vAlign w:val="center"/>
            <w:hideMark/>
          </w:tcPr>
          <w:p w14:paraId="33318A99" w14:textId="77777777" w:rsidR="00796D46" w:rsidRPr="008174E3" w:rsidRDefault="00796D46" w:rsidP="00796D46">
            <w:pPr>
              <w:rPr>
                <w:rFonts w:ascii="Arial" w:hAnsi="Arial" w:cs="Arial"/>
                <w:b/>
                <w:bCs/>
                <w:color w:val="000000"/>
                <w:sz w:val="14"/>
                <w:szCs w:val="14"/>
              </w:rPr>
            </w:pPr>
            <w:r w:rsidRPr="008174E3">
              <w:rPr>
                <w:rFonts w:ascii="Arial" w:hAnsi="Arial" w:cs="Arial"/>
                <w:b/>
                <w:bCs/>
                <w:color w:val="000000"/>
                <w:sz w:val="14"/>
                <w:szCs w:val="14"/>
              </w:rPr>
              <w:t>Año2</w:t>
            </w:r>
          </w:p>
        </w:tc>
        <w:tc>
          <w:tcPr>
            <w:tcW w:w="651" w:type="dxa"/>
            <w:tcBorders>
              <w:top w:val="nil"/>
              <w:left w:val="nil"/>
              <w:bottom w:val="single" w:sz="4" w:space="0" w:color="auto"/>
              <w:right w:val="nil"/>
            </w:tcBorders>
            <w:shd w:val="clear" w:color="000000" w:fill="DDEBF7"/>
            <w:noWrap/>
            <w:vAlign w:val="center"/>
            <w:hideMark/>
          </w:tcPr>
          <w:p w14:paraId="0E9ED844" w14:textId="77777777" w:rsidR="00796D46" w:rsidRPr="008174E3" w:rsidRDefault="00796D46" w:rsidP="00796D46">
            <w:pPr>
              <w:rPr>
                <w:rFonts w:ascii="Arial" w:hAnsi="Arial" w:cs="Arial"/>
                <w:b/>
                <w:bCs/>
                <w:color w:val="000000"/>
                <w:sz w:val="14"/>
                <w:szCs w:val="14"/>
              </w:rPr>
            </w:pPr>
            <w:r w:rsidRPr="008174E3">
              <w:rPr>
                <w:rFonts w:ascii="Arial" w:hAnsi="Arial" w:cs="Arial"/>
                <w:b/>
                <w:bCs/>
                <w:color w:val="000000"/>
                <w:sz w:val="14"/>
                <w:szCs w:val="14"/>
              </w:rPr>
              <w:t>Año3</w:t>
            </w:r>
          </w:p>
        </w:tc>
        <w:tc>
          <w:tcPr>
            <w:tcW w:w="606" w:type="dxa"/>
            <w:tcBorders>
              <w:top w:val="nil"/>
              <w:left w:val="nil"/>
              <w:bottom w:val="single" w:sz="4" w:space="0" w:color="auto"/>
              <w:right w:val="nil"/>
            </w:tcBorders>
            <w:shd w:val="clear" w:color="000000" w:fill="DDEBF7"/>
            <w:noWrap/>
            <w:vAlign w:val="center"/>
            <w:hideMark/>
          </w:tcPr>
          <w:p w14:paraId="7EDB6385" w14:textId="77777777" w:rsidR="00796D46" w:rsidRPr="008174E3" w:rsidRDefault="00796D46" w:rsidP="00796D46">
            <w:pPr>
              <w:rPr>
                <w:rFonts w:ascii="Arial" w:hAnsi="Arial" w:cs="Arial"/>
                <w:b/>
                <w:bCs/>
                <w:color w:val="000000"/>
                <w:sz w:val="14"/>
                <w:szCs w:val="14"/>
              </w:rPr>
            </w:pPr>
            <w:r w:rsidRPr="008174E3">
              <w:rPr>
                <w:rFonts w:ascii="Arial" w:hAnsi="Arial" w:cs="Arial"/>
                <w:b/>
                <w:bCs/>
                <w:color w:val="000000"/>
                <w:sz w:val="14"/>
                <w:szCs w:val="14"/>
              </w:rPr>
              <w:t>Año4</w:t>
            </w:r>
          </w:p>
        </w:tc>
        <w:tc>
          <w:tcPr>
            <w:tcW w:w="675" w:type="dxa"/>
            <w:tcBorders>
              <w:top w:val="nil"/>
              <w:left w:val="nil"/>
              <w:bottom w:val="single" w:sz="4" w:space="0" w:color="auto"/>
              <w:right w:val="nil"/>
            </w:tcBorders>
            <w:shd w:val="clear" w:color="000000" w:fill="DDEBF7"/>
            <w:noWrap/>
            <w:vAlign w:val="center"/>
            <w:hideMark/>
          </w:tcPr>
          <w:p w14:paraId="4185D5B6" w14:textId="77777777" w:rsidR="00796D46" w:rsidRPr="008174E3" w:rsidRDefault="00796D46" w:rsidP="00796D46">
            <w:pPr>
              <w:rPr>
                <w:rFonts w:ascii="Arial" w:hAnsi="Arial" w:cs="Arial"/>
                <w:b/>
                <w:bCs/>
                <w:color w:val="000000"/>
                <w:sz w:val="14"/>
                <w:szCs w:val="14"/>
              </w:rPr>
            </w:pPr>
            <w:r w:rsidRPr="008174E3">
              <w:rPr>
                <w:rFonts w:ascii="Arial" w:hAnsi="Arial" w:cs="Arial"/>
                <w:b/>
                <w:bCs/>
                <w:color w:val="000000"/>
                <w:sz w:val="14"/>
                <w:szCs w:val="14"/>
              </w:rPr>
              <w:t>Año5</w:t>
            </w:r>
          </w:p>
        </w:tc>
        <w:tc>
          <w:tcPr>
            <w:tcW w:w="585" w:type="dxa"/>
            <w:tcBorders>
              <w:top w:val="nil"/>
              <w:left w:val="nil"/>
              <w:bottom w:val="single" w:sz="4" w:space="0" w:color="auto"/>
              <w:right w:val="nil"/>
            </w:tcBorders>
            <w:shd w:val="clear" w:color="000000" w:fill="DDEBF7"/>
            <w:noWrap/>
            <w:vAlign w:val="center"/>
            <w:hideMark/>
          </w:tcPr>
          <w:p w14:paraId="46646C47" w14:textId="77777777" w:rsidR="00796D46" w:rsidRPr="008174E3" w:rsidRDefault="00796D46" w:rsidP="00796D46">
            <w:pPr>
              <w:rPr>
                <w:rFonts w:ascii="Arial" w:hAnsi="Arial" w:cs="Arial"/>
                <w:b/>
                <w:bCs/>
                <w:color w:val="000000"/>
                <w:sz w:val="14"/>
                <w:szCs w:val="14"/>
              </w:rPr>
            </w:pPr>
            <w:r w:rsidRPr="008174E3">
              <w:rPr>
                <w:rFonts w:ascii="Arial" w:hAnsi="Arial" w:cs="Arial"/>
                <w:b/>
                <w:bCs/>
                <w:color w:val="000000"/>
                <w:sz w:val="14"/>
                <w:szCs w:val="14"/>
              </w:rPr>
              <w:t>Año6</w:t>
            </w:r>
          </w:p>
        </w:tc>
        <w:tc>
          <w:tcPr>
            <w:tcW w:w="648" w:type="dxa"/>
            <w:tcBorders>
              <w:top w:val="nil"/>
              <w:left w:val="nil"/>
              <w:bottom w:val="single" w:sz="4" w:space="0" w:color="auto"/>
              <w:right w:val="nil"/>
            </w:tcBorders>
            <w:shd w:val="clear" w:color="000000" w:fill="DDEBF7"/>
            <w:noWrap/>
            <w:vAlign w:val="center"/>
            <w:hideMark/>
          </w:tcPr>
          <w:p w14:paraId="159AAC5F" w14:textId="77777777" w:rsidR="00796D46" w:rsidRPr="008174E3" w:rsidRDefault="00796D46" w:rsidP="00796D46">
            <w:pPr>
              <w:rPr>
                <w:rFonts w:ascii="Arial" w:hAnsi="Arial" w:cs="Arial"/>
                <w:b/>
                <w:bCs/>
                <w:color w:val="000000"/>
                <w:sz w:val="14"/>
                <w:szCs w:val="14"/>
              </w:rPr>
            </w:pPr>
            <w:r w:rsidRPr="008174E3">
              <w:rPr>
                <w:rFonts w:ascii="Arial" w:hAnsi="Arial" w:cs="Arial"/>
                <w:b/>
                <w:bCs/>
                <w:color w:val="000000"/>
                <w:sz w:val="14"/>
                <w:szCs w:val="14"/>
              </w:rPr>
              <w:t>Año7</w:t>
            </w:r>
          </w:p>
        </w:tc>
        <w:tc>
          <w:tcPr>
            <w:tcW w:w="678" w:type="dxa"/>
            <w:tcBorders>
              <w:top w:val="nil"/>
              <w:left w:val="nil"/>
              <w:bottom w:val="single" w:sz="4" w:space="0" w:color="auto"/>
              <w:right w:val="nil"/>
            </w:tcBorders>
            <w:shd w:val="clear" w:color="000000" w:fill="DDEBF7"/>
            <w:noWrap/>
            <w:vAlign w:val="center"/>
            <w:hideMark/>
          </w:tcPr>
          <w:p w14:paraId="69D38469" w14:textId="77777777" w:rsidR="00796D46" w:rsidRPr="008174E3" w:rsidRDefault="00796D46" w:rsidP="00796D46">
            <w:pPr>
              <w:rPr>
                <w:rFonts w:ascii="Arial" w:hAnsi="Arial" w:cs="Arial"/>
                <w:b/>
                <w:bCs/>
                <w:color w:val="000000"/>
                <w:sz w:val="14"/>
                <w:szCs w:val="14"/>
              </w:rPr>
            </w:pPr>
            <w:r w:rsidRPr="008174E3">
              <w:rPr>
                <w:rFonts w:ascii="Arial" w:hAnsi="Arial" w:cs="Arial"/>
                <w:b/>
                <w:bCs/>
                <w:color w:val="000000"/>
                <w:sz w:val="14"/>
                <w:szCs w:val="14"/>
              </w:rPr>
              <w:t>Año8</w:t>
            </w:r>
          </w:p>
        </w:tc>
        <w:tc>
          <w:tcPr>
            <w:tcW w:w="567" w:type="dxa"/>
            <w:tcBorders>
              <w:top w:val="nil"/>
              <w:left w:val="nil"/>
              <w:bottom w:val="single" w:sz="4" w:space="0" w:color="auto"/>
              <w:right w:val="nil"/>
            </w:tcBorders>
            <w:shd w:val="clear" w:color="000000" w:fill="DDEBF7"/>
            <w:noWrap/>
            <w:vAlign w:val="center"/>
            <w:hideMark/>
          </w:tcPr>
          <w:p w14:paraId="728BB06B" w14:textId="77777777" w:rsidR="00796D46" w:rsidRPr="008174E3" w:rsidRDefault="00796D46" w:rsidP="00796D46">
            <w:pPr>
              <w:rPr>
                <w:rFonts w:ascii="Arial" w:hAnsi="Arial" w:cs="Arial"/>
                <w:b/>
                <w:bCs/>
                <w:color w:val="000000"/>
                <w:sz w:val="14"/>
                <w:szCs w:val="14"/>
              </w:rPr>
            </w:pPr>
            <w:r w:rsidRPr="008174E3">
              <w:rPr>
                <w:rFonts w:ascii="Arial" w:hAnsi="Arial" w:cs="Arial"/>
                <w:b/>
                <w:bCs/>
                <w:color w:val="000000"/>
                <w:sz w:val="14"/>
                <w:szCs w:val="14"/>
              </w:rPr>
              <w:t>Año9</w:t>
            </w:r>
          </w:p>
        </w:tc>
        <w:tc>
          <w:tcPr>
            <w:tcW w:w="709" w:type="dxa"/>
            <w:tcBorders>
              <w:top w:val="nil"/>
              <w:left w:val="nil"/>
              <w:bottom w:val="single" w:sz="4" w:space="0" w:color="auto"/>
              <w:right w:val="nil"/>
            </w:tcBorders>
            <w:shd w:val="clear" w:color="000000" w:fill="DDEBF7"/>
            <w:noWrap/>
            <w:vAlign w:val="center"/>
            <w:hideMark/>
          </w:tcPr>
          <w:p w14:paraId="73FBF7DF" w14:textId="77777777" w:rsidR="00796D46" w:rsidRPr="008174E3" w:rsidRDefault="00796D46" w:rsidP="00796D46">
            <w:pPr>
              <w:rPr>
                <w:rFonts w:ascii="Arial" w:hAnsi="Arial" w:cs="Arial"/>
                <w:b/>
                <w:bCs/>
                <w:color w:val="000000"/>
                <w:sz w:val="14"/>
                <w:szCs w:val="14"/>
              </w:rPr>
            </w:pPr>
            <w:r w:rsidRPr="008174E3">
              <w:rPr>
                <w:rFonts w:ascii="Arial" w:hAnsi="Arial" w:cs="Arial"/>
                <w:b/>
                <w:bCs/>
                <w:color w:val="000000"/>
                <w:sz w:val="14"/>
                <w:szCs w:val="14"/>
              </w:rPr>
              <w:t>Año10</w:t>
            </w:r>
          </w:p>
        </w:tc>
        <w:tc>
          <w:tcPr>
            <w:tcW w:w="709" w:type="dxa"/>
            <w:tcBorders>
              <w:top w:val="nil"/>
              <w:left w:val="nil"/>
              <w:bottom w:val="single" w:sz="4" w:space="0" w:color="auto"/>
              <w:right w:val="nil"/>
            </w:tcBorders>
            <w:shd w:val="clear" w:color="000000" w:fill="DDEBF7"/>
            <w:noWrap/>
            <w:vAlign w:val="center"/>
            <w:hideMark/>
          </w:tcPr>
          <w:p w14:paraId="246121B8" w14:textId="77777777" w:rsidR="00796D46" w:rsidRPr="008174E3" w:rsidRDefault="00796D46" w:rsidP="00796D46">
            <w:pPr>
              <w:rPr>
                <w:rFonts w:ascii="Arial" w:hAnsi="Arial" w:cs="Arial"/>
                <w:b/>
                <w:bCs/>
                <w:color w:val="000000"/>
                <w:sz w:val="14"/>
                <w:szCs w:val="14"/>
              </w:rPr>
            </w:pPr>
            <w:r w:rsidRPr="008174E3">
              <w:rPr>
                <w:rFonts w:ascii="Arial" w:hAnsi="Arial" w:cs="Arial"/>
                <w:b/>
                <w:bCs/>
                <w:color w:val="000000"/>
                <w:sz w:val="14"/>
                <w:szCs w:val="14"/>
              </w:rPr>
              <w:t>Año11</w:t>
            </w:r>
          </w:p>
        </w:tc>
        <w:tc>
          <w:tcPr>
            <w:tcW w:w="708" w:type="dxa"/>
            <w:tcBorders>
              <w:top w:val="nil"/>
              <w:left w:val="nil"/>
              <w:bottom w:val="single" w:sz="4" w:space="0" w:color="auto"/>
              <w:right w:val="nil"/>
            </w:tcBorders>
            <w:shd w:val="clear" w:color="000000" w:fill="DDEBF7"/>
            <w:noWrap/>
            <w:vAlign w:val="center"/>
            <w:hideMark/>
          </w:tcPr>
          <w:p w14:paraId="3D57657D" w14:textId="77777777" w:rsidR="00796D46" w:rsidRPr="008174E3" w:rsidRDefault="00796D46" w:rsidP="00796D46">
            <w:pPr>
              <w:rPr>
                <w:rFonts w:ascii="Arial" w:hAnsi="Arial" w:cs="Arial"/>
                <w:b/>
                <w:bCs/>
                <w:color w:val="000000"/>
                <w:sz w:val="14"/>
                <w:szCs w:val="14"/>
              </w:rPr>
            </w:pPr>
            <w:r w:rsidRPr="008174E3">
              <w:rPr>
                <w:rFonts w:ascii="Arial" w:hAnsi="Arial" w:cs="Arial"/>
                <w:b/>
                <w:bCs/>
                <w:color w:val="000000"/>
                <w:sz w:val="14"/>
                <w:szCs w:val="14"/>
              </w:rPr>
              <w:t>Año12</w:t>
            </w:r>
          </w:p>
        </w:tc>
        <w:tc>
          <w:tcPr>
            <w:tcW w:w="706" w:type="dxa"/>
            <w:tcBorders>
              <w:top w:val="nil"/>
              <w:left w:val="nil"/>
              <w:bottom w:val="single" w:sz="4" w:space="0" w:color="auto"/>
              <w:right w:val="nil"/>
            </w:tcBorders>
            <w:shd w:val="clear" w:color="000000" w:fill="DDEBF7"/>
            <w:noWrap/>
            <w:vAlign w:val="center"/>
            <w:hideMark/>
          </w:tcPr>
          <w:p w14:paraId="5CDD377D" w14:textId="77777777" w:rsidR="00796D46" w:rsidRPr="008174E3" w:rsidRDefault="00796D46" w:rsidP="00796D46">
            <w:pPr>
              <w:rPr>
                <w:rFonts w:ascii="Arial" w:hAnsi="Arial" w:cs="Arial"/>
                <w:b/>
                <w:bCs/>
                <w:color w:val="000000"/>
                <w:sz w:val="14"/>
                <w:szCs w:val="14"/>
              </w:rPr>
            </w:pPr>
            <w:r w:rsidRPr="008174E3">
              <w:rPr>
                <w:rFonts w:ascii="Arial" w:hAnsi="Arial" w:cs="Arial"/>
                <w:b/>
                <w:bCs/>
                <w:color w:val="000000"/>
                <w:sz w:val="14"/>
                <w:szCs w:val="14"/>
              </w:rPr>
              <w:t>Año13</w:t>
            </w:r>
          </w:p>
        </w:tc>
        <w:tc>
          <w:tcPr>
            <w:tcW w:w="709" w:type="dxa"/>
            <w:tcBorders>
              <w:top w:val="nil"/>
              <w:left w:val="nil"/>
              <w:bottom w:val="single" w:sz="4" w:space="0" w:color="auto"/>
              <w:right w:val="nil"/>
            </w:tcBorders>
            <w:shd w:val="clear" w:color="000000" w:fill="DDEBF7"/>
            <w:noWrap/>
            <w:vAlign w:val="center"/>
            <w:hideMark/>
          </w:tcPr>
          <w:p w14:paraId="2DA69067" w14:textId="77777777" w:rsidR="00796D46" w:rsidRPr="008174E3" w:rsidRDefault="00796D46" w:rsidP="00796D46">
            <w:pPr>
              <w:rPr>
                <w:rFonts w:ascii="Arial" w:hAnsi="Arial" w:cs="Arial"/>
                <w:b/>
                <w:bCs/>
                <w:color w:val="000000"/>
                <w:sz w:val="14"/>
                <w:szCs w:val="14"/>
              </w:rPr>
            </w:pPr>
            <w:r w:rsidRPr="008174E3">
              <w:rPr>
                <w:rFonts w:ascii="Arial" w:hAnsi="Arial" w:cs="Arial"/>
                <w:b/>
                <w:bCs/>
                <w:color w:val="000000"/>
                <w:sz w:val="14"/>
                <w:szCs w:val="14"/>
              </w:rPr>
              <w:t>Año14</w:t>
            </w:r>
          </w:p>
        </w:tc>
        <w:tc>
          <w:tcPr>
            <w:tcW w:w="708" w:type="dxa"/>
            <w:tcBorders>
              <w:top w:val="nil"/>
              <w:left w:val="nil"/>
              <w:bottom w:val="single" w:sz="4" w:space="0" w:color="auto"/>
              <w:right w:val="nil"/>
            </w:tcBorders>
            <w:shd w:val="clear" w:color="000000" w:fill="DDEBF7"/>
            <w:noWrap/>
            <w:vAlign w:val="center"/>
            <w:hideMark/>
          </w:tcPr>
          <w:p w14:paraId="69FE78A9" w14:textId="77777777" w:rsidR="00796D46" w:rsidRPr="008174E3" w:rsidRDefault="00796D46" w:rsidP="00796D46">
            <w:pPr>
              <w:rPr>
                <w:rFonts w:ascii="Arial" w:hAnsi="Arial" w:cs="Arial"/>
                <w:b/>
                <w:bCs/>
                <w:color w:val="000000"/>
                <w:sz w:val="14"/>
                <w:szCs w:val="14"/>
              </w:rPr>
            </w:pPr>
            <w:r w:rsidRPr="008174E3">
              <w:rPr>
                <w:rFonts w:ascii="Arial" w:hAnsi="Arial" w:cs="Arial"/>
                <w:b/>
                <w:bCs/>
                <w:color w:val="000000"/>
                <w:sz w:val="14"/>
                <w:szCs w:val="14"/>
              </w:rPr>
              <w:t>Total</w:t>
            </w:r>
          </w:p>
        </w:tc>
      </w:tr>
      <w:tr w:rsidR="000C1E37" w:rsidRPr="008174E3" w14:paraId="4FEEBD16" w14:textId="77777777" w:rsidTr="000C1E37">
        <w:trPr>
          <w:trHeight w:val="300"/>
          <w:jc w:val="center"/>
        </w:trPr>
        <w:tc>
          <w:tcPr>
            <w:tcW w:w="1649" w:type="dxa"/>
            <w:tcBorders>
              <w:top w:val="single" w:sz="4" w:space="0" w:color="auto"/>
              <w:left w:val="nil"/>
              <w:bottom w:val="nil"/>
              <w:right w:val="nil"/>
            </w:tcBorders>
            <w:shd w:val="clear" w:color="auto" w:fill="auto"/>
            <w:noWrap/>
            <w:hideMark/>
          </w:tcPr>
          <w:p w14:paraId="4678AD41" w14:textId="77777777" w:rsidR="000C1E37" w:rsidRPr="008174E3" w:rsidRDefault="000C1E37" w:rsidP="000C1E37">
            <w:pPr>
              <w:rPr>
                <w:rFonts w:ascii="Arial" w:hAnsi="Arial" w:cs="Arial"/>
                <w:color w:val="000000"/>
                <w:sz w:val="14"/>
                <w:szCs w:val="14"/>
              </w:rPr>
            </w:pPr>
            <w:r w:rsidRPr="008174E3">
              <w:rPr>
                <w:rFonts w:ascii="Arial" w:hAnsi="Arial" w:cs="Arial"/>
                <w:sz w:val="14"/>
                <w:szCs w:val="14"/>
              </w:rPr>
              <w:t xml:space="preserve">Beneficios Económicos en VPN </w:t>
            </w:r>
          </w:p>
        </w:tc>
        <w:tc>
          <w:tcPr>
            <w:tcW w:w="691" w:type="dxa"/>
            <w:tcBorders>
              <w:top w:val="single" w:sz="4" w:space="0" w:color="auto"/>
              <w:left w:val="nil"/>
              <w:bottom w:val="nil"/>
              <w:right w:val="nil"/>
            </w:tcBorders>
            <w:shd w:val="clear" w:color="auto" w:fill="auto"/>
            <w:noWrap/>
            <w:vAlign w:val="center"/>
            <w:hideMark/>
          </w:tcPr>
          <w:p w14:paraId="1E9B81B0" w14:textId="0D1E1EB1" w:rsidR="000C1E37" w:rsidRPr="008174E3" w:rsidRDefault="000C1E37" w:rsidP="00802D00">
            <w:pPr>
              <w:jc w:val="right"/>
              <w:rPr>
                <w:rFonts w:ascii="Arial" w:hAnsi="Arial" w:cs="Arial"/>
                <w:sz w:val="14"/>
                <w:szCs w:val="14"/>
              </w:rPr>
            </w:pPr>
            <w:r w:rsidRPr="000C1E37">
              <w:rPr>
                <w:rFonts w:ascii="Arial" w:hAnsi="Arial" w:cs="Arial"/>
                <w:sz w:val="14"/>
                <w:szCs w:val="14"/>
              </w:rPr>
              <w:t>22</w:t>
            </w:r>
            <w:r>
              <w:rPr>
                <w:rFonts w:ascii="Arial" w:hAnsi="Arial" w:cs="Arial"/>
                <w:sz w:val="14"/>
                <w:szCs w:val="14"/>
              </w:rPr>
              <w:t>,</w:t>
            </w:r>
            <w:r w:rsidRPr="000C1E37">
              <w:rPr>
                <w:rFonts w:ascii="Arial" w:hAnsi="Arial" w:cs="Arial"/>
                <w:sz w:val="14"/>
                <w:szCs w:val="14"/>
              </w:rPr>
              <w:t>41</w:t>
            </w:r>
          </w:p>
        </w:tc>
        <w:tc>
          <w:tcPr>
            <w:tcW w:w="617" w:type="dxa"/>
            <w:tcBorders>
              <w:top w:val="single" w:sz="4" w:space="0" w:color="auto"/>
              <w:left w:val="nil"/>
              <w:bottom w:val="nil"/>
              <w:right w:val="nil"/>
            </w:tcBorders>
            <w:shd w:val="clear" w:color="auto" w:fill="auto"/>
            <w:noWrap/>
            <w:vAlign w:val="center"/>
            <w:hideMark/>
          </w:tcPr>
          <w:p w14:paraId="4ECB0611" w14:textId="34DA1068" w:rsidR="000C1E37" w:rsidRPr="008174E3" w:rsidRDefault="000C1E37" w:rsidP="00802D00">
            <w:pPr>
              <w:jc w:val="right"/>
              <w:rPr>
                <w:rFonts w:ascii="Arial" w:hAnsi="Arial" w:cs="Arial"/>
                <w:sz w:val="14"/>
                <w:szCs w:val="14"/>
              </w:rPr>
            </w:pPr>
            <w:r w:rsidRPr="000C1E37">
              <w:rPr>
                <w:rFonts w:ascii="Arial" w:hAnsi="Arial" w:cs="Arial"/>
                <w:sz w:val="14"/>
                <w:szCs w:val="14"/>
              </w:rPr>
              <w:t>41</w:t>
            </w:r>
            <w:r>
              <w:rPr>
                <w:rFonts w:ascii="Arial" w:hAnsi="Arial" w:cs="Arial"/>
                <w:sz w:val="14"/>
                <w:szCs w:val="14"/>
              </w:rPr>
              <w:t>,</w:t>
            </w:r>
            <w:r w:rsidRPr="000C1E37">
              <w:rPr>
                <w:rFonts w:ascii="Arial" w:hAnsi="Arial" w:cs="Arial"/>
                <w:sz w:val="14"/>
                <w:szCs w:val="14"/>
              </w:rPr>
              <w:t>18</w:t>
            </w:r>
          </w:p>
        </w:tc>
        <w:tc>
          <w:tcPr>
            <w:tcW w:w="651" w:type="dxa"/>
            <w:tcBorders>
              <w:top w:val="single" w:sz="4" w:space="0" w:color="auto"/>
              <w:left w:val="nil"/>
              <w:bottom w:val="nil"/>
              <w:right w:val="nil"/>
            </w:tcBorders>
            <w:shd w:val="clear" w:color="auto" w:fill="auto"/>
            <w:noWrap/>
            <w:vAlign w:val="center"/>
            <w:hideMark/>
          </w:tcPr>
          <w:p w14:paraId="5DB49ECE" w14:textId="18FF73B0" w:rsidR="000C1E37" w:rsidRPr="008174E3" w:rsidRDefault="000C1E37" w:rsidP="00802D00">
            <w:pPr>
              <w:jc w:val="right"/>
              <w:rPr>
                <w:rFonts w:ascii="Arial" w:hAnsi="Arial" w:cs="Arial"/>
                <w:sz w:val="14"/>
                <w:szCs w:val="14"/>
              </w:rPr>
            </w:pPr>
            <w:r w:rsidRPr="000C1E37">
              <w:rPr>
                <w:rFonts w:ascii="Arial" w:hAnsi="Arial" w:cs="Arial"/>
                <w:sz w:val="14"/>
                <w:szCs w:val="14"/>
              </w:rPr>
              <w:t>40</w:t>
            </w:r>
            <w:r>
              <w:rPr>
                <w:rFonts w:ascii="Arial" w:hAnsi="Arial" w:cs="Arial"/>
                <w:sz w:val="14"/>
                <w:szCs w:val="14"/>
              </w:rPr>
              <w:t>,</w:t>
            </w:r>
            <w:r w:rsidRPr="000C1E37">
              <w:rPr>
                <w:rFonts w:ascii="Arial" w:hAnsi="Arial" w:cs="Arial"/>
                <w:sz w:val="14"/>
                <w:szCs w:val="14"/>
              </w:rPr>
              <w:t>91</w:t>
            </w:r>
          </w:p>
        </w:tc>
        <w:tc>
          <w:tcPr>
            <w:tcW w:w="606" w:type="dxa"/>
            <w:tcBorders>
              <w:top w:val="single" w:sz="4" w:space="0" w:color="auto"/>
              <w:left w:val="nil"/>
              <w:bottom w:val="nil"/>
              <w:right w:val="nil"/>
            </w:tcBorders>
            <w:shd w:val="clear" w:color="auto" w:fill="auto"/>
            <w:noWrap/>
            <w:vAlign w:val="center"/>
            <w:hideMark/>
          </w:tcPr>
          <w:p w14:paraId="753D1C80" w14:textId="4C847011" w:rsidR="000C1E37" w:rsidRPr="008174E3" w:rsidRDefault="000C1E37" w:rsidP="00802D00">
            <w:pPr>
              <w:jc w:val="right"/>
              <w:rPr>
                <w:rFonts w:ascii="Arial" w:hAnsi="Arial" w:cs="Arial"/>
                <w:sz w:val="14"/>
                <w:szCs w:val="14"/>
              </w:rPr>
            </w:pPr>
            <w:r w:rsidRPr="000C1E37">
              <w:rPr>
                <w:rFonts w:ascii="Arial" w:hAnsi="Arial" w:cs="Arial"/>
                <w:sz w:val="14"/>
                <w:szCs w:val="14"/>
              </w:rPr>
              <w:t>40</w:t>
            </w:r>
            <w:r>
              <w:rPr>
                <w:rFonts w:ascii="Arial" w:hAnsi="Arial" w:cs="Arial"/>
                <w:sz w:val="14"/>
                <w:szCs w:val="14"/>
              </w:rPr>
              <w:t>,</w:t>
            </w:r>
            <w:r w:rsidRPr="000C1E37">
              <w:rPr>
                <w:rFonts w:ascii="Arial" w:hAnsi="Arial" w:cs="Arial"/>
                <w:sz w:val="14"/>
                <w:szCs w:val="14"/>
              </w:rPr>
              <w:t>21</w:t>
            </w:r>
          </w:p>
        </w:tc>
        <w:tc>
          <w:tcPr>
            <w:tcW w:w="675" w:type="dxa"/>
            <w:tcBorders>
              <w:top w:val="single" w:sz="4" w:space="0" w:color="auto"/>
              <w:left w:val="nil"/>
              <w:bottom w:val="nil"/>
              <w:right w:val="nil"/>
            </w:tcBorders>
            <w:shd w:val="clear" w:color="auto" w:fill="auto"/>
            <w:noWrap/>
            <w:vAlign w:val="center"/>
            <w:hideMark/>
          </w:tcPr>
          <w:p w14:paraId="447B4845" w14:textId="2144E259" w:rsidR="000C1E37" w:rsidRPr="008174E3" w:rsidRDefault="000C1E37" w:rsidP="00802D00">
            <w:pPr>
              <w:jc w:val="right"/>
              <w:rPr>
                <w:rFonts w:ascii="Arial" w:hAnsi="Arial" w:cs="Arial"/>
                <w:sz w:val="14"/>
                <w:szCs w:val="14"/>
              </w:rPr>
            </w:pPr>
            <w:r w:rsidRPr="000C1E37">
              <w:rPr>
                <w:rFonts w:ascii="Arial" w:hAnsi="Arial" w:cs="Arial"/>
                <w:sz w:val="14"/>
                <w:szCs w:val="14"/>
              </w:rPr>
              <w:t>39</w:t>
            </w:r>
            <w:r>
              <w:rPr>
                <w:rFonts w:ascii="Arial" w:hAnsi="Arial" w:cs="Arial"/>
                <w:sz w:val="14"/>
                <w:szCs w:val="14"/>
              </w:rPr>
              <w:t>,</w:t>
            </w:r>
            <w:r w:rsidRPr="000C1E37">
              <w:rPr>
                <w:rFonts w:ascii="Arial" w:hAnsi="Arial" w:cs="Arial"/>
                <w:sz w:val="14"/>
                <w:szCs w:val="14"/>
              </w:rPr>
              <w:t>20</w:t>
            </w:r>
          </w:p>
        </w:tc>
        <w:tc>
          <w:tcPr>
            <w:tcW w:w="585" w:type="dxa"/>
            <w:tcBorders>
              <w:top w:val="single" w:sz="4" w:space="0" w:color="auto"/>
              <w:left w:val="nil"/>
              <w:bottom w:val="nil"/>
              <w:right w:val="nil"/>
            </w:tcBorders>
            <w:shd w:val="clear" w:color="auto" w:fill="auto"/>
            <w:noWrap/>
            <w:vAlign w:val="center"/>
            <w:hideMark/>
          </w:tcPr>
          <w:p w14:paraId="48905CF4" w14:textId="6887B223" w:rsidR="000C1E37" w:rsidRPr="008174E3" w:rsidRDefault="000C1E37" w:rsidP="00802D00">
            <w:pPr>
              <w:jc w:val="right"/>
              <w:rPr>
                <w:rFonts w:ascii="Arial" w:hAnsi="Arial" w:cs="Arial"/>
                <w:sz w:val="14"/>
                <w:szCs w:val="14"/>
              </w:rPr>
            </w:pPr>
            <w:r w:rsidRPr="000C1E37">
              <w:rPr>
                <w:rFonts w:ascii="Arial" w:hAnsi="Arial" w:cs="Arial"/>
                <w:sz w:val="14"/>
                <w:szCs w:val="14"/>
              </w:rPr>
              <w:t>25</w:t>
            </w:r>
            <w:r>
              <w:rPr>
                <w:rFonts w:ascii="Arial" w:hAnsi="Arial" w:cs="Arial"/>
                <w:sz w:val="14"/>
                <w:szCs w:val="14"/>
              </w:rPr>
              <w:t>,</w:t>
            </w:r>
            <w:r w:rsidRPr="000C1E37">
              <w:rPr>
                <w:rFonts w:ascii="Arial" w:hAnsi="Arial" w:cs="Arial"/>
                <w:sz w:val="14"/>
                <w:szCs w:val="14"/>
              </w:rPr>
              <w:t>23</w:t>
            </w:r>
          </w:p>
        </w:tc>
        <w:tc>
          <w:tcPr>
            <w:tcW w:w="648" w:type="dxa"/>
            <w:tcBorders>
              <w:top w:val="single" w:sz="4" w:space="0" w:color="auto"/>
              <w:left w:val="nil"/>
              <w:bottom w:val="nil"/>
              <w:right w:val="nil"/>
            </w:tcBorders>
            <w:shd w:val="clear" w:color="auto" w:fill="auto"/>
            <w:noWrap/>
            <w:vAlign w:val="center"/>
            <w:hideMark/>
          </w:tcPr>
          <w:p w14:paraId="654AC6F8" w14:textId="324A4FF4" w:rsidR="000C1E37" w:rsidRPr="008174E3" w:rsidRDefault="000C1E37" w:rsidP="00802D00">
            <w:pPr>
              <w:jc w:val="right"/>
              <w:rPr>
                <w:rFonts w:ascii="Arial" w:hAnsi="Arial" w:cs="Arial"/>
                <w:sz w:val="14"/>
                <w:szCs w:val="14"/>
              </w:rPr>
            </w:pPr>
            <w:r w:rsidRPr="000C1E37">
              <w:rPr>
                <w:rFonts w:ascii="Arial" w:hAnsi="Arial" w:cs="Arial"/>
                <w:sz w:val="14"/>
                <w:szCs w:val="14"/>
              </w:rPr>
              <w:t>13</w:t>
            </w:r>
            <w:r>
              <w:rPr>
                <w:rFonts w:ascii="Arial" w:hAnsi="Arial" w:cs="Arial"/>
                <w:sz w:val="14"/>
                <w:szCs w:val="14"/>
              </w:rPr>
              <w:t>,</w:t>
            </w:r>
            <w:r w:rsidRPr="000C1E37">
              <w:rPr>
                <w:rFonts w:ascii="Arial" w:hAnsi="Arial" w:cs="Arial"/>
                <w:sz w:val="14"/>
                <w:szCs w:val="14"/>
              </w:rPr>
              <w:t>14</w:t>
            </w:r>
          </w:p>
        </w:tc>
        <w:tc>
          <w:tcPr>
            <w:tcW w:w="678" w:type="dxa"/>
            <w:tcBorders>
              <w:top w:val="single" w:sz="4" w:space="0" w:color="auto"/>
              <w:left w:val="nil"/>
              <w:bottom w:val="nil"/>
              <w:right w:val="nil"/>
            </w:tcBorders>
            <w:shd w:val="clear" w:color="auto" w:fill="auto"/>
            <w:noWrap/>
            <w:vAlign w:val="center"/>
            <w:hideMark/>
          </w:tcPr>
          <w:p w14:paraId="00BFF921" w14:textId="19887FBB" w:rsidR="000C1E37" w:rsidRPr="008174E3" w:rsidRDefault="000C1E37" w:rsidP="00802D00">
            <w:pPr>
              <w:jc w:val="right"/>
              <w:rPr>
                <w:rFonts w:ascii="Arial" w:hAnsi="Arial" w:cs="Arial"/>
                <w:sz w:val="14"/>
                <w:szCs w:val="14"/>
              </w:rPr>
            </w:pPr>
            <w:r w:rsidRPr="000C1E37">
              <w:rPr>
                <w:rFonts w:ascii="Arial" w:hAnsi="Arial" w:cs="Arial"/>
                <w:sz w:val="14"/>
                <w:szCs w:val="14"/>
              </w:rPr>
              <w:t>11</w:t>
            </w:r>
            <w:r>
              <w:rPr>
                <w:rFonts w:ascii="Arial" w:hAnsi="Arial" w:cs="Arial"/>
                <w:sz w:val="14"/>
                <w:szCs w:val="14"/>
              </w:rPr>
              <w:t>,</w:t>
            </w:r>
            <w:r w:rsidRPr="000C1E37">
              <w:rPr>
                <w:rFonts w:ascii="Arial" w:hAnsi="Arial" w:cs="Arial"/>
                <w:sz w:val="14"/>
                <w:szCs w:val="14"/>
              </w:rPr>
              <w:t>73</w:t>
            </w:r>
          </w:p>
        </w:tc>
        <w:tc>
          <w:tcPr>
            <w:tcW w:w="567" w:type="dxa"/>
            <w:tcBorders>
              <w:top w:val="single" w:sz="4" w:space="0" w:color="auto"/>
              <w:left w:val="nil"/>
              <w:bottom w:val="nil"/>
              <w:right w:val="nil"/>
            </w:tcBorders>
            <w:shd w:val="clear" w:color="auto" w:fill="auto"/>
            <w:noWrap/>
            <w:vAlign w:val="center"/>
            <w:hideMark/>
          </w:tcPr>
          <w:p w14:paraId="5FC52314" w14:textId="1A96B3ED" w:rsidR="000C1E37" w:rsidRPr="008174E3" w:rsidRDefault="000C1E37" w:rsidP="00802D00">
            <w:pPr>
              <w:jc w:val="right"/>
              <w:rPr>
                <w:rFonts w:ascii="Arial" w:hAnsi="Arial" w:cs="Arial"/>
                <w:sz w:val="14"/>
                <w:szCs w:val="14"/>
              </w:rPr>
            </w:pPr>
            <w:r w:rsidRPr="000C1E37">
              <w:rPr>
                <w:rFonts w:ascii="Arial" w:hAnsi="Arial" w:cs="Arial"/>
                <w:sz w:val="14"/>
                <w:szCs w:val="14"/>
              </w:rPr>
              <w:t>10</w:t>
            </w:r>
            <w:r>
              <w:rPr>
                <w:rFonts w:ascii="Arial" w:hAnsi="Arial" w:cs="Arial"/>
                <w:sz w:val="14"/>
                <w:szCs w:val="14"/>
              </w:rPr>
              <w:t>,</w:t>
            </w:r>
            <w:r w:rsidRPr="000C1E37">
              <w:rPr>
                <w:rFonts w:ascii="Arial" w:hAnsi="Arial" w:cs="Arial"/>
                <w:sz w:val="14"/>
                <w:szCs w:val="14"/>
              </w:rPr>
              <w:t>47</w:t>
            </w:r>
          </w:p>
        </w:tc>
        <w:tc>
          <w:tcPr>
            <w:tcW w:w="709" w:type="dxa"/>
            <w:tcBorders>
              <w:top w:val="single" w:sz="4" w:space="0" w:color="auto"/>
              <w:left w:val="nil"/>
              <w:bottom w:val="nil"/>
              <w:right w:val="nil"/>
            </w:tcBorders>
            <w:shd w:val="clear" w:color="auto" w:fill="auto"/>
            <w:noWrap/>
            <w:vAlign w:val="center"/>
            <w:hideMark/>
          </w:tcPr>
          <w:p w14:paraId="28DFAA08" w14:textId="563E5D0F" w:rsidR="000C1E37" w:rsidRPr="008174E3" w:rsidRDefault="000C1E37" w:rsidP="00802D00">
            <w:pPr>
              <w:jc w:val="right"/>
              <w:rPr>
                <w:rFonts w:ascii="Arial" w:hAnsi="Arial" w:cs="Arial"/>
                <w:sz w:val="14"/>
                <w:szCs w:val="14"/>
              </w:rPr>
            </w:pPr>
            <w:r w:rsidRPr="000C1E37">
              <w:rPr>
                <w:rFonts w:ascii="Arial" w:hAnsi="Arial" w:cs="Arial"/>
                <w:sz w:val="14"/>
                <w:szCs w:val="14"/>
              </w:rPr>
              <w:t>9</w:t>
            </w:r>
            <w:r>
              <w:rPr>
                <w:rFonts w:ascii="Arial" w:hAnsi="Arial" w:cs="Arial"/>
                <w:sz w:val="14"/>
                <w:szCs w:val="14"/>
              </w:rPr>
              <w:t>,</w:t>
            </w:r>
            <w:r w:rsidRPr="000C1E37">
              <w:rPr>
                <w:rFonts w:ascii="Arial" w:hAnsi="Arial" w:cs="Arial"/>
                <w:sz w:val="14"/>
                <w:szCs w:val="14"/>
              </w:rPr>
              <w:t>35</w:t>
            </w:r>
          </w:p>
        </w:tc>
        <w:tc>
          <w:tcPr>
            <w:tcW w:w="709" w:type="dxa"/>
            <w:tcBorders>
              <w:top w:val="single" w:sz="4" w:space="0" w:color="auto"/>
              <w:left w:val="nil"/>
              <w:bottom w:val="nil"/>
              <w:right w:val="nil"/>
            </w:tcBorders>
            <w:shd w:val="clear" w:color="auto" w:fill="auto"/>
            <w:noWrap/>
            <w:vAlign w:val="center"/>
            <w:hideMark/>
          </w:tcPr>
          <w:p w14:paraId="278ACC33" w14:textId="5625B1CC" w:rsidR="000C1E37" w:rsidRPr="008174E3" w:rsidRDefault="000C1E37" w:rsidP="00802D00">
            <w:pPr>
              <w:jc w:val="right"/>
              <w:rPr>
                <w:rFonts w:ascii="Arial" w:hAnsi="Arial" w:cs="Arial"/>
                <w:sz w:val="14"/>
                <w:szCs w:val="14"/>
              </w:rPr>
            </w:pPr>
            <w:r w:rsidRPr="000C1E37">
              <w:rPr>
                <w:rFonts w:ascii="Arial" w:hAnsi="Arial" w:cs="Arial"/>
                <w:sz w:val="14"/>
                <w:szCs w:val="14"/>
              </w:rPr>
              <w:t>6</w:t>
            </w:r>
            <w:r>
              <w:rPr>
                <w:rFonts w:ascii="Arial" w:hAnsi="Arial" w:cs="Arial"/>
                <w:sz w:val="14"/>
                <w:szCs w:val="14"/>
              </w:rPr>
              <w:t>,</w:t>
            </w:r>
            <w:r w:rsidRPr="000C1E37">
              <w:rPr>
                <w:rFonts w:ascii="Arial" w:hAnsi="Arial" w:cs="Arial"/>
                <w:sz w:val="14"/>
                <w:szCs w:val="14"/>
              </w:rPr>
              <w:t>68</w:t>
            </w:r>
          </w:p>
        </w:tc>
        <w:tc>
          <w:tcPr>
            <w:tcW w:w="708" w:type="dxa"/>
            <w:tcBorders>
              <w:top w:val="single" w:sz="4" w:space="0" w:color="auto"/>
              <w:left w:val="nil"/>
              <w:bottom w:val="nil"/>
              <w:right w:val="nil"/>
            </w:tcBorders>
            <w:shd w:val="clear" w:color="auto" w:fill="auto"/>
            <w:noWrap/>
            <w:vAlign w:val="center"/>
            <w:hideMark/>
          </w:tcPr>
          <w:p w14:paraId="12C88B75" w14:textId="74EF937C" w:rsidR="000C1E37" w:rsidRPr="008174E3" w:rsidRDefault="000C1E37" w:rsidP="00802D00">
            <w:pPr>
              <w:jc w:val="right"/>
              <w:rPr>
                <w:rFonts w:ascii="Arial" w:hAnsi="Arial" w:cs="Arial"/>
                <w:sz w:val="14"/>
                <w:szCs w:val="14"/>
              </w:rPr>
            </w:pPr>
            <w:r w:rsidRPr="000C1E37">
              <w:rPr>
                <w:rFonts w:ascii="Arial" w:hAnsi="Arial" w:cs="Arial"/>
                <w:sz w:val="14"/>
                <w:szCs w:val="14"/>
              </w:rPr>
              <w:t>4</w:t>
            </w:r>
            <w:r>
              <w:rPr>
                <w:rFonts w:ascii="Arial" w:hAnsi="Arial" w:cs="Arial"/>
                <w:sz w:val="14"/>
                <w:szCs w:val="14"/>
              </w:rPr>
              <w:t>,</w:t>
            </w:r>
            <w:r w:rsidRPr="000C1E37">
              <w:rPr>
                <w:rFonts w:ascii="Arial" w:hAnsi="Arial" w:cs="Arial"/>
                <w:sz w:val="14"/>
                <w:szCs w:val="14"/>
              </w:rPr>
              <w:t>47</w:t>
            </w:r>
          </w:p>
        </w:tc>
        <w:tc>
          <w:tcPr>
            <w:tcW w:w="706" w:type="dxa"/>
            <w:tcBorders>
              <w:top w:val="single" w:sz="4" w:space="0" w:color="auto"/>
              <w:left w:val="nil"/>
              <w:bottom w:val="nil"/>
              <w:right w:val="nil"/>
            </w:tcBorders>
            <w:shd w:val="clear" w:color="auto" w:fill="auto"/>
            <w:noWrap/>
            <w:vAlign w:val="center"/>
            <w:hideMark/>
          </w:tcPr>
          <w:p w14:paraId="329AD38F" w14:textId="02773331" w:rsidR="000C1E37" w:rsidRPr="008174E3" w:rsidRDefault="000C1E37" w:rsidP="00802D00">
            <w:pPr>
              <w:jc w:val="right"/>
              <w:rPr>
                <w:rFonts w:ascii="Arial" w:hAnsi="Arial" w:cs="Arial"/>
                <w:sz w:val="14"/>
                <w:szCs w:val="14"/>
              </w:rPr>
            </w:pPr>
            <w:r w:rsidRPr="000C1E37">
              <w:rPr>
                <w:rFonts w:ascii="Arial" w:hAnsi="Arial" w:cs="Arial"/>
                <w:sz w:val="14"/>
                <w:szCs w:val="14"/>
              </w:rPr>
              <w:t>2</w:t>
            </w:r>
            <w:r>
              <w:rPr>
                <w:rFonts w:ascii="Arial" w:hAnsi="Arial" w:cs="Arial"/>
                <w:sz w:val="14"/>
                <w:szCs w:val="14"/>
              </w:rPr>
              <w:t>,</w:t>
            </w:r>
            <w:r w:rsidRPr="000C1E37">
              <w:rPr>
                <w:rFonts w:ascii="Arial" w:hAnsi="Arial" w:cs="Arial"/>
                <w:sz w:val="14"/>
                <w:szCs w:val="14"/>
              </w:rPr>
              <w:t>66</w:t>
            </w:r>
          </w:p>
        </w:tc>
        <w:tc>
          <w:tcPr>
            <w:tcW w:w="709" w:type="dxa"/>
            <w:tcBorders>
              <w:top w:val="single" w:sz="4" w:space="0" w:color="auto"/>
              <w:left w:val="nil"/>
              <w:bottom w:val="nil"/>
              <w:right w:val="nil"/>
            </w:tcBorders>
            <w:shd w:val="clear" w:color="auto" w:fill="auto"/>
            <w:noWrap/>
            <w:vAlign w:val="center"/>
            <w:hideMark/>
          </w:tcPr>
          <w:p w14:paraId="78B2D66F" w14:textId="6653F594" w:rsidR="000C1E37" w:rsidRPr="008174E3" w:rsidRDefault="000C1E37" w:rsidP="00802D00">
            <w:pPr>
              <w:jc w:val="right"/>
              <w:rPr>
                <w:rFonts w:ascii="Arial" w:hAnsi="Arial" w:cs="Arial"/>
                <w:sz w:val="14"/>
                <w:szCs w:val="14"/>
              </w:rPr>
            </w:pPr>
            <w:r w:rsidRPr="000C1E37">
              <w:rPr>
                <w:rFonts w:ascii="Arial" w:hAnsi="Arial" w:cs="Arial"/>
                <w:sz w:val="14"/>
                <w:szCs w:val="14"/>
              </w:rPr>
              <w:t>1</w:t>
            </w:r>
            <w:r>
              <w:rPr>
                <w:rFonts w:ascii="Arial" w:hAnsi="Arial" w:cs="Arial"/>
                <w:sz w:val="14"/>
                <w:szCs w:val="14"/>
              </w:rPr>
              <w:t>,</w:t>
            </w:r>
            <w:r w:rsidRPr="000C1E37">
              <w:rPr>
                <w:rFonts w:ascii="Arial" w:hAnsi="Arial" w:cs="Arial"/>
                <w:sz w:val="14"/>
                <w:szCs w:val="14"/>
              </w:rPr>
              <w:t>19</w:t>
            </w:r>
          </w:p>
        </w:tc>
        <w:tc>
          <w:tcPr>
            <w:tcW w:w="708" w:type="dxa"/>
            <w:tcBorders>
              <w:top w:val="single" w:sz="4" w:space="0" w:color="auto"/>
              <w:left w:val="nil"/>
              <w:bottom w:val="nil"/>
              <w:right w:val="nil"/>
            </w:tcBorders>
            <w:shd w:val="clear" w:color="auto" w:fill="auto"/>
            <w:noWrap/>
            <w:vAlign w:val="center"/>
            <w:hideMark/>
          </w:tcPr>
          <w:p w14:paraId="7FD95715" w14:textId="4E34749C" w:rsidR="000C1E37" w:rsidRPr="008174E3" w:rsidRDefault="000C1E37" w:rsidP="00802D00">
            <w:pPr>
              <w:jc w:val="right"/>
              <w:rPr>
                <w:rFonts w:ascii="Arial" w:hAnsi="Arial" w:cs="Arial"/>
                <w:sz w:val="14"/>
                <w:szCs w:val="14"/>
              </w:rPr>
            </w:pPr>
            <w:r w:rsidRPr="000C1E37">
              <w:rPr>
                <w:rFonts w:ascii="Arial" w:hAnsi="Arial" w:cs="Arial"/>
                <w:sz w:val="14"/>
                <w:szCs w:val="14"/>
              </w:rPr>
              <w:t>268</w:t>
            </w:r>
            <w:r>
              <w:rPr>
                <w:rFonts w:ascii="Arial" w:hAnsi="Arial" w:cs="Arial"/>
                <w:sz w:val="14"/>
                <w:szCs w:val="14"/>
              </w:rPr>
              <w:t>,</w:t>
            </w:r>
            <w:r w:rsidRPr="000C1E37">
              <w:rPr>
                <w:rFonts w:ascii="Arial" w:hAnsi="Arial" w:cs="Arial"/>
                <w:sz w:val="14"/>
                <w:szCs w:val="14"/>
              </w:rPr>
              <w:t>85</w:t>
            </w:r>
          </w:p>
        </w:tc>
      </w:tr>
      <w:tr w:rsidR="000C1E37" w:rsidRPr="008174E3" w14:paraId="67117DB3" w14:textId="77777777" w:rsidTr="000C1E37">
        <w:trPr>
          <w:trHeight w:val="300"/>
          <w:jc w:val="center"/>
        </w:trPr>
        <w:tc>
          <w:tcPr>
            <w:tcW w:w="1649" w:type="dxa"/>
            <w:tcBorders>
              <w:top w:val="nil"/>
              <w:left w:val="nil"/>
              <w:bottom w:val="single" w:sz="4" w:space="0" w:color="auto"/>
              <w:right w:val="nil"/>
            </w:tcBorders>
            <w:shd w:val="clear" w:color="auto" w:fill="auto"/>
            <w:noWrap/>
            <w:hideMark/>
          </w:tcPr>
          <w:p w14:paraId="14D8C398" w14:textId="77777777" w:rsidR="000C1E37" w:rsidRPr="008174E3" w:rsidRDefault="000C1E37" w:rsidP="000C1E37">
            <w:pPr>
              <w:rPr>
                <w:rFonts w:ascii="Arial" w:hAnsi="Arial" w:cs="Arial"/>
                <w:color w:val="000000"/>
                <w:sz w:val="14"/>
                <w:szCs w:val="14"/>
              </w:rPr>
            </w:pPr>
            <w:r w:rsidRPr="008174E3">
              <w:rPr>
                <w:rFonts w:ascii="Arial" w:hAnsi="Arial" w:cs="Arial"/>
                <w:sz w:val="14"/>
                <w:szCs w:val="14"/>
              </w:rPr>
              <w:t>Costos Económicos en VPN</w:t>
            </w:r>
          </w:p>
        </w:tc>
        <w:tc>
          <w:tcPr>
            <w:tcW w:w="691" w:type="dxa"/>
            <w:tcBorders>
              <w:top w:val="nil"/>
              <w:left w:val="nil"/>
              <w:bottom w:val="single" w:sz="4" w:space="0" w:color="auto"/>
              <w:right w:val="nil"/>
            </w:tcBorders>
            <w:shd w:val="clear" w:color="auto" w:fill="auto"/>
            <w:noWrap/>
            <w:vAlign w:val="center"/>
            <w:hideMark/>
          </w:tcPr>
          <w:p w14:paraId="5AD46673" w14:textId="06BE01FD" w:rsidR="000C1E37" w:rsidRPr="008174E3" w:rsidRDefault="000C1E37" w:rsidP="00802D00">
            <w:pPr>
              <w:jc w:val="right"/>
              <w:rPr>
                <w:rFonts w:ascii="Arial" w:hAnsi="Arial" w:cs="Arial"/>
                <w:sz w:val="14"/>
                <w:szCs w:val="14"/>
              </w:rPr>
            </w:pPr>
            <w:r w:rsidRPr="000C1E37">
              <w:rPr>
                <w:rFonts w:ascii="Arial" w:hAnsi="Arial" w:cs="Arial"/>
                <w:sz w:val="14"/>
                <w:szCs w:val="14"/>
              </w:rPr>
              <w:t>45</w:t>
            </w:r>
            <w:r>
              <w:rPr>
                <w:rFonts w:ascii="Arial" w:hAnsi="Arial" w:cs="Arial"/>
                <w:sz w:val="14"/>
                <w:szCs w:val="14"/>
              </w:rPr>
              <w:t>,</w:t>
            </w:r>
            <w:r w:rsidRPr="000C1E37">
              <w:rPr>
                <w:rFonts w:ascii="Arial" w:hAnsi="Arial" w:cs="Arial"/>
                <w:sz w:val="14"/>
                <w:szCs w:val="14"/>
              </w:rPr>
              <w:t>66</w:t>
            </w:r>
          </w:p>
        </w:tc>
        <w:tc>
          <w:tcPr>
            <w:tcW w:w="617" w:type="dxa"/>
            <w:tcBorders>
              <w:top w:val="nil"/>
              <w:left w:val="nil"/>
              <w:bottom w:val="single" w:sz="4" w:space="0" w:color="auto"/>
              <w:right w:val="nil"/>
            </w:tcBorders>
            <w:shd w:val="clear" w:color="auto" w:fill="auto"/>
            <w:noWrap/>
            <w:vAlign w:val="center"/>
            <w:hideMark/>
          </w:tcPr>
          <w:p w14:paraId="216B2784" w14:textId="4EB8D0A8" w:rsidR="000C1E37" w:rsidRPr="008174E3" w:rsidRDefault="000C1E37" w:rsidP="00802D00">
            <w:pPr>
              <w:jc w:val="right"/>
              <w:rPr>
                <w:rFonts w:ascii="Arial" w:hAnsi="Arial" w:cs="Arial"/>
                <w:sz w:val="14"/>
                <w:szCs w:val="14"/>
              </w:rPr>
            </w:pPr>
            <w:r w:rsidRPr="000C1E37">
              <w:rPr>
                <w:rFonts w:ascii="Arial" w:hAnsi="Arial" w:cs="Arial"/>
                <w:sz w:val="14"/>
                <w:szCs w:val="14"/>
              </w:rPr>
              <w:t>40</w:t>
            </w:r>
            <w:r>
              <w:rPr>
                <w:rFonts w:ascii="Arial" w:hAnsi="Arial" w:cs="Arial"/>
                <w:sz w:val="14"/>
                <w:szCs w:val="14"/>
              </w:rPr>
              <w:t>,</w:t>
            </w:r>
            <w:r w:rsidRPr="000C1E37">
              <w:rPr>
                <w:rFonts w:ascii="Arial" w:hAnsi="Arial" w:cs="Arial"/>
                <w:sz w:val="14"/>
                <w:szCs w:val="14"/>
              </w:rPr>
              <w:t>77</w:t>
            </w:r>
          </w:p>
        </w:tc>
        <w:tc>
          <w:tcPr>
            <w:tcW w:w="651" w:type="dxa"/>
            <w:tcBorders>
              <w:top w:val="nil"/>
              <w:left w:val="nil"/>
              <w:bottom w:val="single" w:sz="4" w:space="0" w:color="auto"/>
              <w:right w:val="nil"/>
            </w:tcBorders>
            <w:shd w:val="clear" w:color="auto" w:fill="auto"/>
            <w:noWrap/>
            <w:vAlign w:val="center"/>
            <w:hideMark/>
          </w:tcPr>
          <w:p w14:paraId="26D7AF59" w14:textId="0E2EB372" w:rsidR="000C1E37" w:rsidRPr="008174E3" w:rsidRDefault="000C1E37" w:rsidP="00802D00">
            <w:pPr>
              <w:jc w:val="right"/>
              <w:rPr>
                <w:rFonts w:ascii="Arial" w:hAnsi="Arial" w:cs="Arial"/>
                <w:sz w:val="14"/>
                <w:szCs w:val="14"/>
              </w:rPr>
            </w:pPr>
            <w:r w:rsidRPr="000C1E37">
              <w:rPr>
                <w:rFonts w:ascii="Arial" w:hAnsi="Arial" w:cs="Arial"/>
                <w:sz w:val="14"/>
                <w:szCs w:val="14"/>
              </w:rPr>
              <w:t>36</w:t>
            </w:r>
            <w:r>
              <w:rPr>
                <w:rFonts w:ascii="Arial" w:hAnsi="Arial" w:cs="Arial"/>
                <w:sz w:val="14"/>
                <w:szCs w:val="14"/>
              </w:rPr>
              <w:t>,</w:t>
            </w:r>
            <w:r w:rsidRPr="000C1E37">
              <w:rPr>
                <w:rFonts w:ascii="Arial" w:hAnsi="Arial" w:cs="Arial"/>
                <w:sz w:val="14"/>
                <w:szCs w:val="14"/>
              </w:rPr>
              <w:t>40</w:t>
            </w:r>
          </w:p>
        </w:tc>
        <w:tc>
          <w:tcPr>
            <w:tcW w:w="606" w:type="dxa"/>
            <w:tcBorders>
              <w:top w:val="nil"/>
              <w:left w:val="nil"/>
              <w:bottom w:val="single" w:sz="4" w:space="0" w:color="auto"/>
              <w:right w:val="nil"/>
            </w:tcBorders>
            <w:shd w:val="clear" w:color="auto" w:fill="auto"/>
            <w:noWrap/>
            <w:vAlign w:val="center"/>
            <w:hideMark/>
          </w:tcPr>
          <w:p w14:paraId="3B6EAC3E" w14:textId="0A59F150" w:rsidR="000C1E37" w:rsidRPr="008174E3" w:rsidRDefault="000C1E37" w:rsidP="00802D00">
            <w:pPr>
              <w:jc w:val="right"/>
              <w:rPr>
                <w:rFonts w:ascii="Arial" w:hAnsi="Arial" w:cs="Arial"/>
                <w:sz w:val="14"/>
                <w:szCs w:val="14"/>
              </w:rPr>
            </w:pPr>
            <w:r w:rsidRPr="000C1E37">
              <w:rPr>
                <w:rFonts w:ascii="Arial" w:hAnsi="Arial" w:cs="Arial"/>
                <w:sz w:val="14"/>
                <w:szCs w:val="14"/>
              </w:rPr>
              <w:t>32</w:t>
            </w:r>
            <w:r>
              <w:rPr>
                <w:rFonts w:ascii="Arial" w:hAnsi="Arial" w:cs="Arial"/>
                <w:sz w:val="14"/>
                <w:szCs w:val="14"/>
              </w:rPr>
              <w:t>,</w:t>
            </w:r>
            <w:r w:rsidRPr="000C1E37">
              <w:rPr>
                <w:rFonts w:ascii="Arial" w:hAnsi="Arial" w:cs="Arial"/>
                <w:sz w:val="14"/>
                <w:szCs w:val="14"/>
              </w:rPr>
              <w:t>50</w:t>
            </w:r>
          </w:p>
        </w:tc>
        <w:tc>
          <w:tcPr>
            <w:tcW w:w="675" w:type="dxa"/>
            <w:tcBorders>
              <w:top w:val="nil"/>
              <w:left w:val="nil"/>
              <w:bottom w:val="single" w:sz="4" w:space="0" w:color="auto"/>
              <w:right w:val="nil"/>
            </w:tcBorders>
            <w:shd w:val="clear" w:color="auto" w:fill="auto"/>
            <w:noWrap/>
            <w:vAlign w:val="center"/>
            <w:hideMark/>
          </w:tcPr>
          <w:p w14:paraId="1FD2A83B" w14:textId="76990836" w:rsidR="000C1E37" w:rsidRPr="008174E3" w:rsidRDefault="000C1E37" w:rsidP="00802D00">
            <w:pPr>
              <w:jc w:val="right"/>
              <w:rPr>
                <w:rFonts w:ascii="Arial" w:hAnsi="Arial" w:cs="Arial"/>
                <w:sz w:val="14"/>
                <w:szCs w:val="14"/>
              </w:rPr>
            </w:pPr>
            <w:r w:rsidRPr="000C1E37">
              <w:rPr>
                <w:rFonts w:ascii="Arial" w:hAnsi="Arial" w:cs="Arial"/>
                <w:sz w:val="14"/>
                <w:szCs w:val="14"/>
              </w:rPr>
              <w:t>29</w:t>
            </w:r>
            <w:r>
              <w:rPr>
                <w:rFonts w:ascii="Arial" w:hAnsi="Arial" w:cs="Arial"/>
                <w:sz w:val="14"/>
                <w:szCs w:val="14"/>
              </w:rPr>
              <w:t>,</w:t>
            </w:r>
            <w:r w:rsidRPr="000C1E37">
              <w:rPr>
                <w:rFonts w:ascii="Arial" w:hAnsi="Arial" w:cs="Arial"/>
                <w:sz w:val="14"/>
                <w:szCs w:val="14"/>
              </w:rPr>
              <w:t>02</w:t>
            </w:r>
          </w:p>
        </w:tc>
        <w:tc>
          <w:tcPr>
            <w:tcW w:w="585" w:type="dxa"/>
            <w:tcBorders>
              <w:top w:val="nil"/>
              <w:left w:val="nil"/>
              <w:bottom w:val="single" w:sz="4" w:space="0" w:color="auto"/>
              <w:right w:val="nil"/>
            </w:tcBorders>
            <w:shd w:val="clear" w:color="auto" w:fill="auto"/>
            <w:noWrap/>
            <w:vAlign w:val="center"/>
          </w:tcPr>
          <w:p w14:paraId="6F8CB3E0" w14:textId="23D63278" w:rsidR="000C1E37" w:rsidRPr="008174E3" w:rsidRDefault="000C1E37" w:rsidP="00802D00">
            <w:pPr>
              <w:jc w:val="right"/>
              <w:rPr>
                <w:rFonts w:ascii="Arial" w:hAnsi="Arial" w:cs="Arial"/>
                <w:sz w:val="14"/>
                <w:szCs w:val="14"/>
              </w:rPr>
            </w:pPr>
            <w:r w:rsidRPr="000C1E37">
              <w:rPr>
                <w:rFonts w:ascii="Arial" w:hAnsi="Arial" w:cs="Arial"/>
                <w:sz w:val="14"/>
                <w:szCs w:val="14"/>
              </w:rPr>
              <w:t>0</w:t>
            </w:r>
            <w:r>
              <w:rPr>
                <w:rFonts w:ascii="Arial" w:hAnsi="Arial" w:cs="Arial"/>
                <w:sz w:val="14"/>
                <w:szCs w:val="14"/>
              </w:rPr>
              <w:t>,</w:t>
            </w:r>
            <w:r w:rsidRPr="000C1E37">
              <w:rPr>
                <w:rFonts w:ascii="Arial" w:hAnsi="Arial" w:cs="Arial"/>
                <w:sz w:val="14"/>
                <w:szCs w:val="14"/>
              </w:rPr>
              <w:t>00</w:t>
            </w:r>
          </w:p>
        </w:tc>
        <w:tc>
          <w:tcPr>
            <w:tcW w:w="648" w:type="dxa"/>
            <w:tcBorders>
              <w:top w:val="nil"/>
              <w:left w:val="nil"/>
              <w:bottom w:val="single" w:sz="4" w:space="0" w:color="auto"/>
              <w:right w:val="nil"/>
            </w:tcBorders>
            <w:shd w:val="clear" w:color="auto" w:fill="auto"/>
            <w:noWrap/>
            <w:vAlign w:val="center"/>
          </w:tcPr>
          <w:p w14:paraId="03DD8D6B" w14:textId="1B318C14" w:rsidR="000C1E37" w:rsidRPr="008174E3" w:rsidRDefault="000C1E37" w:rsidP="00802D00">
            <w:pPr>
              <w:jc w:val="right"/>
              <w:rPr>
                <w:rFonts w:ascii="Arial" w:hAnsi="Arial" w:cs="Arial"/>
                <w:sz w:val="14"/>
                <w:szCs w:val="14"/>
              </w:rPr>
            </w:pPr>
            <w:r w:rsidRPr="000C1E37">
              <w:rPr>
                <w:rFonts w:ascii="Arial" w:hAnsi="Arial" w:cs="Arial"/>
                <w:sz w:val="14"/>
                <w:szCs w:val="14"/>
              </w:rPr>
              <w:t>0</w:t>
            </w:r>
            <w:r>
              <w:rPr>
                <w:rFonts w:ascii="Arial" w:hAnsi="Arial" w:cs="Arial"/>
                <w:sz w:val="14"/>
                <w:szCs w:val="14"/>
              </w:rPr>
              <w:t>,</w:t>
            </w:r>
            <w:r w:rsidRPr="000C1E37">
              <w:rPr>
                <w:rFonts w:ascii="Arial" w:hAnsi="Arial" w:cs="Arial"/>
                <w:sz w:val="14"/>
                <w:szCs w:val="14"/>
              </w:rPr>
              <w:t>00</w:t>
            </w:r>
          </w:p>
        </w:tc>
        <w:tc>
          <w:tcPr>
            <w:tcW w:w="678" w:type="dxa"/>
            <w:tcBorders>
              <w:top w:val="nil"/>
              <w:left w:val="nil"/>
              <w:bottom w:val="single" w:sz="4" w:space="0" w:color="auto"/>
              <w:right w:val="nil"/>
            </w:tcBorders>
            <w:shd w:val="clear" w:color="auto" w:fill="auto"/>
            <w:noWrap/>
            <w:vAlign w:val="center"/>
          </w:tcPr>
          <w:p w14:paraId="6586EADB" w14:textId="296BBF97" w:rsidR="000C1E37" w:rsidRPr="008174E3" w:rsidRDefault="000C1E37" w:rsidP="00802D00">
            <w:pPr>
              <w:jc w:val="right"/>
              <w:rPr>
                <w:rFonts w:ascii="Arial" w:hAnsi="Arial" w:cs="Arial"/>
                <w:sz w:val="14"/>
                <w:szCs w:val="14"/>
              </w:rPr>
            </w:pPr>
            <w:r w:rsidRPr="000C1E37">
              <w:rPr>
                <w:rFonts w:ascii="Arial" w:hAnsi="Arial" w:cs="Arial"/>
                <w:sz w:val="14"/>
                <w:szCs w:val="14"/>
              </w:rPr>
              <w:t>0</w:t>
            </w:r>
            <w:r>
              <w:rPr>
                <w:rFonts w:ascii="Arial" w:hAnsi="Arial" w:cs="Arial"/>
                <w:sz w:val="14"/>
                <w:szCs w:val="14"/>
              </w:rPr>
              <w:t>,</w:t>
            </w:r>
            <w:r w:rsidRPr="000C1E37">
              <w:rPr>
                <w:rFonts w:ascii="Arial" w:hAnsi="Arial" w:cs="Arial"/>
                <w:sz w:val="14"/>
                <w:szCs w:val="14"/>
              </w:rPr>
              <w:t>00</w:t>
            </w:r>
          </w:p>
        </w:tc>
        <w:tc>
          <w:tcPr>
            <w:tcW w:w="567" w:type="dxa"/>
            <w:tcBorders>
              <w:top w:val="nil"/>
              <w:left w:val="nil"/>
              <w:bottom w:val="single" w:sz="4" w:space="0" w:color="auto"/>
              <w:right w:val="nil"/>
            </w:tcBorders>
            <w:shd w:val="clear" w:color="auto" w:fill="auto"/>
            <w:noWrap/>
            <w:vAlign w:val="center"/>
          </w:tcPr>
          <w:p w14:paraId="03ECBB1D" w14:textId="4AD1A938" w:rsidR="000C1E37" w:rsidRPr="008174E3" w:rsidRDefault="000C1E37" w:rsidP="00802D00">
            <w:pPr>
              <w:jc w:val="right"/>
              <w:rPr>
                <w:rFonts w:ascii="Arial" w:hAnsi="Arial" w:cs="Arial"/>
                <w:sz w:val="14"/>
                <w:szCs w:val="14"/>
              </w:rPr>
            </w:pPr>
            <w:r w:rsidRPr="000C1E37">
              <w:rPr>
                <w:rFonts w:ascii="Arial" w:hAnsi="Arial" w:cs="Arial"/>
                <w:sz w:val="14"/>
                <w:szCs w:val="14"/>
              </w:rPr>
              <w:t>0</w:t>
            </w:r>
            <w:r>
              <w:rPr>
                <w:rFonts w:ascii="Arial" w:hAnsi="Arial" w:cs="Arial"/>
                <w:sz w:val="14"/>
                <w:szCs w:val="14"/>
              </w:rPr>
              <w:t>,</w:t>
            </w:r>
            <w:r w:rsidRPr="000C1E37">
              <w:rPr>
                <w:rFonts w:ascii="Arial" w:hAnsi="Arial" w:cs="Arial"/>
                <w:sz w:val="14"/>
                <w:szCs w:val="14"/>
              </w:rPr>
              <w:t>00</w:t>
            </w:r>
          </w:p>
        </w:tc>
        <w:tc>
          <w:tcPr>
            <w:tcW w:w="709" w:type="dxa"/>
            <w:tcBorders>
              <w:top w:val="nil"/>
              <w:left w:val="nil"/>
              <w:bottom w:val="single" w:sz="4" w:space="0" w:color="auto"/>
              <w:right w:val="nil"/>
            </w:tcBorders>
            <w:shd w:val="clear" w:color="auto" w:fill="auto"/>
            <w:noWrap/>
            <w:vAlign w:val="center"/>
          </w:tcPr>
          <w:p w14:paraId="2BD2FC10" w14:textId="39258AF4" w:rsidR="000C1E37" w:rsidRPr="008174E3" w:rsidRDefault="000C1E37" w:rsidP="00802D00">
            <w:pPr>
              <w:jc w:val="right"/>
              <w:rPr>
                <w:rFonts w:ascii="Arial" w:hAnsi="Arial" w:cs="Arial"/>
                <w:sz w:val="14"/>
                <w:szCs w:val="14"/>
              </w:rPr>
            </w:pPr>
            <w:r w:rsidRPr="000C1E37">
              <w:rPr>
                <w:rFonts w:ascii="Arial" w:hAnsi="Arial" w:cs="Arial"/>
                <w:sz w:val="14"/>
                <w:szCs w:val="14"/>
              </w:rPr>
              <w:t>0</w:t>
            </w:r>
            <w:r>
              <w:rPr>
                <w:rFonts w:ascii="Arial" w:hAnsi="Arial" w:cs="Arial"/>
                <w:sz w:val="14"/>
                <w:szCs w:val="14"/>
              </w:rPr>
              <w:t>,</w:t>
            </w:r>
            <w:r w:rsidRPr="000C1E37">
              <w:rPr>
                <w:rFonts w:ascii="Arial" w:hAnsi="Arial" w:cs="Arial"/>
                <w:sz w:val="14"/>
                <w:szCs w:val="14"/>
              </w:rPr>
              <w:t>00</w:t>
            </w:r>
          </w:p>
        </w:tc>
        <w:tc>
          <w:tcPr>
            <w:tcW w:w="709" w:type="dxa"/>
            <w:tcBorders>
              <w:top w:val="nil"/>
              <w:left w:val="nil"/>
              <w:bottom w:val="single" w:sz="4" w:space="0" w:color="auto"/>
              <w:right w:val="nil"/>
            </w:tcBorders>
            <w:shd w:val="clear" w:color="auto" w:fill="auto"/>
            <w:noWrap/>
            <w:vAlign w:val="center"/>
          </w:tcPr>
          <w:p w14:paraId="581CB1F3" w14:textId="5B58714E" w:rsidR="000C1E37" w:rsidRPr="008174E3" w:rsidRDefault="000C1E37" w:rsidP="00802D00">
            <w:pPr>
              <w:jc w:val="right"/>
              <w:rPr>
                <w:rFonts w:ascii="Arial" w:hAnsi="Arial" w:cs="Arial"/>
                <w:sz w:val="14"/>
                <w:szCs w:val="14"/>
              </w:rPr>
            </w:pPr>
            <w:r w:rsidRPr="000C1E37">
              <w:rPr>
                <w:rFonts w:ascii="Arial" w:hAnsi="Arial" w:cs="Arial"/>
                <w:sz w:val="14"/>
                <w:szCs w:val="14"/>
              </w:rPr>
              <w:t>0</w:t>
            </w:r>
            <w:r>
              <w:rPr>
                <w:rFonts w:ascii="Arial" w:hAnsi="Arial" w:cs="Arial"/>
                <w:sz w:val="14"/>
                <w:szCs w:val="14"/>
              </w:rPr>
              <w:t>,</w:t>
            </w:r>
            <w:r w:rsidRPr="000C1E37">
              <w:rPr>
                <w:rFonts w:ascii="Arial" w:hAnsi="Arial" w:cs="Arial"/>
                <w:sz w:val="14"/>
                <w:szCs w:val="14"/>
              </w:rPr>
              <w:t>00</w:t>
            </w:r>
          </w:p>
        </w:tc>
        <w:tc>
          <w:tcPr>
            <w:tcW w:w="708" w:type="dxa"/>
            <w:tcBorders>
              <w:top w:val="nil"/>
              <w:left w:val="nil"/>
              <w:bottom w:val="single" w:sz="4" w:space="0" w:color="auto"/>
              <w:right w:val="nil"/>
            </w:tcBorders>
            <w:shd w:val="clear" w:color="auto" w:fill="auto"/>
            <w:noWrap/>
            <w:vAlign w:val="center"/>
          </w:tcPr>
          <w:p w14:paraId="5FE3A3B2" w14:textId="6C965127" w:rsidR="000C1E37" w:rsidRPr="008174E3" w:rsidRDefault="000C1E37" w:rsidP="00802D00">
            <w:pPr>
              <w:jc w:val="right"/>
              <w:rPr>
                <w:rFonts w:ascii="Arial" w:hAnsi="Arial" w:cs="Arial"/>
                <w:sz w:val="14"/>
                <w:szCs w:val="14"/>
              </w:rPr>
            </w:pPr>
            <w:r w:rsidRPr="000C1E37">
              <w:rPr>
                <w:rFonts w:ascii="Arial" w:hAnsi="Arial" w:cs="Arial"/>
                <w:sz w:val="14"/>
                <w:szCs w:val="14"/>
              </w:rPr>
              <w:t>0</w:t>
            </w:r>
            <w:r>
              <w:rPr>
                <w:rFonts w:ascii="Arial" w:hAnsi="Arial" w:cs="Arial"/>
                <w:sz w:val="14"/>
                <w:szCs w:val="14"/>
              </w:rPr>
              <w:t>,</w:t>
            </w:r>
            <w:r w:rsidRPr="000C1E37">
              <w:rPr>
                <w:rFonts w:ascii="Arial" w:hAnsi="Arial" w:cs="Arial"/>
                <w:sz w:val="14"/>
                <w:szCs w:val="14"/>
              </w:rPr>
              <w:t>00</w:t>
            </w:r>
          </w:p>
        </w:tc>
        <w:tc>
          <w:tcPr>
            <w:tcW w:w="706" w:type="dxa"/>
            <w:tcBorders>
              <w:top w:val="nil"/>
              <w:left w:val="nil"/>
              <w:bottom w:val="single" w:sz="4" w:space="0" w:color="auto"/>
              <w:right w:val="nil"/>
            </w:tcBorders>
            <w:shd w:val="clear" w:color="auto" w:fill="auto"/>
            <w:noWrap/>
            <w:vAlign w:val="center"/>
          </w:tcPr>
          <w:p w14:paraId="3B0BDD80" w14:textId="6501BFD9" w:rsidR="000C1E37" w:rsidRPr="008174E3" w:rsidRDefault="000C1E37" w:rsidP="00802D00">
            <w:pPr>
              <w:jc w:val="right"/>
              <w:rPr>
                <w:rFonts w:ascii="Arial" w:hAnsi="Arial" w:cs="Arial"/>
                <w:sz w:val="14"/>
                <w:szCs w:val="14"/>
              </w:rPr>
            </w:pPr>
            <w:r w:rsidRPr="000C1E37">
              <w:rPr>
                <w:rFonts w:ascii="Arial" w:hAnsi="Arial" w:cs="Arial"/>
                <w:sz w:val="14"/>
                <w:szCs w:val="14"/>
              </w:rPr>
              <w:t>0</w:t>
            </w:r>
            <w:r>
              <w:rPr>
                <w:rFonts w:ascii="Arial" w:hAnsi="Arial" w:cs="Arial"/>
                <w:sz w:val="14"/>
                <w:szCs w:val="14"/>
              </w:rPr>
              <w:t>,</w:t>
            </w:r>
            <w:r w:rsidRPr="000C1E37">
              <w:rPr>
                <w:rFonts w:ascii="Arial" w:hAnsi="Arial" w:cs="Arial"/>
                <w:sz w:val="14"/>
                <w:szCs w:val="14"/>
              </w:rPr>
              <w:t>00</w:t>
            </w:r>
          </w:p>
        </w:tc>
        <w:tc>
          <w:tcPr>
            <w:tcW w:w="709" w:type="dxa"/>
            <w:tcBorders>
              <w:top w:val="nil"/>
              <w:left w:val="nil"/>
              <w:bottom w:val="single" w:sz="4" w:space="0" w:color="auto"/>
              <w:right w:val="nil"/>
            </w:tcBorders>
            <w:shd w:val="clear" w:color="auto" w:fill="auto"/>
            <w:noWrap/>
            <w:vAlign w:val="center"/>
          </w:tcPr>
          <w:p w14:paraId="513D3850" w14:textId="51594540" w:rsidR="000C1E37" w:rsidRPr="008174E3" w:rsidRDefault="000C1E37" w:rsidP="00802D00">
            <w:pPr>
              <w:jc w:val="right"/>
              <w:rPr>
                <w:rFonts w:ascii="Arial" w:hAnsi="Arial" w:cs="Arial"/>
                <w:sz w:val="14"/>
                <w:szCs w:val="14"/>
              </w:rPr>
            </w:pPr>
            <w:r w:rsidRPr="000C1E37">
              <w:rPr>
                <w:rFonts w:ascii="Arial" w:hAnsi="Arial" w:cs="Arial"/>
                <w:sz w:val="14"/>
                <w:szCs w:val="14"/>
              </w:rPr>
              <w:t>0</w:t>
            </w:r>
            <w:r>
              <w:rPr>
                <w:rFonts w:ascii="Arial" w:hAnsi="Arial" w:cs="Arial"/>
                <w:sz w:val="14"/>
                <w:szCs w:val="14"/>
              </w:rPr>
              <w:t>,</w:t>
            </w:r>
            <w:r w:rsidRPr="000C1E37">
              <w:rPr>
                <w:rFonts w:ascii="Arial" w:hAnsi="Arial" w:cs="Arial"/>
                <w:sz w:val="14"/>
                <w:szCs w:val="14"/>
              </w:rPr>
              <w:t>00</w:t>
            </w:r>
          </w:p>
        </w:tc>
        <w:tc>
          <w:tcPr>
            <w:tcW w:w="708" w:type="dxa"/>
            <w:tcBorders>
              <w:top w:val="nil"/>
              <w:left w:val="nil"/>
              <w:bottom w:val="single" w:sz="4" w:space="0" w:color="auto"/>
              <w:right w:val="nil"/>
            </w:tcBorders>
            <w:shd w:val="clear" w:color="auto" w:fill="auto"/>
            <w:noWrap/>
            <w:vAlign w:val="center"/>
            <w:hideMark/>
          </w:tcPr>
          <w:p w14:paraId="34A63379" w14:textId="07BAECE7" w:rsidR="000C1E37" w:rsidRPr="008174E3" w:rsidRDefault="000C1E37" w:rsidP="00802D00">
            <w:pPr>
              <w:jc w:val="right"/>
              <w:rPr>
                <w:rFonts w:ascii="Arial" w:hAnsi="Arial" w:cs="Arial"/>
                <w:sz w:val="14"/>
                <w:szCs w:val="14"/>
              </w:rPr>
            </w:pPr>
            <w:r w:rsidRPr="000C1E37">
              <w:rPr>
                <w:rFonts w:ascii="Arial" w:hAnsi="Arial" w:cs="Arial"/>
                <w:sz w:val="14"/>
                <w:szCs w:val="14"/>
              </w:rPr>
              <w:t>184</w:t>
            </w:r>
            <w:r>
              <w:rPr>
                <w:rFonts w:ascii="Arial" w:hAnsi="Arial" w:cs="Arial"/>
                <w:sz w:val="14"/>
                <w:szCs w:val="14"/>
              </w:rPr>
              <w:t>,</w:t>
            </w:r>
            <w:r w:rsidRPr="000C1E37">
              <w:rPr>
                <w:rFonts w:ascii="Arial" w:hAnsi="Arial" w:cs="Arial"/>
                <w:sz w:val="14"/>
                <w:szCs w:val="14"/>
              </w:rPr>
              <w:t>36</w:t>
            </w:r>
          </w:p>
        </w:tc>
      </w:tr>
      <w:tr w:rsidR="000C1E37" w:rsidRPr="008174E3" w14:paraId="4A93BE74" w14:textId="77777777" w:rsidTr="000C1E37">
        <w:trPr>
          <w:trHeight w:val="300"/>
          <w:jc w:val="center"/>
        </w:trPr>
        <w:tc>
          <w:tcPr>
            <w:tcW w:w="1649" w:type="dxa"/>
            <w:tcBorders>
              <w:top w:val="single" w:sz="4" w:space="0" w:color="auto"/>
              <w:left w:val="nil"/>
              <w:bottom w:val="single" w:sz="4" w:space="0" w:color="auto"/>
              <w:right w:val="nil"/>
            </w:tcBorders>
            <w:shd w:val="clear" w:color="auto" w:fill="auto"/>
            <w:noWrap/>
            <w:hideMark/>
          </w:tcPr>
          <w:p w14:paraId="25102694" w14:textId="77777777" w:rsidR="000C1E37" w:rsidRPr="008174E3" w:rsidRDefault="000C1E37" w:rsidP="000C1E37">
            <w:pPr>
              <w:rPr>
                <w:rFonts w:ascii="Arial" w:hAnsi="Arial" w:cs="Arial"/>
                <w:b/>
                <w:color w:val="000000"/>
                <w:sz w:val="14"/>
                <w:szCs w:val="14"/>
              </w:rPr>
            </w:pPr>
            <w:r w:rsidRPr="008174E3">
              <w:rPr>
                <w:rFonts w:ascii="Arial" w:hAnsi="Arial" w:cs="Arial"/>
                <w:b/>
                <w:sz w:val="14"/>
                <w:szCs w:val="14"/>
              </w:rPr>
              <w:t>Beneficios Netos en VPN</w:t>
            </w:r>
          </w:p>
        </w:tc>
        <w:tc>
          <w:tcPr>
            <w:tcW w:w="691" w:type="dxa"/>
            <w:tcBorders>
              <w:top w:val="single" w:sz="4" w:space="0" w:color="auto"/>
              <w:left w:val="nil"/>
              <w:bottom w:val="single" w:sz="4" w:space="0" w:color="auto"/>
              <w:right w:val="nil"/>
            </w:tcBorders>
            <w:shd w:val="clear" w:color="auto" w:fill="auto"/>
            <w:noWrap/>
            <w:vAlign w:val="center"/>
            <w:hideMark/>
          </w:tcPr>
          <w:p w14:paraId="77A4BA7A" w14:textId="2948B6BC" w:rsidR="000C1E37" w:rsidRPr="008174E3" w:rsidRDefault="000C1E37" w:rsidP="00802D00">
            <w:pPr>
              <w:jc w:val="right"/>
              <w:rPr>
                <w:rFonts w:ascii="Arial" w:hAnsi="Arial" w:cs="Arial"/>
                <w:sz w:val="14"/>
                <w:szCs w:val="14"/>
              </w:rPr>
            </w:pPr>
            <w:r w:rsidRPr="000C1E37">
              <w:rPr>
                <w:rFonts w:ascii="Arial" w:hAnsi="Arial" w:cs="Arial"/>
                <w:sz w:val="14"/>
                <w:szCs w:val="14"/>
              </w:rPr>
              <w:t>-23</w:t>
            </w:r>
            <w:r>
              <w:rPr>
                <w:rFonts w:ascii="Arial" w:hAnsi="Arial" w:cs="Arial"/>
                <w:sz w:val="14"/>
                <w:szCs w:val="14"/>
              </w:rPr>
              <w:t>,</w:t>
            </w:r>
            <w:r w:rsidRPr="000C1E37">
              <w:rPr>
                <w:rFonts w:ascii="Arial" w:hAnsi="Arial" w:cs="Arial"/>
                <w:sz w:val="14"/>
                <w:szCs w:val="14"/>
              </w:rPr>
              <w:t>25</w:t>
            </w:r>
          </w:p>
        </w:tc>
        <w:tc>
          <w:tcPr>
            <w:tcW w:w="617" w:type="dxa"/>
            <w:tcBorders>
              <w:top w:val="single" w:sz="4" w:space="0" w:color="auto"/>
              <w:left w:val="nil"/>
              <w:bottom w:val="single" w:sz="4" w:space="0" w:color="auto"/>
              <w:right w:val="nil"/>
            </w:tcBorders>
            <w:shd w:val="clear" w:color="auto" w:fill="auto"/>
            <w:noWrap/>
            <w:vAlign w:val="center"/>
            <w:hideMark/>
          </w:tcPr>
          <w:p w14:paraId="0592DBCD" w14:textId="6DA93A0E" w:rsidR="000C1E37" w:rsidRPr="008174E3" w:rsidRDefault="000C1E37" w:rsidP="00802D00">
            <w:pPr>
              <w:jc w:val="right"/>
              <w:rPr>
                <w:rFonts w:ascii="Arial" w:hAnsi="Arial" w:cs="Arial"/>
                <w:sz w:val="14"/>
                <w:szCs w:val="14"/>
              </w:rPr>
            </w:pPr>
            <w:r w:rsidRPr="000C1E37">
              <w:rPr>
                <w:rFonts w:ascii="Arial" w:hAnsi="Arial" w:cs="Arial"/>
                <w:sz w:val="14"/>
                <w:szCs w:val="14"/>
              </w:rPr>
              <w:t>0</w:t>
            </w:r>
            <w:r>
              <w:rPr>
                <w:rFonts w:ascii="Arial" w:hAnsi="Arial" w:cs="Arial"/>
                <w:sz w:val="14"/>
                <w:szCs w:val="14"/>
              </w:rPr>
              <w:t>,</w:t>
            </w:r>
            <w:r w:rsidRPr="000C1E37">
              <w:rPr>
                <w:rFonts w:ascii="Arial" w:hAnsi="Arial" w:cs="Arial"/>
                <w:sz w:val="14"/>
                <w:szCs w:val="14"/>
              </w:rPr>
              <w:t>41</w:t>
            </w:r>
          </w:p>
        </w:tc>
        <w:tc>
          <w:tcPr>
            <w:tcW w:w="651" w:type="dxa"/>
            <w:tcBorders>
              <w:top w:val="single" w:sz="4" w:space="0" w:color="auto"/>
              <w:left w:val="nil"/>
              <w:bottom w:val="single" w:sz="4" w:space="0" w:color="auto"/>
              <w:right w:val="nil"/>
            </w:tcBorders>
            <w:shd w:val="clear" w:color="auto" w:fill="auto"/>
            <w:noWrap/>
            <w:vAlign w:val="center"/>
            <w:hideMark/>
          </w:tcPr>
          <w:p w14:paraId="6E06F627" w14:textId="7A7F4448" w:rsidR="000C1E37" w:rsidRPr="008174E3" w:rsidRDefault="000C1E37" w:rsidP="00802D00">
            <w:pPr>
              <w:jc w:val="right"/>
              <w:rPr>
                <w:rFonts w:ascii="Arial" w:hAnsi="Arial" w:cs="Arial"/>
                <w:sz w:val="14"/>
                <w:szCs w:val="14"/>
              </w:rPr>
            </w:pPr>
            <w:r w:rsidRPr="000C1E37">
              <w:rPr>
                <w:rFonts w:ascii="Arial" w:hAnsi="Arial" w:cs="Arial"/>
                <w:sz w:val="14"/>
                <w:szCs w:val="14"/>
              </w:rPr>
              <w:t>4</w:t>
            </w:r>
            <w:r>
              <w:rPr>
                <w:rFonts w:ascii="Arial" w:hAnsi="Arial" w:cs="Arial"/>
                <w:sz w:val="14"/>
                <w:szCs w:val="14"/>
              </w:rPr>
              <w:t>,</w:t>
            </w:r>
            <w:r w:rsidRPr="000C1E37">
              <w:rPr>
                <w:rFonts w:ascii="Arial" w:hAnsi="Arial" w:cs="Arial"/>
                <w:sz w:val="14"/>
                <w:szCs w:val="14"/>
              </w:rPr>
              <w:t>50</w:t>
            </w:r>
          </w:p>
        </w:tc>
        <w:tc>
          <w:tcPr>
            <w:tcW w:w="606" w:type="dxa"/>
            <w:tcBorders>
              <w:top w:val="single" w:sz="4" w:space="0" w:color="auto"/>
              <w:left w:val="nil"/>
              <w:bottom w:val="single" w:sz="4" w:space="0" w:color="auto"/>
              <w:right w:val="nil"/>
            </w:tcBorders>
            <w:shd w:val="clear" w:color="auto" w:fill="auto"/>
            <w:noWrap/>
            <w:vAlign w:val="center"/>
            <w:hideMark/>
          </w:tcPr>
          <w:p w14:paraId="1C1E163B" w14:textId="5A627B2A" w:rsidR="000C1E37" w:rsidRPr="008174E3" w:rsidRDefault="000C1E37" w:rsidP="00802D00">
            <w:pPr>
              <w:jc w:val="right"/>
              <w:rPr>
                <w:rFonts w:ascii="Arial" w:hAnsi="Arial" w:cs="Arial"/>
                <w:sz w:val="14"/>
                <w:szCs w:val="14"/>
              </w:rPr>
            </w:pPr>
            <w:r w:rsidRPr="000C1E37">
              <w:rPr>
                <w:rFonts w:ascii="Arial" w:hAnsi="Arial" w:cs="Arial"/>
                <w:sz w:val="14"/>
                <w:szCs w:val="14"/>
              </w:rPr>
              <w:t>7</w:t>
            </w:r>
            <w:r>
              <w:rPr>
                <w:rFonts w:ascii="Arial" w:hAnsi="Arial" w:cs="Arial"/>
                <w:sz w:val="14"/>
                <w:szCs w:val="14"/>
              </w:rPr>
              <w:t>,</w:t>
            </w:r>
            <w:r w:rsidRPr="000C1E37">
              <w:rPr>
                <w:rFonts w:ascii="Arial" w:hAnsi="Arial" w:cs="Arial"/>
                <w:sz w:val="14"/>
                <w:szCs w:val="14"/>
              </w:rPr>
              <w:t>71</w:t>
            </w:r>
          </w:p>
        </w:tc>
        <w:tc>
          <w:tcPr>
            <w:tcW w:w="675" w:type="dxa"/>
            <w:tcBorders>
              <w:top w:val="single" w:sz="4" w:space="0" w:color="auto"/>
              <w:left w:val="nil"/>
              <w:bottom w:val="single" w:sz="4" w:space="0" w:color="auto"/>
              <w:right w:val="nil"/>
            </w:tcBorders>
            <w:shd w:val="clear" w:color="auto" w:fill="auto"/>
            <w:noWrap/>
            <w:vAlign w:val="center"/>
            <w:hideMark/>
          </w:tcPr>
          <w:p w14:paraId="494783D0" w14:textId="3B650094" w:rsidR="000C1E37" w:rsidRPr="008174E3" w:rsidRDefault="000C1E37" w:rsidP="00802D00">
            <w:pPr>
              <w:jc w:val="right"/>
              <w:rPr>
                <w:rFonts w:ascii="Arial" w:hAnsi="Arial" w:cs="Arial"/>
                <w:sz w:val="14"/>
                <w:szCs w:val="14"/>
              </w:rPr>
            </w:pPr>
            <w:r w:rsidRPr="000C1E37">
              <w:rPr>
                <w:rFonts w:ascii="Arial" w:hAnsi="Arial" w:cs="Arial"/>
                <w:sz w:val="14"/>
                <w:szCs w:val="14"/>
              </w:rPr>
              <w:t>10</w:t>
            </w:r>
            <w:r>
              <w:rPr>
                <w:rFonts w:ascii="Arial" w:hAnsi="Arial" w:cs="Arial"/>
                <w:sz w:val="14"/>
                <w:szCs w:val="14"/>
              </w:rPr>
              <w:t>,</w:t>
            </w:r>
            <w:r w:rsidRPr="000C1E37">
              <w:rPr>
                <w:rFonts w:ascii="Arial" w:hAnsi="Arial" w:cs="Arial"/>
                <w:sz w:val="14"/>
                <w:szCs w:val="14"/>
              </w:rPr>
              <w:t>18</w:t>
            </w:r>
          </w:p>
        </w:tc>
        <w:tc>
          <w:tcPr>
            <w:tcW w:w="585" w:type="dxa"/>
            <w:tcBorders>
              <w:top w:val="single" w:sz="4" w:space="0" w:color="auto"/>
              <w:left w:val="nil"/>
              <w:bottom w:val="single" w:sz="4" w:space="0" w:color="auto"/>
              <w:right w:val="nil"/>
            </w:tcBorders>
            <w:shd w:val="clear" w:color="auto" w:fill="auto"/>
            <w:noWrap/>
            <w:vAlign w:val="center"/>
            <w:hideMark/>
          </w:tcPr>
          <w:p w14:paraId="5798AD1C" w14:textId="5E87C7B8" w:rsidR="000C1E37" w:rsidRPr="008174E3" w:rsidRDefault="000C1E37" w:rsidP="00802D00">
            <w:pPr>
              <w:jc w:val="right"/>
              <w:rPr>
                <w:rFonts w:ascii="Arial" w:hAnsi="Arial" w:cs="Arial"/>
                <w:sz w:val="14"/>
                <w:szCs w:val="14"/>
              </w:rPr>
            </w:pPr>
            <w:r w:rsidRPr="000C1E37">
              <w:rPr>
                <w:rFonts w:ascii="Arial" w:hAnsi="Arial" w:cs="Arial"/>
                <w:sz w:val="14"/>
                <w:szCs w:val="14"/>
              </w:rPr>
              <w:t>25</w:t>
            </w:r>
            <w:r>
              <w:rPr>
                <w:rFonts w:ascii="Arial" w:hAnsi="Arial" w:cs="Arial"/>
                <w:sz w:val="14"/>
                <w:szCs w:val="14"/>
              </w:rPr>
              <w:t>,</w:t>
            </w:r>
            <w:r w:rsidRPr="000C1E37">
              <w:rPr>
                <w:rFonts w:ascii="Arial" w:hAnsi="Arial" w:cs="Arial"/>
                <w:sz w:val="14"/>
                <w:szCs w:val="14"/>
              </w:rPr>
              <w:t>23</w:t>
            </w:r>
          </w:p>
        </w:tc>
        <w:tc>
          <w:tcPr>
            <w:tcW w:w="648" w:type="dxa"/>
            <w:tcBorders>
              <w:top w:val="single" w:sz="4" w:space="0" w:color="auto"/>
              <w:left w:val="nil"/>
              <w:bottom w:val="single" w:sz="4" w:space="0" w:color="auto"/>
              <w:right w:val="nil"/>
            </w:tcBorders>
            <w:shd w:val="clear" w:color="auto" w:fill="auto"/>
            <w:noWrap/>
            <w:vAlign w:val="center"/>
            <w:hideMark/>
          </w:tcPr>
          <w:p w14:paraId="1735F041" w14:textId="6A30718D" w:rsidR="000C1E37" w:rsidRPr="008174E3" w:rsidRDefault="000C1E37" w:rsidP="00802D00">
            <w:pPr>
              <w:jc w:val="right"/>
              <w:rPr>
                <w:rFonts w:ascii="Arial" w:hAnsi="Arial" w:cs="Arial"/>
                <w:sz w:val="14"/>
                <w:szCs w:val="14"/>
              </w:rPr>
            </w:pPr>
            <w:r w:rsidRPr="000C1E37">
              <w:rPr>
                <w:rFonts w:ascii="Arial" w:hAnsi="Arial" w:cs="Arial"/>
                <w:sz w:val="14"/>
                <w:szCs w:val="14"/>
              </w:rPr>
              <w:t>13</w:t>
            </w:r>
            <w:r>
              <w:rPr>
                <w:rFonts w:ascii="Arial" w:hAnsi="Arial" w:cs="Arial"/>
                <w:sz w:val="14"/>
                <w:szCs w:val="14"/>
              </w:rPr>
              <w:t>,</w:t>
            </w:r>
            <w:r w:rsidRPr="000C1E37">
              <w:rPr>
                <w:rFonts w:ascii="Arial" w:hAnsi="Arial" w:cs="Arial"/>
                <w:sz w:val="14"/>
                <w:szCs w:val="14"/>
              </w:rPr>
              <w:t>14</w:t>
            </w:r>
          </w:p>
        </w:tc>
        <w:tc>
          <w:tcPr>
            <w:tcW w:w="678" w:type="dxa"/>
            <w:tcBorders>
              <w:top w:val="single" w:sz="4" w:space="0" w:color="auto"/>
              <w:left w:val="nil"/>
              <w:bottom w:val="single" w:sz="4" w:space="0" w:color="auto"/>
              <w:right w:val="nil"/>
            </w:tcBorders>
            <w:shd w:val="clear" w:color="auto" w:fill="auto"/>
            <w:noWrap/>
            <w:vAlign w:val="center"/>
            <w:hideMark/>
          </w:tcPr>
          <w:p w14:paraId="0B4EA25E" w14:textId="78B9AA75" w:rsidR="000C1E37" w:rsidRPr="008174E3" w:rsidRDefault="000C1E37" w:rsidP="00802D00">
            <w:pPr>
              <w:jc w:val="right"/>
              <w:rPr>
                <w:rFonts w:ascii="Arial" w:hAnsi="Arial" w:cs="Arial"/>
                <w:sz w:val="14"/>
                <w:szCs w:val="14"/>
              </w:rPr>
            </w:pPr>
            <w:r w:rsidRPr="000C1E37">
              <w:rPr>
                <w:rFonts w:ascii="Arial" w:hAnsi="Arial" w:cs="Arial"/>
                <w:sz w:val="14"/>
                <w:szCs w:val="14"/>
              </w:rPr>
              <w:t>11</w:t>
            </w:r>
            <w:r>
              <w:rPr>
                <w:rFonts w:ascii="Arial" w:hAnsi="Arial" w:cs="Arial"/>
                <w:sz w:val="14"/>
                <w:szCs w:val="14"/>
              </w:rPr>
              <w:t>,</w:t>
            </w:r>
            <w:r w:rsidRPr="000C1E37">
              <w:rPr>
                <w:rFonts w:ascii="Arial" w:hAnsi="Arial" w:cs="Arial"/>
                <w:sz w:val="14"/>
                <w:szCs w:val="14"/>
              </w:rPr>
              <w:t>73</w:t>
            </w:r>
          </w:p>
        </w:tc>
        <w:tc>
          <w:tcPr>
            <w:tcW w:w="567" w:type="dxa"/>
            <w:tcBorders>
              <w:top w:val="single" w:sz="4" w:space="0" w:color="auto"/>
              <w:left w:val="nil"/>
              <w:bottom w:val="single" w:sz="4" w:space="0" w:color="auto"/>
              <w:right w:val="nil"/>
            </w:tcBorders>
            <w:shd w:val="clear" w:color="auto" w:fill="auto"/>
            <w:noWrap/>
            <w:vAlign w:val="center"/>
            <w:hideMark/>
          </w:tcPr>
          <w:p w14:paraId="62B79ED4" w14:textId="2F675720" w:rsidR="000C1E37" w:rsidRPr="008174E3" w:rsidRDefault="000C1E37" w:rsidP="00802D00">
            <w:pPr>
              <w:jc w:val="right"/>
              <w:rPr>
                <w:rFonts w:ascii="Arial" w:hAnsi="Arial" w:cs="Arial"/>
                <w:sz w:val="14"/>
                <w:szCs w:val="14"/>
              </w:rPr>
            </w:pPr>
            <w:r w:rsidRPr="000C1E37">
              <w:rPr>
                <w:rFonts w:ascii="Arial" w:hAnsi="Arial" w:cs="Arial"/>
                <w:sz w:val="14"/>
                <w:szCs w:val="14"/>
              </w:rPr>
              <w:t>10</w:t>
            </w:r>
            <w:r>
              <w:rPr>
                <w:rFonts w:ascii="Arial" w:hAnsi="Arial" w:cs="Arial"/>
                <w:sz w:val="14"/>
                <w:szCs w:val="14"/>
              </w:rPr>
              <w:t>,</w:t>
            </w:r>
            <w:r w:rsidRPr="000C1E37">
              <w:rPr>
                <w:rFonts w:ascii="Arial" w:hAnsi="Arial" w:cs="Arial"/>
                <w:sz w:val="14"/>
                <w:szCs w:val="14"/>
              </w:rPr>
              <w:t>47</w:t>
            </w:r>
          </w:p>
        </w:tc>
        <w:tc>
          <w:tcPr>
            <w:tcW w:w="709" w:type="dxa"/>
            <w:tcBorders>
              <w:top w:val="single" w:sz="4" w:space="0" w:color="auto"/>
              <w:left w:val="nil"/>
              <w:bottom w:val="single" w:sz="4" w:space="0" w:color="auto"/>
              <w:right w:val="nil"/>
            </w:tcBorders>
            <w:shd w:val="clear" w:color="auto" w:fill="auto"/>
            <w:noWrap/>
            <w:vAlign w:val="center"/>
            <w:hideMark/>
          </w:tcPr>
          <w:p w14:paraId="39550B13" w14:textId="76A9BD58" w:rsidR="000C1E37" w:rsidRPr="008174E3" w:rsidRDefault="000C1E37" w:rsidP="00802D00">
            <w:pPr>
              <w:jc w:val="right"/>
              <w:rPr>
                <w:rFonts w:ascii="Arial" w:hAnsi="Arial" w:cs="Arial"/>
                <w:sz w:val="14"/>
                <w:szCs w:val="14"/>
              </w:rPr>
            </w:pPr>
            <w:r w:rsidRPr="000C1E37">
              <w:rPr>
                <w:rFonts w:ascii="Arial" w:hAnsi="Arial" w:cs="Arial"/>
                <w:sz w:val="14"/>
                <w:szCs w:val="14"/>
              </w:rPr>
              <w:t>9</w:t>
            </w:r>
            <w:r>
              <w:rPr>
                <w:rFonts w:ascii="Arial" w:hAnsi="Arial" w:cs="Arial"/>
                <w:sz w:val="14"/>
                <w:szCs w:val="14"/>
              </w:rPr>
              <w:t>,</w:t>
            </w:r>
            <w:r w:rsidRPr="000C1E37">
              <w:rPr>
                <w:rFonts w:ascii="Arial" w:hAnsi="Arial" w:cs="Arial"/>
                <w:sz w:val="14"/>
                <w:szCs w:val="14"/>
              </w:rPr>
              <w:t>35</w:t>
            </w:r>
          </w:p>
        </w:tc>
        <w:tc>
          <w:tcPr>
            <w:tcW w:w="709" w:type="dxa"/>
            <w:tcBorders>
              <w:top w:val="single" w:sz="4" w:space="0" w:color="auto"/>
              <w:left w:val="nil"/>
              <w:bottom w:val="single" w:sz="4" w:space="0" w:color="auto"/>
              <w:right w:val="nil"/>
            </w:tcBorders>
            <w:shd w:val="clear" w:color="auto" w:fill="auto"/>
            <w:noWrap/>
            <w:vAlign w:val="center"/>
            <w:hideMark/>
          </w:tcPr>
          <w:p w14:paraId="0E96AC80" w14:textId="56BE908F" w:rsidR="000C1E37" w:rsidRPr="008174E3" w:rsidRDefault="000C1E37" w:rsidP="00802D00">
            <w:pPr>
              <w:jc w:val="right"/>
              <w:rPr>
                <w:rFonts w:ascii="Arial" w:hAnsi="Arial" w:cs="Arial"/>
                <w:sz w:val="14"/>
                <w:szCs w:val="14"/>
              </w:rPr>
            </w:pPr>
            <w:r w:rsidRPr="000C1E37">
              <w:rPr>
                <w:rFonts w:ascii="Arial" w:hAnsi="Arial" w:cs="Arial"/>
                <w:sz w:val="14"/>
                <w:szCs w:val="14"/>
              </w:rPr>
              <w:t>6</w:t>
            </w:r>
            <w:r>
              <w:rPr>
                <w:rFonts w:ascii="Arial" w:hAnsi="Arial" w:cs="Arial"/>
                <w:sz w:val="14"/>
                <w:szCs w:val="14"/>
              </w:rPr>
              <w:t>,</w:t>
            </w:r>
            <w:r w:rsidRPr="000C1E37">
              <w:rPr>
                <w:rFonts w:ascii="Arial" w:hAnsi="Arial" w:cs="Arial"/>
                <w:sz w:val="14"/>
                <w:szCs w:val="14"/>
              </w:rPr>
              <w:t>68</w:t>
            </w:r>
          </w:p>
        </w:tc>
        <w:tc>
          <w:tcPr>
            <w:tcW w:w="708" w:type="dxa"/>
            <w:tcBorders>
              <w:top w:val="single" w:sz="4" w:space="0" w:color="auto"/>
              <w:left w:val="nil"/>
              <w:bottom w:val="single" w:sz="4" w:space="0" w:color="auto"/>
              <w:right w:val="nil"/>
            </w:tcBorders>
            <w:shd w:val="clear" w:color="auto" w:fill="auto"/>
            <w:noWrap/>
            <w:vAlign w:val="center"/>
            <w:hideMark/>
          </w:tcPr>
          <w:p w14:paraId="456460C0" w14:textId="4AB2FF90" w:rsidR="000C1E37" w:rsidRPr="008174E3" w:rsidRDefault="000C1E37" w:rsidP="00802D00">
            <w:pPr>
              <w:jc w:val="right"/>
              <w:rPr>
                <w:rFonts w:ascii="Arial" w:hAnsi="Arial" w:cs="Arial"/>
                <w:sz w:val="14"/>
                <w:szCs w:val="14"/>
              </w:rPr>
            </w:pPr>
            <w:r w:rsidRPr="000C1E37">
              <w:rPr>
                <w:rFonts w:ascii="Arial" w:hAnsi="Arial" w:cs="Arial"/>
                <w:sz w:val="14"/>
                <w:szCs w:val="14"/>
              </w:rPr>
              <w:t>4</w:t>
            </w:r>
            <w:r>
              <w:rPr>
                <w:rFonts w:ascii="Arial" w:hAnsi="Arial" w:cs="Arial"/>
                <w:sz w:val="14"/>
                <w:szCs w:val="14"/>
              </w:rPr>
              <w:t>,</w:t>
            </w:r>
            <w:r w:rsidRPr="000C1E37">
              <w:rPr>
                <w:rFonts w:ascii="Arial" w:hAnsi="Arial" w:cs="Arial"/>
                <w:sz w:val="14"/>
                <w:szCs w:val="14"/>
              </w:rPr>
              <w:t>47</w:t>
            </w:r>
          </w:p>
        </w:tc>
        <w:tc>
          <w:tcPr>
            <w:tcW w:w="706" w:type="dxa"/>
            <w:tcBorders>
              <w:top w:val="single" w:sz="4" w:space="0" w:color="auto"/>
              <w:left w:val="nil"/>
              <w:bottom w:val="single" w:sz="4" w:space="0" w:color="auto"/>
              <w:right w:val="nil"/>
            </w:tcBorders>
            <w:shd w:val="clear" w:color="auto" w:fill="auto"/>
            <w:noWrap/>
            <w:vAlign w:val="center"/>
            <w:hideMark/>
          </w:tcPr>
          <w:p w14:paraId="36E06CB5" w14:textId="1E90CF8B" w:rsidR="000C1E37" w:rsidRPr="008174E3" w:rsidRDefault="000C1E37" w:rsidP="00802D00">
            <w:pPr>
              <w:jc w:val="right"/>
              <w:rPr>
                <w:rFonts w:ascii="Arial" w:hAnsi="Arial" w:cs="Arial"/>
                <w:sz w:val="14"/>
                <w:szCs w:val="14"/>
              </w:rPr>
            </w:pPr>
            <w:r w:rsidRPr="000C1E37">
              <w:rPr>
                <w:rFonts w:ascii="Arial" w:hAnsi="Arial" w:cs="Arial"/>
                <w:sz w:val="14"/>
                <w:szCs w:val="14"/>
              </w:rPr>
              <w:t>2</w:t>
            </w:r>
            <w:r>
              <w:rPr>
                <w:rFonts w:ascii="Arial" w:hAnsi="Arial" w:cs="Arial"/>
                <w:sz w:val="14"/>
                <w:szCs w:val="14"/>
              </w:rPr>
              <w:t>,</w:t>
            </w:r>
            <w:r w:rsidRPr="000C1E37">
              <w:rPr>
                <w:rFonts w:ascii="Arial" w:hAnsi="Arial" w:cs="Arial"/>
                <w:sz w:val="14"/>
                <w:szCs w:val="14"/>
              </w:rPr>
              <w:t>66</w:t>
            </w:r>
          </w:p>
        </w:tc>
        <w:tc>
          <w:tcPr>
            <w:tcW w:w="709" w:type="dxa"/>
            <w:tcBorders>
              <w:top w:val="single" w:sz="4" w:space="0" w:color="auto"/>
              <w:left w:val="nil"/>
              <w:bottom w:val="single" w:sz="4" w:space="0" w:color="auto"/>
              <w:right w:val="nil"/>
            </w:tcBorders>
            <w:shd w:val="clear" w:color="auto" w:fill="auto"/>
            <w:noWrap/>
            <w:vAlign w:val="center"/>
            <w:hideMark/>
          </w:tcPr>
          <w:p w14:paraId="5AB7361E" w14:textId="4CD832A2" w:rsidR="000C1E37" w:rsidRPr="008174E3" w:rsidRDefault="000C1E37" w:rsidP="00802D00">
            <w:pPr>
              <w:jc w:val="right"/>
              <w:rPr>
                <w:rFonts w:ascii="Arial" w:hAnsi="Arial" w:cs="Arial"/>
                <w:sz w:val="14"/>
                <w:szCs w:val="14"/>
              </w:rPr>
            </w:pPr>
            <w:r w:rsidRPr="000C1E37">
              <w:rPr>
                <w:rFonts w:ascii="Arial" w:hAnsi="Arial" w:cs="Arial"/>
                <w:sz w:val="14"/>
                <w:szCs w:val="14"/>
              </w:rPr>
              <w:t>1</w:t>
            </w:r>
            <w:r>
              <w:rPr>
                <w:rFonts w:ascii="Arial" w:hAnsi="Arial" w:cs="Arial"/>
                <w:sz w:val="14"/>
                <w:szCs w:val="14"/>
              </w:rPr>
              <w:t>,</w:t>
            </w:r>
            <w:r w:rsidRPr="000C1E37">
              <w:rPr>
                <w:rFonts w:ascii="Arial" w:hAnsi="Arial" w:cs="Arial"/>
                <w:sz w:val="14"/>
                <w:szCs w:val="14"/>
              </w:rPr>
              <w:t>19</w:t>
            </w:r>
          </w:p>
        </w:tc>
        <w:tc>
          <w:tcPr>
            <w:tcW w:w="708" w:type="dxa"/>
            <w:tcBorders>
              <w:top w:val="single" w:sz="4" w:space="0" w:color="auto"/>
              <w:left w:val="nil"/>
              <w:bottom w:val="single" w:sz="4" w:space="0" w:color="auto"/>
              <w:right w:val="nil"/>
            </w:tcBorders>
            <w:shd w:val="clear" w:color="auto" w:fill="auto"/>
            <w:noWrap/>
            <w:vAlign w:val="center"/>
            <w:hideMark/>
          </w:tcPr>
          <w:p w14:paraId="41A3F8FC" w14:textId="3C018EFB" w:rsidR="000C1E37" w:rsidRPr="008174E3" w:rsidRDefault="000C1E37" w:rsidP="00802D00">
            <w:pPr>
              <w:jc w:val="right"/>
              <w:rPr>
                <w:rFonts w:ascii="Arial" w:hAnsi="Arial" w:cs="Arial"/>
                <w:sz w:val="14"/>
                <w:szCs w:val="14"/>
              </w:rPr>
            </w:pPr>
            <w:r w:rsidRPr="000C1E37">
              <w:rPr>
                <w:rFonts w:ascii="Arial" w:hAnsi="Arial" w:cs="Arial"/>
                <w:sz w:val="14"/>
                <w:szCs w:val="14"/>
              </w:rPr>
              <w:t>84</w:t>
            </w:r>
            <w:r>
              <w:rPr>
                <w:rFonts w:ascii="Arial" w:hAnsi="Arial" w:cs="Arial"/>
                <w:sz w:val="14"/>
                <w:szCs w:val="14"/>
              </w:rPr>
              <w:t>,</w:t>
            </w:r>
            <w:r w:rsidRPr="000C1E37">
              <w:rPr>
                <w:rFonts w:ascii="Arial" w:hAnsi="Arial" w:cs="Arial"/>
                <w:sz w:val="14"/>
                <w:szCs w:val="14"/>
              </w:rPr>
              <w:t>49</w:t>
            </w:r>
          </w:p>
        </w:tc>
      </w:tr>
    </w:tbl>
    <w:p w14:paraId="20FE38FE" w14:textId="125136E7" w:rsidR="00796D46" w:rsidRPr="008174E3" w:rsidRDefault="00796D46" w:rsidP="00796D46">
      <w:pPr>
        <w:jc w:val="center"/>
        <w:rPr>
          <w:rFonts w:ascii="Arial" w:hAnsi="Arial" w:cs="Arial"/>
          <w:b/>
        </w:rPr>
      </w:pPr>
    </w:p>
    <w:p w14:paraId="1A4311B0" w14:textId="3DED3E3A" w:rsidR="00206363" w:rsidRPr="008174E3" w:rsidRDefault="00CB3655" w:rsidP="00206363">
      <w:pPr>
        <w:jc w:val="center"/>
        <w:rPr>
          <w:rFonts w:ascii="Arial" w:hAnsi="Arial" w:cs="Arial"/>
          <w:b/>
          <w:sz w:val="22"/>
          <w:lang w:val="es-ES"/>
        </w:rPr>
      </w:pPr>
      <w:r w:rsidRPr="008174E3">
        <w:rPr>
          <w:rFonts w:ascii="Arial" w:hAnsi="Arial" w:cs="Arial"/>
          <w:b/>
          <w:sz w:val="22"/>
          <w:lang w:val="es-ES"/>
        </w:rPr>
        <w:t xml:space="preserve">Cuadro </w:t>
      </w:r>
      <w:r w:rsidR="00206363" w:rsidRPr="008174E3">
        <w:rPr>
          <w:rFonts w:ascii="Arial" w:hAnsi="Arial" w:cs="Arial"/>
          <w:b/>
          <w:sz w:val="22"/>
          <w:lang w:val="es-ES"/>
        </w:rPr>
        <w:t xml:space="preserve">A10: Flujo Anual de Desagregado de Beneficios y Costos en VPN del Programa </w:t>
      </w:r>
    </w:p>
    <w:p w14:paraId="1A0A4416" w14:textId="77777777" w:rsidR="00206363" w:rsidRPr="008174E3" w:rsidRDefault="00206363" w:rsidP="00206363">
      <w:pPr>
        <w:jc w:val="center"/>
        <w:rPr>
          <w:rFonts w:ascii="Arial" w:hAnsi="Arial" w:cs="Arial"/>
          <w:b/>
          <w:sz w:val="22"/>
          <w:lang w:val="es-ES"/>
        </w:rPr>
      </w:pPr>
    </w:p>
    <w:tbl>
      <w:tblPr>
        <w:tblW w:w="11601" w:type="dxa"/>
        <w:jc w:val="center"/>
        <w:tblLayout w:type="fixed"/>
        <w:tblLook w:val="04A0" w:firstRow="1" w:lastRow="0" w:firstColumn="1" w:lastColumn="0" w:noHBand="0" w:noVBand="1"/>
      </w:tblPr>
      <w:tblGrid>
        <w:gridCol w:w="270"/>
        <w:gridCol w:w="2160"/>
        <w:gridCol w:w="630"/>
        <w:gridCol w:w="540"/>
        <w:gridCol w:w="548"/>
        <w:gridCol w:w="606"/>
        <w:gridCol w:w="675"/>
        <w:gridCol w:w="585"/>
        <w:gridCol w:w="648"/>
        <w:gridCol w:w="538"/>
        <w:gridCol w:w="540"/>
        <w:gridCol w:w="630"/>
        <w:gridCol w:w="630"/>
        <w:gridCol w:w="630"/>
        <w:gridCol w:w="630"/>
        <w:gridCol w:w="630"/>
        <w:gridCol w:w="711"/>
      </w:tblGrid>
      <w:tr w:rsidR="0072705B" w:rsidRPr="008174E3" w14:paraId="15FFA6BF" w14:textId="77777777" w:rsidTr="00802D00">
        <w:trPr>
          <w:trHeight w:val="567"/>
          <w:jc w:val="center"/>
        </w:trPr>
        <w:tc>
          <w:tcPr>
            <w:tcW w:w="270" w:type="dxa"/>
            <w:tcBorders>
              <w:top w:val="nil"/>
              <w:left w:val="nil"/>
              <w:right w:val="nil"/>
            </w:tcBorders>
            <w:shd w:val="clear" w:color="000000" w:fill="DDEBF7"/>
          </w:tcPr>
          <w:p w14:paraId="2B24F438" w14:textId="77777777" w:rsidR="0072705B" w:rsidRPr="008174E3" w:rsidRDefault="0072705B" w:rsidP="00206363">
            <w:pPr>
              <w:jc w:val="center"/>
              <w:rPr>
                <w:rFonts w:ascii="Arial" w:hAnsi="Arial" w:cs="Arial"/>
                <w:b/>
                <w:bCs/>
                <w:color w:val="000000"/>
                <w:sz w:val="14"/>
                <w:szCs w:val="14"/>
                <w:lang w:val="es-ES" w:eastAsia="es-ES"/>
              </w:rPr>
            </w:pPr>
          </w:p>
        </w:tc>
        <w:tc>
          <w:tcPr>
            <w:tcW w:w="11331" w:type="dxa"/>
            <w:gridSpan w:val="16"/>
            <w:tcBorders>
              <w:top w:val="nil"/>
              <w:left w:val="nil"/>
              <w:right w:val="nil"/>
            </w:tcBorders>
            <w:shd w:val="clear" w:color="000000" w:fill="DDEBF7"/>
            <w:vAlign w:val="bottom"/>
            <w:hideMark/>
          </w:tcPr>
          <w:p w14:paraId="16E2CDD8" w14:textId="19173A51" w:rsidR="0072705B" w:rsidRPr="008174E3" w:rsidRDefault="0072705B" w:rsidP="00206363">
            <w:pPr>
              <w:jc w:val="center"/>
              <w:rPr>
                <w:rFonts w:ascii="Arial" w:hAnsi="Arial" w:cs="Arial"/>
                <w:b/>
                <w:bCs/>
                <w:color w:val="000000"/>
                <w:sz w:val="14"/>
                <w:szCs w:val="14"/>
                <w:lang w:val="es-BO"/>
              </w:rPr>
            </w:pPr>
            <w:r w:rsidRPr="008174E3">
              <w:rPr>
                <w:rFonts w:ascii="Arial" w:hAnsi="Arial" w:cs="Arial"/>
                <w:b/>
                <w:bCs/>
                <w:color w:val="000000"/>
                <w:sz w:val="14"/>
                <w:szCs w:val="14"/>
                <w:lang w:val="es-ES" w:eastAsia="es-ES"/>
              </w:rPr>
              <w:t>Fortalecimiento de la Gestión de las Políticas de Promoción al Empleo</w:t>
            </w:r>
            <w:r w:rsidRPr="008174E3">
              <w:rPr>
                <w:rFonts w:ascii="Arial" w:hAnsi="Arial" w:cs="Arial"/>
                <w:b/>
                <w:bCs/>
                <w:color w:val="000000"/>
                <w:sz w:val="14"/>
                <w:szCs w:val="14"/>
                <w:lang w:val="es-ES" w:eastAsia="es-ES"/>
              </w:rPr>
              <w:br/>
              <w:t>Millones de dólares</w:t>
            </w:r>
          </w:p>
        </w:tc>
      </w:tr>
      <w:tr w:rsidR="0072705B" w:rsidRPr="008174E3" w14:paraId="414689A0" w14:textId="77777777" w:rsidTr="00802D00">
        <w:trPr>
          <w:trHeight w:val="300"/>
          <w:jc w:val="center"/>
        </w:trPr>
        <w:tc>
          <w:tcPr>
            <w:tcW w:w="270" w:type="dxa"/>
            <w:tcBorders>
              <w:top w:val="nil"/>
              <w:left w:val="nil"/>
              <w:right w:val="nil"/>
            </w:tcBorders>
            <w:shd w:val="clear" w:color="000000" w:fill="DDEBF7"/>
          </w:tcPr>
          <w:p w14:paraId="48A36ABC" w14:textId="77777777" w:rsidR="0072705B" w:rsidRPr="008174E3" w:rsidRDefault="0072705B" w:rsidP="00206363">
            <w:pPr>
              <w:rPr>
                <w:rFonts w:ascii="Arial" w:hAnsi="Arial" w:cs="Arial"/>
                <w:b/>
                <w:bCs/>
                <w:color w:val="000000"/>
                <w:sz w:val="12"/>
                <w:szCs w:val="12"/>
                <w:lang w:val="es-BO"/>
              </w:rPr>
            </w:pPr>
          </w:p>
        </w:tc>
        <w:tc>
          <w:tcPr>
            <w:tcW w:w="2160" w:type="dxa"/>
            <w:tcBorders>
              <w:top w:val="nil"/>
              <w:left w:val="nil"/>
              <w:right w:val="nil"/>
            </w:tcBorders>
            <w:shd w:val="clear" w:color="000000" w:fill="DDEBF7"/>
            <w:noWrap/>
            <w:vAlign w:val="bottom"/>
            <w:hideMark/>
          </w:tcPr>
          <w:p w14:paraId="0BACA79C" w14:textId="43B9C410" w:rsidR="0072705B" w:rsidRPr="008174E3" w:rsidRDefault="0072705B" w:rsidP="00206363">
            <w:pPr>
              <w:rPr>
                <w:rFonts w:ascii="Arial" w:hAnsi="Arial" w:cs="Arial"/>
                <w:b/>
                <w:bCs/>
                <w:color w:val="000000"/>
                <w:sz w:val="12"/>
                <w:szCs w:val="12"/>
                <w:lang w:val="es-BO"/>
              </w:rPr>
            </w:pPr>
            <w:r w:rsidRPr="008174E3">
              <w:rPr>
                <w:rFonts w:ascii="Arial" w:hAnsi="Arial" w:cs="Arial"/>
                <w:b/>
                <w:bCs/>
                <w:color w:val="000000"/>
                <w:sz w:val="12"/>
                <w:szCs w:val="12"/>
                <w:lang w:val="es-BO"/>
              </w:rPr>
              <w:t> </w:t>
            </w:r>
          </w:p>
        </w:tc>
        <w:tc>
          <w:tcPr>
            <w:tcW w:w="630" w:type="dxa"/>
            <w:tcBorders>
              <w:top w:val="nil"/>
              <w:left w:val="nil"/>
              <w:right w:val="nil"/>
            </w:tcBorders>
            <w:shd w:val="clear" w:color="000000" w:fill="DDEBF7"/>
            <w:noWrap/>
            <w:vAlign w:val="center"/>
            <w:hideMark/>
          </w:tcPr>
          <w:p w14:paraId="79A6C451" w14:textId="77777777" w:rsidR="0072705B" w:rsidRPr="008174E3" w:rsidRDefault="0072705B" w:rsidP="00206363">
            <w:pPr>
              <w:rPr>
                <w:rFonts w:ascii="Arial" w:hAnsi="Arial" w:cs="Arial"/>
                <w:b/>
                <w:bCs/>
                <w:color w:val="000000"/>
                <w:sz w:val="12"/>
                <w:szCs w:val="12"/>
              </w:rPr>
            </w:pPr>
            <w:r w:rsidRPr="008174E3">
              <w:rPr>
                <w:rFonts w:ascii="Arial" w:hAnsi="Arial" w:cs="Arial"/>
                <w:b/>
                <w:bCs/>
                <w:color w:val="000000"/>
                <w:sz w:val="12"/>
                <w:szCs w:val="12"/>
              </w:rPr>
              <w:t>Año1</w:t>
            </w:r>
          </w:p>
        </w:tc>
        <w:tc>
          <w:tcPr>
            <w:tcW w:w="540" w:type="dxa"/>
            <w:tcBorders>
              <w:top w:val="nil"/>
              <w:left w:val="nil"/>
              <w:right w:val="nil"/>
            </w:tcBorders>
            <w:shd w:val="clear" w:color="000000" w:fill="DDEBF7"/>
            <w:noWrap/>
            <w:vAlign w:val="center"/>
            <w:hideMark/>
          </w:tcPr>
          <w:p w14:paraId="0DC63D8E" w14:textId="77777777" w:rsidR="0072705B" w:rsidRPr="008174E3" w:rsidRDefault="0072705B" w:rsidP="00206363">
            <w:pPr>
              <w:rPr>
                <w:rFonts w:ascii="Arial" w:hAnsi="Arial" w:cs="Arial"/>
                <w:b/>
                <w:bCs/>
                <w:color w:val="000000"/>
                <w:sz w:val="12"/>
                <w:szCs w:val="12"/>
              </w:rPr>
            </w:pPr>
            <w:r w:rsidRPr="008174E3">
              <w:rPr>
                <w:rFonts w:ascii="Arial" w:hAnsi="Arial" w:cs="Arial"/>
                <w:b/>
                <w:bCs/>
                <w:color w:val="000000"/>
                <w:sz w:val="12"/>
                <w:szCs w:val="12"/>
              </w:rPr>
              <w:t>Año2</w:t>
            </w:r>
          </w:p>
        </w:tc>
        <w:tc>
          <w:tcPr>
            <w:tcW w:w="548" w:type="dxa"/>
            <w:tcBorders>
              <w:top w:val="nil"/>
              <w:left w:val="nil"/>
              <w:right w:val="nil"/>
            </w:tcBorders>
            <w:shd w:val="clear" w:color="000000" w:fill="DDEBF7"/>
            <w:noWrap/>
            <w:vAlign w:val="center"/>
            <w:hideMark/>
          </w:tcPr>
          <w:p w14:paraId="09343A3E" w14:textId="77777777" w:rsidR="0072705B" w:rsidRPr="008174E3" w:rsidRDefault="0072705B" w:rsidP="00206363">
            <w:pPr>
              <w:rPr>
                <w:rFonts w:ascii="Arial" w:hAnsi="Arial" w:cs="Arial"/>
                <w:b/>
                <w:bCs/>
                <w:color w:val="000000"/>
                <w:sz w:val="12"/>
                <w:szCs w:val="12"/>
              </w:rPr>
            </w:pPr>
            <w:r w:rsidRPr="008174E3">
              <w:rPr>
                <w:rFonts w:ascii="Arial" w:hAnsi="Arial" w:cs="Arial"/>
                <w:b/>
                <w:bCs/>
                <w:color w:val="000000"/>
                <w:sz w:val="12"/>
                <w:szCs w:val="12"/>
              </w:rPr>
              <w:t>Año3</w:t>
            </w:r>
          </w:p>
        </w:tc>
        <w:tc>
          <w:tcPr>
            <w:tcW w:w="606" w:type="dxa"/>
            <w:tcBorders>
              <w:top w:val="nil"/>
              <w:left w:val="nil"/>
              <w:right w:val="nil"/>
            </w:tcBorders>
            <w:shd w:val="clear" w:color="000000" w:fill="DDEBF7"/>
            <w:noWrap/>
            <w:vAlign w:val="center"/>
            <w:hideMark/>
          </w:tcPr>
          <w:p w14:paraId="33AB2534" w14:textId="77777777" w:rsidR="0072705B" w:rsidRPr="008174E3" w:rsidRDefault="0072705B" w:rsidP="00206363">
            <w:pPr>
              <w:rPr>
                <w:rFonts w:ascii="Arial" w:hAnsi="Arial" w:cs="Arial"/>
                <w:b/>
                <w:bCs/>
                <w:color w:val="000000"/>
                <w:sz w:val="12"/>
                <w:szCs w:val="12"/>
              </w:rPr>
            </w:pPr>
            <w:r w:rsidRPr="008174E3">
              <w:rPr>
                <w:rFonts w:ascii="Arial" w:hAnsi="Arial" w:cs="Arial"/>
                <w:b/>
                <w:bCs/>
                <w:color w:val="000000"/>
                <w:sz w:val="12"/>
                <w:szCs w:val="12"/>
              </w:rPr>
              <w:t>Año4</w:t>
            </w:r>
          </w:p>
        </w:tc>
        <w:tc>
          <w:tcPr>
            <w:tcW w:w="675" w:type="dxa"/>
            <w:tcBorders>
              <w:top w:val="nil"/>
              <w:left w:val="nil"/>
              <w:right w:val="nil"/>
            </w:tcBorders>
            <w:shd w:val="clear" w:color="000000" w:fill="DDEBF7"/>
            <w:noWrap/>
            <w:vAlign w:val="center"/>
            <w:hideMark/>
          </w:tcPr>
          <w:p w14:paraId="47BF1D13" w14:textId="77777777" w:rsidR="0072705B" w:rsidRPr="008174E3" w:rsidRDefault="0072705B" w:rsidP="00206363">
            <w:pPr>
              <w:rPr>
                <w:rFonts w:ascii="Arial" w:hAnsi="Arial" w:cs="Arial"/>
                <w:b/>
                <w:bCs/>
                <w:color w:val="000000"/>
                <w:sz w:val="12"/>
                <w:szCs w:val="12"/>
              </w:rPr>
            </w:pPr>
            <w:r w:rsidRPr="008174E3">
              <w:rPr>
                <w:rFonts w:ascii="Arial" w:hAnsi="Arial" w:cs="Arial"/>
                <w:b/>
                <w:bCs/>
                <w:color w:val="000000"/>
                <w:sz w:val="12"/>
                <w:szCs w:val="12"/>
              </w:rPr>
              <w:t>Año5</w:t>
            </w:r>
          </w:p>
        </w:tc>
        <w:tc>
          <w:tcPr>
            <w:tcW w:w="585" w:type="dxa"/>
            <w:tcBorders>
              <w:top w:val="nil"/>
              <w:left w:val="nil"/>
              <w:right w:val="nil"/>
            </w:tcBorders>
            <w:shd w:val="clear" w:color="000000" w:fill="DDEBF7"/>
            <w:noWrap/>
            <w:vAlign w:val="center"/>
            <w:hideMark/>
          </w:tcPr>
          <w:p w14:paraId="09CB2BEF" w14:textId="77777777" w:rsidR="0072705B" w:rsidRPr="008174E3" w:rsidRDefault="0072705B" w:rsidP="00206363">
            <w:pPr>
              <w:rPr>
                <w:rFonts w:ascii="Arial" w:hAnsi="Arial" w:cs="Arial"/>
                <w:b/>
                <w:bCs/>
                <w:color w:val="000000"/>
                <w:sz w:val="12"/>
                <w:szCs w:val="12"/>
              </w:rPr>
            </w:pPr>
            <w:r w:rsidRPr="008174E3">
              <w:rPr>
                <w:rFonts w:ascii="Arial" w:hAnsi="Arial" w:cs="Arial"/>
                <w:b/>
                <w:bCs/>
                <w:color w:val="000000"/>
                <w:sz w:val="12"/>
                <w:szCs w:val="12"/>
              </w:rPr>
              <w:t>Año6</w:t>
            </w:r>
          </w:p>
        </w:tc>
        <w:tc>
          <w:tcPr>
            <w:tcW w:w="648" w:type="dxa"/>
            <w:tcBorders>
              <w:top w:val="nil"/>
              <w:left w:val="nil"/>
              <w:right w:val="nil"/>
            </w:tcBorders>
            <w:shd w:val="clear" w:color="000000" w:fill="DDEBF7"/>
            <w:noWrap/>
            <w:vAlign w:val="center"/>
            <w:hideMark/>
          </w:tcPr>
          <w:p w14:paraId="526134FB" w14:textId="77777777" w:rsidR="0072705B" w:rsidRPr="008174E3" w:rsidRDefault="0072705B" w:rsidP="00206363">
            <w:pPr>
              <w:rPr>
                <w:rFonts w:ascii="Arial" w:hAnsi="Arial" w:cs="Arial"/>
                <w:b/>
                <w:bCs/>
                <w:color w:val="000000"/>
                <w:sz w:val="12"/>
                <w:szCs w:val="12"/>
              </w:rPr>
            </w:pPr>
            <w:r w:rsidRPr="008174E3">
              <w:rPr>
                <w:rFonts w:ascii="Arial" w:hAnsi="Arial" w:cs="Arial"/>
                <w:b/>
                <w:bCs/>
                <w:color w:val="000000"/>
                <w:sz w:val="12"/>
                <w:szCs w:val="12"/>
              </w:rPr>
              <w:t>Año7</w:t>
            </w:r>
          </w:p>
        </w:tc>
        <w:tc>
          <w:tcPr>
            <w:tcW w:w="538" w:type="dxa"/>
            <w:tcBorders>
              <w:top w:val="nil"/>
              <w:left w:val="nil"/>
              <w:right w:val="nil"/>
            </w:tcBorders>
            <w:shd w:val="clear" w:color="000000" w:fill="DDEBF7"/>
            <w:noWrap/>
            <w:vAlign w:val="center"/>
            <w:hideMark/>
          </w:tcPr>
          <w:p w14:paraId="763A741F" w14:textId="77777777" w:rsidR="0072705B" w:rsidRPr="008174E3" w:rsidRDefault="0072705B" w:rsidP="00206363">
            <w:pPr>
              <w:rPr>
                <w:rFonts w:ascii="Arial" w:hAnsi="Arial" w:cs="Arial"/>
                <w:b/>
                <w:bCs/>
                <w:color w:val="000000"/>
                <w:sz w:val="12"/>
                <w:szCs w:val="12"/>
              </w:rPr>
            </w:pPr>
            <w:r w:rsidRPr="008174E3">
              <w:rPr>
                <w:rFonts w:ascii="Arial" w:hAnsi="Arial" w:cs="Arial"/>
                <w:b/>
                <w:bCs/>
                <w:color w:val="000000"/>
                <w:sz w:val="12"/>
                <w:szCs w:val="12"/>
              </w:rPr>
              <w:t>Año8</w:t>
            </w:r>
          </w:p>
        </w:tc>
        <w:tc>
          <w:tcPr>
            <w:tcW w:w="540" w:type="dxa"/>
            <w:tcBorders>
              <w:top w:val="nil"/>
              <w:left w:val="nil"/>
              <w:right w:val="nil"/>
            </w:tcBorders>
            <w:shd w:val="clear" w:color="000000" w:fill="DDEBF7"/>
            <w:noWrap/>
            <w:vAlign w:val="center"/>
            <w:hideMark/>
          </w:tcPr>
          <w:p w14:paraId="3B85BB87" w14:textId="77777777" w:rsidR="0072705B" w:rsidRPr="008174E3" w:rsidRDefault="0072705B" w:rsidP="00206363">
            <w:pPr>
              <w:rPr>
                <w:rFonts w:ascii="Arial" w:hAnsi="Arial" w:cs="Arial"/>
                <w:b/>
                <w:bCs/>
                <w:color w:val="000000"/>
                <w:sz w:val="12"/>
                <w:szCs w:val="12"/>
              </w:rPr>
            </w:pPr>
            <w:r w:rsidRPr="008174E3">
              <w:rPr>
                <w:rFonts w:ascii="Arial" w:hAnsi="Arial" w:cs="Arial"/>
                <w:b/>
                <w:bCs/>
                <w:color w:val="000000"/>
                <w:sz w:val="12"/>
                <w:szCs w:val="12"/>
              </w:rPr>
              <w:t>Año9</w:t>
            </w:r>
          </w:p>
        </w:tc>
        <w:tc>
          <w:tcPr>
            <w:tcW w:w="630" w:type="dxa"/>
            <w:tcBorders>
              <w:top w:val="nil"/>
              <w:left w:val="nil"/>
              <w:right w:val="nil"/>
            </w:tcBorders>
            <w:shd w:val="clear" w:color="000000" w:fill="DDEBF7"/>
            <w:noWrap/>
            <w:vAlign w:val="center"/>
            <w:hideMark/>
          </w:tcPr>
          <w:p w14:paraId="14780409" w14:textId="77777777" w:rsidR="0072705B" w:rsidRPr="008174E3" w:rsidRDefault="0072705B" w:rsidP="00206363">
            <w:pPr>
              <w:rPr>
                <w:rFonts w:ascii="Arial" w:hAnsi="Arial" w:cs="Arial"/>
                <w:b/>
                <w:bCs/>
                <w:color w:val="000000"/>
                <w:sz w:val="12"/>
                <w:szCs w:val="12"/>
              </w:rPr>
            </w:pPr>
            <w:r w:rsidRPr="008174E3">
              <w:rPr>
                <w:rFonts w:ascii="Arial" w:hAnsi="Arial" w:cs="Arial"/>
                <w:b/>
                <w:bCs/>
                <w:color w:val="000000"/>
                <w:sz w:val="12"/>
                <w:szCs w:val="12"/>
              </w:rPr>
              <w:t>Año10</w:t>
            </w:r>
          </w:p>
        </w:tc>
        <w:tc>
          <w:tcPr>
            <w:tcW w:w="630" w:type="dxa"/>
            <w:tcBorders>
              <w:top w:val="nil"/>
              <w:left w:val="nil"/>
              <w:right w:val="nil"/>
            </w:tcBorders>
            <w:shd w:val="clear" w:color="000000" w:fill="DDEBF7"/>
            <w:noWrap/>
            <w:vAlign w:val="center"/>
            <w:hideMark/>
          </w:tcPr>
          <w:p w14:paraId="5B3F8683" w14:textId="77777777" w:rsidR="0072705B" w:rsidRPr="008174E3" w:rsidRDefault="0072705B" w:rsidP="00206363">
            <w:pPr>
              <w:rPr>
                <w:rFonts w:ascii="Arial" w:hAnsi="Arial" w:cs="Arial"/>
                <w:b/>
                <w:bCs/>
                <w:color w:val="000000"/>
                <w:sz w:val="12"/>
                <w:szCs w:val="12"/>
              </w:rPr>
            </w:pPr>
            <w:r w:rsidRPr="008174E3">
              <w:rPr>
                <w:rFonts w:ascii="Arial" w:hAnsi="Arial" w:cs="Arial"/>
                <w:b/>
                <w:bCs/>
                <w:color w:val="000000"/>
                <w:sz w:val="12"/>
                <w:szCs w:val="12"/>
              </w:rPr>
              <w:t>Año11</w:t>
            </w:r>
          </w:p>
        </w:tc>
        <w:tc>
          <w:tcPr>
            <w:tcW w:w="630" w:type="dxa"/>
            <w:tcBorders>
              <w:top w:val="nil"/>
              <w:left w:val="nil"/>
              <w:right w:val="nil"/>
            </w:tcBorders>
            <w:shd w:val="clear" w:color="000000" w:fill="DDEBF7"/>
            <w:noWrap/>
            <w:vAlign w:val="center"/>
            <w:hideMark/>
          </w:tcPr>
          <w:p w14:paraId="2F18471A" w14:textId="77777777" w:rsidR="0072705B" w:rsidRPr="008174E3" w:rsidRDefault="0072705B" w:rsidP="00206363">
            <w:pPr>
              <w:rPr>
                <w:rFonts w:ascii="Arial" w:hAnsi="Arial" w:cs="Arial"/>
                <w:b/>
                <w:bCs/>
                <w:color w:val="000000"/>
                <w:sz w:val="12"/>
                <w:szCs w:val="12"/>
              </w:rPr>
            </w:pPr>
            <w:r w:rsidRPr="008174E3">
              <w:rPr>
                <w:rFonts w:ascii="Arial" w:hAnsi="Arial" w:cs="Arial"/>
                <w:b/>
                <w:bCs/>
                <w:color w:val="000000"/>
                <w:sz w:val="12"/>
                <w:szCs w:val="12"/>
              </w:rPr>
              <w:t>Año12</w:t>
            </w:r>
          </w:p>
        </w:tc>
        <w:tc>
          <w:tcPr>
            <w:tcW w:w="630" w:type="dxa"/>
            <w:tcBorders>
              <w:top w:val="nil"/>
              <w:left w:val="nil"/>
              <w:right w:val="nil"/>
            </w:tcBorders>
            <w:shd w:val="clear" w:color="000000" w:fill="DDEBF7"/>
            <w:noWrap/>
            <w:vAlign w:val="center"/>
            <w:hideMark/>
          </w:tcPr>
          <w:p w14:paraId="516C7F6B" w14:textId="77777777" w:rsidR="0072705B" w:rsidRPr="008174E3" w:rsidRDefault="0072705B" w:rsidP="00206363">
            <w:pPr>
              <w:rPr>
                <w:rFonts w:ascii="Arial" w:hAnsi="Arial" w:cs="Arial"/>
                <w:b/>
                <w:bCs/>
                <w:color w:val="000000"/>
                <w:sz w:val="12"/>
                <w:szCs w:val="12"/>
              </w:rPr>
            </w:pPr>
            <w:r w:rsidRPr="008174E3">
              <w:rPr>
                <w:rFonts w:ascii="Arial" w:hAnsi="Arial" w:cs="Arial"/>
                <w:b/>
                <w:bCs/>
                <w:color w:val="000000"/>
                <w:sz w:val="12"/>
                <w:szCs w:val="12"/>
              </w:rPr>
              <w:t>Año13</w:t>
            </w:r>
          </w:p>
        </w:tc>
        <w:tc>
          <w:tcPr>
            <w:tcW w:w="630" w:type="dxa"/>
            <w:tcBorders>
              <w:top w:val="nil"/>
              <w:left w:val="nil"/>
              <w:right w:val="nil"/>
            </w:tcBorders>
            <w:shd w:val="clear" w:color="000000" w:fill="DDEBF7"/>
            <w:noWrap/>
            <w:vAlign w:val="center"/>
            <w:hideMark/>
          </w:tcPr>
          <w:p w14:paraId="4A6116F1" w14:textId="77777777" w:rsidR="0072705B" w:rsidRPr="008174E3" w:rsidRDefault="0072705B" w:rsidP="00206363">
            <w:pPr>
              <w:rPr>
                <w:rFonts w:ascii="Arial" w:hAnsi="Arial" w:cs="Arial"/>
                <w:b/>
                <w:bCs/>
                <w:color w:val="000000"/>
                <w:sz w:val="12"/>
                <w:szCs w:val="12"/>
              </w:rPr>
            </w:pPr>
            <w:r w:rsidRPr="008174E3">
              <w:rPr>
                <w:rFonts w:ascii="Arial" w:hAnsi="Arial" w:cs="Arial"/>
                <w:b/>
                <w:bCs/>
                <w:color w:val="000000"/>
                <w:sz w:val="12"/>
                <w:szCs w:val="12"/>
              </w:rPr>
              <w:t>Año14</w:t>
            </w:r>
          </w:p>
        </w:tc>
        <w:tc>
          <w:tcPr>
            <w:tcW w:w="711" w:type="dxa"/>
            <w:tcBorders>
              <w:top w:val="nil"/>
              <w:left w:val="nil"/>
              <w:right w:val="nil"/>
            </w:tcBorders>
            <w:shd w:val="clear" w:color="000000" w:fill="DDEBF7"/>
            <w:noWrap/>
            <w:vAlign w:val="center"/>
            <w:hideMark/>
          </w:tcPr>
          <w:p w14:paraId="09BA0B0C" w14:textId="77777777" w:rsidR="0072705B" w:rsidRPr="008174E3" w:rsidRDefault="0072705B" w:rsidP="00206363">
            <w:pPr>
              <w:rPr>
                <w:rFonts w:ascii="Arial" w:hAnsi="Arial" w:cs="Arial"/>
                <w:b/>
                <w:bCs/>
                <w:color w:val="000000"/>
                <w:sz w:val="12"/>
                <w:szCs w:val="12"/>
              </w:rPr>
            </w:pPr>
            <w:r w:rsidRPr="008174E3">
              <w:rPr>
                <w:rFonts w:ascii="Arial" w:hAnsi="Arial" w:cs="Arial"/>
                <w:b/>
                <w:bCs/>
                <w:color w:val="000000"/>
                <w:sz w:val="12"/>
                <w:szCs w:val="12"/>
              </w:rPr>
              <w:t>Total</w:t>
            </w:r>
          </w:p>
        </w:tc>
      </w:tr>
      <w:tr w:rsidR="000C1E37" w:rsidRPr="008174E3" w14:paraId="5CD36CF7" w14:textId="77777777" w:rsidTr="00802D00">
        <w:trPr>
          <w:trHeight w:val="300"/>
          <w:jc w:val="center"/>
        </w:trPr>
        <w:tc>
          <w:tcPr>
            <w:tcW w:w="270" w:type="dxa"/>
            <w:tcBorders>
              <w:left w:val="nil"/>
              <w:bottom w:val="nil"/>
              <w:right w:val="nil"/>
            </w:tcBorders>
          </w:tcPr>
          <w:p w14:paraId="546A6D01" w14:textId="5B5FC8F6" w:rsidR="000C1E37" w:rsidRPr="008174E3" w:rsidRDefault="000C1E37" w:rsidP="000C1E37">
            <w:pPr>
              <w:rPr>
                <w:rFonts w:ascii="Arial" w:hAnsi="Arial" w:cs="Arial"/>
                <w:b/>
                <w:sz w:val="12"/>
                <w:szCs w:val="12"/>
              </w:rPr>
            </w:pPr>
            <w:r w:rsidRPr="008174E3">
              <w:rPr>
                <w:rFonts w:ascii="Arial" w:hAnsi="Arial" w:cs="Arial"/>
                <w:b/>
                <w:sz w:val="12"/>
                <w:szCs w:val="12"/>
              </w:rPr>
              <w:t>A</w:t>
            </w:r>
          </w:p>
        </w:tc>
        <w:tc>
          <w:tcPr>
            <w:tcW w:w="2160" w:type="dxa"/>
            <w:tcBorders>
              <w:left w:val="nil"/>
              <w:bottom w:val="nil"/>
              <w:right w:val="nil"/>
            </w:tcBorders>
            <w:shd w:val="clear" w:color="auto" w:fill="auto"/>
            <w:noWrap/>
            <w:hideMark/>
          </w:tcPr>
          <w:p w14:paraId="4A1A96CA" w14:textId="09839973" w:rsidR="000C1E37" w:rsidRPr="008174E3" w:rsidRDefault="000C1E37" w:rsidP="000C1E37">
            <w:pPr>
              <w:rPr>
                <w:rFonts w:ascii="Arial" w:hAnsi="Arial" w:cs="Arial"/>
                <w:color w:val="000000"/>
                <w:sz w:val="12"/>
                <w:szCs w:val="12"/>
              </w:rPr>
            </w:pPr>
            <w:r w:rsidRPr="008174E3">
              <w:rPr>
                <w:rFonts w:ascii="Arial" w:hAnsi="Arial" w:cs="Arial"/>
                <w:sz w:val="12"/>
                <w:szCs w:val="12"/>
              </w:rPr>
              <w:t>Beneficios Económicos en VPN del C1</w:t>
            </w:r>
          </w:p>
        </w:tc>
        <w:tc>
          <w:tcPr>
            <w:tcW w:w="630" w:type="dxa"/>
            <w:tcBorders>
              <w:left w:val="nil"/>
              <w:bottom w:val="nil"/>
              <w:right w:val="nil"/>
            </w:tcBorders>
            <w:shd w:val="clear" w:color="auto" w:fill="auto"/>
            <w:noWrap/>
            <w:vAlign w:val="center"/>
            <w:hideMark/>
          </w:tcPr>
          <w:p w14:paraId="7917B126" w14:textId="7B9D87DA" w:rsidR="000C1E37" w:rsidRPr="008174E3" w:rsidRDefault="000C1E37" w:rsidP="00802D00">
            <w:pPr>
              <w:jc w:val="right"/>
              <w:rPr>
                <w:rFonts w:ascii="Arial" w:hAnsi="Arial" w:cs="Arial"/>
                <w:sz w:val="12"/>
                <w:szCs w:val="12"/>
              </w:rPr>
            </w:pPr>
            <w:r w:rsidRPr="000C1E37">
              <w:rPr>
                <w:rFonts w:ascii="Arial" w:hAnsi="Arial" w:cs="Arial"/>
                <w:sz w:val="12"/>
                <w:szCs w:val="12"/>
              </w:rPr>
              <w:t>18</w:t>
            </w:r>
            <w:r>
              <w:rPr>
                <w:rFonts w:ascii="Arial" w:hAnsi="Arial" w:cs="Arial"/>
                <w:sz w:val="12"/>
                <w:szCs w:val="12"/>
              </w:rPr>
              <w:t>,</w:t>
            </w:r>
            <w:r w:rsidRPr="000C1E37">
              <w:rPr>
                <w:rFonts w:ascii="Arial" w:hAnsi="Arial" w:cs="Arial"/>
                <w:sz w:val="12"/>
                <w:szCs w:val="12"/>
              </w:rPr>
              <w:t>52</w:t>
            </w:r>
          </w:p>
        </w:tc>
        <w:tc>
          <w:tcPr>
            <w:tcW w:w="540" w:type="dxa"/>
            <w:tcBorders>
              <w:left w:val="nil"/>
              <w:bottom w:val="nil"/>
              <w:right w:val="nil"/>
            </w:tcBorders>
            <w:shd w:val="clear" w:color="auto" w:fill="auto"/>
            <w:noWrap/>
            <w:vAlign w:val="center"/>
            <w:hideMark/>
          </w:tcPr>
          <w:p w14:paraId="1CF402FB" w14:textId="578BCC12" w:rsidR="000C1E37" w:rsidRPr="008174E3" w:rsidRDefault="000C1E37" w:rsidP="00802D00">
            <w:pPr>
              <w:jc w:val="right"/>
              <w:rPr>
                <w:rFonts w:ascii="Arial" w:hAnsi="Arial" w:cs="Arial"/>
                <w:sz w:val="12"/>
                <w:szCs w:val="12"/>
              </w:rPr>
            </w:pPr>
            <w:r w:rsidRPr="000C1E37">
              <w:rPr>
                <w:rFonts w:ascii="Arial" w:hAnsi="Arial" w:cs="Arial"/>
                <w:sz w:val="12"/>
                <w:szCs w:val="12"/>
              </w:rPr>
              <w:t>33</w:t>
            </w:r>
            <w:r>
              <w:rPr>
                <w:rFonts w:ascii="Arial" w:hAnsi="Arial" w:cs="Arial"/>
                <w:sz w:val="12"/>
                <w:szCs w:val="12"/>
              </w:rPr>
              <w:t>,</w:t>
            </w:r>
            <w:r w:rsidRPr="000C1E37">
              <w:rPr>
                <w:rFonts w:ascii="Arial" w:hAnsi="Arial" w:cs="Arial"/>
                <w:sz w:val="12"/>
                <w:szCs w:val="12"/>
              </w:rPr>
              <w:t>08</w:t>
            </w:r>
          </w:p>
        </w:tc>
        <w:tc>
          <w:tcPr>
            <w:tcW w:w="548" w:type="dxa"/>
            <w:tcBorders>
              <w:left w:val="nil"/>
              <w:bottom w:val="nil"/>
              <w:right w:val="nil"/>
            </w:tcBorders>
            <w:shd w:val="clear" w:color="auto" w:fill="auto"/>
            <w:noWrap/>
            <w:vAlign w:val="center"/>
            <w:hideMark/>
          </w:tcPr>
          <w:p w14:paraId="58231A8B" w14:textId="69075372" w:rsidR="000C1E37" w:rsidRPr="008174E3" w:rsidRDefault="000C1E37" w:rsidP="00802D00">
            <w:pPr>
              <w:jc w:val="right"/>
              <w:rPr>
                <w:rFonts w:ascii="Arial" w:hAnsi="Arial" w:cs="Arial"/>
                <w:sz w:val="12"/>
                <w:szCs w:val="12"/>
              </w:rPr>
            </w:pPr>
            <w:r w:rsidRPr="000C1E37">
              <w:rPr>
                <w:rFonts w:ascii="Arial" w:hAnsi="Arial" w:cs="Arial"/>
                <w:sz w:val="12"/>
                <w:szCs w:val="12"/>
              </w:rPr>
              <w:t>29</w:t>
            </w:r>
            <w:r>
              <w:rPr>
                <w:rFonts w:ascii="Arial" w:hAnsi="Arial" w:cs="Arial"/>
                <w:sz w:val="12"/>
                <w:szCs w:val="12"/>
              </w:rPr>
              <w:t>,</w:t>
            </w:r>
            <w:r w:rsidRPr="000C1E37">
              <w:rPr>
                <w:rFonts w:ascii="Arial" w:hAnsi="Arial" w:cs="Arial"/>
                <w:sz w:val="12"/>
                <w:szCs w:val="12"/>
              </w:rPr>
              <w:t>54</w:t>
            </w:r>
          </w:p>
        </w:tc>
        <w:tc>
          <w:tcPr>
            <w:tcW w:w="606" w:type="dxa"/>
            <w:tcBorders>
              <w:left w:val="nil"/>
              <w:bottom w:val="nil"/>
              <w:right w:val="nil"/>
            </w:tcBorders>
            <w:shd w:val="clear" w:color="auto" w:fill="auto"/>
            <w:noWrap/>
            <w:vAlign w:val="center"/>
            <w:hideMark/>
          </w:tcPr>
          <w:p w14:paraId="55BE2BA6" w14:textId="35B647E9" w:rsidR="000C1E37" w:rsidRPr="008174E3" w:rsidRDefault="000C1E37" w:rsidP="00802D00">
            <w:pPr>
              <w:jc w:val="right"/>
              <w:rPr>
                <w:rFonts w:ascii="Arial" w:hAnsi="Arial" w:cs="Arial"/>
                <w:sz w:val="12"/>
                <w:szCs w:val="12"/>
              </w:rPr>
            </w:pPr>
            <w:r w:rsidRPr="000C1E37">
              <w:rPr>
                <w:rFonts w:ascii="Arial" w:hAnsi="Arial" w:cs="Arial"/>
                <w:sz w:val="12"/>
                <w:szCs w:val="12"/>
              </w:rPr>
              <w:t>26</w:t>
            </w:r>
            <w:r>
              <w:rPr>
                <w:rFonts w:ascii="Arial" w:hAnsi="Arial" w:cs="Arial"/>
                <w:sz w:val="12"/>
                <w:szCs w:val="12"/>
              </w:rPr>
              <w:t>,</w:t>
            </w:r>
            <w:r w:rsidRPr="000C1E37">
              <w:rPr>
                <w:rFonts w:ascii="Arial" w:hAnsi="Arial" w:cs="Arial"/>
                <w:sz w:val="12"/>
                <w:szCs w:val="12"/>
              </w:rPr>
              <w:t>37</w:t>
            </w:r>
          </w:p>
        </w:tc>
        <w:tc>
          <w:tcPr>
            <w:tcW w:w="675" w:type="dxa"/>
            <w:tcBorders>
              <w:left w:val="nil"/>
              <w:bottom w:val="nil"/>
              <w:right w:val="nil"/>
            </w:tcBorders>
            <w:shd w:val="clear" w:color="auto" w:fill="auto"/>
            <w:noWrap/>
            <w:vAlign w:val="center"/>
            <w:hideMark/>
          </w:tcPr>
          <w:p w14:paraId="7B9D6162" w14:textId="49C6FD78" w:rsidR="000C1E37" w:rsidRPr="008174E3" w:rsidRDefault="000C1E37" w:rsidP="00802D00">
            <w:pPr>
              <w:jc w:val="right"/>
              <w:rPr>
                <w:rFonts w:ascii="Arial" w:hAnsi="Arial" w:cs="Arial"/>
                <w:sz w:val="12"/>
                <w:szCs w:val="12"/>
              </w:rPr>
            </w:pPr>
            <w:r w:rsidRPr="000C1E37">
              <w:rPr>
                <w:rFonts w:ascii="Arial" w:hAnsi="Arial" w:cs="Arial"/>
                <w:sz w:val="12"/>
                <w:szCs w:val="12"/>
              </w:rPr>
              <w:t>23</w:t>
            </w:r>
            <w:r>
              <w:rPr>
                <w:rFonts w:ascii="Arial" w:hAnsi="Arial" w:cs="Arial"/>
                <w:sz w:val="12"/>
                <w:szCs w:val="12"/>
              </w:rPr>
              <w:t>,</w:t>
            </w:r>
            <w:r w:rsidRPr="000C1E37">
              <w:rPr>
                <w:rFonts w:ascii="Arial" w:hAnsi="Arial" w:cs="Arial"/>
                <w:sz w:val="12"/>
                <w:szCs w:val="12"/>
              </w:rPr>
              <w:t>55</w:t>
            </w:r>
          </w:p>
        </w:tc>
        <w:tc>
          <w:tcPr>
            <w:tcW w:w="585" w:type="dxa"/>
            <w:tcBorders>
              <w:left w:val="nil"/>
              <w:bottom w:val="nil"/>
              <w:right w:val="nil"/>
            </w:tcBorders>
            <w:shd w:val="clear" w:color="auto" w:fill="auto"/>
            <w:noWrap/>
            <w:vAlign w:val="center"/>
            <w:hideMark/>
          </w:tcPr>
          <w:p w14:paraId="5FADE3E3" w14:textId="228CD325" w:rsidR="000C1E37" w:rsidRPr="008174E3" w:rsidRDefault="000C1E37" w:rsidP="00802D00">
            <w:pPr>
              <w:jc w:val="right"/>
              <w:rPr>
                <w:rFonts w:ascii="Arial" w:hAnsi="Arial" w:cs="Arial"/>
                <w:sz w:val="12"/>
                <w:szCs w:val="12"/>
              </w:rPr>
            </w:pPr>
            <w:r w:rsidRPr="000C1E37">
              <w:rPr>
                <w:rFonts w:ascii="Arial" w:hAnsi="Arial" w:cs="Arial"/>
                <w:sz w:val="12"/>
                <w:szCs w:val="12"/>
              </w:rPr>
              <w:t>10</w:t>
            </w:r>
            <w:r>
              <w:rPr>
                <w:rFonts w:ascii="Arial" w:hAnsi="Arial" w:cs="Arial"/>
                <w:sz w:val="12"/>
                <w:szCs w:val="12"/>
              </w:rPr>
              <w:t>,</w:t>
            </w:r>
            <w:r w:rsidRPr="000C1E37">
              <w:rPr>
                <w:rFonts w:ascii="Arial" w:hAnsi="Arial" w:cs="Arial"/>
                <w:sz w:val="12"/>
                <w:szCs w:val="12"/>
              </w:rPr>
              <w:t>51</w:t>
            </w:r>
          </w:p>
        </w:tc>
        <w:tc>
          <w:tcPr>
            <w:tcW w:w="648" w:type="dxa"/>
            <w:tcBorders>
              <w:left w:val="nil"/>
              <w:bottom w:val="nil"/>
              <w:right w:val="nil"/>
            </w:tcBorders>
            <w:shd w:val="clear" w:color="auto" w:fill="auto"/>
            <w:noWrap/>
            <w:vAlign w:val="center"/>
            <w:hideMark/>
          </w:tcPr>
          <w:p w14:paraId="2D0C5BE6" w14:textId="77777777" w:rsidR="000C1E37" w:rsidRPr="008174E3" w:rsidRDefault="000C1E37" w:rsidP="00802D00">
            <w:pPr>
              <w:jc w:val="right"/>
              <w:rPr>
                <w:rFonts w:ascii="Arial" w:hAnsi="Arial" w:cs="Arial"/>
                <w:sz w:val="12"/>
                <w:szCs w:val="12"/>
              </w:rPr>
            </w:pPr>
          </w:p>
        </w:tc>
        <w:tc>
          <w:tcPr>
            <w:tcW w:w="538" w:type="dxa"/>
            <w:tcBorders>
              <w:left w:val="nil"/>
              <w:bottom w:val="nil"/>
              <w:right w:val="nil"/>
            </w:tcBorders>
            <w:shd w:val="clear" w:color="auto" w:fill="auto"/>
            <w:noWrap/>
            <w:vAlign w:val="center"/>
            <w:hideMark/>
          </w:tcPr>
          <w:p w14:paraId="4E2E57A0" w14:textId="77777777" w:rsidR="000C1E37" w:rsidRPr="008174E3" w:rsidRDefault="000C1E37" w:rsidP="00802D00">
            <w:pPr>
              <w:jc w:val="right"/>
              <w:rPr>
                <w:rFonts w:ascii="Arial" w:hAnsi="Arial" w:cs="Arial"/>
                <w:sz w:val="12"/>
                <w:szCs w:val="12"/>
              </w:rPr>
            </w:pPr>
          </w:p>
        </w:tc>
        <w:tc>
          <w:tcPr>
            <w:tcW w:w="540" w:type="dxa"/>
            <w:tcBorders>
              <w:left w:val="nil"/>
              <w:bottom w:val="nil"/>
              <w:right w:val="nil"/>
            </w:tcBorders>
            <w:shd w:val="clear" w:color="auto" w:fill="auto"/>
            <w:noWrap/>
            <w:vAlign w:val="center"/>
            <w:hideMark/>
          </w:tcPr>
          <w:p w14:paraId="62E4837E" w14:textId="77777777" w:rsidR="000C1E37" w:rsidRPr="008174E3" w:rsidRDefault="000C1E37" w:rsidP="00802D00">
            <w:pPr>
              <w:jc w:val="right"/>
              <w:rPr>
                <w:rFonts w:ascii="Arial" w:hAnsi="Arial" w:cs="Arial"/>
                <w:sz w:val="12"/>
                <w:szCs w:val="12"/>
              </w:rPr>
            </w:pPr>
          </w:p>
        </w:tc>
        <w:tc>
          <w:tcPr>
            <w:tcW w:w="630" w:type="dxa"/>
            <w:tcBorders>
              <w:left w:val="nil"/>
              <w:bottom w:val="nil"/>
              <w:right w:val="nil"/>
            </w:tcBorders>
            <w:shd w:val="clear" w:color="auto" w:fill="auto"/>
            <w:noWrap/>
            <w:vAlign w:val="center"/>
            <w:hideMark/>
          </w:tcPr>
          <w:p w14:paraId="739567F7" w14:textId="77777777" w:rsidR="000C1E37" w:rsidRPr="008174E3" w:rsidRDefault="000C1E37" w:rsidP="00802D00">
            <w:pPr>
              <w:jc w:val="right"/>
              <w:rPr>
                <w:rFonts w:ascii="Arial" w:hAnsi="Arial" w:cs="Arial"/>
                <w:sz w:val="12"/>
                <w:szCs w:val="12"/>
              </w:rPr>
            </w:pPr>
          </w:p>
        </w:tc>
        <w:tc>
          <w:tcPr>
            <w:tcW w:w="630" w:type="dxa"/>
            <w:tcBorders>
              <w:left w:val="nil"/>
              <w:bottom w:val="nil"/>
              <w:right w:val="nil"/>
            </w:tcBorders>
            <w:shd w:val="clear" w:color="auto" w:fill="auto"/>
            <w:noWrap/>
            <w:vAlign w:val="center"/>
            <w:hideMark/>
          </w:tcPr>
          <w:p w14:paraId="45C25DD9" w14:textId="77777777" w:rsidR="000C1E37" w:rsidRPr="008174E3" w:rsidRDefault="000C1E37" w:rsidP="00802D00">
            <w:pPr>
              <w:jc w:val="right"/>
              <w:rPr>
                <w:rFonts w:ascii="Arial" w:hAnsi="Arial" w:cs="Arial"/>
                <w:sz w:val="12"/>
                <w:szCs w:val="12"/>
              </w:rPr>
            </w:pPr>
          </w:p>
        </w:tc>
        <w:tc>
          <w:tcPr>
            <w:tcW w:w="630" w:type="dxa"/>
            <w:tcBorders>
              <w:left w:val="nil"/>
              <w:bottom w:val="nil"/>
              <w:right w:val="nil"/>
            </w:tcBorders>
            <w:shd w:val="clear" w:color="auto" w:fill="auto"/>
            <w:noWrap/>
            <w:vAlign w:val="center"/>
            <w:hideMark/>
          </w:tcPr>
          <w:p w14:paraId="4C97360F" w14:textId="77777777" w:rsidR="000C1E37" w:rsidRPr="008174E3" w:rsidRDefault="000C1E37" w:rsidP="00802D00">
            <w:pPr>
              <w:jc w:val="right"/>
              <w:rPr>
                <w:rFonts w:ascii="Arial" w:hAnsi="Arial" w:cs="Arial"/>
                <w:sz w:val="12"/>
                <w:szCs w:val="12"/>
              </w:rPr>
            </w:pPr>
          </w:p>
        </w:tc>
        <w:tc>
          <w:tcPr>
            <w:tcW w:w="630" w:type="dxa"/>
            <w:tcBorders>
              <w:left w:val="nil"/>
              <w:bottom w:val="nil"/>
              <w:right w:val="nil"/>
            </w:tcBorders>
            <w:shd w:val="clear" w:color="auto" w:fill="auto"/>
            <w:noWrap/>
            <w:vAlign w:val="center"/>
            <w:hideMark/>
          </w:tcPr>
          <w:p w14:paraId="6001AA53" w14:textId="77777777" w:rsidR="000C1E37" w:rsidRPr="008174E3" w:rsidRDefault="000C1E37" w:rsidP="00802D00">
            <w:pPr>
              <w:jc w:val="right"/>
              <w:rPr>
                <w:rFonts w:ascii="Arial" w:hAnsi="Arial" w:cs="Arial"/>
                <w:sz w:val="12"/>
                <w:szCs w:val="12"/>
              </w:rPr>
            </w:pPr>
          </w:p>
        </w:tc>
        <w:tc>
          <w:tcPr>
            <w:tcW w:w="630" w:type="dxa"/>
            <w:tcBorders>
              <w:left w:val="nil"/>
              <w:bottom w:val="nil"/>
              <w:right w:val="nil"/>
            </w:tcBorders>
            <w:shd w:val="clear" w:color="auto" w:fill="auto"/>
            <w:noWrap/>
            <w:vAlign w:val="center"/>
            <w:hideMark/>
          </w:tcPr>
          <w:p w14:paraId="3AF019EE" w14:textId="77777777" w:rsidR="000C1E37" w:rsidRPr="008174E3" w:rsidRDefault="000C1E37" w:rsidP="00802D00">
            <w:pPr>
              <w:jc w:val="right"/>
              <w:rPr>
                <w:rFonts w:ascii="Arial" w:hAnsi="Arial" w:cs="Arial"/>
                <w:sz w:val="12"/>
                <w:szCs w:val="12"/>
              </w:rPr>
            </w:pPr>
          </w:p>
        </w:tc>
        <w:tc>
          <w:tcPr>
            <w:tcW w:w="711" w:type="dxa"/>
            <w:tcBorders>
              <w:left w:val="nil"/>
              <w:bottom w:val="nil"/>
              <w:right w:val="nil"/>
            </w:tcBorders>
            <w:shd w:val="clear" w:color="auto" w:fill="auto"/>
            <w:noWrap/>
            <w:vAlign w:val="center"/>
            <w:hideMark/>
          </w:tcPr>
          <w:p w14:paraId="281F88E4" w14:textId="2D122663" w:rsidR="000C1E37" w:rsidRPr="008174E3" w:rsidRDefault="000C1E37" w:rsidP="00802D00">
            <w:pPr>
              <w:jc w:val="right"/>
              <w:rPr>
                <w:rFonts w:ascii="Arial" w:hAnsi="Arial" w:cs="Arial"/>
                <w:sz w:val="12"/>
                <w:szCs w:val="12"/>
              </w:rPr>
            </w:pPr>
            <w:r w:rsidRPr="000C1E37">
              <w:rPr>
                <w:rFonts w:ascii="Arial" w:hAnsi="Arial" w:cs="Arial"/>
                <w:sz w:val="12"/>
                <w:szCs w:val="12"/>
              </w:rPr>
              <w:t>141</w:t>
            </w:r>
            <w:r>
              <w:rPr>
                <w:rFonts w:ascii="Arial" w:hAnsi="Arial" w:cs="Arial"/>
                <w:sz w:val="12"/>
                <w:szCs w:val="12"/>
              </w:rPr>
              <w:t>,</w:t>
            </w:r>
            <w:r w:rsidRPr="000C1E37">
              <w:rPr>
                <w:rFonts w:ascii="Arial" w:hAnsi="Arial" w:cs="Arial"/>
                <w:sz w:val="12"/>
                <w:szCs w:val="12"/>
              </w:rPr>
              <w:t>57</w:t>
            </w:r>
          </w:p>
        </w:tc>
      </w:tr>
      <w:tr w:rsidR="000C1E37" w:rsidRPr="008174E3" w14:paraId="52A116D1" w14:textId="77777777" w:rsidTr="00802D00">
        <w:trPr>
          <w:trHeight w:val="300"/>
          <w:jc w:val="center"/>
        </w:trPr>
        <w:tc>
          <w:tcPr>
            <w:tcW w:w="270" w:type="dxa"/>
            <w:tcBorders>
              <w:left w:val="nil"/>
              <w:bottom w:val="nil"/>
              <w:right w:val="nil"/>
            </w:tcBorders>
          </w:tcPr>
          <w:p w14:paraId="0CE9CE21" w14:textId="1BCD3C0F" w:rsidR="000C1E37" w:rsidRPr="008174E3" w:rsidRDefault="000C1E37" w:rsidP="000C1E37">
            <w:pPr>
              <w:rPr>
                <w:rFonts w:ascii="Arial" w:hAnsi="Arial" w:cs="Arial"/>
                <w:b/>
                <w:sz w:val="12"/>
                <w:szCs w:val="12"/>
              </w:rPr>
            </w:pPr>
            <w:r w:rsidRPr="008174E3">
              <w:rPr>
                <w:rFonts w:ascii="Arial" w:hAnsi="Arial" w:cs="Arial"/>
                <w:b/>
                <w:sz w:val="12"/>
                <w:szCs w:val="12"/>
              </w:rPr>
              <w:t>B</w:t>
            </w:r>
          </w:p>
        </w:tc>
        <w:tc>
          <w:tcPr>
            <w:tcW w:w="2160" w:type="dxa"/>
            <w:tcBorders>
              <w:left w:val="nil"/>
              <w:bottom w:val="nil"/>
              <w:right w:val="nil"/>
            </w:tcBorders>
            <w:shd w:val="clear" w:color="auto" w:fill="auto"/>
            <w:noWrap/>
          </w:tcPr>
          <w:p w14:paraId="36082D47" w14:textId="0FDB9AAF" w:rsidR="000C1E37" w:rsidRPr="008174E3" w:rsidRDefault="000C1E37" w:rsidP="000C1E37">
            <w:pPr>
              <w:rPr>
                <w:rFonts w:ascii="Arial" w:hAnsi="Arial" w:cs="Arial"/>
                <w:sz w:val="12"/>
                <w:szCs w:val="12"/>
              </w:rPr>
            </w:pPr>
            <w:r w:rsidRPr="008174E3">
              <w:rPr>
                <w:rFonts w:ascii="Arial" w:hAnsi="Arial" w:cs="Arial"/>
                <w:sz w:val="12"/>
                <w:szCs w:val="12"/>
              </w:rPr>
              <w:t>Beneficios Económicos en VPN del C2</w:t>
            </w:r>
          </w:p>
        </w:tc>
        <w:tc>
          <w:tcPr>
            <w:tcW w:w="630" w:type="dxa"/>
            <w:tcBorders>
              <w:left w:val="nil"/>
              <w:bottom w:val="nil"/>
              <w:right w:val="nil"/>
            </w:tcBorders>
            <w:shd w:val="clear" w:color="auto" w:fill="auto"/>
            <w:noWrap/>
            <w:vAlign w:val="center"/>
          </w:tcPr>
          <w:p w14:paraId="72BDC5B2" w14:textId="318DF003" w:rsidR="000C1E37" w:rsidRPr="008174E3" w:rsidRDefault="000C1E37" w:rsidP="00802D00">
            <w:pPr>
              <w:jc w:val="right"/>
              <w:rPr>
                <w:rFonts w:ascii="Arial" w:hAnsi="Arial" w:cs="Arial"/>
                <w:sz w:val="12"/>
                <w:szCs w:val="12"/>
              </w:rPr>
            </w:pPr>
            <w:r w:rsidRPr="000C1E37">
              <w:rPr>
                <w:rFonts w:ascii="Arial" w:hAnsi="Arial" w:cs="Arial"/>
                <w:sz w:val="12"/>
                <w:szCs w:val="12"/>
              </w:rPr>
              <w:t>3</w:t>
            </w:r>
            <w:r>
              <w:rPr>
                <w:rFonts w:ascii="Arial" w:hAnsi="Arial" w:cs="Arial"/>
                <w:sz w:val="12"/>
                <w:szCs w:val="12"/>
              </w:rPr>
              <w:t>,</w:t>
            </w:r>
            <w:r w:rsidRPr="000C1E37">
              <w:rPr>
                <w:rFonts w:ascii="Arial" w:hAnsi="Arial" w:cs="Arial"/>
                <w:sz w:val="12"/>
                <w:szCs w:val="12"/>
              </w:rPr>
              <w:t>89</w:t>
            </w:r>
          </w:p>
        </w:tc>
        <w:tc>
          <w:tcPr>
            <w:tcW w:w="540" w:type="dxa"/>
            <w:tcBorders>
              <w:left w:val="nil"/>
              <w:bottom w:val="nil"/>
              <w:right w:val="nil"/>
            </w:tcBorders>
            <w:shd w:val="clear" w:color="auto" w:fill="auto"/>
            <w:noWrap/>
            <w:vAlign w:val="center"/>
          </w:tcPr>
          <w:p w14:paraId="755633C0" w14:textId="29171D58" w:rsidR="000C1E37" w:rsidRPr="008174E3" w:rsidRDefault="000C1E37" w:rsidP="00802D00">
            <w:pPr>
              <w:jc w:val="right"/>
              <w:rPr>
                <w:rFonts w:ascii="Arial" w:hAnsi="Arial" w:cs="Arial"/>
                <w:sz w:val="12"/>
                <w:szCs w:val="12"/>
              </w:rPr>
            </w:pPr>
            <w:r w:rsidRPr="000C1E37">
              <w:rPr>
                <w:rFonts w:ascii="Arial" w:hAnsi="Arial" w:cs="Arial"/>
                <w:sz w:val="12"/>
                <w:szCs w:val="12"/>
              </w:rPr>
              <w:t>8</w:t>
            </w:r>
            <w:r>
              <w:rPr>
                <w:rFonts w:ascii="Arial" w:hAnsi="Arial" w:cs="Arial"/>
                <w:sz w:val="12"/>
                <w:szCs w:val="12"/>
              </w:rPr>
              <w:t>,</w:t>
            </w:r>
            <w:r w:rsidRPr="000C1E37">
              <w:rPr>
                <w:rFonts w:ascii="Arial" w:hAnsi="Arial" w:cs="Arial"/>
                <w:sz w:val="12"/>
                <w:szCs w:val="12"/>
              </w:rPr>
              <w:t>10</w:t>
            </w:r>
          </w:p>
        </w:tc>
        <w:tc>
          <w:tcPr>
            <w:tcW w:w="548" w:type="dxa"/>
            <w:tcBorders>
              <w:left w:val="nil"/>
              <w:bottom w:val="nil"/>
              <w:right w:val="nil"/>
            </w:tcBorders>
            <w:shd w:val="clear" w:color="auto" w:fill="auto"/>
            <w:noWrap/>
            <w:vAlign w:val="center"/>
          </w:tcPr>
          <w:p w14:paraId="070C30C8" w14:textId="45413AFF" w:rsidR="000C1E37" w:rsidRPr="008174E3" w:rsidRDefault="000C1E37" w:rsidP="00802D00">
            <w:pPr>
              <w:jc w:val="right"/>
              <w:rPr>
                <w:rFonts w:ascii="Arial" w:hAnsi="Arial" w:cs="Arial"/>
                <w:sz w:val="12"/>
                <w:szCs w:val="12"/>
              </w:rPr>
            </w:pPr>
            <w:r w:rsidRPr="000C1E37">
              <w:rPr>
                <w:rFonts w:ascii="Arial" w:hAnsi="Arial" w:cs="Arial"/>
                <w:sz w:val="12"/>
                <w:szCs w:val="12"/>
              </w:rPr>
              <w:t>11</w:t>
            </w:r>
            <w:r>
              <w:rPr>
                <w:rFonts w:ascii="Arial" w:hAnsi="Arial" w:cs="Arial"/>
                <w:sz w:val="12"/>
                <w:szCs w:val="12"/>
              </w:rPr>
              <w:t>,</w:t>
            </w:r>
            <w:r w:rsidRPr="000C1E37">
              <w:rPr>
                <w:rFonts w:ascii="Arial" w:hAnsi="Arial" w:cs="Arial"/>
                <w:sz w:val="12"/>
                <w:szCs w:val="12"/>
              </w:rPr>
              <w:t>37</w:t>
            </w:r>
          </w:p>
        </w:tc>
        <w:tc>
          <w:tcPr>
            <w:tcW w:w="606" w:type="dxa"/>
            <w:tcBorders>
              <w:left w:val="nil"/>
              <w:bottom w:val="nil"/>
              <w:right w:val="nil"/>
            </w:tcBorders>
            <w:shd w:val="clear" w:color="auto" w:fill="auto"/>
            <w:noWrap/>
            <w:vAlign w:val="center"/>
          </w:tcPr>
          <w:p w14:paraId="79B82F03" w14:textId="5D4888AF" w:rsidR="000C1E37" w:rsidRPr="008174E3" w:rsidRDefault="000C1E37" w:rsidP="00802D00">
            <w:pPr>
              <w:jc w:val="right"/>
              <w:rPr>
                <w:rFonts w:ascii="Arial" w:hAnsi="Arial" w:cs="Arial"/>
                <w:sz w:val="12"/>
                <w:szCs w:val="12"/>
              </w:rPr>
            </w:pPr>
            <w:r w:rsidRPr="000C1E37">
              <w:rPr>
                <w:rFonts w:ascii="Arial" w:hAnsi="Arial" w:cs="Arial"/>
                <w:sz w:val="12"/>
                <w:szCs w:val="12"/>
              </w:rPr>
              <w:t>13</w:t>
            </w:r>
            <w:r>
              <w:rPr>
                <w:rFonts w:ascii="Arial" w:hAnsi="Arial" w:cs="Arial"/>
                <w:sz w:val="12"/>
                <w:szCs w:val="12"/>
              </w:rPr>
              <w:t>,</w:t>
            </w:r>
            <w:r w:rsidRPr="000C1E37">
              <w:rPr>
                <w:rFonts w:ascii="Arial" w:hAnsi="Arial" w:cs="Arial"/>
                <w:sz w:val="12"/>
                <w:szCs w:val="12"/>
              </w:rPr>
              <w:t>84</w:t>
            </w:r>
          </w:p>
        </w:tc>
        <w:tc>
          <w:tcPr>
            <w:tcW w:w="675" w:type="dxa"/>
            <w:tcBorders>
              <w:left w:val="nil"/>
              <w:bottom w:val="nil"/>
              <w:right w:val="nil"/>
            </w:tcBorders>
            <w:shd w:val="clear" w:color="auto" w:fill="auto"/>
            <w:noWrap/>
            <w:vAlign w:val="center"/>
          </w:tcPr>
          <w:p w14:paraId="29F0756F" w14:textId="0883D749" w:rsidR="000C1E37" w:rsidRPr="008174E3" w:rsidRDefault="000C1E37" w:rsidP="00802D00">
            <w:pPr>
              <w:jc w:val="right"/>
              <w:rPr>
                <w:rFonts w:ascii="Arial" w:hAnsi="Arial" w:cs="Arial"/>
                <w:sz w:val="12"/>
                <w:szCs w:val="12"/>
              </w:rPr>
            </w:pPr>
            <w:r w:rsidRPr="000C1E37">
              <w:rPr>
                <w:rFonts w:ascii="Arial" w:hAnsi="Arial" w:cs="Arial"/>
                <w:sz w:val="12"/>
                <w:szCs w:val="12"/>
              </w:rPr>
              <w:t>15</w:t>
            </w:r>
            <w:r>
              <w:rPr>
                <w:rFonts w:ascii="Arial" w:hAnsi="Arial" w:cs="Arial"/>
                <w:sz w:val="12"/>
                <w:szCs w:val="12"/>
              </w:rPr>
              <w:t>,</w:t>
            </w:r>
            <w:r w:rsidRPr="000C1E37">
              <w:rPr>
                <w:rFonts w:ascii="Arial" w:hAnsi="Arial" w:cs="Arial"/>
                <w:sz w:val="12"/>
                <w:szCs w:val="12"/>
              </w:rPr>
              <w:t>66</w:t>
            </w:r>
          </w:p>
        </w:tc>
        <w:tc>
          <w:tcPr>
            <w:tcW w:w="585" w:type="dxa"/>
            <w:tcBorders>
              <w:left w:val="nil"/>
              <w:bottom w:val="nil"/>
              <w:right w:val="nil"/>
            </w:tcBorders>
            <w:shd w:val="clear" w:color="auto" w:fill="auto"/>
            <w:noWrap/>
            <w:vAlign w:val="center"/>
          </w:tcPr>
          <w:p w14:paraId="08D5FA2B" w14:textId="63D54753" w:rsidR="000C1E37" w:rsidRPr="008174E3" w:rsidRDefault="000C1E37" w:rsidP="00802D00">
            <w:pPr>
              <w:jc w:val="right"/>
              <w:rPr>
                <w:rFonts w:ascii="Arial" w:hAnsi="Arial" w:cs="Arial"/>
                <w:sz w:val="12"/>
                <w:szCs w:val="12"/>
              </w:rPr>
            </w:pPr>
            <w:r w:rsidRPr="000C1E37">
              <w:rPr>
                <w:rFonts w:ascii="Arial" w:hAnsi="Arial" w:cs="Arial"/>
                <w:sz w:val="12"/>
                <w:szCs w:val="12"/>
              </w:rPr>
              <w:t>14</w:t>
            </w:r>
            <w:r>
              <w:rPr>
                <w:rFonts w:ascii="Arial" w:hAnsi="Arial" w:cs="Arial"/>
                <w:sz w:val="12"/>
                <w:szCs w:val="12"/>
              </w:rPr>
              <w:t>,</w:t>
            </w:r>
            <w:r w:rsidRPr="000C1E37">
              <w:rPr>
                <w:rFonts w:ascii="Arial" w:hAnsi="Arial" w:cs="Arial"/>
                <w:sz w:val="12"/>
                <w:szCs w:val="12"/>
              </w:rPr>
              <w:t>71</w:t>
            </w:r>
          </w:p>
        </w:tc>
        <w:tc>
          <w:tcPr>
            <w:tcW w:w="648" w:type="dxa"/>
            <w:tcBorders>
              <w:left w:val="nil"/>
              <w:bottom w:val="nil"/>
              <w:right w:val="nil"/>
            </w:tcBorders>
            <w:shd w:val="clear" w:color="auto" w:fill="auto"/>
            <w:noWrap/>
            <w:vAlign w:val="center"/>
          </w:tcPr>
          <w:p w14:paraId="13EB0B1B" w14:textId="062C1989" w:rsidR="000C1E37" w:rsidRPr="008174E3" w:rsidRDefault="000C1E37" w:rsidP="00802D00">
            <w:pPr>
              <w:jc w:val="right"/>
              <w:rPr>
                <w:rFonts w:ascii="Arial" w:hAnsi="Arial" w:cs="Arial"/>
                <w:sz w:val="12"/>
                <w:szCs w:val="12"/>
              </w:rPr>
            </w:pPr>
            <w:r w:rsidRPr="000C1E37">
              <w:rPr>
                <w:rFonts w:ascii="Arial" w:hAnsi="Arial" w:cs="Arial"/>
                <w:sz w:val="12"/>
                <w:szCs w:val="12"/>
              </w:rPr>
              <w:t>13</w:t>
            </w:r>
            <w:r>
              <w:rPr>
                <w:rFonts w:ascii="Arial" w:hAnsi="Arial" w:cs="Arial"/>
                <w:sz w:val="12"/>
                <w:szCs w:val="12"/>
              </w:rPr>
              <w:t>,</w:t>
            </w:r>
            <w:r w:rsidRPr="000C1E37">
              <w:rPr>
                <w:rFonts w:ascii="Arial" w:hAnsi="Arial" w:cs="Arial"/>
                <w:sz w:val="12"/>
                <w:szCs w:val="12"/>
              </w:rPr>
              <w:t>14</w:t>
            </w:r>
          </w:p>
        </w:tc>
        <w:tc>
          <w:tcPr>
            <w:tcW w:w="538" w:type="dxa"/>
            <w:tcBorders>
              <w:left w:val="nil"/>
              <w:bottom w:val="nil"/>
              <w:right w:val="nil"/>
            </w:tcBorders>
            <w:shd w:val="clear" w:color="auto" w:fill="auto"/>
            <w:noWrap/>
            <w:vAlign w:val="center"/>
          </w:tcPr>
          <w:p w14:paraId="3B15C939" w14:textId="71222806" w:rsidR="000C1E37" w:rsidRPr="008174E3" w:rsidRDefault="000C1E37" w:rsidP="00802D00">
            <w:pPr>
              <w:jc w:val="right"/>
              <w:rPr>
                <w:rFonts w:ascii="Arial" w:hAnsi="Arial" w:cs="Arial"/>
                <w:sz w:val="12"/>
                <w:szCs w:val="12"/>
              </w:rPr>
            </w:pPr>
            <w:r w:rsidRPr="000C1E37">
              <w:rPr>
                <w:rFonts w:ascii="Arial" w:hAnsi="Arial" w:cs="Arial"/>
                <w:sz w:val="12"/>
                <w:szCs w:val="12"/>
              </w:rPr>
              <w:t>11</w:t>
            </w:r>
            <w:r>
              <w:rPr>
                <w:rFonts w:ascii="Arial" w:hAnsi="Arial" w:cs="Arial"/>
                <w:sz w:val="12"/>
                <w:szCs w:val="12"/>
              </w:rPr>
              <w:t>,</w:t>
            </w:r>
            <w:r w:rsidRPr="000C1E37">
              <w:rPr>
                <w:rFonts w:ascii="Arial" w:hAnsi="Arial" w:cs="Arial"/>
                <w:sz w:val="12"/>
                <w:szCs w:val="12"/>
              </w:rPr>
              <w:t>73</w:t>
            </w:r>
          </w:p>
        </w:tc>
        <w:tc>
          <w:tcPr>
            <w:tcW w:w="540" w:type="dxa"/>
            <w:tcBorders>
              <w:left w:val="nil"/>
              <w:bottom w:val="nil"/>
              <w:right w:val="nil"/>
            </w:tcBorders>
            <w:shd w:val="clear" w:color="auto" w:fill="auto"/>
            <w:noWrap/>
            <w:vAlign w:val="center"/>
          </w:tcPr>
          <w:p w14:paraId="4DD5754F" w14:textId="619D033F" w:rsidR="000C1E37" w:rsidRPr="008174E3" w:rsidRDefault="000C1E37" w:rsidP="00802D00">
            <w:pPr>
              <w:jc w:val="right"/>
              <w:rPr>
                <w:rFonts w:ascii="Arial" w:hAnsi="Arial" w:cs="Arial"/>
                <w:sz w:val="12"/>
                <w:szCs w:val="12"/>
              </w:rPr>
            </w:pPr>
            <w:r w:rsidRPr="000C1E37">
              <w:rPr>
                <w:rFonts w:ascii="Arial" w:hAnsi="Arial" w:cs="Arial"/>
                <w:sz w:val="12"/>
                <w:szCs w:val="12"/>
              </w:rPr>
              <w:t>10</w:t>
            </w:r>
            <w:r>
              <w:rPr>
                <w:rFonts w:ascii="Arial" w:hAnsi="Arial" w:cs="Arial"/>
                <w:sz w:val="12"/>
                <w:szCs w:val="12"/>
              </w:rPr>
              <w:t>,</w:t>
            </w:r>
            <w:r w:rsidRPr="000C1E37">
              <w:rPr>
                <w:rFonts w:ascii="Arial" w:hAnsi="Arial" w:cs="Arial"/>
                <w:sz w:val="12"/>
                <w:szCs w:val="12"/>
              </w:rPr>
              <w:t>47</w:t>
            </w:r>
          </w:p>
        </w:tc>
        <w:tc>
          <w:tcPr>
            <w:tcW w:w="630" w:type="dxa"/>
            <w:tcBorders>
              <w:left w:val="nil"/>
              <w:bottom w:val="nil"/>
              <w:right w:val="nil"/>
            </w:tcBorders>
            <w:shd w:val="clear" w:color="auto" w:fill="auto"/>
            <w:noWrap/>
            <w:vAlign w:val="center"/>
          </w:tcPr>
          <w:p w14:paraId="11023D3B" w14:textId="0E098AC1" w:rsidR="000C1E37" w:rsidRPr="008174E3" w:rsidRDefault="000C1E37" w:rsidP="00802D00">
            <w:pPr>
              <w:jc w:val="right"/>
              <w:rPr>
                <w:rFonts w:ascii="Arial" w:hAnsi="Arial" w:cs="Arial"/>
                <w:sz w:val="12"/>
                <w:szCs w:val="12"/>
              </w:rPr>
            </w:pPr>
            <w:r w:rsidRPr="000C1E37">
              <w:rPr>
                <w:rFonts w:ascii="Arial" w:hAnsi="Arial" w:cs="Arial"/>
                <w:sz w:val="12"/>
                <w:szCs w:val="12"/>
              </w:rPr>
              <w:t>9</w:t>
            </w:r>
            <w:r>
              <w:rPr>
                <w:rFonts w:ascii="Arial" w:hAnsi="Arial" w:cs="Arial"/>
                <w:sz w:val="12"/>
                <w:szCs w:val="12"/>
              </w:rPr>
              <w:t>,</w:t>
            </w:r>
            <w:r w:rsidRPr="000C1E37">
              <w:rPr>
                <w:rFonts w:ascii="Arial" w:hAnsi="Arial" w:cs="Arial"/>
                <w:sz w:val="12"/>
                <w:szCs w:val="12"/>
              </w:rPr>
              <w:t>35</w:t>
            </w:r>
          </w:p>
        </w:tc>
        <w:tc>
          <w:tcPr>
            <w:tcW w:w="630" w:type="dxa"/>
            <w:tcBorders>
              <w:left w:val="nil"/>
              <w:bottom w:val="nil"/>
              <w:right w:val="nil"/>
            </w:tcBorders>
            <w:shd w:val="clear" w:color="auto" w:fill="auto"/>
            <w:noWrap/>
            <w:vAlign w:val="center"/>
          </w:tcPr>
          <w:p w14:paraId="1DF3B8A2" w14:textId="2DBCE9B6" w:rsidR="000C1E37" w:rsidRPr="008174E3" w:rsidRDefault="000C1E37" w:rsidP="00802D00">
            <w:pPr>
              <w:jc w:val="right"/>
              <w:rPr>
                <w:rFonts w:ascii="Arial" w:hAnsi="Arial" w:cs="Arial"/>
                <w:sz w:val="12"/>
                <w:szCs w:val="12"/>
              </w:rPr>
            </w:pPr>
            <w:r w:rsidRPr="000C1E37">
              <w:rPr>
                <w:rFonts w:ascii="Arial" w:hAnsi="Arial" w:cs="Arial"/>
                <w:sz w:val="12"/>
                <w:szCs w:val="12"/>
              </w:rPr>
              <w:t>6</w:t>
            </w:r>
            <w:r>
              <w:rPr>
                <w:rFonts w:ascii="Arial" w:hAnsi="Arial" w:cs="Arial"/>
                <w:sz w:val="12"/>
                <w:szCs w:val="12"/>
              </w:rPr>
              <w:t>,</w:t>
            </w:r>
            <w:r w:rsidRPr="000C1E37">
              <w:rPr>
                <w:rFonts w:ascii="Arial" w:hAnsi="Arial" w:cs="Arial"/>
                <w:sz w:val="12"/>
                <w:szCs w:val="12"/>
              </w:rPr>
              <w:t>68</w:t>
            </w:r>
          </w:p>
        </w:tc>
        <w:tc>
          <w:tcPr>
            <w:tcW w:w="630" w:type="dxa"/>
            <w:tcBorders>
              <w:left w:val="nil"/>
              <w:bottom w:val="nil"/>
              <w:right w:val="nil"/>
            </w:tcBorders>
            <w:shd w:val="clear" w:color="auto" w:fill="auto"/>
            <w:noWrap/>
            <w:vAlign w:val="center"/>
          </w:tcPr>
          <w:p w14:paraId="29FEDB2C" w14:textId="20DA14AD" w:rsidR="000C1E37" w:rsidRPr="008174E3" w:rsidRDefault="000C1E37" w:rsidP="00802D00">
            <w:pPr>
              <w:jc w:val="right"/>
              <w:rPr>
                <w:rFonts w:ascii="Arial" w:hAnsi="Arial" w:cs="Arial"/>
                <w:sz w:val="12"/>
                <w:szCs w:val="12"/>
              </w:rPr>
            </w:pPr>
            <w:r w:rsidRPr="000C1E37">
              <w:rPr>
                <w:rFonts w:ascii="Arial" w:hAnsi="Arial" w:cs="Arial"/>
                <w:sz w:val="12"/>
                <w:szCs w:val="12"/>
              </w:rPr>
              <w:t>4</w:t>
            </w:r>
            <w:r>
              <w:rPr>
                <w:rFonts w:ascii="Arial" w:hAnsi="Arial" w:cs="Arial"/>
                <w:sz w:val="12"/>
                <w:szCs w:val="12"/>
              </w:rPr>
              <w:t>,</w:t>
            </w:r>
            <w:r w:rsidRPr="000C1E37">
              <w:rPr>
                <w:rFonts w:ascii="Arial" w:hAnsi="Arial" w:cs="Arial"/>
                <w:sz w:val="12"/>
                <w:szCs w:val="12"/>
              </w:rPr>
              <w:t>47</w:t>
            </w:r>
          </w:p>
        </w:tc>
        <w:tc>
          <w:tcPr>
            <w:tcW w:w="630" w:type="dxa"/>
            <w:tcBorders>
              <w:left w:val="nil"/>
              <w:bottom w:val="nil"/>
              <w:right w:val="nil"/>
            </w:tcBorders>
            <w:shd w:val="clear" w:color="auto" w:fill="auto"/>
            <w:noWrap/>
            <w:vAlign w:val="center"/>
          </w:tcPr>
          <w:p w14:paraId="312AE2EE" w14:textId="6EC1D496" w:rsidR="000C1E37" w:rsidRPr="008174E3" w:rsidRDefault="000C1E37" w:rsidP="00802D00">
            <w:pPr>
              <w:jc w:val="right"/>
              <w:rPr>
                <w:rFonts w:ascii="Arial" w:hAnsi="Arial" w:cs="Arial"/>
                <w:sz w:val="12"/>
                <w:szCs w:val="12"/>
              </w:rPr>
            </w:pPr>
            <w:r w:rsidRPr="000C1E37">
              <w:rPr>
                <w:rFonts w:ascii="Arial" w:hAnsi="Arial" w:cs="Arial"/>
                <w:sz w:val="12"/>
                <w:szCs w:val="12"/>
              </w:rPr>
              <w:t>2</w:t>
            </w:r>
            <w:r>
              <w:rPr>
                <w:rFonts w:ascii="Arial" w:hAnsi="Arial" w:cs="Arial"/>
                <w:sz w:val="12"/>
                <w:szCs w:val="12"/>
              </w:rPr>
              <w:t>,</w:t>
            </w:r>
            <w:r w:rsidRPr="000C1E37">
              <w:rPr>
                <w:rFonts w:ascii="Arial" w:hAnsi="Arial" w:cs="Arial"/>
                <w:sz w:val="12"/>
                <w:szCs w:val="12"/>
              </w:rPr>
              <w:t>66</w:t>
            </w:r>
          </w:p>
        </w:tc>
        <w:tc>
          <w:tcPr>
            <w:tcW w:w="630" w:type="dxa"/>
            <w:tcBorders>
              <w:left w:val="nil"/>
              <w:bottom w:val="nil"/>
              <w:right w:val="nil"/>
            </w:tcBorders>
            <w:shd w:val="clear" w:color="auto" w:fill="auto"/>
            <w:noWrap/>
            <w:vAlign w:val="center"/>
          </w:tcPr>
          <w:p w14:paraId="555083ED" w14:textId="734B0D7B" w:rsidR="000C1E37" w:rsidRPr="008174E3" w:rsidRDefault="000C1E37" w:rsidP="00802D00">
            <w:pPr>
              <w:jc w:val="right"/>
              <w:rPr>
                <w:rFonts w:ascii="Arial" w:hAnsi="Arial" w:cs="Arial"/>
                <w:sz w:val="12"/>
                <w:szCs w:val="12"/>
              </w:rPr>
            </w:pPr>
            <w:r w:rsidRPr="000C1E37">
              <w:rPr>
                <w:rFonts w:ascii="Arial" w:hAnsi="Arial" w:cs="Arial"/>
                <w:sz w:val="12"/>
                <w:szCs w:val="12"/>
              </w:rPr>
              <w:t>1</w:t>
            </w:r>
            <w:r>
              <w:rPr>
                <w:rFonts w:ascii="Arial" w:hAnsi="Arial" w:cs="Arial"/>
                <w:sz w:val="12"/>
                <w:szCs w:val="12"/>
              </w:rPr>
              <w:t>,</w:t>
            </w:r>
            <w:r w:rsidRPr="000C1E37">
              <w:rPr>
                <w:rFonts w:ascii="Arial" w:hAnsi="Arial" w:cs="Arial"/>
                <w:sz w:val="12"/>
                <w:szCs w:val="12"/>
              </w:rPr>
              <w:t>19</w:t>
            </w:r>
          </w:p>
        </w:tc>
        <w:tc>
          <w:tcPr>
            <w:tcW w:w="711" w:type="dxa"/>
            <w:tcBorders>
              <w:left w:val="nil"/>
              <w:bottom w:val="nil"/>
              <w:right w:val="nil"/>
            </w:tcBorders>
            <w:shd w:val="clear" w:color="auto" w:fill="auto"/>
            <w:noWrap/>
            <w:vAlign w:val="center"/>
          </w:tcPr>
          <w:p w14:paraId="0CE1EF2C" w14:textId="3E0748BB" w:rsidR="000C1E37" w:rsidRPr="008174E3" w:rsidRDefault="000C1E37" w:rsidP="00802D00">
            <w:pPr>
              <w:jc w:val="right"/>
              <w:rPr>
                <w:rFonts w:ascii="Arial" w:hAnsi="Arial" w:cs="Arial"/>
                <w:sz w:val="12"/>
                <w:szCs w:val="12"/>
              </w:rPr>
            </w:pPr>
            <w:r w:rsidRPr="000C1E37">
              <w:rPr>
                <w:rFonts w:ascii="Arial" w:hAnsi="Arial" w:cs="Arial"/>
                <w:sz w:val="12"/>
                <w:szCs w:val="12"/>
              </w:rPr>
              <w:t>127</w:t>
            </w:r>
            <w:r>
              <w:rPr>
                <w:rFonts w:ascii="Arial" w:hAnsi="Arial" w:cs="Arial"/>
                <w:sz w:val="12"/>
                <w:szCs w:val="12"/>
              </w:rPr>
              <w:t>,</w:t>
            </w:r>
            <w:r w:rsidRPr="000C1E37">
              <w:rPr>
                <w:rFonts w:ascii="Arial" w:hAnsi="Arial" w:cs="Arial"/>
                <w:sz w:val="12"/>
                <w:szCs w:val="12"/>
              </w:rPr>
              <w:t>28</w:t>
            </w:r>
          </w:p>
        </w:tc>
      </w:tr>
      <w:tr w:rsidR="000C1E37" w:rsidRPr="008174E3" w14:paraId="527D0C48" w14:textId="77777777" w:rsidTr="00802D00">
        <w:trPr>
          <w:trHeight w:val="300"/>
          <w:jc w:val="center"/>
        </w:trPr>
        <w:tc>
          <w:tcPr>
            <w:tcW w:w="270" w:type="dxa"/>
            <w:tcBorders>
              <w:left w:val="nil"/>
              <w:bottom w:val="nil"/>
              <w:right w:val="nil"/>
            </w:tcBorders>
          </w:tcPr>
          <w:p w14:paraId="04DEB12D" w14:textId="7DD5B1D0" w:rsidR="000C1E37" w:rsidRPr="008174E3" w:rsidRDefault="000C1E37" w:rsidP="000C1E37">
            <w:pPr>
              <w:rPr>
                <w:rFonts w:ascii="Arial" w:hAnsi="Arial" w:cs="Arial"/>
                <w:b/>
                <w:sz w:val="12"/>
                <w:szCs w:val="12"/>
              </w:rPr>
            </w:pPr>
            <w:r w:rsidRPr="008174E3">
              <w:rPr>
                <w:rFonts w:ascii="Arial" w:hAnsi="Arial" w:cs="Arial"/>
                <w:b/>
                <w:sz w:val="12"/>
                <w:szCs w:val="12"/>
              </w:rPr>
              <w:t>C</w:t>
            </w:r>
          </w:p>
        </w:tc>
        <w:tc>
          <w:tcPr>
            <w:tcW w:w="2160" w:type="dxa"/>
            <w:tcBorders>
              <w:left w:val="nil"/>
              <w:bottom w:val="nil"/>
              <w:right w:val="nil"/>
            </w:tcBorders>
            <w:shd w:val="clear" w:color="auto" w:fill="auto"/>
            <w:noWrap/>
          </w:tcPr>
          <w:p w14:paraId="08F533BC" w14:textId="009590BF" w:rsidR="000C1E37" w:rsidRPr="008174E3" w:rsidRDefault="000C1E37" w:rsidP="000C1E37">
            <w:pPr>
              <w:rPr>
                <w:rFonts w:ascii="Arial" w:hAnsi="Arial" w:cs="Arial"/>
                <w:sz w:val="12"/>
                <w:szCs w:val="12"/>
              </w:rPr>
            </w:pPr>
            <w:r w:rsidRPr="008174E3">
              <w:rPr>
                <w:rFonts w:ascii="Arial" w:hAnsi="Arial" w:cs="Arial"/>
                <w:sz w:val="12"/>
                <w:szCs w:val="12"/>
              </w:rPr>
              <w:t>Costos Directos en VPN del C1</w:t>
            </w:r>
          </w:p>
        </w:tc>
        <w:tc>
          <w:tcPr>
            <w:tcW w:w="630" w:type="dxa"/>
            <w:tcBorders>
              <w:left w:val="nil"/>
              <w:bottom w:val="nil"/>
              <w:right w:val="nil"/>
            </w:tcBorders>
            <w:shd w:val="clear" w:color="auto" w:fill="auto"/>
            <w:noWrap/>
            <w:vAlign w:val="center"/>
          </w:tcPr>
          <w:p w14:paraId="41CE64AD" w14:textId="56A6A0F8" w:rsidR="000C1E37" w:rsidRPr="008174E3" w:rsidRDefault="000C1E37" w:rsidP="00802D00">
            <w:pPr>
              <w:jc w:val="right"/>
              <w:rPr>
                <w:rFonts w:ascii="Arial" w:hAnsi="Arial" w:cs="Arial"/>
                <w:sz w:val="12"/>
                <w:szCs w:val="12"/>
              </w:rPr>
            </w:pPr>
            <w:r w:rsidRPr="000C1E37">
              <w:rPr>
                <w:rFonts w:ascii="Arial" w:hAnsi="Arial" w:cs="Arial"/>
                <w:sz w:val="12"/>
                <w:szCs w:val="12"/>
              </w:rPr>
              <w:t>6</w:t>
            </w:r>
            <w:r>
              <w:rPr>
                <w:rFonts w:ascii="Arial" w:hAnsi="Arial" w:cs="Arial"/>
                <w:sz w:val="12"/>
                <w:szCs w:val="12"/>
              </w:rPr>
              <w:t>,</w:t>
            </w:r>
            <w:r w:rsidRPr="000C1E37">
              <w:rPr>
                <w:rFonts w:ascii="Arial" w:hAnsi="Arial" w:cs="Arial"/>
                <w:sz w:val="12"/>
                <w:szCs w:val="12"/>
              </w:rPr>
              <w:t>00</w:t>
            </w:r>
          </w:p>
        </w:tc>
        <w:tc>
          <w:tcPr>
            <w:tcW w:w="540" w:type="dxa"/>
            <w:tcBorders>
              <w:left w:val="nil"/>
              <w:bottom w:val="nil"/>
              <w:right w:val="nil"/>
            </w:tcBorders>
            <w:shd w:val="clear" w:color="auto" w:fill="auto"/>
            <w:noWrap/>
            <w:vAlign w:val="center"/>
          </w:tcPr>
          <w:p w14:paraId="25F90F39" w14:textId="597E8E6E" w:rsidR="000C1E37" w:rsidRPr="008174E3" w:rsidRDefault="000C1E37" w:rsidP="00802D00">
            <w:pPr>
              <w:jc w:val="right"/>
              <w:rPr>
                <w:rFonts w:ascii="Arial" w:hAnsi="Arial" w:cs="Arial"/>
                <w:sz w:val="12"/>
                <w:szCs w:val="12"/>
              </w:rPr>
            </w:pPr>
            <w:r w:rsidRPr="000C1E37">
              <w:rPr>
                <w:rFonts w:ascii="Arial" w:hAnsi="Arial" w:cs="Arial"/>
                <w:sz w:val="12"/>
                <w:szCs w:val="12"/>
              </w:rPr>
              <w:t>5</w:t>
            </w:r>
            <w:r>
              <w:rPr>
                <w:rFonts w:ascii="Arial" w:hAnsi="Arial" w:cs="Arial"/>
                <w:sz w:val="12"/>
                <w:szCs w:val="12"/>
              </w:rPr>
              <w:t>,</w:t>
            </w:r>
            <w:r w:rsidRPr="000C1E37">
              <w:rPr>
                <w:rFonts w:ascii="Arial" w:hAnsi="Arial" w:cs="Arial"/>
                <w:sz w:val="12"/>
                <w:szCs w:val="12"/>
              </w:rPr>
              <w:t>36</w:t>
            </w:r>
          </w:p>
        </w:tc>
        <w:tc>
          <w:tcPr>
            <w:tcW w:w="548" w:type="dxa"/>
            <w:tcBorders>
              <w:left w:val="nil"/>
              <w:bottom w:val="nil"/>
              <w:right w:val="nil"/>
            </w:tcBorders>
            <w:shd w:val="clear" w:color="auto" w:fill="auto"/>
            <w:noWrap/>
            <w:vAlign w:val="center"/>
          </w:tcPr>
          <w:p w14:paraId="5EC9D765" w14:textId="75E3FAC9" w:rsidR="000C1E37" w:rsidRPr="008174E3" w:rsidRDefault="000C1E37" w:rsidP="00802D00">
            <w:pPr>
              <w:jc w:val="right"/>
              <w:rPr>
                <w:rFonts w:ascii="Arial" w:hAnsi="Arial" w:cs="Arial"/>
                <w:sz w:val="12"/>
                <w:szCs w:val="12"/>
              </w:rPr>
            </w:pPr>
            <w:r w:rsidRPr="000C1E37">
              <w:rPr>
                <w:rFonts w:ascii="Arial" w:hAnsi="Arial" w:cs="Arial"/>
                <w:sz w:val="12"/>
                <w:szCs w:val="12"/>
              </w:rPr>
              <w:t>4</w:t>
            </w:r>
            <w:r>
              <w:rPr>
                <w:rFonts w:ascii="Arial" w:hAnsi="Arial" w:cs="Arial"/>
                <w:sz w:val="12"/>
                <w:szCs w:val="12"/>
              </w:rPr>
              <w:t>,</w:t>
            </w:r>
            <w:r w:rsidRPr="000C1E37">
              <w:rPr>
                <w:rFonts w:ascii="Arial" w:hAnsi="Arial" w:cs="Arial"/>
                <w:sz w:val="12"/>
                <w:szCs w:val="12"/>
              </w:rPr>
              <w:t>78</w:t>
            </w:r>
          </w:p>
        </w:tc>
        <w:tc>
          <w:tcPr>
            <w:tcW w:w="606" w:type="dxa"/>
            <w:tcBorders>
              <w:left w:val="nil"/>
              <w:bottom w:val="nil"/>
              <w:right w:val="nil"/>
            </w:tcBorders>
            <w:shd w:val="clear" w:color="auto" w:fill="auto"/>
            <w:noWrap/>
            <w:vAlign w:val="center"/>
          </w:tcPr>
          <w:p w14:paraId="005927CB" w14:textId="4649C51C" w:rsidR="000C1E37" w:rsidRPr="008174E3" w:rsidRDefault="000C1E37" w:rsidP="00802D00">
            <w:pPr>
              <w:jc w:val="right"/>
              <w:rPr>
                <w:rFonts w:ascii="Arial" w:hAnsi="Arial" w:cs="Arial"/>
                <w:sz w:val="12"/>
                <w:szCs w:val="12"/>
              </w:rPr>
            </w:pPr>
            <w:r w:rsidRPr="000C1E37">
              <w:rPr>
                <w:rFonts w:ascii="Arial" w:hAnsi="Arial" w:cs="Arial"/>
                <w:sz w:val="12"/>
                <w:szCs w:val="12"/>
              </w:rPr>
              <w:t>4</w:t>
            </w:r>
            <w:r>
              <w:rPr>
                <w:rFonts w:ascii="Arial" w:hAnsi="Arial" w:cs="Arial"/>
                <w:sz w:val="12"/>
                <w:szCs w:val="12"/>
              </w:rPr>
              <w:t>,</w:t>
            </w:r>
            <w:r w:rsidRPr="000C1E37">
              <w:rPr>
                <w:rFonts w:ascii="Arial" w:hAnsi="Arial" w:cs="Arial"/>
                <w:sz w:val="12"/>
                <w:szCs w:val="12"/>
              </w:rPr>
              <w:t>27</w:t>
            </w:r>
          </w:p>
        </w:tc>
        <w:tc>
          <w:tcPr>
            <w:tcW w:w="675" w:type="dxa"/>
            <w:tcBorders>
              <w:left w:val="nil"/>
              <w:bottom w:val="nil"/>
              <w:right w:val="nil"/>
            </w:tcBorders>
            <w:shd w:val="clear" w:color="auto" w:fill="auto"/>
            <w:noWrap/>
            <w:vAlign w:val="center"/>
          </w:tcPr>
          <w:p w14:paraId="77585203" w14:textId="1BEFD068" w:rsidR="000C1E37" w:rsidRPr="008174E3" w:rsidRDefault="000C1E37" w:rsidP="00802D00">
            <w:pPr>
              <w:jc w:val="right"/>
              <w:rPr>
                <w:rFonts w:ascii="Arial" w:hAnsi="Arial" w:cs="Arial"/>
                <w:sz w:val="12"/>
                <w:szCs w:val="12"/>
              </w:rPr>
            </w:pPr>
            <w:r w:rsidRPr="000C1E37">
              <w:rPr>
                <w:rFonts w:ascii="Arial" w:hAnsi="Arial" w:cs="Arial"/>
                <w:sz w:val="12"/>
                <w:szCs w:val="12"/>
              </w:rPr>
              <w:t>3</w:t>
            </w:r>
            <w:r>
              <w:rPr>
                <w:rFonts w:ascii="Arial" w:hAnsi="Arial" w:cs="Arial"/>
                <w:sz w:val="12"/>
                <w:szCs w:val="12"/>
              </w:rPr>
              <w:t>,</w:t>
            </w:r>
            <w:r w:rsidRPr="000C1E37">
              <w:rPr>
                <w:rFonts w:ascii="Arial" w:hAnsi="Arial" w:cs="Arial"/>
                <w:sz w:val="12"/>
                <w:szCs w:val="12"/>
              </w:rPr>
              <w:t>81</w:t>
            </w:r>
          </w:p>
        </w:tc>
        <w:tc>
          <w:tcPr>
            <w:tcW w:w="585" w:type="dxa"/>
            <w:tcBorders>
              <w:left w:val="nil"/>
              <w:bottom w:val="nil"/>
              <w:right w:val="nil"/>
            </w:tcBorders>
            <w:shd w:val="clear" w:color="auto" w:fill="auto"/>
            <w:noWrap/>
            <w:vAlign w:val="center"/>
          </w:tcPr>
          <w:p w14:paraId="124F30EF" w14:textId="77777777" w:rsidR="000C1E37" w:rsidRPr="008174E3" w:rsidRDefault="000C1E37" w:rsidP="00802D00">
            <w:pPr>
              <w:jc w:val="right"/>
              <w:rPr>
                <w:rFonts w:ascii="Arial" w:hAnsi="Arial" w:cs="Arial"/>
                <w:sz w:val="12"/>
                <w:szCs w:val="12"/>
              </w:rPr>
            </w:pPr>
          </w:p>
        </w:tc>
        <w:tc>
          <w:tcPr>
            <w:tcW w:w="648" w:type="dxa"/>
            <w:tcBorders>
              <w:left w:val="nil"/>
              <w:bottom w:val="nil"/>
              <w:right w:val="nil"/>
            </w:tcBorders>
            <w:shd w:val="clear" w:color="auto" w:fill="auto"/>
            <w:noWrap/>
            <w:vAlign w:val="center"/>
          </w:tcPr>
          <w:p w14:paraId="0314FBA6" w14:textId="77777777" w:rsidR="000C1E37" w:rsidRPr="008174E3" w:rsidRDefault="000C1E37" w:rsidP="00802D00">
            <w:pPr>
              <w:jc w:val="right"/>
              <w:rPr>
                <w:rFonts w:ascii="Arial" w:hAnsi="Arial" w:cs="Arial"/>
                <w:sz w:val="12"/>
                <w:szCs w:val="12"/>
              </w:rPr>
            </w:pPr>
          </w:p>
        </w:tc>
        <w:tc>
          <w:tcPr>
            <w:tcW w:w="538" w:type="dxa"/>
            <w:tcBorders>
              <w:left w:val="nil"/>
              <w:bottom w:val="nil"/>
              <w:right w:val="nil"/>
            </w:tcBorders>
            <w:shd w:val="clear" w:color="auto" w:fill="auto"/>
            <w:noWrap/>
            <w:vAlign w:val="center"/>
          </w:tcPr>
          <w:p w14:paraId="5706B2F8" w14:textId="77777777" w:rsidR="000C1E37" w:rsidRPr="008174E3" w:rsidRDefault="000C1E37" w:rsidP="00802D00">
            <w:pPr>
              <w:jc w:val="right"/>
              <w:rPr>
                <w:rFonts w:ascii="Arial" w:hAnsi="Arial" w:cs="Arial"/>
                <w:sz w:val="12"/>
                <w:szCs w:val="12"/>
              </w:rPr>
            </w:pPr>
          </w:p>
        </w:tc>
        <w:tc>
          <w:tcPr>
            <w:tcW w:w="540" w:type="dxa"/>
            <w:tcBorders>
              <w:left w:val="nil"/>
              <w:bottom w:val="nil"/>
              <w:right w:val="nil"/>
            </w:tcBorders>
            <w:shd w:val="clear" w:color="auto" w:fill="auto"/>
            <w:noWrap/>
            <w:vAlign w:val="center"/>
          </w:tcPr>
          <w:p w14:paraId="370CBF9E" w14:textId="77777777" w:rsidR="000C1E37" w:rsidRPr="008174E3" w:rsidRDefault="000C1E37" w:rsidP="00802D00">
            <w:pPr>
              <w:jc w:val="right"/>
              <w:rPr>
                <w:rFonts w:ascii="Arial" w:hAnsi="Arial" w:cs="Arial"/>
                <w:sz w:val="12"/>
                <w:szCs w:val="12"/>
              </w:rPr>
            </w:pPr>
          </w:p>
        </w:tc>
        <w:tc>
          <w:tcPr>
            <w:tcW w:w="630" w:type="dxa"/>
            <w:tcBorders>
              <w:left w:val="nil"/>
              <w:bottom w:val="nil"/>
              <w:right w:val="nil"/>
            </w:tcBorders>
            <w:shd w:val="clear" w:color="auto" w:fill="auto"/>
            <w:noWrap/>
            <w:vAlign w:val="center"/>
          </w:tcPr>
          <w:p w14:paraId="7F1FF3FA" w14:textId="77777777" w:rsidR="000C1E37" w:rsidRPr="008174E3" w:rsidRDefault="000C1E37" w:rsidP="00802D00">
            <w:pPr>
              <w:jc w:val="right"/>
              <w:rPr>
                <w:rFonts w:ascii="Arial" w:hAnsi="Arial" w:cs="Arial"/>
                <w:sz w:val="12"/>
                <w:szCs w:val="12"/>
              </w:rPr>
            </w:pPr>
          </w:p>
        </w:tc>
        <w:tc>
          <w:tcPr>
            <w:tcW w:w="630" w:type="dxa"/>
            <w:tcBorders>
              <w:left w:val="nil"/>
              <w:bottom w:val="nil"/>
              <w:right w:val="nil"/>
            </w:tcBorders>
            <w:shd w:val="clear" w:color="auto" w:fill="auto"/>
            <w:noWrap/>
            <w:vAlign w:val="center"/>
          </w:tcPr>
          <w:p w14:paraId="07DFA706" w14:textId="77777777" w:rsidR="000C1E37" w:rsidRPr="008174E3" w:rsidRDefault="000C1E37" w:rsidP="00802D00">
            <w:pPr>
              <w:jc w:val="right"/>
              <w:rPr>
                <w:rFonts w:ascii="Arial" w:hAnsi="Arial" w:cs="Arial"/>
                <w:sz w:val="12"/>
                <w:szCs w:val="12"/>
              </w:rPr>
            </w:pPr>
          </w:p>
        </w:tc>
        <w:tc>
          <w:tcPr>
            <w:tcW w:w="630" w:type="dxa"/>
            <w:tcBorders>
              <w:left w:val="nil"/>
              <w:bottom w:val="nil"/>
              <w:right w:val="nil"/>
            </w:tcBorders>
            <w:shd w:val="clear" w:color="auto" w:fill="auto"/>
            <w:noWrap/>
            <w:vAlign w:val="center"/>
          </w:tcPr>
          <w:p w14:paraId="2A17458E" w14:textId="77777777" w:rsidR="000C1E37" w:rsidRPr="008174E3" w:rsidRDefault="000C1E37" w:rsidP="00802D00">
            <w:pPr>
              <w:jc w:val="right"/>
              <w:rPr>
                <w:rFonts w:ascii="Arial" w:hAnsi="Arial" w:cs="Arial"/>
                <w:sz w:val="12"/>
                <w:szCs w:val="12"/>
              </w:rPr>
            </w:pPr>
          </w:p>
        </w:tc>
        <w:tc>
          <w:tcPr>
            <w:tcW w:w="630" w:type="dxa"/>
            <w:tcBorders>
              <w:left w:val="nil"/>
              <w:bottom w:val="nil"/>
              <w:right w:val="nil"/>
            </w:tcBorders>
            <w:shd w:val="clear" w:color="auto" w:fill="auto"/>
            <w:noWrap/>
            <w:vAlign w:val="center"/>
          </w:tcPr>
          <w:p w14:paraId="59D43126" w14:textId="77777777" w:rsidR="000C1E37" w:rsidRPr="008174E3" w:rsidRDefault="000C1E37" w:rsidP="00802D00">
            <w:pPr>
              <w:jc w:val="right"/>
              <w:rPr>
                <w:rFonts w:ascii="Arial" w:hAnsi="Arial" w:cs="Arial"/>
                <w:sz w:val="12"/>
                <w:szCs w:val="12"/>
              </w:rPr>
            </w:pPr>
          </w:p>
        </w:tc>
        <w:tc>
          <w:tcPr>
            <w:tcW w:w="630" w:type="dxa"/>
            <w:tcBorders>
              <w:left w:val="nil"/>
              <w:bottom w:val="nil"/>
              <w:right w:val="nil"/>
            </w:tcBorders>
            <w:shd w:val="clear" w:color="auto" w:fill="auto"/>
            <w:noWrap/>
            <w:vAlign w:val="center"/>
          </w:tcPr>
          <w:p w14:paraId="3C6E7378" w14:textId="77777777" w:rsidR="000C1E37" w:rsidRPr="008174E3" w:rsidRDefault="000C1E37" w:rsidP="00802D00">
            <w:pPr>
              <w:jc w:val="right"/>
              <w:rPr>
                <w:rFonts w:ascii="Arial" w:hAnsi="Arial" w:cs="Arial"/>
                <w:sz w:val="12"/>
                <w:szCs w:val="12"/>
              </w:rPr>
            </w:pPr>
          </w:p>
        </w:tc>
        <w:tc>
          <w:tcPr>
            <w:tcW w:w="711" w:type="dxa"/>
            <w:tcBorders>
              <w:left w:val="nil"/>
              <w:bottom w:val="nil"/>
              <w:right w:val="nil"/>
            </w:tcBorders>
            <w:shd w:val="clear" w:color="auto" w:fill="auto"/>
            <w:noWrap/>
            <w:vAlign w:val="center"/>
          </w:tcPr>
          <w:p w14:paraId="74509550" w14:textId="5685C2B0" w:rsidR="000C1E37" w:rsidRPr="008174E3" w:rsidRDefault="000C1E37" w:rsidP="00802D00">
            <w:pPr>
              <w:jc w:val="right"/>
              <w:rPr>
                <w:rFonts w:ascii="Arial" w:hAnsi="Arial" w:cs="Arial"/>
                <w:sz w:val="12"/>
                <w:szCs w:val="12"/>
              </w:rPr>
            </w:pPr>
            <w:r w:rsidRPr="000C1E37">
              <w:rPr>
                <w:rFonts w:ascii="Arial" w:hAnsi="Arial" w:cs="Arial"/>
                <w:sz w:val="12"/>
                <w:szCs w:val="12"/>
              </w:rPr>
              <w:t>24</w:t>
            </w:r>
            <w:r>
              <w:rPr>
                <w:rFonts w:ascii="Arial" w:hAnsi="Arial" w:cs="Arial"/>
                <w:sz w:val="12"/>
                <w:szCs w:val="12"/>
              </w:rPr>
              <w:t>,</w:t>
            </w:r>
            <w:r w:rsidRPr="000C1E37">
              <w:rPr>
                <w:rFonts w:ascii="Arial" w:hAnsi="Arial" w:cs="Arial"/>
                <w:sz w:val="12"/>
                <w:szCs w:val="12"/>
              </w:rPr>
              <w:t>22</w:t>
            </w:r>
          </w:p>
        </w:tc>
      </w:tr>
      <w:tr w:rsidR="000C1E37" w:rsidRPr="008174E3" w14:paraId="065389DE" w14:textId="77777777" w:rsidTr="00802D00">
        <w:trPr>
          <w:trHeight w:val="300"/>
          <w:jc w:val="center"/>
        </w:trPr>
        <w:tc>
          <w:tcPr>
            <w:tcW w:w="270" w:type="dxa"/>
            <w:tcBorders>
              <w:top w:val="nil"/>
              <w:left w:val="nil"/>
              <w:right w:val="nil"/>
            </w:tcBorders>
          </w:tcPr>
          <w:p w14:paraId="214BA202" w14:textId="6228CA20" w:rsidR="000C1E37" w:rsidRPr="008174E3" w:rsidRDefault="000C1E37" w:rsidP="000C1E37">
            <w:pPr>
              <w:rPr>
                <w:rFonts w:ascii="Arial" w:hAnsi="Arial" w:cs="Arial"/>
                <w:b/>
                <w:sz w:val="12"/>
                <w:szCs w:val="12"/>
              </w:rPr>
            </w:pPr>
            <w:r w:rsidRPr="008174E3">
              <w:rPr>
                <w:rFonts w:ascii="Arial" w:hAnsi="Arial" w:cs="Arial"/>
                <w:b/>
                <w:sz w:val="12"/>
                <w:szCs w:val="12"/>
              </w:rPr>
              <w:t>D</w:t>
            </w:r>
          </w:p>
        </w:tc>
        <w:tc>
          <w:tcPr>
            <w:tcW w:w="2160" w:type="dxa"/>
            <w:tcBorders>
              <w:top w:val="nil"/>
              <w:left w:val="nil"/>
              <w:right w:val="nil"/>
            </w:tcBorders>
            <w:shd w:val="clear" w:color="auto" w:fill="auto"/>
            <w:noWrap/>
            <w:hideMark/>
          </w:tcPr>
          <w:p w14:paraId="224D077E" w14:textId="4AE741C8" w:rsidR="000C1E37" w:rsidRPr="008174E3" w:rsidRDefault="000C1E37" w:rsidP="000C1E37">
            <w:pPr>
              <w:rPr>
                <w:rFonts w:ascii="Arial" w:hAnsi="Arial" w:cs="Arial"/>
                <w:color w:val="000000"/>
                <w:sz w:val="12"/>
                <w:szCs w:val="12"/>
              </w:rPr>
            </w:pPr>
            <w:r w:rsidRPr="008174E3">
              <w:rPr>
                <w:rFonts w:ascii="Arial" w:hAnsi="Arial" w:cs="Arial"/>
                <w:sz w:val="12"/>
                <w:szCs w:val="12"/>
              </w:rPr>
              <w:t>Costos Económicos en VPN del C1</w:t>
            </w:r>
          </w:p>
        </w:tc>
        <w:tc>
          <w:tcPr>
            <w:tcW w:w="630" w:type="dxa"/>
            <w:tcBorders>
              <w:top w:val="nil"/>
              <w:left w:val="nil"/>
              <w:right w:val="nil"/>
            </w:tcBorders>
            <w:shd w:val="clear" w:color="auto" w:fill="auto"/>
            <w:noWrap/>
            <w:vAlign w:val="center"/>
            <w:hideMark/>
          </w:tcPr>
          <w:p w14:paraId="00251E61" w14:textId="36F1D88B" w:rsidR="000C1E37" w:rsidRPr="008174E3" w:rsidRDefault="000C1E37" w:rsidP="00802D00">
            <w:pPr>
              <w:jc w:val="right"/>
              <w:rPr>
                <w:rFonts w:ascii="Arial" w:hAnsi="Arial" w:cs="Arial"/>
                <w:sz w:val="12"/>
                <w:szCs w:val="12"/>
              </w:rPr>
            </w:pPr>
            <w:r w:rsidRPr="000C1E37">
              <w:rPr>
                <w:rFonts w:ascii="Arial" w:hAnsi="Arial" w:cs="Arial"/>
                <w:sz w:val="12"/>
                <w:szCs w:val="12"/>
              </w:rPr>
              <w:t>13</w:t>
            </w:r>
            <w:r>
              <w:rPr>
                <w:rFonts w:ascii="Arial" w:hAnsi="Arial" w:cs="Arial"/>
                <w:sz w:val="12"/>
                <w:szCs w:val="12"/>
              </w:rPr>
              <w:t>,</w:t>
            </w:r>
            <w:r w:rsidRPr="000C1E37">
              <w:rPr>
                <w:rFonts w:ascii="Arial" w:hAnsi="Arial" w:cs="Arial"/>
                <w:sz w:val="12"/>
                <w:szCs w:val="12"/>
              </w:rPr>
              <w:t>66</w:t>
            </w:r>
          </w:p>
        </w:tc>
        <w:tc>
          <w:tcPr>
            <w:tcW w:w="540" w:type="dxa"/>
            <w:tcBorders>
              <w:top w:val="nil"/>
              <w:left w:val="nil"/>
              <w:right w:val="nil"/>
            </w:tcBorders>
            <w:shd w:val="clear" w:color="auto" w:fill="auto"/>
            <w:noWrap/>
            <w:vAlign w:val="center"/>
            <w:hideMark/>
          </w:tcPr>
          <w:p w14:paraId="2B0B2C28" w14:textId="500E5132" w:rsidR="000C1E37" w:rsidRPr="008174E3" w:rsidRDefault="000C1E37" w:rsidP="00802D00">
            <w:pPr>
              <w:jc w:val="right"/>
              <w:rPr>
                <w:rFonts w:ascii="Arial" w:hAnsi="Arial" w:cs="Arial"/>
                <w:sz w:val="12"/>
                <w:szCs w:val="12"/>
              </w:rPr>
            </w:pPr>
            <w:r w:rsidRPr="000C1E37">
              <w:rPr>
                <w:rFonts w:ascii="Arial" w:hAnsi="Arial" w:cs="Arial"/>
                <w:sz w:val="12"/>
                <w:szCs w:val="12"/>
              </w:rPr>
              <w:t>12</w:t>
            </w:r>
            <w:r>
              <w:rPr>
                <w:rFonts w:ascii="Arial" w:hAnsi="Arial" w:cs="Arial"/>
                <w:sz w:val="12"/>
                <w:szCs w:val="12"/>
              </w:rPr>
              <w:t>,</w:t>
            </w:r>
            <w:r w:rsidRPr="000C1E37">
              <w:rPr>
                <w:rFonts w:ascii="Arial" w:hAnsi="Arial" w:cs="Arial"/>
                <w:sz w:val="12"/>
                <w:szCs w:val="12"/>
              </w:rPr>
              <w:t>20</w:t>
            </w:r>
          </w:p>
        </w:tc>
        <w:tc>
          <w:tcPr>
            <w:tcW w:w="548" w:type="dxa"/>
            <w:tcBorders>
              <w:top w:val="nil"/>
              <w:left w:val="nil"/>
              <w:right w:val="nil"/>
            </w:tcBorders>
            <w:shd w:val="clear" w:color="auto" w:fill="auto"/>
            <w:noWrap/>
            <w:vAlign w:val="center"/>
            <w:hideMark/>
          </w:tcPr>
          <w:p w14:paraId="66A9C7DB" w14:textId="541DF6EE" w:rsidR="000C1E37" w:rsidRPr="008174E3" w:rsidRDefault="000C1E37" w:rsidP="00802D00">
            <w:pPr>
              <w:jc w:val="right"/>
              <w:rPr>
                <w:rFonts w:ascii="Arial" w:hAnsi="Arial" w:cs="Arial"/>
                <w:sz w:val="12"/>
                <w:szCs w:val="12"/>
              </w:rPr>
            </w:pPr>
            <w:r w:rsidRPr="000C1E37">
              <w:rPr>
                <w:rFonts w:ascii="Arial" w:hAnsi="Arial" w:cs="Arial"/>
                <w:sz w:val="12"/>
                <w:szCs w:val="12"/>
              </w:rPr>
              <w:t>10</w:t>
            </w:r>
            <w:r>
              <w:rPr>
                <w:rFonts w:ascii="Arial" w:hAnsi="Arial" w:cs="Arial"/>
                <w:sz w:val="12"/>
                <w:szCs w:val="12"/>
              </w:rPr>
              <w:t>,</w:t>
            </w:r>
            <w:r w:rsidRPr="000C1E37">
              <w:rPr>
                <w:rFonts w:ascii="Arial" w:hAnsi="Arial" w:cs="Arial"/>
                <w:sz w:val="12"/>
                <w:szCs w:val="12"/>
              </w:rPr>
              <w:t>89</w:t>
            </w:r>
          </w:p>
        </w:tc>
        <w:tc>
          <w:tcPr>
            <w:tcW w:w="606" w:type="dxa"/>
            <w:tcBorders>
              <w:top w:val="nil"/>
              <w:left w:val="nil"/>
              <w:right w:val="nil"/>
            </w:tcBorders>
            <w:shd w:val="clear" w:color="auto" w:fill="auto"/>
            <w:noWrap/>
            <w:vAlign w:val="center"/>
            <w:hideMark/>
          </w:tcPr>
          <w:p w14:paraId="1A65162B" w14:textId="6329B901" w:rsidR="000C1E37" w:rsidRPr="008174E3" w:rsidRDefault="000C1E37" w:rsidP="00802D00">
            <w:pPr>
              <w:jc w:val="right"/>
              <w:rPr>
                <w:rFonts w:ascii="Arial" w:hAnsi="Arial" w:cs="Arial"/>
                <w:sz w:val="12"/>
                <w:szCs w:val="12"/>
              </w:rPr>
            </w:pPr>
            <w:r w:rsidRPr="000C1E37">
              <w:rPr>
                <w:rFonts w:ascii="Arial" w:hAnsi="Arial" w:cs="Arial"/>
                <w:sz w:val="12"/>
                <w:szCs w:val="12"/>
              </w:rPr>
              <w:t>9</w:t>
            </w:r>
            <w:r>
              <w:rPr>
                <w:rFonts w:ascii="Arial" w:hAnsi="Arial" w:cs="Arial"/>
                <w:sz w:val="12"/>
                <w:szCs w:val="12"/>
              </w:rPr>
              <w:t>,</w:t>
            </w:r>
            <w:r w:rsidRPr="000C1E37">
              <w:rPr>
                <w:rFonts w:ascii="Arial" w:hAnsi="Arial" w:cs="Arial"/>
                <w:sz w:val="12"/>
                <w:szCs w:val="12"/>
              </w:rPr>
              <w:t>72</w:t>
            </w:r>
          </w:p>
        </w:tc>
        <w:tc>
          <w:tcPr>
            <w:tcW w:w="675" w:type="dxa"/>
            <w:tcBorders>
              <w:top w:val="nil"/>
              <w:left w:val="nil"/>
              <w:right w:val="nil"/>
            </w:tcBorders>
            <w:shd w:val="clear" w:color="auto" w:fill="auto"/>
            <w:noWrap/>
            <w:vAlign w:val="center"/>
            <w:hideMark/>
          </w:tcPr>
          <w:p w14:paraId="331041E5" w14:textId="11A2A9D6" w:rsidR="000C1E37" w:rsidRPr="008174E3" w:rsidRDefault="000C1E37" w:rsidP="00802D00">
            <w:pPr>
              <w:jc w:val="right"/>
              <w:rPr>
                <w:rFonts w:ascii="Arial" w:hAnsi="Arial" w:cs="Arial"/>
                <w:sz w:val="12"/>
                <w:szCs w:val="12"/>
              </w:rPr>
            </w:pPr>
            <w:r w:rsidRPr="000C1E37">
              <w:rPr>
                <w:rFonts w:ascii="Arial" w:hAnsi="Arial" w:cs="Arial"/>
                <w:sz w:val="12"/>
                <w:szCs w:val="12"/>
              </w:rPr>
              <w:t>8</w:t>
            </w:r>
            <w:r>
              <w:rPr>
                <w:rFonts w:ascii="Arial" w:hAnsi="Arial" w:cs="Arial"/>
                <w:sz w:val="12"/>
                <w:szCs w:val="12"/>
              </w:rPr>
              <w:t>,</w:t>
            </w:r>
            <w:r w:rsidRPr="000C1E37">
              <w:rPr>
                <w:rFonts w:ascii="Arial" w:hAnsi="Arial" w:cs="Arial"/>
                <w:sz w:val="12"/>
                <w:szCs w:val="12"/>
              </w:rPr>
              <w:t>68</w:t>
            </w:r>
          </w:p>
        </w:tc>
        <w:tc>
          <w:tcPr>
            <w:tcW w:w="585" w:type="dxa"/>
            <w:tcBorders>
              <w:top w:val="nil"/>
              <w:left w:val="nil"/>
              <w:right w:val="nil"/>
            </w:tcBorders>
            <w:shd w:val="clear" w:color="auto" w:fill="auto"/>
            <w:noWrap/>
            <w:vAlign w:val="center"/>
          </w:tcPr>
          <w:p w14:paraId="11BCB29B" w14:textId="77777777" w:rsidR="000C1E37" w:rsidRPr="008174E3" w:rsidRDefault="000C1E37" w:rsidP="00802D00">
            <w:pPr>
              <w:jc w:val="right"/>
              <w:rPr>
                <w:rFonts w:ascii="Arial" w:hAnsi="Arial" w:cs="Arial"/>
                <w:sz w:val="12"/>
                <w:szCs w:val="12"/>
              </w:rPr>
            </w:pPr>
          </w:p>
        </w:tc>
        <w:tc>
          <w:tcPr>
            <w:tcW w:w="648" w:type="dxa"/>
            <w:tcBorders>
              <w:top w:val="nil"/>
              <w:left w:val="nil"/>
              <w:right w:val="nil"/>
            </w:tcBorders>
            <w:shd w:val="clear" w:color="auto" w:fill="auto"/>
            <w:noWrap/>
            <w:vAlign w:val="center"/>
          </w:tcPr>
          <w:p w14:paraId="0F1C9192" w14:textId="77777777" w:rsidR="000C1E37" w:rsidRPr="008174E3" w:rsidRDefault="000C1E37" w:rsidP="00802D00">
            <w:pPr>
              <w:jc w:val="right"/>
              <w:rPr>
                <w:rFonts w:ascii="Arial" w:hAnsi="Arial" w:cs="Arial"/>
                <w:sz w:val="12"/>
                <w:szCs w:val="12"/>
              </w:rPr>
            </w:pPr>
          </w:p>
        </w:tc>
        <w:tc>
          <w:tcPr>
            <w:tcW w:w="538" w:type="dxa"/>
            <w:tcBorders>
              <w:top w:val="nil"/>
              <w:left w:val="nil"/>
              <w:right w:val="nil"/>
            </w:tcBorders>
            <w:shd w:val="clear" w:color="auto" w:fill="auto"/>
            <w:noWrap/>
            <w:vAlign w:val="center"/>
          </w:tcPr>
          <w:p w14:paraId="5609366D" w14:textId="77777777" w:rsidR="000C1E37" w:rsidRPr="008174E3" w:rsidRDefault="000C1E37" w:rsidP="00802D00">
            <w:pPr>
              <w:jc w:val="right"/>
              <w:rPr>
                <w:rFonts w:ascii="Arial" w:hAnsi="Arial" w:cs="Arial"/>
                <w:sz w:val="12"/>
                <w:szCs w:val="12"/>
              </w:rPr>
            </w:pPr>
          </w:p>
        </w:tc>
        <w:tc>
          <w:tcPr>
            <w:tcW w:w="540" w:type="dxa"/>
            <w:tcBorders>
              <w:top w:val="nil"/>
              <w:left w:val="nil"/>
              <w:right w:val="nil"/>
            </w:tcBorders>
            <w:shd w:val="clear" w:color="auto" w:fill="auto"/>
            <w:noWrap/>
            <w:vAlign w:val="center"/>
          </w:tcPr>
          <w:p w14:paraId="3A79C9C4" w14:textId="77777777" w:rsidR="000C1E37" w:rsidRPr="008174E3" w:rsidRDefault="000C1E37" w:rsidP="00802D00">
            <w:pPr>
              <w:jc w:val="right"/>
              <w:rPr>
                <w:rFonts w:ascii="Arial" w:hAnsi="Arial" w:cs="Arial"/>
                <w:sz w:val="12"/>
                <w:szCs w:val="12"/>
              </w:rPr>
            </w:pPr>
          </w:p>
        </w:tc>
        <w:tc>
          <w:tcPr>
            <w:tcW w:w="630" w:type="dxa"/>
            <w:tcBorders>
              <w:top w:val="nil"/>
              <w:left w:val="nil"/>
              <w:right w:val="nil"/>
            </w:tcBorders>
            <w:shd w:val="clear" w:color="auto" w:fill="auto"/>
            <w:noWrap/>
            <w:vAlign w:val="center"/>
          </w:tcPr>
          <w:p w14:paraId="6D3E39B2" w14:textId="77777777" w:rsidR="000C1E37" w:rsidRPr="008174E3" w:rsidRDefault="000C1E37" w:rsidP="00802D00">
            <w:pPr>
              <w:jc w:val="right"/>
              <w:rPr>
                <w:rFonts w:ascii="Arial" w:hAnsi="Arial" w:cs="Arial"/>
                <w:sz w:val="12"/>
                <w:szCs w:val="12"/>
              </w:rPr>
            </w:pPr>
          </w:p>
        </w:tc>
        <w:tc>
          <w:tcPr>
            <w:tcW w:w="630" w:type="dxa"/>
            <w:tcBorders>
              <w:top w:val="nil"/>
              <w:left w:val="nil"/>
              <w:right w:val="nil"/>
            </w:tcBorders>
            <w:shd w:val="clear" w:color="auto" w:fill="auto"/>
            <w:noWrap/>
            <w:vAlign w:val="center"/>
          </w:tcPr>
          <w:p w14:paraId="0738452C" w14:textId="77777777" w:rsidR="000C1E37" w:rsidRPr="008174E3" w:rsidRDefault="000C1E37" w:rsidP="00802D00">
            <w:pPr>
              <w:jc w:val="right"/>
              <w:rPr>
                <w:rFonts w:ascii="Arial" w:hAnsi="Arial" w:cs="Arial"/>
                <w:sz w:val="12"/>
                <w:szCs w:val="12"/>
              </w:rPr>
            </w:pPr>
          </w:p>
        </w:tc>
        <w:tc>
          <w:tcPr>
            <w:tcW w:w="630" w:type="dxa"/>
            <w:tcBorders>
              <w:top w:val="nil"/>
              <w:left w:val="nil"/>
              <w:right w:val="nil"/>
            </w:tcBorders>
            <w:shd w:val="clear" w:color="auto" w:fill="auto"/>
            <w:noWrap/>
            <w:vAlign w:val="center"/>
          </w:tcPr>
          <w:p w14:paraId="14C264DB" w14:textId="77777777" w:rsidR="000C1E37" w:rsidRPr="008174E3" w:rsidRDefault="000C1E37" w:rsidP="00802D00">
            <w:pPr>
              <w:jc w:val="right"/>
              <w:rPr>
                <w:rFonts w:ascii="Arial" w:hAnsi="Arial" w:cs="Arial"/>
                <w:sz w:val="12"/>
                <w:szCs w:val="12"/>
              </w:rPr>
            </w:pPr>
          </w:p>
        </w:tc>
        <w:tc>
          <w:tcPr>
            <w:tcW w:w="630" w:type="dxa"/>
            <w:tcBorders>
              <w:top w:val="nil"/>
              <w:left w:val="nil"/>
              <w:right w:val="nil"/>
            </w:tcBorders>
            <w:shd w:val="clear" w:color="auto" w:fill="auto"/>
            <w:noWrap/>
            <w:vAlign w:val="center"/>
          </w:tcPr>
          <w:p w14:paraId="00A3DE0F" w14:textId="77777777" w:rsidR="000C1E37" w:rsidRPr="008174E3" w:rsidRDefault="000C1E37" w:rsidP="00802D00">
            <w:pPr>
              <w:jc w:val="right"/>
              <w:rPr>
                <w:rFonts w:ascii="Arial" w:hAnsi="Arial" w:cs="Arial"/>
                <w:sz w:val="12"/>
                <w:szCs w:val="12"/>
              </w:rPr>
            </w:pPr>
          </w:p>
        </w:tc>
        <w:tc>
          <w:tcPr>
            <w:tcW w:w="630" w:type="dxa"/>
            <w:tcBorders>
              <w:top w:val="nil"/>
              <w:left w:val="nil"/>
              <w:right w:val="nil"/>
            </w:tcBorders>
            <w:shd w:val="clear" w:color="auto" w:fill="auto"/>
            <w:noWrap/>
            <w:vAlign w:val="center"/>
          </w:tcPr>
          <w:p w14:paraId="298A9747" w14:textId="77777777" w:rsidR="000C1E37" w:rsidRPr="008174E3" w:rsidRDefault="000C1E37" w:rsidP="00802D00">
            <w:pPr>
              <w:jc w:val="right"/>
              <w:rPr>
                <w:rFonts w:ascii="Arial" w:hAnsi="Arial" w:cs="Arial"/>
                <w:sz w:val="12"/>
                <w:szCs w:val="12"/>
              </w:rPr>
            </w:pPr>
          </w:p>
        </w:tc>
        <w:tc>
          <w:tcPr>
            <w:tcW w:w="711" w:type="dxa"/>
            <w:tcBorders>
              <w:top w:val="nil"/>
              <w:left w:val="nil"/>
              <w:right w:val="nil"/>
            </w:tcBorders>
            <w:shd w:val="clear" w:color="auto" w:fill="auto"/>
            <w:noWrap/>
            <w:vAlign w:val="center"/>
            <w:hideMark/>
          </w:tcPr>
          <w:p w14:paraId="44DA509E" w14:textId="262F36B9" w:rsidR="000C1E37" w:rsidRPr="008174E3" w:rsidRDefault="000C1E37" w:rsidP="00802D00">
            <w:pPr>
              <w:jc w:val="right"/>
              <w:rPr>
                <w:rFonts w:ascii="Arial" w:hAnsi="Arial" w:cs="Arial"/>
                <w:sz w:val="12"/>
                <w:szCs w:val="12"/>
              </w:rPr>
            </w:pPr>
            <w:r w:rsidRPr="000C1E37">
              <w:rPr>
                <w:rFonts w:ascii="Arial" w:hAnsi="Arial" w:cs="Arial"/>
                <w:sz w:val="12"/>
                <w:szCs w:val="12"/>
              </w:rPr>
              <w:t>55</w:t>
            </w:r>
            <w:r>
              <w:rPr>
                <w:rFonts w:ascii="Arial" w:hAnsi="Arial" w:cs="Arial"/>
                <w:sz w:val="12"/>
                <w:szCs w:val="12"/>
              </w:rPr>
              <w:t>,</w:t>
            </w:r>
            <w:r w:rsidRPr="000C1E37">
              <w:rPr>
                <w:rFonts w:ascii="Arial" w:hAnsi="Arial" w:cs="Arial"/>
                <w:sz w:val="12"/>
                <w:szCs w:val="12"/>
              </w:rPr>
              <w:t>16</w:t>
            </w:r>
          </w:p>
        </w:tc>
      </w:tr>
      <w:tr w:rsidR="000C1E37" w:rsidRPr="008174E3" w14:paraId="1DC84793" w14:textId="77777777" w:rsidTr="00802D00">
        <w:trPr>
          <w:trHeight w:val="300"/>
          <w:jc w:val="center"/>
        </w:trPr>
        <w:tc>
          <w:tcPr>
            <w:tcW w:w="270" w:type="dxa"/>
            <w:tcBorders>
              <w:top w:val="nil"/>
              <w:left w:val="nil"/>
              <w:bottom w:val="single" w:sz="4" w:space="0" w:color="auto"/>
              <w:right w:val="nil"/>
            </w:tcBorders>
          </w:tcPr>
          <w:p w14:paraId="3A13DD29" w14:textId="446654D6" w:rsidR="000C1E37" w:rsidRPr="008174E3" w:rsidRDefault="000C1E37" w:rsidP="000C1E37">
            <w:pPr>
              <w:rPr>
                <w:rFonts w:ascii="Arial" w:hAnsi="Arial" w:cs="Arial"/>
                <w:b/>
                <w:sz w:val="12"/>
                <w:szCs w:val="12"/>
              </w:rPr>
            </w:pPr>
            <w:r w:rsidRPr="008174E3">
              <w:rPr>
                <w:rFonts w:ascii="Arial" w:hAnsi="Arial" w:cs="Arial"/>
                <w:b/>
                <w:sz w:val="12"/>
                <w:szCs w:val="12"/>
              </w:rPr>
              <w:t>E</w:t>
            </w:r>
          </w:p>
        </w:tc>
        <w:tc>
          <w:tcPr>
            <w:tcW w:w="2160" w:type="dxa"/>
            <w:tcBorders>
              <w:top w:val="nil"/>
              <w:left w:val="nil"/>
              <w:bottom w:val="single" w:sz="4" w:space="0" w:color="auto"/>
              <w:right w:val="nil"/>
            </w:tcBorders>
            <w:shd w:val="clear" w:color="auto" w:fill="auto"/>
            <w:noWrap/>
          </w:tcPr>
          <w:p w14:paraId="4DDCB7F4" w14:textId="6D92F6D3" w:rsidR="000C1E37" w:rsidRPr="008174E3" w:rsidRDefault="000C1E37" w:rsidP="000C1E37">
            <w:pPr>
              <w:rPr>
                <w:rFonts w:ascii="Arial" w:hAnsi="Arial" w:cs="Arial"/>
                <w:sz w:val="12"/>
                <w:szCs w:val="12"/>
              </w:rPr>
            </w:pPr>
            <w:r w:rsidRPr="008174E3">
              <w:rPr>
                <w:rFonts w:ascii="Arial" w:hAnsi="Arial" w:cs="Arial"/>
                <w:sz w:val="12"/>
                <w:szCs w:val="12"/>
              </w:rPr>
              <w:t>Costos Directos en VPN del C2</w:t>
            </w:r>
          </w:p>
        </w:tc>
        <w:tc>
          <w:tcPr>
            <w:tcW w:w="630" w:type="dxa"/>
            <w:tcBorders>
              <w:top w:val="nil"/>
              <w:left w:val="nil"/>
              <w:bottom w:val="single" w:sz="4" w:space="0" w:color="auto"/>
              <w:right w:val="nil"/>
            </w:tcBorders>
            <w:shd w:val="clear" w:color="auto" w:fill="auto"/>
            <w:noWrap/>
            <w:vAlign w:val="center"/>
          </w:tcPr>
          <w:p w14:paraId="2789EF39" w14:textId="1E0EF0B9" w:rsidR="000C1E37" w:rsidRPr="008174E3" w:rsidRDefault="000C1E37" w:rsidP="00802D00">
            <w:pPr>
              <w:jc w:val="right"/>
              <w:rPr>
                <w:rFonts w:ascii="Arial" w:hAnsi="Arial" w:cs="Arial"/>
                <w:sz w:val="12"/>
                <w:szCs w:val="12"/>
              </w:rPr>
            </w:pPr>
            <w:r w:rsidRPr="000C1E37">
              <w:rPr>
                <w:rFonts w:ascii="Arial" w:hAnsi="Arial" w:cs="Arial"/>
                <w:sz w:val="12"/>
                <w:szCs w:val="12"/>
              </w:rPr>
              <w:t>26</w:t>
            </w:r>
            <w:r>
              <w:rPr>
                <w:rFonts w:ascii="Arial" w:hAnsi="Arial" w:cs="Arial"/>
                <w:sz w:val="12"/>
                <w:szCs w:val="12"/>
              </w:rPr>
              <w:t>,</w:t>
            </w:r>
            <w:r w:rsidRPr="000C1E37">
              <w:rPr>
                <w:rFonts w:ascii="Arial" w:hAnsi="Arial" w:cs="Arial"/>
                <w:sz w:val="12"/>
                <w:szCs w:val="12"/>
              </w:rPr>
              <w:t>00</w:t>
            </w:r>
          </w:p>
        </w:tc>
        <w:tc>
          <w:tcPr>
            <w:tcW w:w="540" w:type="dxa"/>
            <w:tcBorders>
              <w:top w:val="nil"/>
              <w:left w:val="nil"/>
              <w:bottom w:val="single" w:sz="4" w:space="0" w:color="auto"/>
              <w:right w:val="nil"/>
            </w:tcBorders>
            <w:shd w:val="clear" w:color="auto" w:fill="auto"/>
            <w:noWrap/>
            <w:vAlign w:val="center"/>
          </w:tcPr>
          <w:p w14:paraId="71AB208A" w14:textId="2DEA87A8" w:rsidR="000C1E37" w:rsidRPr="008174E3" w:rsidRDefault="000C1E37" w:rsidP="00802D00">
            <w:pPr>
              <w:jc w:val="right"/>
              <w:rPr>
                <w:rFonts w:ascii="Arial" w:hAnsi="Arial" w:cs="Arial"/>
                <w:sz w:val="12"/>
                <w:szCs w:val="12"/>
              </w:rPr>
            </w:pPr>
            <w:r w:rsidRPr="000C1E37">
              <w:rPr>
                <w:rFonts w:ascii="Arial" w:hAnsi="Arial" w:cs="Arial"/>
                <w:sz w:val="12"/>
                <w:szCs w:val="12"/>
              </w:rPr>
              <w:t>23</w:t>
            </w:r>
            <w:r>
              <w:rPr>
                <w:rFonts w:ascii="Arial" w:hAnsi="Arial" w:cs="Arial"/>
                <w:sz w:val="12"/>
                <w:szCs w:val="12"/>
              </w:rPr>
              <w:t>,</w:t>
            </w:r>
            <w:r w:rsidRPr="000C1E37">
              <w:rPr>
                <w:rFonts w:ascii="Arial" w:hAnsi="Arial" w:cs="Arial"/>
                <w:sz w:val="12"/>
                <w:szCs w:val="12"/>
              </w:rPr>
              <w:t>21</w:t>
            </w:r>
          </w:p>
        </w:tc>
        <w:tc>
          <w:tcPr>
            <w:tcW w:w="548" w:type="dxa"/>
            <w:tcBorders>
              <w:top w:val="nil"/>
              <w:left w:val="nil"/>
              <w:bottom w:val="single" w:sz="4" w:space="0" w:color="auto"/>
              <w:right w:val="nil"/>
            </w:tcBorders>
            <w:shd w:val="clear" w:color="auto" w:fill="auto"/>
            <w:noWrap/>
            <w:vAlign w:val="center"/>
          </w:tcPr>
          <w:p w14:paraId="4D0C4F3C" w14:textId="05924DA4" w:rsidR="000C1E37" w:rsidRPr="008174E3" w:rsidRDefault="000C1E37" w:rsidP="00802D00">
            <w:pPr>
              <w:jc w:val="right"/>
              <w:rPr>
                <w:rFonts w:ascii="Arial" w:hAnsi="Arial" w:cs="Arial"/>
                <w:sz w:val="12"/>
                <w:szCs w:val="12"/>
              </w:rPr>
            </w:pPr>
            <w:r w:rsidRPr="000C1E37">
              <w:rPr>
                <w:rFonts w:ascii="Arial" w:hAnsi="Arial" w:cs="Arial"/>
                <w:sz w:val="12"/>
                <w:szCs w:val="12"/>
              </w:rPr>
              <w:t>20</w:t>
            </w:r>
            <w:r>
              <w:rPr>
                <w:rFonts w:ascii="Arial" w:hAnsi="Arial" w:cs="Arial"/>
                <w:sz w:val="12"/>
                <w:szCs w:val="12"/>
              </w:rPr>
              <w:t>,</w:t>
            </w:r>
            <w:r w:rsidRPr="000C1E37">
              <w:rPr>
                <w:rFonts w:ascii="Arial" w:hAnsi="Arial" w:cs="Arial"/>
                <w:sz w:val="12"/>
                <w:szCs w:val="12"/>
              </w:rPr>
              <w:t>73</w:t>
            </w:r>
          </w:p>
        </w:tc>
        <w:tc>
          <w:tcPr>
            <w:tcW w:w="606" w:type="dxa"/>
            <w:tcBorders>
              <w:top w:val="nil"/>
              <w:left w:val="nil"/>
              <w:bottom w:val="single" w:sz="4" w:space="0" w:color="auto"/>
              <w:right w:val="nil"/>
            </w:tcBorders>
            <w:shd w:val="clear" w:color="auto" w:fill="auto"/>
            <w:noWrap/>
            <w:vAlign w:val="center"/>
          </w:tcPr>
          <w:p w14:paraId="6C48896F" w14:textId="5500B496" w:rsidR="000C1E37" w:rsidRPr="008174E3" w:rsidRDefault="000C1E37" w:rsidP="00802D00">
            <w:pPr>
              <w:jc w:val="right"/>
              <w:rPr>
                <w:rFonts w:ascii="Arial" w:hAnsi="Arial" w:cs="Arial"/>
                <w:sz w:val="12"/>
                <w:szCs w:val="12"/>
              </w:rPr>
            </w:pPr>
            <w:r w:rsidRPr="000C1E37">
              <w:rPr>
                <w:rFonts w:ascii="Arial" w:hAnsi="Arial" w:cs="Arial"/>
                <w:sz w:val="12"/>
                <w:szCs w:val="12"/>
              </w:rPr>
              <w:t>18</w:t>
            </w:r>
            <w:r>
              <w:rPr>
                <w:rFonts w:ascii="Arial" w:hAnsi="Arial" w:cs="Arial"/>
                <w:sz w:val="12"/>
                <w:szCs w:val="12"/>
              </w:rPr>
              <w:t>,</w:t>
            </w:r>
            <w:r w:rsidRPr="000C1E37">
              <w:rPr>
                <w:rFonts w:ascii="Arial" w:hAnsi="Arial" w:cs="Arial"/>
                <w:sz w:val="12"/>
                <w:szCs w:val="12"/>
              </w:rPr>
              <w:t>51</w:t>
            </w:r>
          </w:p>
        </w:tc>
        <w:tc>
          <w:tcPr>
            <w:tcW w:w="675" w:type="dxa"/>
            <w:tcBorders>
              <w:top w:val="nil"/>
              <w:left w:val="nil"/>
              <w:bottom w:val="single" w:sz="4" w:space="0" w:color="auto"/>
              <w:right w:val="nil"/>
            </w:tcBorders>
            <w:shd w:val="clear" w:color="auto" w:fill="auto"/>
            <w:noWrap/>
            <w:vAlign w:val="center"/>
          </w:tcPr>
          <w:p w14:paraId="35CD62F5" w14:textId="44B89C77" w:rsidR="000C1E37" w:rsidRPr="008174E3" w:rsidRDefault="000C1E37" w:rsidP="00802D00">
            <w:pPr>
              <w:jc w:val="right"/>
              <w:rPr>
                <w:rFonts w:ascii="Arial" w:hAnsi="Arial" w:cs="Arial"/>
                <w:sz w:val="12"/>
                <w:szCs w:val="12"/>
              </w:rPr>
            </w:pPr>
            <w:r w:rsidRPr="000C1E37">
              <w:rPr>
                <w:rFonts w:ascii="Arial" w:hAnsi="Arial" w:cs="Arial"/>
                <w:sz w:val="12"/>
                <w:szCs w:val="12"/>
              </w:rPr>
              <w:t>16</w:t>
            </w:r>
            <w:r>
              <w:rPr>
                <w:rFonts w:ascii="Arial" w:hAnsi="Arial" w:cs="Arial"/>
                <w:sz w:val="12"/>
                <w:szCs w:val="12"/>
              </w:rPr>
              <w:t>,</w:t>
            </w:r>
            <w:r w:rsidRPr="000C1E37">
              <w:rPr>
                <w:rFonts w:ascii="Arial" w:hAnsi="Arial" w:cs="Arial"/>
                <w:sz w:val="12"/>
                <w:szCs w:val="12"/>
              </w:rPr>
              <w:t>52</w:t>
            </w:r>
          </w:p>
        </w:tc>
        <w:tc>
          <w:tcPr>
            <w:tcW w:w="585" w:type="dxa"/>
            <w:tcBorders>
              <w:top w:val="nil"/>
              <w:left w:val="nil"/>
              <w:bottom w:val="single" w:sz="4" w:space="0" w:color="auto"/>
              <w:right w:val="nil"/>
            </w:tcBorders>
            <w:shd w:val="clear" w:color="auto" w:fill="auto"/>
            <w:noWrap/>
            <w:vAlign w:val="center"/>
          </w:tcPr>
          <w:p w14:paraId="235A1FC1" w14:textId="77777777" w:rsidR="000C1E37" w:rsidRPr="008174E3" w:rsidRDefault="000C1E37" w:rsidP="00802D00">
            <w:pPr>
              <w:jc w:val="right"/>
              <w:rPr>
                <w:rFonts w:ascii="Arial" w:hAnsi="Arial" w:cs="Arial"/>
                <w:sz w:val="12"/>
                <w:szCs w:val="12"/>
              </w:rPr>
            </w:pPr>
          </w:p>
        </w:tc>
        <w:tc>
          <w:tcPr>
            <w:tcW w:w="648" w:type="dxa"/>
            <w:tcBorders>
              <w:top w:val="nil"/>
              <w:left w:val="nil"/>
              <w:bottom w:val="single" w:sz="4" w:space="0" w:color="auto"/>
              <w:right w:val="nil"/>
            </w:tcBorders>
            <w:shd w:val="clear" w:color="auto" w:fill="auto"/>
            <w:noWrap/>
            <w:vAlign w:val="center"/>
          </w:tcPr>
          <w:p w14:paraId="53810548" w14:textId="77777777" w:rsidR="000C1E37" w:rsidRPr="008174E3" w:rsidRDefault="000C1E37" w:rsidP="00802D00">
            <w:pPr>
              <w:jc w:val="right"/>
              <w:rPr>
                <w:rFonts w:ascii="Arial" w:hAnsi="Arial" w:cs="Arial"/>
                <w:sz w:val="12"/>
                <w:szCs w:val="12"/>
              </w:rPr>
            </w:pPr>
          </w:p>
        </w:tc>
        <w:tc>
          <w:tcPr>
            <w:tcW w:w="538" w:type="dxa"/>
            <w:tcBorders>
              <w:top w:val="nil"/>
              <w:left w:val="nil"/>
              <w:bottom w:val="single" w:sz="4" w:space="0" w:color="auto"/>
              <w:right w:val="nil"/>
            </w:tcBorders>
            <w:shd w:val="clear" w:color="auto" w:fill="auto"/>
            <w:noWrap/>
            <w:vAlign w:val="center"/>
          </w:tcPr>
          <w:p w14:paraId="17B470A7" w14:textId="77777777" w:rsidR="000C1E37" w:rsidRPr="008174E3" w:rsidRDefault="000C1E37" w:rsidP="00802D00">
            <w:pPr>
              <w:jc w:val="right"/>
              <w:rPr>
                <w:rFonts w:ascii="Arial" w:hAnsi="Arial" w:cs="Arial"/>
                <w:sz w:val="12"/>
                <w:szCs w:val="12"/>
              </w:rPr>
            </w:pPr>
          </w:p>
        </w:tc>
        <w:tc>
          <w:tcPr>
            <w:tcW w:w="540" w:type="dxa"/>
            <w:tcBorders>
              <w:top w:val="nil"/>
              <w:left w:val="nil"/>
              <w:bottom w:val="single" w:sz="4" w:space="0" w:color="auto"/>
              <w:right w:val="nil"/>
            </w:tcBorders>
            <w:shd w:val="clear" w:color="auto" w:fill="auto"/>
            <w:noWrap/>
            <w:vAlign w:val="center"/>
          </w:tcPr>
          <w:p w14:paraId="005273D0" w14:textId="77777777" w:rsidR="000C1E37" w:rsidRPr="008174E3" w:rsidRDefault="000C1E37" w:rsidP="00802D00">
            <w:pPr>
              <w:jc w:val="right"/>
              <w:rPr>
                <w:rFonts w:ascii="Arial" w:hAnsi="Arial" w:cs="Arial"/>
                <w:sz w:val="12"/>
                <w:szCs w:val="12"/>
              </w:rPr>
            </w:pPr>
          </w:p>
        </w:tc>
        <w:tc>
          <w:tcPr>
            <w:tcW w:w="630" w:type="dxa"/>
            <w:tcBorders>
              <w:top w:val="nil"/>
              <w:left w:val="nil"/>
              <w:bottom w:val="single" w:sz="4" w:space="0" w:color="auto"/>
              <w:right w:val="nil"/>
            </w:tcBorders>
            <w:shd w:val="clear" w:color="auto" w:fill="auto"/>
            <w:noWrap/>
            <w:vAlign w:val="center"/>
          </w:tcPr>
          <w:p w14:paraId="7631AE6D" w14:textId="77777777" w:rsidR="000C1E37" w:rsidRPr="008174E3" w:rsidRDefault="000C1E37" w:rsidP="00802D00">
            <w:pPr>
              <w:jc w:val="right"/>
              <w:rPr>
                <w:rFonts w:ascii="Arial" w:hAnsi="Arial" w:cs="Arial"/>
                <w:sz w:val="12"/>
                <w:szCs w:val="12"/>
              </w:rPr>
            </w:pPr>
          </w:p>
        </w:tc>
        <w:tc>
          <w:tcPr>
            <w:tcW w:w="630" w:type="dxa"/>
            <w:tcBorders>
              <w:top w:val="nil"/>
              <w:left w:val="nil"/>
              <w:bottom w:val="single" w:sz="4" w:space="0" w:color="auto"/>
              <w:right w:val="nil"/>
            </w:tcBorders>
            <w:shd w:val="clear" w:color="auto" w:fill="auto"/>
            <w:noWrap/>
            <w:vAlign w:val="center"/>
          </w:tcPr>
          <w:p w14:paraId="6AFD90D2" w14:textId="77777777" w:rsidR="000C1E37" w:rsidRPr="008174E3" w:rsidRDefault="000C1E37" w:rsidP="00802D00">
            <w:pPr>
              <w:jc w:val="right"/>
              <w:rPr>
                <w:rFonts w:ascii="Arial" w:hAnsi="Arial" w:cs="Arial"/>
                <w:sz w:val="12"/>
                <w:szCs w:val="12"/>
              </w:rPr>
            </w:pPr>
          </w:p>
        </w:tc>
        <w:tc>
          <w:tcPr>
            <w:tcW w:w="630" w:type="dxa"/>
            <w:tcBorders>
              <w:top w:val="nil"/>
              <w:left w:val="nil"/>
              <w:bottom w:val="single" w:sz="4" w:space="0" w:color="auto"/>
              <w:right w:val="nil"/>
            </w:tcBorders>
            <w:shd w:val="clear" w:color="auto" w:fill="auto"/>
            <w:noWrap/>
            <w:vAlign w:val="center"/>
          </w:tcPr>
          <w:p w14:paraId="1CA9AEDE" w14:textId="77777777" w:rsidR="000C1E37" w:rsidRPr="008174E3" w:rsidRDefault="000C1E37" w:rsidP="00802D00">
            <w:pPr>
              <w:jc w:val="right"/>
              <w:rPr>
                <w:rFonts w:ascii="Arial" w:hAnsi="Arial" w:cs="Arial"/>
                <w:sz w:val="12"/>
                <w:szCs w:val="12"/>
              </w:rPr>
            </w:pPr>
          </w:p>
        </w:tc>
        <w:tc>
          <w:tcPr>
            <w:tcW w:w="630" w:type="dxa"/>
            <w:tcBorders>
              <w:top w:val="nil"/>
              <w:left w:val="nil"/>
              <w:bottom w:val="single" w:sz="4" w:space="0" w:color="auto"/>
              <w:right w:val="nil"/>
            </w:tcBorders>
            <w:shd w:val="clear" w:color="auto" w:fill="auto"/>
            <w:noWrap/>
            <w:vAlign w:val="center"/>
          </w:tcPr>
          <w:p w14:paraId="34A647C0" w14:textId="77777777" w:rsidR="000C1E37" w:rsidRPr="008174E3" w:rsidRDefault="000C1E37" w:rsidP="00802D00">
            <w:pPr>
              <w:jc w:val="right"/>
              <w:rPr>
                <w:rFonts w:ascii="Arial" w:hAnsi="Arial" w:cs="Arial"/>
                <w:sz w:val="12"/>
                <w:szCs w:val="12"/>
              </w:rPr>
            </w:pPr>
          </w:p>
        </w:tc>
        <w:tc>
          <w:tcPr>
            <w:tcW w:w="630" w:type="dxa"/>
            <w:tcBorders>
              <w:top w:val="nil"/>
              <w:left w:val="nil"/>
              <w:bottom w:val="single" w:sz="4" w:space="0" w:color="auto"/>
              <w:right w:val="nil"/>
            </w:tcBorders>
            <w:shd w:val="clear" w:color="auto" w:fill="auto"/>
            <w:noWrap/>
            <w:vAlign w:val="center"/>
          </w:tcPr>
          <w:p w14:paraId="6A1B6711" w14:textId="77777777" w:rsidR="000C1E37" w:rsidRPr="008174E3" w:rsidRDefault="000C1E37" w:rsidP="00802D00">
            <w:pPr>
              <w:jc w:val="right"/>
              <w:rPr>
                <w:rFonts w:ascii="Arial" w:hAnsi="Arial" w:cs="Arial"/>
                <w:sz w:val="12"/>
                <w:szCs w:val="12"/>
              </w:rPr>
            </w:pPr>
          </w:p>
        </w:tc>
        <w:tc>
          <w:tcPr>
            <w:tcW w:w="711" w:type="dxa"/>
            <w:tcBorders>
              <w:top w:val="nil"/>
              <w:left w:val="nil"/>
              <w:bottom w:val="single" w:sz="4" w:space="0" w:color="auto"/>
              <w:right w:val="nil"/>
            </w:tcBorders>
            <w:shd w:val="clear" w:color="auto" w:fill="auto"/>
            <w:noWrap/>
            <w:vAlign w:val="center"/>
          </w:tcPr>
          <w:p w14:paraId="384DDA9B" w14:textId="250EAD14" w:rsidR="000C1E37" w:rsidRPr="008174E3" w:rsidRDefault="000C1E37" w:rsidP="00802D00">
            <w:pPr>
              <w:jc w:val="right"/>
              <w:rPr>
                <w:rFonts w:ascii="Arial" w:hAnsi="Arial" w:cs="Arial"/>
                <w:sz w:val="12"/>
                <w:szCs w:val="12"/>
              </w:rPr>
            </w:pPr>
            <w:r w:rsidRPr="000C1E37">
              <w:rPr>
                <w:rFonts w:ascii="Arial" w:hAnsi="Arial" w:cs="Arial"/>
                <w:sz w:val="12"/>
                <w:szCs w:val="12"/>
              </w:rPr>
              <w:t>104</w:t>
            </w:r>
            <w:r>
              <w:rPr>
                <w:rFonts w:ascii="Arial" w:hAnsi="Arial" w:cs="Arial"/>
                <w:sz w:val="12"/>
                <w:szCs w:val="12"/>
              </w:rPr>
              <w:t>,</w:t>
            </w:r>
            <w:r w:rsidRPr="000C1E37">
              <w:rPr>
                <w:rFonts w:ascii="Arial" w:hAnsi="Arial" w:cs="Arial"/>
                <w:sz w:val="12"/>
                <w:szCs w:val="12"/>
              </w:rPr>
              <w:t>97</w:t>
            </w:r>
          </w:p>
        </w:tc>
      </w:tr>
      <w:tr w:rsidR="000C1E37" w:rsidRPr="008174E3" w14:paraId="240A7AA4" w14:textId="77777777" w:rsidTr="00802D00">
        <w:trPr>
          <w:trHeight w:val="300"/>
          <w:jc w:val="center"/>
        </w:trPr>
        <w:tc>
          <w:tcPr>
            <w:tcW w:w="270" w:type="dxa"/>
            <w:tcBorders>
              <w:top w:val="single" w:sz="4" w:space="0" w:color="auto"/>
              <w:left w:val="nil"/>
              <w:right w:val="nil"/>
            </w:tcBorders>
          </w:tcPr>
          <w:p w14:paraId="693FCC12" w14:textId="52E80C54" w:rsidR="000C1E37" w:rsidRPr="008174E3" w:rsidRDefault="000C1E37" w:rsidP="000C1E37">
            <w:pPr>
              <w:rPr>
                <w:rFonts w:ascii="Arial" w:hAnsi="Arial" w:cs="Arial"/>
                <w:b/>
                <w:sz w:val="12"/>
                <w:szCs w:val="12"/>
              </w:rPr>
            </w:pPr>
            <w:r w:rsidRPr="008174E3">
              <w:rPr>
                <w:rFonts w:ascii="Arial" w:hAnsi="Arial" w:cs="Arial"/>
                <w:b/>
                <w:sz w:val="12"/>
                <w:szCs w:val="12"/>
              </w:rPr>
              <w:t>T</w:t>
            </w:r>
          </w:p>
        </w:tc>
        <w:tc>
          <w:tcPr>
            <w:tcW w:w="2160" w:type="dxa"/>
            <w:tcBorders>
              <w:top w:val="single" w:sz="4" w:space="0" w:color="auto"/>
              <w:left w:val="nil"/>
              <w:right w:val="nil"/>
            </w:tcBorders>
            <w:shd w:val="clear" w:color="auto" w:fill="auto"/>
            <w:noWrap/>
            <w:hideMark/>
          </w:tcPr>
          <w:p w14:paraId="6C6802D2" w14:textId="271845F0" w:rsidR="000C1E37" w:rsidRPr="008174E3" w:rsidRDefault="000C1E37" w:rsidP="000C1E37">
            <w:pPr>
              <w:rPr>
                <w:rFonts w:ascii="Arial" w:hAnsi="Arial" w:cs="Arial"/>
                <w:b/>
                <w:sz w:val="12"/>
                <w:szCs w:val="12"/>
              </w:rPr>
            </w:pPr>
            <w:r w:rsidRPr="008174E3">
              <w:rPr>
                <w:rFonts w:ascii="Arial" w:hAnsi="Arial" w:cs="Arial"/>
                <w:b/>
                <w:sz w:val="12"/>
                <w:szCs w:val="12"/>
              </w:rPr>
              <w:t>Beneficios Netos en VPN</w:t>
            </w:r>
          </w:p>
          <w:p w14:paraId="276E8F05" w14:textId="79F98522" w:rsidR="000C1E37" w:rsidRPr="008174E3" w:rsidRDefault="000C1E37" w:rsidP="000C1E37">
            <w:pPr>
              <w:rPr>
                <w:rFonts w:ascii="Arial" w:hAnsi="Arial" w:cs="Arial"/>
                <w:b/>
                <w:color w:val="000000"/>
                <w:sz w:val="12"/>
                <w:szCs w:val="12"/>
              </w:rPr>
            </w:pPr>
            <w:r w:rsidRPr="008174E3">
              <w:rPr>
                <w:rFonts w:ascii="Arial" w:hAnsi="Arial" w:cs="Arial"/>
                <w:b/>
                <w:sz w:val="12"/>
                <w:szCs w:val="12"/>
              </w:rPr>
              <w:t>(A+B-C-D-E)</w:t>
            </w:r>
          </w:p>
        </w:tc>
        <w:tc>
          <w:tcPr>
            <w:tcW w:w="630" w:type="dxa"/>
            <w:tcBorders>
              <w:top w:val="single" w:sz="4" w:space="0" w:color="auto"/>
              <w:left w:val="nil"/>
              <w:right w:val="nil"/>
            </w:tcBorders>
            <w:shd w:val="clear" w:color="auto" w:fill="auto"/>
            <w:noWrap/>
            <w:vAlign w:val="center"/>
            <w:hideMark/>
          </w:tcPr>
          <w:p w14:paraId="57718AA2" w14:textId="48452A24" w:rsidR="000C1E37" w:rsidRPr="008174E3" w:rsidRDefault="000C1E37" w:rsidP="00802D00">
            <w:pPr>
              <w:jc w:val="right"/>
              <w:rPr>
                <w:rFonts w:ascii="Arial" w:hAnsi="Arial" w:cs="Arial"/>
                <w:sz w:val="12"/>
                <w:szCs w:val="12"/>
              </w:rPr>
            </w:pPr>
            <w:r w:rsidRPr="000C1E37">
              <w:rPr>
                <w:rFonts w:ascii="Arial" w:hAnsi="Arial" w:cs="Arial"/>
                <w:sz w:val="12"/>
                <w:szCs w:val="12"/>
              </w:rPr>
              <w:t>-23</w:t>
            </w:r>
            <w:r>
              <w:rPr>
                <w:rFonts w:ascii="Arial" w:hAnsi="Arial" w:cs="Arial"/>
                <w:sz w:val="12"/>
                <w:szCs w:val="12"/>
              </w:rPr>
              <w:t>,</w:t>
            </w:r>
            <w:r w:rsidRPr="000C1E37">
              <w:rPr>
                <w:rFonts w:ascii="Arial" w:hAnsi="Arial" w:cs="Arial"/>
                <w:sz w:val="12"/>
                <w:szCs w:val="12"/>
              </w:rPr>
              <w:t>25</w:t>
            </w:r>
          </w:p>
        </w:tc>
        <w:tc>
          <w:tcPr>
            <w:tcW w:w="540" w:type="dxa"/>
            <w:tcBorders>
              <w:top w:val="single" w:sz="4" w:space="0" w:color="auto"/>
              <w:left w:val="nil"/>
              <w:right w:val="nil"/>
            </w:tcBorders>
            <w:shd w:val="clear" w:color="auto" w:fill="auto"/>
            <w:noWrap/>
            <w:vAlign w:val="center"/>
            <w:hideMark/>
          </w:tcPr>
          <w:p w14:paraId="39E03E32" w14:textId="490CD7C9" w:rsidR="000C1E37" w:rsidRPr="008174E3" w:rsidRDefault="000C1E37" w:rsidP="00802D00">
            <w:pPr>
              <w:jc w:val="right"/>
              <w:rPr>
                <w:rFonts w:ascii="Arial" w:hAnsi="Arial" w:cs="Arial"/>
                <w:sz w:val="12"/>
                <w:szCs w:val="12"/>
              </w:rPr>
            </w:pPr>
            <w:r w:rsidRPr="000C1E37">
              <w:rPr>
                <w:rFonts w:ascii="Arial" w:hAnsi="Arial" w:cs="Arial"/>
                <w:sz w:val="12"/>
                <w:szCs w:val="12"/>
              </w:rPr>
              <w:t>0</w:t>
            </w:r>
            <w:r>
              <w:rPr>
                <w:rFonts w:ascii="Arial" w:hAnsi="Arial" w:cs="Arial"/>
                <w:sz w:val="12"/>
                <w:szCs w:val="12"/>
              </w:rPr>
              <w:t>,</w:t>
            </w:r>
            <w:r w:rsidRPr="000C1E37">
              <w:rPr>
                <w:rFonts w:ascii="Arial" w:hAnsi="Arial" w:cs="Arial"/>
                <w:sz w:val="12"/>
                <w:szCs w:val="12"/>
              </w:rPr>
              <w:t>41</w:t>
            </w:r>
          </w:p>
        </w:tc>
        <w:tc>
          <w:tcPr>
            <w:tcW w:w="548" w:type="dxa"/>
            <w:tcBorders>
              <w:top w:val="single" w:sz="4" w:space="0" w:color="auto"/>
              <w:left w:val="nil"/>
              <w:right w:val="nil"/>
            </w:tcBorders>
            <w:shd w:val="clear" w:color="auto" w:fill="auto"/>
            <w:noWrap/>
            <w:vAlign w:val="center"/>
            <w:hideMark/>
          </w:tcPr>
          <w:p w14:paraId="6ABED9BB" w14:textId="1AC2A114" w:rsidR="000C1E37" w:rsidRPr="008174E3" w:rsidRDefault="000C1E37" w:rsidP="00802D00">
            <w:pPr>
              <w:jc w:val="right"/>
              <w:rPr>
                <w:rFonts w:ascii="Arial" w:hAnsi="Arial" w:cs="Arial"/>
                <w:sz w:val="12"/>
                <w:szCs w:val="12"/>
              </w:rPr>
            </w:pPr>
            <w:r w:rsidRPr="000C1E37">
              <w:rPr>
                <w:rFonts w:ascii="Arial" w:hAnsi="Arial" w:cs="Arial"/>
                <w:sz w:val="12"/>
                <w:szCs w:val="12"/>
              </w:rPr>
              <w:t>4</w:t>
            </w:r>
            <w:r>
              <w:rPr>
                <w:rFonts w:ascii="Arial" w:hAnsi="Arial" w:cs="Arial"/>
                <w:sz w:val="12"/>
                <w:szCs w:val="12"/>
              </w:rPr>
              <w:t>,</w:t>
            </w:r>
            <w:r w:rsidRPr="000C1E37">
              <w:rPr>
                <w:rFonts w:ascii="Arial" w:hAnsi="Arial" w:cs="Arial"/>
                <w:sz w:val="12"/>
                <w:szCs w:val="12"/>
              </w:rPr>
              <w:t>50</w:t>
            </w:r>
          </w:p>
        </w:tc>
        <w:tc>
          <w:tcPr>
            <w:tcW w:w="606" w:type="dxa"/>
            <w:tcBorders>
              <w:top w:val="single" w:sz="4" w:space="0" w:color="auto"/>
              <w:left w:val="nil"/>
              <w:right w:val="nil"/>
            </w:tcBorders>
            <w:shd w:val="clear" w:color="auto" w:fill="auto"/>
            <w:noWrap/>
            <w:vAlign w:val="center"/>
            <w:hideMark/>
          </w:tcPr>
          <w:p w14:paraId="36B3C568" w14:textId="1786173B" w:rsidR="000C1E37" w:rsidRPr="008174E3" w:rsidRDefault="000C1E37" w:rsidP="00802D00">
            <w:pPr>
              <w:jc w:val="right"/>
              <w:rPr>
                <w:rFonts w:ascii="Arial" w:hAnsi="Arial" w:cs="Arial"/>
                <w:sz w:val="12"/>
                <w:szCs w:val="12"/>
              </w:rPr>
            </w:pPr>
            <w:r w:rsidRPr="000C1E37">
              <w:rPr>
                <w:rFonts w:ascii="Arial" w:hAnsi="Arial" w:cs="Arial"/>
                <w:sz w:val="12"/>
                <w:szCs w:val="12"/>
              </w:rPr>
              <w:t>7</w:t>
            </w:r>
            <w:r>
              <w:rPr>
                <w:rFonts w:ascii="Arial" w:hAnsi="Arial" w:cs="Arial"/>
                <w:sz w:val="12"/>
                <w:szCs w:val="12"/>
              </w:rPr>
              <w:t>,</w:t>
            </w:r>
            <w:r w:rsidRPr="000C1E37">
              <w:rPr>
                <w:rFonts w:ascii="Arial" w:hAnsi="Arial" w:cs="Arial"/>
                <w:sz w:val="12"/>
                <w:szCs w:val="12"/>
              </w:rPr>
              <w:t>71</w:t>
            </w:r>
          </w:p>
        </w:tc>
        <w:tc>
          <w:tcPr>
            <w:tcW w:w="675" w:type="dxa"/>
            <w:tcBorders>
              <w:top w:val="single" w:sz="4" w:space="0" w:color="auto"/>
              <w:left w:val="nil"/>
              <w:right w:val="nil"/>
            </w:tcBorders>
            <w:shd w:val="clear" w:color="auto" w:fill="auto"/>
            <w:noWrap/>
            <w:vAlign w:val="center"/>
            <w:hideMark/>
          </w:tcPr>
          <w:p w14:paraId="29A904E5" w14:textId="484E4473" w:rsidR="000C1E37" w:rsidRPr="008174E3" w:rsidRDefault="000C1E37" w:rsidP="00802D00">
            <w:pPr>
              <w:jc w:val="right"/>
              <w:rPr>
                <w:rFonts w:ascii="Arial" w:hAnsi="Arial" w:cs="Arial"/>
                <w:sz w:val="12"/>
                <w:szCs w:val="12"/>
              </w:rPr>
            </w:pPr>
            <w:r w:rsidRPr="000C1E37">
              <w:rPr>
                <w:rFonts w:ascii="Arial" w:hAnsi="Arial" w:cs="Arial"/>
                <w:sz w:val="12"/>
                <w:szCs w:val="12"/>
              </w:rPr>
              <w:t>10</w:t>
            </w:r>
            <w:r>
              <w:rPr>
                <w:rFonts w:ascii="Arial" w:hAnsi="Arial" w:cs="Arial"/>
                <w:sz w:val="12"/>
                <w:szCs w:val="12"/>
              </w:rPr>
              <w:t>,</w:t>
            </w:r>
            <w:r w:rsidRPr="000C1E37">
              <w:rPr>
                <w:rFonts w:ascii="Arial" w:hAnsi="Arial" w:cs="Arial"/>
                <w:sz w:val="12"/>
                <w:szCs w:val="12"/>
              </w:rPr>
              <w:t>18</w:t>
            </w:r>
          </w:p>
        </w:tc>
        <w:tc>
          <w:tcPr>
            <w:tcW w:w="585" w:type="dxa"/>
            <w:tcBorders>
              <w:top w:val="single" w:sz="4" w:space="0" w:color="auto"/>
              <w:left w:val="nil"/>
              <w:right w:val="nil"/>
            </w:tcBorders>
            <w:shd w:val="clear" w:color="auto" w:fill="auto"/>
            <w:noWrap/>
            <w:vAlign w:val="center"/>
            <w:hideMark/>
          </w:tcPr>
          <w:p w14:paraId="542D7E10" w14:textId="3616C13A" w:rsidR="000C1E37" w:rsidRPr="008174E3" w:rsidRDefault="000C1E37" w:rsidP="00802D00">
            <w:pPr>
              <w:jc w:val="right"/>
              <w:rPr>
                <w:rFonts w:ascii="Arial" w:hAnsi="Arial" w:cs="Arial"/>
                <w:sz w:val="12"/>
                <w:szCs w:val="12"/>
              </w:rPr>
            </w:pPr>
            <w:r w:rsidRPr="000C1E37">
              <w:rPr>
                <w:rFonts w:ascii="Arial" w:hAnsi="Arial" w:cs="Arial"/>
                <w:sz w:val="12"/>
                <w:szCs w:val="12"/>
              </w:rPr>
              <w:t>25</w:t>
            </w:r>
            <w:r>
              <w:rPr>
                <w:rFonts w:ascii="Arial" w:hAnsi="Arial" w:cs="Arial"/>
                <w:sz w:val="12"/>
                <w:szCs w:val="12"/>
              </w:rPr>
              <w:t>,</w:t>
            </w:r>
            <w:r w:rsidRPr="000C1E37">
              <w:rPr>
                <w:rFonts w:ascii="Arial" w:hAnsi="Arial" w:cs="Arial"/>
                <w:sz w:val="12"/>
                <w:szCs w:val="12"/>
              </w:rPr>
              <w:t>23</w:t>
            </w:r>
          </w:p>
        </w:tc>
        <w:tc>
          <w:tcPr>
            <w:tcW w:w="648" w:type="dxa"/>
            <w:tcBorders>
              <w:top w:val="single" w:sz="4" w:space="0" w:color="auto"/>
              <w:left w:val="nil"/>
              <w:right w:val="nil"/>
            </w:tcBorders>
            <w:shd w:val="clear" w:color="auto" w:fill="auto"/>
            <w:noWrap/>
            <w:vAlign w:val="center"/>
            <w:hideMark/>
          </w:tcPr>
          <w:p w14:paraId="704A007B" w14:textId="65B18025" w:rsidR="000C1E37" w:rsidRPr="008174E3" w:rsidRDefault="000C1E37" w:rsidP="00802D00">
            <w:pPr>
              <w:jc w:val="right"/>
              <w:rPr>
                <w:rFonts w:ascii="Arial" w:hAnsi="Arial" w:cs="Arial"/>
                <w:sz w:val="12"/>
                <w:szCs w:val="12"/>
              </w:rPr>
            </w:pPr>
            <w:r w:rsidRPr="000C1E37">
              <w:rPr>
                <w:rFonts w:ascii="Arial" w:hAnsi="Arial" w:cs="Arial"/>
                <w:sz w:val="12"/>
                <w:szCs w:val="12"/>
              </w:rPr>
              <w:t>13</w:t>
            </w:r>
            <w:r>
              <w:rPr>
                <w:rFonts w:ascii="Arial" w:hAnsi="Arial" w:cs="Arial"/>
                <w:sz w:val="12"/>
                <w:szCs w:val="12"/>
              </w:rPr>
              <w:t>,</w:t>
            </w:r>
            <w:r w:rsidRPr="000C1E37">
              <w:rPr>
                <w:rFonts w:ascii="Arial" w:hAnsi="Arial" w:cs="Arial"/>
                <w:sz w:val="12"/>
                <w:szCs w:val="12"/>
              </w:rPr>
              <w:t>14</w:t>
            </w:r>
          </w:p>
        </w:tc>
        <w:tc>
          <w:tcPr>
            <w:tcW w:w="538" w:type="dxa"/>
            <w:tcBorders>
              <w:top w:val="single" w:sz="4" w:space="0" w:color="auto"/>
              <w:left w:val="nil"/>
              <w:right w:val="nil"/>
            </w:tcBorders>
            <w:shd w:val="clear" w:color="auto" w:fill="auto"/>
            <w:noWrap/>
            <w:vAlign w:val="center"/>
            <w:hideMark/>
          </w:tcPr>
          <w:p w14:paraId="62015243" w14:textId="13286439" w:rsidR="000C1E37" w:rsidRPr="008174E3" w:rsidRDefault="000C1E37" w:rsidP="00802D00">
            <w:pPr>
              <w:jc w:val="right"/>
              <w:rPr>
                <w:rFonts w:ascii="Arial" w:hAnsi="Arial" w:cs="Arial"/>
                <w:sz w:val="12"/>
                <w:szCs w:val="12"/>
              </w:rPr>
            </w:pPr>
            <w:r w:rsidRPr="000C1E37">
              <w:rPr>
                <w:rFonts w:ascii="Arial" w:hAnsi="Arial" w:cs="Arial"/>
                <w:sz w:val="12"/>
                <w:szCs w:val="12"/>
              </w:rPr>
              <w:t>11</w:t>
            </w:r>
            <w:r>
              <w:rPr>
                <w:rFonts w:ascii="Arial" w:hAnsi="Arial" w:cs="Arial"/>
                <w:sz w:val="12"/>
                <w:szCs w:val="12"/>
              </w:rPr>
              <w:t>,</w:t>
            </w:r>
            <w:r w:rsidRPr="000C1E37">
              <w:rPr>
                <w:rFonts w:ascii="Arial" w:hAnsi="Arial" w:cs="Arial"/>
                <w:sz w:val="12"/>
                <w:szCs w:val="12"/>
              </w:rPr>
              <w:t>73</w:t>
            </w:r>
          </w:p>
        </w:tc>
        <w:tc>
          <w:tcPr>
            <w:tcW w:w="540" w:type="dxa"/>
            <w:tcBorders>
              <w:top w:val="single" w:sz="4" w:space="0" w:color="auto"/>
              <w:left w:val="nil"/>
              <w:right w:val="nil"/>
            </w:tcBorders>
            <w:shd w:val="clear" w:color="auto" w:fill="auto"/>
            <w:noWrap/>
            <w:vAlign w:val="center"/>
            <w:hideMark/>
          </w:tcPr>
          <w:p w14:paraId="67BDBD9D" w14:textId="130555AE" w:rsidR="000C1E37" w:rsidRPr="008174E3" w:rsidRDefault="000C1E37" w:rsidP="00802D00">
            <w:pPr>
              <w:jc w:val="right"/>
              <w:rPr>
                <w:rFonts w:ascii="Arial" w:hAnsi="Arial" w:cs="Arial"/>
                <w:sz w:val="12"/>
                <w:szCs w:val="12"/>
              </w:rPr>
            </w:pPr>
            <w:r w:rsidRPr="000C1E37">
              <w:rPr>
                <w:rFonts w:ascii="Arial" w:hAnsi="Arial" w:cs="Arial"/>
                <w:sz w:val="12"/>
                <w:szCs w:val="12"/>
              </w:rPr>
              <w:t>10</w:t>
            </w:r>
            <w:r>
              <w:rPr>
                <w:rFonts w:ascii="Arial" w:hAnsi="Arial" w:cs="Arial"/>
                <w:sz w:val="12"/>
                <w:szCs w:val="12"/>
              </w:rPr>
              <w:t>,</w:t>
            </w:r>
            <w:r w:rsidRPr="000C1E37">
              <w:rPr>
                <w:rFonts w:ascii="Arial" w:hAnsi="Arial" w:cs="Arial"/>
                <w:sz w:val="12"/>
                <w:szCs w:val="12"/>
              </w:rPr>
              <w:t>47</w:t>
            </w:r>
          </w:p>
        </w:tc>
        <w:tc>
          <w:tcPr>
            <w:tcW w:w="630" w:type="dxa"/>
            <w:tcBorders>
              <w:top w:val="single" w:sz="4" w:space="0" w:color="auto"/>
              <w:left w:val="nil"/>
              <w:right w:val="nil"/>
            </w:tcBorders>
            <w:shd w:val="clear" w:color="auto" w:fill="auto"/>
            <w:noWrap/>
            <w:vAlign w:val="center"/>
            <w:hideMark/>
          </w:tcPr>
          <w:p w14:paraId="752011BD" w14:textId="0278294A" w:rsidR="000C1E37" w:rsidRPr="008174E3" w:rsidRDefault="000C1E37" w:rsidP="00802D00">
            <w:pPr>
              <w:jc w:val="right"/>
              <w:rPr>
                <w:rFonts w:ascii="Arial" w:hAnsi="Arial" w:cs="Arial"/>
                <w:sz w:val="12"/>
                <w:szCs w:val="12"/>
              </w:rPr>
            </w:pPr>
            <w:r w:rsidRPr="000C1E37">
              <w:rPr>
                <w:rFonts w:ascii="Arial" w:hAnsi="Arial" w:cs="Arial"/>
                <w:sz w:val="12"/>
                <w:szCs w:val="12"/>
              </w:rPr>
              <w:t>9</w:t>
            </w:r>
            <w:r>
              <w:rPr>
                <w:rFonts w:ascii="Arial" w:hAnsi="Arial" w:cs="Arial"/>
                <w:sz w:val="12"/>
                <w:szCs w:val="12"/>
              </w:rPr>
              <w:t>,</w:t>
            </w:r>
            <w:r w:rsidRPr="000C1E37">
              <w:rPr>
                <w:rFonts w:ascii="Arial" w:hAnsi="Arial" w:cs="Arial"/>
                <w:sz w:val="12"/>
                <w:szCs w:val="12"/>
              </w:rPr>
              <w:t>35</w:t>
            </w:r>
          </w:p>
        </w:tc>
        <w:tc>
          <w:tcPr>
            <w:tcW w:w="630" w:type="dxa"/>
            <w:tcBorders>
              <w:top w:val="single" w:sz="4" w:space="0" w:color="auto"/>
              <w:left w:val="nil"/>
              <w:right w:val="nil"/>
            </w:tcBorders>
            <w:shd w:val="clear" w:color="auto" w:fill="auto"/>
            <w:noWrap/>
            <w:vAlign w:val="center"/>
            <w:hideMark/>
          </w:tcPr>
          <w:p w14:paraId="6A557A77" w14:textId="358F4E2B" w:rsidR="000C1E37" w:rsidRPr="008174E3" w:rsidRDefault="000C1E37" w:rsidP="00802D00">
            <w:pPr>
              <w:jc w:val="right"/>
              <w:rPr>
                <w:rFonts w:ascii="Arial" w:hAnsi="Arial" w:cs="Arial"/>
                <w:sz w:val="12"/>
                <w:szCs w:val="12"/>
              </w:rPr>
            </w:pPr>
            <w:r w:rsidRPr="000C1E37">
              <w:rPr>
                <w:rFonts w:ascii="Arial" w:hAnsi="Arial" w:cs="Arial"/>
                <w:sz w:val="12"/>
                <w:szCs w:val="12"/>
              </w:rPr>
              <w:t>6</w:t>
            </w:r>
            <w:r>
              <w:rPr>
                <w:rFonts w:ascii="Arial" w:hAnsi="Arial" w:cs="Arial"/>
                <w:sz w:val="12"/>
                <w:szCs w:val="12"/>
              </w:rPr>
              <w:t>,</w:t>
            </w:r>
            <w:r w:rsidRPr="000C1E37">
              <w:rPr>
                <w:rFonts w:ascii="Arial" w:hAnsi="Arial" w:cs="Arial"/>
                <w:sz w:val="12"/>
                <w:szCs w:val="12"/>
              </w:rPr>
              <w:t>68</w:t>
            </w:r>
          </w:p>
        </w:tc>
        <w:tc>
          <w:tcPr>
            <w:tcW w:w="630" w:type="dxa"/>
            <w:tcBorders>
              <w:top w:val="single" w:sz="4" w:space="0" w:color="auto"/>
              <w:left w:val="nil"/>
              <w:right w:val="nil"/>
            </w:tcBorders>
            <w:shd w:val="clear" w:color="auto" w:fill="auto"/>
            <w:noWrap/>
            <w:vAlign w:val="center"/>
            <w:hideMark/>
          </w:tcPr>
          <w:p w14:paraId="6C481C57" w14:textId="5BAD4E68" w:rsidR="000C1E37" w:rsidRPr="008174E3" w:rsidRDefault="000C1E37" w:rsidP="00802D00">
            <w:pPr>
              <w:jc w:val="right"/>
              <w:rPr>
                <w:rFonts w:ascii="Arial" w:hAnsi="Arial" w:cs="Arial"/>
                <w:sz w:val="12"/>
                <w:szCs w:val="12"/>
              </w:rPr>
            </w:pPr>
            <w:r w:rsidRPr="000C1E37">
              <w:rPr>
                <w:rFonts w:ascii="Arial" w:hAnsi="Arial" w:cs="Arial"/>
                <w:sz w:val="12"/>
                <w:szCs w:val="12"/>
              </w:rPr>
              <w:t>4</w:t>
            </w:r>
            <w:r>
              <w:rPr>
                <w:rFonts w:ascii="Arial" w:hAnsi="Arial" w:cs="Arial"/>
                <w:sz w:val="12"/>
                <w:szCs w:val="12"/>
              </w:rPr>
              <w:t>,</w:t>
            </w:r>
            <w:r w:rsidRPr="000C1E37">
              <w:rPr>
                <w:rFonts w:ascii="Arial" w:hAnsi="Arial" w:cs="Arial"/>
                <w:sz w:val="12"/>
                <w:szCs w:val="12"/>
              </w:rPr>
              <w:t>47</w:t>
            </w:r>
          </w:p>
        </w:tc>
        <w:tc>
          <w:tcPr>
            <w:tcW w:w="630" w:type="dxa"/>
            <w:tcBorders>
              <w:top w:val="single" w:sz="4" w:space="0" w:color="auto"/>
              <w:left w:val="nil"/>
              <w:right w:val="nil"/>
            </w:tcBorders>
            <w:shd w:val="clear" w:color="auto" w:fill="auto"/>
            <w:noWrap/>
            <w:vAlign w:val="center"/>
            <w:hideMark/>
          </w:tcPr>
          <w:p w14:paraId="25743223" w14:textId="4F053AA1" w:rsidR="000C1E37" w:rsidRPr="008174E3" w:rsidRDefault="000C1E37" w:rsidP="00802D00">
            <w:pPr>
              <w:jc w:val="right"/>
              <w:rPr>
                <w:rFonts w:ascii="Arial" w:hAnsi="Arial" w:cs="Arial"/>
                <w:sz w:val="12"/>
                <w:szCs w:val="12"/>
              </w:rPr>
            </w:pPr>
            <w:r w:rsidRPr="000C1E37">
              <w:rPr>
                <w:rFonts w:ascii="Arial" w:hAnsi="Arial" w:cs="Arial"/>
                <w:sz w:val="12"/>
                <w:szCs w:val="12"/>
              </w:rPr>
              <w:t>2</w:t>
            </w:r>
            <w:r>
              <w:rPr>
                <w:rFonts w:ascii="Arial" w:hAnsi="Arial" w:cs="Arial"/>
                <w:sz w:val="12"/>
                <w:szCs w:val="12"/>
              </w:rPr>
              <w:t>,</w:t>
            </w:r>
            <w:r w:rsidRPr="000C1E37">
              <w:rPr>
                <w:rFonts w:ascii="Arial" w:hAnsi="Arial" w:cs="Arial"/>
                <w:sz w:val="12"/>
                <w:szCs w:val="12"/>
              </w:rPr>
              <w:t>66</w:t>
            </w:r>
          </w:p>
        </w:tc>
        <w:tc>
          <w:tcPr>
            <w:tcW w:w="630" w:type="dxa"/>
            <w:tcBorders>
              <w:top w:val="single" w:sz="4" w:space="0" w:color="auto"/>
              <w:left w:val="nil"/>
              <w:right w:val="nil"/>
            </w:tcBorders>
            <w:shd w:val="clear" w:color="auto" w:fill="auto"/>
            <w:noWrap/>
            <w:vAlign w:val="center"/>
            <w:hideMark/>
          </w:tcPr>
          <w:p w14:paraId="75B43E5B" w14:textId="20F2AB4D" w:rsidR="000C1E37" w:rsidRPr="008174E3" w:rsidRDefault="000C1E37" w:rsidP="00802D00">
            <w:pPr>
              <w:jc w:val="right"/>
              <w:rPr>
                <w:rFonts w:ascii="Arial" w:hAnsi="Arial" w:cs="Arial"/>
                <w:sz w:val="12"/>
                <w:szCs w:val="12"/>
              </w:rPr>
            </w:pPr>
            <w:r w:rsidRPr="000C1E37">
              <w:rPr>
                <w:rFonts w:ascii="Arial" w:hAnsi="Arial" w:cs="Arial"/>
                <w:sz w:val="12"/>
                <w:szCs w:val="12"/>
              </w:rPr>
              <w:t>1</w:t>
            </w:r>
            <w:r>
              <w:rPr>
                <w:rFonts w:ascii="Arial" w:hAnsi="Arial" w:cs="Arial"/>
                <w:sz w:val="12"/>
                <w:szCs w:val="12"/>
              </w:rPr>
              <w:t>,</w:t>
            </w:r>
            <w:r w:rsidRPr="000C1E37">
              <w:rPr>
                <w:rFonts w:ascii="Arial" w:hAnsi="Arial" w:cs="Arial"/>
                <w:sz w:val="12"/>
                <w:szCs w:val="12"/>
              </w:rPr>
              <w:t>19</w:t>
            </w:r>
          </w:p>
        </w:tc>
        <w:tc>
          <w:tcPr>
            <w:tcW w:w="711" w:type="dxa"/>
            <w:tcBorders>
              <w:top w:val="single" w:sz="4" w:space="0" w:color="auto"/>
              <w:left w:val="nil"/>
              <w:right w:val="nil"/>
            </w:tcBorders>
            <w:shd w:val="clear" w:color="auto" w:fill="auto"/>
            <w:noWrap/>
            <w:vAlign w:val="center"/>
            <w:hideMark/>
          </w:tcPr>
          <w:p w14:paraId="1EC91A81" w14:textId="2CE8DE17" w:rsidR="000C1E37" w:rsidRPr="008174E3" w:rsidRDefault="000C1E37" w:rsidP="00802D00">
            <w:pPr>
              <w:jc w:val="right"/>
              <w:rPr>
                <w:rFonts w:ascii="Arial" w:hAnsi="Arial" w:cs="Arial"/>
                <w:sz w:val="12"/>
                <w:szCs w:val="12"/>
              </w:rPr>
            </w:pPr>
            <w:r w:rsidRPr="000C1E37">
              <w:rPr>
                <w:rFonts w:ascii="Arial" w:hAnsi="Arial" w:cs="Arial"/>
                <w:sz w:val="12"/>
                <w:szCs w:val="12"/>
              </w:rPr>
              <w:t>84</w:t>
            </w:r>
            <w:r>
              <w:rPr>
                <w:rFonts w:ascii="Arial" w:hAnsi="Arial" w:cs="Arial"/>
                <w:sz w:val="12"/>
                <w:szCs w:val="12"/>
              </w:rPr>
              <w:t>,</w:t>
            </w:r>
            <w:r w:rsidRPr="000C1E37">
              <w:rPr>
                <w:rFonts w:ascii="Arial" w:hAnsi="Arial" w:cs="Arial"/>
                <w:sz w:val="12"/>
                <w:szCs w:val="12"/>
              </w:rPr>
              <w:t>49</w:t>
            </w:r>
          </w:p>
        </w:tc>
      </w:tr>
    </w:tbl>
    <w:p w14:paraId="50B3FD7B" w14:textId="77777777" w:rsidR="00206363" w:rsidRPr="008174E3" w:rsidRDefault="00206363" w:rsidP="00796D46">
      <w:pPr>
        <w:jc w:val="center"/>
        <w:rPr>
          <w:rFonts w:ascii="Arial" w:hAnsi="Arial" w:cs="Arial"/>
          <w:b/>
        </w:rPr>
      </w:pPr>
    </w:p>
    <w:p w14:paraId="05880124" w14:textId="30A8FB32" w:rsidR="00444B75" w:rsidRPr="008174E3" w:rsidRDefault="00444B75" w:rsidP="00444B75">
      <w:pPr>
        <w:jc w:val="center"/>
        <w:rPr>
          <w:rFonts w:ascii="Arial" w:hAnsi="Arial" w:cs="Arial"/>
          <w:b/>
          <w:sz w:val="22"/>
        </w:rPr>
      </w:pPr>
      <w:r w:rsidRPr="008174E3">
        <w:rPr>
          <w:rFonts w:ascii="Arial" w:hAnsi="Arial" w:cs="Arial"/>
          <w:b/>
        </w:rPr>
        <w:br w:type="page"/>
      </w:r>
      <w:r w:rsidR="00FC686C" w:rsidRPr="008174E3">
        <w:rPr>
          <w:rFonts w:ascii="Arial" w:hAnsi="Arial" w:cs="Arial"/>
          <w:b/>
        </w:rPr>
        <w:lastRenderedPageBreak/>
        <w:t>Cuadro </w:t>
      </w:r>
      <w:r w:rsidR="00CB3655" w:rsidRPr="008174E3">
        <w:rPr>
          <w:rFonts w:ascii="Arial" w:hAnsi="Arial" w:cs="Arial"/>
          <w:b/>
        </w:rPr>
        <w:t>A11</w:t>
      </w:r>
      <w:r w:rsidRPr="008174E3">
        <w:rPr>
          <w:rFonts w:ascii="Arial" w:hAnsi="Arial" w:cs="Arial"/>
          <w:b/>
        </w:rPr>
        <w:t xml:space="preserve">: </w:t>
      </w:r>
      <w:r w:rsidRPr="008174E3">
        <w:rPr>
          <w:rFonts w:ascii="Arial" w:hAnsi="Arial" w:cs="Arial"/>
          <w:b/>
          <w:sz w:val="22"/>
        </w:rPr>
        <w:t xml:space="preserve">Cálculo de </w:t>
      </w:r>
      <w:r w:rsidR="00CB3655" w:rsidRPr="008174E3">
        <w:rPr>
          <w:rFonts w:ascii="Arial" w:hAnsi="Arial" w:cs="Arial"/>
          <w:b/>
          <w:sz w:val="22"/>
        </w:rPr>
        <w:t xml:space="preserve">Beneficios </w:t>
      </w:r>
      <w:r w:rsidRPr="008174E3">
        <w:rPr>
          <w:rFonts w:ascii="Arial" w:hAnsi="Arial" w:cs="Arial"/>
          <w:b/>
          <w:sz w:val="22"/>
        </w:rPr>
        <w:t xml:space="preserve">y </w:t>
      </w:r>
      <w:r w:rsidR="00DC2B20" w:rsidRPr="008174E3">
        <w:rPr>
          <w:rFonts w:ascii="Arial" w:hAnsi="Arial" w:cs="Arial"/>
          <w:b/>
          <w:sz w:val="22"/>
        </w:rPr>
        <w:t>C</w:t>
      </w:r>
      <w:r w:rsidRPr="008174E3">
        <w:rPr>
          <w:rFonts w:ascii="Arial" w:hAnsi="Arial" w:cs="Arial"/>
          <w:b/>
          <w:sz w:val="22"/>
        </w:rPr>
        <w:t>ostos del programa</w:t>
      </w:r>
    </w:p>
    <w:p w14:paraId="6C6FAF89" w14:textId="77777777" w:rsidR="00755A0E" w:rsidRPr="008174E3" w:rsidRDefault="00755A0E" w:rsidP="00444B75">
      <w:pPr>
        <w:jc w:val="center"/>
        <w:rPr>
          <w:rFonts w:ascii="Arial" w:hAnsi="Arial" w:cs="Arial"/>
          <w:b/>
        </w:rPr>
      </w:pPr>
    </w:p>
    <w:tbl>
      <w:tblPr>
        <w:tblStyle w:val="TableGrid"/>
        <w:tblW w:w="9828" w:type="dxa"/>
        <w:tblInd w:w="-702" w:type="dxa"/>
        <w:tblLook w:val="04A0" w:firstRow="1" w:lastRow="0" w:firstColumn="1" w:lastColumn="0" w:noHBand="0" w:noVBand="1"/>
      </w:tblPr>
      <w:tblGrid>
        <w:gridCol w:w="1447"/>
        <w:gridCol w:w="4596"/>
        <w:gridCol w:w="3785"/>
      </w:tblGrid>
      <w:tr w:rsidR="00755A0E" w:rsidRPr="008174E3" w14:paraId="70F382CA" w14:textId="77777777" w:rsidTr="00755A0E">
        <w:tc>
          <w:tcPr>
            <w:tcW w:w="1447" w:type="dxa"/>
          </w:tcPr>
          <w:p w14:paraId="1F1B82FE" w14:textId="77777777" w:rsidR="00444B75" w:rsidRPr="008174E3" w:rsidRDefault="00444B75" w:rsidP="00210B40">
            <w:pPr>
              <w:rPr>
                <w:rFonts w:ascii="Arial" w:hAnsi="Arial" w:cs="Arial"/>
              </w:rPr>
            </w:pPr>
          </w:p>
        </w:tc>
        <w:tc>
          <w:tcPr>
            <w:tcW w:w="4596" w:type="dxa"/>
          </w:tcPr>
          <w:p w14:paraId="7D7D1918" w14:textId="77777777" w:rsidR="00444B75" w:rsidRPr="008174E3" w:rsidRDefault="00444B75" w:rsidP="00210B40">
            <w:pPr>
              <w:rPr>
                <w:rFonts w:ascii="Arial" w:hAnsi="Arial" w:cs="Arial"/>
                <w:b/>
                <w:sz w:val="20"/>
              </w:rPr>
            </w:pPr>
            <w:r w:rsidRPr="008174E3">
              <w:rPr>
                <w:rFonts w:ascii="Arial" w:hAnsi="Arial" w:cs="Arial"/>
                <w:b/>
                <w:sz w:val="20"/>
              </w:rPr>
              <w:t>Beneficios</w:t>
            </w:r>
          </w:p>
        </w:tc>
        <w:tc>
          <w:tcPr>
            <w:tcW w:w="3785" w:type="dxa"/>
          </w:tcPr>
          <w:p w14:paraId="4338B138" w14:textId="77777777" w:rsidR="00444B75" w:rsidRPr="008174E3" w:rsidRDefault="00444B75" w:rsidP="00210B40">
            <w:pPr>
              <w:rPr>
                <w:rFonts w:ascii="Arial" w:hAnsi="Arial" w:cs="Arial"/>
                <w:b/>
                <w:sz w:val="20"/>
              </w:rPr>
            </w:pPr>
            <w:r w:rsidRPr="008174E3">
              <w:rPr>
                <w:rFonts w:ascii="Arial" w:hAnsi="Arial" w:cs="Arial"/>
                <w:b/>
                <w:sz w:val="20"/>
              </w:rPr>
              <w:t>Costos</w:t>
            </w:r>
          </w:p>
        </w:tc>
      </w:tr>
      <w:tr w:rsidR="00444B75" w:rsidRPr="008174E3" w14:paraId="2A97875C" w14:textId="77777777" w:rsidTr="00755A0E">
        <w:tc>
          <w:tcPr>
            <w:tcW w:w="1447" w:type="dxa"/>
            <w:vMerge w:val="restart"/>
          </w:tcPr>
          <w:p w14:paraId="48ED6A3B" w14:textId="77777777" w:rsidR="00444B75" w:rsidRPr="008174E3" w:rsidRDefault="00444B75" w:rsidP="00210B40">
            <w:pPr>
              <w:rPr>
                <w:color w:val="000000"/>
                <w:sz w:val="14"/>
              </w:rPr>
            </w:pPr>
          </w:p>
          <w:p w14:paraId="5711342C" w14:textId="77777777" w:rsidR="00444B75" w:rsidRPr="008174E3" w:rsidRDefault="00444B75" w:rsidP="00210B40">
            <w:pPr>
              <w:rPr>
                <w:sz w:val="14"/>
              </w:rPr>
            </w:pPr>
          </w:p>
          <w:p w14:paraId="4A0B548D" w14:textId="77777777" w:rsidR="00444B75" w:rsidRPr="008174E3" w:rsidRDefault="00444B75" w:rsidP="00210B40">
            <w:pPr>
              <w:rPr>
                <w:sz w:val="14"/>
              </w:rPr>
            </w:pPr>
          </w:p>
          <w:p w14:paraId="2FB77386" w14:textId="77777777" w:rsidR="00444B75" w:rsidRPr="008174E3" w:rsidRDefault="00444B75" w:rsidP="00210B40">
            <w:pPr>
              <w:rPr>
                <w:sz w:val="14"/>
              </w:rPr>
            </w:pPr>
          </w:p>
          <w:p w14:paraId="2BD7AE67" w14:textId="77777777" w:rsidR="00444B75" w:rsidRPr="008174E3" w:rsidRDefault="00444B75" w:rsidP="00210B40">
            <w:pPr>
              <w:rPr>
                <w:sz w:val="14"/>
              </w:rPr>
            </w:pPr>
          </w:p>
          <w:p w14:paraId="0C4A6D47" w14:textId="77777777" w:rsidR="00444B75" w:rsidRPr="008174E3" w:rsidRDefault="00444B75" w:rsidP="00210B40">
            <w:pPr>
              <w:rPr>
                <w:sz w:val="14"/>
              </w:rPr>
            </w:pPr>
          </w:p>
          <w:p w14:paraId="1E4EF7B0" w14:textId="77777777" w:rsidR="00444B75" w:rsidRPr="008174E3" w:rsidRDefault="00444B75" w:rsidP="00210B40">
            <w:pPr>
              <w:rPr>
                <w:sz w:val="14"/>
              </w:rPr>
            </w:pPr>
          </w:p>
          <w:p w14:paraId="5680EBEF" w14:textId="77777777" w:rsidR="00444B75" w:rsidRPr="008174E3" w:rsidRDefault="00444B75" w:rsidP="00210B40">
            <w:pPr>
              <w:rPr>
                <w:sz w:val="14"/>
              </w:rPr>
            </w:pPr>
          </w:p>
          <w:p w14:paraId="2AE8173A" w14:textId="77777777" w:rsidR="00444B75" w:rsidRPr="008174E3" w:rsidRDefault="00444B75" w:rsidP="00210B40">
            <w:pPr>
              <w:rPr>
                <w:sz w:val="14"/>
              </w:rPr>
            </w:pPr>
          </w:p>
          <w:p w14:paraId="24CFD906" w14:textId="77777777" w:rsidR="00444B75" w:rsidRPr="008174E3" w:rsidRDefault="00444B75" w:rsidP="00210B40">
            <w:pPr>
              <w:rPr>
                <w:sz w:val="14"/>
              </w:rPr>
            </w:pPr>
          </w:p>
          <w:p w14:paraId="54C5838F" w14:textId="77777777" w:rsidR="00444B75" w:rsidRPr="008174E3" w:rsidRDefault="00444B75" w:rsidP="00210B40">
            <w:pPr>
              <w:rPr>
                <w:sz w:val="14"/>
              </w:rPr>
            </w:pPr>
          </w:p>
          <w:p w14:paraId="3854F09F" w14:textId="77777777" w:rsidR="00444B75" w:rsidRPr="008174E3" w:rsidRDefault="00444B75" w:rsidP="00210B40">
            <w:pPr>
              <w:rPr>
                <w:sz w:val="14"/>
              </w:rPr>
            </w:pPr>
          </w:p>
          <w:p w14:paraId="2D9FDE47" w14:textId="77777777" w:rsidR="00444B75" w:rsidRPr="008174E3" w:rsidRDefault="00444B75" w:rsidP="00210B40">
            <w:pPr>
              <w:rPr>
                <w:sz w:val="14"/>
              </w:rPr>
            </w:pPr>
          </w:p>
          <w:p w14:paraId="691F0D73" w14:textId="77777777" w:rsidR="00444B75" w:rsidRPr="008174E3" w:rsidRDefault="00444B75" w:rsidP="00210B40">
            <w:pPr>
              <w:rPr>
                <w:sz w:val="14"/>
              </w:rPr>
            </w:pPr>
          </w:p>
          <w:p w14:paraId="6753F5CD" w14:textId="77777777" w:rsidR="00444B75" w:rsidRPr="008174E3" w:rsidRDefault="00444B75" w:rsidP="00210B40">
            <w:pPr>
              <w:rPr>
                <w:sz w:val="14"/>
              </w:rPr>
            </w:pPr>
          </w:p>
          <w:p w14:paraId="1B09B16F" w14:textId="77777777" w:rsidR="00444B75" w:rsidRPr="008174E3" w:rsidRDefault="00444B75" w:rsidP="00210B40">
            <w:pPr>
              <w:rPr>
                <w:sz w:val="14"/>
              </w:rPr>
            </w:pPr>
          </w:p>
          <w:p w14:paraId="5DE8C1BE" w14:textId="77777777" w:rsidR="00444B75" w:rsidRPr="008174E3" w:rsidRDefault="00444B75" w:rsidP="00210B40">
            <w:pPr>
              <w:rPr>
                <w:sz w:val="14"/>
              </w:rPr>
            </w:pPr>
          </w:p>
          <w:p w14:paraId="455D8EBC" w14:textId="77777777" w:rsidR="00444B75" w:rsidRPr="008174E3" w:rsidRDefault="00444B75" w:rsidP="00210B40">
            <w:pPr>
              <w:rPr>
                <w:sz w:val="14"/>
              </w:rPr>
            </w:pPr>
          </w:p>
          <w:p w14:paraId="31398DAD" w14:textId="77777777" w:rsidR="00444B75" w:rsidRPr="008174E3" w:rsidRDefault="00444B75" w:rsidP="00210B40">
            <w:pPr>
              <w:rPr>
                <w:sz w:val="14"/>
              </w:rPr>
            </w:pPr>
          </w:p>
          <w:p w14:paraId="07FCF55A" w14:textId="77777777" w:rsidR="00444B75" w:rsidRPr="008174E3" w:rsidRDefault="00444B75" w:rsidP="00210B40">
            <w:pPr>
              <w:rPr>
                <w:sz w:val="14"/>
              </w:rPr>
            </w:pPr>
          </w:p>
          <w:p w14:paraId="0E5D2676" w14:textId="77777777" w:rsidR="00444B75" w:rsidRPr="008174E3" w:rsidRDefault="00444B75" w:rsidP="00210B40">
            <w:pPr>
              <w:rPr>
                <w:rFonts w:ascii="Arial" w:hAnsi="Arial" w:cs="Arial"/>
                <w:sz w:val="14"/>
              </w:rPr>
            </w:pPr>
            <w:r w:rsidRPr="008174E3">
              <w:rPr>
                <w:rFonts w:ascii="Arial" w:hAnsi="Arial" w:cs="Arial"/>
                <w:sz w:val="18"/>
              </w:rPr>
              <w:t>Fortalecimiento del SNE</w:t>
            </w:r>
          </w:p>
        </w:tc>
        <w:tc>
          <w:tcPr>
            <w:tcW w:w="4596" w:type="dxa"/>
          </w:tcPr>
          <w:p w14:paraId="26992927" w14:textId="77777777" w:rsidR="00444B75" w:rsidRPr="008174E3" w:rsidRDefault="00444B75" w:rsidP="00210B40">
            <w:pPr>
              <w:rPr>
                <w:color w:val="000000"/>
                <w:sz w:val="14"/>
              </w:rPr>
            </w:pPr>
            <w:r w:rsidRPr="008174E3">
              <w:rPr>
                <w:color w:val="000000"/>
                <w:sz w:val="14"/>
              </w:rPr>
              <w:t>Formalidad laboral:</w:t>
            </w:r>
          </w:p>
          <w:p w14:paraId="5CCC7E0E" w14:textId="77777777" w:rsidR="00444B75" w:rsidRPr="008174E3" w:rsidRDefault="00BE0EAE" w:rsidP="00210B40">
            <w:pPr>
              <w:spacing w:before="360"/>
              <w:rPr>
                <w:sz w:val="14"/>
              </w:rPr>
            </w:pPr>
            <m:oMathPara>
              <m:oMath>
                <m:sSub>
                  <m:sSubPr>
                    <m:ctrlPr>
                      <w:rPr>
                        <w:rFonts w:ascii="Cambria Math" w:hAnsi="Cambria Math"/>
                        <w:i/>
                        <w:color w:val="000000"/>
                        <w:sz w:val="14"/>
                        <w:szCs w:val="22"/>
                      </w:rPr>
                    </m:ctrlPr>
                  </m:sSubPr>
                  <m:e>
                    <m:r>
                      <w:rPr>
                        <w:rFonts w:ascii="Cambria Math" w:hAnsi="Cambria Math"/>
                        <w:color w:val="000000"/>
                        <w:sz w:val="14"/>
                      </w:rPr>
                      <m:t>π</m:t>
                    </m:r>
                  </m:e>
                  <m:sub>
                    <m:r>
                      <w:rPr>
                        <w:rFonts w:ascii="Cambria Math" w:hAnsi="Cambria Math"/>
                        <w:color w:val="000000"/>
                        <w:sz w:val="14"/>
                      </w:rPr>
                      <m:t>i</m:t>
                    </m:r>
                  </m:sub>
                </m:sSub>
                <m:r>
                  <w:rPr>
                    <w:rFonts w:ascii="Cambria Math" w:hAnsi="Cambria Math"/>
                    <w:color w:val="000000"/>
                    <w:sz w:val="14"/>
                  </w:rPr>
                  <m:t>=</m:t>
                </m:r>
                <m:d>
                  <m:dPr>
                    <m:ctrlPr>
                      <w:rPr>
                        <w:rFonts w:ascii="Cambria Math" w:hAnsi="Cambria Math"/>
                        <w:i/>
                        <w:color w:val="000000"/>
                        <w:sz w:val="14"/>
                      </w:rPr>
                    </m:ctrlPr>
                  </m:dPr>
                  <m:e>
                    <m:sSub>
                      <m:sSubPr>
                        <m:ctrlPr>
                          <w:rPr>
                            <w:rFonts w:ascii="Cambria Math" w:hAnsi="Cambria Math"/>
                            <w:i/>
                            <w:color w:val="000000"/>
                            <w:sz w:val="14"/>
                            <w:szCs w:val="22"/>
                          </w:rPr>
                        </m:ctrlPr>
                      </m:sSubPr>
                      <m:e>
                        <m:r>
                          <w:rPr>
                            <w:rFonts w:ascii="Cambria Math" w:hAnsi="Cambria Math"/>
                            <w:color w:val="000000"/>
                            <w:sz w:val="14"/>
                          </w:rPr>
                          <m:t>f</m:t>
                        </m:r>
                      </m:e>
                      <m:sub>
                        <m:r>
                          <w:rPr>
                            <w:rFonts w:ascii="Cambria Math" w:hAnsi="Cambria Math"/>
                            <w:color w:val="000000"/>
                            <w:sz w:val="14"/>
                          </w:rPr>
                          <m:t>i,H</m:t>
                        </m:r>
                      </m:sub>
                    </m:sSub>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N</m:t>
                        </m:r>
                      </m:e>
                      <m:sub>
                        <m:r>
                          <w:rPr>
                            <w:rFonts w:ascii="Cambria Math" w:hAnsi="Cambria Math"/>
                            <w:color w:val="000000"/>
                            <w:sz w:val="14"/>
                          </w:rPr>
                          <m:t>i,H</m:t>
                        </m:r>
                      </m:sub>
                    </m:sSub>
                  </m:e>
                </m:d>
                <m:r>
                  <w:rPr>
                    <w:rFonts w:ascii="Cambria Math" w:hAnsi="Cambria Math"/>
                    <w:color w:val="000000"/>
                    <w:sz w:val="14"/>
                  </w:rPr>
                  <m:t>+</m:t>
                </m:r>
                <m:d>
                  <m:dPr>
                    <m:ctrlPr>
                      <w:rPr>
                        <w:rFonts w:ascii="Cambria Math" w:hAnsi="Cambria Math"/>
                        <w:i/>
                        <w:color w:val="000000"/>
                        <w:sz w:val="14"/>
                      </w:rPr>
                    </m:ctrlPr>
                  </m:dPr>
                  <m:e>
                    <m:sSub>
                      <m:sSubPr>
                        <m:ctrlPr>
                          <w:rPr>
                            <w:rFonts w:ascii="Cambria Math" w:hAnsi="Cambria Math"/>
                            <w:i/>
                            <w:color w:val="000000"/>
                            <w:sz w:val="14"/>
                            <w:szCs w:val="22"/>
                          </w:rPr>
                        </m:ctrlPr>
                      </m:sSubPr>
                      <m:e>
                        <m:r>
                          <w:rPr>
                            <w:rFonts w:ascii="Cambria Math" w:hAnsi="Cambria Math"/>
                            <w:color w:val="000000"/>
                            <w:sz w:val="14"/>
                          </w:rPr>
                          <m:t>f</m:t>
                        </m:r>
                      </m:e>
                      <m:sub>
                        <m:r>
                          <w:rPr>
                            <w:rFonts w:ascii="Cambria Math" w:hAnsi="Cambria Math"/>
                            <w:color w:val="000000"/>
                            <w:sz w:val="14"/>
                          </w:rPr>
                          <m:t>i,M</m:t>
                        </m:r>
                      </m:sub>
                    </m:sSub>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N</m:t>
                        </m:r>
                      </m:e>
                      <m:sub>
                        <m:r>
                          <w:rPr>
                            <w:rFonts w:ascii="Cambria Math" w:hAnsi="Cambria Math"/>
                            <w:color w:val="000000"/>
                            <w:sz w:val="14"/>
                          </w:rPr>
                          <m:t>i,M</m:t>
                        </m:r>
                      </m:sub>
                    </m:sSub>
                  </m:e>
                </m:d>
              </m:oMath>
            </m:oMathPara>
          </w:p>
          <w:p w14:paraId="2C0CC477" w14:textId="77777777" w:rsidR="00444B75" w:rsidRPr="008174E3" w:rsidRDefault="00444B75" w:rsidP="00210B40">
            <w:pPr>
              <w:rPr>
                <w:color w:val="000000"/>
                <w:sz w:val="14"/>
              </w:rPr>
            </w:pPr>
          </w:p>
          <w:p w14:paraId="00D9D9DC" w14:textId="02E71152" w:rsidR="00444B75" w:rsidRPr="008174E3" w:rsidRDefault="00444B75" w:rsidP="00210B40">
            <w:pPr>
              <w:rPr>
                <w:color w:val="000000"/>
                <w:sz w:val="14"/>
              </w:rPr>
            </w:pPr>
            <w:r w:rsidRPr="008174E3">
              <w:rPr>
                <w:color w:val="000000"/>
                <w:sz w:val="14"/>
              </w:rPr>
              <w:t>Donde</w:t>
            </w:r>
            <w:r w:rsidR="00755A0E" w:rsidRPr="008174E3">
              <w:rPr>
                <w:color w:val="000000"/>
                <w:sz w:val="14"/>
              </w:rPr>
              <w:t>:</w:t>
            </w:r>
            <w:r w:rsidRPr="008174E3">
              <w:rPr>
                <w:color w:val="000000"/>
                <w:sz w:val="14"/>
              </w:rPr>
              <w:t xml:space="preserve"> </w:t>
            </w:r>
          </w:p>
          <w:p w14:paraId="40876B1E" w14:textId="77777777" w:rsidR="00444B75" w:rsidRPr="008174E3" w:rsidRDefault="00444B75" w:rsidP="00210B40">
            <w:pPr>
              <w:pStyle w:val="ListParagraph"/>
              <w:numPr>
                <w:ilvl w:val="0"/>
                <w:numId w:val="25"/>
              </w:numPr>
              <w:rPr>
                <w:color w:val="000000"/>
                <w:sz w:val="14"/>
              </w:rPr>
            </w:pPr>
            <w:r w:rsidRPr="008174E3">
              <w:rPr>
                <w:i/>
                <w:color w:val="000000"/>
                <w:sz w:val="14"/>
              </w:rPr>
              <w:t xml:space="preserve">i </w:t>
            </w:r>
            <w:r w:rsidRPr="008174E3">
              <w:rPr>
                <w:color w:val="000000"/>
                <w:sz w:val="14"/>
              </w:rPr>
              <w:t>es el año del impacto</w:t>
            </w:r>
          </w:p>
          <w:p w14:paraId="26253F75" w14:textId="06728E94" w:rsidR="00444B75" w:rsidRPr="008174E3" w:rsidRDefault="00444B75" w:rsidP="00210B40">
            <w:pPr>
              <w:pStyle w:val="ListParagraph"/>
              <w:numPr>
                <w:ilvl w:val="0"/>
                <w:numId w:val="25"/>
              </w:numPr>
              <w:rPr>
                <w:color w:val="000000"/>
                <w:sz w:val="14"/>
              </w:rPr>
            </w:pPr>
            <w:r w:rsidRPr="008174E3">
              <w:rPr>
                <w:i/>
                <w:color w:val="000000"/>
                <w:sz w:val="14"/>
              </w:rPr>
              <w:t>g</w:t>
            </w:r>
            <w:r w:rsidRPr="008174E3">
              <w:rPr>
                <w:color w:val="000000"/>
                <w:sz w:val="14"/>
              </w:rPr>
              <w:t xml:space="preserve"> hace referencia al </w:t>
            </w:r>
            <w:r w:rsidR="0007065C" w:rsidRPr="008174E3">
              <w:rPr>
                <w:color w:val="000000"/>
                <w:sz w:val="14"/>
              </w:rPr>
              <w:t>cálculo</w:t>
            </w:r>
            <w:r w:rsidRPr="008174E3">
              <w:rPr>
                <w:color w:val="000000"/>
                <w:sz w:val="14"/>
              </w:rPr>
              <w:t xml:space="preserve"> para Hombres (H) y mujeres (M).</w:t>
            </w:r>
          </w:p>
          <w:p w14:paraId="627C8FD1" w14:textId="73F164FF" w:rsidR="00444B75" w:rsidRPr="008174E3" w:rsidRDefault="00BE0EAE" w:rsidP="00210B40">
            <w:pPr>
              <w:pStyle w:val="ListParagraph"/>
              <w:numPr>
                <w:ilvl w:val="0"/>
                <w:numId w:val="25"/>
              </w:numPr>
              <w:rPr>
                <w:color w:val="000000"/>
                <w:sz w:val="14"/>
              </w:rPr>
            </w:pPr>
            <m:oMath>
              <m:sSub>
                <m:sSubPr>
                  <m:ctrlPr>
                    <w:rPr>
                      <w:rFonts w:ascii="Cambria Math" w:hAnsi="Cambria Math"/>
                      <w:i/>
                      <w:color w:val="000000"/>
                      <w:sz w:val="14"/>
                      <w:szCs w:val="22"/>
                    </w:rPr>
                  </m:ctrlPr>
                </m:sSubPr>
                <m:e>
                  <m:r>
                    <w:rPr>
                      <w:rFonts w:ascii="Cambria Math" w:hAnsi="Cambria Math"/>
                      <w:color w:val="000000"/>
                      <w:sz w:val="14"/>
                    </w:rPr>
                    <m:t>N</m:t>
                  </m:r>
                </m:e>
                <m:sub>
                  <m:r>
                    <w:rPr>
                      <w:rFonts w:ascii="Cambria Math" w:hAnsi="Cambria Math"/>
                      <w:color w:val="000000"/>
                      <w:sz w:val="14"/>
                    </w:rPr>
                    <m:t>i,g</m:t>
                  </m:r>
                </m:sub>
              </m:sSub>
            </m:oMath>
            <w:r w:rsidR="00444B75" w:rsidRPr="008174E3">
              <w:rPr>
                <w:color w:val="000000"/>
                <w:sz w:val="14"/>
                <w:szCs w:val="22"/>
              </w:rPr>
              <w:t xml:space="preserve"> es el número de beneficiarios atendi</w:t>
            </w:r>
            <w:r w:rsidR="00333A88" w:rsidRPr="008174E3">
              <w:rPr>
                <w:color w:val="000000"/>
                <w:sz w:val="14"/>
                <w:szCs w:val="22"/>
              </w:rPr>
              <w:t>dos por sexo en el programa, se</w:t>
            </w:r>
            <w:r w:rsidR="00444B75" w:rsidRPr="008174E3">
              <w:rPr>
                <w:color w:val="000000"/>
                <w:sz w:val="14"/>
                <w:szCs w:val="22"/>
              </w:rPr>
              <w:t>gún la matriz de resultados</w:t>
            </w:r>
          </w:p>
          <w:p w14:paraId="7E003D79" w14:textId="77777777" w:rsidR="00444B75" w:rsidRPr="008174E3" w:rsidRDefault="00BE0EAE" w:rsidP="00210B40">
            <w:pPr>
              <w:pStyle w:val="ListParagraph"/>
              <w:numPr>
                <w:ilvl w:val="0"/>
                <w:numId w:val="25"/>
              </w:numPr>
              <w:rPr>
                <w:color w:val="000000"/>
                <w:sz w:val="14"/>
              </w:rPr>
            </w:pPr>
            <m:oMath>
              <m:sSub>
                <m:sSubPr>
                  <m:ctrlPr>
                    <w:rPr>
                      <w:rFonts w:ascii="Cambria Math" w:hAnsi="Cambria Math"/>
                      <w:i/>
                      <w:color w:val="000000"/>
                      <w:sz w:val="14"/>
                    </w:rPr>
                  </m:ctrlPr>
                </m:sSubPr>
                <m:e>
                  <m:r>
                    <w:rPr>
                      <w:rFonts w:ascii="Cambria Math" w:hAnsi="Cambria Math"/>
                      <w:color w:val="000000"/>
                      <w:sz w:val="14"/>
                    </w:rPr>
                    <m:t>f</m:t>
                  </m:r>
                </m:e>
                <m:sub>
                  <m:r>
                    <w:rPr>
                      <w:rFonts w:ascii="Cambria Math" w:hAnsi="Cambria Math"/>
                      <w:color w:val="000000"/>
                      <w:sz w:val="14"/>
                    </w:rPr>
                    <m:t>i,g</m:t>
                  </m:r>
                </m:sub>
              </m:sSub>
            </m:oMath>
            <w:r w:rsidR="00444B75" w:rsidRPr="008174E3">
              <w:rPr>
                <w:color w:val="000000"/>
                <w:sz w:val="14"/>
              </w:rPr>
              <w:t xml:space="preserve"> es el impacto de formalidad para </w:t>
            </w:r>
            <w:r w:rsidR="00444B75" w:rsidRPr="008174E3">
              <w:rPr>
                <w:i/>
                <w:color w:val="000000"/>
                <w:sz w:val="14"/>
              </w:rPr>
              <w:t>g</w:t>
            </w:r>
            <w:r w:rsidR="00444B75" w:rsidRPr="008174E3">
              <w:rPr>
                <w:color w:val="000000"/>
                <w:sz w:val="14"/>
              </w:rPr>
              <w:t xml:space="preserve">, que se calcula como: </w:t>
            </w:r>
          </w:p>
          <w:p w14:paraId="6A434038" w14:textId="77777777" w:rsidR="00444B75" w:rsidRPr="008174E3" w:rsidRDefault="00444B75" w:rsidP="00210B40">
            <w:pPr>
              <w:pStyle w:val="ListParagraph"/>
              <w:rPr>
                <w:color w:val="000000"/>
                <w:sz w:val="14"/>
              </w:rPr>
            </w:pPr>
            <m:oMathPara>
              <m:oMath>
                <m:r>
                  <m:rPr>
                    <m:sty m:val="p"/>
                  </m:rPr>
                  <w:rPr>
                    <w:rFonts w:ascii="Cambria Math" w:hAnsi="Cambria Math"/>
                    <w:color w:val="000000"/>
                    <w:sz w:val="14"/>
                  </w:rPr>
                  <w:br/>
                </m:r>
              </m:oMath>
              <m:oMath>
                <m:sSub>
                  <m:sSubPr>
                    <m:ctrlPr>
                      <w:rPr>
                        <w:rFonts w:ascii="Cambria Math" w:hAnsi="Cambria Math"/>
                        <w:i/>
                        <w:color w:val="000000"/>
                        <w:sz w:val="14"/>
                      </w:rPr>
                    </m:ctrlPr>
                  </m:sSubPr>
                  <m:e>
                    <m:r>
                      <w:rPr>
                        <w:rFonts w:ascii="Cambria Math" w:hAnsi="Cambria Math"/>
                        <w:color w:val="000000"/>
                        <w:sz w:val="14"/>
                      </w:rPr>
                      <m:t>f</m:t>
                    </m:r>
                  </m:e>
                  <m:sub>
                    <m:r>
                      <w:rPr>
                        <w:rFonts w:ascii="Cambria Math" w:hAnsi="Cambria Math"/>
                        <w:color w:val="000000"/>
                        <w:sz w:val="14"/>
                      </w:rPr>
                      <m:t>i,g</m:t>
                    </m:r>
                  </m:sub>
                </m:sSub>
                <m:r>
                  <w:rPr>
                    <w:rFonts w:ascii="Cambria Math" w:hAnsi="Cambria Math"/>
                    <w:color w:val="000000"/>
                    <w:sz w:val="14"/>
                  </w:rPr>
                  <m:t>=</m:t>
                </m:r>
                <m:d>
                  <m:dPr>
                    <m:ctrlPr>
                      <w:rPr>
                        <w:rFonts w:ascii="Cambria Math" w:hAnsi="Cambria Math"/>
                        <w:i/>
                        <w:color w:val="000000"/>
                        <w:sz w:val="14"/>
                      </w:rPr>
                    </m:ctrlPr>
                  </m:dPr>
                  <m:e>
                    <m:sSub>
                      <m:sSubPr>
                        <m:ctrlPr>
                          <w:rPr>
                            <w:rFonts w:ascii="Cambria Math" w:hAnsi="Cambria Math"/>
                            <w:i/>
                            <w:color w:val="000000"/>
                            <w:sz w:val="14"/>
                          </w:rPr>
                        </m:ctrlPr>
                      </m:sSubPr>
                      <m:e>
                        <m:r>
                          <w:rPr>
                            <w:rFonts w:ascii="Cambria Math" w:hAnsi="Cambria Math"/>
                            <w:color w:val="000000"/>
                            <w:sz w:val="14"/>
                          </w:rPr>
                          <m:t>y</m:t>
                        </m:r>
                      </m:e>
                      <m:sub>
                        <m:r>
                          <w:rPr>
                            <w:rFonts w:ascii="Cambria Math" w:hAnsi="Cambria Math"/>
                            <w:color w:val="000000"/>
                            <w:sz w:val="14"/>
                          </w:rPr>
                          <m:t>semanal,g</m:t>
                        </m:r>
                      </m:sub>
                    </m:sSub>
                    <m:r>
                      <w:rPr>
                        <w:rFonts w:ascii="Cambria Math" w:hAnsi="Cambria Math"/>
                        <w:color w:val="000000"/>
                        <w:sz w:val="14"/>
                      </w:rPr>
                      <m:t>*</m:t>
                    </m:r>
                    <m:sSub>
                      <m:sSubPr>
                        <m:ctrlPr>
                          <w:rPr>
                            <w:rFonts w:ascii="Cambria Math" w:hAnsi="Cambria Math"/>
                            <w:i/>
                            <w:color w:val="000000"/>
                            <w:sz w:val="14"/>
                          </w:rPr>
                        </m:ctrlPr>
                      </m:sSubPr>
                      <m:e>
                        <m:r>
                          <w:rPr>
                            <w:rFonts w:ascii="Cambria Math" w:hAnsi="Cambria Math"/>
                            <w:color w:val="000000"/>
                            <w:sz w:val="14"/>
                          </w:rPr>
                          <m:t>∆</m:t>
                        </m:r>
                      </m:e>
                      <m:sub>
                        <m:r>
                          <w:rPr>
                            <w:rFonts w:ascii="Cambria Math" w:hAnsi="Cambria Math"/>
                            <w:color w:val="000000"/>
                            <w:sz w:val="14"/>
                          </w:rPr>
                          <m:t>aportes SS</m:t>
                        </m:r>
                      </m:sub>
                    </m:sSub>
                    <m:r>
                      <w:rPr>
                        <w:rFonts w:ascii="Cambria Math" w:hAnsi="Cambria Math"/>
                        <w:color w:val="000000"/>
                        <w:sz w:val="14"/>
                      </w:rPr>
                      <m:t>*52*</m:t>
                    </m:r>
                    <m:sSub>
                      <m:sSubPr>
                        <m:ctrlPr>
                          <w:rPr>
                            <w:rFonts w:ascii="Cambria Math" w:hAnsi="Cambria Math"/>
                            <w:i/>
                            <w:color w:val="000000"/>
                            <w:sz w:val="14"/>
                          </w:rPr>
                        </m:ctrlPr>
                      </m:sSubPr>
                      <m:e>
                        <m:r>
                          <w:rPr>
                            <w:rFonts w:ascii="Cambria Math" w:hAnsi="Cambria Math"/>
                            <w:color w:val="000000"/>
                            <w:sz w:val="14"/>
                          </w:rPr>
                          <m:t>δ</m:t>
                        </m:r>
                      </m:e>
                      <m:sub>
                        <m:r>
                          <w:rPr>
                            <w:rFonts w:ascii="Cambria Math" w:hAnsi="Cambria Math"/>
                            <w:color w:val="000000"/>
                            <w:sz w:val="14"/>
                          </w:rPr>
                          <m:t>g</m:t>
                        </m:r>
                      </m:sub>
                    </m:sSub>
                  </m:e>
                </m:d>
              </m:oMath>
            </m:oMathPara>
          </w:p>
          <w:p w14:paraId="31038886" w14:textId="77777777" w:rsidR="00444B75" w:rsidRPr="008174E3" w:rsidRDefault="00444B75" w:rsidP="00210B40">
            <w:pPr>
              <w:rPr>
                <w:color w:val="000000"/>
                <w:sz w:val="14"/>
              </w:rPr>
            </w:pPr>
          </w:p>
          <w:p w14:paraId="6F9950E6" w14:textId="77777777" w:rsidR="00444B75" w:rsidRPr="008174E3" w:rsidRDefault="00BE0EAE" w:rsidP="00210B40">
            <w:pPr>
              <w:pStyle w:val="ListParagraph"/>
              <w:numPr>
                <w:ilvl w:val="0"/>
                <w:numId w:val="24"/>
              </w:numPr>
              <w:rPr>
                <w:color w:val="000000"/>
                <w:sz w:val="14"/>
              </w:rPr>
            </w:pPr>
            <m:oMath>
              <m:sSub>
                <m:sSubPr>
                  <m:ctrlPr>
                    <w:rPr>
                      <w:rFonts w:ascii="Cambria Math" w:hAnsi="Cambria Math"/>
                      <w:i/>
                      <w:color w:val="000000"/>
                      <w:sz w:val="14"/>
                    </w:rPr>
                  </m:ctrlPr>
                </m:sSubPr>
                <m:e>
                  <m:r>
                    <w:rPr>
                      <w:rFonts w:ascii="Cambria Math" w:hAnsi="Cambria Math"/>
                      <w:color w:val="000000"/>
                      <w:sz w:val="14"/>
                    </w:rPr>
                    <m:t>∆</m:t>
                  </m:r>
                </m:e>
                <m:sub>
                  <m:r>
                    <w:rPr>
                      <w:rFonts w:ascii="Cambria Math" w:hAnsi="Cambria Math"/>
                      <w:color w:val="000000"/>
                      <w:sz w:val="14"/>
                    </w:rPr>
                    <m:t>aportes SS</m:t>
                  </m:r>
                </m:sub>
              </m:sSub>
            </m:oMath>
            <w:r w:rsidR="00444B75" w:rsidRPr="008174E3">
              <w:rPr>
                <w:color w:val="000000"/>
                <w:sz w:val="14"/>
              </w:rPr>
              <w:t xml:space="preserve"> es igual a 24% </w:t>
            </w:r>
          </w:p>
          <w:p w14:paraId="67C167B0" w14:textId="77777777" w:rsidR="00444B75" w:rsidRPr="008174E3" w:rsidRDefault="00BE0EAE" w:rsidP="00210B40">
            <w:pPr>
              <w:pStyle w:val="ListParagraph"/>
              <w:numPr>
                <w:ilvl w:val="0"/>
                <w:numId w:val="24"/>
              </w:numPr>
              <w:rPr>
                <w:color w:val="000000"/>
                <w:sz w:val="14"/>
              </w:rPr>
            </w:pPr>
            <m:oMath>
              <m:sSub>
                <m:sSubPr>
                  <m:ctrlPr>
                    <w:rPr>
                      <w:rFonts w:ascii="Cambria Math" w:hAnsi="Cambria Math"/>
                      <w:i/>
                      <w:color w:val="000000"/>
                      <w:sz w:val="14"/>
                    </w:rPr>
                  </m:ctrlPr>
                </m:sSubPr>
                <m:e>
                  <m:r>
                    <w:rPr>
                      <w:rFonts w:ascii="Cambria Math" w:hAnsi="Cambria Math"/>
                      <w:color w:val="000000"/>
                      <w:sz w:val="14"/>
                    </w:rPr>
                    <m:t>y</m:t>
                  </m:r>
                </m:e>
                <m:sub>
                  <m:r>
                    <w:rPr>
                      <w:rFonts w:ascii="Cambria Math" w:hAnsi="Cambria Math"/>
                      <w:color w:val="000000"/>
                      <w:sz w:val="14"/>
                    </w:rPr>
                    <m:t>semanal,g</m:t>
                  </m:r>
                </m:sub>
              </m:sSub>
            </m:oMath>
            <w:r w:rsidR="00444B75" w:rsidRPr="008174E3">
              <w:rPr>
                <w:color w:val="000000"/>
                <w:sz w:val="14"/>
              </w:rPr>
              <w:t xml:space="preserve"> es el ingreso semanal de referencia</w:t>
            </w:r>
          </w:p>
          <w:p w14:paraId="01B3A694" w14:textId="570E62B6" w:rsidR="00444B75" w:rsidRPr="008174E3" w:rsidRDefault="00BE0EAE" w:rsidP="00210B40">
            <w:pPr>
              <w:pStyle w:val="ListParagraph"/>
              <w:numPr>
                <w:ilvl w:val="0"/>
                <w:numId w:val="24"/>
              </w:numPr>
              <w:rPr>
                <w:color w:val="000000"/>
                <w:sz w:val="14"/>
              </w:rPr>
            </w:pPr>
            <m:oMath>
              <m:sSub>
                <m:sSubPr>
                  <m:ctrlPr>
                    <w:rPr>
                      <w:rFonts w:ascii="Cambria Math" w:hAnsi="Cambria Math"/>
                      <w:i/>
                      <w:color w:val="000000"/>
                      <w:sz w:val="14"/>
                      <w:szCs w:val="22"/>
                    </w:rPr>
                  </m:ctrlPr>
                </m:sSubPr>
                <m:e>
                  <m:r>
                    <w:rPr>
                      <w:rFonts w:ascii="Cambria Math" w:hAnsi="Cambria Math"/>
                      <w:color w:val="000000"/>
                      <w:sz w:val="14"/>
                    </w:rPr>
                    <m:t>δ</m:t>
                  </m:r>
                </m:e>
                <m:sub>
                  <m:r>
                    <w:rPr>
                      <w:rFonts w:ascii="Cambria Math" w:hAnsi="Cambria Math"/>
                      <w:color w:val="000000"/>
                      <w:sz w:val="14"/>
                    </w:rPr>
                    <m:t>g</m:t>
                  </m:r>
                </m:sub>
              </m:sSub>
            </m:oMath>
            <w:r w:rsidR="00444B75" w:rsidRPr="008174E3">
              <w:rPr>
                <w:color w:val="000000"/>
                <w:sz w:val="14"/>
              </w:rPr>
              <w:t xml:space="preserve"> es el impacto del componente (3 pp. para hombres y 3,5 pp</w:t>
            </w:r>
            <w:r w:rsidR="00D109CF" w:rsidRPr="008174E3">
              <w:rPr>
                <w:color w:val="000000"/>
                <w:sz w:val="14"/>
              </w:rPr>
              <w:t>.</w:t>
            </w:r>
            <w:r w:rsidR="00444B75" w:rsidRPr="008174E3">
              <w:rPr>
                <w:color w:val="000000"/>
                <w:sz w:val="14"/>
              </w:rPr>
              <w:t xml:space="preserve"> para mujeres)</w:t>
            </w:r>
          </w:p>
          <w:p w14:paraId="640A34DC" w14:textId="77777777" w:rsidR="00444B75" w:rsidRPr="008174E3" w:rsidRDefault="00444B75" w:rsidP="00210B40">
            <w:pPr>
              <w:rPr>
                <w:rFonts w:ascii="Arial" w:hAnsi="Arial" w:cs="Arial"/>
              </w:rPr>
            </w:pPr>
          </w:p>
        </w:tc>
        <w:tc>
          <w:tcPr>
            <w:tcW w:w="3785" w:type="dxa"/>
          </w:tcPr>
          <w:p w14:paraId="4B90DFD3" w14:textId="3621DFA9" w:rsidR="00444B75" w:rsidRPr="008174E3" w:rsidRDefault="00444B75" w:rsidP="00444B75">
            <w:pPr>
              <w:rPr>
                <w:color w:val="000000"/>
                <w:sz w:val="14"/>
              </w:rPr>
            </w:pPr>
            <w:r w:rsidRPr="008174E3">
              <w:rPr>
                <w:color w:val="000000"/>
                <w:sz w:val="14"/>
              </w:rPr>
              <w:t>Costos Directos:</w:t>
            </w:r>
          </w:p>
          <w:p w14:paraId="18856EC9" w14:textId="12D480E3" w:rsidR="00444B75" w:rsidRPr="008174E3" w:rsidRDefault="00444B75" w:rsidP="00444B75">
            <w:pPr>
              <w:spacing w:before="360"/>
              <w:rPr>
                <w:sz w:val="14"/>
              </w:rPr>
            </w:pPr>
          </w:p>
          <w:p w14:paraId="61D08AE1" w14:textId="0FAC9D1B" w:rsidR="00444B75" w:rsidRPr="008174E3" w:rsidRDefault="00BE0EAE" w:rsidP="00210B40">
            <w:pPr>
              <w:rPr>
                <w:rFonts w:ascii="Arial" w:hAnsi="Arial" w:cs="Arial"/>
                <w:color w:val="000000"/>
                <w:sz w:val="14"/>
              </w:rPr>
            </w:pPr>
            <m:oMathPara>
              <m:oMath>
                <m:sSub>
                  <m:sSubPr>
                    <m:ctrlPr>
                      <w:rPr>
                        <w:rFonts w:ascii="Cambria Math" w:hAnsi="Cambria Math"/>
                        <w:i/>
                        <w:color w:val="000000"/>
                        <w:sz w:val="14"/>
                        <w:szCs w:val="22"/>
                      </w:rPr>
                    </m:ctrlPr>
                  </m:sSubPr>
                  <m:e>
                    <m:r>
                      <w:rPr>
                        <w:rFonts w:ascii="Cambria Math" w:hAnsi="Cambria Math"/>
                        <w:color w:val="000000"/>
                        <w:sz w:val="14"/>
                      </w:rPr>
                      <m:t>costos directos</m:t>
                    </m:r>
                  </m:e>
                  <m:sub>
                    <m:r>
                      <w:rPr>
                        <w:rFonts w:ascii="Cambria Math" w:hAnsi="Cambria Math"/>
                        <w:color w:val="000000"/>
                        <w:sz w:val="14"/>
                      </w:rPr>
                      <m:t>i</m:t>
                    </m:r>
                  </m:sub>
                </m:sSub>
                <m:r>
                  <w:rPr>
                    <w:rFonts w:ascii="Cambria Math" w:hAnsi="Cambria Math"/>
                    <w:color w:val="000000"/>
                    <w:sz w:val="14"/>
                  </w:rPr>
                  <m:t>=Costo Componente i/Ni</m:t>
                </m:r>
              </m:oMath>
            </m:oMathPara>
          </w:p>
          <w:p w14:paraId="43F50165" w14:textId="77777777" w:rsidR="00755A0E" w:rsidRPr="008174E3" w:rsidRDefault="00755A0E" w:rsidP="00755A0E">
            <w:pPr>
              <w:rPr>
                <w:color w:val="000000"/>
                <w:sz w:val="14"/>
              </w:rPr>
            </w:pPr>
          </w:p>
          <w:p w14:paraId="3FD9E9E0" w14:textId="65B7B2BD" w:rsidR="00755A0E" w:rsidRPr="008174E3" w:rsidRDefault="00755A0E" w:rsidP="00755A0E">
            <w:pPr>
              <w:rPr>
                <w:color w:val="000000"/>
                <w:sz w:val="14"/>
              </w:rPr>
            </w:pPr>
            <w:r w:rsidRPr="008174E3">
              <w:rPr>
                <w:color w:val="000000"/>
                <w:sz w:val="14"/>
              </w:rPr>
              <w:t xml:space="preserve">Donde: </w:t>
            </w:r>
          </w:p>
          <w:p w14:paraId="5350F24C" w14:textId="77777777" w:rsidR="00755A0E" w:rsidRPr="008174E3" w:rsidRDefault="00755A0E" w:rsidP="00755A0E">
            <w:pPr>
              <w:rPr>
                <w:color w:val="000000"/>
                <w:sz w:val="14"/>
              </w:rPr>
            </w:pPr>
          </w:p>
          <w:p w14:paraId="26246C21" w14:textId="1767C89D" w:rsidR="00755A0E" w:rsidRPr="008174E3" w:rsidRDefault="00755A0E" w:rsidP="00755A0E">
            <w:pPr>
              <w:pStyle w:val="ListParagraph"/>
              <w:numPr>
                <w:ilvl w:val="0"/>
                <w:numId w:val="26"/>
              </w:numPr>
              <w:rPr>
                <w:rFonts w:ascii="Arial" w:hAnsi="Arial" w:cs="Arial"/>
                <w:color w:val="000000"/>
                <w:sz w:val="14"/>
              </w:rPr>
            </w:pPr>
            <m:oMath>
              <m:r>
                <w:rPr>
                  <w:rFonts w:ascii="Cambria Math" w:hAnsi="Cambria Math"/>
                  <w:color w:val="000000"/>
                  <w:sz w:val="14"/>
                  <w:szCs w:val="22"/>
                </w:rPr>
                <m:t>N</m:t>
              </m:r>
            </m:oMath>
            <w:r w:rsidRPr="008174E3">
              <w:rPr>
                <w:color w:val="000000"/>
                <w:sz w:val="14"/>
                <w:szCs w:val="22"/>
              </w:rPr>
              <w:t xml:space="preserve"> es el número de beneficiarios atendidos por el componente</w:t>
            </w:r>
          </w:p>
          <w:p w14:paraId="61A4870D" w14:textId="0EBA5C96" w:rsidR="00333A88" w:rsidRPr="008174E3" w:rsidRDefault="00333A88" w:rsidP="00333A88">
            <w:pPr>
              <w:pStyle w:val="ListParagraph"/>
              <w:numPr>
                <w:ilvl w:val="0"/>
                <w:numId w:val="26"/>
              </w:numPr>
              <w:jc w:val="both"/>
              <w:rPr>
                <w:rFonts w:ascii="Cambria Math" w:hAnsi="Cambria Math"/>
                <w:color w:val="000000"/>
                <w:sz w:val="14"/>
                <w:szCs w:val="22"/>
              </w:rPr>
            </w:pPr>
            <w:r w:rsidRPr="008174E3">
              <w:rPr>
                <w:rFonts w:ascii="Cambria Math" w:hAnsi="Cambria Math"/>
                <w:color w:val="000000"/>
                <w:sz w:val="14"/>
                <w:szCs w:val="22"/>
              </w:rPr>
              <w:t xml:space="preserve">El costo del componente alcanza a </w:t>
            </w:r>
            <w:r w:rsidR="000D0AAD">
              <w:rPr>
                <w:rFonts w:ascii="Cambria Math" w:hAnsi="Cambria Math"/>
                <w:color w:val="000000"/>
                <w:sz w:val="14"/>
                <w:szCs w:val="22"/>
              </w:rPr>
              <w:t>30</w:t>
            </w:r>
            <w:r w:rsidRPr="008174E3">
              <w:rPr>
                <w:rFonts w:ascii="Cambria Math" w:hAnsi="Cambria Math"/>
                <w:color w:val="000000"/>
                <w:sz w:val="14"/>
                <w:szCs w:val="22"/>
              </w:rPr>
              <w:t xml:space="preserve"> millones de dólares e incluye los costos del com</w:t>
            </w:r>
            <w:r w:rsidR="00CF214F" w:rsidRPr="008174E3">
              <w:rPr>
                <w:rFonts w:ascii="Cambria Math" w:hAnsi="Cambria Math"/>
                <w:color w:val="000000"/>
                <w:sz w:val="14"/>
                <w:szCs w:val="22"/>
              </w:rPr>
              <w:t>p</w:t>
            </w:r>
            <w:r w:rsidRPr="008174E3">
              <w:rPr>
                <w:rFonts w:ascii="Cambria Math" w:hAnsi="Cambria Math"/>
                <w:color w:val="000000"/>
                <w:sz w:val="14"/>
                <w:szCs w:val="22"/>
              </w:rPr>
              <w:t>onente según el POD y el costo de la Evaluación y auditorias</w:t>
            </w:r>
          </w:p>
          <w:p w14:paraId="769AC57F" w14:textId="3670F2EE" w:rsidR="00755A0E" w:rsidRPr="008174E3" w:rsidRDefault="00755A0E" w:rsidP="00210B40">
            <w:pPr>
              <w:rPr>
                <w:rFonts w:ascii="Arial" w:hAnsi="Arial" w:cs="Arial"/>
              </w:rPr>
            </w:pPr>
          </w:p>
        </w:tc>
      </w:tr>
      <w:tr w:rsidR="00444B75" w:rsidRPr="008174E3" w14:paraId="34EA58A7" w14:textId="77777777" w:rsidTr="00755A0E">
        <w:tc>
          <w:tcPr>
            <w:tcW w:w="1447" w:type="dxa"/>
            <w:vMerge/>
          </w:tcPr>
          <w:p w14:paraId="12308F65" w14:textId="77777777" w:rsidR="00444B75" w:rsidRPr="008174E3" w:rsidRDefault="00444B75" w:rsidP="00210B40">
            <w:pPr>
              <w:rPr>
                <w:color w:val="000000"/>
                <w:sz w:val="14"/>
              </w:rPr>
            </w:pPr>
          </w:p>
        </w:tc>
        <w:tc>
          <w:tcPr>
            <w:tcW w:w="4596" w:type="dxa"/>
            <w:vAlign w:val="bottom"/>
          </w:tcPr>
          <w:p w14:paraId="6BF9C74B" w14:textId="77777777" w:rsidR="00444B75" w:rsidRPr="008174E3" w:rsidRDefault="00444B75" w:rsidP="00210B40">
            <w:pPr>
              <w:rPr>
                <w:color w:val="000000"/>
                <w:sz w:val="14"/>
              </w:rPr>
            </w:pPr>
            <w:r w:rsidRPr="008174E3">
              <w:rPr>
                <w:color w:val="000000"/>
                <w:sz w:val="14"/>
              </w:rPr>
              <w:t>Acceso a Beneficios laborales:</w:t>
            </w:r>
          </w:p>
          <w:p w14:paraId="685F6B86" w14:textId="2974C332" w:rsidR="00444B75" w:rsidRPr="008174E3" w:rsidRDefault="00BE0EAE" w:rsidP="00210B40">
            <w:pPr>
              <w:spacing w:before="360"/>
              <w:rPr>
                <w:sz w:val="14"/>
              </w:rPr>
            </w:pPr>
            <m:oMathPara>
              <m:oMath>
                <m:sSub>
                  <m:sSubPr>
                    <m:ctrlPr>
                      <w:rPr>
                        <w:rFonts w:ascii="Cambria Math" w:hAnsi="Cambria Math"/>
                        <w:i/>
                        <w:color w:val="000000"/>
                        <w:sz w:val="14"/>
                        <w:szCs w:val="22"/>
                      </w:rPr>
                    </m:ctrlPr>
                  </m:sSubPr>
                  <m:e>
                    <m:r>
                      <w:rPr>
                        <w:rFonts w:ascii="Cambria Math" w:hAnsi="Cambria Math"/>
                        <w:color w:val="000000"/>
                        <w:sz w:val="14"/>
                      </w:rPr>
                      <m:t>θ</m:t>
                    </m:r>
                  </m:e>
                  <m:sub>
                    <m:r>
                      <w:rPr>
                        <w:rFonts w:ascii="Cambria Math" w:hAnsi="Cambria Math"/>
                        <w:color w:val="000000"/>
                        <w:sz w:val="14"/>
                      </w:rPr>
                      <m:t>i</m:t>
                    </m:r>
                  </m:sub>
                </m:sSub>
                <m:r>
                  <w:rPr>
                    <w:rFonts w:ascii="Cambria Math" w:hAnsi="Cambria Math"/>
                    <w:color w:val="000000"/>
                    <w:sz w:val="14"/>
                  </w:rPr>
                  <m:t>=</m:t>
                </m:r>
                <m:d>
                  <m:dPr>
                    <m:ctrlPr>
                      <w:rPr>
                        <w:rFonts w:ascii="Cambria Math" w:hAnsi="Cambria Math"/>
                        <w:i/>
                        <w:color w:val="000000"/>
                        <w:sz w:val="14"/>
                      </w:rPr>
                    </m:ctrlPr>
                  </m:dPr>
                  <m:e>
                    <m:sSub>
                      <m:sSubPr>
                        <m:ctrlPr>
                          <w:rPr>
                            <w:rFonts w:ascii="Cambria Math" w:hAnsi="Cambria Math"/>
                            <w:i/>
                            <w:color w:val="000000"/>
                            <w:sz w:val="14"/>
                            <w:szCs w:val="22"/>
                          </w:rPr>
                        </m:ctrlPr>
                      </m:sSubPr>
                      <m:e>
                        <m:r>
                          <w:rPr>
                            <w:rFonts w:ascii="Cambria Math" w:hAnsi="Cambria Math"/>
                            <w:color w:val="000000"/>
                            <w:sz w:val="14"/>
                          </w:rPr>
                          <m:t>β</m:t>
                        </m:r>
                      </m:e>
                      <m:sub>
                        <m:r>
                          <w:rPr>
                            <w:rFonts w:ascii="Cambria Math" w:hAnsi="Cambria Math"/>
                            <w:color w:val="000000"/>
                            <w:sz w:val="14"/>
                          </w:rPr>
                          <m:t>i,H</m:t>
                        </m:r>
                      </m:sub>
                    </m:sSub>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N</m:t>
                        </m:r>
                      </m:e>
                      <m:sub>
                        <m:r>
                          <w:rPr>
                            <w:rFonts w:ascii="Cambria Math" w:hAnsi="Cambria Math"/>
                            <w:color w:val="000000"/>
                            <w:sz w:val="14"/>
                          </w:rPr>
                          <m:t>i,H</m:t>
                        </m:r>
                      </m:sub>
                    </m:sSub>
                  </m:e>
                </m:d>
                <m:r>
                  <w:rPr>
                    <w:rFonts w:ascii="Cambria Math" w:hAnsi="Cambria Math"/>
                    <w:color w:val="000000"/>
                    <w:sz w:val="14"/>
                  </w:rPr>
                  <m:t>+</m:t>
                </m:r>
                <m:d>
                  <m:dPr>
                    <m:ctrlPr>
                      <w:rPr>
                        <w:rFonts w:ascii="Cambria Math" w:hAnsi="Cambria Math"/>
                        <w:i/>
                        <w:color w:val="000000"/>
                        <w:sz w:val="14"/>
                      </w:rPr>
                    </m:ctrlPr>
                  </m:dPr>
                  <m:e>
                    <m:sSub>
                      <m:sSubPr>
                        <m:ctrlPr>
                          <w:rPr>
                            <w:rFonts w:ascii="Cambria Math" w:hAnsi="Cambria Math"/>
                            <w:i/>
                            <w:color w:val="000000"/>
                            <w:sz w:val="14"/>
                            <w:szCs w:val="22"/>
                          </w:rPr>
                        </m:ctrlPr>
                      </m:sSubPr>
                      <m:e>
                        <m:r>
                          <w:rPr>
                            <w:rFonts w:ascii="Cambria Math" w:hAnsi="Cambria Math"/>
                            <w:color w:val="000000"/>
                            <w:sz w:val="14"/>
                          </w:rPr>
                          <m:t>β</m:t>
                        </m:r>
                      </m:e>
                      <m:sub>
                        <m:r>
                          <w:rPr>
                            <w:rFonts w:ascii="Cambria Math" w:hAnsi="Cambria Math"/>
                            <w:color w:val="000000"/>
                            <w:sz w:val="14"/>
                          </w:rPr>
                          <m:t>i,M</m:t>
                        </m:r>
                      </m:sub>
                    </m:sSub>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N</m:t>
                        </m:r>
                      </m:e>
                      <m:sub>
                        <m:r>
                          <w:rPr>
                            <w:rFonts w:ascii="Cambria Math" w:hAnsi="Cambria Math"/>
                            <w:color w:val="000000"/>
                            <w:sz w:val="14"/>
                          </w:rPr>
                          <m:t>i,M</m:t>
                        </m:r>
                      </m:sub>
                    </m:sSub>
                  </m:e>
                </m:d>
              </m:oMath>
            </m:oMathPara>
          </w:p>
          <w:p w14:paraId="2FACE772" w14:textId="77777777" w:rsidR="00444B75" w:rsidRPr="008174E3" w:rsidRDefault="00444B75" w:rsidP="00210B40">
            <w:pPr>
              <w:rPr>
                <w:color w:val="000000"/>
                <w:sz w:val="14"/>
              </w:rPr>
            </w:pPr>
          </w:p>
          <w:p w14:paraId="1737CC3F" w14:textId="77777777" w:rsidR="00444B75" w:rsidRPr="008174E3" w:rsidRDefault="00444B75" w:rsidP="00210B40">
            <w:pPr>
              <w:rPr>
                <w:color w:val="000000"/>
                <w:sz w:val="14"/>
              </w:rPr>
            </w:pPr>
            <w:r w:rsidRPr="008174E3">
              <w:rPr>
                <w:color w:val="000000"/>
                <w:sz w:val="14"/>
              </w:rPr>
              <w:t xml:space="preserve">Donde </w:t>
            </w:r>
          </w:p>
          <w:p w14:paraId="52A33978" w14:textId="77777777" w:rsidR="00444B75" w:rsidRPr="008174E3" w:rsidRDefault="00444B75" w:rsidP="00210B40">
            <w:pPr>
              <w:pStyle w:val="ListParagraph"/>
              <w:numPr>
                <w:ilvl w:val="0"/>
                <w:numId w:val="25"/>
              </w:numPr>
              <w:rPr>
                <w:color w:val="000000"/>
                <w:sz w:val="14"/>
              </w:rPr>
            </w:pPr>
            <w:r w:rsidRPr="008174E3">
              <w:rPr>
                <w:i/>
                <w:color w:val="000000"/>
                <w:sz w:val="14"/>
              </w:rPr>
              <w:t xml:space="preserve">i </w:t>
            </w:r>
            <w:r w:rsidRPr="008174E3">
              <w:rPr>
                <w:color w:val="000000"/>
                <w:sz w:val="14"/>
              </w:rPr>
              <w:t>es el año del impacto</w:t>
            </w:r>
          </w:p>
          <w:p w14:paraId="5AE08D5B" w14:textId="70E18510" w:rsidR="00444B75" w:rsidRPr="008174E3" w:rsidRDefault="00444B75" w:rsidP="00210B40">
            <w:pPr>
              <w:pStyle w:val="ListParagraph"/>
              <w:numPr>
                <w:ilvl w:val="0"/>
                <w:numId w:val="25"/>
              </w:numPr>
              <w:rPr>
                <w:color w:val="000000"/>
                <w:sz w:val="14"/>
              </w:rPr>
            </w:pPr>
            <w:r w:rsidRPr="008174E3">
              <w:rPr>
                <w:i/>
                <w:color w:val="000000"/>
                <w:sz w:val="14"/>
              </w:rPr>
              <w:t>H</w:t>
            </w:r>
            <w:r w:rsidRPr="008174E3">
              <w:rPr>
                <w:color w:val="000000"/>
                <w:sz w:val="14"/>
              </w:rPr>
              <w:t xml:space="preserve"> hace referencia al </w:t>
            </w:r>
            <w:r w:rsidR="0007065C" w:rsidRPr="008174E3">
              <w:rPr>
                <w:color w:val="000000"/>
                <w:sz w:val="14"/>
              </w:rPr>
              <w:t>cálculo</w:t>
            </w:r>
            <w:r w:rsidRPr="008174E3">
              <w:rPr>
                <w:color w:val="000000"/>
                <w:sz w:val="14"/>
              </w:rPr>
              <w:t xml:space="preserve"> de hombres y </w:t>
            </w:r>
            <w:r w:rsidRPr="008174E3">
              <w:rPr>
                <w:i/>
                <w:color w:val="000000"/>
                <w:sz w:val="14"/>
              </w:rPr>
              <w:t>M</w:t>
            </w:r>
            <w:r w:rsidRPr="008174E3">
              <w:rPr>
                <w:color w:val="000000"/>
                <w:sz w:val="14"/>
              </w:rPr>
              <w:t xml:space="preserve"> de mujeres</w:t>
            </w:r>
          </w:p>
          <w:p w14:paraId="739BB0F3" w14:textId="77777777" w:rsidR="00444B75" w:rsidRPr="008174E3" w:rsidRDefault="00BE0EAE" w:rsidP="00210B40">
            <w:pPr>
              <w:pStyle w:val="ListParagraph"/>
              <w:numPr>
                <w:ilvl w:val="0"/>
                <w:numId w:val="25"/>
              </w:numPr>
              <w:rPr>
                <w:color w:val="000000"/>
                <w:sz w:val="14"/>
              </w:rPr>
            </w:pPr>
            <m:oMath>
              <m:sSub>
                <m:sSubPr>
                  <m:ctrlPr>
                    <w:rPr>
                      <w:rFonts w:ascii="Cambria Math" w:hAnsi="Cambria Math"/>
                      <w:i/>
                      <w:color w:val="000000"/>
                      <w:sz w:val="14"/>
                    </w:rPr>
                  </m:ctrlPr>
                </m:sSubPr>
                <m:e>
                  <m:r>
                    <w:rPr>
                      <w:rFonts w:ascii="Cambria Math" w:hAnsi="Cambria Math"/>
                      <w:color w:val="000000"/>
                      <w:sz w:val="14"/>
                    </w:rPr>
                    <m:t>β</m:t>
                  </m:r>
                </m:e>
                <m:sub>
                  <m:r>
                    <w:rPr>
                      <w:rFonts w:ascii="Cambria Math" w:hAnsi="Cambria Math"/>
                      <w:color w:val="000000"/>
                      <w:sz w:val="14"/>
                    </w:rPr>
                    <m:t>i,g</m:t>
                  </m:r>
                </m:sub>
              </m:sSub>
            </m:oMath>
            <w:r w:rsidR="00444B75" w:rsidRPr="008174E3">
              <w:rPr>
                <w:color w:val="000000"/>
                <w:sz w:val="14"/>
              </w:rPr>
              <w:t xml:space="preserve"> es el impacto de formalidad para los hombres, que se calcula como: </w:t>
            </w:r>
          </w:p>
          <w:p w14:paraId="36E052C3" w14:textId="77777777" w:rsidR="00444B75" w:rsidRPr="008174E3" w:rsidRDefault="00444B75" w:rsidP="00210B40">
            <w:pPr>
              <w:pStyle w:val="ListParagraph"/>
              <w:rPr>
                <w:color w:val="000000"/>
                <w:sz w:val="14"/>
              </w:rPr>
            </w:pPr>
            <m:oMathPara>
              <m:oMath>
                <m:r>
                  <m:rPr>
                    <m:sty m:val="p"/>
                  </m:rPr>
                  <w:rPr>
                    <w:rFonts w:ascii="Cambria Math" w:hAnsi="Cambria Math"/>
                    <w:color w:val="000000"/>
                    <w:sz w:val="14"/>
                  </w:rPr>
                  <w:br/>
                </m:r>
              </m:oMath>
              <m:oMath>
                <m:sSub>
                  <m:sSubPr>
                    <m:ctrlPr>
                      <w:rPr>
                        <w:rFonts w:ascii="Cambria Math" w:hAnsi="Cambria Math"/>
                        <w:i/>
                        <w:color w:val="000000"/>
                        <w:sz w:val="14"/>
                      </w:rPr>
                    </m:ctrlPr>
                  </m:sSubPr>
                  <m:e>
                    <m:r>
                      <w:rPr>
                        <w:rFonts w:ascii="Cambria Math" w:hAnsi="Cambria Math"/>
                        <w:color w:val="000000"/>
                        <w:sz w:val="14"/>
                      </w:rPr>
                      <m:t>β</m:t>
                    </m:r>
                  </m:e>
                  <m:sub>
                    <m:r>
                      <w:rPr>
                        <w:rFonts w:ascii="Cambria Math" w:hAnsi="Cambria Math"/>
                        <w:color w:val="000000"/>
                        <w:sz w:val="14"/>
                      </w:rPr>
                      <m:t>i,g</m:t>
                    </m:r>
                  </m:sub>
                </m:sSub>
                <m:r>
                  <w:rPr>
                    <w:rFonts w:ascii="Cambria Math" w:hAnsi="Cambria Math"/>
                    <w:color w:val="000000"/>
                    <w:sz w:val="14"/>
                  </w:rPr>
                  <m:t>={</m:t>
                </m:r>
                <m:d>
                  <m:dPr>
                    <m:ctrlPr>
                      <w:rPr>
                        <w:rFonts w:ascii="Cambria Math" w:hAnsi="Cambria Math"/>
                        <w:i/>
                        <w:color w:val="000000"/>
                        <w:sz w:val="14"/>
                      </w:rPr>
                    </m:ctrlPr>
                  </m:dPr>
                  <m:e>
                    <m:sSub>
                      <m:sSubPr>
                        <m:ctrlPr>
                          <w:rPr>
                            <w:rFonts w:ascii="Cambria Math" w:hAnsi="Cambria Math"/>
                            <w:i/>
                            <w:color w:val="000000"/>
                            <w:sz w:val="14"/>
                            <w:szCs w:val="22"/>
                          </w:rPr>
                        </m:ctrlPr>
                      </m:sSubPr>
                      <m:e>
                        <m:r>
                          <w:rPr>
                            <w:rFonts w:ascii="Cambria Math" w:hAnsi="Cambria Math"/>
                            <w:color w:val="000000"/>
                            <w:sz w:val="14"/>
                          </w:rPr>
                          <m:t>d</m:t>
                        </m:r>
                      </m:e>
                      <m:sub>
                        <m:r>
                          <w:rPr>
                            <w:rFonts w:ascii="Cambria Math" w:hAnsi="Cambria Math"/>
                            <w:color w:val="000000"/>
                            <w:sz w:val="14"/>
                          </w:rPr>
                          <m:t>vacación</m:t>
                        </m:r>
                      </m:sub>
                    </m:sSub>
                    <m:r>
                      <w:rPr>
                        <w:rFonts w:ascii="Cambria Math" w:hAnsi="Cambria Math"/>
                        <w:color w:val="000000"/>
                        <w:sz w:val="14"/>
                      </w:rPr>
                      <m:t>*</m:t>
                    </m:r>
                    <m:sSub>
                      <m:sSubPr>
                        <m:ctrlPr>
                          <w:rPr>
                            <w:rFonts w:ascii="Cambria Math" w:hAnsi="Cambria Math"/>
                            <w:i/>
                            <w:color w:val="000000"/>
                            <w:sz w:val="14"/>
                          </w:rPr>
                        </m:ctrlPr>
                      </m:sSubPr>
                      <m:e>
                        <m:r>
                          <w:rPr>
                            <w:rFonts w:ascii="Cambria Math" w:hAnsi="Cambria Math"/>
                            <w:color w:val="000000"/>
                            <w:sz w:val="14"/>
                          </w:rPr>
                          <m:t>y</m:t>
                        </m:r>
                      </m:e>
                      <m:sub>
                        <m:r>
                          <w:rPr>
                            <w:rFonts w:ascii="Cambria Math" w:hAnsi="Cambria Math"/>
                            <w:color w:val="000000"/>
                            <w:sz w:val="14"/>
                          </w:rPr>
                          <m:t>diario,H</m:t>
                        </m:r>
                      </m:sub>
                    </m:sSub>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ρ</m:t>
                        </m:r>
                      </m:e>
                      <m:sub>
                        <m:func>
                          <m:funcPr>
                            <m:ctrlPr>
                              <w:rPr>
                                <w:rFonts w:ascii="Cambria Math" w:hAnsi="Cambria Math"/>
                                <w:i/>
                                <w:color w:val="000000"/>
                                <w:sz w:val="14"/>
                              </w:rPr>
                            </m:ctrlPr>
                          </m:funcPr>
                          <m:fName>
                            <m:r>
                              <m:rPr>
                                <m:sty m:val="p"/>
                              </m:rPr>
                              <w:rPr>
                                <w:rFonts w:ascii="Cambria Math" w:hAnsi="Cambria Math"/>
                                <w:color w:val="000000"/>
                                <w:sz w:val="14"/>
                              </w:rPr>
                              <m:t>sin</m:t>
                            </m:r>
                          </m:fName>
                          <m:e>
                            <m:r>
                              <w:rPr>
                                <w:rFonts w:ascii="Cambria Math" w:hAnsi="Cambria Math"/>
                                <w:color w:val="000000"/>
                                <w:sz w:val="14"/>
                              </w:rPr>
                              <m:t xml:space="preserve">acceso </m:t>
                            </m:r>
                          </m:e>
                        </m:func>
                        <m:r>
                          <w:rPr>
                            <w:rFonts w:ascii="Cambria Math" w:hAnsi="Cambria Math"/>
                            <w:color w:val="000000"/>
                            <w:sz w:val="14"/>
                          </w:rPr>
                          <m:t>a vacaciones</m:t>
                        </m:r>
                      </m:sub>
                    </m:sSub>
                  </m:e>
                </m:d>
                <m:r>
                  <w:rPr>
                    <w:rFonts w:ascii="Cambria Math" w:hAnsi="Cambria Math"/>
                    <w:color w:val="000000"/>
                    <w:sz w:val="14"/>
                  </w:rPr>
                  <m:t>+</m:t>
                </m:r>
                <m:d>
                  <m:dPr>
                    <m:ctrlPr>
                      <w:rPr>
                        <w:rFonts w:ascii="Cambria Math" w:hAnsi="Cambria Math"/>
                        <w:i/>
                        <w:color w:val="000000"/>
                        <w:sz w:val="14"/>
                      </w:rPr>
                    </m:ctrlPr>
                  </m:dPr>
                  <m:e>
                    <m:sSub>
                      <m:sSubPr>
                        <m:ctrlPr>
                          <w:rPr>
                            <w:rFonts w:ascii="Cambria Math" w:hAnsi="Cambria Math"/>
                            <w:i/>
                            <w:color w:val="000000"/>
                            <w:sz w:val="14"/>
                            <w:szCs w:val="22"/>
                          </w:rPr>
                        </m:ctrlPr>
                      </m:sSubPr>
                      <m:e>
                        <m:r>
                          <w:rPr>
                            <w:rFonts w:ascii="Cambria Math" w:hAnsi="Cambria Math"/>
                            <w:color w:val="000000"/>
                            <w:sz w:val="14"/>
                          </w:rPr>
                          <m:t>d</m:t>
                        </m:r>
                      </m:e>
                      <m:sub>
                        <m:r>
                          <w:rPr>
                            <w:rFonts w:ascii="Cambria Math" w:hAnsi="Cambria Math"/>
                            <w:color w:val="000000"/>
                            <w:sz w:val="14"/>
                          </w:rPr>
                          <m:t>aguinaldo</m:t>
                        </m:r>
                      </m:sub>
                    </m:sSub>
                    <m:r>
                      <w:rPr>
                        <w:rFonts w:ascii="Cambria Math" w:hAnsi="Cambria Math"/>
                        <w:color w:val="000000"/>
                        <w:sz w:val="14"/>
                      </w:rPr>
                      <m:t>*</m:t>
                    </m:r>
                    <m:sSub>
                      <m:sSubPr>
                        <m:ctrlPr>
                          <w:rPr>
                            <w:rFonts w:ascii="Cambria Math" w:hAnsi="Cambria Math"/>
                            <w:i/>
                            <w:color w:val="000000"/>
                            <w:sz w:val="14"/>
                          </w:rPr>
                        </m:ctrlPr>
                      </m:sSubPr>
                      <m:e>
                        <m:r>
                          <w:rPr>
                            <w:rFonts w:ascii="Cambria Math" w:hAnsi="Cambria Math"/>
                            <w:color w:val="000000"/>
                            <w:sz w:val="14"/>
                          </w:rPr>
                          <m:t>y</m:t>
                        </m:r>
                      </m:e>
                      <m:sub>
                        <m:r>
                          <w:rPr>
                            <w:rFonts w:ascii="Cambria Math" w:hAnsi="Cambria Math"/>
                            <w:color w:val="000000"/>
                            <w:sz w:val="14"/>
                          </w:rPr>
                          <m:t>diario,H</m:t>
                        </m:r>
                      </m:sub>
                    </m:sSub>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ρ</m:t>
                        </m:r>
                      </m:e>
                      <m:sub>
                        <m:func>
                          <m:funcPr>
                            <m:ctrlPr>
                              <w:rPr>
                                <w:rFonts w:ascii="Cambria Math" w:hAnsi="Cambria Math"/>
                                <w:i/>
                                <w:color w:val="000000"/>
                                <w:sz w:val="14"/>
                              </w:rPr>
                            </m:ctrlPr>
                          </m:funcPr>
                          <m:fName>
                            <m:r>
                              <m:rPr>
                                <m:sty m:val="p"/>
                              </m:rPr>
                              <w:rPr>
                                <w:rFonts w:ascii="Cambria Math" w:hAnsi="Cambria Math"/>
                                <w:color w:val="000000"/>
                                <w:sz w:val="14"/>
                              </w:rPr>
                              <m:t>sin</m:t>
                            </m:r>
                          </m:fName>
                          <m:e>
                            <m:r>
                              <w:rPr>
                                <w:rFonts w:ascii="Cambria Math" w:hAnsi="Cambria Math"/>
                                <w:color w:val="000000"/>
                                <w:sz w:val="14"/>
                              </w:rPr>
                              <m:t>acceso a</m:t>
                            </m:r>
                          </m:e>
                        </m:func>
                        <m:r>
                          <w:rPr>
                            <w:rFonts w:ascii="Cambria Math" w:hAnsi="Cambria Math"/>
                            <w:color w:val="000000"/>
                            <w:sz w:val="14"/>
                          </w:rPr>
                          <m:t>a aguinaldo</m:t>
                        </m:r>
                      </m:sub>
                    </m:sSub>
                  </m:e>
                </m:d>
                <m:r>
                  <w:rPr>
                    <w:rFonts w:ascii="Cambria Math" w:hAnsi="Cambria Math"/>
                    <w:color w:val="000000"/>
                    <w:sz w:val="14"/>
                  </w:rPr>
                  <m:t>}*</m:t>
                </m:r>
                <m:sSub>
                  <m:sSubPr>
                    <m:ctrlPr>
                      <w:rPr>
                        <w:rFonts w:ascii="Cambria Math" w:hAnsi="Cambria Math"/>
                        <w:i/>
                        <w:color w:val="000000"/>
                        <w:sz w:val="14"/>
                      </w:rPr>
                    </m:ctrlPr>
                  </m:sSubPr>
                  <m:e>
                    <m:r>
                      <w:rPr>
                        <w:rFonts w:ascii="Cambria Math" w:hAnsi="Cambria Math"/>
                        <w:color w:val="000000"/>
                        <w:sz w:val="14"/>
                      </w:rPr>
                      <m:t>δ</m:t>
                    </m:r>
                  </m:e>
                  <m:sub>
                    <m:r>
                      <w:rPr>
                        <w:rFonts w:ascii="Cambria Math" w:hAnsi="Cambria Math"/>
                        <w:color w:val="000000"/>
                        <w:sz w:val="14"/>
                      </w:rPr>
                      <m:t>g</m:t>
                    </m:r>
                  </m:sub>
                </m:sSub>
              </m:oMath>
            </m:oMathPara>
          </w:p>
          <w:p w14:paraId="56D3DFAD" w14:textId="77777777" w:rsidR="00444B75" w:rsidRPr="008174E3" w:rsidRDefault="00444B75" w:rsidP="00210B40">
            <w:pPr>
              <w:rPr>
                <w:color w:val="000000"/>
                <w:sz w:val="14"/>
              </w:rPr>
            </w:pPr>
          </w:p>
          <w:p w14:paraId="1938CBB6" w14:textId="77777777" w:rsidR="00444B75" w:rsidRPr="008174E3" w:rsidRDefault="00BE0EAE" w:rsidP="00210B40">
            <w:pPr>
              <w:pStyle w:val="ListParagraph"/>
              <w:numPr>
                <w:ilvl w:val="0"/>
                <w:numId w:val="24"/>
              </w:numPr>
              <w:rPr>
                <w:color w:val="000000"/>
                <w:sz w:val="14"/>
              </w:rPr>
            </w:pPr>
            <m:oMath>
              <m:sSub>
                <m:sSubPr>
                  <m:ctrlPr>
                    <w:rPr>
                      <w:rFonts w:ascii="Cambria Math" w:hAnsi="Cambria Math"/>
                      <w:i/>
                      <w:color w:val="000000"/>
                      <w:sz w:val="14"/>
                      <w:szCs w:val="22"/>
                    </w:rPr>
                  </m:ctrlPr>
                </m:sSubPr>
                <m:e>
                  <m:r>
                    <w:rPr>
                      <w:rFonts w:ascii="Cambria Math" w:hAnsi="Cambria Math"/>
                      <w:color w:val="000000"/>
                      <w:sz w:val="14"/>
                    </w:rPr>
                    <m:t>d</m:t>
                  </m:r>
                </m:e>
                <m:sub>
                  <m:r>
                    <w:rPr>
                      <w:rFonts w:ascii="Cambria Math" w:hAnsi="Cambria Math"/>
                      <w:color w:val="000000"/>
                      <w:sz w:val="14"/>
                    </w:rPr>
                    <m:t>vacación</m:t>
                  </m:r>
                </m:sub>
              </m:sSub>
            </m:oMath>
            <w:r w:rsidR="00444B75" w:rsidRPr="008174E3">
              <w:rPr>
                <w:color w:val="000000"/>
                <w:sz w:val="14"/>
              </w:rPr>
              <w:t xml:space="preserve"> son los días definido por Ley para el pago de vacación igual a 6 días</w:t>
            </w:r>
          </w:p>
          <w:p w14:paraId="32EBD31E" w14:textId="77777777" w:rsidR="00444B75" w:rsidRPr="008174E3" w:rsidRDefault="00BE0EAE" w:rsidP="00210B40">
            <w:pPr>
              <w:pStyle w:val="ListParagraph"/>
              <w:numPr>
                <w:ilvl w:val="0"/>
                <w:numId w:val="24"/>
              </w:numPr>
              <w:rPr>
                <w:color w:val="000000"/>
                <w:sz w:val="14"/>
              </w:rPr>
            </w:pPr>
            <m:oMath>
              <m:sSub>
                <m:sSubPr>
                  <m:ctrlPr>
                    <w:rPr>
                      <w:rFonts w:ascii="Cambria Math" w:hAnsi="Cambria Math"/>
                      <w:i/>
                      <w:color w:val="000000"/>
                      <w:sz w:val="14"/>
                      <w:szCs w:val="22"/>
                    </w:rPr>
                  </m:ctrlPr>
                </m:sSubPr>
                <m:e>
                  <m:r>
                    <w:rPr>
                      <w:rFonts w:ascii="Cambria Math" w:hAnsi="Cambria Math"/>
                      <w:color w:val="000000"/>
                      <w:sz w:val="14"/>
                    </w:rPr>
                    <m:t>d</m:t>
                  </m:r>
                </m:e>
                <m:sub>
                  <m:r>
                    <w:rPr>
                      <w:rFonts w:ascii="Cambria Math" w:hAnsi="Cambria Math"/>
                      <w:color w:val="000000"/>
                      <w:sz w:val="14"/>
                    </w:rPr>
                    <m:t>aguinaldo</m:t>
                  </m:r>
                </m:sub>
              </m:sSub>
            </m:oMath>
            <w:r w:rsidR="00444B75" w:rsidRPr="008174E3">
              <w:rPr>
                <w:color w:val="000000"/>
                <w:sz w:val="14"/>
              </w:rPr>
              <w:t xml:space="preserve"> son los días definido por Ley para el pago de aguinaldo igual a 15 días</w:t>
            </w:r>
          </w:p>
          <w:p w14:paraId="1C0F031D" w14:textId="77777777" w:rsidR="00444B75" w:rsidRPr="008174E3" w:rsidRDefault="00BE0EAE" w:rsidP="00210B40">
            <w:pPr>
              <w:pStyle w:val="ListParagraph"/>
              <w:numPr>
                <w:ilvl w:val="0"/>
                <w:numId w:val="24"/>
              </w:numPr>
              <w:rPr>
                <w:color w:val="000000"/>
                <w:sz w:val="14"/>
              </w:rPr>
            </w:pPr>
            <m:oMath>
              <m:sSub>
                <m:sSubPr>
                  <m:ctrlPr>
                    <w:rPr>
                      <w:rFonts w:ascii="Cambria Math" w:hAnsi="Cambria Math"/>
                      <w:i/>
                      <w:color w:val="000000"/>
                      <w:sz w:val="14"/>
                    </w:rPr>
                  </m:ctrlPr>
                </m:sSubPr>
                <m:e>
                  <m:r>
                    <w:rPr>
                      <w:rFonts w:ascii="Cambria Math" w:hAnsi="Cambria Math"/>
                      <w:color w:val="000000"/>
                      <w:sz w:val="14"/>
                    </w:rPr>
                    <m:t>y</m:t>
                  </m:r>
                </m:e>
                <m:sub>
                  <m:r>
                    <w:rPr>
                      <w:rFonts w:ascii="Cambria Math" w:hAnsi="Cambria Math"/>
                      <w:color w:val="000000"/>
                      <w:sz w:val="14"/>
                    </w:rPr>
                    <m:t>diario,g</m:t>
                  </m:r>
                </m:sub>
              </m:sSub>
            </m:oMath>
            <w:r w:rsidR="00444B75" w:rsidRPr="008174E3">
              <w:rPr>
                <w:color w:val="000000"/>
                <w:sz w:val="14"/>
              </w:rPr>
              <w:t xml:space="preserve"> es el ingreso diario de referencia, que se calcula como </w:t>
            </w:r>
            <m:oMath>
              <m:sSub>
                <m:sSubPr>
                  <m:ctrlPr>
                    <w:rPr>
                      <w:rFonts w:ascii="Cambria Math" w:hAnsi="Cambria Math"/>
                      <w:i/>
                      <w:color w:val="000000"/>
                      <w:sz w:val="14"/>
                    </w:rPr>
                  </m:ctrlPr>
                </m:sSubPr>
                <m:e>
                  <m:r>
                    <w:rPr>
                      <w:rFonts w:ascii="Cambria Math" w:hAnsi="Cambria Math"/>
                      <w:color w:val="000000"/>
                      <w:sz w:val="14"/>
                    </w:rPr>
                    <m:t>y</m:t>
                  </m:r>
                </m:e>
                <m:sub>
                  <m:r>
                    <w:rPr>
                      <w:rFonts w:ascii="Cambria Math" w:hAnsi="Cambria Math"/>
                      <w:color w:val="000000"/>
                      <w:sz w:val="14"/>
                    </w:rPr>
                    <m:t>semanal,g</m:t>
                  </m:r>
                </m:sub>
              </m:sSub>
              <m:r>
                <w:rPr>
                  <w:rFonts w:ascii="Cambria Math" w:hAnsi="Cambria Math"/>
                  <w:color w:val="000000"/>
                  <w:sz w:val="14"/>
                </w:rPr>
                <m:t>/6</m:t>
              </m:r>
            </m:oMath>
          </w:p>
          <w:p w14:paraId="06F72184" w14:textId="2629FA12" w:rsidR="00444B75" w:rsidRPr="008174E3" w:rsidRDefault="00444B75" w:rsidP="00210B40">
            <w:pPr>
              <w:pStyle w:val="ListParagraph"/>
              <w:numPr>
                <w:ilvl w:val="0"/>
                <w:numId w:val="24"/>
              </w:numPr>
              <w:rPr>
                <w:color w:val="000000"/>
                <w:sz w:val="14"/>
              </w:rPr>
            </w:pPr>
            <m:oMath>
              <m:r>
                <w:rPr>
                  <w:rFonts w:ascii="Cambria Math" w:hAnsi="Cambria Math"/>
                  <w:color w:val="000000"/>
                  <w:sz w:val="14"/>
                  <w:szCs w:val="22"/>
                </w:rPr>
                <m:t>ρ</m:t>
              </m:r>
            </m:oMath>
            <w:r w:rsidRPr="008174E3">
              <w:rPr>
                <w:color w:val="000000"/>
                <w:sz w:val="14"/>
                <w:szCs w:val="22"/>
              </w:rPr>
              <w:t xml:space="preserve"> es el porcentaje de beneficiarios sin acceso al beneficio (</w:t>
            </w:r>
            <w:r w:rsidR="00170561" w:rsidRPr="008174E3">
              <w:rPr>
                <w:color w:val="000000"/>
                <w:sz w:val="14"/>
                <w:szCs w:val="22"/>
              </w:rPr>
              <w:t>49</w:t>
            </w:r>
            <w:r w:rsidRPr="008174E3">
              <w:rPr>
                <w:color w:val="000000"/>
                <w:sz w:val="14"/>
                <w:szCs w:val="22"/>
              </w:rPr>
              <w:t xml:space="preserve">% para aguinaldo y </w:t>
            </w:r>
            <w:r w:rsidR="00170561" w:rsidRPr="008174E3">
              <w:rPr>
                <w:color w:val="000000"/>
                <w:sz w:val="14"/>
                <w:szCs w:val="22"/>
              </w:rPr>
              <w:t>56</w:t>
            </w:r>
            <w:r w:rsidRPr="008174E3">
              <w:rPr>
                <w:color w:val="000000"/>
                <w:sz w:val="14"/>
                <w:szCs w:val="22"/>
              </w:rPr>
              <w:t>% para vacaciones)</w:t>
            </w:r>
          </w:p>
          <w:p w14:paraId="51CD7E59" w14:textId="065A3FE7" w:rsidR="00444B75" w:rsidRPr="008174E3" w:rsidRDefault="00BE0EAE" w:rsidP="00210B40">
            <w:pPr>
              <w:pStyle w:val="ListParagraph"/>
              <w:numPr>
                <w:ilvl w:val="0"/>
                <w:numId w:val="24"/>
              </w:numPr>
              <w:rPr>
                <w:color w:val="000000"/>
                <w:sz w:val="14"/>
              </w:rPr>
            </w:pPr>
            <m:oMath>
              <m:sSub>
                <m:sSubPr>
                  <m:ctrlPr>
                    <w:rPr>
                      <w:rFonts w:ascii="Cambria Math" w:hAnsi="Cambria Math"/>
                      <w:i/>
                      <w:color w:val="000000"/>
                      <w:sz w:val="14"/>
                      <w:szCs w:val="22"/>
                    </w:rPr>
                  </m:ctrlPr>
                </m:sSubPr>
                <m:e>
                  <m:r>
                    <w:rPr>
                      <w:rFonts w:ascii="Cambria Math" w:hAnsi="Cambria Math"/>
                      <w:color w:val="000000"/>
                      <w:sz w:val="14"/>
                    </w:rPr>
                    <m:t>δ</m:t>
                  </m:r>
                </m:e>
                <m:sub>
                  <m:r>
                    <w:rPr>
                      <w:rFonts w:ascii="Cambria Math" w:hAnsi="Cambria Math"/>
                      <w:color w:val="000000"/>
                      <w:sz w:val="14"/>
                    </w:rPr>
                    <m:t>g</m:t>
                  </m:r>
                </m:sub>
              </m:sSub>
            </m:oMath>
            <w:r w:rsidR="00444B75" w:rsidRPr="008174E3">
              <w:rPr>
                <w:color w:val="000000"/>
                <w:sz w:val="14"/>
              </w:rPr>
              <w:t xml:space="preserve"> es el impacto definido </w:t>
            </w:r>
            <w:bookmarkStart w:id="8" w:name="_Hlk483592959"/>
            <w:r w:rsidR="00444B75" w:rsidRPr="008174E3">
              <w:rPr>
                <w:color w:val="000000"/>
                <w:sz w:val="14"/>
              </w:rPr>
              <w:t xml:space="preserve">del componente </w:t>
            </w:r>
            <w:bookmarkEnd w:id="8"/>
            <w:r w:rsidR="00444B75" w:rsidRPr="008174E3">
              <w:rPr>
                <w:color w:val="000000"/>
                <w:sz w:val="14"/>
              </w:rPr>
              <w:t>(3 pp. para hombres y 3,5 pp</w:t>
            </w:r>
            <w:r w:rsidR="008174E3" w:rsidRPr="008174E3">
              <w:rPr>
                <w:color w:val="000000"/>
                <w:sz w:val="14"/>
              </w:rPr>
              <w:t>.</w:t>
            </w:r>
            <w:r w:rsidR="00444B75" w:rsidRPr="008174E3">
              <w:rPr>
                <w:color w:val="000000"/>
                <w:sz w:val="14"/>
              </w:rPr>
              <w:t xml:space="preserve"> para mujeres)</w:t>
            </w:r>
          </w:p>
          <w:p w14:paraId="5374FB6A" w14:textId="77777777" w:rsidR="00444B75" w:rsidRPr="008174E3" w:rsidRDefault="00444B75" w:rsidP="00210B40">
            <w:pPr>
              <w:rPr>
                <w:color w:val="000000"/>
                <w:sz w:val="14"/>
              </w:rPr>
            </w:pPr>
          </w:p>
          <w:p w14:paraId="49DDFE9A" w14:textId="77777777" w:rsidR="00444B75" w:rsidRPr="008174E3" w:rsidRDefault="00444B75" w:rsidP="00210B40">
            <w:pPr>
              <w:rPr>
                <w:color w:val="000000"/>
                <w:sz w:val="14"/>
              </w:rPr>
            </w:pPr>
          </w:p>
        </w:tc>
        <w:tc>
          <w:tcPr>
            <w:tcW w:w="3785" w:type="dxa"/>
          </w:tcPr>
          <w:p w14:paraId="05DC7CA0" w14:textId="4F66A13C" w:rsidR="00444B75" w:rsidRPr="008174E3" w:rsidRDefault="00755A0E" w:rsidP="00210B40">
            <w:pPr>
              <w:rPr>
                <w:color w:val="000000"/>
                <w:sz w:val="14"/>
              </w:rPr>
            </w:pPr>
            <w:r w:rsidRPr="008174E3">
              <w:rPr>
                <w:color w:val="000000"/>
                <w:sz w:val="14"/>
              </w:rPr>
              <w:t>Costos económicos:</w:t>
            </w:r>
          </w:p>
          <w:p w14:paraId="2F445A42" w14:textId="0256B9FF" w:rsidR="00755A0E" w:rsidRPr="008174E3" w:rsidRDefault="00755A0E" w:rsidP="00210B40">
            <w:pPr>
              <w:rPr>
                <w:color w:val="000000"/>
                <w:sz w:val="14"/>
              </w:rPr>
            </w:pPr>
          </w:p>
          <w:p w14:paraId="542A1572" w14:textId="77777777" w:rsidR="00755A0E" w:rsidRPr="008174E3" w:rsidRDefault="00755A0E" w:rsidP="00210B40">
            <w:pPr>
              <w:rPr>
                <w:color w:val="000000"/>
                <w:sz w:val="14"/>
              </w:rPr>
            </w:pPr>
          </w:p>
          <w:p w14:paraId="7347E000" w14:textId="45FC8547" w:rsidR="00755A0E" w:rsidRPr="008174E3" w:rsidRDefault="00BE0EAE" w:rsidP="00210B40">
            <w:pPr>
              <w:rPr>
                <w:rFonts w:ascii="Arial" w:hAnsi="Arial" w:cs="Arial"/>
                <w:color w:val="000000"/>
                <w:sz w:val="14"/>
              </w:rPr>
            </w:pPr>
            <m:oMathPara>
              <m:oMath>
                <m:sSub>
                  <m:sSubPr>
                    <m:ctrlPr>
                      <w:rPr>
                        <w:rFonts w:ascii="Cambria Math" w:hAnsi="Cambria Math"/>
                        <w:i/>
                        <w:color w:val="000000"/>
                        <w:sz w:val="14"/>
                        <w:szCs w:val="22"/>
                      </w:rPr>
                    </m:ctrlPr>
                  </m:sSubPr>
                  <m:e>
                    <m:r>
                      <w:rPr>
                        <w:rFonts w:ascii="Cambria Math" w:hAnsi="Cambria Math"/>
                        <w:color w:val="000000"/>
                        <w:sz w:val="14"/>
                      </w:rPr>
                      <m:t>costos económicos</m:t>
                    </m:r>
                  </m:e>
                  <m:sub>
                    <m:r>
                      <w:rPr>
                        <w:rFonts w:ascii="Cambria Math" w:hAnsi="Cambria Math"/>
                        <w:color w:val="000000"/>
                        <w:sz w:val="14"/>
                      </w:rPr>
                      <m:t>i</m:t>
                    </m:r>
                  </m:sub>
                </m:sSub>
                <m:r>
                  <w:rPr>
                    <w:rFonts w:ascii="Cambria Math" w:hAnsi="Cambria Math"/>
                    <w:color w:val="000000"/>
                    <w:sz w:val="14"/>
                  </w:rPr>
                  <m:t>=</m:t>
                </m:r>
                <m:sSub>
                  <m:sSubPr>
                    <m:ctrlPr>
                      <w:rPr>
                        <w:rFonts w:ascii="Cambria Math" w:hAnsi="Cambria Math"/>
                        <w:i/>
                        <w:color w:val="000000"/>
                        <w:sz w:val="14"/>
                      </w:rPr>
                    </m:ctrlPr>
                  </m:sSubPr>
                  <m:e>
                    <m:r>
                      <w:rPr>
                        <w:rFonts w:ascii="Cambria Math" w:hAnsi="Cambria Math"/>
                        <w:color w:val="000000"/>
                        <w:sz w:val="14"/>
                      </w:rPr>
                      <m:t>y</m:t>
                    </m:r>
                  </m:e>
                  <m:sub>
                    <m:r>
                      <w:rPr>
                        <w:rFonts w:ascii="Cambria Math" w:hAnsi="Cambria Math"/>
                        <w:color w:val="000000"/>
                        <w:sz w:val="14"/>
                      </w:rPr>
                      <m:t>diario,g</m:t>
                    </m:r>
                  </m:sub>
                </m:sSub>
                <m:r>
                  <w:rPr>
                    <w:rFonts w:ascii="Cambria Math" w:hAnsi="Cambria Math"/>
                    <w:color w:val="000000"/>
                    <w:sz w:val="14"/>
                  </w:rPr>
                  <m:t>*#dias*</m:t>
                </m:r>
                <m:sSub>
                  <m:sSubPr>
                    <m:ctrlPr>
                      <w:rPr>
                        <w:rFonts w:ascii="Cambria Math" w:hAnsi="Cambria Math"/>
                        <w:i/>
                        <w:color w:val="000000"/>
                        <w:sz w:val="14"/>
                        <w:szCs w:val="22"/>
                      </w:rPr>
                    </m:ctrlPr>
                  </m:sSubPr>
                  <m:e>
                    <m:r>
                      <w:rPr>
                        <w:rFonts w:ascii="Cambria Math" w:hAnsi="Cambria Math"/>
                        <w:color w:val="000000"/>
                        <w:sz w:val="14"/>
                      </w:rPr>
                      <m:t>N</m:t>
                    </m:r>
                  </m:e>
                  <m:sub>
                    <m:r>
                      <w:rPr>
                        <w:rFonts w:ascii="Cambria Math" w:hAnsi="Cambria Math"/>
                        <w:color w:val="000000"/>
                        <w:sz w:val="14"/>
                      </w:rPr>
                      <m:t>i,g</m:t>
                    </m:r>
                  </m:sub>
                </m:sSub>
              </m:oMath>
            </m:oMathPara>
          </w:p>
          <w:p w14:paraId="14DB0E37" w14:textId="3F99BA16" w:rsidR="00755A0E" w:rsidRPr="008174E3" w:rsidRDefault="00755A0E" w:rsidP="00210B40">
            <w:pPr>
              <w:rPr>
                <w:rFonts w:ascii="Arial" w:hAnsi="Arial" w:cs="Arial"/>
                <w:color w:val="000000"/>
                <w:sz w:val="14"/>
              </w:rPr>
            </w:pPr>
          </w:p>
          <w:p w14:paraId="4D881EDF" w14:textId="683035D8" w:rsidR="00755A0E" w:rsidRPr="008174E3" w:rsidRDefault="00755A0E" w:rsidP="00755A0E">
            <w:pPr>
              <w:rPr>
                <w:color w:val="000000"/>
                <w:sz w:val="14"/>
              </w:rPr>
            </w:pPr>
            <w:r w:rsidRPr="008174E3">
              <w:rPr>
                <w:color w:val="000000"/>
                <w:sz w:val="14"/>
              </w:rPr>
              <w:t xml:space="preserve">Donde: </w:t>
            </w:r>
          </w:p>
          <w:p w14:paraId="7A1541ED" w14:textId="28EFADBD" w:rsidR="00755A0E" w:rsidRPr="008174E3" w:rsidRDefault="00755A0E" w:rsidP="00755A0E">
            <w:pPr>
              <w:rPr>
                <w:color w:val="000000"/>
                <w:sz w:val="14"/>
              </w:rPr>
            </w:pPr>
          </w:p>
          <w:p w14:paraId="01B9BC5C" w14:textId="6904A7DD" w:rsidR="00755A0E" w:rsidRPr="008174E3" w:rsidRDefault="00755A0E" w:rsidP="00755A0E">
            <w:pPr>
              <w:pStyle w:val="ListParagraph"/>
              <w:numPr>
                <w:ilvl w:val="0"/>
                <w:numId w:val="25"/>
              </w:numPr>
              <w:rPr>
                <w:color w:val="000000"/>
                <w:sz w:val="14"/>
              </w:rPr>
            </w:pPr>
            <w:r w:rsidRPr="008174E3">
              <w:rPr>
                <w:i/>
                <w:color w:val="000000"/>
                <w:sz w:val="14"/>
              </w:rPr>
              <w:t xml:space="preserve">i </w:t>
            </w:r>
            <w:r w:rsidRPr="008174E3">
              <w:rPr>
                <w:color w:val="000000"/>
                <w:sz w:val="14"/>
              </w:rPr>
              <w:t>es el año del impacto</w:t>
            </w:r>
          </w:p>
          <w:p w14:paraId="6B62E929" w14:textId="77777777" w:rsidR="00755A0E" w:rsidRPr="008174E3" w:rsidRDefault="00BE0EAE" w:rsidP="00755A0E">
            <w:pPr>
              <w:pStyle w:val="ListParagraph"/>
              <w:numPr>
                <w:ilvl w:val="0"/>
                <w:numId w:val="25"/>
              </w:numPr>
              <w:rPr>
                <w:color w:val="000000"/>
                <w:sz w:val="14"/>
              </w:rPr>
            </w:pPr>
            <m:oMath>
              <m:sSub>
                <m:sSubPr>
                  <m:ctrlPr>
                    <w:rPr>
                      <w:rFonts w:ascii="Cambria Math" w:hAnsi="Cambria Math"/>
                      <w:i/>
                      <w:color w:val="000000"/>
                      <w:sz w:val="14"/>
                    </w:rPr>
                  </m:ctrlPr>
                </m:sSubPr>
                <m:e>
                  <m:r>
                    <w:rPr>
                      <w:rFonts w:ascii="Cambria Math" w:hAnsi="Cambria Math"/>
                      <w:color w:val="000000"/>
                      <w:sz w:val="14"/>
                    </w:rPr>
                    <m:t>y</m:t>
                  </m:r>
                </m:e>
                <m:sub>
                  <m:r>
                    <w:rPr>
                      <w:rFonts w:ascii="Cambria Math" w:hAnsi="Cambria Math"/>
                      <w:color w:val="000000"/>
                      <w:sz w:val="14"/>
                    </w:rPr>
                    <m:t>diario,g</m:t>
                  </m:r>
                </m:sub>
              </m:sSub>
            </m:oMath>
            <w:r w:rsidR="00755A0E" w:rsidRPr="008174E3">
              <w:rPr>
                <w:color w:val="000000"/>
                <w:sz w:val="14"/>
              </w:rPr>
              <w:t xml:space="preserve"> es el ingreso diario de referencia, que se calcula como </w:t>
            </w:r>
            <m:oMath>
              <m:sSub>
                <m:sSubPr>
                  <m:ctrlPr>
                    <w:rPr>
                      <w:rFonts w:ascii="Cambria Math" w:hAnsi="Cambria Math"/>
                      <w:i/>
                      <w:color w:val="000000"/>
                      <w:sz w:val="14"/>
                    </w:rPr>
                  </m:ctrlPr>
                </m:sSubPr>
                <m:e>
                  <m:r>
                    <w:rPr>
                      <w:rFonts w:ascii="Cambria Math" w:hAnsi="Cambria Math"/>
                      <w:color w:val="000000"/>
                      <w:sz w:val="14"/>
                    </w:rPr>
                    <m:t>y</m:t>
                  </m:r>
                </m:e>
                <m:sub>
                  <m:r>
                    <w:rPr>
                      <w:rFonts w:ascii="Cambria Math" w:hAnsi="Cambria Math"/>
                      <w:color w:val="000000"/>
                      <w:sz w:val="14"/>
                    </w:rPr>
                    <m:t>semanal,g</m:t>
                  </m:r>
                </m:sub>
              </m:sSub>
              <m:r>
                <w:rPr>
                  <w:rFonts w:ascii="Cambria Math" w:hAnsi="Cambria Math"/>
                  <w:color w:val="000000"/>
                  <w:sz w:val="14"/>
                </w:rPr>
                <m:t>/6</m:t>
              </m:r>
            </m:oMath>
          </w:p>
          <w:p w14:paraId="0DE90188" w14:textId="77777777" w:rsidR="00755A0E" w:rsidRPr="008174E3" w:rsidRDefault="00755A0E" w:rsidP="00755A0E">
            <w:pPr>
              <w:rPr>
                <w:color w:val="000000"/>
                <w:sz w:val="14"/>
              </w:rPr>
            </w:pPr>
          </w:p>
          <w:p w14:paraId="1C8F170A" w14:textId="77777777" w:rsidR="00755A0E" w:rsidRPr="008174E3" w:rsidRDefault="00755A0E" w:rsidP="00755A0E">
            <w:pPr>
              <w:pStyle w:val="ListParagraph"/>
              <w:numPr>
                <w:ilvl w:val="0"/>
                <w:numId w:val="25"/>
              </w:numPr>
              <w:rPr>
                <w:rFonts w:ascii="Arial" w:hAnsi="Arial" w:cs="Arial"/>
                <w:color w:val="000000"/>
                <w:sz w:val="14"/>
              </w:rPr>
            </w:pPr>
            <m:oMath>
              <m:r>
                <w:rPr>
                  <w:rFonts w:ascii="Cambria Math" w:hAnsi="Cambria Math"/>
                  <w:color w:val="000000"/>
                  <w:sz w:val="14"/>
                  <w:szCs w:val="22"/>
                </w:rPr>
                <m:t>N</m:t>
              </m:r>
            </m:oMath>
            <w:r w:rsidRPr="008174E3">
              <w:rPr>
                <w:color w:val="000000"/>
                <w:sz w:val="14"/>
                <w:szCs w:val="22"/>
              </w:rPr>
              <w:t xml:space="preserve"> es el número de beneficiarios atendidos por el componente</w:t>
            </w:r>
          </w:p>
          <w:p w14:paraId="647D45C4" w14:textId="3CDA116B" w:rsidR="00755A0E" w:rsidRPr="008174E3" w:rsidRDefault="00755A0E" w:rsidP="00210B40">
            <w:pPr>
              <w:rPr>
                <w:rFonts w:ascii="Arial" w:hAnsi="Arial" w:cs="Arial"/>
              </w:rPr>
            </w:pPr>
          </w:p>
        </w:tc>
      </w:tr>
      <w:tr w:rsidR="00755A0E" w:rsidRPr="008174E3" w14:paraId="10C61060" w14:textId="77777777" w:rsidTr="00210B40">
        <w:tc>
          <w:tcPr>
            <w:tcW w:w="1447" w:type="dxa"/>
            <w:vMerge w:val="restart"/>
          </w:tcPr>
          <w:p w14:paraId="4D6E2B18" w14:textId="77777777" w:rsidR="00755A0E" w:rsidRPr="008174E3" w:rsidRDefault="00755A0E" w:rsidP="00755A0E">
            <w:pPr>
              <w:rPr>
                <w:rFonts w:ascii="Arial" w:hAnsi="Arial" w:cs="Arial"/>
                <w:sz w:val="18"/>
              </w:rPr>
            </w:pPr>
          </w:p>
          <w:p w14:paraId="19FB8835" w14:textId="77777777" w:rsidR="00755A0E" w:rsidRPr="008174E3" w:rsidRDefault="00755A0E" w:rsidP="00755A0E">
            <w:pPr>
              <w:rPr>
                <w:rFonts w:ascii="Arial" w:hAnsi="Arial" w:cs="Arial"/>
                <w:sz w:val="18"/>
              </w:rPr>
            </w:pPr>
          </w:p>
          <w:p w14:paraId="29505491" w14:textId="77777777" w:rsidR="00755A0E" w:rsidRPr="008174E3" w:rsidRDefault="00755A0E" w:rsidP="00755A0E">
            <w:pPr>
              <w:rPr>
                <w:rFonts w:ascii="Arial" w:hAnsi="Arial" w:cs="Arial"/>
                <w:sz w:val="18"/>
              </w:rPr>
            </w:pPr>
          </w:p>
          <w:p w14:paraId="202570D2" w14:textId="77777777" w:rsidR="00755A0E" w:rsidRPr="008174E3" w:rsidRDefault="00755A0E" w:rsidP="00755A0E">
            <w:pPr>
              <w:rPr>
                <w:rFonts w:ascii="Arial" w:hAnsi="Arial" w:cs="Arial"/>
                <w:sz w:val="18"/>
              </w:rPr>
            </w:pPr>
          </w:p>
          <w:p w14:paraId="2A2150AD" w14:textId="77777777" w:rsidR="00755A0E" w:rsidRPr="008174E3" w:rsidRDefault="00755A0E" w:rsidP="00755A0E">
            <w:pPr>
              <w:rPr>
                <w:rFonts w:ascii="Arial" w:hAnsi="Arial" w:cs="Arial"/>
                <w:sz w:val="18"/>
              </w:rPr>
            </w:pPr>
          </w:p>
          <w:p w14:paraId="1111541E" w14:textId="77777777" w:rsidR="00755A0E" w:rsidRPr="008174E3" w:rsidRDefault="00755A0E" w:rsidP="00755A0E">
            <w:pPr>
              <w:rPr>
                <w:rFonts w:ascii="Arial" w:hAnsi="Arial" w:cs="Arial"/>
                <w:sz w:val="18"/>
              </w:rPr>
            </w:pPr>
          </w:p>
          <w:p w14:paraId="72FE516A" w14:textId="77777777" w:rsidR="00755A0E" w:rsidRPr="008174E3" w:rsidRDefault="00755A0E" w:rsidP="00755A0E">
            <w:pPr>
              <w:rPr>
                <w:rFonts w:ascii="Arial" w:hAnsi="Arial" w:cs="Arial"/>
                <w:sz w:val="18"/>
              </w:rPr>
            </w:pPr>
          </w:p>
          <w:p w14:paraId="222B1FE5" w14:textId="77777777" w:rsidR="00755A0E" w:rsidRPr="008174E3" w:rsidRDefault="00755A0E" w:rsidP="00755A0E">
            <w:pPr>
              <w:rPr>
                <w:rFonts w:ascii="Arial" w:hAnsi="Arial" w:cs="Arial"/>
                <w:sz w:val="18"/>
              </w:rPr>
            </w:pPr>
          </w:p>
          <w:p w14:paraId="7416C42B" w14:textId="6ECB6007" w:rsidR="00755A0E" w:rsidRPr="008174E3" w:rsidRDefault="00755A0E" w:rsidP="00755A0E">
            <w:pPr>
              <w:rPr>
                <w:color w:val="000000"/>
                <w:sz w:val="14"/>
              </w:rPr>
            </w:pPr>
            <w:r w:rsidRPr="008174E3">
              <w:rPr>
                <w:rFonts w:ascii="Arial" w:hAnsi="Arial" w:cs="Arial"/>
                <w:sz w:val="18"/>
              </w:rPr>
              <w:t>Fortalecimiento de programas de formación de habilidades</w:t>
            </w:r>
            <w:r w:rsidR="00CF214F" w:rsidRPr="008174E3">
              <w:rPr>
                <w:rStyle w:val="FootnoteReference"/>
                <w:rFonts w:ascii="Arial" w:hAnsi="Arial" w:cs="Arial"/>
                <w:sz w:val="18"/>
              </w:rPr>
              <w:footnoteReference w:id="31"/>
            </w:r>
          </w:p>
        </w:tc>
        <w:tc>
          <w:tcPr>
            <w:tcW w:w="4596" w:type="dxa"/>
          </w:tcPr>
          <w:p w14:paraId="79D7FCD0" w14:textId="77777777" w:rsidR="00755A0E" w:rsidRPr="008174E3" w:rsidRDefault="00755A0E" w:rsidP="00755A0E">
            <w:pPr>
              <w:rPr>
                <w:color w:val="000000"/>
                <w:sz w:val="14"/>
              </w:rPr>
            </w:pPr>
            <w:r w:rsidRPr="008174E3">
              <w:rPr>
                <w:color w:val="000000"/>
                <w:sz w:val="14"/>
              </w:rPr>
              <w:t>Formalidad laboral:</w:t>
            </w:r>
          </w:p>
          <w:p w14:paraId="6E0AA568" w14:textId="7469C7E4" w:rsidR="00755A0E" w:rsidRPr="008174E3" w:rsidRDefault="00BE0EAE" w:rsidP="00755A0E">
            <w:pPr>
              <w:spacing w:before="360"/>
              <w:rPr>
                <w:sz w:val="14"/>
              </w:rPr>
            </w:pPr>
            <m:oMathPara>
              <m:oMath>
                <m:sSub>
                  <m:sSubPr>
                    <m:ctrlPr>
                      <w:rPr>
                        <w:rFonts w:ascii="Cambria Math" w:hAnsi="Cambria Math"/>
                        <w:i/>
                        <w:color w:val="000000"/>
                        <w:sz w:val="14"/>
                        <w:szCs w:val="22"/>
                      </w:rPr>
                    </m:ctrlPr>
                  </m:sSubPr>
                  <m:e>
                    <m:r>
                      <w:rPr>
                        <w:rFonts w:ascii="Cambria Math" w:hAnsi="Cambria Math"/>
                        <w:color w:val="000000"/>
                        <w:sz w:val="14"/>
                      </w:rPr>
                      <m:t>π</m:t>
                    </m:r>
                  </m:e>
                  <m:sub>
                    <m:r>
                      <w:rPr>
                        <w:rFonts w:ascii="Cambria Math" w:hAnsi="Cambria Math"/>
                        <w:color w:val="000000"/>
                        <w:sz w:val="14"/>
                      </w:rPr>
                      <m:t>i</m:t>
                    </m:r>
                  </m:sub>
                </m:sSub>
                <m:r>
                  <w:rPr>
                    <w:rFonts w:ascii="Cambria Math" w:hAnsi="Cambria Math"/>
                    <w:color w:val="000000"/>
                    <w:sz w:val="14"/>
                  </w:rPr>
                  <m:t>=</m:t>
                </m:r>
                <m:d>
                  <m:dPr>
                    <m:ctrlPr>
                      <w:rPr>
                        <w:rFonts w:ascii="Cambria Math" w:hAnsi="Cambria Math"/>
                        <w:i/>
                        <w:color w:val="000000"/>
                        <w:sz w:val="14"/>
                      </w:rPr>
                    </m:ctrlPr>
                  </m:dPr>
                  <m:e>
                    <m:sSub>
                      <m:sSubPr>
                        <m:ctrlPr>
                          <w:rPr>
                            <w:rFonts w:ascii="Cambria Math" w:hAnsi="Cambria Math"/>
                            <w:i/>
                            <w:color w:val="000000"/>
                            <w:sz w:val="14"/>
                            <w:szCs w:val="22"/>
                          </w:rPr>
                        </m:ctrlPr>
                      </m:sSubPr>
                      <m:e>
                        <m:r>
                          <w:rPr>
                            <w:rFonts w:ascii="Cambria Math" w:hAnsi="Cambria Math"/>
                            <w:color w:val="000000"/>
                            <w:sz w:val="14"/>
                          </w:rPr>
                          <m:t>f</m:t>
                        </m:r>
                      </m:e>
                      <m:sub>
                        <m:r>
                          <w:rPr>
                            <w:rFonts w:ascii="Cambria Math" w:hAnsi="Cambria Math"/>
                            <w:color w:val="000000"/>
                            <w:sz w:val="14"/>
                          </w:rPr>
                          <m:t>i,H</m:t>
                        </m:r>
                      </m:sub>
                    </m:sSub>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N</m:t>
                        </m:r>
                      </m:e>
                      <m:sub>
                        <m:r>
                          <w:rPr>
                            <w:rFonts w:ascii="Cambria Math" w:hAnsi="Cambria Math"/>
                            <w:color w:val="000000"/>
                            <w:sz w:val="14"/>
                          </w:rPr>
                          <m:t>i,H</m:t>
                        </m:r>
                      </m:sub>
                    </m:sSub>
                  </m:e>
                </m:d>
                <m:r>
                  <w:rPr>
                    <w:rFonts w:ascii="Cambria Math" w:hAnsi="Cambria Math"/>
                    <w:color w:val="000000"/>
                    <w:sz w:val="14"/>
                  </w:rPr>
                  <m:t>+</m:t>
                </m:r>
                <m:d>
                  <m:dPr>
                    <m:ctrlPr>
                      <w:rPr>
                        <w:rFonts w:ascii="Cambria Math" w:hAnsi="Cambria Math"/>
                        <w:i/>
                        <w:color w:val="000000"/>
                        <w:sz w:val="14"/>
                      </w:rPr>
                    </m:ctrlPr>
                  </m:dPr>
                  <m:e>
                    <m:sSub>
                      <m:sSubPr>
                        <m:ctrlPr>
                          <w:rPr>
                            <w:rFonts w:ascii="Cambria Math" w:hAnsi="Cambria Math"/>
                            <w:i/>
                            <w:color w:val="000000"/>
                            <w:sz w:val="14"/>
                            <w:szCs w:val="22"/>
                          </w:rPr>
                        </m:ctrlPr>
                      </m:sSubPr>
                      <m:e>
                        <m:r>
                          <w:rPr>
                            <w:rFonts w:ascii="Cambria Math" w:hAnsi="Cambria Math"/>
                            <w:color w:val="000000"/>
                            <w:sz w:val="14"/>
                          </w:rPr>
                          <m:t>f</m:t>
                        </m:r>
                      </m:e>
                      <m:sub>
                        <m:r>
                          <w:rPr>
                            <w:rFonts w:ascii="Cambria Math" w:hAnsi="Cambria Math"/>
                            <w:color w:val="000000"/>
                            <w:sz w:val="14"/>
                          </w:rPr>
                          <m:t>i,M</m:t>
                        </m:r>
                      </m:sub>
                    </m:sSub>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N</m:t>
                        </m:r>
                      </m:e>
                      <m:sub>
                        <m:r>
                          <w:rPr>
                            <w:rFonts w:ascii="Cambria Math" w:hAnsi="Cambria Math"/>
                            <w:color w:val="000000"/>
                            <w:sz w:val="14"/>
                          </w:rPr>
                          <m:t>i,M</m:t>
                        </m:r>
                      </m:sub>
                    </m:sSub>
                  </m:e>
                </m:d>
              </m:oMath>
            </m:oMathPara>
          </w:p>
          <w:p w14:paraId="29786BB6" w14:textId="77777777" w:rsidR="00755A0E" w:rsidRPr="008174E3" w:rsidRDefault="00755A0E" w:rsidP="00755A0E">
            <w:pPr>
              <w:rPr>
                <w:color w:val="000000"/>
                <w:sz w:val="14"/>
              </w:rPr>
            </w:pPr>
          </w:p>
          <w:p w14:paraId="0BC8F25F" w14:textId="77777777" w:rsidR="00755A0E" w:rsidRPr="008174E3" w:rsidRDefault="00755A0E" w:rsidP="00755A0E">
            <w:pPr>
              <w:rPr>
                <w:color w:val="000000"/>
                <w:sz w:val="14"/>
              </w:rPr>
            </w:pPr>
            <w:r w:rsidRPr="008174E3">
              <w:rPr>
                <w:color w:val="000000"/>
                <w:sz w:val="14"/>
              </w:rPr>
              <w:t xml:space="preserve">Donde: </w:t>
            </w:r>
          </w:p>
          <w:p w14:paraId="3706E467" w14:textId="77777777" w:rsidR="00755A0E" w:rsidRPr="008174E3" w:rsidRDefault="00755A0E" w:rsidP="00755A0E">
            <w:pPr>
              <w:pStyle w:val="ListParagraph"/>
              <w:numPr>
                <w:ilvl w:val="0"/>
                <w:numId w:val="25"/>
              </w:numPr>
              <w:rPr>
                <w:color w:val="000000"/>
                <w:sz w:val="14"/>
              </w:rPr>
            </w:pPr>
            <w:r w:rsidRPr="008174E3">
              <w:rPr>
                <w:i/>
                <w:color w:val="000000"/>
                <w:sz w:val="14"/>
              </w:rPr>
              <w:t xml:space="preserve">i </w:t>
            </w:r>
            <w:r w:rsidRPr="008174E3">
              <w:rPr>
                <w:color w:val="000000"/>
                <w:sz w:val="14"/>
              </w:rPr>
              <w:t>es el año del impacto</w:t>
            </w:r>
          </w:p>
          <w:p w14:paraId="1E751E9C" w14:textId="12E4C1D6" w:rsidR="00755A0E" w:rsidRPr="008174E3" w:rsidRDefault="00755A0E" w:rsidP="00755A0E">
            <w:pPr>
              <w:pStyle w:val="ListParagraph"/>
              <w:numPr>
                <w:ilvl w:val="0"/>
                <w:numId w:val="25"/>
              </w:numPr>
              <w:rPr>
                <w:color w:val="000000"/>
                <w:sz w:val="14"/>
              </w:rPr>
            </w:pPr>
            <w:r w:rsidRPr="008174E3">
              <w:rPr>
                <w:i/>
                <w:color w:val="000000"/>
                <w:sz w:val="14"/>
              </w:rPr>
              <w:t>g</w:t>
            </w:r>
            <w:r w:rsidRPr="008174E3">
              <w:rPr>
                <w:color w:val="000000"/>
                <w:sz w:val="14"/>
              </w:rPr>
              <w:t xml:space="preserve"> hace referencia al </w:t>
            </w:r>
            <w:r w:rsidR="0007065C" w:rsidRPr="008174E3">
              <w:rPr>
                <w:color w:val="000000"/>
                <w:sz w:val="14"/>
              </w:rPr>
              <w:t>cálculo</w:t>
            </w:r>
            <w:r w:rsidRPr="008174E3">
              <w:rPr>
                <w:color w:val="000000"/>
                <w:sz w:val="14"/>
              </w:rPr>
              <w:t xml:space="preserve"> para Hombres (H) y mujeres (M).</w:t>
            </w:r>
          </w:p>
          <w:p w14:paraId="0E23FC53" w14:textId="3449C6E2" w:rsidR="00755A0E" w:rsidRPr="008174E3" w:rsidRDefault="00BE0EAE" w:rsidP="00755A0E">
            <w:pPr>
              <w:pStyle w:val="ListParagraph"/>
              <w:numPr>
                <w:ilvl w:val="0"/>
                <w:numId w:val="25"/>
              </w:numPr>
              <w:rPr>
                <w:color w:val="000000"/>
                <w:sz w:val="14"/>
              </w:rPr>
            </w:pPr>
            <m:oMath>
              <m:sSub>
                <m:sSubPr>
                  <m:ctrlPr>
                    <w:rPr>
                      <w:rFonts w:ascii="Cambria Math" w:hAnsi="Cambria Math"/>
                      <w:i/>
                      <w:color w:val="000000"/>
                      <w:sz w:val="14"/>
                      <w:szCs w:val="22"/>
                    </w:rPr>
                  </m:ctrlPr>
                </m:sSubPr>
                <m:e>
                  <m:r>
                    <w:rPr>
                      <w:rFonts w:ascii="Cambria Math" w:hAnsi="Cambria Math"/>
                      <w:color w:val="000000"/>
                      <w:sz w:val="14"/>
                    </w:rPr>
                    <m:t>N</m:t>
                  </m:r>
                </m:e>
                <m:sub>
                  <m:r>
                    <w:rPr>
                      <w:rFonts w:ascii="Cambria Math" w:hAnsi="Cambria Math"/>
                      <w:color w:val="000000"/>
                      <w:sz w:val="14"/>
                    </w:rPr>
                    <m:t>i,g</m:t>
                  </m:r>
                </m:sub>
              </m:sSub>
            </m:oMath>
            <w:r w:rsidR="00755A0E" w:rsidRPr="008174E3">
              <w:rPr>
                <w:color w:val="000000"/>
                <w:sz w:val="14"/>
                <w:szCs w:val="22"/>
              </w:rPr>
              <w:t xml:space="preserve"> es el número de beneficiarios atendi</w:t>
            </w:r>
            <w:r w:rsidR="00333A88" w:rsidRPr="008174E3">
              <w:rPr>
                <w:color w:val="000000"/>
                <w:sz w:val="14"/>
                <w:szCs w:val="22"/>
              </w:rPr>
              <w:t>dos por sexo en el programa, se</w:t>
            </w:r>
            <w:r w:rsidR="00755A0E" w:rsidRPr="008174E3">
              <w:rPr>
                <w:color w:val="000000"/>
                <w:sz w:val="14"/>
                <w:szCs w:val="22"/>
              </w:rPr>
              <w:t>gún la matriz de resultados</w:t>
            </w:r>
          </w:p>
          <w:p w14:paraId="1593B1BB" w14:textId="77777777" w:rsidR="00755A0E" w:rsidRPr="008174E3" w:rsidRDefault="00BE0EAE" w:rsidP="00755A0E">
            <w:pPr>
              <w:pStyle w:val="ListParagraph"/>
              <w:numPr>
                <w:ilvl w:val="0"/>
                <w:numId w:val="25"/>
              </w:numPr>
              <w:rPr>
                <w:color w:val="000000"/>
                <w:sz w:val="14"/>
              </w:rPr>
            </w:pPr>
            <m:oMath>
              <m:sSub>
                <m:sSubPr>
                  <m:ctrlPr>
                    <w:rPr>
                      <w:rFonts w:ascii="Cambria Math" w:hAnsi="Cambria Math"/>
                      <w:i/>
                      <w:color w:val="000000"/>
                      <w:sz w:val="14"/>
                    </w:rPr>
                  </m:ctrlPr>
                </m:sSubPr>
                <m:e>
                  <m:r>
                    <w:rPr>
                      <w:rFonts w:ascii="Cambria Math" w:hAnsi="Cambria Math"/>
                      <w:color w:val="000000"/>
                      <w:sz w:val="14"/>
                    </w:rPr>
                    <m:t>f</m:t>
                  </m:r>
                </m:e>
                <m:sub>
                  <m:r>
                    <w:rPr>
                      <w:rFonts w:ascii="Cambria Math" w:hAnsi="Cambria Math"/>
                      <w:color w:val="000000"/>
                      <w:sz w:val="14"/>
                    </w:rPr>
                    <m:t>i,g</m:t>
                  </m:r>
                </m:sub>
              </m:sSub>
            </m:oMath>
            <w:r w:rsidR="00755A0E" w:rsidRPr="008174E3">
              <w:rPr>
                <w:color w:val="000000"/>
                <w:sz w:val="14"/>
              </w:rPr>
              <w:t xml:space="preserve"> es el impacto de formalidad para </w:t>
            </w:r>
            <w:r w:rsidR="00755A0E" w:rsidRPr="008174E3">
              <w:rPr>
                <w:i/>
                <w:color w:val="000000"/>
                <w:sz w:val="14"/>
              </w:rPr>
              <w:t>g</w:t>
            </w:r>
            <w:r w:rsidR="00755A0E" w:rsidRPr="008174E3">
              <w:rPr>
                <w:color w:val="000000"/>
                <w:sz w:val="14"/>
              </w:rPr>
              <w:t xml:space="preserve">, que se calcula como: </w:t>
            </w:r>
          </w:p>
          <w:p w14:paraId="5E16018A" w14:textId="4BF4341A" w:rsidR="00755A0E" w:rsidRPr="008174E3" w:rsidRDefault="00755A0E" w:rsidP="00755A0E">
            <w:pPr>
              <w:pStyle w:val="ListParagraph"/>
              <w:rPr>
                <w:color w:val="000000"/>
                <w:sz w:val="14"/>
              </w:rPr>
            </w:pPr>
            <m:oMathPara>
              <m:oMath>
                <m:r>
                  <m:rPr>
                    <m:sty m:val="p"/>
                  </m:rPr>
                  <w:rPr>
                    <w:rFonts w:ascii="Cambria Math" w:hAnsi="Cambria Math"/>
                    <w:color w:val="000000"/>
                    <w:sz w:val="14"/>
                  </w:rPr>
                  <w:br/>
                </m:r>
              </m:oMath>
              <m:oMath>
                <m:sSub>
                  <m:sSubPr>
                    <m:ctrlPr>
                      <w:rPr>
                        <w:rFonts w:ascii="Cambria Math" w:hAnsi="Cambria Math"/>
                        <w:i/>
                        <w:color w:val="000000"/>
                        <w:sz w:val="14"/>
                      </w:rPr>
                    </m:ctrlPr>
                  </m:sSubPr>
                  <m:e>
                    <m:r>
                      <w:rPr>
                        <w:rFonts w:ascii="Cambria Math" w:hAnsi="Cambria Math"/>
                        <w:color w:val="000000"/>
                        <w:sz w:val="14"/>
                      </w:rPr>
                      <m:t>f</m:t>
                    </m:r>
                  </m:e>
                  <m:sub>
                    <m:r>
                      <w:rPr>
                        <w:rFonts w:ascii="Cambria Math" w:hAnsi="Cambria Math"/>
                        <w:color w:val="000000"/>
                        <w:sz w:val="14"/>
                      </w:rPr>
                      <m:t>i,g</m:t>
                    </m:r>
                  </m:sub>
                </m:sSub>
                <m:r>
                  <w:rPr>
                    <w:rFonts w:ascii="Cambria Math" w:hAnsi="Cambria Math"/>
                    <w:color w:val="000000"/>
                    <w:sz w:val="14"/>
                  </w:rPr>
                  <m:t>=</m:t>
                </m:r>
                <m:d>
                  <m:dPr>
                    <m:ctrlPr>
                      <w:rPr>
                        <w:rFonts w:ascii="Cambria Math" w:hAnsi="Cambria Math"/>
                        <w:i/>
                        <w:color w:val="000000"/>
                        <w:sz w:val="14"/>
                      </w:rPr>
                    </m:ctrlPr>
                  </m:dPr>
                  <m:e>
                    <m:sSub>
                      <m:sSubPr>
                        <m:ctrlPr>
                          <w:rPr>
                            <w:rFonts w:ascii="Cambria Math" w:hAnsi="Cambria Math"/>
                            <w:i/>
                            <w:color w:val="000000"/>
                            <w:sz w:val="14"/>
                          </w:rPr>
                        </m:ctrlPr>
                      </m:sSubPr>
                      <m:e>
                        <m:r>
                          <w:rPr>
                            <w:rFonts w:ascii="Cambria Math" w:hAnsi="Cambria Math"/>
                            <w:color w:val="000000"/>
                            <w:sz w:val="14"/>
                          </w:rPr>
                          <m:t>y</m:t>
                        </m:r>
                      </m:e>
                      <m:sub>
                        <m:r>
                          <w:rPr>
                            <w:rFonts w:ascii="Cambria Math" w:hAnsi="Cambria Math"/>
                            <w:color w:val="000000"/>
                            <w:sz w:val="14"/>
                          </w:rPr>
                          <m:t>semanal,g</m:t>
                        </m:r>
                      </m:sub>
                    </m:sSub>
                    <m:r>
                      <w:rPr>
                        <w:rFonts w:ascii="Cambria Math" w:hAnsi="Cambria Math"/>
                        <w:color w:val="000000"/>
                        <w:sz w:val="14"/>
                      </w:rPr>
                      <m:t>*</m:t>
                    </m:r>
                    <m:sSub>
                      <m:sSubPr>
                        <m:ctrlPr>
                          <w:rPr>
                            <w:rFonts w:ascii="Cambria Math" w:hAnsi="Cambria Math"/>
                            <w:i/>
                            <w:color w:val="000000"/>
                            <w:sz w:val="14"/>
                          </w:rPr>
                        </m:ctrlPr>
                      </m:sSubPr>
                      <m:e>
                        <m:r>
                          <w:rPr>
                            <w:rFonts w:ascii="Cambria Math" w:hAnsi="Cambria Math"/>
                            <w:color w:val="000000"/>
                            <w:sz w:val="14"/>
                          </w:rPr>
                          <m:t>∆</m:t>
                        </m:r>
                      </m:e>
                      <m:sub>
                        <m:r>
                          <w:rPr>
                            <w:rFonts w:ascii="Cambria Math" w:hAnsi="Cambria Math"/>
                            <w:color w:val="000000"/>
                            <w:sz w:val="14"/>
                          </w:rPr>
                          <m:t>aportes SS</m:t>
                        </m:r>
                      </m:sub>
                    </m:sSub>
                    <m:r>
                      <w:rPr>
                        <w:rFonts w:ascii="Cambria Math" w:hAnsi="Cambria Math"/>
                        <w:color w:val="000000"/>
                        <w:sz w:val="14"/>
                      </w:rPr>
                      <m:t>*52*δ</m:t>
                    </m:r>
                  </m:e>
                </m:d>
              </m:oMath>
            </m:oMathPara>
          </w:p>
          <w:p w14:paraId="0D45E43A" w14:textId="77777777" w:rsidR="00755A0E" w:rsidRPr="008174E3" w:rsidRDefault="00755A0E" w:rsidP="00755A0E">
            <w:pPr>
              <w:rPr>
                <w:color w:val="000000"/>
                <w:sz w:val="14"/>
              </w:rPr>
            </w:pPr>
          </w:p>
          <w:p w14:paraId="4D51376C" w14:textId="77777777" w:rsidR="00755A0E" w:rsidRPr="008174E3" w:rsidRDefault="00BE0EAE" w:rsidP="00755A0E">
            <w:pPr>
              <w:pStyle w:val="ListParagraph"/>
              <w:numPr>
                <w:ilvl w:val="0"/>
                <w:numId w:val="24"/>
              </w:numPr>
              <w:rPr>
                <w:color w:val="000000"/>
                <w:sz w:val="14"/>
              </w:rPr>
            </w:pPr>
            <m:oMath>
              <m:sSub>
                <m:sSubPr>
                  <m:ctrlPr>
                    <w:rPr>
                      <w:rFonts w:ascii="Cambria Math" w:hAnsi="Cambria Math"/>
                      <w:i/>
                      <w:color w:val="000000"/>
                      <w:sz w:val="14"/>
                    </w:rPr>
                  </m:ctrlPr>
                </m:sSubPr>
                <m:e>
                  <m:r>
                    <w:rPr>
                      <w:rFonts w:ascii="Cambria Math" w:hAnsi="Cambria Math"/>
                      <w:color w:val="000000"/>
                      <w:sz w:val="14"/>
                    </w:rPr>
                    <m:t>∆</m:t>
                  </m:r>
                </m:e>
                <m:sub>
                  <m:r>
                    <w:rPr>
                      <w:rFonts w:ascii="Cambria Math" w:hAnsi="Cambria Math"/>
                      <w:color w:val="000000"/>
                      <w:sz w:val="14"/>
                    </w:rPr>
                    <m:t>aportes SS</m:t>
                  </m:r>
                </m:sub>
              </m:sSub>
            </m:oMath>
            <w:r w:rsidR="00755A0E" w:rsidRPr="008174E3">
              <w:rPr>
                <w:color w:val="000000"/>
                <w:sz w:val="14"/>
              </w:rPr>
              <w:t xml:space="preserve"> es igual a 24% </w:t>
            </w:r>
          </w:p>
          <w:p w14:paraId="3FC80679" w14:textId="77777777" w:rsidR="00755A0E" w:rsidRPr="008174E3" w:rsidRDefault="00BE0EAE" w:rsidP="00755A0E">
            <w:pPr>
              <w:pStyle w:val="ListParagraph"/>
              <w:numPr>
                <w:ilvl w:val="0"/>
                <w:numId w:val="24"/>
              </w:numPr>
              <w:rPr>
                <w:color w:val="000000"/>
                <w:sz w:val="14"/>
              </w:rPr>
            </w:pPr>
            <m:oMath>
              <m:sSub>
                <m:sSubPr>
                  <m:ctrlPr>
                    <w:rPr>
                      <w:rFonts w:ascii="Cambria Math" w:hAnsi="Cambria Math"/>
                      <w:i/>
                      <w:color w:val="000000"/>
                      <w:sz w:val="14"/>
                    </w:rPr>
                  </m:ctrlPr>
                </m:sSubPr>
                <m:e>
                  <m:r>
                    <w:rPr>
                      <w:rFonts w:ascii="Cambria Math" w:hAnsi="Cambria Math"/>
                      <w:color w:val="000000"/>
                      <w:sz w:val="14"/>
                    </w:rPr>
                    <m:t>y</m:t>
                  </m:r>
                </m:e>
                <m:sub>
                  <m:r>
                    <w:rPr>
                      <w:rFonts w:ascii="Cambria Math" w:hAnsi="Cambria Math"/>
                      <w:color w:val="000000"/>
                      <w:sz w:val="14"/>
                    </w:rPr>
                    <m:t>semanal,g</m:t>
                  </m:r>
                </m:sub>
              </m:sSub>
            </m:oMath>
            <w:r w:rsidR="00755A0E" w:rsidRPr="008174E3">
              <w:rPr>
                <w:color w:val="000000"/>
                <w:sz w:val="14"/>
              </w:rPr>
              <w:t xml:space="preserve"> es el ingreso semanal de referencia</w:t>
            </w:r>
          </w:p>
          <w:p w14:paraId="77AD1A6F" w14:textId="71E0F536" w:rsidR="00755A0E" w:rsidRPr="008174E3" w:rsidRDefault="00755A0E" w:rsidP="00755A0E">
            <w:pPr>
              <w:pStyle w:val="ListParagraph"/>
              <w:numPr>
                <w:ilvl w:val="0"/>
                <w:numId w:val="24"/>
              </w:numPr>
              <w:rPr>
                <w:color w:val="000000"/>
                <w:sz w:val="14"/>
              </w:rPr>
            </w:pPr>
            <m:oMath>
              <m:r>
                <w:rPr>
                  <w:rFonts w:ascii="Cambria Math" w:hAnsi="Cambria Math"/>
                  <w:color w:val="000000"/>
                  <w:sz w:val="14"/>
                  <w:szCs w:val="22"/>
                </w:rPr>
                <m:t>δ</m:t>
              </m:r>
            </m:oMath>
            <w:r w:rsidRPr="008174E3">
              <w:rPr>
                <w:color w:val="000000"/>
                <w:sz w:val="14"/>
              </w:rPr>
              <w:t xml:space="preserve"> es el impacto del componente (6 pp.)</w:t>
            </w:r>
          </w:p>
          <w:p w14:paraId="2870914B" w14:textId="77777777" w:rsidR="00755A0E" w:rsidRPr="008174E3" w:rsidRDefault="00755A0E" w:rsidP="00755A0E">
            <w:pPr>
              <w:rPr>
                <w:color w:val="000000"/>
                <w:sz w:val="14"/>
              </w:rPr>
            </w:pPr>
          </w:p>
        </w:tc>
        <w:tc>
          <w:tcPr>
            <w:tcW w:w="3785" w:type="dxa"/>
          </w:tcPr>
          <w:p w14:paraId="46DC034B" w14:textId="77777777" w:rsidR="00755A0E" w:rsidRPr="008174E3" w:rsidRDefault="00755A0E" w:rsidP="00755A0E">
            <w:pPr>
              <w:rPr>
                <w:color w:val="000000"/>
                <w:sz w:val="14"/>
              </w:rPr>
            </w:pPr>
            <w:r w:rsidRPr="008174E3">
              <w:rPr>
                <w:color w:val="000000"/>
                <w:sz w:val="14"/>
              </w:rPr>
              <w:lastRenderedPageBreak/>
              <w:t>Costos Directos:</w:t>
            </w:r>
          </w:p>
          <w:p w14:paraId="01772E8A" w14:textId="77777777" w:rsidR="00755A0E" w:rsidRPr="008174E3" w:rsidRDefault="00755A0E" w:rsidP="00755A0E">
            <w:pPr>
              <w:spacing w:before="360"/>
              <w:rPr>
                <w:sz w:val="14"/>
              </w:rPr>
            </w:pPr>
          </w:p>
          <w:p w14:paraId="544112E3" w14:textId="4F308D3A" w:rsidR="00755A0E" w:rsidRPr="008174E3" w:rsidRDefault="00BE0EAE" w:rsidP="00755A0E">
            <w:pPr>
              <w:rPr>
                <w:rFonts w:ascii="Arial" w:hAnsi="Arial" w:cs="Arial"/>
                <w:color w:val="000000"/>
                <w:sz w:val="14"/>
              </w:rPr>
            </w:pPr>
            <m:oMathPara>
              <m:oMath>
                <m:sSub>
                  <m:sSubPr>
                    <m:ctrlPr>
                      <w:rPr>
                        <w:rFonts w:ascii="Cambria Math" w:hAnsi="Cambria Math"/>
                        <w:i/>
                        <w:color w:val="000000"/>
                        <w:sz w:val="14"/>
                        <w:szCs w:val="22"/>
                      </w:rPr>
                    </m:ctrlPr>
                  </m:sSubPr>
                  <m:e>
                    <m:r>
                      <w:rPr>
                        <w:rFonts w:ascii="Cambria Math" w:hAnsi="Cambria Math"/>
                        <w:color w:val="000000"/>
                        <w:sz w:val="14"/>
                      </w:rPr>
                      <m:t>costos directos</m:t>
                    </m:r>
                  </m:e>
                  <m:sub>
                    <m:r>
                      <w:rPr>
                        <w:rFonts w:ascii="Cambria Math" w:hAnsi="Cambria Math"/>
                        <w:color w:val="000000"/>
                        <w:sz w:val="14"/>
                      </w:rPr>
                      <m:t>i</m:t>
                    </m:r>
                  </m:sub>
                </m:sSub>
                <m:r>
                  <w:rPr>
                    <w:rFonts w:ascii="Cambria Math" w:hAnsi="Cambria Math"/>
                    <w:color w:val="000000"/>
                    <w:sz w:val="14"/>
                  </w:rPr>
                  <m:t xml:space="preserve">=Costo Componente i/Ni </m:t>
                </m:r>
              </m:oMath>
            </m:oMathPara>
          </w:p>
          <w:p w14:paraId="5F7E757E" w14:textId="77777777" w:rsidR="00755A0E" w:rsidRPr="008174E3" w:rsidRDefault="00755A0E" w:rsidP="00755A0E">
            <w:pPr>
              <w:rPr>
                <w:color w:val="000000"/>
                <w:sz w:val="14"/>
              </w:rPr>
            </w:pPr>
          </w:p>
          <w:p w14:paraId="116E3EB7" w14:textId="77777777" w:rsidR="00755A0E" w:rsidRPr="008174E3" w:rsidRDefault="00755A0E" w:rsidP="00755A0E">
            <w:pPr>
              <w:rPr>
                <w:color w:val="000000"/>
                <w:sz w:val="14"/>
              </w:rPr>
            </w:pPr>
            <w:r w:rsidRPr="008174E3">
              <w:rPr>
                <w:color w:val="000000"/>
                <w:sz w:val="14"/>
              </w:rPr>
              <w:t xml:space="preserve">Donde: </w:t>
            </w:r>
          </w:p>
          <w:p w14:paraId="4D68A116" w14:textId="77777777" w:rsidR="00755A0E" w:rsidRPr="008174E3" w:rsidRDefault="00755A0E" w:rsidP="00755A0E">
            <w:pPr>
              <w:rPr>
                <w:color w:val="000000"/>
                <w:sz w:val="14"/>
              </w:rPr>
            </w:pPr>
          </w:p>
          <w:p w14:paraId="41F8A215" w14:textId="0D2074EF" w:rsidR="00755A0E" w:rsidRPr="008174E3" w:rsidRDefault="00755A0E" w:rsidP="00755A0E">
            <w:pPr>
              <w:pStyle w:val="ListParagraph"/>
              <w:numPr>
                <w:ilvl w:val="0"/>
                <w:numId w:val="26"/>
              </w:numPr>
              <w:rPr>
                <w:rFonts w:ascii="Arial" w:hAnsi="Arial" w:cs="Arial"/>
                <w:color w:val="000000"/>
                <w:sz w:val="14"/>
              </w:rPr>
            </w:pPr>
            <m:oMath>
              <m:r>
                <w:rPr>
                  <w:rFonts w:ascii="Cambria Math" w:hAnsi="Cambria Math"/>
                  <w:color w:val="000000"/>
                  <w:sz w:val="14"/>
                  <w:szCs w:val="22"/>
                </w:rPr>
                <m:t>N</m:t>
              </m:r>
            </m:oMath>
            <w:r w:rsidRPr="008174E3">
              <w:rPr>
                <w:color w:val="000000"/>
                <w:sz w:val="14"/>
                <w:szCs w:val="22"/>
              </w:rPr>
              <w:t xml:space="preserve"> es el número de beneficiarios atendidos por el componente</w:t>
            </w:r>
          </w:p>
          <w:p w14:paraId="33EABD42" w14:textId="5196AF0B" w:rsidR="00333A88" w:rsidRPr="008174E3" w:rsidRDefault="00333A88" w:rsidP="00333A88">
            <w:pPr>
              <w:pStyle w:val="ListParagraph"/>
              <w:numPr>
                <w:ilvl w:val="0"/>
                <w:numId w:val="26"/>
              </w:numPr>
              <w:jc w:val="both"/>
              <w:rPr>
                <w:rFonts w:ascii="Cambria Math" w:hAnsi="Cambria Math"/>
                <w:color w:val="000000"/>
                <w:sz w:val="14"/>
                <w:szCs w:val="22"/>
              </w:rPr>
            </w:pPr>
            <w:r w:rsidRPr="008174E3">
              <w:rPr>
                <w:rFonts w:ascii="Cambria Math" w:hAnsi="Cambria Math"/>
                <w:color w:val="000000"/>
                <w:sz w:val="14"/>
                <w:szCs w:val="22"/>
              </w:rPr>
              <w:t>El costo del componente alcanza a 1</w:t>
            </w:r>
            <w:r w:rsidR="00644E92" w:rsidRPr="008174E3">
              <w:rPr>
                <w:rFonts w:ascii="Cambria Math" w:hAnsi="Cambria Math"/>
                <w:color w:val="000000"/>
                <w:sz w:val="14"/>
                <w:szCs w:val="22"/>
              </w:rPr>
              <w:t>3</w:t>
            </w:r>
            <w:r w:rsidR="000D0AAD">
              <w:rPr>
                <w:rFonts w:ascii="Cambria Math" w:hAnsi="Cambria Math"/>
                <w:color w:val="000000"/>
                <w:sz w:val="14"/>
                <w:szCs w:val="22"/>
              </w:rPr>
              <w:t>0</w:t>
            </w:r>
            <w:r w:rsidRPr="008174E3">
              <w:rPr>
                <w:rFonts w:ascii="Cambria Math" w:hAnsi="Cambria Math"/>
                <w:color w:val="000000"/>
                <w:sz w:val="14"/>
                <w:szCs w:val="22"/>
              </w:rPr>
              <w:t xml:space="preserve"> millones de dólares según el POD</w:t>
            </w:r>
          </w:p>
          <w:p w14:paraId="3132B411" w14:textId="77777777" w:rsidR="00333A88" w:rsidRPr="008174E3" w:rsidRDefault="00333A88" w:rsidP="00333A88">
            <w:pPr>
              <w:pStyle w:val="ListParagraph"/>
              <w:rPr>
                <w:rFonts w:ascii="Arial" w:hAnsi="Arial" w:cs="Arial"/>
                <w:color w:val="000000"/>
                <w:sz w:val="14"/>
              </w:rPr>
            </w:pPr>
          </w:p>
          <w:p w14:paraId="0182C4D7" w14:textId="77777777" w:rsidR="00755A0E" w:rsidRPr="008174E3" w:rsidRDefault="00755A0E" w:rsidP="00755A0E">
            <w:pPr>
              <w:rPr>
                <w:color w:val="000000"/>
                <w:sz w:val="14"/>
              </w:rPr>
            </w:pPr>
          </w:p>
        </w:tc>
      </w:tr>
      <w:tr w:rsidR="00755A0E" w:rsidRPr="00A43491" w14:paraId="3D4E2761" w14:textId="77777777" w:rsidTr="00755A0E">
        <w:tc>
          <w:tcPr>
            <w:tcW w:w="1447" w:type="dxa"/>
            <w:vMerge/>
          </w:tcPr>
          <w:p w14:paraId="6999F7ED" w14:textId="77777777" w:rsidR="00755A0E" w:rsidRPr="008174E3" w:rsidRDefault="00755A0E" w:rsidP="00755A0E">
            <w:pPr>
              <w:rPr>
                <w:color w:val="000000"/>
                <w:sz w:val="14"/>
              </w:rPr>
            </w:pPr>
          </w:p>
        </w:tc>
        <w:tc>
          <w:tcPr>
            <w:tcW w:w="4596" w:type="dxa"/>
            <w:vAlign w:val="bottom"/>
          </w:tcPr>
          <w:p w14:paraId="7A6ED857" w14:textId="77777777" w:rsidR="00755A0E" w:rsidRPr="008174E3" w:rsidRDefault="00755A0E" w:rsidP="00755A0E">
            <w:pPr>
              <w:rPr>
                <w:color w:val="000000"/>
                <w:sz w:val="14"/>
              </w:rPr>
            </w:pPr>
            <w:r w:rsidRPr="008174E3">
              <w:rPr>
                <w:color w:val="000000"/>
                <w:sz w:val="14"/>
              </w:rPr>
              <w:t>Acceso a Beneficios laborales:</w:t>
            </w:r>
          </w:p>
          <w:p w14:paraId="096E8436" w14:textId="03012750" w:rsidR="00755A0E" w:rsidRPr="008174E3" w:rsidRDefault="00BE0EAE" w:rsidP="00755A0E">
            <w:pPr>
              <w:spacing w:before="360"/>
              <w:rPr>
                <w:sz w:val="14"/>
              </w:rPr>
            </w:pPr>
            <m:oMathPara>
              <m:oMath>
                <m:sSub>
                  <m:sSubPr>
                    <m:ctrlPr>
                      <w:rPr>
                        <w:rFonts w:ascii="Cambria Math" w:hAnsi="Cambria Math"/>
                        <w:i/>
                        <w:color w:val="000000"/>
                        <w:sz w:val="14"/>
                        <w:szCs w:val="22"/>
                      </w:rPr>
                    </m:ctrlPr>
                  </m:sSubPr>
                  <m:e>
                    <m:r>
                      <w:rPr>
                        <w:rFonts w:ascii="Cambria Math" w:hAnsi="Cambria Math"/>
                        <w:color w:val="000000"/>
                        <w:sz w:val="14"/>
                      </w:rPr>
                      <m:t>θ</m:t>
                    </m:r>
                  </m:e>
                  <m:sub>
                    <m:r>
                      <w:rPr>
                        <w:rFonts w:ascii="Cambria Math" w:hAnsi="Cambria Math"/>
                        <w:color w:val="000000"/>
                        <w:sz w:val="14"/>
                      </w:rPr>
                      <m:t>i</m:t>
                    </m:r>
                  </m:sub>
                </m:sSub>
                <m:r>
                  <w:rPr>
                    <w:rFonts w:ascii="Cambria Math" w:hAnsi="Cambria Math"/>
                    <w:color w:val="000000"/>
                    <w:sz w:val="14"/>
                  </w:rPr>
                  <m:t>=</m:t>
                </m:r>
                <m:d>
                  <m:dPr>
                    <m:ctrlPr>
                      <w:rPr>
                        <w:rFonts w:ascii="Cambria Math" w:hAnsi="Cambria Math"/>
                        <w:i/>
                        <w:color w:val="000000"/>
                        <w:sz w:val="14"/>
                      </w:rPr>
                    </m:ctrlPr>
                  </m:dPr>
                  <m:e>
                    <m:sSub>
                      <m:sSubPr>
                        <m:ctrlPr>
                          <w:rPr>
                            <w:rFonts w:ascii="Cambria Math" w:hAnsi="Cambria Math"/>
                            <w:i/>
                            <w:color w:val="000000"/>
                            <w:sz w:val="14"/>
                            <w:szCs w:val="22"/>
                          </w:rPr>
                        </m:ctrlPr>
                      </m:sSubPr>
                      <m:e>
                        <m:r>
                          <w:rPr>
                            <w:rFonts w:ascii="Cambria Math" w:hAnsi="Cambria Math"/>
                            <w:color w:val="000000"/>
                            <w:sz w:val="14"/>
                          </w:rPr>
                          <m:t>β</m:t>
                        </m:r>
                      </m:e>
                      <m:sub>
                        <m:r>
                          <w:rPr>
                            <w:rFonts w:ascii="Cambria Math" w:hAnsi="Cambria Math"/>
                            <w:color w:val="000000"/>
                            <w:sz w:val="14"/>
                          </w:rPr>
                          <m:t>i,H</m:t>
                        </m:r>
                      </m:sub>
                    </m:sSub>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N</m:t>
                        </m:r>
                      </m:e>
                      <m:sub>
                        <m:r>
                          <w:rPr>
                            <w:rFonts w:ascii="Cambria Math" w:hAnsi="Cambria Math"/>
                            <w:color w:val="000000"/>
                            <w:sz w:val="14"/>
                          </w:rPr>
                          <m:t>i,H</m:t>
                        </m:r>
                      </m:sub>
                    </m:sSub>
                  </m:e>
                </m:d>
                <m:r>
                  <w:rPr>
                    <w:rFonts w:ascii="Cambria Math" w:hAnsi="Cambria Math"/>
                    <w:color w:val="000000"/>
                    <w:sz w:val="14"/>
                  </w:rPr>
                  <m:t>+</m:t>
                </m:r>
                <m:d>
                  <m:dPr>
                    <m:ctrlPr>
                      <w:rPr>
                        <w:rFonts w:ascii="Cambria Math" w:hAnsi="Cambria Math"/>
                        <w:i/>
                        <w:color w:val="000000"/>
                        <w:sz w:val="14"/>
                      </w:rPr>
                    </m:ctrlPr>
                  </m:dPr>
                  <m:e>
                    <m:sSub>
                      <m:sSubPr>
                        <m:ctrlPr>
                          <w:rPr>
                            <w:rFonts w:ascii="Cambria Math" w:hAnsi="Cambria Math"/>
                            <w:i/>
                            <w:color w:val="000000"/>
                            <w:sz w:val="14"/>
                            <w:szCs w:val="22"/>
                          </w:rPr>
                        </m:ctrlPr>
                      </m:sSubPr>
                      <m:e>
                        <m:r>
                          <w:rPr>
                            <w:rFonts w:ascii="Cambria Math" w:hAnsi="Cambria Math"/>
                            <w:color w:val="000000"/>
                            <w:sz w:val="14"/>
                          </w:rPr>
                          <m:t>β</m:t>
                        </m:r>
                      </m:e>
                      <m:sub>
                        <m:r>
                          <w:rPr>
                            <w:rFonts w:ascii="Cambria Math" w:hAnsi="Cambria Math"/>
                            <w:color w:val="000000"/>
                            <w:sz w:val="14"/>
                          </w:rPr>
                          <m:t>i,M</m:t>
                        </m:r>
                      </m:sub>
                    </m:sSub>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N</m:t>
                        </m:r>
                      </m:e>
                      <m:sub>
                        <m:r>
                          <w:rPr>
                            <w:rFonts w:ascii="Cambria Math" w:hAnsi="Cambria Math"/>
                            <w:color w:val="000000"/>
                            <w:sz w:val="14"/>
                          </w:rPr>
                          <m:t>i,M</m:t>
                        </m:r>
                      </m:sub>
                    </m:sSub>
                  </m:e>
                </m:d>
              </m:oMath>
            </m:oMathPara>
          </w:p>
          <w:p w14:paraId="6FD2AFCE" w14:textId="77777777" w:rsidR="00755A0E" w:rsidRPr="008174E3" w:rsidRDefault="00755A0E" w:rsidP="00755A0E">
            <w:pPr>
              <w:rPr>
                <w:color w:val="000000"/>
                <w:sz w:val="14"/>
              </w:rPr>
            </w:pPr>
          </w:p>
          <w:p w14:paraId="00AF67C7" w14:textId="77777777" w:rsidR="00755A0E" w:rsidRPr="008174E3" w:rsidRDefault="00755A0E" w:rsidP="00755A0E">
            <w:pPr>
              <w:rPr>
                <w:color w:val="000000"/>
                <w:sz w:val="14"/>
              </w:rPr>
            </w:pPr>
            <w:r w:rsidRPr="008174E3">
              <w:rPr>
                <w:color w:val="000000"/>
                <w:sz w:val="14"/>
              </w:rPr>
              <w:t xml:space="preserve">Donde </w:t>
            </w:r>
          </w:p>
          <w:p w14:paraId="642CED2C" w14:textId="77777777" w:rsidR="00755A0E" w:rsidRPr="008174E3" w:rsidRDefault="00755A0E" w:rsidP="00755A0E">
            <w:pPr>
              <w:pStyle w:val="ListParagraph"/>
              <w:numPr>
                <w:ilvl w:val="0"/>
                <w:numId w:val="25"/>
              </w:numPr>
              <w:rPr>
                <w:color w:val="000000"/>
                <w:sz w:val="14"/>
              </w:rPr>
            </w:pPr>
            <w:r w:rsidRPr="008174E3">
              <w:rPr>
                <w:i/>
                <w:color w:val="000000"/>
                <w:sz w:val="14"/>
              </w:rPr>
              <w:t xml:space="preserve">i </w:t>
            </w:r>
            <w:r w:rsidRPr="008174E3">
              <w:rPr>
                <w:color w:val="000000"/>
                <w:sz w:val="14"/>
              </w:rPr>
              <w:t>es el año del impacto</w:t>
            </w:r>
          </w:p>
          <w:p w14:paraId="2A938D73" w14:textId="1E071628" w:rsidR="00755A0E" w:rsidRPr="008174E3" w:rsidRDefault="00755A0E" w:rsidP="00755A0E">
            <w:pPr>
              <w:pStyle w:val="ListParagraph"/>
              <w:numPr>
                <w:ilvl w:val="0"/>
                <w:numId w:val="25"/>
              </w:numPr>
              <w:rPr>
                <w:color w:val="000000"/>
                <w:sz w:val="14"/>
              </w:rPr>
            </w:pPr>
            <w:r w:rsidRPr="008174E3">
              <w:rPr>
                <w:i/>
                <w:color w:val="000000"/>
                <w:sz w:val="14"/>
              </w:rPr>
              <w:t>H</w:t>
            </w:r>
            <w:r w:rsidRPr="008174E3">
              <w:rPr>
                <w:color w:val="000000"/>
                <w:sz w:val="14"/>
              </w:rPr>
              <w:t xml:space="preserve"> hace referencia al </w:t>
            </w:r>
            <w:r w:rsidR="0007065C" w:rsidRPr="008174E3">
              <w:rPr>
                <w:color w:val="000000"/>
                <w:sz w:val="14"/>
              </w:rPr>
              <w:t>cálculo</w:t>
            </w:r>
            <w:r w:rsidRPr="008174E3">
              <w:rPr>
                <w:color w:val="000000"/>
                <w:sz w:val="14"/>
              </w:rPr>
              <w:t xml:space="preserve"> de hombres y </w:t>
            </w:r>
            <w:r w:rsidRPr="008174E3">
              <w:rPr>
                <w:i/>
                <w:color w:val="000000"/>
                <w:sz w:val="14"/>
              </w:rPr>
              <w:t>M</w:t>
            </w:r>
            <w:r w:rsidRPr="008174E3">
              <w:rPr>
                <w:color w:val="000000"/>
                <w:sz w:val="14"/>
              </w:rPr>
              <w:t xml:space="preserve"> de mujeres</w:t>
            </w:r>
          </w:p>
          <w:p w14:paraId="79A63942" w14:textId="77777777" w:rsidR="00755A0E" w:rsidRPr="008174E3" w:rsidRDefault="00BE0EAE" w:rsidP="00755A0E">
            <w:pPr>
              <w:pStyle w:val="ListParagraph"/>
              <w:numPr>
                <w:ilvl w:val="0"/>
                <w:numId w:val="25"/>
              </w:numPr>
              <w:rPr>
                <w:color w:val="000000"/>
                <w:sz w:val="14"/>
              </w:rPr>
            </w:pPr>
            <m:oMath>
              <m:sSub>
                <m:sSubPr>
                  <m:ctrlPr>
                    <w:rPr>
                      <w:rFonts w:ascii="Cambria Math" w:hAnsi="Cambria Math"/>
                      <w:i/>
                      <w:color w:val="000000"/>
                      <w:sz w:val="14"/>
                    </w:rPr>
                  </m:ctrlPr>
                </m:sSubPr>
                <m:e>
                  <m:r>
                    <w:rPr>
                      <w:rFonts w:ascii="Cambria Math" w:hAnsi="Cambria Math"/>
                      <w:color w:val="000000"/>
                      <w:sz w:val="14"/>
                    </w:rPr>
                    <m:t>β</m:t>
                  </m:r>
                </m:e>
                <m:sub>
                  <m:r>
                    <w:rPr>
                      <w:rFonts w:ascii="Cambria Math" w:hAnsi="Cambria Math"/>
                      <w:color w:val="000000"/>
                      <w:sz w:val="14"/>
                    </w:rPr>
                    <m:t>i,g</m:t>
                  </m:r>
                </m:sub>
              </m:sSub>
            </m:oMath>
            <w:r w:rsidR="00755A0E" w:rsidRPr="008174E3">
              <w:rPr>
                <w:color w:val="000000"/>
                <w:sz w:val="14"/>
              </w:rPr>
              <w:t xml:space="preserve"> es el impacto de formalidad para los hombres, que se calcula como: </w:t>
            </w:r>
          </w:p>
          <w:p w14:paraId="78EF99ED" w14:textId="3641B6E4" w:rsidR="00755A0E" w:rsidRPr="008174E3" w:rsidRDefault="00755A0E" w:rsidP="00755A0E">
            <w:pPr>
              <w:pStyle w:val="ListParagraph"/>
              <w:rPr>
                <w:color w:val="000000"/>
                <w:sz w:val="14"/>
              </w:rPr>
            </w:pPr>
            <m:oMathPara>
              <m:oMath>
                <m:r>
                  <m:rPr>
                    <m:sty m:val="p"/>
                  </m:rPr>
                  <w:rPr>
                    <w:rFonts w:ascii="Cambria Math" w:hAnsi="Cambria Math"/>
                    <w:color w:val="000000"/>
                    <w:sz w:val="14"/>
                  </w:rPr>
                  <w:br/>
                </m:r>
              </m:oMath>
              <m:oMath>
                <m:sSub>
                  <m:sSubPr>
                    <m:ctrlPr>
                      <w:rPr>
                        <w:rFonts w:ascii="Cambria Math" w:hAnsi="Cambria Math"/>
                        <w:i/>
                        <w:color w:val="000000"/>
                        <w:sz w:val="14"/>
                      </w:rPr>
                    </m:ctrlPr>
                  </m:sSubPr>
                  <m:e>
                    <m:r>
                      <w:rPr>
                        <w:rFonts w:ascii="Cambria Math" w:hAnsi="Cambria Math"/>
                        <w:color w:val="000000"/>
                        <w:sz w:val="14"/>
                      </w:rPr>
                      <m:t>β</m:t>
                    </m:r>
                  </m:e>
                  <m:sub>
                    <m:r>
                      <w:rPr>
                        <w:rFonts w:ascii="Cambria Math" w:hAnsi="Cambria Math"/>
                        <w:color w:val="000000"/>
                        <w:sz w:val="14"/>
                      </w:rPr>
                      <m:t>i,g</m:t>
                    </m:r>
                  </m:sub>
                </m:sSub>
                <m:r>
                  <w:rPr>
                    <w:rFonts w:ascii="Cambria Math" w:hAnsi="Cambria Math"/>
                    <w:color w:val="000000"/>
                    <w:sz w:val="14"/>
                  </w:rPr>
                  <m:t>={</m:t>
                </m:r>
                <m:d>
                  <m:dPr>
                    <m:ctrlPr>
                      <w:rPr>
                        <w:rFonts w:ascii="Cambria Math" w:hAnsi="Cambria Math"/>
                        <w:i/>
                        <w:color w:val="000000"/>
                        <w:sz w:val="14"/>
                      </w:rPr>
                    </m:ctrlPr>
                  </m:dPr>
                  <m:e>
                    <m:sSub>
                      <m:sSubPr>
                        <m:ctrlPr>
                          <w:rPr>
                            <w:rFonts w:ascii="Cambria Math" w:hAnsi="Cambria Math"/>
                            <w:i/>
                            <w:color w:val="000000"/>
                            <w:sz w:val="14"/>
                            <w:szCs w:val="22"/>
                          </w:rPr>
                        </m:ctrlPr>
                      </m:sSubPr>
                      <m:e>
                        <m:r>
                          <w:rPr>
                            <w:rFonts w:ascii="Cambria Math" w:hAnsi="Cambria Math"/>
                            <w:color w:val="000000"/>
                            <w:sz w:val="14"/>
                          </w:rPr>
                          <m:t>d</m:t>
                        </m:r>
                      </m:e>
                      <m:sub>
                        <m:r>
                          <w:rPr>
                            <w:rFonts w:ascii="Cambria Math" w:hAnsi="Cambria Math"/>
                            <w:color w:val="000000"/>
                            <w:sz w:val="14"/>
                          </w:rPr>
                          <m:t>vacación</m:t>
                        </m:r>
                      </m:sub>
                    </m:sSub>
                    <m:r>
                      <w:rPr>
                        <w:rFonts w:ascii="Cambria Math" w:hAnsi="Cambria Math"/>
                        <w:color w:val="000000"/>
                        <w:sz w:val="14"/>
                      </w:rPr>
                      <m:t>*</m:t>
                    </m:r>
                    <m:sSub>
                      <m:sSubPr>
                        <m:ctrlPr>
                          <w:rPr>
                            <w:rFonts w:ascii="Cambria Math" w:hAnsi="Cambria Math"/>
                            <w:i/>
                            <w:color w:val="000000"/>
                            <w:sz w:val="14"/>
                          </w:rPr>
                        </m:ctrlPr>
                      </m:sSubPr>
                      <m:e>
                        <m:r>
                          <w:rPr>
                            <w:rFonts w:ascii="Cambria Math" w:hAnsi="Cambria Math"/>
                            <w:color w:val="000000"/>
                            <w:sz w:val="14"/>
                          </w:rPr>
                          <m:t>y</m:t>
                        </m:r>
                      </m:e>
                      <m:sub>
                        <m:r>
                          <w:rPr>
                            <w:rFonts w:ascii="Cambria Math" w:hAnsi="Cambria Math"/>
                            <w:color w:val="000000"/>
                            <w:sz w:val="14"/>
                          </w:rPr>
                          <m:t>diario,H</m:t>
                        </m:r>
                      </m:sub>
                    </m:sSub>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ρ</m:t>
                        </m:r>
                      </m:e>
                      <m:sub>
                        <m:func>
                          <m:funcPr>
                            <m:ctrlPr>
                              <w:rPr>
                                <w:rFonts w:ascii="Cambria Math" w:hAnsi="Cambria Math"/>
                                <w:i/>
                                <w:color w:val="000000"/>
                                <w:sz w:val="14"/>
                              </w:rPr>
                            </m:ctrlPr>
                          </m:funcPr>
                          <m:fName>
                            <m:r>
                              <m:rPr>
                                <m:sty m:val="p"/>
                              </m:rPr>
                              <w:rPr>
                                <w:rFonts w:ascii="Cambria Math" w:hAnsi="Cambria Math"/>
                                <w:color w:val="000000"/>
                                <w:sz w:val="14"/>
                              </w:rPr>
                              <m:t>sin</m:t>
                            </m:r>
                          </m:fName>
                          <m:e>
                            <m:r>
                              <w:rPr>
                                <w:rFonts w:ascii="Cambria Math" w:hAnsi="Cambria Math"/>
                                <w:color w:val="000000"/>
                                <w:sz w:val="14"/>
                              </w:rPr>
                              <m:t xml:space="preserve">acceso </m:t>
                            </m:r>
                          </m:e>
                        </m:func>
                        <m:r>
                          <w:rPr>
                            <w:rFonts w:ascii="Cambria Math" w:hAnsi="Cambria Math"/>
                            <w:color w:val="000000"/>
                            <w:sz w:val="14"/>
                          </w:rPr>
                          <m:t>a vacaciones</m:t>
                        </m:r>
                      </m:sub>
                    </m:sSub>
                  </m:e>
                </m:d>
                <m:r>
                  <w:rPr>
                    <w:rFonts w:ascii="Cambria Math" w:hAnsi="Cambria Math"/>
                    <w:color w:val="000000"/>
                    <w:sz w:val="14"/>
                  </w:rPr>
                  <m:t>+</m:t>
                </m:r>
                <m:d>
                  <m:dPr>
                    <m:ctrlPr>
                      <w:rPr>
                        <w:rFonts w:ascii="Cambria Math" w:hAnsi="Cambria Math"/>
                        <w:i/>
                        <w:color w:val="000000"/>
                        <w:sz w:val="14"/>
                      </w:rPr>
                    </m:ctrlPr>
                  </m:dPr>
                  <m:e>
                    <m:sSub>
                      <m:sSubPr>
                        <m:ctrlPr>
                          <w:rPr>
                            <w:rFonts w:ascii="Cambria Math" w:hAnsi="Cambria Math"/>
                            <w:i/>
                            <w:color w:val="000000"/>
                            <w:sz w:val="14"/>
                            <w:szCs w:val="22"/>
                          </w:rPr>
                        </m:ctrlPr>
                      </m:sSubPr>
                      <m:e>
                        <m:r>
                          <w:rPr>
                            <w:rFonts w:ascii="Cambria Math" w:hAnsi="Cambria Math"/>
                            <w:color w:val="000000"/>
                            <w:sz w:val="14"/>
                          </w:rPr>
                          <m:t>d</m:t>
                        </m:r>
                      </m:e>
                      <m:sub>
                        <m:r>
                          <w:rPr>
                            <w:rFonts w:ascii="Cambria Math" w:hAnsi="Cambria Math"/>
                            <w:color w:val="000000"/>
                            <w:sz w:val="14"/>
                          </w:rPr>
                          <m:t>aguinaldo</m:t>
                        </m:r>
                      </m:sub>
                    </m:sSub>
                    <m:r>
                      <w:rPr>
                        <w:rFonts w:ascii="Cambria Math" w:hAnsi="Cambria Math"/>
                        <w:color w:val="000000"/>
                        <w:sz w:val="14"/>
                      </w:rPr>
                      <m:t>*</m:t>
                    </m:r>
                    <m:sSub>
                      <m:sSubPr>
                        <m:ctrlPr>
                          <w:rPr>
                            <w:rFonts w:ascii="Cambria Math" w:hAnsi="Cambria Math"/>
                            <w:i/>
                            <w:color w:val="000000"/>
                            <w:sz w:val="14"/>
                          </w:rPr>
                        </m:ctrlPr>
                      </m:sSubPr>
                      <m:e>
                        <m:r>
                          <w:rPr>
                            <w:rFonts w:ascii="Cambria Math" w:hAnsi="Cambria Math"/>
                            <w:color w:val="000000"/>
                            <w:sz w:val="14"/>
                          </w:rPr>
                          <m:t>y</m:t>
                        </m:r>
                      </m:e>
                      <m:sub>
                        <m:r>
                          <w:rPr>
                            <w:rFonts w:ascii="Cambria Math" w:hAnsi="Cambria Math"/>
                            <w:color w:val="000000"/>
                            <w:sz w:val="14"/>
                          </w:rPr>
                          <m:t>diario,H</m:t>
                        </m:r>
                      </m:sub>
                    </m:sSub>
                    <m:r>
                      <w:rPr>
                        <w:rFonts w:ascii="Cambria Math" w:hAnsi="Cambria Math"/>
                        <w:color w:val="000000"/>
                        <w:sz w:val="14"/>
                      </w:rPr>
                      <m:t>*</m:t>
                    </m:r>
                    <m:sSub>
                      <m:sSubPr>
                        <m:ctrlPr>
                          <w:rPr>
                            <w:rFonts w:ascii="Cambria Math" w:hAnsi="Cambria Math"/>
                            <w:i/>
                            <w:color w:val="000000"/>
                            <w:sz w:val="14"/>
                            <w:szCs w:val="22"/>
                          </w:rPr>
                        </m:ctrlPr>
                      </m:sSubPr>
                      <m:e>
                        <m:r>
                          <w:rPr>
                            <w:rFonts w:ascii="Cambria Math" w:hAnsi="Cambria Math"/>
                            <w:color w:val="000000"/>
                            <w:sz w:val="14"/>
                          </w:rPr>
                          <m:t>ρ</m:t>
                        </m:r>
                      </m:e>
                      <m:sub>
                        <m:func>
                          <m:funcPr>
                            <m:ctrlPr>
                              <w:rPr>
                                <w:rFonts w:ascii="Cambria Math" w:hAnsi="Cambria Math"/>
                                <w:i/>
                                <w:color w:val="000000"/>
                                <w:sz w:val="14"/>
                              </w:rPr>
                            </m:ctrlPr>
                          </m:funcPr>
                          <m:fName>
                            <m:r>
                              <m:rPr>
                                <m:sty m:val="p"/>
                              </m:rPr>
                              <w:rPr>
                                <w:rFonts w:ascii="Cambria Math" w:hAnsi="Cambria Math"/>
                                <w:color w:val="000000"/>
                                <w:sz w:val="14"/>
                              </w:rPr>
                              <m:t>sin</m:t>
                            </m:r>
                          </m:fName>
                          <m:e>
                            <m:r>
                              <w:rPr>
                                <w:rFonts w:ascii="Cambria Math" w:hAnsi="Cambria Math"/>
                                <w:color w:val="000000"/>
                                <w:sz w:val="14"/>
                              </w:rPr>
                              <m:t>acceso a</m:t>
                            </m:r>
                          </m:e>
                        </m:func>
                        <m:r>
                          <w:rPr>
                            <w:rFonts w:ascii="Cambria Math" w:hAnsi="Cambria Math"/>
                            <w:color w:val="000000"/>
                            <w:sz w:val="14"/>
                          </w:rPr>
                          <m:t>a aguinaldo</m:t>
                        </m:r>
                      </m:sub>
                    </m:sSub>
                  </m:e>
                </m:d>
                <m:r>
                  <w:rPr>
                    <w:rFonts w:ascii="Cambria Math" w:hAnsi="Cambria Math"/>
                    <w:color w:val="000000"/>
                    <w:sz w:val="14"/>
                  </w:rPr>
                  <m:t>}*δ</m:t>
                </m:r>
              </m:oMath>
            </m:oMathPara>
          </w:p>
          <w:p w14:paraId="1AF10A2B" w14:textId="77777777" w:rsidR="00755A0E" w:rsidRPr="008174E3" w:rsidRDefault="00755A0E" w:rsidP="00755A0E">
            <w:pPr>
              <w:rPr>
                <w:color w:val="000000"/>
                <w:sz w:val="14"/>
              </w:rPr>
            </w:pPr>
          </w:p>
          <w:p w14:paraId="2C1FCAD8" w14:textId="77777777" w:rsidR="00755A0E" w:rsidRPr="008174E3" w:rsidRDefault="00BE0EAE" w:rsidP="00755A0E">
            <w:pPr>
              <w:pStyle w:val="ListParagraph"/>
              <w:numPr>
                <w:ilvl w:val="0"/>
                <w:numId w:val="24"/>
              </w:numPr>
              <w:rPr>
                <w:color w:val="000000"/>
                <w:sz w:val="14"/>
              </w:rPr>
            </w:pPr>
            <m:oMath>
              <m:sSub>
                <m:sSubPr>
                  <m:ctrlPr>
                    <w:rPr>
                      <w:rFonts w:ascii="Cambria Math" w:hAnsi="Cambria Math"/>
                      <w:i/>
                      <w:color w:val="000000"/>
                      <w:sz w:val="14"/>
                      <w:szCs w:val="22"/>
                    </w:rPr>
                  </m:ctrlPr>
                </m:sSubPr>
                <m:e>
                  <m:r>
                    <w:rPr>
                      <w:rFonts w:ascii="Cambria Math" w:hAnsi="Cambria Math"/>
                      <w:color w:val="000000"/>
                      <w:sz w:val="14"/>
                    </w:rPr>
                    <m:t>d</m:t>
                  </m:r>
                </m:e>
                <m:sub>
                  <m:r>
                    <w:rPr>
                      <w:rFonts w:ascii="Cambria Math" w:hAnsi="Cambria Math"/>
                      <w:color w:val="000000"/>
                      <w:sz w:val="14"/>
                    </w:rPr>
                    <m:t>vacación</m:t>
                  </m:r>
                </m:sub>
              </m:sSub>
            </m:oMath>
            <w:r w:rsidR="00755A0E" w:rsidRPr="008174E3">
              <w:rPr>
                <w:color w:val="000000"/>
                <w:sz w:val="14"/>
              </w:rPr>
              <w:t xml:space="preserve"> son los días definido por Ley para el pago de vacación igual a 6 días</w:t>
            </w:r>
          </w:p>
          <w:p w14:paraId="5AB59549" w14:textId="77777777" w:rsidR="00755A0E" w:rsidRPr="008174E3" w:rsidRDefault="00BE0EAE" w:rsidP="00755A0E">
            <w:pPr>
              <w:pStyle w:val="ListParagraph"/>
              <w:numPr>
                <w:ilvl w:val="0"/>
                <w:numId w:val="24"/>
              </w:numPr>
              <w:rPr>
                <w:color w:val="000000"/>
                <w:sz w:val="14"/>
              </w:rPr>
            </w:pPr>
            <m:oMath>
              <m:sSub>
                <m:sSubPr>
                  <m:ctrlPr>
                    <w:rPr>
                      <w:rFonts w:ascii="Cambria Math" w:hAnsi="Cambria Math"/>
                      <w:i/>
                      <w:color w:val="000000"/>
                      <w:sz w:val="14"/>
                      <w:szCs w:val="22"/>
                    </w:rPr>
                  </m:ctrlPr>
                </m:sSubPr>
                <m:e>
                  <m:r>
                    <w:rPr>
                      <w:rFonts w:ascii="Cambria Math" w:hAnsi="Cambria Math"/>
                      <w:color w:val="000000"/>
                      <w:sz w:val="14"/>
                    </w:rPr>
                    <m:t>d</m:t>
                  </m:r>
                </m:e>
                <m:sub>
                  <m:r>
                    <w:rPr>
                      <w:rFonts w:ascii="Cambria Math" w:hAnsi="Cambria Math"/>
                      <w:color w:val="000000"/>
                      <w:sz w:val="14"/>
                    </w:rPr>
                    <m:t>aguinaldo</m:t>
                  </m:r>
                </m:sub>
              </m:sSub>
            </m:oMath>
            <w:r w:rsidR="00755A0E" w:rsidRPr="008174E3">
              <w:rPr>
                <w:color w:val="000000"/>
                <w:sz w:val="14"/>
              </w:rPr>
              <w:t xml:space="preserve"> son los días definido por Ley para el pago de aguinaldo igual a 15 días</w:t>
            </w:r>
          </w:p>
          <w:p w14:paraId="032D030A" w14:textId="77777777" w:rsidR="00755A0E" w:rsidRPr="008174E3" w:rsidRDefault="00BE0EAE" w:rsidP="00755A0E">
            <w:pPr>
              <w:pStyle w:val="ListParagraph"/>
              <w:numPr>
                <w:ilvl w:val="0"/>
                <w:numId w:val="24"/>
              </w:numPr>
              <w:rPr>
                <w:color w:val="000000"/>
                <w:sz w:val="14"/>
              </w:rPr>
            </w:pPr>
            <m:oMath>
              <m:sSub>
                <m:sSubPr>
                  <m:ctrlPr>
                    <w:rPr>
                      <w:rFonts w:ascii="Cambria Math" w:hAnsi="Cambria Math"/>
                      <w:i/>
                      <w:color w:val="000000"/>
                      <w:sz w:val="14"/>
                    </w:rPr>
                  </m:ctrlPr>
                </m:sSubPr>
                <m:e>
                  <m:r>
                    <w:rPr>
                      <w:rFonts w:ascii="Cambria Math" w:hAnsi="Cambria Math"/>
                      <w:color w:val="000000"/>
                      <w:sz w:val="14"/>
                    </w:rPr>
                    <m:t>y</m:t>
                  </m:r>
                </m:e>
                <m:sub>
                  <m:r>
                    <w:rPr>
                      <w:rFonts w:ascii="Cambria Math" w:hAnsi="Cambria Math"/>
                      <w:color w:val="000000"/>
                      <w:sz w:val="14"/>
                    </w:rPr>
                    <m:t>diario,g</m:t>
                  </m:r>
                </m:sub>
              </m:sSub>
            </m:oMath>
            <w:r w:rsidR="00755A0E" w:rsidRPr="008174E3">
              <w:rPr>
                <w:color w:val="000000"/>
                <w:sz w:val="14"/>
              </w:rPr>
              <w:t xml:space="preserve"> es el ingreso diario de referencia, que se calcula como </w:t>
            </w:r>
            <m:oMath>
              <m:sSub>
                <m:sSubPr>
                  <m:ctrlPr>
                    <w:rPr>
                      <w:rFonts w:ascii="Cambria Math" w:hAnsi="Cambria Math"/>
                      <w:i/>
                      <w:color w:val="000000"/>
                      <w:sz w:val="14"/>
                    </w:rPr>
                  </m:ctrlPr>
                </m:sSubPr>
                <m:e>
                  <m:r>
                    <w:rPr>
                      <w:rFonts w:ascii="Cambria Math" w:hAnsi="Cambria Math"/>
                      <w:color w:val="000000"/>
                      <w:sz w:val="14"/>
                    </w:rPr>
                    <m:t>y</m:t>
                  </m:r>
                </m:e>
                <m:sub>
                  <m:r>
                    <w:rPr>
                      <w:rFonts w:ascii="Cambria Math" w:hAnsi="Cambria Math"/>
                      <w:color w:val="000000"/>
                      <w:sz w:val="14"/>
                    </w:rPr>
                    <m:t>semanal,g</m:t>
                  </m:r>
                </m:sub>
              </m:sSub>
              <m:r>
                <w:rPr>
                  <w:rFonts w:ascii="Cambria Math" w:hAnsi="Cambria Math"/>
                  <w:color w:val="000000"/>
                  <w:sz w:val="14"/>
                </w:rPr>
                <m:t>/6</m:t>
              </m:r>
            </m:oMath>
          </w:p>
          <w:p w14:paraId="70DA5139" w14:textId="73A85B61" w:rsidR="00755A0E" w:rsidRPr="008174E3" w:rsidRDefault="00755A0E" w:rsidP="00755A0E">
            <w:pPr>
              <w:pStyle w:val="ListParagraph"/>
              <w:numPr>
                <w:ilvl w:val="0"/>
                <w:numId w:val="24"/>
              </w:numPr>
              <w:rPr>
                <w:color w:val="000000"/>
                <w:sz w:val="14"/>
              </w:rPr>
            </w:pPr>
            <m:oMath>
              <m:r>
                <w:rPr>
                  <w:rFonts w:ascii="Cambria Math" w:hAnsi="Cambria Math"/>
                  <w:color w:val="000000"/>
                  <w:sz w:val="14"/>
                  <w:szCs w:val="22"/>
                </w:rPr>
                <m:t>ρ</m:t>
              </m:r>
            </m:oMath>
            <w:r w:rsidRPr="008174E3">
              <w:rPr>
                <w:color w:val="000000"/>
                <w:sz w:val="14"/>
                <w:szCs w:val="22"/>
              </w:rPr>
              <w:t xml:space="preserve"> es el porcentaje de beneficiarios sin acceso al beneficio (</w:t>
            </w:r>
            <w:r w:rsidR="00170561" w:rsidRPr="008174E3">
              <w:rPr>
                <w:color w:val="000000"/>
                <w:sz w:val="14"/>
                <w:szCs w:val="22"/>
              </w:rPr>
              <w:t>49</w:t>
            </w:r>
            <w:r w:rsidRPr="008174E3">
              <w:rPr>
                <w:color w:val="000000"/>
                <w:sz w:val="14"/>
                <w:szCs w:val="22"/>
              </w:rPr>
              <w:t xml:space="preserve">% para aguinaldo y </w:t>
            </w:r>
            <w:r w:rsidR="00170561" w:rsidRPr="008174E3">
              <w:rPr>
                <w:color w:val="000000"/>
                <w:sz w:val="14"/>
                <w:szCs w:val="22"/>
              </w:rPr>
              <w:t>56</w:t>
            </w:r>
            <w:r w:rsidRPr="008174E3">
              <w:rPr>
                <w:color w:val="000000"/>
                <w:sz w:val="14"/>
                <w:szCs w:val="22"/>
              </w:rPr>
              <w:t>% para vacaciones)</w:t>
            </w:r>
          </w:p>
          <w:p w14:paraId="3EFF66F5" w14:textId="77777777" w:rsidR="00755A0E" w:rsidRPr="008174E3" w:rsidRDefault="00755A0E" w:rsidP="00755A0E">
            <w:pPr>
              <w:pStyle w:val="ListParagraph"/>
              <w:numPr>
                <w:ilvl w:val="0"/>
                <w:numId w:val="24"/>
              </w:numPr>
              <w:rPr>
                <w:color w:val="000000"/>
                <w:sz w:val="14"/>
              </w:rPr>
            </w:pPr>
            <m:oMath>
              <m:r>
                <w:rPr>
                  <w:rFonts w:ascii="Cambria Math" w:hAnsi="Cambria Math"/>
                  <w:color w:val="000000"/>
                  <w:sz w:val="14"/>
                  <w:szCs w:val="22"/>
                </w:rPr>
                <m:t>δ</m:t>
              </m:r>
            </m:oMath>
            <w:r w:rsidRPr="008174E3">
              <w:rPr>
                <w:color w:val="000000"/>
                <w:sz w:val="14"/>
              </w:rPr>
              <w:t xml:space="preserve"> es el impacto del componente (6 pp.)</w:t>
            </w:r>
          </w:p>
          <w:p w14:paraId="5CF4CB79" w14:textId="77777777" w:rsidR="00755A0E" w:rsidRPr="008174E3" w:rsidRDefault="00755A0E" w:rsidP="00755A0E">
            <w:pPr>
              <w:rPr>
                <w:color w:val="000000"/>
                <w:sz w:val="14"/>
              </w:rPr>
            </w:pPr>
          </w:p>
          <w:p w14:paraId="52C92539" w14:textId="77777777" w:rsidR="00755A0E" w:rsidRPr="008174E3" w:rsidRDefault="00755A0E" w:rsidP="00755A0E">
            <w:pPr>
              <w:rPr>
                <w:color w:val="000000"/>
                <w:sz w:val="14"/>
              </w:rPr>
            </w:pPr>
          </w:p>
        </w:tc>
        <w:tc>
          <w:tcPr>
            <w:tcW w:w="3785" w:type="dxa"/>
          </w:tcPr>
          <w:p w14:paraId="362EC9B6" w14:textId="77777777" w:rsidR="00755A0E" w:rsidRPr="008174E3" w:rsidRDefault="00755A0E" w:rsidP="00755A0E">
            <w:pPr>
              <w:rPr>
                <w:color w:val="000000"/>
                <w:sz w:val="14"/>
              </w:rPr>
            </w:pPr>
            <w:r w:rsidRPr="008174E3">
              <w:rPr>
                <w:color w:val="000000"/>
                <w:sz w:val="14"/>
              </w:rPr>
              <w:t>Costos económicos:</w:t>
            </w:r>
          </w:p>
          <w:p w14:paraId="3BFD130D" w14:textId="77777777" w:rsidR="00755A0E" w:rsidRPr="008174E3" w:rsidRDefault="00755A0E" w:rsidP="00755A0E">
            <w:pPr>
              <w:rPr>
                <w:color w:val="000000"/>
                <w:sz w:val="14"/>
              </w:rPr>
            </w:pPr>
          </w:p>
          <w:p w14:paraId="76D09B95" w14:textId="77777777" w:rsidR="00755A0E" w:rsidRPr="008174E3" w:rsidRDefault="00755A0E" w:rsidP="00755A0E">
            <w:pPr>
              <w:rPr>
                <w:color w:val="000000"/>
                <w:sz w:val="14"/>
              </w:rPr>
            </w:pPr>
          </w:p>
          <w:p w14:paraId="09A5EBA7" w14:textId="1CC69DFD" w:rsidR="00755A0E" w:rsidRPr="008174E3" w:rsidRDefault="00333A88" w:rsidP="00755A0E">
            <w:pPr>
              <w:pStyle w:val="ListParagraph"/>
              <w:numPr>
                <w:ilvl w:val="0"/>
                <w:numId w:val="25"/>
              </w:numPr>
              <w:rPr>
                <w:color w:val="000000"/>
                <w:sz w:val="14"/>
              </w:rPr>
            </w:pPr>
            <w:r w:rsidRPr="008174E3">
              <w:rPr>
                <w:color w:val="000000"/>
                <w:sz w:val="14"/>
              </w:rPr>
              <w:t>Se asume que es i</w:t>
            </w:r>
            <w:r w:rsidR="00755A0E" w:rsidRPr="008174E3">
              <w:rPr>
                <w:color w:val="000000"/>
                <w:sz w:val="14"/>
              </w:rPr>
              <w:t>gual</w:t>
            </w:r>
            <w:r w:rsidRPr="008174E3">
              <w:rPr>
                <w:color w:val="000000"/>
                <w:sz w:val="14"/>
              </w:rPr>
              <w:t xml:space="preserve"> </w:t>
            </w:r>
            <w:r w:rsidR="00755A0E" w:rsidRPr="008174E3">
              <w:rPr>
                <w:color w:val="000000"/>
                <w:sz w:val="14"/>
              </w:rPr>
              <w:t>al estipendio entregado por el programa</w:t>
            </w:r>
            <w:r w:rsidRPr="008174E3">
              <w:rPr>
                <w:color w:val="000000"/>
                <w:sz w:val="14"/>
              </w:rPr>
              <w:t>, por lo</w:t>
            </w:r>
            <w:r w:rsidR="00894E19" w:rsidRPr="008174E3">
              <w:rPr>
                <w:color w:val="000000"/>
                <w:sz w:val="14"/>
              </w:rPr>
              <w:t xml:space="preserve"> </w:t>
            </w:r>
            <w:r w:rsidRPr="008174E3">
              <w:rPr>
                <w:color w:val="000000"/>
                <w:sz w:val="14"/>
              </w:rPr>
              <w:t xml:space="preserve">que la </w:t>
            </w:r>
            <w:r w:rsidR="00894E19" w:rsidRPr="008174E3">
              <w:rPr>
                <w:color w:val="000000"/>
                <w:sz w:val="14"/>
              </w:rPr>
              <w:t>t</w:t>
            </w:r>
            <w:r w:rsidRPr="008174E3">
              <w:rPr>
                <w:color w:val="000000"/>
                <w:sz w:val="14"/>
              </w:rPr>
              <w:t>ransferencia monetaria del programa al beneficiario es igual a su costo de oportunidad.</w:t>
            </w:r>
          </w:p>
        </w:tc>
      </w:tr>
    </w:tbl>
    <w:p w14:paraId="5F3AE9AA" w14:textId="77777777" w:rsidR="00796D46" w:rsidRPr="00A43491" w:rsidRDefault="00796D46" w:rsidP="008457CF">
      <w:pPr>
        <w:jc w:val="center"/>
        <w:rPr>
          <w:rFonts w:ascii="Arial" w:hAnsi="Arial" w:cs="Arial"/>
          <w:b/>
        </w:rPr>
      </w:pPr>
    </w:p>
    <w:sectPr w:rsidR="00796D46" w:rsidRPr="00A43491">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F2E7D4" w14:textId="77777777" w:rsidR="006F4784" w:rsidRDefault="006F4784" w:rsidP="00400FF0">
      <w:r>
        <w:separator/>
      </w:r>
    </w:p>
  </w:endnote>
  <w:endnote w:type="continuationSeparator" w:id="0">
    <w:p w14:paraId="319DCDCB" w14:textId="77777777" w:rsidR="006F4784" w:rsidRDefault="006F4784" w:rsidP="00400FF0">
      <w:r>
        <w:continuationSeparator/>
      </w:r>
    </w:p>
  </w:endnote>
  <w:endnote w:type="continuationNotice" w:id="1">
    <w:p w14:paraId="4C168C28" w14:textId="77777777" w:rsidR="006F4784" w:rsidRDefault="006F4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altName w:val="Times New Roman"/>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 w:name="FdjddrPhymttWhwctvGalliardStd-R">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2108858"/>
      <w:docPartObj>
        <w:docPartGallery w:val="Page Numbers (Bottom of Page)"/>
        <w:docPartUnique/>
      </w:docPartObj>
    </w:sdtPr>
    <w:sdtEndPr>
      <w:rPr>
        <w:noProof/>
      </w:rPr>
    </w:sdtEndPr>
    <w:sdtContent>
      <w:p w14:paraId="633FB03D" w14:textId="63163A69" w:rsidR="000C1E37" w:rsidRPr="00011D76" w:rsidRDefault="000C1E37">
        <w:pPr>
          <w:pStyle w:val="Footer"/>
          <w:jc w:val="right"/>
        </w:pPr>
        <w:r w:rsidRPr="00011D76">
          <w:fldChar w:fldCharType="begin"/>
        </w:r>
        <w:r w:rsidRPr="00011D76">
          <w:instrText xml:space="preserve"> PAGE   \* MERGEFORMAT </w:instrText>
        </w:r>
        <w:r w:rsidRPr="00011D76">
          <w:fldChar w:fldCharType="separate"/>
        </w:r>
        <w:r w:rsidR="0077014A">
          <w:rPr>
            <w:noProof/>
          </w:rPr>
          <w:t>10</w:t>
        </w:r>
        <w:r w:rsidRPr="00011D76">
          <w:rPr>
            <w:noProof/>
          </w:rPr>
          <w:fldChar w:fldCharType="end"/>
        </w:r>
      </w:p>
    </w:sdtContent>
  </w:sdt>
  <w:p w14:paraId="1D58FC03" w14:textId="77777777" w:rsidR="000C1E37" w:rsidRDefault="000C1E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CBCA87" w14:textId="77777777" w:rsidR="006F4784" w:rsidRDefault="006F4784" w:rsidP="00400FF0">
      <w:r>
        <w:separator/>
      </w:r>
    </w:p>
  </w:footnote>
  <w:footnote w:type="continuationSeparator" w:id="0">
    <w:p w14:paraId="5479ABD5" w14:textId="77777777" w:rsidR="006F4784" w:rsidRDefault="006F4784" w:rsidP="00400FF0">
      <w:r>
        <w:continuationSeparator/>
      </w:r>
    </w:p>
  </w:footnote>
  <w:footnote w:type="continuationNotice" w:id="1">
    <w:p w14:paraId="5D87D10E" w14:textId="77777777" w:rsidR="006F4784" w:rsidRDefault="006F4784"/>
  </w:footnote>
  <w:footnote w:id="2">
    <w:p w14:paraId="542E2ECE" w14:textId="3660BD47" w:rsidR="000C1E37" w:rsidRPr="00EE6515" w:rsidRDefault="000C1E37" w:rsidP="00172572">
      <w:pPr>
        <w:pStyle w:val="FootnoteText"/>
        <w:ind w:left="360" w:hanging="360"/>
        <w:jc w:val="both"/>
        <w:rPr>
          <w:rFonts w:ascii="Arial" w:hAnsi="Arial" w:cs="Arial"/>
          <w:sz w:val="18"/>
          <w:szCs w:val="18"/>
        </w:rPr>
      </w:pPr>
      <w:r w:rsidRPr="00EE6515">
        <w:rPr>
          <w:rStyle w:val="FootnoteReference"/>
          <w:rFonts w:ascii="Arial" w:hAnsi="Arial" w:cs="Arial"/>
          <w:sz w:val="18"/>
          <w:szCs w:val="18"/>
        </w:rPr>
        <w:footnoteRef/>
      </w:r>
      <w:r w:rsidRPr="00EE6515">
        <w:rPr>
          <w:rFonts w:ascii="Arial" w:hAnsi="Arial" w:cs="Arial"/>
          <w:sz w:val="18"/>
          <w:szCs w:val="18"/>
        </w:rPr>
        <w:t xml:space="preserve"> </w:t>
      </w:r>
      <w:r w:rsidRPr="00EE6515">
        <w:rPr>
          <w:rFonts w:ascii="Arial" w:hAnsi="Arial" w:cs="Arial"/>
          <w:sz w:val="18"/>
          <w:szCs w:val="18"/>
        </w:rPr>
        <w:tab/>
        <w:t>La STPS tiene entre sus objetivos promover el empleo e intermediar en el mercado laboral para favorecer la empleabilidad, protección social y productividad de las personas (Analítica Consultores, 2015).</w:t>
      </w:r>
    </w:p>
  </w:footnote>
  <w:footnote w:id="3">
    <w:p w14:paraId="17B60F3D" w14:textId="52266DB7" w:rsidR="000C1E37" w:rsidRPr="00EE6515" w:rsidRDefault="000C1E37" w:rsidP="00172572">
      <w:pPr>
        <w:pStyle w:val="FootnoteText"/>
        <w:ind w:left="360" w:hanging="360"/>
        <w:jc w:val="both"/>
        <w:rPr>
          <w:rFonts w:ascii="Arial" w:hAnsi="Arial" w:cs="Arial"/>
          <w:sz w:val="18"/>
          <w:szCs w:val="18"/>
        </w:rPr>
      </w:pPr>
      <w:r w:rsidRPr="00EE6515">
        <w:rPr>
          <w:rStyle w:val="FootnoteReference"/>
          <w:rFonts w:ascii="Arial" w:hAnsi="Arial" w:cs="Arial"/>
          <w:sz w:val="18"/>
          <w:szCs w:val="18"/>
        </w:rPr>
        <w:footnoteRef/>
      </w:r>
      <w:r w:rsidRPr="00EE6515">
        <w:rPr>
          <w:rFonts w:ascii="Arial" w:hAnsi="Arial" w:cs="Arial"/>
          <w:sz w:val="18"/>
          <w:szCs w:val="18"/>
        </w:rPr>
        <w:t xml:space="preserve"> </w:t>
      </w:r>
      <w:r w:rsidRPr="00EE6515">
        <w:rPr>
          <w:rFonts w:ascii="Arial" w:hAnsi="Arial" w:cs="Arial"/>
          <w:sz w:val="18"/>
          <w:szCs w:val="18"/>
        </w:rPr>
        <w:tab/>
        <w:t xml:space="preserve">Además de brindar acceso a información del mercado laboral por medio del observatorio laboral, servicios de vinculación laboral, acceso a políticas activas de mercado laboral (PAML) y la gestión de flujos migratorios. </w:t>
      </w:r>
    </w:p>
  </w:footnote>
  <w:footnote w:id="4">
    <w:p w14:paraId="34A94309" w14:textId="64DDF74A" w:rsidR="000C1E37" w:rsidRPr="00EE6515" w:rsidRDefault="000C1E37" w:rsidP="00172572">
      <w:pPr>
        <w:pStyle w:val="FootnoteText"/>
        <w:ind w:left="360" w:hanging="360"/>
        <w:jc w:val="both"/>
        <w:rPr>
          <w:rFonts w:ascii="Arial" w:hAnsi="Arial" w:cs="Arial"/>
          <w:sz w:val="18"/>
          <w:szCs w:val="18"/>
        </w:rPr>
      </w:pPr>
      <w:r w:rsidRPr="00EE6515">
        <w:rPr>
          <w:rStyle w:val="FootnoteReference"/>
          <w:rFonts w:ascii="Arial" w:hAnsi="Arial" w:cs="Arial"/>
          <w:sz w:val="18"/>
          <w:szCs w:val="18"/>
        </w:rPr>
        <w:footnoteRef/>
      </w:r>
      <w:r w:rsidRPr="00EE6515">
        <w:rPr>
          <w:rFonts w:ascii="Arial" w:hAnsi="Arial" w:cs="Arial"/>
          <w:sz w:val="18"/>
          <w:szCs w:val="18"/>
        </w:rPr>
        <w:t xml:space="preserve"> </w:t>
      </w:r>
      <w:r w:rsidRPr="00EE6515">
        <w:rPr>
          <w:rFonts w:ascii="Arial" w:hAnsi="Arial" w:cs="Arial"/>
          <w:sz w:val="18"/>
          <w:szCs w:val="18"/>
        </w:rPr>
        <w:tab/>
        <w:t>La literatura internacional indica que el uso de medios informales se explica, en parte, por las debilidades institucionales de los servicios públicos de empleo (Alaimo et al., 2015). Los estudios comparativos disponibles concluyen que los servicios de empleo en la región se encuentran entre los más limitados a nivel de desarrollo institucional. Se diagnostica en particular problemas a nivel de cobertura, baja diversidad y falta de integración entre los distintos servicios ofrecidos, bajo nivel de desarrollo de los recursos humanos internos y sistemas para la intermediación, y limitadas capacidades de monitoreo y evaluación de la intervención y de generación de información sobre el mercado laboral (BID-AMSPE-OCDE, 2015). Por la combinación de estas debilidades institucionales, el SPEBO de Bolivia no cumple con su función de reducir las asimetrías de información en el mercado laboral.</w:t>
      </w:r>
    </w:p>
  </w:footnote>
  <w:footnote w:id="5">
    <w:p w14:paraId="0DBF2D1E" w14:textId="029EB6D4" w:rsidR="000C1E37" w:rsidRPr="00EE6515" w:rsidRDefault="000C1E37" w:rsidP="00172572">
      <w:pPr>
        <w:pStyle w:val="FootnoteText"/>
        <w:ind w:left="360" w:hanging="360"/>
        <w:jc w:val="both"/>
        <w:rPr>
          <w:rFonts w:ascii="Arial" w:hAnsi="Arial" w:cs="Arial"/>
          <w:sz w:val="18"/>
          <w:szCs w:val="18"/>
        </w:rPr>
      </w:pPr>
      <w:r w:rsidRPr="00EE6515">
        <w:rPr>
          <w:rStyle w:val="FootnoteReference"/>
          <w:rFonts w:ascii="Arial" w:hAnsi="Arial" w:cs="Arial"/>
          <w:sz w:val="18"/>
          <w:szCs w:val="18"/>
        </w:rPr>
        <w:footnoteRef/>
      </w:r>
      <w:r w:rsidRPr="00EE6515">
        <w:rPr>
          <w:rFonts w:ascii="Arial" w:hAnsi="Arial" w:cs="Arial"/>
          <w:sz w:val="18"/>
          <w:szCs w:val="18"/>
        </w:rPr>
        <w:t xml:space="preserve">  </w:t>
      </w:r>
      <w:r w:rsidRPr="00EE6515">
        <w:rPr>
          <w:rFonts w:ascii="Arial" w:hAnsi="Arial" w:cs="Arial"/>
          <w:sz w:val="18"/>
          <w:szCs w:val="18"/>
        </w:rPr>
        <w:tab/>
        <w:t>Esto implica que la coordinación de servicio como es el asesoramiento, la capacitación, el suministro de información del mercado laboral, la intermediación y el pago de prestaciones, a la vez de proveer asistencia complementaria a grupos vulnerables.</w:t>
      </w:r>
    </w:p>
  </w:footnote>
  <w:footnote w:id="6">
    <w:p w14:paraId="5C7D7188" w14:textId="64082520" w:rsidR="000C1E37" w:rsidRPr="00EE6515" w:rsidRDefault="000C1E37" w:rsidP="00172572">
      <w:pPr>
        <w:pStyle w:val="FootnoteText"/>
        <w:ind w:left="360" w:hanging="360"/>
        <w:jc w:val="both"/>
        <w:rPr>
          <w:rFonts w:ascii="Arial" w:hAnsi="Arial" w:cs="Arial"/>
          <w:sz w:val="18"/>
          <w:szCs w:val="18"/>
        </w:rPr>
      </w:pPr>
      <w:r w:rsidRPr="00EE6515">
        <w:rPr>
          <w:rStyle w:val="FootnoteReference"/>
          <w:rFonts w:ascii="Arial" w:hAnsi="Arial" w:cs="Arial"/>
          <w:sz w:val="18"/>
          <w:szCs w:val="18"/>
        </w:rPr>
        <w:footnoteRef/>
      </w:r>
      <w:r w:rsidRPr="00EE6515">
        <w:rPr>
          <w:rFonts w:ascii="Arial" w:hAnsi="Arial" w:cs="Arial"/>
          <w:sz w:val="18"/>
          <w:szCs w:val="18"/>
        </w:rPr>
        <w:t xml:space="preserve"> </w:t>
      </w:r>
      <w:r w:rsidRPr="00EE6515">
        <w:rPr>
          <w:rFonts w:ascii="Arial" w:hAnsi="Arial" w:cs="Arial"/>
          <w:sz w:val="18"/>
          <w:szCs w:val="18"/>
        </w:rPr>
        <w:tab/>
        <w:t>El desempeño de los servicios de empleo mejora también cuando cuentan con recursos humanos profesionalizados y procesos operativos y sistemas que aseguren el desempeño óptimo del servicio (BID-AMSPE-OCDE, 2015), con sistemas de monitoreo y evaluación que permiten medir el desempeño del servicio y la efectividad de sus intervenciones, apoyar la toma de decisión estratégica y la formulación de políticas y fomentar el aprendizaje institucional (Nunn, 2011; Ecorys, 2012) y con sistemas de información laboral que permiten identificar posibles brechas (ocupacionales, educacionales, en términos de habilidades) en el mercado y fortalecer la capacidad de generación de políticas (BID-AMSPE-OCDE, 2015).</w:t>
      </w:r>
    </w:p>
  </w:footnote>
  <w:footnote w:id="7">
    <w:p w14:paraId="7008FCB8" w14:textId="0AA7AF3B" w:rsidR="000C1E37" w:rsidRPr="00EE6515" w:rsidRDefault="000C1E37" w:rsidP="00C319ED">
      <w:pPr>
        <w:pStyle w:val="FootnoteText"/>
        <w:ind w:left="360" w:hanging="360"/>
        <w:jc w:val="both"/>
        <w:rPr>
          <w:rFonts w:ascii="Arial" w:hAnsi="Arial" w:cs="Arial"/>
          <w:sz w:val="18"/>
          <w:szCs w:val="18"/>
        </w:rPr>
      </w:pPr>
      <w:r w:rsidRPr="00EE6515">
        <w:rPr>
          <w:rStyle w:val="FootnoteReference"/>
          <w:rFonts w:ascii="Arial" w:hAnsi="Arial" w:cs="Arial"/>
          <w:sz w:val="18"/>
          <w:szCs w:val="18"/>
        </w:rPr>
        <w:footnoteRef/>
      </w:r>
      <w:r w:rsidRPr="00EE6515">
        <w:rPr>
          <w:rFonts w:ascii="Arial" w:hAnsi="Arial" w:cs="Arial"/>
          <w:sz w:val="18"/>
          <w:szCs w:val="18"/>
        </w:rPr>
        <w:t xml:space="preserve"> </w:t>
      </w:r>
      <w:r w:rsidRPr="00EE6515">
        <w:rPr>
          <w:rFonts w:ascii="Arial" w:hAnsi="Arial" w:cs="Arial"/>
          <w:sz w:val="18"/>
          <w:szCs w:val="18"/>
        </w:rPr>
        <w:tab/>
        <w:t xml:space="preserve">La literatura ha documentado impactos de PAML sobre la reducción en la probabilidad de embarazo no deseados como se documenta en República Dominicana (Ibarrarán et al., 2015) y en la reducción de la probabilidad de ser encarcelado y la probabilidad de morir por parte de los beneficiarios en el caso de un programa para jóvenes en Nueva York (Gelber et al., 2016). </w:t>
      </w:r>
    </w:p>
  </w:footnote>
  <w:footnote w:id="8">
    <w:p w14:paraId="78D099FA" w14:textId="326ACC59" w:rsidR="000C1E37" w:rsidRPr="00EE6515" w:rsidRDefault="000C1E37" w:rsidP="00C319ED">
      <w:pPr>
        <w:pStyle w:val="FootnoteText"/>
        <w:ind w:left="360" w:hanging="360"/>
        <w:jc w:val="both"/>
        <w:rPr>
          <w:rFonts w:ascii="Arial" w:hAnsi="Arial" w:cs="Arial"/>
          <w:sz w:val="18"/>
          <w:szCs w:val="18"/>
        </w:rPr>
      </w:pPr>
      <w:r w:rsidRPr="00EE6515">
        <w:rPr>
          <w:rStyle w:val="FootnoteReference"/>
          <w:rFonts w:ascii="Arial" w:hAnsi="Arial" w:cs="Arial"/>
          <w:sz w:val="18"/>
          <w:szCs w:val="18"/>
        </w:rPr>
        <w:footnoteRef/>
      </w:r>
      <w:r w:rsidRPr="00EE6515">
        <w:rPr>
          <w:rFonts w:ascii="Arial" w:hAnsi="Arial" w:cs="Arial"/>
          <w:sz w:val="18"/>
          <w:szCs w:val="18"/>
        </w:rPr>
        <w:t xml:space="preserve"> </w:t>
      </w:r>
      <w:r w:rsidRPr="00EE6515">
        <w:rPr>
          <w:rFonts w:ascii="Arial" w:hAnsi="Arial" w:cs="Arial"/>
          <w:sz w:val="18"/>
          <w:szCs w:val="18"/>
        </w:rPr>
        <w:tab/>
        <w:t>En el reporte de Evaluación de Impacto del Programa de Apoyo al Empleo de México, se obtiene un salario promedio semanal de línea base para los encuestados no beneficiarios del programa de 1.292 para aquellos controles del programa de Capacitación Mixta (Cuadro16) y 1.344 para los controles del Programa de Capacitación Laboral (Cuadro 21), se considera un salario promedio como salario de referencia.</w:t>
      </w:r>
    </w:p>
  </w:footnote>
  <w:footnote w:id="9">
    <w:p w14:paraId="6333151E" w14:textId="2602BFF0" w:rsidR="000C1E37" w:rsidRPr="00EE6515" w:rsidRDefault="000C1E37" w:rsidP="00C319ED">
      <w:pPr>
        <w:pStyle w:val="FootnoteText"/>
        <w:ind w:left="360" w:hanging="360"/>
        <w:jc w:val="both"/>
        <w:rPr>
          <w:rFonts w:ascii="Arial" w:hAnsi="Arial" w:cs="Arial"/>
          <w:sz w:val="18"/>
          <w:szCs w:val="18"/>
        </w:rPr>
      </w:pPr>
      <w:r w:rsidRPr="00EE6515">
        <w:rPr>
          <w:rStyle w:val="FootnoteReference"/>
          <w:rFonts w:ascii="Arial" w:hAnsi="Arial" w:cs="Arial"/>
          <w:sz w:val="18"/>
          <w:szCs w:val="18"/>
        </w:rPr>
        <w:footnoteRef/>
      </w:r>
      <w:r w:rsidRPr="00EE6515">
        <w:rPr>
          <w:rFonts w:ascii="Arial" w:hAnsi="Arial" w:cs="Arial"/>
          <w:sz w:val="18"/>
          <w:szCs w:val="18"/>
        </w:rPr>
        <w:t xml:space="preserve"> </w:t>
      </w:r>
      <w:r w:rsidRPr="00EE6515">
        <w:rPr>
          <w:rFonts w:ascii="Arial" w:hAnsi="Arial" w:cs="Arial"/>
          <w:sz w:val="18"/>
          <w:szCs w:val="18"/>
        </w:rPr>
        <w:tab/>
        <w:t>El ingreso laboral semanal base promedio del programa equivale a un ingreso mensual de 346,67 dólares aproximadamente ($80*52/12). Mismo que equivale al 76% del salario promedio registrado en el último mes de empleo a los trabajadores registrados en el IMSS (ENOE I-2017, Datos a febrero 2017).</w:t>
      </w:r>
    </w:p>
  </w:footnote>
  <w:footnote w:id="10">
    <w:p w14:paraId="39BE0FB1" w14:textId="20B76CF7" w:rsidR="000C1E37" w:rsidRPr="00EE6515" w:rsidRDefault="000C1E37" w:rsidP="00C319ED">
      <w:pPr>
        <w:pStyle w:val="FootnoteText"/>
        <w:ind w:left="360" w:hanging="360"/>
        <w:jc w:val="both"/>
        <w:rPr>
          <w:rFonts w:ascii="Arial" w:hAnsi="Arial" w:cs="Arial"/>
          <w:sz w:val="18"/>
          <w:szCs w:val="18"/>
        </w:rPr>
      </w:pPr>
      <w:r w:rsidRPr="00EE6515">
        <w:rPr>
          <w:rStyle w:val="FootnoteReference"/>
          <w:rFonts w:ascii="Arial" w:hAnsi="Arial" w:cs="Arial"/>
          <w:sz w:val="18"/>
          <w:szCs w:val="18"/>
        </w:rPr>
        <w:footnoteRef/>
      </w:r>
      <w:r w:rsidRPr="00EE6515">
        <w:rPr>
          <w:rFonts w:ascii="Arial" w:hAnsi="Arial" w:cs="Arial"/>
          <w:sz w:val="18"/>
          <w:szCs w:val="18"/>
        </w:rPr>
        <w:t xml:space="preserve"> </w:t>
      </w:r>
      <w:r w:rsidRPr="00EE6515">
        <w:rPr>
          <w:rFonts w:ascii="Arial" w:hAnsi="Arial" w:cs="Arial"/>
          <w:sz w:val="18"/>
          <w:szCs w:val="18"/>
        </w:rPr>
        <w:tab/>
        <w:t>Tipo de cambio de 18,76 según datos del Banco Central de México.</w:t>
      </w:r>
    </w:p>
  </w:footnote>
  <w:footnote w:id="11">
    <w:p w14:paraId="2EF0E303" w14:textId="143E7A09" w:rsidR="000C1E37" w:rsidRPr="00EE6515" w:rsidRDefault="000C1E37" w:rsidP="00C319ED">
      <w:pPr>
        <w:pStyle w:val="FootnoteText"/>
        <w:ind w:left="360" w:hanging="360"/>
        <w:jc w:val="both"/>
        <w:rPr>
          <w:rFonts w:ascii="Arial" w:hAnsi="Arial" w:cs="Arial"/>
          <w:sz w:val="18"/>
          <w:szCs w:val="18"/>
        </w:rPr>
      </w:pPr>
      <w:r w:rsidRPr="00EE6515">
        <w:rPr>
          <w:rStyle w:val="FootnoteReference"/>
          <w:rFonts w:ascii="Arial" w:hAnsi="Arial" w:cs="Arial"/>
          <w:sz w:val="18"/>
          <w:szCs w:val="18"/>
        </w:rPr>
        <w:footnoteRef/>
      </w:r>
      <w:r w:rsidRPr="00EE6515">
        <w:rPr>
          <w:rFonts w:ascii="Arial" w:hAnsi="Arial" w:cs="Arial"/>
          <w:sz w:val="18"/>
          <w:szCs w:val="18"/>
        </w:rPr>
        <w:t xml:space="preserve"> </w:t>
      </w:r>
      <w:r w:rsidRPr="00EE6515">
        <w:rPr>
          <w:rFonts w:ascii="Arial" w:hAnsi="Arial" w:cs="Arial"/>
          <w:sz w:val="18"/>
          <w:szCs w:val="18"/>
        </w:rPr>
        <w:tab/>
        <w:t>Sistema de Información de Mercados Laborales y Seguridad Social, para el año 2014, último año disponible. Fecha de consulta 21 de mayo de 2017.</w:t>
      </w:r>
    </w:p>
  </w:footnote>
  <w:footnote w:id="12">
    <w:p w14:paraId="52F4E238" w14:textId="133FDC7D" w:rsidR="000C1E37" w:rsidRPr="00EE6515" w:rsidRDefault="000C1E37" w:rsidP="005F6F75">
      <w:pPr>
        <w:pStyle w:val="FootnoteText"/>
        <w:ind w:left="360" w:hanging="360"/>
        <w:jc w:val="both"/>
        <w:rPr>
          <w:rFonts w:ascii="Arial" w:hAnsi="Arial" w:cs="Arial"/>
          <w:sz w:val="18"/>
          <w:szCs w:val="18"/>
        </w:rPr>
      </w:pPr>
      <w:r w:rsidRPr="00EE6515">
        <w:rPr>
          <w:rStyle w:val="FootnoteReference"/>
          <w:rFonts w:ascii="Arial" w:hAnsi="Arial" w:cs="Arial"/>
          <w:sz w:val="18"/>
          <w:szCs w:val="18"/>
        </w:rPr>
        <w:footnoteRef/>
      </w:r>
      <w:r w:rsidRPr="00EE6515">
        <w:rPr>
          <w:rFonts w:ascii="Arial" w:hAnsi="Arial" w:cs="Arial"/>
          <w:sz w:val="18"/>
          <w:szCs w:val="18"/>
        </w:rPr>
        <w:t xml:space="preserve"> </w:t>
      </w:r>
      <w:r w:rsidRPr="00EE6515">
        <w:rPr>
          <w:rFonts w:ascii="Arial" w:hAnsi="Arial" w:cs="Arial"/>
          <w:sz w:val="18"/>
          <w:szCs w:val="18"/>
        </w:rPr>
        <w:tab/>
        <w:t>Este supuesto se sustenta en evidencia de la introducción del Seguro Popular en México, un seguro que pretendía proveer servicios de salud a trabajadores no asegurados (informales), Argente &amp; García (2015) documentan que la aceptación de este seguro fue de similar magnitud entre trabajadores formales e informales.</w:t>
      </w:r>
    </w:p>
  </w:footnote>
  <w:footnote w:id="13">
    <w:p w14:paraId="10FCA821" w14:textId="0E1EFE68" w:rsidR="000C1E37" w:rsidRPr="00EE6515" w:rsidRDefault="000C1E37">
      <w:pPr>
        <w:pStyle w:val="FootnoteText"/>
      </w:pPr>
      <w:r w:rsidRPr="00EE6515">
        <w:rPr>
          <w:rStyle w:val="FootnoteReference"/>
        </w:rPr>
        <w:footnoteRef/>
      </w:r>
      <w:r w:rsidRPr="00EE6515">
        <w:t xml:space="preserve">    </w:t>
      </w:r>
      <w:r w:rsidRPr="00EE6515">
        <w:rPr>
          <w:rFonts w:ascii="Arial" w:hAnsi="Arial" w:cs="Arial"/>
          <w:sz w:val="18"/>
          <w:szCs w:val="18"/>
        </w:rPr>
        <w:t>Datos del año 2014.</w:t>
      </w:r>
    </w:p>
  </w:footnote>
  <w:footnote w:id="14">
    <w:p w14:paraId="0ACB79E3" w14:textId="19640D14" w:rsidR="000C1E37" w:rsidRPr="00EE6515" w:rsidRDefault="000C1E37" w:rsidP="005F6F75">
      <w:pPr>
        <w:pStyle w:val="FootnoteText"/>
        <w:ind w:left="360" w:hanging="360"/>
        <w:jc w:val="both"/>
        <w:rPr>
          <w:rFonts w:ascii="Arial" w:hAnsi="Arial" w:cs="Arial"/>
          <w:sz w:val="18"/>
          <w:szCs w:val="18"/>
          <w:lang w:val="en-US"/>
        </w:rPr>
      </w:pPr>
      <w:r w:rsidRPr="00EE6515">
        <w:rPr>
          <w:rStyle w:val="FootnoteReference"/>
          <w:rFonts w:ascii="Arial" w:hAnsi="Arial" w:cs="Arial"/>
          <w:sz w:val="18"/>
          <w:szCs w:val="18"/>
        </w:rPr>
        <w:footnoteRef/>
      </w:r>
      <w:r w:rsidRPr="00EE6515">
        <w:rPr>
          <w:rFonts w:ascii="Arial" w:hAnsi="Arial" w:cs="Arial"/>
          <w:sz w:val="18"/>
          <w:szCs w:val="18"/>
        </w:rPr>
        <w:t xml:space="preserve"> </w:t>
      </w:r>
      <w:r w:rsidRPr="00EE6515">
        <w:rPr>
          <w:rFonts w:ascii="Arial" w:hAnsi="Arial" w:cs="Arial"/>
          <w:sz w:val="18"/>
          <w:szCs w:val="18"/>
        </w:rPr>
        <w:tab/>
        <w:t xml:space="preserve">Dhaliwal et al. </w:t>
      </w:r>
      <w:r w:rsidRPr="00EE6515">
        <w:rPr>
          <w:rFonts w:ascii="Arial" w:hAnsi="Arial" w:cs="Arial"/>
          <w:sz w:val="18"/>
          <w:szCs w:val="18"/>
          <w:lang w:val="en-US"/>
        </w:rPr>
        <w:t>(2012). Comparative Cost-Effectiveness Analysis to Inform Policy in Developing Countries: A General Framework with Applications for Education.</w:t>
      </w:r>
    </w:p>
  </w:footnote>
  <w:footnote w:id="15">
    <w:p w14:paraId="60F6DC60" w14:textId="3DC2B2AF" w:rsidR="000C1E37" w:rsidRPr="00EE6515" w:rsidRDefault="000C1E37" w:rsidP="005F6F75">
      <w:pPr>
        <w:pStyle w:val="FootnoteText"/>
        <w:ind w:left="360" w:hanging="360"/>
        <w:jc w:val="both"/>
        <w:rPr>
          <w:rFonts w:ascii="Arial" w:hAnsi="Arial" w:cs="Arial"/>
          <w:sz w:val="18"/>
          <w:szCs w:val="18"/>
        </w:rPr>
      </w:pPr>
      <w:r w:rsidRPr="00EE6515">
        <w:rPr>
          <w:rStyle w:val="FootnoteReference"/>
          <w:rFonts w:ascii="Arial" w:hAnsi="Arial" w:cs="Arial"/>
          <w:sz w:val="18"/>
          <w:szCs w:val="18"/>
        </w:rPr>
        <w:footnoteRef/>
      </w:r>
      <w:r w:rsidRPr="00EE6515">
        <w:rPr>
          <w:rFonts w:ascii="Arial" w:hAnsi="Arial" w:cs="Arial"/>
          <w:sz w:val="18"/>
          <w:szCs w:val="18"/>
        </w:rPr>
        <w:t xml:space="preserve"> </w:t>
      </w:r>
      <w:r w:rsidRPr="00EE6515">
        <w:rPr>
          <w:rFonts w:ascii="Arial" w:hAnsi="Arial" w:cs="Arial"/>
          <w:sz w:val="18"/>
          <w:szCs w:val="18"/>
        </w:rPr>
        <w:tab/>
        <w:t xml:space="preserve">Tipo de cambio FIX del 12 de mayo de 2017. </w:t>
      </w:r>
    </w:p>
  </w:footnote>
  <w:footnote w:id="16">
    <w:p w14:paraId="43A70538" w14:textId="03DF05CC" w:rsidR="000C1E37" w:rsidRPr="00EE6515" w:rsidRDefault="000C1E37" w:rsidP="005F6F75">
      <w:pPr>
        <w:pStyle w:val="FootnoteText"/>
        <w:ind w:left="360" w:hanging="360"/>
        <w:jc w:val="both"/>
        <w:rPr>
          <w:rFonts w:ascii="Arial" w:hAnsi="Arial" w:cs="Arial"/>
          <w:sz w:val="18"/>
          <w:szCs w:val="18"/>
        </w:rPr>
      </w:pPr>
      <w:r w:rsidRPr="00EE6515">
        <w:rPr>
          <w:rStyle w:val="FootnoteReference"/>
          <w:rFonts w:ascii="Arial" w:hAnsi="Arial" w:cs="Arial"/>
          <w:sz w:val="18"/>
          <w:szCs w:val="18"/>
        </w:rPr>
        <w:footnoteRef/>
      </w:r>
      <w:r w:rsidRPr="00EE6515">
        <w:rPr>
          <w:rFonts w:ascii="Arial" w:hAnsi="Arial" w:cs="Arial"/>
          <w:sz w:val="18"/>
          <w:szCs w:val="18"/>
        </w:rPr>
        <w:t xml:space="preserve"> </w:t>
      </w:r>
      <w:r w:rsidRPr="00EE6515">
        <w:rPr>
          <w:rFonts w:ascii="Arial" w:hAnsi="Arial" w:cs="Arial"/>
          <w:sz w:val="18"/>
          <w:szCs w:val="18"/>
        </w:rPr>
        <w:tab/>
        <w:t>La mayoría de estos estudios provienen de países de la Organización para la Cooperación y el Desarrollo Económicos (OCDE), siendo que estos resultados y experiencias pueden ser extensivos para países en transición, más no necesariamente para países en desarrollo (di Capua, 2015).</w:t>
      </w:r>
    </w:p>
  </w:footnote>
  <w:footnote w:id="17">
    <w:p w14:paraId="18E37924" w14:textId="5281311C" w:rsidR="000C1E37" w:rsidRPr="00EE6515" w:rsidRDefault="000C1E37" w:rsidP="006E0CC1">
      <w:pPr>
        <w:pStyle w:val="FootnoteText"/>
        <w:ind w:left="360" w:hanging="360"/>
        <w:jc w:val="both"/>
        <w:rPr>
          <w:rFonts w:ascii="Arial" w:hAnsi="Arial" w:cs="Arial"/>
          <w:sz w:val="18"/>
          <w:szCs w:val="18"/>
        </w:rPr>
      </w:pPr>
      <w:r w:rsidRPr="00EE6515">
        <w:rPr>
          <w:rStyle w:val="FootnoteReference"/>
          <w:rFonts w:ascii="Arial" w:hAnsi="Arial" w:cs="Arial"/>
          <w:sz w:val="18"/>
          <w:szCs w:val="18"/>
        </w:rPr>
        <w:footnoteRef/>
      </w:r>
      <w:r w:rsidRPr="00EE6515">
        <w:rPr>
          <w:rFonts w:ascii="Arial" w:hAnsi="Arial" w:cs="Arial"/>
          <w:sz w:val="18"/>
          <w:szCs w:val="18"/>
        </w:rPr>
        <w:t xml:space="preserve"> </w:t>
      </w:r>
      <w:r w:rsidRPr="00EE6515">
        <w:rPr>
          <w:rFonts w:ascii="Arial" w:hAnsi="Arial" w:cs="Arial"/>
          <w:sz w:val="18"/>
          <w:szCs w:val="18"/>
        </w:rPr>
        <w:tab/>
        <w:t>En los países de la región, a menudo las vacantes laborales no se publican ni se dan a conocer abiertamente, lo que afecta sobre todo a los trabajadores vulnerables y de baja calificación, que suelen ser ineficientes en la búsqueda de empleo al utilizar redes informales entre sus pares igualmente vulnerables (y subempleados) (Mazza, 2012).</w:t>
      </w:r>
    </w:p>
  </w:footnote>
  <w:footnote w:id="18">
    <w:p w14:paraId="7269AE4D" w14:textId="62C63D3C" w:rsidR="000C1E37" w:rsidRPr="00EE6515" w:rsidRDefault="000C1E37" w:rsidP="006E0CC1">
      <w:pPr>
        <w:pStyle w:val="FootnoteText"/>
        <w:ind w:left="360" w:hanging="360"/>
        <w:jc w:val="both"/>
        <w:rPr>
          <w:rFonts w:ascii="Arial" w:hAnsi="Arial" w:cs="Arial"/>
          <w:sz w:val="18"/>
          <w:szCs w:val="18"/>
        </w:rPr>
      </w:pPr>
      <w:r w:rsidRPr="00EE6515">
        <w:rPr>
          <w:rStyle w:val="FootnoteReference"/>
          <w:rFonts w:ascii="Arial" w:hAnsi="Arial" w:cs="Arial"/>
          <w:sz w:val="18"/>
          <w:szCs w:val="18"/>
        </w:rPr>
        <w:footnoteRef/>
      </w:r>
      <w:r w:rsidRPr="00EE6515">
        <w:rPr>
          <w:rFonts w:ascii="Arial" w:hAnsi="Arial" w:cs="Arial"/>
          <w:sz w:val="18"/>
          <w:szCs w:val="18"/>
        </w:rPr>
        <w:t xml:space="preserve"> </w:t>
      </w:r>
      <w:r w:rsidRPr="00EE6515">
        <w:rPr>
          <w:rFonts w:ascii="Arial" w:hAnsi="Arial" w:cs="Arial"/>
          <w:sz w:val="18"/>
          <w:szCs w:val="18"/>
        </w:rPr>
        <w:tab/>
        <w:t>Según BID-AMSPE-OCDE (2015), 16 países de la región contaban con servicios de empleo que ofrecían servicios de colocación laboral, PAML e información sobre el mercado laboral.</w:t>
      </w:r>
    </w:p>
  </w:footnote>
  <w:footnote w:id="19">
    <w:p w14:paraId="3F88BE9E" w14:textId="10D8D180" w:rsidR="000C1E37" w:rsidRPr="00EE6515" w:rsidRDefault="000C1E37" w:rsidP="006E0CC1">
      <w:pPr>
        <w:pStyle w:val="FootnoteText"/>
        <w:ind w:left="360" w:hanging="360"/>
        <w:jc w:val="both"/>
        <w:rPr>
          <w:rFonts w:ascii="Arial" w:hAnsi="Arial" w:cs="Arial"/>
          <w:sz w:val="18"/>
          <w:szCs w:val="18"/>
        </w:rPr>
      </w:pPr>
      <w:r w:rsidRPr="00EE6515">
        <w:rPr>
          <w:rStyle w:val="FootnoteReference"/>
          <w:rFonts w:ascii="Arial" w:hAnsi="Arial" w:cs="Arial"/>
          <w:sz w:val="18"/>
          <w:szCs w:val="18"/>
        </w:rPr>
        <w:footnoteRef/>
      </w:r>
      <w:r w:rsidRPr="00EE6515">
        <w:rPr>
          <w:rFonts w:ascii="Arial" w:hAnsi="Arial" w:cs="Arial"/>
          <w:sz w:val="18"/>
          <w:szCs w:val="18"/>
        </w:rPr>
        <w:t xml:space="preserve"> </w:t>
      </w:r>
      <w:r w:rsidRPr="00EE6515">
        <w:rPr>
          <w:rFonts w:ascii="Arial" w:hAnsi="Arial" w:cs="Arial"/>
          <w:sz w:val="18"/>
          <w:szCs w:val="18"/>
        </w:rPr>
        <w:tab/>
        <w:t xml:space="preserve">Gonzales et al. (2012) señala que los resultados de este tipo de evaluaciones cuasi-experimentales mediante matching son poco confiables y usando datos de una evaluación experimental en República Dominicana demuestra que las evaluaciones realizadas con emparejamientos parecen sobreestimar el verdadero impacto del programa.  </w:t>
      </w:r>
    </w:p>
  </w:footnote>
  <w:footnote w:id="20">
    <w:p w14:paraId="65DFA63F" w14:textId="171C7B5D" w:rsidR="000C1E37" w:rsidRPr="00EE6515" w:rsidRDefault="000C1E37" w:rsidP="009929A0">
      <w:pPr>
        <w:pStyle w:val="FootnoteText"/>
        <w:ind w:left="360" w:hanging="360"/>
        <w:jc w:val="both"/>
        <w:rPr>
          <w:rFonts w:ascii="Arial" w:hAnsi="Arial" w:cs="Arial"/>
          <w:sz w:val="18"/>
          <w:szCs w:val="18"/>
        </w:rPr>
      </w:pPr>
      <w:r w:rsidRPr="00EE6515">
        <w:rPr>
          <w:rStyle w:val="FootnoteReference"/>
          <w:rFonts w:ascii="Arial" w:hAnsi="Arial" w:cs="Arial"/>
          <w:sz w:val="18"/>
          <w:szCs w:val="18"/>
        </w:rPr>
        <w:footnoteRef/>
      </w:r>
      <w:r w:rsidRPr="00EE6515">
        <w:rPr>
          <w:rFonts w:ascii="Arial" w:hAnsi="Arial" w:cs="Arial"/>
          <w:sz w:val="18"/>
          <w:szCs w:val="18"/>
        </w:rPr>
        <w:t xml:space="preserve"> </w:t>
      </w:r>
      <w:r w:rsidRPr="00EE6515">
        <w:rPr>
          <w:rFonts w:ascii="Arial" w:hAnsi="Arial" w:cs="Arial"/>
          <w:sz w:val="18"/>
          <w:szCs w:val="18"/>
        </w:rPr>
        <w:tab/>
        <w:t>Datos Administrativos del SNE en 2015, ver Anexos Cuadro A3.</w:t>
      </w:r>
    </w:p>
  </w:footnote>
  <w:footnote w:id="21">
    <w:p w14:paraId="1A12A6A5" w14:textId="6CC21E2E" w:rsidR="000C1E37" w:rsidRPr="00EE6515" w:rsidRDefault="000C1E37" w:rsidP="00B0718A">
      <w:pPr>
        <w:pStyle w:val="FootnoteText"/>
        <w:ind w:left="360" w:hanging="360"/>
        <w:jc w:val="both"/>
      </w:pPr>
      <w:r w:rsidRPr="00EE6515">
        <w:rPr>
          <w:rStyle w:val="FootnoteReference"/>
          <w:rFonts w:ascii="Arial" w:hAnsi="Arial" w:cs="Arial"/>
          <w:sz w:val="18"/>
          <w:szCs w:val="18"/>
        </w:rPr>
        <w:footnoteRef/>
      </w:r>
      <w:r w:rsidRPr="00EE6515">
        <w:rPr>
          <w:rFonts w:ascii="Arial" w:hAnsi="Arial" w:cs="Arial"/>
          <w:sz w:val="18"/>
          <w:szCs w:val="18"/>
        </w:rPr>
        <w:t xml:space="preserve"> </w:t>
      </w:r>
      <w:r w:rsidRPr="00EE6515">
        <w:rPr>
          <w:rFonts w:ascii="Arial" w:hAnsi="Arial" w:cs="Arial"/>
          <w:sz w:val="18"/>
          <w:szCs w:val="18"/>
        </w:rPr>
        <w:tab/>
        <w:t>De los cuales 58% se espera que sean hombres y 42%, de acuerdo con datos históricos del SNE. Adicionalmente, vale la pena aclarar que este número de beneficiarios estimados para el presente cálculo (2</w:t>
      </w:r>
      <w:r>
        <w:rPr>
          <w:rFonts w:ascii="Arial" w:hAnsi="Arial" w:cs="Arial"/>
          <w:sz w:val="18"/>
          <w:szCs w:val="18"/>
        </w:rPr>
        <w:t>,5</w:t>
      </w:r>
      <w:r w:rsidRPr="00EE6515">
        <w:rPr>
          <w:rFonts w:ascii="Arial" w:hAnsi="Arial" w:cs="Arial"/>
          <w:sz w:val="18"/>
          <w:szCs w:val="18"/>
        </w:rPr>
        <w:t> millones) no considera aquellos beneficiarios intermediados por el portal de empleo.</w:t>
      </w:r>
    </w:p>
  </w:footnote>
  <w:footnote w:id="22">
    <w:p w14:paraId="7724E64A" w14:textId="435F5364" w:rsidR="000C1E37" w:rsidRPr="00EE6515" w:rsidRDefault="000C1E37" w:rsidP="009929A0">
      <w:pPr>
        <w:pStyle w:val="FootnoteText"/>
        <w:ind w:left="360" w:hanging="360"/>
        <w:jc w:val="both"/>
        <w:rPr>
          <w:rFonts w:ascii="Arial" w:hAnsi="Arial" w:cs="Arial"/>
          <w:sz w:val="18"/>
          <w:szCs w:val="18"/>
        </w:rPr>
      </w:pPr>
      <w:r w:rsidRPr="00EE6515">
        <w:rPr>
          <w:rStyle w:val="FootnoteReference"/>
          <w:rFonts w:ascii="Arial" w:hAnsi="Arial" w:cs="Arial"/>
          <w:sz w:val="18"/>
          <w:szCs w:val="18"/>
        </w:rPr>
        <w:footnoteRef/>
      </w:r>
      <w:r w:rsidRPr="00EE6515">
        <w:rPr>
          <w:rFonts w:ascii="Arial" w:hAnsi="Arial" w:cs="Arial"/>
          <w:sz w:val="18"/>
          <w:szCs w:val="18"/>
        </w:rPr>
        <w:t xml:space="preserve"> </w:t>
      </w:r>
      <w:r w:rsidRPr="00EE6515">
        <w:rPr>
          <w:rFonts w:ascii="Arial" w:hAnsi="Arial" w:cs="Arial"/>
          <w:sz w:val="18"/>
          <w:szCs w:val="18"/>
        </w:rPr>
        <w:tab/>
        <w:t>Gualavisi &amp; Oliveri (2015) documentan que el promedio de antigüedad de un trabajo para jóvenes en México es de 2,1 años.</w:t>
      </w:r>
    </w:p>
  </w:footnote>
  <w:footnote w:id="23">
    <w:p w14:paraId="078F51A4" w14:textId="12169E3F" w:rsidR="000C1E37" w:rsidRPr="00EE6515" w:rsidRDefault="000C1E37" w:rsidP="005376FF">
      <w:pPr>
        <w:pStyle w:val="FootnoteText"/>
        <w:ind w:left="360" w:hanging="360"/>
        <w:jc w:val="both"/>
        <w:rPr>
          <w:rFonts w:ascii="Arial" w:hAnsi="Arial" w:cs="Arial"/>
          <w:sz w:val="18"/>
          <w:szCs w:val="18"/>
        </w:rPr>
      </w:pPr>
      <w:r w:rsidRPr="00EE6515">
        <w:rPr>
          <w:rStyle w:val="FootnoteReference"/>
          <w:rFonts w:ascii="Arial" w:hAnsi="Arial" w:cs="Arial"/>
          <w:sz w:val="18"/>
          <w:szCs w:val="18"/>
        </w:rPr>
        <w:footnoteRef/>
      </w:r>
      <w:r w:rsidRPr="00EE6515">
        <w:rPr>
          <w:rFonts w:ascii="Arial" w:hAnsi="Arial" w:cs="Arial"/>
          <w:sz w:val="18"/>
          <w:szCs w:val="18"/>
        </w:rPr>
        <w:t xml:space="preserve"> </w:t>
      </w:r>
      <w:r w:rsidRPr="00EE6515">
        <w:rPr>
          <w:rFonts w:ascii="Arial" w:hAnsi="Arial" w:cs="Arial"/>
          <w:sz w:val="18"/>
          <w:szCs w:val="18"/>
        </w:rPr>
        <w:tab/>
        <w:t>Cálculos propios en base al impacto encontrado de 76 pesos a 3 meses, 99 pesos a 6 meses y 52 pesos a 18 meses. El salario de línea base fue de 1.244 pesos mexicanos.</w:t>
      </w:r>
    </w:p>
  </w:footnote>
  <w:footnote w:id="24">
    <w:p w14:paraId="4FDE8A8A" w14:textId="5AE2E0C4" w:rsidR="000C1E37" w:rsidRPr="00EE6515" w:rsidRDefault="000C1E37" w:rsidP="005376FF">
      <w:pPr>
        <w:pStyle w:val="FootnoteText"/>
        <w:ind w:left="360" w:hanging="360"/>
        <w:jc w:val="both"/>
        <w:rPr>
          <w:rFonts w:ascii="Arial" w:hAnsi="Arial" w:cs="Arial"/>
          <w:sz w:val="18"/>
          <w:szCs w:val="18"/>
        </w:rPr>
      </w:pPr>
      <w:r w:rsidRPr="00EE6515">
        <w:rPr>
          <w:rStyle w:val="FootnoteReference"/>
          <w:rFonts w:ascii="Arial" w:hAnsi="Arial" w:cs="Arial"/>
          <w:sz w:val="18"/>
          <w:szCs w:val="18"/>
        </w:rPr>
        <w:footnoteRef/>
      </w:r>
      <w:r w:rsidRPr="00EE6515">
        <w:rPr>
          <w:rFonts w:ascii="Arial" w:hAnsi="Arial" w:cs="Arial"/>
          <w:sz w:val="18"/>
          <w:szCs w:val="18"/>
        </w:rPr>
        <w:t xml:space="preserve"> </w:t>
      </w:r>
      <w:r w:rsidRPr="00EE6515">
        <w:rPr>
          <w:rFonts w:ascii="Arial" w:hAnsi="Arial" w:cs="Arial"/>
          <w:sz w:val="18"/>
          <w:szCs w:val="18"/>
        </w:rPr>
        <w:tab/>
        <w:t xml:space="preserve">Según datos administrativos del programa, la capacitación laboral del programa dura aproximadamente 3 meses, que son los meses que se descuenta del flujo de beneficios del primer año. </w:t>
      </w:r>
    </w:p>
  </w:footnote>
  <w:footnote w:id="25">
    <w:p w14:paraId="2D5A702E" w14:textId="32C52B75" w:rsidR="000C1E37" w:rsidRPr="00EE6515" w:rsidRDefault="000C1E37" w:rsidP="00424F19">
      <w:pPr>
        <w:pStyle w:val="FootnoteText"/>
        <w:ind w:left="360" w:hanging="360"/>
        <w:rPr>
          <w:rFonts w:ascii="Arial" w:hAnsi="Arial" w:cs="Arial"/>
          <w:sz w:val="18"/>
          <w:szCs w:val="18"/>
        </w:rPr>
      </w:pPr>
      <w:r w:rsidRPr="00EE6515">
        <w:rPr>
          <w:rStyle w:val="FootnoteReference"/>
        </w:rPr>
        <w:footnoteRef/>
      </w:r>
      <w:r w:rsidRPr="00EE6515">
        <w:t xml:space="preserve">    </w:t>
      </w:r>
      <w:r w:rsidRPr="00EE6515">
        <w:rPr>
          <w:rFonts w:ascii="Arial" w:hAnsi="Arial" w:cs="Arial"/>
          <w:sz w:val="18"/>
          <w:szCs w:val="18"/>
        </w:rPr>
        <w:t>Para simplificar el análisis, se considera los costos del Componente 1 (2</w:t>
      </w:r>
      <w:r>
        <w:rPr>
          <w:rFonts w:ascii="Arial" w:hAnsi="Arial" w:cs="Arial"/>
          <w:sz w:val="18"/>
          <w:szCs w:val="18"/>
        </w:rPr>
        <w:t>5,8</w:t>
      </w:r>
      <w:r w:rsidRPr="00EE6515">
        <w:rPr>
          <w:rFonts w:ascii="Arial" w:hAnsi="Arial" w:cs="Arial"/>
          <w:sz w:val="18"/>
          <w:szCs w:val="18"/>
        </w:rPr>
        <w:t xml:space="preserve"> millones) y los costos de Evaluación</w:t>
      </w:r>
      <w:r w:rsidR="00424F19">
        <w:rPr>
          <w:rFonts w:ascii="Arial" w:hAnsi="Arial" w:cs="Arial"/>
          <w:sz w:val="18"/>
          <w:szCs w:val="18"/>
        </w:rPr>
        <w:t xml:space="preserve"> </w:t>
      </w:r>
      <w:r w:rsidRPr="00EE6515">
        <w:rPr>
          <w:rFonts w:ascii="Arial" w:hAnsi="Arial" w:cs="Arial"/>
          <w:sz w:val="18"/>
          <w:szCs w:val="18"/>
        </w:rPr>
        <w:t>(4 millones) y Auditorias (0,2 millones).</w:t>
      </w:r>
    </w:p>
  </w:footnote>
  <w:footnote w:id="26">
    <w:p w14:paraId="30A8CD68" w14:textId="71EA75DF" w:rsidR="000C1E37" w:rsidRPr="00EE6515" w:rsidRDefault="000C1E37" w:rsidP="005376FF">
      <w:pPr>
        <w:pStyle w:val="FootnoteText"/>
        <w:ind w:left="360" w:hanging="360"/>
        <w:jc w:val="both"/>
        <w:rPr>
          <w:rFonts w:ascii="Arial" w:hAnsi="Arial" w:cs="Arial"/>
          <w:sz w:val="18"/>
          <w:szCs w:val="18"/>
        </w:rPr>
      </w:pPr>
      <w:r w:rsidRPr="00EE6515">
        <w:rPr>
          <w:rStyle w:val="FootnoteReference"/>
          <w:rFonts w:ascii="Arial" w:hAnsi="Arial" w:cs="Arial"/>
          <w:sz w:val="18"/>
          <w:szCs w:val="18"/>
        </w:rPr>
        <w:footnoteRef/>
      </w:r>
      <w:r w:rsidRPr="00EE6515">
        <w:rPr>
          <w:rFonts w:ascii="Arial" w:hAnsi="Arial" w:cs="Arial"/>
          <w:sz w:val="18"/>
          <w:szCs w:val="18"/>
        </w:rPr>
        <w:t xml:space="preserve"> </w:t>
      </w:r>
      <w:r w:rsidRPr="00EE6515">
        <w:rPr>
          <w:rFonts w:ascii="Arial" w:hAnsi="Arial" w:cs="Arial"/>
          <w:sz w:val="18"/>
          <w:szCs w:val="18"/>
        </w:rPr>
        <w:tab/>
        <w:t>En presencia de un efecto desplazamiento, el impacto de la intermediación laboral a través del SNE estaría explicado por la redistribución del empleo</w:t>
      </w:r>
      <w:r w:rsidR="00424F19">
        <w:rPr>
          <w:rFonts w:ascii="Arial" w:hAnsi="Arial" w:cs="Arial"/>
          <w:sz w:val="18"/>
          <w:szCs w:val="18"/>
        </w:rPr>
        <w:t>.</w:t>
      </w:r>
      <w:r w:rsidRPr="00EE6515">
        <w:rPr>
          <w:rFonts w:ascii="Arial" w:hAnsi="Arial" w:cs="Arial"/>
          <w:sz w:val="18"/>
          <w:szCs w:val="18"/>
        </w:rPr>
        <w:t xml:space="preserve"> </w:t>
      </w:r>
      <w:r w:rsidR="00424F19">
        <w:rPr>
          <w:rFonts w:ascii="Arial" w:hAnsi="Arial" w:cs="Arial"/>
          <w:sz w:val="18"/>
          <w:szCs w:val="18"/>
        </w:rPr>
        <w:t>D</w:t>
      </w:r>
      <w:r w:rsidRPr="00EE6515">
        <w:rPr>
          <w:rFonts w:ascii="Arial" w:hAnsi="Arial" w:cs="Arial"/>
          <w:sz w:val="18"/>
          <w:szCs w:val="18"/>
        </w:rPr>
        <w:t xml:space="preserve">onde los beneficiarios del SNE </w:t>
      </w:r>
      <w:r w:rsidR="00424F19">
        <w:rPr>
          <w:rFonts w:ascii="Arial" w:hAnsi="Arial" w:cs="Arial"/>
          <w:sz w:val="18"/>
          <w:szCs w:val="18"/>
        </w:rPr>
        <w:t xml:space="preserve">se </w:t>
      </w:r>
      <w:r w:rsidRPr="00EE6515">
        <w:rPr>
          <w:rFonts w:ascii="Arial" w:hAnsi="Arial" w:cs="Arial"/>
          <w:sz w:val="18"/>
          <w:szCs w:val="18"/>
        </w:rPr>
        <w:t>inserta</w:t>
      </w:r>
      <w:r w:rsidR="00424F19">
        <w:rPr>
          <w:rFonts w:ascii="Arial" w:hAnsi="Arial" w:cs="Arial"/>
          <w:sz w:val="18"/>
          <w:szCs w:val="18"/>
        </w:rPr>
        <w:t>n</w:t>
      </w:r>
      <w:r w:rsidRPr="00EE6515">
        <w:rPr>
          <w:rFonts w:ascii="Arial" w:hAnsi="Arial" w:cs="Arial"/>
          <w:sz w:val="18"/>
          <w:szCs w:val="18"/>
        </w:rPr>
        <w:t xml:space="preserve"> en puestos laborales </w:t>
      </w:r>
      <w:r w:rsidR="00424F19">
        <w:rPr>
          <w:rFonts w:ascii="Arial" w:hAnsi="Arial" w:cs="Arial"/>
          <w:sz w:val="18"/>
          <w:szCs w:val="18"/>
        </w:rPr>
        <w:t xml:space="preserve">que de otra forma hubieran sido ocupados por </w:t>
      </w:r>
      <w:r w:rsidRPr="00EE6515">
        <w:rPr>
          <w:rFonts w:ascii="Arial" w:hAnsi="Arial" w:cs="Arial"/>
          <w:sz w:val="18"/>
          <w:szCs w:val="18"/>
        </w:rPr>
        <w:t>no beneficiarios. Siendo que estos últimos pasan a una situación de desempleo, empleo precario o informal.</w:t>
      </w:r>
    </w:p>
  </w:footnote>
  <w:footnote w:id="27">
    <w:p w14:paraId="0F91884F" w14:textId="04A0BB0E" w:rsidR="000C1E37" w:rsidRPr="00EE6515" w:rsidRDefault="000C1E37" w:rsidP="00120727">
      <w:pPr>
        <w:pStyle w:val="FootnoteText"/>
        <w:ind w:left="360" w:hanging="360"/>
        <w:jc w:val="both"/>
        <w:rPr>
          <w:rFonts w:ascii="Arial" w:hAnsi="Arial" w:cs="Arial"/>
          <w:sz w:val="18"/>
          <w:szCs w:val="18"/>
        </w:rPr>
      </w:pPr>
      <w:r w:rsidRPr="00EE6515">
        <w:rPr>
          <w:rStyle w:val="FootnoteReference"/>
          <w:rFonts w:ascii="Arial" w:hAnsi="Arial" w:cs="Arial"/>
          <w:sz w:val="18"/>
          <w:szCs w:val="18"/>
        </w:rPr>
        <w:footnoteRef/>
      </w:r>
      <w:r w:rsidRPr="00EE6515">
        <w:rPr>
          <w:rFonts w:ascii="Arial" w:hAnsi="Arial" w:cs="Arial"/>
          <w:sz w:val="18"/>
          <w:szCs w:val="18"/>
        </w:rPr>
        <w:t xml:space="preserve"> </w:t>
      </w:r>
      <w:r w:rsidRPr="00EE6515">
        <w:rPr>
          <w:rFonts w:ascii="Arial" w:hAnsi="Arial" w:cs="Arial"/>
          <w:sz w:val="18"/>
          <w:szCs w:val="18"/>
        </w:rPr>
        <w:tab/>
      </w:r>
      <w:hyperlink r:id="rId1" w:history="1">
        <w:r w:rsidRPr="00EE6515">
          <w:rPr>
            <w:rStyle w:val="Hyperlink"/>
            <w:rFonts w:ascii="Arial" w:hAnsi="Arial" w:cs="Arial"/>
            <w:sz w:val="18"/>
            <w:szCs w:val="18"/>
          </w:rPr>
          <w:t>Reglas de Operación del PAE</w:t>
        </w:r>
      </w:hyperlink>
      <w:r w:rsidRPr="00EE6515">
        <w:rPr>
          <w:rFonts w:ascii="Arial" w:hAnsi="Arial" w:cs="Arial"/>
          <w:sz w:val="18"/>
          <w:szCs w:val="18"/>
        </w:rPr>
        <w:t>, México (2016).</w:t>
      </w:r>
    </w:p>
  </w:footnote>
  <w:footnote w:id="28">
    <w:p w14:paraId="23240545" w14:textId="6672C84C" w:rsidR="000C1E37" w:rsidRPr="00EE6515" w:rsidRDefault="000C1E37" w:rsidP="00120727">
      <w:pPr>
        <w:pStyle w:val="FootnoteText"/>
        <w:ind w:left="360" w:hanging="360"/>
        <w:jc w:val="both"/>
        <w:rPr>
          <w:rFonts w:ascii="Arial" w:hAnsi="Arial" w:cs="Arial"/>
          <w:sz w:val="18"/>
          <w:szCs w:val="18"/>
        </w:rPr>
      </w:pPr>
      <w:r w:rsidRPr="00EE6515">
        <w:rPr>
          <w:rStyle w:val="FootnoteReference"/>
          <w:rFonts w:ascii="Arial" w:hAnsi="Arial" w:cs="Arial"/>
          <w:sz w:val="18"/>
          <w:szCs w:val="18"/>
        </w:rPr>
        <w:footnoteRef/>
      </w:r>
      <w:r w:rsidRPr="00EE6515">
        <w:rPr>
          <w:rFonts w:ascii="Arial" w:hAnsi="Arial" w:cs="Arial"/>
          <w:sz w:val="18"/>
          <w:szCs w:val="18"/>
        </w:rPr>
        <w:t xml:space="preserve">  </w:t>
      </w:r>
      <w:r w:rsidRPr="00EE6515">
        <w:rPr>
          <w:rFonts w:ascii="Arial" w:hAnsi="Arial" w:cs="Arial"/>
          <w:sz w:val="18"/>
          <w:szCs w:val="18"/>
        </w:rPr>
        <w:tab/>
        <w:t>Se considera los beneficios establecidos por Ley: 6 días de vacación pagada y 15 días por aguinaldo y corregidos por el porcentaje de informales que no reciben el beneficio.</w:t>
      </w:r>
    </w:p>
  </w:footnote>
  <w:footnote w:id="29">
    <w:p w14:paraId="1ECC6A03" w14:textId="5DE214D9" w:rsidR="000C1E37" w:rsidRPr="00EE6515" w:rsidRDefault="000C1E37" w:rsidP="00120727">
      <w:pPr>
        <w:pStyle w:val="FootnoteText"/>
        <w:ind w:left="360" w:hanging="360"/>
        <w:jc w:val="both"/>
        <w:rPr>
          <w:rFonts w:ascii="Arial" w:hAnsi="Arial" w:cs="Arial"/>
          <w:sz w:val="18"/>
          <w:szCs w:val="18"/>
        </w:rPr>
      </w:pPr>
      <w:r w:rsidRPr="00EE6515">
        <w:rPr>
          <w:rStyle w:val="FootnoteReference"/>
          <w:rFonts w:ascii="Arial" w:hAnsi="Arial" w:cs="Arial"/>
          <w:sz w:val="18"/>
          <w:szCs w:val="18"/>
        </w:rPr>
        <w:footnoteRef/>
      </w:r>
      <w:r w:rsidRPr="00EE6515">
        <w:rPr>
          <w:rFonts w:ascii="Arial" w:hAnsi="Arial" w:cs="Arial"/>
          <w:sz w:val="18"/>
          <w:szCs w:val="18"/>
        </w:rPr>
        <w:t xml:space="preserve">  </w:t>
      </w:r>
      <w:r w:rsidRPr="00EE6515">
        <w:rPr>
          <w:rFonts w:ascii="Arial" w:hAnsi="Arial" w:cs="Arial"/>
          <w:sz w:val="18"/>
          <w:szCs w:val="18"/>
        </w:rPr>
        <w:tab/>
        <w:t>Se considera los beneficios establecidos por Ley: 6 días de vacación pagada y 15 días por aguinaldo y corregidos por el porcentaje de informales que reciben el beneficio.</w:t>
      </w:r>
    </w:p>
  </w:footnote>
  <w:footnote w:id="30">
    <w:p w14:paraId="7885956E" w14:textId="44981B72" w:rsidR="000C1E37" w:rsidRPr="00EE6515" w:rsidRDefault="000C1E37">
      <w:pPr>
        <w:pStyle w:val="FootnoteText"/>
      </w:pPr>
      <w:r w:rsidRPr="00EE6515">
        <w:rPr>
          <w:rStyle w:val="FootnoteReference"/>
        </w:rPr>
        <w:footnoteRef/>
      </w:r>
      <w:r w:rsidRPr="00EE6515">
        <w:t xml:space="preserve"> </w:t>
      </w:r>
      <w:r w:rsidRPr="00EE6515">
        <w:rPr>
          <w:rFonts w:ascii="Arial" w:hAnsi="Arial" w:cs="Arial"/>
          <w:sz w:val="18"/>
          <w:szCs w:val="18"/>
        </w:rPr>
        <w:t>Considerando que para el año 1 en el componente de Fortalecimiento del PAE solo se calculan beneficios para 9 de 12 meses considerando los 3 meses que dura la capacitación.</w:t>
      </w:r>
    </w:p>
  </w:footnote>
  <w:footnote w:id="31">
    <w:p w14:paraId="0B2FEB53" w14:textId="57D2142C" w:rsidR="000C1E37" w:rsidRPr="00CF214F" w:rsidRDefault="000C1E37" w:rsidP="00CF214F">
      <w:pPr>
        <w:pStyle w:val="FootnoteText"/>
        <w:jc w:val="both"/>
        <w:rPr>
          <w:sz w:val="18"/>
        </w:rPr>
      </w:pPr>
      <w:r w:rsidRPr="00EE6515">
        <w:rPr>
          <w:rStyle w:val="FootnoteReference"/>
          <w:sz w:val="18"/>
        </w:rPr>
        <w:footnoteRef/>
      </w:r>
      <w:r w:rsidRPr="00EE6515">
        <w:rPr>
          <w:sz w:val="18"/>
        </w:rPr>
        <w:t xml:space="preserve"> </w:t>
      </w:r>
      <w:r w:rsidRPr="00EE6515">
        <w:rPr>
          <w:rFonts w:ascii="Arial" w:hAnsi="Arial" w:cs="Arial"/>
          <w:sz w:val="16"/>
          <w:szCs w:val="18"/>
        </w:rPr>
        <w:t>Para este componente, se asume que los beneficios en el primer año se dan solamente para los meses después del periodo de capacitación, en base a datos históricos se sabe que los programas de formación de habilidades duran en promedio 3 meses, por lo que los beneficios del primer año son multiplicados por 9/12, para no considerar los meses que no percibiría ingreso.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E1578"/>
    <w:multiLevelType w:val="hybridMultilevel"/>
    <w:tmpl w:val="9EB61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D46AC1"/>
    <w:multiLevelType w:val="hybridMultilevel"/>
    <w:tmpl w:val="8CCE2728"/>
    <w:lvl w:ilvl="0" w:tplc="0409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0E26801"/>
    <w:multiLevelType w:val="hybridMultilevel"/>
    <w:tmpl w:val="FD0AF61E"/>
    <w:lvl w:ilvl="0" w:tplc="F3689174">
      <w:start w:val="1"/>
      <w:numFmt w:val="decimal"/>
      <w:lvlText w:val="%1."/>
      <w:lvlJc w:val="left"/>
      <w:pPr>
        <w:ind w:left="720" w:hanging="360"/>
      </w:pPr>
      <w:rPr>
        <w:rFonts w:hint="default"/>
        <w:b w:val="0"/>
        <w:color w:val="auto"/>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C66254"/>
    <w:multiLevelType w:val="hybridMultilevel"/>
    <w:tmpl w:val="2388A0D2"/>
    <w:lvl w:ilvl="0" w:tplc="2488F48C">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D546695"/>
    <w:multiLevelType w:val="hybridMultilevel"/>
    <w:tmpl w:val="681A0A3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1ECD6182"/>
    <w:multiLevelType w:val="hybridMultilevel"/>
    <w:tmpl w:val="6D10849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15:restartNumberingAfterBreak="0">
    <w:nsid w:val="200B00D1"/>
    <w:multiLevelType w:val="hybridMultilevel"/>
    <w:tmpl w:val="02049842"/>
    <w:lvl w:ilvl="0" w:tplc="0C0A001B">
      <w:start w:val="1"/>
      <w:numFmt w:val="lowerRoman"/>
      <w:lvlText w:val="%1."/>
      <w:lvlJc w:val="right"/>
      <w:pPr>
        <w:ind w:left="135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26511E19"/>
    <w:multiLevelType w:val="hybridMultilevel"/>
    <w:tmpl w:val="C4F0DC44"/>
    <w:lvl w:ilvl="0" w:tplc="0C0A001B">
      <w:start w:val="1"/>
      <w:numFmt w:val="lowerRoman"/>
      <w:lvlText w:val="%1."/>
      <w:lvlJc w:val="right"/>
      <w:pPr>
        <w:ind w:left="135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28B14159"/>
    <w:multiLevelType w:val="hybridMultilevel"/>
    <w:tmpl w:val="74E619D8"/>
    <w:lvl w:ilvl="0" w:tplc="F3689174">
      <w:start w:val="1"/>
      <w:numFmt w:val="decimal"/>
      <w:lvlText w:val="%1."/>
      <w:lvlJc w:val="left"/>
      <w:pPr>
        <w:ind w:left="720" w:hanging="360"/>
      </w:pPr>
      <w:rPr>
        <w:rFonts w:hint="default"/>
        <w:b w:val="0"/>
        <w:color w:val="auto"/>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971668"/>
    <w:multiLevelType w:val="hybridMultilevel"/>
    <w:tmpl w:val="9050B70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15:restartNumberingAfterBreak="0">
    <w:nsid w:val="359B4991"/>
    <w:multiLevelType w:val="multilevel"/>
    <w:tmpl w:val="BC5EEE86"/>
    <w:lvl w:ilvl="0">
      <w:start w:val="1"/>
      <w:numFmt w:val="upperRoman"/>
      <w:lvlRestart w:val="0"/>
      <w:pStyle w:val="Chapter"/>
      <w:lvlText w:val="%1."/>
      <w:lvlJc w:val="center"/>
      <w:pPr>
        <w:tabs>
          <w:tab w:val="num" w:pos="990"/>
        </w:tabs>
        <w:ind w:left="342" w:firstLine="288"/>
      </w:pPr>
      <w:rPr>
        <w:b/>
        <w:i w:val="0"/>
      </w:rPr>
    </w:lvl>
    <w:lvl w:ilvl="1">
      <w:start w:val="1"/>
      <w:numFmt w:val="decimal"/>
      <w:pStyle w:val="Paragraph"/>
      <w:isLgl/>
      <w:lvlText w:val="%1.%2"/>
      <w:lvlJc w:val="left"/>
      <w:pPr>
        <w:tabs>
          <w:tab w:val="num" w:pos="1566"/>
        </w:tabs>
        <w:ind w:left="1566" w:hanging="1296"/>
      </w:pPr>
      <w:rPr>
        <w:rFonts w:ascii="Arial" w:hAnsi="Arial" w:cs="Arial" w:hint="default"/>
        <w:b/>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1" w15:restartNumberingAfterBreak="0">
    <w:nsid w:val="39B04435"/>
    <w:multiLevelType w:val="hybridMultilevel"/>
    <w:tmpl w:val="1346B828"/>
    <w:lvl w:ilvl="0" w:tplc="0C0A000F">
      <w:start w:val="1"/>
      <w:numFmt w:val="decimal"/>
      <w:lvlText w:val="%1."/>
      <w:lvlJc w:val="lef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24481A"/>
    <w:multiLevelType w:val="hybridMultilevel"/>
    <w:tmpl w:val="C6265734"/>
    <w:lvl w:ilvl="0" w:tplc="0C0A001B">
      <w:start w:val="1"/>
      <w:numFmt w:val="lowerRoman"/>
      <w:lvlText w:val="%1."/>
      <w:lvlJc w:val="right"/>
      <w:pPr>
        <w:ind w:left="135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3E742154"/>
    <w:multiLevelType w:val="hybridMultilevel"/>
    <w:tmpl w:val="1346B828"/>
    <w:lvl w:ilvl="0" w:tplc="0C0A000F">
      <w:start w:val="1"/>
      <w:numFmt w:val="decimal"/>
      <w:lvlText w:val="%1."/>
      <w:lvlJc w:val="lef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C80F00"/>
    <w:multiLevelType w:val="hybridMultilevel"/>
    <w:tmpl w:val="49AA64A6"/>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3223234"/>
    <w:multiLevelType w:val="hybridMultilevel"/>
    <w:tmpl w:val="E988B16A"/>
    <w:lvl w:ilvl="0" w:tplc="04090001">
      <w:start w:val="1"/>
      <w:numFmt w:val="bullet"/>
      <w:lvlText w:val=""/>
      <w:lvlJc w:val="left"/>
      <w:pPr>
        <w:ind w:left="720" w:hanging="360"/>
      </w:pPr>
      <w:rPr>
        <w:rFonts w:ascii="Symbol" w:hAnsi="Symbol" w:hint="default"/>
      </w:rPr>
    </w:lvl>
    <w:lvl w:ilvl="1" w:tplc="000B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5915DF"/>
    <w:multiLevelType w:val="multilevel"/>
    <w:tmpl w:val="BD28436A"/>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7" w15:restartNumberingAfterBreak="0">
    <w:nsid w:val="524E375E"/>
    <w:multiLevelType w:val="hybridMultilevel"/>
    <w:tmpl w:val="4A52BF40"/>
    <w:lvl w:ilvl="0" w:tplc="0C0A000F">
      <w:start w:val="1"/>
      <w:numFmt w:val="decimal"/>
      <w:lvlText w:val="%1."/>
      <w:lvlJc w:val="lef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735CCE"/>
    <w:multiLevelType w:val="hybridMultilevel"/>
    <w:tmpl w:val="B2281B02"/>
    <w:lvl w:ilvl="0" w:tplc="0C0A000F">
      <w:start w:val="1"/>
      <w:numFmt w:val="decimal"/>
      <w:lvlText w:val="%1."/>
      <w:lvlJc w:val="lef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53538A"/>
    <w:multiLevelType w:val="hybridMultilevel"/>
    <w:tmpl w:val="2FDA207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F26023A"/>
    <w:multiLevelType w:val="hybridMultilevel"/>
    <w:tmpl w:val="4A8AE32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6480413B"/>
    <w:multiLevelType w:val="multilevel"/>
    <w:tmpl w:val="147662F4"/>
    <w:lvl w:ilvl="0">
      <w:start w:val="7"/>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2" w15:restartNumberingAfterBreak="0">
    <w:nsid w:val="6DDB48C0"/>
    <w:multiLevelType w:val="hybridMultilevel"/>
    <w:tmpl w:val="5386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5C764F"/>
    <w:multiLevelType w:val="hybridMultilevel"/>
    <w:tmpl w:val="5392777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5CE2DA3"/>
    <w:multiLevelType w:val="hybridMultilevel"/>
    <w:tmpl w:val="00C62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E303E1"/>
    <w:multiLevelType w:val="hybridMultilevel"/>
    <w:tmpl w:val="D0A49902"/>
    <w:lvl w:ilvl="0" w:tplc="0C0A0013">
      <w:start w:val="1"/>
      <w:numFmt w:val="upperRoman"/>
      <w:lvlText w:val="%1."/>
      <w:lvlJc w:val="right"/>
      <w:pPr>
        <w:ind w:left="720" w:hanging="360"/>
      </w:pPr>
      <w:rPr>
        <w:rFonts w:hint="default"/>
      </w:rPr>
    </w:lvl>
    <w:lvl w:ilvl="1" w:tplc="0C0A001B">
      <w:start w:val="1"/>
      <w:numFmt w:val="low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6"/>
  </w:num>
  <w:num w:numId="3">
    <w:abstractNumId w:val="22"/>
  </w:num>
  <w:num w:numId="4">
    <w:abstractNumId w:val="24"/>
  </w:num>
  <w:num w:numId="5">
    <w:abstractNumId w:val="21"/>
  </w:num>
  <w:num w:numId="6">
    <w:abstractNumId w:val="19"/>
  </w:num>
  <w:num w:numId="7">
    <w:abstractNumId w:val="25"/>
  </w:num>
  <w:num w:numId="8">
    <w:abstractNumId w:val="2"/>
  </w:num>
  <w:num w:numId="9">
    <w:abstractNumId w:val="17"/>
  </w:num>
  <w:num w:numId="10">
    <w:abstractNumId w:val="23"/>
  </w:num>
  <w:num w:numId="11">
    <w:abstractNumId w:val="3"/>
  </w:num>
  <w:num w:numId="12">
    <w:abstractNumId w:val="14"/>
  </w:num>
  <w:num w:numId="13">
    <w:abstractNumId w:val="1"/>
  </w:num>
  <w:num w:numId="14">
    <w:abstractNumId w:val="18"/>
  </w:num>
  <w:num w:numId="15">
    <w:abstractNumId w:val="11"/>
  </w:num>
  <w:num w:numId="16">
    <w:abstractNumId w:val="13"/>
  </w:num>
  <w:num w:numId="17">
    <w:abstractNumId w:val="20"/>
  </w:num>
  <w:num w:numId="18">
    <w:abstractNumId w:val="10"/>
  </w:num>
  <w:num w:numId="19">
    <w:abstractNumId w:val="0"/>
  </w:num>
  <w:num w:numId="20">
    <w:abstractNumId w:val="8"/>
  </w:num>
  <w:num w:numId="21">
    <w:abstractNumId w:val="7"/>
  </w:num>
  <w:num w:numId="22">
    <w:abstractNumId w:val="6"/>
  </w:num>
  <w:num w:numId="23">
    <w:abstractNumId w:val="12"/>
  </w:num>
  <w:num w:numId="24">
    <w:abstractNumId w:val="4"/>
  </w:num>
  <w:num w:numId="25">
    <w:abstractNumId w:val="5"/>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oNotDisplayPageBoundaries/>
  <w:proofState w:spelling="clean" w:grammar="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F61"/>
    <w:rsid w:val="000032A7"/>
    <w:rsid w:val="000114FE"/>
    <w:rsid w:val="00011D76"/>
    <w:rsid w:val="000128BA"/>
    <w:rsid w:val="0002042F"/>
    <w:rsid w:val="00033215"/>
    <w:rsid w:val="0003327B"/>
    <w:rsid w:val="00033409"/>
    <w:rsid w:val="00035D06"/>
    <w:rsid w:val="000460A4"/>
    <w:rsid w:val="000527AB"/>
    <w:rsid w:val="00055F1B"/>
    <w:rsid w:val="000625A5"/>
    <w:rsid w:val="0006277F"/>
    <w:rsid w:val="0007065C"/>
    <w:rsid w:val="000777D8"/>
    <w:rsid w:val="00081236"/>
    <w:rsid w:val="00090823"/>
    <w:rsid w:val="00090F38"/>
    <w:rsid w:val="0009284B"/>
    <w:rsid w:val="000A0C92"/>
    <w:rsid w:val="000A33F4"/>
    <w:rsid w:val="000A4AD4"/>
    <w:rsid w:val="000B2B19"/>
    <w:rsid w:val="000B5330"/>
    <w:rsid w:val="000B6CBD"/>
    <w:rsid w:val="000B7E16"/>
    <w:rsid w:val="000C1E37"/>
    <w:rsid w:val="000C47E6"/>
    <w:rsid w:val="000C49A6"/>
    <w:rsid w:val="000C5997"/>
    <w:rsid w:val="000C74EF"/>
    <w:rsid w:val="000D02E2"/>
    <w:rsid w:val="000D0597"/>
    <w:rsid w:val="000D0AAD"/>
    <w:rsid w:val="000D3840"/>
    <w:rsid w:val="000D55CB"/>
    <w:rsid w:val="000E216E"/>
    <w:rsid w:val="000E62B2"/>
    <w:rsid w:val="000E7CC3"/>
    <w:rsid w:val="000F1FFE"/>
    <w:rsid w:val="000F2096"/>
    <w:rsid w:val="000F21A6"/>
    <w:rsid w:val="000F43FC"/>
    <w:rsid w:val="000F77AF"/>
    <w:rsid w:val="001003DB"/>
    <w:rsid w:val="00100566"/>
    <w:rsid w:val="0010616F"/>
    <w:rsid w:val="00107388"/>
    <w:rsid w:val="00110D68"/>
    <w:rsid w:val="001110B5"/>
    <w:rsid w:val="00112940"/>
    <w:rsid w:val="00120727"/>
    <w:rsid w:val="001216AF"/>
    <w:rsid w:val="00130DC3"/>
    <w:rsid w:val="00133043"/>
    <w:rsid w:val="00135390"/>
    <w:rsid w:val="00140CC3"/>
    <w:rsid w:val="00151A39"/>
    <w:rsid w:val="001526B2"/>
    <w:rsid w:val="00153C9F"/>
    <w:rsid w:val="001559F8"/>
    <w:rsid w:val="001610C3"/>
    <w:rsid w:val="00161274"/>
    <w:rsid w:val="00162C39"/>
    <w:rsid w:val="00162D39"/>
    <w:rsid w:val="00163274"/>
    <w:rsid w:val="00165C18"/>
    <w:rsid w:val="00170561"/>
    <w:rsid w:val="00172572"/>
    <w:rsid w:val="00174598"/>
    <w:rsid w:val="001752F1"/>
    <w:rsid w:val="001755CF"/>
    <w:rsid w:val="00181F6F"/>
    <w:rsid w:val="00183BF6"/>
    <w:rsid w:val="00184002"/>
    <w:rsid w:val="00187814"/>
    <w:rsid w:val="0019399B"/>
    <w:rsid w:val="00194C0D"/>
    <w:rsid w:val="001A5BAD"/>
    <w:rsid w:val="001A6841"/>
    <w:rsid w:val="001B00C9"/>
    <w:rsid w:val="001B1CF8"/>
    <w:rsid w:val="001B2F3C"/>
    <w:rsid w:val="001C37FF"/>
    <w:rsid w:val="001C6F0D"/>
    <w:rsid w:val="001D1908"/>
    <w:rsid w:val="001D2029"/>
    <w:rsid w:val="001D6C11"/>
    <w:rsid w:val="001D7CC0"/>
    <w:rsid w:val="001E1D66"/>
    <w:rsid w:val="001F0F05"/>
    <w:rsid w:val="001F3CEE"/>
    <w:rsid w:val="001F4B99"/>
    <w:rsid w:val="001F5349"/>
    <w:rsid w:val="00205E11"/>
    <w:rsid w:val="002060F3"/>
    <w:rsid w:val="00206363"/>
    <w:rsid w:val="00210B40"/>
    <w:rsid w:val="00215EE5"/>
    <w:rsid w:val="0021634A"/>
    <w:rsid w:val="00216CC7"/>
    <w:rsid w:val="00220F81"/>
    <w:rsid w:val="0022742F"/>
    <w:rsid w:val="00235A8E"/>
    <w:rsid w:val="00241CDF"/>
    <w:rsid w:val="00245BEF"/>
    <w:rsid w:val="00246F0D"/>
    <w:rsid w:val="00251B1A"/>
    <w:rsid w:val="0025321A"/>
    <w:rsid w:val="00255D77"/>
    <w:rsid w:val="002602F8"/>
    <w:rsid w:val="00262BE2"/>
    <w:rsid w:val="002647AD"/>
    <w:rsid w:val="002661C0"/>
    <w:rsid w:val="00266786"/>
    <w:rsid w:val="00267030"/>
    <w:rsid w:val="00270D5A"/>
    <w:rsid w:val="00271A72"/>
    <w:rsid w:val="00280BAB"/>
    <w:rsid w:val="00281014"/>
    <w:rsid w:val="00281617"/>
    <w:rsid w:val="00282625"/>
    <w:rsid w:val="00283ED7"/>
    <w:rsid w:val="00286029"/>
    <w:rsid w:val="002902F8"/>
    <w:rsid w:val="00290F00"/>
    <w:rsid w:val="00292542"/>
    <w:rsid w:val="002932C6"/>
    <w:rsid w:val="002A13D6"/>
    <w:rsid w:val="002A45F0"/>
    <w:rsid w:val="002A4F8E"/>
    <w:rsid w:val="002B6F55"/>
    <w:rsid w:val="002C2FBD"/>
    <w:rsid w:val="002C3066"/>
    <w:rsid w:val="002C70E9"/>
    <w:rsid w:val="002D039C"/>
    <w:rsid w:val="002D063D"/>
    <w:rsid w:val="002D37E4"/>
    <w:rsid w:val="002D5DB3"/>
    <w:rsid w:val="002D7856"/>
    <w:rsid w:val="002E089E"/>
    <w:rsid w:val="002E22AB"/>
    <w:rsid w:val="002E2356"/>
    <w:rsid w:val="002F143D"/>
    <w:rsid w:val="002F18BF"/>
    <w:rsid w:val="002F2240"/>
    <w:rsid w:val="002F2D16"/>
    <w:rsid w:val="002F3AB6"/>
    <w:rsid w:val="002F4433"/>
    <w:rsid w:val="002F4BA2"/>
    <w:rsid w:val="002F56E2"/>
    <w:rsid w:val="002F5A46"/>
    <w:rsid w:val="002F6E8A"/>
    <w:rsid w:val="002F7052"/>
    <w:rsid w:val="0030229D"/>
    <w:rsid w:val="00304036"/>
    <w:rsid w:val="003070C1"/>
    <w:rsid w:val="00313C28"/>
    <w:rsid w:val="003142A5"/>
    <w:rsid w:val="00315A65"/>
    <w:rsid w:val="00320BBC"/>
    <w:rsid w:val="00322830"/>
    <w:rsid w:val="00322D43"/>
    <w:rsid w:val="00332F75"/>
    <w:rsid w:val="00333A88"/>
    <w:rsid w:val="003444B1"/>
    <w:rsid w:val="00345445"/>
    <w:rsid w:val="00346586"/>
    <w:rsid w:val="00346AD1"/>
    <w:rsid w:val="00347084"/>
    <w:rsid w:val="00351DF0"/>
    <w:rsid w:val="00352A26"/>
    <w:rsid w:val="00361598"/>
    <w:rsid w:val="00362826"/>
    <w:rsid w:val="003637CB"/>
    <w:rsid w:val="00367BDF"/>
    <w:rsid w:val="0037390D"/>
    <w:rsid w:val="0037557B"/>
    <w:rsid w:val="0037611C"/>
    <w:rsid w:val="00377E2A"/>
    <w:rsid w:val="003840B0"/>
    <w:rsid w:val="00387B79"/>
    <w:rsid w:val="00392FDB"/>
    <w:rsid w:val="003932D8"/>
    <w:rsid w:val="00394950"/>
    <w:rsid w:val="003A2635"/>
    <w:rsid w:val="003A406A"/>
    <w:rsid w:val="003B1948"/>
    <w:rsid w:val="003B1EDC"/>
    <w:rsid w:val="003B25F7"/>
    <w:rsid w:val="003B3F0A"/>
    <w:rsid w:val="003B44D9"/>
    <w:rsid w:val="003B6385"/>
    <w:rsid w:val="003C3829"/>
    <w:rsid w:val="003C613F"/>
    <w:rsid w:val="003D6EB3"/>
    <w:rsid w:val="003F30B7"/>
    <w:rsid w:val="003F71C7"/>
    <w:rsid w:val="00400FF0"/>
    <w:rsid w:val="004024FE"/>
    <w:rsid w:val="00404463"/>
    <w:rsid w:val="004121EA"/>
    <w:rsid w:val="00416885"/>
    <w:rsid w:val="00417C18"/>
    <w:rsid w:val="004219D4"/>
    <w:rsid w:val="00422F91"/>
    <w:rsid w:val="00424F19"/>
    <w:rsid w:val="00425D26"/>
    <w:rsid w:val="0042678F"/>
    <w:rsid w:val="00430229"/>
    <w:rsid w:val="00440B93"/>
    <w:rsid w:val="00442FFB"/>
    <w:rsid w:val="00444B75"/>
    <w:rsid w:val="00446DB8"/>
    <w:rsid w:val="004555AF"/>
    <w:rsid w:val="00465780"/>
    <w:rsid w:val="00465A93"/>
    <w:rsid w:val="00467506"/>
    <w:rsid w:val="0047318E"/>
    <w:rsid w:val="0047496F"/>
    <w:rsid w:val="00474CDF"/>
    <w:rsid w:val="0047510C"/>
    <w:rsid w:val="004763D1"/>
    <w:rsid w:val="004769AE"/>
    <w:rsid w:val="00487610"/>
    <w:rsid w:val="004902C4"/>
    <w:rsid w:val="004918CB"/>
    <w:rsid w:val="0049418A"/>
    <w:rsid w:val="00496FA2"/>
    <w:rsid w:val="004A2076"/>
    <w:rsid w:val="004A2237"/>
    <w:rsid w:val="004A4992"/>
    <w:rsid w:val="004C1C82"/>
    <w:rsid w:val="004C2B2F"/>
    <w:rsid w:val="004C3097"/>
    <w:rsid w:val="004C7107"/>
    <w:rsid w:val="004D6760"/>
    <w:rsid w:val="004E610F"/>
    <w:rsid w:val="004E73EE"/>
    <w:rsid w:val="004F03B8"/>
    <w:rsid w:val="004F1E82"/>
    <w:rsid w:val="004F77F4"/>
    <w:rsid w:val="0050035A"/>
    <w:rsid w:val="005036C9"/>
    <w:rsid w:val="00503DA7"/>
    <w:rsid w:val="00505A4B"/>
    <w:rsid w:val="00507205"/>
    <w:rsid w:val="00511539"/>
    <w:rsid w:val="00513FDC"/>
    <w:rsid w:val="00514377"/>
    <w:rsid w:val="00520718"/>
    <w:rsid w:val="00521300"/>
    <w:rsid w:val="00524CF8"/>
    <w:rsid w:val="00531007"/>
    <w:rsid w:val="005376FF"/>
    <w:rsid w:val="00541D07"/>
    <w:rsid w:val="00545287"/>
    <w:rsid w:val="005565DE"/>
    <w:rsid w:val="0056052A"/>
    <w:rsid w:val="00563C3D"/>
    <w:rsid w:val="0056524B"/>
    <w:rsid w:val="00567323"/>
    <w:rsid w:val="00570E65"/>
    <w:rsid w:val="0057334C"/>
    <w:rsid w:val="0057432E"/>
    <w:rsid w:val="005800C5"/>
    <w:rsid w:val="00582F4D"/>
    <w:rsid w:val="00583845"/>
    <w:rsid w:val="005839D3"/>
    <w:rsid w:val="00583D52"/>
    <w:rsid w:val="00584512"/>
    <w:rsid w:val="00586F3A"/>
    <w:rsid w:val="00593E90"/>
    <w:rsid w:val="00594CFE"/>
    <w:rsid w:val="005B10F2"/>
    <w:rsid w:val="005B2956"/>
    <w:rsid w:val="005B2EE6"/>
    <w:rsid w:val="005B4B8B"/>
    <w:rsid w:val="005B6FFC"/>
    <w:rsid w:val="005B759B"/>
    <w:rsid w:val="005B79D6"/>
    <w:rsid w:val="005C1A62"/>
    <w:rsid w:val="005C721B"/>
    <w:rsid w:val="005D0A72"/>
    <w:rsid w:val="005D3096"/>
    <w:rsid w:val="005D4ADE"/>
    <w:rsid w:val="005D50FB"/>
    <w:rsid w:val="005D6C74"/>
    <w:rsid w:val="005E41FF"/>
    <w:rsid w:val="005E5D04"/>
    <w:rsid w:val="005E6B10"/>
    <w:rsid w:val="005F10A7"/>
    <w:rsid w:val="005F6F75"/>
    <w:rsid w:val="005F760D"/>
    <w:rsid w:val="006031FB"/>
    <w:rsid w:val="0060491B"/>
    <w:rsid w:val="00606D34"/>
    <w:rsid w:val="006108CA"/>
    <w:rsid w:val="006126D9"/>
    <w:rsid w:val="00613898"/>
    <w:rsid w:val="00620E66"/>
    <w:rsid w:val="00622BC1"/>
    <w:rsid w:val="006244FE"/>
    <w:rsid w:val="006271B4"/>
    <w:rsid w:val="00631B98"/>
    <w:rsid w:val="00633C1F"/>
    <w:rsid w:val="00634271"/>
    <w:rsid w:val="00635A94"/>
    <w:rsid w:val="006431D2"/>
    <w:rsid w:val="00644E92"/>
    <w:rsid w:val="00646AD4"/>
    <w:rsid w:val="006500B8"/>
    <w:rsid w:val="00660D38"/>
    <w:rsid w:val="00660E75"/>
    <w:rsid w:val="00667044"/>
    <w:rsid w:val="006671FD"/>
    <w:rsid w:val="006709E3"/>
    <w:rsid w:val="00671F48"/>
    <w:rsid w:val="00672D62"/>
    <w:rsid w:val="00673134"/>
    <w:rsid w:val="0068090C"/>
    <w:rsid w:val="006826D7"/>
    <w:rsid w:val="006831F1"/>
    <w:rsid w:val="006832A0"/>
    <w:rsid w:val="00691DDB"/>
    <w:rsid w:val="00693492"/>
    <w:rsid w:val="00693EC5"/>
    <w:rsid w:val="00694AC9"/>
    <w:rsid w:val="00694EEB"/>
    <w:rsid w:val="00697A9F"/>
    <w:rsid w:val="006A65E7"/>
    <w:rsid w:val="006B0FCD"/>
    <w:rsid w:val="006B253D"/>
    <w:rsid w:val="006B299F"/>
    <w:rsid w:val="006C2022"/>
    <w:rsid w:val="006C2F71"/>
    <w:rsid w:val="006C3959"/>
    <w:rsid w:val="006C5B91"/>
    <w:rsid w:val="006C614B"/>
    <w:rsid w:val="006D18EC"/>
    <w:rsid w:val="006E0CC1"/>
    <w:rsid w:val="006E2BDB"/>
    <w:rsid w:val="006E3370"/>
    <w:rsid w:val="006E4D8F"/>
    <w:rsid w:val="006E5874"/>
    <w:rsid w:val="006F092A"/>
    <w:rsid w:val="006F0F0C"/>
    <w:rsid w:val="006F4784"/>
    <w:rsid w:val="006F5AA4"/>
    <w:rsid w:val="00702937"/>
    <w:rsid w:val="00703769"/>
    <w:rsid w:val="0070754E"/>
    <w:rsid w:val="00715CAD"/>
    <w:rsid w:val="00726090"/>
    <w:rsid w:val="0072705B"/>
    <w:rsid w:val="00731265"/>
    <w:rsid w:val="00732624"/>
    <w:rsid w:val="00732D44"/>
    <w:rsid w:val="00742944"/>
    <w:rsid w:val="00743011"/>
    <w:rsid w:val="00745B03"/>
    <w:rsid w:val="00750362"/>
    <w:rsid w:val="00750C6F"/>
    <w:rsid w:val="00750FBA"/>
    <w:rsid w:val="00753B7C"/>
    <w:rsid w:val="0075413D"/>
    <w:rsid w:val="00755A0E"/>
    <w:rsid w:val="00756B7E"/>
    <w:rsid w:val="00757583"/>
    <w:rsid w:val="007613E1"/>
    <w:rsid w:val="00761405"/>
    <w:rsid w:val="00762690"/>
    <w:rsid w:val="00764400"/>
    <w:rsid w:val="00765248"/>
    <w:rsid w:val="00766A7D"/>
    <w:rsid w:val="0077014A"/>
    <w:rsid w:val="00776D09"/>
    <w:rsid w:val="0078661C"/>
    <w:rsid w:val="00796D46"/>
    <w:rsid w:val="007A39E2"/>
    <w:rsid w:val="007B266C"/>
    <w:rsid w:val="007B3C65"/>
    <w:rsid w:val="007B65ED"/>
    <w:rsid w:val="007B7E43"/>
    <w:rsid w:val="007C7C23"/>
    <w:rsid w:val="007D0168"/>
    <w:rsid w:val="007D035A"/>
    <w:rsid w:val="007D4CC4"/>
    <w:rsid w:val="007D7B34"/>
    <w:rsid w:val="007E69DF"/>
    <w:rsid w:val="007E7897"/>
    <w:rsid w:val="007F2385"/>
    <w:rsid w:val="007F6529"/>
    <w:rsid w:val="008000BF"/>
    <w:rsid w:val="00800853"/>
    <w:rsid w:val="00802D00"/>
    <w:rsid w:val="00814B75"/>
    <w:rsid w:val="00814C2E"/>
    <w:rsid w:val="00815DA0"/>
    <w:rsid w:val="008174E3"/>
    <w:rsid w:val="00820773"/>
    <w:rsid w:val="00826DE6"/>
    <w:rsid w:val="00827E44"/>
    <w:rsid w:val="008303CC"/>
    <w:rsid w:val="00830A10"/>
    <w:rsid w:val="00831A6B"/>
    <w:rsid w:val="00833659"/>
    <w:rsid w:val="00833799"/>
    <w:rsid w:val="008457CF"/>
    <w:rsid w:val="0084766F"/>
    <w:rsid w:val="008509BA"/>
    <w:rsid w:val="008511F7"/>
    <w:rsid w:val="00851BD8"/>
    <w:rsid w:val="0085637E"/>
    <w:rsid w:val="00860255"/>
    <w:rsid w:val="008708A8"/>
    <w:rsid w:val="008721FC"/>
    <w:rsid w:val="008831B3"/>
    <w:rsid w:val="0089143E"/>
    <w:rsid w:val="00891EA2"/>
    <w:rsid w:val="00892BFD"/>
    <w:rsid w:val="00893A9E"/>
    <w:rsid w:val="00893FF0"/>
    <w:rsid w:val="00894E19"/>
    <w:rsid w:val="008A1459"/>
    <w:rsid w:val="008A57D0"/>
    <w:rsid w:val="008A7F16"/>
    <w:rsid w:val="008B2805"/>
    <w:rsid w:val="008B370D"/>
    <w:rsid w:val="008B59D2"/>
    <w:rsid w:val="008B5C51"/>
    <w:rsid w:val="008B664B"/>
    <w:rsid w:val="008B6C3D"/>
    <w:rsid w:val="008B700A"/>
    <w:rsid w:val="008C5D0F"/>
    <w:rsid w:val="008C62C1"/>
    <w:rsid w:val="008D26B4"/>
    <w:rsid w:val="008D68DD"/>
    <w:rsid w:val="008E2E6E"/>
    <w:rsid w:val="008E353E"/>
    <w:rsid w:val="008F080E"/>
    <w:rsid w:val="008F0CC6"/>
    <w:rsid w:val="008F0CCF"/>
    <w:rsid w:val="008F77C1"/>
    <w:rsid w:val="009106B4"/>
    <w:rsid w:val="00913811"/>
    <w:rsid w:val="009161C3"/>
    <w:rsid w:val="00925915"/>
    <w:rsid w:val="009324CD"/>
    <w:rsid w:val="00932B95"/>
    <w:rsid w:val="00932D6D"/>
    <w:rsid w:val="00933795"/>
    <w:rsid w:val="00937C72"/>
    <w:rsid w:val="00941F61"/>
    <w:rsid w:val="0095185B"/>
    <w:rsid w:val="00956EA2"/>
    <w:rsid w:val="00960FF6"/>
    <w:rsid w:val="009627BC"/>
    <w:rsid w:val="00973C9D"/>
    <w:rsid w:val="00975B26"/>
    <w:rsid w:val="009763FC"/>
    <w:rsid w:val="00986966"/>
    <w:rsid w:val="009929A0"/>
    <w:rsid w:val="00993D7E"/>
    <w:rsid w:val="00996CED"/>
    <w:rsid w:val="00997DA3"/>
    <w:rsid w:val="009A085B"/>
    <w:rsid w:val="009A59BD"/>
    <w:rsid w:val="009B7408"/>
    <w:rsid w:val="009C339A"/>
    <w:rsid w:val="009C6561"/>
    <w:rsid w:val="009C77BE"/>
    <w:rsid w:val="009C7E3B"/>
    <w:rsid w:val="009D1FD8"/>
    <w:rsid w:val="009D3DC2"/>
    <w:rsid w:val="009D4A52"/>
    <w:rsid w:val="009D4A78"/>
    <w:rsid w:val="009D6228"/>
    <w:rsid w:val="009D7137"/>
    <w:rsid w:val="009E4904"/>
    <w:rsid w:val="009E75A1"/>
    <w:rsid w:val="009E762D"/>
    <w:rsid w:val="009F374A"/>
    <w:rsid w:val="009F4A21"/>
    <w:rsid w:val="00A01D5B"/>
    <w:rsid w:val="00A0399C"/>
    <w:rsid w:val="00A044FB"/>
    <w:rsid w:val="00A070D9"/>
    <w:rsid w:val="00A1557F"/>
    <w:rsid w:val="00A17651"/>
    <w:rsid w:val="00A237A5"/>
    <w:rsid w:val="00A3182C"/>
    <w:rsid w:val="00A33697"/>
    <w:rsid w:val="00A34E4A"/>
    <w:rsid w:val="00A37A2C"/>
    <w:rsid w:val="00A43491"/>
    <w:rsid w:val="00A43C70"/>
    <w:rsid w:val="00A446EE"/>
    <w:rsid w:val="00A52977"/>
    <w:rsid w:val="00A52A40"/>
    <w:rsid w:val="00A57BA3"/>
    <w:rsid w:val="00A62F06"/>
    <w:rsid w:val="00A634D8"/>
    <w:rsid w:val="00A665C2"/>
    <w:rsid w:val="00A724EA"/>
    <w:rsid w:val="00A74A4E"/>
    <w:rsid w:val="00A777F0"/>
    <w:rsid w:val="00A847C1"/>
    <w:rsid w:val="00A867AD"/>
    <w:rsid w:val="00A917A6"/>
    <w:rsid w:val="00A918C4"/>
    <w:rsid w:val="00A91F02"/>
    <w:rsid w:val="00A962D3"/>
    <w:rsid w:val="00A970EE"/>
    <w:rsid w:val="00AA5D3E"/>
    <w:rsid w:val="00AC22FD"/>
    <w:rsid w:val="00AC59A6"/>
    <w:rsid w:val="00AC64E3"/>
    <w:rsid w:val="00AC7347"/>
    <w:rsid w:val="00AD1DDF"/>
    <w:rsid w:val="00AD7910"/>
    <w:rsid w:val="00AE43CF"/>
    <w:rsid w:val="00AF18FD"/>
    <w:rsid w:val="00AF2983"/>
    <w:rsid w:val="00AF361C"/>
    <w:rsid w:val="00AF5196"/>
    <w:rsid w:val="00AF5D12"/>
    <w:rsid w:val="00AF633A"/>
    <w:rsid w:val="00AF639F"/>
    <w:rsid w:val="00B007C0"/>
    <w:rsid w:val="00B034CD"/>
    <w:rsid w:val="00B0718A"/>
    <w:rsid w:val="00B11544"/>
    <w:rsid w:val="00B13A75"/>
    <w:rsid w:val="00B208DF"/>
    <w:rsid w:val="00B21AFF"/>
    <w:rsid w:val="00B22345"/>
    <w:rsid w:val="00B22A91"/>
    <w:rsid w:val="00B2341A"/>
    <w:rsid w:val="00B407D6"/>
    <w:rsid w:val="00B4191D"/>
    <w:rsid w:val="00B44C58"/>
    <w:rsid w:val="00B46F49"/>
    <w:rsid w:val="00B551E2"/>
    <w:rsid w:val="00B6340E"/>
    <w:rsid w:val="00B646AA"/>
    <w:rsid w:val="00B65E9B"/>
    <w:rsid w:val="00B7647C"/>
    <w:rsid w:val="00B83AEB"/>
    <w:rsid w:val="00B84AFF"/>
    <w:rsid w:val="00B85737"/>
    <w:rsid w:val="00B8756A"/>
    <w:rsid w:val="00B902C8"/>
    <w:rsid w:val="00B926CA"/>
    <w:rsid w:val="00B93CC1"/>
    <w:rsid w:val="00B94A8C"/>
    <w:rsid w:val="00B96D87"/>
    <w:rsid w:val="00BA327B"/>
    <w:rsid w:val="00BA5121"/>
    <w:rsid w:val="00BB41ED"/>
    <w:rsid w:val="00BB636E"/>
    <w:rsid w:val="00BC34F9"/>
    <w:rsid w:val="00BC3B89"/>
    <w:rsid w:val="00BD0746"/>
    <w:rsid w:val="00BD1530"/>
    <w:rsid w:val="00BD7F95"/>
    <w:rsid w:val="00BE0EAE"/>
    <w:rsid w:val="00BE31F3"/>
    <w:rsid w:val="00BF0590"/>
    <w:rsid w:val="00BF3AE7"/>
    <w:rsid w:val="00C029AA"/>
    <w:rsid w:val="00C033C4"/>
    <w:rsid w:val="00C03A3A"/>
    <w:rsid w:val="00C0470F"/>
    <w:rsid w:val="00C059FB"/>
    <w:rsid w:val="00C06A15"/>
    <w:rsid w:val="00C074B4"/>
    <w:rsid w:val="00C11CD1"/>
    <w:rsid w:val="00C11D48"/>
    <w:rsid w:val="00C12117"/>
    <w:rsid w:val="00C148F8"/>
    <w:rsid w:val="00C2589B"/>
    <w:rsid w:val="00C261F0"/>
    <w:rsid w:val="00C271CE"/>
    <w:rsid w:val="00C306A4"/>
    <w:rsid w:val="00C319ED"/>
    <w:rsid w:val="00C3202C"/>
    <w:rsid w:val="00C338F2"/>
    <w:rsid w:val="00C34007"/>
    <w:rsid w:val="00C34E65"/>
    <w:rsid w:val="00C353EB"/>
    <w:rsid w:val="00C361D1"/>
    <w:rsid w:val="00C41719"/>
    <w:rsid w:val="00C46D0E"/>
    <w:rsid w:val="00C46DF9"/>
    <w:rsid w:val="00C50A79"/>
    <w:rsid w:val="00C52897"/>
    <w:rsid w:val="00C541F1"/>
    <w:rsid w:val="00C60151"/>
    <w:rsid w:val="00C610B6"/>
    <w:rsid w:val="00C61D33"/>
    <w:rsid w:val="00C72951"/>
    <w:rsid w:val="00C72FE7"/>
    <w:rsid w:val="00C75E88"/>
    <w:rsid w:val="00C77040"/>
    <w:rsid w:val="00C835F5"/>
    <w:rsid w:val="00C9385B"/>
    <w:rsid w:val="00C93D35"/>
    <w:rsid w:val="00C94874"/>
    <w:rsid w:val="00C954BD"/>
    <w:rsid w:val="00C95BCD"/>
    <w:rsid w:val="00C96F56"/>
    <w:rsid w:val="00C97C5B"/>
    <w:rsid w:val="00CA4C09"/>
    <w:rsid w:val="00CB0003"/>
    <w:rsid w:val="00CB1F0C"/>
    <w:rsid w:val="00CB295D"/>
    <w:rsid w:val="00CB3655"/>
    <w:rsid w:val="00CC1718"/>
    <w:rsid w:val="00CC4E0D"/>
    <w:rsid w:val="00CD5367"/>
    <w:rsid w:val="00CD604D"/>
    <w:rsid w:val="00CD6485"/>
    <w:rsid w:val="00CE0A31"/>
    <w:rsid w:val="00CE10F3"/>
    <w:rsid w:val="00CE6E7A"/>
    <w:rsid w:val="00CF214F"/>
    <w:rsid w:val="00CF36BC"/>
    <w:rsid w:val="00CF3BCB"/>
    <w:rsid w:val="00CF3C1C"/>
    <w:rsid w:val="00D04C32"/>
    <w:rsid w:val="00D04D56"/>
    <w:rsid w:val="00D07852"/>
    <w:rsid w:val="00D109CF"/>
    <w:rsid w:val="00D10BCC"/>
    <w:rsid w:val="00D1223E"/>
    <w:rsid w:val="00D12261"/>
    <w:rsid w:val="00D201CD"/>
    <w:rsid w:val="00D207F1"/>
    <w:rsid w:val="00D217C1"/>
    <w:rsid w:val="00D23ED9"/>
    <w:rsid w:val="00D262CC"/>
    <w:rsid w:val="00D3193C"/>
    <w:rsid w:val="00D36FAC"/>
    <w:rsid w:val="00D424DB"/>
    <w:rsid w:val="00D42C4F"/>
    <w:rsid w:val="00D434BB"/>
    <w:rsid w:val="00D45D2D"/>
    <w:rsid w:val="00D4784A"/>
    <w:rsid w:val="00D56901"/>
    <w:rsid w:val="00D56A15"/>
    <w:rsid w:val="00D60BA4"/>
    <w:rsid w:val="00D62A8C"/>
    <w:rsid w:val="00D63E20"/>
    <w:rsid w:val="00D66E96"/>
    <w:rsid w:val="00D7354F"/>
    <w:rsid w:val="00D77621"/>
    <w:rsid w:val="00D8226B"/>
    <w:rsid w:val="00D83CC6"/>
    <w:rsid w:val="00D8500E"/>
    <w:rsid w:val="00D8521B"/>
    <w:rsid w:val="00D908C3"/>
    <w:rsid w:val="00D92179"/>
    <w:rsid w:val="00D93924"/>
    <w:rsid w:val="00D95BCD"/>
    <w:rsid w:val="00DA0032"/>
    <w:rsid w:val="00DA13C9"/>
    <w:rsid w:val="00DA26B3"/>
    <w:rsid w:val="00DA3C12"/>
    <w:rsid w:val="00DA556B"/>
    <w:rsid w:val="00DB1805"/>
    <w:rsid w:val="00DB1949"/>
    <w:rsid w:val="00DB1DBA"/>
    <w:rsid w:val="00DC1DDF"/>
    <w:rsid w:val="00DC2B20"/>
    <w:rsid w:val="00DD06FF"/>
    <w:rsid w:val="00DD13F0"/>
    <w:rsid w:val="00DD5F9F"/>
    <w:rsid w:val="00DD6B48"/>
    <w:rsid w:val="00DD6BD0"/>
    <w:rsid w:val="00DE0854"/>
    <w:rsid w:val="00DE2791"/>
    <w:rsid w:val="00DF2D10"/>
    <w:rsid w:val="00DF355E"/>
    <w:rsid w:val="00DF36F8"/>
    <w:rsid w:val="00DF6B6E"/>
    <w:rsid w:val="00E0077E"/>
    <w:rsid w:val="00E053DD"/>
    <w:rsid w:val="00E0720B"/>
    <w:rsid w:val="00E12DB8"/>
    <w:rsid w:val="00E22CAA"/>
    <w:rsid w:val="00E2321D"/>
    <w:rsid w:val="00E2527C"/>
    <w:rsid w:val="00E4461A"/>
    <w:rsid w:val="00E45D36"/>
    <w:rsid w:val="00E46E6F"/>
    <w:rsid w:val="00E4733C"/>
    <w:rsid w:val="00E50982"/>
    <w:rsid w:val="00E509CA"/>
    <w:rsid w:val="00E546C9"/>
    <w:rsid w:val="00E56425"/>
    <w:rsid w:val="00E5726A"/>
    <w:rsid w:val="00E60D75"/>
    <w:rsid w:val="00E659D8"/>
    <w:rsid w:val="00E67C41"/>
    <w:rsid w:val="00E717C1"/>
    <w:rsid w:val="00E8108E"/>
    <w:rsid w:val="00E900D6"/>
    <w:rsid w:val="00E95BB2"/>
    <w:rsid w:val="00E96A59"/>
    <w:rsid w:val="00E96F8C"/>
    <w:rsid w:val="00EA17B2"/>
    <w:rsid w:val="00EA2820"/>
    <w:rsid w:val="00EA2BD6"/>
    <w:rsid w:val="00EA4595"/>
    <w:rsid w:val="00EA549D"/>
    <w:rsid w:val="00EA72EE"/>
    <w:rsid w:val="00EB33FF"/>
    <w:rsid w:val="00EB6872"/>
    <w:rsid w:val="00EC0296"/>
    <w:rsid w:val="00EC205D"/>
    <w:rsid w:val="00EC3C29"/>
    <w:rsid w:val="00EC61CB"/>
    <w:rsid w:val="00ED1E24"/>
    <w:rsid w:val="00ED43E6"/>
    <w:rsid w:val="00EE0FA9"/>
    <w:rsid w:val="00EE1DA4"/>
    <w:rsid w:val="00EE6515"/>
    <w:rsid w:val="00EE7387"/>
    <w:rsid w:val="00EE7EEB"/>
    <w:rsid w:val="00EF5325"/>
    <w:rsid w:val="00EF5A17"/>
    <w:rsid w:val="00EF6942"/>
    <w:rsid w:val="00EF760D"/>
    <w:rsid w:val="00F01191"/>
    <w:rsid w:val="00F10848"/>
    <w:rsid w:val="00F1289C"/>
    <w:rsid w:val="00F14603"/>
    <w:rsid w:val="00F17065"/>
    <w:rsid w:val="00F26616"/>
    <w:rsid w:val="00F3286D"/>
    <w:rsid w:val="00F331F6"/>
    <w:rsid w:val="00F35374"/>
    <w:rsid w:val="00F37743"/>
    <w:rsid w:val="00F41510"/>
    <w:rsid w:val="00F42B1D"/>
    <w:rsid w:val="00F4445D"/>
    <w:rsid w:val="00F4704F"/>
    <w:rsid w:val="00F47E4B"/>
    <w:rsid w:val="00F52C27"/>
    <w:rsid w:val="00F54C58"/>
    <w:rsid w:val="00F55099"/>
    <w:rsid w:val="00F6049B"/>
    <w:rsid w:val="00F631FC"/>
    <w:rsid w:val="00F6467C"/>
    <w:rsid w:val="00F65A8C"/>
    <w:rsid w:val="00F664E6"/>
    <w:rsid w:val="00F6713A"/>
    <w:rsid w:val="00F75139"/>
    <w:rsid w:val="00F77CF7"/>
    <w:rsid w:val="00F83CBE"/>
    <w:rsid w:val="00F84237"/>
    <w:rsid w:val="00F85C20"/>
    <w:rsid w:val="00F869EB"/>
    <w:rsid w:val="00F87788"/>
    <w:rsid w:val="00F958BA"/>
    <w:rsid w:val="00FA1163"/>
    <w:rsid w:val="00FA3AF2"/>
    <w:rsid w:val="00FA4DCB"/>
    <w:rsid w:val="00FA7607"/>
    <w:rsid w:val="00FB5B07"/>
    <w:rsid w:val="00FB7D39"/>
    <w:rsid w:val="00FC62C5"/>
    <w:rsid w:val="00FC686C"/>
    <w:rsid w:val="00FD3F7D"/>
    <w:rsid w:val="00FD3FD5"/>
    <w:rsid w:val="00FD717D"/>
    <w:rsid w:val="00FE2B72"/>
    <w:rsid w:val="00FE2E6B"/>
    <w:rsid w:val="00FE558A"/>
    <w:rsid w:val="00FF18DE"/>
    <w:rsid w:val="00FF54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19EB4"/>
  <w15:docId w15:val="{17203DAF-8099-4D2E-88E6-3445AA50E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42F"/>
    <w:pPr>
      <w:spacing w:after="0" w:line="240" w:lineRule="auto"/>
    </w:pPr>
    <w:rPr>
      <w:rFonts w:ascii="Times New Roman" w:eastAsia="Times New Roman" w:hAnsi="Times New Roman" w:cs="Times New Roman"/>
      <w:sz w:val="24"/>
      <w:szCs w:val="24"/>
      <w:lang w:val="es-ES_tradnl" w:eastAsia="es-ES_tradnl"/>
    </w:rPr>
  </w:style>
  <w:style w:type="paragraph" w:styleId="Heading2">
    <w:name w:val="heading 2"/>
    <w:basedOn w:val="Normal"/>
    <w:next w:val="Normal"/>
    <w:link w:val="Heading2Char"/>
    <w:uiPriority w:val="9"/>
    <w:unhideWhenUsed/>
    <w:qFormat/>
    <w:rsid w:val="0002042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1F61"/>
    <w:pPr>
      <w:ind w:left="720"/>
      <w:contextualSpacing/>
    </w:pPr>
  </w:style>
  <w:style w:type="paragraph" w:styleId="BodyText">
    <w:name w:val="Body Text"/>
    <w:basedOn w:val="Normal"/>
    <w:link w:val="BodyTextChar"/>
    <w:uiPriority w:val="99"/>
    <w:unhideWhenUsed/>
    <w:rsid w:val="00941F61"/>
    <w:pPr>
      <w:spacing w:after="120"/>
    </w:pPr>
    <w:rPr>
      <w:rFonts w:ascii="Cambria" w:eastAsia="MS Mincho" w:hAnsi="Cambria"/>
      <w:lang w:eastAsia="ja-JP"/>
    </w:rPr>
  </w:style>
  <w:style w:type="character" w:customStyle="1" w:styleId="BodyTextChar">
    <w:name w:val="Body Text Char"/>
    <w:basedOn w:val="DefaultParagraphFont"/>
    <w:link w:val="BodyText"/>
    <w:uiPriority w:val="99"/>
    <w:rsid w:val="00941F61"/>
    <w:rPr>
      <w:rFonts w:ascii="Cambria" w:eastAsia="MS Mincho" w:hAnsi="Cambria" w:cs="Times New Roman"/>
      <w:sz w:val="24"/>
      <w:szCs w:val="24"/>
      <w:lang w:eastAsia="ja-JP"/>
    </w:rPr>
  </w:style>
  <w:style w:type="paragraph" w:styleId="Title">
    <w:name w:val="Title"/>
    <w:basedOn w:val="Normal"/>
    <w:link w:val="TitleChar"/>
    <w:qFormat/>
    <w:rsid w:val="00941F61"/>
    <w:pPr>
      <w:tabs>
        <w:tab w:val="left" w:pos="1440"/>
        <w:tab w:val="left" w:pos="3060"/>
      </w:tabs>
      <w:jc w:val="center"/>
      <w:outlineLvl w:val="0"/>
    </w:pPr>
    <w:rPr>
      <w:szCs w:val="20"/>
    </w:rPr>
  </w:style>
  <w:style w:type="character" w:customStyle="1" w:styleId="TitleChar">
    <w:name w:val="Title Char"/>
    <w:basedOn w:val="DefaultParagraphFont"/>
    <w:link w:val="Title"/>
    <w:rsid w:val="00941F61"/>
    <w:rPr>
      <w:rFonts w:ascii="Times New Roman" w:eastAsia="Times New Roman" w:hAnsi="Times New Roman" w:cs="Times New Roman"/>
      <w:sz w:val="24"/>
      <w:szCs w:val="20"/>
    </w:rPr>
  </w:style>
  <w:style w:type="paragraph" w:customStyle="1" w:styleId="Newpage">
    <w:name w:val="Newpage"/>
    <w:basedOn w:val="Normal"/>
    <w:rsid w:val="00941F61"/>
    <w:pPr>
      <w:tabs>
        <w:tab w:val="left" w:pos="1440"/>
        <w:tab w:val="left" w:pos="3060"/>
      </w:tabs>
      <w:jc w:val="center"/>
    </w:pPr>
    <w:rPr>
      <w:rFonts w:cs="Arial"/>
      <w:b/>
      <w:smallCaps/>
      <w:szCs w:val="20"/>
    </w:rPr>
  </w:style>
  <w:style w:type="paragraph" w:styleId="FootnoteText">
    <w:name w:val="footnote text"/>
    <w:aliases w:val="fn,ft,footnote,texto de nota al pie,Texto nota pie Car Car Car Car Car Car Car Car,Texto nota pie Car Car Car,Footnote Text Char Char Char Char Char Char,Texto nota pie Car Car Car Car Car,Texto nota pie Car1,Texto nota pie Car Car,Texto"/>
    <w:basedOn w:val="Normal"/>
    <w:link w:val="FootnoteTextChar"/>
    <w:unhideWhenUsed/>
    <w:qFormat/>
    <w:rsid w:val="00400FF0"/>
    <w:rPr>
      <w:sz w:val="20"/>
      <w:szCs w:val="20"/>
    </w:rPr>
  </w:style>
  <w:style w:type="character" w:customStyle="1" w:styleId="FootnoteTextChar">
    <w:name w:val="Footnote Text Char"/>
    <w:aliases w:val="fn Char,ft Char,footnote Char,texto de nota al pie Char,Texto nota pie Car Car Car Car Car Car Car Car Char,Texto nota pie Car Car Car Char,Footnote Text Char Char Char Char Char Char Char,Texto nota pie Car Car Car Car Car Char"/>
    <w:basedOn w:val="DefaultParagraphFont"/>
    <w:link w:val="FootnoteText"/>
    <w:rsid w:val="00400FF0"/>
    <w:rPr>
      <w:sz w:val="20"/>
      <w:szCs w:val="20"/>
    </w:rPr>
  </w:style>
  <w:style w:type="character" w:styleId="FootnoteReference">
    <w:name w:val="footnote reference"/>
    <w:aliases w:val="Stinking Styles11,titulo 2,FC,referencia nota al pie,Texto de nota al pie,Footnote symbol,Footnote,BVI fnr,ftref,16 Point,Superscript 6 Point,Ref,de nota al pie,Style 24,pie pddes,Footnote Reference.SES,Fußnotenzeichen DISS,fr,SUPERS"/>
    <w:basedOn w:val="DefaultParagraphFont"/>
    <w:uiPriority w:val="99"/>
    <w:unhideWhenUsed/>
    <w:qFormat/>
    <w:rsid w:val="00400FF0"/>
    <w:rPr>
      <w:vertAlign w:val="superscript"/>
    </w:rPr>
  </w:style>
  <w:style w:type="paragraph" w:styleId="Header">
    <w:name w:val="header"/>
    <w:basedOn w:val="Normal"/>
    <w:link w:val="HeaderChar"/>
    <w:uiPriority w:val="99"/>
    <w:unhideWhenUsed/>
    <w:rsid w:val="00541D07"/>
    <w:pPr>
      <w:tabs>
        <w:tab w:val="center" w:pos="4513"/>
        <w:tab w:val="right" w:pos="9026"/>
      </w:tabs>
    </w:pPr>
  </w:style>
  <w:style w:type="character" w:customStyle="1" w:styleId="HeaderChar">
    <w:name w:val="Header Char"/>
    <w:basedOn w:val="DefaultParagraphFont"/>
    <w:link w:val="Header"/>
    <w:uiPriority w:val="99"/>
    <w:rsid w:val="00541D07"/>
  </w:style>
  <w:style w:type="paragraph" w:styleId="Footer">
    <w:name w:val="footer"/>
    <w:basedOn w:val="Normal"/>
    <w:link w:val="FooterChar"/>
    <w:uiPriority w:val="99"/>
    <w:unhideWhenUsed/>
    <w:rsid w:val="00541D07"/>
    <w:pPr>
      <w:tabs>
        <w:tab w:val="center" w:pos="4513"/>
        <w:tab w:val="right" w:pos="9026"/>
      </w:tabs>
    </w:pPr>
  </w:style>
  <w:style w:type="character" w:customStyle="1" w:styleId="FooterChar">
    <w:name w:val="Footer Char"/>
    <w:basedOn w:val="DefaultParagraphFont"/>
    <w:link w:val="Footer"/>
    <w:uiPriority w:val="99"/>
    <w:rsid w:val="00541D07"/>
  </w:style>
  <w:style w:type="paragraph" w:styleId="BalloonText">
    <w:name w:val="Balloon Text"/>
    <w:basedOn w:val="Normal"/>
    <w:link w:val="BalloonTextChar"/>
    <w:uiPriority w:val="99"/>
    <w:semiHidden/>
    <w:unhideWhenUsed/>
    <w:rsid w:val="004769AE"/>
    <w:rPr>
      <w:rFonts w:ascii="Tahoma" w:hAnsi="Tahoma" w:cs="Tahoma"/>
      <w:sz w:val="16"/>
      <w:szCs w:val="16"/>
    </w:rPr>
  </w:style>
  <w:style w:type="character" w:customStyle="1" w:styleId="BalloonTextChar">
    <w:name w:val="Balloon Text Char"/>
    <w:basedOn w:val="DefaultParagraphFont"/>
    <w:link w:val="BalloonText"/>
    <w:uiPriority w:val="99"/>
    <w:semiHidden/>
    <w:rsid w:val="004769AE"/>
    <w:rPr>
      <w:rFonts w:ascii="Tahoma" w:hAnsi="Tahoma" w:cs="Tahoma"/>
      <w:sz w:val="16"/>
      <w:szCs w:val="16"/>
    </w:rPr>
  </w:style>
  <w:style w:type="character" w:styleId="CommentReference">
    <w:name w:val="annotation reference"/>
    <w:basedOn w:val="DefaultParagraphFont"/>
    <w:uiPriority w:val="99"/>
    <w:semiHidden/>
    <w:unhideWhenUsed/>
    <w:rsid w:val="001B1CF8"/>
    <w:rPr>
      <w:sz w:val="16"/>
      <w:szCs w:val="16"/>
    </w:rPr>
  </w:style>
  <w:style w:type="paragraph" w:styleId="CommentText">
    <w:name w:val="annotation text"/>
    <w:basedOn w:val="Normal"/>
    <w:link w:val="CommentTextChar"/>
    <w:uiPriority w:val="99"/>
    <w:semiHidden/>
    <w:unhideWhenUsed/>
    <w:rsid w:val="001B1CF8"/>
    <w:rPr>
      <w:sz w:val="20"/>
      <w:szCs w:val="20"/>
    </w:rPr>
  </w:style>
  <w:style w:type="character" w:customStyle="1" w:styleId="CommentTextChar">
    <w:name w:val="Comment Text Char"/>
    <w:basedOn w:val="DefaultParagraphFont"/>
    <w:link w:val="CommentText"/>
    <w:uiPriority w:val="99"/>
    <w:semiHidden/>
    <w:rsid w:val="001B1CF8"/>
    <w:rPr>
      <w:sz w:val="20"/>
      <w:szCs w:val="20"/>
    </w:rPr>
  </w:style>
  <w:style w:type="paragraph" w:styleId="CommentSubject">
    <w:name w:val="annotation subject"/>
    <w:basedOn w:val="CommentText"/>
    <w:next w:val="CommentText"/>
    <w:link w:val="CommentSubjectChar"/>
    <w:uiPriority w:val="99"/>
    <w:semiHidden/>
    <w:unhideWhenUsed/>
    <w:rsid w:val="001B1CF8"/>
    <w:rPr>
      <w:b/>
      <w:bCs/>
    </w:rPr>
  </w:style>
  <w:style w:type="character" w:customStyle="1" w:styleId="CommentSubjectChar">
    <w:name w:val="Comment Subject Char"/>
    <w:basedOn w:val="CommentTextChar"/>
    <w:link w:val="CommentSubject"/>
    <w:uiPriority w:val="99"/>
    <w:semiHidden/>
    <w:rsid w:val="001B1CF8"/>
    <w:rPr>
      <w:b/>
      <w:bCs/>
      <w:sz w:val="20"/>
      <w:szCs w:val="20"/>
    </w:rPr>
  </w:style>
  <w:style w:type="paragraph" w:customStyle="1" w:styleId="Default">
    <w:name w:val="Default"/>
    <w:rsid w:val="00C610B6"/>
    <w:pPr>
      <w:autoSpaceDE w:val="0"/>
      <w:autoSpaceDN w:val="0"/>
      <w:adjustRightInd w:val="0"/>
      <w:spacing w:after="0" w:line="240" w:lineRule="auto"/>
    </w:pPr>
    <w:rPr>
      <w:rFonts w:ascii="Times New Roman" w:hAnsi="Times New Roman" w:cs="Times New Roman"/>
      <w:color w:val="000000"/>
      <w:sz w:val="24"/>
      <w:szCs w:val="24"/>
      <w:lang w:val="es-ES"/>
    </w:rPr>
  </w:style>
  <w:style w:type="character" w:customStyle="1" w:styleId="Heading2Char">
    <w:name w:val="Heading 2 Char"/>
    <w:basedOn w:val="DefaultParagraphFont"/>
    <w:link w:val="Heading2"/>
    <w:uiPriority w:val="9"/>
    <w:rsid w:val="0002042F"/>
    <w:rPr>
      <w:rFonts w:asciiTheme="majorHAnsi" w:eastAsiaTheme="majorEastAsia" w:hAnsiTheme="majorHAnsi" w:cstheme="majorBidi"/>
      <w:color w:val="365F91" w:themeColor="accent1" w:themeShade="BF"/>
      <w:sz w:val="26"/>
      <w:szCs w:val="26"/>
    </w:rPr>
  </w:style>
  <w:style w:type="character" w:styleId="PlaceholderText">
    <w:name w:val="Placeholder Text"/>
    <w:basedOn w:val="DefaultParagraphFont"/>
    <w:uiPriority w:val="99"/>
    <w:semiHidden/>
    <w:rsid w:val="00D04C32"/>
    <w:rPr>
      <w:color w:val="808080"/>
    </w:rPr>
  </w:style>
  <w:style w:type="paragraph" w:customStyle="1" w:styleId="Chapter">
    <w:name w:val="Chapter"/>
    <w:basedOn w:val="Normal"/>
    <w:next w:val="Normal"/>
    <w:rsid w:val="00EE1DA4"/>
    <w:pPr>
      <w:keepNext/>
      <w:numPr>
        <w:numId w:val="18"/>
      </w:numPr>
      <w:tabs>
        <w:tab w:val="num" w:pos="648"/>
        <w:tab w:val="left" w:pos="1440"/>
      </w:tabs>
      <w:spacing w:before="240" w:after="240"/>
      <w:ind w:left="0"/>
      <w:jc w:val="center"/>
    </w:pPr>
    <w:rPr>
      <w:b/>
      <w:smallCaps/>
      <w:szCs w:val="20"/>
      <w:lang w:val="es-ES"/>
    </w:rPr>
  </w:style>
  <w:style w:type="paragraph" w:customStyle="1" w:styleId="Paragraph">
    <w:name w:val="Paragraph"/>
    <w:aliases w:val="p,PARAGRAPH,PG,pa,at,paragraph+1,paragraph"/>
    <w:basedOn w:val="BodyTextIndent"/>
    <w:link w:val="ParagraphChar"/>
    <w:qFormat/>
    <w:rsid w:val="00EE1DA4"/>
    <w:pPr>
      <w:numPr>
        <w:ilvl w:val="1"/>
        <w:numId w:val="18"/>
      </w:numPr>
      <w:spacing w:before="120"/>
      <w:jc w:val="both"/>
      <w:outlineLvl w:val="1"/>
    </w:pPr>
    <w:rPr>
      <w:szCs w:val="20"/>
      <w:lang w:val="es-ES"/>
    </w:rPr>
  </w:style>
  <w:style w:type="paragraph" w:customStyle="1" w:styleId="subpar">
    <w:name w:val="subpar"/>
    <w:basedOn w:val="BodyTextIndent3"/>
    <w:rsid w:val="00EE1DA4"/>
    <w:pPr>
      <w:numPr>
        <w:ilvl w:val="2"/>
        <w:numId w:val="18"/>
      </w:numPr>
      <w:tabs>
        <w:tab w:val="clear" w:pos="2304"/>
        <w:tab w:val="num" w:pos="1152"/>
      </w:tabs>
      <w:spacing w:before="120"/>
      <w:ind w:left="1152" w:hanging="720"/>
      <w:jc w:val="both"/>
      <w:outlineLvl w:val="2"/>
    </w:pPr>
    <w:rPr>
      <w:sz w:val="24"/>
      <w:szCs w:val="20"/>
    </w:rPr>
  </w:style>
  <w:style w:type="paragraph" w:customStyle="1" w:styleId="SubSubPar">
    <w:name w:val="SubSubPar"/>
    <w:basedOn w:val="subpar"/>
    <w:rsid w:val="00EE1DA4"/>
    <w:pPr>
      <w:numPr>
        <w:ilvl w:val="3"/>
      </w:numPr>
      <w:tabs>
        <w:tab w:val="clear" w:pos="2736"/>
        <w:tab w:val="left" w:pos="0"/>
        <w:tab w:val="num" w:pos="1296"/>
      </w:tabs>
      <w:ind w:left="1296" w:hanging="720"/>
    </w:pPr>
  </w:style>
  <w:style w:type="character" w:customStyle="1" w:styleId="ParagraphChar">
    <w:name w:val="Paragraph Char"/>
    <w:basedOn w:val="DefaultParagraphFont"/>
    <w:link w:val="Paragraph"/>
    <w:rsid w:val="00EE1DA4"/>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EE1DA4"/>
    <w:pPr>
      <w:spacing w:after="120"/>
      <w:ind w:left="360"/>
    </w:pPr>
  </w:style>
  <w:style w:type="character" w:customStyle="1" w:styleId="BodyTextIndentChar">
    <w:name w:val="Body Text Indent Char"/>
    <w:basedOn w:val="DefaultParagraphFont"/>
    <w:link w:val="BodyTextIndent"/>
    <w:uiPriority w:val="99"/>
    <w:semiHidden/>
    <w:rsid w:val="00EE1DA4"/>
  </w:style>
  <w:style w:type="paragraph" w:styleId="BodyTextIndent3">
    <w:name w:val="Body Text Indent 3"/>
    <w:basedOn w:val="Normal"/>
    <w:link w:val="BodyTextIndent3Char"/>
    <w:uiPriority w:val="99"/>
    <w:semiHidden/>
    <w:unhideWhenUsed/>
    <w:rsid w:val="00EE1DA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E1DA4"/>
    <w:rPr>
      <w:sz w:val="16"/>
      <w:szCs w:val="16"/>
    </w:rPr>
  </w:style>
  <w:style w:type="paragraph" w:styleId="EndnoteText">
    <w:name w:val="endnote text"/>
    <w:basedOn w:val="Normal"/>
    <w:link w:val="EndnoteTextChar"/>
    <w:uiPriority w:val="99"/>
    <w:semiHidden/>
    <w:unhideWhenUsed/>
    <w:rsid w:val="000A4AD4"/>
    <w:rPr>
      <w:sz w:val="20"/>
      <w:szCs w:val="20"/>
    </w:rPr>
  </w:style>
  <w:style w:type="character" w:customStyle="1" w:styleId="EndnoteTextChar">
    <w:name w:val="Endnote Text Char"/>
    <w:basedOn w:val="DefaultParagraphFont"/>
    <w:link w:val="EndnoteText"/>
    <w:uiPriority w:val="99"/>
    <w:semiHidden/>
    <w:rsid w:val="000A4AD4"/>
    <w:rPr>
      <w:sz w:val="20"/>
      <w:szCs w:val="20"/>
    </w:rPr>
  </w:style>
  <w:style w:type="character" w:styleId="EndnoteReference">
    <w:name w:val="endnote reference"/>
    <w:basedOn w:val="DefaultParagraphFont"/>
    <w:uiPriority w:val="99"/>
    <w:semiHidden/>
    <w:unhideWhenUsed/>
    <w:rsid w:val="000A4AD4"/>
    <w:rPr>
      <w:vertAlign w:val="superscript"/>
    </w:rPr>
  </w:style>
  <w:style w:type="paragraph" w:styleId="Revision">
    <w:name w:val="Revision"/>
    <w:hidden/>
    <w:uiPriority w:val="99"/>
    <w:semiHidden/>
    <w:rsid w:val="00F869EB"/>
    <w:pPr>
      <w:spacing w:after="0" w:line="240" w:lineRule="auto"/>
    </w:pPr>
  </w:style>
  <w:style w:type="table" w:styleId="TableGrid">
    <w:name w:val="Table Grid"/>
    <w:basedOn w:val="TableNormal"/>
    <w:uiPriority w:val="59"/>
    <w:rsid w:val="00444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20727"/>
    <w:rPr>
      <w:color w:val="0000FF" w:themeColor="hyperlink"/>
      <w:u w:val="single"/>
    </w:rPr>
  </w:style>
  <w:style w:type="character" w:styleId="Mention">
    <w:name w:val="Mention"/>
    <w:basedOn w:val="DefaultParagraphFont"/>
    <w:uiPriority w:val="99"/>
    <w:semiHidden/>
    <w:unhideWhenUsed/>
    <w:rsid w:val="00120727"/>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37027">
      <w:bodyDiv w:val="1"/>
      <w:marLeft w:val="0"/>
      <w:marRight w:val="0"/>
      <w:marTop w:val="0"/>
      <w:marBottom w:val="0"/>
      <w:divBdr>
        <w:top w:val="none" w:sz="0" w:space="0" w:color="auto"/>
        <w:left w:val="none" w:sz="0" w:space="0" w:color="auto"/>
        <w:bottom w:val="none" w:sz="0" w:space="0" w:color="auto"/>
        <w:right w:val="none" w:sz="0" w:space="0" w:color="auto"/>
      </w:divBdr>
    </w:div>
    <w:div w:id="67656641">
      <w:bodyDiv w:val="1"/>
      <w:marLeft w:val="0"/>
      <w:marRight w:val="0"/>
      <w:marTop w:val="0"/>
      <w:marBottom w:val="0"/>
      <w:divBdr>
        <w:top w:val="none" w:sz="0" w:space="0" w:color="auto"/>
        <w:left w:val="none" w:sz="0" w:space="0" w:color="auto"/>
        <w:bottom w:val="none" w:sz="0" w:space="0" w:color="auto"/>
        <w:right w:val="none" w:sz="0" w:space="0" w:color="auto"/>
      </w:divBdr>
    </w:div>
    <w:div w:id="70975824">
      <w:bodyDiv w:val="1"/>
      <w:marLeft w:val="0"/>
      <w:marRight w:val="0"/>
      <w:marTop w:val="0"/>
      <w:marBottom w:val="0"/>
      <w:divBdr>
        <w:top w:val="none" w:sz="0" w:space="0" w:color="auto"/>
        <w:left w:val="none" w:sz="0" w:space="0" w:color="auto"/>
        <w:bottom w:val="none" w:sz="0" w:space="0" w:color="auto"/>
        <w:right w:val="none" w:sz="0" w:space="0" w:color="auto"/>
      </w:divBdr>
    </w:div>
    <w:div w:id="71510440">
      <w:bodyDiv w:val="1"/>
      <w:marLeft w:val="0"/>
      <w:marRight w:val="0"/>
      <w:marTop w:val="0"/>
      <w:marBottom w:val="0"/>
      <w:divBdr>
        <w:top w:val="none" w:sz="0" w:space="0" w:color="auto"/>
        <w:left w:val="none" w:sz="0" w:space="0" w:color="auto"/>
        <w:bottom w:val="none" w:sz="0" w:space="0" w:color="auto"/>
        <w:right w:val="none" w:sz="0" w:space="0" w:color="auto"/>
      </w:divBdr>
    </w:div>
    <w:div w:id="75710478">
      <w:bodyDiv w:val="1"/>
      <w:marLeft w:val="0"/>
      <w:marRight w:val="0"/>
      <w:marTop w:val="0"/>
      <w:marBottom w:val="0"/>
      <w:divBdr>
        <w:top w:val="none" w:sz="0" w:space="0" w:color="auto"/>
        <w:left w:val="none" w:sz="0" w:space="0" w:color="auto"/>
        <w:bottom w:val="none" w:sz="0" w:space="0" w:color="auto"/>
        <w:right w:val="none" w:sz="0" w:space="0" w:color="auto"/>
      </w:divBdr>
    </w:div>
    <w:div w:id="106627758">
      <w:bodyDiv w:val="1"/>
      <w:marLeft w:val="0"/>
      <w:marRight w:val="0"/>
      <w:marTop w:val="0"/>
      <w:marBottom w:val="0"/>
      <w:divBdr>
        <w:top w:val="none" w:sz="0" w:space="0" w:color="auto"/>
        <w:left w:val="none" w:sz="0" w:space="0" w:color="auto"/>
        <w:bottom w:val="none" w:sz="0" w:space="0" w:color="auto"/>
        <w:right w:val="none" w:sz="0" w:space="0" w:color="auto"/>
      </w:divBdr>
    </w:div>
    <w:div w:id="108164800">
      <w:bodyDiv w:val="1"/>
      <w:marLeft w:val="0"/>
      <w:marRight w:val="0"/>
      <w:marTop w:val="0"/>
      <w:marBottom w:val="0"/>
      <w:divBdr>
        <w:top w:val="none" w:sz="0" w:space="0" w:color="auto"/>
        <w:left w:val="none" w:sz="0" w:space="0" w:color="auto"/>
        <w:bottom w:val="none" w:sz="0" w:space="0" w:color="auto"/>
        <w:right w:val="none" w:sz="0" w:space="0" w:color="auto"/>
      </w:divBdr>
    </w:div>
    <w:div w:id="127820679">
      <w:bodyDiv w:val="1"/>
      <w:marLeft w:val="0"/>
      <w:marRight w:val="0"/>
      <w:marTop w:val="0"/>
      <w:marBottom w:val="0"/>
      <w:divBdr>
        <w:top w:val="none" w:sz="0" w:space="0" w:color="auto"/>
        <w:left w:val="none" w:sz="0" w:space="0" w:color="auto"/>
        <w:bottom w:val="none" w:sz="0" w:space="0" w:color="auto"/>
        <w:right w:val="none" w:sz="0" w:space="0" w:color="auto"/>
      </w:divBdr>
    </w:div>
    <w:div w:id="146479621">
      <w:bodyDiv w:val="1"/>
      <w:marLeft w:val="0"/>
      <w:marRight w:val="0"/>
      <w:marTop w:val="0"/>
      <w:marBottom w:val="0"/>
      <w:divBdr>
        <w:top w:val="none" w:sz="0" w:space="0" w:color="auto"/>
        <w:left w:val="none" w:sz="0" w:space="0" w:color="auto"/>
        <w:bottom w:val="none" w:sz="0" w:space="0" w:color="auto"/>
        <w:right w:val="none" w:sz="0" w:space="0" w:color="auto"/>
      </w:divBdr>
    </w:div>
    <w:div w:id="163251438">
      <w:bodyDiv w:val="1"/>
      <w:marLeft w:val="0"/>
      <w:marRight w:val="0"/>
      <w:marTop w:val="0"/>
      <w:marBottom w:val="0"/>
      <w:divBdr>
        <w:top w:val="none" w:sz="0" w:space="0" w:color="auto"/>
        <w:left w:val="none" w:sz="0" w:space="0" w:color="auto"/>
        <w:bottom w:val="none" w:sz="0" w:space="0" w:color="auto"/>
        <w:right w:val="none" w:sz="0" w:space="0" w:color="auto"/>
      </w:divBdr>
    </w:div>
    <w:div w:id="185217663">
      <w:bodyDiv w:val="1"/>
      <w:marLeft w:val="0"/>
      <w:marRight w:val="0"/>
      <w:marTop w:val="0"/>
      <w:marBottom w:val="0"/>
      <w:divBdr>
        <w:top w:val="none" w:sz="0" w:space="0" w:color="auto"/>
        <w:left w:val="none" w:sz="0" w:space="0" w:color="auto"/>
        <w:bottom w:val="none" w:sz="0" w:space="0" w:color="auto"/>
        <w:right w:val="none" w:sz="0" w:space="0" w:color="auto"/>
      </w:divBdr>
    </w:div>
    <w:div w:id="206836302">
      <w:bodyDiv w:val="1"/>
      <w:marLeft w:val="0"/>
      <w:marRight w:val="0"/>
      <w:marTop w:val="0"/>
      <w:marBottom w:val="0"/>
      <w:divBdr>
        <w:top w:val="none" w:sz="0" w:space="0" w:color="auto"/>
        <w:left w:val="none" w:sz="0" w:space="0" w:color="auto"/>
        <w:bottom w:val="none" w:sz="0" w:space="0" w:color="auto"/>
        <w:right w:val="none" w:sz="0" w:space="0" w:color="auto"/>
      </w:divBdr>
    </w:div>
    <w:div w:id="219023106">
      <w:bodyDiv w:val="1"/>
      <w:marLeft w:val="0"/>
      <w:marRight w:val="0"/>
      <w:marTop w:val="0"/>
      <w:marBottom w:val="0"/>
      <w:divBdr>
        <w:top w:val="none" w:sz="0" w:space="0" w:color="auto"/>
        <w:left w:val="none" w:sz="0" w:space="0" w:color="auto"/>
        <w:bottom w:val="none" w:sz="0" w:space="0" w:color="auto"/>
        <w:right w:val="none" w:sz="0" w:space="0" w:color="auto"/>
      </w:divBdr>
    </w:div>
    <w:div w:id="265430090">
      <w:bodyDiv w:val="1"/>
      <w:marLeft w:val="0"/>
      <w:marRight w:val="0"/>
      <w:marTop w:val="0"/>
      <w:marBottom w:val="0"/>
      <w:divBdr>
        <w:top w:val="none" w:sz="0" w:space="0" w:color="auto"/>
        <w:left w:val="none" w:sz="0" w:space="0" w:color="auto"/>
        <w:bottom w:val="none" w:sz="0" w:space="0" w:color="auto"/>
        <w:right w:val="none" w:sz="0" w:space="0" w:color="auto"/>
      </w:divBdr>
    </w:div>
    <w:div w:id="266011454">
      <w:bodyDiv w:val="1"/>
      <w:marLeft w:val="0"/>
      <w:marRight w:val="0"/>
      <w:marTop w:val="0"/>
      <w:marBottom w:val="0"/>
      <w:divBdr>
        <w:top w:val="none" w:sz="0" w:space="0" w:color="auto"/>
        <w:left w:val="none" w:sz="0" w:space="0" w:color="auto"/>
        <w:bottom w:val="none" w:sz="0" w:space="0" w:color="auto"/>
        <w:right w:val="none" w:sz="0" w:space="0" w:color="auto"/>
      </w:divBdr>
    </w:div>
    <w:div w:id="277640130">
      <w:bodyDiv w:val="1"/>
      <w:marLeft w:val="0"/>
      <w:marRight w:val="0"/>
      <w:marTop w:val="0"/>
      <w:marBottom w:val="0"/>
      <w:divBdr>
        <w:top w:val="none" w:sz="0" w:space="0" w:color="auto"/>
        <w:left w:val="none" w:sz="0" w:space="0" w:color="auto"/>
        <w:bottom w:val="none" w:sz="0" w:space="0" w:color="auto"/>
        <w:right w:val="none" w:sz="0" w:space="0" w:color="auto"/>
      </w:divBdr>
    </w:div>
    <w:div w:id="302320028">
      <w:bodyDiv w:val="1"/>
      <w:marLeft w:val="0"/>
      <w:marRight w:val="0"/>
      <w:marTop w:val="0"/>
      <w:marBottom w:val="0"/>
      <w:divBdr>
        <w:top w:val="none" w:sz="0" w:space="0" w:color="auto"/>
        <w:left w:val="none" w:sz="0" w:space="0" w:color="auto"/>
        <w:bottom w:val="none" w:sz="0" w:space="0" w:color="auto"/>
        <w:right w:val="none" w:sz="0" w:space="0" w:color="auto"/>
      </w:divBdr>
    </w:div>
    <w:div w:id="306708695">
      <w:bodyDiv w:val="1"/>
      <w:marLeft w:val="0"/>
      <w:marRight w:val="0"/>
      <w:marTop w:val="0"/>
      <w:marBottom w:val="0"/>
      <w:divBdr>
        <w:top w:val="none" w:sz="0" w:space="0" w:color="auto"/>
        <w:left w:val="none" w:sz="0" w:space="0" w:color="auto"/>
        <w:bottom w:val="none" w:sz="0" w:space="0" w:color="auto"/>
        <w:right w:val="none" w:sz="0" w:space="0" w:color="auto"/>
      </w:divBdr>
    </w:div>
    <w:div w:id="337583428">
      <w:bodyDiv w:val="1"/>
      <w:marLeft w:val="0"/>
      <w:marRight w:val="0"/>
      <w:marTop w:val="0"/>
      <w:marBottom w:val="0"/>
      <w:divBdr>
        <w:top w:val="none" w:sz="0" w:space="0" w:color="auto"/>
        <w:left w:val="none" w:sz="0" w:space="0" w:color="auto"/>
        <w:bottom w:val="none" w:sz="0" w:space="0" w:color="auto"/>
        <w:right w:val="none" w:sz="0" w:space="0" w:color="auto"/>
      </w:divBdr>
    </w:div>
    <w:div w:id="337734247">
      <w:bodyDiv w:val="1"/>
      <w:marLeft w:val="0"/>
      <w:marRight w:val="0"/>
      <w:marTop w:val="0"/>
      <w:marBottom w:val="0"/>
      <w:divBdr>
        <w:top w:val="none" w:sz="0" w:space="0" w:color="auto"/>
        <w:left w:val="none" w:sz="0" w:space="0" w:color="auto"/>
        <w:bottom w:val="none" w:sz="0" w:space="0" w:color="auto"/>
        <w:right w:val="none" w:sz="0" w:space="0" w:color="auto"/>
      </w:divBdr>
    </w:div>
    <w:div w:id="357701806">
      <w:bodyDiv w:val="1"/>
      <w:marLeft w:val="0"/>
      <w:marRight w:val="0"/>
      <w:marTop w:val="0"/>
      <w:marBottom w:val="0"/>
      <w:divBdr>
        <w:top w:val="none" w:sz="0" w:space="0" w:color="auto"/>
        <w:left w:val="none" w:sz="0" w:space="0" w:color="auto"/>
        <w:bottom w:val="none" w:sz="0" w:space="0" w:color="auto"/>
        <w:right w:val="none" w:sz="0" w:space="0" w:color="auto"/>
      </w:divBdr>
    </w:div>
    <w:div w:id="361630547">
      <w:bodyDiv w:val="1"/>
      <w:marLeft w:val="0"/>
      <w:marRight w:val="0"/>
      <w:marTop w:val="0"/>
      <w:marBottom w:val="0"/>
      <w:divBdr>
        <w:top w:val="none" w:sz="0" w:space="0" w:color="auto"/>
        <w:left w:val="none" w:sz="0" w:space="0" w:color="auto"/>
        <w:bottom w:val="none" w:sz="0" w:space="0" w:color="auto"/>
        <w:right w:val="none" w:sz="0" w:space="0" w:color="auto"/>
      </w:divBdr>
    </w:div>
    <w:div w:id="393241633">
      <w:bodyDiv w:val="1"/>
      <w:marLeft w:val="0"/>
      <w:marRight w:val="0"/>
      <w:marTop w:val="0"/>
      <w:marBottom w:val="0"/>
      <w:divBdr>
        <w:top w:val="none" w:sz="0" w:space="0" w:color="auto"/>
        <w:left w:val="none" w:sz="0" w:space="0" w:color="auto"/>
        <w:bottom w:val="none" w:sz="0" w:space="0" w:color="auto"/>
        <w:right w:val="none" w:sz="0" w:space="0" w:color="auto"/>
      </w:divBdr>
    </w:div>
    <w:div w:id="393819636">
      <w:bodyDiv w:val="1"/>
      <w:marLeft w:val="0"/>
      <w:marRight w:val="0"/>
      <w:marTop w:val="0"/>
      <w:marBottom w:val="0"/>
      <w:divBdr>
        <w:top w:val="none" w:sz="0" w:space="0" w:color="auto"/>
        <w:left w:val="none" w:sz="0" w:space="0" w:color="auto"/>
        <w:bottom w:val="none" w:sz="0" w:space="0" w:color="auto"/>
        <w:right w:val="none" w:sz="0" w:space="0" w:color="auto"/>
      </w:divBdr>
    </w:div>
    <w:div w:id="395738875">
      <w:bodyDiv w:val="1"/>
      <w:marLeft w:val="0"/>
      <w:marRight w:val="0"/>
      <w:marTop w:val="0"/>
      <w:marBottom w:val="0"/>
      <w:divBdr>
        <w:top w:val="none" w:sz="0" w:space="0" w:color="auto"/>
        <w:left w:val="none" w:sz="0" w:space="0" w:color="auto"/>
        <w:bottom w:val="none" w:sz="0" w:space="0" w:color="auto"/>
        <w:right w:val="none" w:sz="0" w:space="0" w:color="auto"/>
      </w:divBdr>
    </w:div>
    <w:div w:id="409545839">
      <w:bodyDiv w:val="1"/>
      <w:marLeft w:val="0"/>
      <w:marRight w:val="0"/>
      <w:marTop w:val="0"/>
      <w:marBottom w:val="0"/>
      <w:divBdr>
        <w:top w:val="none" w:sz="0" w:space="0" w:color="auto"/>
        <w:left w:val="none" w:sz="0" w:space="0" w:color="auto"/>
        <w:bottom w:val="none" w:sz="0" w:space="0" w:color="auto"/>
        <w:right w:val="none" w:sz="0" w:space="0" w:color="auto"/>
      </w:divBdr>
    </w:div>
    <w:div w:id="484472623">
      <w:bodyDiv w:val="1"/>
      <w:marLeft w:val="0"/>
      <w:marRight w:val="0"/>
      <w:marTop w:val="0"/>
      <w:marBottom w:val="0"/>
      <w:divBdr>
        <w:top w:val="none" w:sz="0" w:space="0" w:color="auto"/>
        <w:left w:val="none" w:sz="0" w:space="0" w:color="auto"/>
        <w:bottom w:val="none" w:sz="0" w:space="0" w:color="auto"/>
        <w:right w:val="none" w:sz="0" w:space="0" w:color="auto"/>
      </w:divBdr>
    </w:div>
    <w:div w:id="600451098">
      <w:bodyDiv w:val="1"/>
      <w:marLeft w:val="0"/>
      <w:marRight w:val="0"/>
      <w:marTop w:val="0"/>
      <w:marBottom w:val="0"/>
      <w:divBdr>
        <w:top w:val="none" w:sz="0" w:space="0" w:color="auto"/>
        <w:left w:val="none" w:sz="0" w:space="0" w:color="auto"/>
        <w:bottom w:val="none" w:sz="0" w:space="0" w:color="auto"/>
        <w:right w:val="none" w:sz="0" w:space="0" w:color="auto"/>
      </w:divBdr>
    </w:div>
    <w:div w:id="618802487">
      <w:bodyDiv w:val="1"/>
      <w:marLeft w:val="0"/>
      <w:marRight w:val="0"/>
      <w:marTop w:val="0"/>
      <w:marBottom w:val="0"/>
      <w:divBdr>
        <w:top w:val="none" w:sz="0" w:space="0" w:color="auto"/>
        <w:left w:val="none" w:sz="0" w:space="0" w:color="auto"/>
        <w:bottom w:val="none" w:sz="0" w:space="0" w:color="auto"/>
        <w:right w:val="none" w:sz="0" w:space="0" w:color="auto"/>
      </w:divBdr>
    </w:div>
    <w:div w:id="655301856">
      <w:bodyDiv w:val="1"/>
      <w:marLeft w:val="0"/>
      <w:marRight w:val="0"/>
      <w:marTop w:val="0"/>
      <w:marBottom w:val="0"/>
      <w:divBdr>
        <w:top w:val="none" w:sz="0" w:space="0" w:color="auto"/>
        <w:left w:val="none" w:sz="0" w:space="0" w:color="auto"/>
        <w:bottom w:val="none" w:sz="0" w:space="0" w:color="auto"/>
        <w:right w:val="none" w:sz="0" w:space="0" w:color="auto"/>
      </w:divBdr>
    </w:div>
    <w:div w:id="666522316">
      <w:bodyDiv w:val="1"/>
      <w:marLeft w:val="0"/>
      <w:marRight w:val="0"/>
      <w:marTop w:val="0"/>
      <w:marBottom w:val="0"/>
      <w:divBdr>
        <w:top w:val="none" w:sz="0" w:space="0" w:color="auto"/>
        <w:left w:val="none" w:sz="0" w:space="0" w:color="auto"/>
        <w:bottom w:val="none" w:sz="0" w:space="0" w:color="auto"/>
        <w:right w:val="none" w:sz="0" w:space="0" w:color="auto"/>
      </w:divBdr>
    </w:div>
    <w:div w:id="693382423">
      <w:bodyDiv w:val="1"/>
      <w:marLeft w:val="0"/>
      <w:marRight w:val="0"/>
      <w:marTop w:val="0"/>
      <w:marBottom w:val="0"/>
      <w:divBdr>
        <w:top w:val="none" w:sz="0" w:space="0" w:color="auto"/>
        <w:left w:val="none" w:sz="0" w:space="0" w:color="auto"/>
        <w:bottom w:val="none" w:sz="0" w:space="0" w:color="auto"/>
        <w:right w:val="none" w:sz="0" w:space="0" w:color="auto"/>
      </w:divBdr>
    </w:div>
    <w:div w:id="708335138">
      <w:bodyDiv w:val="1"/>
      <w:marLeft w:val="0"/>
      <w:marRight w:val="0"/>
      <w:marTop w:val="0"/>
      <w:marBottom w:val="0"/>
      <w:divBdr>
        <w:top w:val="none" w:sz="0" w:space="0" w:color="auto"/>
        <w:left w:val="none" w:sz="0" w:space="0" w:color="auto"/>
        <w:bottom w:val="none" w:sz="0" w:space="0" w:color="auto"/>
        <w:right w:val="none" w:sz="0" w:space="0" w:color="auto"/>
      </w:divBdr>
    </w:div>
    <w:div w:id="733284799">
      <w:bodyDiv w:val="1"/>
      <w:marLeft w:val="0"/>
      <w:marRight w:val="0"/>
      <w:marTop w:val="0"/>
      <w:marBottom w:val="0"/>
      <w:divBdr>
        <w:top w:val="none" w:sz="0" w:space="0" w:color="auto"/>
        <w:left w:val="none" w:sz="0" w:space="0" w:color="auto"/>
        <w:bottom w:val="none" w:sz="0" w:space="0" w:color="auto"/>
        <w:right w:val="none" w:sz="0" w:space="0" w:color="auto"/>
      </w:divBdr>
    </w:div>
    <w:div w:id="765229933">
      <w:bodyDiv w:val="1"/>
      <w:marLeft w:val="0"/>
      <w:marRight w:val="0"/>
      <w:marTop w:val="0"/>
      <w:marBottom w:val="0"/>
      <w:divBdr>
        <w:top w:val="none" w:sz="0" w:space="0" w:color="auto"/>
        <w:left w:val="none" w:sz="0" w:space="0" w:color="auto"/>
        <w:bottom w:val="none" w:sz="0" w:space="0" w:color="auto"/>
        <w:right w:val="none" w:sz="0" w:space="0" w:color="auto"/>
      </w:divBdr>
    </w:div>
    <w:div w:id="803276497">
      <w:bodyDiv w:val="1"/>
      <w:marLeft w:val="0"/>
      <w:marRight w:val="0"/>
      <w:marTop w:val="0"/>
      <w:marBottom w:val="0"/>
      <w:divBdr>
        <w:top w:val="none" w:sz="0" w:space="0" w:color="auto"/>
        <w:left w:val="none" w:sz="0" w:space="0" w:color="auto"/>
        <w:bottom w:val="none" w:sz="0" w:space="0" w:color="auto"/>
        <w:right w:val="none" w:sz="0" w:space="0" w:color="auto"/>
      </w:divBdr>
    </w:div>
    <w:div w:id="813721544">
      <w:bodyDiv w:val="1"/>
      <w:marLeft w:val="0"/>
      <w:marRight w:val="0"/>
      <w:marTop w:val="0"/>
      <w:marBottom w:val="0"/>
      <w:divBdr>
        <w:top w:val="none" w:sz="0" w:space="0" w:color="auto"/>
        <w:left w:val="none" w:sz="0" w:space="0" w:color="auto"/>
        <w:bottom w:val="none" w:sz="0" w:space="0" w:color="auto"/>
        <w:right w:val="none" w:sz="0" w:space="0" w:color="auto"/>
      </w:divBdr>
    </w:div>
    <w:div w:id="832571606">
      <w:bodyDiv w:val="1"/>
      <w:marLeft w:val="0"/>
      <w:marRight w:val="0"/>
      <w:marTop w:val="0"/>
      <w:marBottom w:val="0"/>
      <w:divBdr>
        <w:top w:val="none" w:sz="0" w:space="0" w:color="auto"/>
        <w:left w:val="none" w:sz="0" w:space="0" w:color="auto"/>
        <w:bottom w:val="none" w:sz="0" w:space="0" w:color="auto"/>
        <w:right w:val="none" w:sz="0" w:space="0" w:color="auto"/>
      </w:divBdr>
    </w:div>
    <w:div w:id="854880445">
      <w:bodyDiv w:val="1"/>
      <w:marLeft w:val="0"/>
      <w:marRight w:val="0"/>
      <w:marTop w:val="0"/>
      <w:marBottom w:val="0"/>
      <w:divBdr>
        <w:top w:val="none" w:sz="0" w:space="0" w:color="auto"/>
        <w:left w:val="none" w:sz="0" w:space="0" w:color="auto"/>
        <w:bottom w:val="none" w:sz="0" w:space="0" w:color="auto"/>
        <w:right w:val="none" w:sz="0" w:space="0" w:color="auto"/>
      </w:divBdr>
    </w:div>
    <w:div w:id="883951414">
      <w:bodyDiv w:val="1"/>
      <w:marLeft w:val="0"/>
      <w:marRight w:val="0"/>
      <w:marTop w:val="0"/>
      <w:marBottom w:val="0"/>
      <w:divBdr>
        <w:top w:val="none" w:sz="0" w:space="0" w:color="auto"/>
        <w:left w:val="none" w:sz="0" w:space="0" w:color="auto"/>
        <w:bottom w:val="none" w:sz="0" w:space="0" w:color="auto"/>
        <w:right w:val="none" w:sz="0" w:space="0" w:color="auto"/>
      </w:divBdr>
    </w:div>
    <w:div w:id="894196928">
      <w:bodyDiv w:val="1"/>
      <w:marLeft w:val="0"/>
      <w:marRight w:val="0"/>
      <w:marTop w:val="0"/>
      <w:marBottom w:val="0"/>
      <w:divBdr>
        <w:top w:val="none" w:sz="0" w:space="0" w:color="auto"/>
        <w:left w:val="none" w:sz="0" w:space="0" w:color="auto"/>
        <w:bottom w:val="none" w:sz="0" w:space="0" w:color="auto"/>
        <w:right w:val="none" w:sz="0" w:space="0" w:color="auto"/>
      </w:divBdr>
    </w:div>
    <w:div w:id="914364986">
      <w:bodyDiv w:val="1"/>
      <w:marLeft w:val="0"/>
      <w:marRight w:val="0"/>
      <w:marTop w:val="0"/>
      <w:marBottom w:val="0"/>
      <w:divBdr>
        <w:top w:val="none" w:sz="0" w:space="0" w:color="auto"/>
        <w:left w:val="none" w:sz="0" w:space="0" w:color="auto"/>
        <w:bottom w:val="none" w:sz="0" w:space="0" w:color="auto"/>
        <w:right w:val="none" w:sz="0" w:space="0" w:color="auto"/>
      </w:divBdr>
    </w:div>
    <w:div w:id="919170679">
      <w:bodyDiv w:val="1"/>
      <w:marLeft w:val="0"/>
      <w:marRight w:val="0"/>
      <w:marTop w:val="0"/>
      <w:marBottom w:val="0"/>
      <w:divBdr>
        <w:top w:val="none" w:sz="0" w:space="0" w:color="auto"/>
        <w:left w:val="none" w:sz="0" w:space="0" w:color="auto"/>
        <w:bottom w:val="none" w:sz="0" w:space="0" w:color="auto"/>
        <w:right w:val="none" w:sz="0" w:space="0" w:color="auto"/>
      </w:divBdr>
    </w:div>
    <w:div w:id="930510212">
      <w:bodyDiv w:val="1"/>
      <w:marLeft w:val="0"/>
      <w:marRight w:val="0"/>
      <w:marTop w:val="0"/>
      <w:marBottom w:val="0"/>
      <w:divBdr>
        <w:top w:val="none" w:sz="0" w:space="0" w:color="auto"/>
        <w:left w:val="none" w:sz="0" w:space="0" w:color="auto"/>
        <w:bottom w:val="none" w:sz="0" w:space="0" w:color="auto"/>
        <w:right w:val="none" w:sz="0" w:space="0" w:color="auto"/>
      </w:divBdr>
    </w:div>
    <w:div w:id="944191586">
      <w:bodyDiv w:val="1"/>
      <w:marLeft w:val="0"/>
      <w:marRight w:val="0"/>
      <w:marTop w:val="0"/>
      <w:marBottom w:val="0"/>
      <w:divBdr>
        <w:top w:val="none" w:sz="0" w:space="0" w:color="auto"/>
        <w:left w:val="none" w:sz="0" w:space="0" w:color="auto"/>
        <w:bottom w:val="none" w:sz="0" w:space="0" w:color="auto"/>
        <w:right w:val="none" w:sz="0" w:space="0" w:color="auto"/>
      </w:divBdr>
    </w:div>
    <w:div w:id="991372682">
      <w:bodyDiv w:val="1"/>
      <w:marLeft w:val="0"/>
      <w:marRight w:val="0"/>
      <w:marTop w:val="0"/>
      <w:marBottom w:val="0"/>
      <w:divBdr>
        <w:top w:val="none" w:sz="0" w:space="0" w:color="auto"/>
        <w:left w:val="none" w:sz="0" w:space="0" w:color="auto"/>
        <w:bottom w:val="none" w:sz="0" w:space="0" w:color="auto"/>
        <w:right w:val="none" w:sz="0" w:space="0" w:color="auto"/>
      </w:divBdr>
    </w:div>
    <w:div w:id="1002195068">
      <w:bodyDiv w:val="1"/>
      <w:marLeft w:val="0"/>
      <w:marRight w:val="0"/>
      <w:marTop w:val="0"/>
      <w:marBottom w:val="0"/>
      <w:divBdr>
        <w:top w:val="none" w:sz="0" w:space="0" w:color="auto"/>
        <w:left w:val="none" w:sz="0" w:space="0" w:color="auto"/>
        <w:bottom w:val="none" w:sz="0" w:space="0" w:color="auto"/>
        <w:right w:val="none" w:sz="0" w:space="0" w:color="auto"/>
      </w:divBdr>
    </w:div>
    <w:div w:id="1002974885">
      <w:bodyDiv w:val="1"/>
      <w:marLeft w:val="0"/>
      <w:marRight w:val="0"/>
      <w:marTop w:val="0"/>
      <w:marBottom w:val="0"/>
      <w:divBdr>
        <w:top w:val="none" w:sz="0" w:space="0" w:color="auto"/>
        <w:left w:val="none" w:sz="0" w:space="0" w:color="auto"/>
        <w:bottom w:val="none" w:sz="0" w:space="0" w:color="auto"/>
        <w:right w:val="none" w:sz="0" w:space="0" w:color="auto"/>
      </w:divBdr>
    </w:div>
    <w:div w:id="1028528973">
      <w:bodyDiv w:val="1"/>
      <w:marLeft w:val="0"/>
      <w:marRight w:val="0"/>
      <w:marTop w:val="0"/>
      <w:marBottom w:val="0"/>
      <w:divBdr>
        <w:top w:val="none" w:sz="0" w:space="0" w:color="auto"/>
        <w:left w:val="none" w:sz="0" w:space="0" w:color="auto"/>
        <w:bottom w:val="none" w:sz="0" w:space="0" w:color="auto"/>
        <w:right w:val="none" w:sz="0" w:space="0" w:color="auto"/>
      </w:divBdr>
    </w:div>
    <w:div w:id="1046951656">
      <w:bodyDiv w:val="1"/>
      <w:marLeft w:val="0"/>
      <w:marRight w:val="0"/>
      <w:marTop w:val="0"/>
      <w:marBottom w:val="0"/>
      <w:divBdr>
        <w:top w:val="none" w:sz="0" w:space="0" w:color="auto"/>
        <w:left w:val="none" w:sz="0" w:space="0" w:color="auto"/>
        <w:bottom w:val="none" w:sz="0" w:space="0" w:color="auto"/>
        <w:right w:val="none" w:sz="0" w:space="0" w:color="auto"/>
      </w:divBdr>
    </w:div>
    <w:div w:id="1062294007">
      <w:bodyDiv w:val="1"/>
      <w:marLeft w:val="0"/>
      <w:marRight w:val="0"/>
      <w:marTop w:val="0"/>
      <w:marBottom w:val="0"/>
      <w:divBdr>
        <w:top w:val="none" w:sz="0" w:space="0" w:color="auto"/>
        <w:left w:val="none" w:sz="0" w:space="0" w:color="auto"/>
        <w:bottom w:val="none" w:sz="0" w:space="0" w:color="auto"/>
        <w:right w:val="none" w:sz="0" w:space="0" w:color="auto"/>
      </w:divBdr>
    </w:div>
    <w:div w:id="1069770927">
      <w:bodyDiv w:val="1"/>
      <w:marLeft w:val="0"/>
      <w:marRight w:val="0"/>
      <w:marTop w:val="0"/>
      <w:marBottom w:val="0"/>
      <w:divBdr>
        <w:top w:val="none" w:sz="0" w:space="0" w:color="auto"/>
        <w:left w:val="none" w:sz="0" w:space="0" w:color="auto"/>
        <w:bottom w:val="none" w:sz="0" w:space="0" w:color="auto"/>
        <w:right w:val="none" w:sz="0" w:space="0" w:color="auto"/>
      </w:divBdr>
    </w:div>
    <w:div w:id="1094935049">
      <w:bodyDiv w:val="1"/>
      <w:marLeft w:val="0"/>
      <w:marRight w:val="0"/>
      <w:marTop w:val="0"/>
      <w:marBottom w:val="0"/>
      <w:divBdr>
        <w:top w:val="none" w:sz="0" w:space="0" w:color="auto"/>
        <w:left w:val="none" w:sz="0" w:space="0" w:color="auto"/>
        <w:bottom w:val="none" w:sz="0" w:space="0" w:color="auto"/>
        <w:right w:val="none" w:sz="0" w:space="0" w:color="auto"/>
      </w:divBdr>
    </w:div>
    <w:div w:id="1118379324">
      <w:bodyDiv w:val="1"/>
      <w:marLeft w:val="0"/>
      <w:marRight w:val="0"/>
      <w:marTop w:val="0"/>
      <w:marBottom w:val="0"/>
      <w:divBdr>
        <w:top w:val="none" w:sz="0" w:space="0" w:color="auto"/>
        <w:left w:val="none" w:sz="0" w:space="0" w:color="auto"/>
        <w:bottom w:val="none" w:sz="0" w:space="0" w:color="auto"/>
        <w:right w:val="none" w:sz="0" w:space="0" w:color="auto"/>
      </w:divBdr>
    </w:div>
    <w:div w:id="1120413800">
      <w:bodyDiv w:val="1"/>
      <w:marLeft w:val="0"/>
      <w:marRight w:val="0"/>
      <w:marTop w:val="0"/>
      <w:marBottom w:val="0"/>
      <w:divBdr>
        <w:top w:val="none" w:sz="0" w:space="0" w:color="auto"/>
        <w:left w:val="none" w:sz="0" w:space="0" w:color="auto"/>
        <w:bottom w:val="none" w:sz="0" w:space="0" w:color="auto"/>
        <w:right w:val="none" w:sz="0" w:space="0" w:color="auto"/>
      </w:divBdr>
    </w:div>
    <w:div w:id="1133601056">
      <w:bodyDiv w:val="1"/>
      <w:marLeft w:val="0"/>
      <w:marRight w:val="0"/>
      <w:marTop w:val="0"/>
      <w:marBottom w:val="0"/>
      <w:divBdr>
        <w:top w:val="none" w:sz="0" w:space="0" w:color="auto"/>
        <w:left w:val="none" w:sz="0" w:space="0" w:color="auto"/>
        <w:bottom w:val="none" w:sz="0" w:space="0" w:color="auto"/>
        <w:right w:val="none" w:sz="0" w:space="0" w:color="auto"/>
      </w:divBdr>
    </w:div>
    <w:div w:id="1155029432">
      <w:bodyDiv w:val="1"/>
      <w:marLeft w:val="0"/>
      <w:marRight w:val="0"/>
      <w:marTop w:val="0"/>
      <w:marBottom w:val="0"/>
      <w:divBdr>
        <w:top w:val="none" w:sz="0" w:space="0" w:color="auto"/>
        <w:left w:val="none" w:sz="0" w:space="0" w:color="auto"/>
        <w:bottom w:val="none" w:sz="0" w:space="0" w:color="auto"/>
        <w:right w:val="none" w:sz="0" w:space="0" w:color="auto"/>
      </w:divBdr>
    </w:div>
    <w:div w:id="1155728002">
      <w:bodyDiv w:val="1"/>
      <w:marLeft w:val="0"/>
      <w:marRight w:val="0"/>
      <w:marTop w:val="0"/>
      <w:marBottom w:val="0"/>
      <w:divBdr>
        <w:top w:val="none" w:sz="0" w:space="0" w:color="auto"/>
        <w:left w:val="none" w:sz="0" w:space="0" w:color="auto"/>
        <w:bottom w:val="none" w:sz="0" w:space="0" w:color="auto"/>
        <w:right w:val="none" w:sz="0" w:space="0" w:color="auto"/>
      </w:divBdr>
    </w:div>
    <w:div w:id="1174490989">
      <w:bodyDiv w:val="1"/>
      <w:marLeft w:val="0"/>
      <w:marRight w:val="0"/>
      <w:marTop w:val="0"/>
      <w:marBottom w:val="0"/>
      <w:divBdr>
        <w:top w:val="none" w:sz="0" w:space="0" w:color="auto"/>
        <w:left w:val="none" w:sz="0" w:space="0" w:color="auto"/>
        <w:bottom w:val="none" w:sz="0" w:space="0" w:color="auto"/>
        <w:right w:val="none" w:sz="0" w:space="0" w:color="auto"/>
      </w:divBdr>
    </w:div>
    <w:div w:id="1182472738">
      <w:bodyDiv w:val="1"/>
      <w:marLeft w:val="0"/>
      <w:marRight w:val="0"/>
      <w:marTop w:val="0"/>
      <w:marBottom w:val="0"/>
      <w:divBdr>
        <w:top w:val="none" w:sz="0" w:space="0" w:color="auto"/>
        <w:left w:val="none" w:sz="0" w:space="0" w:color="auto"/>
        <w:bottom w:val="none" w:sz="0" w:space="0" w:color="auto"/>
        <w:right w:val="none" w:sz="0" w:space="0" w:color="auto"/>
      </w:divBdr>
    </w:div>
    <w:div w:id="1192110369">
      <w:bodyDiv w:val="1"/>
      <w:marLeft w:val="0"/>
      <w:marRight w:val="0"/>
      <w:marTop w:val="0"/>
      <w:marBottom w:val="0"/>
      <w:divBdr>
        <w:top w:val="none" w:sz="0" w:space="0" w:color="auto"/>
        <w:left w:val="none" w:sz="0" w:space="0" w:color="auto"/>
        <w:bottom w:val="none" w:sz="0" w:space="0" w:color="auto"/>
        <w:right w:val="none" w:sz="0" w:space="0" w:color="auto"/>
      </w:divBdr>
    </w:div>
    <w:div w:id="1194340612">
      <w:bodyDiv w:val="1"/>
      <w:marLeft w:val="0"/>
      <w:marRight w:val="0"/>
      <w:marTop w:val="0"/>
      <w:marBottom w:val="0"/>
      <w:divBdr>
        <w:top w:val="none" w:sz="0" w:space="0" w:color="auto"/>
        <w:left w:val="none" w:sz="0" w:space="0" w:color="auto"/>
        <w:bottom w:val="none" w:sz="0" w:space="0" w:color="auto"/>
        <w:right w:val="none" w:sz="0" w:space="0" w:color="auto"/>
      </w:divBdr>
    </w:div>
    <w:div w:id="1218661855">
      <w:bodyDiv w:val="1"/>
      <w:marLeft w:val="0"/>
      <w:marRight w:val="0"/>
      <w:marTop w:val="0"/>
      <w:marBottom w:val="0"/>
      <w:divBdr>
        <w:top w:val="none" w:sz="0" w:space="0" w:color="auto"/>
        <w:left w:val="none" w:sz="0" w:space="0" w:color="auto"/>
        <w:bottom w:val="none" w:sz="0" w:space="0" w:color="auto"/>
        <w:right w:val="none" w:sz="0" w:space="0" w:color="auto"/>
      </w:divBdr>
    </w:div>
    <w:div w:id="1246648401">
      <w:bodyDiv w:val="1"/>
      <w:marLeft w:val="0"/>
      <w:marRight w:val="0"/>
      <w:marTop w:val="0"/>
      <w:marBottom w:val="0"/>
      <w:divBdr>
        <w:top w:val="none" w:sz="0" w:space="0" w:color="auto"/>
        <w:left w:val="none" w:sz="0" w:space="0" w:color="auto"/>
        <w:bottom w:val="none" w:sz="0" w:space="0" w:color="auto"/>
        <w:right w:val="none" w:sz="0" w:space="0" w:color="auto"/>
      </w:divBdr>
    </w:div>
    <w:div w:id="1271937416">
      <w:bodyDiv w:val="1"/>
      <w:marLeft w:val="0"/>
      <w:marRight w:val="0"/>
      <w:marTop w:val="0"/>
      <w:marBottom w:val="0"/>
      <w:divBdr>
        <w:top w:val="none" w:sz="0" w:space="0" w:color="auto"/>
        <w:left w:val="none" w:sz="0" w:space="0" w:color="auto"/>
        <w:bottom w:val="none" w:sz="0" w:space="0" w:color="auto"/>
        <w:right w:val="none" w:sz="0" w:space="0" w:color="auto"/>
      </w:divBdr>
    </w:div>
    <w:div w:id="1351176929">
      <w:bodyDiv w:val="1"/>
      <w:marLeft w:val="0"/>
      <w:marRight w:val="0"/>
      <w:marTop w:val="0"/>
      <w:marBottom w:val="0"/>
      <w:divBdr>
        <w:top w:val="none" w:sz="0" w:space="0" w:color="auto"/>
        <w:left w:val="none" w:sz="0" w:space="0" w:color="auto"/>
        <w:bottom w:val="none" w:sz="0" w:space="0" w:color="auto"/>
        <w:right w:val="none" w:sz="0" w:space="0" w:color="auto"/>
      </w:divBdr>
    </w:div>
    <w:div w:id="1386105098">
      <w:bodyDiv w:val="1"/>
      <w:marLeft w:val="0"/>
      <w:marRight w:val="0"/>
      <w:marTop w:val="0"/>
      <w:marBottom w:val="0"/>
      <w:divBdr>
        <w:top w:val="none" w:sz="0" w:space="0" w:color="auto"/>
        <w:left w:val="none" w:sz="0" w:space="0" w:color="auto"/>
        <w:bottom w:val="none" w:sz="0" w:space="0" w:color="auto"/>
        <w:right w:val="none" w:sz="0" w:space="0" w:color="auto"/>
      </w:divBdr>
    </w:div>
    <w:div w:id="1410692959">
      <w:bodyDiv w:val="1"/>
      <w:marLeft w:val="0"/>
      <w:marRight w:val="0"/>
      <w:marTop w:val="0"/>
      <w:marBottom w:val="0"/>
      <w:divBdr>
        <w:top w:val="none" w:sz="0" w:space="0" w:color="auto"/>
        <w:left w:val="none" w:sz="0" w:space="0" w:color="auto"/>
        <w:bottom w:val="none" w:sz="0" w:space="0" w:color="auto"/>
        <w:right w:val="none" w:sz="0" w:space="0" w:color="auto"/>
      </w:divBdr>
    </w:div>
    <w:div w:id="1432628510">
      <w:bodyDiv w:val="1"/>
      <w:marLeft w:val="0"/>
      <w:marRight w:val="0"/>
      <w:marTop w:val="0"/>
      <w:marBottom w:val="0"/>
      <w:divBdr>
        <w:top w:val="none" w:sz="0" w:space="0" w:color="auto"/>
        <w:left w:val="none" w:sz="0" w:space="0" w:color="auto"/>
        <w:bottom w:val="none" w:sz="0" w:space="0" w:color="auto"/>
        <w:right w:val="none" w:sz="0" w:space="0" w:color="auto"/>
      </w:divBdr>
    </w:div>
    <w:div w:id="1438673705">
      <w:bodyDiv w:val="1"/>
      <w:marLeft w:val="0"/>
      <w:marRight w:val="0"/>
      <w:marTop w:val="0"/>
      <w:marBottom w:val="0"/>
      <w:divBdr>
        <w:top w:val="none" w:sz="0" w:space="0" w:color="auto"/>
        <w:left w:val="none" w:sz="0" w:space="0" w:color="auto"/>
        <w:bottom w:val="none" w:sz="0" w:space="0" w:color="auto"/>
        <w:right w:val="none" w:sz="0" w:space="0" w:color="auto"/>
      </w:divBdr>
    </w:div>
    <w:div w:id="1444690073">
      <w:bodyDiv w:val="1"/>
      <w:marLeft w:val="0"/>
      <w:marRight w:val="0"/>
      <w:marTop w:val="0"/>
      <w:marBottom w:val="0"/>
      <w:divBdr>
        <w:top w:val="none" w:sz="0" w:space="0" w:color="auto"/>
        <w:left w:val="none" w:sz="0" w:space="0" w:color="auto"/>
        <w:bottom w:val="none" w:sz="0" w:space="0" w:color="auto"/>
        <w:right w:val="none" w:sz="0" w:space="0" w:color="auto"/>
      </w:divBdr>
    </w:div>
    <w:div w:id="1463619287">
      <w:bodyDiv w:val="1"/>
      <w:marLeft w:val="0"/>
      <w:marRight w:val="0"/>
      <w:marTop w:val="0"/>
      <w:marBottom w:val="0"/>
      <w:divBdr>
        <w:top w:val="none" w:sz="0" w:space="0" w:color="auto"/>
        <w:left w:val="none" w:sz="0" w:space="0" w:color="auto"/>
        <w:bottom w:val="none" w:sz="0" w:space="0" w:color="auto"/>
        <w:right w:val="none" w:sz="0" w:space="0" w:color="auto"/>
      </w:divBdr>
    </w:div>
    <w:div w:id="1466699226">
      <w:bodyDiv w:val="1"/>
      <w:marLeft w:val="0"/>
      <w:marRight w:val="0"/>
      <w:marTop w:val="0"/>
      <w:marBottom w:val="0"/>
      <w:divBdr>
        <w:top w:val="none" w:sz="0" w:space="0" w:color="auto"/>
        <w:left w:val="none" w:sz="0" w:space="0" w:color="auto"/>
        <w:bottom w:val="none" w:sz="0" w:space="0" w:color="auto"/>
        <w:right w:val="none" w:sz="0" w:space="0" w:color="auto"/>
      </w:divBdr>
    </w:div>
    <w:div w:id="1472671360">
      <w:bodyDiv w:val="1"/>
      <w:marLeft w:val="0"/>
      <w:marRight w:val="0"/>
      <w:marTop w:val="0"/>
      <w:marBottom w:val="0"/>
      <w:divBdr>
        <w:top w:val="none" w:sz="0" w:space="0" w:color="auto"/>
        <w:left w:val="none" w:sz="0" w:space="0" w:color="auto"/>
        <w:bottom w:val="none" w:sz="0" w:space="0" w:color="auto"/>
        <w:right w:val="none" w:sz="0" w:space="0" w:color="auto"/>
      </w:divBdr>
    </w:div>
    <w:div w:id="1558858094">
      <w:bodyDiv w:val="1"/>
      <w:marLeft w:val="0"/>
      <w:marRight w:val="0"/>
      <w:marTop w:val="0"/>
      <w:marBottom w:val="0"/>
      <w:divBdr>
        <w:top w:val="none" w:sz="0" w:space="0" w:color="auto"/>
        <w:left w:val="none" w:sz="0" w:space="0" w:color="auto"/>
        <w:bottom w:val="none" w:sz="0" w:space="0" w:color="auto"/>
        <w:right w:val="none" w:sz="0" w:space="0" w:color="auto"/>
      </w:divBdr>
    </w:div>
    <w:div w:id="1608539583">
      <w:bodyDiv w:val="1"/>
      <w:marLeft w:val="0"/>
      <w:marRight w:val="0"/>
      <w:marTop w:val="0"/>
      <w:marBottom w:val="0"/>
      <w:divBdr>
        <w:top w:val="none" w:sz="0" w:space="0" w:color="auto"/>
        <w:left w:val="none" w:sz="0" w:space="0" w:color="auto"/>
        <w:bottom w:val="none" w:sz="0" w:space="0" w:color="auto"/>
        <w:right w:val="none" w:sz="0" w:space="0" w:color="auto"/>
      </w:divBdr>
    </w:div>
    <w:div w:id="1612972109">
      <w:bodyDiv w:val="1"/>
      <w:marLeft w:val="0"/>
      <w:marRight w:val="0"/>
      <w:marTop w:val="0"/>
      <w:marBottom w:val="0"/>
      <w:divBdr>
        <w:top w:val="none" w:sz="0" w:space="0" w:color="auto"/>
        <w:left w:val="none" w:sz="0" w:space="0" w:color="auto"/>
        <w:bottom w:val="none" w:sz="0" w:space="0" w:color="auto"/>
        <w:right w:val="none" w:sz="0" w:space="0" w:color="auto"/>
      </w:divBdr>
    </w:div>
    <w:div w:id="1635721156">
      <w:bodyDiv w:val="1"/>
      <w:marLeft w:val="0"/>
      <w:marRight w:val="0"/>
      <w:marTop w:val="0"/>
      <w:marBottom w:val="0"/>
      <w:divBdr>
        <w:top w:val="none" w:sz="0" w:space="0" w:color="auto"/>
        <w:left w:val="none" w:sz="0" w:space="0" w:color="auto"/>
        <w:bottom w:val="none" w:sz="0" w:space="0" w:color="auto"/>
        <w:right w:val="none" w:sz="0" w:space="0" w:color="auto"/>
      </w:divBdr>
    </w:div>
    <w:div w:id="1641619270">
      <w:bodyDiv w:val="1"/>
      <w:marLeft w:val="0"/>
      <w:marRight w:val="0"/>
      <w:marTop w:val="0"/>
      <w:marBottom w:val="0"/>
      <w:divBdr>
        <w:top w:val="none" w:sz="0" w:space="0" w:color="auto"/>
        <w:left w:val="none" w:sz="0" w:space="0" w:color="auto"/>
        <w:bottom w:val="none" w:sz="0" w:space="0" w:color="auto"/>
        <w:right w:val="none" w:sz="0" w:space="0" w:color="auto"/>
      </w:divBdr>
    </w:div>
    <w:div w:id="1644115432">
      <w:bodyDiv w:val="1"/>
      <w:marLeft w:val="0"/>
      <w:marRight w:val="0"/>
      <w:marTop w:val="0"/>
      <w:marBottom w:val="0"/>
      <w:divBdr>
        <w:top w:val="none" w:sz="0" w:space="0" w:color="auto"/>
        <w:left w:val="none" w:sz="0" w:space="0" w:color="auto"/>
        <w:bottom w:val="none" w:sz="0" w:space="0" w:color="auto"/>
        <w:right w:val="none" w:sz="0" w:space="0" w:color="auto"/>
      </w:divBdr>
    </w:div>
    <w:div w:id="1653633204">
      <w:bodyDiv w:val="1"/>
      <w:marLeft w:val="0"/>
      <w:marRight w:val="0"/>
      <w:marTop w:val="0"/>
      <w:marBottom w:val="0"/>
      <w:divBdr>
        <w:top w:val="none" w:sz="0" w:space="0" w:color="auto"/>
        <w:left w:val="none" w:sz="0" w:space="0" w:color="auto"/>
        <w:bottom w:val="none" w:sz="0" w:space="0" w:color="auto"/>
        <w:right w:val="none" w:sz="0" w:space="0" w:color="auto"/>
      </w:divBdr>
    </w:div>
    <w:div w:id="1660376959">
      <w:bodyDiv w:val="1"/>
      <w:marLeft w:val="0"/>
      <w:marRight w:val="0"/>
      <w:marTop w:val="0"/>
      <w:marBottom w:val="0"/>
      <w:divBdr>
        <w:top w:val="none" w:sz="0" w:space="0" w:color="auto"/>
        <w:left w:val="none" w:sz="0" w:space="0" w:color="auto"/>
        <w:bottom w:val="none" w:sz="0" w:space="0" w:color="auto"/>
        <w:right w:val="none" w:sz="0" w:space="0" w:color="auto"/>
      </w:divBdr>
    </w:div>
    <w:div w:id="1676567740">
      <w:bodyDiv w:val="1"/>
      <w:marLeft w:val="0"/>
      <w:marRight w:val="0"/>
      <w:marTop w:val="0"/>
      <w:marBottom w:val="0"/>
      <w:divBdr>
        <w:top w:val="none" w:sz="0" w:space="0" w:color="auto"/>
        <w:left w:val="none" w:sz="0" w:space="0" w:color="auto"/>
        <w:bottom w:val="none" w:sz="0" w:space="0" w:color="auto"/>
        <w:right w:val="none" w:sz="0" w:space="0" w:color="auto"/>
      </w:divBdr>
    </w:div>
    <w:div w:id="1768236366">
      <w:bodyDiv w:val="1"/>
      <w:marLeft w:val="0"/>
      <w:marRight w:val="0"/>
      <w:marTop w:val="0"/>
      <w:marBottom w:val="0"/>
      <w:divBdr>
        <w:top w:val="none" w:sz="0" w:space="0" w:color="auto"/>
        <w:left w:val="none" w:sz="0" w:space="0" w:color="auto"/>
        <w:bottom w:val="none" w:sz="0" w:space="0" w:color="auto"/>
        <w:right w:val="none" w:sz="0" w:space="0" w:color="auto"/>
      </w:divBdr>
    </w:div>
    <w:div w:id="1771971789">
      <w:bodyDiv w:val="1"/>
      <w:marLeft w:val="0"/>
      <w:marRight w:val="0"/>
      <w:marTop w:val="0"/>
      <w:marBottom w:val="0"/>
      <w:divBdr>
        <w:top w:val="none" w:sz="0" w:space="0" w:color="auto"/>
        <w:left w:val="none" w:sz="0" w:space="0" w:color="auto"/>
        <w:bottom w:val="none" w:sz="0" w:space="0" w:color="auto"/>
        <w:right w:val="none" w:sz="0" w:space="0" w:color="auto"/>
      </w:divBdr>
    </w:div>
    <w:div w:id="1829906704">
      <w:bodyDiv w:val="1"/>
      <w:marLeft w:val="0"/>
      <w:marRight w:val="0"/>
      <w:marTop w:val="0"/>
      <w:marBottom w:val="0"/>
      <w:divBdr>
        <w:top w:val="none" w:sz="0" w:space="0" w:color="auto"/>
        <w:left w:val="none" w:sz="0" w:space="0" w:color="auto"/>
        <w:bottom w:val="none" w:sz="0" w:space="0" w:color="auto"/>
        <w:right w:val="none" w:sz="0" w:space="0" w:color="auto"/>
      </w:divBdr>
    </w:div>
    <w:div w:id="1834100117">
      <w:bodyDiv w:val="1"/>
      <w:marLeft w:val="0"/>
      <w:marRight w:val="0"/>
      <w:marTop w:val="0"/>
      <w:marBottom w:val="0"/>
      <w:divBdr>
        <w:top w:val="none" w:sz="0" w:space="0" w:color="auto"/>
        <w:left w:val="none" w:sz="0" w:space="0" w:color="auto"/>
        <w:bottom w:val="none" w:sz="0" w:space="0" w:color="auto"/>
        <w:right w:val="none" w:sz="0" w:space="0" w:color="auto"/>
      </w:divBdr>
    </w:div>
    <w:div w:id="1853837401">
      <w:bodyDiv w:val="1"/>
      <w:marLeft w:val="0"/>
      <w:marRight w:val="0"/>
      <w:marTop w:val="0"/>
      <w:marBottom w:val="0"/>
      <w:divBdr>
        <w:top w:val="none" w:sz="0" w:space="0" w:color="auto"/>
        <w:left w:val="none" w:sz="0" w:space="0" w:color="auto"/>
        <w:bottom w:val="none" w:sz="0" w:space="0" w:color="auto"/>
        <w:right w:val="none" w:sz="0" w:space="0" w:color="auto"/>
      </w:divBdr>
    </w:div>
    <w:div w:id="1879200067">
      <w:bodyDiv w:val="1"/>
      <w:marLeft w:val="0"/>
      <w:marRight w:val="0"/>
      <w:marTop w:val="0"/>
      <w:marBottom w:val="0"/>
      <w:divBdr>
        <w:top w:val="none" w:sz="0" w:space="0" w:color="auto"/>
        <w:left w:val="none" w:sz="0" w:space="0" w:color="auto"/>
        <w:bottom w:val="none" w:sz="0" w:space="0" w:color="auto"/>
        <w:right w:val="none" w:sz="0" w:space="0" w:color="auto"/>
      </w:divBdr>
    </w:div>
    <w:div w:id="1886721488">
      <w:bodyDiv w:val="1"/>
      <w:marLeft w:val="0"/>
      <w:marRight w:val="0"/>
      <w:marTop w:val="0"/>
      <w:marBottom w:val="0"/>
      <w:divBdr>
        <w:top w:val="none" w:sz="0" w:space="0" w:color="auto"/>
        <w:left w:val="none" w:sz="0" w:space="0" w:color="auto"/>
        <w:bottom w:val="none" w:sz="0" w:space="0" w:color="auto"/>
        <w:right w:val="none" w:sz="0" w:space="0" w:color="auto"/>
      </w:divBdr>
    </w:div>
    <w:div w:id="1942369907">
      <w:bodyDiv w:val="1"/>
      <w:marLeft w:val="0"/>
      <w:marRight w:val="0"/>
      <w:marTop w:val="0"/>
      <w:marBottom w:val="0"/>
      <w:divBdr>
        <w:top w:val="none" w:sz="0" w:space="0" w:color="auto"/>
        <w:left w:val="none" w:sz="0" w:space="0" w:color="auto"/>
        <w:bottom w:val="none" w:sz="0" w:space="0" w:color="auto"/>
        <w:right w:val="none" w:sz="0" w:space="0" w:color="auto"/>
      </w:divBdr>
    </w:div>
    <w:div w:id="1954749940">
      <w:bodyDiv w:val="1"/>
      <w:marLeft w:val="0"/>
      <w:marRight w:val="0"/>
      <w:marTop w:val="0"/>
      <w:marBottom w:val="0"/>
      <w:divBdr>
        <w:top w:val="none" w:sz="0" w:space="0" w:color="auto"/>
        <w:left w:val="none" w:sz="0" w:space="0" w:color="auto"/>
        <w:bottom w:val="none" w:sz="0" w:space="0" w:color="auto"/>
        <w:right w:val="none" w:sz="0" w:space="0" w:color="auto"/>
      </w:divBdr>
    </w:div>
    <w:div w:id="1967157239">
      <w:bodyDiv w:val="1"/>
      <w:marLeft w:val="0"/>
      <w:marRight w:val="0"/>
      <w:marTop w:val="0"/>
      <w:marBottom w:val="0"/>
      <w:divBdr>
        <w:top w:val="none" w:sz="0" w:space="0" w:color="auto"/>
        <w:left w:val="none" w:sz="0" w:space="0" w:color="auto"/>
        <w:bottom w:val="none" w:sz="0" w:space="0" w:color="auto"/>
        <w:right w:val="none" w:sz="0" w:space="0" w:color="auto"/>
      </w:divBdr>
    </w:div>
    <w:div w:id="1979409630">
      <w:bodyDiv w:val="1"/>
      <w:marLeft w:val="0"/>
      <w:marRight w:val="0"/>
      <w:marTop w:val="0"/>
      <w:marBottom w:val="0"/>
      <w:divBdr>
        <w:top w:val="none" w:sz="0" w:space="0" w:color="auto"/>
        <w:left w:val="none" w:sz="0" w:space="0" w:color="auto"/>
        <w:bottom w:val="none" w:sz="0" w:space="0" w:color="auto"/>
        <w:right w:val="none" w:sz="0" w:space="0" w:color="auto"/>
      </w:divBdr>
    </w:div>
    <w:div w:id="1991517078">
      <w:bodyDiv w:val="1"/>
      <w:marLeft w:val="0"/>
      <w:marRight w:val="0"/>
      <w:marTop w:val="0"/>
      <w:marBottom w:val="0"/>
      <w:divBdr>
        <w:top w:val="none" w:sz="0" w:space="0" w:color="auto"/>
        <w:left w:val="none" w:sz="0" w:space="0" w:color="auto"/>
        <w:bottom w:val="none" w:sz="0" w:space="0" w:color="auto"/>
        <w:right w:val="none" w:sz="0" w:space="0" w:color="auto"/>
      </w:divBdr>
    </w:div>
    <w:div w:id="2015064248">
      <w:bodyDiv w:val="1"/>
      <w:marLeft w:val="0"/>
      <w:marRight w:val="0"/>
      <w:marTop w:val="0"/>
      <w:marBottom w:val="0"/>
      <w:divBdr>
        <w:top w:val="none" w:sz="0" w:space="0" w:color="auto"/>
        <w:left w:val="none" w:sz="0" w:space="0" w:color="auto"/>
        <w:bottom w:val="none" w:sz="0" w:space="0" w:color="auto"/>
        <w:right w:val="none" w:sz="0" w:space="0" w:color="auto"/>
      </w:divBdr>
    </w:div>
    <w:div w:id="2026907765">
      <w:bodyDiv w:val="1"/>
      <w:marLeft w:val="0"/>
      <w:marRight w:val="0"/>
      <w:marTop w:val="0"/>
      <w:marBottom w:val="0"/>
      <w:divBdr>
        <w:top w:val="none" w:sz="0" w:space="0" w:color="auto"/>
        <w:left w:val="none" w:sz="0" w:space="0" w:color="auto"/>
        <w:bottom w:val="none" w:sz="0" w:space="0" w:color="auto"/>
        <w:right w:val="none" w:sz="0" w:space="0" w:color="auto"/>
      </w:divBdr>
    </w:div>
    <w:div w:id="2027629085">
      <w:bodyDiv w:val="1"/>
      <w:marLeft w:val="0"/>
      <w:marRight w:val="0"/>
      <w:marTop w:val="0"/>
      <w:marBottom w:val="0"/>
      <w:divBdr>
        <w:top w:val="none" w:sz="0" w:space="0" w:color="auto"/>
        <w:left w:val="none" w:sz="0" w:space="0" w:color="auto"/>
        <w:bottom w:val="none" w:sz="0" w:space="0" w:color="auto"/>
        <w:right w:val="none" w:sz="0" w:space="0" w:color="auto"/>
      </w:divBdr>
    </w:div>
    <w:div w:id="2031488892">
      <w:bodyDiv w:val="1"/>
      <w:marLeft w:val="0"/>
      <w:marRight w:val="0"/>
      <w:marTop w:val="0"/>
      <w:marBottom w:val="0"/>
      <w:divBdr>
        <w:top w:val="none" w:sz="0" w:space="0" w:color="auto"/>
        <w:left w:val="none" w:sz="0" w:space="0" w:color="auto"/>
        <w:bottom w:val="none" w:sz="0" w:space="0" w:color="auto"/>
        <w:right w:val="none" w:sz="0" w:space="0" w:color="auto"/>
      </w:divBdr>
    </w:div>
    <w:div w:id="2034114588">
      <w:bodyDiv w:val="1"/>
      <w:marLeft w:val="0"/>
      <w:marRight w:val="0"/>
      <w:marTop w:val="0"/>
      <w:marBottom w:val="0"/>
      <w:divBdr>
        <w:top w:val="none" w:sz="0" w:space="0" w:color="auto"/>
        <w:left w:val="none" w:sz="0" w:space="0" w:color="auto"/>
        <w:bottom w:val="none" w:sz="0" w:space="0" w:color="auto"/>
        <w:right w:val="none" w:sz="0" w:space="0" w:color="auto"/>
      </w:divBdr>
    </w:div>
    <w:div w:id="2034308701">
      <w:bodyDiv w:val="1"/>
      <w:marLeft w:val="0"/>
      <w:marRight w:val="0"/>
      <w:marTop w:val="0"/>
      <w:marBottom w:val="0"/>
      <w:divBdr>
        <w:top w:val="none" w:sz="0" w:space="0" w:color="auto"/>
        <w:left w:val="none" w:sz="0" w:space="0" w:color="auto"/>
        <w:bottom w:val="none" w:sz="0" w:space="0" w:color="auto"/>
        <w:right w:val="none" w:sz="0" w:space="0" w:color="auto"/>
      </w:divBdr>
    </w:div>
    <w:div w:id="2063210084">
      <w:bodyDiv w:val="1"/>
      <w:marLeft w:val="0"/>
      <w:marRight w:val="0"/>
      <w:marTop w:val="0"/>
      <w:marBottom w:val="0"/>
      <w:divBdr>
        <w:top w:val="none" w:sz="0" w:space="0" w:color="auto"/>
        <w:left w:val="none" w:sz="0" w:space="0" w:color="auto"/>
        <w:bottom w:val="none" w:sz="0" w:space="0" w:color="auto"/>
        <w:right w:val="none" w:sz="0" w:space="0" w:color="auto"/>
      </w:divBdr>
    </w:div>
    <w:div w:id="2078627492">
      <w:bodyDiv w:val="1"/>
      <w:marLeft w:val="0"/>
      <w:marRight w:val="0"/>
      <w:marTop w:val="0"/>
      <w:marBottom w:val="0"/>
      <w:divBdr>
        <w:top w:val="none" w:sz="0" w:space="0" w:color="auto"/>
        <w:left w:val="none" w:sz="0" w:space="0" w:color="auto"/>
        <w:bottom w:val="none" w:sz="0" w:space="0" w:color="auto"/>
        <w:right w:val="none" w:sz="0" w:space="0" w:color="auto"/>
      </w:divBdr>
    </w:div>
    <w:div w:id="2107068628">
      <w:bodyDiv w:val="1"/>
      <w:marLeft w:val="0"/>
      <w:marRight w:val="0"/>
      <w:marTop w:val="0"/>
      <w:marBottom w:val="0"/>
      <w:divBdr>
        <w:top w:val="none" w:sz="0" w:space="0" w:color="auto"/>
        <w:left w:val="none" w:sz="0" w:space="0" w:color="auto"/>
        <w:bottom w:val="none" w:sz="0" w:space="0" w:color="auto"/>
        <w:right w:val="none" w:sz="0" w:space="0" w:color="auto"/>
      </w:divBdr>
    </w:div>
    <w:div w:id="2128424387">
      <w:bodyDiv w:val="1"/>
      <w:marLeft w:val="0"/>
      <w:marRight w:val="0"/>
      <w:marTop w:val="0"/>
      <w:marBottom w:val="0"/>
      <w:divBdr>
        <w:top w:val="none" w:sz="0" w:space="0" w:color="auto"/>
        <w:left w:val="none" w:sz="0" w:space="0" w:color="auto"/>
        <w:bottom w:val="none" w:sz="0" w:space="0" w:color="auto"/>
        <w:right w:val="none" w:sz="0" w:space="0" w:color="auto"/>
      </w:divBdr>
    </w:div>
    <w:div w:id="213058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chart" Target="charts/chart2.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chart" Target="charts/chart1.xml"/></Relationships>
</file>

<file path=word/_rels/footnotes.xml.rels><?xml version="1.0" encoding="UTF-8" standalone="yes"?>
<Relationships xmlns="http://schemas.openxmlformats.org/package/2006/relationships"><Relationship Id="rId1" Type="http://schemas.openxmlformats.org/officeDocument/2006/relationships/hyperlink" Target="https://idbg.sharepoint.com/teams/EZ-ME-LON/ME-L1258/_layouts/15/DocIdRedir.aspx?ID=EZSHARE-60771176-20"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jvalencia\Documents\DATA.IDB\Horacio\Costo%20-%20Beneficio%20ME-L1258\Comentarios%20SPD\Postnegociaci&#243;n_septiembre\CBA_ME-L1258v10_postnegociacionvHV30082017.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5668261044872779"/>
          <c:y val="5.0925925925925923E-2"/>
          <c:w val="0.61152888800967697"/>
          <c:h val="0.6823862271453357"/>
        </c:manualLayout>
      </c:layout>
      <c:barChart>
        <c:barDir val="bar"/>
        <c:grouping val="stacked"/>
        <c:varyColors val="0"/>
        <c:ser>
          <c:idx val="0"/>
          <c:order val="0"/>
          <c:tx>
            <c:strRef>
              <c:f>'Analisis de Sensibilidad  '!$C$2</c:f>
              <c:strCache>
                <c:ptCount val="1"/>
                <c:pt idx="0">
                  <c:v>Pesimista </c:v>
                </c:pt>
              </c:strCache>
            </c:strRef>
          </c:tx>
          <c:spPr>
            <a:solidFill>
              <a:schemeClr val="accent2">
                <a:lumMod val="20000"/>
                <a:lumOff val="80000"/>
              </a:schemeClr>
            </a:solidFill>
            <a:ln>
              <a:noFill/>
            </a:ln>
            <a:effectLst/>
          </c:spPr>
          <c:invertIfNegative val="0"/>
          <c:dLbls>
            <c:spPr>
              <a:noFill/>
              <a:ln>
                <a:noFill/>
              </a:ln>
              <a:effectLst/>
            </c:spPr>
            <c:txPr>
              <a:bodyPr rot="0" spcFirstLastPara="1" vertOverflow="ellipsis" vert="horz" wrap="square" anchor="ctr" anchorCtr="1"/>
              <a:lstStyle/>
              <a:p>
                <a:pPr>
                  <a:defRPr sz="7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s-ES_tradn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'Analisis de Sensibilidad  '!$B$3:$B$7</c:f>
              <c:strCache>
                <c:ptCount val="5"/>
                <c:pt idx="0">
                  <c:v>Impacto en formalidad</c:v>
                </c:pt>
                <c:pt idx="1">
                  <c:v>Impacto asociado a formalidad (como % del salrio de referencia)</c:v>
                </c:pt>
                <c:pt idx="2">
                  <c:v>Impacto de beneficios laborales*</c:v>
                </c:pt>
                <c:pt idx="3">
                  <c:v>Costo Económico (en días)</c:v>
                </c:pt>
                <c:pt idx="4">
                  <c:v>Efecto Desplazamiento (igual al 50% del ingreso del primer año) *</c:v>
                </c:pt>
              </c:strCache>
            </c:strRef>
          </c:cat>
          <c:val>
            <c:numRef>
              <c:f>'Analisis de Sensibilidad  '!$K$3:$K$7</c:f>
              <c:numCache>
                <c:formatCode>"$"#,##0.00_);[Red]\("$"#,##0.00\)</c:formatCode>
                <c:ptCount val="5"/>
                <c:pt idx="0">
                  <c:v>-23.845759452001126</c:v>
                </c:pt>
                <c:pt idx="1">
                  <c:v>-20.642563652001122</c:v>
                </c:pt>
                <c:pt idx="2">
                  <c:v>-17.714892362001123</c:v>
                </c:pt>
                <c:pt idx="3">
                  <c:v>-27.580428692001121</c:v>
                </c:pt>
                <c:pt idx="4">
                  <c:v>-37.395921512001124</c:v>
                </c:pt>
              </c:numCache>
            </c:numRef>
          </c:val>
          <c:extLst>
            <c:ext xmlns:c16="http://schemas.microsoft.com/office/drawing/2014/chart" uri="{C3380CC4-5D6E-409C-BE32-E72D297353CC}">
              <c16:uniqueId val="{00000000-D902-46D0-AAB3-74ABD76C0655}"/>
            </c:ext>
          </c:extLst>
        </c:ser>
        <c:ser>
          <c:idx val="1"/>
          <c:order val="1"/>
          <c:tx>
            <c:strRef>
              <c:f>'Analisis de Sensibilidad  '!$E$2</c:f>
              <c:strCache>
                <c:ptCount val="1"/>
                <c:pt idx="0">
                  <c:v>Optimista</c:v>
                </c:pt>
              </c:strCache>
            </c:strRef>
          </c:tx>
          <c:spPr>
            <a:solidFill>
              <a:schemeClr val="accent1">
                <a:lumMod val="40000"/>
                <a:lumOff val="60000"/>
              </a:schemeClr>
            </a:solidFill>
            <a:ln>
              <a:solidFill>
                <a:schemeClr val="accent1">
                  <a:lumMod val="20000"/>
                  <a:lumOff val="80000"/>
                </a:schemeClr>
              </a:solidFill>
            </a:ln>
            <a:effectLst/>
          </c:spPr>
          <c:invertIfNegative val="0"/>
          <c:dLbls>
            <c:spPr>
              <a:noFill/>
              <a:ln>
                <a:noFill/>
              </a:ln>
              <a:effectLst/>
            </c:spPr>
            <c:txPr>
              <a:bodyPr rot="0" spcFirstLastPara="1" vertOverflow="ellipsis" vert="horz" wrap="square" anchor="ctr" anchorCtr="1"/>
              <a:lstStyle/>
              <a:p>
                <a:pPr>
                  <a:defRPr sz="7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s-ES_tradn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'Analisis de Sensibilidad  '!$B$3:$B$7</c:f>
              <c:strCache>
                <c:ptCount val="5"/>
                <c:pt idx="0">
                  <c:v>Impacto en formalidad</c:v>
                </c:pt>
                <c:pt idx="1">
                  <c:v>Impacto asociado a formalidad (como % del salrio de referencia)</c:v>
                </c:pt>
                <c:pt idx="2">
                  <c:v>Impacto de beneficios laborales*</c:v>
                </c:pt>
                <c:pt idx="3">
                  <c:v>Costo Económico (en días)</c:v>
                </c:pt>
                <c:pt idx="4">
                  <c:v>Efecto Desplazamiento (igual al 50% del ingreso del primer año) *</c:v>
                </c:pt>
              </c:strCache>
            </c:strRef>
          </c:cat>
          <c:val>
            <c:numRef>
              <c:f>'Analisis de Sensibilidad  '!$L$3:$L$7</c:f>
              <c:numCache>
                <c:formatCode>"$"#,##0.00_);[Red]\("$"#,##0.00\)</c:formatCode>
                <c:ptCount val="5"/>
                <c:pt idx="0">
                  <c:v>23.845481887998872</c:v>
                </c:pt>
                <c:pt idx="1">
                  <c:v>20.642563647998884</c:v>
                </c:pt>
                <c:pt idx="3">
                  <c:v>27.580428697998883</c:v>
                </c:pt>
              </c:numCache>
            </c:numRef>
          </c:val>
          <c:extLst>
            <c:ext xmlns:c16="http://schemas.microsoft.com/office/drawing/2014/chart" uri="{C3380CC4-5D6E-409C-BE32-E72D297353CC}">
              <c16:uniqueId val="{00000001-D902-46D0-AAB3-74ABD76C0655}"/>
            </c:ext>
          </c:extLst>
        </c:ser>
        <c:dLbls>
          <c:showLegendKey val="0"/>
          <c:showVal val="0"/>
          <c:showCatName val="0"/>
          <c:showSerName val="0"/>
          <c:showPercent val="0"/>
          <c:showBubbleSize val="0"/>
        </c:dLbls>
        <c:gapWidth val="150"/>
        <c:overlap val="100"/>
        <c:axId val="833932176"/>
        <c:axId val="833937096"/>
      </c:barChart>
      <c:catAx>
        <c:axId val="833932176"/>
        <c:scaling>
          <c:orientation val="minMax"/>
        </c:scaling>
        <c:delete val="0"/>
        <c:axPos val="l"/>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ES_tradnl"/>
          </a:p>
        </c:txPr>
        <c:crossAx val="833937096"/>
        <c:crosses val="autoZero"/>
        <c:auto val="1"/>
        <c:lblAlgn val="ctr"/>
        <c:lblOffset val="100"/>
        <c:noMultiLvlLbl val="0"/>
      </c:catAx>
      <c:valAx>
        <c:axId val="83393709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7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es-ES_tradnl"/>
                  <a:t>Millones de dólares con respecto al ecenario base</a:t>
                </a:r>
              </a:p>
            </c:rich>
          </c:tx>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ES_tradnl"/>
            </a:p>
          </c:txPr>
        </c:title>
        <c:numFmt formatCode="&quot;$&quot;#,##0.00_);[Red]\(&quot;$&quot;#,##0.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ES_tradnl"/>
          </a:p>
        </c:txPr>
        <c:crossAx val="833932176"/>
        <c:crosses val="autoZero"/>
        <c:crossBetween val="between"/>
        <c:majorUnit val="15"/>
      </c:valAx>
      <c:spPr>
        <a:noFill/>
        <a:ln>
          <a:noFill/>
        </a:ln>
        <a:effectLst/>
      </c:spPr>
    </c:plotArea>
    <c:legend>
      <c:legendPos val="b"/>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ES_tradnl"/>
        </a:p>
      </c:txPr>
    </c:legend>
    <c:plotVisOnly val="1"/>
    <c:dispBlanksAs val="gap"/>
    <c:showDLblsOverMax val="0"/>
  </c:chart>
  <c:spPr>
    <a:solidFill>
      <a:schemeClr val="bg1"/>
    </a:solidFill>
    <a:ln w="9525" cap="flat" cmpd="sng" algn="ctr">
      <a:noFill/>
      <a:round/>
    </a:ln>
    <a:effectLst/>
  </c:spPr>
  <c:txPr>
    <a:bodyPr/>
    <a:lstStyle/>
    <a:p>
      <a:pPr>
        <a:defRPr sz="700">
          <a:latin typeface="Arial" panose="020B0604020202020204" pitchFamily="34" charset="0"/>
          <a:cs typeface="Arial" panose="020B0604020202020204" pitchFamily="34" charset="0"/>
        </a:defRPr>
      </a:pPr>
      <a:endParaRPr lang="es-ES_tradnl"/>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5668261044872779"/>
          <c:y val="5.0925925925925923E-2"/>
          <c:w val="0.61152888800967697"/>
          <c:h val="0.60031821243583483"/>
        </c:manualLayout>
      </c:layout>
      <c:barChart>
        <c:barDir val="bar"/>
        <c:grouping val="stacked"/>
        <c:varyColors val="0"/>
        <c:ser>
          <c:idx val="0"/>
          <c:order val="0"/>
          <c:tx>
            <c:strRef>
              <c:f>'Analisis de Sensibilidad  '!$C$2</c:f>
              <c:strCache>
                <c:ptCount val="1"/>
                <c:pt idx="0">
                  <c:v>Pesimista </c:v>
                </c:pt>
              </c:strCache>
            </c:strRef>
          </c:tx>
          <c:spPr>
            <a:solidFill>
              <a:schemeClr val="accent2">
                <a:lumMod val="20000"/>
                <a:lumOff val="80000"/>
              </a:schemeClr>
            </a:solidFill>
            <a:ln>
              <a:noFill/>
            </a:ln>
            <a:effectLst/>
          </c:spPr>
          <c:invertIfNegative val="0"/>
          <c:dLbls>
            <c:spPr>
              <a:noFill/>
              <a:ln>
                <a:noFill/>
              </a:ln>
              <a:effectLst/>
            </c:spPr>
            <c:txPr>
              <a:bodyPr rot="0" spcFirstLastPara="1" vertOverflow="ellipsis" vert="horz" wrap="square" anchor="ctr" anchorCtr="1"/>
              <a:lstStyle/>
              <a:p>
                <a:pPr>
                  <a:defRPr sz="7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s-ES_tradn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'Analisis de Sensibilidad  '!$B$8:$B$11</c:f>
              <c:strCache>
                <c:ptCount val="4"/>
                <c:pt idx="0">
                  <c:v>Impacto en formalidad</c:v>
                </c:pt>
                <c:pt idx="1">
                  <c:v>Impacto asociado a formalidad (como % del salrio de referencia)</c:v>
                </c:pt>
                <c:pt idx="2">
                  <c:v>Impacto de beneficios laborales*</c:v>
                </c:pt>
                <c:pt idx="3">
                  <c:v>Efecto Desplazamiento (igual al 50% del ingreso del primer año)*</c:v>
                </c:pt>
              </c:strCache>
            </c:strRef>
          </c:cat>
          <c:val>
            <c:numRef>
              <c:f>'Analisis de Sensibilidad  '!$K$8:$K$11</c:f>
              <c:numCache>
                <c:formatCode>"$"#,##0.00_);[Red]\("$"#,##0.00\)</c:formatCode>
                <c:ptCount val="4"/>
                <c:pt idx="0">
                  <c:v>-21.212586073644061</c:v>
                </c:pt>
                <c:pt idx="1">
                  <c:v>-18.558224619644061</c:v>
                </c:pt>
                <c:pt idx="2">
                  <c:v>-15.926168723644061</c:v>
                </c:pt>
                <c:pt idx="3">
                  <c:v>-9.821444458644061</c:v>
                </c:pt>
              </c:numCache>
            </c:numRef>
          </c:val>
          <c:extLst>
            <c:ext xmlns:c16="http://schemas.microsoft.com/office/drawing/2014/chart" uri="{C3380CC4-5D6E-409C-BE32-E72D297353CC}">
              <c16:uniqueId val="{00000000-17E1-41BB-812B-F3529671FE59}"/>
            </c:ext>
          </c:extLst>
        </c:ser>
        <c:ser>
          <c:idx val="1"/>
          <c:order val="1"/>
          <c:tx>
            <c:strRef>
              <c:f>'Analisis de Sensibilidad  '!$E$2</c:f>
              <c:strCache>
                <c:ptCount val="1"/>
                <c:pt idx="0">
                  <c:v>Optimista</c:v>
                </c:pt>
              </c:strCache>
            </c:strRef>
          </c:tx>
          <c:spPr>
            <a:solidFill>
              <a:schemeClr val="accent1">
                <a:lumMod val="40000"/>
                <a:lumOff val="60000"/>
              </a:schemeClr>
            </a:solidFill>
            <a:ln>
              <a:solidFill>
                <a:schemeClr val="accent1">
                  <a:lumMod val="20000"/>
                  <a:lumOff val="80000"/>
                </a:schemeClr>
              </a:solidFill>
            </a:ln>
            <a:effectLst/>
          </c:spPr>
          <c:invertIfNegative val="0"/>
          <c:dLbls>
            <c:spPr>
              <a:noFill/>
              <a:ln>
                <a:noFill/>
              </a:ln>
              <a:effectLst/>
            </c:spPr>
            <c:txPr>
              <a:bodyPr rot="0" spcFirstLastPara="1" vertOverflow="ellipsis" vert="horz" wrap="square" anchor="ctr" anchorCtr="1"/>
              <a:lstStyle/>
              <a:p>
                <a:pPr>
                  <a:defRPr sz="7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s-ES_tradn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'Analisis de Sensibilidad  '!$B$8:$B$11</c:f>
              <c:strCache>
                <c:ptCount val="4"/>
                <c:pt idx="0">
                  <c:v>Impacto en formalidad</c:v>
                </c:pt>
                <c:pt idx="1">
                  <c:v>Impacto asociado a formalidad (como % del salrio de referencia)</c:v>
                </c:pt>
                <c:pt idx="2">
                  <c:v>Impacto de beneficios laborales*</c:v>
                </c:pt>
                <c:pt idx="3">
                  <c:v>Efecto Desplazamiento (igual al 50% del ingreso del primer año)*</c:v>
                </c:pt>
              </c:strCache>
            </c:strRef>
          </c:cat>
          <c:val>
            <c:numRef>
              <c:f>'Analisis de Sensibilidad  '!$L$8:$L$11</c:f>
              <c:numCache>
                <c:formatCode>"$"#,##0.00_);[Red]\("$"#,##0.00\)</c:formatCode>
                <c:ptCount val="4"/>
                <c:pt idx="0">
                  <c:v>21.212586071355943</c:v>
                </c:pt>
                <c:pt idx="1">
                  <c:v>18.55822462135594</c:v>
                </c:pt>
              </c:numCache>
            </c:numRef>
          </c:val>
          <c:extLst>
            <c:ext xmlns:c16="http://schemas.microsoft.com/office/drawing/2014/chart" uri="{C3380CC4-5D6E-409C-BE32-E72D297353CC}">
              <c16:uniqueId val="{00000001-17E1-41BB-812B-F3529671FE59}"/>
            </c:ext>
          </c:extLst>
        </c:ser>
        <c:dLbls>
          <c:showLegendKey val="0"/>
          <c:showVal val="0"/>
          <c:showCatName val="0"/>
          <c:showSerName val="0"/>
          <c:showPercent val="0"/>
          <c:showBubbleSize val="0"/>
        </c:dLbls>
        <c:gapWidth val="150"/>
        <c:overlap val="100"/>
        <c:axId val="833932176"/>
        <c:axId val="833937096"/>
      </c:barChart>
      <c:catAx>
        <c:axId val="833932176"/>
        <c:scaling>
          <c:orientation val="minMax"/>
        </c:scaling>
        <c:delete val="0"/>
        <c:axPos val="l"/>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ES_tradnl"/>
          </a:p>
        </c:txPr>
        <c:crossAx val="833937096"/>
        <c:crosses val="autoZero"/>
        <c:auto val="1"/>
        <c:lblAlgn val="ctr"/>
        <c:lblOffset val="100"/>
        <c:noMultiLvlLbl val="0"/>
      </c:catAx>
      <c:valAx>
        <c:axId val="83393709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7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es-ES_tradnl"/>
                  <a:t>Millones de dólares con respecto al ecenario base</a:t>
                </a:r>
              </a:p>
            </c:rich>
          </c:tx>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ES_tradnl"/>
            </a:p>
          </c:txPr>
        </c:title>
        <c:numFmt formatCode="&quot;$&quot;#,##0.00_);[Red]\(&quot;$&quot;#,##0.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ES_tradnl"/>
          </a:p>
        </c:txPr>
        <c:crossAx val="833932176"/>
        <c:crosses val="autoZero"/>
        <c:crossBetween val="between"/>
        <c:majorUnit val="15"/>
      </c:valAx>
      <c:spPr>
        <a:noFill/>
        <a:ln>
          <a:noFill/>
        </a:ln>
        <a:effectLst/>
      </c:spPr>
    </c:plotArea>
    <c:legend>
      <c:legendPos val="b"/>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ES_tradnl"/>
        </a:p>
      </c:txPr>
    </c:legend>
    <c:plotVisOnly val="1"/>
    <c:dispBlanksAs val="gap"/>
    <c:showDLblsOverMax val="0"/>
  </c:chart>
  <c:spPr>
    <a:solidFill>
      <a:schemeClr val="bg1"/>
    </a:solidFill>
    <a:ln w="9525" cap="flat" cmpd="sng" algn="ctr">
      <a:noFill/>
      <a:round/>
    </a:ln>
    <a:effectLst/>
  </c:spPr>
  <c:txPr>
    <a:bodyPr/>
    <a:lstStyle/>
    <a:p>
      <a:pPr>
        <a:defRPr sz="700">
          <a:latin typeface="Arial" panose="020B0604020202020204" pitchFamily="34" charset="0"/>
          <a:cs typeface="Arial" panose="020B0604020202020204" pitchFamily="34" charset="0"/>
        </a:defRPr>
      </a:pPr>
      <a:endParaRPr lang="es-ES_tradnl"/>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0677CA023C2F7438EA0FAA71769628C" ma:contentTypeVersion="26" ma:contentTypeDescription="A content type to manage public (operations) IDB documents" ma:contentTypeScope="" ma:versionID="5770f3561739cb96e0e1c8628611ea52">
  <xsd:schema xmlns:xsd="http://www.w3.org/2001/XMLSchema" xmlns:xs="http://www.w3.org/2001/XMLSchema" xmlns:p="http://schemas.microsoft.com/office/2006/metadata/properties" xmlns:ns2="cdc7663a-08f0-4737-9e8c-148ce897a09c" targetNamespace="http://schemas.microsoft.com/office/2006/metadata/properties" ma:root="true" ma:fieldsID="7148bbd2547d5f1784cb61ea1835f7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Kaplan, David</Other_x0020_Author>
    <Migration_x0020_Info xmlns="cdc7663a-08f0-4737-9e8c-148ce897a09c" xsi:nil="true"/>
    <Approval_x0020_Number xmlns="cdc7663a-08f0-4737-9e8c-148ce897a09c" xsi:nil="true"/>
    <Phase xmlns="cdc7663a-08f0-4737-9e8c-148ce897a09c">ACTIVE</Phase>
    <Document_x0020_Author xmlns="cdc7663a-08f0-4737-9e8c-148ce897a09c">Muhlstein, Ethel Rosa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LABOR INTERMEDIATION SYSTEMS</TermName>
          <TermId xmlns="http://schemas.microsoft.com/office/infopath/2007/PartnerControls">72d0edb0-5336-43b6-bb2f-05b457738b24</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34</Value>
      <Value>19</Value>
      <Value>24</Value>
      <Value>1</Value>
      <Value>42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ME-L1258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R0000574763</Record_x0020_Number>
    <_dlc_DocId xmlns="cdc7663a-08f0-4737-9e8c-148ce897a09c">EZSHARE-60771176-85</_dlc_DocId>
    <_dlc_DocIdUrl xmlns="cdc7663a-08f0-4737-9e8c-148ce897a09c">
      <Url>https://idbg.sharepoint.com/teams/EZ-ME-LON/ME-L1258/_layouts/15/DocIdRedir.aspx?ID=EZSHARE-60771176-85</Url>
      <Description>EZSHARE-60771176-85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Training;</Webtopic>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C5DC8-EBEF-4155-8979-734193CB912F}">
  <ds:schemaRefs>
    <ds:schemaRef ds:uri="http://schemas.microsoft.com/sharepoint/v3/contenttype/forms"/>
  </ds:schemaRefs>
</ds:datastoreItem>
</file>

<file path=customXml/itemProps2.xml><?xml version="1.0" encoding="utf-8"?>
<ds:datastoreItem xmlns:ds="http://schemas.openxmlformats.org/officeDocument/2006/customXml" ds:itemID="{B7408871-E6E9-4DDE-B049-97E64735CEB8}">
  <ds:schemaRefs>
    <ds:schemaRef ds:uri="http://schemas.microsoft.com/sharepoint/events"/>
  </ds:schemaRefs>
</ds:datastoreItem>
</file>

<file path=customXml/itemProps3.xml><?xml version="1.0" encoding="utf-8"?>
<ds:datastoreItem xmlns:ds="http://schemas.openxmlformats.org/officeDocument/2006/customXml" ds:itemID="{59D71765-5C59-4907-8FE3-905C10407E59}"/>
</file>

<file path=customXml/itemProps4.xml><?xml version="1.0" encoding="utf-8"?>
<ds:datastoreItem xmlns:ds="http://schemas.openxmlformats.org/officeDocument/2006/customXml" ds:itemID="{10C90FDF-7E93-4098-B261-94344ACF4060}"/>
</file>

<file path=customXml/itemProps5.xml><?xml version="1.0" encoding="utf-8"?>
<ds:datastoreItem xmlns:ds="http://schemas.openxmlformats.org/officeDocument/2006/customXml" ds:itemID="{E8C60DA6-5E4A-49BA-A201-BA2E7C079DB6}">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3D3E8171-8D25-43C3-9889-D528781708FB}"/>
</file>

<file path=customXml/itemProps7.xml><?xml version="1.0" encoding="utf-8"?>
<ds:datastoreItem xmlns:ds="http://schemas.openxmlformats.org/officeDocument/2006/customXml" ds:itemID="{257E5C09-6CCC-451B-BE40-5DC9754EA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TotalTime>
  <Pages>29</Pages>
  <Words>10966</Words>
  <Characters>60316</Characters>
  <Application>Microsoft Office Word</Application>
  <DocSecurity>0</DocSecurity>
  <Lines>502</Lines>
  <Paragraphs>142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71140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Valencia Rivamontan, Jose Horacio</cp:lastModifiedBy>
  <cp:revision>18</cp:revision>
  <cp:lastPrinted>2017-08-30T16:29:00Z</cp:lastPrinted>
  <dcterms:created xsi:type="dcterms:W3CDTF">2017-08-17T19:58:00Z</dcterms:created>
  <dcterms:modified xsi:type="dcterms:W3CDTF">2017-08-30T18:16:00Z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42;#LABOR INTERMEDIATION SYSTEMS|72d0edb0-5336-43b6-bb2f-05b457738b24</vt:lpwstr>
  </property>
  <property fmtid="{D5CDD505-2E9C-101B-9397-08002B2CF9AE}" pid="7" name="Fund IDB">
    <vt:lpwstr>24;#ORC|c028a4b2-ad8b-4cf4-9cac-a2ae6a778e23</vt:lpwstr>
  </property>
  <property fmtid="{D5CDD505-2E9C-101B-9397-08002B2CF9AE}" pid="8" name="Country">
    <vt:lpwstr>19;#Mexico|0eba6470-e7ea-46fd-a959-d4c243acaf26</vt:lpwstr>
  </property>
  <property fmtid="{D5CDD505-2E9C-101B-9397-08002B2CF9AE}" pid="9" name="Sector IDB">
    <vt:lpwstr>34;#SOCIAL INVESTMENT|3f908695-d5b5-49f6-941f-76876b39564f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36bf72c7-e8e1-49c4-8aef-7161eeef5187</vt:lpwstr>
  </property>
  <property fmtid="{D5CDD505-2E9C-101B-9397-08002B2CF9AE}" pid="12" name="RecordPoint_ActiveItemMoved">
    <vt:lpwstr>/teams/EZ-ME-LON/ME-L1258/15 LifeCycle Milestones/Draft Area/Análisis Economico (costo-beneficio) ME-L1258.docx</vt:lpwstr>
  </property>
  <property fmtid="{D5CDD505-2E9C-101B-9397-08002B2CF9AE}" pid="13" name="RecordStorageActiveId">
    <vt:lpwstr>6877a10e-e952-4ddf-994a-ede741bbe8ea</vt:lpwstr>
  </property>
  <property fmtid="{D5CDD505-2E9C-101B-9397-08002B2CF9AE}" pid="14" name="Disclosure Activity">
    <vt:lpwstr>Loan Proposal</vt:lpwstr>
  </property>
  <property fmtid="{D5CDD505-2E9C-101B-9397-08002B2CF9AE}" pid="15" name="ContentTypeId">
    <vt:lpwstr>0x0101001A458A224826124E8B45B1D613300CFC00E0677CA023C2F7438EA0FAA71769628C</vt:lpwstr>
  </property>
</Properties>
</file>