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ADF" w:rsidRDefault="00AC5ADF" w:rsidP="00AC5ADF">
      <w:pPr>
        <w:spacing w:before="120" w:after="120"/>
        <w:ind w:left="720"/>
        <w:jc w:val="center"/>
        <w:rPr>
          <w:b/>
          <w:smallCaps/>
          <w:szCs w:val="24"/>
        </w:rPr>
      </w:pPr>
      <w:r w:rsidRPr="00836713">
        <w:rPr>
          <w:b/>
          <w:smallCaps/>
          <w:sz w:val="28"/>
          <w:szCs w:val="28"/>
        </w:rPr>
        <w:t>monitoring and evaluation plan</w:t>
      </w:r>
    </w:p>
    <w:p w:rsidR="00AC5ADF" w:rsidRDefault="00AC5ADF" w:rsidP="00AC5ADF">
      <w:pPr>
        <w:spacing w:before="120" w:after="120"/>
        <w:ind w:left="720"/>
        <w:jc w:val="both"/>
        <w:rPr>
          <w:b/>
          <w:smallCaps/>
          <w:szCs w:val="24"/>
        </w:rPr>
      </w:pPr>
    </w:p>
    <w:p w:rsidR="005310A0" w:rsidRPr="00836713" w:rsidRDefault="005310A0" w:rsidP="00ED14FD">
      <w:pPr>
        <w:numPr>
          <w:ilvl w:val="0"/>
          <w:numId w:val="2"/>
        </w:numPr>
        <w:spacing w:before="240" w:after="240"/>
        <w:ind w:left="720"/>
        <w:jc w:val="center"/>
        <w:rPr>
          <w:b/>
          <w:smallCaps/>
          <w:szCs w:val="24"/>
        </w:rPr>
      </w:pPr>
      <w:r w:rsidRPr="00836713">
        <w:rPr>
          <w:b/>
          <w:smallCaps/>
          <w:szCs w:val="24"/>
        </w:rPr>
        <w:t>Introduction</w:t>
      </w:r>
    </w:p>
    <w:p w:rsidR="00507DA9" w:rsidRPr="00836713" w:rsidRDefault="00507DA9" w:rsidP="009B10BC">
      <w:pPr>
        <w:numPr>
          <w:ilvl w:val="1"/>
          <w:numId w:val="4"/>
        </w:numPr>
        <w:spacing w:before="120" w:after="120"/>
        <w:ind w:left="720" w:hanging="720"/>
        <w:jc w:val="both"/>
      </w:pPr>
      <w:r w:rsidRPr="00836713">
        <w:rPr>
          <w:color w:val="000000"/>
        </w:rPr>
        <w:t>The overall goal of this multi-phased program is to increase the learning outcomes of students in the education system of Suriname from pre-primary through junior secondary education nationally.</w:t>
      </w:r>
      <w:r w:rsidRPr="00836713">
        <w:t xml:space="preserve"> </w:t>
      </w:r>
      <w:r w:rsidRPr="00836713">
        <w:rPr>
          <w:color w:val="000000"/>
        </w:rPr>
        <w:t xml:space="preserve">The program objective is to improve the internal efficiency and quality of education by implementing a new basic education cycle, and supporting policy changes required to achieve the objective. </w:t>
      </w:r>
    </w:p>
    <w:p w:rsidR="00A34C82" w:rsidRDefault="0024083B" w:rsidP="009B10BC">
      <w:pPr>
        <w:numPr>
          <w:ilvl w:val="1"/>
          <w:numId w:val="4"/>
        </w:numPr>
        <w:spacing w:before="120" w:after="120"/>
        <w:ind w:left="720" w:hanging="720"/>
        <w:jc w:val="both"/>
      </w:pPr>
      <w:r w:rsidRPr="00836713">
        <w:t xml:space="preserve">The program monitoring and evaluation system will be based on the program’s Results Framework and include the involvement of </w:t>
      </w:r>
      <w:r w:rsidR="0077720D">
        <w:t>Ministry of Education and Community Development (</w:t>
      </w:r>
      <w:r w:rsidRPr="00836713">
        <w:t>MOECD</w:t>
      </w:r>
      <w:r w:rsidR="0077720D">
        <w:t>)</w:t>
      </w:r>
      <w:r w:rsidRPr="00836713">
        <w:t xml:space="preserve"> and </w:t>
      </w:r>
      <w:r w:rsidR="0077720D">
        <w:t>Program Management Unit (</w:t>
      </w:r>
      <w:r w:rsidRPr="00836713">
        <w:t>PMU</w:t>
      </w:r>
      <w:r w:rsidR="0077720D">
        <w:t>)</w:t>
      </w:r>
      <w:r w:rsidRPr="00836713">
        <w:t xml:space="preserve"> staff.</w:t>
      </w:r>
      <w:r w:rsidR="00EA7FA9">
        <w:t xml:space="preserve"> </w:t>
      </w:r>
      <w:r w:rsidRPr="00836713">
        <w:t xml:space="preserve">The Research and Planning </w:t>
      </w:r>
      <w:r w:rsidR="00507DA9" w:rsidRPr="00836713">
        <w:t xml:space="preserve">(R&amp;P) </w:t>
      </w:r>
      <w:r w:rsidRPr="00836713">
        <w:t>Department of the MOECD will be directly involved in the monitoring and evaluation of the program from its inception. While the PMU ultimately is responsible for the M&amp;E and reporting of the program, the R&amp;P Department will be responsible for supporting the PMU in the process. Such support may include: (i) developing M&amp;E instruments for the program; (ii) conducting monitoring visits; (iii) collecting and analyzing data related to program indicators; and (iv) assisting in evaluation of program initiatives. Specific roles of the PMU and R&amp;P Department will be clarified in the Operational Manual.</w:t>
      </w:r>
      <w:r w:rsidR="00EA7FA9">
        <w:t xml:space="preserve"> </w:t>
      </w:r>
    </w:p>
    <w:p w:rsidR="00A34C82" w:rsidRDefault="00A34C82" w:rsidP="009B10BC">
      <w:pPr>
        <w:numPr>
          <w:ilvl w:val="1"/>
          <w:numId w:val="4"/>
        </w:numPr>
        <w:spacing w:before="120" w:after="120"/>
        <w:ind w:left="720" w:hanging="720"/>
        <w:jc w:val="both"/>
        <w:sectPr w:rsidR="00A34C82">
          <w:headerReference w:type="default" r:id="rId9"/>
          <w:pgSz w:w="12240" w:h="15840"/>
          <w:pgMar w:top="1440" w:right="1627" w:bottom="1440" w:left="1440" w:header="720" w:footer="720" w:gutter="0"/>
          <w:cols w:space="720"/>
          <w:docGrid w:linePitch="360"/>
        </w:sectPr>
      </w:pPr>
    </w:p>
    <w:p w:rsidR="00630DA5" w:rsidRPr="002E6D8C" w:rsidRDefault="00630DA5" w:rsidP="00ED14FD">
      <w:pPr>
        <w:numPr>
          <w:ilvl w:val="0"/>
          <w:numId w:val="2"/>
        </w:numPr>
        <w:spacing w:before="240" w:after="240"/>
        <w:ind w:left="720"/>
        <w:jc w:val="center"/>
        <w:rPr>
          <w:rFonts w:ascii="Times New Roman Bold" w:hAnsi="Times New Roman Bold"/>
          <w:b/>
          <w:smallCaps/>
          <w:szCs w:val="24"/>
        </w:rPr>
      </w:pPr>
      <w:r w:rsidRPr="002E6D8C">
        <w:rPr>
          <w:rFonts w:ascii="Times New Roman Bold" w:hAnsi="Times New Roman Bold"/>
          <w:b/>
          <w:smallCaps/>
          <w:szCs w:val="24"/>
        </w:rPr>
        <w:lastRenderedPageBreak/>
        <w:t>Monitoring</w:t>
      </w:r>
    </w:p>
    <w:p w:rsidR="005310A0" w:rsidRPr="00836713" w:rsidRDefault="00630DA5" w:rsidP="009B10BC">
      <w:pPr>
        <w:numPr>
          <w:ilvl w:val="1"/>
          <w:numId w:val="2"/>
        </w:numPr>
        <w:spacing w:before="120" w:after="120"/>
        <w:ind w:left="1080"/>
        <w:jc w:val="both"/>
        <w:rPr>
          <w:b/>
          <w:szCs w:val="24"/>
        </w:rPr>
      </w:pPr>
      <w:r w:rsidRPr="00836713">
        <w:rPr>
          <w:b/>
          <w:szCs w:val="24"/>
        </w:rPr>
        <w:t>Indicators</w:t>
      </w:r>
    </w:p>
    <w:p w:rsidR="00F7575D" w:rsidRDefault="00836713" w:rsidP="009B10BC">
      <w:pPr>
        <w:suppressAutoHyphens/>
        <w:spacing w:after="0"/>
        <w:ind w:left="720" w:hanging="720"/>
        <w:jc w:val="both"/>
        <w:rPr>
          <w:color w:val="000000"/>
          <w:szCs w:val="24"/>
        </w:rPr>
      </w:pPr>
      <w:r w:rsidRPr="00836713">
        <w:rPr>
          <w:color w:val="000000"/>
          <w:szCs w:val="24"/>
        </w:rPr>
        <w:t>2.1</w:t>
      </w:r>
      <w:r w:rsidRPr="00836713">
        <w:rPr>
          <w:color w:val="000000"/>
          <w:szCs w:val="24"/>
        </w:rPr>
        <w:tab/>
      </w:r>
      <w:r w:rsidR="00F7575D" w:rsidRPr="00836713">
        <w:rPr>
          <w:color w:val="000000"/>
          <w:szCs w:val="24"/>
        </w:rPr>
        <w:t>Based on the complete results matrix of the project, the monitoring will consider the following indicators.</w:t>
      </w:r>
    </w:p>
    <w:tbl>
      <w:tblPr>
        <w:tblpPr w:leftFromText="180" w:rightFromText="180" w:vertAnchor="text" w:horzAnchor="margin" w:tblpY="9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8"/>
        <w:gridCol w:w="1803"/>
        <w:gridCol w:w="1567"/>
        <w:gridCol w:w="3421"/>
      </w:tblGrid>
      <w:tr w:rsidR="00836713" w:rsidRPr="006963C9" w:rsidTr="006963C9">
        <w:trPr>
          <w:cantSplit/>
        </w:trPr>
        <w:tc>
          <w:tcPr>
            <w:tcW w:w="0" w:type="auto"/>
            <w:gridSpan w:val="4"/>
            <w:tcBorders>
              <w:top w:val="nil"/>
              <w:left w:val="nil"/>
              <w:right w:val="nil"/>
            </w:tcBorders>
            <w:shd w:val="clear" w:color="auto" w:fill="FFFFFF" w:themeFill="background1"/>
          </w:tcPr>
          <w:p w:rsidR="00836713" w:rsidRPr="006963C9" w:rsidRDefault="00836713" w:rsidP="00AC5ADF">
            <w:pPr>
              <w:spacing w:after="0"/>
              <w:jc w:val="center"/>
              <w:rPr>
                <w:b/>
                <w:sz w:val="20"/>
                <w:szCs w:val="20"/>
              </w:rPr>
            </w:pPr>
            <w:r w:rsidRPr="006963C9">
              <w:rPr>
                <w:b/>
                <w:sz w:val="20"/>
                <w:szCs w:val="20"/>
              </w:rPr>
              <w:t>Table 2-1. Monitoring Indicators</w:t>
            </w:r>
          </w:p>
        </w:tc>
      </w:tr>
      <w:tr w:rsidR="00836713" w:rsidRPr="006963C9" w:rsidTr="006963C9">
        <w:trPr>
          <w:cantSplit/>
        </w:trPr>
        <w:tc>
          <w:tcPr>
            <w:tcW w:w="0" w:type="auto"/>
            <w:shd w:val="clear" w:color="auto" w:fill="8DB3E2" w:themeFill="text2" w:themeFillTint="66"/>
          </w:tcPr>
          <w:p w:rsidR="00836713" w:rsidRPr="006963C9" w:rsidRDefault="00836713" w:rsidP="00AC5ADF">
            <w:pPr>
              <w:spacing w:after="0"/>
              <w:rPr>
                <w:b/>
                <w:sz w:val="20"/>
                <w:szCs w:val="20"/>
              </w:rPr>
            </w:pPr>
            <w:r w:rsidRPr="006963C9">
              <w:rPr>
                <w:b/>
                <w:sz w:val="20"/>
                <w:szCs w:val="20"/>
              </w:rPr>
              <w:t>Indicator</w:t>
            </w:r>
          </w:p>
        </w:tc>
        <w:tc>
          <w:tcPr>
            <w:tcW w:w="0" w:type="auto"/>
            <w:shd w:val="clear" w:color="auto" w:fill="8DB3E2" w:themeFill="text2" w:themeFillTint="66"/>
          </w:tcPr>
          <w:p w:rsidR="00836713" w:rsidRPr="006963C9" w:rsidRDefault="00836713" w:rsidP="00AC5ADF">
            <w:pPr>
              <w:spacing w:after="0"/>
              <w:jc w:val="center"/>
              <w:rPr>
                <w:b/>
                <w:sz w:val="20"/>
                <w:szCs w:val="20"/>
              </w:rPr>
            </w:pPr>
            <w:r w:rsidRPr="006963C9">
              <w:rPr>
                <w:b/>
                <w:sz w:val="20"/>
                <w:szCs w:val="20"/>
              </w:rPr>
              <w:t>Formula</w:t>
            </w:r>
          </w:p>
        </w:tc>
        <w:tc>
          <w:tcPr>
            <w:tcW w:w="0" w:type="auto"/>
            <w:shd w:val="clear" w:color="auto" w:fill="8DB3E2" w:themeFill="text2" w:themeFillTint="66"/>
          </w:tcPr>
          <w:p w:rsidR="00836713" w:rsidRPr="006963C9" w:rsidRDefault="00836713" w:rsidP="00AC5ADF">
            <w:pPr>
              <w:spacing w:after="0"/>
              <w:jc w:val="center"/>
              <w:rPr>
                <w:b/>
                <w:sz w:val="20"/>
                <w:szCs w:val="20"/>
              </w:rPr>
            </w:pPr>
            <w:r w:rsidRPr="006963C9">
              <w:rPr>
                <w:b/>
                <w:sz w:val="20"/>
                <w:szCs w:val="20"/>
              </w:rPr>
              <w:t>Frequency of Measurement</w:t>
            </w:r>
          </w:p>
        </w:tc>
        <w:tc>
          <w:tcPr>
            <w:tcW w:w="0" w:type="auto"/>
            <w:shd w:val="clear" w:color="auto" w:fill="8DB3E2" w:themeFill="text2" w:themeFillTint="66"/>
          </w:tcPr>
          <w:p w:rsidR="00836713" w:rsidRPr="006963C9" w:rsidRDefault="00836713" w:rsidP="00AC5ADF">
            <w:pPr>
              <w:spacing w:after="0"/>
              <w:jc w:val="center"/>
              <w:rPr>
                <w:b/>
                <w:sz w:val="20"/>
                <w:szCs w:val="20"/>
              </w:rPr>
            </w:pPr>
            <w:r w:rsidRPr="006963C9">
              <w:rPr>
                <w:b/>
                <w:sz w:val="20"/>
                <w:szCs w:val="20"/>
              </w:rPr>
              <w:t>Source of Verification</w:t>
            </w:r>
          </w:p>
        </w:tc>
      </w:tr>
      <w:tr w:rsidR="00836713" w:rsidRPr="006963C9" w:rsidTr="006963C9">
        <w:trPr>
          <w:cantSplit/>
        </w:trPr>
        <w:tc>
          <w:tcPr>
            <w:tcW w:w="0" w:type="auto"/>
            <w:shd w:val="clear" w:color="auto" w:fill="C6D9F1" w:themeFill="text2" w:themeFillTint="33"/>
          </w:tcPr>
          <w:p w:rsidR="00836713" w:rsidRPr="006963C9" w:rsidRDefault="00836713" w:rsidP="00AC5ADF">
            <w:pPr>
              <w:spacing w:after="0"/>
              <w:rPr>
                <w:b/>
                <w:sz w:val="20"/>
                <w:szCs w:val="20"/>
              </w:rPr>
            </w:pPr>
            <w:r w:rsidRPr="006963C9">
              <w:rPr>
                <w:b/>
                <w:sz w:val="20"/>
                <w:szCs w:val="20"/>
              </w:rPr>
              <w:t>Outcome Level</w:t>
            </w:r>
          </w:p>
        </w:tc>
        <w:tc>
          <w:tcPr>
            <w:tcW w:w="0" w:type="auto"/>
            <w:shd w:val="clear" w:color="auto" w:fill="C6D9F1" w:themeFill="text2" w:themeFillTint="33"/>
          </w:tcPr>
          <w:p w:rsidR="00836713" w:rsidRPr="006963C9" w:rsidRDefault="00836713" w:rsidP="00AC5ADF">
            <w:pPr>
              <w:spacing w:after="0"/>
              <w:jc w:val="center"/>
              <w:rPr>
                <w:b/>
                <w:sz w:val="20"/>
                <w:szCs w:val="20"/>
              </w:rPr>
            </w:pPr>
          </w:p>
        </w:tc>
        <w:tc>
          <w:tcPr>
            <w:tcW w:w="0" w:type="auto"/>
            <w:shd w:val="clear" w:color="auto" w:fill="C6D9F1" w:themeFill="text2" w:themeFillTint="33"/>
          </w:tcPr>
          <w:p w:rsidR="00836713" w:rsidRPr="006963C9" w:rsidRDefault="00836713" w:rsidP="00AC5ADF">
            <w:pPr>
              <w:spacing w:after="0"/>
              <w:rPr>
                <w:b/>
                <w:sz w:val="20"/>
                <w:szCs w:val="20"/>
              </w:rPr>
            </w:pPr>
          </w:p>
        </w:tc>
        <w:tc>
          <w:tcPr>
            <w:tcW w:w="0" w:type="auto"/>
            <w:shd w:val="clear" w:color="auto" w:fill="C6D9F1" w:themeFill="text2" w:themeFillTint="33"/>
          </w:tcPr>
          <w:p w:rsidR="00836713" w:rsidRPr="006963C9" w:rsidRDefault="00836713" w:rsidP="00AC5ADF">
            <w:pPr>
              <w:spacing w:after="0"/>
              <w:jc w:val="center"/>
              <w:rPr>
                <w:b/>
                <w:sz w:val="20"/>
                <w:szCs w:val="20"/>
              </w:rPr>
            </w:pPr>
          </w:p>
        </w:tc>
      </w:tr>
      <w:tr w:rsidR="00836713" w:rsidRPr="006963C9" w:rsidTr="006963C9">
        <w:trPr>
          <w:cantSplit/>
        </w:trPr>
        <w:tc>
          <w:tcPr>
            <w:tcW w:w="0" w:type="auto"/>
          </w:tcPr>
          <w:p w:rsidR="00836713" w:rsidRPr="006963C9" w:rsidRDefault="00836713" w:rsidP="00AC5ADF">
            <w:pPr>
              <w:pStyle w:val="ListParagraph"/>
              <w:numPr>
                <w:ilvl w:val="0"/>
                <w:numId w:val="15"/>
              </w:numPr>
              <w:spacing w:after="0" w:line="240" w:lineRule="auto"/>
              <w:rPr>
                <w:rFonts w:ascii="Times New Roman" w:hAnsi="Times New Roman" w:cs="Times New Roman"/>
                <w:sz w:val="20"/>
                <w:szCs w:val="20"/>
              </w:rPr>
            </w:pPr>
            <w:r w:rsidRPr="006963C9">
              <w:rPr>
                <w:rFonts w:ascii="Times New Roman" w:hAnsi="Times New Roman" w:cs="Times New Roman"/>
                <w:sz w:val="20"/>
                <w:szCs w:val="20"/>
              </w:rPr>
              <w:t xml:space="preserve">Dropout rates in grades 3 to </w:t>
            </w:r>
            <w:r w:rsidRPr="006963C9">
              <w:rPr>
                <w:rFonts w:ascii="Times New Roman" w:hAnsi="Times New Roman" w:cs="Times New Roman"/>
                <w:bCs/>
                <w:sz w:val="20"/>
                <w:szCs w:val="20"/>
              </w:rPr>
              <w:t>5</w:t>
            </w:r>
            <w:r w:rsidR="001C16BD" w:rsidRPr="006963C9">
              <w:rPr>
                <w:rFonts w:ascii="Times New Roman" w:hAnsi="Times New Roman" w:cs="Times New Roman"/>
                <w:bCs/>
                <w:sz w:val="20"/>
                <w:szCs w:val="20"/>
              </w:rPr>
              <w:t>.</w:t>
            </w:r>
          </w:p>
        </w:tc>
        <w:tc>
          <w:tcPr>
            <w:tcW w:w="0" w:type="auto"/>
          </w:tcPr>
          <w:p w:rsidR="00836713" w:rsidRPr="006963C9" w:rsidRDefault="00836713" w:rsidP="00AC5ADF">
            <w:pPr>
              <w:spacing w:after="0"/>
              <w:rPr>
                <w:sz w:val="20"/>
                <w:szCs w:val="20"/>
              </w:rPr>
            </w:pPr>
            <w:r w:rsidRPr="006963C9">
              <w:rPr>
                <w:sz w:val="20"/>
                <w:szCs w:val="20"/>
              </w:rPr>
              <w:t>Percentage decrease</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sz w:val="20"/>
                <w:szCs w:val="20"/>
              </w:rPr>
            </w:pPr>
            <w:r w:rsidRPr="006963C9">
              <w:rPr>
                <w:sz w:val="20"/>
                <w:szCs w:val="20"/>
              </w:rPr>
              <w:t>MOECD Yearbook of Statistics.</w:t>
            </w:r>
          </w:p>
        </w:tc>
      </w:tr>
      <w:tr w:rsidR="00836713" w:rsidRPr="006963C9" w:rsidTr="006963C9">
        <w:trPr>
          <w:cantSplit/>
        </w:trPr>
        <w:tc>
          <w:tcPr>
            <w:tcW w:w="0" w:type="auto"/>
          </w:tcPr>
          <w:p w:rsidR="00836713" w:rsidRPr="006963C9" w:rsidRDefault="00836713" w:rsidP="00AC5ADF">
            <w:pPr>
              <w:pStyle w:val="ListParagraph"/>
              <w:numPr>
                <w:ilvl w:val="0"/>
                <w:numId w:val="15"/>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Learning outcomes in grades 3 and 7 in Dutch and mathematics</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Percentage increase</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sz w:val="20"/>
                <w:szCs w:val="20"/>
              </w:rPr>
            </w:pPr>
            <w:r w:rsidRPr="006963C9">
              <w:rPr>
                <w:iCs/>
                <w:sz w:val="20"/>
                <w:szCs w:val="20"/>
              </w:rPr>
              <w:t>Exam results are compared to students not using the revised curriculum. The baseline will be the exam scores taken at the end of the 2009-2010 school year.</w:t>
            </w:r>
          </w:p>
        </w:tc>
      </w:tr>
      <w:tr w:rsidR="00836713" w:rsidRPr="006963C9" w:rsidTr="006963C9">
        <w:trPr>
          <w:cantSplit/>
        </w:trPr>
        <w:tc>
          <w:tcPr>
            <w:tcW w:w="0" w:type="auto"/>
          </w:tcPr>
          <w:p w:rsidR="00836713" w:rsidRPr="006963C9" w:rsidRDefault="00836713" w:rsidP="00AC5ADF">
            <w:pPr>
              <w:pStyle w:val="ListParagraph"/>
              <w:numPr>
                <w:ilvl w:val="0"/>
                <w:numId w:val="15"/>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Student repetition rates in grades 3-5</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Percentage decrease</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sz w:val="20"/>
                <w:szCs w:val="20"/>
              </w:rPr>
            </w:pPr>
            <w:r w:rsidRPr="006963C9">
              <w:rPr>
                <w:iCs/>
                <w:sz w:val="20"/>
                <w:szCs w:val="20"/>
              </w:rPr>
              <w:t>MOECD Yearbook of Statistics. Baseline per grade: g</w:t>
            </w:r>
            <w:r w:rsidRPr="006963C9">
              <w:rPr>
                <w:color w:val="000000"/>
                <w:sz w:val="20"/>
                <w:szCs w:val="20"/>
              </w:rPr>
              <w:t>rade 3: 19%; grades 4 and 5: 17%.</w:t>
            </w:r>
          </w:p>
        </w:tc>
      </w:tr>
      <w:tr w:rsidR="00836713" w:rsidRPr="006963C9" w:rsidTr="006963C9">
        <w:trPr>
          <w:cantSplit/>
        </w:trPr>
        <w:tc>
          <w:tcPr>
            <w:tcW w:w="0" w:type="auto"/>
          </w:tcPr>
          <w:p w:rsidR="00836713" w:rsidRPr="006963C9" w:rsidRDefault="00836713" w:rsidP="00AC5ADF">
            <w:pPr>
              <w:pStyle w:val="ListParagraph"/>
              <w:numPr>
                <w:ilvl w:val="0"/>
                <w:numId w:val="15"/>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Promotion rates</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Percentage increase</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sz w:val="20"/>
                <w:szCs w:val="20"/>
              </w:rPr>
            </w:pPr>
            <w:r w:rsidRPr="006963C9">
              <w:rPr>
                <w:iCs/>
                <w:sz w:val="20"/>
                <w:szCs w:val="20"/>
              </w:rPr>
              <w:t>MOECD Yearbook of Statistics. Baseline will be taken from R&amp;P Department in 2010-2011 school year.</w:t>
            </w:r>
          </w:p>
        </w:tc>
      </w:tr>
      <w:tr w:rsidR="00836713" w:rsidRPr="006963C9" w:rsidTr="006963C9">
        <w:trPr>
          <w:cantSplit/>
        </w:trPr>
        <w:tc>
          <w:tcPr>
            <w:tcW w:w="0" w:type="auto"/>
          </w:tcPr>
          <w:p w:rsidR="00836713" w:rsidRPr="006963C9" w:rsidRDefault="00836713" w:rsidP="00AC5ADF">
            <w:pPr>
              <w:pStyle w:val="ListParagraph"/>
              <w:numPr>
                <w:ilvl w:val="0"/>
                <w:numId w:val="15"/>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lastRenderedPageBreak/>
              <w:t>Primary education completion rate</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Percentage increase</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sz w:val="20"/>
                <w:szCs w:val="20"/>
              </w:rPr>
            </w:pPr>
            <w:r w:rsidRPr="006963C9">
              <w:rPr>
                <w:sz w:val="20"/>
                <w:szCs w:val="20"/>
              </w:rPr>
              <w:t>MOECD Yearbook of Statistics. The current completion rate is 50%.</w:t>
            </w:r>
          </w:p>
        </w:tc>
      </w:tr>
      <w:tr w:rsidR="00836713" w:rsidRPr="006963C9" w:rsidTr="006963C9">
        <w:trPr>
          <w:cantSplit/>
        </w:trPr>
        <w:tc>
          <w:tcPr>
            <w:tcW w:w="0" w:type="auto"/>
          </w:tcPr>
          <w:p w:rsidR="00836713" w:rsidRPr="006963C9" w:rsidRDefault="00836713" w:rsidP="00AC5ADF">
            <w:pPr>
              <w:pStyle w:val="ListParagraph"/>
              <w:numPr>
                <w:ilvl w:val="0"/>
                <w:numId w:val="15"/>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Student performance in grades 3 and 7</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Percentage increase</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color w:val="000000"/>
                <w:sz w:val="20"/>
                <w:szCs w:val="20"/>
              </w:rPr>
            </w:pPr>
            <w:r w:rsidRPr="006963C9">
              <w:rPr>
                <w:color w:val="000000"/>
                <w:sz w:val="20"/>
                <w:szCs w:val="20"/>
              </w:rPr>
              <w:t xml:space="preserve">Data from Testing and Assessment Department on exams. </w:t>
            </w:r>
          </w:p>
          <w:p w:rsidR="00836713" w:rsidRPr="006963C9" w:rsidRDefault="00836713" w:rsidP="00AC5ADF">
            <w:pPr>
              <w:spacing w:after="0"/>
              <w:rPr>
                <w:sz w:val="20"/>
                <w:szCs w:val="20"/>
              </w:rPr>
            </w:pPr>
            <w:r w:rsidRPr="006963C9">
              <w:rPr>
                <w:iCs/>
                <w:sz w:val="20"/>
                <w:szCs w:val="20"/>
              </w:rPr>
              <w:t>Exam results are compared to students not using the revised curriculum (Phase II schools). The baseline will be the exam scores taken at the end of the 2009-2010 school year.</w:t>
            </w:r>
          </w:p>
        </w:tc>
      </w:tr>
      <w:tr w:rsidR="00836713" w:rsidRPr="006963C9" w:rsidTr="006963C9">
        <w:trPr>
          <w:cantSplit/>
        </w:trPr>
        <w:tc>
          <w:tcPr>
            <w:tcW w:w="0" w:type="auto"/>
            <w:shd w:val="clear" w:color="auto" w:fill="C6D9F1" w:themeFill="text2" w:themeFillTint="33"/>
          </w:tcPr>
          <w:p w:rsidR="00836713" w:rsidRPr="006963C9" w:rsidRDefault="00836713" w:rsidP="00AC5ADF">
            <w:pPr>
              <w:spacing w:after="0"/>
              <w:rPr>
                <w:b/>
                <w:sz w:val="20"/>
                <w:szCs w:val="20"/>
              </w:rPr>
            </w:pPr>
            <w:r w:rsidRPr="006963C9">
              <w:rPr>
                <w:b/>
                <w:sz w:val="20"/>
                <w:szCs w:val="20"/>
              </w:rPr>
              <w:t>Output Level</w:t>
            </w:r>
          </w:p>
        </w:tc>
        <w:tc>
          <w:tcPr>
            <w:tcW w:w="0" w:type="auto"/>
            <w:shd w:val="clear" w:color="auto" w:fill="C6D9F1" w:themeFill="text2" w:themeFillTint="33"/>
          </w:tcPr>
          <w:p w:rsidR="00836713" w:rsidRPr="006963C9" w:rsidRDefault="00836713" w:rsidP="00AC5ADF">
            <w:pPr>
              <w:spacing w:after="0"/>
              <w:rPr>
                <w:sz w:val="20"/>
                <w:szCs w:val="20"/>
              </w:rPr>
            </w:pPr>
          </w:p>
        </w:tc>
        <w:tc>
          <w:tcPr>
            <w:tcW w:w="0" w:type="auto"/>
            <w:shd w:val="clear" w:color="auto" w:fill="C6D9F1" w:themeFill="text2" w:themeFillTint="33"/>
          </w:tcPr>
          <w:p w:rsidR="00836713" w:rsidRPr="006963C9" w:rsidRDefault="00836713" w:rsidP="00AC5ADF">
            <w:pPr>
              <w:spacing w:after="0"/>
              <w:jc w:val="center"/>
              <w:rPr>
                <w:sz w:val="20"/>
                <w:szCs w:val="20"/>
              </w:rPr>
            </w:pPr>
          </w:p>
        </w:tc>
        <w:tc>
          <w:tcPr>
            <w:tcW w:w="0" w:type="auto"/>
            <w:shd w:val="clear" w:color="auto" w:fill="C6D9F1" w:themeFill="text2" w:themeFillTint="33"/>
          </w:tcPr>
          <w:p w:rsidR="00836713" w:rsidRPr="006963C9" w:rsidRDefault="00836713" w:rsidP="00AC5ADF">
            <w:pPr>
              <w:spacing w:after="0"/>
              <w:rPr>
                <w:sz w:val="20"/>
                <w:szCs w:val="20"/>
              </w:rPr>
            </w:pPr>
          </w:p>
        </w:tc>
      </w:tr>
      <w:tr w:rsidR="00836713" w:rsidRPr="006963C9" w:rsidTr="006963C9">
        <w:trPr>
          <w:cantSplit/>
        </w:trPr>
        <w:tc>
          <w:tcPr>
            <w:tcW w:w="0" w:type="auto"/>
          </w:tcPr>
          <w:p w:rsidR="00836713" w:rsidRPr="006963C9" w:rsidRDefault="00836713" w:rsidP="00AC5ADF">
            <w:pPr>
              <w:pStyle w:val="ListParagraph"/>
              <w:numPr>
                <w:ilvl w:val="0"/>
                <w:numId w:val="16"/>
              </w:numPr>
              <w:spacing w:after="0" w:line="240" w:lineRule="auto"/>
              <w:rPr>
                <w:rFonts w:ascii="Times New Roman" w:hAnsi="Times New Roman" w:cs="Times New Roman"/>
                <w:sz w:val="20"/>
                <w:szCs w:val="20"/>
              </w:rPr>
            </w:pPr>
            <w:r w:rsidRPr="006963C9">
              <w:rPr>
                <w:rFonts w:ascii="Times New Roman" w:hAnsi="Times New Roman" w:cs="Times New Roman"/>
                <w:sz w:val="20"/>
                <w:szCs w:val="20"/>
              </w:rPr>
              <w:t>Curriculum for grades 3 to 6 approved</w:t>
            </w:r>
            <w:r w:rsidR="001C16BD" w:rsidRPr="006963C9">
              <w:rPr>
                <w:rFonts w:ascii="Times New Roman" w:hAnsi="Times New Roman" w:cs="Times New Roman"/>
                <w:sz w:val="20"/>
                <w:szCs w:val="20"/>
              </w:rPr>
              <w:t>.</w:t>
            </w:r>
          </w:p>
        </w:tc>
        <w:tc>
          <w:tcPr>
            <w:tcW w:w="0" w:type="auto"/>
          </w:tcPr>
          <w:p w:rsidR="00836713" w:rsidRPr="006963C9" w:rsidRDefault="00836713" w:rsidP="00AC5ADF">
            <w:pPr>
              <w:spacing w:after="0"/>
              <w:rPr>
                <w:sz w:val="20"/>
                <w:szCs w:val="20"/>
              </w:rPr>
            </w:pPr>
            <w:r w:rsidRPr="006963C9">
              <w:rPr>
                <w:sz w:val="20"/>
                <w:szCs w:val="20"/>
              </w:rPr>
              <w:t>Approved curriculum for grades 3 - 6</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rFonts w:eastAsia="Arial Unicode MS"/>
                <w:iCs/>
                <w:sz w:val="20"/>
                <w:szCs w:val="20"/>
              </w:rPr>
            </w:pPr>
            <w:r w:rsidRPr="006963C9">
              <w:rPr>
                <w:rFonts w:eastAsia="Arial Unicode MS"/>
                <w:iCs/>
                <w:sz w:val="20"/>
                <w:szCs w:val="20"/>
              </w:rPr>
              <w:t>MOECD acceptance and certification of curricula.</w:t>
            </w:r>
          </w:p>
          <w:p w:rsidR="00836713" w:rsidRPr="006963C9" w:rsidRDefault="00836713" w:rsidP="00AC5ADF">
            <w:pPr>
              <w:spacing w:after="0"/>
              <w:rPr>
                <w:sz w:val="20"/>
                <w:szCs w:val="20"/>
              </w:rPr>
            </w:pPr>
            <w:r w:rsidRPr="006963C9">
              <w:rPr>
                <w:rFonts w:eastAsia="Arial Unicode MS"/>
                <w:iCs/>
                <w:sz w:val="20"/>
                <w:szCs w:val="20"/>
              </w:rPr>
              <w:t>Curriculum revision includes completion of curriculum guides, learning lines and teaching materials for grades 3 to 6.</w:t>
            </w:r>
          </w:p>
        </w:tc>
      </w:tr>
      <w:tr w:rsidR="00836713" w:rsidRPr="006963C9" w:rsidTr="006963C9">
        <w:trPr>
          <w:cantSplit/>
        </w:trPr>
        <w:tc>
          <w:tcPr>
            <w:tcW w:w="0" w:type="auto"/>
          </w:tcPr>
          <w:p w:rsidR="00836713" w:rsidRPr="006963C9" w:rsidRDefault="00836713" w:rsidP="00AC5ADF">
            <w:pPr>
              <w:pStyle w:val="ListParagraph"/>
              <w:numPr>
                <w:ilvl w:val="0"/>
                <w:numId w:val="16"/>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Pilot of curriculum for grades 4-8 completed</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Completed pilot of curriculum for grades 4 - 8</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iCs/>
                <w:sz w:val="20"/>
                <w:szCs w:val="20"/>
              </w:rPr>
            </w:pPr>
            <w:r w:rsidRPr="006963C9">
              <w:rPr>
                <w:iCs/>
                <w:sz w:val="20"/>
                <w:szCs w:val="20"/>
              </w:rPr>
              <w:t>Consultancy evaluation reports. MOECD certification.</w:t>
            </w:r>
          </w:p>
          <w:p w:rsidR="00836713" w:rsidRPr="006963C9" w:rsidRDefault="00836713" w:rsidP="00AC5ADF">
            <w:pPr>
              <w:spacing w:after="0"/>
              <w:rPr>
                <w:sz w:val="20"/>
                <w:szCs w:val="20"/>
              </w:rPr>
            </w:pPr>
            <w:r w:rsidRPr="006963C9">
              <w:rPr>
                <w:iCs/>
                <w:sz w:val="20"/>
                <w:szCs w:val="20"/>
              </w:rPr>
              <w:t>Pilots will be conducted in 30 schools per grade (approximately 10% sample).</w:t>
            </w:r>
          </w:p>
        </w:tc>
      </w:tr>
      <w:tr w:rsidR="00836713" w:rsidRPr="006963C9" w:rsidTr="006963C9">
        <w:trPr>
          <w:cantSplit/>
        </w:trPr>
        <w:tc>
          <w:tcPr>
            <w:tcW w:w="0" w:type="auto"/>
          </w:tcPr>
          <w:p w:rsidR="00836713" w:rsidRPr="006963C9" w:rsidRDefault="00836713" w:rsidP="00AC5ADF">
            <w:pPr>
              <w:pStyle w:val="ListParagraph"/>
              <w:numPr>
                <w:ilvl w:val="0"/>
                <w:numId w:val="16"/>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 of teachers trained in using new teaching methodology</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Number of teachers benefiting from training programs</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sz w:val="20"/>
                <w:szCs w:val="20"/>
              </w:rPr>
            </w:pPr>
            <w:r w:rsidRPr="006963C9">
              <w:rPr>
                <w:iCs/>
                <w:sz w:val="20"/>
                <w:szCs w:val="20"/>
              </w:rPr>
              <w:t>Consultancy reports.</w:t>
            </w:r>
            <w:r w:rsidR="00EA7FA9" w:rsidRPr="006963C9">
              <w:rPr>
                <w:iCs/>
                <w:sz w:val="20"/>
                <w:szCs w:val="20"/>
              </w:rPr>
              <w:t xml:space="preserve"> </w:t>
            </w:r>
            <w:r w:rsidRPr="006963C9">
              <w:rPr>
                <w:iCs/>
                <w:sz w:val="20"/>
                <w:szCs w:val="20"/>
              </w:rPr>
              <w:t>Research and Planning (R&amp;P) department records.</w:t>
            </w:r>
          </w:p>
        </w:tc>
      </w:tr>
      <w:tr w:rsidR="00836713" w:rsidRPr="006963C9" w:rsidTr="006963C9">
        <w:trPr>
          <w:cantSplit/>
        </w:trPr>
        <w:tc>
          <w:tcPr>
            <w:tcW w:w="0" w:type="auto"/>
          </w:tcPr>
          <w:p w:rsidR="00836713" w:rsidRPr="006963C9" w:rsidRDefault="00836713" w:rsidP="00AC5ADF">
            <w:pPr>
              <w:pStyle w:val="ListParagraph"/>
              <w:numPr>
                <w:ilvl w:val="0"/>
                <w:numId w:val="16"/>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Strategic plan to reform junior secondary grades developed</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Completed Strategic Plan</w:t>
            </w:r>
          </w:p>
        </w:tc>
        <w:tc>
          <w:tcPr>
            <w:tcW w:w="0" w:type="auto"/>
          </w:tcPr>
          <w:p w:rsidR="00836713" w:rsidRPr="006963C9" w:rsidRDefault="00836713" w:rsidP="00AC5ADF">
            <w:pPr>
              <w:spacing w:after="0"/>
              <w:jc w:val="center"/>
              <w:rPr>
                <w:sz w:val="20"/>
                <w:szCs w:val="20"/>
              </w:rPr>
            </w:pPr>
            <w:r w:rsidRPr="006963C9">
              <w:rPr>
                <w:sz w:val="20"/>
                <w:szCs w:val="20"/>
              </w:rPr>
              <w:t>Year 3</w:t>
            </w:r>
          </w:p>
        </w:tc>
        <w:tc>
          <w:tcPr>
            <w:tcW w:w="0" w:type="auto"/>
          </w:tcPr>
          <w:p w:rsidR="00836713" w:rsidRPr="006963C9" w:rsidRDefault="00836713" w:rsidP="00AC5ADF">
            <w:pPr>
              <w:spacing w:after="0"/>
              <w:rPr>
                <w:sz w:val="20"/>
                <w:szCs w:val="20"/>
              </w:rPr>
            </w:pPr>
            <w:r w:rsidRPr="006963C9">
              <w:rPr>
                <w:iCs/>
                <w:sz w:val="20"/>
                <w:szCs w:val="20"/>
              </w:rPr>
              <w:t>Plan approved by the MOECD.</w:t>
            </w:r>
          </w:p>
        </w:tc>
      </w:tr>
      <w:tr w:rsidR="00836713" w:rsidRPr="006963C9" w:rsidTr="006963C9">
        <w:trPr>
          <w:cantSplit/>
        </w:trPr>
        <w:tc>
          <w:tcPr>
            <w:tcW w:w="0" w:type="auto"/>
          </w:tcPr>
          <w:p w:rsidR="00836713" w:rsidRPr="006963C9" w:rsidRDefault="00836713" w:rsidP="00AC5ADF">
            <w:pPr>
              <w:pStyle w:val="ListParagraph"/>
              <w:numPr>
                <w:ilvl w:val="0"/>
                <w:numId w:val="16"/>
              </w:numPr>
              <w:spacing w:after="0" w:line="240" w:lineRule="auto"/>
              <w:rPr>
                <w:rFonts w:ascii="Times New Roman" w:hAnsi="Times New Roman" w:cs="Times New Roman"/>
                <w:sz w:val="20"/>
                <w:szCs w:val="20"/>
              </w:rPr>
            </w:pPr>
            <w:r w:rsidRPr="006963C9">
              <w:rPr>
                <w:rFonts w:ascii="Times New Roman" w:hAnsi="Times New Roman" w:cs="Times New Roman"/>
                <w:sz w:val="20"/>
                <w:szCs w:val="20"/>
              </w:rPr>
              <w:t># of new public schools built and equipped</w:t>
            </w:r>
            <w:r w:rsidR="001C16BD" w:rsidRPr="006963C9">
              <w:rPr>
                <w:rFonts w:ascii="Times New Roman" w:hAnsi="Times New Roman" w:cs="Times New Roman"/>
                <w:sz w:val="20"/>
                <w:szCs w:val="20"/>
              </w:rPr>
              <w:t>.</w:t>
            </w:r>
          </w:p>
        </w:tc>
        <w:tc>
          <w:tcPr>
            <w:tcW w:w="0" w:type="auto"/>
          </w:tcPr>
          <w:p w:rsidR="00836713" w:rsidRPr="006963C9" w:rsidRDefault="00836713" w:rsidP="00AC5ADF">
            <w:pPr>
              <w:spacing w:after="0"/>
              <w:rPr>
                <w:sz w:val="20"/>
                <w:szCs w:val="20"/>
              </w:rPr>
            </w:pPr>
            <w:r w:rsidRPr="006963C9">
              <w:rPr>
                <w:sz w:val="20"/>
                <w:szCs w:val="20"/>
              </w:rPr>
              <w:t>Number of schools built</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sz w:val="20"/>
                <w:szCs w:val="20"/>
              </w:rPr>
            </w:pPr>
            <w:r w:rsidRPr="006963C9">
              <w:rPr>
                <w:color w:val="000000"/>
                <w:sz w:val="20"/>
                <w:szCs w:val="20"/>
              </w:rPr>
              <w:t>Report from Supervision consultant.</w:t>
            </w:r>
            <w:r w:rsidR="00EA7FA9" w:rsidRPr="006963C9">
              <w:rPr>
                <w:color w:val="000000"/>
                <w:sz w:val="20"/>
                <w:szCs w:val="20"/>
              </w:rPr>
              <w:t xml:space="preserve"> </w:t>
            </w:r>
            <w:r w:rsidRPr="006963C9">
              <w:rPr>
                <w:color w:val="000000"/>
                <w:sz w:val="20"/>
                <w:szCs w:val="20"/>
              </w:rPr>
              <w:t>MOECD Technical Department and Bureau of Interior records.</w:t>
            </w:r>
          </w:p>
        </w:tc>
      </w:tr>
      <w:tr w:rsidR="00836713" w:rsidRPr="006963C9" w:rsidTr="006963C9">
        <w:trPr>
          <w:cantSplit/>
        </w:trPr>
        <w:tc>
          <w:tcPr>
            <w:tcW w:w="0" w:type="auto"/>
          </w:tcPr>
          <w:p w:rsidR="00836713" w:rsidRPr="006963C9" w:rsidRDefault="00836713" w:rsidP="00AC5ADF">
            <w:pPr>
              <w:pStyle w:val="ListParagraph"/>
              <w:numPr>
                <w:ilvl w:val="0"/>
                <w:numId w:val="16"/>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 of MOECD staff complete training in relevant topics</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Number of beneficiaries of training programs</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sz w:val="20"/>
                <w:szCs w:val="20"/>
              </w:rPr>
            </w:pPr>
            <w:r w:rsidRPr="006963C9">
              <w:rPr>
                <w:color w:val="000000"/>
                <w:sz w:val="20"/>
                <w:szCs w:val="20"/>
              </w:rPr>
              <w:t>Consultancy reports from the training. MOECD department records.</w:t>
            </w:r>
          </w:p>
        </w:tc>
      </w:tr>
      <w:tr w:rsidR="00836713" w:rsidRPr="006963C9" w:rsidTr="006963C9">
        <w:trPr>
          <w:cantSplit/>
        </w:trPr>
        <w:tc>
          <w:tcPr>
            <w:tcW w:w="0" w:type="auto"/>
          </w:tcPr>
          <w:p w:rsidR="00836713" w:rsidRPr="006963C9" w:rsidRDefault="00836713" w:rsidP="00AC5ADF">
            <w:pPr>
              <w:pStyle w:val="ListParagraph"/>
              <w:numPr>
                <w:ilvl w:val="0"/>
                <w:numId w:val="16"/>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EMIS hardware installed and functional at MOECD R&amp;P Department</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EMIS System installed</w:t>
            </w:r>
          </w:p>
        </w:tc>
        <w:tc>
          <w:tcPr>
            <w:tcW w:w="0" w:type="auto"/>
          </w:tcPr>
          <w:p w:rsidR="00836713" w:rsidRPr="006963C9" w:rsidRDefault="00836713" w:rsidP="00AC5ADF">
            <w:pPr>
              <w:spacing w:after="0"/>
              <w:jc w:val="center"/>
              <w:rPr>
                <w:sz w:val="20"/>
                <w:szCs w:val="20"/>
              </w:rPr>
            </w:pPr>
            <w:r w:rsidRPr="006963C9">
              <w:rPr>
                <w:sz w:val="20"/>
                <w:szCs w:val="20"/>
              </w:rPr>
              <w:t>Year 3</w:t>
            </w:r>
          </w:p>
        </w:tc>
        <w:tc>
          <w:tcPr>
            <w:tcW w:w="0" w:type="auto"/>
          </w:tcPr>
          <w:p w:rsidR="00836713" w:rsidRPr="006963C9" w:rsidRDefault="00836713" w:rsidP="00AC5ADF">
            <w:pPr>
              <w:spacing w:after="0"/>
              <w:rPr>
                <w:sz w:val="20"/>
                <w:szCs w:val="20"/>
              </w:rPr>
            </w:pPr>
            <w:r w:rsidRPr="006963C9">
              <w:rPr>
                <w:color w:val="000000"/>
                <w:sz w:val="20"/>
                <w:szCs w:val="20"/>
              </w:rPr>
              <w:t>Consultancy report, and verified by R&amp;P Department.</w:t>
            </w:r>
          </w:p>
        </w:tc>
      </w:tr>
      <w:tr w:rsidR="00836713" w:rsidRPr="006963C9" w:rsidTr="006963C9">
        <w:trPr>
          <w:cantSplit/>
        </w:trPr>
        <w:tc>
          <w:tcPr>
            <w:tcW w:w="0" w:type="auto"/>
          </w:tcPr>
          <w:p w:rsidR="00836713" w:rsidRPr="006963C9" w:rsidRDefault="00836713" w:rsidP="00AC5ADF">
            <w:pPr>
              <w:pStyle w:val="ListParagraph"/>
              <w:numPr>
                <w:ilvl w:val="0"/>
                <w:numId w:val="16"/>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 of public information campaigns (i.e. newspapers ads, TV, seminars, etc.) regarding program progress</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Public Information campaign launched</w:t>
            </w:r>
          </w:p>
        </w:tc>
        <w:tc>
          <w:tcPr>
            <w:tcW w:w="0" w:type="auto"/>
          </w:tcPr>
          <w:p w:rsidR="00836713" w:rsidRPr="006963C9" w:rsidRDefault="00836713" w:rsidP="00AC5ADF">
            <w:pPr>
              <w:spacing w:after="0"/>
              <w:jc w:val="center"/>
              <w:rPr>
                <w:sz w:val="20"/>
                <w:szCs w:val="20"/>
              </w:rPr>
            </w:pPr>
            <w:r w:rsidRPr="006963C9">
              <w:rPr>
                <w:sz w:val="20"/>
                <w:szCs w:val="20"/>
              </w:rPr>
              <w:t>Annual</w:t>
            </w:r>
          </w:p>
        </w:tc>
        <w:tc>
          <w:tcPr>
            <w:tcW w:w="0" w:type="auto"/>
          </w:tcPr>
          <w:p w:rsidR="00836713" w:rsidRPr="006963C9" w:rsidRDefault="00836713" w:rsidP="00AC5ADF">
            <w:pPr>
              <w:spacing w:after="0"/>
              <w:rPr>
                <w:sz w:val="20"/>
                <w:szCs w:val="20"/>
              </w:rPr>
            </w:pPr>
            <w:r w:rsidRPr="006963C9">
              <w:rPr>
                <w:color w:val="000000"/>
                <w:sz w:val="20"/>
                <w:szCs w:val="20"/>
              </w:rPr>
              <w:t>Report from the consultant, R&amp;P Department, Communication.</w:t>
            </w:r>
          </w:p>
        </w:tc>
      </w:tr>
      <w:tr w:rsidR="00836713" w:rsidRPr="006963C9" w:rsidTr="006963C9">
        <w:trPr>
          <w:cantSplit/>
        </w:trPr>
        <w:tc>
          <w:tcPr>
            <w:tcW w:w="0" w:type="auto"/>
          </w:tcPr>
          <w:p w:rsidR="00836713" w:rsidRPr="006963C9" w:rsidRDefault="00836713" w:rsidP="00AC5ADF">
            <w:pPr>
              <w:pStyle w:val="ListParagraph"/>
              <w:numPr>
                <w:ilvl w:val="0"/>
                <w:numId w:val="16"/>
              </w:numPr>
              <w:spacing w:after="0" w:line="240" w:lineRule="auto"/>
              <w:rPr>
                <w:rFonts w:ascii="Times New Roman" w:hAnsi="Times New Roman" w:cs="Times New Roman"/>
                <w:sz w:val="20"/>
                <w:szCs w:val="20"/>
              </w:rPr>
            </w:pPr>
            <w:r w:rsidRPr="006963C9">
              <w:rPr>
                <w:rFonts w:ascii="Times New Roman" w:hAnsi="Times New Roman" w:cs="Times New Roman"/>
                <w:color w:val="000000"/>
                <w:sz w:val="20"/>
                <w:szCs w:val="20"/>
              </w:rPr>
              <w:t># of selected schools connected to student performance tracking system of EMIS</w:t>
            </w:r>
            <w:r w:rsidR="001C16BD" w:rsidRPr="006963C9">
              <w:rPr>
                <w:rFonts w:ascii="Times New Roman" w:hAnsi="Times New Roman" w:cs="Times New Roman"/>
                <w:color w:val="000000"/>
                <w:sz w:val="20"/>
                <w:szCs w:val="20"/>
              </w:rPr>
              <w:t>.</w:t>
            </w:r>
          </w:p>
        </w:tc>
        <w:tc>
          <w:tcPr>
            <w:tcW w:w="0" w:type="auto"/>
          </w:tcPr>
          <w:p w:rsidR="00836713" w:rsidRPr="006963C9" w:rsidRDefault="00836713" w:rsidP="00AC5ADF">
            <w:pPr>
              <w:spacing w:after="0"/>
              <w:rPr>
                <w:sz w:val="20"/>
                <w:szCs w:val="20"/>
              </w:rPr>
            </w:pPr>
            <w:r w:rsidRPr="006963C9">
              <w:rPr>
                <w:sz w:val="20"/>
                <w:szCs w:val="20"/>
              </w:rPr>
              <w:t>Number of schools with functioning and using EMIS system</w:t>
            </w:r>
          </w:p>
        </w:tc>
        <w:tc>
          <w:tcPr>
            <w:tcW w:w="0" w:type="auto"/>
          </w:tcPr>
          <w:p w:rsidR="00836713" w:rsidRPr="006963C9" w:rsidRDefault="00836713" w:rsidP="00AC5ADF">
            <w:pPr>
              <w:spacing w:after="0"/>
              <w:jc w:val="center"/>
              <w:rPr>
                <w:sz w:val="20"/>
                <w:szCs w:val="20"/>
              </w:rPr>
            </w:pPr>
            <w:r w:rsidRPr="006963C9">
              <w:rPr>
                <w:sz w:val="20"/>
                <w:szCs w:val="20"/>
              </w:rPr>
              <w:t>Year 3</w:t>
            </w:r>
          </w:p>
        </w:tc>
        <w:tc>
          <w:tcPr>
            <w:tcW w:w="0" w:type="auto"/>
          </w:tcPr>
          <w:p w:rsidR="00836713" w:rsidRPr="006963C9" w:rsidRDefault="00836713" w:rsidP="00AC5ADF">
            <w:pPr>
              <w:spacing w:after="0"/>
              <w:rPr>
                <w:color w:val="000000"/>
                <w:sz w:val="20"/>
                <w:szCs w:val="20"/>
              </w:rPr>
            </w:pPr>
            <w:r w:rsidRPr="006963C9">
              <w:rPr>
                <w:color w:val="000000"/>
                <w:sz w:val="20"/>
                <w:szCs w:val="20"/>
              </w:rPr>
              <w:t>30 schools in the Interior</w:t>
            </w:r>
          </w:p>
          <w:p w:rsidR="00836713" w:rsidRPr="006963C9" w:rsidRDefault="00836713" w:rsidP="00AC5ADF">
            <w:pPr>
              <w:spacing w:after="0"/>
              <w:rPr>
                <w:sz w:val="20"/>
                <w:szCs w:val="20"/>
              </w:rPr>
            </w:pPr>
            <w:r w:rsidRPr="006963C9">
              <w:rPr>
                <w:color w:val="000000"/>
                <w:sz w:val="20"/>
                <w:szCs w:val="20"/>
              </w:rPr>
              <w:t>Verified by R&amp;P Department and formative evaluation.</w:t>
            </w:r>
          </w:p>
        </w:tc>
      </w:tr>
    </w:tbl>
    <w:p w:rsidR="00836713" w:rsidRPr="00836713" w:rsidRDefault="00B10503" w:rsidP="009B10BC">
      <w:pPr>
        <w:numPr>
          <w:ilvl w:val="1"/>
          <w:numId w:val="2"/>
        </w:numPr>
        <w:spacing w:before="240" w:after="0"/>
        <w:ind w:left="1080"/>
        <w:jc w:val="both"/>
        <w:rPr>
          <w:b/>
          <w:szCs w:val="24"/>
        </w:rPr>
      </w:pPr>
      <w:r>
        <w:rPr>
          <w:b/>
          <w:szCs w:val="24"/>
        </w:rPr>
        <w:t>Data c</w:t>
      </w:r>
      <w:r w:rsidR="00630DA5" w:rsidRPr="00836713">
        <w:rPr>
          <w:b/>
          <w:szCs w:val="24"/>
        </w:rPr>
        <w:t xml:space="preserve">ollection and </w:t>
      </w:r>
      <w:r>
        <w:rPr>
          <w:b/>
          <w:szCs w:val="24"/>
        </w:rPr>
        <w:t>i</w:t>
      </w:r>
      <w:r w:rsidR="00630DA5" w:rsidRPr="00836713">
        <w:rPr>
          <w:b/>
          <w:szCs w:val="24"/>
        </w:rPr>
        <w:t>nstruments</w:t>
      </w:r>
    </w:p>
    <w:p w:rsidR="009B36F0" w:rsidRPr="00836713" w:rsidRDefault="009B36F0" w:rsidP="009B10BC">
      <w:pPr>
        <w:pStyle w:val="ListParagraph"/>
        <w:numPr>
          <w:ilvl w:val="1"/>
          <w:numId w:val="18"/>
        </w:numPr>
        <w:spacing w:before="120" w:after="120" w:line="240" w:lineRule="auto"/>
        <w:ind w:left="720" w:hanging="720"/>
        <w:jc w:val="both"/>
        <w:rPr>
          <w:rFonts w:ascii="Times New Roman" w:hAnsi="Times New Roman" w:cs="Times New Roman"/>
          <w:sz w:val="24"/>
          <w:szCs w:val="24"/>
        </w:rPr>
      </w:pPr>
      <w:r w:rsidRPr="00836713">
        <w:rPr>
          <w:rFonts w:ascii="Times New Roman" w:hAnsi="Times New Roman" w:cs="Times New Roman"/>
          <w:color w:val="000000"/>
          <w:sz w:val="24"/>
          <w:szCs w:val="24"/>
        </w:rPr>
        <w:t>Sources of information will be the following:</w:t>
      </w:r>
    </w:p>
    <w:p w:rsidR="00B40D7F" w:rsidRPr="00836713" w:rsidRDefault="00B40D7F" w:rsidP="009B10BC">
      <w:pPr>
        <w:pStyle w:val="ListParagraph"/>
        <w:numPr>
          <w:ilvl w:val="0"/>
          <w:numId w:val="20"/>
        </w:numPr>
        <w:spacing w:before="120" w:after="120" w:line="240" w:lineRule="auto"/>
        <w:jc w:val="both"/>
        <w:rPr>
          <w:rFonts w:ascii="Times New Roman" w:hAnsi="Times New Roman" w:cs="Times New Roman"/>
          <w:color w:val="000000"/>
          <w:szCs w:val="24"/>
        </w:rPr>
      </w:pPr>
      <w:r w:rsidRPr="00836713">
        <w:rPr>
          <w:rFonts w:ascii="Times New Roman" w:hAnsi="Times New Roman" w:cs="Times New Roman"/>
          <w:color w:val="000000"/>
          <w:szCs w:val="24"/>
        </w:rPr>
        <w:t>Data for outcome indicators 1, 3, 4, and 5 will be collected from the annual MOECD Yearbook of Statistics.</w:t>
      </w:r>
      <w:r w:rsidR="00EA7FA9">
        <w:rPr>
          <w:rFonts w:ascii="Times New Roman" w:hAnsi="Times New Roman" w:cs="Times New Roman"/>
          <w:color w:val="000000"/>
          <w:szCs w:val="24"/>
        </w:rPr>
        <w:t xml:space="preserve"> </w:t>
      </w:r>
      <w:r w:rsidRPr="00836713">
        <w:rPr>
          <w:rFonts w:ascii="Times New Roman" w:hAnsi="Times New Roman" w:cs="Times New Roman"/>
          <w:color w:val="000000"/>
          <w:szCs w:val="24"/>
        </w:rPr>
        <w:t xml:space="preserve">The new Monitoring and Evaluation system and strengthening </w:t>
      </w:r>
    </w:p>
    <w:p w:rsidR="00B40D7F" w:rsidRPr="00836713" w:rsidRDefault="00B40D7F" w:rsidP="009B10BC">
      <w:pPr>
        <w:pStyle w:val="ListParagraph"/>
        <w:numPr>
          <w:ilvl w:val="0"/>
          <w:numId w:val="20"/>
        </w:numPr>
        <w:spacing w:before="120" w:after="120" w:line="240" w:lineRule="auto"/>
        <w:jc w:val="both"/>
        <w:rPr>
          <w:rFonts w:ascii="Times New Roman" w:hAnsi="Times New Roman" w:cs="Times New Roman"/>
          <w:color w:val="000000"/>
          <w:sz w:val="24"/>
          <w:szCs w:val="24"/>
        </w:rPr>
      </w:pPr>
      <w:r w:rsidRPr="00836713">
        <w:rPr>
          <w:rFonts w:ascii="Times New Roman" w:hAnsi="Times New Roman" w:cs="Times New Roman"/>
          <w:color w:val="000000"/>
          <w:sz w:val="24"/>
          <w:szCs w:val="24"/>
        </w:rPr>
        <w:t>Data for outcome indicators 1 will be collected from exam results through the administrative reports at the MOECD Examination Bureau.</w:t>
      </w:r>
      <w:r w:rsidR="00EA7FA9">
        <w:rPr>
          <w:rFonts w:ascii="Times New Roman" w:hAnsi="Times New Roman" w:cs="Times New Roman"/>
          <w:color w:val="000000"/>
          <w:sz w:val="24"/>
          <w:szCs w:val="24"/>
        </w:rPr>
        <w:t xml:space="preserve"> </w:t>
      </w:r>
    </w:p>
    <w:p w:rsidR="00B40D7F" w:rsidRPr="00836713" w:rsidRDefault="00B40D7F" w:rsidP="009B10BC">
      <w:pPr>
        <w:pStyle w:val="ListParagraph"/>
        <w:numPr>
          <w:ilvl w:val="0"/>
          <w:numId w:val="20"/>
        </w:numPr>
        <w:spacing w:before="120" w:after="120" w:line="240" w:lineRule="auto"/>
        <w:jc w:val="both"/>
        <w:rPr>
          <w:rFonts w:ascii="Times New Roman" w:hAnsi="Times New Roman" w:cs="Times New Roman"/>
          <w:color w:val="000000"/>
          <w:sz w:val="24"/>
          <w:szCs w:val="24"/>
        </w:rPr>
      </w:pPr>
      <w:r w:rsidRPr="00836713">
        <w:rPr>
          <w:rFonts w:ascii="Times New Roman" w:hAnsi="Times New Roman" w:cs="Times New Roman"/>
          <w:iCs/>
          <w:sz w:val="24"/>
          <w:szCs w:val="24"/>
        </w:rPr>
        <w:lastRenderedPageBreak/>
        <w:t>Data for outcome indicator 6 will be collected from the Testing and Assessment Department.</w:t>
      </w:r>
      <w:r w:rsidR="00EA7FA9">
        <w:rPr>
          <w:rFonts w:ascii="Times New Roman" w:hAnsi="Times New Roman" w:cs="Times New Roman"/>
          <w:iCs/>
          <w:sz w:val="24"/>
          <w:szCs w:val="24"/>
        </w:rPr>
        <w:t xml:space="preserve"> </w:t>
      </w:r>
      <w:r w:rsidRPr="00836713">
        <w:rPr>
          <w:rFonts w:ascii="Times New Roman" w:hAnsi="Times New Roman" w:cs="Times New Roman"/>
          <w:iCs/>
          <w:sz w:val="24"/>
          <w:szCs w:val="24"/>
        </w:rPr>
        <w:t xml:space="preserve">The results will be compared to that of students not using the revised curriculum. </w:t>
      </w:r>
    </w:p>
    <w:p w:rsidR="009B36F0" w:rsidRPr="00836713" w:rsidRDefault="00951C4A" w:rsidP="009B10BC">
      <w:pPr>
        <w:pStyle w:val="ListParagraph"/>
        <w:numPr>
          <w:ilvl w:val="0"/>
          <w:numId w:val="20"/>
        </w:numPr>
        <w:spacing w:before="120" w:after="120" w:line="240" w:lineRule="auto"/>
        <w:jc w:val="both"/>
        <w:rPr>
          <w:rFonts w:ascii="Times New Roman" w:hAnsi="Times New Roman" w:cs="Times New Roman"/>
          <w:color w:val="000000"/>
          <w:sz w:val="24"/>
          <w:szCs w:val="24"/>
        </w:rPr>
      </w:pPr>
      <w:r w:rsidRPr="00836713">
        <w:rPr>
          <w:rFonts w:ascii="Times New Roman" w:hAnsi="Times New Roman" w:cs="Times New Roman"/>
          <w:color w:val="000000"/>
          <w:sz w:val="24"/>
          <w:szCs w:val="24"/>
        </w:rPr>
        <w:t>Data for output indicators1–9 will be based on MOECD reports and where applicable findings from consultancy reports. In addition the MOECD will provide letters of acceptance for final works from consultancy services for goods and services.</w:t>
      </w:r>
    </w:p>
    <w:p w:rsidR="009B36F0" w:rsidRPr="00836713" w:rsidRDefault="00951C4A" w:rsidP="009B10BC">
      <w:pPr>
        <w:pStyle w:val="ListParagraph"/>
        <w:numPr>
          <w:ilvl w:val="0"/>
          <w:numId w:val="20"/>
        </w:numPr>
        <w:spacing w:before="120" w:after="120" w:line="240" w:lineRule="auto"/>
        <w:jc w:val="both"/>
        <w:rPr>
          <w:rFonts w:ascii="Times New Roman" w:hAnsi="Times New Roman" w:cs="Times New Roman"/>
          <w:color w:val="000000"/>
          <w:sz w:val="24"/>
          <w:szCs w:val="24"/>
        </w:rPr>
      </w:pPr>
      <w:r w:rsidRPr="00836713">
        <w:rPr>
          <w:rFonts w:ascii="Times New Roman" w:hAnsi="Times New Roman" w:cs="Times New Roman"/>
          <w:color w:val="000000"/>
          <w:sz w:val="24"/>
          <w:szCs w:val="24"/>
        </w:rPr>
        <w:t>In addition to the letter of acceptance f</w:t>
      </w:r>
      <w:r w:rsidR="009B36F0" w:rsidRPr="00836713">
        <w:rPr>
          <w:rFonts w:ascii="Times New Roman" w:hAnsi="Times New Roman" w:cs="Times New Roman"/>
          <w:color w:val="000000"/>
          <w:sz w:val="24"/>
          <w:szCs w:val="24"/>
        </w:rPr>
        <w:t xml:space="preserve">or all other output indicators (documents delivered and approved, equipment installed, human resources trained), the source of information will be on-site visual inspections with progress reported in the </w:t>
      </w:r>
      <w:r w:rsidRPr="00836713">
        <w:rPr>
          <w:rFonts w:ascii="Times New Roman" w:hAnsi="Times New Roman" w:cs="Times New Roman"/>
          <w:color w:val="000000"/>
          <w:sz w:val="24"/>
          <w:szCs w:val="24"/>
        </w:rPr>
        <w:t>semi-annual progress</w:t>
      </w:r>
      <w:r w:rsidR="009B36F0" w:rsidRPr="00836713">
        <w:rPr>
          <w:rFonts w:ascii="Times New Roman" w:hAnsi="Times New Roman" w:cs="Times New Roman"/>
          <w:color w:val="000000"/>
          <w:sz w:val="24"/>
          <w:szCs w:val="24"/>
        </w:rPr>
        <w:t xml:space="preserve"> reports</w:t>
      </w:r>
      <w:r w:rsidRPr="00836713">
        <w:rPr>
          <w:rFonts w:ascii="Times New Roman" w:hAnsi="Times New Roman" w:cs="Times New Roman"/>
          <w:color w:val="000000"/>
          <w:sz w:val="24"/>
          <w:szCs w:val="24"/>
        </w:rPr>
        <w:t xml:space="preserve"> of the Project Executing Unit</w:t>
      </w:r>
      <w:r w:rsidR="009B36F0" w:rsidRPr="00836713">
        <w:rPr>
          <w:rFonts w:ascii="Times New Roman" w:hAnsi="Times New Roman" w:cs="Times New Roman"/>
          <w:color w:val="000000"/>
          <w:sz w:val="24"/>
          <w:szCs w:val="24"/>
        </w:rPr>
        <w:t>.</w:t>
      </w:r>
    </w:p>
    <w:p w:rsidR="00D045A7" w:rsidRPr="00836713" w:rsidRDefault="00836713" w:rsidP="009B10BC">
      <w:pPr>
        <w:spacing w:before="120" w:after="120"/>
        <w:ind w:left="720" w:hanging="720"/>
        <w:jc w:val="both"/>
        <w:rPr>
          <w:color w:val="000000"/>
          <w:szCs w:val="24"/>
        </w:rPr>
      </w:pPr>
      <w:r>
        <w:rPr>
          <w:color w:val="000000"/>
          <w:szCs w:val="24"/>
        </w:rPr>
        <w:t>2.3</w:t>
      </w:r>
      <w:r>
        <w:rPr>
          <w:color w:val="000000"/>
          <w:szCs w:val="24"/>
        </w:rPr>
        <w:tab/>
      </w:r>
      <w:r w:rsidR="00116B0C" w:rsidRPr="00836713">
        <w:rPr>
          <w:color w:val="000000"/>
          <w:szCs w:val="24"/>
        </w:rPr>
        <w:t xml:space="preserve">The PMU will be directly responsible for the monitoring of the program with assistance from R&amp;P. </w:t>
      </w:r>
    </w:p>
    <w:p w:rsidR="00630DA5" w:rsidRPr="00836713" w:rsidRDefault="00630DA5" w:rsidP="009B10BC">
      <w:pPr>
        <w:numPr>
          <w:ilvl w:val="1"/>
          <w:numId w:val="2"/>
        </w:numPr>
        <w:spacing w:before="120" w:after="120"/>
        <w:ind w:left="1080"/>
        <w:jc w:val="both"/>
        <w:rPr>
          <w:b/>
          <w:szCs w:val="24"/>
        </w:rPr>
      </w:pPr>
      <w:r w:rsidRPr="00836713">
        <w:rPr>
          <w:b/>
          <w:szCs w:val="24"/>
        </w:rPr>
        <w:t>Reporting</w:t>
      </w:r>
    </w:p>
    <w:p w:rsidR="00471ABE" w:rsidRPr="00836713" w:rsidRDefault="00471ABE" w:rsidP="009B10BC">
      <w:pPr>
        <w:numPr>
          <w:ilvl w:val="1"/>
          <w:numId w:val="21"/>
        </w:numPr>
        <w:suppressAutoHyphens/>
        <w:spacing w:before="120" w:after="0"/>
        <w:ind w:left="720" w:hanging="720"/>
        <w:jc w:val="both"/>
        <w:rPr>
          <w:color w:val="000000"/>
          <w:szCs w:val="24"/>
        </w:rPr>
      </w:pPr>
      <w:r w:rsidRPr="00836713">
        <w:rPr>
          <w:color w:val="000000"/>
          <w:szCs w:val="24"/>
        </w:rPr>
        <w:t xml:space="preserve">The </w:t>
      </w:r>
      <w:r w:rsidR="00131815">
        <w:rPr>
          <w:szCs w:val="24"/>
        </w:rPr>
        <w:t xml:space="preserve">Second </w:t>
      </w:r>
      <w:r w:rsidR="00131815" w:rsidRPr="00E820F4">
        <w:rPr>
          <w:szCs w:val="24"/>
        </w:rPr>
        <w:t>Basic Education Improvement Program (</w:t>
      </w:r>
      <w:bookmarkStart w:id="0" w:name="_GoBack"/>
      <w:r w:rsidR="00131815" w:rsidRPr="00E820F4">
        <w:rPr>
          <w:szCs w:val="24"/>
        </w:rPr>
        <w:t>BEIP</w:t>
      </w:r>
      <w:bookmarkEnd w:id="0"/>
      <w:r w:rsidR="00131815" w:rsidRPr="00E820F4">
        <w:rPr>
          <w:szCs w:val="24"/>
        </w:rPr>
        <w:t>)</w:t>
      </w:r>
      <w:r w:rsidR="00131815">
        <w:rPr>
          <w:szCs w:val="24"/>
        </w:rPr>
        <w:t xml:space="preserve"> – Phase I</w:t>
      </w:r>
      <w:r w:rsidR="00806BA6" w:rsidRPr="00836713">
        <w:rPr>
          <w:color w:val="000000"/>
          <w:szCs w:val="24"/>
        </w:rPr>
        <w:t xml:space="preserve"> </w:t>
      </w:r>
      <w:r w:rsidRPr="00836713">
        <w:rPr>
          <w:color w:val="000000"/>
          <w:szCs w:val="24"/>
        </w:rPr>
        <w:t>project unit will prepare and transmit to the Bank a biannual activity progress report that will include the results of the monitoring of all the indicators listed above. The preparation by the PMU and the Bank’s approval of these reports is a contractual condition of the Loan. At the end of the project (Y4), the PMU will prepare a final transition report.</w:t>
      </w:r>
    </w:p>
    <w:p w:rsidR="00471ABE" w:rsidRPr="00836713" w:rsidRDefault="00471ABE" w:rsidP="009B10BC">
      <w:pPr>
        <w:numPr>
          <w:ilvl w:val="1"/>
          <w:numId w:val="21"/>
        </w:numPr>
        <w:suppressAutoHyphens/>
        <w:spacing w:before="120" w:after="0"/>
        <w:ind w:left="720" w:hanging="720"/>
        <w:jc w:val="both"/>
        <w:rPr>
          <w:color w:val="000000"/>
          <w:szCs w:val="24"/>
        </w:rPr>
      </w:pPr>
      <w:r w:rsidRPr="00836713">
        <w:rPr>
          <w:color w:val="000000"/>
          <w:szCs w:val="24"/>
        </w:rPr>
        <w:t xml:space="preserve">These reports will provide all the required information for the PMR system of the Bank, to be updated on a biannual basis by the specialist in charge, one month after the receipt of the </w:t>
      </w:r>
      <w:r w:rsidR="00031233">
        <w:rPr>
          <w:szCs w:val="24"/>
        </w:rPr>
        <w:t>BEIP</w:t>
      </w:r>
      <w:r w:rsidRPr="00836713">
        <w:rPr>
          <w:color w:val="000000"/>
          <w:szCs w:val="24"/>
        </w:rPr>
        <w:t xml:space="preserve"> PMU reports.</w:t>
      </w:r>
    </w:p>
    <w:p w:rsidR="00471ABE" w:rsidRPr="00836713" w:rsidRDefault="00471ABE" w:rsidP="009B10BC">
      <w:pPr>
        <w:numPr>
          <w:ilvl w:val="1"/>
          <w:numId w:val="21"/>
        </w:numPr>
        <w:suppressAutoHyphens/>
        <w:spacing w:before="120" w:after="0"/>
        <w:ind w:left="720" w:hanging="720"/>
        <w:jc w:val="both"/>
        <w:rPr>
          <w:color w:val="000000"/>
          <w:szCs w:val="24"/>
        </w:rPr>
      </w:pPr>
      <w:r w:rsidRPr="00836713">
        <w:rPr>
          <w:color w:val="000000"/>
          <w:szCs w:val="24"/>
        </w:rPr>
        <w:t>The estimated dates for publication of the monitoring results are the following.</w:t>
      </w:r>
    </w:p>
    <w:p w:rsidR="00471ABE" w:rsidRPr="00836713" w:rsidRDefault="00471ABE" w:rsidP="009B10BC">
      <w:pPr>
        <w:pStyle w:val="ListParagraph"/>
        <w:autoSpaceDE w:val="0"/>
        <w:autoSpaceDN w:val="0"/>
        <w:adjustRightInd w:val="0"/>
        <w:spacing w:after="0" w:line="240" w:lineRule="auto"/>
        <w:ind w:left="360"/>
        <w:jc w:val="center"/>
        <w:rPr>
          <w:rFonts w:ascii="Times New Roman" w:hAnsi="Times New Roman" w:cs="Times New Roman"/>
          <w:b/>
          <w:color w:val="000000"/>
          <w:sz w:val="24"/>
          <w:szCs w:val="24"/>
        </w:rPr>
      </w:pPr>
    </w:p>
    <w:tbl>
      <w:tblPr>
        <w:tblStyle w:val="TableGrid"/>
        <w:tblW w:w="0" w:type="auto"/>
        <w:jc w:val="center"/>
        <w:tblLook w:val="04A0" w:firstRow="1" w:lastRow="0" w:firstColumn="1" w:lastColumn="0" w:noHBand="0" w:noVBand="1"/>
      </w:tblPr>
      <w:tblGrid>
        <w:gridCol w:w="4799"/>
        <w:gridCol w:w="2271"/>
      </w:tblGrid>
      <w:tr w:rsidR="00836713" w:rsidRPr="00836713" w:rsidTr="00836713">
        <w:trPr>
          <w:jc w:val="center"/>
        </w:trPr>
        <w:tc>
          <w:tcPr>
            <w:tcW w:w="7070" w:type="dxa"/>
            <w:gridSpan w:val="2"/>
            <w:tcBorders>
              <w:top w:val="nil"/>
              <w:left w:val="nil"/>
              <w:bottom w:val="single" w:sz="4" w:space="0" w:color="auto"/>
              <w:right w:val="nil"/>
            </w:tcBorders>
          </w:tcPr>
          <w:p w:rsidR="00836713" w:rsidRPr="00836713" w:rsidRDefault="00836713" w:rsidP="009B10BC">
            <w:pPr>
              <w:pStyle w:val="ListParagraph"/>
              <w:autoSpaceDE w:val="0"/>
              <w:autoSpaceDN w:val="0"/>
              <w:adjustRightInd w:val="0"/>
              <w:spacing w:line="240" w:lineRule="auto"/>
              <w:ind w:left="360"/>
              <w:jc w:val="center"/>
              <w:rPr>
                <w:rFonts w:ascii="Times New Roman" w:hAnsi="Times New Roman" w:cs="Times New Roman"/>
                <w:b/>
                <w:color w:val="000000"/>
                <w:sz w:val="20"/>
                <w:szCs w:val="20"/>
              </w:rPr>
            </w:pPr>
            <w:r w:rsidRPr="00836713">
              <w:rPr>
                <w:rFonts w:ascii="Times New Roman" w:hAnsi="Times New Roman" w:cs="Times New Roman"/>
                <w:b/>
                <w:color w:val="000000"/>
                <w:sz w:val="20"/>
                <w:szCs w:val="20"/>
              </w:rPr>
              <w:t>Table 2</w:t>
            </w:r>
            <w:r w:rsidR="001C16BD">
              <w:rPr>
                <w:rFonts w:ascii="Times New Roman" w:hAnsi="Times New Roman" w:cs="Times New Roman"/>
                <w:b/>
                <w:color w:val="000000"/>
                <w:sz w:val="20"/>
                <w:szCs w:val="20"/>
              </w:rPr>
              <w:t>-2</w:t>
            </w:r>
            <w:r w:rsidRPr="00836713">
              <w:rPr>
                <w:rFonts w:ascii="Times New Roman" w:hAnsi="Times New Roman" w:cs="Times New Roman"/>
                <w:b/>
                <w:color w:val="000000"/>
                <w:sz w:val="20"/>
                <w:szCs w:val="20"/>
              </w:rPr>
              <w:t>: Publication of monitoring results</w:t>
            </w:r>
          </w:p>
        </w:tc>
      </w:tr>
      <w:tr w:rsidR="00836713" w:rsidRPr="00836713" w:rsidTr="00836713">
        <w:trPr>
          <w:jc w:val="center"/>
        </w:trPr>
        <w:tc>
          <w:tcPr>
            <w:tcW w:w="4799" w:type="dxa"/>
            <w:shd w:val="clear" w:color="auto" w:fill="A6A6A6" w:themeFill="background1" w:themeFillShade="A6"/>
          </w:tcPr>
          <w:p w:rsidR="00836713" w:rsidRPr="00836713" w:rsidRDefault="00836713" w:rsidP="009B10BC">
            <w:pPr>
              <w:autoSpaceDE w:val="0"/>
              <w:autoSpaceDN w:val="0"/>
              <w:adjustRightInd w:val="0"/>
              <w:jc w:val="center"/>
              <w:rPr>
                <w:b/>
                <w:color w:val="000000"/>
                <w:sz w:val="20"/>
                <w:szCs w:val="20"/>
              </w:rPr>
            </w:pPr>
            <w:r w:rsidRPr="00836713">
              <w:rPr>
                <w:b/>
                <w:color w:val="000000"/>
                <w:sz w:val="20"/>
                <w:szCs w:val="20"/>
              </w:rPr>
              <w:t>REPORTING</w:t>
            </w:r>
          </w:p>
        </w:tc>
        <w:tc>
          <w:tcPr>
            <w:tcW w:w="2271" w:type="dxa"/>
            <w:shd w:val="clear" w:color="auto" w:fill="A6A6A6" w:themeFill="background1" w:themeFillShade="A6"/>
          </w:tcPr>
          <w:p w:rsidR="00836713" w:rsidRPr="00836713" w:rsidRDefault="00836713" w:rsidP="009B10BC">
            <w:pPr>
              <w:autoSpaceDE w:val="0"/>
              <w:autoSpaceDN w:val="0"/>
              <w:adjustRightInd w:val="0"/>
              <w:jc w:val="center"/>
              <w:rPr>
                <w:b/>
                <w:color w:val="000000"/>
                <w:sz w:val="20"/>
                <w:szCs w:val="20"/>
              </w:rPr>
            </w:pPr>
            <w:r w:rsidRPr="00836713">
              <w:rPr>
                <w:b/>
                <w:color w:val="000000"/>
                <w:sz w:val="20"/>
                <w:szCs w:val="20"/>
              </w:rPr>
              <w:t>ESTIMATED DATE</w:t>
            </w:r>
          </w:p>
        </w:tc>
      </w:tr>
      <w:tr w:rsidR="00836713" w:rsidRPr="00836713" w:rsidTr="00836713">
        <w:trPr>
          <w:jc w:val="center"/>
        </w:trPr>
        <w:tc>
          <w:tcPr>
            <w:tcW w:w="4799" w:type="dxa"/>
          </w:tcPr>
          <w:p w:rsidR="00836713" w:rsidRPr="00836713" w:rsidRDefault="00836713" w:rsidP="009B10BC">
            <w:pPr>
              <w:autoSpaceDE w:val="0"/>
              <w:autoSpaceDN w:val="0"/>
              <w:adjustRightInd w:val="0"/>
              <w:rPr>
                <w:color w:val="000000"/>
                <w:sz w:val="20"/>
                <w:szCs w:val="20"/>
              </w:rPr>
            </w:pPr>
            <w:r w:rsidRPr="00836713">
              <w:rPr>
                <w:color w:val="000000"/>
                <w:sz w:val="20"/>
                <w:szCs w:val="20"/>
              </w:rPr>
              <w:t>PMU report for semester 1</w:t>
            </w:r>
          </w:p>
        </w:tc>
        <w:tc>
          <w:tcPr>
            <w:tcW w:w="2271" w:type="dxa"/>
          </w:tcPr>
          <w:p w:rsidR="00836713" w:rsidRPr="00836713" w:rsidRDefault="00836713" w:rsidP="009B10BC">
            <w:pPr>
              <w:autoSpaceDE w:val="0"/>
              <w:autoSpaceDN w:val="0"/>
              <w:adjustRightInd w:val="0"/>
              <w:jc w:val="center"/>
              <w:rPr>
                <w:color w:val="000000"/>
                <w:sz w:val="20"/>
                <w:szCs w:val="20"/>
              </w:rPr>
            </w:pPr>
            <w:r w:rsidRPr="00836713">
              <w:rPr>
                <w:color w:val="000000"/>
                <w:sz w:val="20"/>
                <w:szCs w:val="20"/>
              </w:rPr>
              <w:t>28 February, 2013</w:t>
            </w:r>
            <w:r w:rsidRPr="00836713">
              <w:rPr>
                <w:rStyle w:val="FootnoteReference"/>
                <w:color w:val="000000"/>
                <w:sz w:val="20"/>
                <w:szCs w:val="20"/>
              </w:rPr>
              <w:footnoteReference w:id="1"/>
            </w:r>
          </w:p>
        </w:tc>
      </w:tr>
      <w:tr w:rsidR="00836713" w:rsidRPr="00836713" w:rsidTr="00836713">
        <w:trPr>
          <w:jc w:val="center"/>
        </w:trPr>
        <w:tc>
          <w:tcPr>
            <w:tcW w:w="4799" w:type="dxa"/>
          </w:tcPr>
          <w:p w:rsidR="00836713" w:rsidRPr="00836713" w:rsidRDefault="00836713" w:rsidP="009B10BC">
            <w:pPr>
              <w:autoSpaceDE w:val="0"/>
              <w:autoSpaceDN w:val="0"/>
              <w:adjustRightInd w:val="0"/>
              <w:rPr>
                <w:color w:val="000000"/>
                <w:sz w:val="20"/>
                <w:szCs w:val="20"/>
              </w:rPr>
            </w:pPr>
            <w:r w:rsidRPr="00836713">
              <w:rPr>
                <w:color w:val="000000"/>
                <w:sz w:val="20"/>
                <w:szCs w:val="20"/>
              </w:rPr>
              <w:t>PMU report</w:t>
            </w:r>
            <w:r w:rsidR="00EA7FA9">
              <w:rPr>
                <w:color w:val="000000"/>
                <w:sz w:val="20"/>
                <w:szCs w:val="20"/>
              </w:rPr>
              <w:t xml:space="preserve"> </w:t>
            </w:r>
            <w:r w:rsidRPr="00836713">
              <w:rPr>
                <w:color w:val="000000"/>
                <w:sz w:val="20"/>
                <w:szCs w:val="20"/>
              </w:rPr>
              <w:t>for year 1 (S1-S2)</w:t>
            </w:r>
          </w:p>
        </w:tc>
        <w:tc>
          <w:tcPr>
            <w:tcW w:w="2271" w:type="dxa"/>
          </w:tcPr>
          <w:p w:rsidR="00836713" w:rsidRPr="00836713" w:rsidRDefault="00836713" w:rsidP="009B10BC">
            <w:pPr>
              <w:autoSpaceDE w:val="0"/>
              <w:autoSpaceDN w:val="0"/>
              <w:adjustRightInd w:val="0"/>
              <w:jc w:val="center"/>
              <w:rPr>
                <w:color w:val="000000"/>
                <w:sz w:val="20"/>
                <w:szCs w:val="20"/>
              </w:rPr>
            </w:pPr>
            <w:r w:rsidRPr="00836713">
              <w:rPr>
                <w:color w:val="000000"/>
                <w:sz w:val="20"/>
                <w:szCs w:val="20"/>
              </w:rPr>
              <w:t>31 August 2013</w:t>
            </w:r>
          </w:p>
        </w:tc>
      </w:tr>
      <w:tr w:rsidR="00836713" w:rsidRPr="00836713" w:rsidTr="00836713">
        <w:trPr>
          <w:jc w:val="center"/>
        </w:trPr>
        <w:tc>
          <w:tcPr>
            <w:tcW w:w="4799" w:type="dxa"/>
          </w:tcPr>
          <w:p w:rsidR="00836713" w:rsidRPr="00836713" w:rsidRDefault="00836713" w:rsidP="009B10BC">
            <w:pPr>
              <w:autoSpaceDE w:val="0"/>
              <w:autoSpaceDN w:val="0"/>
              <w:adjustRightInd w:val="0"/>
              <w:rPr>
                <w:color w:val="000000"/>
                <w:sz w:val="20"/>
                <w:szCs w:val="20"/>
              </w:rPr>
            </w:pPr>
            <w:r w:rsidRPr="00836713">
              <w:rPr>
                <w:color w:val="000000"/>
                <w:sz w:val="20"/>
                <w:szCs w:val="20"/>
              </w:rPr>
              <w:t>PMU report for semester 3</w:t>
            </w:r>
          </w:p>
        </w:tc>
        <w:tc>
          <w:tcPr>
            <w:tcW w:w="2271" w:type="dxa"/>
          </w:tcPr>
          <w:p w:rsidR="00836713" w:rsidRPr="00836713" w:rsidRDefault="00836713" w:rsidP="009B10BC">
            <w:pPr>
              <w:autoSpaceDE w:val="0"/>
              <w:autoSpaceDN w:val="0"/>
              <w:adjustRightInd w:val="0"/>
              <w:jc w:val="center"/>
              <w:rPr>
                <w:color w:val="000000"/>
                <w:sz w:val="20"/>
                <w:szCs w:val="20"/>
              </w:rPr>
            </w:pPr>
            <w:r w:rsidRPr="00836713">
              <w:rPr>
                <w:color w:val="000000"/>
                <w:sz w:val="20"/>
                <w:szCs w:val="20"/>
              </w:rPr>
              <w:t>28 February, 2014</w:t>
            </w:r>
          </w:p>
        </w:tc>
      </w:tr>
      <w:tr w:rsidR="00836713" w:rsidRPr="00836713" w:rsidTr="00836713">
        <w:trPr>
          <w:jc w:val="center"/>
        </w:trPr>
        <w:tc>
          <w:tcPr>
            <w:tcW w:w="4799" w:type="dxa"/>
          </w:tcPr>
          <w:p w:rsidR="00836713" w:rsidRPr="00836713" w:rsidRDefault="00836713" w:rsidP="009B10BC">
            <w:pPr>
              <w:autoSpaceDE w:val="0"/>
              <w:autoSpaceDN w:val="0"/>
              <w:adjustRightInd w:val="0"/>
              <w:rPr>
                <w:color w:val="000000"/>
                <w:sz w:val="20"/>
                <w:szCs w:val="20"/>
              </w:rPr>
            </w:pPr>
            <w:r w:rsidRPr="00836713">
              <w:rPr>
                <w:color w:val="000000"/>
                <w:sz w:val="20"/>
                <w:szCs w:val="20"/>
              </w:rPr>
              <w:t>PMU report for year 2 (S3-S4)</w:t>
            </w:r>
          </w:p>
        </w:tc>
        <w:tc>
          <w:tcPr>
            <w:tcW w:w="2271" w:type="dxa"/>
          </w:tcPr>
          <w:p w:rsidR="00836713" w:rsidRPr="00836713" w:rsidRDefault="00836713" w:rsidP="009B10BC">
            <w:pPr>
              <w:autoSpaceDE w:val="0"/>
              <w:autoSpaceDN w:val="0"/>
              <w:adjustRightInd w:val="0"/>
              <w:jc w:val="center"/>
              <w:rPr>
                <w:color w:val="000000"/>
                <w:sz w:val="20"/>
                <w:szCs w:val="20"/>
              </w:rPr>
            </w:pPr>
            <w:r w:rsidRPr="00836713">
              <w:rPr>
                <w:color w:val="000000"/>
                <w:sz w:val="20"/>
                <w:szCs w:val="20"/>
              </w:rPr>
              <w:t>31 August 2014</w:t>
            </w:r>
          </w:p>
        </w:tc>
      </w:tr>
      <w:tr w:rsidR="00836713" w:rsidRPr="00836713" w:rsidTr="00836713">
        <w:trPr>
          <w:jc w:val="center"/>
        </w:trPr>
        <w:tc>
          <w:tcPr>
            <w:tcW w:w="4799" w:type="dxa"/>
          </w:tcPr>
          <w:p w:rsidR="00836713" w:rsidRPr="00836713" w:rsidRDefault="00836713" w:rsidP="009B10BC">
            <w:pPr>
              <w:autoSpaceDE w:val="0"/>
              <w:autoSpaceDN w:val="0"/>
              <w:adjustRightInd w:val="0"/>
              <w:rPr>
                <w:color w:val="000000"/>
                <w:sz w:val="20"/>
                <w:szCs w:val="20"/>
              </w:rPr>
            </w:pPr>
            <w:r w:rsidRPr="00836713">
              <w:rPr>
                <w:color w:val="000000"/>
                <w:sz w:val="20"/>
                <w:szCs w:val="20"/>
              </w:rPr>
              <w:t>PMU report for semester 5</w:t>
            </w:r>
          </w:p>
        </w:tc>
        <w:tc>
          <w:tcPr>
            <w:tcW w:w="2271" w:type="dxa"/>
          </w:tcPr>
          <w:p w:rsidR="00836713" w:rsidRPr="00836713" w:rsidRDefault="00836713" w:rsidP="009B10BC">
            <w:pPr>
              <w:autoSpaceDE w:val="0"/>
              <w:autoSpaceDN w:val="0"/>
              <w:adjustRightInd w:val="0"/>
              <w:jc w:val="center"/>
              <w:rPr>
                <w:color w:val="000000"/>
                <w:sz w:val="20"/>
                <w:szCs w:val="20"/>
              </w:rPr>
            </w:pPr>
            <w:r w:rsidRPr="00836713">
              <w:rPr>
                <w:color w:val="000000"/>
                <w:sz w:val="20"/>
                <w:szCs w:val="20"/>
              </w:rPr>
              <w:t>28 February, 2015</w:t>
            </w:r>
          </w:p>
        </w:tc>
      </w:tr>
      <w:tr w:rsidR="00836713" w:rsidRPr="00836713" w:rsidTr="00836713">
        <w:trPr>
          <w:jc w:val="center"/>
        </w:trPr>
        <w:tc>
          <w:tcPr>
            <w:tcW w:w="4799" w:type="dxa"/>
          </w:tcPr>
          <w:p w:rsidR="00836713" w:rsidRPr="00836713" w:rsidRDefault="00836713" w:rsidP="009B10BC">
            <w:pPr>
              <w:autoSpaceDE w:val="0"/>
              <w:autoSpaceDN w:val="0"/>
              <w:adjustRightInd w:val="0"/>
              <w:rPr>
                <w:color w:val="000000"/>
                <w:sz w:val="20"/>
                <w:szCs w:val="20"/>
              </w:rPr>
            </w:pPr>
            <w:r w:rsidRPr="00836713">
              <w:rPr>
                <w:color w:val="000000"/>
                <w:sz w:val="20"/>
                <w:szCs w:val="20"/>
              </w:rPr>
              <w:t>PMU report for year 3 (S5-S6)</w:t>
            </w:r>
          </w:p>
        </w:tc>
        <w:tc>
          <w:tcPr>
            <w:tcW w:w="2271" w:type="dxa"/>
          </w:tcPr>
          <w:p w:rsidR="00836713" w:rsidRPr="00836713" w:rsidRDefault="00836713" w:rsidP="009B10BC">
            <w:pPr>
              <w:autoSpaceDE w:val="0"/>
              <w:autoSpaceDN w:val="0"/>
              <w:adjustRightInd w:val="0"/>
              <w:jc w:val="center"/>
              <w:rPr>
                <w:color w:val="000000"/>
                <w:sz w:val="20"/>
                <w:szCs w:val="20"/>
              </w:rPr>
            </w:pPr>
            <w:r w:rsidRPr="00836713">
              <w:rPr>
                <w:color w:val="000000"/>
                <w:sz w:val="20"/>
                <w:szCs w:val="20"/>
              </w:rPr>
              <w:t>31 August 2015</w:t>
            </w:r>
          </w:p>
        </w:tc>
      </w:tr>
      <w:tr w:rsidR="00836713" w:rsidRPr="00836713" w:rsidTr="00836713">
        <w:trPr>
          <w:jc w:val="center"/>
        </w:trPr>
        <w:tc>
          <w:tcPr>
            <w:tcW w:w="4799" w:type="dxa"/>
          </w:tcPr>
          <w:p w:rsidR="00836713" w:rsidRPr="00836713" w:rsidRDefault="00836713" w:rsidP="009B10BC">
            <w:pPr>
              <w:autoSpaceDE w:val="0"/>
              <w:autoSpaceDN w:val="0"/>
              <w:adjustRightInd w:val="0"/>
              <w:rPr>
                <w:color w:val="000000"/>
                <w:sz w:val="20"/>
                <w:szCs w:val="20"/>
              </w:rPr>
            </w:pPr>
            <w:r w:rsidRPr="00836713">
              <w:rPr>
                <w:color w:val="000000"/>
                <w:sz w:val="20"/>
                <w:szCs w:val="20"/>
              </w:rPr>
              <w:t>PMU report for semester 7</w:t>
            </w:r>
          </w:p>
        </w:tc>
        <w:tc>
          <w:tcPr>
            <w:tcW w:w="2271" w:type="dxa"/>
          </w:tcPr>
          <w:p w:rsidR="00836713" w:rsidRPr="00836713" w:rsidRDefault="00836713" w:rsidP="009B10BC">
            <w:pPr>
              <w:autoSpaceDE w:val="0"/>
              <w:autoSpaceDN w:val="0"/>
              <w:adjustRightInd w:val="0"/>
              <w:jc w:val="center"/>
              <w:rPr>
                <w:color w:val="000000"/>
                <w:sz w:val="20"/>
                <w:szCs w:val="20"/>
              </w:rPr>
            </w:pPr>
            <w:r w:rsidRPr="00836713">
              <w:rPr>
                <w:color w:val="000000"/>
                <w:sz w:val="20"/>
                <w:szCs w:val="20"/>
              </w:rPr>
              <w:t>29 February, 2016</w:t>
            </w:r>
          </w:p>
        </w:tc>
      </w:tr>
      <w:tr w:rsidR="00836713" w:rsidRPr="00836713" w:rsidTr="00836713">
        <w:trPr>
          <w:jc w:val="center"/>
        </w:trPr>
        <w:tc>
          <w:tcPr>
            <w:tcW w:w="4799" w:type="dxa"/>
          </w:tcPr>
          <w:p w:rsidR="00836713" w:rsidRPr="00836713" w:rsidRDefault="00836713" w:rsidP="009B10BC">
            <w:pPr>
              <w:autoSpaceDE w:val="0"/>
              <w:autoSpaceDN w:val="0"/>
              <w:adjustRightInd w:val="0"/>
              <w:rPr>
                <w:color w:val="000000"/>
                <w:sz w:val="20"/>
                <w:szCs w:val="20"/>
              </w:rPr>
            </w:pPr>
            <w:r w:rsidRPr="00836713">
              <w:rPr>
                <w:color w:val="000000"/>
                <w:sz w:val="20"/>
                <w:szCs w:val="20"/>
              </w:rPr>
              <w:t>PMU report for year 4 (S7-S8) and final transition report</w:t>
            </w:r>
          </w:p>
        </w:tc>
        <w:tc>
          <w:tcPr>
            <w:tcW w:w="2271" w:type="dxa"/>
          </w:tcPr>
          <w:p w:rsidR="00836713" w:rsidRPr="00836713" w:rsidRDefault="00836713" w:rsidP="009B10BC">
            <w:pPr>
              <w:autoSpaceDE w:val="0"/>
              <w:autoSpaceDN w:val="0"/>
              <w:adjustRightInd w:val="0"/>
              <w:jc w:val="center"/>
              <w:rPr>
                <w:color w:val="000000"/>
                <w:sz w:val="20"/>
                <w:szCs w:val="20"/>
              </w:rPr>
            </w:pPr>
            <w:r w:rsidRPr="00836713">
              <w:rPr>
                <w:color w:val="000000"/>
                <w:sz w:val="20"/>
                <w:szCs w:val="20"/>
              </w:rPr>
              <w:t>30 June 2016</w:t>
            </w:r>
          </w:p>
        </w:tc>
      </w:tr>
      <w:tr w:rsidR="00836713" w:rsidRPr="00836713" w:rsidTr="00836713">
        <w:trPr>
          <w:jc w:val="center"/>
        </w:trPr>
        <w:tc>
          <w:tcPr>
            <w:tcW w:w="4799" w:type="dxa"/>
          </w:tcPr>
          <w:p w:rsidR="00836713" w:rsidRPr="00836713" w:rsidRDefault="00836713" w:rsidP="009B10BC">
            <w:pPr>
              <w:autoSpaceDE w:val="0"/>
              <w:autoSpaceDN w:val="0"/>
              <w:adjustRightInd w:val="0"/>
              <w:rPr>
                <w:color w:val="000000"/>
                <w:sz w:val="20"/>
                <w:szCs w:val="20"/>
              </w:rPr>
            </w:pPr>
            <w:r w:rsidRPr="00836713">
              <w:rPr>
                <w:color w:val="000000"/>
                <w:sz w:val="20"/>
                <w:szCs w:val="20"/>
              </w:rPr>
              <w:t>XPMR prepared by IDB</w:t>
            </w:r>
          </w:p>
        </w:tc>
        <w:tc>
          <w:tcPr>
            <w:tcW w:w="2271" w:type="dxa"/>
          </w:tcPr>
          <w:p w:rsidR="00836713" w:rsidRPr="00836713" w:rsidRDefault="00836713" w:rsidP="009B10BC">
            <w:pPr>
              <w:autoSpaceDE w:val="0"/>
              <w:autoSpaceDN w:val="0"/>
              <w:adjustRightInd w:val="0"/>
              <w:jc w:val="center"/>
              <w:rPr>
                <w:color w:val="000000"/>
                <w:sz w:val="20"/>
                <w:szCs w:val="20"/>
              </w:rPr>
            </w:pPr>
            <w:r w:rsidRPr="00836713">
              <w:rPr>
                <w:color w:val="000000"/>
                <w:sz w:val="20"/>
                <w:szCs w:val="20"/>
              </w:rPr>
              <w:t>30 June 2016</w:t>
            </w:r>
          </w:p>
        </w:tc>
      </w:tr>
    </w:tbl>
    <w:p w:rsidR="00630DA5" w:rsidRPr="00836713" w:rsidRDefault="00630DA5" w:rsidP="009B10BC">
      <w:pPr>
        <w:numPr>
          <w:ilvl w:val="1"/>
          <w:numId w:val="2"/>
        </w:numPr>
        <w:spacing w:before="240" w:after="120"/>
        <w:ind w:left="1080"/>
        <w:jc w:val="both"/>
        <w:rPr>
          <w:b/>
          <w:szCs w:val="24"/>
        </w:rPr>
      </w:pPr>
      <w:r w:rsidRPr="00836713">
        <w:rPr>
          <w:b/>
          <w:szCs w:val="24"/>
        </w:rPr>
        <w:t>Monitoring Coordination, Work Plan and Budget</w:t>
      </w:r>
    </w:p>
    <w:p w:rsidR="00917AC6" w:rsidRPr="00836713" w:rsidRDefault="00917AC6" w:rsidP="00B775EF">
      <w:pPr>
        <w:numPr>
          <w:ilvl w:val="1"/>
          <w:numId w:val="21"/>
        </w:numPr>
        <w:suppressAutoHyphens/>
        <w:spacing w:before="120" w:after="120"/>
        <w:ind w:left="720" w:hanging="720"/>
        <w:jc w:val="both"/>
        <w:rPr>
          <w:color w:val="000000"/>
          <w:szCs w:val="24"/>
        </w:rPr>
      </w:pPr>
      <w:r w:rsidRPr="00836713">
        <w:rPr>
          <w:color w:val="000000"/>
          <w:szCs w:val="24"/>
        </w:rPr>
        <w:t>Table 3 provides details on the responsible entities for the implementation of the monitoring plan, monitoring activities, budgetary allocations to each activities and source of funding.</w:t>
      </w:r>
    </w:p>
    <w:p w:rsidR="00915173" w:rsidRPr="00836713" w:rsidRDefault="00917AC6" w:rsidP="00B775EF">
      <w:pPr>
        <w:numPr>
          <w:ilvl w:val="1"/>
          <w:numId w:val="21"/>
        </w:numPr>
        <w:suppressAutoHyphens/>
        <w:spacing w:before="120" w:after="0"/>
        <w:ind w:left="720" w:hanging="720"/>
        <w:jc w:val="both"/>
        <w:rPr>
          <w:color w:val="000000"/>
          <w:szCs w:val="24"/>
        </w:rPr>
      </w:pPr>
      <w:r w:rsidRPr="00836713">
        <w:rPr>
          <w:color w:val="000000"/>
          <w:szCs w:val="24"/>
        </w:rPr>
        <w:lastRenderedPageBreak/>
        <w:t>The total cost of the monitoring and evaluation plan is estimated at US$</w:t>
      </w:r>
      <w:r w:rsidR="00DD19C3">
        <w:rPr>
          <w:color w:val="000000"/>
          <w:szCs w:val="24"/>
        </w:rPr>
        <w:t>326</w:t>
      </w:r>
      <w:r w:rsidRPr="00836713">
        <w:rPr>
          <w:color w:val="000000"/>
          <w:szCs w:val="24"/>
        </w:rPr>
        <w:t>,000. It will be entirely covered by the loan resources.</w:t>
      </w:r>
      <w:r w:rsidR="00C94C89" w:rsidRPr="00836713">
        <w:rPr>
          <w:color w:val="000000"/>
          <w:szCs w:val="24"/>
        </w:rPr>
        <w:t xml:space="preserve"> The costs to FTEs from the PMU are compensated through PCU administration.</w:t>
      </w:r>
    </w:p>
    <w:p w:rsidR="00915173" w:rsidRPr="00836713" w:rsidRDefault="00915173" w:rsidP="009B10BC">
      <w:pPr>
        <w:autoSpaceDE w:val="0"/>
        <w:autoSpaceDN w:val="0"/>
        <w:adjustRightInd w:val="0"/>
        <w:spacing w:after="0"/>
        <w:jc w:val="center"/>
        <w:rPr>
          <w:b/>
          <w:color w:val="000000"/>
          <w:szCs w:val="24"/>
        </w:rPr>
      </w:pPr>
    </w:p>
    <w:p w:rsidR="00915173" w:rsidRPr="00836713" w:rsidRDefault="00915173" w:rsidP="009B10BC">
      <w:pPr>
        <w:autoSpaceDE w:val="0"/>
        <w:autoSpaceDN w:val="0"/>
        <w:adjustRightInd w:val="0"/>
        <w:spacing w:after="0"/>
        <w:jc w:val="center"/>
        <w:rPr>
          <w:b/>
          <w:color w:val="000000"/>
          <w:szCs w:val="24"/>
        </w:rPr>
        <w:sectPr w:rsidR="00915173" w:rsidRPr="00836713" w:rsidSect="00A34C82">
          <w:type w:val="continuous"/>
          <w:pgSz w:w="12240" w:h="15840"/>
          <w:pgMar w:top="1440" w:right="1627" w:bottom="1440" w:left="1440" w:header="720" w:footer="720" w:gutter="0"/>
          <w:cols w:space="720"/>
          <w:docGrid w:linePitch="360"/>
        </w:sectPr>
      </w:pPr>
    </w:p>
    <w:p w:rsidR="00915173" w:rsidRPr="001C16BD" w:rsidRDefault="001C16BD" w:rsidP="009B10BC">
      <w:pPr>
        <w:autoSpaceDE w:val="0"/>
        <w:autoSpaceDN w:val="0"/>
        <w:adjustRightInd w:val="0"/>
        <w:spacing w:after="0"/>
        <w:jc w:val="center"/>
        <w:rPr>
          <w:b/>
          <w:color w:val="000000"/>
          <w:sz w:val="20"/>
          <w:szCs w:val="20"/>
        </w:rPr>
      </w:pPr>
      <w:r w:rsidRPr="001C16BD">
        <w:rPr>
          <w:b/>
          <w:color w:val="000000"/>
          <w:sz w:val="20"/>
          <w:szCs w:val="20"/>
        </w:rPr>
        <w:lastRenderedPageBreak/>
        <w:t xml:space="preserve">Table 2-3: </w:t>
      </w:r>
      <w:r w:rsidR="00915173" w:rsidRPr="001C16BD">
        <w:rPr>
          <w:b/>
          <w:color w:val="000000"/>
          <w:sz w:val="20"/>
          <w:szCs w:val="20"/>
        </w:rPr>
        <w:t xml:space="preserve">Monitoring </w:t>
      </w:r>
      <w:r w:rsidR="0077720D">
        <w:rPr>
          <w:b/>
          <w:color w:val="000000"/>
          <w:sz w:val="20"/>
          <w:szCs w:val="20"/>
        </w:rPr>
        <w:t>a</w:t>
      </w:r>
      <w:r w:rsidRPr="001C16BD">
        <w:rPr>
          <w:b/>
          <w:color w:val="000000"/>
          <w:sz w:val="20"/>
          <w:szCs w:val="20"/>
        </w:rPr>
        <w:t xml:space="preserve">nd </w:t>
      </w:r>
      <w:r w:rsidR="0010226F" w:rsidRPr="001C16BD">
        <w:rPr>
          <w:b/>
          <w:color w:val="000000"/>
          <w:sz w:val="20"/>
          <w:szCs w:val="20"/>
        </w:rPr>
        <w:t>Evaluation</w:t>
      </w:r>
      <w:r w:rsidR="00A2151A" w:rsidRPr="001C16BD">
        <w:rPr>
          <w:b/>
          <w:color w:val="000000"/>
          <w:sz w:val="20"/>
          <w:szCs w:val="20"/>
        </w:rPr>
        <w:t xml:space="preserve"> </w:t>
      </w:r>
      <w:r w:rsidR="00915173" w:rsidRPr="001C16BD">
        <w:rPr>
          <w:b/>
          <w:color w:val="000000"/>
          <w:sz w:val="20"/>
          <w:szCs w:val="20"/>
        </w:rPr>
        <w:t>Work Plan</w:t>
      </w:r>
    </w:p>
    <w:tbl>
      <w:tblPr>
        <w:tblpPr w:leftFromText="180" w:rightFromText="180" w:vertAnchor="text" w:horzAnchor="margin" w:tblpXSpec="right" w:tblpY="72"/>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42"/>
        <w:gridCol w:w="360"/>
        <w:gridCol w:w="270"/>
        <w:gridCol w:w="360"/>
        <w:gridCol w:w="360"/>
        <w:gridCol w:w="270"/>
        <w:gridCol w:w="360"/>
        <w:gridCol w:w="360"/>
        <w:gridCol w:w="360"/>
        <w:gridCol w:w="360"/>
        <w:gridCol w:w="360"/>
        <w:gridCol w:w="360"/>
        <w:gridCol w:w="360"/>
        <w:gridCol w:w="360"/>
        <w:gridCol w:w="360"/>
        <w:gridCol w:w="360"/>
        <w:gridCol w:w="1746"/>
        <w:gridCol w:w="1422"/>
        <w:gridCol w:w="1188"/>
      </w:tblGrid>
      <w:tr w:rsidR="001C16BD" w:rsidRPr="001C16BD" w:rsidTr="006963C9">
        <w:trPr>
          <w:trHeight w:val="272"/>
        </w:trPr>
        <w:tc>
          <w:tcPr>
            <w:tcW w:w="3780" w:type="dxa"/>
            <w:vMerge w:val="restart"/>
            <w:shd w:val="clear" w:color="auto" w:fill="8DB3E2" w:themeFill="text2" w:themeFillTint="66"/>
            <w:vAlign w:val="center"/>
          </w:tcPr>
          <w:p w:rsidR="001C16BD" w:rsidRPr="001C16BD" w:rsidRDefault="001C16BD" w:rsidP="009B10BC">
            <w:pPr>
              <w:pStyle w:val="TableTitle"/>
              <w:rPr>
                <w:rFonts w:ascii="Times New Roman" w:hAnsi="Times New Roman" w:cs="Times New Roman"/>
                <w:szCs w:val="20"/>
              </w:rPr>
            </w:pPr>
            <w:r w:rsidRPr="001C16BD">
              <w:rPr>
                <w:rFonts w:ascii="Times New Roman" w:hAnsi="Times New Roman" w:cs="Times New Roman"/>
                <w:szCs w:val="20"/>
              </w:rPr>
              <w:t>Activities</w:t>
            </w:r>
          </w:p>
        </w:tc>
        <w:tc>
          <w:tcPr>
            <w:tcW w:w="1332" w:type="dxa"/>
            <w:gridSpan w:val="4"/>
            <w:shd w:val="clear" w:color="auto" w:fill="8DB3E2" w:themeFill="text2" w:themeFillTint="66"/>
          </w:tcPr>
          <w:p w:rsidR="001C16BD" w:rsidRPr="001C16BD" w:rsidRDefault="001C16BD" w:rsidP="009B10BC">
            <w:pPr>
              <w:pStyle w:val="TableTitle"/>
              <w:rPr>
                <w:rFonts w:ascii="Times New Roman" w:hAnsi="Times New Roman" w:cs="Times New Roman"/>
                <w:szCs w:val="20"/>
              </w:rPr>
            </w:pPr>
            <w:r w:rsidRPr="001C16BD">
              <w:rPr>
                <w:rFonts w:ascii="Times New Roman" w:hAnsi="Times New Roman" w:cs="Times New Roman"/>
                <w:szCs w:val="20"/>
              </w:rPr>
              <w:t>Year 1</w:t>
            </w:r>
          </w:p>
        </w:tc>
        <w:tc>
          <w:tcPr>
            <w:tcW w:w="1350" w:type="dxa"/>
            <w:gridSpan w:val="4"/>
            <w:shd w:val="clear" w:color="auto" w:fill="8DB3E2" w:themeFill="text2" w:themeFillTint="66"/>
          </w:tcPr>
          <w:p w:rsidR="001C16BD" w:rsidRPr="001C16BD" w:rsidRDefault="001C16BD" w:rsidP="009B10BC">
            <w:pPr>
              <w:pStyle w:val="TableTitle"/>
              <w:rPr>
                <w:rFonts w:ascii="Times New Roman" w:hAnsi="Times New Roman" w:cs="Times New Roman"/>
                <w:szCs w:val="20"/>
              </w:rPr>
            </w:pPr>
            <w:r w:rsidRPr="001C16BD">
              <w:rPr>
                <w:rFonts w:ascii="Times New Roman" w:hAnsi="Times New Roman" w:cs="Times New Roman"/>
                <w:szCs w:val="20"/>
              </w:rPr>
              <w:t>Year 2</w:t>
            </w:r>
          </w:p>
        </w:tc>
        <w:tc>
          <w:tcPr>
            <w:tcW w:w="1440" w:type="dxa"/>
            <w:gridSpan w:val="4"/>
            <w:shd w:val="clear" w:color="auto" w:fill="8DB3E2" w:themeFill="text2" w:themeFillTint="66"/>
          </w:tcPr>
          <w:p w:rsidR="001C16BD" w:rsidRPr="001C16BD" w:rsidRDefault="001C16BD" w:rsidP="009B10BC">
            <w:pPr>
              <w:pStyle w:val="TableTitle"/>
              <w:rPr>
                <w:rFonts w:ascii="Times New Roman" w:hAnsi="Times New Roman" w:cs="Times New Roman"/>
                <w:szCs w:val="20"/>
              </w:rPr>
            </w:pPr>
            <w:r w:rsidRPr="001C16BD">
              <w:rPr>
                <w:rFonts w:ascii="Times New Roman" w:hAnsi="Times New Roman" w:cs="Times New Roman"/>
                <w:szCs w:val="20"/>
              </w:rPr>
              <w:t>Year 3</w:t>
            </w:r>
          </w:p>
        </w:tc>
        <w:tc>
          <w:tcPr>
            <w:tcW w:w="1440" w:type="dxa"/>
            <w:gridSpan w:val="4"/>
            <w:shd w:val="clear" w:color="auto" w:fill="8DB3E2" w:themeFill="text2" w:themeFillTint="66"/>
          </w:tcPr>
          <w:p w:rsidR="001C16BD" w:rsidRPr="001C16BD" w:rsidRDefault="001C16BD" w:rsidP="009B10BC">
            <w:pPr>
              <w:pStyle w:val="TableTitle"/>
              <w:rPr>
                <w:rFonts w:ascii="Times New Roman" w:hAnsi="Times New Roman" w:cs="Times New Roman"/>
                <w:szCs w:val="20"/>
              </w:rPr>
            </w:pPr>
            <w:r w:rsidRPr="001C16BD">
              <w:rPr>
                <w:rFonts w:ascii="Times New Roman" w:hAnsi="Times New Roman" w:cs="Times New Roman"/>
                <w:szCs w:val="20"/>
              </w:rPr>
              <w:t>Year 4</w:t>
            </w:r>
          </w:p>
        </w:tc>
        <w:tc>
          <w:tcPr>
            <w:tcW w:w="1746" w:type="dxa"/>
            <w:shd w:val="clear" w:color="auto" w:fill="8DB3E2" w:themeFill="text2" w:themeFillTint="66"/>
          </w:tcPr>
          <w:p w:rsidR="001C16BD" w:rsidRPr="001C16BD" w:rsidRDefault="001C16BD" w:rsidP="009B10BC">
            <w:pPr>
              <w:pStyle w:val="TableTitle"/>
              <w:rPr>
                <w:rFonts w:ascii="Times New Roman" w:hAnsi="Times New Roman" w:cs="Times New Roman"/>
                <w:szCs w:val="20"/>
              </w:rPr>
            </w:pPr>
            <w:r w:rsidRPr="001C16BD">
              <w:rPr>
                <w:rFonts w:ascii="Times New Roman" w:hAnsi="Times New Roman" w:cs="Times New Roman"/>
                <w:szCs w:val="20"/>
              </w:rPr>
              <w:t>Responsible</w:t>
            </w:r>
          </w:p>
        </w:tc>
        <w:tc>
          <w:tcPr>
            <w:tcW w:w="1422" w:type="dxa"/>
            <w:shd w:val="clear" w:color="auto" w:fill="8DB3E2" w:themeFill="text2" w:themeFillTint="66"/>
          </w:tcPr>
          <w:p w:rsidR="001C16BD" w:rsidRPr="001C16BD" w:rsidRDefault="001C16BD" w:rsidP="009B10BC">
            <w:pPr>
              <w:pStyle w:val="TableTitle"/>
              <w:rPr>
                <w:rFonts w:ascii="Times New Roman" w:hAnsi="Times New Roman" w:cs="Times New Roman"/>
                <w:szCs w:val="20"/>
              </w:rPr>
            </w:pPr>
            <w:r w:rsidRPr="001C16BD">
              <w:rPr>
                <w:rFonts w:ascii="Times New Roman" w:hAnsi="Times New Roman" w:cs="Times New Roman"/>
                <w:szCs w:val="20"/>
              </w:rPr>
              <w:t>Cost</w:t>
            </w:r>
            <w:r w:rsidRPr="001C16BD">
              <w:rPr>
                <w:rStyle w:val="FootnoteReference"/>
                <w:rFonts w:ascii="Times New Roman" w:hAnsi="Times New Roman" w:cs="Times New Roman"/>
                <w:szCs w:val="20"/>
              </w:rPr>
              <w:footnoteReference w:id="2"/>
            </w:r>
            <w:r w:rsidRPr="001C16BD">
              <w:rPr>
                <w:rFonts w:ascii="Times New Roman" w:hAnsi="Times New Roman" w:cs="Times New Roman"/>
                <w:szCs w:val="20"/>
              </w:rPr>
              <w:t xml:space="preserve"> (US$)</w:t>
            </w:r>
          </w:p>
        </w:tc>
        <w:tc>
          <w:tcPr>
            <w:tcW w:w="1188" w:type="dxa"/>
            <w:shd w:val="clear" w:color="auto" w:fill="8DB3E2" w:themeFill="text2" w:themeFillTint="66"/>
          </w:tcPr>
          <w:p w:rsidR="001C16BD" w:rsidRPr="001C16BD" w:rsidRDefault="001C16BD" w:rsidP="009B10BC">
            <w:pPr>
              <w:pStyle w:val="TableTitle"/>
              <w:rPr>
                <w:rFonts w:ascii="Times New Roman" w:hAnsi="Times New Roman" w:cs="Times New Roman"/>
                <w:szCs w:val="20"/>
              </w:rPr>
            </w:pPr>
            <w:r w:rsidRPr="001C16BD">
              <w:rPr>
                <w:rFonts w:ascii="Times New Roman" w:hAnsi="Times New Roman" w:cs="Times New Roman"/>
                <w:szCs w:val="20"/>
              </w:rPr>
              <w:t>Funding</w:t>
            </w:r>
          </w:p>
        </w:tc>
      </w:tr>
      <w:tr w:rsidR="000B5325" w:rsidRPr="001C16BD" w:rsidTr="006963C9">
        <w:trPr>
          <w:trHeight w:val="366"/>
        </w:trPr>
        <w:tc>
          <w:tcPr>
            <w:tcW w:w="3780" w:type="dxa"/>
            <w:vMerge/>
            <w:shd w:val="clear" w:color="auto" w:fill="8DB3E2" w:themeFill="text2" w:themeFillTint="66"/>
          </w:tcPr>
          <w:p w:rsidR="001C16BD" w:rsidRPr="001C16BD" w:rsidRDefault="001C16BD" w:rsidP="009B10BC">
            <w:pPr>
              <w:pStyle w:val="Regtable"/>
              <w:ind w:left="90" w:hanging="90"/>
              <w:rPr>
                <w:rFonts w:cs="Times New Roman"/>
                <w:szCs w:val="20"/>
              </w:rPr>
            </w:pPr>
          </w:p>
        </w:tc>
        <w:tc>
          <w:tcPr>
            <w:tcW w:w="342" w:type="dxa"/>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1</w:t>
            </w:r>
          </w:p>
        </w:tc>
        <w:tc>
          <w:tcPr>
            <w:tcW w:w="360" w:type="dxa"/>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2</w:t>
            </w:r>
          </w:p>
        </w:tc>
        <w:tc>
          <w:tcPr>
            <w:tcW w:w="27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3</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4</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1</w:t>
            </w:r>
          </w:p>
        </w:tc>
        <w:tc>
          <w:tcPr>
            <w:tcW w:w="27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2</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3</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4</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1</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2</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3</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4</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1</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2</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rPr>
            </w:pPr>
            <w:r w:rsidRPr="001C16BD">
              <w:rPr>
                <w:rFonts w:cs="Times New Roman"/>
                <w:szCs w:val="20"/>
              </w:rPr>
              <w:t>3</w:t>
            </w:r>
          </w:p>
        </w:tc>
        <w:tc>
          <w:tcPr>
            <w:tcW w:w="360" w:type="dxa"/>
            <w:tcBorders>
              <w:bottom w:val="single" w:sz="4" w:space="0" w:color="auto"/>
            </w:tcBorders>
            <w:shd w:val="clear" w:color="auto" w:fill="8DB3E2" w:themeFill="text2" w:themeFillTint="66"/>
          </w:tcPr>
          <w:p w:rsidR="001C16BD" w:rsidRPr="001C16BD" w:rsidRDefault="001C16BD" w:rsidP="009B10BC">
            <w:pPr>
              <w:pStyle w:val="Regtable"/>
              <w:rPr>
                <w:rFonts w:cs="Times New Roman"/>
                <w:szCs w:val="20"/>
                <w:lang w:val="es-ES_tradnl"/>
              </w:rPr>
            </w:pPr>
            <w:r w:rsidRPr="001C16BD">
              <w:rPr>
                <w:rFonts w:cs="Times New Roman"/>
                <w:szCs w:val="20"/>
                <w:lang w:val="es-ES_tradnl"/>
              </w:rPr>
              <w:t>4</w:t>
            </w:r>
          </w:p>
        </w:tc>
        <w:tc>
          <w:tcPr>
            <w:tcW w:w="1746" w:type="dxa"/>
            <w:shd w:val="clear" w:color="auto" w:fill="8DB3E2" w:themeFill="text2" w:themeFillTint="66"/>
          </w:tcPr>
          <w:p w:rsidR="001C16BD" w:rsidRPr="001C16BD" w:rsidRDefault="001C16BD" w:rsidP="009B10BC">
            <w:pPr>
              <w:pStyle w:val="Regtable"/>
              <w:rPr>
                <w:rFonts w:cs="Times New Roman"/>
                <w:szCs w:val="20"/>
                <w:lang w:val="es-ES_tradnl"/>
              </w:rPr>
            </w:pPr>
          </w:p>
        </w:tc>
        <w:tc>
          <w:tcPr>
            <w:tcW w:w="1422" w:type="dxa"/>
            <w:shd w:val="clear" w:color="auto" w:fill="8DB3E2" w:themeFill="text2" w:themeFillTint="66"/>
          </w:tcPr>
          <w:p w:rsidR="001C16BD" w:rsidRPr="001C16BD" w:rsidRDefault="001C16BD" w:rsidP="009B10BC">
            <w:pPr>
              <w:pStyle w:val="Regtable"/>
              <w:rPr>
                <w:rFonts w:cs="Times New Roman"/>
                <w:szCs w:val="20"/>
                <w:lang w:val="es-ES_tradnl"/>
              </w:rPr>
            </w:pPr>
          </w:p>
        </w:tc>
        <w:tc>
          <w:tcPr>
            <w:tcW w:w="1188" w:type="dxa"/>
            <w:shd w:val="clear" w:color="auto" w:fill="8DB3E2" w:themeFill="text2" w:themeFillTint="66"/>
          </w:tcPr>
          <w:p w:rsidR="001C16BD" w:rsidRPr="001C16BD" w:rsidRDefault="001C16BD" w:rsidP="009B10BC">
            <w:pPr>
              <w:pStyle w:val="Regtable"/>
              <w:rPr>
                <w:rFonts w:cs="Times New Roman"/>
                <w:szCs w:val="20"/>
                <w:lang w:val="es-ES_tradnl"/>
              </w:rPr>
            </w:pPr>
          </w:p>
        </w:tc>
      </w:tr>
      <w:tr w:rsidR="001C16BD" w:rsidRPr="001C16BD" w:rsidTr="006963C9">
        <w:trPr>
          <w:trHeight w:val="272"/>
        </w:trPr>
        <w:tc>
          <w:tcPr>
            <w:tcW w:w="3780" w:type="dxa"/>
          </w:tcPr>
          <w:p w:rsidR="001C16BD" w:rsidRPr="001C16BD" w:rsidRDefault="001C16BD" w:rsidP="009B10BC">
            <w:pPr>
              <w:pStyle w:val="Regtable"/>
              <w:ind w:left="90"/>
              <w:rPr>
                <w:rFonts w:cs="Times New Roman"/>
                <w:szCs w:val="20"/>
              </w:rPr>
            </w:pPr>
            <w:r w:rsidRPr="001C16BD">
              <w:rPr>
                <w:rFonts w:cs="Times New Roman"/>
                <w:szCs w:val="20"/>
              </w:rPr>
              <w:t>Establish M&amp;E Unit within the MOECD R&amp;P</w:t>
            </w:r>
            <w:r w:rsidR="00A34C82">
              <w:rPr>
                <w:rFonts w:cs="Times New Roman"/>
                <w:szCs w:val="20"/>
              </w:rPr>
              <w:t>.</w:t>
            </w:r>
          </w:p>
        </w:tc>
        <w:tc>
          <w:tcPr>
            <w:tcW w:w="342" w:type="dxa"/>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27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27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r w:rsidRPr="001C16BD">
              <w:rPr>
                <w:rFonts w:cs="Times New Roman"/>
                <w:szCs w:val="20"/>
              </w:rPr>
              <w:t>Consulting firm</w:t>
            </w:r>
          </w:p>
        </w:tc>
        <w:tc>
          <w:tcPr>
            <w:tcW w:w="1422" w:type="dxa"/>
            <w:vAlign w:val="center"/>
          </w:tcPr>
          <w:p w:rsidR="001C16BD" w:rsidRPr="001C16BD" w:rsidRDefault="001C16BD" w:rsidP="009B10BC">
            <w:pPr>
              <w:pStyle w:val="Regtable"/>
              <w:jc w:val="center"/>
              <w:rPr>
                <w:rFonts w:cs="Times New Roman"/>
                <w:szCs w:val="20"/>
              </w:rPr>
            </w:pPr>
            <w:r w:rsidRPr="001C16BD">
              <w:rPr>
                <w:rFonts w:cs="Times New Roman"/>
                <w:szCs w:val="20"/>
              </w:rPr>
              <w:t>20,000</w:t>
            </w:r>
          </w:p>
        </w:tc>
        <w:tc>
          <w:tcPr>
            <w:tcW w:w="1188" w:type="dxa"/>
            <w:vAlign w:val="center"/>
          </w:tcPr>
          <w:p w:rsidR="001C16BD" w:rsidRPr="001C16BD" w:rsidRDefault="001C16BD" w:rsidP="009B10BC">
            <w:pPr>
              <w:pStyle w:val="Regtable"/>
              <w:rPr>
                <w:rFonts w:cs="Times New Roman"/>
                <w:szCs w:val="20"/>
              </w:rPr>
            </w:pPr>
            <w:r w:rsidRPr="001C16BD">
              <w:rPr>
                <w:rFonts w:cs="Times New Roman"/>
                <w:szCs w:val="20"/>
              </w:rPr>
              <w:t>SU-L1019</w:t>
            </w:r>
          </w:p>
        </w:tc>
      </w:tr>
      <w:tr w:rsidR="001C16BD" w:rsidRPr="001C16BD" w:rsidTr="006963C9">
        <w:trPr>
          <w:trHeight w:val="272"/>
        </w:trPr>
        <w:tc>
          <w:tcPr>
            <w:tcW w:w="3780" w:type="dxa"/>
          </w:tcPr>
          <w:p w:rsidR="001C16BD" w:rsidRPr="001C16BD" w:rsidRDefault="001C16BD" w:rsidP="009B10BC">
            <w:pPr>
              <w:pStyle w:val="Regtable"/>
              <w:ind w:left="90"/>
              <w:rPr>
                <w:rFonts w:cs="Times New Roman"/>
                <w:szCs w:val="20"/>
              </w:rPr>
            </w:pPr>
            <w:r w:rsidRPr="001C16BD">
              <w:rPr>
                <w:rFonts w:cs="Times New Roman"/>
                <w:szCs w:val="20"/>
              </w:rPr>
              <w:t>Develop an M&amp;E Plan</w:t>
            </w:r>
            <w:r w:rsidR="00A34C82">
              <w:rPr>
                <w:rFonts w:cs="Times New Roman"/>
                <w:szCs w:val="20"/>
              </w:rPr>
              <w:t>.</w:t>
            </w:r>
          </w:p>
        </w:tc>
        <w:tc>
          <w:tcPr>
            <w:tcW w:w="342" w:type="dxa"/>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27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27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r w:rsidRPr="001C16BD">
              <w:rPr>
                <w:rFonts w:cs="Times New Roman"/>
                <w:szCs w:val="20"/>
              </w:rPr>
              <w:t>Consulting firm</w:t>
            </w:r>
          </w:p>
        </w:tc>
        <w:tc>
          <w:tcPr>
            <w:tcW w:w="1422" w:type="dxa"/>
            <w:vAlign w:val="center"/>
          </w:tcPr>
          <w:p w:rsidR="001C16BD" w:rsidRPr="0077720D" w:rsidRDefault="00334FAE" w:rsidP="009B10BC">
            <w:pPr>
              <w:pStyle w:val="Regtable"/>
              <w:jc w:val="center"/>
              <w:rPr>
                <w:rFonts w:cs="Times New Roman"/>
                <w:szCs w:val="20"/>
              </w:rPr>
            </w:pPr>
            <w:r w:rsidRPr="00334FAE">
              <w:rPr>
                <w:rFonts w:cs="Times New Roman"/>
                <w:szCs w:val="20"/>
              </w:rPr>
              <w:t>20,000</w:t>
            </w:r>
          </w:p>
        </w:tc>
        <w:tc>
          <w:tcPr>
            <w:tcW w:w="1188" w:type="dxa"/>
          </w:tcPr>
          <w:p w:rsidR="001C16BD" w:rsidRPr="001C16BD" w:rsidRDefault="001C16BD" w:rsidP="009B10BC">
            <w:pPr>
              <w:rPr>
                <w:sz w:val="20"/>
                <w:szCs w:val="20"/>
              </w:rPr>
            </w:pPr>
            <w:r w:rsidRPr="001C16BD">
              <w:rPr>
                <w:sz w:val="20"/>
                <w:szCs w:val="20"/>
              </w:rPr>
              <w:t>SU-L1019</w:t>
            </w:r>
          </w:p>
        </w:tc>
      </w:tr>
      <w:tr w:rsidR="001C16BD" w:rsidRPr="001C16BD" w:rsidTr="006963C9">
        <w:trPr>
          <w:trHeight w:val="272"/>
        </w:trPr>
        <w:tc>
          <w:tcPr>
            <w:tcW w:w="3780" w:type="dxa"/>
          </w:tcPr>
          <w:p w:rsidR="001C16BD" w:rsidRPr="001C16BD" w:rsidRDefault="001C16BD" w:rsidP="009B10BC">
            <w:pPr>
              <w:pStyle w:val="Regtable"/>
              <w:ind w:left="90"/>
              <w:rPr>
                <w:rFonts w:cs="Times New Roman"/>
                <w:szCs w:val="20"/>
              </w:rPr>
            </w:pPr>
            <w:r w:rsidRPr="001C16BD">
              <w:rPr>
                <w:rFonts w:cs="Times New Roman"/>
                <w:szCs w:val="20"/>
              </w:rPr>
              <w:t>Train R&amp;P and PMU staff in Manual use</w:t>
            </w:r>
            <w:r w:rsidR="00A34C82">
              <w:rPr>
                <w:rFonts w:cs="Times New Roman"/>
                <w:szCs w:val="20"/>
              </w:rPr>
              <w:t>.</w:t>
            </w:r>
          </w:p>
        </w:tc>
        <w:tc>
          <w:tcPr>
            <w:tcW w:w="342" w:type="dxa"/>
            <w:tcBorders>
              <w:bottom w:val="single" w:sz="4" w:space="0" w:color="auto"/>
            </w:tcBorders>
          </w:tcPr>
          <w:p w:rsidR="001C16BD" w:rsidRPr="001C16BD" w:rsidRDefault="001C16BD" w:rsidP="009B10BC">
            <w:pPr>
              <w:pStyle w:val="Regtable"/>
              <w:rPr>
                <w:rFonts w:cs="Times New Roman"/>
                <w:szCs w:val="20"/>
              </w:rPr>
            </w:pPr>
          </w:p>
        </w:tc>
        <w:tc>
          <w:tcPr>
            <w:tcW w:w="360" w:type="dxa"/>
            <w:tcBorders>
              <w:bottom w:val="single" w:sz="4" w:space="0" w:color="auto"/>
            </w:tcBorders>
          </w:tcPr>
          <w:p w:rsidR="001C16BD" w:rsidRPr="001C16BD" w:rsidRDefault="001C16BD" w:rsidP="009B10BC">
            <w:pPr>
              <w:pStyle w:val="Regtable"/>
              <w:rPr>
                <w:rFonts w:cs="Times New Roman"/>
                <w:szCs w:val="20"/>
              </w:rPr>
            </w:pPr>
          </w:p>
        </w:tc>
        <w:tc>
          <w:tcPr>
            <w:tcW w:w="270" w:type="dxa"/>
            <w:tcBorders>
              <w:bottom w:val="single" w:sz="4" w:space="0" w:color="auto"/>
            </w:tcBorders>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27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EEECE1" w:themeFill="background2"/>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EEECE1" w:themeFill="background2"/>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EEECE1" w:themeFill="background2"/>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EEECE1" w:themeFill="background2"/>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EEECE1" w:themeFill="background2"/>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EEECE1" w:themeFill="background2"/>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EEECE1" w:themeFill="background2"/>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EEECE1" w:themeFill="background2"/>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EEECE1" w:themeFill="background2"/>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r w:rsidRPr="001C16BD">
              <w:rPr>
                <w:rFonts w:cs="Times New Roman"/>
                <w:szCs w:val="20"/>
              </w:rPr>
              <w:t>Consulting firm</w:t>
            </w:r>
          </w:p>
        </w:tc>
        <w:tc>
          <w:tcPr>
            <w:tcW w:w="1422" w:type="dxa"/>
            <w:vAlign w:val="center"/>
          </w:tcPr>
          <w:p w:rsidR="001C16BD" w:rsidRPr="0077720D" w:rsidRDefault="0077720D" w:rsidP="009B10BC">
            <w:pPr>
              <w:pStyle w:val="Regtable"/>
              <w:jc w:val="center"/>
              <w:rPr>
                <w:rFonts w:cs="Times New Roman"/>
                <w:szCs w:val="20"/>
              </w:rPr>
            </w:pPr>
            <w:r w:rsidRPr="0077720D">
              <w:rPr>
                <w:rFonts w:cs="Times New Roman"/>
                <w:szCs w:val="20"/>
              </w:rPr>
              <w:t>26,000</w:t>
            </w:r>
          </w:p>
        </w:tc>
        <w:tc>
          <w:tcPr>
            <w:tcW w:w="1188" w:type="dxa"/>
          </w:tcPr>
          <w:p w:rsidR="001C16BD" w:rsidRPr="001C16BD" w:rsidRDefault="001C16BD" w:rsidP="009B10BC">
            <w:pPr>
              <w:rPr>
                <w:sz w:val="20"/>
                <w:szCs w:val="20"/>
              </w:rPr>
            </w:pPr>
            <w:r w:rsidRPr="001C16BD">
              <w:rPr>
                <w:sz w:val="20"/>
                <w:szCs w:val="20"/>
              </w:rPr>
              <w:t>SU-L1019</w:t>
            </w:r>
          </w:p>
        </w:tc>
      </w:tr>
      <w:tr w:rsidR="000B5325" w:rsidRPr="001C16BD" w:rsidTr="006963C9">
        <w:trPr>
          <w:trHeight w:val="272"/>
        </w:trPr>
        <w:tc>
          <w:tcPr>
            <w:tcW w:w="3780" w:type="dxa"/>
          </w:tcPr>
          <w:p w:rsidR="001C16BD" w:rsidRPr="001C16BD" w:rsidRDefault="001C16BD" w:rsidP="009B10BC">
            <w:pPr>
              <w:pStyle w:val="Regtable"/>
              <w:ind w:left="90"/>
              <w:rPr>
                <w:rFonts w:cs="Times New Roman"/>
                <w:szCs w:val="20"/>
              </w:rPr>
            </w:pPr>
            <w:r w:rsidRPr="001C16BD">
              <w:rPr>
                <w:rFonts w:cs="Times New Roman"/>
                <w:szCs w:val="20"/>
              </w:rPr>
              <w:t>Develop reporting, monitoring and communication mechanism. Utilize mechanism once developed.</w:t>
            </w:r>
          </w:p>
        </w:tc>
        <w:tc>
          <w:tcPr>
            <w:tcW w:w="342" w:type="dxa"/>
            <w:tcBorders>
              <w:bottom w:val="single" w:sz="4" w:space="0" w:color="auto"/>
            </w:tcBorders>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27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27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r w:rsidRPr="001C16BD">
              <w:rPr>
                <w:rFonts w:cs="Times New Roman"/>
                <w:szCs w:val="20"/>
              </w:rPr>
              <w:t>PMU</w:t>
            </w:r>
          </w:p>
        </w:tc>
        <w:tc>
          <w:tcPr>
            <w:tcW w:w="1422" w:type="dxa"/>
            <w:vAlign w:val="center"/>
          </w:tcPr>
          <w:p w:rsidR="001C16BD" w:rsidRPr="001C16BD" w:rsidRDefault="001C16BD" w:rsidP="009B10BC">
            <w:pPr>
              <w:pStyle w:val="Regtable"/>
              <w:jc w:val="center"/>
              <w:rPr>
                <w:rFonts w:cs="Times New Roman"/>
                <w:szCs w:val="20"/>
              </w:rPr>
            </w:pPr>
          </w:p>
        </w:tc>
        <w:tc>
          <w:tcPr>
            <w:tcW w:w="1188" w:type="dxa"/>
          </w:tcPr>
          <w:p w:rsidR="001C16BD" w:rsidRPr="001C16BD" w:rsidRDefault="001C16BD" w:rsidP="009B10BC">
            <w:pPr>
              <w:rPr>
                <w:sz w:val="20"/>
                <w:szCs w:val="20"/>
              </w:rPr>
            </w:pPr>
            <w:r w:rsidRPr="001C16BD">
              <w:rPr>
                <w:sz w:val="20"/>
                <w:szCs w:val="20"/>
              </w:rPr>
              <w:t>SU-L1019</w:t>
            </w:r>
          </w:p>
        </w:tc>
      </w:tr>
      <w:tr w:rsidR="000B5325" w:rsidRPr="001C16BD" w:rsidTr="006963C9">
        <w:trPr>
          <w:trHeight w:val="272"/>
        </w:trPr>
        <w:tc>
          <w:tcPr>
            <w:tcW w:w="3780" w:type="dxa"/>
          </w:tcPr>
          <w:p w:rsidR="001C16BD" w:rsidRPr="001C16BD" w:rsidRDefault="001C16BD" w:rsidP="00806BA6">
            <w:pPr>
              <w:pStyle w:val="Regtable"/>
              <w:ind w:left="90"/>
              <w:rPr>
                <w:rFonts w:cs="Times New Roman"/>
                <w:szCs w:val="20"/>
              </w:rPr>
            </w:pPr>
            <w:r w:rsidRPr="001C16BD">
              <w:rPr>
                <w:rFonts w:cs="Times New Roman"/>
                <w:szCs w:val="20"/>
              </w:rPr>
              <w:t>Develop annual work plans and progress reports for all Heads of Department involved in</w:t>
            </w:r>
            <w:r w:rsidR="00806BA6">
              <w:t xml:space="preserve"> </w:t>
            </w:r>
            <w:r w:rsidR="00031233">
              <w:rPr>
                <w:rFonts w:cs="Times New Roman"/>
                <w:szCs w:val="20"/>
              </w:rPr>
              <w:t>BEIP</w:t>
            </w:r>
            <w:r w:rsidRPr="001C16BD">
              <w:rPr>
                <w:rFonts w:cs="Times New Roman"/>
                <w:szCs w:val="20"/>
              </w:rPr>
              <w:t xml:space="preserve"> and the R&amp;P Department of the MOECD</w:t>
            </w:r>
            <w:r w:rsidR="00A34C82">
              <w:rPr>
                <w:rFonts w:cs="Times New Roman"/>
                <w:szCs w:val="20"/>
              </w:rPr>
              <w:t>.</w:t>
            </w:r>
          </w:p>
        </w:tc>
        <w:tc>
          <w:tcPr>
            <w:tcW w:w="342" w:type="dxa"/>
            <w:tcBorders>
              <w:top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right w:val="single" w:sz="4" w:space="0" w:color="auto"/>
            </w:tcBorders>
            <w:shd w:val="clear" w:color="auto" w:fill="auto"/>
          </w:tcPr>
          <w:p w:rsidR="001C16BD" w:rsidRPr="001C16BD" w:rsidRDefault="001C16BD" w:rsidP="009B10BC">
            <w:pPr>
              <w:pStyle w:val="Regtable"/>
              <w:rPr>
                <w:rFonts w:cs="Times New Roman"/>
                <w:szCs w:val="20"/>
              </w:rPr>
            </w:pPr>
          </w:p>
        </w:tc>
        <w:tc>
          <w:tcPr>
            <w:tcW w:w="27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right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bottom w:val="single" w:sz="4" w:space="0" w:color="auto"/>
              <w:right w:val="single" w:sz="4" w:space="0" w:color="auto"/>
            </w:tcBorders>
          </w:tcPr>
          <w:p w:rsidR="001C16BD" w:rsidRPr="001C16BD" w:rsidRDefault="001C16BD" w:rsidP="009B10BC">
            <w:pPr>
              <w:pStyle w:val="Regtable"/>
              <w:rPr>
                <w:rFonts w:cs="Times New Roman"/>
                <w:szCs w:val="20"/>
              </w:rPr>
            </w:pPr>
          </w:p>
        </w:tc>
        <w:tc>
          <w:tcPr>
            <w:tcW w:w="270" w:type="dxa"/>
            <w:tcBorders>
              <w:top w:val="single" w:sz="4" w:space="0" w:color="auto"/>
              <w:left w:val="single" w:sz="4" w:space="0" w:color="auto"/>
              <w:right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right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right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right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bottom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right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top w:val="single" w:sz="4" w:space="0" w:color="auto"/>
              <w:left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r w:rsidRPr="001C16BD">
              <w:rPr>
                <w:rFonts w:cs="Times New Roman"/>
                <w:szCs w:val="20"/>
              </w:rPr>
              <w:t>PMU</w:t>
            </w:r>
          </w:p>
        </w:tc>
        <w:tc>
          <w:tcPr>
            <w:tcW w:w="1422" w:type="dxa"/>
            <w:vAlign w:val="center"/>
          </w:tcPr>
          <w:p w:rsidR="001C16BD" w:rsidRPr="001C16BD" w:rsidRDefault="001C16BD" w:rsidP="009B10BC">
            <w:pPr>
              <w:pStyle w:val="Regtable"/>
              <w:jc w:val="center"/>
              <w:rPr>
                <w:rFonts w:cs="Times New Roman"/>
                <w:szCs w:val="20"/>
              </w:rPr>
            </w:pPr>
          </w:p>
        </w:tc>
        <w:tc>
          <w:tcPr>
            <w:tcW w:w="1188" w:type="dxa"/>
          </w:tcPr>
          <w:p w:rsidR="001C16BD" w:rsidRPr="001C16BD" w:rsidRDefault="001C16BD" w:rsidP="009B10BC">
            <w:pPr>
              <w:rPr>
                <w:sz w:val="20"/>
                <w:szCs w:val="20"/>
              </w:rPr>
            </w:pPr>
            <w:r w:rsidRPr="001C16BD">
              <w:rPr>
                <w:sz w:val="20"/>
                <w:szCs w:val="20"/>
              </w:rPr>
              <w:t>SU-L1019</w:t>
            </w:r>
          </w:p>
        </w:tc>
      </w:tr>
      <w:tr w:rsidR="009B10BC" w:rsidRPr="001C16BD" w:rsidTr="006963C9">
        <w:trPr>
          <w:trHeight w:val="272"/>
        </w:trPr>
        <w:tc>
          <w:tcPr>
            <w:tcW w:w="3780" w:type="dxa"/>
          </w:tcPr>
          <w:p w:rsidR="001C16BD" w:rsidRPr="001C16BD" w:rsidRDefault="001C16BD" w:rsidP="009B10BC">
            <w:pPr>
              <w:pStyle w:val="Regtable"/>
              <w:ind w:left="90"/>
              <w:rPr>
                <w:rFonts w:cs="Times New Roman"/>
                <w:szCs w:val="20"/>
              </w:rPr>
            </w:pPr>
            <w:r w:rsidRPr="001C16BD">
              <w:rPr>
                <w:rFonts w:cs="Times New Roman"/>
                <w:szCs w:val="20"/>
              </w:rPr>
              <w:t>Visual observation of outputs</w:t>
            </w:r>
            <w:r w:rsidR="00A34C82">
              <w:rPr>
                <w:rFonts w:cs="Times New Roman"/>
                <w:szCs w:val="20"/>
              </w:rPr>
              <w:t>.</w:t>
            </w:r>
          </w:p>
        </w:tc>
        <w:tc>
          <w:tcPr>
            <w:tcW w:w="342" w:type="dxa"/>
            <w:tcBorders>
              <w:bottom w:val="single" w:sz="4" w:space="0" w:color="auto"/>
            </w:tcBorders>
          </w:tcPr>
          <w:p w:rsidR="001C16BD" w:rsidRPr="001C16BD" w:rsidRDefault="001C16BD" w:rsidP="009B10BC">
            <w:pPr>
              <w:pStyle w:val="Regtable"/>
              <w:rPr>
                <w:rFonts w:cs="Times New Roman"/>
                <w:szCs w:val="20"/>
              </w:rPr>
            </w:pPr>
          </w:p>
        </w:tc>
        <w:tc>
          <w:tcPr>
            <w:tcW w:w="360" w:type="dxa"/>
            <w:tcBorders>
              <w:bottom w:val="single" w:sz="4" w:space="0" w:color="auto"/>
            </w:tcBorders>
          </w:tcPr>
          <w:p w:rsidR="001C16BD" w:rsidRPr="001C16BD" w:rsidRDefault="001C16BD" w:rsidP="009B10BC">
            <w:pPr>
              <w:pStyle w:val="Regtable"/>
              <w:rPr>
                <w:rFonts w:cs="Times New Roman"/>
                <w:szCs w:val="20"/>
              </w:rPr>
            </w:pPr>
          </w:p>
        </w:tc>
        <w:tc>
          <w:tcPr>
            <w:tcW w:w="27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bottom w:val="single" w:sz="4" w:space="0" w:color="auto"/>
            </w:tcBorders>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27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r w:rsidRPr="001C16BD">
              <w:rPr>
                <w:rFonts w:cs="Times New Roman"/>
                <w:szCs w:val="20"/>
              </w:rPr>
              <w:t>PMU</w:t>
            </w:r>
          </w:p>
        </w:tc>
        <w:tc>
          <w:tcPr>
            <w:tcW w:w="1422" w:type="dxa"/>
            <w:vAlign w:val="center"/>
          </w:tcPr>
          <w:p w:rsidR="001C16BD" w:rsidRPr="001C16BD" w:rsidRDefault="001C16BD" w:rsidP="009B10BC">
            <w:pPr>
              <w:pStyle w:val="Regtable"/>
              <w:jc w:val="center"/>
              <w:rPr>
                <w:rFonts w:cs="Times New Roman"/>
                <w:szCs w:val="20"/>
              </w:rPr>
            </w:pPr>
          </w:p>
        </w:tc>
        <w:tc>
          <w:tcPr>
            <w:tcW w:w="1188" w:type="dxa"/>
          </w:tcPr>
          <w:p w:rsidR="001C16BD" w:rsidRPr="001C16BD" w:rsidRDefault="001C16BD" w:rsidP="009B10BC">
            <w:pPr>
              <w:rPr>
                <w:sz w:val="20"/>
                <w:szCs w:val="20"/>
              </w:rPr>
            </w:pPr>
            <w:r w:rsidRPr="001C16BD">
              <w:rPr>
                <w:sz w:val="20"/>
                <w:szCs w:val="20"/>
              </w:rPr>
              <w:t>SU-L1019</w:t>
            </w:r>
          </w:p>
        </w:tc>
      </w:tr>
      <w:tr w:rsidR="001C16BD" w:rsidRPr="001C16BD" w:rsidTr="006963C9">
        <w:trPr>
          <w:trHeight w:val="272"/>
        </w:trPr>
        <w:tc>
          <w:tcPr>
            <w:tcW w:w="3780" w:type="dxa"/>
          </w:tcPr>
          <w:p w:rsidR="001C16BD" w:rsidRPr="001C16BD" w:rsidRDefault="001C16BD" w:rsidP="009B10BC">
            <w:pPr>
              <w:pStyle w:val="Regtable"/>
              <w:ind w:left="90"/>
              <w:rPr>
                <w:rFonts w:cs="Times New Roman"/>
                <w:szCs w:val="20"/>
              </w:rPr>
            </w:pPr>
            <w:r w:rsidRPr="001C16BD">
              <w:rPr>
                <w:rFonts w:cs="Times New Roman"/>
                <w:szCs w:val="20"/>
              </w:rPr>
              <w:t>Procurement process and contract monitoring of the impact evaluation</w:t>
            </w:r>
            <w:r w:rsidR="00A34C82">
              <w:rPr>
                <w:rFonts w:cs="Times New Roman"/>
                <w:szCs w:val="20"/>
              </w:rPr>
              <w:t>.</w:t>
            </w:r>
          </w:p>
        </w:tc>
        <w:tc>
          <w:tcPr>
            <w:tcW w:w="342" w:type="dxa"/>
            <w:tcBorders>
              <w:right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270" w:type="dxa"/>
            <w:tcBorders>
              <w:left w:val="single" w:sz="4" w:space="0" w:color="auto"/>
              <w:right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tcPr>
          <w:p w:rsidR="001C16BD" w:rsidRPr="001C16BD" w:rsidRDefault="001C16BD" w:rsidP="009B10BC">
            <w:pPr>
              <w:pStyle w:val="Regtable"/>
              <w:rPr>
                <w:rFonts w:cs="Times New Roman"/>
                <w:szCs w:val="20"/>
              </w:rPr>
            </w:pPr>
          </w:p>
        </w:tc>
        <w:tc>
          <w:tcPr>
            <w:tcW w:w="270" w:type="dxa"/>
            <w:tcBorders>
              <w:left w:val="single" w:sz="4" w:space="0" w:color="auto"/>
              <w:bottom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bottom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right w:val="single" w:sz="4" w:space="0" w:color="auto"/>
            </w:tcBorders>
          </w:tcPr>
          <w:p w:rsidR="001C16BD" w:rsidRPr="001C16BD" w:rsidRDefault="001C16BD" w:rsidP="009B10BC">
            <w:pPr>
              <w:pStyle w:val="Regtable"/>
              <w:rPr>
                <w:rFonts w:cs="Times New Roman"/>
                <w:szCs w:val="20"/>
              </w:rPr>
            </w:pPr>
          </w:p>
        </w:tc>
        <w:tc>
          <w:tcPr>
            <w:tcW w:w="360" w:type="dxa"/>
            <w:tcBorders>
              <w:left w:val="single" w:sz="4" w:space="0" w:color="auto"/>
            </w:tcBorders>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r w:rsidRPr="001C16BD">
              <w:rPr>
                <w:rFonts w:cs="Times New Roman"/>
                <w:szCs w:val="20"/>
              </w:rPr>
              <w:t>PMU</w:t>
            </w:r>
          </w:p>
        </w:tc>
        <w:tc>
          <w:tcPr>
            <w:tcW w:w="1422" w:type="dxa"/>
            <w:vAlign w:val="center"/>
          </w:tcPr>
          <w:p w:rsidR="001C16BD" w:rsidRPr="001C16BD" w:rsidRDefault="001C16BD" w:rsidP="009B10BC">
            <w:pPr>
              <w:pStyle w:val="Regtable"/>
              <w:jc w:val="center"/>
              <w:rPr>
                <w:rFonts w:cs="Times New Roman"/>
                <w:szCs w:val="20"/>
              </w:rPr>
            </w:pPr>
            <w:r w:rsidRPr="001C16BD">
              <w:rPr>
                <w:rFonts w:cs="Times New Roman"/>
                <w:szCs w:val="20"/>
              </w:rPr>
              <w:t>80,000</w:t>
            </w:r>
          </w:p>
        </w:tc>
        <w:tc>
          <w:tcPr>
            <w:tcW w:w="1188" w:type="dxa"/>
          </w:tcPr>
          <w:p w:rsidR="001C16BD" w:rsidRPr="001C16BD" w:rsidRDefault="001C16BD" w:rsidP="009B10BC">
            <w:pPr>
              <w:rPr>
                <w:sz w:val="20"/>
                <w:szCs w:val="20"/>
              </w:rPr>
            </w:pPr>
            <w:r w:rsidRPr="001C16BD">
              <w:rPr>
                <w:sz w:val="20"/>
                <w:szCs w:val="20"/>
              </w:rPr>
              <w:t>SU-L1019</w:t>
            </w:r>
          </w:p>
        </w:tc>
      </w:tr>
      <w:tr w:rsidR="001C16BD" w:rsidRPr="001C16BD" w:rsidTr="006963C9">
        <w:trPr>
          <w:trHeight w:val="272"/>
        </w:trPr>
        <w:tc>
          <w:tcPr>
            <w:tcW w:w="3780" w:type="dxa"/>
          </w:tcPr>
          <w:p w:rsidR="001C16BD" w:rsidRPr="001C16BD" w:rsidRDefault="001C16BD" w:rsidP="009B10BC">
            <w:pPr>
              <w:pStyle w:val="Regtable"/>
              <w:ind w:left="90"/>
              <w:rPr>
                <w:rFonts w:cs="Times New Roman"/>
                <w:szCs w:val="20"/>
              </w:rPr>
            </w:pPr>
            <w:r w:rsidRPr="001C16BD">
              <w:rPr>
                <w:rFonts w:cs="Times New Roman"/>
                <w:szCs w:val="20"/>
              </w:rPr>
              <w:t>Procurement process and contract monitoring of the mid-term evaluation</w:t>
            </w:r>
            <w:r w:rsidR="00A34C82">
              <w:rPr>
                <w:rFonts w:cs="Times New Roman"/>
                <w:szCs w:val="20"/>
              </w:rPr>
              <w:t>.</w:t>
            </w:r>
          </w:p>
        </w:tc>
        <w:tc>
          <w:tcPr>
            <w:tcW w:w="342" w:type="dxa"/>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27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27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p>
        </w:tc>
        <w:tc>
          <w:tcPr>
            <w:tcW w:w="1422" w:type="dxa"/>
            <w:vAlign w:val="center"/>
          </w:tcPr>
          <w:p w:rsidR="001C16BD" w:rsidRPr="001C16BD" w:rsidRDefault="001C16BD" w:rsidP="009B10BC">
            <w:pPr>
              <w:pStyle w:val="Regtable"/>
              <w:jc w:val="center"/>
              <w:rPr>
                <w:rFonts w:cs="Times New Roman"/>
                <w:szCs w:val="20"/>
              </w:rPr>
            </w:pPr>
            <w:r w:rsidRPr="001C16BD">
              <w:rPr>
                <w:rFonts w:cs="Times New Roman"/>
                <w:szCs w:val="20"/>
              </w:rPr>
              <w:t>60,000</w:t>
            </w:r>
          </w:p>
        </w:tc>
        <w:tc>
          <w:tcPr>
            <w:tcW w:w="1188" w:type="dxa"/>
          </w:tcPr>
          <w:p w:rsidR="001C16BD" w:rsidRPr="001C16BD" w:rsidRDefault="001C16BD" w:rsidP="009B10BC">
            <w:pPr>
              <w:rPr>
                <w:sz w:val="20"/>
                <w:szCs w:val="20"/>
              </w:rPr>
            </w:pPr>
          </w:p>
        </w:tc>
      </w:tr>
      <w:tr w:rsidR="001C16BD" w:rsidRPr="001C16BD" w:rsidTr="006963C9">
        <w:trPr>
          <w:trHeight w:val="272"/>
        </w:trPr>
        <w:tc>
          <w:tcPr>
            <w:tcW w:w="3780" w:type="dxa"/>
          </w:tcPr>
          <w:p w:rsidR="001C16BD" w:rsidRPr="001C16BD" w:rsidRDefault="001C16BD" w:rsidP="009B10BC">
            <w:pPr>
              <w:pStyle w:val="Regtable"/>
              <w:ind w:left="90"/>
              <w:rPr>
                <w:rFonts w:cs="Times New Roman"/>
                <w:szCs w:val="20"/>
              </w:rPr>
            </w:pPr>
            <w:r w:rsidRPr="001C16BD">
              <w:rPr>
                <w:rFonts w:cs="Times New Roman"/>
                <w:szCs w:val="20"/>
              </w:rPr>
              <w:t>Procurement process and contract monitoring of the final evaluation</w:t>
            </w:r>
            <w:r w:rsidR="00A34C82">
              <w:rPr>
                <w:rFonts w:cs="Times New Roman"/>
                <w:szCs w:val="20"/>
              </w:rPr>
              <w:t>.</w:t>
            </w:r>
          </w:p>
        </w:tc>
        <w:tc>
          <w:tcPr>
            <w:tcW w:w="342" w:type="dxa"/>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270" w:type="dxa"/>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27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shd w:val="clear" w:color="auto" w:fill="auto"/>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auto"/>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tcBorders>
              <w:bottom w:val="single" w:sz="4" w:space="0" w:color="auto"/>
            </w:tcBorders>
            <w:shd w:val="clear" w:color="auto" w:fill="808080" w:themeFill="background1" w:themeFillShade="80"/>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p>
        </w:tc>
        <w:tc>
          <w:tcPr>
            <w:tcW w:w="1422" w:type="dxa"/>
            <w:vAlign w:val="center"/>
          </w:tcPr>
          <w:p w:rsidR="001C16BD" w:rsidRPr="001C16BD" w:rsidRDefault="001C16BD" w:rsidP="009B10BC">
            <w:pPr>
              <w:pStyle w:val="Regtable"/>
              <w:jc w:val="center"/>
              <w:rPr>
                <w:rFonts w:cs="Times New Roman"/>
                <w:szCs w:val="20"/>
              </w:rPr>
            </w:pPr>
            <w:r w:rsidRPr="001C16BD">
              <w:rPr>
                <w:rFonts w:cs="Times New Roman"/>
                <w:szCs w:val="20"/>
              </w:rPr>
              <w:t>120,000</w:t>
            </w:r>
          </w:p>
        </w:tc>
        <w:tc>
          <w:tcPr>
            <w:tcW w:w="1188" w:type="dxa"/>
          </w:tcPr>
          <w:p w:rsidR="001C16BD" w:rsidRPr="001C16BD" w:rsidRDefault="001C16BD" w:rsidP="009B10BC">
            <w:pPr>
              <w:rPr>
                <w:sz w:val="20"/>
                <w:szCs w:val="20"/>
              </w:rPr>
            </w:pPr>
          </w:p>
        </w:tc>
      </w:tr>
      <w:tr w:rsidR="000B5325" w:rsidRPr="001C16BD" w:rsidTr="006963C9">
        <w:trPr>
          <w:trHeight w:val="272"/>
        </w:trPr>
        <w:tc>
          <w:tcPr>
            <w:tcW w:w="3780" w:type="dxa"/>
          </w:tcPr>
          <w:p w:rsidR="001C16BD" w:rsidRPr="001C16BD" w:rsidRDefault="001C16BD" w:rsidP="009B10BC">
            <w:pPr>
              <w:pStyle w:val="Regtable"/>
              <w:ind w:left="90"/>
              <w:rPr>
                <w:rFonts w:cs="Times New Roman"/>
                <w:szCs w:val="20"/>
              </w:rPr>
            </w:pPr>
            <w:r w:rsidRPr="001C16BD">
              <w:rPr>
                <w:rFonts w:cs="Times New Roman"/>
                <w:szCs w:val="20"/>
              </w:rPr>
              <w:t>General reporting</w:t>
            </w:r>
            <w:r w:rsidR="00A34C82">
              <w:rPr>
                <w:rFonts w:cs="Times New Roman"/>
                <w:szCs w:val="20"/>
              </w:rPr>
              <w:t>.</w:t>
            </w:r>
          </w:p>
        </w:tc>
        <w:tc>
          <w:tcPr>
            <w:tcW w:w="342"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27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27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360" w:type="dxa"/>
          </w:tcPr>
          <w:p w:rsidR="001C16BD" w:rsidRPr="001C16BD" w:rsidRDefault="001C16BD" w:rsidP="009B10BC">
            <w:pPr>
              <w:pStyle w:val="Regtable"/>
              <w:rPr>
                <w:rFonts w:cs="Times New Roman"/>
                <w:szCs w:val="20"/>
              </w:rPr>
            </w:pPr>
          </w:p>
        </w:tc>
        <w:tc>
          <w:tcPr>
            <w:tcW w:w="360" w:type="dxa"/>
            <w:shd w:val="clear" w:color="auto" w:fill="808080" w:themeFill="background1" w:themeFillShade="80"/>
          </w:tcPr>
          <w:p w:rsidR="001C16BD" w:rsidRPr="001C16BD" w:rsidRDefault="001C16BD" w:rsidP="009B10BC">
            <w:pPr>
              <w:pStyle w:val="Regtable"/>
              <w:rPr>
                <w:rFonts w:cs="Times New Roman"/>
                <w:szCs w:val="20"/>
              </w:rPr>
            </w:pPr>
          </w:p>
        </w:tc>
        <w:tc>
          <w:tcPr>
            <w:tcW w:w="1746" w:type="dxa"/>
            <w:vAlign w:val="center"/>
          </w:tcPr>
          <w:p w:rsidR="001C16BD" w:rsidRPr="001C16BD" w:rsidRDefault="001C16BD" w:rsidP="009B10BC">
            <w:pPr>
              <w:pStyle w:val="Regtable"/>
              <w:rPr>
                <w:rFonts w:cs="Times New Roman"/>
                <w:szCs w:val="20"/>
              </w:rPr>
            </w:pPr>
            <w:r w:rsidRPr="001C16BD">
              <w:rPr>
                <w:rFonts w:cs="Times New Roman"/>
                <w:szCs w:val="20"/>
              </w:rPr>
              <w:t xml:space="preserve">PMU </w:t>
            </w:r>
          </w:p>
        </w:tc>
        <w:tc>
          <w:tcPr>
            <w:tcW w:w="1422" w:type="dxa"/>
            <w:vAlign w:val="center"/>
          </w:tcPr>
          <w:p w:rsidR="001C16BD" w:rsidRPr="001C16BD" w:rsidRDefault="001C16BD" w:rsidP="009B10BC">
            <w:pPr>
              <w:pStyle w:val="Regtable"/>
              <w:jc w:val="center"/>
              <w:rPr>
                <w:rFonts w:cs="Times New Roman"/>
                <w:szCs w:val="20"/>
              </w:rPr>
            </w:pPr>
          </w:p>
        </w:tc>
        <w:tc>
          <w:tcPr>
            <w:tcW w:w="1188" w:type="dxa"/>
          </w:tcPr>
          <w:p w:rsidR="001C16BD" w:rsidRPr="001C16BD" w:rsidRDefault="001C16BD" w:rsidP="009B10BC">
            <w:pPr>
              <w:rPr>
                <w:sz w:val="20"/>
                <w:szCs w:val="20"/>
              </w:rPr>
            </w:pPr>
            <w:r w:rsidRPr="001C16BD">
              <w:rPr>
                <w:sz w:val="20"/>
                <w:szCs w:val="20"/>
              </w:rPr>
              <w:t>SU-L1019</w:t>
            </w:r>
          </w:p>
        </w:tc>
      </w:tr>
    </w:tbl>
    <w:p w:rsidR="00915173" w:rsidRPr="000B5325" w:rsidRDefault="00915173" w:rsidP="009B10BC">
      <w:pPr>
        <w:autoSpaceDE w:val="0"/>
        <w:autoSpaceDN w:val="0"/>
        <w:adjustRightInd w:val="0"/>
        <w:spacing w:after="0"/>
        <w:rPr>
          <w:b/>
          <w:bCs/>
          <w:color w:val="000000"/>
          <w:sz w:val="20"/>
          <w:szCs w:val="20"/>
        </w:rPr>
      </w:pPr>
      <w:r w:rsidRPr="000B5325">
        <w:rPr>
          <w:b/>
          <w:bCs/>
          <w:color w:val="000000"/>
          <w:sz w:val="20"/>
          <w:szCs w:val="20"/>
        </w:rPr>
        <w:t xml:space="preserve">Total direct cost: US$ </w:t>
      </w:r>
      <w:r w:rsidR="0077720D">
        <w:rPr>
          <w:b/>
          <w:bCs/>
          <w:color w:val="000000"/>
          <w:sz w:val="20"/>
          <w:szCs w:val="20"/>
        </w:rPr>
        <w:t>326</w:t>
      </w:r>
      <w:r w:rsidRPr="000B5325">
        <w:rPr>
          <w:b/>
          <w:bCs/>
          <w:color w:val="000000"/>
          <w:sz w:val="20"/>
          <w:szCs w:val="20"/>
        </w:rPr>
        <w:t xml:space="preserve">,000 </w:t>
      </w:r>
    </w:p>
    <w:p w:rsidR="00915173" w:rsidRPr="00836713" w:rsidRDefault="00915173" w:rsidP="009B10BC">
      <w:pPr>
        <w:spacing w:after="0"/>
        <w:rPr>
          <w:color w:val="000000"/>
        </w:rPr>
        <w:sectPr w:rsidR="00915173" w:rsidRPr="00836713" w:rsidSect="00915173">
          <w:pgSz w:w="15840" w:h="12240" w:orient="landscape" w:code="1"/>
          <w:pgMar w:top="1440" w:right="1440" w:bottom="1627" w:left="1440" w:header="720" w:footer="720" w:gutter="0"/>
          <w:cols w:space="720"/>
          <w:docGrid w:linePitch="360"/>
        </w:sectPr>
      </w:pPr>
    </w:p>
    <w:p w:rsidR="007E3DFD" w:rsidRPr="002E6D8C" w:rsidRDefault="00A34C82" w:rsidP="00ED14FD">
      <w:pPr>
        <w:numPr>
          <w:ilvl w:val="0"/>
          <w:numId w:val="2"/>
        </w:numPr>
        <w:spacing w:before="240" w:after="240"/>
        <w:ind w:left="720"/>
        <w:jc w:val="center"/>
        <w:rPr>
          <w:rFonts w:ascii="Times New Roman Bold" w:hAnsi="Times New Roman Bold"/>
          <w:b/>
          <w:smallCaps/>
          <w:szCs w:val="24"/>
        </w:rPr>
      </w:pPr>
      <w:r w:rsidRPr="002E6D8C">
        <w:rPr>
          <w:rFonts w:ascii="Times New Roman Bold" w:hAnsi="Times New Roman Bold"/>
          <w:b/>
          <w:smallCaps/>
          <w:szCs w:val="24"/>
        </w:rPr>
        <w:lastRenderedPageBreak/>
        <w:t xml:space="preserve">Economic Evaluation </w:t>
      </w:r>
      <w:r w:rsidR="002E6D8C" w:rsidRPr="002E6D8C">
        <w:rPr>
          <w:rFonts w:ascii="Times New Roman Bold" w:hAnsi="Times New Roman Bold"/>
          <w:b/>
          <w:smallCaps/>
          <w:szCs w:val="24"/>
        </w:rPr>
        <w:t>(E</w:t>
      </w:r>
      <w:r w:rsidR="00ED14FD">
        <w:rPr>
          <w:rFonts w:ascii="Times New Roman Bold" w:hAnsi="Times New Roman Bold"/>
          <w:b/>
          <w:smallCaps/>
          <w:szCs w:val="24"/>
        </w:rPr>
        <w:t>x</w:t>
      </w:r>
      <w:r w:rsidR="002E6D8C" w:rsidRPr="002E6D8C">
        <w:rPr>
          <w:rFonts w:ascii="Times New Roman Bold" w:hAnsi="Times New Roman Bold"/>
          <w:b/>
          <w:smallCaps/>
          <w:szCs w:val="24"/>
        </w:rPr>
        <w:t>-Ante)</w:t>
      </w:r>
    </w:p>
    <w:p w:rsidR="007E3DFD" w:rsidRPr="00C54F64" w:rsidRDefault="007E3DFD" w:rsidP="00B775EF">
      <w:pPr>
        <w:pStyle w:val="ListParagraph"/>
        <w:numPr>
          <w:ilvl w:val="0"/>
          <w:numId w:val="22"/>
        </w:numPr>
        <w:spacing w:before="240" w:after="120" w:line="240" w:lineRule="auto"/>
        <w:ind w:left="1440" w:hanging="720"/>
        <w:jc w:val="both"/>
        <w:rPr>
          <w:rFonts w:ascii="Times New Roman" w:hAnsi="Times New Roman" w:cs="Times New Roman"/>
          <w:b/>
          <w:sz w:val="24"/>
          <w:szCs w:val="24"/>
        </w:rPr>
      </w:pPr>
      <w:r w:rsidRPr="00C54F64">
        <w:rPr>
          <w:rFonts w:ascii="Times New Roman" w:hAnsi="Times New Roman" w:cs="Times New Roman"/>
          <w:b/>
          <w:spacing w:val="-2"/>
          <w:sz w:val="24"/>
          <w:szCs w:val="24"/>
        </w:rPr>
        <w:t>Components 1 and 2. Improve student learning outcomes in basic education and establish bilingual education in the interior</w:t>
      </w:r>
    </w:p>
    <w:p w:rsidR="007E3DFD" w:rsidRPr="00C54F64" w:rsidRDefault="007E3DFD" w:rsidP="009B10BC">
      <w:pPr>
        <w:pStyle w:val="ListParagraph"/>
        <w:numPr>
          <w:ilvl w:val="1"/>
          <w:numId w:val="23"/>
        </w:numPr>
        <w:spacing w:before="120" w:after="120" w:line="240" w:lineRule="auto"/>
        <w:ind w:left="720" w:hanging="720"/>
        <w:jc w:val="both"/>
        <w:rPr>
          <w:rFonts w:ascii="Times New Roman" w:hAnsi="Times New Roman" w:cs="Times New Roman"/>
          <w:sz w:val="24"/>
          <w:szCs w:val="24"/>
        </w:rPr>
      </w:pPr>
      <w:r w:rsidRPr="00C54F64">
        <w:rPr>
          <w:rFonts w:ascii="Times New Roman" w:hAnsi="Times New Roman" w:cs="Times New Roman"/>
          <w:sz w:val="24"/>
          <w:szCs w:val="24"/>
        </w:rPr>
        <w:t>This program aims to support the MOECD in establishing a Basic Education Cycle and improving its quality and efficiency by developing a new and updated curriculum for pre</w:t>
      </w:r>
      <w:r w:rsidR="00157B13">
        <w:rPr>
          <w:rFonts w:ascii="Times New Roman" w:hAnsi="Times New Roman" w:cs="Times New Roman"/>
          <w:sz w:val="24"/>
          <w:szCs w:val="24"/>
        </w:rPr>
        <w:noBreakHyphen/>
      </w:r>
      <w:r w:rsidRPr="00C54F64">
        <w:rPr>
          <w:rFonts w:ascii="Times New Roman" w:hAnsi="Times New Roman" w:cs="Times New Roman"/>
          <w:sz w:val="24"/>
          <w:szCs w:val="24"/>
        </w:rPr>
        <w:t>primary, primary and junior secondary education. In Phase I, the program will finance: redesigning the curriculum for grades 5 to 8, including all accompanying textbooks and teaching materials with an emphasis in arithmetic and Dutch; reforming the examination system accordingly; improving teacher performance through education and training, including approaches to teach students of varying abilities and challenges; and designing bilingual education strategies for the interior. By the end of the program, the following are expected: (i) </w:t>
      </w:r>
      <w:r w:rsidR="002D6AEB" w:rsidRPr="00C54F64">
        <w:rPr>
          <w:rFonts w:ascii="Times New Roman" w:hAnsi="Times New Roman" w:cs="Times New Roman"/>
          <w:sz w:val="24"/>
          <w:szCs w:val="24"/>
        </w:rPr>
        <w:t>a decrease in the drop</w:t>
      </w:r>
      <w:r w:rsidRPr="00C54F64">
        <w:rPr>
          <w:rFonts w:ascii="Times New Roman" w:hAnsi="Times New Roman" w:cs="Times New Roman"/>
          <w:sz w:val="24"/>
          <w:szCs w:val="24"/>
        </w:rPr>
        <w:t>out rate from 7% to 5% in grades 3 and 4,</w:t>
      </w:r>
      <w:r w:rsidRPr="00C54F64">
        <w:rPr>
          <w:rStyle w:val="FootnoteReference"/>
          <w:rFonts w:ascii="Times New Roman" w:hAnsi="Times New Roman" w:cs="Times New Roman"/>
          <w:sz w:val="24"/>
          <w:szCs w:val="24"/>
        </w:rPr>
        <w:footnoteReference w:id="3"/>
      </w:r>
      <w:r w:rsidRPr="00C54F64">
        <w:rPr>
          <w:rFonts w:ascii="Times New Roman" w:hAnsi="Times New Roman" w:cs="Times New Roman"/>
          <w:sz w:val="24"/>
          <w:szCs w:val="24"/>
        </w:rPr>
        <w:t xml:space="preserve"> and from 8% to 6% in grade 5; (ii) decrease repetition rates from 19% to 15% in grade 3 and from 17% to 13% in grades 4 and 5; and (iii) increase the completion rate in primary school from 50% to 60%; and decrease average class size in 20 selected overcrowded schools from 45 to 30. </w:t>
      </w:r>
    </w:p>
    <w:p w:rsidR="00C54F64" w:rsidRPr="00C54F64" w:rsidRDefault="007E3DFD" w:rsidP="009B10BC">
      <w:pPr>
        <w:pStyle w:val="ListParagraph"/>
        <w:numPr>
          <w:ilvl w:val="1"/>
          <w:numId w:val="23"/>
        </w:numPr>
        <w:spacing w:before="120" w:after="120" w:line="240" w:lineRule="auto"/>
        <w:ind w:left="720" w:hanging="720"/>
        <w:jc w:val="both"/>
        <w:rPr>
          <w:rFonts w:ascii="Times New Roman" w:hAnsi="Times New Roman" w:cs="Times New Roman"/>
          <w:sz w:val="24"/>
          <w:szCs w:val="24"/>
        </w:rPr>
      </w:pPr>
      <w:r w:rsidRPr="00C54F64">
        <w:rPr>
          <w:rFonts w:ascii="Times New Roman" w:hAnsi="Times New Roman" w:cs="Times New Roman"/>
          <w:b/>
          <w:sz w:val="24"/>
          <w:szCs w:val="24"/>
        </w:rPr>
        <w:t>Ex–ante analysis.</w:t>
      </w:r>
      <w:r w:rsidRPr="00C54F64">
        <w:rPr>
          <w:rFonts w:ascii="Times New Roman" w:hAnsi="Times New Roman" w:cs="Times New Roman"/>
          <w:sz w:val="24"/>
          <w:szCs w:val="24"/>
        </w:rPr>
        <w:t xml:space="preserve"> The evaluation will consist of establishing a monetary value to the cost efficiency ratio of the program. The costs for the intervention will be compared with the benefit value of reducing repetition and dropout rates and increasing the completion rate. The comparison will take place using the results of a synthetic cohort analysis and comparing different scenarios. </w:t>
      </w:r>
    </w:p>
    <w:p w:rsidR="007E3DFD" w:rsidRPr="00C54F64" w:rsidRDefault="007E3DFD" w:rsidP="009B10BC">
      <w:pPr>
        <w:pStyle w:val="ListParagraph"/>
        <w:numPr>
          <w:ilvl w:val="1"/>
          <w:numId w:val="23"/>
        </w:numPr>
        <w:spacing w:before="120" w:after="120" w:line="240" w:lineRule="auto"/>
        <w:ind w:left="720" w:hanging="720"/>
        <w:jc w:val="both"/>
        <w:rPr>
          <w:rFonts w:ascii="Times New Roman" w:hAnsi="Times New Roman" w:cs="Times New Roman"/>
          <w:sz w:val="24"/>
          <w:szCs w:val="24"/>
        </w:rPr>
      </w:pPr>
      <w:r w:rsidRPr="00C54F64">
        <w:rPr>
          <w:rFonts w:ascii="Times New Roman" w:hAnsi="Times New Roman" w:cs="Times New Roman"/>
          <w:b/>
          <w:sz w:val="24"/>
          <w:szCs w:val="24"/>
        </w:rPr>
        <w:t xml:space="preserve">Results. </w:t>
      </w:r>
      <w:r w:rsidRPr="00C54F64">
        <w:rPr>
          <w:rFonts w:ascii="Times New Roman" w:hAnsi="Times New Roman" w:cs="Times New Roman"/>
          <w:sz w:val="24"/>
          <w:szCs w:val="24"/>
        </w:rPr>
        <w:t xml:space="preserve">Based on the school statistics for public and private schools provided by the MOECD, a synthetic cohort analysis was calculated for grades 3 to 8 (primary education) with the results shown in Table </w:t>
      </w:r>
      <w:r w:rsidR="00C54F64">
        <w:rPr>
          <w:rFonts w:ascii="Times New Roman" w:hAnsi="Times New Roman" w:cs="Times New Roman"/>
          <w:sz w:val="24"/>
          <w:szCs w:val="24"/>
        </w:rPr>
        <w:t>3-</w:t>
      </w:r>
      <w:r w:rsidRPr="00C54F64">
        <w:rPr>
          <w:rFonts w:ascii="Times New Roman" w:hAnsi="Times New Roman" w:cs="Times New Roman"/>
          <w:sz w:val="24"/>
          <w:szCs w:val="24"/>
        </w:rPr>
        <w:t>1.</w:t>
      </w:r>
    </w:p>
    <w:tbl>
      <w:tblPr>
        <w:tblW w:w="6496" w:type="dxa"/>
        <w:jc w:val="center"/>
        <w:tblBorders>
          <w:top w:val="single" w:sz="12" w:space="0" w:color="000000"/>
          <w:bottom w:val="single" w:sz="12" w:space="0" w:color="000000"/>
        </w:tblBorders>
        <w:tblLook w:val="04A0" w:firstRow="1" w:lastRow="0" w:firstColumn="1" w:lastColumn="0" w:noHBand="0" w:noVBand="1"/>
      </w:tblPr>
      <w:tblGrid>
        <w:gridCol w:w="6128"/>
        <w:gridCol w:w="916"/>
      </w:tblGrid>
      <w:tr w:rsidR="007E3DFD" w:rsidRPr="00836713" w:rsidTr="00C54F64">
        <w:trPr>
          <w:trHeight w:val="270"/>
          <w:jc w:val="center"/>
        </w:trPr>
        <w:tc>
          <w:tcPr>
            <w:tcW w:w="6496" w:type="dxa"/>
            <w:gridSpan w:val="2"/>
            <w:tcBorders>
              <w:top w:val="single" w:sz="12" w:space="0" w:color="000000"/>
              <w:bottom w:val="single" w:sz="6" w:space="0" w:color="000000"/>
            </w:tcBorders>
            <w:shd w:val="clear" w:color="auto" w:fill="808080" w:themeFill="background1" w:themeFillShade="80"/>
            <w:noWrap/>
          </w:tcPr>
          <w:p w:rsidR="007E3DFD" w:rsidRPr="00836713" w:rsidRDefault="007E3DFD" w:rsidP="009B10BC">
            <w:pPr>
              <w:spacing w:after="0"/>
              <w:jc w:val="center"/>
              <w:rPr>
                <w:i/>
                <w:iCs/>
                <w:sz w:val="20"/>
                <w:szCs w:val="20"/>
              </w:rPr>
            </w:pPr>
            <w:r w:rsidRPr="00836713">
              <w:rPr>
                <w:b/>
                <w:iCs/>
                <w:sz w:val="20"/>
                <w:szCs w:val="20"/>
              </w:rPr>
              <w:t xml:space="preserve">Table </w:t>
            </w:r>
            <w:r w:rsidR="00C54F64">
              <w:rPr>
                <w:b/>
                <w:iCs/>
                <w:sz w:val="20"/>
                <w:szCs w:val="20"/>
              </w:rPr>
              <w:t>3-</w:t>
            </w:r>
            <w:r w:rsidRPr="00836713">
              <w:rPr>
                <w:b/>
                <w:iCs/>
                <w:sz w:val="20"/>
                <w:szCs w:val="20"/>
              </w:rPr>
              <w:t>1: Analysis of synthetic cohort</w:t>
            </w:r>
          </w:p>
        </w:tc>
      </w:tr>
      <w:tr w:rsidR="007E3DFD" w:rsidRPr="00836713" w:rsidTr="00B775EF">
        <w:trPr>
          <w:trHeight w:val="93"/>
          <w:jc w:val="center"/>
        </w:trPr>
        <w:tc>
          <w:tcPr>
            <w:tcW w:w="6128" w:type="dxa"/>
            <w:tcBorders>
              <w:right w:val="single" w:sz="6" w:space="0" w:color="000000"/>
            </w:tcBorders>
            <w:shd w:val="clear" w:color="auto" w:fill="auto"/>
            <w:noWrap/>
          </w:tcPr>
          <w:p w:rsidR="007E3DFD" w:rsidRPr="00836713" w:rsidRDefault="007E3DFD" w:rsidP="009B10BC">
            <w:pPr>
              <w:spacing w:after="0"/>
              <w:rPr>
                <w:sz w:val="20"/>
                <w:szCs w:val="20"/>
              </w:rPr>
            </w:pPr>
            <w:r w:rsidRPr="00836713">
              <w:rPr>
                <w:sz w:val="20"/>
                <w:szCs w:val="20"/>
              </w:rPr>
              <w:t>a. Enrollment in grade 3 (grade 1 in the old system)</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1,000</w:t>
            </w:r>
          </w:p>
        </w:tc>
      </w:tr>
      <w:tr w:rsidR="007E3DFD" w:rsidRPr="00836713" w:rsidTr="00B775EF">
        <w:trPr>
          <w:trHeight w:val="80"/>
          <w:jc w:val="center"/>
        </w:trPr>
        <w:tc>
          <w:tcPr>
            <w:tcW w:w="6128" w:type="dxa"/>
            <w:tcBorders>
              <w:right w:val="single" w:sz="6" w:space="0" w:color="000000"/>
            </w:tcBorders>
            <w:shd w:val="clear" w:color="auto" w:fill="auto"/>
            <w:noWrap/>
          </w:tcPr>
          <w:p w:rsidR="007E3DFD" w:rsidRPr="00836713" w:rsidRDefault="007E3DFD" w:rsidP="009B10BC">
            <w:pPr>
              <w:spacing w:after="0"/>
              <w:rPr>
                <w:sz w:val="20"/>
                <w:szCs w:val="20"/>
              </w:rPr>
            </w:pPr>
            <w:r w:rsidRPr="00836713">
              <w:rPr>
                <w:sz w:val="20"/>
                <w:szCs w:val="20"/>
              </w:rPr>
              <w:t>b. Promotion to grade 9.</w:t>
            </w:r>
            <w:r w:rsidR="00EA7FA9">
              <w:rPr>
                <w:sz w:val="20"/>
                <w:szCs w:val="20"/>
              </w:rPr>
              <w:t xml:space="preserve"> </w:t>
            </w:r>
            <w:r w:rsidRPr="00836713">
              <w:rPr>
                <w:sz w:val="20"/>
                <w:szCs w:val="20"/>
              </w:rPr>
              <w:t xml:space="preserve">Proxy for primary graduates </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981.78</w:t>
            </w:r>
          </w:p>
        </w:tc>
      </w:tr>
      <w:tr w:rsidR="007E3DFD" w:rsidRPr="00836713" w:rsidTr="00B775EF">
        <w:trPr>
          <w:trHeight w:val="80"/>
          <w:jc w:val="center"/>
        </w:trPr>
        <w:tc>
          <w:tcPr>
            <w:tcW w:w="6128" w:type="dxa"/>
            <w:tcBorders>
              <w:right w:val="single" w:sz="6" w:space="0" w:color="000000"/>
            </w:tcBorders>
            <w:shd w:val="clear" w:color="auto" w:fill="auto"/>
            <w:noWrap/>
          </w:tcPr>
          <w:p w:rsidR="007E3DFD" w:rsidRPr="00836713" w:rsidRDefault="007E3DFD" w:rsidP="009B10BC">
            <w:pPr>
              <w:spacing w:after="0"/>
              <w:rPr>
                <w:sz w:val="20"/>
                <w:szCs w:val="20"/>
              </w:rPr>
            </w:pPr>
            <w:r w:rsidRPr="00836713">
              <w:rPr>
                <w:sz w:val="20"/>
                <w:szCs w:val="20"/>
              </w:rPr>
              <w:t>c. Promotion to grade 9 w/o repeating</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318.42</w:t>
            </w:r>
          </w:p>
        </w:tc>
      </w:tr>
      <w:tr w:rsidR="007E3DFD" w:rsidRPr="00836713" w:rsidTr="00B775EF">
        <w:trPr>
          <w:trHeight w:val="80"/>
          <w:jc w:val="center"/>
        </w:trPr>
        <w:tc>
          <w:tcPr>
            <w:tcW w:w="6128" w:type="dxa"/>
            <w:tcBorders>
              <w:right w:val="single" w:sz="6" w:space="0" w:color="000000"/>
            </w:tcBorders>
            <w:shd w:val="clear" w:color="auto" w:fill="auto"/>
            <w:noWrap/>
          </w:tcPr>
          <w:p w:rsidR="007E3DFD" w:rsidRPr="00836713" w:rsidRDefault="007E3DFD" w:rsidP="009B10BC">
            <w:pPr>
              <w:spacing w:after="0"/>
              <w:rPr>
                <w:sz w:val="20"/>
                <w:szCs w:val="20"/>
              </w:rPr>
            </w:pPr>
            <w:r w:rsidRPr="00836713">
              <w:rPr>
                <w:sz w:val="20"/>
                <w:szCs w:val="20"/>
              </w:rPr>
              <w:t>d. Total drop-outs</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11.15</w:t>
            </w:r>
          </w:p>
        </w:tc>
      </w:tr>
      <w:tr w:rsidR="007E3DFD" w:rsidRPr="00836713" w:rsidTr="00B775EF">
        <w:trPr>
          <w:trHeight w:val="80"/>
          <w:jc w:val="center"/>
        </w:trPr>
        <w:tc>
          <w:tcPr>
            <w:tcW w:w="6128" w:type="dxa"/>
            <w:tcBorders>
              <w:right w:val="single" w:sz="6" w:space="0" w:color="000000"/>
            </w:tcBorders>
            <w:shd w:val="clear" w:color="auto" w:fill="auto"/>
            <w:noWrap/>
          </w:tcPr>
          <w:p w:rsidR="007E3DFD" w:rsidRPr="00836713" w:rsidRDefault="007E3DFD" w:rsidP="009B10BC">
            <w:pPr>
              <w:spacing w:after="0"/>
              <w:rPr>
                <w:sz w:val="20"/>
                <w:szCs w:val="20"/>
              </w:rPr>
            </w:pPr>
            <w:r w:rsidRPr="00836713">
              <w:rPr>
                <w:sz w:val="20"/>
                <w:szCs w:val="20"/>
              </w:rPr>
              <w:t>e. Total student-years</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7,050.86</w:t>
            </w:r>
          </w:p>
        </w:tc>
      </w:tr>
      <w:tr w:rsidR="007E3DFD" w:rsidRPr="00836713" w:rsidTr="00B775EF">
        <w:trPr>
          <w:trHeight w:val="80"/>
          <w:jc w:val="center"/>
        </w:trPr>
        <w:tc>
          <w:tcPr>
            <w:tcW w:w="6128" w:type="dxa"/>
            <w:tcBorders>
              <w:right w:val="single" w:sz="6" w:space="0" w:color="000000"/>
            </w:tcBorders>
            <w:shd w:val="clear" w:color="auto" w:fill="auto"/>
            <w:noWrap/>
          </w:tcPr>
          <w:p w:rsidR="007E3DFD" w:rsidRPr="00836713" w:rsidRDefault="007E3DFD" w:rsidP="009B10BC">
            <w:pPr>
              <w:spacing w:after="0"/>
              <w:rPr>
                <w:sz w:val="20"/>
                <w:szCs w:val="20"/>
              </w:rPr>
            </w:pPr>
            <w:r w:rsidRPr="00836713">
              <w:rPr>
                <w:sz w:val="20"/>
                <w:szCs w:val="20"/>
              </w:rPr>
              <w:t xml:space="preserve">f. Student-years for students that are promoted to grade 9 </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6,977.84</w:t>
            </w:r>
          </w:p>
        </w:tc>
      </w:tr>
      <w:tr w:rsidR="007E3DFD" w:rsidRPr="00836713" w:rsidTr="00B775EF">
        <w:trPr>
          <w:trHeight w:val="255"/>
          <w:jc w:val="center"/>
        </w:trPr>
        <w:tc>
          <w:tcPr>
            <w:tcW w:w="6128" w:type="dxa"/>
            <w:tcBorders>
              <w:right w:val="single" w:sz="6" w:space="0" w:color="000000"/>
            </w:tcBorders>
            <w:shd w:val="clear" w:color="auto" w:fill="auto"/>
            <w:noWrap/>
          </w:tcPr>
          <w:p w:rsidR="007E3DFD" w:rsidRPr="00836713" w:rsidRDefault="007E3DFD" w:rsidP="009B10BC">
            <w:pPr>
              <w:spacing w:after="0"/>
              <w:ind w:left="170" w:hanging="170"/>
              <w:rPr>
                <w:sz w:val="20"/>
                <w:szCs w:val="20"/>
              </w:rPr>
            </w:pPr>
            <w:r w:rsidRPr="00836713">
              <w:rPr>
                <w:sz w:val="20"/>
                <w:szCs w:val="20"/>
              </w:rPr>
              <w:t>g. Average # of years needed to complete School for those that finish grade 8</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7.11</w:t>
            </w:r>
          </w:p>
        </w:tc>
      </w:tr>
      <w:tr w:rsidR="007E3DFD" w:rsidRPr="00836713" w:rsidTr="00B775EF">
        <w:trPr>
          <w:trHeight w:val="80"/>
          <w:jc w:val="center"/>
        </w:trPr>
        <w:tc>
          <w:tcPr>
            <w:tcW w:w="6128" w:type="dxa"/>
            <w:tcBorders>
              <w:right w:val="single" w:sz="6" w:space="0" w:color="000000"/>
            </w:tcBorders>
            <w:shd w:val="clear" w:color="auto" w:fill="auto"/>
            <w:noWrap/>
          </w:tcPr>
          <w:p w:rsidR="007E3DFD" w:rsidRPr="00836713" w:rsidRDefault="007E3DFD" w:rsidP="009B10BC">
            <w:pPr>
              <w:spacing w:after="0"/>
              <w:rPr>
                <w:sz w:val="20"/>
                <w:szCs w:val="20"/>
              </w:rPr>
            </w:pPr>
            <w:r w:rsidRPr="00836713">
              <w:rPr>
                <w:sz w:val="20"/>
                <w:szCs w:val="20"/>
              </w:rPr>
              <w:t>h. Average # of years attended by drop-outs</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6.55</w:t>
            </w:r>
          </w:p>
        </w:tc>
      </w:tr>
      <w:tr w:rsidR="007E3DFD" w:rsidRPr="00836713" w:rsidTr="00B775EF">
        <w:trPr>
          <w:trHeight w:val="255"/>
          <w:jc w:val="center"/>
        </w:trPr>
        <w:tc>
          <w:tcPr>
            <w:tcW w:w="6128" w:type="dxa"/>
            <w:tcBorders>
              <w:right w:val="single" w:sz="6" w:space="0" w:color="000000"/>
            </w:tcBorders>
            <w:shd w:val="clear" w:color="auto" w:fill="auto"/>
            <w:noWrap/>
          </w:tcPr>
          <w:p w:rsidR="007E3DFD" w:rsidRPr="00836713" w:rsidRDefault="007E3DFD" w:rsidP="009B10BC">
            <w:pPr>
              <w:spacing w:after="0"/>
              <w:ind w:left="170" w:hanging="170"/>
              <w:rPr>
                <w:sz w:val="20"/>
                <w:szCs w:val="20"/>
              </w:rPr>
            </w:pPr>
            <w:r w:rsidRPr="00836713">
              <w:rPr>
                <w:sz w:val="20"/>
                <w:szCs w:val="20"/>
              </w:rPr>
              <w:t>i. Student -years required to produce one student promotion to grade 9</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7.18</w:t>
            </w:r>
          </w:p>
        </w:tc>
      </w:tr>
      <w:tr w:rsidR="007E3DFD" w:rsidRPr="00836713" w:rsidTr="00B775EF">
        <w:trPr>
          <w:trHeight w:val="255"/>
          <w:jc w:val="center"/>
        </w:trPr>
        <w:tc>
          <w:tcPr>
            <w:tcW w:w="6128" w:type="dxa"/>
            <w:tcBorders>
              <w:right w:val="single" w:sz="6" w:space="0" w:color="000000"/>
            </w:tcBorders>
            <w:shd w:val="clear" w:color="auto" w:fill="auto"/>
            <w:noWrap/>
          </w:tcPr>
          <w:p w:rsidR="007E3DFD" w:rsidRPr="00836713" w:rsidRDefault="007E3DFD" w:rsidP="009B10BC">
            <w:pPr>
              <w:spacing w:after="0"/>
              <w:rPr>
                <w:sz w:val="20"/>
                <w:szCs w:val="20"/>
              </w:rPr>
            </w:pPr>
            <w:r w:rsidRPr="00836713">
              <w:rPr>
                <w:sz w:val="20"/>
                <w:szCs w:val="20"/>
              </w:rPr>
              <w:t>j. Input/output ratio (measure of "wastage")</w:t>
            </w:r>
          </w:p>
        </w:tc>
        <w:tc>
          <w:tcPr>
            <w:tcW w:w="368" w:type="dxa"/>
            <w:shd w:val="clear" w:color="auto" w:fill="auto"/>
            <w:noWrap/>
          </w:tcPr>
          <w:p w:rsidR="007E3DFD" w:rsidRPr="00836713" w:rsidRDefault="007E3DFD" w:rsidP="009B10BC">
            <w:pPr>
              <w:keepNext/>
              <w:keepLines/>
              <w:spacing w:after="0"/>
              <w:jc w:val="right"/>
              <w:rPr>
                <w:bCs/>
                <w:sz w:val="20"/>
                <w:szCs w:val="20"/>
              </w:rPr>
            </w:pPr>
            <w:r w:rsidRPr="00836713">
              <w:rPr>
                <w:bCs/>
                <w:sz w:val="20"/>
                <w:szCs w:val="20"/>
              </w:rPr>
              <w:t>1.1970</w:t>
            </w:r>
          </w:p>
        </w:tc>
      </w:tr>
      <w:tr w:rsidR="007E3DFD" w:rsidRPr="00836713" w:rsidTr="00B775EF">
        <w:trPr>
          <w:trHeight w:val="255"/>
          <w:jc w:val="center"/>
        </w:trPr>
        <w:tc>
          <w:tcPr>
            <w:tcW w:w="6128" w:type="dxa"/>
            <w:tcBorders>
              <w:right w:val="single" w:sz="6" w:space="0" w:color="000000"/>
            </w:tcBorders>
            <w:shd w:val="clear" w:color="auto" w:fill="auto"/>
            <w:noWrap/>
          </w:tcPr>
          <w:p w:rsidR="007E3DFD" w:rsidRPr="00836713" w:rsidRDefault="007E3DFD" w:rsidP="009B10BC">
            <w:pPr>
              <w:spacing w:after="0"/>
              <w:rPr>
                <w:sz w:val="20"/>
                <w:szCs w:val="20"/>
              </w:rPr>
            </w:pPr>
            <w:r w:rsidRPr="00836713">
              <w:rPr>
                <w:sz w:val="20"/>
                <w:szCs w:val="20"/>
              </w:rPr>
              <w:t>k. Percent of enrollments that are promoted to 9th grade</w:t>
            </w:r>
          </w:p>
        </w:tc>
        <w:tc>
          <w:tcPr>
            <w:tcW w:w="368" w:type="dxa"/>
            <w:shd w:val="clear" w:color="auto" w:fill="auto"/>
            <w:noWrap/>
          </w:tcPr>
          <w:p w:rsidR="007E3DFD" w:rsidRPr="00836713" w:rsidRDefault="007E3DFD" w:rsidP="009B10BC">
            <w:pPr>
              <w:keepNext/>
              <w:keepLines/>
              <w:spacing w:after="0"/>
              <w:jc w:val="right"/>
              <w:rPr>
                <w:sz w:val="20"/>
                <w:szCs w:val="20"/>
              </w:rPr>
            </w:pPr>
            <w:r w:rsidRPr="00836713">
              <w:rPr>
                <w:sz w:val="20"/>
                <w:szCs w:val="20"/>
              </w:rPr>
              <w:t>0.98</w:t>
            </w:r>
          </w:p>
        </w:tc>
      </w:tr>
    </w:tbl>
    <w:p w:rsidR="005A139E" w:rsidRPr="005A139E" w:rsidRDefault="007E3DFD" w:rsidP="009B10BC">
      <w:pPr>
        <w:pStyle w:val="ListParagraph"/>
        <w:numPr>
          <w:ilvl w:val="1"/>
          <w:numId w:val="23"/>
        </w:numPr>
        <w:spacing w:before="120" w:after="120" w:line="240" w:lineRule="auto"/>
        <w:ind w:left="720" w:hanging="720"/>
        <w:jc w:val="both"/>
        <w:rPr>
          <w:rFonts w:ascii="Times New Roman" w:hAnsi="Times New Roman" w:cs="Times New Roman"/>
          <w:sz w:val="24"/>
          <w:szCs w:val="24"/>
        </w:rPr>
      </w:pPr>
      <w:r w:rsidRPr="005A139E">
        <w:rPr>
          <w:rFonts w:ascii="Times New Roman" w:hAnsi="Times New Roman" w:cs="Times New Roman"/>
          <w:sz w:val="24"/>
          <w:szCs w:val="24"/>
        </w:rPr>
        <w:t xml:space="preserve">The measure of wastage, although rather conservative, shows that the system loses around 20% of effort in inefficiencies. The annual value of wastage can be measured in different ways, In this case, the approach taken starts with the estimate of the annual cost to </w:t>
      </w:r>
      <w:r w:rsidR="000860AA">
        <w:rPr>
          <w:rFonts w:ascii="Times New Roman" w:hAnsi="Times New Roman" w:cs="Times New Roman"/>
          <w:sz w:val="24"/>
          <w:szCs w:val="24"/>
        </w:rPr>
        <w:t xml:space="preserve">the Government </w:t>
      </w:r>
      <w:r w:rsidR="00151225">
        <w:rPr>
          <w:rFonts w:ascii="Times New Roman" w:hAnsi="Times New Roman" w:cs="Times New Roman"/>
          <w:sz w:val="24"/>
          <w:szCs w:val="24"/>
        </w:rPr>
        <w:t>of Suriname (</w:t>
      </w:r>
      <w:r w:rsidRPr="005A139E">
        <w:rPr>
          <w:rFonts w:ascii="Times New Roman" w:hAnsi="Times New Roman" w:cs="Times New Roman"/>
          <w:sz w:val="24"/>
          <w:szCs w:val="24"/>
        </w:rPr>
        <w:t>GOS</w:t>
      </w:r>
      <w:r w:rsidR="00151225">
        <w:rPr>
          <w:rFonts w:ascii="Times New Roman" w:hAnsi="Times New Roman" w:cs="Times New Roman"/>
          <w:sz w:val="24"/>
          <w:szCs w:val="24"/>
        </w:rPr>
        <w:t>)</w:t>
      </w:r>
      <w:r w:rsidRPr="005A139E">
        <w:rPr>
          <w:rFonts w:ascii="Times New Roman" w:hAnsi="Times New Roman" w:cs="Times New Roman"/>
          <w:sz w:val="24"/>
          <w:szCs w:val="24"/>
        </w:rPr>
        <w:t xml:space="preserve"> of a primary student. It is assumed that the GDP </w:t>
      </w:r>
      <w:r w:rsidRPr="005A139E">
        <w:rPr>
          <w:rFonts w:ascii="Times New Roman" w:hAnsi="Times New Roman" w:cs="Times New Roman"/>
          <w:sz w:val="24"/>
          <w:szCs w:val="24"/>
        </w:rPr>
        <w:lastRenderedPageBreak/>
        <w:t>per capita for 2009 is US$6,254, and 5% of it goes to primary education giving a cost per year of US$313 per student. Table 1 shows that, on average, a 6 year cycle takes 7.18 years to complete, an extra 1.18 years than necessary. If we consider that the program will conservatively improve the inefficiency by only a quarter, and recognizing that in the public system there are 5,624 students in grade 8, then the benefit will be US$519,564 per year.</w:t>
      </w:r>
      <w:r w:rsidR="005A139E" w:rsidRPr="005A139E">
        <w:rPr>
          <w:rFonts w:ascii="Times New Roman" w:hAnsi="Times New Roman" w:cs="Times New Roman"/>
          <w:sz w:val="24"/>
          <w:szCs w:val="24"/>
        </w:rPr>
        <w:t xml:space="preserve"> </w:t>
      </w:r>
    </w:p>
    <w:p w:rsidR="007E3DFD" w:rsidRPr="005A139E" w:rsidRDefault="007E3DFD" w:rsidP="00B775EF">
      <w:pPr>
        <w:pStyle w:val="ListParagraph"/>
        <w:numPr>
          <w:ilvl w:val="1"/>
          <w:numId w:val="23"/>
        </w:numPr>
        <w:spacing w:before="120" w:after="240" w:line="240" w:lineRule="auto"/>
        <w:ind w:left="720" w:hanging="720"/>
        <w:jc w:val="both"/>
        <w:rPr>
          <w:rFonts w:ascii="Times New Roman" w:hAnsi="Times New Roman" w:cs="Times New Roman"/>
          <w:sz w:val="24"/>
          <w:szCs w:val="24"/>
        </w:rPr>
      </w:pPr>
      <w:r w:rsidRPr="005A139E">
        <w:rPr>
          <w:rFonts w:ascii="Times New Roman" w:hAnsi="Times New Roman" w:cs="Times New Roman"/>
          <w:sz w:val="24"/>
          <w:szCs w:val="24"/>
        </w:rPr>
        <w:t xml:space="preserve">The estimated cost refers to the financial cost to the GOS of the intervention in Components 1 and 2. Table </w:t>
      </w:r>
      <w:r w:rsidR="005A139E">
        <w:rPr>
          <w:rFonts w:ascii="Times New Roman" w:hAnsi="Times New Roman" w:cs="Times New Roman"/>
          <w:sz w:val="24"/>
          <w:szCs w:val="24"/>
        </w:rPr>
        <w:t>3-</w:t>
      </w:r>
      <w:r w:rsidRPr="005A139E">
        <w:rPr>
          <w:rFonts w:ascii="Times New Roman" w:hAnsi="Times New Roman" w:cs="Times New Roman"/>
          <w:sz w:val="24"/>
          <w:szCs w:val="24"/>
        </w:rPr>
        <w:t>2 shows the cost per year in the four years of the program, with interest accrued per year, annual principal payment and outstanding debt by the end of the year, all of this for the first six years of schooling. This was calculated considering a four year grace period, 20 year loan and a nominal interest rate of 1.32% including spread, Libor adjustable every three months.</w:t>
      </w:r>
    </w:p>
    <w:tbl>
      <w:tblPr>
        <w:tblW w:w="9127" w:type="dxa"/>
        <w:jc w:val="center"/>
        <w:tblInd w:w="-252" w:type="dxa"/>
        <w:tblBorders>
          <w:top w:val="single" w:sz="12" w:space="0" w:color="000000"/>
          <w:bottom w:val="single" w:sz="12" w:space="0" w:color="000000"/>
        </w:tblBorders>
        <w:tblLook w:val="04A0" w:firstRow="1" w:lastRow="0" w:firstColumn="1" w:lastColumn="0" w:noHBand="0" w:noVBand="1"/>
      </w:tblPr>
      <w:tblGrid>
        <w:gridCol w:w="3237"/>
        <w:gridCol w:w="866"/>
        <w:gridCol w:w="1016"/>
        <w:gridCol w:w="1016"/>
        <w:gridCol w:w="1016"/>
        <w:gridCol w:w="1016"/>
        <w:gridCol w:w="1016"/>
      </w:tblGrid>
      <w:tr w:rsidR="007E3DFD" w:rsidRPr="00836713" w:rsidTr="005A139E">
        <w:trPr>
          <w:trHeight w:val="255"/>
          <w:jc w:val="center"/>
        </w:trPr>
        <w:tc>
          <w:tcPr>
            <w:tcW w:w="9127" w:type="dxa"/>
            <w:gridSpan w:val="7"/>
            <w:tcBorders>
              <w:top w:val="single" w:sz="12" w:space="0" w:color="000000"/>
              <w:bottom w:val="single" w:sz="6" w:space="0" w:color="000000"/>
            </w:tcBorders>
            <w:shd w:val="clear" w:color="auto" w:fill="808080" w:themeFill="background1" w:themeFillShade="80"/>
            <w:noWrap/>
          </w:tcPr>
          <w:p w:rsidR="007E3DFD" w:rsidRPr="00836713" w:rsidRDefault="007E3DFD" w:rsidP="00B775EF">
            <w:pPr>
              <w:spacing w:after="0"/>
              <w:jc w:val="center"/>
              <w:rPr>
                <w:b/>
                <w:iCs/>
                <w:sz w:val="20"/>
                <w:szCs w:val="20"/>
              </w:rPr>
            </w:pPr>
            <w:r w:rsidRPr="00836713">
              <w:rPr>
                <w:b/>
                <w:iCs/>
                <w:sz w:val="20"/>
                <w:szCs w:val="20"/>
              </w:rPr>
              <w:t xml:space="preserve">Table </w:t>
            </w:r>
            <w:r w:rsidR="005A139E">
              <w:rPr>
                <w:b/>
                <w:iCs/>
                <w:sz w:val="20"/>
                <w:szCs w:val="20"/>
              </w:rPr>
              <w:t>3-</w:t>
            </w:r>
            <w:r w:rsidRPr="00836713">
              <w:rPr>
                <w:b/>
                <w:iCs/>
                <w:sz w:val="20"/>
                <w:szCs w:val="20"/>
              </w:rPr>
              <w:t>2: C</w:t>
            </w:r>
            <w:r w:rsidRPr="00836713">
              <w:rPr>
                <w:b/>
                <w:sz w:val="20"/>
                <w:szCs w:val="20"/>
              </w:rPr>
              <w:t>ost per year</w:t>
            </w:r>
          </w:p>
        </w:tc>
      </w:tr>
      <w:tr w:rsidR="007E3DFD" w:rsidRPr="00836713" w:rsidTr="00CF137D">
        <w:trPr>
          <w:trHeight w:val="255"/>
          <w:jc w:val="center"/>
        </w:trPr>
        <w:tc>
          <w:tcPr>
            <w:tcW w:w="3237" w:type="dxa"/>
            <w:tcBorders>
              <w:bottom w:val="single" w:sz="6" w:space="0" w:color="000000"/>
              <w:right w:val="single" w:sz="6" w:space="0" w:color="000000"/>
            </w:tcBorders>
            <w:shd w:val="clear" w:color="auto" w:fill="auto"/>
            <w:noWrap/>
          </w:tcPr>
          <w:p w:rsidR="007E3DFD" w:rsidRPr="00836713" w:rsidRDefault="007E3DFD" w:rsidP="00B775EF">
            <w:pPr>
              <w:spacing w:after="0"/>
              <w:rPr>
                <w:b/>
                <w:bCs/>
                <w:i/>
                <w:iCs/>
                <w:sz w:val="20"/>
                <w:szCs w:val="20"/>
              </w:rPr>
            </w:pPr>
          </w:p>
        </w:tc>
        <w:tc>
          <w:tcPr>
            <w:tcW w:w="810" w:type="dxa"/>
            <w:tcBorders>
              <w:bottom w:val="single" w:sz="6" w:space="0" w:color="000000"/>
            </w:tcBorders>
            <w:shd w:val="clear" w:color="auto" w:fill="auto"/>
            <w:noWrap/>
          </w:tcPr>
          <w:p w:rsidR="007E3DFD" w:rsidRPr="00836713" w:rsidRDefault="007E3DFD" w:rsidP="00B775EF">
            <w:pPr>
              <w:spacing w:after="0"/>
              <w:jc w:val="center"/>
              <w:rPr>
                <w:b/>
                <w:iCs/>
                <w:sz w:val="20"/>
                <w:szCs w:val="20"/>
              </w:rPr>
            </w:pPr>
            <w:r w:rsidRPr="00836713">
              <w:rPr>
                <w:b/>
                <w:iCs/>
                <w:sz w:val="20"/>
                <w:szCs w:val="20"/>
              </w:rPr>
              <w:t>2012</w:t>
            </w:r>
          </w:p>
        </w:tc>
        <w:tc>
          <w:tcPr>
            <w:tcW w:w="1016" w:type="dxa"/>
            <w:tcBorders>
              <w:bottom w:val="single" w:sz="6" w:space="0" w:color="000000"/>
            </w:tcBorders>
            <w:shd w:val="clear" w:color="auto" w:fill="auto"/>
            <w:noWrap/>
          </w:tcPr>
          <w:p w:rsidR="007E3DFD" w:rsidRPr="00836713" w:rsidRDefault="007E3DFD" w:rsidP="00B775EF">
            <w:pPr>
              <w:spacing w:after="0"/>
              <w:jc w:val="center"/>
              <w:rPr>
                <w:b/>
                <w:iCs/>
                <w:sz w:val="20"/>
                <w:szCs w:val="20"/>
              </w:rPr>
            </w:pPr>
            <w:r w:rsidRPr="00836713">
              <w:rPr>
                <w:b/>
                <w:iCs/>
                <w:sz w:val="20"/>
                <w:szCs w:val="20"/>
              </w:rPr>
              <w:t>2013</w:t>
            </w:r>
          </w:p>
        </w:tc>
        <w:tc>
          <w:tcPr>
            <w:tcW w:w="1016" w:type="dxa"/>
            <w:tcBorders>
              <w:bottom w:val="single" w:sz="6" w:space="0" w:color="000000"/>
            </w:tcBorders>
            <w:shd w:val="clear" w:color="auto" w:fill="auto"/>
            <w:noWrap/>
          </w:tcPr>
          <w:p w:rsidR="007E3DFD" w:rsidRPr="00836713" w:rsidRDefault="007E3DFD" w:rsidP="00B775EF">
            <w:pPr>
              <w:spacing w:after="0"/>
              <w:jc w:val="center"/>
              <w:rPr>
                <w:b/>
                <w:iCs/>
                <w:sz w:val="20"/>
                <w:szCs w:val="20"/>
              </w:rPr>
            </w:pPr>
            <w:r w:rsidRPr="00836713">
              <w:rPr>
                <w:b/>
                <w:iCs/>
                <w:sz w:val="20"/>
                <w:szCs w:val="20"/>
              </w:rPr>
              <w:t>2014</w:t>
            </w:r>
          </w:p>
        </w:tc>
        <w:tc>
          <w:tcPr>
            <w:tcW w:w="1016" w:type="dxa"/>
            <w:tcBorders>
              <w:bottom w:val="single" w:sz="6" w:space="0" w:color="000000"/>
            </w:tcBorders>
            <w:shd w:val="clear" w:color="auto" w:fill="auto"/>
            <w:noWrap/>
          </w:tcPr>
          <w:p w:rsidR="007E3DFD" w:rsidRPr="00836713" w:rsidRDefault="007E3DFD" w:rsidP="00B775EF">
            <w:pPr>
              <w:spacing w:after="0"/>
              <w:jc w:val="center"/>
              <w:rPr>
                <w:b/>
                <w:iCs/>
                <w:sz w:val="20"/>
                <w:szCs w:val="20"/>
              </w:rPr>
            </w:pPr>
            <w:r w:rsidRPr="00836713">
              <w:rPr>
                <w:b/>
                <w:iCs/>
                <w:sz w:val="20"/>
                <w:szCs w:val="20"/>
              </w:rPr>
              <w:t>2015</w:t>
            </w:r>
          </w:p>
        </w:tc>
        <w:tc>
          <w:tcPr>
            <w:tcW w:w="1016" w:type="dxa"/>
            <w:tcBorders>
              <w:bottom w:val="single" w:sz="6" w:space="0" w:color="000000"/>
            </w:tcBorders>
            <w:shd w:val="clear" w:color="auto" w:fill="auto"/>
            <w:noWrap/>
          </w:tcPr>
          <w:p w:rsidR="007E3DFD" w:rsidRPr="00836713" w:rsidRDefault="007E3DFD" w:rsidP="00B775EF">
            <w:pPr>
              <w:spacing w:after="0"/>
              <w:jc w:val="center"/>
              <w:rPr>
                <w:b/>
                <w:iCs/>
                <w:sz w:val="20"/>
                <w:szCs w:val="20"/>
              </w:rPr>
            </w:pPr>
            <w:r w:rsidRPr="00836713">
              <w:rPr>
                <w:b/>
                <w:iCs/>
                <w:sz w:val="20"/>
                <w:szCs w:val="20"/>
              </w:rPr>
              <w:t>2016</w:t>
            </w:r>
          </w:p>
        </w:tc>
        <w:tc>
          <w:tcPr>
            <w:tcW w:w="1016" w:type="dxa"/>
            <w:tcBorders>
              <w:bottom w:val="single" w:sz="6" w:space="0" w:color="000000"/>
            </w:tcBorders>
            <w:shd w:val="clear" w:color="auto" w:fill="auto"/>
            <w:noWrap/>
          </w:tcPr>
          <w:p w:rsidR="007E3DFD" w:rsidRPr="00836713" w:rsidRDefault="007E3DFD" w:rsidP="00B775EF">
            <w:pPr>
              <w:spacing w:after="0"/>
              <w:jc w:val="center"/>
              <w:rPr>
                <w:b/>
                <w:iCs/>
                <w:sz w:val="20"/>
                <w:szCs w:val="20"/>
              </w:rPr>
            </w:pPr>
            <w:r w:rsidRPr="00836713">
              <w:rPr>
                <w:b/>
                <w:iCs/>
                <w:sz w:val="20"/>
                <w:szCs w:val="20"/>
              </w:rPr>
              <w:t>2017</w:t>
            </w:r>
          </w:p>
        </w:tc>
      </w:tr>
      <w:tr w:rsidR="007E3DFD" w:rsidRPr="00836713" w:rsidTr="00CF137D">
        <w:trPr>
          <w:trHeight w:val="255"/>
          <w:jc w:val="center"/>
        </w:trPr>
        <w:tc>
          <w:tcPr>
            <w:tcW w:w="3237" w:type="dxa"/>
            <w:tcBorders>
              <w:right w:val="single" w:sz="6" w:space="0" w:color="000000"/>
            </w:tcBorders>
            <w:shd w:val="clear" w:color="auto" w:fill="auto"/>
            <w:noWrap/>
          </w:tcPr>
          <w:p w:rsidR="007E3DFD" w:rsidRPr="00836713" w:rsidRDefault="007E3DFD" w:rsidP="00B775EF">
            <w:pPr>
              <w:spacing w:after="0"/>
              <w:rPr>
                <w:b/>
                <w:bCs/>
                <w:sz w:val="20"/>
                <w:szCs w:val="20"/>
              </w:rPr>
            </w:pPr>
            <w:r w:rsidRPr="00836713">
              <w:rPr>
                <w:b/>
                <w:bCs/>
                <w:sz w:val="20"/>
                <w:szCs w:val="20"/>
              </w:rPr>
              <w:t>Costs for curriculum + interior</w:t>
            </w:r>
          </w:p>
        </w:tc>
        <w:tc>
          <w:tcPr>
            <w:tcW w:w="810" w:type="dxa"/>
            <w:shd w:val="clear" w:color="auto" w:fill="auto"/>
            <w:noWrap/>
          </w:tcPr>
          <w:p w:rsidR="007E3DFD" w:rsidRPr="00836713" w:rsidRDefault="007E3DFD" w:rsidP="00B775EF">
            <w:pPr>
              <w:spacing w:after="0"/>
              <w:jc w:val="right"/>
              <w:rPr>
                <w:b/>
                <w:bCs/>
                <w:sz w:val="20"/>
                <w:szCs w:val="20"/>
              </w:rPr>
            </w:pPr>
            <w:r w:rsidRPr="00836713">
              <w:rPr>
                <w:b/>
                <w:bCs/>
                <w:sz w:val="20"/>
                <w:szCs w:val="20"/>
              </w:rPr>
              <w:t>580,000</w:t>
            </w:r>
          </w:p>
        </w:tc>
        <w:tc>
          <w:tcPr>
            <w:tcW w:w="1016" w:type="dxa"/>
            <w:shd w:val="clear" w:color="auto" w:fill="auto"/>
            <w:noWrap/>
          </w:tcPr>
          <w:p w:rsidR="007E3DFD" w:rsidRPr="00836713" w:rsidRDefault="007E3DFD" w:rsidP="00B775EF">
            <w:pPr>
              <w:spacing w:after="0"/>
              <w:jc w:val="right"/>
              <w:rPr>
                <w:b/>
                <w:bCs/>
                <w:sz w:val="20"/>
                <w:szCs w:val="20"/>
              </w:rPr>
            </w:pPr>
            <w:r w:rsidRPr="00836713">
              <w:rPr>
                <w:b/>
                <w:bCs/>
                <w:sz w:val="20"/>
                <w:szCs w:val="20"/>
              </w:rPr>
              <w:t>2,723,000</w:t>
            </w:r>
          </w:p>
        </w:tc>
        <w:tc>
          <w:tcPr>
            <w:tcW w:w="1016" w:type="dxa"/>
            <w:shd w:val="clear" w:color="auto" w:fill="auto"/>
            <w:noWrap/>
          </w:tcPr>
          <w:p w:rsidR="007E3DFD" w:rsidRPr="00836713" w:rsidRDefault="007E3DFD" w:rsidP="00B775EF">
            <w:pPr>
              <w:spacing w:after="0"/>
              <w:jc w:val="right"/>
              <w:rPr>
                <w:b/>
                <w:bCs/>
                <w:sz w:val="20"/>
                <w:szCs w:val="20"/>
              </w:rPr>
            </w:pPr>
            <w:r w:rsidRPr="00836713">
              <w:rPr>
                <w:b/>
                <w:bCs/>
                <w:sz w:val="20"/>
                <w:szCs w:val="20"/>
              </w:rPr>
              <w:t>2,489,000</w:t>
            </w:r>
          </w:p>
        </w:tc>
        <w:tc>
          <w:tcPr>
            <w:tcW w:w="1016" w:type="dxa"/>
            <w:shd w:val="clear" w:color="auto" w:fill="auto"/>
            <w:noWrap/>
          </w:tcPr>
          <w:p w:rsidR="007E3DFD" w:rsidRPr="00836713" w:rsidRDefault="007E3DFD" w:rsidP="00B775EF">
            <w:pPr>
              <w:spacing w:after="0"/>
              <w:jc w:val="right"/>
              <w:rPr>
                <w:b/>
                <w:bCs/>
                <w:sz w:val="20"/>
                <w:szCs w:val="20"/>
              </w:rPr>
            </w:pPr>
            <w:r w:rsidRPr="00836713">
              <w:rPr>
                <w:b/>
                <w:bCs/>
                <w:sz w:val="20"/>
                <w:szCs w:val="20"/>
              </w:rPr>
              <w:t>708,000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0</w:t>
            </w:r>
          </w:p>
        </w:tc>
      </w:tr>
      <w:tr w:rsidR="007E3DFD" w:rsidRPr="00836713" w:rsidTr="00CF137D">
        <w:trPr>
          <w:trHeight w:val="255"/>
          <w:jc w:val="center"/>
        </w:trPr>
        <w:tc>
          <w:tcPr>
            <w:tcW w:w="3237" w:type="dxa"/>
            <w:tcBorders>
              <w:right w:val="single" w:sz="6" w:space="0" w:color="000000"/>
            </w:tcBorders>
            <w:shd w:val="clear" w:color="auto" w:fill="auto"/>
            <w:noWrap/>
          </w:tcPr>
          <w:p w:rsidR="007E3DFD" w:rsidRPr="00836713" w:rsidRDefault="007E3DFD" w:rsidP="00B775EF">
            <w:pPr>
              <w:spacing w:after="0"/>
              <w:rPr>
                <w:b/>
                <w:bCs/>
                <w:sz w:val="20"/>
                <w:szCs w:val="20"/>
              </w:rPr>
            </w:pPr>
            <w:r w:rsidRPr="00836713">
              <w:rPr>
                <w:b/>
                <w:bCs/>
                <w:sz w:val="20"/>
                <w:szCs w:val="20"/>
              </w:rPr>
              <w:t>Outstanding debt</w:t>
            </w:r>
            <w:r w:rsidR="00EA7FA9">
              <w:rPr>
                <w:b/>
                <w:bCs/>
                <w:sz w:val="20"/>
                <w:szCs w:val="20"/>
              </w:rPr>
              <w:t xml:space="preserve"> </w:t>
            </w:r>
            <w:r w:rsidRPr="00836713">
              <w:rPr>
                <w:b/>
                <w:bCs/>
                <w:sz w:val="20"/>
                <w:szCs w:val="20"/>
              </w:rPr>
              <w:t>at start of year</w:t>
            </w:r>
          </w:p>
        </w:tc>
        <w:tc>
          <w:tcPr>
            <w:tcW w:w="810" w:type="dxa"/>
            <w:shd w:val="clear" w:color="auto" w:fill="auto"/>
            <w:noWrap/>
          </w:tcPr>
          <w:p w:rsidR="007E3DFD" w:rsidRPr="00836713" w:rsidRDefault="007E3DFD" w:rsidP="00B775EF">
            <w:pPr>
              <w:spacing w:after="0"/>
              <w:jc w:val="right"/>
              <w:rPr>
                <w:sz w:val="20"/>
                <w:szCs w:val="20"/>
              </w:rPr>
            </w:pPr>
            <w:r w:rsidRPr="00836713">
              <w:rPr>
                <w:sz w:val="20"/>
                <w:szCs w:val="20"/>
              </w:rPr>
              <w:t>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580,000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3,310,656</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5,843,357</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6,628,489</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6,336,720</w:t>
            </w:r>
          </w:p>
        </w:tc>
      </w:tr>
      <w:tr w:rsidR="007E3DFD" w:rsidRPr="00836713" w:rsidTr="00CF137D">
        <w:trPr>
          <w:trHeight w:val="255"/>
          <w:jc w:val="center"/>
        </w:trPr>
        <w:tc>
          <w:tcPr>
            <w:tcW w:w="3237" w:type="dxa"/>
            <w:tcBorders>
              <w:right w:val="single" w:sz="6" w:space="0" w:color="000000"/>
            </w:tcBorders>
            <w:shd w:val="clear" w:color="auto" w:fill="auto"/>
            <w:noWrap/>
          </w:tcPr>
          <w:p w:rsidR="007E3DFD" w:rsidRPr="00836713" w:rsidRDefault="007E3DFD" w:rsidP="00B775EF">
            <w:pPr>
              <w:spacing w:after="0"/>
              <w:rPr>
                <w:b/>
                <w:bCs/>
                <w:sz w:val="20"/>
                <w:szCs w:val="20"/>
              </w:rPr>
            </w:pPr>
            <w:r w:rsidRPr="00836713">
              <w:rPr>
                <w:b/>
                <w:bCs/>
                <w:sz w:val="20"/>
                <w:szCs w:val="20"/>
              </w:rPr>
              <w:t xml:space="preserve">Interest accrued </w:t>
            </w:r>
          </w:p>
        </w:tc>
        <w:tc>
          <w:tcPr>
            <w:tcW w:w="810" w:type="dxa"/>
            <w:shd w:val="clear" w:color="auto" w:fill="auto"/>
            <w:noWrap/>
          </w:tcPr>
          <w:p w:rsidR="007E3DFD" w:rsidRPr="00836713" w:rsidRDefault="007E3DFD" w:rsidP="00B775EF">
            <w:pPr>
              <w:spacing w:after="0"/>
              <w:jc w:val="right"/>
              <w:rPr>
                <w:sz w:val="20"/>
                <w:szCs w:val="20"/>
              </w:rPr>
            </w:pP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7,656</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43,701</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77,132</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87,496</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83,645</w:t>
            </w:r>
          </w:p>
        </w:tc>
      </w:tr>
      <w:tr w:rsidR="007E3DFD" w:rsidRPr="00836713" w:rsidTr="00CF137D">
        <w:trPr>
          <w:trHeight w:val="255"/>
          <w:jc w:val="center"/>
        </w:trPr>
        <w:tc>
          <w:tcPr>
            <w:tcW w:w="3237" w:type="dxa"/>
            <w:tcBorders>
              <w:right w:val="single" w:sz="6" w:space="0" w:color="000000"/>
            </w:tcBorders>
            <w:shd w:val="clear" w:color="auto" w:fill="auto"/>
            <w:noWrap/>
          </w:tcPr>
          <w:p w:rsidR="007E3DFD" w:rsidRPr="00836713" w:rsidRDefault="007E3DFD" w:rsidP="00B775EF">
            <w:pPr>
              <w:spacing w:after="0"/>
              <w:rPr>
                <w:b/>
                <w:bCs/>
                <w:sz w:val="20"/>
                <w:szCs w:val="20"/>
              </w:rPr>
            </w:pPr>
            <w:r w:rsidRPr="00836713">
              <w:rPr>
                <w:b/>
                <w:bCs/>
                <w:sz w:val="20"/>
                <w:szCs w:val="20"/>
              </w:rPr>
              <w:t>Annual repayment installment</w:t>
            </w:r>
          </w:p>
        </w:tc>
        <w:tc>
          <w:tcPr>
            <w:tcW w:w="810" w:type="dxa"/>
            <w:shd w:val="clear" w:color="auto" w:fill="auto"/>
            <w:noWrap/>
          </w:tcPr>
          <w:p w:rsidR="007E3DFD" w:rsidRPr="00836713" w:rsidRDefault="007E3DFD" w:rsidP="00B775EF">
            <w:pPr>
              <w:spacing w:after="0"/>
              <w:jc w:val="right"/>
              <w:rPr>
                <w:sz w:val="20"/>
                <w:szCs w:val="20"/>
              </w:rPr>
            </w:pPr>
            <w:r w:rsidRPr="00836713">
              <w:rPr>
                <w:sz w:val="20"/>
                <w:szCs w:val="20"/>
              </w:rPr>
              <w:t>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379,265</w:t>
            </w:r>
          </w:p>
        </w:tc>
        <w:tc>
          <w:tcPr>
            <w:tcW w:w="1016" w:type="dxa"/>
            <w:shd w:val="clear" w:color="auto" w:fill="auto"/>
            <w:noWrap/>
          </w:tcPr>
          <w:p w:rsidR="007E3DFD" w:rsidRPr="00836713" w:rsidRDefault="00EA7FA9" w:rsidP="00B775EF">
            <w:pPr>
              <w:spacing w:after="0"/>
              <w:jc w:val="center"/>
              <w:rPr>
                <w:sz w:val="20"/>
                <w:szCs w:val="20"/>
              </w:rPr>
            </w:pPr>
            <w:r>
              <w:rPr>
                <w:sz w:val="20"/>
                <w:szCs w:val="20"/>
              </w:rPr>
              <w:t xml:space="preserve"> </w:t>
            </w:r>
            <w:r w:rsidR="007E3DFD" w:rsidRPr="00836713">
              <w:rPr>
                <w:sz w:val="20"/>
                <w:szCs w:val="20"/>
              </w:rPr>
              <w:t>379,265</w:t>
            </w:r>
          </w:p>
        </w:tc>
      </w:tr>
      <w:tr w:rsidR="007E3DFD" w:rsidRPr="00836713" w:rsidTr="00CF137D">
        <w:trPr>
          <w:trHeight w:val="255"/>
          <w:jc w:val="center"/>
        </w:trPr>
        <w:tc>
          <w:tcPr>
            <w:tcW w:w="3237" w:type="dxa"/>
            <w:tcBorders>
              <w:right w:val="single" w:sz="6" w:space="0" w:color="000000"/>
            </w:tcBorders>
            <w:shd w:val="clear" w:color="auto" w:fill="auto"/>
            <w:noWrap/>
          </w:tcPr>
          <w:p w:rsidR="007E3DFD" w:rsidRPr="00836713" w:rsidRDefault="007E3DFD" w:rsidP="00B775EF">
            <w:pPr>
              <w:spacing w:after="0"/>
              <w:rPr>
                <w:b/>
                <w:bCs/>
                <w:sz w:val="20"/>
                <w:szCs w:val="20"/>
              </w:rPr>
            </w:pPr>
            <w:r w:rsidRPr="00836713">
              <w:rPr>
                <w:b/>
                <w:bCs/>
                <w:sz w:val="20"/>
                <w:szCs w:val="20"/>
              </w:rPr>
              <w:t>Principal repayment</w:t>
            </w:r>
          </w:p>
        </w:tc>
        <w:tc>
          <w:tcPr>
            <w:tcW w:w="810" w:type="dxa"/>
            <w:shd w:val="clear" w:color="auto" w:fill="auto"/>
            <w:noWrap/>
          </w:tcPr>
          <w:p w:rsidR="007E3DFD" w:rsidRPr="00836713" w:rsidRDefault="007E3DFD" w:rsidP="00B775EF">
            <w:pPr>
              <w:spacing w:after="0"/>
              <w:jc w:val="right"/>
              <w:rPr>
                <w:sz w:val="20"/>
                <w:szCs w:val="20"/>
              </w:rPr>
            </w:pPr>
          </w:p>
        </w:tc>
        <w:tc>
          <w:tcPr>
            <w:tcW w:w="1016" w:type="dxa"/>
            <w:shd w:val="clear" w:color="auto" w:fill="auto"/>
            <w:noWrap/>
          </w:tcPr>
          <w:p w:rsidR="007E3DFD" w:rsidRPr="00836713" w:rsidRDefault="007E3DFD" w:rsidP="00B775EF">
            <w:pPr>
              <w:spacing w:after="0"/>
              <w:jc w:val="right"/>
              <w:rPr>
                <w:sz w:val="20"/>
                <w:szCs w:val="20"/>
              </w:rPr>
            </w:pPr>
          </w:p>
        </w:tc>
        <w:tc>
          <w:tcPr>
            <w:tcW w:w="1016" w:type="dxa"/>
            <w:shd w:val="clear" w:color="auto" w:fill="auto"/>
            <w:noWrap/>
          </w:tcPr>
          <w:p w:rsidR="007E3DFD" w:rsidRPr="00836713" w:rsidRDefault="007E3DFD" w:rsidP="00B775EF">
            <w:pPr>
              <w:spacing w:after="0"/>
              <w:jc w:val="right"/>
              <w:rPr>
                <w:sz w:val="20"/>
                <w:szCs w:val="20"/>
              </w:rPr>
            </w:pPr>
          </w:p>
        </w:tc>
        <w:tc>
          <w:tcPr>
            <w:tcW w:w="1016" w:type="dxa"/>
            <w:shd w:val="clear" w:color="auto" w:fill="auto"/>
            <w:noWrap/>
          </w:tcPr>
          <w:p w:rsidR="007E3DFD" w:rsidRPr="00836713" w:rsidRDefault="007E3DFD" w:rsidP="00B775EF">
            <w:pPr>
              <w:spacing w:after="0"/>
              <w:jc w:val="right"/>
              <w:rPr>
                <w:sz w:val="20"/>
                <w:szCs w:val="20"/>
              </w:rPr>
            </w:pP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291,769</w:t>
            </w:r>
          </w:p>
        </w:tc>
        <w:tc>
          <w:tcPr>
            <w:tcW w:w="1016" w:type="dxa"/>
            <w:shd w:val="clear" w:color="auto" w:fill="auto"/>
            <w:noWrap/>
          </w:tcPr>
          <w:p w:rsidR="007E3DFD" w:rsidRPr="00836713" w:rsidRDefault="00EA7FA9" w:rsidP="00B775EF">
            <w:pPr>
              <w:spacing w:after="0"/>
              <w:jc w:val="center"/>
              <w:rPr>
                <w:sz w:val="20"/>
                <w:szCs w:val="20"/>
              </w:rPr>
            </w:pPr>
            <w:r>
              <w:rPr>
                <w:sz w:val="20"/>
                <w:szCs w:val="20"/>
              </w:rPr>
              <w:t xml:space="preserve"> </w:t>
            </w:r>
            <w:r w:rsidR="007E3DFD" w:rsidRPr="00836713">
              <w:rPr>
                <w:sz w:val="20"/>
                <w:szCs w:val="20"/>
              </w:rPr>
              <w:t>295,621</w:t>
            </w:r>
          </w:p>
        </w:tc>
      </w:tr>
      <w:tr w:rsidR="007E3DFD" w:rsidRPr="00836713" w:rsidTr="00CF137D">
        <w:trPr>
          <w:trHeight w:val="255"/>
          <w:jc w:val="center"/>
        </w:trPr>
        <w:tc>
          <w:tcPr>
            <w:tcW w:w="3237" w:type="dxa"/>
            <w:tcBorders>
              <w:right w:val="single" w:sz="6" w:space="0" w:color="000000"/>
            </w:tcBorders>
            <w:shd w:val="clear" w:color="auto" w:fill="auto"/>
            <w:noWrap/>
          </w:tcPr>
          <w:p w:rsidR="007E3DFD" w:rsidRPr="00836713" w:rsidRDefault="007E3DFD" w:rsidP="00B775EF">
            <w:pPr>
              <w:spacing w:after="0"/>
              <w:rPr>
                <w:b/>
                <w:bCs/>
                <w:sz w:val="20"/>
                <w:szCs w:val="20"/>
              </w:rPr>
            </w:pPr>
            <w:r w:rsidRPr="00836713">
              <w:rPr>
                <w:b/>
                <w:bCs/>
                <w:sz w:val="20"/>
                <w:szCs w:val="20"/>
              </w:rPr>
              <w:t>Outstanding debt at end of year</w:t>
            </w:r>
          </w:p>
        </w:tc>
        <w:tc>
          <w:tcPr>
            <w:tcW w:w="810" w:type="dxa"/>
            <w:shd w:val="clear" w:color="auto" w:fill="auto"/>
            <w:noWrap/>
          </w:tcPr>
          <w:p w:rsidR="007E3DFD" w:rsidRPr="00836713" w:rsidRDefault="007E3DFD" w:rsidP="00B775EF">
            <w:pPr>
              <w:spacing w:after="0"/>
              <w:jc w:val="right"/>
              <w:rPr>
                <w:sz w:val="20"/>
                <w:szCs w:val="20"/>
              </w:rPr>
            </w:pPr>
            <w:r w:rsidRPr="00836713">
              <w:rPr>
                <w:sz w:val="20"/>
                <w:szCs w:val="20"/>
              </w:rPr>
              <w:t>580,000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3,310,656</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5,843,357</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6,628,489</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6,336,720</w:t>
            </w:r>
          </w:p>
        </w:tc>
        <w:tc>
          <w:tcPr>
            <w:tcW w:w="1016" w:type="dxa"/>
            <w:shd w:val="clear" w:color="auto" w:fill="auto"/>
            <w:noWrap/>
          </w:tcPr>
          <w:p w:rsidR="007E3DFD" w:rsidRPr="00836713" w:rsidRDefault="007E3DFD" w:rsidP="00B775EF">
            <w:pPr>
              <w:spacing w:after="0"/>
              <w:jc w:val="right"/>
              <w:rPr>
                <w:sz w:val="20"/>
                <w:szCs w:val="20"/>
              </w:rPr>
            </w:pPr>
            <w:r w:rsidRPr="00836713">
              <w:rPr>
                <w:sz w:val="20"/>
                <w:szCs w:val="20"/>
              </w:rPr>
              <w:t>6,041,099</w:t>
            </w:r>
          </w:p>
        </w:tc>
      </w:tr>
      <w:tr w:rsidR="007E3DFD" w:rsidRPr="00836713" w:rsidTr="00CF137D">
        <w:trPr>
          <w:trHeight w:val="255"/>
          <w:jc w:val="center"/>
        </w:trPr>
        <w:tc>
          <w:tcPr>
            <w:tcW w:w="3237" w:type="dxa"/>
            <w:tcBorders>
              <w:right w:val="single" w:sz="6" w:space="0" w:color="000000"/>
            </w:tcBorders>
            <w:shd w:val="clear" w:color="auto" w:fill="auto"/>
            <w:noWrap/>
          </w:tcPr>
          <w:p w:rsidR="007E3DFD" w:rsidRPr="00836713" w:rsidRDefault="007E3DFD" w:rsidP="00B775EF">
            <w:pPr>
              <w:spacing w:after="0"/>
              <w:rPr>
                <w:b/>
                <w:bCs/>
                <w:sz w:val="20"/>
                <w:szCs w:val="20"/>
              </w:rPr>
            </w:pPr>
            <w:r w:rsidRPr="00836713">
              <w:rPr>
                <w:b/>
                <w:bCs/>
                <w:sz w:val="20"/>
                <w:szCs w:val="20"/>
              </w:rPr>
              <w:t>Debt financing</w:t>
            </w:r>
          </w:p>
        </w:tc>
        <w:tc>
          <w:tcPr>
            <w:tcW w:w="810" w:type="dxa"/>
            <w:shd w:val="clear" w:color="auto" w:fill="auto"/>
            <w:noWrap/>
          </w:tcPr>
          <w:p w:rsidR="007E3DFD" w:rsidRPr="00836713" w:rsidRDefault="007E3DFD" w:rsidP="00B775EF">
            <w:pPr>
              <w:spacing w:after="0"/>
              <w:jc w:val="right"/>
              <w:rPr>
                <w:b/>
                <w:sz w:val="20"/>
                <w:szCs w:val="20"/>
              </w:rPr>
            </w:pPr>
            <w:r w:rsidRPr="00836713">
              <w:rPr>
                <w:b/>
                <w:sz w:val="20"/>
                <w:szCs w:val="20"/>
              </w:rPr>
              <w:t>0</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0</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0</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0</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379,265</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379,265</w:t>
            </w:r>
          </w:p>
        </w:tc>
      </w:tr>
      <w:tr w:rsidR="007E3DFD" w:rsidRPr="00836713" w:rsidTr="00CF137D">
        <w:trPr>
          <w:trHeight w:val="255"/>
          <w:jc w:val="center"/>
        </w:trPr>
        <w:tc>
          <w:tcPr>
            <w:tcW w:w="3237" w:type="dxa"/>
            <w:tcBorders>
              <w:right w:val="single" w:sz="6" w:space="0" w:color="000000"/>
            </w:tcBorders>
            <w:shd w:val="clear" w:color="auto" w:fill="auto"/>
            <w:noWrap/>
          </w:tcPr>
          <w:p w:rsidR="007E3DFD" w:rsidRPr="00836713" w:rsidRDefault="007E3DFD" w:rsidP="00B775EF">
            <w:pPr>
              <w:spacing w:after="0"/>
              <w:rPr>
                <w:b/>
                <w:bCs/>
                <w:sz w:val="20"/>
                <w:szCs w:val="20"/>
              </w:rPr>
            </w:pPr>
            <w:r w:rsidRPr="00836713">
              <w:rPr>
                <w:b/>
                <w:bCs/>
                <w:sz w:val="20"/>
                <w:szCs w:val="20"/>
              </w:rPr>
              <w:t>Benefits: wastage reduction</w:t>
            </w:r>
          </w:p>
        </w:tc>
        <w:tc>
          <w:tcPr>
            <w:tcW w:w="810" w:type="dxa"/>
            <w:shd w:val="clear" w:color="auto" w:fill="auto"/>
            <w:noWrap/>
          </w:tcPr>
          <w:p w:rsidR="007E3DFD" w:rsidRPr="00836713" w:rsidRDefault="007E3DFD" w:rsidP="00B775EF">
            <w:pPr>
              <w:spacing w:after="0"/>
              <w:jc w:val="right"/>
              <w:rPr>
                <w:b/>
                <w:sz w:val="20"/>
                <w:szCs w:val="20"/>
              </w:rPr>
            </w:pPr>
            <w:r w:rsidRPr="00836713">
              <w:rPr>
                <w:b/>
                <w:sz w:val="20"/>
                <w:szCs w:val="20"/>
              </w:rPr>
              <w:t>0</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0</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129,891</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259,782</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389,673</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519,564</w:t>
            </w:r>
          </w:p>
        </w:tc>
      </w:tr>
      <w:tr w:rsidR="007E3DFD" w:rsidRPr="00836713" w:rsidTr="00CF137D">
        <w:trPr>
          <w:trHeight w:val="255"/>
          <w:jc w:val="center"/>
        </w:trPr>
        <w:tc>
          <w:tcPr>
            <w:tcW w:w="3237" w:type="dxa"/>
            <w:tcBorders>
              <w:right w:val="single" w:sz="6" w:space="0" w:color="000000"/>
            </w:tcBorders>
            <w:shd w:val="clear" w:color="auto" w:fill="auto"/>
            <w:noWrap/>
          </w:tcPr>
          <w:p w:rsidR="007E3DFD" w:rsidRPr="00836713" w:rsidRDefault="007E3DFD" w:rsidP="00B775EF">
            <w:pPr>
              <w:spacing w:after="0"/>
              <w:rPr>
                <w:b/>
                <w:sz w:val="20"/>
                <w:szCs w:val="20"/>
              </w:rPr>
            </w:pPr>
            <w:r w:rsidRPr="00836713">
              <w:rPr>
                <w:b/>
                <w:sz w:val="20"/>
                <w:szCs w:val="20"/>
              </w:rPr>
              <w:t>Stream</w:t>
            </w:r>
          </w:p>
        </w:tc>
        <w:tc>
          <w:tcPr>
            <w:tcW w:w="810" w:type="dxa"/>
            <w:shd w:val="clear" w:color="auto" w:fill="auto"/>
            <w:noWrap/>
          </w:tcPr>
          <w:p w:rsidR="007E3DFD" w:rsidRPr="00836713" w:rsidRDefault="007E3DFD" w:rsidP="00B775EF">
            <w:pPr>
              <w:spacing w:after="0"/>
              <w:jc w:val="right"/>
              <w:rPr>
                <w:b/>
                <w:sz w:val="20"/>
                <w:szCs w:val="20"/>
              </w:rPr>
            </w:pPr>
            <w:r w:rsidRPr="00836713">
              <w:rPr>
                <w:b/>
                <w:sz w:val="20"/>
                <w:szCs w:val="20"/>
              </w:rPr>
              <w:t>0</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0</w:t>
            </w:r>
          </w:p>
        </w:tc>
        <w:tc>
          <w:tcPr>
            <w:tcW w:w="1016" w:type="dxa"/>
            <w:shd w:val="clear" w:color="auto" w:fill="auto"/>
            <w:noWrap/>
          </w:tcPr>
          <w:p w:rsidR="007E3DFD" w:rsidRPr="00836713" w:rsidRDefault="00EA7FA9" w:rsidP="00B775EF">
            <w:pPr>
              <w:spacing w:after="0"/>
              <w:jc w:val="center"/>
              <w:rPr>
                <w:b/>
                <w:sz w:val="20"/>
                <w:szCs w:val="20"/>
              </w:rPr>
            </w:pPr>
            <w:r>
              <w:rPr>
                <w:b/>
                <w:sz w:val="20"/>
                <w:szCs w:val="20"/>
              </w:rPr>
              <w:t xml:space="preserve"> </w:t>
            </w:r>
            <w:r w:rsidR="007E3DFD" w:rsidRPr="00836713">
              <w:rPr>
                <w:b/>
                <w:sz w:val="20"/>
                <w:szCs w:val="20"/>
              </w:rPr>
              <w:t>129,891</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259,782</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10,408</w:t>
            </w:r>
          </w:p>
        </w:tc>
        <w:tc>
          <w:tcPr>
            <w:tcW w:w="1016" w:type="dxa"/>
            <w:shd w:val="clear" w:color="auto" w:fill="auto"/>
            <w:noWrap/>
          </w:tcPr>
          <w:p w:rsidR="007E3DFD" w:rsidRPr="00836713" w:rsidRDefault="007E3DFD" w:rsidP="00B775EF">
            <w:pPr>
              <w:spacing w:after="0"/>
              <w:jc w:val="right"/>
              <w:rPr>
                <w:b/>
                <w:sz w:val="20"/>
                <w:szCs w:val="20"/>
              </w:rPr>
            </w:pPr>
            <w:r w:rsidRPr="00836713">
              <w:rPr>
                <w:b/>
                <w:sz w:val="20"/>
                <w:szCs w:val="20"/>
              </w:rPr>
              <w:t>140,299</w:t>
            </w:r>
          </w:p>
        </w:tc>
      </w:tr>
    </w:tbl>
    <w:p w:rsidR="007E3DFD" w:rsidRPr="005A139E" w:rsidRDefault="007E3DFD" w:rsidP="009B10BC">
      <w:pPr>
        <w:pStyle w:val="ListParagraph"/>
        <w:keepNext/>
        <w:keepLines/>
        <w:numPr>
          <w:ilvl w:val="1"/>
          <w:numId w:val="23"/>
        </w:numPr>
        <w:spacing w:before="120" w:after="120" w:line="240" w:lineRule="auto"/>
        <w:ind w:left="720" w:hanging="720"/>
        <w:jc w:val="both"/>
        <w:rPr>
          <w:rFonts w:ascii="Times New Roman" w:hAnsi="Times New Roman" w:cs="Times New Roman"/>
          <w:sz w:val="24"/>
          <w:szCs w:val="24"/>
        </w:rPr>
      </w:pPr>
      <w:r w:rsidRPr="005A139E">
        <w:rPr>
          <w:rFonts w:ascii="Times New Roman" w:hAnsi="Times New Roman" w:cs="Times New Roman"/>
          <w:b/>
          <w:sz w:val="24"/>
          <w:szCs w:val="24"/>
        </w:rPr>
        <w:t>Conclusion</w:t>
      </w:r>
      <w:r w:rsidRPr="005A139E">
        <w:rPr>
          <w:rFonts w:ascii="Times New Roman" w:hAnsi="Times New Roman" w:cs="Times New Roman"/>
          <w:sz w:val="24"/>
          <w:szCs w:val="24"/>
        </w:rPr>
        <w:t>. Based on the analysis, the Net Present Value (NPV) for the stream of income after the program is US$2,677,544. The present value of costs is lower than the Present value of benefits, with a Cost/Benefit ratio</w:t>
      </w:r>
      <w:r w:rsidR="00B25854" w:rsidRPr="005A139E">
        <w:rPr>
          <w:rFonts w:ascii="Times New Roman" w:hAnsi="Times New Roman" w:cs="Times New Roman"/>
          <w:sz w:val="24"/>
          <w:szCs w:val="24"/>
        </w:rPr>
        <w:t xml:space="preserve"> of 1.37. It will take almost 12.5</w:t>
      </w:r>
      <w:r w:rsidRPr="005A139E">
        <w:rPr>
          <w:rFonts w:ascii="Times New Roman" w:hAnsi="Times New Roman" w:cs="Times New Roman"/>
          <w:sz w:val="24"/>
          <w:szCs w:val="24"/>
        </w:rPr>
        <w:t xml:space="preserve"> years to recuperate the principal (US$6.5 million) with the stream of savings of US$519,564 per year.</w:t>
      </w:r>
    </w:p>
    <w:p w:rsidR="007E3DFD" w:rsidRPr="005A139E" w:rsidRDefault="007E3DFD" w:rsidP="00B775EF">
      <w:pPr>
        <w:pStyle w:val="ListParagraph"/>
        <w:numPr>
          <w:ilvl w:val="0"/>
          <w:numId w:val="22"/>
        </w:numPr>
        <w:spacing w:before="240" w:after="120" w:line="240" w:lineRule="auto"/>
        <w:ind w:left="1440" w:hanging="720"/>
        <w:jc w:val="both"/>
        <w:rPr>
          <w:rFonts w:ascii="Times New Roman" w:hAnsi="Times New Roman" w:cs="Times New Roman"/>
          <w:b/>
          <w:spacing w:val="-2"/>
          <w:sz w:val="24"/>
          <w:szCs w:val="24"/>
        </w:rPr>
      </w:pPr>
      <w:r w:rsidRPr="005A139E">
        <w:rPr>
          <w:rFonts w:ascii="Times New Roman" w:hAnsi="Times New Roman" w:cs="Times New Roman"/>
          <w:b/>
          <w:spacing w:val="-2"/>
          <w:sz w:val="24"/>
          <w:szCs w:val="24"/>
        </w:rPr>
        <w:t>Component 3. Increase access to education and improve MOECD facilities</w:t>
      </w:r>
    </w:p>
    <w:p w:rsidR="007E3DFD" w:rsidRPr="00836713" w:rsidRDefault="007E3DFD" w:rsidP="009B10BC">
      <w:pPr>
        <w:numPr>
          <w:ilvl w:val="1"/>
          <w:numId w:val="23"/>
        </w:numPr>
        <w:spacing w:before="120" w:after="120"/>
        <w:ind w:left="720" w:hanging="720"/>
        <w:jc w:val="both"/>
      </w:pPr>
      <w:r w:rsidRPr="005A139E">
        <w:rPr>
          <w:szCs w:val="24"/>
        </w:rPr>
        <w:t>This component will focus on the construction of four (4) new schools, primarily to include grades 1-2, 9-11 and to decrease school over crowd</w:t>
      </w:r>
      <w:r w:rsidR="00336186" w:rsidRPr="005A139E">
        <w:rPr>
          <w:szCs w:val="24"/>
        </w:rPr>
        <w:t xml:space="preserve">edness in the surrounding area. </w:t>
      </w:r>
      <w:r w:rsidRPr="005A139E">
        <w:rPr>
          <w:szCs w:val="24"/>
        </w:rPr>
        <w:t xml:space="preserve">Multimedia Centers will be constructed in each of the new schools to contribute to the continued professional development of teachers and modernize students learning with the use of Information Communication </w:t>
      </w:r>
      <w:r w:rsidR="00151225">
        <w:rPr>
          <w:szCs w:val="24"/>
        </w:rPr>
        <w:t>T</w:t>
      </w:r>
      <w:r w:rsidRPr="005A139E">
        <w:rPr>
          <w:szCs w:val="24"/>
        </w:rPr>
        <w:t>echnology (ICT). By the end of the program an increase in</w:t>
      </w:r>
      <w:r w:rsidRPr="00836713">
        <w:t xml:space="preserve"> access to junior secondary grades of 12%, and an increase of the completion rate through grade 8 by 10% are expected.</w:t>
      </w:r>
    </w:p>
    <w:p w:rsidR="007E3DFD" w:rsidRPr="00836713" w:rsidRDefault="007E3DFD" w:rsidP="009B10BC">
      <w:pPr>
        <w:numPr>
          <w:ilvl w:val="1"/>
          <w:numId w:val="23"/>
        </w:numPr>
        <w:spacing w:before="120" w:after="120"/>
        <w:ind w:left="720" w:hanging="720"/>
        <w:jc w:val="both"/>
      </w:pPr>
      <w:r w:rsidRPr="00836713">
        <w:rPr>
          <w:b/>
        </w:rPr>
        <w:t>Ex–ante methodology.</w:t>
      </w:r>
      <w:r w:rsidRPr="00836713">
        <w:t xml:space="preserve"> </w:t>
      </w:r>
      <w:r w:rsidR="004F2446" w:rsidRPr="00836713">
        <w:t xml:space="preserve">The methodology will focus on the schools selected to be beneficiaries of the Program, and the location and size of the new schools, considering the national standard for the student/teacher ratio per classroom ratio. Calculations made include the construction cost for the new schools to be built in the interior (including the cost of a multimedia center) and the number of student beneficiaries of the new construction considering a student/teacher ratio of 35. Given that all of these schools will be in the interior, proper accommodations for teachers and principals will be built. All of </w:t>
      </w:r>
      <w:r w:rsidR="004F2446" w:rsidRPr="00836713">
        <w:lastRenderedPageBreak/>
        <w:t>them will also have principal office, and a basketball court. The larger schools will have a teacher’s lounge. With a total investment of US$</w:t>
      </w:r>
      <w:r w:rsidR="004F2446">
        <w:t>4.23</w:t>
      </w:r>
      <w:r w:rsidR="004F2446" w:rsidRPr="00836713">
        <w:t xml:space="preserve"> million there will be an increase in 1,</w:t>
      </w:r>
      <w:r w:rsidR="004F2446">
        <w:t>330</w:t>
      </w:r>
      <w:r w:rsidR="004F2446" w:rsidRPr="00836713">
        <w:t xml:space="preserve"> slots for students in schools in the interior.</w:t>
      </w:r>
    </w:p>
    <w:p w:rsidR="007E3DFD" w:rsidRPr="00836713" w:rsidRDefault="007E3DFD" w:rsidP="009B10BC">
      <w:pPr>
        <w:numPr>
          <w:ilvl w:val="1"/>
          <w:numId w:val="23"/>
        </w:numPr>
        <w:spacing w:before="120" w:after="120"/>
        <w:ind w:left="720" w:hanging="720"/>
        <w:jc w:val="both"/>
      </w:pPr>
      <w:r w:rsidRPr="00836713">
        <w:t>According to the literature, a cohort of young people who leave secondary school early will have lower earning and productivity over their lifetimes than they would have if they had finished their secondary education.</w:t>
      </w:r>
      <w:r w:rsidRPr="00836713">
        <w:rPr>
          <w:rStyle w:val="FootnoteReference"/>
        </w:rPr>
        <w:footnoteReference w:id="4"/>
      </w:r>
      <w:r w:rsidRPr="00836713">
        <w:t xml:space="preserve"> This lower productivity translates to lower output, and the value of this foregone output over the cohort’s lifetime is equal to 12.7% of the value of GDP for a given year for </w:t>
      </w:r>
      <w:smartTag w:uri="urn:schemas-microsoft-com:office:smarttags" w:element="City">
        <w:r w:rsidRPr="00836713">
          <w:t>Trinidad and Tobago</w:t>
        </w:r>
      </w:smartTag>
      <w:r w:rsidRPr="00836713">
        <w:t xml:space="preserve"> (</w:t>
      </w:r>
      <w:smartTag w:uri="urn:schemas-microsoft-com:office:smarttags" w:element="place">
        <w:smartTag w:uri="urn:schemas-microsoft-com:office:smarttags" w:element="City">
          <w:r w:rsidRPr="00836713">
            <w:t>Suriname</w:t>
          </w:r>
        </w:smartTag>
      </w:smartTag>
      <w:r w:rsidRPr="00836713">
        <w:t xml:space="preserve"> is not in the list of countries studied). This means a reduction in annual GDP of 0.36 percentage points per year for the next 35 years. For </w:t>
      </w:r>
      <w:smartTag w:uri="urn:schemas-microsoft-com:office:smarttags" w:element="City">
        <w:smartTag w:uri="urn:schemas-microsoft-com:office:smarttags" w:element="place">
          <w:r w:rsidRPr="00836713">
            <w:t>Suriname</w:t>
          </w:r>
        </w:smartTag>
      </w:smartTag>
      <w:r w:rsidRPr="00836713">
        <w:t>, we conservatively took half of this amount or 0.18 percentage points. According to WB/WDI,</w:t>
      </w:r>
      <w:r w:rsidRPr="00836713">
        <w:rPr>
          <w:rStyle w:val="FootnoteReference"/>
        </w:rPr>
        <w:footnoteReference w:id="5"/>
      </w:r>
      <w:r w:rsidRPr="00836713">
        <w:t xml:space="preserve"> Suriname had a GDP of US$3,251 million in 2009. Considering that the Total Gross Enrollment rate in 2009 (the last year where information is available) was 90%,</w:t>
      </w:r>
      <w:r w:rsidRPr="00836713">
        <w:rPr>
          <w:rStyle w:val="FootnoteReference"/>
        </w:rPr>
        <w:footnoteReference w:id="6"/>
      </w:r>
      <w:r w:rsidRPr="00836713">
        <w:t xml:space="preserve"> and that the number of students enrolled in Lower Secondary education for the same year was 34,707</w:t>
      </w:r>
      <w:r w:rsidR="00090EC1" w:rsidRPr="00836713">
        <w:t>, the drop</w:t>
      </w:r>
      <w:r w:rsidRPr="00836713">
        <w:t>out rate would be 10% conservatively, or 3,471 drop outs from Junior Secondary School (OJS). Using these numbers, we can calculate the loss to Society (LTS) per dropout per year:</w:t>
      </w:r>
    </w:p>
    <w:p w:rsidR="007E3DFD" w:rsidRPr="00836713" w:rsidRDefault="007E3DFD" w:rsidP="009B10BC">
      <w:pPr>
        <w:jc w:val="center"/>
      </w:pPr>
      <w:r w:rsidRPr="00836713">
        <w:rPr>
          <w:i/>
        </w:rPr>
        <w:t>LTS</w:t>
      </w:r>
      <w:r w:rsidRPr="00836713">
        <w:t xml:space="preserve"> = GDP*0.18%/OJS</w:t>
      </w:r>
    </w:p>
    <w:p w:rsidR="007E3DFD" w:rsidRPr="00836713" w:rsidRDefault="007E3DFD" w:rsidP="009B10BC">
      <w:pPr>
        <w:numPr>
          <w:ilvl w:val="1"/>
          <w:numId w:val="23"/>
        </w:numPr>
        <w:spacing w:before="120" w:after="120"/>
        <w:ind w:left="720" w:hanging="720"/>
        <w:jc w:val="both"/>
      </w:pPr>
      <w:r w:rsidRPr="00836713">
        <w:t>The loss to society is US$1,700 per dropout. That, number is then multiplied by the number of students Saved from being Dropouts (SFD) because of the new schools (7% of the enrollment in those schools) to determine the Gain to Society (GTS) per year for having the students stay in school. The GTS for these fo</w:t>
      </w:r>
      <w:r w:rsidR="00527DFC" w:rsidRPr="00836713">
        <w:t>ur schools in Suriname is US$141,579</w:t>
      </w:r>
      <w:r w:rsidRPr="00836713">
        <w:t xml:space="preserve"> per year.</w:t>
      </w:r>
    </w:p>
    <w:p w:rsidR="007E3DFD" w:rsidRPr="00836713" w:rsidRDefault="007E3DFD" w:rsidP="009B10BC">
      <w:pPr>
        <w:ind w:left="720" w:hanging="720"/>
        <w:jc w:val="center"/>
      </w:pPr>
      <w:r w:rsidRPr="00836713">
        <w:rPr>
          <w:i/>
        </w:rPr>
        <w:t>GTS</w:t>
      </w:r>
      <w:r w:rsidR="00527DFC" w:rsidRPr="00836713">
        <w:t xml:space="preserve"> = LTS*</w:t>
      </w:r>
      <w:r w:rsidR="008C40C9" w:rsidRPr="00836713">
        <w:t>1</w:t>
      </w:r>
      <w:r w:rsidR="008C40C9">
        <w:t>330</w:t>
      </w:r>
      <w:r w:rsidRPr="00836713">
        <w:t>*SFD</w:t>
      </w:r>
    </w:p>
    <w:p w:rsidR="007E3DFD" w:rsidRPr="00836713" w:rsidRDefault="008C40C9" w:rsidP="009B10BC">
      <w:pPr>
        <w:numPr>
          <w:ilvl w:val="1"/>
          <w:numId w:val="23"/>
        </w:numPr>
        <w:spacing w:before="120" w:after="120"/>
        <w:ind w:left="720" w:hanging="720"/>
        <w:jc w:val="both"/>
      </w:pPr>
      <w:r w:rsidRPr="00836713">
        <w:t>As a result of the new schools, transportation costs will decrease adding another savings to the MOECD. In the interior, a conservative measure for transportation costs is 50 US cents per day round trip per student. Based on a school year of 180 days, the cost per student per year for transportation is US$90. This amount times the number of students attending the new schools equals an annual savings of US$1</w:t>
      </w:r>
      <w:r>
        <w:t>19</w:t>
      </w:r>
      <w:r w:rsidRPr="00836713">
        <w:t>,</w:t>
      </w:r>
      <w:r>
        <w:t>7</w:t>
      </w:r>
      <w:r w:rsidRPr="00836713">
        <w:t>00.</w:t>
      </w:r>
    </w:p>
    <w:p w:rsidR="007E3DFD" w:rsidRPr="00836713" w:rsidRDefault="008C40C9" w:rsidP="009B10BC">
      <w:pPr>
        <w:numPr>
          <w:ilvl w:val="1"/>
          <w:numId w:val="23"/>
        </w:numPr>
        <w:spacing w:before="120" w:after="120"/>
        <w:ind w:left="720" w:hanging="720"/>
        <w:jc w:val="both"/>
      </w:pPr>
      <w:r w:rsidRPr="00836713">
        <w:t>Dividing the amount of the principal (US$</w:t>
      </w:r>
      <w:r>
        <w:t>4,230</w:t>
      </w:r>
      <w:r w:rsidRPr="00836713">
        <w:t>,000) by the sum of the annual benefits results in a ratio of 1</w:t>
      </w:r>
      <w:r>
        <w:t>2.5</w:t>
      </w:r>
      <w:r w:rsidRPr="00836713">
        <w:t xml:space="preserve"> years; the time necessary to recover the principal.</w:t>
      </w:r>
    </w:p>
    <w:p w:rsidR="007E3DFD" w:rsidRPr="00836713" w:rsidRDefault="008C40C9" w:rsidP="009B10BC">
      <w:pPr>
        <w:numPr>
          <w:ilvl w:val="1"/>
          <w:numId w:val="23"/>
        </w:numPr>
        <w:spacing w:before="120" w:after="120"/>
        <w:ind w:left="720" w:hanging="720"/>
        <w:jc w:val="both"/>
      </w:pPr>
      <w:r w:rsidRPr="00836713">
        <w:t>Considering a loan for the total amount given with a nominal interest rate of 1.32% Libor adjustable every three months, repayable in 20 years with a grace period of four years, the debt financing would be US$</w:t>
      </w:r>
      <w:r>
        <w:t>248,984</w:t>
      </w:r>
      <w:r w:rsidRPr="00836713">
        <w:t xml:space="preserve"> per year.</w:t>
      </w:r>
    </w:p>
    <w:p w:rsidR="00B5561C" w:rsidRPr="00B5561C" w:rsidRDefault="008C40C9" w:rsidP="009B10BC">
      <w:pPr>
        <w:numPr>
          <w:ilvl w:val="1"/>
          <w:numId w:val="23"/>
        </w:numPr>
        <w:spacing w:before="120" w:after="120"/>
        <w:ind w:left="720" w:hanging="720"/>
        <w:jc w:val="both"/>
        <w:rPr>
          <w:szCs w:val="24"/>
        </w:rPr>
      </w:pPr>
      <w:r w:rsidRPr="00836713">
        <w:rPr>
          <w:b/>
        </w:rPr>
        <w:t xml:space="preserve">Conclusion. </w:t>
      </w:r>
      <w:r w:rsidRPr="00836713">
        <w:t xml:space="preserve">Considering the stream of benefits minus costs, with an end of period salvage value for the construction of </w:t>
      </w:r>
      <w:r>
        <w:t>31.28</w:t>
      </w:r>
      <w:r w:rsidRPr="00836713">
        <w:t>% (1</w:t>
      </w:r>
      <w:r>
        <w:t>2.5</w:t>
      </w:r>
      <w:r w:rsidRPr="00836713">
        <w:t xml:space="preserve"> years of the 40 year life expectancy of the construction), the NPV equals US$2,</w:t>
      </w:r>
      <w:r>
        <w:t>397,790</w:t>
      </w:r>
      <w:r w:rsidRPr="00836713">
        <w:t xml:space="preserve">. The cost/benefit analysis ratio equals </w:t>
      </w:r>
      <w:r w:rsidRPr="00B5561C">
        <w:rPr>
          <w:szCs w:val="24"/>
        </w:rPr>
        <w:t>1.</w:t>
      </w:r>
      <w:r>
        <w:rPr>
          <w:szCs w:val="24"/>
        </w:rPr>
        <w:t>12</w:t>
      </w:r>
      <w:r w:rsidRPr="00B5561C">
        <w:rPr>
          <w:szCs w:val="24"/>
        </w:rPr>
        <w:t>, which is a good return on the investment.</w:t>
      </w:r>
    </w:p>
    <w:p w:rsidR="00B5561C" w:rsidRPr="00B5561C" w:rsidRDefault="00B5561C" w:rsidP="009B10BC">
      <w:pPr>
        <w:numPr>
          <w:ilvl w:val="1"/>
          <w:numId w:val="23"/>
        </w:numPr>
        <w:spacing w:before="120" w:after="120"/>
        <w:ind w:left="720" w:hanging="720"/>
        <w:jc w:val="both"/>
        <w:rPr>
          <w:szCs w:val="24"/>
        </w:rPr>
        <w:sectPr w:rsidR="00B5561C" w:rsidRPr="00B5561C" w:rsidSect="00522B71">
          <w:pgSz w:w="12240" w:h="15840"/>
          <w:pgMar w:top="1440" w:right="1440" w:bottom="1440" w:left="1440" w:header="720" w:footer="720" w:gutter="0"/>
          <w:cols w:space="720"/>
          <w:docGrid w:linePitch="360"/>
        </w:sectPr>
      </w:pPr>
    </w:p>
    <w:p w:rsidR="007E3DFD" w:rsidRPr="00A34C82" w:rsidRDefault="00A34C82" w:rsidP="00ED14FD">
      <w:pPr>
        <w:numPr>
          <w:ilvl w:val="0"/>
          <w:numId w:val="2"/>
        </w:numPr>
        <w:spacing w:before="240" w:after="240"/>
        <w:ind w:left="720"/>
        <w:jc w:val="center"/>
        <w:rPr>
          <w:rFonts w:ascii="Times New Roman Bold" w:hAnsi="Times New Roman Bold"/>
          <w:b/>
          <w:smallCaps/>
          <w:szCs w:val="24"/>
        </w:rPr>
      </w:pPr>
      <w:r w:rsidRPr="00A34C82">
        <w:rPr>
          <w:rFonts w:ascii="Times New Roman Bold" w:hAnsi="Times New Roman Bold"/>
          <w:b/>
          <w:smallCaps/>
          <w:szCs w:val="24"/>
        </w:rPr>
        <w:lastRenderedPageBreak/>
        <w:t>Impact Evaluation (Ex-Post)</w:t>
      </w:r>
    </w:p>
    <w:p w:rsidR="007E3DFD" w:rsidRPr="00B5561C" w:rsidRDefault="007E3DFD" w:rsidP="00B5561C">
      <w:pPr>
        <w:pStyle w:val="ListParagraph"/>
        <w:numPr>
          <w:ilvl w:val="1"/>
          <w:numId w:val="24"/>
        </w:numPr>
        <w:spacing w:before="120" w:after="120"/>
        <w:ind w:left="720" w:hanging="720"/>
        <w:jc w:val="both"/>
        <w:rPr>
          <w:rFonts w:ascii="Times New Roman" w:hAnsi="Times New Roman" w:cs="Times New Roman"/>
          <w:sz w:val="24"/>
          <w:szCs w:val="24"/>
        </w:rPr>
      </w:pPr>
      <w:r w:rsidRPr="00B5561C">
        <w:rPr>
          <w:rFonts w:ascii="Times New Roman" w:hAnsi="Times New Roman" w:cs="Times New Roman"/>
          <w:sz w:val="24"/>
          <w:szCs w:val="24"/>
        </w:rPr>
        <w:t xml:space="preserve">The goal of this evaluation is to analyze if changes in efficiency and in academic results are positive, continuous and sustainable, using econometrics as a tool. </w:t>
      </w:r>
    </w:p>
    <w:p w:rsidR="007E3DFD" w:rsidRPr="00836713" w:rsidRDefault="00B5561C" w:rsidP="00B775EF">
      <w:pPr>
        <w:spacing w:before="120" w:after="120"/>
        <w:ind w:left="1440" w:hanging="720"/>
        <w:jc w:val="both"/>
        <w:rPr>
          <w:b/>
        </w:rPr>
      </w:pPr>
      <w:r>
        <w:rPr>
          <w:b/>
        </w:rPr>
        <w:t>1</w:t>
      </w:r>
      <w:r>
        <w:rPr>
          <w:b/>
        </w:rPr>
        <w:tab/>
      </w:r>
      <w:r w:rsidR="007E3DFD" w:rsidRPr="00836713">
        <w:rPr>
          <w:b/>
        </w:rPr>
        <w:t>Component 1 and Component 2</w:t>
      </w:r>
    </w:p>
    <w:p w:rsidR="007E3DFD" w:rsidRPr="00836713" w:rsidRDefault="007E3DFD" w:rsidP="00B5561C">
      <w:pPr>
        <w:numPr>
          <w:ilvl w:val="1"/>
          <w:numId w:val="24"/>
        </w:numPr>
        <w:spacing w:before="120" w:after="120"/>
        <w:ind w:left="720" w:hanging="720"/>
        <w:jc w:val="both"/>
      </w:pPr>
      <w:r w:rsidRPr="00836713">
        <w:t xml:space="preserve">These two components will utilize the same evaluation methodology. The Program will perform two complementary evaluations, one is qualitative and the other quantitative. The </w:t>
      </w:r>
      <w:r w:rsidRPr="00836713">
        <w:rPr>
          <w:b/>
        </w:rPr>
        <w:t>qualitative</w:t>
      </w:r>
      <w:r w:rsidRPr="00836713">
        <w:t xml:space="preserve"> evaluation will include interviews, focus groups and classroom observations and focus on determining the link between the outputs (especially in the classroom) and the related expected outcomes. Specifically, the evaluation will focus on: (i) determining if teaching approaches mirror the methodologies covered during training; (ii) assess the effectiveness of follow up support offered to teachers; and (iii) establish if textbooks and teaching and learning materials have been distributed to students and teachers. </w:t>
      </w:r>
    </w:p>
    <w:p w:rsidR="007E3DFD" w:rsidRPr="00836713" w:rsidRDefault="007E3DFD" w:rsidP="00B5561C">
      <w:pPr>
        <w:numPr>
          <w:ilvl w:val="1"/>
          <w:numId w:val="24"/>
        </w:numPr>
        <w:spacing w:before="120" w:after="120"/>
        <w:ind w:left="720" w:hanging="720"/>
        <w:jc w:val="both"/>
      </w:pPr>
      <w:r w:rsidRPr="00836713">
        <w:t xml:space="preserve">Two </w:t>
      </w:r>
      <w:r w:rsidRPr="00836713">
        <w:rPr>
          <w:b/>
        </w:rPr>
        <w:t>quantitative</w:t>
      </w:r>
      <w:r w:rsidRPr="00836713">
        <w:t xml:space="preserve"> evaluations of these components will be conducted. The first evaluation for Phase I will be measured using the internal efficiency indicators for grades 3 – 5; in Phase II grades 7 – 9 will be included. Key variables to be measured include enrollment, repetition and promotion rates, measured at the end of each school year and the beginning of the following one.</w:t>
      </w:r>
    </w:p>
    <w:p w:rsidR="007E3DFD" w:rsidRPr="00836713" w:rsidRDefault="007E3DFD" w:rsidP="00B5561C">
      <w:pPr>
        <w:numPr>
          <w:ilvl w:val="1"/>
          <w:numId w:val="24"/>
        </w:numPr>
        <w:spacing w:before="120" w:after="120"/>
        <w:ind w:left="720" w:hanging="720"/>
        <w:jc w:val="both"/>
      </w:pPr>
      <w:r w:rsidRPr="00836713">
        <w:t xml:space="preserve">Secondly, a random, stratified (three regions) representative sample will be used to evaluate a pilot for the </w:t>
      </w:r>
      <w:r w:rsidRPr="00836713">
        <w:rPr>
          <w:b/>
        </w:rPr>
        <w:t>curriculum</w:t>
      </w:r>
      <w:r w:rsidRPr="00836713">
        <w:t xml:space="preserve"> per grade. Education quality will be evaluated based on the new examination system applied to students in 30 schools each following the schedule of the table below. In the Table </w:t>
      </w:r>
      <w:r w:rsidR="00B5561C">
        <w:t>4-1</w:t>
      </w:r>
      <w:r w:rsidRPr="00836713">
        <w:t>, the numbers are the correspondent grades; and the letters mean C = Comparison; E = Experimental; N = National expansion to all schools.</w:t>
      </w:r>
    </w:p>
    <w:tbl>
      <w:tblPr>
        <w:tblW w:w="0" w:type="auto"/>
        <w:jc w:val="cente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7"/>
        <w:gridCol w:w="1125"/>
        <w:gridCol w:w="981"/>
        <w:gridCol w:w="980"/>
        <w:gridCol w:w="981"/>
        <w:gridCol w:w="1092"/>
        <w:gridCol w:w="930"/>
        <w:gridCol w:w="930"/>
      </w:tblGrid>
      <w:tr w:rsidR="007E3DFD" w:rsidRPr="00F5402E" w:rsidTr="00157B13">
        <w:trPr>
          <w:trHeight w:val="70"/>
          <w:jc w:val="center"/>
        </w:trPr>
        <w:tc>
          <w:tcPr>
            <w:tcW w:w="8136" w:type="dxa"/>
            <w:gridSpan w:val="8"/>
            <w:tcBorders>
              <w:top w:val="nil"/>
              <w:left w:val="nil"/>
              <w:bottom w:val="single" w:sz="4" w:space="0" w:color="auto"/>
              <w:right w:val="nil"/>
            </w:tcBorders>
            <w:shd w:val="clear" w:color="auto" w:fill="auto"/>
            <w:vAlign w:val="center"/>
          </w:tcPr>
          <w:p w:rsidR="007E3DFD" w:rsidRPr="00F5402E" w:rsidRDefault="007E3DFD" w:rsidP="00F5402E">
            <w:pPr>
              <w:spacing w:after="0"/>
              <w:jc w:val="center"/>
              <w:rPr>
                <w:rFonts w:eastAsia="Calibri"/>
                <w:b/>
                <w:sz w:val="20"/>
                <w:szCs w:val="20"/>
              </w:rPr>
            </w:pPr>
            <w:r w:rsidRPr="00F5402E">
              <w:rPr>
                <w:rFonts w:eastAsia="Calibri"/>
                <w:b/>
                <w:sz w:val="20"/>
                <w:szCs w:val="20"/>
              </w:rPr>
              <w:t xml:space="preserve">Table </w:t>
            </w:r>
            <w:r w:rsidR="00B5561C" w:rsidRPr="00F5402E">
              <w:rPr>
                <w:rFonts w:eastAsia="Calibri"/>
                <w:b/>
                <w:sz w:val="20"/>
                <w:szCs w:val="20"/>
              </w:rPr>
              <w:t>4-1</w:t>
            </w:r>
            <w:r w:rsidRPr="00F5402E">
              <w:rPr>
                <w:rFonts w:eastAsia="Calibri"/>
                <w:b/>
                <w:sz w:val="20"/>
                <w:szCs w:val="20"/>
              </w:rPr>
              <w:t>:</w:t>
            </w:r>
            <w:r w:rsidRPr="00F5402E">
              <w:rPr>
                <w:b/>
                <w:sz w:val="20"/>
                <w:szCs w:val="20"/>
              </w:rPr>
              <w:t>Timeline for the curriculum pilot</w:t>
            </w:r>
          </w:p>
        </w:tc>
      </w:tr>
      <w:tr w:rsidR="007E3DFD" w:rsidRPr="00F5402E" w:rsidTr="00157B13">
        <w:trPr>
          <w:jc w:val="center"/>
        </w:trPr>
        <w:tc>
          <w:tcPr>
            <w:tcW w:w="1117" w:type="dxa"/>
            <w:vMerge w:val="restart"/>
            <w:tcBorders>
              <w:top w:val="single" w:sz="4" w:space="0" w:color="auto"/>
              <w:left w:val="single" w:sz="4" w:space="0" w:color="auto"/>
              <w:right w:val="single" w:sz="4" w:space="0" w:color="auto"/>
            </w:tcBorders>
            <w:shd w:val="clear" w:color="auto" w:fill="DBE5F1"/>
            <w:vAlign w:val="center"/>
          </w:tcPr>
          <w:p w:rsidR="007E3DFD" w:rsidRPr="00F5402E" w:rsidRDefault="007E3DFD" w:rsidP="00F5402E">
            <w:pPr>
              <w:spacing w:after="0"/>
              <w:rPr>
                <w:rFonts w:eastAsia="Calibri"/>
                <w:sz w:val="20"/>
                <w:szCs w:val="20"/>
              </w:rPr>
            </w:pPr>
            <w:r w:rsidRPr="00F5402E">
              <w:rPr>
                <w:rFonts w:eastAsia="Calibri"/>
                <w:sz w:val="20"/>
                <w:szCs w:val="20"/>
              </w:rPr>
              <w:t>Group 1</w:t>
            </w:r>
          </w:p>
        </w:tc>
        <w:tc>
          <w:tcPr>
            <w:tcW w:w="1125" w:type="dxa"/>
            <w:tcBorders>
              <w:top w:val="single" w:sz="4" w:space="0" w:color="auto"/>
              <w:left w:val="single" w:sz="4" w:space="0" w:color="auto"/>
            </w:tcBorders>
            <w:shd w:val="clear" w:color="auto" w:fill="DBE5F1"/>
          </w:tcPr>
          <w:p w:rsidR="007E3DFD" w:rsidRPr="00F5402E" w:rsidRDefault="007E3DFD" w:rsidP="00F5402E">
            <w:pPr>
              <w:spacing w:after="0"/>
              <w:jc w:val="center"/>
              <w:rPr>
                <w:rFonts w:eastAsia="Calibri"/>
                <w:sz w:val="20"/>
                <w:szCs w:val="20"/>
              </w:rPr>
            </w:pPr>
            <w:r w:rsidRPr="00F5402E">
              <w:rPr>
                <w:rFonts w:eastAsia="Calibri"/>
                <w:sz w:val="20"/>
                <w:szCs w:val="20"/>
              </w:rPr>
              <w:t>Year 2</w:t>
            </w:r>
          </w:p>
        </w:tc>
        <w:tc>
          <w:tcPr>
            <w:tcW w:w="981" w:type="dxa"/>
            <w:tcBorders>
              <w:top w:val="single" w:sz="4" w:space="0" w:color="auto"/>
            </w:tcBorders>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3 E</w:t>
            </w:r>
          </w:p>
        </w:tc>
        <w:tc>
          <w:tcPr>
            <w:tcW w:w="980" w:type="dxa"/>
            <w:tcBorders>
              <w:top w:val="single" w:sz="4" w:space="0" w:color="auto"/>
            </w:tcBorders>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4 E</w:t>
            </w:r>
          </w:p>
        </w:tc>
        <w:tc>
          <w:tcPr>
            <w:tcW w:w="981" w:type="dxa"/>
            <w:tcBorders>
              <w:top w:val="single" w:sz="4" w:space="0" w:color="auto"/>
            </w:tcBorders>
            <w:shd w:val="clear" w:color="auto" w:fill="DBE5F1"/>
            <w:vAlign w:val="center"/>
          </w:tcPr>
          <w:p w:rsidR="007E3DFD" w:rsidRPr="00F5402E" w:rsidRDefault="007E3DFD" w:rsidP="00F5402E">
            <w:pPr>
              <w:spacing w:after="0"/>
              <w:jc w:val="center"/>
              <w:rPr>
                <w:rFonts w:eastAsia="Calibri"/>
                <w:sz w:val="20"/>
                <w:szCs w:val="20"/>
              </w:rPr>
            </w:pPr>
          </w:p>
        </w:tc>
        <w:tc>
          <w:tcPr>
            <w:tcW w:w="1092" w:type="dxa"/>
            <w:tcBorders>
              <w:top w:val="single" w:sz="4" w:space="0" w:color="auto"/>
              <w:right w:val="single" w:sz="4" w:space="0" w:color="auto"/>
            </w:tcBorders>
            <w:shd w:val="clear" w:color="auto" w:fill="DBE5F1"/>
            <w:vAlign w:val="center"/>
          </w:tcPr>
          <w:p w:rsidR="007E3DFD" w:rsidRPr="00F5402E" w:rsidRDefault="007E3DFD" w:rsidP="00F5402E">
            <w:pPr>
              <w:spacing w:after="0"/>
              <w:jc w:val="center"/>
              <w:rPr>
                <w:rFonts w:eastAsia="Calibri"/>
                <w:sz w:val="20"/>
                <w:szCs w:val="20"/>
              </w:rPr>
            </w:pPr>
          </w:p>
        </w:tc>
        <w:tc>
          <w:tcPr>
            <w:tcW w:w="930" w:type="dxa"/>
            <w:tcBorders>
              <w:top w:val="single" w:sz="4" w:space="0" w:color="auto"/>
              <w:right w:val="single" w:sz="4" w:space="0" w:color="auto"/>
            </w:tcBorders>
            <w:shd w:val="clear" w:color="auto" w:fill="DBE5F1"/>
          </w:tcPr>
          <w:p w:rsidR="007E3DFD" w:rsidRPr="00F5402E" w:rsidRDefault="007E3DFD" w:rsidP="00F5402E">
            <w:pPr>
              <w:spacing w:after="0"/>
              <w:rPr>
                <w:sz w:val="20"/>
                <w:szCs w:val="20"/>
              </w:rPr>
            </w:pPr>
          </w:p>
        </w:tc>
        <w:tc>
          <w:tcPr>
            <w:tcW w:w="930" w:type="dxa"/>
            <w:tcBorders>
              <w:top w:val="single" w:sz="4" w:space="0" w:color="auto"/>
              <w:right w:val="single" w:sz="4" w:space="0" w:color="auto"/>
            </w:tcBorders>
            <w:shd w:val="clear" w:color="auto" w:fill="DBE5F1"/>
          </w:tcPr>
          <w:p w:rsidR="007E3DFD" w:rsidRPr="00F5402E" w:rsidRDefault="007E3DFD" w:rsidP="00F5402E">
            <w:pPr>
              <w:spacing w:after="0"/>
              <w:rPr>
                <w:sz w:val="20"/>
                <w:szCs w:val="20"/>
              </w:rPr>
            </w:pPr>
          </w:p>
        </w:tc>
      </w:tr>
      <w:tr w:rsidR="007E3DFD" w:rsidRPr="00F5402E" w:rsidTr="00157B13">
        <w:trPr>
          <w:jc w:val="center"/>
        </w:trPr>
        <w:tc>
          <w:tcPr>
            <w:tcW w:w="1117" w:type="dxa"/>
            <w:vMerge/>
            <w:tcBorders>
              <w:left w:val="single" w:sz="4" w:space="0" w:color="auto"/>
              <w:right w:val="single" w:sz="4" w:space="0" w:color="auto"/>
            </w:tcBorders>
            <w:shd w:val="clear" w:color="auto" w:fill="DBE5F1"/>
          </w:tcPr>
          <w:p w:rsidR="007E3DFD" w:rsidRPr="00F5402E" w:rsidRDefault="007E3DFD" w:rsidP="00F5402E">
            <w:pPr>
              <w:spacing w:after="0"/>
              <w:jc w:val="both"/>
              <w:rPr>
                <w:rFonts w:eastAsia="Calibri"/>
                <w:sz w:val="20"/>
                <w:szCs w:val="20"/>
              </w:rPr>
            </w:pPr>
          </w:p>
        </w:tc>
        <w:tc>
          <w:tcPr>
            <w:tcW w:w="1125" w:type="dxa"/>
            <w:tcBorders>
              <w:left w:val="single" w:sz="4" w:space="0" w:color="auto"/>
            </w:tcBorders>
            <w:shd w:val="clear" w:color="auto" w:fill="DBE5F1"/>
          </w:tcPr>
          <w:p w:rsidR="007E3DFD" w:rsidRPr="00F5402E" w:rsidRDefault="007E3DFD" w:rsidP="00F5402E">
            <w:pPr>
              <w:spacing w:after="0"/>
              <w:jc w:val="center"/>
              <w:rPr>
                <w:rFonts w:eastAsia="Calibri"/>
                <w:sz w:val="20"/>
                <w:szCs w:val="20"/>
              </w:rPr>
            </w:pPr>
            <w:r w:rsidRPr="00F5402E">
              <w:rPr>
                <w:rFonts w:eastAsia="Calibri"/>
                <w:sz w:val="20"/>
                <w:szCs w:val="20"/>
              </w:rPr>
              <w:t>Year 3</w:t>
            </w:r>
          </w:p>
        </w:tc>
        <w:tc>
          <w:tcPr>
            <w:tcW w:w="981" w:type="dxa"/>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3 N</w:t>
            </w:r>
          </w:p>
        </w:tc>
        <w:tc>
          <w:tcPr>
            <w:tcW w:w="980" w:type="dxa"/>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4 N</w:t>
            </w:r>
          </w:p>
        </w:tc>
        <w:tc>
          <w:tcPr>
            <w:tcW w:w="981" w:type="dxa"/>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5 E</w:t>
            </w:r>
          </w:p>
        </w:tc>
        <w:tc>
          <w:tcPr>
            <w:tcW w:w="1092" w:type="dxa"/>
            <w:tcBorders>
              <w:right w:val="single" w:sz="4" w:space="0" w:color="auto"/>
            </w:tcBorders>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6 E</w:t>
            </w:r>
          </w:p>
        </w:tc>
        <w:tc>
          <w:tcPr>
            <w:tcW w:w="930" w:type="dxa"/>
            <w:tcBorders>
              <w:right w:val="single" w:sz="4" w:space="0" w:color="auto"/>
            </w:tcBorders>
            <w:shd w:val="clear" w:color="auto" w:fill="DBE5F1"/>
          </w:tcPr>
          <w:p w:rsidR="007E3DFD" w:rsidRPr="00F5402E" w:rsidRDefault="007E3DFD" w:rsidP="00F5402E">
            <w:pPr>
              <w:spacing w:after="0"/>
              <w:jc w:val="center"/>
              <w:rPr>
                <w:sz w:val="20"/>
                <w:szCs w:val="20"/>
              </w:rPr>
            </w:pPr>
          </w:p>
        </w:tc>
        <w:tc>
          <w:tcPr>
            <w:tcW w:w="930" w:type="dxa"/>
            <w:tcBorders>
              <w:right w:val="single" w:sz="4" w:space="0" w:color="auto"/>
            </w:tcBorders>
            <w:shd w:val="clear" w:color="auto" w:fill="DBE5F1"/>
          </w:tcPr>
          <w:p w:rsidR="007E3DFD" w:rsidRPr="00F5402E" w:rsidRDefault="007E3DFD" w:rsidP="00F5402E">
            <w:pPr>
              <w:spacing w:after="0"/>
              <w:jc w:val="center"/>
              <w:rPr>
                <w:sz w:val="20"/>
                <w:szCs w:val="20"/>
              </w:rPr>
            </w:pPr>
          </w:p>
        </w:tc>
      </w:tr>
      <w:tr w:rsidR="007E3DFD" w:rsidRPr="00F5402E" w:rsidTr="00157B13">
        <w:trPr>
          <w:jc w:val="center"/>
        </w:trPr>
        <w:tc>
          <w:tcPr>
            <w:tcW w:w="1117" w:type="dxa"/>
            <w:vMerge/>
            <w:tcBorders>
              <w:left w:val="single" w:sz="4" w:space="0" w:color="auto"/>
              <w:bottom w:val="single" w:sz="4" w:space="0" w:color="auto"/>
              <w:right w:val="single" w:sz="4" w:space="0" w:color="auto"/>
            </w:tcBorders>
            <w:shd w:val="clear" w:color="auto" w:fill="DBE5F1"/>
          </w:tcPr>
          <w:p w:rsidR="007E3DFD" w:rsidRPr="00F5402E" w:rsidRDefault="007E3DFD" w:rsidP="00F5402E">
            <w:pPr>
              <w:spacing w:after="0"/>
              <w:jc w:val="both"/>
              <w:rPr>
                <w:rFonts w:eastAsia="Calibri"/>
                <w:sz w:val="20"/>
                <w:szCs w:val="20"/>
              </w:rPr>
            </w:pPr>
          </w:p>
        </w:tc>
        <w:tc>
          <w:tcPr>
            <w:tcW w:w="1125" w:type="dxa"/>
            <w:tcBorders>
              <w:left w:val="single" w:sz="4" w:space="0" w:color="auto"/>
              <w:bottom w:val="single" w:sz="4" w:space="0" w:color="auto"/>
            </w:tcBorders>
            <w:shd w:val="clear" w:color="auto" w:fill="DBE5F1"/>
          </w:tcPr>
          <w:p w:rsidR="007E3DFD" w:rsidRPr="00F5402E" w:rsidRDefault="007E3DFD" w:rsidP="00F5402E">
            <w:pPr>
              <w:spacing w:after="0"/>
              <w:jc w:val="center"/>
              <w:rPr>
                <w:rFonts w:eastAsia="Calibri"/>
                <w:sz w:val="20"/>
                <w:szCs w:val="20"/>
              </w:rPr>
            </w:pPr>
            <w:r w:rsidRPr="00F5402E">
              <w:rPr>
                <w:rFonts w:eastAsia="Calibri"/>
                <w:sz w:val="20"/>
                <w:szCs w:val="20"/>
              </w:rPr>
              <w:t>Year 4</w:t>
            </w:r>
          </w:p>
        </w:tc>
        <w:tc>
          <w:tcPr>
            <w:tcW w:w="981" w:type="dxa"/>
            <w:tcBorders>
              <w:bottom w:val="single" w:sz="4" w:space="0" w:color="auto"/>
            </w:tcBorders>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3 N</w:t>
            </w:r>
          </w:p>
        </w:tc>
        <w:tc>
          <w:tcPr>
            <w:tcW w:w="980" w:type="dxa"/>
            <w:tcBorders>
              <w:bottom w:val="single" w:sz="4" w:space="0" w:color="auto"/>
            </w:tcBorders>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4 N</w:t>
            </w:r>
          </w:p>
        </w:tc>
        <w:tc>
          <w:tcPr>
            <w:tcW w:w="981" w:type="dxa"/>
            <w:tcBorders>
              <w:bottom w:val="single" w:sz="4" w:space="0" w:color="auto"/>
            </w:tcBorders>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5 N</w:t>
            </w:r>
          </w:p>
        </w:tc>
        <w:tc>
          <w:tcPr>
            <w:tcW w:w="1092" w:type="dxa"/>
            <w:tcBorders>
              <w:bottom w:val="single" w:sz="4" w:space="0" w:color="auto"/>
              <w:right w:val="single" w:sz="4" w:space="0" w:color="auto"/>
            </w:tcBorders>
            <w:shd w:val="clear" w:color="auto" w:fill="DBE5F1"/>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6 N</w:t>
            </w:r>
          </w:p>
        </w:tc>
        <w:tc>
          <w:tcPr>
            <w:tcW w:w="930" w:type="dxa"/>
            <w:tcBorders>
              <w:bottom w:val="single" w:sz="4" w:space="0" w:color="auto"/>
              <w:right w:val="single" w:sz="4" w:space="0" w:color="auto"/>
            </w:tcBorders>
            <w:shd w:val="clear" w:color="auto" w:fill="DBE5F1"/>
          </w:tcPr>
          <w:p w:rsidR="007E3DFD" w:rsidRPr="00F5402E" w:rsidRDefault="007E3DFD" w:rsidP="00F5402E">
            <w:pPr>
              <w:spacing w:after="0"/>
              <w:jc w:val="center"/>
              <w:rPr>
                <w:sz w:val="20"/>
                <w:szCs w:val="20"/>
              </w:rPr>
            </w:pPr>
            <w:r w:rsidRPr="00F5402E">
              <w:rPr>
                <w:sz w:val="20"/>
                <w:szCs w:val="20"/>
              </w:rPr>
              <w:t>7 E</w:t>
            </w:r>
          </w:p>
        </w:tc>
        <w:tc>
          <w:tcPr>
            <w:tcW w:w="930" w:type="dxa"/>
            <w:tcBorders>
              <w:bottom w:val="single" w:sz="4" w:space="0" w:color="auto"/>
              <w:right w:val="single" w:sz="4" w:space="0" w:color="auto"/>
            </w:tcBorders>
            <w:shd w:val="clear" w:color="auto" w:fill="DBE5F1"/>
          </w:tcPr>
          <w:p w:rsidR="007E3DFD" w:rsidRPr="00F5402E" w:rsidRDefault="007E3DFD" w:rsidP="00F5402E">
            <w:pPr>
              <w:spacing w:after="0"/>
              <w:jc w:val="center"/>
              <w:rPr>
                <w:sz w:val="20"/>
                <w:szCs w:val="20"/>
              </w:rPr>
            </w:pPr>
            <w:r w:rsidRPr="00F5402E">
              <w:rPr>
                <w:sz w:val="20"/>
                <w:szCs w:val="20"/>
              </w:rPr>
              <w:t>8 E</w:t>
            </w:r>
          </w:p>
        </w:tc>
      </w:tr>
      <w:tr w:rsidR="007E3DFD" w:rsidRPr="00F5402E" w:rsidTr="00157B13">
        <w:trPr>
          <w:jc w:val="center"/>
        </w:trPr>
        <w:tc>
          <w:tcPr>
            <w:tcW w:w="1117" w:type="dxa"/>
            <w:vMerge w:val="restart"/>
            <w:tcBorders>
              <w:top w:val="single" w:sz="4" w:space="0" w:color="auto"/>
              <w:left w:val="single" w:sz="4" w:space="0" w:color="auto"/>
              <w:right w:val="single" w:sz="4" w:space="0" w:color="auto"/>
            </w:tcBorders>
            <w:shd w:val="clear" w:color="auto" w:fill="FFFFCC"/>
            <w:vAlign w:val="center"/>
          </w:tcPr>
          <w:p w:rsidR="007E3DFD" w:rsidRPr="00F5402E" w:rsidRDefault="007E3DFD" w:rsidP="00F5402E">
            <w:pPr>
              <w:spacing w:after="0"/>
              <w:rPr>
                <w:rFonts w:eastAsia="Calibri"/>
                <w:sz w:val="20"/>
                <w:szCs w:val="20"/>
              </w:rPr>
            </w:pPr>
            <w:r w:rsidRPr="00F5402E">
              <w:rPr>
                <w:rFonts w:eastAsia="Calibri"/>
                <w:sz w:val="20"/>
                <w:szCs w:val="20"/>
              </w:rPr>
              <w:t>Group 2</w:t>
            </w:r>
          </w:p>
        </w:tc>
        <w:tc>
          <w:tcPr>
            <w:tcW w:w="1125" w:type="dxa"/>
            <w:tcBorders>
              <w:top w:val="single" w:sz="4" w:space="0" w:color="auto"/>
              <w:left w:val="single" w:sz="4" w:space="0" w:color="auto"/>
            </w:tcBorders>
            <w:shd w:val="clear" w:color="auto" w:fill="FFFFCC"/>
          </w:tcPr>
          <w:p w:rsidR="007E3DFD" w:rsidRPr="00F5402E" w:rsidRDefault="007E3DFD" w:rsidP="00F5402E">
            <w:pPr>
              <w:spacing w:after="0"/>
              <w:jc w:val="center"/>
              <w:rPr>
                <w:rFonts w:eastAsia="Calibri"/>
                <w:sz w:val="20"/>
                <w:szCs w:val="20"/>
              </w:rPr>
            </w:pPr>
            <w:r w:rsidRPr="00F5402E">
              <w:rPr>
                <w:rFonts w:eastAsia="Calibri"/>
                <w:sz w:val="20"/>
                <w:szCs w:val="20"/>
              </w:rPr>
              <w:t>Year 2</w:t>
            </w:r>
          </w:p>
        </w:tc>
        <w:tc>
          <w:tcPr>
            <w:tcW w:w="981" w:type="dxa"/>
            <w:tcBorders>
              <w:top w:val="single" w:sz="4" w:space="0" w:color="auto"/>
            </w:tcBorders>
            <w:shd w:val="clear" w:color="auto" w:fill="FFFFCC"/>
            <w:vAlign w:val="center"/>
          </w:tcPr>
          <w:p w:rsidR="007E3DFD" w:rsidRPr="00F5402E" w:rsidRDefault="007E3DFD" w:rsidP="00F5402E">
            <w:pPr>
              <w:spacing w:after="0"/>
              <w:jc w:val="center"/>
              <w:rPr>
                <w:rFonts w:eastAsia="Calibri"/>
                <w:b/>
                <w:color w:val="FF0000"/>
                <w:sz w:val="20"/>
                <w:szCs w:val="20"/>
              </w:rPr>
            </w:pPr>
            <w:r w:rsidRPr="00F5402E">
              <w:rPr>
                <w:rFonts w:eastAsia="Calibri"/>
                <w:b/>
                <w:color w:val="FF0000"/>
                <w:sz w:val="20"/>
                <w:szCs w:val="20"/>
              </w:rPr>
              <w:t>3 C</w:t>
            </w:r>
          </w:p>
        </w:tc>
        <w:tc>
          <w:tcPr>
            <w:tcW w:w="980" w:type="dxa"/>
            <w:tcBorders>
              <w:top w:val="single" w:sz="4" w:space="0" w:color="auto"/>
            </w:tcBorders>
            <w:shd w:val="clear" w:color="auto" w:fill="FFFFCC"/>
            <w:vAlign w:val="center"/>
          </w:tcPr>
          <w:p w:rsidR="007E3DFD" w:rsidRPr="00F5402E" w:rsidRDefault="007E3DFD" w:rsidP="00F5402E">
            <w:pPr>
              <w:spacing w:after="0"/>
              <w:jc w:val="center"/>
              <w:rPr>
                <w:rFonts w:eastAsia="Calibri"/>
                <w:b/>
                <w:color w:val="FF0000"/>
                <w:sz w:val="20"/>
                <w:szCs w:val="20"/>
              </w:rPr>
            </w:pPr>
            <w:r w:rsidRPr="00F5402E">
              <w:rPr>
                <w:rFonts w:eastAsia="Calibri"/>
                <w:b/>
                <w:color w:val="FF0000"/>
                <w:sz w:val="20"/>
                <w:szCs w:val="20"/>
              </w:rPr>
              <w:t>4 C</w:t>
            </w:r>
          </w:p>
        </w:tc>
        <w:tc>
          <w:tcPr>
            <w:tcW w:w="981" w:type="dxa"/>
            <w:tcBorders>
              <w:top w:val="single" w:sz="4" w:space="0" w:color="auto"/>
            </w:tcBorders>
            <w:shd w:val="clear" w:color="auto" w:fill="FFFFCC"/>
            <w:vAlign w:val="center"/>
          </w:tcPr>
          <w:p w:rsidR="007E3DFD" w:rsidRPr="00F5402E" w:rsidRDefault="007E3DFD" w:rsidP="00F5402E">
            <w:pPr>
              <w:spacing w:after="0"/>
              <w:jc w:val="center"/>
              <w:rPr>
                <w:rFonts w:eastAsia="Calibri"/>
                <w:sz w:val="20"/>
                <w:szCs w:val="20"/>
              </w:rPr>
            </w:pPr>
          </w:p>
        </w:tc>
        <w:tc>
          <w:tcPr>
            <w:tcW w:w="1092" w:type="dxa"/>
            <w:tcBorders>
              <w:top w:val="single" w:sz="4" w:space="0" w:color="auto"/>
            </w:tcBorders>
            <w:shd w:val="clear" w:color="auto" w:fill="FFFFCC"/>
            <w:vAlign w:val="center"/>
          </w:tcPr>
          <w:p w:rsidR="007E3DFD" w:rsidRPr="00F5402E" w:rsidRDefault="007E3DFD" w:rsidP="00F5402E">
            <w:pPr>
              <w:spacing w:after="0"/>
              <w:jc w:val="center"/>
              <w:rPr>
                <w:rFonts w:eastAsia="Calibri"/>
                <w:sz w:val="20"/>
                <w:szCs w:val="20"/>
              </w:rPr>
            </w:pPr>
          </w:p>
        </w:tc>
        <w:tc>
          <w:tcPr>
            <w:tcW w:w="930" w:type="dxa"/>
            <w:tcBorders>
              <w:top w:val="single" w:sz="4" w:space="0" w:color="auto"/>
            </w:tcBorders>
            <w:shd w:val="clear" w:color="auto" w:fill="FFFFCC"/>
          </w:tcPr>
          <w:p w:rsidR="007E3DFD" w:rsidRPr="00F5402E" w:rsidRDefault="007E3DFD" w:rsidP="00F5402E">
            <w:pPr>
              <w:spacing w:after="0"/>
              <w:jc w:val="center"/>
              <w:rPr>
                <w:sz w:val="20"/>
                <w:szCs w:val="20"/>
              </w:rPr>
            </w:pPr>
          </w:p>
        </w:tc>
        <w:tc>
          <w:tcPr>
            <w:tcW w:w="930" w:type="dxa"/>
            <w:tcBorders>
              <w:top w:val="single" w:sz="4" w:space="0" w:color="auto"/>
            </w:tcBorders>
            <w:shd w:val="clear" w:color="auto" w:fill="FFFFCC"/>
          </w:tcPr>
          <w:p w:rsidR="007E3DFD" w:rsidRPr="00F5402E" w:rsidRDefault="007E3DFD" w:rsidP="00F5402E">
            <w:pPr>
              <w:spacing w:after="0"/>
              <w:jc w:val="center"/>
              <w:rPr>
                <w:sz w:val="20"/>
                <w:szCs w:val="20"/>
              </w:rPr>
            </w:pPr>
          </w:p>
        </w:tc>
      </w:tr>
      <w:tr w:rsidR="007E3DFD" w:rsidRPr="00F5402E" w:rsidTr="00157B13">
        <w:trPr>
          <w:jc w:val="center"/>
        </w:trPr>
        <w:tc>
          <w:tcPr>
            <w:tcW w:w="1117" w:type="dxa"/>
            <w:vMerge/>
            <w:tcBorders>
              <w:left w:val="single" w:sz="4" w:space="0" w:color="auto"/>
              <w:right w:val="single" w:sz="4" w:space="0" w:color="auto"/>
            </w:tcBorders>
            <w:shd w:val="clear" w:color="auto" w:fill="FFFFCC"/>
          </w:tcPr>
          <w:p w:rsidR="007E3DFD" w:rsidRPr="00F5402E" w:rsidRDefault="007E3DFD" w:rsidP="00F5402E">
            <w:pPr>
              <w:spacing w:after="0"/>
              <w:jc w:val="both"/>
              <w:rPr>
                <w:rFonts w:eastAsia="Calibri"/>
                <w:sz w:val="20"/>
                <w:szCs w:val="20"/>
              </w:rPr>
            </w:pPr>
          </w:p>
        </w:tc>
        <w:tc>
          <w:tcPr>
            <w:tcW w:w="1125" w:type="dxa"/>
            <w:tcBorders>
              <w:left w:val="single" w:sz="4" w:space="0" w:color="auto"/>
            </w:tcBorders>
            <w:shd w:val="clear" w:color="auto" w:fill="FFFFCC"/>
          </w:tcPr>
          <w:p w:rsidR="007E3DFD" w:rsidRPr="00F5402E" w:rsidRDefault="007E3DFD" w:rsidP="00F5402E">
            <w:pPr>
              <w:spacing w:after="0"/>
              <w:jc w:val="center"/>
              <w:rPr>
                <w:rFonts w:eastAsia="Calibri"/>
                <w:sz w:val="20"/>
                <w:szCs w:val="20"/>
              </w:rPr>
            </w:pPr>
            <w:r w:rsidRPr="00F5402E">
              <w:rPr>
                <w:rFonts w:eastAsia="Calibri"/>
                <w:sz w:val="20"/>
                <w:szCs w:val="20"/>
              </w:rPr>
              <w:t>Year 3</w:t>
            </w:r>
          </w:p>
        </w:tc>
        <w:tc>
          <w:tcPr>
            <w:tcW w:w="981" w:type="dxa"/>
            <w:shd w:val="clear" w:color="auto" w:fill="FFFFCC"/>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3 N</w:t>
            </w:r>
          </w:p>
        </w:tc>
        <w:tc>
          <w:tcPr>
            <w:tcW w:w="980" w:type="dxa"/>
            <w:shd w:val="clear" w:color="auto" w:fill="FFFFCC"/>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4 N</w:t>
            </w:r>
          </w:p>
        </w:tc>
        <w:tc>
          <w:tcPr>
            <w:tcW w:w="981" w:type="dxa"/>
            <w:shd w:val="clear" w:color="auto" w:fill="FFFFCC"/>
            <w:vAlign w:val="center"/>
          </w:tcPr>
          <w:p w:rsidR="007E3DFD" w:rsidRPr="00F5402E" w:rsidRDefault="007E3DFD" w:rsidP="00F5402E">
            <w:pPr>
              <w:spacing w:after="0"/>
              <w:jc w:val="center"/>
              <w:rPr>
                <w:rFonts w:eastAsia="Calibri"/>
                <w:b/>
                <w:color w:val="FF0000"/>
                <w:sz w:val="20"/>
                <w:szCs w:val="20"/>
              </w:rPr>
            </w:pPr>
            <w:r w:rsidRPr="00F5402E">
              <w:rPr>
                <w:rFonts w:eastAsia="Calibri"/>
                <w:b/>
                <w:color w:val="FF0000"/>
                <w:sz w:val="20"/>
                <w:szCs w:val="20"/>
              </w:rPr>
              <w:t>5 C</w:t>
            </w:r>
          </w:p>
        </w:tc>
        <w:tc>
          <w:tcPr>
            <w:tcW w:w="1092" w:type="dxa"/>
            <w:shd w:val="clear" w:color="auto" w:fill="FFFFCC"/>
            <w:vAlign w:val="center"/>
          </w:tcPr>
          <w:p w:rsidR="007E3DFD" w:rsidRPr="00F5402E" w:rsidRDefault="007E3DFD" w:rsidP="00F5402E">
            <w:pPr>
              <w:spacing w:after="0"/>
              <w:jc w:val="center"/>
              <w:rPr>
                <w:rFonts w:eastAsia="Calibri"/>
                <w:b/>
                <w:color w:val="FF0000"/>
                <w:sz w:val="20"/>
                <w:szCs w:val="20"/>
              </w:rPr>
            </w:pPr>
            <w:r w:rsidRPr="00F5402E">
              <w:rPr>
                <w:rFonts w:eastAsia="Calibri"/>
                <w:b/>
                <w:color w:val="FF0000"/>
                <w:sz w:val="20"/>
                <w:szCs w:val="20"/>
              </w:rPr>
              <w:t>6 C</w:t>
            </w:r>
          </w:p>
        </w:tc>
        <w:tc>
          <w:tcPr>
            <w:tcW w:w="930" w:type="dxa"/>
            <w:shd w:val="clear" w:color="auto" w:fill="FFFFCC"/>
          </w:tcPr>
          <w:p w:rsidR="007E3DFD" w:rsidRPr="00F5402E" w:rsidRDefault="007E3DFD" w:rsidP="00F5402E">
            <w:pPr>
              <w:spacing w:after="0"/>
              <w:jc w:val="center"/>
              <w:rPr>
                <w:sz w:val="20"/>
                <w:szCs w:val="20"/>
              </w:rPr>
            </w:pPr>
          </w:p>
        </w:tc>
        <w:tc>
          <w:tcPr>
            <w:tcW w:w="930" w:type="dxa"/>
            <w:shd w:val="clear" w:color="auto" w:fill="FFFFCC"/>
          </w:tcPr>
          <w:p w:rsidR="007E3DFD" w:rsidRPr="00F5402E" w:rsidRDefault="007E3DFD" w:rsidP="00F5402E">
            <w:pPr>
              <w:spacing w:after="0"/>
              <w:jc w:val="center"/>
              <w:rPr>
                <w:sz w:val="20"/>
                <w:szCs w:val="20"/>
              </w:rPr>
            </w:pPr>
          </w:p>
        </w:tc>
      </w:tr>
      <w:tr w:rsidR="007E3DFD" w:rsidRPr="00F5402E" w:rsidTr="00157B13">
        <w:trPr>
          <w:jc w:val="center"/>
        </w:trPr>
        <w:tc>
          <w:tcPr>
            <w:tcW w:w="1117" w:type="dxa"/>
            <w:vMerge/>
            <w:tcBorders>
              <w:left w:val="single" w:sz="4" w:space="0" w:color="auto"/>
              <w:bottom w:val="single" w:sz="4" w:space="0" w:color="auto"/>
              <w:right w:val="single" w:sz="4" w:space="0" w:color="auto"/>
            </w:tcBorders>
            <w:shd w:val="clear" w:color="auto" w:fill="FFFFCC"/>
          </w:tcPr>
          <w:p w:rsidR="007E3DFD" w:rsidRPr="00F5402E" w:rsidRDefault="007E3DFD" w:rsidP="00F5402E">
            <w:pPr>
              <w:spacing w:after="0"/>
              <w:jc w:val="both"/>
              <w:rPr>
                <w:rFonts w:eastAsia="Calibri"/>
                <w:sz w:val="20"/>
                <w:szCs w:val="20"/>
              </w:rPr>
            </w:pPr>
          </w:p>
        </w:tc>
        <w:tc>
          <w:tcPr>
            <w:tcW w:w="1125" w:type="dxa"/>
            <w:tcBorders>
              <w:left w:val="single" w:sz="4" w:space="0" w:color="auto"/>
            </w:tcBorders>
            <w:shd w:val="clear" w:color="auto" w:fill="FFFFCC"/>
          </w:tcPr>
          <w:p w:rsidR="007E3DFD" w:rsidRPr="00F5402E" w:rsidRDefault="007E3DFD" w:rsidP="00F5402E">
            <w:pPr>
              <w:spacing w:after="0"/>
              <w:jc w:val="center"/>
              <w:rPr>
                <w:rFonts w:eastAsia="Calibri"/>
                <w:sz w:val="20"/>
                <w:szCs w:val="20"/>
              </w:rPr>
            </w:pPr>
            <w:r w:rsidRPr="00F5402E">
              <w:rPr>
                <w:rFonts w:eastAsia="Calibri"/>
                <w:sz w:val="20"/>
                <w:szCs w:val="20"/>
              </w:rPr>
              <w:t>Year 4</w:t>
            </w:r>
          </w:p>
        </w:tc>
        <w:tc>
          <w:tcPr>
            <w:tcW w:w="981" w:type="dxa"/>
            <w:shd w:val="clear" w:color="auto" w:fill="FFFFCC"/>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3 N</w:t>
            </w:r>
          </w:p>
        </w:tc>
        <w:tc>
          <w:tcPr>
            <w:tcW w:w="980" w:type="dxa"/>
            <w:shd w:val="clear" w:color="auto" w:fill="FFFFCC"/>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4 N</w:t>
            </w:r>
          </w:p>
        </w:tc>
        <w:tc>
          <w:tcPr>
            <w:tcW w:w="981" w:type="dxa"/>
            <w:shd w:val="clear" w:color="auto" w:fill="FFFFCC"/>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5 N</w:t>
            </w:r>
          </w:p>
        </w:tc>
        <w:tc>
          <w:tcPr>
            <w:tcW w:w="1092" w:type="dxa"/>
            <w:shd w:val="clear" w:color="auto" w:fill="FFFFCC"/>
            <w:vAlign w:val="center"/>
          </w:tcPr>
          <w:p w:rsidR="007E3DFD" w:rsidRPr="00F5402E" w:rsidRDefault="007E3DFD" w:rsidP="00F5402E">
            <w:pPr>
              <w:spacing w:after="0"/>
              <w:jc w:val="center"/>
              <w:rPr>
                <w:rFonts w:eastAsia="Calibri"/>
                <w:sz w:val="20"/>
                <w:szCs w:val="20"/>
              </w:rPr>
            </w:pPr>
            <w:r w:rsidRPr="00F5402E">
              <w:rPr>
                <w:rFonts w:eastAsia="Calibri"/>
                <w:sz w:val="20"/>
                <w:szCs w:val="20"/>
              </w:rPr>
              <w:t>6 N</w:t>
            </w:r>
          </w:p>
        </w:tc>
        <w:tc>
          <w:tcPr>
            <w:tcW w:w="930" w:type="dxa"/>
            <w:shd w:val="clear" w:color="auto" w:fill="FFFFCC"/>
          </w:tcPr>
          <w:p w:rsidR="007E3DFD" w:rsidRPr="00F5402E" w:rsidRDefault="007E3DFD" w:rsidP="00F5402E">
            <w:pPr>
              <w:spacing w:after="0"/>
              <w:jc w:val="center"/>
              <w:rPr>
                <w:sz w:val="20"/>
                <w:szCs w:val="20"/>
              </w:rPr>
            </w:pPr>
            <w:r w:rsidRPr="00F5402E">
              <w:rPr>
                <w:sz w:val="20"/>
                <w:szCs w:val="20"/>
              </w:rPr>
              <w:t>7 C</w:t>
            </w:r>
          </w:p>
        </w:tc>
        <w:tc>
          <w:tcPr>
            <w:tcW w:w="930" w:type="dxa"/>
            <w:shd w:val="clear" w:color="auto" w:fill="FFFFCC"/>
          </w:tcPr>
          <w:p w:rsidR="007E3DFD" w:rsidRPr="00F5402E" w:rsidRDefault="007E3DFD" w:rsidP="00F5402E">
            <w:pPr>
              <w:spacing w:after="0"/>
              <w:jc w:val="center"/>
              <w:rPr>
                <w:sz w:val="20"/>
                <w:szCs w:val="20"/>
              </w:rPr>
            </w:pPr>
            <w:r w:rsidRPr="00F5402E">
              <w:rPr>
                <w:sz w:val="20"/>
                <w:szCs w:val="20"/>
              </w:rPr>
              <w:t>8 C</w:t>
            </w:r>
          </w:p>
        </w:tc>
      </w:tr>
    </w:tbl>
    <w:p w:rsidR="007E3DFD" w:rsidRPr="00836713" w:rsidRDefault="007E3DFD" w:rsidP="00F5402E">
      <w:pPr>
        <w:numPr>
          <w:ilvl w:val="1"/>
          <w:numId w:val="24"/>
        </w:numPr>
        <w:spacing w:before="120" w:after="120"/>
        <w:ind w:left="720" w:hanging="720"/>
        <w:jc w:val="both"/>
      </w:pPr>
      <w:r w:rsidRPr="00836713">
        <w:t>The number of 30 schools represents approximately 10% of the 328 primary schools in the country. Each stratum will have a number of schools that will be proportional to the total quantity of primary schools in the region. The schools will be selected randomly within each stratum. For example, the 30 schools in Group 1 will be divided proportionally to the number of schools in the three regions. Assuming that 12 schools are selected in Paramaribo, 10 in the Coastal Area and eight in the interior, each subset will be chosen randomly. The same procedure will be applied for Group 2. The schools will be assigned to the experimental and control groups during the first year of the program.</w:t>
      </w:r>
    </w:p>
    <w:p w:rsidR="005569A7" w:rsidRPr="005569A7" w:rsidRDefault="007E3DFD" w:rsidP="00F5402E">
      <w:pPr>
        <w:numPr>
          <w:ilvl w:val="1"/>
          <w:numId w:val="24"/>
        </w:numPr>
        <w:spacing w:before="120" w:after="120"/>
        <w:ind w:left="720" w:hanging="720"/>
        <w:jc w:val="both"/>
      </w:pPr>
      <w:r w:rsidRPr="00836713">
        <w:t>The evaluation will concentrate on learning achievements in the core courses, namely arithmetic and Dutch. The first pilot, which will focus only on grades 3 and 4</w:t>
      </w:r>
      <w:r w:rsidRPr="00836713">
        <w:rPr>
          <w:vertAlign w:val="superscript"/>
        </w:rPr>
        <w:t xml:space="preserve"> </w:t>
      </w:r>
      <w:r w:rsidRPr="00836713">
        <w:t xml:space="preserve">will start in the second year of the Program (2013-2014) and expand to all primary schools in the </w:t>
      </w:r>
      <w:r w:rsidRPr="0013305C">
        <w:rPr>
          <w:spacing w:val="2"/>
        </w:rPr>
        <w:lastRenderedPageBreak/>
        <w:t>2014-2015 school year. For grades 5 and 6 the pilot will be conducted in year three of the program (2014-2015) and will be expanded nationally in the following year, which is the last year of Phase I.</w:t>
      </w:r>
      <w:r w:rsidR="00EA7FA9" w:rsidRPr="0013305C">
        <w:rPr>
          <w:spacing w:val="2"/>
        </w:rPr>
        <w:t xml:space="preserve"> </w:t>
      </w:r>
      <w:r w:rsidRPr="0013305C">
        <w:rPr>
          <w:spacing w:val="2"/>
        </w:rPr>
        <w:t xml:space="preserve">Simultaneously, during the last year of Phase I (2015-2016) the program will run the pilot for the curriculum for grades 7 and 8, which will be expanded under Phase II of </w:t>
      </w:r>
      <w:r w:rsidR="00031233">
        <w:rPr>
          <w:szCs w:val="24"/>
        </w:rPr>
        <w:t>BEIP</w:t>
      </w:r>
      <w:r w:rsidRPr="0013305C">
        <w:rPr>
          <w:spacing w:val="2"/>
        </w:rPr>
        <w:t xml:space="preserve">. Students in all grades included in the pilot as experimental or comparison groups will take the correspondent exam for their grade at the beginning and end of the school year. For example, for grades 3 and 4, the exams prepared will be administered in October 2013 and again, </w:t>
      </w:r>
    </w:p>
    <w:p w:rsidR="007E3DFD" w:rsidRPr="00836713" w:rsidRDefault="007E3DFD" w:rsidP="00F5402E">
      <w:pPr>
        <w:numPr>
          <w:ilvl w:val="1"/>
          <w:numId w:val="24"/>
        </w:numPr>
        <w:spacing w:before="120" w:after="120"/>
        <w:ind w:left="720" w:hanging="720"/>
        <w:jc w:val="both"/>
      </w:pPr>
      <w:r w:rsidRPr="0013305C">
        <w:rPr>
          <w:spacing w:val="2"/>
        </w:rPr>
        <w:t>to the same students (experimental and comparison groups), at the end of the school year, June 2014. This methodology has the dual purpose of gauging the grade level contents students know at the beginning of the school year compared to the end of the year. Doing so will facilitate the calibration of the results of those subject to the experimental group compared to those in the comparison group.</w:t>
      </w:r>
    </w:p>
    <w:p w:rsidR="007E3DFD" w:rsidRPr="00836713" w:rsidRDefault="007E3DFD" w:rsidP="00F5402E">
      <w:pPr>
        <w:numPr>
          <w:ilvl w:val="1"/>
          <w:numId w:val="24"/>
        </w:numPr>
        <w:spacing w:before="120" w:after="120"/>
        <w:ind w:left="720" w:hanging="720"/>
        <w:jc w:val="both"/>
      </w:pPr>
      <w:r w:rsidRPr="00836713">
        <w:t>The analysis will also control for students’ socioeconomic characteristics, regions, and the academic proficiency of school teachers and principals and/or hours of training received. The socioeconomic characteristics will be gathered through a simplified form that will be developed during the first year of the program, distributed by the schools, completed by parents/guardians and returned to schools. Teachers’ characteristics will be collected by professionals contracted for this purpose. All the information will be stored in a database and will include all the students participating in the pilot, whether in the experimental or comparison groups, identified by name, school, grade, and teacher to facilitate the analysis.</w:t>
      </w:r>
    </w:p>
    <w:p w:rsidR="007E3DFD" w:rsidRPr="00836713" w:rsidRDefault="007E3DFD" w:rsidP="00F5402E">
      <w:pPr>
        <w:numPr>
          <w:ilvl w:val="1"/>
          <w:numId w:val="24"/>
        </w:numPr>
        <w:spacing w:before="120" w:after="120"/>
        <w:ind w:left="720" w:hanging="720"/>
        <w:jc w:val="both"/>
      </w:pPr>
      <w:r w:rsidRPr="00836713">
        <w:t>The ICT education model will be a separate analysis from the curriculum design. The design will be finalized after the first year, when the study shows the different modalities that will be experimented.</w:t>
      </w:r>
    </w:p>
    <w:p w:rsidR="007E3DFD" w:rsidRPr="00836713" w:rsidRDefault="00F5402E" w:rsidP="00B775EF">
      <w:pPr>
        <w:spacing w:before="120" w:after="120"/>
        <w:ind w:left="1440" w:hanging="720"/>
        <w:jc w:val="both"/>
        <w:rPr>
          <w:b/>
        </w:rPr>
      </w:pPr>
      <w:r>
        <w:rPr>
          <w:b/>
        </w:rPr>
        <w:t>2</w:t>
      </w:r>
      <w:r>
        <w:rPr>
          <w:b/>
        </w:rPr>
        <w:tab/>
      </w:r>
      <w:r w:rsidR="007E3DFD" w:rsidRPr="00836713">
        <w:rPr>
          <w:b/>
        </w:rPr>
        <w:t>Component 3</w:t>
      </w:r>
    </w:p>
    <w:p w:rsidR="007E3DFD" w:rsidRPr="00836713" w:rsidRDefault="007E3DFD" w:rsidP="00F5402E">
      <w:pPr>
        <w:numPr>
          <w:ilvl w:val="1"/>
          <w:numId w:val="24"/>
        </w:numPr>
        <w:spacing w:before="120" w:after="120"/>
        <w:ind w:left="720" w:hanging="720"/>
        <w:jc w:val="both"/>
      </w:pPr>
      <w:r w:rsidRPr="00836713">
        <w:t>The evaluation of this component will: (i) verify the completion of school construction, including the delivery of furniture, equipment and materials; (ii) verify that appropriate building material are utilized for the interior, and environmental and social issues addressed; and (iii) assess the involvement of local stakeholders in the process. A quantitative evaluation will be conducted to evaluate: (i) decrease in overcrowded schools where new facilities are built; and (ii) increase in access to schooling.</w:t>
      </w:r>
    </w:p>
    <w:p w:rsidR="007E3DFD" w:rsidRPr="00836713" w:rsidRDefault="00F5402E" w:rsidP="00B775EF">
      <w:pPr>
        <w:spacing w:before="120" w:after="120"/>
        <w:ind w:left="1440" w:hanging="720"/>
        <w:jc w:val="both"/>
        <w:rPr>
          <w:b/>
        </w:rPr>
      </w:pPr>
      <w:r>
        <w:rPr>
          <w:b/>
        </w:rPr>
        <w:t>3</w:t>
      </w:r>
      <w:r>
        <w:rPr>
          <w:b/>
        </w:rPr>
        <w:tab/>
      </w:r>
      <w:r w:rsidR="007E3DFD" w:rsidRPr="00836713">
        <w:rPr>
          <w:b/>
        </w:rPr>
        <w:t>Component 4</w:t>
      </w:r>
    </w:p>
    <w:p w:rsidR="007E3DFD" w:rsidRPr="00836713" w:rsidRDefault="007E3DFD" w:rsidP="00F5402E">
      <w:pPr>
        <w:numPr>
          <w:ilvl w:val="1"/>
          <w:numId w:val="24"/>
        </w:numPr>
        <w:spacing w:before="120" w:after="120"/>
        <w:ind w:left="720" w:hanging="720"/>
        <w:jc w:val="both"/>
      </w:pPr>
      <w:r w:rsidRPr="00836713">
        <w:t>A qualitative evaluation for this component will be utilized. The program will have a baseline and annual measurements in at least 30 schools regarding the number of hours that: (i) students and teachers are at school in that day; (ii) students and teachers are in the classroom per day; (iii) the teachers spend on teaching; and (iv) percent of teachers using the EMIS to track student progress and develop student work plans. Also the number of MOECD departments that incorporate monitoring and evaluation functions into their work will be assessed.</w:t>
      </w:r>
      <w:r w:rsidR="00EA7FA9">
        <w:t xml:space="preserve"> </w:t>
      </w:r>
    </w:p>
    <w:p w:rsidR="00C87AC1" w:rsidRPr="00836713" w:rsidRDefault="00C87AC1" w:rsidP="00F5402E">
      <w:pPr>
        <w:numPr>
          <w:ilvl w:val="1"/>
          <w:numId w:val="24"/>
        </w:numPr>
        <w:spacing w:before="120" w:after="120"/>
        <w:ind w:left="720" w:hanging="720"/>
        <w:jc w:val="both"/>
      </w:pPr>
      <w:r w:rsidRPr="00836713">
        <w:rPr>
          <w:color w:val="000000"/>
          <w:szCs w:val="24"/>
        </w:rPr>
        <w:t>The power calculations will be performed in semester 1 of the program based on data collected from the R&amp;P and where not available from field work.</w:t>
      </w:r>
      <w:r w:rsidR="00EA7FA9">
        <w:rPr>
          <w:color w:val="000000"/>
          <w:szCs w:val="24"/>
        </w:rPr>
        <w:t xml:space="preserve"> </w:t>
      </w:r>
    </w:p>
    <w:p w:rsidR="007E3DFD" w:rsidRPr="00836713" w:rsidRDefault="007E3DFD" w:rsidP="00F5402E">
      <w:pPr>
        <w:numPr>
          <w:ilvl w:val="1"/>
          <w:numId w:val="24"/>
        </w:numPr>
        <w:spacing w:before="120" w:after="120"/>
        <w:ind w:left="720" w:hanging="720"/>
        <w:jc w:val="both"/>
      </w:pPr>
      <w:r w:rsidRPr="00836713">
        <w:rPr>
          <w:b/>
        </w:rPr>
        <w:lastRenderedPageBreak/>
        <w:t>Midterm.</w:t>
      </w:r>
      <w:r w:rsidRPr="00836713">
        <w:t xml:space="preserve"> MOECD will receive technical assistance to develop a monitoring and evaluation strategy for the program to guide implementation and for developing program details for Phase II. </w:t>
      </w:r>
    </w:p>
    <w:p w:rsidR="007E3DFD" w:rsidRPr="00836713" w:rsidRDefault="007E3DFD" w:rsidP="00F5402E">
      <w:pPr>
        <w:numPr>
          <w:ilvl w:val="1"/>
          <w:numId w:val="24"/>
        </w:numPr>
        <w:spacing w:before="120" w:after="120"/>
        <w:ind w:left="720" w:hanging="720"/>
        <w:jc w:val="both"/>
      </w:pPr>
      <w:r w:rsidRPr="00836713">
        <w:t>Loan resources will finance an external midterm formative evaluation. The formative evaluation, in addition to analyzing progress towards achieving planned outputs, will analyze bottlenecks in the implementation process, suggest solutions to these challenges and recommend program modifications based on lessons learned during the review period.</w:t>
      </w:r>
    </w:p>
    <w:p w:rsidR="007E3DFD" w:rsidRPr="00836713" w:rsidRDefault="007E3DFD" w:rsidP="00F5402E">
      <w:pPr>
        <w:numPr>
          <w:ilvl w:val="1"/>
          <w:numId w:val="24"/>
        </w:numPr>
        <w:spacing w:before="120" w:after="120"/>
        <w:ind w:left="720" w:hanging="720"/>
        <w:jc w:val="both"/>
      </w:pPr>
      <w:r w:rsidRPr="00836713">
        <w:t>MOECD will receive technical assistance to develop comprehensive evaluations to inform Phase II of the Program. Among the innovative features included in this operation are: (i) curriculum evaluation of the previous grade; (ii) evaluation and documentation of experiences and lessons learned on the TRC use; and (iii) monitoring and evaluation of improvement projects offered to schools.</w:t>
      </w:r>
    </w:p>
    <w:p w:rsidR="00AC5ADF" w:rsidRDefault="007E3DFD" w:rsidP="00F5402E">
      <w:pPr>
        <w:numPr>
          <w:ilvl w:val="1"/>
          <w:numId w:val="24"/>
        </w:numPr>
        <w:spacing w:before="120" w:after="120"/>
        <w:ind w:left="720" w:hanging="720"/>
        <w:jc w:val="both"/>
      </w:pPr>
      <w:r w:rsidRPr="00836713">
        <w:rPr>
          <w:b/>
        </w:rPr>
        <w:t>Final Evaluation.</w:t>
      </w:r>
      <w:r w:rsidRPr="00836713">
        <w:t xml:space="preserve"> A final program evaluation will be conducted at the end of Phase I and Phase II of the program using loan resources. An ex-post evaluation will be conducted 12 to 18 months after the end of Phase II using counterpart resources.</w:t>
      </w:r>
    </w:p>
    <w:p w:rsidR="00AC5ADF" w:rsidRDefault="00AC5ADF">
      <w:pPr>
        <w:spacing w:line="276" w:lineRule="auto"/>
      </w:pPr>
      <w:r>
        <w:br w:type="page"/>
      </w:r>
    </w:p>
    <w:tbl>
      <w:tblPr>
        <w:tblW w:w="8915" w:type="dxa"/>
        <w:jc w:val="center"/>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9"/>
        <w:gridCol w:w="1170"/>
        <w:gridCol w:w="1170"/>
        <w:gridCol w:w="2109"/>
        <w:gridCol w:w="2027"/>
      </w:tblGrid>
      <w:tr w:rsidR="007E3DFD" w:rsidRPr="00A34C82" w:rsidTr="00A34C82">
        <w:trPr>
          <w:trHeight w:val="80"/>
          <w:jc w:val="center"/>
        </w:trPr>
        <w:tc>
          <w:tcPr>
            <w:tcW w:w="8915" w:type="dxa"/>
            <w:gridSpan w:val="5"/>
            <w:tcBorders>
              <w:top w:val="nil"/>
              <w:left w:val="nil"/>
              <w:bottom w:val="single" w:sz="4" w:space="0" w:color="000000"/>
              <w:right w:val="nil"/>
            </w:tcBorders>
            <w:shd w:val="clear" w:color="auto" w:fill="auto"/>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lastRenderedPageBreak/>
              <w:t>Table 4</w:t>
            </w:r>
            <w:r w:rsidR="00A34C82" w:rsidRPr="00A34C82">
              <w:rPr>
                <w:rFonts w:eastAsia="Calibri"/>
                <w:b/>
                <w:spacing w:val="-2"/>
                <w:sz w:val="20"/>
                <w:szCs w:val="20"/>
              </w:rPr>
              <w:t>-2</w:t>
            </w:r>
            <w:r w:rsidRPr="00A34C82">
              <w:rPr>
                <w:rFonts w:eastAsia="Calibri"/>
                <w:b/>
                <w:spacing w:val="-2"/>
                <w:sz w:val="20"/>
                <w:szCs w:val="20"/>
              </w:rPr>
              <w:t>: Chronogram of evaluation activities</w:t>
            </w:r>
          </w:p>
        </w:tc>
      </w:tr>
      <w:tr w:rsidR="007E3DFD" w:rsidRPr="00A34C82" w:rsidTr="00A34C82">
        <w:trPr>
          <w:trHeight w:val="70"/>
          <w:jc w:val="center"/>
        </w:trPr>
        <w:tc>
          <w:tcPr>
            <w:tcW w:w="2439" w:type="dxa"/>
            <w:tcBorders>
              <w:top w:val="single" w:sz="4" w:space="0" w:color="000000"/>
              <w:bottom w:val="single" w:sz="4" w:space="0" w:color="000000"/>
            </w:tcBorders>
            <w:shd w:val="clear" w:color="auto" w:fill="B8CCE4"/>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Study/evaluation</w:t>
            </w:r>
          </w:p>
        </w:tc>
        <w:tc>
          <w:tcPr>
            <w:tcW w:w="1170" w:type="dxa"/>
            <w:tcBorders>
              <w:top w:val="single" w:sz="4" w:space="0" w:color="000000"/>
              <w:bottom w:val="single" w:sz="4" w:space="0" w:color="000000"/>
            </w:tcBorders>
            <w:shd w:val="clear" w:color="auto" w:fill="B8CCE4"/>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Start date</w:t>
            </w:r>
          </w:p>
        </w:tc>
        <w:tc>
          <w:tcPr>
            <w:tcW w:w="1170" w:type="dxa"/>
            <w:tcBorders>
              <w:top w:val="single" w:sz="4" w:space="0" w:color="000000"/>
              <w:bottom w:val="single" w:sz="4" w:space="0" w:color="000000"/>
            </w:tcBorders>
            <w:shd w:val="clear" w:color="auto" w:fill="B8CCE4"/>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End date</w:t>
            </w:r>
          </w:p>
        </w:tc>
        <w:tc>
          <w:tcPr>
            <w:tcW w:w="2109" w:type="dxa"/>
            <w:tcBorders>
              <w:top w:val="single" w:sz="4" w:space="0" w:color="000000"/>
              <w:bottom w:val="single" w:sz="4" w:space="0" w:color="000000"/>
            </w:tcBorders>
            <w:shd w:val="clear" w:color="auto" w:fill="B8CCE4"/>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Responsible</w:t>
            </w:r>
          </w:p>
        </w:tc>
        <w:tc>
          <w:tcPr>
            <w:tcW w:w="2027" w:type="dxa"/>
            <w:tcBorders>
              <w:top w:val="single" w:sz="4" w:space="0" w:color="000000"/>
              <w:bottom w:val="single" w:sz="4" w:space="0" w:color="000000"/>
            </w:tcBorders>
            <w:shd w:val="clear" w:color="auto" w:fill="B8CCE4"/>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Comments</w:t>
            </w:r>
          </w:p>
        </w:tc>
      </w:tr>
      <w:tr w:rsidR="007E3DFD" w:rsidRPr="00A34C82" w:rsidTr="00A34C82">
        <w:trPr>
          <w:trHeight w:val="70"/>
          <w:jc w:val="center"/>
        </w:trPr>
        <w:tc>
          <w:tcPr>
            <w:tcW w:w="8915" w:type="dxa"/>
            <w:gridSpan w:val="5"/>
            <w:tcBorders>
              <w:top w:val="single" w:sz="4" w:space="0" w:color="000000"/>
              <w:left w:val="single" w:sz="4" w:space="0" w:color="000000"/>
              <w:bottom w:val="single" w:sz="4" w:space="0" w:color="000000"/>
              <w:right w:val="single" w:sz="4" w:space="0" w:color="000000"/>
            </w:tcBorders>
            <w:shd w:val="clear" w:color="auto" w:fill="DBE5F1"/>
          </w:tcPr>
          <w:p w:rsidR="007E3DFD" w:rsidRPr="00A34C82" w:rsidRDefault="007E3DFD" w:rsidP="00A34C82">
            <w:pPr>
              <w:spacing w:after="0"/>
              <w:rPr>
                <w:rFonts w:eastAsia="Calibri"/>
                <w:spacing w:val="-2"/>
                <w:sz w:val="20"/>
                <w:szCs w:val="20"/>
                <w:lang w:val="pt-BR"/>
              </w:rPr>
            </w:pPr>
            <w:r w:rsidRPr="00A34C82">
              <w:rPr>
                <w:rFonts w:eastAsia="Calibri"/>
                <w:b/>
                <w:spacing w:val="-2"/>
                <w:sz w:val="20"/>
                <w:szCs w:val="20"/>
              </w:rPr>
              <w:t>Components 1 and 2</w:t>
            </w:r>
          </w:p>
        </w:tc>
      </w:tr>
      <w:tr w:rsidR="007E3DFD" w:rsidRPr="00A34C82" w:rsidTr="00A34C82">
        <w:trPr>
          <w:trHeight w:val="70"/>
          <w:jc w:val="center"/>
        </w:trPr>
        <w:tc>
          <w:tcPr>
            <w:tcW w:w="2439"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 xml:space="preserve">Design of curriculum and exams for Grades 3 and 4 </w:t>
            </w:r>
          </w:p>
        </w:tc>
        <w:tc>
          <w:tcPr>
            <w:tcW w:w="1170"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June 2012</w:t>
            </w:r>
          </w:p>
        </w:tc>
        <w:tc>
          <w:tcPr>
            <w:tcW w:w="1170"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June 2013</w:t>
            </w:r>
          </w:p>
        </w:tc>
        <w:tc>
          <w:tcPr>
            <w:tcW w:w="2109"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MOECD/PMU, Consultants and R&amp;P Department</w:t>
            </w:r>
          </w:p>
        </w:tc>
        <w:tc>
          <w:tcPr>
            <w:tcW w:w="2027" w:type="dxa"/>
            <w:tcBorders>
              <w:top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 xml:space="preserve">Design/Preparation of random stratified sample for Grades 3, 4, 5 and 6 </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June 2012</w:t>
            </w:r>
            <w:r w:rsidR="00EA7FA9" w:rsidRPr="00A34C82">
              <w:rPr>
                <w:rFonts w:eastAsia="Calibri"/>
                <w:spacing w:val="-2"/>
                <w:sz w:val="20"/>
                <w:szCs w:val="20"/>
              </w:rPr>
              <w:t xml:space="preserve"> </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June 2013</w:t>
            </w:r>
          </w:p>
        </w:tc>
        <w:tc>
          <w:tcPr>
            <w:tcW w:w="210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MOECD/PMU, R&amp;P Dept, Bureau of interior</w:t>
            </w:r>
          </w:p>
        </w:tc>
        <w:tc>
          <w:tcPr>
            <w:tcW w:w="2027"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Preparation is for curriculum and Bilingual Education. Sample is for experimental and comparison groups</w:t>
            </w:r>
          </w:p>
        </w:tc>
      </w:tr>
      <w:tr w:rsidR="007E3DFD" w:rsidRPr="00A34C82" w:rsidTr="00A34C82">
        <w:trPr>
          <w:trHeight w:val="70"/>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 xml:space="preserve">Quantitative assessment of sample for Curriculum Grades 3 and 4 </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Oct 2014 Jun 2015</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Nov 2014 Jul 2015</w:t>
            </w:r>
          </w:p>
        </w:tc>
        <w:tc>
          <w:tcPr>
            <w:tcW w:w="210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PMU, Curriculum Dept, Bureau of interior, R&amp;P Dept.</w:t>
            </w:r>
          </w:p>
        </w:tc>
        <w:tc>
          <w:tcPr>
            <w:tcW w:w="2027"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Assessment at the beginning and at the end of the school year</w:t>
            </w:r>
          </w:p>
        </w:tc>
      </w:tr>
      <w:tr w:rsidR="007E3DFD" w:rsidRPr="00D01824" w:rsidTr="00A34C82">
        <w:trPr>
          <w:trHeight w:val="530"/>
          <w:jc w:val="center"/>
        </w:trPr>
        <w:tc>
          <w:tcPr>
            <w:tcW w:w="2439"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Qualitative Evaluation for curriculum Grades 3 and 4</w:t>
            </w:r>
          </w:p>
        </w:tc>
        <w:tc>
          <w:tcPr>
            <w:tcW w:w="1170" w:type="dxa"/>
            <w:tcBorders>
              <w:top w:val="single" w:sz="4" w:space="0" w:color="000000"/>
            </w:tcBorders>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Oct 2013</w:t>
            </w:r>
          </w:p>
        </w:tc>
        <w:tc>
          <w:tcPr>
            <w:tcW w:w="1170" w:type="dxa"/>
            <w:tcBorders>
              <w:top w:val="single" w:sz="4" w:space="0" w:color="000000"/>
            </w:tcBorders>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Jun 2014</w:t>
            </w:r>
          </w:p>
        </w:tc>
        <w:tc>
          <w:tcPr>
            <w:tcW w:w="2109" w:type="dxa"/>
            <w:tcBorders>
              <w:top w:val="single" w:sz="4" w:space="0" w:color="000000"/>
            </w:tcBorders>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MOECD/PMU, R&amp;P Dept.</w:t>
            </w:r>
          </w:p>
        </w:tc>
        <w:tc>
          <w:tcPr>
            <w:tcW w:w="2027" w:type="dxa"/>
            <w:tcBorders>
              <w:top w:val="single" w:sz="4" w:space="0" w:color="000000"/>
            </w:tcBorders>
            <w:vAlign w:val="center"/>
          </w:tcPr>
          <w:p w:rsidR="007E3DFD" w:rsidRPr="00A34C82" w:rsidRDefault="007E3DFD" w:rsidP="00A34C82">
            <w:pPr>
              <w:spacing w:after="0"/>
              <w:rPr>
                <w:rFonts w:eastAsia="Calibri"/>
                <w:spacing w:val="-2"/>
                <w:sz w:val="20"/>
                <w:szCs w:val="20"/>
                <w:lang w:val="pt-BR"/>
              </w:rPr>
            </w:pPr>
          </w:p>
        </w:tc>
      </w:tr>
      <w:tr w:rsidR="007E3DFD" w:rsidRPr="00A34C82" w:rsidTr="00A34C82">
        <w:trPr>
          <w:trHeight w:val="575"/>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Design of curriculum and exams for Grades 5 and 6</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March 2013</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March 2014</w:t>
            </w:r>
          </w:p>
        </w:tc>
        <w:tc>
          <w:tcPr>
            <w:tcW w:w="210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MOECD/PMU, Consultants and R&amp;P Department</w:t>
            </w:r>
          </w:p>
        </w:tc>
        <w:tc>
          <w:tcPr>
            <w:tcW w:w="2027" w:type="dxa"/>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242"/>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 xml:space="preserve">Quantitative assessment of sample for Curriculum Grades 5 and 6 </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Oct 2015 Jun 2016</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Nov 2015 Jul 2016</w:t>
            </w:r>
          </w:p>
        </w:tc>
        <w:tc>
          <w:tcPr>
            <w:tcW w:w="210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PMU, Curriculum Dept, Bureau of interior, R&amp;P Dept.</w:t>
            </w:r>
          </w:p>
        </w:tc>
        <w:tc>
          <w:tcPr>
            <w:tcW w:w="2027"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Assessment at the beginning and at the end of the school year</w:t>
            </w:r>
          </w:p>
        </w:tc>
      </w:tr>
      <w:tr w:rsidR="007E3DFD" w:rsidRPr="00D01824" w:rsidTr="00A34C82">
        <w:trPr>
          <w:trHeight w:val="70"/>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Qualitative Evaluation for curriculum Grades 5 and 6</w:t>
            </w:r>
          </w:p>
        </w:tc>
        <w:tc>
          <w:tcPr>
            <w:tcW w:w="1170" w:type="dxa"/>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Oct 2014</w:t>
            </w:r>
          </w:p>
        </w:tc>
        <w:tc>
          <w:tcPr>
            <w:tcW w:w="1170" w:type="dxa"/>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Jun 2015</w:t>
            </w:r>
          </w:p>
        </w:tc>
        <w:tc>
          <w:tcPr>
            <w:tcW w:w="2109" w:type="dxa"/>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MOECD/PMU, R&amp;P Dept.</w:t>
            </w:r>
          </w:p>
        </w:tc>
        <w:tc>
          <w:tcPr>
            <w:tcW w:w="2027" w:type="dxa"/>
            <w:vAlign w:val="center"/>
          </w:tcPr>
          <w:p w:rsidR="007E3DFD" w:rsidRPr="00A34C82" w:rsidRDefault="007E3DFD" w:rsidP="00A34C82">
            <w:pPr>
              <w:spacing w:after="0"/>
              <w:rPr>
                <w:rFonts w:eastAsia="Calibri"/>
                <w:spacing w:val="-2"/>
                <w:sz w:val="20"/>
                <w:szCs w:val="20"/>
                <w:lang w:val="pt-BR"/>
              </w:rPr>
            </w:pPr>
          </w:p>
        </w:tc>
      </w:tr>
      <w:tr w:rsidR="007E3DFD" w:rsidRPr="00A34C82" w:rsidTr="00A34C82">
        <w:trPr>
          <w:trHeight w:val="575"/>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Design of curriculum and exams for Grades 7 and 8</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March 2014</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March 2015</w:t>
            </w:r>
          </w:p>
        </w:tc>
        <w:tc>
          <w:tcPr>
            <w:tcW w:w="210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MOECD/PMU, Consultants and R&amp;P Department</w:t>
            </w:r>
          </w:p>
        </w:tc>
        <w:tc>
          <w:tcPr>
            <w:tcW w:w="2027" w:type="dxa"/>
            <w:vAlign w:val="center"/>
          </w:tcPr>
          <w:p w:rsidR="007E3DFD" w:rsidRPr="00A34C82" w:rsidRDefault="007E3DFD" w:rsidP="00A34C82">
            <w:pPr>
              <w:spacing w:after="0"/>
              <w:rPr>
                <w:rFonts w:eastAsia="Calibri"/>
                <w:spacing w:val="-2"/>
                <w:sz w:val="20"/>
                <w:szCs w:val="20"/>
              </w:rPr>
            </w:pPr>
          </w:p>
        </w:tc>
      </w:tr>
      <w:tr w:rsidR="007E3DFD" w:rsidRPr="00D01824" w:rsidTr="00A34C82">
        <w:trPr>
          <w:trHeight w:val="70"/>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Qualitative Evaluation for curriculum Grades 7 and 8</w:t>
            </w:r>
            <w:r w:rsidR="00EA7FA9" w:rsidRPr="00A34C82">
              <w:rPr>
                <w:rFonts w:eastAsia="Calibri"/>
                <w:spacing w:val="-2"/>
                <w:sz w:val="20"/>
                <w:szCs w:val="20"/>
              </w:rPr>
              <w:t xml:space="preserve"> </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Oct 2015</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Apr 2016</w:t>
            </w:r>
          </w:p>
        </w:tc>
        <w:tc>
          <w:tcPr>
            <w:tcW w:w="2109" w:type="dxa"/>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MOECD/PMU, R&amp;P Dept.</w:t>
            </w:r>
          </w:p>
        </w:tc>
        <w:tc>
          <w:tcPr>
            <w:tcW w:w="2027" w:type="dxa"/>
            <w:vAlign w:val="center"/>
          </w:tcPr>
          <w:p w:rsidR="007E3DFD" w:rsidRPr="00A34C82" w:rsidRDefault="007E3DFD" w:rsidP="00A34C82">
            <w:pPr>
              <w:spacing w:after="0"/>
              <w:rPr>
                <w:rFonts w:eastAsia="Calibri"/>
                <w:spacing w:val="-2"/>
                <w:sz w:val="20"/>
                <w:szCs w:val="20"/>
                <w:lang w:val="pt-BR"/>
              </w:rPr>
            </w:pPr>
          </w:p>
        </w:tc>
      </w:tr>
      <w:tr w:rsidR="007E3DFD" w:rsidRPr="00D01824" w:rsidTr="00A34C82">
        <w:trPr>
          <w:trHeight w:val="575"/>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Qualitative Evaluation for ICT in Education</w:t>
            </w:r>
            <w:r w:rsidR="00EA7FA9" w:rsidRPr="00A34C82">
              <w:rPr>
                <w:rFonts w:eastAsia="Calibri"/>
                <w:spacing w:val="-2"/>
                <w:sz w:val="20"/>
                <w:szCs w:val="20"/>
              </w:rPr>
              <w:t xml:space="preserve"> </w:t>
            </w:r>
            <w:r w:rsidRPr="00A34C82">
              <w:rPr>
                <w:rFonts w:eastAsia="Calibri"/>
                <w:spacing w:val="-2"/>
                <w:sz w:val="20"/>
                <w:szCs w:val="20"/>
              </w:rPr>
              <w:t>for selected grades with pilot</w:t>
            </w:r>
          </w:p>
        </w:tc>
        <w:tc>
          <w:tcPr>
            <w:tcW w:w="1170" w:type="dxa"/>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Oct 2014</w:t>
            </w:r>
          </w:p>
        </w:tc>
        <w:tc>
          <w:tcPr>
            <w:tcW w:w="1170" w:type="dxa"/>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Jun 2015</w:t>
            </w:r>
          </w:p>
        </w:tc>
        <w:tc>
          <w:tcPr>
            <w:tcW w:w="2109" w:type="dxa"/>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MOECD/PMU, R&amp;P Dept.</w:t>
            </w:r>
          </w:p>
        </w:tc>
        <w:tc>
          <w:tcPr>
            <w:tcW w:w="2027" w:type="dxa"/>
            <w:vAlign w:val="center"/>
          </w:tcPr>
          <w:p w:rsidR="007E3DFD" w:rsidRPr="00A34C82" w:rsidRDefault="007E3DFD" w:rsidP="00A34C82">
            <w:pPr>
              <w:spacing w:after="0"/>
              <w:rPr>
                <w:rFonts w:eastAsia="Calibri"/>
                <w:spacing w:val="-2"/>
                <w:sz w:val="20"/>
                <w:szCs w:val="20"/>
                <w:lang w:val="pt-BR"/>
              </w:rPr>
            </w:pPr>
          </w:p>
        </w:tc>
      </w:tr>
      <w:tr w:rsidR="007E3DFD" w:rsidRPr="00A34C82" w:rsidTr="00A34C82">
        <w:trPr>
          <w:trHeight w:val="70"/>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Internal Efficiency study</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Jan 2016</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Jun 2016</w:t>
            </w:r>
          </w:p>
        </w:tc>
        <w:tc>
          <w:tcPr>
            <w:tcW w:w="2109" w:type="dxa"/>
            <w:vAlign w:val="center"/>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MOECD/PMU, R&amp;P Dept.</w:t>
            </w:r>
          </w:p>
        </w:tc>
        <w:tc>
          <w:tcPr>
            <w:tcW w:w="2027"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Data from end cycle 2013 and beginning 2014</w:t>
            </w:r>
          </w:p>
        </w:tc>
      </w:tr>
      <w:tr w:rsidR="007E3DFD" w:rsidRPr="00A34C82" w:rsidTr="00A34C82">
        <w:trPr>
          <w:trHeight w:val="70"/>
          <w:jc w:val="center"/>
        </w:trPr>
        <w:tc>
          <w:tcPr>
            <w:tcW w:w="8915" w:type="dxa"/>
            <w:gridSpan w:val="5"/>
            <w:tcBorders>
              <w:top w:val="single" w:sz="4" w:space="0" w:color="000000"/>
              <w:left w:val="single" w:sz="4" w:space="0" w:color="000000"/>
              <w:bottom w:val="single" w:sz="4" w:space="0" w:color="000000"/>
              <w:right w:val="single" w:sz="4" w:space="0" w:color="000000"/>
            </w:tcBorders>
            <w:shd w:val="clear" w:color="auto" w:fill="DBE5F1"/>
            <w:vAlign w:val="center"/>
          </w:tcPr>
          <w:p w:rsidR="007E3DFD" w:rsidRPr="00A34C82" w:rsidRDefault="007E3DFD" w:rsidP="00A34C82">
            <w:pPr>
              <w:spacing w:after="0"/>
              <w:rPr>
                <w:rFonts w:eastAsia="Calibri"/>
                <w:spacing w:val="-2"/>
                <w:sz w:val="20"/>
                <w:szCs w:val="20"/>
              </w:rPr>
            </w:pPr>
            <w:r w:rsidRPr="00A34C82">
              <w:rPr>
                <w:rFonts w:eastAsia="Calibri"/>
                <w:b/>
                <w:spacing w:val="-2"/>
                <w:sz w:val="20"/>
                <w:szCs w:val="20"/>
              </w:rPr>
              <w:t>Component 3</w:t>
            </w:r>
          </w:p>
        </w:tc>
      </w:tr>
      <w:tr w:rsidR="007E3DFD" w:rsidRPr="00A34C82" w:rsidTr="00A34C82">
        <w:trPr>
          <w:trHeight w:val="70"/>
          <w:jc w:val="center"/>
        </w:trPr>
        <w:tc>
          <w:tcPr>
            <w:tcW w:w="2439"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Infrastructure baseline</w:t>
            </w:r>
          </w:p>
        </w:tc>
        <w:tc>
          <w:tcPr>
            <w:tcW w:w="1170"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July 2012</w:t>
            </w:r>
          </w:p>
        </w:tc>
        <w:tc>
          <w:tcPr>
            <w:tcW w:w="1170"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Dec 2012</w:t>
            </w:r>
          </w:p>
        </w:tc>
        <w:tc>
          <w:tcPr>
            <w:tcW w:w="2109"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MOECD/PMU, Bureau of Interior, R&amp;P Dept.</w:t>
            </w:r>
          </w:p>
        </w:tc>
        <w:tc>
          <w:tcPr>
            <w:tcW w:w="2027" w:type="dxa"/>
            <w:tcBorders>
              <w:top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39" w:type="dxa"/>
            <w:tcBorders>
              <w:bottom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New construction Interior</w:t>
            </w:r>
          </w:p>
        </w:tc>
        <w:tc>
          <w:tcPr>
            <w:tcW w:w="1170" w:type="dxa"/>
            <w:tcBorders>
              <w:bottom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Oct 2015</w:t>
            </w:r>
          </w:p>
        </w:tc>
        <w:tc>
          <w:tcPr>
            <w:tcW w:w="1170" w:type="dxa"/>
            <w:tcBorders>
              <w:bottom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Dec 2015</w:t>
            </w:r>
          </w:p>
        </w:tc>
        <w:tc>
          <w:tcPr>
            <w:tcW w:w="2109" w:type="dxa"/>
            <w:tcBorders>
              <w:bottom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MOECD/PMU, Bureau of interior, R&amp;P Dept.</w:t>
            </w:r>
          </w:p>
        </w:tc>
        <w:tc>
          <w:tcPr>
            <w:tcW w:w="2027" w:type="dxa"/>
            <w:tcBorders>
              <w:bottom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8915" w:type="dxa"/>
            <w:gridSpan w:val="5"/>
            <w:tcBorders>
              <w:top w:val="single" w:sz="4" w:space="0" w:color="000000"/>
              <w:left w:val="single" w:sz="4" w:space="0" w:color="000000"/>
              <w:bottom w:val="single" w:sz="4" w:space="0" w:color="000000"/>
              <w:right w:val="single" w:sz="4" w:space="0" w:color="000000"/>
            </w:tcBorders>
            <w:shd w:val="clear" w:color="auto" w:fill="DBE5F1"/>
            <w:vAlign w:val="center"/>
          </w:tcPr>
          <w:p w:rsidR="007E3DFD" w:rsidRPr="00A34C82" w:rsidRDefault="007E3DFD" w:rsidP="00A34C82">
            <w:pPr>
              <w:spacing w:after="0"/>
              <w:rPr>
                <w:rFonts w:eastAsia="Calibri"/>
                <w:spacing w:val="-2"/>
                <w:sz w:val="20"/>
                <w:szCs w:val="20"/>
              </w:rPr>
            </w:pPr>
            <w:r w:rsidRPr="00A34C82">
              <w:rPr>
                <w:rFonts w:eastAsia="Calibri"/>
                <w:b/>
                <w:spacing w:val="-2"/>
                <w:sz w:val="20"/>
                <w:szCs w:val="20"/>
              </w:rPr>
              <w:t>Component 4</w:t>
            </w:r>
          </w:p>
        </w:tc>
      </w:tr>
      <w:tr w:rsidR="007E3DFD" w:rsidRPr="00A34C82" w:rsidTr="00A34C82">
        <w:trPr>
          <w:trHeight w:val="70"/>
          <w:jc w:val="center"/>
        </w:trPr>
        <w:tc>
          <w:tcPr>
            <w:tcW w:w="2439"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Qualitative Evaluation</w:t>
            </w:r>
          </w:p>
        </w:tc>
        <w:tc>
          <w:tcPr>
            <w:tcW w:w="1170"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 xml:space="preserve">Annually Jan 2013 </w:t>
            </w:r>
          </w:p>
        </w:tc>
        <w:tc>
          <w:tcPr>
            <w:tcW w:w="1170"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Jan 2016</w:t>
            </w:r>
          </w:p>
        </w:tc>
        <w:tc>
          <w:tcPr>
            <w:tcW w:w="2109" w:type="dxa"/>
            <w:tcBorders>
              <w:top w:val="single" w:sz="4" w:space="0" w:color="000000"/>
            </w:tcBorders>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MOECD/PMU, Bureau of interior, R&amp;P Dept.</w:t>
            </w:r>
          </w:p>
        </w:tc>
        <w:tc>
          <w:tcPr>
            <w:tcW w:w="2027" w:type="dxa"/>
            <w:tcBorders>
              <w:top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350"/>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 xml:space="preserve">Mid-term evaluation </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Apr 2014</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Aug 2014</w:t>
            </w:r>
          </w:p>
        </w:tc>
        <w:tc>
          <w:tcPr>
            <w:tcW w:w="210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R&amp;P Dept.</w:t>
            </w:r>
          </w:p>
        </w:tc>
        <w:tc>
          <w:tcPr>
            <w:tcW w:w="2027" w:type="dxa"/>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3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Final evaluation Phase I</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Jan 2016</w:t>
            </w:r>
          </w:p>
        </w:tc>
        <w:tc>
          <w:tcPr>
            <w:tcW w:w="1170"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Apr 2016</w:t>
            </w:r>
          </w:p>
        </w:tc>
        <w:tc>
          <w:tcPr>
            <w:tcW w:w="2109" w:type="dxa"/>
            <w:vAlign w:val="center"/>
          </w:tcPr>
          <w:p w:rsidR="007E3DFD" w:rsidRPr="00A34C82" w:rsidRDefault="007E3DFD" w:rsidP="00A34C82">
            <w:pPr>
              <w:spacing w:after="0"/>
              <w:rPr>
                <w:rFonts w:eastAsia="Calibri"/>
                <w:spacing w:val="-2"/>
                <w:sz w:val="20"/>
                <w:szCs w:val="20"/>
              </w:rPr>
            </w:pPr>
            <w:r w:rsidRPr="00A34C82">
              <w:rPr>
                <w:rFonts w:eastAsia="Calibri"/>
                <w:spacing w:val="-2"/>
                <w:sz w:val="20"/>
                <w:szCs w:val="20"/>
              </w:rPr>
              <w:t>R&amp;P Dept.</w:t>
            </w:r>
          </w:p>
        </w:tc>
        <w:tc>
          <w:tcPr>
            <w:tcW w:w="2027" w:type="dxa"/>
            <w:vAlign w:val="center"/>
          </w:tcPr>
          <w:p w:rsidR="007E3DFD" w:rsidRPr="00A34C82" w:rsidRDefault="007E3DFD" w:rsidP="00A34C82">
            <w:pPr>
              <w:spacing w:after="0"/>
              <w:rPr>
                <w:rFonts w:eastAsia="Calibri"/>
                <w:spacing w:val="-2"/>
                <w:sz w:val="20"/>
                <w:szCs w:val="20"/>
              </w:rPr>
            </w:pPr>
          </w:p>
        </w:tc>
      </w:tr>
    </w:tbl>
    <w:p w:rsidR="00AC5ADF" w:rsidRDefault="00AC5ADF" w:rsidP="009B10BC"/>
    <w:p w:rsidR="00AC5ADF" w:rsidRDefault="00AC5ADF">
      <w:pPr>
        <w:spacing w:line="276" w:lineRule="auto"/>
      </w:pPr>
      <w: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48"/>
        <w:gridCol w:w="1170"/>
        <w:gridCol w:w="1170"/>
        <w:gridCol w:w="2070"/>
        <w:gridCol w:w="1998"/>
      </w:tblGrid>
      <w:tr w:rsidR="007E3DFD" w:rsidRPr="00A34C82" w:rsidTr="00CF137D">
        <w:trPr>
          <w:trHeight w:val="70"/>
          <w:jc w:val="center"/>
        </w:trPr>
        <w:tc>
          <w:tcPr>
            <w:tcW w:w="8856" w:type="dxa"/>
            <w:gridSpan w:val="5"/>
            <w:tcBorders>
              <w:top w:val="nil"/>
              <w:left w:val="nil"/>
              <w:bottom w:val="single" w:sz="4" w:space="0" w:color="000000"/>
              <w:right w:val="nil"/>
            </w:tcBorders>
            <w:shd w:val="clear" w:color="auto" w:fill="auto"/>
            <w:vAlign w:val="center"/>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lastRenderedPageBreak/>
              <w:t xml:space="preserve">Table </w:t>
            </w:r>
            <w:r w:rsidR="00A34C82" w:rsidRPr="00A34C82">
              <w:rPr>
                <w:rFonts w:eastAsia="Calibri"/>
                <w:b/>
                <w:spacing w:val="-2"/>
                <w:sz w:val="20"/>
                <w:szCs w:val="20"/>
              </w:rPr>
              <w:t>4-3</w:t>
            </w:r>
            <w:r w:rsidRPr="00A34C82">
              <w:rPr>
                <w:rFonts w:eastAsia="Calibri"/>
                <w:b/>
                <w:spacing w:val="-2"/>
                <w:sz w:val="20"/>
                <w:szCs w:val="20"/>
              </w:rPr>
              <w:t>: Chronogram of main activities</w:t>
            </w:r>
          </w:p>
        </w:tc>
      </w:tr>
      <w:tr w:rsidR="007E3DFD" w:rsidRPr="00A34C82" w:rsidTr="00A34C82">
        <w:trPr>
          <w:trHeight w:val="70"/>
          <w:jc w:val="center"/>
        </w:trPr>
        <w:tc>
          <w:tcPr>
            <w:tcW w:w="2448" w:type="dxa"/>
            <w:tcBorders>
              <w:top w:val="single" w:sz="4" w:space="0" w:color="000000"/>
            </w:tcBorders>
            <w:shd w:val="clear" w:color="auto" w:fill="B8CCE4"/>
            <w:vAlign w:val="center"/>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Study/evaluation</w:t>
            </w:r>
          </w:p>
        </w:tc>
        <w:tc>
          <w:tcPr>
            <w:tcW w:w="1170" w:type="dxa"/>
            <w:tcBorders>
              <w:top w:val="single" w:sz="4" w:space="0" w:color="000000"/>
            </w:tcBorders>
            <w:shd w:val="clear" w:color="auto" w:fill="B8CCE4"/>
            <w:vAlign w:val="center"/>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Start date</w:t>
            </w:r>
          </w:p>
        </w:tc>
        <w:tc>
          <w:tcPr>
            <w:tcW w:w="1170" w:type="dxa"/>
            <w:tcBorders>
              <w:top w:val="single" w:sz="4" w:space="0" w:color="000000"/>
            </w:tcBorders>
            <w:shd w:val="clear" w:color="auto" w:fill="B8CCE4"/>
            <w:vAlign w:val="center"/>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End date</w:t>
            </w:r>
          </w:p>
        </w:tc>
        <w:tc>
          <w:tcPr>
            <w:tcW w:w="2070" w:type="dxa"/>
            <w:tcBorders>
              <w:top w:val="single" w:sz="4" w:space="0" w:color="000000"/>
            </w:tcBorders>
            <w:shd w:val="clear" w:color="auto" w:fill="B8CCE4"/>
            <w:vAlign w:val="center"/>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Responsible</w:t>
            </w:r>
          </w:p>
        </w:tc>
        <w:tc>
          <w:tcPr>
            <w:tcW w:w="1998" w:type="dxa"/>
            <w:tcBorders>
              <w:top w:val="single" w:sz="4" w:space="0" w:color="000000"/>
            </w:tcBorders>
            <w:shd w:val="clear" w:color="auto" w:fill="B8CCE4"/>
            <w:vAlign w:val="center"/>
          </w:tcPr>
          <w:p w:rsidR="007E3DFD" w:rsidRPr="00A34C82" w:rsidRDefault="007E3DFD" w:rsidP="00A34C82">
            <w:pPr>
              <w:spacing w:after="0"/>
              <w:jc w:val="center"/>
              <w:rPr>
                <w:rFonts w:eastAsia="Calibri"/>
                <w:b/>
                <w:spacing w:val="-2"/>
                <w:sz w:val="20"/>
                <w:szCs w:val="20"/>
              </w:rPr>
            </w:pPr>
            <w:r w:rsidRPr="00A34C82">
              <w:rPr>
                <w:rFonts w:eastAsia="Calibri"/>
                <w:b/>
                <w:spacing w:val="-2"/>
                <w:sz w:val="20"/>
                <w:szCs w:val="20"/>
              </w:rPr>
              <w:t>Comments</w:t>
            </w:r>
          </w:p>
        </w:tc>
      </w:tr>
      <w:tr w:rsidR="007E3DFD" w:rsidRPr="00A34C82" w:rsidTr="00A34C82">
        <w:trPr>
          <w:trHeight w:val="278"/>
          <w:jc w:val="center"/>
        </w:trPr>
        <w:tc>
          <w:tcPr>
            <w:tcW w:w="2448" w:type="dxa"/>
            <w:tcBorders>
              <w:bottom w:val="single" w:sz="4" w:space="0" w:color="000000"/>
            </w:tcBorders>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rPr>
              <w:t xml:space="preserve">Bilingual education models </w:t>
            </w:r>
          </w:p>
        </w:tc>
        <w:tc>
          <w:tcPr>
            <w:tcW w:w="1170" w:type="dxa"/>
            <w:tcBorders>
              <w:bottom w:val="single" w:sz="4" w:space="0" w:color="000000"/>
            </w:tcBorders>
          </w:tcPr>
          <w:p w:rsidR="007E3DFD" w:rsidRPr="00A34C82" w:rsidRDefault="007E3DFD" w:rsidP="00A34C82">
            <w:pPr>
              <w:spacing w:after="0"/>
              <w:jc w:val="center"/>
              <w:rPr>
                <w:rFonts w:eastAsia="Calibri"/>
                <w:spacing w:val="-2"/>
                <w:sz w:val="20"/>
                <w:szCs w:val="20"/>
                <w:lang w:val="pt-BR"/>
              </w:rPr>
            </w:pPr>
            <w:r w:rsidRPr="00A34C82">
              <w:rPr>
                <w:rFonts w:eastAsia="Calibri"/>
                <w:spacing w:val="-2"/>
                <w:sz w:val="20"/>
                <w:szCs w:val="20"/>
                <w:lang w:val="pt-BR"/>
              </w:rPr>
              <w:t>Dec 2012</w:t>
            </w:r>
          </w:p>
        </w:tc>
        <w:tc>
          <w:tcPr>
            <w:tcW w:w="1170" w:type="dxa"/>
            <w:tcBorders>
              <w:bottom w:val="single" w:sz="4" w:space="0" w:color="000000"/>
            </w:tcBorders>
          </w:tcPr>
          <w:p w:rsidR="007E3DFD" w:rsidRPr="00A34C82" w:rsidRDefault="007E3DFD" w:rsidP="00A34C82">
            <w:pPr>
              <w:spacing w:after="0"/>
              <w:jc w:val="center"/>
              <w:rPr>
                <w:rFonts w:eastAsia="Calibri"/>
                <w:spacing w:val="-2"/>
                <w:sz w:val="20"/>
                <w:szCs w:val="20"/>
                <w:lang w:val="pt-BR"/>
              </w:rPr>
            </w:pPr>
            <w:r w:rsidRPr="00A34C82">
              <w:rPr>
                <w:rFonts w:eastAsia="Calibri"/>
                <w:spacing w:val="-2"/>
                <w:sz w:val="20"/>
                <w:szCs w:val="20"/>
                <w:lang w:val="pt-BR"/>
              </w:rPr>
              <w:t>Aug 2014</w:t>
            </w:r>
          </w:p>
        </w:tc>
        <w:tc>
          <w:tcPr>
            <w:tcW w:w="2070" w:type="dxa"/>
            <w:tcBorders>
              <w:bottom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Bureau of interior MOECD/PMU</w:t>
            </w:r>
          </w:p>
        </w:tc>
        <w:tc>
          <w:tcPr>
            <w:tcW w:w="1998" w:type="dxa"/>
            <w:tcBorders>
              <w:bottom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890"/>
          <w:jc w:val="center"/>
        </w:trPr>
        <w:tc>
          <w:tcPr>
            <w:tcW w:w="2448" w:type="dxa"/>
            <w:tcBorders>
              <w:bottom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Pilot study for bilingual education</w:t>
            </w:r>
          </w:p>
        </w:tc>
        <w:tc>
          <w:tcPr>
            <w:tcW w:w="1170" w:type="dxa"/>
            <w:tcBorders>
              <w:bottom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Oct 2013</w:t>
            </w:r>
          </w:p>
        </w:tc>
        <w:tc>
          <w:tcPr>
            <w:tcW w:w="1170" w:type="dxa"/>
            <w:tcBorders>
              <w:bottom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Jun 2014</w:t>
            </w:r>
          </w:p>
        </w:tc>
        <w:tc>
          <w:tcPr>
            <w:tcW w:w="2070" w:type="dxa"/>
            <w:tcBorders>
              <w:bottom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PMU, Curriculum Dept, Bureau of interior, R&amp;P Dept.</w:t>
            </w:r>
          </w:p>
        </w:tc>
        <w:tc>
          <w:tcPr>
            <w:tcW w:w="1998" w:type="dxa"/>
            <w:tcBorders>
              <w:bottom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323"/>
          <w:jc w:val="center"/>
        </w:trPr>
        <w:tc>
          <w:tcPr>
            <w:tcW w:w="2448"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Pilot studies of curriculum (grades 3-4)</w:t>
            </w:r>
          </w:p>
        </w:tc>
        <w:tc>
          <w:tcPr>
            <w:tcW w:w="1170"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Oct 2013</w:t>
            </w:r>
          </w:p>
        </w:tc>
        <w:tc>
          <w:tcPr>
            <w:tcW w:w="1170"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Jun 2014</w:t>
            </w:r>
          </w:p>
        </w:tc>
        <w:tc>
          <w:tcPr>
            <w:tcW w:w="2070"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PMU, Curriculum Dept, R&amp;P Dept.</w:t>
            </w:r>
          </w:p>
        </w:tc>
        <w:tc>
          <w:tcPr>
            <w:tcW w:w="1998" w:type="dxa"/>
            <w:tcBorders>
              <w:top w:val="single" w:sz="4" w:space="0" w:color="000000"/>
              <w:left w:val="single" w:sz="4" w:space="0" w:color="000000"/>
              <w:bottom w:val="single" w:sz="4" w:space="0" w:color="000000"/>
              <w:right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48"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Pilot studies of curriculum (grades 5-6)</w:t>
            </w:r>
          </w:p>
        </w:tc>
        <w:tc>
          <w:tcPr>
            <w:tcW w:w="1170"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Oct 2014</w:t>
            </w:r>
          </w:p>
        </w:tc>
        <w:tc>
          <w:tcPr>
            <w:tcW w:w="1170"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Jun 2015</w:t>
            </w:r>
          </w:p>
        </w:tc>
        <w:tc>
          <w:tcPr>
            <w:tcW w:w="2070"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PMU, Curriculum Dept, R&amp;P Dept.</w:t>
            </w:r>
          </w:p>
        </w:tc>
        <w:tc>
          <w:tcPr>
            <w:tcW w:w="1998" w:type="dxa"/>
            <w:tcBorders>
              <w:top w:val="single" w:sz="4" w:space="0" w:color="000000"/>
              <w:left w:val="single" w:sz="4" w:space="0" w:color="000000"/>
              <w:bottom w:val="single" w:sz="4" w:space="0" w:color="000000"/>
              <w:right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48"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Pilot studies of curriculum (grades 7-8)</w:t>
            </w:r>
          </w:p>
        </w:tc>
        <w:tc>
          <w:tcPr>
            <w:tcW w:w="1170"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Oct 2015</w:t>
            </w:r>
          </w:p>
        </w:tc>
        <w:tc>
          <w:tcPr>
            <w:tcW w:w="1170"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Jun 2016</w:t>
            </w:r>
          </w:p>
        </w:tc>
        <w:tc>
          <w:tcPr>
            <w:tcW w:w="2070" w:type="dxa"/>
            <w:tcBorders>
              <w:top w:val="single" w:sz="4" w:space="0" w:color="000000"/>
              <w:left w:val="single" w:sz="4" w:space="0" w:color="000000"/>
              <w:bottom w:val="single" w:sz="4" w:space="0" w:color="000000"/>
              <w:right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PMU, Curriculum Dept, R&amp;P Dept.</w:t>
            </w:r>
          </w:p>
        </w:tc>
        <w:tc>
          <w:tcPr>
            <w:tcW w:w="1998" w:type="dxa"/>
            <w:tcBorders>
              <w:top w:val="single" w:sz="4" w:space="0" w:color="000000"/>
              <w:left w:val="single" w:sz="4" w:space="0" w:color="000000"/>
              <w:bottom w:val="single" w:sz="4" w:space="0" w:color="000000"/>
              <w:right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575"/>
          <w:jc w:val="center"/>
        </w:trPr>
        <w:tc>
          <w:tcPr>
            <w:tcW w:w="2448" w:type="dxa"/>
            <w:tcBorders>
              <w:top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Feasibility of construction in interior (environmental and social assessment)</w:t>
            </w:r>
          </w:p>
        </w:tc>
        <w:tc>
          <w:tcPr>
            <w:tcW w:w="1170" w:type="dxa"/>
            <w:tcBorders>
              <w:top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April</w:t>
            </w:r>
            <w:r w:rsidR="00EA7FA9" w:rsidRPr="00A34C82">
              <w:rPr>
                <w:rFonts w:eastAsia="Calibri"/>
                <w:spacing w:val="-2"/>
                <w:sz w:val="20"/>
                <w:szCs w:val="20"/>
              </w:rPr>
              <w:t xml:space="preserve"> </w:t>
            </w:r>
            <w:r w:rsidRPr="00A34C82">
              <w:rPr>
                <w:rFonts w:eastAsia="Calibri"/>
                <w:spacing w:val="-2"/>
                <w:sz w:val="20"/>
                <w:szCs w:val="20"/>
              </w:rPr>
              <w:t>2012</w:t>
            </w:r>
          </w:p>
        </w:tc>
        <w:tc>
          <w:tcPr>
            <w:tcW w:w="1170" w:type="dxa"/>
            <w:tcBorders>
              <w:top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Jun 2012</w:t>
            </w:r>
          </w:p>
        </w:tc>
        <w:tc>
          <w:tcPr>
            <w:tcW w:w="2070" w:type="dxa"/>
            <w:tcBorders>
              <w:top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MOECD/PMU, Bureau of interior</w:t>
            </w:r>
          </w:p>
        </w:tc>
        <w:tc>
          <w:tcPr>
            <w:tcW w:w="1998" w:type="dxa"/>
            <w:tcBorders>
              <w:top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48" w:type="dxa"/>
            <w:tcBorders>
              <w:top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New school construction</w:t>
            </w:r>
          </w:p>
        </w:tc>
        <w:tc>
          <w:tcPr>
            <w:tcW w:w="1170" w:type="dxa"/>
            <w:tcBorders>
              <w:top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June 2012</w:t>
            </w:r>
          </w:p>
        </w:tc>
        <w:tc>
          <w:tcPr>
            <w:tcW w:w="1170" w:type="dxa"/>
            <w:tcBorders>
              <w:top w:val="single" w:sz="4" w:space="0" w:color="000000"/>
            </w:tcBorders>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June 2015</w:t>
            </w:r>
          </w:p>
        </w:tc>
        <w:tc>
          <w:tcPr>
            <w:tcW w:w="2070" w:type="dxa"/>
            <w:tcBorders>
              <w:top w:val="single" w:sz="4" w:space="0" w:color="000000"/>
            </w:tcBorders>
          </w:tcPr>
          <w:p w:rsidR="007E3DFD" w:rsidRPr="00A34C82" w:rsidRDefault="007E3DFD" w:rsidP="00A34C82">
            <w:pPr>
              <w:spacing w:after="0"/>
              <w:rPr>
                <w:rFonts w:eastAsia="Calibri"/>
                <w:spacing w:val="-2"/>
                <w:sz w:val="20"/>
                <w:szCs w:val="20"/>
              </w:rPr>
            </w:pPr>
            <w:r w:rsidRPr="00A34C82">
              <w:rPr>
                <w:rFonts w:eastAsia="Calibri"/>
                <w:spacing w:val="-2"/>
                <w:sz w:val="20"/>
                <w:szCs w:val="20"/>
              </w:rPr>
              <w:t>MOECD/PMU, Bureau of interior</w:t>
            </w:r>
          </w:p>
        </w:tc>
        <w:tc>
          <w:tcPr>
            <w:tcW w:w="1998" w:type="dxa"/>
            <w:tcBorders>
              <w:top w:val="single" w:sz="4" w:space="0" w:color="000000"/>
            </w:tcBorders>
            <w:vAlign w:val="center"/>
          </w:tcPr>
          <w:p w:rsidR="007E3DFD" w:rsidRPr="00A34C82" w:rsidRDefault="007E3DFD" w:rsidP="00A34C82">
            <w:pPr>
              <w:spacing w:after="0"/>
              <w:rPr>
                <w:rFonts w:eastAsia="Calibri"/>
                <w:spacing w:val="-2"/>
                <w:sz w:val="20"/>
                <w:szCs w:val="20"/>
              </w:rPr>
            </w:pPr>
          </w:p>
        </w:tc>
      </w:tr>
      <w:tr w:rsidR="007E3DFD" w:rsidRPr="00070541" w:rsidTr="00A34C82">
        <w:trPr>
          <w:trHeight w:val="70"/>
          <w:jc w:val="center"/>
        </w:trPr>
        <w:tc>
          <w:tcPr>
            <w:tcW w:w="2448"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Assessment of ICT options for the interior</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Dec 2012</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Aug 2014</w:t>
            </w:r>
          </w:p>
        </w:tc>
        <w:tc>
          <w:tcPr>
            <w:tcW w:w="2070" w:type="dxa"/>
          </w:tcPr>
          <w:p w:rsidR="007E3DFD" w:rsidRPr="00A34C82" w:rsidRDefault="007E3DFD" w:rsidP="00A34C82">
            <w:pPr>
              <w:spacing w:after="0"/>
              <w:rPr>
                <w:rFonts w:eastAsia="Calibri"/>
                <w:spacing w:val="-2"/>
                <w:sz w:val="20"/>
                <w:szCs w:val="20"/>
                <w:lang w:val="pt-BR"/>
              </w:rPr>
            </w:pPr>
            <w:r w:rsidRPr="00A34C82">
              <w:rPr>
                <w:rFonts w:eastAsia="Calibri"/>
                <w:spacing w:val="-2"/>
                <w:sz w:val="20"/>
                <w:szCs w:val="20"/>
                <w:lang w:val="pt-BR"/>
              </w:rPr>
              <w:t>MOECD/PMU, R&amp;P Dept.</w:t>
            </w:r>
          </w:p>
        </w:tc>
        <w:tc>
          <w:tcPr>
            <w:tcW w:w="1998" w:type="dxa"/>
            <w:vAlign w:val="center"/>
          </w:tcPr>
          <w:p w:rsidR="007E3DFD" w:rsidRPr="00A34C82" w:rsidRDefault="007E3DFD" w:rsidP="00A34C82">
            <w:pPr>
              <w:spacing w:after="0"/>
              <w:rPr>
                <w:rFonts w:eastAsia="Calibri"/>
                <w:spacing w:val="-2"/>
                <w:sz w:val="20"/>
                <w:szCs w:val="20"/>
                <w:lang w:val="pt-BR"/>
              </w:rPr>
            </w:pPr>
          </w:p>
        </w:tc>
      </w:tr>
      <w:tr w:rsidR="007E3DFD" w:rsidRPr="00A34C82" w:rsidTr="00A34C82">
        <w:trPr>
          <w:trHeight w:val="70"/>
          <w:jc w:val="center"/>
        </w:trPr>
        <w:tc>
          <w:tcPr>
            <w:tcW w:w="2448"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Assessment of junior secondary education</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Dec 2013</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Mar 2013</w:t>
            </w:r>
          </w:p>
        </w:tc>
        <w:tc>
          <w:tcPr>
            <w:tcW w:w="2070"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R&amp;P Dept.</w:t>
            </w:r>
          </w:p>
        </w:tc>
        <w:tc>
          <w:tcPr>
            <w:tcW w:w="1998" w:type="dxa"/>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48"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EMIS implementation, expansion</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Feb 2013</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May 2014</w:t>
            </w:r>
          </w:p>
        </w:tc>
        <w:tc>
          <w:tcPr>
            <w:tcW w:w="2070"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PMU, R&amp;P Dept.</w:t>
            </w:r>
          </w:p>
        </w:tc>
        <w:tc>
          <w:tcPr>
            <w:tcW w:w="1998" w:type="dxa"/>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48"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Capacity development of MOECD staff</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Dec 2012</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Feb 2016</w:t>
            </w:r>
          </w:p>
        </w:tc>
        <w:tc>
          <w:tcPr>
            <w:tcW w:w="2070"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PMU, MOECD Departments</w:t>
            </w:r>
          </w:p>
        </w:tc>
        <w:tc>
          <w:tcPr>
            <w:tcW w:w="1998" w:type="dxa"/>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48"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 xml:space="preserve">Mid-term evaluation </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Mar 2014</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Oct 2014</w:t>
            </w:r>
          </w:p>
        </w:tc>
        <w:tc>
          <w:tcPr>
            <w:tcW w:w="2070"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R&amp;P Dept.</w:t>
            </w:r>
          </w:p>
        </w:tc>
        <w:tc>
          <w:tcPr>
            <w:tcW w:w="1998" w:type="dxa"/>
            <w:vAlign w:val="center"/>
          </w:tcPr>
          <w:p w:rsidR="007E3DFD" w:rsidRPr="00A34C82" w:rsidRDefault="007E3DFD" w:rsidP="00A34C82">
            <w:pPr>
              <w:spacing w:after="0"/>
              <w:rPr>
                <w:rFonts w:eastAsia="Calibri"/>
                <w:spacing w:val="-2"/>
                <w:sz w:val="20"/>
                <w:szCs w:val="20"/>
              </w:rPr>
            </w:pPr>
          </w:p>
        </w:tc>
      </w:tr>
      <w:tr w:rsidR="007E3DFD" w:rsidRPr="00A34C82" w:rsidTr="00A34C82">
        <w:trPr>
          <w:trHeight w:val="70"/>
          <w:jc w:val="center"/>
        </w:trPr>
        <w:tc>
          <w:tcPr>
            <w:tcW w:w="2448"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Final evaluation Phase I</w:t>
            </w:r>
          </w:p>
        </w:tc>
        <w:tc>
          <w:tcPr>
            <w:tcW w:w="1170" w:type="dxa"/>
          </w:tcPr>
          <w:p w:rsidR="007E3DFD" w:rsidRPr="00A34C82" w:rsidRDefault="007E3DFD" w:rsidP="00A34C82">
            <w:pPr>
              <w:spacing w:after="0"/>
              <w:jc w:val="center"/>
              <w:rPr>
                <w:rFonts w:eastAsia="Calibri"/>
                <w:spacing w:val="-2"/>
                <w:sz w:val="20"/>
                <w:szCs w:val="20"/>
              </w:rPr>
            </w:pPr>
            <w:r w:rsidRPr="00A34C82">
              <w:rPr>
                <w:rFonts w:eastAsia="Calibri"/>
                <w:spacing w:val="-2"/>
                <w:sz w:val="20"/>
                <w:szCs w:val="20"/>
              </w:rPr>
              <w:t>Sep 2015</w:t>
            </w:r>
          </w:p>
        </w:tc>
        <w:tc>
          <w:tcPr>
            <w:tcW w:w="1170"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May</w:t>
            </w:r>
            <w:r w:rsidR="00EA7FA9" w:rsidRPr="00A34C82">
              <w:rPr>
                <w:rFonts w:eastAsia="Calibri"/>
                <w:spacing w:val="-2"/>
                <w:sz w:val="20"/>
                <w:szCs w:val="20"/>
              </w:rPr>
              <w:t xml:space="preserve"> </w:t>
            </w:r>
            <w:r w:rsidRPr="00A34C82">
              <w:rPr>
                <w:rFonts w:eastAsia="Calibri"/>
                <w:spacing w:val="-2"/>
                <w:sz w:val="20"/>
                <w:szCs w:val="20"/>
              </w:rPr>
              <w:t>2016</w:t>
            </w:r>
          </w:p>
        </w:tc>
        <w:tc>
          <w:tcPr>
            <w:tcW w:w="2070" w:type="dxa"/>
          </w:tcPr>
          <w:p w:rsidR="007E3DFD" w:rsidRPr="00A34C82" w:rsidRDefault="007E3DFD" w:rsidP="00A34C82">
            <w:pPr>
              <w:spacing w:after="0"/>
              <w:rPr>
                <w:rFonts w:eastAsia="Calibri"/>
                <w:spacing w:val="-2"/>
                <w:sz w:val="20"/>
                <w:szCs w:val="20"/>
              </w:rPr>
            </w:pPr>
            <w:r w:rsidRPr="00A34C82">
              <w:rPr>
                <w:rFonts w:eastAsia="Calibri"/>
                <w:spacing w:val="-2"/>
                <w:sz w:val="20"/>
                <w:szCs w:val="20"/>
              </w:rPr>
              <w:t>R&amp;P Dept.</w:t>
            </w:r>
          </w:p>
        </w:tc>
        <w:tc>
          <w:tcPr>
            <w:tcW w:w="1998" w:type="dxa"/>
            <w:vAlign w:val="center"/>
          </w:tcPr>
          <w:p w:rsidR="007E3DFD" w:rsidRPr="00A34C82" w:rsidRDefault="007E3DFD" w:rsidP="00A34C82">
            <w:pPr>
              <w:spacing w:after="0"/>
              <w:rPr>
                <w:rFonts w:eastAsia="Calibri"/>
                <w:spacing w:val="-2"/>
                <w:sz w:val="20"/>
                <w:szCs w:val="20"/>
              </w:rPr>
            </w:pPr>
          </w:p>
        </w:tc>
      </w:tr>
    </w:tbl>
    <w:p w:rsidR="007E3DFD" w:rsidRPr="00836713" w:rsidRDefault="007E3DFD" w:rsidP="009B10BC">
      <w:pPr>
        <w:spacing w:before="120" w:after="120"/>
        <w:jc w:val="both"/>
        <w:rPr>
          <w:spacing w:val="-2"/>
        </w:rPr>
      </w:pPr>
    </w:p>
    <w:p w:rsidR="00630DA5" w:rsidRPr="00836713" w:rsidRDefault="007E3DFD" w:rsidP="009B10BC">
      <w:pPr>
        <w:spacing w:after="0"/>
        <w:jc w:val="both"/>
        <w:rPr>
          <w:szCs w:val="24"/>
        </w:rPr>
      </w:pPr>
      <w:r w:rsidRPr="00836713">
        <w:rPr>
          <w:spacing w:val="-2"/>
        </w:rPr>
        <w:br w:type="page"/>
      </w:r>
    </w:p>
    <w:p w:rsidR="00630DA5" w:rsidRPr="00A34C82" w:rsidRDefault="00D66B19" w:rsidP="00ED14FD">
      <w:pPr>
        <w:numPr>
          <w:ilvl w:val="0"/>
          <w:numId w:val="2"/>
        </w:numPr>
        <w:spacing w:before="240" w:after="240"/>
        <w:ind w:left="720"/>
        <w:jc w:val="center"/>
        <w:rPr>
          <w:rFonts w:ascii="Times New Roman Bold" w:hAnsi="Times New Roman Bold"/>
          <w:b/>
          <w:smallCaps/>
          <w:szCs w:val="24"/>
        </w:rPr>
      </w:pPr>
      <w:r w:rsidRPr="00A34C82">
        <w:rPr>
          <w:rFonts w:ascii="Times New Roman Bold" w:hAnsi="Times New Roman Bold"/>
          <w:b/>
          <w:smallCaps/>
          <w:szCs w:val="24"/>
        </w:rPr>
        <w:lastRenderedPageBreak/>
        <w:t xml:space="preserve">Monitoring and </w:t>
      </w:r>
      <w:r w:rsidR="00630DA5" w:rsidRPr="00A34C82">
        <w:rPr>
          <w:rFonts w:ascii="Times New Roman Bold" w:hAnsi="Times New Roman Bold"/>
          <w:b/>
          <w:smallCaps/>
          <w:szCs w:val="24"/>
        </w:rPr>
        <w:t xml:space="preserve">Evaluation </w:t>
      </w:r>
      <w:r w:rsidRPr="00A34C82">
        <w:rPr>
          <w:rFonts w:ascii="Times New Roman Bold" w:hAnsi="Times New Roman Bold"/>
          <w:b/>
          <w:smallCaps/>
          <w:szCs w:val="24"/>
        </w:rPr>
        <w:t>Arrangements</w:t>
      </w:r>
    </w:p>
    <w:p w:rsidR="00DD78C0" w:rsidRPr="00836713" w:rsidRDefault="00A34C82" w:rsidP="00A34C82">
      <w:pPr>
        <w:pStyle w:val="Paragraph"/>
        <w:numPr>
          <w:ilvl w:val="0"/>
          <w:numId w:val="0"/>
        </w:numPr>
        <w:ind w:left="720" w:hanging="720"/>
      </w:pPr>
      <w:r>
        <w:t>5.1</w:t>
      </w:r>
      <w:r>
        <w:tab/>
      </w:r>
      <w:r w:rsidR="00DD78C0" w:rsidRPr="00836713">
        <w:t>The program monitoring and evaluation system will be based on the program’s Results Framework and include the involvement of MOECD and PMU staff. In order to strengthen MOECD’s ability to monitor and evaluate education initiatives, the program will: (i) establish an M&amp;E Unit within the MOECD R&amp;P Department; (ii) develop an M&amp;E manual for the program; (iii) train MOECD and PMU staff in using the manual; (iv) develop a reporting, monitoring and communication mechanism;</w:t>
      </w:r>
      <w:r w:rsidR="00DD78C0" w:rsidRPr="00836713">
        <w:rPr>
          <w:rStyle w:val="FootnoteReference"/>
        </w:rPr>
        <w:footnoteReference w:id="7"/>
      </w:r>
      <w:r w:rsidR="00DD78C0" w:rsidRPr="00836713">
        <w:t xml:space="preserve"> (v) integrate M&amp;E functions into MOECD departments directly responsible for the delivery of the education program; and (vi) develop annual work plans and progress reports for all Heads of Departments involved in the program and the Planning Section of MOECD. In Phase II, M&amp;E functions will be expanded to the remaining MOECD departments. </w:t>
      </w:r>
    </w:p>
    <w:p w:rsidR="00DD78C0" w:rsidRPr="00836713" w:rsidRDefault="00A34C82" w:rsidP="00A34C82">
      <w:pPr>
        <w:pStyle w:val="Paragraph"/>
        <w:numPr>
          <w:ilvl w:val="0"/>
          <w:numId w:val="0"/>
        </w:numPr>
        <w:ind w:left="720" w:hanging="720"/>
      </w:pPr>
      <w:r>
        <w:t>5.2</w:t>
      </w:r>
      <w:r>
        <w:tab/>
      </w:r>
      <w:r w:rsidR="00DD78C0" w:rsidRPr="00836713">
        <w:t>The PMU will be responsible for monitoring, evaluation and reporting. Specific tasks include: (i) preparing semi-annual progress reports documenting project outputs and outcomes; (ii) preparing and administering the program budget; (iii) documenting bidding and contract administration processes; (iv) in collabo</w:t>
      </w:r>
      <w:r w:rsidR="00157B13">
        <w:t>ration with the R&amp;P Department, </w:t>
      </w:r>
      <w:r w:rsidR="00DD78C0" w:rsidRPr="00836713">
        <w:t>monitoring program indicators and performance targets and analyzing data collected;</w:t>
      </w:r>
      <w:r w:rsidR="00157B13">
        <w:t> </w:t>
      </w:r>
      <w:r w:rsidR="00DD78C0" w:rsidRPr="00836713">
        <w:t xml:space="preserve">(v) monitoring budgetary allocations; and (vi) regularly updating the Ministers of Education and Finance. </w:t>
      </w:r>
    </w:p>
    <w:p w:rsidR="00B5561C" w:rsidRDefault="00A34C82" w:rsidP="00A34C82">
      <w:pPr>
        <w:pStyle w:val="Paragraph"/>
        <w:numPr>
          <w:ilvl w:val="0"/>
          <w:numId w:val="0"/>
        </w:numPr>
        <w:ind w:left="720" w:hanging="720"/>
      </w:pPr>
      <w:r>
        <w:t>5.3</w:t>
      </w:r>
      <w:r>
        <w:tab/>
      </w:r>
      <w:r w:rsidR="00DD78C0" w:rsidRPr="00836713">
        <w:t>The R&amp;P Department will be directly involved in the monitoring and evaluation of the program from its inception. While the PMU ultimately is responsible for the M&amp;E and reporting of the program, the R&amp;P Department will be responsible for supporting the PMU in the process. Such support may include: (i) developing M&amp;E instruments for the program; (ii) conducting monitoring visits; (iii) collecting and analyzing data related to program indicators; and (iv) assisting in evaluation of program initiatives. Specific roles of the PMU and R&amp;P Department will be clarified in the Operational Manual.</w:t>
      </w:r>
    </w:p>
    <w:p w:rsidR="00B5561C" w:rsidRDefault="00EA7FA9" w:rsidP="009B10BC">
      <w:pPr>
        <w:pStyle w:val="Paragraph"/>
        <w:numPr>
          <w:ilvl w:val="0"/>
          <w:numId w:val="0"/>
        </w:numPr>
        <w:sectPr w:rsidR="00B5561C" w:rsidSect="00B5561C">
          <w:type w:val="continuous"/>
          <w:pgSz w:w="12240" w:h="15840"/>
          <w:pgMar w:top="1440" w:right="1440" w:bottom="1440" w:left="1440" w:header="720" w:footer="720" w:gutter="0"/>
          <w:cols w:space="720"/>
          <w:docGrid w:linePitch="360"/>
        </w:sectPr>
      </w:pPr>
      <w:r>
        <w:t xml:space="preserve"> </w:t>
      </w:r>
    </w:p>
    <w:p w:rsidR="009364BD" w:rsidRPr="00836713" w:rsidRDefault="001C4713" w:rsidP="009B10BC">
      <w:pPr>
        <w:ind w:firstLine="720"/>
        <w:jc w:val="center"/>
        <w:rPr>
          <w:b/>
        </w:rPr>
      </w:pPr>
      <w:r w:rsidRPr="00836713">
        <w:rPr>
          <w:b/>
        </w:rPr>
        <w:lastRenderedPageBreak/>
        <w:t xml:space="preserve">FIGURE 1: </w:t>
      </w:r>
      <w:r w:rsidR="009364BD" w:rsidRPr="00836713">
        <w:rPr>
          <w:b/>
        </w:rPr>
        <w:t>Reporting, Monitoring and Communicating Mechanism</w:t>
      </w:r>
    </w:p>
    <w:p w:rsidR="009364BD" w:rsidRPr="00836713" w:rsidRDefault="00131815" w:rsidP="009B10BC">
      <w:pPr>
        <w:ind w:firstLine="720"/>
        <w:rPr>
          <w:b/>
        </w:rPr>
      </w:pPr>
      <w:r>
        <w:rPr>
          <w:noProof/>
        </w:rPr>
        <w:pict>
          <v:rect id="_x0000_s1027" style="position:absolute;left:0;text-align:left;margin-left:9pt;margin-top:7.8pt;width:483.5pt;height:74.15pt;z-index:251661312" fillcolor="#ff9">
            <v:textbox style="mso-next-textbox:#_x0000_s1027">
              <w:txbxContent>
                <w:p w:rsidR="00CD158A" w:rsidRPr="00405D06" w:rsidRDefault="00CD158A" w:rsidP="00CF137D">
                  <w:pPr>
                    <w:spacing w:after="0"/>
                    <w:jc w:val="center"/>
                    <w:rPr>
                      <w:b/>
                      <w:sz w:val="18"/>
                      <w:szCs w:val="18"/>
                    </w:rPr>
                  </w:pPr>
                  <w:r w:rsidRPr="00405D06">
                    <w:rPr>
                      <w:b/>
                      <w:sz w:val="18"/>
                      <w:szCs w:val="18"/>
                    </w:rPr>
                    <w:t>Semi-Annual Program Planning Meeting</w:t>
                  </w:r>
                </w:p>
                <w:p w:rsidR="00CD158A" w:rsidRPr="00CF137D" w:rsidRDefault="00CD158A" w:rsidP="00CF137D">
                  <w:pPr>
                    <w:spacing w:after="0"/>
                    <w:rPr>
                      <w:sz w:val="20"/>
                      <w:szCs w:val="20"/>
                    </w:rPr>
                  </w:pPr>
                  <w:r w:rsidRPr="00CF137D">
                    <w:rPr>
                      <w:b/>
                      <w:sz w:val="20"/>
                      <w:szCs w:val="20"/>
                    </w:rPr>
                    <w:t>In attendance:</w:t>
                  </w:r>
                  <w:r w:rsidRPr="00CF137D">
                    <w:rPr>
                      <w:sz w:val="20"/>
                      <w:szCs w:val="20"/>
                    </w:rPr>
                    <w:t xml:space="preserve">  Project Manager (Chair); Sub-Component Leaders (SCL); Consultant and MOECD Technical Coordinator.</w:t>
                  </w:r>
                </w:p>
                <w:p w:rsidR="00CD158A" w:rsidRPr="00CF137D" w:rsidRDefault="00CD158A" w:rsidP="00CF137D">
                  <w:pPr>
                    <w:spacing w:after="0"/>
                    <w:rPr>
                      <w:sz w:val="20"/>
                      <w:szCs w:val="20"/>
                    </w:rPr>
                  </w:pPr>
                  <w:r w:rsidRPr="00CF137D">
                    <w:rPr>
                      <w:b/>
                      <w:sz w:val="20"/>
                      <w:szCs w:val="20"/>
                    </w:rPr>
                    <w:t>Purpose:</w:t>
                  </w:r>
                  <w:r w:rsidRPr="00CF137D">
                    <w:rPr>
                      <w:sz w:val="20"/>
                      <w:szCs w:val="20"/>
                    </w:rPr>
                    <w:t xml:space="preserve">  To (i) discuss and establish annual work plans for the program; (ii) discuss the development of ongoing work plans; and (iii) share completed work plans for each component and sub-component and / or adopt strategies to address bottlenecks.  </w:t>
                  </w:r>
                </w:p>
                <w:p w:rsidR="00CD158A" w:rsidRDefault="00CD158A" w:rsidP="009364BD"/>
              </w:txbxContent>
            </v:textbox>
          </v:rect>
        </w:pict>
      </w:r>
    </w:p>
    <w:p w:rsidR="009364BD" w:rsidRPr="00836713" w:rsidRDefault="009364BD" w:rsidP="009B10BC">
      <w:pPr>
        <w:jc w:val="center"/>
        <w:rPr>
          <w:b/>
        </w:rPr>
      </w:pPr>
    </w:p>
    <w:p w:rsidR="009364BD" w:rsidRPr="00836713" w:rsidRDefault="009364BD" w:rsidP="009B10BC">
      <w:pPr>
        <w:jc w:val="center"/>
      </w:pPr>
    </w:p>
    <w:p w:rsidR="009364BD" w:rsidRPr="00836713" w:rsidRDefault="00131815" w:rsidP="009B10BC">
      <w:pPr>
        <w:tabs>
          <w:tab w:val="left" w:pos="2340"/>
        </w:tabs>
        <w:jc w:val="center"/>
      </w:pPr>
      <w:r>
        <w:rPr>
          <w:noProof/>
        </w:rPr>
        <w:pict>
          <v:line id="_x0000_s1059" style="position:absolute;left:0;text-align:left;flip:x y;z-index:251676672" from="318.35pt,7.35pt" to="336.35pt,25.35pt"/>
        </w:pict>
      </w:r>
      <w:r>
        <w:rPr>
          <w:noProof/>
        </w:rPr>
        <w:pict>
          <v:line id="_x0000_s1031" style="position:absolute;left:0;text-align:left;z-index:251665408" from="204.45pt,10.55pt" to="204.45pt,37.55pt">
            <v:stroke endarrow="block"/>
          </v:line>
        </w:pict>
      </w:r>
    </w:p>
    <w:p w:rsidR="009364BD" w:rsidRPr="00836713" w:rsidRDefault="00131815" w:rsidP="009B10BC">
      <w:pPr>
        <w:ind w:left="2160" w:firstLine="720"/>
      </w:pPr>
      <w:r>
        <w:rPr>
          <w:noProof/>
        </w:rPr>
        <w:pict>
          <v:line id="_x0000_s1032" style="position:absolute;left:0;text-align:left;z-index:251666432" from="342pt,12.45pt" to="414pt,169pt">
            <v:stroke endarrow="block"/>
          </v:line>
        </w:pict>
      </w:r>
      <w:r>
        <w:rPr>
          <w:noProof/>
        </w:rPr>
        <w:pict>
          <v:rect id="_x0000_s1028" style="position:absolute;left:0;text-align:left;margin-left:78.35pt;margin-top:12.45pt;width:240pt;height:113.1pt;z-index:251662336" fillcolor="#cfc">
            <v:textbox style="mso-next-textbox:#_x0000_s1028">
              <w:txbxContent>
                <w:p w:rsidR="00CD158A" w:rsidRPr="00CF137D" w:rsidRDefault="00CD158A" w:rsidP="009364BD">
                  <w:pPr>
                    <w:jc w:val="center"/>
                    <w:rPr>
                      <w:b/>
                      <w:sz w:val="20"/>
                      <w:szCs w:val="20"/>
                    </w:rPr>
                  </w:pPr>
                  <w:r w:rsidRPr="00CF137D">
                    <w:rPr>
                      <w:b/>
                      <w:sz w:val="20"/>
                      <w:szCs w:val="20"/>
                    </w:rPr>
                    <w:t>Monthly Sub-Component Meetings</w:t>
                  </w:r>
                </w:p>
                <w:p w:rsidR="00CD158A" w:rsidRPr="00CF137D" w:rsidRDefault="00CD158A" w:rsidP="009364BD">
                  <w:pPr>
                    <w:rPr>
                      <w:sz w:val="20"/>
                      <w:szCs w:val="20"/>
                    </w:rPr>
                  </w:pPr>
                  <w:r w:rsidRPr="00CF137D">
                    <w:rPr>
                      <w:b/>
                      <w:sz w:val="20"/>
                      <w:szCs w:val="20"/>
                    </w:rPr>
                    <w:t>In attendance:</w:t>
                  </w:r>
                  <w:r w:rsidRPr="00CF137D">
                    <w:rPr>
                      <w:sz w:val="20"/>
                      <w:szCs w:val="20"/>
                    </w:rPr>
                    <w:t xml:space="preserve"> MOECD Technical Coordinator (Chair); SCL; MOECD Technical Officers; and PIU Consultant</w:t>
                  </w:r>
                </w:p>
                <w:p w:rsidR="00CD158A" w:rsidRPr="00CF137D" w:rsidRDefault="00CD158A" w:rsidP="009364BD">
                  <w:pPr>
                    <w:rPr>
                      <w:sz w:val="20"/>
                      <w:szCs w:val="20"/>
                    </w:rPr>
                  </w:pPr>
                  <w:r w:rsidRPr="00CF137D">
                    <w:rPr>
                      <w:b/>
                      <w:sz w:val="20"/>
                      <w:szCs w:val="20"/>
                    </w:rPr>
                    <w:t>Purpose:</w:t>
                  </w:r>
                  <w:r w:rsidRPr="00CF137D">
                    <w:rPr>
                      <w:sz w:val="20"/>
                      <w:szCs w:val="20"/>
                    </w:rPr>
                    <w:t xml:space="preserve">  To review implementation, propose follow-up action and develop monthly implementation plans for the sub-component.</w:t>
                  </w:r>
                </w:p>
                <w:p w:rsidR="00CD158A" w:rsidRPr="00DE72A3" w:rsidRDefault="00CD158A" w:rsidP="009364BD"/>
              </w:txbxContent>
            </v:textbox>
          </v:rect>
        </w:pict>
      </w:r>
      <w:r w:rsidR="00EA7FA9">
        <w:rPr>
          <w:b/>
          <w:sz w:val="16"/>
          <w:szCs w:val="16"/>
        </w:rPr>
        <w:t xml:space="preserve"> </w:t>
      </w:r>
      <w:r w:rsidR="00CF137D" w:rsidRPr="00836713">
        <w:rPr>
          <w:b/>
          <w:sz w:val="16"/>
          <w:szCs w:val="16"/>
        </w:rPr>
        <w:t xml:space="preserve">         </w:t>
      </w:r>
      <w:r w:rsidR="009364BD" w:rsidRPr="00836713">
        <w:rPr>
          <w:b/>
          <w:sz w:val="16"/>
          <w:szCs w:val="16"/>
        </w:rPr>
        <w:t xml:space="preserve">Direction  </w:t>
      </w:r>
      <w:r w:rsidR="009364BD" w:rsidRPr="00836713">
        <w:rPr>
          <w:b/>
          <w:sz w:val="16"/>
          <w:szCs w:val="16"/>
        </w:rPr>
        <w:tab/>
      </w:r>
      <w:r w:rsidR="009364BD" w:rsidRPr="00836713">
        <w:rPr>
          <w:b/>
          <w:sz w:val="16"/>
          <w:szCs w:val="16"/>
        </w:rPr>
        <w:tab/>
      </w:r>
      <w:r w:rsidR="009364BD" w:rsidRPr="00836713">
        <w:rPr>
          <w:b/>
          <w:sz w:val="16"/>
          <w:szCs w:val="16"/>
        </w:rPr>
        <w:tab/>
      </w:r>
      <w:r w:rsidR="009364BD" w:rsidRPr="00836713">
        <w:rPr>
          <w:b/>
          <w:sz w:val="16"/>
          <w:szCs w:val="16"/>
        </w:rPr>
        <w:tab/>
        <w:t>Outcomes</w:t>
      </w:r>
    </w:p>
    <w:p w:rsidR="009364BD" w:rsidRPr="00836713" w:rsidRDefault="009364BD" w:rsidP="009B10BC">
      <w:pPr>
        <w:ind w:left="2160" w:firstLine="720"/>
      </w:pPr>
      <w:r w:rsidRPr="00836713">
        <w:t xml:space="preserve">      </w:t>
      </w:r>
    </w:p>
    <w:p w:rsidR="009364BD" w:rsidRPr="00836713" w:rsidRDefault="009364BD" w:rsidP="009B10BC">
      <w:pPr>
        <w:ind w:left="2160" w:firstLine="720"/>
        <w:rPr>
          <w:b/>
          <w:sz w:val="16"/>
          <w:szCs w:val="16"/>
        </w:rPr>
      </w:pPr>
      <w:r w:rsidRPr="00836713">
        <w:rPr>
          <w:b/>
          <w:sz w:val="16"/>
          <w:szCs w:val="16"/>
        </w:rPr>
        <w:t xml:space="preserve">             </w:t>
      </w:r>
      <w:r w:rsidRPr="00836713">
        <w:rPr>
          <w:b/>
          <w:sz w:val="16"/>
          <w:szCs w:val="16"/>
        </w:rPr>
        <w:tab/>
      </w:r>
      <w:r w:rsidRPr="00836713">
        <w:rPr>
          <w:b/>
          <w:sz w:val="16"/>
          <w:szCs w:val="16"/>
        </w:rPr>
        <w:tab/>
      </w:r>
      <w:r w:rsidRPr="00836713">
        <w:rPr>
          <w:b/>
          <w:sz w:val="16"/>
          <w:szCs w:val="16"/>
        </w:rPr>
        <w:tab/>
      </w:r>
      <w:r w:rsidRPr="00836713">
        <w:rPr>
          <w:b/>
          <w:sz w:val="16"/>
          <w:szCs w:val="16"/>
        </w:rPr>
        <w:tab/>
        <w:t xml:space="preserve">         </w:t>
      </w:r>
    </w:p>
    <w:p w:rsidR="009364BD" w:rsidRPr="00836713" w:rsidRDefault="009364BD" w:rsidP="009B10BC">
      <w:pPr>
        <w:jc w:val="center"/>
      </w:pPr>
    </w:p>
    <w:p w:rsidR="00CF137D" w:rsidRPr="00836713" w:rsidRDefault="00131815" w:rsidP="009B10BC">
      <w:pPr>
        <w:jc w:val="center"/>
      </w:pPr>
      <w:r>
        <w:rPr>
          <w:noProof/>
        </w:rPr>
        <w:pict>
          <v:group id="_x0000_s1034" style="position:absolute;left:0;text-align:left;margin-left:44.35pt;margin-top:-.25pt;width:27pt;height:118.2pt;z-index:251668480" coordorigin="2196,6464" coordsize="540,2364">
            <v:line id="_x0000_s1035" style="position:absolute;flip:x" from="2196,8804" to="2736,8804">
              <v:stroke endarrow="block"/>
            </v:line>
            <v:line id="_x0000_s1036" style="position:absolute" from="2196,6464" to="2736,6464">
              <v:stroke endarrow="block"/>
            </v:line>
            <v:line id="_x0000_s1037" style="position:absolute" from="2196,6464" to="2196,7196"/>
            <v:line id="_x0000_s1038" style="position:absolute" from="2196,7556" to="2196,8828"/>
          </v:group>
        </w:pict>
      </w:r>
      <w:r>
        <w:rPr>
          <w:noProof/>
        </w:rPr>
        <w:pict>
          <v:group id="_x0000_s1049" style="position:absolute;left:0;text-align:left;margin-left:306pt;margin-top:9.8pt;width:63pt;height:117pt;z-index:251671552" coordorigin="7416,4608" coordsize="1260,2340">
            <v:line id="_x0000_s1050" style="position:absolute;flip:x" from="7416,6948" to="7956,6948">
              <v:stroke endarrow="block"/>
            </v:line>
            <v:shape id="_x0000_s1051" style="position:absolute;left:7416;top:4608;width:540;height:1;mso-position-horizontal:absolute;mso-position-vertical:absolute" coordsize="540,1" path="m,c90,,428,,540,e" filled="f">
              <v:stroke endarrow="block"/>
              <v:path arrowok="t"/>
            </v:shape>
            <v:line id="_x0000_s1052" style="position:absolute" from="7956,4608" to="7956,5340"/>
            <v:line id="_x0000_s1053" style="position:absolute" from="7956,5700" to="7956,6948"/>
            <v:line id="_x0000_s1054" style="position:absolute" from="8136,5700" to="8676,6408">
              <v:stroke endarrow="block"/>
            </v:line>
          </v:group>
        </w:pict>
      </w:r>
    </w:p>
    <w:p w:rsidR="00CF137D" w:rsidRPr="00836713" w:rsidRDefault="00CF137D" w:rsidP="009B10BC"/>
    <w:p w:rsidR="009364BD" w:rsidRPr="00836713" w:rsidRDefault="00131815" w:rsidP="009B10BC">
      <w:pPr>
        <w:ind w:firstLine="720"/>
      </w:pPr>
      <w:r>
        <w:rPr>
          <w:noProof/>
        </w:rPr>
        <w:pict>
          <v:rect id="_x0000_s1029" style="position:absolute;left:0;text-align:left;margin-left:62.65pt;margin-top:6.75pt;width:243.35pt;height:117pt;z-index:251663360" fillcolor="#cff">
            <v:textbox style="mso-next-textbox:#_x0000_s1029">
              <w:txbxContent>
                <w:p w:rsidR="00CD158A" w:rsidRPr="007F3314" w:rsidRDefault="00CD158A" w:rsidP="009364BD">
                  <w:pPr>
                    <w:jc w:val="center"/>
                    <w:rPr>
                      <w:b/>
                      <w:sz w:val="20"/>
                      <w:szCs w:val="20"/>
                    </w:rPr>
                  </w:pPr>
                  <w:r w:rsidRPr="007F3314">
                    <w:rPr>
                      <w:b/>
                      <w:sz w:val="20"/>
                      <w:szCs w:val="20"/>
                    </w:rPr>
                    <w:t>Quarterly Program Meeting</w:t>
                  </w:r>
                </w:p>
                <w:p w:rsidR="00CD158A" w:rsidRPr="007F3314" w:rsidRDefault="00CD158A" w:rsidP="009364BD">
                  <w:pPr>
                    <w:rPr>
                      <w:sz w:val="20"/>
                      <w:szCs w:val="20"/>
                    </w:rPr>
                  </w:pPr>
                  <w:r w:rsidRPr="007F3314">
                    <w:rPr>
                      <w:b/>
                      <w:sz w:val="20"/>
                      <w:szCs w:val="20"/>
                    </w:rPr>
                    <w:t>In attendance:</w:t>
                  </w:r>
                  <w:r w:rsidRPr="007F3314">
                    <w:rPr>
                      <w:sz w:val="20"/>
                      <w:szCs w:val="20"/>
                    </w:rPr>
                    <w:t xml:space="preserve"> Project Manager (Chair); MOECD Technical Coordinator; SCL; designated MOECD Monitoring Dept, and PMU Consultants.</w:t>
                  </w:r>
                </w:p>
                <w:p w:rsidR="00CD158A" w:rsidRPr="007F3314" w:rsidRDefault="00CD158A" w:rsidP="009364BD">
                  <w:pPr>
                    <w:rPr>
                      <w:sz w:val="20"/>
                      <w:szCs w:val="20"/>
                    </w:rPr>
                  </w:pPr>
                  <w:r w:rsidRPr="007F3314">
                    <w:rPr>
                      <w:b/>
                      <w:sz w:val="20"/>
                      <w:szCs w:val="20"/>
                    </w:rPr>
                    <w:t>Purpose:</w:t>
                  </w:r>
                  <w:r w:rsidRPr="007F3314">
                    <w:rPr>
                      <w:sz w:val="20"/>
                      <w:szCs w:val="20"/>
                    </w:rPr>
                    <w:t xml:space="preserve"> To review implementation, propose follow-up action, recommend courses of action for the PMSC’s consideration and review quarterly plans for the sub-components.</w:t>
                  </w:r>
                </w:p>
                <w:p w:rsidR="00CD158A" w:rsidRDefault="00CD158A" w:rsidP="009364BD"/>
              </w:txbxContent>
            </v:textbox>
          </v:rect>
        </w:pict>
      </w:r>
      <w:r w:rsidR="009364BD" w:rsidRPr="00836713">
        <w:rPr>
          <w:b/>
          <w:sz w:val="16"/>
          <w:szCs w:val="16"/>
        </w:rPr>
        <w:t>Feedback</w:t>
      </w:r>
      <w:r w:rsidR="009364BD" w:rsidRPr="00836713">
        <w:t xml:space="preserve"> </w:t>
      </w:r>
      <w:r w:rsidR="009364BD" w:rsidRPr="00836713">
        <w:tab/>
      </w:r>
      <w:r w:rsidR="009364BD" w:rsidRPr="00836713">
        <w:tab/>
      </w:r>
      <w:r w:rsidR="009364BD" w:rsidRPr="00836713">
        <w:tab/>
      </w:r>
      <w:r w:rsidR="009364BD" w:rsidRPr="00836713">
        <w:tab/>
        <w:t xml:space="preserve">     </w:t>
      </w:r>
      <w:r w:rsidR="00CF137D" w:rsidRPr="00836713">
        <w:tab/>
      </w:r>
      <w:r w:rsidR="00CF137D" w:rsidRPr="00836713">
        <w:tab/>
      </w:r>
      <w:r w:rsidR="00CF137D" w:rsidRPr="00836713">
        <w:tab/>
      </w:r>
      <w:r w:rsidR="00CF137D" w:rsidRPr="00836713">
        <w:tab/>
      </w:r>
      <w:r w:rsidR="009364BD" w:rsidRPr="00836713">
        <w:rPr>
          <w:b/>
          <w:sz w:val="16"/>
          <w:szCs w:val="16"/>
        </w:rPr>
        <w:t>Outcomes</w:t>
      </w:r>
    </w:p>
    <w:p w:rsidR="009364BD" w:rsidRPr="00836713" w:rsidRDefault="009364BD" w:rsidP="009B10BC"/>
    <w:p w:rsidR="009364BD" w:rsidRPr="00836713" w:rsidRDefault="00131815" w:rsidP="009B10BC">
      <w:r>
        <w:rPr>
          <w:noProof/>
        </w:rPr>
        <w:pict>
          <v:rect id="_x0000_s1033" style="position:absolute;margin-left:369pt;margin-top:3.4pt;width:117pt;height:146.55pt;rotation:180;z-index:251667456" fillcolor="#fc9">
            <v:textbox style="mso-next-textbox:#_x0000_s1033">
              <w:txbxContent>
                <w:p w:rsidR="00CD158A" w:rsidRPr="00102357" w:rsidRDefault="00CD158A" w:rsidP="007F3314">
                  <w:pPr>
                    <w:jc w:val="center"/>
                    <w:rPr>
                      <w:b/>
                      <w:sz w:val="20"/>
                      <w:szCs w:val="20"/>
                    </w:rPr>
                  </w:pPr>
                  <w:r w:rsidRPr="00102357">
                    <w:rPr>
                      <w:b/>
                      <w:sz w:val="20"/>
                      <w:szCs w:val="20"/>
                    </w:rPr>
                    <w:t>Monthly Meeting M</w:t>
                  </w:r>
                  <w:r>
                    <w:rPr>
                      <w:b/>
                      <w:sz w:val="20"/>
                      <w:szCs w:val="20"/>
                    </w:rPr>
                    <w:t>onitoring and Evaluation Team *</w:t>
                  </w:r>
                </w:p>
                <w:p w:rsidR="00CD158A" w:rsidRPr="001141AD" w:rsidRDefault="00CD158A" w:rsidP="009364BD">
                  <w:r w:rsidRPr="00102357">
                    <w:rPr>
                      <w:sz w:val="20"/>
                      <w:szCs w:val="20"/>
                    </w:rPr>
                    <w:t>The M&amp;E Team has the responsibility for collecting, analyzing and reporting on the components and sub-components’ performance and</w:t>
                  </w:r>
                  <w:r>
                    <w:t xml:space="preserve"> outputs.</w:t>
                  </w:r>
                </w:p>
              </w:txbxContent>
            </v:textbox>
          </v:rect>
        </w:pict>
      </w:r>
    </w:p>
    <w:p w:rsidR="009364BD" w:rsidRPr="00836713" w:rsidRDefault="009364BD" w:rsidP="009B10BC">
      <w:pPr>
        <w:tabs>
          <w:tab w:val="left" w:pos="3645"/>
        </w:tabs>
        <w:jc w:val="center"/>
      </w:pPr>
    </w:p>
    <w:p w:rsidR="009364BD" w:rsidRPr="00836713" w:rsidRDefault="009364BD" w:rsidP="009B10BC">
      <w:pPr>
        <w:tabs>
          <w:tab w:val="left" w:pos="780"/>
          <w:tab w:val="left" w:pos="3645"/>
          <w:tab w:val="left" w:pos="6210"/>
          <w:tab w:val="left" w:pos="6255"/>
        </w:tabs>
      </w:pPr>
      <w:r w:rsidRPr="00836713">
        <w:tab/>
      </w:r>
      <w:r w:rsidRPr="00836713">
        <w:tab/>
      </w:r>
      <w:r w:rsidRPr="00836713">
        <w:tab/>
      </w:r>
      <w:r w:rsidR="00131815">
        <w:rPr>
          <w:noProof/>
        </w:rPr>
        <w:pict>
          <v:line id="_x0000_s1055" style="position:absolute;flip:x;z-index:251672576;mso-position-horizontal-relative:text;mso-position-vertical-relative:text" from="309.35pt,11.25pt" to="336.35pt,11.25pt">
            <v:stroke endarrow="block"/>
          </v:line>
        </w:pict>
      </w:r>
      <w:r w:rsidR="00131815">
        <w:rPr>
          <w:noProof/>
        </w:rPr>
        <w:pict>
          <v:group id="_x0000_s1044" style="position:absolute;margin-left:39.2pt;margin-top:11.4pt;width:27pt;height:130.8pt;z-index:251670528;mso-position-horizontal-relative:text;mso-position-vertical-relative:text" coordorigin="2196,10704" coordsize="540,2616">
            <v:line id="_x0000_s1045" style="position:absolute;flip:x" from="2196,13320" to="2736,13320">
              <v:stroke endarrow="block"/>
            </v:line>
            <v:line id="_x0000_s1046" style="position:absolute" from="2196,10704" to="2736,10704">
              <v:stroke endarrow="block"/>
            </v:line>
            <v:line id="_x0000_s1047" style="position:absolute" from="2196,10716" to="2196,11808"/>
            <v:line id="_x0000_s1048" style="position:absolute" from="2196,12060" to="2196,13224"/>
          </v:group>
        </w:pict>
      </w:r>
      <w:r w:rsidR="00131815">
        <w:rPr>
          <w:noProof/>
        </w:rPr>
        <w:pict>
          <v:line id="_x0000_s1026" style="position:absolute;z-index:251660288;mso-position-horizontal-relative:text;mso-position-vertical-relative:text" from="351pt,11.25pt" to="378pt,11.25pt"/>
        </w:pict>
      </w:r>
      <w:r w:rsidRPr="00836713">
        <w:rPr>
          <w:b/>
          <w:sz w:val="16"/>
          <w:szCs w:val="16"/>
        </w:rPr>
        <w:t>Feedback</w:t>
      </w:r>
    </w:p>
    <w:p w:rsidR="009364BD" w:rsidRPr="00836713" w:rsidRDefault="00131815" w:rsidP="009B10BC">
      <w:r>
        <w:rPr>
          <w:noProof/>
        </w:rPr>
        <w:pict>
          <v:group id="_x0000_s1039" style="position:absolute;margin-left:306.25pt;margin-top:-.4pt;width:27pt;height:134.4pt;z-index:251669504" coordorigin="7056,10704" coordsize="540,2688">
            <v:line id="_x0000_s1040" style="position:absolute;flip:x y" from="7056,13380" to="7596,13392">
              <v:stroke endarrow="block"/>
            </v:line>
            <v:line id="_x0000_s1041" style="position:absolute" from="7056,10704" to="7596,10704">
              <v:stroke endarrow="block"/>
            </v:line>
            <v:line id="_x0000_s1042" style="position:absolute" from="7596,10776" to="7596,11768"/>
            <v:line id="_x0000_s1043" style="position:absolute" from="7596,12120" to="7596,13392"/>
          </v:group>
        </w:pict>
      </w:r>
    </w:p>
    <w:p w:rsidR="00CF137D" w:rsidRPr="00836713" w:rsidRDefault="00131815" w:rsidP="009B10BC">
      <w:pPr>
        <w:tabs>
          <w:tab w:val="left" w:pos="6360"/>
        </w:tabs>
      </w:pPr>
      <w:r>
        <w:rPr>
          <w:noProof/>
        </w:rPr>
        <w:pict>
          <v:rect id="_x0000_s1030" style="position:absolute;margin-left:66pt;margin-top:-.35pt;width:243.35pt;height:128.8pt;z-index:251664384" fillcolor="#9cf">
            <v:textbox style="mso-next-textbox:#_x0000_s1030">
              <w:txbxContent>
                <w:p w:rsidR="00CD158A" w:rsidRPr="007F3314" w:rsidRDefault="00CD158A" w:rsidP="009364BD">
                  <w:pPr>
                    <w:jc w:val="center"/>
                    <w:rPr>
                      <w:b/>
                      <w:sz w:val="20"/>
                      <w:szCs w:val="20"/>
                    </w:rPr>
                  </w:pPr>
                  <w:r w:rsidRPr="007F3314">
                    <w:rPr>
                      <w:b/>
                      <w:sz w:val="20"/>
                      <w:szCs w:val="20"/>
                    </w:rPr>
                    <w:t>PMSC Quarterly Meeting</w:t>
                  </w:r>
                </w:p>
                <w:p w:rsidR="00CD158A" w:rsidRPr="007F3314" w:rsidRDefault="00CD158A" w:rsidP="009364BD">
                  <w:pPr>
                    <w:rPr>
                      <w:sz w:val="20"/>
                      <w:szCs w:val="20"/>
                    </w:rPr>
                  </w:pPr>
                  <w:r w:rsidRPr="007F3314">
                    <w:rPr>
                      <w:b/>
                      <w:sz w:val="20"/>
                      <w:szCs w:val="20"/>
                    </w:rPr>
                    <w:t>In attendance:</w:t>
                  </w:r>
                  <w:r w:rsidRPr="007F3314">
                    <w:rPr>
                      <w:sz w:val="20"/>
                      <w:szCs w:val="20"/>
                    </w:rPr>
                    <w:t xml:space="preserve"> Education PS (Chair), MOECD Executives, other education stakeholders, MOECD Technical Coordinator and Project Manager.</w:t>
                  </w:r>
                </w:p>
                <w:p w:rsidR="00CD158A" w:rsidRPr="00EB32DE" w:rsidRDefault="00CD158A" w:rsidP="009364BD">
                  <w:pPr>
                    <w:rPr>
                      <w:sz w:val="23"/>
                      <w:szCs w:val="23"/>
                    </w:rPr>
                  </w:pPr>
                  <w:r w:rsidRPr="007F3314">
                    <w:rPr>
                      <w:b/>
                      <w:sz w:val="20"/>
                      <w:szCs w:val="20"/>
                    </w:rPr>
                    <w:t>Purpose:</w:t>
                  </w:r>
                  <w:r w:rsidRPr="007F3314">
                    <w:rPr>
                      <w:sz w:val="20"/>
                      <w:szCs w:val="20"/>
                    </w:rPr>
                    <w:t xml:space="preserve"> To review the program’s implementation, consider recommended courses of action, take policy decisions and provide</w:t>
                  </w:r>
                  <w:r w:rsidRPr="00EB32DE">
                    <w:rPr>
                      <w:sz w:val="23"/>
                      <w:szCs w:val="23"/>
                    </w:rPr>
                    <w:t xml:space="preserve"> general direction to the program.</w:t>
                  </w:r>
                </w:p>
                <w:p w:rsidR="00CD158A" w:rsidRPr="00EB32DE" w:rsidRDefault="00CD158A" w:rsidP="009364BD">
                  <w:pPr>
                    <w:rPr>
                      <w:sz w:val="22"/>
                    </w:rPr>
                  </w:pPr>
                </w:p>
                <w:p w:rsidR="00CD158A" w:rsidRDefault="00CD158A" w:rsidP="009364BD"/>
                <w:p w:rsidR="00CD158A" w:rsidRDefault="00CD158A" w:rsidP="009364BD"/>
                <w:p w:rsidR="00CD158A" w:rsidRDefault="00CD158A" w:rsidP="009364BD"/>
              </w:txbxContent>
            </v:textbox>
          </v:rect>
        </w:pict>
      </w:r>
    </w:p>
    <w:p w:rsidR="009364BD" w:rsidRPr="00836713" w:rsidRDefault="009364BD" w:rsidP="009B10BC">
      <w:pPr>
        <w:tabs>
          <w:tab w:val="left" w:pos="6360"/>
        </w:tabs>
        <w:rPr>
          <w:b/>
          <w:sz w:val="16"/>
          <w:szCs w:val="16"/>
        </w:rPr>
      </w:pPr>
      <w:r w:rsidRPr="00836713">
        <w:rPr>
          <w:b/>
          <w:sz w:val="16"/>
          <w:szCs w:val="16"/>
        </w:rPr>
        <w:t xml:space="preserve">   Feedbac</w:t>
      </w:r>
      <w:r w:rsidR="00CF137D" w:rsidRPr="00836713">
        <w:rPr>
          <w:b/>
          <w:sz w:val="16"/>
          <w:szCs w:val="16"/>
        </w:rPr>
        <w:t>k</w:t>
      </w:r>
      <w:r w:rsidRPr="00836713">
        <w:rPr>
          <w:b/>
          <w:sz w:val="16"/>
          <w:szCs w:val="16"/>
        </w:rPr>
        <w:t xml:space="preserve">          </w:t>
      </w:r>
      <w:r w:rsidR="00CF137D" w:rsidRPr="00836713">
        <w:rPr>
          <w:b/>
          <w:sz w:val="16"/>
          <w:szCs w:val="16"/>
        </w:rPr>
        <w:tab/>
      </w:r>
      <w:r w:rsidRPr="00836713">
        <w:rPr>
          <w:b/>
          <w:sz w:val="16"/>
          <w:szCs w:val="16"/>
        </w:rPr>
        <w:t xml:space="preserve"> Outcomes</w:t>
      </w:r>
    </w:p>
    <w:p w:rsidR="009364BD" w:rsidRPr="00836713" w:rsidRDefault="00131815" w:rsidP="009B10BC">
      <w:r>
        <w:rPr>
          <w:noProof/>
        </w:rPr>
        <w:pict>
          <v:line id="_x0000_s1057" style="position:absolute;flip:x;z-index:251674624" from="409.5pt,18.6pt" to="418.5pt,27.6pt"/>
        </w:pict>
      </w:r>
    </w:p>
    <w:p w:rsidR="009364BD" w:rsidRPr="00836713" w:rsidRDefault="00131815" w:rsidP="009B10BC">
      <w:pPr>
        <w:ind w:left="7200" w:firstLine="720"/>
      </w:pPr>
      <w:r>
        <w:rPr>
          <w:noProof/>
        </w:rPr>
        <w:pict>
          <v:line id="_x0000_s1056" style="position:absolute;left:0;text-align:left;flip:x;z-index:251673600" from="313.85pt,3.8pt" to="405pt,51.65pt">
            <v:stroke endarrow="block"/>
          </v:line>
        </w:pict>
      </w:r>
      <w:r w:rsidR="009364BD" w:rsidRPr="00836713">
        <w:rPr>
          <w:b/>
          <w:sz w:val="16"/>
          <w:szCs w:val="16"/>
        </w:rPr>
        <w:t>Outcomes</w:t>
      </w:r>
    </w:p>
    <w:p w:rsidR="009364BD" w:rsidRPr="00836713" w:rsidRDefault="009364BD" w:rsidP="009B10BC">
      <w:pPr>
        <w:tabs>
          <w:tab w:val="left" w:pos="3645"/>
          <w:tab w:val="left" w:pos="7470"/>
        </w:tabs>
        <w:rPr>
          <w:b/>
          <w:sz w:val="16"/>
          <w:szCs w:val="16"/>
        </w:rPr>
      </w:pPr>
      <w:r w:rsidRPr="00836713">
        <w:tab/>
      </w:r>
      <w:r w:rsidRPr="00836713">
        <w:tab/>
      </w:r>
    </w:p>
    <w:p w:rsidR="009364BD" w:rsidRPr="00836713" w:rsidRDefault="00131815" w:rsidP="009B10BC">
      <w:pPr>
        <w:tabs>
          <w:tab w:val="left" w:pos="3645"/>
        </w:tabs>
      </w:pPr>
      <w:r>
        <w:rPr>
          <w:noProof/>
        </w:rPr>
        <w:pict>
          <v:shapetype id="_x0000_t202" coordsize="21600,21600" o:spt="202" path="m,l,21600r21600,l21600,xe">
            <v:stroke joinstyle="miter"/>
            <v:path gradientshapeok="t" o:connecttype="rect"/>
          </v:shapetype>
          <v:shape id="_x0000_s1066" type="#_x0000_t202" style="position:absolute;margin-left:318.35pt;margin-top:15.15pt;width:183.1pt;height:89.4pt;z-index:251678720" filled="f">
            <v:textbox>
              <w:txbxContent>
                <w:p w:rsidR="00CD158A" w:rsidRPr="00E869BE" w:rsidRDefault="00CD158A" w:rsidP="007F3314">
                  <w:pPr>
                    <w:rPr>
                      <w:sz w:val="18"/>
                      <w:szCs w:val="18"/>
                    </w:rPr>
                  </w:pPr>
                  <w:r w:rsidRPr="00E869BE">
                    <w:rPr>
                      <w:b/>
                      <w:sz w:val="18"/>
                      <w:szCs w:val="18"/>
                    </w:rPr>
                    <w:t xml:space="preserve">Monitoring and Evaluation Team </w:t>
                  </w:r>
                  <w:r w:rsidRPr="00E869BE">
                    <w:rPr>
                      <w:sz w:val="18"/>
                      <w:szCs w:val="18"/>
                    </w:rPr>
                    <w:t>formed by Financial Manager from PIU, designated Department from MOECD and designated person from Ministry of Finance. Chair to be designated.</w:t>
                  </w:r>
                </w:p>
                <w:p w:rsidR="00CD158A" w:rsidRPr="00E869BE" w:rsidRDefault="00CD158A" w:rsidP="007F3314">
                  <w:pPr>
                    <w:rPr>
                      <w:sz w:val="18"/>
                      <w:szCs w:val="18"/>
                    </w:rPr>
                  </w:pPr>
                  <w:r w:rsidRPr="00E869BE">
                    <w:rPr>
                      <w:b/>
                      <w:sz w:val="18"/>
                      <w:szCs w:val="18"/>
                    </w:rPr>
                    <w:t xml:space="preserve">PMSC: </w:t>
                  </w:r>
                  <w:r w:rsidRPr="00E869BE">
                    <w:rPr>
                      <w:sz w:val="18"/>
                      <w:szCs w:val="18"/>
                    </w:rPr>
                    <w:t>Project Management Steer</w:t>
                  </w:r>
                  <w:r>
                    <w:rPr>
                      <w:sz w:val="18"/>
                      <w:szCs w:val="18"/>
                    </w:rPr>
                    <w:t xml:space="preserve">ing </w:t>
                  </w:r>
                  <w:r w:rsidRPr="00E869BE">
                    <w:rPr>
                      <w:sz w:val="18"/>
                      <w:szCs w:val="18"/>
                    </w:rPr>
                    <w:t>Committee</w:t>
                  </w:r>
                </w:p>
              </w:txbxContent>
            </v:textbox>
          </v:shape>
        </w:pict>
      </w:r>
    </w:p>
    <w:p w:rsidR="009364BD" w:rsidRPr="00836713" w:rsidRDefault="00131815" w:rsidP="009B10BC">
      <w:pPr>
        <w:tabs>
          <w:tab w:val="left" w:pos="3645"/>
          <w:tab w:val="left" w:pos="6255"/>
        </w:tabs>
        <w:rPr>
          <w:b/>
          <w:sz w:val="16"/>
          <w:szCs w:val="16"/>
        </w:rPr>
      </w:pPr>
      <w:r>
        <w:rPr>
          <w:noProof/>
        </w:rPr>
        <w:pict>
          <v:group id="_x0000_s1060" style="position:absolute;margin-left:56.55pt;margin-top:4.25pt;width:249.45pt;height:76.5pt;z-index:251677696" coordorigin="3096,13580" coordsize="3600,1800">
            <v:line id="_x0000_s1061" style="position:absolute;flip:x y" from="3816,13580" to="3816,13760">
              <v:stroke endarrow="block"/>
            </v:line>
            <v:line id="_x0000_s1062" style="position:absolute;flip:x" from="6156,14028" to="6156,15380">
              <v:stroke endarrow="block"/>
            </v:line>
            <v:line id="_x0000_s1063" style="position:absolute;flip:x y" from="6156,13580" to="6156,13760"/>
            <v:line id="_x0000_s1064" style="position:absolute;flip:x y" from="3816,13940" to="3816,15380"/>
            <v:shape id="_x0000_s1065" type="#_x0000_t202" style="position:absolute;left:3096;top:14120;width:3600;height:720" fillcolor="#fc9">
              <v:textbox style="mso-next-textbox:#_x0000_s1065">
                <w:txbxContent>
                  <w:p w:rsidR="00CD158A" w:rsidRPr="008114DE" w:rsidRDefault="00CD158A" w:rsidP="008114DE">
                    <w:pPr>
                      <w:spacing w:after="0"/>
                      <w:jc w:val="center"/>
                      <w:rPr>
                        <w:sz w:val="20"/>
                        <w:szCs w:val="20"/>
                      </w:rPr>
                    </w:pPr>
                    <w:r w:rsidRPr="008114DE">
                      <w:rPr>
                        <w:sz w:val="20"/>
                        <w:szCs w:val="20"/>
                      </w:rPr>
                      <w:t>Office of the Permanent Secretary</w:t>
                    </w:r>
                    <w:r>
                      <w:rPr>
                        <w:sz w:val="20"/>
                        <w:szCs w:val="20"/>
                      </w:rPr>
                      <w:t xml:space="preserve"> </w:t>
                    </w:r>
                    <w:r w:rsidRPr="008114DE">
                      <w:rPr>
                        <w:sz w:val="20"/>
                        <w:szCs w:val="20"/>
                      </w:rPr>
                      <w:t>Information Office</w:t>
                    </w:r>
                  </w:p>
                </w:txbxContent>
              </v:textbox>
            </v:shape>
          </v:group>
        </w:pict>
      </w:r>
      <w:r w:rsidR="001C4713" w:rsidRPr="00836713">
        <w:rPr>
          <w:sz w:val="16"/>
          <w:szCs w:val="16"/>
        </w:rPr>
        <w:t xml:space="preserve">                </w:t>
      </w:r>
      <w:r w:rsidR="009364BD" w:rsidRPr="00836713">
        <w:rPr>
          <w:b/>
          <w:sz w:val="16"/>
          <w:szCs w:val="16"/>
        </w:rPr>
        <w:t xml:space="preserve">    </w:t>
      </w:r>
      <w:r w:rsidR="00E869BE" w:rsidRPr="00836713">
        <w:rPr>
          <w:b/>
          <w:sz w:val="16"/>
          <w:szCs w:val="16"/>
        </w:rPr>
        <w:t xml:space="preserve">            </w:t>
      </w:r>
      <w:r w:rsidR="001C4713" w:rsidRPr="00836713">
        <w:rPr>
          <w:b/>
          <w:sz w:val="16"/>
          <w:szCs w:val="16"/>
        </w:rPr>
        <w:t xml:space="preserve">  </w:t>
      </w:r>
      <w:r w:rsidR="009364BD" w:rsidRPr="00836713">
        <w:rPr>
          <w:b/>
          <w:sz w:val="16"/>
          <w:szCs w:val="16"/>
        </w:rPr>
        <w:t>Feedback</w:t>
      </w:r>
      <w:r w:rsidR="001C4713" w:rsidRPr="00836713">
        <w:t xml:space="preserve">   </w:t>
      </w:r>
      <w:r w:rsidR="001C4713" w:rsidRPr="00836713">
        <w:tab/>
        <w:t xml:space="preserve">                   </w:t>
      </w:r>
      <w:r w:rsidR="00E869BE" w:rsidRPr="00836713">
        <w:t xml:space="preserve">   </w:t>
      </w:r>
      <w:r w:rsidR="009364BD" w:rsidRPr="00836713">
        <w:rPr>
          <w:b/>
          <w:sz w:val="16"/>
          <w:szCs w:val="16"/>
        </w:rPr>
        <w:t>Outcomes</w:t>
      </w:r>
      <w:r w:rsidR="009364BD" w:rsidRPr="00836713">
        <w:t xml:space="preserve">    </w:t>
      </w:r>
    </w:p>
    <w:p w:rsidR="009364BD" w:rsidRPr="00836713" w:rsidRDefault="009364BD" w:rsidP="009B10BC"/>
    <w:p w:rsidR="009364BD" w:rsidRPr="00836713" w:rsidRDefault="009364BD" w:rsidP="009B10BC"/>
    <w:p w:rsidR="009364BD" w:rsidRPr="00836713" w:rsidRDefault="00131815" w:rsidP="009B10BC">
      <w:pPr>
        <w:tabs>
          <w:tab w:val="left" w:pos="3645"/>
        </w:tabs>
      </w:pPr>
      <w:r>
        <w:rPr>
          <w:noProof/>
        </w:rPr>
        <w:pict>
          <v:rect id="_x0000_s1058" style="position:absolute;margin-left:0;margin-top:17.2pt;width:333pt;height:69.1pt;z-index:251675648" fillcolor="#fcf">
            <v:textbox style="mso-next-textbox:#_x0000_s1058">
              <w:txbxContent>
                <w:p w:rsidR="00CD158A" w:rsidRPr="00E869BE" w:rsidRDefault="00CD158A" w:rsidP="009364BD">
                  <w:pPr>
                    <w:jc w:val="center"/>
                    <w:rPr>
                      <w:b/>
                      <w:sz w:val="18"/>
                      <w:szCs w:val="18"/>
                    </w:rPr>
                  </w:pPr>
                  <w:r w:rsidRPr="00E869BE">
                    <w:rPr>
                      <w:b/>
                      <w:sz w:val="18"/>
                      <w:szCs w:val="18"/>
                    </w:rPr>
                    <w:t>Stakeholders</w:t>
                  </w:r>
                </w:p>
                <w:p w:rsidR="00CD158A" w:rsidRPr="00E869BE" w:rsidRDefault="00CD158A" w:rsidP="009364BD">
                  <w:pPr>
                    <w:rPr>
                      <w:sz w:val="18"/>
                      <w:szCs w:val="18"/>
                    </w:rPr>
                  </w:pPr>
                  <w:r w:rsidRPr="00E869BE">
                    <w:rPr>
                      <w:sz w:val="18"/>
                      <w:szCs w:val="18"/>
                    </w:rPr>
                    <w:t>MOECD Staff, IDB, Cabinet, Parliament, Teachers, Private Sector and General Public</w:t>
                  </w:r>
                </w:p>
                <w:p w:rsidR="00CD158A" w:rsidRPr="00E869BE" w:rsidRDefault="00CD158A" w:rsidP="009364BD">
                  <w:pPr>
                    <w:rPr>
                      <w:sz w:val="18"/>
                      <w:szCs w:val="18"/>
                    </w:rPr>
                  </w:pPr>
                  <w:r w:rsidRPr="00E869BE">
                    <w:rPr>
                      <w:b/>
                      <w:sz w:val="18"/>
                      <w:szCs w:val="18"/>
                    </w:rPr>
                    <w:t>Purpose:</w:t>
                  </w:r>
                  <w:r w:rsidRPr="00E869BE">
                    <w:rPr>
                      <w:sz w:val="18"/>
                      <w:szCs w:val="18"/>
                    </w:rPr>
                    <w:t xml:space="preserve"> To inform all stakeholders on the process of the program and provide stakeholders with the opportunity to offer feedback.</w:t>
                  </w:r>
                </w:p>
              </w:txbxContent>
            </v:textbox>
          </v:rect>
        </w:pict>
      </w:r>
      <w:r w:rsidR="00E869BE" w:rsidRPr="00836713">
        <w:rPr>
          <w:b/>
          <w:sz w:val="20"/>
          <w:szCs w:val="20"/>
        </w:rPr>
        <w:t xml:space="preserve">                           </w:t>
      </w:r>
      <w:r w:rsidR="009364BD" w:rsidRPr="00836713">
        <w:rPr>
          <w:b/>
          <w:sz w:val="18"/>
          <w:szCs w:val="18"/>
        </w:rPr>
        <w:t xml:space="preserve">Feedback </w:t>
      </w:r>
      <w:r w:rsidR="009364BD" w:rsidRPr="00836713">
        <w:rPr>
          <w:b/>
          <w:sz w:val="20"/>
          <w:szCs w:val="20"/>
        </w:rPr>
        <w:tab/>
      </w:r>
      <w:r w:rsidR="009364BD" w:rsidRPr="00836713">
        <w:rPr>
          <w:b/>
          <w:sz w:val="20"/>
          <w:szCs w:val="20"/>
        </w:rPr>
        <w:tab/>
      </w:r>
      <w:r w:rsidR="009364BD" w:rsidRPr="00836713">
        <w:rPr>
          <w:b/>
          <w:sz w:val="18"/>
          <w:szCs w:val="18"/>
        </w:rPr>
        <w:t>Outcomes</w:t>
      </w:r>
    </w:p>
    <w:p w:rsidR="009364BD" w:rsidRPr="00836713" w:rsidRDefault="009364BD" w:rsidP="009B10BC">
      <w:r w:rsidRPr="00836713">
        <w:t xml:space="preserve">                                                 </w:t>
      </w:r>
    </w:p>
    <w:p w:rsidR="00522B71" w:rsidRPr="00836713" w:rsidRDefault="00522B71" w:rsidP="009B10BC"/>
    <w:sectPr w:rsidR="00522B71" w:rsidRPr="00836713" w:rsidSect="00522B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58A" w:rsidRDefault="00CD158A" w:rsidP="00630DA5">
      <w:pPr>
        <w:spacing w:after="0"/>
      </w:pPr>
      <w:r>
        <w:separator/>
      </w:r>
    </w:p>
  </w:endnote>
  <w:endnote w:type="continuationSeparator" w:id="0">
    <w:p w:rsidR="00CD158A" w:rsidRDefault="00CD158A" w:rsidP="00630D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58A" w:rsidRDefault="00CD158A" w:rsidP="00630DA5">
      <w:pPr>
        <w:spacing w:after="0"/>
      </w:pPr>
      <w:r>
        <w:separator/>
      </w:r>
    </w:p>
  </w:footnote>
  <w:footnote w:type="continuationSeparator" w:id="0">
    <w:p w:rsidR="00CD158A" w:rsidRDefault="00CD158A" w:rsidP="00630DA5">
      <w:pPr>
        <w:spacing w:after="0"/>
      </w:pPr>
      <w:r>
        <w:continuationSeparator/>
      </w:r>
    </w:p>
  </w:footnote>
  <w:footnote w:id="1">
    <w:p w:rsidR="00CD158A" w:rsidRDefault="00CD158A" w:rsidP="000B5325">
      <w:pPr>
        <w:pStyle w:val="FootnoteText"/>
        <w:spacing w:after="0"/>
        <w:ind w:left="720" w:hanging="720"/>
      </w:pPr>
      <w:r>
        <w:rPr>
          <w:rStyle w:val="FootnoteReference"/>
        </w:rPr>
        <w:footnoteRef/>
      </w:r>
      <w:r>
        <w:t xml:space="preserve"> </w:t>
      </w:r>
      <w:r>
        <w:tab/>
        <w:t>Based on the hypothesis of a partial eligibility to disbursements no earlier than June, 2012.</w:t>
      </w:r>
    </w:p>
  </w:footnote>
  <w:footnote w:id="2">
    <w:p w:rsidR="00CD158A" w:rsidRDefault="00CD158A" w:rsidP="009B10BC">
      <w:pPr>
        <w:pStyle w:val="FootnoteText"/>
        <w:ind w:left="720" w:hanging="720"/>
      </w:pPr>
      <w:r>
        <w:rPr>
          <w:rStyle w:val="FootnoteReference"/>
        </w:rPr>
        <w:footnoteRef/>
      </w:r>
      <w:r>
        <w:t xml:space="preserve"> </w:t>
      </w:r>
      <w:r>
        <w:tab/>
        <w:t>Costs estimates include the cost of the labor, inputs and contracts linked with the activity.</w:t>
      </w:r>
    </w:p>
  </w:footnote>
  <w:footnote w:id="3">
    <w:p w:rsidR="00CD158A" w:rsidRPr="00325AE0" w:rsidRDefault="00CD158A" w:rsidP="007E3DFD">
      <w:pPr>
        <w:pStyle w:val="FootnoteText"/>
        <w:ind w:left="720" w:hanging="720"/>
      </w:pPr>
      <w:r w:rsidRPr="00325AE0">
        <w:rPr>
          <w:rStyle w:val="FootnoteReference"/>
        </w:rPr>
        <w:footnoteRef/>
      </w:r>
      <w:r w:rsidRPr="00325AE0">
        <w:t xml:space="preserve"> </w:t>
      </w:r>
      <w:r>
        <w:tab/>
      </w:r>
      <w:r w:rsidRPr="00325AE0">
        <w:t>In the new basic education cycle, grades 3 and 4 are equivalent to grades 1 and 2 in the current primary education.</w:t>
      </w:r>
      <w:r>
        <w:t xml:space="preserve"> In this document, references to grades follow the new basic education cycle. </w:t>
      </w:r>
    </w:p>
  </w:footnote>
  <w:footnote w:id="4">
    <w:p w:rsidR="00CD158A" w:rsidRPr="00174BEF" w:rsidRDefault="00CD158A" w:rsidP="009B10BC">
      <w:pPr>
        <w:pStyle w:val="FootnoteText"/>
        <w:spacing w:after="0"/>
        <w:ind w:left="720" w:hanging="720"/>
      </w:pPr>
      <w:r w:rsidRPr="00174BEF">
        <w:rPr>
          <w:rStyle w:val="FootnoteReference"/>
        </w:rPr>
        <w:footnoteRef/>
      </w:r>
      <w:r w:rsidRPr="00174BEF">
        <w:t xml:space="preserve"> </w:t>
      </w:r>
      <w:r>
        <w:tab/>
      </w:r>
      <w:r w:rsidRPr="00174BEF">
        <w:t>Cunningham, Wendy, Linda McGinnis, et all. “Youth at Risk in Latin America and the Caribbean:</w:t>
      </w:r>
      <w:r w:rsidR="00157B13">
        <w:t> </w:t>
      </w:r>
      <w:r w:rsidRPr="00174BEF">
        <w:t>understanding the causes, realizing the potential.” Directions in Development. Human Development. The World Bank. 2008</w:t>
      </w:r>
      <w:r w:rsidR="00157B13">
        <w:t>.</w:t>
      </w:r>
    </w:p>
  </w:footnote>
  <w:footnote w:id="5">
    <w:p w:rsidR="00CD158A" w:rsidRPr="00174BEF" w:rsidRDefault="00CD158A" w:rsidP="009B10BC">
      <w:pPr>
        <w:pStyle w:val="FootnoteText"/>
        <w:spacing w:after="0"/>
        <w:ind w:left="720" w:hanging="720"/>
      </w:pPr>
      <w:r w:rsidRPr="00174BEF">
        <w:rPr>
          <w:rStyle w:val="FootnoteReference"/>
        </w:rPr>
        <w:footnoteRef/>
      </w:r>
      <w:r w:rsidRPr="00174BEF">
        <w:t xml:space="preserve"> </w:t>
      </w:r>
      <w:r>
        <w:tab/>
      </w:r>
      <w:r w:rsidRPr="00174BEF">
        <w:t>World Bank, World Deve</w:t>
      </w:r>
      <w:r>
        <w:t>lopment Indicators, October 2011</w:t>
      </w:r>
      <w:r w:rsidR="00157B13">
        <w:t>.</w:t>
      </w:r>
    </w:p>
  </w:footnote>
  <w:footnote w:id="6">
    <w:p w:rsidR="00CD158A" w:rsidRDefault="00CD158A" w:rsidP="009B10BC">
      <w:pPr>
        <w:pStyle w:val="FootnoteText"/>
        <w:spacing w:after="0"/>
        <w:ind w:left="720" w:hanging="720"/>
      </w:pPr>
      <w:r w:rsidRPr="00174BEF">
        <w:rPr>
          <w:rStyle w:val="FootnoteReference"/>
        </w:rPr>
        <w:footnoteRef/>
      </w:r>
      <w:r w:rsidRPr="00174BEF">
        <w:t xml:space="preserve"> </w:t>
      </w:r>
      <w:r>
        <w:tab/>
        <w:t>MOECD Research and Planning</w:t>
      </w:r>
      <w:r w:rsidRPr="00174BEF">
        <w:t>.</w:t>
      </w:r>
    </w:p>
  </w:footnote>
  <w:footnote w:id="7">
    <w:p w:rsidR="00CD158A" w:rsidRPr="00DE1614" w:rsidRDefault="00CD158A" w:rsidP="00DD78C0">
      <w:pPr>
        <w:pStyle w:val="FootnoteText"/>
        <w:ind w:left="720" w:hanging="720"/>
      </w:pPr>
      <w:r w:rsidRPr="00DE1614">
        <w:rPr>
          <w:rStyle w:val="FootnoteReference"/>
        </w:rPr>
        <w:footnoteRef/>
      </w:r>
      <w:r w:rsidRPr="00DE1614">
        <w:t xml:space="preserve"> </w:t>
      </w:r>
      <w:r>
        <w:tab/>
        <w:t>See Figure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58A" w:rsidRPr="00A26754" w:rsidRDefault="00CD158A" w:rsidP="00AC5ADF">
    <w:pPr>
      <w:pStyle w:val="Header"/>
      <w:jc w:val="right"/>
      <w:rPr>
        <w:sz w:val="20"/>
        <w:szCs w:val="20"/>
      </w:rPr>
    </w:pPr>
    <w:r>
      <w:rPr>
        <w:sz w:val="20"/>
        <w:szCs w:val="20"/>
      </w:rPr>
      <w:t>SU-L1019</w:t>
    </w:r>
  </w:p>
  <w:p w:rsidR="00CD158A" w:rsidRPr="00A26754" w:rsidRDefault="00CD158A" w:rsidP="00AC5ADF">
    <w:pPr>
      <w:pStyle w:val="Header"/>
      <w:jc w:val="right"/>
      <w:rPr>
        <w:sz w:val="20"/>
        <w:szCs w:val="20"/>
      </w:rPr>
    </w:pPr>
    <w:r w:rsidRPr="00A26754">
      <w:rPr>
        <w:sz w:val="20"/>
        <w:szCs w:val="20"/>
      </w:rPr>
      <w:t xml:space="preserve">Page </w:t>
    </w:r>
    <w:r w:rsidR="00F90040" w:rsidRPr="00A26754">
      <w:rPr>
        <w:sz w:val="20"/>
        <w:szCs w:val="20"/>
      </w:rPr>
      <w:fldChar w:fldCharType="begin"/>
    </w:r>
    <w:r w:rsidRPr="00A26754">
      <w:rPr>
        <w:sz w:val="20"/>
        <w:szCs w:val="20"/>
      </w:rPr>
      <w:instrText xml:space="preserve"> PAGE </w:instrText>
    </w:r>
    <w:r w:rsidR="00F90040" w:rsidRPr="00A26754">
      <w:rPr>
        <w:sz w:val="20"/>
        <w:szCs w:val="20"/>
      </w:rPr>
      <w:fldChar w:fldCharType="separate"/>
    </w:r>
    <w:r w:rsidR="00131815">
      <w:rPr>
        <w:noProof/>
        <w:sz w:val="20"/>
        <w:szCs w:val="20"/>
      </w:rPr>
      <w:t>1</w:t>
    </w:r>
    <w:r w:rsidR="00F90040" w:rsidRPr="00A26754">
      <w:rPr>
        <w:sz w:val="20"/>
        <w:szCs w:val="20"/>
      </w:rPr>
      <w:fldChar w:fldCharType="end"/>
    </w:r>
    <w:r w:rsidRPr="00A26754">
      <w:rPr>
        <w:sz w:val="20"/>
        <w:szCs w:val="20"/>
      </w:rPr>
      <w:t xml:space="preserve"> of </w:t>
    </w:r>
    <w:r w:rsidR="00F90040" w:rsidRPr="00A26754">
      <w:rPr>
        <w:sz w:val="20"/>
        <w:szCs w:val="20"/>
      </w:rPr>
      <w:fldChar w:fldCharType="begin"/>
    </w:r>
    <w:r w:rsidRPr="00A26754">
      <w:rPr>
        <w:sz w:val="20"/>
        <w:szCs w:val="20"/>
      </w:rPr>
      <w:instrText xml:space="preserve"> NUMPAGES  </w:instrText>
    </w:r>
    <w:r w:rsidR="00F90040" w:rsidRPr="00A26754">
      <w:rPr>
        <w:sz w:val="20"/>
        <w:szCs w:val="20"/>
      </w:rPr>
      <w:fldChar w:fldCharType="separate"/>
    </w:r>
    <w:r w:rsidR="00131815">
      <w:rPr>
        <w:noProof/>
        <w:sz w:val="20"/>
        <w:szCs w:val="20"/>
      </w:rPr>
      <w:t>15</w:t>
    </w:r>
    <w:r w:rsidR="00F90040" w:rsidRPr="00A26754">
      <w:rPr>
        <w:sz w:val="20"/>
        <w:szCs w:val="20"/>
      </w:rPr>
      <w:fldChar w:fldCharType="end"/>
    </w:r>
  </w:p>
  <w:p w:rsidR="00CD158A" w:rsidRDefault="00CD15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nsid w:val="00FB511A"/>
    <w:multiLevelType w:val="hybridMultilevel"/>
    <w:tmpl w:val="35CC569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3777A0"/>
    <w:multiLevelType w:val="hybridMultilevel"/>
    <w:tmpl w:val="49582D9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AB7FC9"/>
    <w:multiLevelType w:val="multilevel"/>
    <w:tmpl w:val="F61C16A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0460365"/>
    <w:multiLevelType w:val="multilevel"/>
    <w:tmpl w:val="A7A874D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C8F5752"/>
    <w:multiLevelType w:val="multilevel"/>
    <w:tmpl w:val="7CB6E4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F6A62E6"/>
    <w:multiLevelType w:val="hybridMultilevel"/>
    <w:tmpl w:val="83FE4ECC"/>
    <w:lvl w:ilvl="0" w:tplc="D88E6D5A">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D24D7C"/>
    <w:multiLevelType w:val="multilevel"/>
    <w:tmpl w:val="A7A874D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5FC49FD"/>
    <w:multiLevelType w:val="multilevel"/>
    <w:tmpl w:val="913E85D8"/>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4E0F60EB"/>
    <w:multiLevelType w:val="hybridMultilevel"/>
    <w:tmpl w:val="6304010E"/>
    <w:lvl w:ilvl="0" w:tplc="FF68C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A64E9A"/>
    <w:multiLevelType w:val="hybridMultilevel"/>
    <w:tmpl w:val="23E692C0"/>
    <w:lvl w:ilvl="0" w:tplc="30AA711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5C270053"/>
    <w:multiLevelType w:val="hybridMultilevel"/>
    <w:tmpl w:val="47ACE5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3197649"/>
    <w:multiLevelType w:val="multilevel"/>
    <w:tmpl w:val="0E46D6B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7BF4CAE"/>
    <w:multiLevelType w:val="hybridMultilevel"/>
    <w:tmpl w:val="89DE72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94F4FE8"/>
    <w:multiLevelType w:val="hybridMultilevel"/>
    <w:tmpl w:val="F4E6C338"/>
    <w:lvl w:ilvl="0" w:tplc="2D7A03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2759A2"/>
    <w:multiLevelType w:val="hybridMultilevel"/>
    <w:tmpl w:val="E53A9B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D7078CD"/>
    <w:multiLevelType w:val="multilevel"/>
    <w:tmpl w:val="4A88B5F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0"/>
  </w:num>
  <w:num w:numId="3">
    <w:abstractNumId w:val="11"/>
  </w:num>
  <w:num w:numId="4">
    <w:abstractNumId w:val="21"/>
  </w:num>
  <w:num w:numId="5">
    <w:abstractNumId w:val="9"/>
  </w:num>
  <w:num w:numId="6">
    <w:abstractNumId w:val="7"/>
  </w:num>
  <w:num w:numId="7">
    <w:abstractNumId w:val="6"/>
  </w:num>
  <w:num w:numId="8">
    <w:abstractNumId w:val="5"/>
  </w:num>
  <w:num w:numId="9">
    <w:abstractNumId w:val="22"/>
  </w:num>
  <w:num w:numId="10">
    <w:abstractNumId w:val="14"/>
  </w:num>
  <w:num w:numId="11">
    <w:abstractNumId w:val="3"/>
  </w:num>
  <w:num w:numId="12">
    <w:abstractNumId w:val="13"/>
  </w:num>
  <w:num w:numId="13">
    <w:abstractNumId w:val="0"/>
  </w:num>
  <w:num w:numId="14">
    <w:abstractNumId w:val="2"/>
  </w:num>
  <w:num w:numId="15">
    <w:abstractNumId w:val="18"/>
  </w:num>
  <w:num w:numId="16">
    <w:abstractNumId w:val="16"/>
  </w:num>
  <w:num w:numId="17">
    <w:abstractNumId w:val="8"/>
  </w:num>
  <w:num w:numId="18">
    <w:abstractNumId w:val="23"/>
  </w:num>
  <w:num w:numId="19">
    <w:abstractNumId w:val="20"/>
  </w:num>
  <w:num w:numId="20">
    <w:abstractNumId w:val="1"/>
  </w:num>
  <w:num w:numId="21">
    <w:abstractNumId w:val="17"/>
  </w:num>
  <w:num w:numId="22">
    <w:abstractNumId w:val="15"/>
  </w:num>
  <w:num w:numId="23">
    <w:abstractNumId w:val="12"/>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30DA5"/>
    <w:rsid w:val="000150F7"/>
    <w:rsid w:val="00024CAA"/>
    <w:rsid w:val="00030637"/>
    <w:rsid w:val="00031233"/>
    <w:rsid w:val="00046290"/>
    <w:rsid w:val="00070541"/>
    <w:rsid w:val="000860AA"/>
    <w:rsid w:val="00090EC1"/>
    <w:rsid w:val="0009334B"/>
    <w:rsid w:val="000B5325"/>
    <w:rsid w:val="000D56C5"/>
    <w:rsid w:val="000D5AA9"/>
    <w:rsid w:val="000E2D4A"/>
    <w:rsid w:val="000F2F3D"/>
    <w:rsid w:val="000F7E71"/>
    <w:rsid w:val="0010226F"/>
    <w:rsid w:val="00102357"/>
    <w:rsid w:val="00116B0C"/>
    <w:rsid w:val="00131815"/>
    <w:rsid w:val="0013305C"/>
    <w:rsid w:val="00151225"/>
    <w:rsid w:val="00157B13"/>
    <w:rsid w:val="00176E8A"/>
    <w:rsid w:val="001842A5"/>
    <w:rsid w:val="0019677D"/>
    <w:rsid w:val="001C16BD"/>
    <w:rsid w:val="001C4713"/>
    <w:rsid w:val="001C7D73"/>
    <w:rsid w:val="0021580B"/>
    <w:rsid w:val="00222629"/>
    <w:rsid w:val="00223F88"/>
    <w:rsid w:val="0024083B"/>
    <w:rsid w:val="00251C5B"/>
    <w:rsid w:val="0029569B"/>
    <w:rsid w:val="002D6AEB"/>
    <w:rsid w:val="002E6D8C"/>
    <w:rsid w:val="002E6E9E"/>
    <w:rsid w:val="00304F22"/>
    <w:rsid w:val="00334FAE"/>
    <w:rsid w:val="00336186"/>
    <w:rsid w:val="00395AB0"/>
    <w:rsid w:val="003E0B29"/>
    <w:rsid w:val="003E4317"/>
    <w:rsid w:val="003E55C7"/>
    <w:rsid w:val="00405D06"/>
    <w:rsid w:val="004412C1"/>
    <w:rsid w:val="00471ABE"/>
    <w:rsid w:val="00483068"/>
    <w:rsid w:val="004F2446"/>
    <w:rsid w:val="00507DA9"/>
    <w:rsid w:val="00516900"/>
    <w:rsid w:val="00522B71"/>
    <w:rsid w:val="00523492"/>
    <w:rsid w:val="00527DFC"/>
    <w:rsid w:val="005310A0"/>
    <w:rsid w:val="005569A7"/>
    <w:rsid w:val="00572943"/>
    <w:rsid w:val="005A139E"/>
    <w:rsid w:val="005C059F"/>
    <w:rsid w:val="005F1F76"/>
    <w:rsid w:val="00630DA5"/>
    <w:rsid w:val="00636DBF"/>
    <w:rsid w:val="006963C9"/>
    <w:rsid w:val="006D58B7"/>
    <w:rsid w:val="00717BF9"/>
    <w:rsid w:val="0073666F"/>
    <w:rsid w:val="007648DF"/>
    <w:rsid w:val="0077720D"/>
    <w:rsid w:val="007C0EEB"/>
    <w:rsid w:val="007C44AB"/>
    <w:rsid w:val="007C6BB5"/>
    <w:rsid w:val="007D5183"/>
    <w:rsid w:val="007E1086"/>
    <w:rsid w:val="007E3DFD"/>
    <w:rsid w:val="007F3314"/>
    <w:rsid w:val="00806BA6"/>
    <w:rsid w:val="008070E8"/>
    <w:rsid w:val="008114DE"/>
    <w:rsid w:val="00814A3C"/>
    <w:rsid w:val="00823A34"/>
    <w:rsid w:val="0082738D"/>
    <w:rsid w:val="00836713"/>
    <w:rsid w:val="00886FD8"/>
    <w:rsid w:val="008B1CAE"/>
    <w:rsid w:val="008C04D8"/>
    <w:rsid w:val="008C40C9"/>
    <w:rsid w:val="008C5016"/>
    <w:rsid w:val="008F4A8F"/>
    <w:rsid w:val="00915173"/>
    <w:rsid w:val="00917AC6"/>
    <w:rsid w:val="009364BD"/>
    <w:rsid w:val="00951C4A"/>
    <w:rsid w:val="009B10BC"/>
    <w:rsid w:val="009B36F0"/>
    <w:rsid w:val="009C4828"/>
    <w:rsid w:val="009C6F09"/>
    <w:rsid w:val="009E63FB"/>
    <w:rsid w:val="009F3EEE"/>
    <w:rsid w:val="00A2151A"/>
    <w:rsid w:val="00A34C82"/>
    <w:rsid w:val="00A77169"/>
    <w:rsid w:val="00A84798"/>
    <w:rsid w:val="00A87674"/>
    <w:rsid w:val="00AC5ADF"/>
    <w:rsid w:val="00B01574"/>
    <w:rsid w:val="00B10503"/>
    <w:rsid w:val="00B14543"/>
    <w:rsid w:val="00B25854"/>
    <w:rsid w:val="00B40D7F"/>
    <w:rsid w:val="00B5561C"/>
    <w:rsid w:val="00B643D1"/>
    <w:rsid w:val="00B6608E"/>
    <w:rsid w:val="00B775EF"/>
    <w:rsid w:val="00B90EA7"/>
    <w:rsid w:val="00BA0B92"/>
    <w:rsid w:val="00BC3593"/>
    <w:rsid w:val="00BC3F7D"/>
    <w:rsid w:val="00BD0DF2"/>
    <w:rsid w:val="00C14A6A"/>
    <w:rsid w:val="00C16C66"/>
    <w:rsid w:val="00C32FB3"/>
    <w:rsid w:val="00C54F64"/>
    <w:rsid w:val="00C606A6"/>
    <w:rsid w:val="00C87AC1"/>
    <w:rsid w:val="00C94C89"/>
    <w:rsid w:val="00CA76C3"/>
    <w:rsid w:val="00CB778D"/>
    <w:rsid w:val="00CC47C4"/>
    <w:rsid w:val="00CC702E"/>
    <w:rsid w:val="00CD158A"/>
    <w:rsid w:val="00CF137D"/>
    <w:rsid w:val="00D01824"/>
    <w:rsid w:val="00D045A7"/>
    <w:rsid w:val="00D31CA5"/>
    <w:rsid w:val="00D51B8F"/>
    <w:rsid w:val="00D66B19"/>
    <w:rsid w:val="00D8736A"/>
    <w:rsid w:val="00DD19C3"/>
    <w:rsid w:val="00DD78C0"/>
    <w:rsid w:val="00E005E1"/>
    <w:rsid w:val="00E03ABD"/>
    <w:rsid w:val="00E2211C"/>
    <w:rsid w:val="00E8494A"/>
    <w:rsid w:val="00E84A16"/>
    <w:rsid w:val="00E869BE"/>
    <w:rsid w:val="00E87957"/>
    <w:rsid w:val="00E959F5"/>
    <w:rsid w:val="00EA7FA9"/>
    <w:rsid w:val="00EC2941"/>
    <w:rsid w:val="00ED14FD"/>
    <w:rsid w:val="00ED5450"/>
    <w:rsid w:val="00EF6823"/>
    <w:rsid w:val="00F06BED"/>
    <w:rsid w:val="00F5402E"/>
    <w:rsid w:val="00F7575D"/>
    <w:rsid w:val="00F824FF"/>
    <w:rsid w:val="00F90040"/>
    <w:rsid w:val="00F93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A5"/>
    <w:pPr>
      <w:spacing w:line="240" w:lineRule="auto"/>
    </w:pPr>
    <w:rPr>
      <w:rFonts w:ascii="Times New Roman" w:eastAsia="Times New Roman" w:hAnsi="Times New Roman" w:cs="Times New Roman"/>
      <w:sz w:val="24"/>
      <w:lang w:bidi="en-US"/>
    </w:rPr>
  </w:style>
  <w:style w:type="paragraph" w:styleId="Heading1">
    <w:name w:val="heading 1"/>
    <w:basedOn w:val="Normal"/>
    <w:next w:val="Normal"/>
    <w:link w:val="Heading1Char"/>
    <w:qFormat/>
    <w:rsid w:val="000F2F3D"/>
    <w:pPr>
      <w:keepNext/>
      <w:spacing w:after="0"/>
      <w:jc w:val="center"/>
      <w:outlineLvl w:val="0"/>
    </w:pPr>
    <w:rPr>
      <w:rFonts w:ascii="Arial" w:hAnsi="Arial" w:cs="Arial"/>
      <w:b/>
      <w:bCs/>
      <w:sz w:val="20"/>
      <w:szCs w:val="20"/>
      <w:lang w:bidi="ar-SA"/>
    </w:rPr>
  </w:style>
  <w:style w:type="paragraph" w:styleId="Heading2">
    <w:name w:val="heading 2"/>
    <w:basedOn w:val="Normal"/>
    <w:next w:val="Normal"/>
    <w:link w:val="Heading2Char"/>
    <w:qFormat/>
    <w:rsid w:val="000F2F3D"/>
    <w:pPr>
      <w:keepNext/>
      <w:spacing w:after="0"/>
      <w:outlineLvl w:val="1"/>
    </w:pPr>
    <w:rPr>
      <w:rFonts w:ascii="Arial" w:hAnsi="Arial" w:cs="Arial"/>
      <w:b/>
      <w:bCs/>
      <w:sz w:val="18"/>
      <w:szCs w:val="20"/>
      <w:lang w:bidi="ar-SA"/>
    </w:rPr>
  </w:style>
  <w:style w:type="paragraph" w:styleId="Heading3">
    <w:name w:val="heading 3"/>
    <w:basedOn w:val="Normal"/>
    <w:next w:val="Normal"/>
    <w:link w:val="Heading3Char"/>
    <w:qFormat/>
    <w:rsid w:val="000F2F3D"/>
    <w:pPr>
      <w:keepNext/>
      <w:spacing w:after="0"/>
      <w:outlineLvl w:val="2"/>
    </w:pPr>
    <w:rPr>
      <w:rFonts w:ascii="Arial" w:hAnsi="Arial"/>
      <w:b/>
      <w:bCs/>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
    <w:basedOn w:val="Normal"/>
    <w:link w:val="FootnoteTextChar"/>
    <w:unhideWhenUsed/>
    <w:rsid w:val="00630DA5"/>
    <w:pPr>
      <w:keepNext/>
      <w:keepLines/>
      <w:spacing w:after="120"/>
      <w:ind w:left="288" w:hanging="288"/>
      <w:jc w:val="both"/>
    </w:pPr>
    <w:rPr>
      <w:rFonts w:eastAsia="Calibri"/>
      <w:spacing w:val="-3"/>
      <w:sz w:val="20"/>
      <w:szCs w:val="24"/>
      <w:lang w:bidi="ar-SA"/>
    </w:rPr>
  </w:style>
  <w:style w:type="character" w:customStyle="1" w:styleId="FootnoteTextChar">
    <w:name w:val="Footnote Text Char"/>
    <w:aliases w:val="fn Char"/>
    <w:basedOn w:val="DefaultParagraphFont"/>
    <w:link w:val="FootnoteText"/>
    <w:uiPriority w:val="99"/>
    <w:rsid w:val="00630DA5"/>
    <w:rPr>
      <w:rFonts w:ascii="Times New Roman" w:eastAsia="Calibri" w:hAnsi="Times New Roman" w:cs="Times New Roman"/>
      <w:spacing w:val="-3"/>
      <w:sz w:val="20"/>
      <w:szCs w:val="24"/>
    </w:rPr>
  </w:style>
  <w:style w:type="character" w:styleId="FootnoteReference">
    <w:name w:val="footnote reference"/>
    <w:basedOn w:val="DefaultParagraphFont"/>
    <w:unhideWhenUsed/>
    <w:rsid w:val="00630DA5"/>
    <w:rPr>
      <w:vertAlign w:val="superscript"/>
    </w:rPr>
  </w:style>
  <w:style w:type="character" w:styleId="Hyperlink">
    <w:name w:val="Hyperlink"/>
    <w:basedOn w:val="DefaultParagraphFont"/>
    <w:rsid w:val="00630DA5"/>
    <w:rPr>
      <w:color w:val="0000FF"/>
      <w:u w:val="single"/>
    </w:rPr>
  </w:style>
  <w:style w:type="paragraph" w:styleId="NoSpacing">
    <w:name w:val="No Spacing"/>
    <w:uiPriority w:val="1"/>
    <w:qFormat/>
    <w:rsid w:val="00630DA5"/>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1C7D73"/>
    <w:pPr>
      <w:tabs>
        <w:tab w:val="center" w:pos="4680"/>
        <w:tab w:val="right" w:pos="9360"/>
      </w:tabs>
      <w:spacing w:after="0"/>
    </w:pPr>
  </w:style>
  <w:style w:type="character" w:customStyle="1" w:styleId="HeaderChar">
    <w:name w:val="Header Char"/>
    <w:basedOn w:val="DefaultParagraphFont"/>
    <w:link w:val="Header"/>
    <w:uiPriority w:val="99"/>
    <w:rsid w:val="001C7D73"/>
    <w:rPr>
      <w:rFonts w:ascii="Times New Roman" w:eastAsia="Times New Roman" w:hAnsi="Times New Roman" w:cs="Times New Roman"/>
      <w:sz w:val="24"/>
      <w:lang w:bidi="en-US"/>
    </w:rPr>
  </w:style>
  <w:style w:type="paragraph" w:styleId="Footer">
    <w:name w:val="footer"/>
    <w:basedOn w:val="Normal"/>
    <w:link w:val="FooterChar"/>
    <w:uiPriority w:val="99"/>
    <w:semiHidden/>
    <w:unhideWhenUsed/>
    <w:rsid w:val="001C7D73"/>
    <w:pPr>
      <w:tabs>
        <w:tab w:val="center" w:pos="4680"/>
        <w:tab w:val="right" w:pos="9360"/>
      </w:tabs>
      <w:spacing w:after="0"/>
    </w:pPr>
  </w:style>
  <w:style w:type="character" w:customStyle="1" w:styleId="FooterChar">
    <w:name w:val="Footer Char"/>
    <w:basedOn w:val="DefaultParagraphFont"/>
    <w:link w:val="Footer"/>
    <w:uiPriority w:val="99"/>
    <w:semiHidden/>
    <w:rsid w:val="001C7D73"/>
    <w:rPr>
      <w:rFonts w:ascii="Times New Roman" w:eastAsia="Times New Roman" w:hAnsi="Times New Roman" w:cs="Times New Roman"/>
      <w:sz w:val="24"/>
      <w:lang w:bidi="en-US"/>
    </w:rPr>
  </w:style>
  <w:style w:type="paragraph" w:styleId="BodyText">
    <w:name w:val="Body Text"/>
    <w:basedOn w:val="Normal"/>
    <w:link w:val="BodyTextChar"/>
    <w:rsid w:val="003E4317"/>
    <w:pPr>
      <w:tabs>
        <w:tab w:val="left" w:pos="3060"/>
      </w:tabs>
      <w:suppressAutoHyphens/>
      <w:spacing w:after="0"/>
      <w:jc w:val="center"/>
    </w:pPr>
    <w:rPr>
      <w:rFonts w:cs="Calibri"/>
      <w:szCs w:val="20"/>
      <w:lang w:eastAsia="ar-SA" w:bidi="ar-SA"/>
    </w:rPr>
  </w:style>
  <w:style w:type="character" w:customStyle="1" w:styleId="BodyTextChar">
    <w:name w:val="Body Text Char"/>
    <w:basedOn w:val="DefaultParagraphFont"/>
    <w:link w:val="BodyText"/>
    <w:rsid w:val="003E4317"/>
    <w:rPr>
      <w:rFonts w:ascii="Times New Roman" w:eastAsia="Times New Roman" w:hAnsi="Times New Roman" w:cs="Calibri"/>
      <w:sz w:val="24"/>
      <w:szCs w:val="20"/>
      <w:lang w:eastAsia="ar-SA"/>
    </w:rPr>
  </w:style>
  <w:style w:type="paragraph" w:customStyle="1" w:styleId="ColorfulList-Accent11">
    <w:name w:val="Colorful List - Accent 11"/>
    <w:basedOn w:val="Normal"/>
    <w:rsid w:val="003E4317"/>
    <w:pPr>
      <w:suppressAutoHyphens/>
      <w:spacing w:line="276" w:lineRule="auto"/>
      <w:ind w:left="720"/>
    </w:pPr>
    <w:rPr>
      <w:rFonts w:ascii="Calibri" w:eastAsia="Calibri" w:hAnsi="Calibri" w:cs="Calibri"/>
      <w:sz w:val="22"/>
      <w:lang w:eastAsia="ar-SA" w:bidi="ar-SA"/>
    </w:rPr>
  </w:style>
  <w:style w:type="paragraph" w:styleId="Title">
    <w:name w:val="Title"/>
    <w:basedOn w:val="Normal"/>
    <w:next w:val="Normal"/>
    <w:link w:val="TitleChar"/>
    <w:qFormat/>
    <w:rsid w:val="003E4317"/>
    <w:pPr>
      <w:tabs>
        <w:tab w:val="left" w:pos="1440"/>
        <w:tab w:val="left" w:pos="3060"/>
      </w:tabs>
      <w:suppressAutoHyphens/>
      <w:spacing w:after="0"/>
      <w:jc w:val="center"/>
    </w:pPr>
    <w:rPr>
      <w:rFonts w:cs="Calibri"/>
      <w:szCs w:val="20"/>
      <w:lang w:eastAsia="ar-SA" w:bidi="ar-SA"/>
    </w:rPr>
  </w:style>
  <w:style w:type="character" w:customStyle="1" w:styleId="TitleChar">
    <w:name w:val="Title Char"/>
    <w:basedOn w:val="DefaultParagraphFont"/>
    <w:link w:val="Title"/>
    <w:rsid w:val="003E4317"/>
    <w:rPr>
      <w:rFonts w:ascii="Times New Roman" w:eastAsia="Times New Roman" w:hAnsi="Times New Roman" w:cs="Calibri"/>
      <w:sz w:val="24"/>
      <w:szCs w:val="20"/>
      <w:lang w:eastAsia="ar-SA"/>
    </w:rPr>
  </w:style>
  <w:style w:type="paragraph" w:customStyle="1" w:styleId="Newpage">
    <w:name w:val="Newpage"/>
    <w:basedOn w:val="Normal"/>
    <w:rsid w:val="003E4317"/>
    <w:pPr>
      <w:tabs>
        <w:tab w:val="left" w:pos="1440"/>
        <w:tab w:val="left" w:pos="3060"/>
      </w:tabs>
      <w:suppressAutoHyphens/>
      <w:spacing w:after="0"/>
      <w:jc w:val="center"/>
    </w:pPr>
    <w:rPr>
      <w:rFonts w:cs="Arial"/>
      <w:b/>
      <w:smallCaps/>
      <w:szCs w:val="20"/>
      <w:lang w:eastAsia="ar-SA" w:bidi="ar-SA"/>
    </w:rPr>
  </w:style>
  <w:style w:type="paragraph" w:styleId="ListParagraph">
    <w:name w:val="List Paragraph"/>
    <w:basedOn w:val="Normal"/>
    <w:qFormat/>
    <w:rsid w:val="003E4317"/>
    <w:pPr>
      <w:suppressAutoHyphens/>
      <w:spacing w:line="276" w:lineRule="auto"/>
      <w:ind w:left="708"/>
    </w:pPr>
    <w:rPr>
      <w:rFonts w:ascii="Calibri" w:eastAsia="Calibri" w:hAnsi="Calibri" w:cs="Calibri"/>
      <w:sz w:val="22"/>
      <w:lang w:eastAsia="ar-SA" w:bidi="ar-SA"/>
    </w:rPr>
  </w:style>
  <w:style w:type="paragraph" w:styleId="TOC2">
    <w:name w:val="toc 2"/>
    <w:basedOn w:val="Normal"/>
    <w:next w:val="Normal"/>
    <w:autoRedefine/>
    <w:uiPriority w:val="39"/>
    <w:unhideWhenUsed/>
    <w:rsid w:val="003E4317"/>
    <w:pPr>
      <w:tabs>
        <w:tab w:val="left" w:pos="1152"/>
        <w:tab w:val="right" w:leader="dot" w:pos="8741"/>
      </w:tabs>
      <w:spacing w:after="0"/>
      <w:ind w:left="1166" w:hanging="605"/>
    </w:pPr>
    <w:rPr>
      <w:rFonts w:eastAsia="Calibri"/>
      <w:lang w:eastAsia="ar-SA" w:bidi="ar-SA"/>
    </w:rPr>
  </w:style>
  <w:style w:type="paragraph" w:styleId="TOC3">
    <w:name w:val="toc 3"/>
    <w:basedOn w:val="Normal"/>
    <w:next w:val="Normal"/>
    <w:autoRedefine/>
    <w:uiPriority w:val="39"/>
    <w:unhideWhenUsed/>
    <w:rsid w:val="003E4317"/>
    <w:pPr>
      <w:tabs>
        <w:tab w:val="left" w:pos="1728"/>
        <w:tab w:val="right" w:leader="dot" w:pos="8741"/>
      </w:tabs>
      <w:spacing w:after="0"/>
      <w:ind w:left="1714" w:hanging="562"/>
    </w:pPr>
    <w:rPr>
      <w:rFonts w:eastAsia="Calibri"/>
      <w:lang w:eastAsia="ar-SA" w:bidi="ar-SA"/>
    </w:rPr>
  </w:style>
  <w:style w:type="paragraph" w:styleId="Subtitle">
    <w:name w:val="Subtitle"/>
    <w:basedOn w:val="Normal"/>
    <w:next w:val="Normal"/>
    <w:link w:val="SubtitleChar"/>
    <w:uiPriority w:val="11"/>
    <w:qFormat/>
    <w:rsid w:val="003E431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3E4317"/>
    <w:rPr>
      <w:rFonts w:asciiTheme="majorHAnsi" w:eastAsiaTheme="majorEastAsia" w:hAnsiTheme="majorHAnsi" w:cstheme="majorBidi"/>
      <w:i/>
      <w:iCs/>
      <w:color w:val="4F81BD" w:themeColor="accent1"/>
      <w:spacing w:val="15"/>
      <w:sz w:val="24"/>
      <w:szCs w:val="24"/>
      <w:lang w:bidi="en-US"/>
    </w:rPr>
  </w:style>
  <w:style w:type="paragraph" w:customStyle="1" w:styleId="Chapter">
    <w:name w:val="Chapter"/>
    <w:basedOn w:val="Normal"/>
    <w:next w:val="Normal"/>
    <w:autoRedefine/>
    <w:rsid w:val="008C5016"/>
    <w:pPr>
      <w:numPr>
        <w:numId w:val="11"/>
      </w:numPr>
      <w:tabs>
        <w:tab w:val="left" w:pos="1440"/>
      </w:tabs>
      <w:spacing w:before="240" w:after="240"/>
      <w:jc w:val="center"/>
    </w:pPr>
    <w:rPr>
      <w:b/>
      <w:smallCaps/>
      <w:noProof/>
      <w:szCs w:val="20"/>
      <w:lang w:bidi="ar-SA"/>
    </w:rPr>
  </w:style>
  <w:style w:type="paragraph" w:customStyle="1" w:styleId="Paragraph">
    <w:name w:val="Paragraph"/>
    <w:basedOn w:val="BodyTextIndent"/>
    <w:rsid w:val="008C5016"/>
    <w:pPr>
      <w:numPr>
        <w:ilvl w:val="1"/>
        <w:numId w:val="11"/>
      </w:numPr>
      <w:spacing w:before="120"/>
      <w:jc w:val="both"/>
      <w:outlineLvl w:val="1"/>
    </w:pPr>
    <w:rPr>
      <w:szCs w:val="20"/>
      <w:lang w:bidi="ar-SA"/>
    </w:rPr>
  </w:style>
  <w:style w:type="paragraph" w:customStyle="1" w:styleId="subpar">
    <w:name w:val="subpar"/>
    <w:basedOn w:val="BodyTextIndent3"/>
    <w:rsid w:val="008C5016"/>
    <w:pPr>
      <w:numPr>
        <w:ilvl w:val="2"/>
        <w:numId w:val="11"/>
      </w:numPr>
      <w:spacing w:before="120"/>
      <w:jc w:val="both"/>
      <w:outlineLvl w:val="2"/>
    </w:pPr>
    <w:rPr>
      <w:sz w:val="24"/>
      <w:szCs w:val="20"/>
      <w:lang w:bidi="ar-SA"/>
    </w:rPr>
  </w:style>
  <w:style w:type="paragraph" w:customStyle="1" w:styleId="SubSubPar">
    <w:name w:val="SubSubPar"/>
    <w:basedOn w:val="subpar"/>
    <w:rsid w:val="008C5016"/>
    <w:pPr>
      <w:numPr>
        <w:ilvl w:val="3"/>
      </w:numPr>
      <w:tabs>
        <w:tab w:val="left" w:pos="0"/>
      </w:tabs>
    </w:pPr>
  </w:style>
  <w:style w:type="paragraph" w:styleId="BodyTextIndent">
    <w:name w:val="Body Text Indent"/>
    <w:basedOn w:val="Normal"/>
    <w:link w:val="BodyTextIndentChar"/>
    <w:uiPriority w:val="99"/>
    <w:semiHidden/>
    <w:unhideWhenUsed/>
    <w:rsid w:val="008C5016"/>
    <w:pPr>
      <w:spacing w:after="120"/>
      <w:ind w:left="360"/>
    </w:pPr>
  </w:style>
  <w:style w:type="character" w:customStyle="1" w:styleId="BodyTextIndentChar">
    <w:name w:val="Body Text Indent Char"/>
    <w:basedOn w:val="DefaultParagraphFont"/>
    <w:link w:val="BodyTextIndent"/>
    <w:uiPriority w:val="99"/>
    <w:semiHidden/>
    <w:rsid w:val="008C5016"/>
    <w:rPr>
      <w:rFonts w:ascii="Times New Roman" w:eastAsia="Times New Roman" w:hAnsi="Times New Roman" w:cs="Times New Roman"/>
      <w:sz w:val="24"/>
      <w:lang w:bidi="en-US"/>
    </w:rPr>
  </w:style>
  <w:style w:type="paragraph" w:styleId="BodyTextIndent3">
    <w:name w:val="Body Text Indent 3"/>
    <w:basedOn w:val="Normal"/>
    <w:link w:val="BodyTextIndent3Char"/>
    <w:uiPriority w:val="99"/>
    <w:semiHidden/>
    <w:unhideWhenUsed/>
    <w:rsid w:val="008C50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C5016"/>
    <w:rPr>
      <w:rFonts w:ascii="Times New Roman" w:eastAsia="Times New Roman" w:hAnsi="Times New Roman" w:cs="Times New Roman"/>
      <w:sz w:val="16"/>
      <w:szCs w:val="16"/>
      <w:lang w:bidi="en-US"/>
    </w:rPr>
  </w:style>
  <w:style w:type="paragraph" w:customStyle="1" w:styleId="ABBR">
    <w:name w:val="ABBR"/>
    <w:basedOn w:val="Normal"/>
    <w:rsid w:val="00405D06"/>
    <w:pPr>
      <w:spacing w:after="0"/>
    </w:pPr>
    <w:rPr>
      <w:caps/>
      <w:szCs w:val="20"/>
      <w:lang w:bidi="ar-SA"/>
    </w:rPr>
  </w:style>
  <w:style w:type="paragraph" w:customStyle="1" w:styleId="AbbrDesc">
    <w:name w:val="AbbrDesc"/>
    <w:basedOn w:val="Normal"/>
    <w:rsid w:val="00405D06"/>
    <w:pPr>
      <w:tabs>
        <w:tab w:val="left" w:pos="3060"/>
      </w:tabs>
      <w:spacing w:after="0"/>
      <w:jc w:val="both"/>
    </w:pPr>
    <w:rPr>
      <w:szCs w:val="20"/>
      <w:lang w:bidi="ar-SA"/>
    </w:rPr>
  </w:style>
  <w:style w:type="character" w:customStyle="1" w:styleId="Heading1Char">
    <w:name w:val="Heading 1 Char"/>
    <w:basedOn w:val="DefaultParagraphFont"/>
    <w:link w:val="Heading1"/>
    <w:rsid w:val="000F2F3D"/>
    <w:rPr>
      <w:rFonts w:ascii="Arial" w:eastAsia="Times New Roman" w:hAnsi="Arial" w:cs="Arial"/>
      <w:b/>
      <w:bCs/>
      <w:sz w:val="20"/>
      <w:szCs w:val="20"/>
    </w:rPr>
  </w:style>
  <w:style w:type="character" w:customStyle="1" w:styleId="Heading2Char">
    <w:name w:val="Heading 2 Char"/>
    <w:basedOn w:val="DefaultParagraphFont"/>
    <w:link w:val="Heading2"/>
    <w:rsid w:val="000F2F3D"/>
    <w:rPr>
      <w:rFonts w:ascii="Arial" w:eastAsia="Times New Roman" w:hAnsi="Arial" w:cs="Arial"/>
      <w:b/>
      <w:bCs/>
      <w:sz w:val="18"/>
      <w:szCs w:val="20"/>
    </w:rPr>
  </w:style>
  <w:style w:type="character" w:customStyle="1" w:styleId="Heading3Char">
    <w:name w:val="Heading 3 Char"/>
    <w:basedOn w:val="DefaultParagraphFont"/>
    <w:link w:val="Heading3"/>
    <w:rsid w:val="000F2F3D"/>
    <w:rPr>
      <w:rFonts w:ascii="Arial" w:eastAsia="Times New Roman" w:hAnsi="Arial" w:cs="Times New Roman"/>
      <w:b/>
      <w:bCs/>
      <w:sz w:val="20"/>
      <w:szCs w:val="20"/>
    </w:rPr>
  </w:style>
  <w:style w:type="table" w:styleId="TableGrid">
    <w:name w:val="Table Grid"/>
    <w:basedOn w:val="TableNormal"/>
    <w:uiPriority w:val="59"/>
    <w:rsid w:val="00176E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able">
    <w:name w:val="Regtable"/>
    <w:basedOn w:val="Normal"/>
    <w:rsid w:val="00915173"/>
    <w:pPr>
      <w:keepLines/>
      <w:suppressAutoHyphens/>
      <w:spacing w:before="20" w:after="20"/>
    </w:pPr>
    <w:rPr>
      <w:rFonts w:eastAsia="Calibri" w:cs="Calibri"/>
      <w:sz w:val="20"/>
      <w:lang w:eastAsia="ar-SA" w:bidi="ar-SA"/>
    </w:rPr>
  </w:style>
  <w:style w:type="paragraph" w:customStyle="1" w:styleId="TableTitle">
    <w:name w:val="TableTitle"/>
    <w:basedOn w:val="ColorfulList-Accent11"/>
    <w:rsid w:val="00915173"/>
    <w:pPr>
      <w:keepNext/>
      <w:spacing w:before="20" w:after="20" w:line="240" w:lineRule="auto"/>
      <w:ind w:left="0"/>
      <w:jc w:val="center"/>
    </w:pPr>
    <w:rPr>
      <w:rFonts w:ascii="Times New Roman Bold" w:hAnsi="Times New Roman Bold"/>
      <w:b/>
      <w:spacing w:val="-3"/>
      <w:sz w:val="20"/>
    </w:rPr>
  </w:style>
  <w:style w:type="paragraph" w:styleId="BalloonText">
    <w:name w:val="Balloon Text"/>
    <w:basedOn w:val="Normal"/>
    <w:link w:val="BalloonTextChar"/>
    <w:uiPriority w:val="99"/>
    <w:semiHidden/>
    <w:unhideWhenUsed/>
    <w:rsid w:val="007772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20D"/>
    <w:rPr>
      <w:rFonts w:ascii="Tahoma" w:eastAsia="Times New Roman"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F6A11B1D74A9E4A81980DA7F341744C" ma:contentTypeVersion="0" ma:contentTypeDescription="A content type to manage public (operations) IDB documents" ma:contentTypeScope="" ma:versionID="526f37d7ebe5204eebc0b271824d888d">
  <xsd:schema xmlns:xsd="http://www.w3.org/2001/XMLSchema" xmlns:xs="http://www.w3.org/2001/XMLSchema" xmlns:p="http://schemas.microsoft.com/office/2006/metadata/properties" xmlns:ns2="9c571b2f-e523-4ab2-ba2e-09e151a03ef4" targetNamespace="http://schemas.microsoft.com/office/2006/metadata/properties" ma:root="true" ma:fieldsID="bafd4bc984cf5f6aea22685423225c0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4445462-ea74-4a65-b2dc-4d24fbe905cc}" ma:internalName="TaxCatchAll" ma:showField="CatchAllData"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4445462-ea74-4a65-b2dc-4d24fbe905cc}" ma:internalName="TaxCatchAllLabel" ma:readOnly="true" ma:showField="CatchAllDataLabel"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36729102</IDBDocs_x0020_Number>
    <Document_x0020_Author xmlns="9c571b2f-e523-4ab2-ba2e-09e151a03ef4">Bellony, Annelle Dane</Document_x0020_Author>
    <Publication_x0020_Type xmlns="9c571b2f-e523-4ab2-ba2e-09e151a03ef4" xsi:nil="true"/>
    <Operation_x0020_Type xmlns="9c571b2f-e523-4ab2-ba2e-09e151a03ef4" xsi:nil="true"/>
    <TaxCatchAll xmlns="9c571b2f-e523-4ab2-ba2e-09e151a03ef4">
      <Value>14</Value>
      <Value>15</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SU-L1019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Whole&lt;/APPROVAL_DESC&gt;&lt;PD_OBJ_TYPE&gt;0&lt;/PD_OBJ_TYPE&gt;&lt;MAKERECORD&gt;N&lt;/MAKERECORD&gt;&lt;PD_FILEPT_NO&gt;PO-SU-L1019-Plan&lt;/PD_FILEPT_NO&gt;&lt;/Data&gt;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DA96E39-D06E-43A6-A3E3-D8C8DBC34719}"/>
</file>

<file path=customXml/itemProps2.xml><?xml version="1.0" encoding="utf-8"?>
<ds:datastoreItem xmlns:ds="http://schemas.openxmlformats.org/officeDocument/2006/customXml" ds:itemID="{DE1E0E93-5C19-40E2-A316-C9DE9B5F074F}"/>
</file>

<file path=customXml/itemProps3.xml><?xml version="1.0" encoding="utf-8"?>
<ds:datastoreItem xmlns:ds="http://schemas.openxmlformats.org/officeDocument/2006/customXml" ds:itemID="{874C7251-E51A-417F-A274-D9E1CBDAB0F7}"/>
</file>

<file path=customXml/itemProps4.xml><?xml version="1.0" encoding="utf-8"?>
<ds:datastoreItem xmlns:ds="http://schemas.openxmlformats.org/officeDocument/2006/customXml" ds:itemID="{18F443D9-9F16-401D-82B9-36F8CE91F994}"/>
</file>

<file path=customXml/itemProps5.xml><?xml version="1.0" encoding="utf-8"?>
<ds:datastoreItem xmlns:ds="http://schemas.openxmlformats.org/officeDocument/2006/customXml" ds:itemID="{83C35B08-79A4-4171-90FD-3850D01375B1}"/>
</file>

<file path=customXml/itemProps6.xml><?xml version="1.0" encoding="utf-8"?>
<ds:datastoreItem xmlns:ds="http://schemas.openxmlformats.org/officeDocument/2006/customXml" ds:itemID="{78F58AD2-193D-4B2C-9157-652016F727B7}"/>
</file>

<file path=docProps/app.xml><?xml version="1.0" encoding="utf-8"?>
<Properties xmlns="http://schemas.openxmlformats.org/officeDocument/2006/extended-properties" xmlns:vt="http://schemas.openxmlformats.org/officeDocument/2006/docPropsVTypes">
  <Template>Normal.dotm</Template>
  <TotalTime>2</TotalTime>
  <Pages>15</Pages>
  <Words>4640</Words>
  <Characters>25520</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Monitoring and Evaluation Plan V2</dc:title>
  <dc:subject/>
  <dc:creator>IADB</dc:creator>
  <cp:keywords/>
  <dc:description/>
  <cp:lastModifiedBy>Inter-American Development Bank</cp:lastModifiedBy>
  <cp:revision>4</cp:revision>
  <dcterms:created xsi:type="dcterms:W3CDTF">2012-05-31T18:41:00Z</dcterms:created>
  <dcterms:modified xsi:type="dcterms:W3CDTF">2012-05-31T18:43:00Z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0x01010046CF21643EE8D14686A648AA6DAD0892007F6A11B1D74A9E4A81980DA7F341744C</vt:lpwstr>
  </property>
  <property fmtid="{D5CDD505-2E9C-101B-9397-08002B2CF9AE}" pid="5" name="TaxKeywordTaxHTField">
    <vt:lpwstr/>
  </property>
  <property fmtid="{D5CDD505-2E9C-101B-9397-08002B2CF9AE}" pid="6" name="Series Operations IDB">
    <vt:lpwstr>14;#Project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15;#Project Preparation, Planning and Design|29ca0c72-1fc4-435f-a09c-28585cb5eac9</vt:lpwstr>
  </property>
</Properties>
</file>