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92E1A" w14:textId="77777777" w:rsidR="005F51A4" w:rsidRPr="005F51A4" w:rsidRDefault="005F51A4" w:rsidP="005F51A4">
      <w:pPr>
        <w:tabs>
          <w:tab w:val="left" w:pos="0"/>
        </w:tabs>
        <w:spacing w:before="120" w:after="0" w:line="240" w:lineRule="auto"/>
        <w:jc w:val="center"/>
        <w:outlineLvl w:val="2"/>
        <w:rPr>
          <w:rFonts w:ascii="Arial" w:eastAsia="Times New Roman" w:hAnsi="Arial" w:cs="Arial"/>
          <w:smallCaps/>
          <w:lang w:val="es-ES"/>
        </w:rPr>
      </w:pPr>
      <w:r w:rsidRPr="005F51A4">
        <w:rPr>
          <w:rFonts w:ascii="Arial" w:eastAsia="Times New Roman" w:hAnsi="Arial" w:cs="Arial"/>
          <w:smallCaps/>
          <w:lang w:val="es-ES"/>
        </w:rPr>
        <w:t>Documento del Banco Interamericano de Desarrollo</w:t>
      </w:r>
    </w:p>
    <w:p w14:paraId="6C3A69E5"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17FD56DA"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6CF9A8F5"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40D3AEF2"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13EB6224"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4820CBF4"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D3D376B"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083CD4E"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7B67DD1C"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5A9A68B7" w14:textId="77777777" w:rsidR="005F51A4" w:rsidRPr="005F51A4" w:rsidRDefault="005F51A4" w:rsidP="005F51A4">
      <w:pPr>
        <w:tabs>
          <w:tab w:val="left" w:pos="1440"/>
          <w:tab w:val="left" w:pos="3060"/>
        </w:tabs>
        <w:spacing w:after="0" w:line="240" w:lineRule="auto"/>
        <w:jc w:val="center"/>
        <w:rPr>
          <w:rFonts w:ascii="Arial" w:eastAsia="Times New Roman" w:hAnsi="Arial" w:cs="Arial"/>
          <w:b/>
          <w:smallCaps/>
          <w:sz w:val="28"/>
          <w:szCs w:val="28"/>
          <w:lang w:val="es-ES"/>
        </w:rPr>
      </w:pPr>
      <w:r w:rsidRPr="005F51A4">
        <w:rPr>
          <w:rFonts w:ascii="Arial" w:eastAsia="Times New Roman" w:hAnsi="Arial" w:cs="Arial"/>
          <w:b/>
          <w:smallCaps/>
          <w:sz w:val="28"/>
          <w:szCs w:val="28"/>
          <w:lang w:val="es-ES"/>
        </w:rPr>
        <w:t>Brasil</w:t>
      </w:r>
    </w:p>
    <w:p w14:paraId="70B023E5"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305E0C37"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30775EB"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70438D56"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6A921BB1"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023D5475"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05DDC959" w14:textId="77777777" w:rsidR="005F51A4" w:rsidRPr="005F51A4" w:rsidRDefault="005F51A4" w:rsidP="005F51A4">
      <w:pPr>
        <w:tabs>
          <w:tab w:val="left" w:pos="1440"/>
          <w:tab w:val="left" w:pos="3060"/>
        </w:tabs>
        <w:spacing w:after="0" w:line="240" w:lineRule="auto"/>
        <w:jc w:val="center"/>
        <w:rPr>
          <w:rFonts w:ascii="Arial" w:eastAsia="Times New Roman" w:hAnsi="Arial" w:cs="Arial"/>
          <w:b/>
          <w:smallCaps/>
          <w:sz w:val="28"/>
          <w:szCs w:val="28"/>
          <w:lang w:val="es-ES"/>
        </w:rPr>
      </w:pPr>
      <w:r w:rsidRPr="005F51A4">
        <w:rPr>
          <w:rFonts w:ascii="Arial" w:eastAsia="Times New Roman" w:hAnsi="Arial" w:cs="Arial"/>
          <w:b/>
          <w:smallCaps/>
          <w:sz w:val="28"/>
          <w:szCs w:val="28"/>
          <w:lang w:val="es-ES"/>
        </w:rPr>
        <w:t>Programa de Inversiones en Infraestructura Energética – CELESC-D</w:t>
      </w:r>
    </w:p>
    <w:p w14:paraId="288221B2" w14:textId="77777777" w:rsidR="005F51A4" w:rsidRPr="005F51A4" w:rsidRDefault="005F51A4" w:rsidP="005F51A4">
      <w:pPr>
        <w:keepNext/>
        <w:tabs>
          <w:tab w:val="left" w:pos="3060"/>
        </w:tabs>
        <w:spacing w:before="240" w:after="0" w:line="240" w:lineRule="auto"/>
        <w:jc w:val="center"/>
        <w:rPr>
          <w:rFonts w:ascii="Arial" w:eastAsia="Times New Roman" w:hAnsi="Arial" w:cs="Arial"/>
          <w:caps/>
          <w:lang w:val="es-ES"/>
        </w:rPr>
      </w:pPr>
    </w:p>
    <w:p w14:paraId="23536347" w14:textId="77777777" w:rsidR="005F51A4" w:rsidRPr="005F51A4" w:rsidRDefault="005F51A4" w:rsidP="005F51A4">
      <w:pPr>
        <w:keepNext/>
        <w:tabs>
          <w:tab w:val="left" w:pos="3060"/>
        </w:tabs>
        <w:spacing w:before="240" w:after="0" w:line="240" w:lineRule="auto"/>
        <w:jc w:val="center"/>
        <w:rPr>
          <w:rFonts w:ascii="Arial" w:eastAsia="Times New Roman" w:hAnsi="Arial" w:cs="Arial"/>
          <w:caps/>
          <w:lang w:val="es-ES"/>
        </w:rPr>
      </w:pPr>
    </w:p>
    <w:p w14:paraId="5114592C" w14:textId="77777777" w:rsidR="005F51A4" w:rsidRPr="005F51A4" w:rsidRDefault="005F51A4" w:rsidP="005F51A4">
      <w:pPr>
        <w:tabs>
          <w:tab w:val="left" w:pos="1440"/>
          <w:tab w:val="left" w:pos="3060"/>
        </w:tabs>
        <w:spacing w:after="0" w:line="240" w:lineRule="auto"/>
        <w:jc w:val="center"/>
        <w:rPr>
          <w:rFonts w:ascii="Arial" w:eastAsia="Times New Roman" w:hAnsi="Arial" w:cs="Arial"/>
          <w:b/>
          <w:smallCaps/>
          <w:lang w:val="es-ES"/>
        </w:rPr>
      </w:pPr>
      <w:r w:rsidRPr="005F51A4">
        <w:rPr>
          <w:rFonts w:ascii="Arial" w:eastAsia="Times New Roman" w:hAnsi="Arial" w:cs="Arial"/>
          <w:b/>
          <w:smallCaps/>
          <w:lang w:val="es-ES"/>
        </w:rPr>
        <w:t>(BR-L1491)</w:t>
      </w:r>
    </w:p>
    <w:p w14:paraId="14ADBBED"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680F211A"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775D084" w14:textId="77777777" w:rsid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6DCD2B45" w14:textId="77777777" w:rsid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7301F5AB" w14:textId="77777777" w:rsid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D3A87D9" w14:textId="77777777" w:rsid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397A6ADF" w14:textId="77777777" w:rsid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2862BB17" w14:textId="77777777" w:rsidR="005F51A4" w:rsidRPr="005F51A4" w:rsidRDefault="005F51A4" w:rsidP="005F51A4">
      <w:pPr>
        <w:tabs>
          <w:tab w:val="left" w:pos="1440"/>
          <w:tab w:val="left" w:pos="3060"/>
        </w:tabs>
        <w:spacing w:after="0" w:line="240" w:lineRule="auto"/>
        <w:jc w:val="center"/>
        <w:rPr>
          <w:rFonts w:ascii="Arial" w:eastAsia="Times New Roman" w:hAnsi="Arial" w:cs="Arial"/>
          <w:smallCaps/>
          <w:lang w:val="es-ES"/>
        </w:rPr>
      </w:pPr>
    </w:p>
    <w:p w14:paraId="6EB01F2B" w14:textId="77777777" w:rsidR="005F51A4" w:rsidRPr="005F51A4" w:rsidRDefault="005F51A4" w:rsidP="005F51A4">
      <w:pPr>
        <w:tabs>
          <w:tab w:val="left" w:pos="1440"/>
          <w:tab w:val="left" w:pos="3060"/>
        </w:tabs>
        <w:spacing w:after="0" w:line="240" w:lineRule="auto"/>
        <w:jc w:val="center"/>
        <w:outlineLvl w:val="0"/>
        <w:rPr>
          <w:rFonts w:ascii="Arial" w:eastAsia="Times New Roman" w:hAnsi="Arial" w:cs="Arial"/>
          <w:b/>
          <w:sz w:val="24"/>
          <w:szCs w:val="24"/>
          <w:lang w:val="es-ES"/>
        </w:rPr>
      </w:pPr>
      <w:r>
        <w:rPr>
          <w:rFonts w:ascii="Arial" w:eastAsia="Times New Roman" w:hAnsi="Arial" w:cs="Arial"/>
          <w:b/>
          <w:smallCaps/>
          <w:sz w:val="24"/>
          <w:szCs w:val="24"/>
          <w:lang w:val="es-ES"/>
        </w:rPr>
        <w:t>Plan de Monitoreo y Evaluación</w:t>
      </w:r>
    </w:p>
    <w:p w14:paraId="75A8AF33"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63563E06"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7E9647D0"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664DFC62"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58D82553"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771CC64D"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25F0806B"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167B59DF"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1533810D"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73EA9CAC"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0A89613B"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5363D9E4" w14:textId="77777777" w:rsidR="005F51A4" w:rsidRPr="005F51A4" w:rsidRDefault="005F51A4" w:rsidP="005F51A4">
      <w:pPr>
        <w:tabs>
          <w:tab w:val="left" w:pos="1440"/>
          <w:tab w:val="left" w:pos="3060"/>
        </w:tabs>
        <w:spacing w:after="0" w:line="240" w:lineRule="auto"/>
        <w:jc w:val="center"/>
        <w:rPr>
          <w:rFonts w:ascii="Arial" w:eastAsia="Times New Roman" w:hAnsi="Arial" w:cs="Arial"/>
          <w:lang w:val="es-ES"/>
        </w:rPr>
      </w:pPr>
    </w:p>
    <w:p w14:paraId="38AAE847" w14:textId="64D8FD57" w:rsidR="005F51A4" w:rsidRPr="005F51A4" w:rsidRDefault="005F51A4" w:rsidP="005F51A4">
      <w:pPr>
        <w:pBdr>
          <w:top w:val="single" w:sz="4" w:space="1" w:color="auto"/>
          <w:left w:val="single" w:sz="4" w:space="4" w:color="auto"/>
          <w:bottom w:val="single" w:sz="4" w:space="1" w:color="auto"/>
          <w:right w:val="single" w:sz="4" w:space="4" w:color="auto"/>
        </w:pBdr>
        <w:tabs>
          <w:tab w:val="left" w:pos="1440"/>
          <w:tab w:val="left" w:pos="3060"/>
        </w:tabs>
        <w:spacing w:after="0" w:line="240" w:lineRule="auto"/>
        <w:jc w:val="both"/>
        <w:rPr>
          <w:rFonts w:ascii="Arial" w:eastAsia="Times New Roman" w:hAnsi="Arial" w:cs="Arial"/>
          <w:sz w:val="20"/>
          <w:szCs w:val="20"/>
          <w:lang w:val="es-ES"/>
        </w:rPr>
      </w:pPr>
      <w:r w:rsidRPr="005F51A4">
        <w:rPr>
          <w:rFonts w:ascii="Arial" w:eastAsia="Times New Roman" w:hAnsi="Arial" w:cs="Arial"/>
          <w:sz w:val="20"/>
          <w:szCs w:val="20"/>
          <w:lang w:val="es-ES"/>
        </w:rPr>
        <w:t xml:space="preserve">Este documento fue preparado por el equipo de proyecto integrado por: Arturo Alarcón (ENE/CBR) Jefe de Equipo; Sylvia Larrea - Jefe de Equipo Alterno; Leopoldo Montañez; Joel Hernández; Juan Carlos Cárdenas; Marina Massini; Stephanie Suber (INE/ENE); Andrea Monje (SCL/GDI); Edwin </w:t>
      </w:r>
      <w:proofErr w:type="spellStart"/>
      <w:r w:rsidRPr="005F51A4">
        <w:rPr>
          <w:rFonts w:ascii="Arial" w:eastAsia="Times New Roman" w:hAnsi="Arial" w:cs="Arial"/>
          <w:sz w:val="20"/>
          <w:szCs w:val="20"/>
          <w:lang w:val="es-ES"/>
        </w:rPr>
        <w:t>Tachlian</w:t>
      </w:r>
      <w:proofErr w:type="spellEnd"/>
      <w:r w:rsidRPr="005F51A4">
        <w:rPr>
          <w:rFonts w:ascii="Arial" w:eastAsia="Times New Roman" w:hAnsi="Arial" w:cs="Arial"/>
          <w:sz w:val="20"/>
          <w:szCs w:val="20"/>
          <w:lang w:val="es-ES"/>
        </w:rPr>
        <w:t xml:space="preserve">; </w:t>
      </w:r>
      <w:r w:rsidR="001554F8">
        <w:rPr>
          <w:rFonts w:ascii="Arial" w:eastAsia="Times New Roman" w:hAnsi="Arial" w:cs="Arial"/>
          <w:sz w:val="20"/>
          <w:szCs w:val="20"/>
          <w:lang w:val="es-ES"/>
        </w:rPr>
        <w:t>Carlos Carpizo</w:t>
      </w:r>
      <w:r w:rsidRPr="005F51A4">
        <w:rPr>
          <w:rFonts w:ascii="Arial" w:eastAsia="Times New Roman" w:hAnsi="Arial" w:cs="Arial"/>
          <w:sz w:val="20"/>
          <w:szCs w:val="20"/>
          <w:lang w:val="es-ES"/>
        </w:rPr>
        <w:t xml:space="preserve"> (FMP/CBR); Zachary Hurwitz</w:t>
      </w:r>
      <w:r w:rsidR="006D5FB7">
        <w:rPr>
          <w:rFonts w:ascii="Arial" w:eastAsia="Times New Roman" w:hAnsi="Arial" w:cs="Arial"/>
          <w:sz w:val="20"/>
          <w:szCs w:val="20"/>
          <w:lang w:val="es-ES"/>
        </w:rPr>
        <w:t xml:space="preserve">; </w:t>
      </w:r>
      <w:r w:rsidR="006D5FB7" w:rsidRPr="006D5FB7">
        <w:rPr>
          <w:rFonts w:ascii="Arial" w:eastAsia="Times New Roman" w:hAnsi="Arial" w:cs="Arial"/>
          <w:sz w:val="20"/>
          <w:szCs w:val="20"/>
          <w:lang w:val="es-ES"/>
        </w:rPr>
        <w:t xml:space="preserve">Pilar </w:t>
      </w:r>
      <w:proofErr w:type="spellStart"/>
      <w:r w:rsidR="006D5FB7" w:rsidRPr="006D5FB7">
        <w:rPr>
          <w:rFonts w:ascii="Arial" w:eastAsia="Times New Roman" w:hAnsi="Arial" w:cs="Arial"/>
          <w:sz w:val="20"/>
          <w:szCs w:val="20"/>
          <w:lang w:val="es-ES"/>
        </w:rPr>
        <w:t>Larreamendy</w:t>
      </w:r>
      <w:proofErr w:type="spellEnd"/>
      <w:r w:rsidRPr="005F51A4">
        <w:rPr>
          <w:rFonts w:ascii="Arial" w:eastAsia="Times New Roman" w:hAnsi="Arial" w:cs="Arial"/>
          <w:sz w:val="20"/>
          <w:szCs w:val="20"/>
          <w:lang w:val="es-ES"/>
        </w:rPr>
        <w:t xml:space="preserve"> (VPS/ESG); y Cristina Celeste Marzo (LEG/SGO).</w:t>
      </w:r>
    </w:p>
    <w:p w14:paraId="0F9DCD94" w14:textId="77777777" w:rsidR="005F51A4" w:rsidRDefault="005F51A4">
      <w:pPr>
        <w:rPr>
          <w:lang w:val="es-ES"/>
        </w:rPr>
        <w:sectPr w:rsidR="005F51A4">
          <w:pgSz w:w="12240" w:h="15840"/>
          <w:pgMar w:top="1440" w:right="1440" w:bottom="1440" w:left="1440" w:header="720" w:footer="720" w:gutter="0"/>
          <w:cols w:space="720"/>
          <w:docGrid w:linePitch="360"/>
        </w:sectPr>
      </w:pPr>
    </w:p>
    <w:p w14:paraId="2D0EE444" w14:textId="77777777" w:rsidR="00333A4B" w:rsidRPr="005F51A4" w:rsidRDefault="00333A4B" w:rsidP="00333A4B">
      <w:pPr>
        <w:tabs>
          <w:tab w:val="left" w:pos="1440"/>
          <w:tab w:val="left" w:pos="3060"/>
        </w:tabs>
        <w:spacing w:after="0" w:line="240" w:lineRule="auto"/>
        <w:jc w:val="center"/>
        <w:rPr>
          <w:rFonts w:ascii="Arial" w:eastAsia="Times New Roman" w:hAnsi="Arial" w:cs="Arial"/>
          <w:b/>
          <w:smallCaps/>
          <w:sz w:val="28"/>
          <w:szCs w:val="28"/>
          <w:lang w:val="es-ES"/>
        </w:rPr>
      </w:pPr>
      <w:r>
        <w:rPr>
          <w:rFonts w:ascii="Arial" w:eastAsia="Times New Roman" w:hAnsi="Arial" w:cs="Arial"/>
          <w:b/>
          <w:smallCaps/>
          <w:sz w:val="28"/>
          <w:szCs w:val="28"/>
          <w:lang w:val="es-ES"/>
        </w:rPr>
        <w:lastRenderedPageBreak/>
        <w:t>Contenido</w:t>
      </w:r>
    </w:p>
    <w:p w14:paraId="2F57CE49" w14:textId="77777777" w:rsidR="00333A4B" w:rsidRPr="005F51A4" w:rsidRDefault="00333A4B" w:rsidP="00333A4B">
      <w:pPr>
        <w:rPr>
          <w:rFonts w:ascii="Arial" w:hAnsi="Arial" w:cs="Arial"/>
          <w:lang w:val="es-ES"/>
        </w:rPr>
      </w:pPr>
    </w:p>
    <w:p w14:paraId="5691883B" w14:textId="77777777" w:rsidR="00333A4B" w:rsidRPr="00982581" w:rsidRDefault="00333A4B" w:rsidP="00333A4B">
      <w:pPr>
        <w:pStyle w:val="ListParagraph"/>
        <w:numPr>
          <w:ilvl w:val="0"/>
          <w:numId w:val="1"/>
        </w:numPr>
        <w:spacing w:before="120" w:after="120"/>
        <w:contextualSpacing w:val="0"/>
        <w:rPr>
          <w:rFonts w:ascii="Arial" w:hAnsi="Arial" w:cs="Arial"/>
          <w:b/>
          <w:smallCaps/>
          <w:lang w:val="es-ES"/>
        </w:rPr>
      </w:pPr>
      <w:r w:rsidRPr="00982581">
        <w:rPr>
          <w:rFonts w:ascii="Arial" w:hAnsi="Arial" w:cs="Arial"/>
          <w:b/>
          <w:smallCaps/>
          <w:lang w:val="es-ES"/>
        </w:rPr>
        <w:t>Descripción del Proyecto</w:t>
      </w:r>
    </w:p>
    <w:p w14:paraId="282424BD" w14:textId="77777777" w:rsidR="00333A4B" w:rsidRPr="00982581" w:rsidRDefault="00333A4B" w:rsidP="00333A4B">
      <w:pPr>
        <w:pStyle w:val="ListParagraph"/>
        <w:numPr>
          <w:ilvl w:val="0"/>
          <w:numId w:val="1"/>
        </w:numPr>
        <w:spacing w:before="120" w:after="120"/>
        <w:contextualSpacing w:val="0"/>
        <w:rPr>
          <w:rFonts w:ascii="Arial" w:hAnsi="Arial" w:cs="Arial"/>
          <w:b/>
          <w:smallCaps/>
          <w:lang w:val="es-ES"/>
        </w:rPr>
      </w:pPr>
      <w:r w:rsidRPr="00982581">
        <w:rPr>
          <w:rFonts w:ascii="Arial" w:hAnsi="Arial" w:cs="Arial"/>
          <w:b/>
          <w:smallCaps/>
          <w:lang w:val="es-ES"/>
        </w:rPr>
        <w:t>Monitoreo del Programa</w:t>
      </w:r>
    </w:p>
    <w:p w14:paraId="0DA23051" w14:textId="77777777" w:rsidR="00333A4B" w:rsidRPr="002007D0" w:rsidRDefault="00333A4B" w:rsidP="00333A4B">
      <w:pPr>
        <w:pStyle w:val="ListParagraph"/>
        <w:numPr>
          <w:ilvl w:val="0"/>
          <w:numId w:val="1"/>
        </w:numPr>
        <w:spacing w:before="120" w:after="120"/>
        <w:contextualSpacing w:val="0"/>
        <w:rPr>
          <w:rFonts w:ascii="Arial" w:hAnsi="Arial" w:cs="Arial"/>
          <w:b/>
          <w:smallCaps/>
          <w:lang w:val="es-ES"/>
        </w:rPr>
      </w:pPr>
      <w:r w:rsidRPr="00982581">
        <w:rPr>
          <w:rFonts w:ascii="Arial" w:hAnsi="Arial" w:cs="Arial"/>
          <w:b/>
          <w:smallCaps/>
          <w:lang w:val="es-ES"/>
        </w:rPr>
        <w:t>Instrumentos para el Monitoreo de los Indicadores y Recopilación de Datos</w:t>
      </w:r>
    </w:p>
    <w:p w14:paraId="22245C1C" w14:textId="77777777" w:rsidR="00333A4B" w:rsidRPr="002007D0" w:rsidRDefault="00333A4B" w:rsidP="00333A4B">
      <w:pPr>
        <w:pStyle w:val="ListParagraph"/>
        <w:numPr>
          <w:ilvl w:val="0"/>
          <w:numId w:val="1"/>
        </w:numPr>
        <w:spacing w:before="120" w:after="120"/>
        <w:contextualSpacing w:val="0"/>
        <w:rPr>
          <w:rFonts w:ascii="Arial" w:hAnsi="Arial" w:cs="Arial"/>
          <w:b/>
          <w:smallCaps/>
          <w:lang w:val="es-ES"/>
        </w:rPr>
      </w:pPr>
      <w:r w:rsidRPr="002007D0">
        <w:rPr>
          <w:rFonts w:ascii="Arial" w:hAnsi="Arial" w:cs="Arial"/>
          <w:b/>
          <w:smallCaps/>
          <w:lang w:val="es-ES"/>
        </w:rPr>
        <w:t>Coordinación, Plan de Trabajo y Presupuesto de Supervisión</w:t>
      </w:r>
    </w:p>
    <w:p w14:paraId="67EE58FD" w14:textId="77777777" w:rsidR="00333A4B" w:rsidRPr="00CE05D9" w:rsidRDefault="00333A4B" w:rsidP="00333A4B">
      <w:pPr>
        <w:pStyle w:val="ListParagraph"/>
        <w:numPr>
          <w:ilvl w:val="0"/>
          <w:numId w:val="1"/>
        </w:numPr>
        <w:spacing w:before="120" w:after="120"/>
        <w:contextualSpacing w:val="0"/>
        <w:rPr>
          <w:rFonts w:ascii="Arial" w:hAnsi="Arial" w:cs="Arial"/>
          <w:b/>
          <w:smallCaps/>
          <w:lang w:val="es-ES"/>
        </w:rPr>
      </w:pPr>
      <w:r w:rsidRPr="002007D0">
        <w:rPr>
          <w:rFonts w:ascii="Arial" w:hAnsi="Arial" w:cs="Arial"/>
          <w:b/>
          <w:smallCaps/>
          <w:lang w:val="es-ES"/>
        </w:rPr>
        <w:t>Evaluación del Programa</w:t>
      </w:r>
    </w:p>
    <w:p w14:paraId="7F65A802" w14:textId="77777777" w:rsidR="005F51A4" w:rsidRPr="005F51A4" w:rsidRDefault="005F51A4">
      <w:pPr>
        <w:rPr>
          <w:rFonts w:ascii="Arial" w:hAnsi="Arial" w:cs="Arial"/>
          <w:lang w:val="es-ES"/>
        </w:rPr>
      </w:pPr>
    </w:p>
    <w:p w14:paraId="79EB6051" w14:textId="77777777" w:rsidR="004F259C" w:rsidRDefault="004F259C">
      <w:pPr>
        <w:rPr>
          <w:rFonts w:ascii="Arial" w:hAnsi="Arial" w:cs="Arial"/>
          <w:lang w:val="es-ES"/>
        </w:rPr>
      </w:pPr>
      <w:r>
        <w:rPr>
          <w:rFonts w:ascii="Arial" w:hAnsi="Arial" w:cs="Arial"/>
          <w:lang w:val="es-ES"/>
        </w:rPr>
        <w:br w:type="page"/>
      </w:r>
    </w:p>
    <w:p w14:paraId="4AF9FEA2" w14:textId="77777777" w:rsidR="00333A4B" w:rsidRPr="005F51A4" w:rsidRDefault="00333A4B" w:rsidP="00333A4B">
      <w:pPr>
        <w:tabs>
          <w:tab w:val="left" w:pos="1440"/>
          <w:tab w:val="left" w:pos="3060"/>
        </w:tabs>
        <w:spacing w:after="0" w:line="240" w:lineRule="auto"/>
        <w:jc w:val="center"/>
        <w:rPr>
          <w:rFonts w:ascii="Arial" w:eastAsia="Times New Roman" w:hAnsi="Arial" w:cs="Arial"/>
          <w:b/>
          <w:smallCaps/>
          <w:sz w:val="28"/>
          <w:szCs w:val="28"/>
          <w:lang w:val="es-ES"/>
        </w:rPr>
      </w:pPr>
      <w:r>
        <w:rPr>
          <w:rFonts w:ascii="Arial" w:eastAsia="Times New Roman" w:hAnsi="Arial" w:cs="Arial"/>
          <w:b/>
          <w:smallCaps/>
          <w:sz w:val="28"/>
          <w:szCs w:val="28"/>
          <w:lang w:val="es-ES"/>
        </w:rPr>
        <w:lastRenderedPageBreak/>
        <w:t>Abreviaciones</w:t>
      </w:r>
    </w:p>
    <w:p w14:paraId="73AA6557" w14:textId="77777777" w:rsidR="00333A4B" w:rsidRPr="005F51A4" w:rsidRDefault="00333A4B" w:rsidP="00333A4B">
      <w:pPr>
        <w:rPr>
          <w:rFonts w:ascii="Arial" w:hAnsi="Arial" w:cs="Arial"/>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733"/>
      </w:tblGrid>
      <w:tr w:rsidR="00333A4B" w14:paraId="6D40E17B" w14:textId="77777777" w:rsidTr="00EE27AC">
        <w:tc>
          <w:tcPr>
            <w:tcW w:w="1843" w:type="dxa"/>
          </w:tcPr>
          <w:p w14:paraId="6AFEA84C" w14:textId="77777777" w:rsidR="00333A4B" w:rsidRPr="00F66DFD" w:rsidRDefault="00333A4B" w:rsidP="00EE27AC">
            <w:pPr>
              <w:spacing w:line="276" w:lineRule="auto"/>
              <w:rPr>
                <w:rFonts w:ascii="Arial" w:hAnsi="Arial" w:cs="Arial"/>
              </w:rPr>
            </w:pPr>
            <w:r w:rsidRPr="00F66DFD">
              <w:rPr>
                <w:rFonts w:ascii="Arial" w:hAnsi="Arial" w:cs="Arial"/>
              </w:rPr>
              <w:t>AE</w:t>
            </w:r>
          </w:p>
        </w:tc>
        <w:tc>
          <w:tcPr>
            <w:tcW w:w="7733" w:type="dxa"/>
          </w:tcPr>
          <w:p w14:paraId="468B68D1" w14:textId="77777777" w:rsidR="00333A4B" w:rsidRPr="00F66DFD" w:rsidRDefault="00333A4B" w:rsidP="00EE27AC">
            <w:pPr>
              <w:spacing w:line="276" w:lineRule="auto"/>
              <w:rPr>
                <w:rFonts w:ascii="Arial" w:hAnsi="Arial" w:cs="Arial"/>
              </w:rPr>
            </w:pPr>
            <w:proofErr w:type="spellStart"/>
            <w:r w:rsidRPr="00F66DFD">
              <w:rPr>
                <w:rFonts w:ascii="Arial" w:hAnsi="Arial" w:cs="Arial"/>
              </w:rPr>
              <w:t>Agencia</w:t>
            </w:r>
            <w:proofErr w:type="spellEnd"/>
            <w:r w:rsidRPr="00F66DFD">
              <w:rPr>
                <w:rFonts w:ascii="Arial" w:hAnsi="Arial" w:cs="Arial"/>
              </w:rPr>
              <w:t xml:space="preserve"> </w:t>
            </w:r>
            <w:proofErr w:type="spellStart"/>
            <w:r w:rsidRPr="00F66DFD">
              <w:rPr>
                <w:rFonts w:ascii="Arial" w:hAnsi="Arial" w:cs="Arial"/>
              </w:rPr>
              <w:t>Ejecutora</w:t>
            </w:r>
            <w:proofErr w:type="spellEnd"/>
          </w:p>
        </w:tc>
      </w:tr>
      <w:tr w:rsidR="00333A4B" w:rsidRPr="00E15779" w14:paraId="2CB86CC5" w14:textId="77777777" w:rsidTr="00EE27AC">
        <w:tc>
          <w:tcPr>
            <w:tcW w:w="1843" w:type="dxa"/>
          </w:tcPr>
          <w:p w14:paraId="6D17176E" w14:textId="77777777" w:rsidR="00333A4B" w:rsidRPr="00F66DFD" w:rsidRDefault="00333A4B" w:rsidP="00EE27AC">
            <w:pPr>
              <w:spacing w:line="276" w:lineRule="auto"/>
              <w:rPr>
                <w:rFonts w:ascii="Arial" w:hAnsi="Arial" w:cs="Arial"/>
              </w:rPr>
            </w:pPr>
            <w:r w:rsidRPr="00F66DFD">
              <w:rPr>
                <w:rFonts w:ascii="Arial" w:hAnsi="Arial" w:cs="Arial"/>
              </w:rPr>
              <w:t>ANEEL</w:t>
            </w:r>
          </w:p>
        </w:tc>
        <w:tc>
          <w:tcPr>
            <w:tcW w:w="7733" w:type="dxa"/>
          </w:tcPr>
          <w:p w14:paraId="29EAB898" w14:textId="77777777" w:rsidR="00333A4B" w:rsidRPr="00F66DFD" w:rsidRDefault="00333A4B" w:rsidP="00EE27AC">
            <w:pPr>
              <w:spacing w:line="276" w:lineRule="auto"/>
              <w:rPr>
                <w:rFonts w:ascii="Arial" w:hAnsi="Arial" w:cs="Arial"/>
                <w:lang w:val="es-ES_tradnl"/>
              </w:rPr>
            </w:pPr>
            <w:r w:rsidRPr="00F66DFD">
              <w:rPr>
                <w:rFonts w:ascii="Arial" w:hAnsi="Arial" w:cs="Arial"/>
                <w:lang w:val="es-ES_tradnl"/>
              </w:rPr>
              <w:t>Agencia Nacional de Energía Eléctrica</w:t>
            </w:r>
          </w:p>
        </w:tc>
      </w:tr>
      <w:tr w:rsidR="00333A4B" w14:paraId="32D4EFA4" w14:textId="77777777" w:rsidTr="00EE27AC">
        <w:tc>
          <w:tcPr>
            <w:tcW w:w="1843" w:type="dxa"/>
          </w:tcPr>
          <w:p w14:paraId="3A319B55" w14:textId="77777777" w:rsidR="00333A4B" w:rsidRPr="00F66DFD" w:rsidRDefault="00333A4B" w:rsidP="00EE27AC">
            <w:pPr>
              <w:spacing w:line="276" w:lineRule="auto"/>
              <w:rPr>
                <w:rFonts w:ascii="Arial" w:hAnsi="Arial" w:cs="Arial"/>
              </w:rPr>
            </w:pPr>
            <w:r w:rsidRPr="00F66DFD">
              <w:rPr>
                <w:rFonts w:ascii="Arial" w:hAnsi="Arial" w:cs="Arial"/>
              </w:rPr>
              <w:t>BID</w:t>
            </w:r>
          </w:p>
        </w:tc>
        <w:tc>
          <w:tcPr>
            <w:tcW w:w="7733" w:type="dxa"/>
          </w:tcPr>
          <w:p w14:paraId="1C20D696" w14:textId="77777777" w:rsidR="00333A4B" w:rsidRPr="00F66DFD" w:rsidRDefault="00333A4B" w:rsidP="00EE27AC">
            <w:pPr>
              <w:spacing w:line="276" w:lineRule="auto"/>
              <w:rPr>
                <w:rFonts w:ascii="Arial" w:hAnsi="Arial" w:cs="Arial"/>
              </w:rPr>
            </w:pPr>
            <w:proofErr w:type="spellStart"/>
            <w:r w:rsidRPr="00F66DFD">
              <w:rPr>
                <w:rFonts w:ascii="Arial" w:hAnsi="Arial" w:cs="Arial"/>
              </w:rPr>
              <w:t>Banco</w:t>
            </w:r>
            <w:proofErr w:type="spellEnd"/>
            <w:r w:rsidRPr="00F66DFD">
              <w:rPr>
                <w:rFonts w:ascii="Arial" w:hAnsi="Arial" w:cs="Arial"/>
              </w:rPr>
              <w:t xml:space="preserve"> </w:t>
            </w:r>
            <w:proofErr w:type="spellStart"/>
            <w:r w:rsidRPr="00F66DFD">
              <w:rPr>
                <w:rFonts w:ascii="Arial" w:hAnsi="Arial" w:cs="Arial"/>
              </w:rPr>
              <w:t>Interamericano</w:t>
            </w:r>
            <w:proofErr w:type="spellEnd"/>
            <w:r w:rsidRPr="00F66DFD">
              <w:rPr>
                <w:rFonts w:ascii="Arial" w:hAnsi="Arial" w:cs="Arial"/>
              </w:rPr>
              <w:t xml:space="preserve"> de </w:t>
            </w:r>
            <w:proofErr w:type="spellStart"/>
            <w:r w:rsidRPr="00F66DFD">
              <w:rPr>
                <w:rFonts w:ascii="Arial" w:hAnsi="Arial" w:cs="Arial"/>
              </w:rPr>
              <w:t>Desarrollo</w:t>
            </w:r>
            <w:proofErr w:type="spellEnd"/>
          </w:p>
        </w:tc>
      </w:tr>
      <w:tr w:rsidR="00333A4B" w14:paraId="6BB2F161" w14:textId="77777777" w:rsidTr="00EE27AC">
        <w:tc>
          <w:tcPr>
            <w:tcW w:w="1843" w:type="dxa"/>
          </w:tcPr>
          <w:p w14:paraId="2DFA346E" w14:textId="77777777" w:rsidR="00333A4B" w:rsidRPr="00F66DFD" w:rsidRDefault="00333A4B" w:rsidP="00EE27AC">
            <w:pPr>
              <w:spacing w:line="276" w:lineRule="auto"/>
              <w:rPr>
                <w:rFonts w:ascii="Arial" w:hAnsi="Arial" w:cs="Arial"/>
              </w:rPr>
            </w:pPr>
            <w:r w:rsidRPr="00F66DFD">
              <w:rPr>
                <w:rFonts w:ascii="Arial" w:hAnsi="Arial" w:cs="Arial"/>
              </w:rPr>
              <w:t>CBA</w:t>
            </w:r>
          </w:p>
        </w:tc>
        <w:tc>
          <w:tcPr>
            <w:tcW w:w="7733" w:type="dxa"/>
          </w:tcPr>
          <w:p w14:paraId="72BA2F3B" w14:textId="77777777" w:rsidR="00333A4B" w:rsidRPr="00F66DFD" w:rsidRDefault="00333A4B" w:rsidP="00EE27AC">
            <w:pPr>
              <w:spacing w:line="276" w:lineRule="auto"/>
              <w:rPr>
                <w:rFonts w:ascii="Arial" w:hAnsi="Arial" w:cs="Arial"/>
              </w:rPr>
            </w:pPr>
            <w:proofErr w:type="spellStart"/>
            <w:r w:rsidRPr="00F66DFD">
              <w:rPr>
                <w:rFonts w:ascii="Arial" w:hAnsi="Arial" w:cs="Arial"/>
              </w:rPr>
              <w:t>Análisis</w:t>
            </w:r>
            <w:proofErr w:type="spellEnd"/>
            <w:r w:rsidRPr="00F66DFD">
              <w:rPr>
                <w:rFonts w:ascii="Arial" w:hAnsi="Arial" w:cs="Arial"/>
              </w:rPr>
              <w:t xml:space="preserve"> </w:t>
            </w:r>
            <w:proofErr w:type="spellStart"/>
            <w:r w:rsidRPr="00F66DFD">
              <w:rPr>
                <w:rFonts w:ascii="Arial" w:hAnsi="Arial" w:cs="Arial"/>
              </w:rPr>
              <w:t>Costo</w:t>
            </w:r>
            <w:proofErr w:type="spellEnd"/>
            <w:r w:rsidRPr="00F66DFD">
              <w:rPr>
                <w:rFonts w:ascii="Arial" w:hAnsi="Arial" w:cs="Arial"/>
              </w:rPr>
              <w:t xml:space="preserve"> -</w:t>
            </w:r>
            <w:proofErr w:type="spellStart"/>
            <w:r w:rsidRPr="00F66DFD">
              <w:rPr>
                <w:rFonts w:ascii="Arial" w:hAnsi="Arial" w:cs="Arial"/>
              </w:rPr>
              <w:t>Beneficio</w:t>
            </w:r>
            <w:proofErr w:type="spellEnd"/>
          </w:p>
        </w:tc>
      </w:tr>
      <w:tr w:rsidR="00333A4B" w:rsidRPr="00E15779" w14:paraId="5771A4CB" w14:textId="77777777" w:rsidTr="00EE27AC">
        <w:tc>
          <w:tcPr>
            <w:tcW w:w="1843" w:type="dxa"/>
          </w:tcPr>
          <w:p w14:paraId="4AE2F552" w14:textId="77777777" w:rsidR="00333A4B" w:rsidRPr="00F66DFD" w:rsidRDefault="00333A4B" w:rsidP="00EE27AC">
            <w:pPr>
              <w:spacing w:line="276" w:lineRule="auto"/>
              <w:rPr>
                <w:rFonts w:ascii="Arial" w:hAnsi="Arial" w:cs="Arial"/>
              </w:rPr>
            </w:pPr>
            <w:r w:rsidRPr="00F66DFD">
              <w:rPr>
                <w:rFonts w:ascii="Arial" w:hAnsi="Arial" w:cs="Arial"/>
              </w:rPr>
              <w:t>CEEE-D</w:t>
            </w:r>
          </w:p>
        </w:tc>
        <w:tc>
          <w:tcPr>
            <w:tcW w:w="7733" w:type="dxa"/>
          </w:tcPr>
          <w:p w14:paraId="7FEA37F5" w14:textId="77777777" w:rsidR="00333A4B" w:rsidRPr="00F66DFD" w:rsidRDefault="00333A4B" w:rsidP="00EE27AC">
            <w:pPr>
              <w:spacing w:line="276" w:lineRule="auto"/>
              <w:rPr>
                <w:rFonts w:ascii="Arial" w:hAnsi="Arial" w:cs="Arial"/>
                <w:lang w:val="es-ES_tradnl"/>
              </w:rPr>
            </w:pPr>
            <w:r w:rsidRPr="00F66DFD">
              <w:rPr>
                <w:rFonts w:ascii="Arial" w:hAnsi="Arial" w:cs="Arial"/>
                <w:lang w:val="es-ES_tradnl"/>
              </w:rPr>
              <w:t>Compañía Estatal de Distribución de Energía Eléctrica</w:t>
            </w:r>
          </w:p>
        </w:tc>
      </w:tr>
      <w:tr w:rsidR="00333A4B" w14:paraId="6DF20A56" w14:textId="77777777" w:rsidTr="00EE27AC">
        <w:tc>
          <w:tcPr>
            <w:tcW w:w="1843" w:type="dxa"/>
          </w:tcPr>
          <w:p w14:paraId="3DCBE413" w14:textId="77777777" w:rsidR="00333A4B" w:rsidRPr="00F66DFD" w:rsidRDefault="00333A4B" w:rsidP="00EE27AC">
            <w:pPr>
              <w:spacing w:line="276" w:lineRule="auto"/>
              <w:rPr>
                <w:rFonts w:ascii="Arial" w:hAnsi="Arial" w:cs="Arial"/>
              </w:rPr>
            </w:pPr>
            <w:proofErr w:type="spellStart"/>
            <w:r w:rsidRPr="00F66DFD">
              <w:rPr>
                <w:rFonts w:ascii="Arial" w:hAnsi="Arial" w:cs="Arial"/>
              </w:rPr>
              <w:t>C</w:t>
            </w:r>
            <w:r>
              <w:rPr>
                <w:rFonts w:ascii="Arial" w:hAnsi="Arial" w:cs="Arial"/>
              </w:rPr>
              <w:t>elesc</w:t>
            </w:r>
            <w:proofErr w:type="spellEnd"/>
            <w:r w:rsidRPr="00F66DFD">
              <w:rPr>
                <w:rFonts w:ascii="Arial" w:hAnsi="Arial" w:cs="Arial"/>
              </w:rPr>
              <w:t>-D</w:t>
            </w:r>
          </w:p>
        </w:tc>
        <w:tc>
          <w:tcPr>
            <w:tcW w:w="7733" w:type="dxa"/>
          </w:tcPr>
          <w:p w14:paraId="51F98F0F" w14:textId="77777777" w:rsidR="00333A4B" w:rsidRPr="00F66DFD" w:rsidRDefault="00333A4B" w:rsidP="00EE27AC">
            <w:pPr>
              <w:spacing w:line="276" w:lineRule="auto"/>
              <w:rPr>
                <w:rFonts w:ascii="Arial" w:hAnsi="Arial" w:cs="Arial"/>
              </w:rPr>
            </w:pPr>
            <w:proofErr w:type="spellStart"/>
            <w:r w:rsidRPr="00F66DFD">
              <w:rPr>
                <w:rFonts w:ascii="Arial" w:hAnsi="Arial" w:cs="Arial"/>
              </w:rPr>
              <w:t>Centrales</w:t>
            </w:r>
            <w:proofErr w:type="spellEnd"/>
            <w:r w:rsidRPr="00F66DFD">
              <w:rPr>
                <w:rFonts w:ascii="Arial" w:hAnsi="Arial" w:cs="Arial"/>
              </w:rPr>
              <w:t xml:space="preserve"> </w:t>
            </w:r>
            <w:proofErr w:type="spellStart"/>
            <w:r w:rsidRPr="00F66DFD">
              <w:rPr>
                <w:rFonts w:ascii="Arial" w:hAnsi="Arial" w:cs="Arial"/>
              </w:rPr>
              <w:t>Eléctricas</w:t>
            </w:r>
            <w:proofErr w:type="spellEnd"/>
            <w:r w:rsidRPr="00F66DFD">
              <w:rPr>
                <w:rFonts w:ascii="Arial" w:hAnsi="Arial" w:cs="Arial"/>
              </w:rPr>
              <w:t xml:space="preserve"> de Santa </w:t>
            </w:r>
            <w:proofErr w:type="spellStart"/>
            <w:r w:rsidRPr="00F66DFD">
              <w:rPr>
                <w:rFonts w:ascii="Arial" w:hAnsi="Arial" w:cs="Arial"/>
              </w:rPr>
              <w:t>Catarina</w:t>
            </w:r>
            <w:proofErr w:type="spellEnd"/>
            <w:r w:rsidRPr="00F66DFD">
              <w:rPr>
                <w:rFonts w:ascii="Arial" w:hAnsi="Arial" w:cs="Arial"/>
              </w:rPr>
              <w:t xml:space="preserve"> - </w:t>
            </w:r>
            <w:proofErr w:type="spellStart"/>
            <w:r w:rsidRPr="00F66DFD">
              <w:rPr>
                <w:rFonts w:ascii="Arial" w:hAnsi="Arial" w:cs="Arial"/>
              </w:rPr>
              <w:t>Distribución</w:t>
            </w:r>
            <w:proofErr w:type="spellEnd"/>
          </w:p>
        </w:tc>
      </w:tr>
      <w:tr w:rsidR="00333A4B" w:rsidRPr="00E15779" w14:paraId="58BF23D9" w14:textId="77777777" w:rsidTr="00EE27AC">
        <w:tc>
          <w:tcPr>
            <w:tcW w:w="1843" w:type="dxa"/>
          </w:tcPr>
          <w:p w14:paraId="798387EA" w14:textId="77777777" w:rsidR="00333A4B" w:rsidRPr="00F66DFD" w:rsidRDefault="00333A4B" w:rsidP="00EE27AC">
            <w:pPr>
              <w:spacing w:line="276" w:lineRule="auto"/>
              <w:rPr>
                <w:rFonts w:ascii="Arial" w:hAnsi="Arial" w:cs="Arial"/>
              </w:rPr>
            </w:pPr>
            <w:r w:rsidRPr="00F66DFD">
              <w:rPr>
                <w:rFonts w:ascii="Arial" w:hAnsi="Arial" w:cs="Arial"/>
              </w:rPr>
              <w:t>DEC</w:t>
            </w:r>
          </w:p>
        </w:tc>
        <w:tc>
          <w:tcPr>
            <w:tcW w:w="7733" w:type="dxa"/>
          </w:tcPr>
          <w:p w14:paraId="460213D1" w14:textId="77777777" w:rsidR="00333A4B" w:rsidRPr="00F66DFD" w:rsidRDefault="00333A4B" w:rsidP="00EE27AC">
            <w:pPr>
              <w:spacing w:line="276" w:lineRule="auto"/>
              <w:rPr>
                <w:rFonts w:ascii="Arial" w:hAnsi="Arial" w:cs="Arial"/>
                <w:lang w:val="es-ES_tradnl"/>
              </w:rPr>
            </w:pPr>
            <w:r w:rsidRPr="00F66DFD">
              <w:rPr>
                <w:rFonts w:ascii="Arial" w:hAnsi="Arial" w:cs="Arial"/>
                <w:lang w:val="es-ES_tradnl"/>
              </w:rPr>
              <w:t>Duración Equivalente de Interrupción por Unidad Consumidora</w:t>
            </w:r>
          </w:p>
        </w:tc>
      </w:tr>
      <w:tr w:rsidR="00333A4B" w:rsidRPr="00982581" w14:paraId="701527A8" w14:textId="77777777" w:rsidTr="00EE27AC">
        <w:tc>
          <w:tcPr>
            <w:tcW w:w="1843" w:type="dxa"/>
          </w:tcPr>
          <w:p w14:paraId="37CF1D64" w14:textId="77777777" w:rsidR="00333A4B" w:rsidRPr="00F66DFD" w:rsidRDefault="00333A4B" w:rsidP="00EE27AC">
            <w:pPr>
              <w:rPr>
                <w:rFonts w:ascii="Arial" w:hAnsi="Arial" w:cs="Arial"/>
              </w:rPr>
            </w:pPr>
            <w:r>
              <w:rPr>
                <w:rFonts w:ascii="Arial" w:hAnsi="Arial" w:cs="Arial"/>
              </w:rPr>
              <w:t>EIA</w:t>
            </w:r>
          </w:p>
        </w:tc>
        <w:tc>
          <w:tcPr>
            <w:tcW w:w="7733" w:type="dxa"/>
          </w:tcPr>
          <w:p w14:paraId="1FA74BD7" w14:textId="77777777" w:rsidR="00333A4B" w:rsidRPr="00F66DFD" w:rsidRDefault="00333A4B" w:rsidP="00EE27AC">
            <w:pPr>
              <w:rPr>
                <w:rFonts w:ascii="Arial" w:hAnsi="Arial" w:cs="Arial"/>
                <w:lang w:val="es-ES_tradnl"/>
              </w:rPr>
            </w:pPr>
            <w:r>
              <w:rPr>
                <w:rFonts w:ascii="Arial" w:hAnsi="Arial" w:cs="Arial"/>
                <w:lang w:val="es-ES_tradnl"/>
              </w:rPr>
              <w:t>Estudio de Impacto Ambiental</w:t>
            </w:r>
          </w:p>
        </w:tc>
      </w:tr>
      <w:tr w:rsidR="00333A4B" w14:paraId="240D208D" w14:textId="77777777" w:rsidTr="00EE27AC">
        <w:tc>
          <w:tcPr>
            <w:tcW w:w="1843" w:type="dxa"/>
          </w:tcPr>
          <w:p w14:paraId="769F4CD7" w14:textId="77777777" w:rsidR="00333A4B" w:rsidRPr="00F66DFD" w:rsidRDefault="00333A4B" w:rsidP="00EE27AC">
            <w:pPr>
              <w:spacing w:line="276" w:lineRule="auto"/>
              <w:rPr>
                <w:rFonts w:ascii="Arial" w:hAnsi="Arial" w:cs="Arial"/>
              </w:rPr>
            </w:pPr>
            <w:proofErr w:type="spellStart"/>
            <w:r w:rsidRPr="00F66DFD">
              <w:rPr>
                <w:rFonts w:ascii="Arial" w:hAnsi="Arial" w:cs="Arial"/>
              </w:rPr>
              <w:t>EdSC</w:t>
            </w:r>
            <w:proofErr w:type="spellEnd"/>
          </w:p>
        </w:tc>
        <w:tc>
          <w:tcPr>
            <w:tcW w:w="7733" w:type="dxa"/>
          </w:tcPr>
          <w:p w14:paraId="5853DB33" w14:textId="77777777" w:rsidR="00333A4B" w:rsidRPr="00F66DFD" w:rsidRDefault="00333A4B" w:rsidP="00EE27AC">
            <w:pPr>
              <w:spacing w:line="276" w:lineRule="auto"/>
              <w:rPr>
                <w:rFonts w:ascii="Arial" w:hAnsi="Arial" w:cs="Arial"/>
              </w:rPr>
            </w:pPr>
            <w:r w:rsidRPr="00F66DFD">
              <w:rPr>
                <w:rFonts w:ascii="Arial" w:hAnsi="Arial" w:cs="Arial"/>
              </w:rPr>
              <w:t xml:space="preserve">Estado de </w:t>
            </w:r>
            <w:r>
              <w:rPr>
                <w:rFonts w:ascii="Arial" w:hAnsi="Arial" w:cs="Arial"/>
              </w:rPr>
              <w:t>S</w:t>
            </w:r>
            <w:r w:rsidRPr="00F66DFD">
              <w:rPr>
                <w:rFonts w:ascii="Arial" w:hAnsi="Arial" w:cs="Arial"/>
              </w:rPr>
              <w:t xml:space="preserve">anta </w:t>
            </w:r>
            <w:proofErr w:type="spellStart"/>
            <w:r w:rsidRPr="00F66DFD">
              <w:rPr>
                <w:rFonts w:ascii="Arial" w:hAnsi="Arial" w:cs="Arial"/>
              </w:rPr>
              <w:t>Catarina</w:t>
            </w:r>
            <w:proofErr w:type="spellEnd"/>
          </w:p>
        </w:tc>
      </w:tr>
      <w:tr w:rsidR="00333A4B" w:rsidRPr="00E15779" w14:paraId="75AA2257" w14:textId="77777777" w:rsidTr="00EE27AC">
        <w:tc>
          <w:tcPr>
            <w:tcW w:w="1843" w:type="dxa"/>
          </w:tcPr>
          <w:p w14:paraId="26A67FB7" w14:textId="77777777" w:rsidR="00333A4B" w:rsidRPr="00F66DFD" w:rsidRDefault="00333A4B" w:rsidP="00EE27AC">
            <w:pPr>
              <w:spacing w:line="276" w:lineRule="auto"/>
              <w:rPr>
                <w:rFonts w:ascii="Arial" w:hAnsi="Arial" w:cs="Arial"/>
              </w:rPr>
            </w:pPr>
            <w:r w:rsidRPr="00F66DFD">
              <w:rPr>
                <w:rFonts w:ascii="Arial" w:hAnsi="Arial" w:cs="Arial"/>
              </w:rPr>
              <w:t>FEC</w:t>
            </w:r>
          </w:p>
        </w:tc>
        <w:tc>
          <w:tcPr>
            <w:tcW w:w="7733" w:type="dxa"/>
          </w:tcPr>
          <w:p w14:paraId="5C7E55B0" w14:textId="77777777" w:rsidR="00333A4B" w:rsidRPr="00F66DFD" w:rsidRDefault="00333A4B" w:rsidP="00EE27AC">
            <w:pPr>
              <w:spacing w:line="276" w:lineRule="auto"/>
              <w:rPr>
                <w:rFonts w:ascii="Arial" w:hAnsi="Arial" w:cs="Arial"/>
                <w:lang w:val="es-ES_tradnl"/>
              </w:rPr>
            </w:pPr>
            <w:r w:rsidRPr="00F66DFD">
              <w:rPr>
                <w:rFonts w:ascii="Arial" w:hAnsi="Arial" w:cs="Arial"/>
                <w:lang w:val="es-ES_tradnl"/>
              </w:rPr>
              <w:t>Frecuencia Equivalente de Interrupción por Unidad Consumidora</w:t>
            </w:r>
          </w:p>
        </w:tc>
      </w:tr>
      <w:tr w:rsidR="00333A4B" w14:paraId="3A8EBDD6" w14:textId="77777777" w:rsidTr="00EE27AC">
        <w:tc>
          <w:tcPr>
            <w:tcW w:w="1843" w:type="dxa"/>
          </w:tcPr>
          <w:p w14:paraId="1AF468E8" w14:textId="77777777" w:rsidR="00333A4B" w:rsidRPr="00F66DFD" w:rsidRDefault="00333A4B" w:rsidP="00EE27AC">
            <w:pPr>
              <w:spacing w:line="276" w:lineRule="auto"/>
              <w:rPr>
                <w:rFonts w:ascii="Arial" w:hAnsi="Arial" w:cs="Arial"/>
              </w:rPr>
            </w:pPr>
            <w:r>
              <w:rPr>
                <w:rFonts w:ascii="Arial" w:hAnsi="Arial" w:cs="Arial"/>
              </w:rPr>
              <w:t>U</w:t>
            </w:r>
            <w:r w:rsidRPr="00F66DFD">
              <w:rPr>
                <w:rFonts w:ascii="Arial" w:hAnsi="Arial" w:cs="Arial"/>
              </w:rPr>
              <w:t>CP</w:t>
            </w:r>
          </w:p>
        </w:tc>
        <w:tc>
          <w:tcPr>
            <w:tcW w:w="7733" w:type="dxa"/>
          </w:tcPr>
          <w:p w14:paraId="2D694527" w14:textId="77777777" w:rsidR="00333A4B" w:rsidRPr="00F66DFD" w:rsidRDefault="00333A4B" w:rsidP="00EE27AC">
            <w:pPr>
              <w:spacing w:line="276" w:lineRule="auto"/>
              <w:rPr>
                <w:rFonts w:ascii="Arial" w:hAnsi="Arial" w:cs="Arial"/>
              </w:rPr>
            </w:pPr>
            <w:proofErr w:type="spellStart"/>
            <w:r>
              <w:rPr>
                <w:rFonts w:ascii="Arial" w:hAnsi="Arial" w:cs="Arial"/>
              </w:rPr>
              <w:t>Unidad</w:t>
            </w:r>
            <w:proofErr w:type="spellEnd"/>
            <w:r>
              <w:rPr>
                <w:rFonts w:ascii="Arial" w:hAnsi="Arial" w:cs="Arial"/>
              </w:rPr>
              <w:t xml:space="preserve"> </w:t>
            </w:r>
            <w:proofErr w:type="spellStart"/>
            <w:r>
              <w:rPr>
                <w:rFonts w:ascii="Arial" w:hAnsi="Arial" w:cs="Arial"/>
              </w:rPr>
              <w:t>Coordinadora</w:t>
            </w:r>
            <w:proofErr w:type="spellEnd"/>
            <w:r>
              <w:rPr>
                <w:rFonts w:ascii="Arial" w:hAnsi="Arial" w:cs="Arial"/>
              </w:rPr>
              <w:t xml:space="preserve"> del </w:t>
            </w:r>
            <w:proofErr w:type="spellStart"/>
            <w:r>
              <w:rPr>
                <w:rFonts w:ascii="Arial" w:hAnsi="Arial" w:cs="Arial"/>
              </w:rPr>
              <w:t>Programa</w:t>
            </w:r>
            <w:proofErr w:type="spellEnd"/>
          </w:p>
        </w:tc>
      </w:tr>
      <w:tr w:rsidR="00333A4B" w14:paraId="7264FCA5" w14:textId="77777777" w:rsidTr="00EE27AC">
        <w:tc>
          <w:tcPr>
            <w:tcW w:w="1843" w:type="dxa"/>
          </w:tcPr>
          <w:p w14:paraId="11159E53" w14:textId="77777777" w:rsidR="00333A4B" w:rsidRPr="00F66DFD" w:rsidRDefault="00333A4B" w:rsidP="00EE27AC">
            <w:pPr>
              <w:spacing w:line="276" w:lineRule="auto"/>
              <w:rPr>
                <w:rFonts w:ascii="Arial" w:hAnsi="Arial" w:cs="Arial"/>
              </w:rPr>
            </w:pPr>
            <w:r w:rsidRPr="00F66DFD">
              <w:rPr>
                <w:rFonts w:ascii="Arial" w:hAnsi="Arial" w:cs="Arial"/>
              </w:rPr>
              <w:t>km</w:t>
            </w:r>
          </w:p>
        </w:tc>
        <w:tc>
          <w:tcPr>
            <w:tcW w:w="7733" w:type="dxa"/>
          </w:tcPr>
          <w:p w14:paraId="056798FE" w14:textId="77777777" w:rsidR="00333A4B" w:rsidRPr="00F66DFD" w:rsidRDefault="00333A4B" w:rsidP="00EE27AC">
            <w:pPr>
              <w:spacing w:line="276" w:lineRule="auto"/>
              <w:rPr>
                <w:rFonts w:ascii="Arial" w:hAnsi="Arial" w:cs="Arial"/>
              </w:rPr>
            </w:pPr>
            <w:proofErr w:type="spellStart"/>
            <w:r w:rsidRPr="00F66DFD">
              <w:rPr>
                <w:rFonts w:ascii="Arial" w:hAnsi="Arial" w:cs="Arial"/>
              </w:rPr>
              <w:t>kilómetros</w:t>
            </w:r>
            <w:proofErr w:type="spellEnd"/>
          </w:p>
        </w:tc>
      </w:tr>
      <w:tr w:rsidR="00333A4B" w14:paraId="1DADA887" w14:textId="77777777" w:rsidTr="00EE27AC">
        <w:tc>
          <w:tcPr>
            <w:tcW w:w="1843" w:type="dxa"/>
          </w:tcPr>
          <w:p w14:paraId="273D44DF" w14:textId="77777777" w:rsidR="00333A4B" w:rsidRPr="00F66DFD" w:rsidRDefault="00333A4B" w:rsidP="00EE27AC">
            <w:pPr>
              <w:rPr>
                <w:rFonts w:ascii="Arial" w:hAnsi="Arial" w:cs="Arial"/>
              </w:rPr>
            </w:pPr>
            <w:r>
              <w:rPr>
                <w:rFonts w:ascii="Arial" w:hAnsi="Arial" w:cs="Arial"/>
              </w:rPr>
              <w:t>MOP</w:t>
            </w:r>
          </w:p>
        </w:tc>
        <w:tc>
          <w:tcPr>
            <w:tcW w:w="7733" w:type="dxa"/>
          </w:tcPr>
          <w:p w14:paraId="7487ED75" w14:textId="77777777" w:rsidR="00333A4B" w:rsidRPr="00F66DFD" w:rsidRDefault="00333A4B" w:rsidP="00EE27AC">
            <w:pPr>
              <w:rPr>
                <w:rFonts w:ascii="Arial" w:hAnsi="Arial" w:cs="Arial"/>
              </w:rPr>
            </w:pPr>
            <w:r>
              <w:rPr>
                <w:rFonts w:ascii="Arial" w:hAnsi="Arial" w:cs="Arial"/>
              </w:rPr>
              <w:t xml:space="preserve">Manual </w:t>
            </w:r>
            <w:proofErr w:type="spellStart"/>
            <w:r>
              <w:rPr>
                <w:rFonts w:ascii="Arial" w:hAnsi="Arial" w:cs="Arial"/>
              </w:rPr>
              <w:t>Operativo</w:t>
            </w:r>
            <w:proofErr w:type="spellEnd"/>
            <w:r>
              <w:rPr>
                <w:rFonts w:ascii="Arial" w:hAnsi="Arial" w:cs="Arial"/>
              </w:rPr>
              <w:t xml:space="preserve"> del </w:t>
            </w:r>
            <w:proofErr w:type="spellStart"/>
            <w:r>
              <w:rPr>
                <w:rFonts w:ascii="Arial" w:hAnsi="Arial" w:cs="Arial"/>
              </w:rPr>
              <w:t>Programa</w:t>
            </w:r>
            <w:proofErr w:type="spellEnd"/>
          </w:p>
        </w:tc>
      </w:tr>
      <w:tr w:rsidR="00333A4B" w14:paraId="5DC3225E" w14:textId="77777777" w:rsidTr="00EE27AC">
        <w:tc>
          <w:tcPr>
            <w:tcW w:w="1843" w:type="dxa"/>
          </w:tcPr>
          <w:p w14:paraId="2A2702CF" w14:textId="77777777" w:rsidR="00333A4B" w:rsidRPr="00F66DFD" w:rsidRDefault="00333A4B" w:rsidP="00EE27AC">
            <w:pPr>
              <w:spacing w:line="276" w:lineRule="auto"/>
              <w:rPr>
                <w:rFonts w:ascii="Arial" w:hAnsi="Arial" w:cs="Arial"/>
              </w:rPr>
            </w:pPr>
            <w:r w:rsidRPr="00F66DFD">
              <w:rPr>
                <w:rFonts w:ascii="Arial" w:hAnsi="Arial" w:cs="Arial"/>
              </w:rPr>
              <w:t>MVA</w:t>
            </w:r>
          </w:p>
        </w:tc>
        <w:tc>
          <w:tcPr>
            <w:tcW w:w="7733" w:type="dxa"/>
          </w:tcPr>
          <w:p w14:paraId="35A388C8" w14:textId="77777777" w:rsidR="00333A4B" w:rsidRPr="00F66DFD" w:rsidRDefault="00333A4B" w:rsidP="00EE27AC">
            <w:pPr>
              <w:spacing w:line="276" w:lineRule="auto"/>
              <w:rPr>
                <w:rFonts w:ascii="Arial" w:hAnsi="Arial" w:cs="Arial"/>
              </w:rPr>
            </w:pPr>
            <w:r w:rsidRPr="00F66DFD">
              <w:rPr>
                <w:rFonts w:ascii="Arial" w:hAnsi="Arial" w:cs="Arial"/>
              </w:rPr>
              <w:t>Mega Volt-Ampere</w:t>
            </w:r>
          </w:p>
        </w:tc>
      </w:tr>
      <w:tr w:rsidR="00333A4B" w14:paraId="3560B6CA" w14:textId="77777777" w:rsidTr="00EE27AC">
        <w:tc>
          <w:tcPr>
            <w:tcW w:w="1843" w:type="dxa"/>
          </w:tcPr>
          <w:p w14:paraId="220A5574" w14:textId="77777777" w:rsidR="00333A4B" w:rsidRPr="00F66DFD" w:rsidRDefault="00333A4B" w:rsidP="00EE27AC">
            <w:pPr>
              <w:spacing w:line="276" w:lineRule="auto"/>
              <w:rPr>
                <w:rFonts w:ascii="Arial" w:hAnsi="Arial" w:cs="Arial"/>
              </w:rPr>
            </w:pPr>
            <w:r w:rsidRPr="00F66DFD">
              <w:rPr>
                <w:rFonts w:ascii="Arial" w:hAnsi="Arial" w:cs="Arial"/>
              </w:rPr>
              <w:t>PA</w:t>
            </w:r>
          </w:p>
        </w:tc>
        <w:tc>
          <w:tcPr>
            <w:tcW w:w="7733" w:type="dxa"/>
          </w:tcPr>
          <w:p w14:paraId="017D0CCD" w14:textId="77777777" w:rsidR="00333A4B" w:rsidRPr="00F66DFD" w:rsidRDefault="00333A4B" w:rsidP="00EE27AC">
            <w:pPr>
              <w:spacing w:line="276" w:lineRule="auto"/>
              <w:rPr>
                <w:rFonts w:ascii="Arial" w:hAnsi="Arial" w:cs="Arial"/>
              </w:rPr>
            </w:pPr>
            <w:r w:rsidRPr="00F66DFD">
              <w:rPr>
                <w:rFonts w:ascii="Arial" w:hAnsi="Arial" w:cs="Arial"/>
              </w:rPr>
              <w:t xml:space="preserve">Plan de </w:t>
            </w:r>
            <w:proofErr w:type="spellStart"/>
            <w:r w:rsidRPr="00F66DFD">
              <w:rPr>
                <w:rFonts w:ascii="Arial" w:hAnsi="Arial" w:cs="Arial"/>
              </w:rPr>
              <w:t>Adquisiciones</w:t>
            </w:r>
            <w:proofErr w:type="spellEnd"/>
          </w:p>
        </w:tc>
      </w:tr>
      <w:tr w:rsidR="00333A4B" w14:paraId="3D057906" w14:textId="77777777" w:rsidTr="00EE27AC">
        <w:tc>
          <w:tcPr>
            <w:tcW w:w="1843" w:type="dxa"/>
          </w:tcPr>
          <w:p w14:paraId="5A514491" w14:textId="77777777" w:rsidR="00333A4B" w:rsidRPr="00F66DFD" w:rsidRDefault="00333A4B" w:rsidP="00EE27AC">
            <w:pPr>
              <w:rPr>
                <w:rFonts w:ascii="Arial" w:hAnsi="Arial" w:cs="Arial"/>
              </w:rPr>
            </w:pPr>
            <w:r>
              <w:rPr>
                <w:rFonts w:ascii="Arial" w:hAnsi="Arial" w:cs="Arial"/>
              </w:rPr>
              <w:t>PEP</w:t>
            </w:r>
          </w:p>
        </w:tc>
        <w:tc>
          <w:tcPr>
            <w:tcW w:w="7733" w:type="dxa"/>
          </w:tcPr>
          <w:p w14:paraId="7AC04434" w14:textId="77777777" w:rsidR="00333A4B" w:rsidRPr="00F66DFD" w:rsidRDefault="00333A4B" w:rsidP="00EE27AC">
            <w:pPr>
              <w:rPr>
                <w:rFonts w:ascii="Arial" w:hAnsi="Arial" w:cs="Arial"/>
              </w:rPr>
            </w:pPr>
            <w:r>
              <w:rPr>
                <w:rFonts w:ascii="Arial" w:hAnsi="Arial" w:cs="Arial"/>
              </w:rPr>
              <w:t xml:space="preserve">Plan de </w:t>
            </w:r>
            <w:proofErr w:type="spellStart"/>
            <w:r>
              <w:rPr>
                <w:rFonts w:ascii="Arial" w:hAnsi="Arial" w:cs="Arial"/>
              </w:rPr>
              <w:t>Ejecución</w:t>
            </w:r>
            <w:proofErr w:type="spellEnd"/>
            <w:r>
              <w:rPr>
                <w:rFonts w:ascii="Arial" w:hAnsi="Arial" w:cs="Arial"/>
              </w:rPr>
              <w:t xml:space="preserve"> </w:t>
            </w:r>
            <w:proofErr w:type="spellStart"/>
            <w:r>
              <w:rPr>
                <w:rFonts w:ascii="Arial" w:hAnsi="Arial" w:cs="Arial"/>
              </w:rPr>
              <w:t>Plurianual</w:t>
            </w:r>
            <w:proofErr w:type="spellEnd"/>
          </w:p>
        </w:tc>
      </w:tr>
      <w:tr w:rsidR="00333A4B" w14:paraId="04C2EA6E" w14:textId="77777777" w:rsidTr="00EE27AC">
        <w:tc>
          <w:tcPr>
            <w:tcW w:w="1843" w:type="dxa"/>
          </w:tcPr>
          <w:p w14:paraId="1600B805" w14:textId="77777777" w:rsidR="00333A4B" w:rsidRPr="00F66DFD" w:rsidRDefault="00333A4B" w:rsidP="00EE27AC">
            <w:pPr>
              <w:spacing w:line="276" w:lineRule="auto"/>
              <w:rPr>
                <w:rFonts w:ascii="Arial" w:hAnsi="Arial" w:cs="Arial"/>
              </w:rPr>
            </w:pPr>
            <w:r w:rsidRPr="00F66DFD">
              <w:rPr>
                <w:rFonts w:ascii="Arial" w:hAnsi="Arial" w:cs="Arial"/>
              </w:rPr>
              <w:t>PCR</w:t>
            </w:r>
          </w:p>
        </w:tc>
        <w:tc>
          <w:tcPr>
            <w:tcW w:w="7733" w:type="dxa"/>
          </w:tcPr>
          <w:p w14:paraId="34A04D51" w14:textId="77777777" w:rsidR="00333A4B" w:rsidRPr="00F66DFD" w:rsidRDefault="00333A4B" w:rsidP="00EE27AC">
            <w:pPr>
              <w:spacing w:line="276" w:lineRule="auto"/>
              <w:rPr>
                <w:rFonts w:ascii="Arial" w:hAnsi="Arial" w:cs="Arial"/>
              </w:rPr>
            </w:pPr>
            <w:r w:rsidRPr="00F66DFD">
              <w:rPr>
                <w:rFonts w:ascii="Arial" w:hAnsi="Arial" w:cs="Arial"/>
              </w:rPr>
              <w:t>Project Completion Report</w:t>
            </w:r>
          </w:p>
        </w:tc>
      </w:tr>
      <w:tr w:rsidR="00333A4B" w:rsidRPr="00E15779" w14:paraId="5F53AAE4" w14:textId="77777777" w:rsidTr="00EE27AC">
        <w:tc>
          <w:tcPr>
            <w:tcW w:w="1843" w:type="dxa"/>
          </w:tcPr>
          <w:p w14:paraId="44A834CF" w14:textId="77777777" w:rsidR="00333A4B" w:rsidRPr="00F66DFD" w:rsidRDefault="00333A4B" w:rsidP="00EE27AC">
            <w:pPr>
              <w:rPr>
                <w:rFonts w:ascii="Arial" w:hAnsi="Arial" w:cs="Arial"/>
              </w:rPr>
            </w:pPr>
            <w:r>
              <w:rPr>
                <w:rFonts w:ascii="Arial" w:hAnsi="Arial" w:cs="Arial"/>
              </w:rPr>
              <w:t>PGAS</w:t>
            </w:r>
          </w:p>
        </w:tc>
        <w:tc>
          <w:tcPr>
            <w:tcW w:w="7733" w:type="dxa"/>
          </w:tcPr>
          <w:p w14:paraId="03FEC18B" w14:textId="77777777" w:rsidR="00333A4B" w:rsidRPr="00982581" w:rsidRDefault="00333A4B" w:rsidP="00EE27AC">
            <w:pPr>
              <w:rPr>
                <w:rFonts w:ascii="Arial" w:hAnsi="Arial" w:cs="Arial"/>
                <w:lang w:val="es-ES_tradnl"/>
              </w:rPr>
            </w:pPr>
            <w:r w:rsidRPr="00982581">
              <w:rPr>
                <w:rFonts w:ascii="Arial" w:hAnsi="Arial" w:cs="Arial"/>
                <w:lang w:val="es-ES_tradnl"/>
              </w:rPr>
              <w:t>Plan de Gestión Ambiental y Social</w:t>
            </w:r>
          </w:p>
        </w:tc>
      </w:tr>
      <w:tr w:rsidR="00333A4B" w:rsidRPr="00E15779" w14:paraId="3579BC7C" w14:textId="77777777" w:rsidTr="00EE27AC">
        <w:tc>
          <w:tcPr>
            <w:tcW w:w="1843" w:type="dxa"/>
          </w:tcPr>
          <w:p w14:paraId="27CFCBEA" w14:textId="77777777" w:rsidR="00333A4B" w:rsidRPr="00F66DFD" w:rsidRDefault="00333A4B" w:rsidP="00EE27AC">
            <w:pPr>
              <w:spacing w:line="276" w:lineRule="auto"/>
              <w:rPr>
                <w:rFonts w:ascii="Arial" w:hAnsi="Arial" w:cs="Arial"/>
              </w:rPr>
            </w:pPr>
            <w:r w:rsidRPr="00F66DFD">
              <w:rPr>
                <w:rFonts w:ascii="Arial" w:hAnsi="Arial" w:cs="Arial"/>
              </w:rPr>
              <w:t>PM&amp;E</w:t>
            </w:r>
          </w:p>
        </w:tc>
        <w:tc>
          <w:tcPr>
            <w:tcW w:w="7733" w:type="dxa"/>
          </w:tcPr>
          <w:p w14:paraId="69CE96BD" w14:textId="77777777" w:rsidR="00333A4B" w:rsidRPr="00F66DFD" w:rsidRDefault="00333A4B" w:rsidP="00EE27AC">
            <w:pPr>
              <w:spacing w:line="276" w:lineRule="auto"/>
              <w:rPr>
                <w:rFonts w:ascii="Arial" w:hAnsi="Arial" w:cs="Arial"/>
                <w:lang w:val="es-ES_tradnl"/>
              </w:rPr>
            </w:pPr>
            <w:r w:rsidRPr="00F66DFD">
              <w:rPr>
                <w:rFonts w:ascii="Arial" w:hAnsi="Arial" w:cs="Arial"/>
                <w:lang w:val="es-ES_tradnl"/>
              </w:rPr>
              <w:t>Plan de Monitoreo y Evaluación</w:t>
            </w:r>
          </w:p>
        </w:tc>
      </w:tr>
      <w:tr w:rsidR="00333A4B" w:rsidRPr="00B53F5F" w14:paraId="0DCCC0C4" w14:textId="77777777" w:rsidTr="00EE27AC">
        <w:tc>
          <w:tcPr>
            <w:tcW w:w="1843" w:type="dxa"/>
          </w:tcPr>
          <w:p w14:paraId="1A40A323" w14:textId="77777777" w:rsidR="00333A4B" w:rsidRPr="00F66DFD" w:rsidRDefault="00333A4B" w:rsidP="00EE27AC">
            <w:pPr>
              <w:rPr>
                <w:rFonts w:ascii="Arial" w:hAnsi="Arial" w:cs="Arial"/>
              </w:rPr>
            </w:pPr>
            <w:r>
              <w:rPr>
                <w:rFonts w:ascii="Arial" w:hAnsi="Arial" w:cs="Arial"/>
              </w:rPr>
              <w:t>PMR</w:t>
            </w:r>
          </w:p>
        </w:tc>
        <w:tc>
          <w:tcPr>
            <w:tcW w:w="7733" w:type="dxa"/>
          </w:tcPr>
          <w:p w14:paraId="3CBF3122" w14:textId="77777777" w:rsidR="00333A4B" w:rsidRPr="00F66DFD" w:rsidRDefault="00333A4B" w:rsidP="00EE27AC">
            <w:pPr>
              <w:rPr>
                <w:rFonts w:ascii="Arial" w:hAnsi="Arial" w:cs="Arial"/>
                <w:lang w:val="es-ES_tradnl"/>
              </w:rPr>
            </w:pPr>
            <w:r>
              <w:rPr>
                <w:rFonts w:ascii="Arial" w:hAnsi="Arial" w:cs="Arial"/>
                <w:lang w:val="es-ES_tradnl"/>
              </w:rPr>
              <w:t>Reporte de Monitoreo del Programa</w:t>
            </w:r>
          </w:p>
        </w:tc>
      </w:tr>
      <w:tr w:rsidR="00333A4B" w14:paraId="3730D3D2" w14:textId="77777777" w:rsidTr="00EE27AC">
        <w:tc>
          <w:tcPr>
            <w:tcW w:w="1843" w:type="dxa"/>
          </w:tcPr>
          <w:p w14:paraId="030BE9C3" w14:textId="77777777" w:rsidR="00333A4B" w:rsidRPr="00F66DFD" w:rsidRDefault="00333A4B" w:rsidP="00EE27AC">
            <w:pPr>
              <w:spacing w:line="276" w:lineRule="auto"/>
              <w:rPr>
                <w:rFonts w:ascii="Arial" w:hAnsi="Arial" w:cs="Arial"/>
              </w:rPr>
            </w:pPr>
            <w:r w:rsidRPr="00F66DFD">
              <w:rPr>
                <w:rFonts w:ascii="Arial" w:hAnsi="Arial" w:cs="Arial"/>
              </w:rPr>
              <w:t>POA</w:t>
            </w:r>
          </w:p>
        </w:tc>
        <w:tc>
          <w:tcPr>
            <w:tcW w:w="7733" w:type="dxa"/>
          </w:tcPr>
          <w:p w14:paraId="7B13870C" w14:textId="77777777" w:rsidR="00333A4B" w:rsidRPr="00F66DFD" w:rsidRDefault="00333A4B" w:rsidP="00EE27AC">
            <w:pPr>
              <w:spacing w:line="276" w:lineRule="auto"/>
              <w:rPr>
                <w:rFonts w:ascii="Arial" w:hAnsi="Arial" w:cs="Arial"/>
              </w:rPr>
            </w:pPr>
            <w:r w:rsidRPr="00F66DFD">
              <w:rPr>
                <w:rFonts w:ascii="Arial" w:hAnsi="Arial" w:cs="Arial"/>
              </w:rPr>
              <w:t xml:space="preserve">Planes </w:t>
            </w:r>
            <w:proofErr w:type="spellStart"/>
            <w:r w:rsidRPr="00F66DFD">
              <w:rPr>
                <w:rFonts w:ascii="Arial" w:hAnsi="Arial" w:cs="Arial"/>
              </w:rPr>
              <w:t>Operativos</w:t>
            </w:r>
            <w:proofErr w:type="spellEnd"/>
            <w:r w:rsidRPr="00F66DFD">
              <w:rPr>
                <w:rFonts w:ascii="Arial" w:hAnsi="Arial" w:cs="Arial"/>
              </w:rPr>
              <w:t xml:space="preserve"> </w:t>
            </w:r>
            <w:proofErr w:type="spellStart"/>
            <w:r w:rsidRPr="00F66DFD">
              <w:rPr>
                <w:rFonts w:ascii="Arial" w:hAnsi="Arial" w:cs="Arial"/>
              </w:rPr>
              <w:t>Anuales</w:t>
            </w:r>
            <w:proofErr w:type="spellEnd"/>
          </w:p>
        </w:tc>
      </w:tr>
      <w:tr w:rsidR="00333A4B" w14:paraId="17C343B6" w14:textId="77777777" w:rsidTr="00EE27AC">
        <w:tc>
          <w:tcPr>
            <w:tcW w:w="1843" w:type="dxa"/>
          </w:tcPr>
          <w:p w14:paraId="673ADE74" w14:textId="77777777" w:rsidR="00333A4B" w:rsidRPr="00F66DFD" w:rsidRDefault="00333A4B" w:rsidP="00EE27AC">
            <w:pPr>
              <w:rPr>
                <w:rFonts w:ascii="Arial" w:hAnsi="Arial" w:cs="Arial"/>
              </w:rPr>
            </w:pPr>
            <w:r>
              <w:rPr>
                <w:rFonts w:ascii="Arial" w:hAnsi="Arial" w:cs="Arial"/>
              </w:rPr>
              <w:t>RAS</w:t>
            </w:r>
          </w:p>
        </w:tc>
        <w:tc>
          <w:tcPr>
            <w:tcW w:w="7733" w:type="dxa"/>
          </w:tcPr>
          <w:p w14:paraId="5874E6B3" w14:textId="77777777" w:rsidR="00333A4B" w:rsidRPr="00F66DFD" w:rsidRDefault="00333A4B" w:rsidP="00EE27AC">
            <w:pPr>
              <w:rPr>
                <w:rFonts w:ascii="Arial" w:hAnsi="Arial" w:cs="Arial"/>
              </w:rPr>
            </w:pPr>
            <w:proofErr w:type="spellStart"/>
            <w:r>
              <w:rPr>
                <w:rFonts w:ascii="Arial" w:hAnsi="Arial" w:cs="Arial"/>
              </w:rPr>
              <w:t>Reporte</w:t>
            </w:r>
            <w:proofErr w:type="spellEnd"/>
            <w:r>
              <w:rPr>
                <w:rFonts w:ascii="Arial" w:hAnsi="Arial" w:cs="Arial"/>
              </w:rPr>
              <w:t xml:space="preserve"> </w:t>
            </w:r>
            <w:proofErr w:type="spellStart"/>
            <w:r>
              <w:rPr>
                <w:rFonts w:ascii="Arial" w:hAnsi="Arial" w:cs="Arial"/>
              </w:rPr>
              <w:t>Ambiental</w:t>
            </w:r>
            <w:proofErr w:type="spellEnd"/>
            <w:r>
              <w:rPr>
                <w:rFonts w:ascii="Arial" w:hAnsi="Arial" w:cs="Arial"/>
              </w:rPr>
              <w:t xml:space="preserve"> y Social</w:t>
            </w:r>
          </w:p>
        </w:tc>
      </w:tr>
      <w:tr w:rsidR="00333A4B" w14:paraId="4521C9DD" w14:textId="77777777" w:rsidTr="00EE27AC">
        <w:tc>
          <w:tcPr>
            <w:tcW w:w="1843" w:type="dxa"/>
          </w:tcPr>
          <w:p w14:paraId="39095910" w14:textId="77777777" w:rsidR="00333A4B" w:rsidRDefault="00333A4B" w:rsidP="00EE27AC">
            <w:pPr>
              <w:rPr>
                <w:rFonts w:ascii="Arial" w:hAnsi="Arial" w:cs="Arial"/>
              </w:rPr>
            </w:pPr>
            <w:r>
              <w:rPr>
                <w:rFonts w:ascii="Arial" w:hAnsi="Arial" w:cs="Arial"/>
              </w:rPr>
              <w:t>R$</w:t>
            </w:r>
          </w:p>
        </w:tc>
        <w:tc>
          <w:tcPr>
            <w:tcW w:w="7733" w:type="dxa"/>
          </w:tcPr>
          <w:p w14:paraId="36AA7A47" w14:textId="77777777" w:rsidR="00333A4B" w:rsidRDefault="00333A4B" w:rsidP="00EE27AC">
            <w:pPr>
              <w:rPr>
                <w:rFonts w:ascii="Arial" w:hAnsi="Arial" w:cs="Arial"/>
              </w:rPr>
            </w:pPr>
            <w:r>
              <w:rPr>
                <w:rFonts w:ascii="Arial" w:hAnsi="Arial" w:cs="Arial"/>
              </w:rPr>
              <w:t xml:space="preserve">Real </w:t>
            </w:r>
            <w:proofErr w:type="spellStart"/>
            <w:r>
              <w:rPr>
                <w:rFonts w:ascii="Arial" w:hAnsi="Arial" w:cs="Arial"/>
              </w:rPr>
              <w:t>Brasileño</w:t>
            </w:r>
            <w:proofErr w:type="spellEnd"/>
          </w:p>
        </w:tc>
      </w:tr>
      <w:tr w:rsidR="00333A4B" w:rsidRPr="00E15779" w14:paraId="569EBA26" w14:textId="77777777" w:rsidTr="00EE27AC">
        <w:tc>
          <w:tcPr>
            <w:tcW w:w="1843" w:type="dxa"/>
          </w:tcPr>
          <w:p w14:paraId="3C49F57B" w14:textId="77777777" w:rsidR="00333A4B" w:rsidRDefault="00333A4B" w:rsidP="00EE27AC">
            <w:pPr>
              <w:rPr>
                <w:rFonts w:ascii="Arial" w:hAnsi="Arial" w:cs="Arial"/>
              </w:rPr>
            </w:pPr>
            <w:r>
              <w:rPr>
                <w:rFonts w:ascii="Arial" w:hAnsi="Arial" w:cs="Arial"/>
              </w:rPr>
              <w:t>SEPA</w:t>
            </w:r>
          </w:p>
        </w:tc>
        <w:tc>
          <w:tcPr>
            <w:tcW w:w="7733" w:type="dxa"/>
          </w:tcPr>
          <w:p w14:paraId="7C5B537C" w14:textId="77777777" w:rsidR="00333A4B" w:rsidRPr="00982581" w:rsidRDefault="00333A4B" w:rsidP="00EE27AC">
            <w:pPr>
              <w:rPr>
                <w:rFonts w:ascii="Arial" w:hAnsi="Arial" w:cs="Arial"/>
                <w:lang w:val="es-ES_tradnl"/>
              </w:rPr>
            </w:pPr>
            <w:r w:rsidRPr="00982581">
              <w:rPr>
                <w:rFonts w:ascii="Arial" w:hAnsi="Arial" w:cs="Arial"/>
                <w:lang w:val="es-ES_tradnl"/>
              </w:rPr>
              <w:t>Sistema de Ejecución de Planes de Adquisiciones</w:t>
            </w:r>
          </w:p>
        </w:tc>
      </w:tr>
      <w:tr w:rsidR="00333A4B" w14:paraId="45068D10" w14:textId="77777777" w:rsidTr="00EE27AC">
        <w:tc>
          <w:tcPr>
            <w:tcW w:w="1843" w:type="dxa"/>
          </w:tcPr>
          <w:p w14:paraId="2258389F" w14:textId="77777777" w:rsidR="00333A4B" w:rsidRPr="00F66DFD" w:rsidRDefault="00333A4B" w:rsidP="00EE27AC">
            <w:pPr>
              <w:spacing w:line="276" w:lineRule="auto"/>
              <w:rPr>
                <w:rFonts w:ascii="Arial" w:hAnsi="Arial" w:cs="Arial"/>
              </w:rPr>
            </w:pPr>
            <w:r w:rsidRPr="00F66DFD">
              <w:rPr>
                <w:rFonts w:ascii="Arial" w:hAnsi="Arial" w:cs="Arial"/>
              </w:rPr>
              <w:t>TIR</w:t>
            </w:r>
            <w:r>
              <w:rPr>
                <w:rFonts w:ascii="Arial" w:hAnsi="Arial" w:cs="Arial"/>
              </w:rPr>
              <w:t>E</w:t>
            </w:r>
          </w:p>
        </w:tc>
        <w:tc>
          <w:tcPr>
            <w:tcW w:w="7733" w:type="dxa"/>
          </w:tcPr>
          <w:p w14:paraId="2D80E60F" w14:textId="77777777" w:rsidR="00333A4B" w:rsidRPr="00F66DFD" w:rsidRDefault="00333A4B" w:rsidP="00EE27AC">
            <w:pPr>
              <w:spacing w:line="276" w:lineRule="auto"/>
              <w:rPr>
                <w:rFonts w:ascii="Arial" w:hAnsi="Arial" w:cs="Arial"/>
              </w:rPr>
            </w:pPr>
            <w:proofErr w:type="spellStart"/>
            <w:r w:rsidRPr="00F66DFD">
              <w:rPr>
                <w:rFonts w:ascii="Arial" w:hAnsi="Arial" w:cs="Arial"/>
              </w:rPr>
              <w:t>Tasa</w:t>
            </w:r>
            <w:proofErr w:type="spellEnd"/>
            <w:r w:rsidRPr="00F66DFD">
              <w:rPr>
                <w:rFonts w:ascii="Arial" w:hAnsi="Arial" w:cs="Arial"/>
              </w:rPr>
              <w:t xml:space="preserve"> </w:t>
            </w:r>
            <w:proofErr w:type="spellStart"/>
            <w:r w:rsidRPr="00F66DFD">
              <w:rPr>
                <w:rFonts w:ascii="Arial" w:hAnsi="Arial" w:cs="Arial"/>
              </w:rPr>
              <w:t>Interna</w:t>
            </w:r>
            <w:proofErr w:type="spellEnd"/>
            <w:r w:rsidRPr="00F66DFD">
              <w:rPr>
                <w:rFonts w:ascii="Arial" w:hAnsi="Arial" w:cs="Arial"/>
              </w:rPr>
              <w:t xml:space="preserve"> de </w:t>
            </w:r>
            <w:proofErr w:type="spellStart"/>
            <w:r w:rsidRPr="00F66DFD">
              <w:rPr>
                <w:rFonts w:ascii="Arial" w:hAnsi="Arial" w:cs="Arial"/>
              </w:rPr>
              <w:t>Retorno</w:t>
            </w:r>
            <w:proofErr w:type="spellEnd"/>
            <w:r w:rsidRPr="00F66DFD">
              <w:rPr>
                <w:rFonts w:ascii="Arial" w:hAnsi="Arial" w:cs="Arial"/>
              </w:rPr>
              <w:t xml:space="preserve"> </w:t>
            </w:r>
            <w:proofErr w:type="spellStart"/>
            <w:r w:rsidRPr="00F66DFD">
              <w:rPr>
                <w:rFonts w:ascii="Arial" w:hAnsi="Arial" w:cs="Arial"/>
              </w:rPr>
              <w:t>Económico</w:t>
            </w:r>
            <w:proofErr w:type="spellEnd"/>
            <w:r w:rsidRPr="00F66DFD">
              <w:rPr>
                <w:rFonts w:ascii="Arial" w:hAnsi="Arial" w:cs="Arial"/>
              </w:rPr>
              <w:t xml:space="preserve"> </w:t>
            </w:r>
          </w:p>
        </w:tc>
      </w:tr>
      <w:tr w:rsidR="00333A4B" w14:paraId="39A8A914" w14:textId="77777777" w:rsidTr="00EE27AC">
        <w:tc>
          <w:tcPr>
            <w:tcW w:w="1843" w:type="dxa"/>
          </w:tcPr>
          <w:p w14:paraId="275E80D2" w14:textId="77777777" w:rsidR="00333A4B" w:rsidRPr="00F66DFD" w:rsidRDefault="00333A4B" w:rsidP="00EE27AC">
            <w:pPr>
              <w:rPr>
                <w:rFonts w:ascii="Arial" w:hAnsi="Arial" w:cs="Arial"/>
              </w:rPr>
            </w:pPr>
            <w:r>
              <w:rPr>
                <w:rFonts w:ascii="Arial" w:hAnsi="Arial" w:cs="Arial"/>
              </w:rPr>
              <w:t>US$</w:t>
            </w:r>
          </w:p>
        </w:tc>
        <w:tc>
          <w:tcPr>
            <w:tcW w:w="7733" w:type="dxa"/>
          </w:tcPr>
          <w:p w14:paraId="6F80C23E" w14:textId="77777777" w:rsidR="00333A4B" w:rsidRPr="00F66DFD" w:rsidRDefault="00333A4B" w:rsidP="00EE27AC">
            <w:pPr>
              <w:rPr>
                <w:rFonts w:ascii="Arial" w:hAnsi="Arial" w:cs="Arial"/>
              </w:rPr>
            </w:pPr>
            <w:proofErr w:type="spellStart"/>
            <w:r>
              <w:rPr>
                <w:rFonts w:ascii="Arial" w:hAnsi="Arial" w:cs="Arial"/>
              </w:rPr>
              <w:t>Dólares</w:t>
            </w:r>
            <w:proofErr w:type="spellEnd"/>
            <w:r>
              <w:rPr>
                <w:rFonts w:ascii="Arial" w:hAnsi="Arial" w:cs="Arial"/>
              </w:rPr>
              <w:t xml:space="preserve"> Americanos</w:t>
            </w:r>
          </w:p>
        </w:tc>
      </w:tr>
      <w:tr w:rsidR="00333A4B" w14:paraId="49059C31" w14:textId="77777777" w:rsidTr="00EE27AC">
        <w:tc>
          <w:tcPr>
            <w:tcW w:w="1843" w:type="dxa"/>
          </w:tcPr>
          <w:p w14:paraId="166B351E" w14:textId="77777777" w:rsidR="00333A4B" w:rsidRPr="00F66DFD" w:rsidRDefault="00333A4B" w:rsidP="00EE27AC">
            <w:pPr>
              <w:spacing w:line="276" w:lineRule="auto"/>
              <w:rPr>
                <w:rFonts w:ascii="Arial" w:hAnsi="Arial" w:cs="Arial"/>
              </w:rPr>
            </w:pPr>
            <w:r w:rsidRPr="00F66DFD">
              <w:rPr>
                <w:rFonts w:ascii="Arial" w:hAnsi="Arial" w:cs="Arial"/>
              </w:rPr>
              <w:t>VPN</w:t>
            </w:r>
          </w:p>
        </w:tc>
        <w:tc>
          <w:tcPr>
            <w:tcW w:w="7733" w:type="dxa"/>
          </w:tcPr>
          <w:p w14:paraId="29E17300" w14:textId="77777777" w:rsidR="00333A4B" w:rsidRPr="00F66DFD" w:rsidRDefault="00333A4B" w:rsidP="00EE27AC">
            <w:pPr>
              <w:spacing w:line="276" w:lineRule="auto"/>
              <w:rPr>
                <w:rFonts w:ascii="Arial" w:hAnsi="Arial" w:cs="Arial"/>
              </w:rPr>
            </w:pPr>
            <w:r w:rsidRPr="00F66DFD">
              <w:rPr>
                <w:rFonts w:ascii="Arial" w:hAnsi="Arial" w:cs="Arial"/>
              </w:rPr>
              <w:t xml:space="preserve">Valor </w:t>
            </w:r>
            <w:proofErr w:type="spellStart"/>
            <w:r w:rsidRPr="00F66DFD">
              <w:rPr>
                <w:rFonts w:ascii="Arial" w:hAnsi="Arial" w:cs="Arial"/>
              </w:rPr>
              <w:t>Presente</w:t>
            </w:r>
            <w:proofErr w:type="spellEnd"/>
            <w:r w:rsidRPr="00F66DFD">
              <w:rPr>
                <w:rFonts w:ascii="Arial" w:hAnsi="Arial" w:cs="Arial"/>
              </w:rPr>
              <w:t xml:space="preserve"> </w:t>
            </w:r>
            <w:r>
              <w:rPr>
                <w:rFonts w:ascii="Arial" w:hAnsi="Arial" w:cs="Arial"/>
              </w:rPr>
              <w:t xml:space="preserve">de </w:t>
            </w:r>
            <w:proofErr w:type="spellStart"/>
            <w:r>
              <w:rPr>
                <w:rFonts w:ascii="Arial" w:hAnsi="Arial" w:cs="Arial"/>
              </w:rPr>
              <w:t>beneficios</w:t>
            </w:r>
            <w:proofErr w:type="spellEnd"/>
            <w:r>
              <w:rPr>
                <w:rFonts w:ascii="Arial" w:hAnsi="Arial" w:cs="Arial"/>
              </w:rPr>
              <w:t xml:space="preserve"> </w:t>
            </w:r>
            <w:proofErr w:type="spellStart"/>
            <w:r w:rsidRPr="00F66DFD">
              <w:rPr>
                <w:rFonts w:ascii="Arial" w:hAnsi="Arial" w:cs="Arial"/>
              </w:rPr>
              <w:t>Neto</w:t>
            </w:r>
            <w:proofErr w:type="spellEnd"/>
          </w:p>
        </w:tc>
      </w:tr>
    </w:tbl>
    <w:p w14:paraId="7745F1CB" w14:textId="77777777" w:rsidR="00333A4B" w:rsidRPr="005F51A4" w:rsidRDefault="00333A4B" w:rsidP="00333A4B">
      <w:pPr>
        <w:rPr>
          <w:rFonts w:ascii="Arial" w:hAnsi="Arial" w:cs="Arial"/>
          <w:lang w:val="es-ES"/>
        </w:rPr>
      </w:pPr>
    </w:p>
    <w:p w14:paraId="24E71732" w14:textId="77777777" w:rsidR="004F259C" w:rsidRDefault="004F259C">
      <w:pPr>
        <w:rPr>
          <w:rFonts w:ascii="Arial" w:hAnsi="Arial" w:cs="Arial"/>
          <w:lang w:val="es-ES"/>
        </w:rPr>
      </w:pPr>
      <w:r>
        <w:rPr>
          <w:rFonts w:ascii="Arial" w:hAnsi="Arial" w:cs="Arial"/>
          <w:lang w:val="es-ES"/>
        </w:rPr>
        <w:br w:type="page"/>
      </w:r>
    </w:p>
    <w:p w14:paraId="1E250EE0" w14:textId="77777777" w:rsidR="00333A4B" w:rsidRPr="00333A4B" w:rsidRDefault="00333A4B" w:rsidP="00333A4B">
      <w:pPr>
        <w:pStyle w:val="ListParagraph"/>
        <w:numPr>
          <w:ilvl w:val="0"/>
          <w:numId w:val="4"/>
        </w:numPr>
        <w:spacing w:before="120" w:after="120"/>
        <w:ind w:left="720"/>
        <w:rPr>
          <w:rFonts w:ascii="Arial" w:hAnsi="Arial" w:cs="Arial"/>
          <w:b/>
          <w:smallCaps/>
          <w:lang w:val="es-ES"/>
        </w:rPr>
      </w:pPr>
      <w:r w:rsidRPr="00333A4B">
        <w:rPr>
          <w:rFonts w:ascii="Arial" w:hAnsi="Arial" w:cs="Arial"/>
          <w:b/>
          <w:smallCaps/>
          <w:lang w:val="es-ES"/>
        </w:rPr>
        <w:lastRenderedPageBreak/>
        <w:t>Descripción del Programa</w:t>
      </w:r>
    </w:p>
    <w:p w14:paraId="0EB857C8" w14:textId="77777777" w:rsidR="00333A4B" w:rsidRPr="00333A4B" w:rsidRDefault="00333A4B" w:rsidP="00333A4B">
      <w:pPr>
        <w:spacing w:before="120" w:after="120"/>
        <w:ind w:left="720"/>
        <w:contextualSpacing/>
        <w:rPr>
          <w:rFonts w:ascii="Arial" w:hAnsi="Arial" w:cs="Arial"/>
          <w:b/>
          <w:smallCaps/>
          <w:lang w:val="es-ES"/>
        </w:rPr>
      </w:pPr>
    </w:p>
    <w:p w14:paraId="510C542B" w14:textId="77777777" w:rsidR="00333A4B" w:rsidRPr="00333A4B" w:rsidRDefault="00333A4B" w:rsidP="00333A4B">
      <w:pPr>
        <w:numPr>
          <w:ilvl w:val="0"/>
          <w:numId w:val="9"/>
        </w:numPr>
        <w:spacing w:before="120" w:after="120"/>
        <w:ind w:hanging="720"/>
        <w:contextualSpacing/>
        <w:jc w:val="both"/>
        <w:rPr>
          <w:rFonts w:ascii="Arial" w:hAnsi="Arial" w:cs="Arial"/>
          <w:b/>
          <w:lang w:val="es-ES"/>
        </w:rPr>
      </w:pPr>
      <w:r w:rsidRPr="00333A4B">
        <w:rPr>
          <w:rFonts w:ascii="Arial" w:hAnsi="Arial" w:cs="Arial"/>
          <w:b/>
          <w:lang w:val="es-ES"/>
        </w:rPr>
        <w:t>Objetivos y Componentes</w:t>
      </w:r>
    </w:p>
    <w:p w14:paraId="6105DE85" w14:textId="77777777" w:rsidR="00333A4B" w:rsidRPr="00333A4B" w:rsidRDefault="00333A4B" w:rsidP="00333A4B">
      <w:pPr>
        <w:spacing w:before="120" w:after="120"/>
        <w:ind w:left="720"/>
        <w:contextualSpacing/>
        <w:jc w:val="both"/>
        <w:rPr>
          <w:rFonts w:ascii="Arial" w:hAnsi="Arial" w:cs="Arial"/>
          <w:b/>
          <w:lang w:val="es-ES"/>
        </w:rPr>
      </w:pPr>
    </w:p>
    <w:p w14:paraId="3936798C" w14:textId="5DDE07F3" w:rsidR="00333A4B" w:rsidRDefault="00333A4B" w:rsidP="00333A4B">
      <w:pPr>
        <w:pStyle w:val="ListParagraph"/>
        <w:numPr>
          <w:ilvl w:val="1"/>
          <w:numId w:val="17"/>
        </w:numPr>
        <w:spacing w:before="120" w:after="120"/>
        <w:ind w:left="720" w:hanging="720"/>
        <w:contextualSpacing w:val="0"/>
        <w:jc w:val="both"/>
        <w:rPr>
          <w:rFonts w:ascii="Arial" w:hAnsi="Arial" w:cs="Arial"/>
          <w:lang w:val="es-ES"/>
        </w:rPr>
      </w:pPr>
      <w:r w:rsidRPr="00333A4B">
        <w:rPr>
          <w:rFonts w:ascii="Arial" w:hAnsi="Arial" w:cs="Arial"/>
          <w:lang w:val="es-ES"/>
        </w:rPr>
        <w:t>El Banco Interamericano de Desarrollo (BID) está apoyando al Estado de Santa Catarina (</w:t>
      </w:r>
      <w:proofErr w:type="spellStart"/>
      <w:r w:rsidRPr="00333A4B">
        <w:rPr>
          <w:rFonts w:ascii="Arial" w:hAnsi="Arial" w:cs="Arial"/>
          <w:lang w:val="es-ES"/>
        </w:rPr>
        <w:t>EdSC</w:t>
      </w:r>
      <w:proofErr w:type="spellEnd"/>
      <w:r w:rsidRPr="00333A4B">
        <w:rPr>
          <w:rFonts w:ascii="Arial" w:hAnsi="Arial" w:cs="Arial"/>
          <w:lang w:val="es-ES"/>
        </w:rPr>
        <w:t>), Brasil, a través de la operación BR-L1491, específicamente para el Programa de inversiones en infraestructura energética, a ser ejecutado por la empresa Centrales Eléctricas de Santa Catarina - Distribución (</w:t>
      </w:r>
      <w:proofErr w:type="spellStart"/>
      <w:r w:rsidRPr="00333A4B">
        <w:rPr>
          <w:rFonts w:ascii="Arial" w:hAnsi="Arial" w:cs="Arial"/>
          <w:lang w:val="es-ES"/>
        </w:rPr>
        <w:t>Celesc</w:t>
      </w:r>
      <w:proofErr w:type="spellEnd"/>
      <w:r>
        <w:rPr>
          <w:rFonts w:ascii="Arial" w:hAnsi="Arial" w:cs="Arial"/>
          <w:lang w:val="es-ES"/>
        </w:rPr>
        <w:t>-D).</w:t>
      </w:r>
    </w:p>
    <w:p w14:paraId="79E1B28B" w14:textId="5F6D7B0B" w:rsidR="00333A4B" w:rsidRDefault="003A7A72" w:rsidP="00333A4B">
      <w:pPr>
        <w:pStyle w:val="ListParagraph"/>
        <w:numPr>
          <w:ilvl w:val="1"/>
          <w:numId w:val="17"/>
        </w:numPr>
        <w:spacing w:before="120" w:after="120"/>
        <w:ind w:left="720" w:hanging="720"/>
        <w:contextualSpacing w:val="0"/>
        <w:jc w:val="both"/>
        <w:rPr>
          <w:rFonts w:ascii="Arial" w:hAnsi="Arial" w:cs="Arial"/>
          <w:lang w:val="es-ES"/>
        </w:rPr>
      </w:pPr>
      <w:r w:rsidRPr="00B04630">
        <w:rPr>
          <w:rFonts w:ascii="Arial" w:hAnsi="Arial" w:cs="Arial"/>
          <w:lang w:val="es-ES_tradnl"/>
        </w:rPr>
        <w:t xml:space="preserve">El objetivo general del Programa es contribuir a incrementar la productividad </w:t>
      </w:r>
      <w:r w:rsidR="00E15779">
        <w:rPr>
          <w:rFonts w:ascii="Arial" w:hAnsi="Arial" w:cs="Arial"/>
          <w:lang w:val="es-ES_tradnl"/>
        </w:rPr>
        <w:t xml:space="preserve">en el </w:t>
      </w:r>
      <w:r w:rsidRPr="00B04630">
        <w:rPr>
          <w:rFonts w:ascii="Arial" w:hAnsi="Arial" w:cs="Arial"/>
          <w:lang w:val="es-ES_tradnl"/>
        </w:rPr>
        <w:t xml:space="preserve"> </w:t>
      </w:r>
      <w:proofErr w:type="spellStart"/>
      <w:r w:rsidRPr="00B04630">
        <w:rPr>
          <w:rFonts w:ascii="Arial" w:hAnsi="Arial" w:cs="Arial"/>
          <w:lang w:val="es-ES_tradnl"/>
        </w:rPr>
        <w:t>EdSC</w:t>
      </w:r>
      <w:proofErr w:type="spellEnd"/>
      <w:r w:rsidR="00E15779">
        <w:rPr>
          <w:rFonts w:ascii="Arial" w:hAnsi="Arial" w:cs="Arial"/>
          <w:lang w:val="es-ES_tradnl"/>
        </w:rPr>
        <w:t>, mediante el suministro de energía eléctrica con calidad</w:t>
      </w:r>
      <w:r w:rsidRPr="00B04630">
        <w:rPr>
          <w:rFonts w:ascii="Arial" w:hAnsi="Arial" w:cs="Arial"/>
          <w:lang w:val="es-ES_tradnl"/>
        </w:rPr>
        <w:t xml:space="preserve">. Los objetivos específicos son: (i) atender la demanda creciente de energía eléctrica, mediante la ampliación y modernización de la red de distribución de </w:t>
      </w:r>
      <w:proofErr w:type="spellStart"/>
      <w:r w:rsidRPr="00B04630">
        <w:rPr>
          <w:rFonts w:ascii="Arial" w:hAnsi="Arial" w:cs="Arial"/>
          <w:lang w:val="es-ES_tradnl"/>
        </w:rPr>
        <w:t>Celesc</w:t>
      </w:r>
      <w:proofErr w:type="spellEnd"/>
      <w:r w:rsidRPr="00B04630">
        <w:rPr>
          <w:rFonts w:ascii="Arial" w:hAnsi="Arial" w:cs="Arial"/>
          <w:lang w:val="es-ES_tradnl"/>
        </w:rPr>
        <w:t xml:space="preserve">-D; (ii) mejorar la confiabilidad del </w:t>
      </w:r>
      <w:r w:rsidR="00E15779">
        <w:rPr>
          <w:rFonts w:ascii="Arial" w:hAnsi="Arial" w:cs="Arial"/>
          <w:lang w:val="es-ES_tradnl"/>
        </w:rPr>
        <w:t>sistema</w:t>
      </w:r>
      <w:r w:rsidR="00E15779" w:rsidRPr="00B04630">
        <w:rPr>
          <w:rFonts w:ascii="Arial" w:hAnsi="Arial" w:cs="Arial"/>
          <w:lang w:val="es-ES_tradnl"/>
        </w:rPr>
        <w:t xml:space="preserve"> </w:t>
      </w:r>
      <w:r w:rsidR="00E15779">
        <w:rPr>
          <w:rFonts w:ascii="Arial" w:hAnsi="Arial" w:cs="Arial"/>
          <w:lang w:val="es-ES_tradnl"/>
        </w:rPr>
        <w:t>eléctrico</w:t>
      </w:r>
      <w:r w:rsidRPr="00B04630">
        <w:rPr>
          <w:rFonts w:ascii="Arial" w:hAnsi="Arial" w:cs="Arial"/>
          <w:lang w:val="es-ES_tradnl"/>
        </w:rPr>
        <w:t xml:space="preserve">; (iii) mejorar la eficiencia de la operación de </w:t>
      </w:r>
      <w:proofErr w:type="spellStart"/>
      <w:r w:rsidRPr="00B04630">
        <w:rPr>
          <w:rFonts w:ascii="Arial" w:hAnsi="Arial" w:cs="Arial"/>
          <w:lang w:val="es-ES_tradnl"/>
        </w:rPr>
        <w:t>Celesc</w:t>
      </w:r>
      <w:proofErr w:type="spellEnd"/>
      <w:r w:rsidRPr="00B04630">
        <w:rPr>
          <w:rFonts w:ascii="Arial" w:hAnsi="Arial" w:cs="Arial"/>
          <w:lang w:val="es-ES_tradnl"/>
        </w:rPr>
        <w:t xml:space="preserve">-D; </w:t>
      </w:r>
      <w:r w:rsidR="00E15779">
        <w:rPr>
          <w:rFonts w:ascii="Arial" w:hAnsi="Arial" w:cs="Arial"/>
          <w:lang w:val="es-ES_tradnl"/>
        </w:rPr>
        <w:t>e</w:t>
      </w:r>
      <w:r w:rsidRPr="00B04630">
        <w:rPr>
          <w:rFonts w:ascii="Arial" w:hAnsi="Arial" w:cs="Arial"/>
          <w:lang w:val="es-ES_tradnl"/>
        </w:rPr>
        <w:t xml:space="preserve"> (iv) </w:t>
      </w:r>
      <w:r w:rsidR="00E15779">
        <w:rPr>
          <w:rFonts w:ascii="Arial" w:hAnsi="Arial" w:cs="Arial"/>
          <w:lang w:val="es-ES_tradnl"/>
        </w:rPr>
        <w:t>incentivar una mayor participación de género en</w:t>
      </w:r>
      <w:r w:rsidRPr="00B04630">
        <w:rPr>
          <w:rFonts w:ascii="Arial" w:hAnsi="Arial" w:cs="Arial"/>
          <w:lang w:val="es-ES_tradnl"/>
        </w:rPr>
        <w:t xml:space="preserve"> </w:t>
      </w:r>
      <w:r w:rsidR="00E15779">
        <w:rPr>
          <w:rFonts w:ascii="Arial" w:hAnsi="Arial" w:cs="Arial"/>
          <w:lang w:val="es-ES_tradnl"/>
        </w:rPr>
        <w:t xml:space="preserve"> </w:t>
      </w:r>
      <w:proofErr w:type="spellStart"/>
      <w:r w:rsidRPr="00B04630">
        <w:rPr>
          <w:rFonts w:ascii="Arial" w:hAnsi="Arial" w:cs="Arial"/>
          <w:lang w:val="es-ES_tradnl"/>
        </w:rPr>
        <w:t>Celesc</w:t>
      </w:r>
      <w:proofErr w:type="spellEnd"/>
      <w:r w:rsidRPr="00B04630">
        <w:rPr>
          <w:rFonts w:ascii="Arial" w:hAnsi="Arial" w:cs="Arial"/>
          <w:lang w:val="es-ES_tradnl"/>
        </w:rPr>
        <w:t>-D.</w:t>
      </w:r>
      <w:r w:rsidR="00333A4B" w:rsidRPr="00333A4B">
        <w:rPr>
          <w:rFonts w:ascii="Arial" w:hAnsi="Arial" w:cs="Arial"/>
          <w:lang w:val="es-ES"/>
        </w:rPr>
        <w:t xml:space="preserve"> Para lograr los objetivos, el Programa plantea tres componentes:</w:t>
      </w:r>
    </w:p>
    <w:p w14:paraId="628B71A9" w14:textId="002F83FD" w:rsidR="00333A4B" w:rsidRDefault="00333A4B" w:rsidP="00333A4B">
      <w:pPr>
        <w:pStyle w:val="ListParagraph"/>
        <w:numPr>
          <w:ilvl w:val="1"/>
          <w:numId w:val="17"/>
        </w:numPr>
        <w:spacing w:before="120" w:after="120"/>
        <w:ind w:left="720" w:hanging="720"/>
        <w:contextualSpacing w:val="0"/>
        <w:jc w:val="both"/>
        <w:rPr>
          <w:rFonts w:ascii="Arial" w:hAnsi="Arial" w:cs="Arial"/>
          <w:lang w:val="es-ES"/>
        </w:rPr>
      </w:pPr>
      <w:r w:rsidRPr="00333A4B">
        <w:rPr>
          <w:rFonts w:ascii="Arial" w:hAnsi="Arial" w:cs="Arial"/>
          <w:b/>
          <w:lang w:val="es-ES"/>
        </w:rPr>
        <w:t>Componente I.</w:t>
      </w:r>
      <w:r w:rsidRPr="00333A4B">
        <w:rPr>
          <w:rFonts w:ascii="Arial" w:hAnsi="Arial" w:cs="Arial"/>
          <w:lang w:val="es-ES"/>
        </w:rPr>
        <w:t xml:space="preserve"> </w:t>
      </w:r>
      <w:r w:rsidRPr="00333A4B">
        <w:rPr>
          <w:rFonts w:ascii="Arial" w:hAnsi="Arial" w:cs="Arial"/>
          <w:i/>
          <w:u w:val="single"/>
          <w:lang w:val="es-ES"/>
        </w:rPr>
        <w:t>Ampliación y modernización del sistema de distribución en alta tensión</w:t>
      </w:r>
      <w:r w:rsidRPr="00333A4B">
        <w:rPr>
          <w:rFonts w:ascii="Arial" w:hAnsi="Arial" w:cs="Arial"/>
          <w:lang w:val="es-ES"/>
        </w:rPr>
        <w:t xml:space="preserve">; que financiará la adquisición de equipos y las obras necesarias para ampliar y modernizar el sistema de distribución de alta tensión de </w:t>
      </w:r>
      <w:proofErr w:type="spellStart"/>
      <w:r w:rsidRPr="00333A4B">
        <w:rPr>
          <w:rFonts w:ascii="Arial" w:hAnsi="Arial" w:cs="Arial"/>
          <w:lang w:val="es-ES"/>
        </w:rPr>
        <w:t>Celesc</w:t>
      </w:r>
      <w:proofErr w:type="spellEnd"/>
      <w:r w:rsidRPr="00333A4B">
        <w:rPr>
          <w:rFonts w:ascii="Arial" w:hAnsi="Arial" w:cs="Arial"/>
          <w:lang w:val="es-ES"/>
        </w:rPr>
        <w:t xml:space="preserve">-D, incluyendo: (i) </w:t>
      </w:r>
      <w:r w:rsidR="00E15779">
        <w:rPr>
          <w:rFonts w:ascii="Arial" w:hAnsi="Arial" w:cs="Arial"/>
          <w:lang w:val="es-ES"/>
        </w:rPr>
        <w:t>construcción</w:t>
      </w:r>
      <w:r w:rsidR="00E15779" w:rsidRPr="00333A4B">
        <w:rPr>
          <w:rFonts w:ascii="Arial" w:hAnsi="Arial" w:cs="Arial"/>
          <w:lang w:val="es-ES"/>
        </w:rPr>
        <w:t xml:space="preserve"> </w:t>
      </w:r>
      <w:r w:rsidRPr="00333A4B">
        <w:rPr>
          <w:rFonts w:ascii="Arial" w:hAnsi="Arial" w:cs="Arial"/>
          <w:lang w:val="es-ES"/>
        </w:rPr>
        <w:t xml:space="preserve">de </w:t>
      </w:r>
      <w:r w:rsidR="00E15779">
        <w:rPr>
          <w:rFonts w:ascii="Arial" w:hAnsi="Arial" w:cs="Arial"/>
          <w:lang w:val="es-ES"/>
        </w:rPr>
        <w:t xml:space="preserve">aproximadamente </w:t>
      </w:r>
      <w:r w:rsidRPr="00333A4B">
        <w:rPr>
          <w:rFonts w:ascii="Arial" w:hAnsi="Arial" w:cs="Arial"/>
          <w:lang w:val="es-ES"/>
        </w:rPr>
        <w:t xml:space="preserve">20 nuevas </w:t>
      </w:r>
      <w:r w:rsidR="00E15779">
        <w:rPr>
          <w:rFonts w:ascii="Arial" w:hAnsi="Arial" w:cs="Arial"/>
          <w:lang w:val="es-ES"/>
        </w:rPr>
        <w:t>(</w:t>
      </w:r>
      <w:r w:rsidRPr="00333A4B">
        <w:rPr>
          <w:rFonts w:ascii="Arial" w:hAnsi="Arial" w:cs="Arial"/>
          <w:lang w:val="es-ES"/>
        </w:rPr>
        <w:t>783 mega –volt ampere (MVA)</w:t>
      </w:r>
      <w:r w:rsidR="00E15779">
        <w:rPr>
          <w:rFonts w:ascii="Arial" w:hAnsi="Arial" w:cs="Arial"/>
          <w:lang w:val="es-ES"/>
        </w:rPr>
        <w:t xml:space="preserve"> de capacidad)</w:t>
      </w:r>
      <w:r w:rsidRPr="00333A4B">
        <w:rPr>
          <w:rFonts w:ascii="Arial" w:hAnsi="Arial" w:cs="Arial"/>
          <w:lang w:val="es-ES"/>
        </w:rPr>
        <w:t>; (ii) ampliación de</w:t>
      </w:r>
      <w:r w:rsidR="00E15779">
        <w:rPr>
          <w:rFonts w:ascii="Arial" w:hAnsi="Arial" w:cs="Arial"/>
          <w:lang w:val="es-ES"/>
        </w:rPr>
        <w:t xml:space="preserve"> aproximadamente</w:t>
      </w:r>
      <w:r w:rsidRPr="00333A4B">
        <w:rPr>
          <w:rFonts w:ascii="Arial" w:hAnsi="Arial" w:cs="Arial"/>
          <w:lang w:val="es-ES"/>
        </w:rPr>
        <w:t xml:space="preserve"> 3</w:t>
      </w:r>
      <w:r w:rsidR="00E15779">
        <w:rPr>
          <w:rFonts w:ascii="Arial" w:hAnsi="Arial" w:cs="Arial"/>
          <w:lang w:val="es-ES"/>
        </w:rPr>
        <w:t>0</w:t>
      </w:r>
      <w:r w:rsidRPr="00333A4B">
        <w:rPr>
          <w:rFonts w:ascii="Arial" w:hAnsi="Arial" w:cs="Arial"/>
          <w:lang w:val="es-ES"/>
        </w:rPr>
        <w:t xml:space="preserve"> subestaciones eléctricas existentes </w:t>
      </w:r>
      <w:r w:rsidR="00E15779">
        <w:rPr>
          <w:rFonts w:ascii="Arial" w:hAnsi="Arial" w:cs="Arial"/>
          <w:lang w:val="es-ES"/>
        </w:rPr>
        <w:t>(</w:t>
      </w:r>
      <w:r w:rsidRPr="00333A4B">
        <w:rPr>
          <w:rFonts w:ascii="Arial" w:hAnsi="Arial" w:cs="Arial"/>
          <w:lang w:val="es-ES"/>
        </w:rPr>
        <w:t>583 MVA</w:t>
      </w:r>
      <w:r w:rsidR="00E15779">
        <w:rPr>
          <w:rFonts w:ascii="Arial" w:hAnsi="Arial" w:cs="Arial"/>
          <w:lang w:val="es-ES"/>
        </w:rPr>
        <w:t xml:space="preserve"> de capacidad)</w:t>
      </w:r>
      <w:r w:rsidRPr="00333A4B">
        <w:rPr>
          <w:rFonts w:ascii="Arial" w:hAnsi="Arial" w:cs="Arial"/>
          <w:lang w:val="es-ES"/>
        </w:rPr>
        <w:t xml:space="preserve">; (iii) </w:t>
      </w:r>
      <w:r w:rsidR="00E15779">
        <w:rPr>
          <w:rFonts w:ascii="Arial" w:hAnsi="Arial" w:cs="Arial"/>
          <w:lang w:val="es-ES"/>
        </w:rPr>
        <w:t>construcción</w:t>
      </w:r>
      <w:r w:rsidR="00E15779" w:rsidRPr="00333A4B">
        <w:rPr>
          <w:rFonts w:ascii="Arial" w:hAnsi="Arial" w:cs="Arial"/>
          <w:lang w:val="es-ES"/>
        </w:rPr>
        <w:t xml:space="preserve"> </w:t>
      </w:r>
      <w:r w:rsidRPr="00333A4B">
        <w:rPr>
          <w:rFonts w:ascii="Arial" w:hAnsi="Arial" w:cs="Arial"/>
          <w:lang w:val="es-ES"/>
        </w:rPr>
        <w:t xml:space="preserve">de </w:t>
      </w:r>
      <w:r w:rsidR="00E15779">
        <w:rPr>
          <w:rFonts w:ascii="Arial" w:hAnsi="Arial" w:cs="Arial"/>
          <w:lang w:val="es-ES"/>
        </w:rPr>
        <w:t>aproximadamente 30</w:t>
      </w:r>
      <w:r w:rsidRPr="00333A4B">
        <w:rPr>
          <w:rFonts w:ascii="Arial" w:hAnsi="Arial" w:cs="Arial"/>
          <w:lang w:val="es-ES"/>
        </w:rPr>
        <w:t xml:space="preserve"> líneas de distribución de alta tensión (342km aproximadamente); (iv) el reemplazo de </w:t>
      </w:r>
      <w:r w:rsidR="00E15779">
        <w:rPr>
          <w:rFonts w:ascii="Arial" w:hAnsi="Arial" w:cs="Arial"/>
          <w:lang w:val="es-ES"/>
        </w:rPr>
        <w:t xml:space="preserve">aproximadamente </w:t>
      </w:r>
      <w:r w:rsidRPr="00333A4B">
        <w:rPr>
          <w:rFonts w:ascii="Arial" w:hAnsi="Arial" w:cs="Arial"/>
          <w:lang w:val="es-ES"/>
        </w:rPr>
        <w:t>6</w:t>
      </w:r>
      <w:r w:rsidR="00E15779">
        <w:rPr>
          <w:rFonts w:ascii="Arial" w:hAnsi="Arial" w:cs="Arial"/>
          <w:lang w:val="es-ES"/>
        </w:rPr>
        <w:t>00</w:t>
      </w:r>
      <w:r w:rsidRPr="00333A4B">
        <w:rPr>
          <w:rFonts w:ascii="Arial" w:hAnsi="Arial" w:cs="Arial"/>
          <w:lang w:val="es-ES"/>
        </w:rPr>
        <w:t xml:space="preserve"> equipos en subestaciones eléctricas de alta tensión (transformadores, interruptores, pararrayos y sistemas de enfriamiento</w:t>
      </w:r>
      <w:r w:rsidR="00E15779">
        <w:rPr>
          <w:rFonts w:ascii="Arial" w:hAnsi="Arial" w:cs="Arial"/>
          <w:lang w:val="es-ES"/>
        </w:rPr>
        <w:t>, entre otros</w:t>
      </w:r>
      <w:r w:rsidRPr="00333A4B">
        <w:rPr>
          <w:rFonts w:ascii="Arial" w:hAnsi="Arial" w:cs="Arial"/>
          <w:lang w:val="es-ES"/>
        </w:rPr>
        <w:t>)</w:t>
      </w:r>
      <w:r w:rsidR="00E15779">
        <w:rPr>
          <w:rFonts w:ascii="Arial" w:hAnsi="Arial" w:cs="Arial"/>
          <w:lang w:val="es-ES"/>
        </w:rPr>
        <w:t>.</w:t>
      </w:r>
      <w:r w:rsidRPr="00333A4B">
        <w:rPr>
          <w:rFonts w:ascii="Arial" w:hAnsi="Arial" w:cs="Arial"/>
          <w:lang w:val="es-ES"/>
        </w:rPr>
        <w:t xml:space="preserve"> Este componente incluye el financiamiento </w:t>
      </w:r>
      <w:r w:rsidR="00E15779">
        <w:rPr>
          <w:rFonts w:ascii="Arial" w:hAnsi="Arial" w:cs="Arial"/>
          <w:lang w:val="es-ES"/>
        </w:rPr>
        <w:t xml:space="preserve">de los servicios necesarios para la implementación de las actividades previstas, consultorías, </w:t>
      </w:r>
      <w:r w:rsidRPr="00333A4B">
        <w:rPr>
          <w:rFonts w:ascii="Arial" w:hAnsi="Arial" w:cs="Arial"/>
          <w:lang w:val="es-ES"/>
        </w:rPr>
        <w:t xml:space="preserve"> estudios y supervisión de las obras, así como el financiamiento para el establecimiento de la franja de servidumbre, y el pago de las desapropiaciones necesarias. Se prevé asimismo la compra de terrenos para las subestaciones.</w:t>
      </w:r>
    </w:p>
    <w:p w14:paraId="1A944148" w14:textId="37E69952" w:rsidR="00333A4B" w:rsidRDefault="00333A4B" w:rsidP="00E677C4">
      <w:pPr>
        <w:pStyle w:val="ListParagraph"/>
        <w:numPr>
          <w:ilvl w:val="1"/>
          <w:numId w:val="17"/>
        </w:numPr>
        <w:spacing w:before="120" w:after="120"/>
        <w:ind w:left="720" w:hanging="720"/>
        <w:contextualSpacing w:val="0"/>
        <w:jc w:val="both"/>
        <w:rPr>
          <w:rFonts w:ascii="Arial" w:hAnsi="Arial" w:cs="Arial"/>
          <w:lang w:val="es-ES"/>
        </w:rPr>
      </w:pPr>
      <w:r w:rsidRPr="00333A4B">
        <w:rPr>
          <w:rFonts w:ascii="Arial" w:hAnsi="Arial" w:cs="Arial"/>
          <w:b/>
          <w:lang w:val="es-ES"/>
        </w:rPr>
        <w:t>Componente II.</w:t>
      </w:r>
      <w:r w:rsidRPr="00333A4B">
        <w:rPr>
          <w:rFonts w:ascii="Arial" w:hAnsi="Arial" w:cs="Arial"/>
          <w:lang w:val="es-ES"/>
        </w:rPr>
        <w:t xml:space="preserve"> </w:t>
      </w:r>
      <w:r w:rsidRPr="00333A4B">
        <w:rPr>
          <w:rFonts w:ascii="Arial" w:hAnsi="Arial" w:cs="Arial"/>
          <w:i/>
          <w:u w:val="single"/>
          <w:lang w:val="es-ES"/>
        </w:rPr>
        <w:t>Ampliación y modernización del sistema de distribución en media y baja tensión</w:t>
      </w:r>
      <w:r w:rsidRPr="00333A4B">
        <w:rPr>
          <w:rFonts w:ascii="Arial" w:hAnsi="Arial" w:cs="Arial"/>
          <w:lang w:val="es-ES"/>
        </w:rPr>
        <w:t>, que financiará la</w:t>
      </w:r>
      <w:r w:rsidR="00EF3BD3">
        <w:rPr>
          <w:rFonts w:ascii="Arial" w:hAnsi="Arial" w:cs="Arial"/>
          <w:lang w:val="es-ES"/>
        </w:rPr>
        <w:t xml:space="preserve"> construcción</w:t>
      </w:r>
      <w:r w:rsidRPr="00333A4B">
        <w:rPr>
          <w:rFonts w:ascii="Arial" w:hAnsi="Arial" w:cs="Arial"/>
          <w:lang w:val="es-ES"/>
        </w:rPr>
        <w:t xml:space="preserve"> de</w:t>
      </w:r>
      <w:r w:rsidR="00EF3BD3">
        <w:rPr>
          <w:rFonts w:ascii="Arial" w:hAnsi="Arial" w:cs="Arial"/>
          <w:lang w:val="es-ES"/>
        </w:rPr>
        <w:t xml:space="preserve"> aproximadamente</w:t>
      </w:r>
      <w:r w:rsidRPr="00333A4B">
        <w:rPr>
          <w:rFonts w:ascii="Arial" w:hAnsi="Arial" w:cs="Arial"/>
          <w:lang w:val="es-ES"/>
        </w:rPr>
        <w:t xml:space="preserve"> 16</w:t>
      </w:r>
      <w:r w:rsidR="00EF3BD3">
        <w:rPr>
          <w:rFonts w:ascii="Arial" w:hAnsi="Arial" w:cs="Arial"/>
          <w:lang w:val="es-ES"/>
        </w:rPr>
        <w:t>0</w:t>
      </w:r>
      <w:r w:rsidRPr="00333A4B">
        <w:rPr>
          <w:rFonts w:ascii="Arial" w:hAnsi="Arial" w:cs="Arial"/>
          <w:lang w:val="es-ES"/>
        </w:rPr>
        <w:t xml:space="preserve"> alimentadores de media tensión, la mejora de 330 km de redes de </w:t>
      </w:r>
      <w:r w:rsidR="00EF3BD3">
        <w:rPr>
          <w:rFonts w:ascii="Arial" w:hAnsi="Arial" w:cs="Arial"/>
          <w:lang w:val="es-ES"/>
        </w:rPr>
        <w:t xml:space="preserve">media y </w:t>
      </w:r>
      <w:r w:rsidRPr="00333A4B">
        <w:rPr>
          <w:rFonts w:ascii="Arial" w:hAnsi="Arial" w:cs="Arial"/>
          <w:lang w:val="es-ES"/>
        </w:rPr>
        <w:t>baja tensión y la instalación de</w:t>
      </w:r>
      <w:r w:rsidR="00EF3BD3">
        <w:rPr>
          <w:rFonts w:ascii="Arial" w:hAnsi="Arial" w:cs="Arial"/>
          <w:lang w:val="es-ES"/>
        </w:rPr>
        <w:t xml:space="preserve"> aproximadamente 8.000 transformadores de distribución</w:t>
      </w:r>
      <w:r w:rsidRPr="00333A4B">
        <w:rPr>
          <w:rFonts w:ascii="Arial" w:hAnsi="Arial" w:cs="Arial"/>
          <w:lang w:val="es-ES"/>
        </w:rPr>
        <w:t xml:space="preserve"> </w:t>
      </w:r>
      <w:r w:rsidR="00EF3BD3">
        <w:rPr>
          <w:rFonts w:ascii="Arial" w:hAnsi="Arial" w:cs="Arial"/>
          <w:lang w:val="es-ES"/>
        </w:rPr>
        <w:t>(</w:t>
      </w:r>
      <w:r w:rsidRPr="00333A4B">
        <w:rPr>
          <w:rFonts w:ascii="Arial" w:hAnsi="Arial" w:cs="Arial"/>
          <w:lang w:val="es-ES"/>
        </w:rPr>
        <w:t>593 MVA de capacidad</w:t>
      </w:r>
      <w:r w:rsidR="00EF3BD3">
        <w:rPr>
          <w:rFonts w:ascii="Arial" w:hAnsi="Arial" w:cs="Arial"/>
          <w:lang w:val="es-ES"/>
        </w:rPr>
        <w:t>)</w:t>
      </w:r>
      <w:r w:rsidRPr="00333A4B">
        <w:rPr>
          <w:rFonts w:ascii="Arial" w:hAnsi="Arial" w:cs="Arial"/>
          <w:lang w:val="es-ES"/>
        </w:rPr>
        <w:t xml:space="preserve">. Asimismo, este componente incluye la compra e instalación de </w:t>
      </w:r>
      <w:r w:rsidR="00EF3BD3">
        <w:rPr>
          <w:rFonts w:ascii="Arial" w:hAnsi="Arial" w:cs="Arial"/>
          <w:lang w:val="es-ES"/>
        </w:rPr>
        <w:t xml:space="preserve">aproximadamente </w:t>
      </w:r>
      <w:r w:rsidRPr="00333A4B">
        <w:rPr>
          <w:rFonts w:ascii="Arial" w:hAnsi="Arial" w:cs="Arial"/>
          <w:lang w:val="es-ES"/>
        </w:rPr>
        <w:t>1.0</w:t>
      </w:r>
      <w:r w:rsidR="00EF3BD3">
        <w:rPr>
          <w:rFonts w:ascii="Arial" w:hAnsi="Arial" w:cs="Arial"/>
          <w:lang w:val="es-ES"/>
        </w:rPr>
        <w:t>00</w:t>
      </w:r>
      <w:r w:rsidRPr="00333A4B">
        <w:rPr>
          <w:rFonts w:ascii="Arial" w:hAnsi="Arial" w:cs="Arial"/>
          <w:lang w:val="es-ES"/>
        </w:rPr>
        <w:t>.</w:t>
      </w:r>
      <w:r w:rsidR="00EF3BD3">
        <w:rPr>
          <w:rFonts w:ascii="Arial" w:hAnsi="Arial" w:cs="Arial"/>
          <w:lang w:val="es-ES"/>
        </w:rPr>
        <w:t>000 de</w:t>
      </w:r>
      <w:r w:rsidRPr="00333A4B">
        <w:rPr>
          <w:rFonts w:ascii="Arial" w:hAnsi="Arial" w:cs="Arial"/>
          <w:lang w:val="es-ES"/>
        </w:rPr>
        <w:t xml:space="preserve"> medidores de electricidad </w:t>
      </w:r>
      <w:r w:rsidR="00EF3BD3">
        <w:rPr>
          <w:rFonts w:ascii="Arial" w:hAnsi="Arial" w:cs="Arial"/>
          <w:lang w:val="es-ES"/>
        </w:rPr>
        <w:t>(</w:t>
      </w:r>
      <w:r w:rsidRPr="00333A4B">
        <w:rPr>
          <w:rFonts w:ascii="Arial" w:hAnsi="Arial" w:cs="Arial"/>
          <w:lang w:val="es-ES"/>
        </w:rPr>
        <w:t xml:space="preserve">para atender el crecimiento vegetativo del número de usuarios, y la renovación de medidores), y </w:t>
      </w:r>
      <w:r w:rsidR="00EF3BD3">
        <w:rPr>
          <w:rFonts w:ascii="Arial" w:hAnsi="Arial" w:cs="Arial"/>
          <w:lang w:val="es-ES"/>
        </w:rPr>
        <w:t xml:space="preserve">la adquisición e instalación </w:t>
      </w:r>
      <w:r w:rsidRPr="00333A4B">
        <w:rPr>
          <w:rFonts w:ascii="Arial" w:hAnsi="Arial" w:cs="Arial"/>
          <w:lang w:val="es-ES"/>
        </w:rPr>
        <w:t>de 2.30</w:t>
      </w:r>
      <w:r w:rsidR="00EF3BD3">
        <w:rPr>
          <w:rFonts w:ascii="Arial" w:hAnsi="Arial" w:cs="Arial"/>
          <w:lang w:val="es-ES"/>
        </w:rPr>
        <w:t>0</w:t>
      </w:r>
      <w:r w:rsidRPr="00333A4B">
        <w:rPr>
          <w:rFonts w:ascii="Arial" w:hAnsi="Arial" w:cs="Arial"/>
          <w:lang w:val="es-ES"/>
        </w:rPr>
        <w:t xml:space="preserve"> equipos</w:t>
      </w:r>
      <w:r w:rsidR="00EF3BD3">
        <w:rPr>
          <w:rFonts w:ascii="Arial" w:hAnsi="Arial" w:cs="Arial"/>
          <w:lang w:val="es-ES"/>
        </w:rPr>
        <w:t xml:space="preserve"> especiales</w:t>
      </w:r>
      <w:r w:rsidRPr="00333A4B">
        <w:rPr>
          <w:rFonts w:ascii="Arial" w:hAnsi="Arial" w:cs="Arial"/>
          <w:lang w:val="es-ES"/>
        </w:rPr>
        <w:t xml:space="preserve"> de distribución (re conectores, interruptore</w:t>
      </w:r>
      <w:r>
        <w:rPr>
          <w:rFonts w:ascii="Arial" w:hAnsi="Arial" w:cs="Arial"/>
          <w:lang w:val="es-ES"/>
        </w:rPr>
        <w:t>s, capacitores, y reguladores</w:t>
      </w:r>
      <w:r w:rsidR="00EF3BD3">
        <w:rPr>
          <w:rFonts w:ascii="Arial" w:hAnsi="Arial" w:cs="Arial"/>
          <w:lang w:val="es-ES"/>
        </w:rPr>
        <w:t>, entre otros</w:t>
      </w:r>
      <w:r>
        <w:rPr>
          <w:rFonts w:ascii="Arial" w:hAnsi="Arial" w:cs="Arial"/>
          <w:lang w:val="es-ES"/>
        </w:rPr>
        <w:t>).</w:t>
      </w:r>
      <w:r w:rsidR="00EF3BD3">
        <w:rPr>
          <w:rFonts w:ascii="Arial" w:hAnsi="Arial" w:cs="Arial"/>
          <w:lang w:val="es-ES"/>
        </w:rPr>
        <w:t xml:space="preserve"> </w:t>
      </w:r>
      <w:r w:rsidR="00EF3BD3" w:rsidRPr="00EF3BD3">
        <w:rPr>
          <w:rFonts w:ascii="Arial" w:hAnsi="Arial" w:cs="Arial"/>
          <w:lang w:val="es-ES"/>
        </w:rPr>
        <w:t>Este componente también financiará los servicios necesarios para la implantación de las actividades previstas y los servicios de consultorías.</w:t>
      </w:r>
    </w:p>
    <w:p w14:paraId="44991550" w14:textId="45762664" w:rsidR="00333A4B" w:rsidRDefault="00333A4B" w:rsidP="00E677C4">
      <w:pPr>
        <w:pStyle w:val="ListParagraph"/>
        <w:numPr>
          <w:ilvl w:val="1"/>
          <w:numId w:val="17"/>
        </w:numPr>
        <w:spacing w:before="120" w:after="120"/>
        <w:ind w:left="720" w:hanging="720"/>
        <w:contextualSpacing w:val="0"/>
        <w:jc w:val="both"/>
        <w:rPr>
          <w:rFonts w:ascii="Arial" w:hAnsi="Arial" w:cs="Arial"/>
          <w:lang w:val="es-ES"/>
        </w:rPr>
      </w:pPr>
      <w:r w:rsidRPr="00333A4B">
        <w:rPr>
          <w:rFonts w:ascii="Arial" w:hAnsi="Arial" w:cs="Arial"/>
          <w:b/>
          <w:lang w:val="es-ES"/>
        </w:rPr>
        <w:t>Componente III.</w:t>
      </w:r>
      <w:r w:rsidRPr="00333A4B">
        <w:rPr>
          <w:rFonts w:ascii="Arial" w:hAnsi="Arial" w:cs="Arial"/>
          <w:lang w:val="es-ES"/>
        </w:rPr>
        <w:t xml:space="preserve"> </w:t>
      </w:r>
      <w:r w:rsidRPr="00333A4B">
        <w:rPr>
          <w:rFonts w:ascii="Arial" w:hAnsi="Arial" w:cs="Arial"/>
          <w:i/>
          <w:u w:val="single"/>
          <w:lang w:val="es-ES"/>
        </w:rPr>
        <w:t xml:space="preserve">Fortalecimiento </w:t>
      </w:r>
      <w:r w:rsidR="001F4BA3">
        <w:rPr>
          <w:rFonts w:ascii="Arial" w:hAnsi="Arial" w:cs="Arial"/>
          <w:i/>
          <w:u w:val="single"/>
          <w:lang w:val="es-ES"/>
        </w:rPr>
        <w:t>institucional</w:t>
      </w:r>
      <w:r w:rsidRPr="00333A4B">
        <w:rPr>
          <w:rFonts w:ascii="Arial" w:hAnsi="Arial" w:cs="Arial"/>
          <w:lang w:val="es-ES"/>
        </w:rPr>
        <w:t xml:space="preserve">, que financiará: (i) </w:t>
      </w:r>
      <w:r w:rsidR="00EF3BD3">
        <w:rPr>
          <w:rFonts w:ascii="Arial" w:hAnsi="Arial" w:cs="Arial"/>
          <w:lang w:val="es-ES"/>
        </w:rPr>
        <w:t xml:space="preserve">la adquisición de </w:t>
      </w:r>
      <w:r w:rsidRPr="00333A4B">
        <w:rPr>
          <w:rFonts w:ascii="Arial" w:hAnsi="Arial" w:cs="Arial"/>
          <w:lang w:val="es-ES"/>
        </w:rPr>
        <w:t>equipos de hardware y software para modernizar los sistemas</w:t>
      </w:r>
      <w:r w:rsidR="00EF3BD3">
        <w:rPr>
          <w:rFonts w:ascii="Arial" w:hAnsi="Arial" w:cs="Arial"/>
          <w:lang w:val="es-ES"/>
        </w:rPr>
        <w:t xml:space="preserve"> </w:t>
      </w:r>
      <w:r w:rsidRPr="00333A4B">
        <w:rPr>
          <w:rFonts w:ascii="Arial" w:hAnsi="Arial" w:cs="Arial"/>
          <w:lang w:val="es-ES"/>
        </w:rPr>
        <w:t xml:space="preserve">de gestión de </w:t>
      </w:r>
      <w:proofErr w:type="spellStart"/>
      <w:r w:rsidRPr="00333A4B">
        <w:rPr>
          <w:rFonts w:ascii="Arial" w:hAnsi="Arial" w:cs="Arial"/>
          <w:lang w:val="es-ES"/>
        </w:rPr>
        <w:t>Celesc</w:t>
      </w:r>
      <w:proofErr w:type="spellEnd"/>
      <w:r w:rsidRPr="00333A4B">
        <w:rPr>
          <w:rFonts w:ascii="Arial" w:hAnsi="Arial" w:cs="Arial"/>
          <w:lang w:val="es-ES"/>
        </w:rPr>
        <w:t xml:space="preserve">-D, además de la construcción de una nueva sala para contenerlos; y (ii) el desarrollo e </w:t>
      </w:r>
      <w:r w:rsidRPr="00333A4B">
        <w:rPr>
          <w:rFonts w:ascii="Arial" w:hAnsi="Arial" w:cs="Arial"/>
          <w:lang w:val="es-ES"/>
        </w:rPr>
        <w:lastRenderedPageBreak/>
        <w:t xml:space="preserve">implementación de una estrategia de género </w:t>
      </w:r>
      <w:r w:rsidR="00410D98">
        <w:rPr>
          <w:rFonts w:ascii="Arial" w:hAnsi="Arial" w:cs="Arial"/>
          <w:lang w:val="es-ES"/>
        </w:rPr>
        <w:t>en el programa “Joven</w:t>
      </w:r>
      <w:r w:rsidR="00EF3BD3">
        <w:rPr>
          <w:rFonts w:ascii="Arial" w:hAnsi="Arial" w:cs="Arial"/>
          <w:lang w:val="es-ES"/>
        </w:rPr>
        <w:t xml:space="preserve"> Aprendiz”, con </w:t>
      </w:r>
      <w:proofErr w:type="spellStart"/>
      <w:r w:rsidR="00410D98" w:rsidRPr="00410D98">
        <w:rPr>
          <w:rFonts w:ascii="Arial" w:hAnsi="Arial" w:cs="Arial"/>
          <w:lang w:val="es-ES"/>
        </w:rPr>
        <w:t>con</w:t>
      </w:r>
      <w:proofErr w:type="spellEnd"/>
      <w:r w:rsidR="00410D98" w:rsidRPr="00410D98">
        <w:rPr>
          <w:rFonts w:ascii="Arial" w:hAnsi="Arial" w:cs="Arial"/>
          <w:lang w:val="es-ES"/>
        </w:rPr>
        <w:t xml:space="preserve"> el fin de incentivar una mayor participación de género en </w:t>
      </w:r>
      <w:proofErr w:type="spellStart"/>
      <w:r w:rsidR="00410D98" w:rsidRPr="00410D98">
        <w:rPr>
          <w:rFonts w:ascii="Arial" w:hAnsi="Arial" w:cs="Arial"/>
          <w:lang w:val="es-ES"/>
        </w:rPr>
        <w:t>Celesc</w:t>
      </w:r>
      <w:proofErr w:type="spellEnd"/>
      <w:r w:rsidR="00410D98" w:rsidRPr="00410D98">
        <w:rPr>
          <w:rFonts w:ascii="Arial" w:hAnsi="Arial" w:cs="Arial"/>
          <w:lang w:val="es-ES"/>
        </w:rPr>
        <w:t>-D.</w:t>
      </w:r>
      <w:r w:rsidR="00410D98">
        <w:rPr>
          <w:rFonts w:ascii="Arial" w:hAnsi="Arial" w:cs="Arial"/>
          <w:lang w:val="es-ES"/>
        </w:rPr>
        <w:t xml:space="preserve"> </w:t>
      </w:r>
      <w:r w:rsidR="00E53BF0" w:rsidRPr="00B04630">
        <w:rPr>
          <w:rFonts w:ascii="Arial" w:hAnsi="Arial" w:cs="Arial"/>
          <w:lang w:val="es-ES"/>
        </w:rPr>
        <w:t>Adicionalmente, el componente financiará el desarrollo de módulos de capacitación sobre el sector eléctrico dentro del Programa “Joven Aprendiz”, ya ejecutado por la compañía, para fomentar a los jóvenes beneficiarios en estos temas</w:t>
      </w:r>
      <w:r w:rsidRPr="00333A4B">
        <w:rPr>
          <w:rFonts w:ascii="Arial" w:hAnsi="Arial" w:cs="Arial"/>
          <w:lang w:val="es-ES"/>
        </w:rPr>
        <w:t>.</w:t>
      </w:r>
    </w:p>
    <w:p w14:paraId="3FD373B5" w14:textId="7637C286" w:rsidR="00333A4B" w:rsidRPr="00333A4B" w:rsidRDefault="00333A4B" w:rsidP="00333A4B">
      <w:pPr>
        <w:pStyle w:val="ListParagraph"/>
        <w:numPr>
          <w:ilvl w:val="1"/>
          <w:numId w:val="17"/>
        </w:numPr>
        <w:spacing w:before="120" w:after="120"/>
        <w:ind w:left="720" w:hanging="720"/>
        <w:contextualSpacing w:val="0"/>
        <w:jc w:val="both"/>
        <w:rPr>
          <w:rFonts w:ascii="Arial" w:hAnsi="Arial" w:cs="Arial"/>
          <w:lang w:val="es-ES"/>
        </w:rPr>
      </w:pPr>
      <w:r w:rsidRPr="00333A4B">
        <w:rPr>
          <w:rFonts w:ascii="Arial" w:eastAsia="Times New Roman" w:hAnsi="Arial" w:cs="Arial"/>
          <w:b/>
          <w:lang w:val="es-ES"/>
        </w:rPr>
        <w:t>Administración, monitoreo y evaluación (US$3,</w:t>
      </w:r>
      <w:r w:rsidR="001F4BA3">
        <w:rPr>
          <w:rFonts w:ascii="Arial" w:eastAsia="Times New Roman" w:hAnsi="Arial" w:cs="Arial"/>
          <w:b/>
          <w:lang w:val="es-ES"/>
        </w:rPr>
        <w:t>14</w:t>
      </w:r>
      <w:r w:rsidRPr="00333A4B">
        <w:rPr>
          <w:rFonts w:ascii="Arial" w:eastAsia="Times New Roman" w:hAnsi="Arial" w:cs="Arial"/>
          <w:b/>
          <w:lang w:val="es-ES"/>
        </w:rPr>
        <w:t xml:space="preserve"> millones) – </w:t>
      </w:r>
      <w:r w:rsidRPr="00333A4B">
        <w:rPr>
          <w:rFonts w:ascii="Arial" w:eastAsia="Times New Roman" w:hAnsi="Arial" w:cs="Arial"/>
          <w:lang w:val="es-ES"/>
        </w:rPr>
        <w:t>financiará costos de administración y monitoreo del Programa, así como auditoría y evaluación.</w:t>
      </w:r>
    </w:p>
    <w:p w14:paraId="2E0AB1D5" w14:textId="542E7B66" w:rsidR="00333A4B" w:rsidRPr="00E677C4" w:rsidRDefault="00333A4B" w:rsidP="00333A4B">
      <w:pPr>
        <w:pStyle w:val="ListParagraph"/>
        <w:numPr>
          <w:ilvl w:val="1"/>
          <w:numId w:val="17"/>
        </w:numPr>
        <w:spacing w:before="120" w:after="120"/>
        <w:ind w:left="720" w:hanging="720"/>
        <w:contextualSpacing w:val="0"/>
        <w:jc w:val="both"/>
        <w:rPr>
          <w:rFonts w:ascii="Arial" w:hAnsi="Arial" w:cs="Arial"/>
          <w:lang w:val="es-ES"/>
        </w:rPr>
      </w:pPr>
      <w:r w:rsidRPr="00333A4B">
        <w:rPr>
          <w:rFonts w:ascii="Arial" w:eastAsia="Times New Roman" w:hAnsi="Arial" w:cs="Arial"/>
          <w:b/>
          <w:lang w:val="es-ES"/>
        </w:rPr>
        <w:t xml:space="preserve">Costos financieros (US$17,06) – </w:t>
      </w:r>
      <w:r w:rsidRPr="00333A4B">
        <w:rPr>
          <w:rFonts w:ascii="Arial" w:eastAsia="Times New Roman" w:hAnsi="Arial" w:cs="Arial"/>
          <w:lang w:val="es-ES"/>
        </w:rPr>
        <w:t xml:space="preserve">financiará los interés y comisiones que </w:t>
      </w:r>
      <w:proofErr w:type="spellStart"/>
      <w:r w:rsidRPr="00333A4B">
        <w:rPr>
          <w:rFonts w:ascii="Arial" w:eastAsia="Times New Roman" w:hAnsi="Arial" w:cs="Arial"/>
          <w:lang w:val="es-ES"/>
        </w:rPr>
        <w:t>Celesc</w:t>
      </w:r>
      <w:proofErr w:type="spellEnd"/>
      <w:r w:rsidRPr="00333A4B">
        <w:rPr>
          <w:rFonts w:ascii="Arial" w:eastAsia="Times New Roman" w:hAnsi="Arial" w:cs="Arial"/>
          <w:lang w:val="es-ES"/>
        </w:rPr>
        <w:t>-D debe pagar durante la ejecución del Programa.</w:t>
      </w:r>
    </w:p>
    <w:p w14:paraId="293D51C2" w14:textId="77777777" w:rsidR="00E677C4" w:rsidRPr="00E677C4" w:rsidRDefault="00E677C4" w:rsidP="00E677C4">
      <w:pPr>
        <w:spacing w:before="120" w:after="120"/>
        <w:jc w:val="both"/>
        <w:rPr>
          <w:rFonts w:ascii="Arial" w:hAnsi="Arial" w:cs="Arial"/>
          <w:lang w:val="es-ES"/>
        </w:rPr>
      </w:pPr>
    </w:p>
    <w:p w14:paraId="6B55125E" w14:textId="0A805452" w:rsidR="00333A4B" w:rsidRPr="00B04630" w:rsidRDefault="00333A4B" w:rsidP="00333A4B">
      <w:pPr>
        <w:spacing w:before="120" w:after="120" w:line="240" w:lineRule="auto"/>
        <w:ind w:left="1728"/>
        <w:jc w:val="both"/>
        <w:outlineLvl w:val="1"/>
        <w:rPr>
          <w:rFonts w:ascii="Arial" w:eastAsia="Times New Roman" w:hAnsi="Arial" w:cs="Arial"/>
          <w:b/>
          <w:color w:val="1F497D" w:themeColor="text2"/>
          <w:szCs w:val="20"/>
          <w:lang w:val="es-ES"/>
        </w:rPr>
      </w:pPr>
      <w:r w:rsidRPr="00B04630">
        <w:rPr>
          <w:rFonts w:ascii="Arial" w:eastAsia="Times New Roman" w:hAnsi="Arial" w:cs="Arial"/>
          <w:b/>
          <w:color w:val="1F497D" w:themeColor="text2"/>
          <w:szCs w:val="20"/>
          <w:lang w:val="es-ES"/>
        </w:rPr>
        <w:t>Tabla 1. Costo del Programa por Componente (US</w:t>
      </w:r>
      <w:r w:rsidRPr="00B04630">
        <w:rPr>
          <w:rFonts w:ascii="Arial" w:eastAsia="Times New Roman" w:hAnsi="Arial" w:cs="Arial"/>
          <w:b/>
          <w:color w:val="1F497D" w:themeColor="text2"/>
          <w:lang w:val="es-ES"/>
        </w:rPr>
        <w:t>$)</w:t>
      </w:r>
    </w:p>
    <w:tbl>
      <w:tblPr>
        <w:tblStyle w:val="GridTable4-Accent11"/>
        <w:tblW w:w="0" w:type="auto"/>
        <w:jc w:val="center"/>
        <w:tblLayout w:type="fixed"/>
        <w:tblLook w:val="04A0" w:firstRow="1" w:lastRow="0" w:firstColumn="1" w:lastColumn="0" w:noHBand="0" w:noVBand="1"/>
      </w:tblPr>
      <w:tblGrid>
        <w:gridCol w:w="4554"/>
        <w:gridCol w:w="1440"/>
        <w:gridCol w:w="1440"/>
        <w:gridCol w:w="1314"/>
      </w:tblGrid>
      <w:tr w:rsidR="00333A4B" w:rsidRPr="00333A4B" w14:paraId="5F5B78A9" w14:textId="77777777" w:rsidTr="00B04630">
        <w:trPr>
          <w:cnfStyle w:val="100000000000" w:firstRow="1" w:lastRow="0" w:firstColumn="0" w:lastColumn="0" w:oddVBand="0" w:evenVBand="0" w:oddHBand="0" w:evenHBand="0" w:firstRowFirstColumn="0" w:firstRowLastColumn="0" w:lastRowFirstColumn="0" w:lastRowLastColumn="0"/>
          <w:trHeight w:val="503"/>
          <w:jc w:val="center"/>
        </w:trPr>
        <w:tc>
          <w:tcPr>
            <w:cnfStyle w:val="001000000000" w:firstRow="0" w:lastRow="0" w:firstColumn="1" w:lastColumn="0" w:oddVBand="0" w:evenVBand="0" w:oddHBand="0" w:evenHBand="0" w:firstRowFirstColumn="0" w:firstRowLastColumn="0" w:lastRowFirstColumn="0" w:lastRowLastColumn="0"/>
            <w:tcW w:w="4554" w:type="dxa"/>
            <w:vAlign w:val="center"/>
          </w:tcPr>
          <w:p w14:paraId="39AE7FC2" w14:textId="77777777" w:rsidR="00333A4B" w:rsidRPr="00333A4B" w:rsidRDefault="00333A4B" w:rsidP="00333A4B">
            <w:pPr>
              <w:jc w:val="center"/>
              <w:outlineLvl w:val="1"/>
              <w:rPr>
                <w:rFonts w:ascii="Arial" w:eastAsia="Times New Roman" w:hAnsi="Arial" w:cs="Arial"/>
                <w:sz w:val="18"/>
                <w:szCs w:val="20"/>
                <w:lang w:val="es-ES"/>
              </w:rPr>
            </w:pPr>
            <w:r w:rsidRPr="00333A4B">
              <w:rPr>
                <w:rFonts w:ascii="Arial" w:eastAsia="Times New Roman" w:hAnsi="Arial" w:cs="Arial"/>
                <w:sz w:val="18"/>
                <w:szCs w:val="20"/>
                <w:lang w:val="es-ES"/>
              </w:rPr>
              <w:t>Componente</w:t>
            </w:r>
          </w:p>
        </w:tc>
        <w:tc>
          <w:tcPr>
            <w:tcW w:w="1440" w:type="dxa"/>
            <w:vAlign w:val="center"/>
          </w:tcPr>
          <w:p w14:paraId="7668069F" w14:textId="77777777" w:rsidR="00333A4B" w:rsidRPr="00333A4B" w:rsidRDefault="00333A4B" w:rsidP="00333A4B">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szCs w:val="20"/>
                <w:lang w:val="es-ES"/>
              </w:rPr>
              <w:t>Préstamo BID</w:t>
            </w:r>
          </w:p>
        </w:tc>
        <w:tc>
          <w:tcPr>
            <w:tcW w:w="1440" w:type="dxa"/>
            <w:vAlign w:val="center"/>
          </w:tcPr>
          <w:p w14:paraId="0FD2F71A" w14:textId="77777777" w:rsidR="00333A4B" w:rsidRPr="00333A4B" w:rsidRDefault="00333A4B" w:rsidP="00333A4B">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szCs w:val="20"/>
                <w:lang w:val="es-ES"/>
              </w:rPr>
              <w:t>Contrapartida Local</w:t>
            </w:r>
          </w:p>
        </w:tc>
        <w:tc>
          <w:tcPr>
            <w:tcW w:w="1314" w:type="dxa"/>
            <w:vAlign w:val="center"/>
          </w:tcPr>
          <w:p w14:paraId="2B5E6528" w14:textId="77777777" w:rsidR="00333A4B" w:rsidRPr="00333A4B" w:rsidRDefault="00333A4B" w:rsidP="00333A4B">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szCs w:val="20"/>
                <w:lang w:val="es-ES"/>
              </w:rPr>
              <w:t>Total</w:t>
            </w:r>
          </w:p>
        </w:tc>
      </w:tr>
      <w:tr w:rsidR="00333A4B" w:rsidRPr="00333A4B" w14:paraId="4A799DD1"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54" w:type="dxa"/>
          </w:tcPr>
          <w:p w14:paraId="5330D006" w14:textId="77777777" w:rsidR="00333A4B" w:rsidRPr="00333A4B" w:rsidRDefault="00333A4B" w:rsidP="00333A4B">
            <w:pPr>
              <w:outlineLvl w:val="1"/>
              <w:rPr>
                <w:rFonts w:ascii="Arial" w:eastAsia="Times New Roman" w:hAnsi="Arial" w:cs="Arial"/>
                <w:sz w:val="18"/>
                <w:szCs w:val="20"/>
                <w:lang w:val="es-ES"/>
              </w:rPr>
            </w:pPr>
            <w:r w:rsidRPr="00333A4B">
              <w:rPr>
                <w:rFonts w:ascii="Arial" w:eastAsia="Times New Roman" w:hAnsi="Arial" w:cs="Arial"/>
                <w:sz w:val="18"/>
                <w:lang w:val="es-ES"/>
              </w:rPr>
              <w:t>Componente I. Ampliación y Modernización del Sistema de Distribución en Alta Tensión</w:t>
            </w:r>
          </w:p>
        </w:tc>
        <w:tc>
          <w:tcPr>
            <w:tcW w:w="1440" w:type="dxa"/>
            <w:vAlign w:val="center"/>
          </w:tcPr>
          <w:p w14:paraId="12A94DD9" w14:textId="77777777" w:rsidR="00333A4B" w:rsidRPr="00333A4B" w:rsidRDefault="00333A4B" w:rsidP="00333A4B">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133,551,469</w:t>
            </w:r>
          </w:p>
        </w:tc>
        <w:tc>
          <w:tcPr>
            <w:tcW w:w="1440" w:type="dxa"/>
            <w:vAlign w:val="center"/>
          </w:tcPr>
          <w:p w14:paraId="041C453E" w14:textId="77777777" w:rsidR="00333A4B" w:rsidRPr="00333A4B" w:rsidRDefault="00333A4B" w:rsidP="00333A4B">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28,889,351</w:t>
            </w:r>
          </w:p>
        </w:tc>
        <w:tc>
          <w:tcPr>
            <w:tcW w:w="1314" w:type="dxa"/>
            <w:vAlign w:val="center"/>
          </w:tcPr>
          <w:p w14:paraId="4B9912F8" w14:textId="77777777" w:rsidR="00333A4B" w:rsidRPr="00333A4B" w:rsidRDefault="00333A4B" w:rsidP="00333A4B">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162,440,820</w:t>
            </w:r>
          </w:p>
        </w:tc>
      </w:tr>
      <w:tr w:rsidR="00333A4B" w:rsidRPr="00333A4B" w14:paraId="3041476F" w14:textId="77777777" w:rsidTr="00B04630">
        <w:trPr>
          <w:jc w:val="center"/>
        </w:trPr>
        <w:tc>
          <w:tcPr>
            <w:cnfStyle w:val="001000000000" w:firstRow="0" w:lastRow="0" w:firstColumn="1" w:lastColumn="0" w:oddVBand="0" w:evenVBand="0" w:oddHBand="0" w:evenHBand="0" w:firstRowFirstColumn="0" w:firstRowLastColumn="0" w:lastRowFirstColumn="0" w:lastRowLastColumn="0"/>
            <w:tcW w:w="4554" w:type="dxa"/>
          </w:tcPr>
          <w:p w14:paraId="36A84014" w14:textId="77777777" w:rsidR="00333A4B" w:rsidRPr="00333A4B" w:rsidRDefault="00333A4B" w:rsidP="00333A4B">
            <w:pPr>
              <w:jc w:val="both"/>
              <w:outlineLvl w:val="1"/>
              <w:rPr>
                <w:rFonts w:ascii="Arial" w:eastAsia="Times New Roman" w:hAnsi="Arial" w:cs="Arial"/>
                <w:sz w:val="18"/>
                <w:szCs w:val="20"/>
                <w:lang w:val="es-ES"/>
              </w:rPr>
            </w:pPr>
            <w:r w:rsidRPr="00333A4B">
              <w:rPr>
                <w:rFonts w:ascii="Arial" w:eastAsia="Times New Roman" w:hAnsi="Arial" w:cs="Arial"/>
                <w:sz w:val="18"/>
                <w:lang w:val="es-ES"/>
              </w:rPr>
              <w:t>Componente II. Ampliación y Modernización del Sistema de Distribución en Media y Baja Tensión</w:t>
            </w:r>
          </w:p>
        </w:tc>
        <w:tc>
          <w:tcPr>
            <w:tcW w:w="1440" w:type="dxa"/>
            <w:vAlign w:val="center"/>
          </w:tcPr>
          <w:p w14:paraId="6FAF2158" w14:textId="77777777" w:rsidR="00333A4B" w:rsidRPr="00333A4B" w:rsidRDefault="00333A4B" w:rsidP="00333A4B">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127,322,531</w:t>
            </w:r>
          </w:p>
        </w:tc>
        <w:tc>
          <w:tcPr>
            <w:tcW w:w="1440" w:type="dxa"/>
            <w:vAlign w:val="center"/>
          </w:tcPr>
          <w:p w14:paraId="2C9F2442" w14:textId="77777777" w:rsidR="00333A4B" w:rsidRPr="00333A4B" w:rsidRDefault="00333A4B" w:rsidP="00333A4B">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53,134,701</w:t>
            </w:r>
          </w:p>
        </w:tc>
        <w:tc>
          <w:tcPr>
            <w:tcW w:w="1314" w:type="dxa"/>
            <w:vAlign w:val="center"/>
          </w:tcPr>
          <w:p w14:paraId="703EB20B" w14:textId="77777777" w:rsidR="00333A4B" w:rsidRPr="00333A4B" w:rsidRDefault="00333A4B" w:rsidP="00333A4B">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180,457,232</w:t>
            </w:r>
          </w:p>
        </w:tc>
      </w:tr>
      <w:tr w:rsidR="00333A4B" w:rsidRPr="00333A4B" w14:paraId="5FA6142A"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54" w:type="dxa"/>
          </w:tcPr>
          <w:p w14:paraId="535E3554" w14:textId="1640E77A" w:rsidR="00333A4B" w:rsidRPr="00333A4B" w:rsidRDefault="00333A4B" w:rsidP="00333A4B">
            <w:pPr>
              <w:jc w:val="both"/>
              <w:outlineLvl w:val="1"/>
              <w:rPr>
                <w:rFonts w:ascii="Arial" w:eastAsia="Times New Roman" w:hAnsi="Arial" w:cs="Arial"/>
                <w:sz w:val="18"/>
                <w:szCs w:val="20"/>
                <w:lang w:val="es-ES"/>
              </w:rPr>
            </w:pPr>
            <w:r w:rsidRPr="00333A4B">
              <w:rPr>
                <w:rFonts w:ascii="Arial" w:eastAsia="Times New Roman" w:hAnsi="Arial" w:cs="Arial"/>
                <w:sz w:val="18"/>
                <w:lang w:val="es-ES"/>
              </w:rPr>
              <w:t xml:space="preserve">Componente III. Fortalecimiento </w:t>
            </w:r>
            <w:r w:rsidR="00431A67">
              <w:rPr>
                <w:rFonts w:ascii="Arial" w:eastAsia="Times New Roman" w:hAnsi="Arial" w:cs="Arial"/>
                <w:sz w:val="18"/>
                <w:lang w:val="es-ES"/>
              </w:rPr>
              <w:t>institucional</w:t>
            </w:r>
          </w:p>
        </w:tc>
        <w:tc>
          <w:tcPr>
            <w:tcW w:w="1440" w:type="dxa"/>
            <w:vAlign w:val="center"/>
          </w:tcPr>
          <w:p w14:paraId="6030C6B5" w14:textId="77777777" w:rsidR="00333A4B" w:rsidRPr="00333A4B" w:rsidRDefault="00333A4B" w:rsidP="00333A4B">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12,032,250</w:t>
            </w:r>
          </w:p>
        </w:tc>
        <w:tc>
          <w:tcPr>
            <w:tcW w:w="1440" w:type="dxa"/>
            <w:vAlign w:val="center"/>
          </w:tcPr>
          <w:p w14:paraId="4A43FCDF" w14:textId="77777777" w:rsidR="00333A4B" w:rsidRPr="00333A4B" w:rsidRDefault="00333A4B" w:rsidP="00333A4B">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2,148,688</w:t>
            </w:r>
          </w:p>
        </w:tc>
        <w:tc>
          <w:tcPr>
            <w:tcW w:w="1314" w:type="dxa"/>
            <w:vAlign w:val="center"/>
          </w:tcPr>
          <w:p w14:paraId="2D48DF2A" w14:textId="77777777" w:rsidR="00333A4B" w:rsidRPr="00333A4B" w:rsidRDefault="00333A4B" w:rsidP="00333A4B">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14,180,938</w:t>
            </w:r>
          </w:p>
        </w:tc>
      </w:tr>
      <w:tr w:rsidR="00333A4B" w:rsidRPr="00333A4B" w14:paraId="5118971E" w14:textId="77777777" w:rsidTr="00B04630">
        <w:trPr>
          <w:jc w:val="center"/>
        </w:trPr>
        <w:tc>
          <w:tcPr>
            <w:cnfStyle w:val="001000000000" w:firstRow="0" w:lastRow="0" w:firstColumn="1" w:lastColumn="0" w:oddVBand="0" w:evenVBand="0" w:oddHBand="0" w:evenHBand="0" w:firstRowFirstColumn="0" w:firstRowLastColumn="0" w:lastRowFirstColumn="0" w:lastRowLastColumn="0"/>
            <w:tcW w:w="4554" w:type="dxa"/>
          </w:tcPr>
          <w:p w14:paraId="01607B29" w14:textId="77777777" w:rsidR="00333A4B" w:rsidRPr="00333A4B" w:rsidRDefault="00333A4B" w:rsidP="00333A4B">
            <w:pPr>
              <w:jc w:val="both"/>
              <w:outlineLvl w:val="1"/>
              <w:rPr>
                <w:rFonts w:ascii="Arial" w:eastAsia="Times New Roman" w:hAnsi="Arial" w:cs="Arial"/>
                <w:sz w:val="18"/>
                <w:lang w:val="es-ES"/>
              </w:rPr>
            </w:pPr>
            <w:r w:rsidRPr="00333A4B">
              <w:rPr>
                <w:rFonts w:ascii="Arial" w:eastAsia="Times New Roman" w:hAnsi="Arial" w:cs="Arial"/>
                <w:sz w:val="18"/>
                <w:lang w:val="es-ES"/>
              </w:rPr>
              <w:t>Administración, monitoreo y evaluación</w:t>
            </w:r>
          </w:p>
        </w:tc>
        <w:tc>
          <w:tcPr>
            <w:tcW w:w="1440" w:type="dxa"/>
            <w:vAlign w:val="center"/>
          </w:tcPr>
          <w:p w14:paraId="6D617695" w14:textId="52FCEA9E" w:rsidR="00333A4B" w:rsidRPr="00333A4B" w:rsidRDefault="00333A4B" w:rsidP="00333A4B">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3,</w:t>
            </w:r>
            <w:r w:rsidR="001F4BA3">
              <w:rPr>
                <w:rFonts w:ascii="Arial" w:eastAsia="Times New Roman" w:hAnsi="Arial" w:cs="Arial"/>
                <w:sz w:val="18"/>
                <w:lang w:val="es-ES"/>
              </w:rPr>
              <w:t>144</w:t>
            </w:r>
            <w:r w:rsidRPr="00333A4B">
              <w:rPr>
                <w:rFonts w:ascii="Arial" w:eastAsia="Times New Roman" w:hAnsi="Arial" w:cs="Arial"/>
                <w:sz w:val="18"/>
                <w:lang w:val="es-ES"/>
              </w:rPr>
              <w:t>,750</w:t>
            </w:r>
          </w:p>
        </w:tc>
        <w:tc>
          <w:tcPr>
            <w:tcW w:w="1440" w:type="dxa"/>
            <w:vAlign w:val="center"/>
          </w:tcPr>
          <w:p w14:paraId="4F0F3627" w14:textId="77777777" w:rsidR="00333A4B" w:rsidRPr="00333A4B" w:rsidRDefault="00333A4B" w:rsidP="00333A4B">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0</w:t>
            </w:r>
          </w:p>
        </w:tc>
        <w:tc>
          <w:tcPr>
            <w:tcW w:w="1314" w:type="dxa"/>
            <w:vAlign w:val="center"/>
          </w:tcPr>
          <w:p w14:paraId="159D5D7F" w14:textId="4BC18B2F" w:rsidR="00333A4B" w:rsidRPr="00333A4B" w:rsidRDefault="00333A4B" w:rsidP="00333A4B">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3,</w:t>
            </w:r>
            <w:r w:rsidR="001F4BA3">
              <w:rPr>
                <w:rFonts w:ascii="Arial" w:eastAsia="Times New Roman" w:hAnsi="Arial" w:cs="Arial"/>
                <w:sz w:val="18"/>
                <w:lang w:val="es-ES"/>
              </w:rPr>
              <w:t>144</w:t>
            </w:r>
            <w:r w:rsidRPr="00333A4B">
              <w:rPr>
                <w:rFonts w:ascii="Arial" w:eastAsia="Times New Roman" w:hAnsi="Arial" w:cs="Arial"/>
                <w:sz w:val="18"/>
                <w:lang w:val="es-ES"/>
              </w:rPr>
              <w:t>,750</w:t>
            </w:r>
          </w:p>
        </w:tc>
      </w:tr>
      <w:tr w:rsidR="00333A4B" w:rsidRPr="00333A4B" w14:paraId="4CD2943E"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54" w:type="dxa"/>
          </w:tcPr>
          <w:p w14:paraId="376A4CC4" w14:textId="77777777" w:rsidR="00333A4B" w:rsidRPr="00333A4B" w:rsidRDefault="00333A4B" w:rsidP="00333A4B">
            <w:pPr>
              <w:jc w:val="both"/>
              <w:outlineLvl w:val="1"/>
              <w:rPr>
                <w:rFonts w:ascii="Arial" w:eastAsia="Times New Roman" w:hAnsi="Arial" w:cs="Arial"/>
                <w:sz w:val="18"/>
                <w:lang w:val="es-ES"/>
              </w:rPr>
            </w:pPr>
            <w:r w:rsidRPr="00333A4B">
              <w:rPr>
                <w:rFonts w:ascii="Arial" w:eastAsia="Times New Roman" w:hAnsi="Arial" w:cs="Arial"/>
                <w:sz w:val="18"/>
                <w:lang w:val="es-ES"/>
              </w:rPr>
              <w:t>Costos financieros</w:t>
            </w:r>
          </w:p>
        </w:tc>
        <w:tc>
          <w:tcPr>
            <w:tcW w:w="1440" w:type="dxa"/>
            <w:vAlign w:val="center"/>
          </w:tcPr>
          <w:p w14:paraId="040FC024" w14:textId="77777777" w:rsidR="00333A4B" w:rsidRPr="00333A4B" w:rsidRDefault="00333A4B" w:rsidP="00333A4B">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0</w:t>
            </w:r>
          </w:p>
        </w:tc>
        <w:tc>
          <w:tcPr>
            <w:tcW w:w="1440" w:type="dxa"/>
            <w:vAlign w:val="center"/>
          </w:tcPr>
          <w:p w14:paraId="6B4ADCBF" w14:textId="77777777" w:rsidR="00333A4B" w:rsidRPr="00333A4B" w:rsidRDefault="00333A4B" w:rsidP="00333A4B">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17,056,760</w:t>
            </w:r>
          </w:p>
        </w:tc>
        <w:tc>
          <w:tcPr>
            <w:tcW w:w="1314" w:type="dxa"/>
            <w:vAlign w:val="center"/>
          </w:tcPr>
          <w:p w14:paraId="32038A04" w14:textId="77777777" w:rsidR="00333A4B" w:rsidRPr="00333A4B" w:rsidRDefault="00333A4B" w:rsidP="00333A4B">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lang w:val="es-ES"/>
              </w:rPr>
              <w:t>17,056,760</w:t>
            </w:r>
          </w:p>
        </w:tc>
      </w:tr>
      <w:tr w:rsidR="00333A4B" w:rsidRPr="00333A4B" w14:paraId="305596C0" w14:textId="77777777" w:rsidTr="00B04630">
        <w:trPr>
          <w:trHeight w:val="332"/>
          <w:jc w:val="center"/>
        </w:trPr>
        <w:tc>
          <w:tcPr>
            <w:cnfStyle w:val="001000000000" w:firstRow="0" w:lastRow="0" w:firstColumn="1" w:lastColumn="0" w:oddVBand="0" w:evenVBand="0" w:oddHBand="0" w:evenHBand="0" w:firstRowFirstColumn="0" w:firstRowLastColumn="0" w:lastRowFirstColumn="0" w:lastRowLastColumn="0"/>
            <w:tcW w:w="4554" w:type="dxa"/>
            <w:vAlign w:val="center"/>
          </w:tcPr>
          <w:p w14:paraId="458DF1BA" w14:textId="77777777" w:rsidR="00333A4B" w:rsidRPr="00333A4B" w:rsidRDefault="00333A4B" w:rsidP="00333A4B">
            <w:pPr>
              <w:jc w:val="right"/>
              <w:outlineLvl w:val="1"/>
              <w:rPr>
                <w:rFonts w:ascii="Arial" w:eastAsia="Times New Roman" w:hAnsi="Arial" w:cs="Arial"/>
                <w:sz w:val="18"/>
                <w:szCs w:val="20"/>
                <w:lang w:val="es-ES"/>
              </w:rPr>
            </w:pPr>
            <w:r w:rsidRPr="00333A4B">
              <w:rPr>
                <w:rFonts w:ascii="Arial" w:eastAsia="Times New Roman" w:hAnsi="Arial" w:cs="Arial"/>
                <w:sz w:val="18"/>
                <w:szCs w:val="20"/>
                <w:lang w:val="es-ES"/>
              </w:rPr>
              <w:t>Total</w:t>
            </w:r>
          </w:p>
        </w:tc>
        <w:tc>
          <w:tcPr>
            <w:tcW w:w="1440" w:type="dxa"/>
            <w:vAlign w:val="center"/>
          </w:tcPr>
          <w:p w14:paraId="717F594A" w14:textId="5B057778" w:rsidR="00333A4B" w:rsidRPr="00333A4B" w:rsidRDefault="00333A4B" w:rsidP="00333A4B">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20"/>
                <w:lang w:val="es-ES"/>
              </w:rPr>
            </w:pPr>
            <w:r w:rsidRPr="00333A4B">
              <w:rPr>
                <w:rFonts w:ascii="Arial" w:eastAsia="Times New Roman" w:hAnsi="Arial" w:cs="Arial"/>
                <w:b/>
                <w:sz w:val="18"/>
                <w:szCs w:val="20"/>
                <w:lang w:val="es-ES"/>
              </w:rPr>
              <w:t>276,0</w:t>
            </w:r>
            <w:r w:rsidR="0092582B">
              <w:rPr>
                <w:rFonts w:ascii="Arial" w:eastAsia="Times New Roman" w:hAnsi="Arial" w:cs="Arial"/>
                <w:b/>
                <w:sz w:val="18"/>
                <w:szCs w:val="20"/>
                <w:lang w:val="es-ES"/>
              </w:rPr>
              <w:t>51</w:t>
            </w:r>
            <w:r w:rsidRPr="00333A4B">
              <w:rPr>
                <w:rFonts w:ascii="Arial" w:eastAsia="Times New Roman" w:hAnsi="Arial" w:cs="Arial"/>
                <w:b/>
                <w:sz w:val="18"/>
                <w:szCs w:val="20"/>
                <w:lang w:val="es-ES"/>
              </w:rPr>
              <w:t>,000</w:t>
            </w:r>
          </w:p>
        </w:tc>
        <w:tc>
          <w:tcPr>
            <w:tcW w:w="1440" w:type="dxa"/>
            <w:vAlign w:val="center"/>
          </w:tcPr>
          <w:p w14:paraId="3D915B3A" w14:textId="77777777" w:rsidR="00333A4B" w:rsidRPr="00333A4B" w:rsidRDefault="00333A4B" w:rsidP="00333A4B">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20"/>
                <w:lang w:val="es-ES"/>
              </w:rPr>
            </w:pPr>
            <w:r w:rsidRPr="00333A4B">
              <w:rPr>
                <w:rFonts w:ascii="Arial" w:eastAsia="Times New Roman" w:hAnsi="Arial" w:cs="Arial"/>
                <w:b/>
                <w:sz w:val="18"/>
                <w:lang w:val="es-ES"/>
              </w:rPr>
              <w:t>101,229,500</w:t>
            </w:r>
          </w:p>
        </w:tc>
        <w:tc>
          <w:tcPr>
            <w:tcW w:w="1314" w:type="dxa"/>
            <w:vAlign w:val="center"/>
          </w:tcPr>
          <w:p w14:paraId="0C6596C4" w14:textId="7BC517EC" w:rsidR="00333A4B" w:rsidRPr="00333A4B" w:rsidRDefault="00333A4B" w:rsidP="00333A4B">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sidRPr="00333A4B">
              <w:rPr>
                <w:rFonts w:ascii="Arial" w:eastAsia="Times New Roman" w:hAnsi="Arial" w:cs="Arial"/>
                <w:b/>
                <w:sz w:val="18"/>
                <w:lang w:val="es-ES"/>
              </w:rPr>
              <w:t>377,2</w:t>
            </w:r>
            <w:r w:rsidR="001F4BA3">
              <w:rPr>
                <w:rFonts w:ascii="Arial" w:eastAsia="Times New Roman" w:hAnsi="Arial" w:cs="Arial"/>
                <w:b/>
                <w:sz w:val="18"/>
                <w:lang w:val="es-ES"/>
              </w:rPr>
              <w:t>80</w:t>
            </w:r>
            <w:r w:rsidRPr="00333A4B">
              <w:rPr>
                <w:rFonts w:ascii="Arial" w:eastAsia="Times New Roman" w:hAnsi="Arial" w:cs="Arial"/>
                <w:b/>
                <w:sz w:val="18"/>
                <w:lang w:val="es-ES"/>
              </w:rPr>
              <w:t>,500</w:t>
            </w:r>
          </w:p>
        </w:tc>
      </w:tr>
    </w:tbl>
    <w:p w14:paraId="66810ABA" w14:textId="77777777" w:rsidR="00EE27AC" w:rsidRPr="00B04630" w:rsidRDefault="00EE27AC" w:rsidP="00B04630">
      <w:pPr>
        <w:spacing w:after="0" w:line="240" w:lineRule="auto"/>
        <w:ind w:left="720"/>
        <w:jc w:val="both"/>
        <w:outlineLvl w:val="1"/>
        <w:rPr>
          <w:rFonts w:ascii="Arial" w:hAnsi="Arial" w:cs="Arial"/>
          <w:b/>
          <w:color w:val="1F497D" w:themeColor="text2"/>
          <w:lang w:val="es-ES"/>
        </w:rPr>
      </w:pPr>
    </w:p>
    <w:p w14:paraId="083E4793" w14:textId="35765347" w:rsidR="00EE27AC" w:rsidRPr="00B04630" w:rsidRDefault="00EE27AC" w:rsidP="00B04630">
      <w:pPr>
        <w:spacing w:before="120" w:after="120" w:line="240" w:lineRule="auto"/>
        <w:ind w:left="720"/>
        <w:jc w:val="center"/>
        <w:outlineLvl w:val="1"/>
        <w:rPr>
          <w:rFonts w:ascii="Arial" w:eastAsia="Times New Roman" w:hAnsi="Arial" w:cs="Arial"/>
          <w:b/>
          <w:color w:val="1F497D" w:themeColor="text2"/>
          <w:szCs w:val="20"/>
          <w:lang w:val="es-ES"/>
        </w:rPr>
      </w:pPr>
      <w:r w:rsidRPr="00B04630">
        <w:rPr>
          <w:rFonts w:ascii="Arial" w:eastAsia="Times New Roman" w:hAnsi="Arial" w:cs="Arial"/>
          <w:b/>
          <w:color w:val="1F497D" w:themeColor="text2"/>
          <w:szCs w:val="20"/>
          <w:lang w:val="es-ES"/>
        </w:rPr>
        <w:t xml:space="preserve">Tabla 2. Costo </w:t>
      </w:r>
      <w:r w:rsidR="00536B55" w:rsidRPr="00B04630">
        <w:rPr>
          <w:rFonts w:ascii="Arial" w:eastAsia="Times New Roman" w:hAnsi="Arial" w:cs="Arial"/>
          <w:b/>
          <w:color w:val="1F497D" w:themeColor="text2"/>
          <w:szCs w:val="20"/>
          <w:lang w:val="es-ES"/>
        </w:rPr>
        <w:t xml:space="preserve">Anual </w:t>
      </w:r>
      <w:r w:rsidRPr="00B04630">
        <w:rPr>
          <w:rFonts w:ascii="Arial" w:eastAsia="Times New Roman" w:hAnsi="Arial" w:cs="Arial"/>
          <w:b/>
          <w:color w:val="1F497D" w:themeColor="text2"/>
          <w:szCs w:val="20"/>
          <w:lang w:val="es-ES"/>
        </w:rPr>
        <w:t>del Programa (US</w:t>
      </w:r>
      <w:r w:rsidRPr="00B04630">
        <w:rPr>
          <w:rFonts w:ascii="Arial" w:eastAsia="Times New Roman" w:hAnsi="Arial" w:cs="Arial"/>
          <w:b/>
          <w:color w:val="1F497D" w:themeColor="text2"/>
          <w:lang w:val="es-ES"/>
        </w:rPr>
        <w:t>$ millones)</w:t>
      </w:r>
    </w:p>
    <w:tbl>
      <w:tblPr>
        <w:tblStyle w:val="GridTable4-Accent11"/>
        <w:tblW w:w="0" w:type="auto"/>
        <w:jc w:val="center"/>
        <w:tblLayout w:type="fixed"/>
        <w:tblLook w:val="04A0" w:firstRow="1" w:lastRow="0" w:firstColumn="1" w:lastColumn="0" w:noHBand="0" w:noVBand="1"/>
      </w:tblPr>
      <w:tblGrid>
        <w:gridCol w:w="3528"/>
        <w:gridCol w:w="972"/>
        <w:gridCol w:w="972"/>
        <w:gridCol w:w="972"/>
        <w:gridCol w:w="972"/>
        <w:gridCol w:w="972"/>
        <w:gridCol w:w="1188"/>
      </w:tblGrid>
      <w:tr w:rsidR="00EE27AC" w:rsidRPr="00333A4B" w14:paraId="74702925" w14:textId="77777777" w:rsidTr="00B04630">
        <w:trPr>
          <w:cnfStyle w:val="100000000000" w:firstRow="1" w:lastRow="0" w:firstColumn="0" w:lastColumn="0" w:oddVBand="0" w:evenVBand="0" w:oddHBand="0" w:evenHBand="0" w:firstRowFirstColumn="0" w:firstRowLastColumn="0" w:lastRowFirstColumn="0" w:lastRowLastColumn="0"/>
          <w:trHeight w:val="503"/>
          <w:jc w:val="center"/>
        </w:trPr>
        <w:tc>
          <w:tcPr>
            <w:cnfStyle w:val="001000000000" w:firstRow="0" w:lastRow="0" w:firstColumn="1" w:lastColumn="0" w:oddVBand="0" w:evenVBand="0" w:oddHBand="0" w:evenHBand="0" w:firstRowFirstColumn="0" w:firstRowLastColumn="0" w:lastRowFirstColumn="0" w:lastRowLastColumn="0"/>
            <w:tcW w:w="3528" w:type="dxa"/>
            <w:vAlign w:val="center"/>
          </w:tcPr>
          <w:p w14:paraId="7C264473" w14:textId="77777777" w:rsidR="00EE27AC" w:rsidRPr="00333A4B" w:rsidRDefault="00EE27AC" w:rsidP="00EE27AC">
            <w:pPr>
              <w:jc w:val="center"/>
              <w:outlineLvl w:val="1"/>
              <w:rPr>
                <w:rFonts w:ascii="Arial" w:eastAsia="Times New Roman" w:hAnsi="Arial" w:cs="Arial"/>
                <w:sz w:val="18"/>
                <w:szCs w:val="20"/>
                <w:lang w:val="es-ES"/>
              </w:rPr>
            </w:pPr>
            <w:r w:rsidRPr="00333A4B">
              <w:rPr>
                <w:rFonts w:ascii="Arial" w:eastAsia="Times New Roman" w:hAnsi="Arial" w:cs="Arial"/>
                <w:sz w:val="18"/>
                <w:szCs w:val="20"/>
                <w:lang w:val="es-ES"/>
              </w:rPr>
              <w:t>Componente</w:t>
            </w:r>
          </w:p>
        </w:tc>
        <w:tc>
          <w:tcPr>
            <w:tcW w:w="972" w:type="dxa"/>
            <w:vAlign w:val="center"/>
          </w:tcPr>
          <w:p w14:paraId="6BF5CE45" w14:textId="77777777" w:rsidR="00EE27AC"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Pr>
                <w:rFonts w:ascii="Arial" w:eastAsia="Times New Roman" w:hAnsi="Arial" w:cs="Arial"/>
                <w:sz w:val="18"/>
                <w:szCs w:val="20"/>
                <w:lang w:val="es-ES"/>
              </w:rPr>
              <w:t>Año</w:t>
            </w:r>
          </w:p>
          <w:p w14:paraId="631CFC7E" w14:textId="4FF730CA" w:rsidR="00EE27AC" w:rsidRPr="00333A4B"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Pr>
                <w:rFonts w:ascii="Arial" w:eastAsia="Times New Roman" w:hAnsi="Arial" w:cs="Arial"/>
                <w:sz w:val="18"/>
                <w:szCs w:val="20"/>
                <w:lang w:val="es-ES"/>
              </w:rPr>
              <w:t>1</w:t>
            </w:r>
          </w:p>
        </w:tc>
        <w:tc>
          <w:tcPr>
            <w:tcW w:w="972" w:type="dxa"/>
            <w:vAlign w:val="center"/>
          </w:tcPr>
          <w:p w14:paraId="6879BAF2" w14:textId="77777777" w:rsidR="00EE27AC"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Pr>
                <w:rFonts w:ascii="Arial" w:eastAsia="Times New Roman" w:hAnsi="Arial" w:cs="Arial"/>
                <w:sz w:val="18"/>
                <w:szCs w:val="20"/>
                <w:lang w:val="es-ES"/>
              </w:rPr>
              <w:t>Año</w:t>
            </w:r>
          </w:p>
          <w:p w14:paraId="6A0F4C68" w14:textId="2105BEF7" w:rsidR="00EE27AC" w:rsidRPr="00333A4B"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Pr>
                <w:rFonts w:ascii="Arial" w:eastAsia="Times New Roman" w:hAnsi="Arial" w:cs="Arial"/>
                <w:sz w:val="18"/>
                <w:szCs w:val="20"/>
                <w:lang w:val="es-ES"/>
              </w:rPr>
              <w:t>2</w:t>
            </w:r>
          </w:p>
        </w:tc>
        <w:tc>
          <w:tcPr>
            <w:tcW w:w="972" w:type="dxa"/>
            <w:vAlign w:val="center"/>
          </w:tcPr>
          <w:p w14:paraId="35B2CC7B" w14:textId="77777777" w:rsidR="00EE27AC"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Pr>
                <w:rFonts w:ascii="Arial" w:eastAsia="Times New Roman" w:hAnsi="Arial" w:cs="Arial"/>
                <w:sz w:val="18"/>
                <w:szCs w:val="20"/>
                <w:lang w:val="es-ES"/>
              </w:rPr>
              <w:t>Año</w:t>
            </w:r>
          </w:p>
          <w:p w14:paraId="1A485142" w14:textId="55729383" w:rsidR="00EE27AC" w:rsidRPr="00333A4B"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Pr>
                <w:rFonts w:ascii="Arial" w:eastAsia="Times New Roman" w:hAnsi="Arial" w:cs="Arial"/>
                <w:sz w:val="18"/>
                <w:szCs w:val="20"/>
                <w:lang w:val="es-ES"/>
              </w:rPr>
              <w:t>3</w:t>
            </w:r>
          </w:p>
        </w:tc>
        <w:tc>
          <w:tcPr>
            <w:tcW w:w="972" w:type="dxa"/>
            <w:vAlign w:val="center"/>
          </w:tcPr>
          <w:p w14:paraId="166CC73F" w14:textId="77777777" w:rsidR="00EE27AC"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Pr>
                <w:rFonts w:ascii="Arial" w:eastAsia="Times New Roman" w:hAnsi="Arial" w:cs="Arial"/>
                <w:sz w:val="18"/>
                <w:szCs w:val="20"/>
                <w:lang w:val="es-ES"/>
              </w:rPr>
              <w:t>Año</w:t>
            </w:r>
          </w:p>
          <w:p w14:paraId="3C69C453" w14:textId="5AE380C2" w:rsidR="00EE27AC" w:rsidRPr="00333A4B"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Pr>
                <w:rFonts w:ascii="Arial" w:eastAsia="Times New Roman" w:hAnsi="Arial" w:cs="Arial"/>
                <w:sz w:val="18"/>
                <w:szCs w:val="20"/>
                <w:lang w:val="es-ES"/>
              </w:rPr>
              <w:t>4</w:t>
            </w:r>
          </w:p>
        </w:tc>
        <w:tc>
          <w:tcPr>
            <w:tcW w:w="972" w:type="dxa"/>
            <w:vAlign w:val="center"/>
          </w:tcPr>
          <w:p w14:paraId="267372A7" w14:textId="77777777" w:rsidR="00EE27AC"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Pr>
                <w:rFonts w:ascii="Arial" w:eastAsia="Times New Roman" w:hAnsi="Arial" w:cs="Arial"/>
                <w:sz w:val="18"/>
                <w:szCs w:val="20"/>
                <w:lang w:val="es-ES"/>
              </w:rPr>
              <w:t>Año</w:t>
            </w:r>
          </w:p>
          <w:p w14:paraId="35ED7D79" w14:textId="0ED81402" w:rsidR="00EE27AC" w:rsidRPr="00333A4B"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Pr>
                <w:rFonts w:ascii="Arial" w:eastAsia="Times New Roman" w:hAnsi="Arial" w:cs="Arial"/>
                <w:sz w:val="18"/>
                <w:szCs w:val="20"/>
                <w:lang w:val="es-ES"/>
              </w:rPr>
              <w:t>5</w:t>
            </w:r>
          </w:p>
        </w:tc>
        <w:tc>
          <w:tcPr>
            <w:tcW w:w="1188" w:type="dxa"/>
            <w:vAlign w:val="center"/>
          </w:tcPr>
          <w:p w14:paraId="67F31B6E" w14:textId="5A77831B" w:rsidR="00EE27AC" w:rsidRPr="00333A4B" w:rsidRDefault="00EE27AC" w:rsidP="00EE27AC">
            <w:pPr>
              <w:jc w:val="center"/>
              <w:outlineLvl w:val="1"/>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20"/>
                <w:lang w:val="es-ES"/>
              </w:rPr>
            </w:pPr>
            <w:r w:rsidRPr="00333A4B">
              <w:rPr>
                <w:rFonts w:ascii="Arial" w:eastAsia="Times New Roman" w:hAnsi="Arial" w:cs="Arial"/>
                <w:sz w:val="18"/>
                <w:szCs w:val="20"/>
                <w:lang w:val="es-ES"/>
              </w:rPr>
              <w:t>Total</w:t>
            </w:r>
          </w:p>
        </w:tc>
      </w:tr>
      <w:tr w:rsidR="00EE27AC" w:rsidRPr="00333A4B" w14:paraId="7BBB7B1A"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28" w:type="dxa"/>
            <w:shd w:val="clear" w:color="auto" w:fill="4BACC6" w:themeFill="accent5"/>
          </w:tcPr>
          <w:p w14:paraId="0DE756A6" w14:textId="43869CF6" w:rsidR="00EE27AC" w:rsidRPr="00333A4B" w:rsidRDefault="00EE27AC" w:rsidP="00EE27AC">
            <w:pPr>
              <w:outlineLvl w:val="1"/>
              <w:rPr>
                <w:rFonts w:ascii="Arial" w:eastAsia="Times New Roman" w:hAnsi="Arial" w:cs="Arial"/>
                <w:sz w:val="18"/>
                <w:szCs w:val="20"/>
                <w:lang w:val="es-ES"/>
              </w:rPr>
            </w:pPr>
            <w:r w:rsidRPr="00333A4B">
              <w:rPr>
                <w:rFonts w:ascii="Arial" w:eastAsia="Times New Roman" w:hAnsi="Arial" w:cs="Arial"/>
                <w:sz w:val="18"/>
                <w:lang w:val="es-ES"/>
              </w:rPr>
              <w:t xml:space="preserve">Componente I. </w:t>
            </w:r>
          </w:p>
        </w:tc>
        <w:tc>
          <w:tcPr>
            <w:tcW w:w="972" w:type="dxa"/>
            <w:shd w:val="clear" w:color="auto" w:fill="4BACC6" w:themeFill="accent5"/>
            <w:vAlign w:val="center"/>
          </w:tcPr>
          <w:p w14:paraId="7EF3C87C" w14:textId="5E4914AF" w:rsidR="00EE27AC" w:rsidRPr="00B04630" w:rsidRDefault="00AE655E"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31.361</w:t>
            </w:r>
          </w:p>
        </w:tc>
        <w:tc>
          <w:tcPr>
            <w:tcW w:w="972" w:type="dxa"/>
            <w:shd w:val="clear" w:color="auto" w:fill="4BACC6" w:themeFill="accent5"/>
            <w:vAlign w:val="center"/>
          </w:tcPr>
          <w:p w14:paraId="695F475D" w14:textId="79D71857" w:rsidR="00EE27AC" w:rsidRPr="00B04630" w:rsidRDefault="00AE655E"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44.816</w:t>
            </w:r>
          </w:p>
        </w:tc>
        <w:tc>
          <w:tcPr>
            <w:tcW w:w="972" w:type="dxa"/>
            <w:shd w:val="clear" w:color="auto" w:fill="4BACC6" w:themeFill="accent5"/>
          </w:tcPr>
          <w:p w14:paraId="42E72116" w14:textId="21FD14FC" w:rsidR="00EE27AC" w:rsidRPr="00B04630" w:rsidRDefault="00AE655E"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39.693</w:t>
            </w:r>
          </w:p>
        </w:tc>
        <w:tc>
          <w:tcPr>
            <w:tcW w:w="972" w:type="dxa"/>
            <w:shd w:val="clear" w:color="auto" w:fill="4BACC6" w:themeFill="accent5"/>
          </w:tcPr>
          <w:p w14:paraId="7322C006" w14:textId="24CCC304" w:rsidR="00EE27AC" w:rsidRPr="00B04630" w:rsidRDefault="00AE655E"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31.345</w:t>
            </w:r>
          </w:p>
        </w:tc>
        <w:tc>
          <w:tcPr>
            <w:tcW w:w="972" w:type="dxa"/>
            <w:shd w:val="clear" w:color="auto" w:fill="4BACC6" w:themeFill="accent5"/>
          </w:tcPr>
          <w:p w14:paraId="7D328601" w14:textId="0EC5C9A1" w:rsidR="00EE27AC" w:rsidRPr="00B04630" w:rsidRDefault="00AE655E"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15.223</w:t>
            </w:r>
          </w:p>
        </w:tc>
        <w:tc>
          <w:tcPr>
            <w:tcW w:w="1188" w:type="dxa"/>
            <w:shd w:val="clear" w:color="auto" w:fill="4BACC6" w:themeFill="accent5"/>
            <w:vAlign w:val="center"/>
          </w:tcPr>
          <w:p w14:paraId="0741A09E" w14:textId="2EE5DCA7" w:rsidR="00EE27AC" w:rsidRPr="00B04630" w:rsidRDefault="00AE655E"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162.440</w:t>
            </w:r>
          </w:p>
        </w:tc>
      </w:tr>
      <w:tr w:rsidR="00EE27AC" w:rsidRPr="00333A4B" w14:paraId="16AF6A3F" w14:textId="77777777" w:rsidTr="00B04630">
        <w:trPr>
          <w:trHeight w:val="45"/>
          <w:jc w:val="center"/>
        </w:trPr>
        <w:tc>
          <w:tcPr>
            <w:cnfStyle w:val="001000000000" w:firstRow="0" w:lastRow="0" w:firstColumn="1" w:lastColumn="0" w:oddVBand="0" w:evenVBand="0" w:oddHBand="0" w:evenHBand="0" w:firstRowFirstColumn="0" w:firstRowLastColumn="0" w:lastRowFirstColumn="0" w:lastRowLastColumn="0"/>
            <w:tcW w:w="3528" w:type="dxa"/>
          </w:tcPr>
          <w:p w14:paraId="79C922A5" w14:textId="73628253" w:rsidR="00EE27AC" w:rsidRPr="00B04630" w:rsidRDefault="00F56838" w:rsidP="00EE27AC">
            <w:pPr>
              <w:outlineLvl w:val="1"/>
              <w:rPr>
                <w:rFonts w:ascii="Arial Narrow" w:eastAsia="Times New Roman" w:hAnsi="Arial Narrow" w:cs="Arial"/>
                <w:b w:val="0"/>
                <w:sz w:val="18"/>
                <w:lang w:val="es-ES"/>
              </w:rPr>
            </w:pPr>
            <w:r>
              <w:rPr>
                <w:rFonts w:ascii="Arial Narrow" w:eastAsia="Times New Roman" w:hAnsi="Arial Narrow" w:cs="Arial"/>
                <w:b w:val="0"/>
                <w:sz w:val="18"/>
                <w:lang w:val="es-ES"/>
              </w:rPr>
              <w:t xml:space="preserve">1.1 </w:t>
            </w:r>
            <w:r w:rsidR="00EE27AC" w:rsidRPr="00B04630">
              <w:rPr>
                <w:rFonts w:ascii="Arial Narrow" w:eastAsia="Times New Roman" w:hAnsi="Arial Narrow" w:cs="Arial"/>
                <w:b w:val="0"/>
                <w:sz w:val="18"/>
                <w:lang w:val="es-ES"/>
              </w:rPr>
              <w:t>Instalación nuevas subestaciones</w:t>
            </w:r>
          </w:p>
        </w:tc>
        <w:tc>
          <w:tcPr>
            <w:tcW w:w="972" w:type="dxa"/>
            <w:vAlign w:val="center"/>
          </w:tcPr>
          <w:p w14:paraId="34431F89" w14:textId="58E9DEB7" w:rsidR="00EE27AC" w:rsidRPr="00B04630" w:rsidRDefault="00F56838"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10.423</w:t>
            </w:r>
          </w:p>
        </w:tc>
        <w:tc>
          <w:tcPr>
            <w:tcW w:w="972" w:type="dxa"/>
            <w:vAlign w:val="center"/>
          </w:tcPr>
          <w:p w14:paraId="0E1D8D89" w14:textId="7CC6BE3A" w:rsidR="00EE27AC" w:rsidRPr="00B04630" w:rsidRDefault="002C76EA"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13.368</w:t>
            </w:r>
          </w:p>
        </w:tc>
        <w:tc>
          <w:tcPr>
            <w:tcW w:w="972" w:type="dxa"/>
            <w:vAlign w:val="center"/>
          </w:tcPr>
          <w:p w14:paraId="1ECB6E2E" w14:textId="383BC5F8" w:rsidR="00EE27AC" w:rsidRPr="00B04630" w:rsidRDefault="002C76EA"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15.181</w:t>
            </w:r>
          </w:p>
        </w:tc>
        <w:tc>
          <w:tcPr>
            <w:tcW w:w="972" w:type="dxa"/>
            <w:vAlign w:val="center"/>
          </w:tcPr>
          <w:p w14:paraId="7D4E9108" w14:textId="083FAA5C" w:rsidR="00EE27AC" w:rsidRPr="00B04630" w:rsidRDefault="002C76EA"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6.672</w:t>
            </w:r>
          </w:p>
        </w:tc>
        <w:tc>
          <w:tcPr>
            <w:tcW w:w="972" w:type="dxa"/>
            <w:vAlign w:val="center"/>
          </w:tcPr>
          <w:p w14:paraId="4A1ED432" w14:textId="3FA45840" w:rsidR="00EE27AC" w:rsidRPr="00B04630" w:rsidRDefault="002C76EA"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4.708</w:t>
            </w:r>
          </w:p>
        </w:tc>
        <w:tc>
          <w:tcPr>
            <w:tcW w:w="1188" w:type="dxa"/>
            <w:vAlign w:val="center"/>
          </w:tcPr>
          <w:p w14:paraId="1BBF5869" w14:textId="60FE4B83" w:rsidR="00EE27AC" w:rsidRPr="00B04630" w:rsidRDefault="00EE27AC"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sidRPr="00B04630">
              <w:rPr>
                <w:rFonts w:ascii="Arial Narrow" w:eastAsia="Times New Roman" w:hAnsi="Arial Narrow" w:cs="Arial"/>
                <w:sz w:val="18"/>
                <w:szCs w:val="20"/>
                <w:lang w:val="es-ES"/>
              </w:rPr>
              <w:t>50.353</w:t>
            </w:r>
          </w:p>
        </w:tc>
      </w:tr>
      <w:tr w:rsidR="00EE27AC" w:rsidRPr="00333A4B" w14:paraId="16D5E678" w14:textId="77777777" w:rsidTr="00B04630">
        <w:trPr>
          <w:cnfStyle w:val="000000100000" w:firstRow="0" w:lastRow="0" w:firstColumn="0" w:lastColumn="0" w:oddVBand="0" w:evenVBand="0" w:oddHBand="1"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3528" w:type="dxa"/>
          </w:tcPr>
          <w:p w14:paraId="6C73030A" w14:textId="7775A65A" w:rsidR="00EE27AC" w:rsidRPr="00EE27AC" w:rsidRDefault="00F56838" w:rsidP="00EE27AC">
            <w:pPr>
              <w:outlineLvl w:val="1"/>
              <w:rPr>
                <w:rFonts w:ascii="Arial Narrow" w:eastAsia="Times New Roman" w:hAnsi="Arial Narrow" w:cs="Arial"/>
                <w:b w:val="0"/>
                <w:sz w:val="18"/>
                <w:lang w:val="es-ES"/>
              </w:rPr>
            </w:pPr>
            <w:r>
              <w:rPr>
                <w:rFonts w:ascii="Arial Narrow" w:eastAsia="Times New Roman" w:hAnsi="Arial Narrow" w:cs="Arial"/>
                <w:b w:val="0"/>
                <w:sz w:val="18"/>
                <w:lang w:val="es-ES"/>
              </w:rPr>
              <w:t xml:space="preserve">1.2 </w:t>
            </w:r>
            <w:r w:rsidR="00EE27AC">
              <w:rPr>
                <w:rFonts w:ascii="Arial Narrow" w:eastAsia="Times New Roman" w:hAnsi="Arial Narrow" w:cs="Arial"/>
                <w:b w:val="0"/>
                <w:sz w:val="18"/>
                <w:lang w:val="es-ES"/>
              </w:rPr>
              <w:t>Ampliación de capacidad de transformación de subestaciones existentes</w:t>
            </w:r>
          </w:p>
        </w:tc>
        <w:tc>
          <w:tcPr>
            <w:tcW w:w="972" w:type="dxa"/>
            <w:vAlign w:val="center"/>
          </w:tcPr>
          <w:p w14:paraId="1348781E" w14:textId="647879B3" w:rsidR="00EE27AC" w:rsidRPr="00B04630" w:rsidRDefault="00F56838"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8.913</w:t>
            </w:r>
          </w:p>
        </w:tc>
        <w:tc>
          <w:tcPr>
            <w:tcW w:w="972" w:type="dxa"/>
            <w:vAlign w:val="center"/>
          </w:tcPr>
          <w:p w14:paraId="5E34D683" w14:textId="25B039AF" w:rsidR="00EE27AC" w:rsidRPr="00B04630" w:rsidRDefault="002C76EA"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1.865</w:t>
            </w:r>
          </w:p>
        </w:tc>
        <w:tc>
          <w:tcPr>
            <w:tcW w:w="972" w:type="dxa"/>
            <w:vAlign w:val="center"/>
          </w:tcPr>
          <w:p w14:paraId="2C164199" w14:textId="15FA3046" w:rsidR="00EE27AC" w:rsidRPr="00B04630" w:rsidRDefault="002C76EA"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4.762</w:t>
            </w:r>
          </w:p>
        </w:tc>
        <w:tc>
          <w:tcPr>
            <w:tcW w:w="972" w:type="dxa"/>
            <w:vAlign w:val="center"/>
          </w:tcPr>
          <w:p w14:paraId="6CDF5489" w14:textId="46A1D938" w:rsidR="00EE27AC" w:rsidRPr="00B04630" w:rsidRDefault="002C76EA"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5.300</w:t>
            </w:r>
          </w:p>
        </w:tc>
        <w:tc>
          <w:tcPr>
            <w:tcW w:w="972" w:type="dxa"/>
            <w:vAlign w:val="center"/>
          </w:tcPr>
          <w:p w14:paraId="4EBAF053" w14:textId="16F1CF6B" w:rsidR="00EE27AC" w:rsidRPr="00B04630" w:rsidRDefault="002C76EA"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5.140</w:t>
            </w:r>
          </w:p>
        </w:tc>
        <w:tc>
          <w:tcPr>
            <w:tcW w:w="1188" w:type="dxa"/>
            <w:vAlign w:val="center"/>
          </w:tcPr>
          <w:p w14:paraId="74A270FF" w14:textId="13EF7159" w:rsidR="00EE27AC" w:rsidRPr="00B04630" w:rsidRDefault="009A40C1" w:rsidP="00EE27AC">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sidRPr="00B04630">
              <w:rPr>
                <w:rFonts w:ascii="Arial Narrow" w:eastAsia="Times New Roman" w:hAnsi="Arial Narrow" w:cs="Arial"/>
                <w:sz w:val="18"/>
                <w:szCs w:val="20"/>
                <w:lang w:val="es-ES"/>
              </w:rPr>
              <w:t>2</w:t>
            </w:r>
            <w:r>
              <w:rPr>
                <w:rFonts w:ascii="Arial Narrow" w:eastAsia="Times New Roman" w:hAnsi="Arial Narrow" w:cs="Arial"/>
                <w:sz w:val="18"/>
                <w:szCs w:val="20"/>
                <w:lang w:val="es-ES"/>
              </w:rPr>
              <w:t>5</w:t>
            </w:r>
            <w:r w:rsidR="00EE27AC" w:rsidRPr="00B04630">
              <w:rPr>
                <w:rFonts w:ascii="Arial Narrow" w:eastAsia="Times New Roman" w:hAnsi="Arial Narrow" w:cs="Arial"/>
                <w:sz w:val="18"/>
                <w:szCs w:val="20"/>
                <w:lang w:val="es-ES"/>
              </w:rPr>
              <w:t>.982</w:t>
            </w:r>
          </w:p>
        </w:tc>
      </w:tr>
      <w:tr w:rsidR="00EE27AC" w:rsidRPr="00333A4B" w14:paraId="5534F070" w14:textId="77777777" w:rsidTr="00B04630">
        <w:trPr>
          <w:jc w:val="center"/>
        </w:trPr>
        <w:tc>
          <w:tcPr>
            <w:cnfStyle w:val="001000000000" w:firstRow="0" w:lastRow="0" w:firstColumn="1" w:lastColumn="0" w:oddVBand="0" w:evenVBand="0" w:oddHBand="0" w:evenHBand="0" w:firstRowFirstColumn="0" w:firstRowLastColumn="0" w:lastRowFirstColumn="0" w:lastRowLastColumn="0"/>
            <w:tcW w:w="3528" w:type="dxa"/>
          </w:tcPr>
          <w:p w14:paraId="680A4A8F" w14:textId="074C1BE7" w:rsidR="00EE27AC" w:rsidRDefault="00F56838" w:rsidP="00EE27AC">
            <w:pPr>
              <w:outlineLvl w:val="1"/>
              <w:rPr>
                <w:rFonts w:ascii="Arial Narrow" w:eastAsia="Times New Roman" w:hAnsi="Arial Narrow" w:cs="Arial"/>
                <w:b w:val="0"/>
                <w:sz w:val="18"/>
                <w:lang w:val="es-ES"/>
              </w:rPr>
            </w:pPr>
            <w:r>
              <w:rPr>
                <w:rFonts w:ascii="Arial Narrow" w:eastAsia="Times New Roman" w:hAnsi="Arial Narrow" w:cs="Arial"/>
                <w:b w:val="0"/>
                <w:sz w:val="18"/>
                <w:lang w:val="es-ES"/>
              </w:rPr>
              <w:t xml:space="preserve">1.3 </w:t>
            </w:r>
            <w:r w:rsidR="00EE27AC">
              <w:rPr>
                <w:rFonts w:ascii="Arial Narrow" w:eastAsia="Times New Roman" w:hAnsi="Arial Narrow" w:cs="Arial"/>
                <w:b w:val="0"/>
                <w:sz w:val="18"/>
                <w:lang w:val="es-ES"/>
              </w:rPr>
              <w:t>Instalación de líneas de distribución de alta tensión</w:t>
            </w:r>
          </w:p>
        </w:tc>
        <w:tc>
          <w:tcPr>
            <w:tcW w:w="972" w:type="dxa"/>
            <w:vAlign w:val="center"/>
          </w:tcPr>
          <w:p w14:paraId="6DDB4357" w14:textId="139DF08C" w:rsidR="00EE27AC" w:rsidRPr="00B04630" w:rsidRDefault="00F56838"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5.552</w:t>
            </w:r>
          </w:p>
        </w:tc>
        <w:tc>
          <w:tcPr>
            <w:tcW w:w="972" w:type="dxa"/>
            <w:vAlign w:val="center"/>
          </w:tcPr>
          <w:p w14:paraId="0FB346F6" w14:textId="2F6DFEFD" w:rsidR="00EE27AC" w:rsidRPr="00B04630" w:rsidRDefault="002C76EA"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19.774</w:t>
            </w:r>
          </w:p>
        </w:tc>
        <w:tc>
          <w:tcPr>
            <w:tcW w:w="972" w:type="dxa"/>
            <w:vAlign w:val="center"/>
          </w:tcPr>
          <w:p w14:paraId="6BB603A3" w14:textId="5D6B7F9F" w:rsidR="00EE27AC" w:rsidRPr="00B04630" w:rsidRDefault="002C76EA"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12.226</w:t>
            </w:r>
          </w:p>
        </w:tc>
        <w:tc>
          <w:tcPr>
            <w:tcW w:w="972" w:type="dxa"/>
            <w:vAlign w:val="center"/>
          </w:tcPr>
          <w:p w14:paraId="40B66DDD" w14:textId="481504EF" w:rsidR="00EE27AC" w:rsidRPr="00B04630" w:rsidRDefault="002C76EA"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13.954</w:t>
            </w:r>
          </w:p>
        </w:tc>
        <w:tc>
          <w:tcPr>
            <w:tcW w:w="972" w:type="dxa"/>
            <w:vAlign w:val="center"/>
          </w:tcPr>
          <w:p w14:paraId="31A1959F" w14:textId="63401F2D" w:rsidR="00EE27AC" w:rsidRPr="00B04630" w:rsidRDefault="002C76EA"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2.523</w:t>
            </w:r>
          </w:p>
        </w:tc>
        <w:tc>
          <w:tcPr>
            <w:tcW w:w="1188" w:type="dxa"/>
            <w:vAlign w:val="center"/>
          </w:tcPr>
          <w:p w14:paraId="1EF5C28A" w14:textId="462B7C53" w:rsidR="00EE27AC" w:rsidRPr="00B04630" w:rsidRDefault="00EE27AC" w:rsidP="00EE27AC">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sidRPr="00B04630">
              <w:rPr>
                <w:rFonts w:ascii="Arial Narrow" w:eastAsia="Times New Roman" w:hAnsi="Arial Narrow" w:cs="Arial"/>
                <w:sz w:val="18"/>
                <w:szCs w:val="20"/>
                <w:lang w:val="es-ES"/>
              </w:rPr>
              <w:t>54.031</w:t>
            </w:r>
          </w:p>
        </w:tc>
      </w:tr>
      <w:tr w:rsidR="00F56838" w:rsidRPr="00333A4B" w14:paraId="6873AE49"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28" w:type="dxa"/>
          </w:tcPr>
          <w:p w14:paraId="59F0759D" w14:textId="6B09C65B" w:rsidR="00F56838" w:rsidRDefault="00F56838" w:rsidP="00F56838">
            <w:pPr>
              <w:outlineLvl w:val="1"/>
              <w:rPr>
                <w:rFonts w:ascii="Arial Narrow" w:eastAsia="Times New Roman" w:hAnsi="Arial Narrow" w:cs="Arial"/>
                <w:b w:val="0"/>
                <w:sz w:val="18"/>
                <w:lang w:val="es-ES"/>
              </w:rPr>
            </w:pPr>
            <w:r>
              <w:rPr>
                <w:rFonts w:ascii="Arial Narrow" w:eastAsia="Times New Roman" w:hAnsi="Arial Narrow" w:cs="Arial"/>
                <w:b w:val="0"/>
                <w:sz w:val="18"/>
                <w:lang w:val="es-ES"/>
              </w:rPr>
              <w:t>1.4 Estudios ambientales</w:t>
            </w:r>
          </w:p>
        </w:tc>
        <w:tc>
          <w:tcPr>
            <w:tcW w:w="972" w:type="dxa"/>
            <w:vAlign w:val="center"/>
          </w:tcPr>
          <w:p w14:paraId="78DCED1C" w14:textId="093E6C3E" w:rsidR="00F56838" w:rsidRDefault="00F56838"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2.833</w:t>
            </w:r>
          </w:p>
        </w:tc>
        <w:tc>
          <w:tcPr>
            <w:tcW w:w="972" w:type="dxa"/>
            <w:vAlign w:val="center"/>
          </w:tcPr>
          <w:p w14:paraId="4E814CA6" w14:textId="308D63F9" w:rsidR="00F56838" w:rsidRPr="00F56838" w:rsidRDefault="002C76EA"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3.077</w:t>
            </w:r>
          </w:p>
        </w:tc>
        <w:tc>
          <w:tcPr>
            <w:tcW w:w="972" w:type="dxa"/>
            <w:vAlign w:val="center"/>
          </w:tcPr>
          <w:p w14:paraId="51665159" w14:textId="6F0BC1BE" w:rsidR="00F56838" w:rsidRPr="00F56838" w:rsidRDefault="002C76EA"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0.201</w:t>
            </w:r>
          </w:p>
        </w:tc>
        <w:tc>
          <w:tcPr>
            <w:tcW w:w="972" w:type="dxa"/>
            <w:vAlign w:val="center"/>
          </w:tcPr>
          <w:p w14:paraId="5D4BA363" w14:textId="6D7F53FB" w:rsidR="00F56838" w:rsidRPr="00F56838" w:rsidRDefault="002C76EA"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0.201</w:t>
            </w:r>
          </w:p>
        </w:tc>
        <w:tc>
          <w:tcPr>
            <w:tcW w:w="972" w:type="dxa"/>
            <w:vAlign w:val="center"/>
          </w:tcPr>
          <w:p w14:paraId="39C807EC" w14:textId="2DF8ED52" w:rsidR="00F56838" w:rsidRPr="00F56838" w:rsidRDefault="002C76EA"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0</w:t>
            </w:r>
          </w:p>
        </w:tc>
        <w:tc>
          <w:tcPr>
            <w:tcW w:w="1188" w:type="dxa"/>
            <w:vAlign w:val="center"/>
          </w:tcPr>
          <w:p w14:paraId="49E4C558" w14:textId="79048618" w:rsidR="00F56838" w:rsidRPr="00F56838" w:rsidRDefault="00F56838"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sidRPr="00AA1469">
              <w:rPr>
                <w:rFonts w:ascii="Arial Narrow" w:eastAsia="Times New Roman" w:hAnsi="Arial Narrow" w:cs="Arial"/>
                <w:sz w:val="18"/>
                <w:szCs w:val="20"/>
                <w:lang w:val="es-ES"/>
              </w:rPr>
              <w:t>6.313</w:t>
            </w:r>
          </w:p>
        </w:tc>
      </w:tr>
      <w:tr w:rsidR="00F56838" w:rsidRPr="00333A4B" w14:paraId="485CA6BA" w14:textId="77777777" w:rsidTr="00B04630">
        <w:trPr>
          <w:jc w:val="center"/>
        </w:trPr>
        <w:tc>
          <w:tcPr>
            <w:cnfStyle w:val="001000000000" w:firstRow="0" w:lastRow="0" w:firstColumn="1" w:lastColumn="0" w:oddVBand="0" w:evenVBand="0" w:oddHBand="0" w:evenHBand="0" w:firstRowFirstColumn="0" w:firstRowLastColumn="0" w:lastRowFirstColumn="0" w:lastRowLastColumn="0"/>
            <w:tcW w:w="3528" w:type="dxa"/>
          </w:tcPr>
          <w:p w14:paraId="3A9A3766" w14:textId="167CBD86" w:rsidR="00F56838" w:rsidRDefault="00F56838" w:rsidP="00F56838">
            <w:pPr>
              <w:outlineLvl w:val="1"/>
              <w:rPr>
                <w:rFonts w:ascii="Arial Narrow" w:eastAsia="Times New Roman" w:hAnsi="Arial Narrow" w:cs="Arial"/>
                <w:b w:val="0"/>
                <w:sz w:val="18"/>
                <w:lang w:val="es-ES"/>
              </w:rPr>
            </w:pPr>
            <w:r>
              <w:rPr>
                <w:rFonts w:ascii="Arial Narrow" w:eastAsia="Times New Roman" w:hAnsi="Arial Narrow" w:cs="Arial"/>
                <w:b w:val="0"/>
                <w:sz w:val="18"/>
                <w:lang w:val="es-ES"/>
              </w:rPr>
              <w:t>1.5 Supervisión de obras</w:t>
            </w:r>
          </w:p>
        </w:tc>
        <w:tc>
          <w:tcPr>
            <w:tcW w:w="972" w:type="dxa"/>
            <w:vAlign w:val="center"/>
          </w:tcPr>
          <w:p w14:paraId="494C0FE2" w14:textId="3ACB2984" w:rsidR="00F56838" w:rsidRPr="00B04630" w:rsidRDefault="00F56838"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1.250</w:t>
            </w:r>
          </w:p>
        </w:tc>
        <w:tc>
          <w:tcPr>
            <w:tcW w:w="972" w:type="dxa"/>
            <w:vAlign w:val="center"/>
          </w:tcPr>
          <w:p w14:paraId="060A240D" w14:textId="3B00C86A" w:rsidR="00F56838" w:rsidRPr="00B04630" w:rsidRDefault="002C76EA"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1.023</w:t>
            </w:r>
          </w:p>
        </w:tc>
        <w:tc>
          <w:tcPr>
            <w:tcW w:w="972" w:type="dxa"/>
            <w:vAlign w:val="center"/>
          </w:tcPr>
          <w:p w14:paraId="4E15BD1F" w14:textId="577BAE92" w:rsidR="00F56838" w:rsidRPr="00B04630" w:rsidRDefault="002C76EA"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2.218</w:t>
            </w:r>
          </w:p>
        </w:tc>
        <w:tc>
          <w:tcPr>
            <w:tcW w:w="972" w:type="dxa"/>
            <w:vAlign w:val="center"/>
          </w:tcPr>
          <w:p w14:paraId="33052328" w14:textId="00142F1B" w:rsidR="00F56838" w:rsidRPr="00B04630" w:rsidRDefault="002C76EA"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1.890</w:t>
            </w:r>
          </w:p>
        </w:tc>
        <w:tc>
          <w:tcPr>
            <w:tcW w:w="972" w:type="dxa"/>
            <w:vAlign w:val="center"/>
          </w:tcPr>
          <w:p w14:paraId="672287A7" w14:textId="3E43B8A1" w:rsidR="00F56838" w:rsidRPr="00B04630" w:rsidRDefault="007551A2"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1.382</w:t>
            </w:r>
          </w:p>
        </w:tc>
        <w:tc>
          <w:tcPr>
            <w:tcW w:w="1188" w:type="dxa"/>
            <w:vAlign w:val="center"/>
          </w:tcPr>
          <w:p w14:paraId="32BAEE81" w14:textId="3D9933AA" w:rsidR="00F56838" w:rsidRPr="00B04630" w:rsidRDefault="00F56838"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sidRPr="00AA1469">
              <w:rPr>
                <w:rFonts w:ascii="Arial Narrow" w:eastAsia="Times New Roman" w:hAnsi="Arial Narrow" w:cs="Arial"/>
                <w:sz w:val="18"/>
                <w:szCs w:val="20"/>
                <w:lang w:val="es-ES"/>
              </w:rPr>
              <w:t>7.765</w:t>
            </w:r>
          </w:p>
        </w:tc>
      </w:tr>
      <w:tr w:rsidR="00F56838" w:rsidRPr="00333A4B" w14:paraId="3F429690"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28" w:type="dxa"/>
          </w:tcPr>
          <w:p w14:paraId="784C15A4" w14:textId="6DC0AFCB" w:rsidR="00F56838" w:rsidRDefault="00F56838" w:rsidP="00F56838">
            <w:pPr>
              <w:outlineLvl w:val="1"/>
              <w:rPr>
                <w:rFonts w:ascii="Arial Narrow" w:eastAsia="Times New Roman" w:hAnsi="Arial Narrow" w:cs="Arial"/>
                <w:b w:val="0"/>
                <w:sz w:val="18"/>
                <w:lang w:val="es-ES"/>
              </w:rPr>
            </w:pPr>
            <w:r>
              <w:rPr>
                <w:rFonts w:ascii="Arial Narrow" w:eastAsia="Times New Roman" w:hAnsi="Arial Narrow" w:cs="Arial"/>
                <w:b w:val="0"/>
                <w:sz w:val="18"/>
                <w:lang w:val="es-ES"/>
              </w:rPr>
              <w:t>1.6 Indemnización por derechos de paso</w:t>
            </w:r>
          </w:p>
        </w:tc>
        <w:tc>
          <w:tcPr>
            <w:tcW w:w="972" w:type="dxa"/>
            <w:vAlign w:val="center"/>
          </w:tcPr>
          <w:p w14:paraId="19E73F33" w14:textId="3E372797" w:rsidR="00F56838" w:rsidRPr="00B04630" w:rsidRDefault="00F56838"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0.828</w:t>
            </w:r>
          </w:p>
        </w:tc>
        <w:tc>
          <w:tcPr>
            <w:tcW w:w="972" w:type="dxa"/>
            <w:vAlign w:val="center"/>
          </w:tcPr>
          <w:p w14:paraId="57703C80" w14:textId="0055D508" w:rsidR="00F56838" w:rsidRPr="00B04630" w:rsidRDefault="002C76EA"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4.082</w:t>
            </w:r>
          </w:p>
        </w:tc>
        <w:tc>
          <w:tcPr>
            <w:tcW w:w="972" w:type="dxa"/>
            <w:vAlign w:val="center"/>
          </w:tcPr>
          <w:p w14:paraId="07CDE474" w14:textId="0DEBD07B" w:rsidR="00F56838" w:rsidRPr="00B04630" w:rsidRDefault="002C76EA"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3.560</w:t>
            </w:r>
          </w:p>
        </w:tc>
        <w:tc>
          <w:tcPr>
            <w:tcW w:w="972" w:type="dxa"/>
            <w:vAlign w:val="center"/>
          </w:tcPr>
          <w:p w14:paraId="00C1E37A" w14:textId="0D1E72D0" w:rsidR="00F56838" w:rsidRPr="00B04630" w:rsidRDefault="002C76EA"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1.759</w:t>
            </w:r>
          </w:p>
        </w:tc>
        <w:tc>
          <w:tcPr>
            <w:tcW w:w="972" w:type="dxa"/>
            <w:vAlign w:val="center"/>
          </w:tcPr>
          <w:p w14:paraId="29406EAD" w14:textId="470ED83F" w:rsidR="00F56838" w:rsidRPr="00B04630" w:rsidRDefault="007551A2"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0</w:t>
            </w:r>
          </w:p>
        </w:tc>
        <w:tc>
          <w:tcPr>
            <w:tcW w:w="1188" w:type="dxa"/>
            <w:vAlign w:val="center"/>
          </w:tcPr>
          <w:p w14:paraId="27E2B4E6" w14:textId="395FDECB" w:rsidR="00F56838" w:rsidRPr="00B04630" w:rsidRDefault="00F56838"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sidRPr="00AA1469">
              <w:rPr>
                <w:rFonts w:ascii="Arial Narrow" w:eastAsia="Times New Roman" w:hAnsi="Arial Narrow" w:cs="Arial"/>
                <w:sz w:val="18"/>
                <w:szCs w:val="20"/>
                <w:lang w:val="es-ES"/>
              </w:rPr>
              <w:t>10.230</w:t>
            </w:r>
          </w:p>
        </w:tc>
      </w:tr>
      <w:tr w:rsidR="00F56838" w:rsidRPr="00333A4B" w14:paraId="46CD86BA" w14:textId="77777777" w:rsidTr="00B04630">
        <w:trPr>
          <w:jc w:val="center"/>
        </w:trPr>
        <w:tc>
          <w:tcPr>
            <w:cnfStyle w:val="001000000000" w:firstRow="0" w:lastRow="0" w:firstColumn="1" w:lastColumn="0" w:oddVBand="0" w:evenVBand="0" w:oddHBand="0" w:evenHBand="0" w:firstRowFirstColumn="0" w:firstRowLastColumn="0" w:lastRowFirstColumn="0" w:lastRowLastColumn="0"/>
            <w:tcW w:w="3528" w:type="dxa"/>
          </w:tcPr>
          <w:p w14:paraId="55CE9C8F" w14:textId="2FC58A0B" w:rsidR="00F56838" w:rsidRDefault="00F56838" w:rsidP="00F56838">
            <w:pPr>
              <w:outlineLvl w:val="1"/>
              <w:rPr>
                <w:rFonts w:ascii="Arial Narrow" w:eastAsia="Times New Roman" w:hAnsi="Arial Narrow" w:cs="Arial"/>
                <w:b w:val="0"/>
                <w:sz w:val="18"/>
                <w:lang w:val="es-ES"/>
              </w:rPr>
            </w:pPr>
            <w:r>
              <w:rPr>
                <w:rFonts w:ascii="Arial Narrow" w:eastAsia="Times New Roman" w:hAnsi="Arial Narrow" w:cs="Arial"/>
                <w:b w:val="0"/>
                <w:sz w:val="18"/>
                <w:lang w:val="es-ES"/>
              </w:rPr>
              <w:t>1.7 Compensación medioambiental</w:t>
            </w:r>
          </w:p>
        </w:tc>
        <w:tc>
          <w:tcPr>
            <w:tcW w:w="972" w:type="dxa"/>
            <w:vAlign w:val="center"/>
          </w:tcPr>
          <w:p w14:paraId="7258FB6E" w14:textId="3736509F" w:rsidR="00F56838" w:rsidRPr="00B04630" w:rsidRDefault="00F56838"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0.137</w:t>
            </w:r>
          </w:p>
        </w:tc>
        <w:tc>
          <w:tcPr>
            <w:tcW w:w="972" w:type="dxa"/>
            <w:vAlign w:val="center"/>
          </w:tcPr>
          <w:p w14:paraId="5AB290DD" w14:textId="6A6C8AC4" w:rsidR="00F56838" w:rsidRPr="00B04630" w:rsidRDefault="002C76EA" w:rsidP="002C76EA">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0.204</w:t>
            </w:r>
          </w:p>
        </w:tc>
        <w:tc>
          <w:tcPr>
            <w:tcW w:w="972" w:type="dxa"/>
            <w:vAlign w:val="center"/>
          </w:tcPr>
          <w:p w14:paraId="0F6C4954" w14:textId="2A7828B5" w:rsidR="00F56838" w:rsidRPr="00B04630" w:rsidRDefault="002C76EA"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0.119</w:t>
            </w:r>
          </w:p>
        </w:tc>
        <w:tc>
          <w:tcPr>
            <w:tcW w:w="972" w:type="dxa"/>
            <w:vAlign w:val="center"/>
          </w:tcPr>
          <w:p w14:paraId="4845C33A" w14:textId="2B78C31E" w:rsidR="00F56838" w:rsidRPr="00B04630" w:rsidRDefault="002C76EA"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0.144</w:t>
            </w:r>
          </w:p>
        </w:tc>
        <w:tc>
          <w:tcPr>
            <w:tcW w:w="972" w:type="dxa"/>
            <w:vAlign w:val="center"/>
          </w:tcPr>
          <w:p w14:paraId="375F6C40" w14:textId="0FCFA29A" w:rsidR="00F56838" w:rsidRPr="00B04630" w:rsidRDefault="007551A2"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0.045</w:t>
            </w:r>
          </w:p>
        </w:tc>
        <w:tc>
          <w:tcPr>
            <w:tcW w:w="1188" w:type="dxa"/>
            <w:vAlign w:val="center"/>
          </w:tcPr>
          <w:p w14:paraId="62C8A778" w14:textId="1B9AC0F4" w:rsidR="00F56838" w:rsidRPr="00B04630" w:rsidRDefault="00F56838"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0.651</w:t>
            </w:r>
          </w:p>
        </w:tc>
      </w:tr>
      <w:tr w:rsidR="00F56838" w:rsidRPr="00333A4B" w14:paraId="4BE17A53"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28" w:type="dxa"/>
          </w:tcPr>
          <w:p w14:paraId="7CF6C47E" w14:textId="44F18BE0" w:rsidR="00F56838" w:rsidRDefault="00F56838" w:rsidP="00F56838">
            <w:pPr>
              <w:outlineLvl w:val="1"/>
              <w:rPr>
                <w:rFonts w:ascii="Arial Narrow" w:eastAsia="Times New Roman" w:hAnsi="Arial Narrow" w:cs="Arial"/>
                <w:b w:val="0"/>
                <w:sz w:val="18"/>
                <w:lang w:val="es-ES"/>
              </w:rPr>
            </w:pPr>
            <w:r>
              <w:rPr>
                <w:rFonts w:ascii="Arial Narrow" w:eastAsia="Times New Roman" w:hAnsi="Arial Narrow" w:cs="Arial"/>
                <w:b w:val="0"/>
                <w:sz w:val="18"/>
                <w:lang w:val="es-ES"/>
              </w:rPr>
              <w:t>1.8 Equipo para sustitución y renovación de subestaciones</w:t>
            </w:r>
          </w:p>
        </w:tc>
        <w:tc>
          <w:tcPr>
            <w:tcW w:w="972" w:type="dxa"/>
            <w:vAlign w:val="center"/>
          </w:tcPr>
          <w:p w14:paraId="21DD0B30" w14:textId="21288956" w:rsidR="00F56838" w:rsidRPr="00B04630" w:rsidRDefault="00F56838"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1.422</w:t>
            </w:r>
          </w:p>
        </w:tc>
        <w:tc>
          <w:tcPr>
            <w:tcW w:w="972" w:type="dxa"/>
            <w:vAlign w:val="center"/>
          </w:tcPr>
          <w:p w14:paraId="3802FC31" w14:textId="1FD1B984" w:rsidR="00F56838" w:rsidRPr="00B04630" w:rsidRDefault="002C76EA"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1.422</w:t>
            </w:r>
          </w:p>
        </w:tc>
        <w:tc>
          <w:tcPr>
            <w:tcW w:w="972" w:type="dxa"/>
            <w:vAlign w:val="center"/>
          </w:tcPr>
          <w:p w14:paraId="6591AFC7" w14:textId="369F2B5B" w:rsidR="00F56838" w:rsidRPr="00B04630" w:rsidRDefault="002C76EA"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1.422</w:t>
            </w:r>
          </w:p>
        </w:tc>
        <w:tc>
          <w:tcPr>
            <w:tcW w:w="972" w:type="dxa"/>
            <w:vAlign w:val="center"/>
          </w:tcPr>
          <w:p w14:paraId="2111462D" w14:textId="33D67FB2" w:rsidR="00F56838" w:rsidRPr="00B04630" w:rsidRDefault="002C76EA"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1.422</w:t>
            </w:r>
          </w:p>
        </w:tc>
        <w:tc>
          <w:tcPr>
            <w:tcW w:w="972" w:type="dxa"/>
            <w:vAlign w:val="center"/>
          </w:tcPr>
          <w:p w14:paraId="2EBE00DE" w14:textId="41ACB91A" w:rsidR="00F56838" w:rsidRPr="00B04630" w:rsidRDefault="007551A2"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1.422</w:t>
            </w:r>
          </w:p>
        </w:tc>
        <w:tc>
          <w:tcPr>
            <w:tcW w:w="1188" w:type="dxa"/>
            <w:vAlign w:val="center"/>
          </w:tcPr>
          <w:p w14:paraId="4A341A4B" w14:textId="78186D27" w:rsidR="00F56838" w:rsidRPr="00B04630" w:rsidRDefault="00F56838"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sidRPr="00AA1469">
              <w:rPr>
                <w:rFonts w:ascii="Arial Narrow" w:eastAsia="Times New Roman" w:hAnsi="Arial Narrow" w:cs="Arial"/>
                <w:sz w:val="18"/>
                <w:szCs w:val="20"/>
                <w:lang w:val="es-ES"/>
              </w:rPr>
              <w:t>7.111</w:t>
            </w:r>
          </w:p>
        </w:tc>
      </w:tr>
      <w:tr w:rsidR="00AD5B68" w:rsidRPr="00333A4B" w14:paraId="5160F4DC" w14:textId="77777777" w:rsidTr="00B04630">
        <w:trPr>
          <w:jc w:val="center"/>
        </w:trPr>
        <w:tc>
          <w:tcPr>
            <w:cnfStyle w:val="001000000000" w:firstRow="0" w:lastRow="0" w:firstColumn="1" w:lastColumn="0" w:oddVBand="0" w:evenVBand="0" w:oddHBand="0" w:evenHBand="0" w:firstRowFirstColumn="0" w:firstRowLastColumn="0" w:lastRowFirstColumn="0" w:lastRowLastColumn="0"/>
            <w:tcW w:w="3528" w:type="dxa"/>
            <w:shd w:val="clear" w:color="auto" w:fill="4BACC6" w:themeFill="accent5"/>
          </w:tcPr>
          <w:p w14:paraId="626E8D01" w14:textId="2921C34C" w:rsidR="00F56838" w:rsidRPr="00333A4B" w:rsidRDefault="00F56838" w:rsidP="00F56838">
            <w:pPr>
              <w:jc w:val="both"/>
              <w:outlineLvl w:val="1"/>
              <w:rPr>
                <w:rFonts w:ascii="Arial" w:eastAsia="Times New Roman" w:hAnsi="Arial" w:cs="Arial"/>
                <w:sz w:val="18"/>
                <w:szCs w:val="20"/>
                <w:lang w:val="es-ES"/>
              </w:rPr>
            </w:pPr>
            <w:r w:rsidRPr="00333A4B">
              <w:rPr>
                <w:rFonts w:ascii="Arial" w:eastAsia="Times New Roman" w:hAnsi="Arial" w:cs="Arial"/>
                <w:sz w:val="18"/>
                <w:lang w:val="es-ES"/>
              </w:rPr>
              <w:t xml:space="preserve">Componente II. </w:t>
            </w:r>
          </w:p>
        </w:tc>
        <w:tc>
          <w:tcPr>
            <w:tcW w:w="972" w:type="dxa"/>
            <w:shd w:val="clear" w:color="auto" w:fill="4BACC6" w:themeFill="accent5"/>
            <w:vAlign w:val="center"/>
          </w:tcPr>
          <w:p w14:paraId="4624433E" w14:textId="34B0844E" w:rsidR="00F56838"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36.091</w:t>
            </w:r>
          </w:p>
        </w:tc>
        <w:tc>
          <w:tcPr>
            <w:tcW w:w="972" w:type="dxa"/>
            <w:shd w:val="clear" w:color="auto" w:fill="4BACC6" w:themeFill="accent5"/>
            <w:vAlign w:val="center"/>
          </w:tcPr>
          <w:p w14:paraId="7834803B" w14:textId="7C9219EC" w:rsidR="00F56838"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36.091</w:t>
            </w:r>
          </w:p>
        </w:tc>
        <w:tc>
          <w:tcPr>
            <w:tcW w:w="972" w:type="dxa"/>
            <w:shd w:val="clear" w:color="auto" w:fill="4BACC6" w:themeFill="accent5"/>
            <w:vAlign w:val="center"/>
          </w:tcPr>
          <w:p w14:paraId="21AE3C69" w14:textId="42DE0EEF" w:rsidR="00F56838"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36.091</w:t>
            </w:r>
          </w:p>
        </w:tc>
        <w:tc>
          <w:tcPr>
            <w:tcW w:w="972" w:type="dxa"/>
            <w:shd w:val="clear" w:color="auto" w:fill="4BACC6" w:themeFill="accent5"/>
            <w:vAlign w:val="center"/>
          </w:tcPr>
          <w:p w14:paraId="4A7210A9" w14:textId="107077FF" w:rsidR="00F56838"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36.091</w:t>
            </w:r>
          </w:p>
        </w:tc>
        <w:tc>
          <w:tcPr>
            <w:tcW w:w="972" w:type="dxa"/>
            <w:shd w:val="clear" w:color="auto" w:fill="4BACC6" w:themeFill="accent5"/>
            <w:vAlign w:val="center"/>
          </w:tcPr>
          <w:p w14:paraId="75071D5A" w14:textId="537230B5" w:rsidR="00F56838"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36.091</w:t>
            </w:r>
          </w:p>
        </w:tc>
        <w:tc>
          <w:tcPr>
            <w:tcW w:w="1188" w:type="dxa"/>
            <w:shd w:val="clear" w:color="auto" w:fill="4BACC6" w:themeFill="accent5"/>
            <w:vAlign w:val="center"/>
          </w:tcPr>
          <w:p w14:paraId="1128480E" w14:textId="526B3386" w:rsidR="00F56838"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180.457</w:t>
            </w:r>
          </w:p>
        </w:tc>
      </w:tr>
      <w:tr w:rsidR="0093545D" w:rsidRPr="00333A4B" w14:paraId="228C9DA1"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28" w:type="dxa"/>
          </w:tcPr>
          <w:p w14:paraId="33D057A3" w14:textId="04AEA95E" w:rsidR="0093545D" w:rsidRPr="00B04630" w:rsidRDefault="0093545D" w:rsidP="00F56838">
            <w:pPr>
              <w:jc w:val="both"/>
              <w:outlineLvl w:val="1"/>
              <w:rPr>
                <w:rFonts w:ascii="Arial Narrow" w:eastAsia="Times New Roman" w:hAnsi="Arial Narrow" w:cs="Arial"/>
                <w:b w:val="0"/>
                <w:sz w:val="18"/>
                <w:lang w:val="es-ES"/>
              </w:rPr>
            </w:pPr>
            <w:r w:rsidRPr="00B04630">
              <w:rPr>
                <w:rFonts w:ascii="Arial Narrow" w:eastAsia="Times New Roman" w:hAnsi="Arial Narrow" w:cs="Arial"/>
                <w:sz w:val="18"/>
                <w:lang w:val="es-ES"/>
              </w:rPr>
              <w:t>2.1 Equipo para redes de distribución de media y baja tensión</w:t>
            </w:r>
          </w:p>
        </w:tc>
        <w:tc>
          <w:tcPr>
            <w:tcW w:w="972" w:type="dxa"/>
            <w:vAlign w:val="center"/>
          </w:tcPr>
          <w:p w14:paraId="5ABEDE3B" w14:textId="6A0A380B" w:rsidR="0093545D" w:rsidRPr="00B04630" w:rsidRDefault="0093545D"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26.359</w:t>
            </w:r>
          </w:p>
        </w:tc>
        <w:tc>
          <w:tcPr>
            <w:tcW w:w="972" w:type="dxa"/>
            <w:vAlign w:val="center"/>
          </w:tcPr>
          <w:p w14:paraId="67606B5A" w14:textId="3339BF56" w:rsidR="0093545D" w:rsidRPr="00B04630" w:rsidRDefault="0093545D"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26.359</w:t>
            </w:r>
          </w:p>
        </w:tc>
        <w:tc>
          <w:tcPr>
            <w:tcW w:w="972" w:type="dxa"/>
            <w:vAlign w:val="center"/>
          </w:tcPr>
          <w:p w14:paraId="79034770" w14:textId="06A1B1FF" w:rsidR="0093545D" w:rsidRPr="00B04630" w:rsidRDefault="0093545D"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26.359</w:t>
            </w:r>
          </w:p>
        </w:tc>
        <w:tc>
          <w:tcPr>
            <w:tcW w:w="972" w:type="dxa"/>
            <w:vAlign w:val="center"/>
          </w:tcPr>
          <w:p w14:paraId="0DD89B89" w14:textId="4AA4FC7A" w:rsidR="0093545D" w:rsidRPr="00B04630" w:rsidRDefault="0093545D"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26.359</w:t>
            </w:r>
          </w:p>
        </w:tc>
        <w:tc>
          <w:tcPr>
            <w:tcW w:w="972" w:type="dxa"/>
            <w:vAlign w:val="center"/>
          </w:tcPr>
          <w:p w14:paraId="49D39662" w14:textId="71BD600F" w:rsidR="0093545D" w:rsidRPr="00B04630" w:rsidRDefault="0093545D"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26.359</w:t>
            </w:r>
          </w:p>
        </w:tc>
        <w:tc>
          <w:tcPr>
            <w:tcW w:w="1188" w:type="dxa"/>
            <w:vAlign w:val="center"/>
          </w:tcPr>
          <w:p w14:paraId="553D0F9B" w14:textId="4E6C2BC9" w:rsidR="0093545D" w:rsidRPr="00B04630" w:rsidRDefault="0093545D"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131.797</w:t>
            </w:r>
          </w:p>
        </w:tc>
      </w:tr>
      <w:tr w:rsidR="0093545D" w:rsidRPr="00333A4B" w14:paraId="1EC2BF62" w14:textId="77777777" w:rsidTr="00B04630">
        <w:trPr>
          <w:jc w:val="center"/>
        </w:trPr>
        <w:tc>
          <w:tcPr>
            <w:cnfStyle w:val="001000000000" w:firstRow="0" w:lastRow="0" w:firstColumn="1" w:lastColumn="0" w:oddVBand="0" w:evenVBand="0" w:oddHBand="0" w:evenHBand="0" w:firstRowFirstColumn="0" w:firstRowLastColumn="0" w:lastRowFirstColumn="0" w:lastRowLastColumn="0"/>
            <w:tcW w:w="3528" w:type="dxa"/>
          </w:tcPr>
          <w:p w14:paraId="454C1944" w14:textId="01CEF84C" w:rsidR="0093545D" w:rsidRPr="00B04630" w:rsidRDefault="0093545D" w:rsidP="00F56838">
            <w:pPr>
              <w:jc w:val="both"/>
              <w:outlineLvl w:val="1"/>
              <w:rPr>
                <w:rFonts w:ascii="Arial Narrow" w:eastAsia="Times New Roman" w:hAnsi="Arial Narrow" w:cs="Arial"/>
                <w:b w:val="0"/>
                <w:sz w:val="18"/>
                <w:lang w:val="es-ES"/>
              </w:rPr>
            </w:pPr>
            <w:r w:rsidRPr="00B04630">
              <w:rPr>
                <w:rFonts w:ascii="Arial Narrow" w:eastAsia="Times New Roman" w:hAnsi="Arial Narrow" w:cs="Arial"/>
                <w:sz w:val="18"/>
                <w:lang w:val="es-ES"/>
              </w:rPr>
              <w:t>2.2 Adquisición e instalación de medidores de energía eléctrica</w:t>
            </w:r>
          </w:p>
        </w:tc>
        <w:tc>
          <w:tcPr>
            <w:tcW w:w="972" w:type="dxa"/>
            <w:vAlign w:val="center"/>
          </w:tcPr>
          <w:p w14:paraId="13721907" w14:textId="42E6C506" w:rsidR="0093545D"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9.732</w:t>
            </w:r>
          </w:p>
        </w:tc>
        <w:tc>
          <w:tcPr>
            <w:tcW w:w="972" w:type="dxa"/>
            <w:vAlign w:val="center"/>
          </w:tcPr>
          <w:p w14:paraId="1B36D46C" w14:textId="69C5C24E" w:rsidR="0093545D"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9.732</w:t>
            </w:r>
          </w:p>
        </w:tc>
        <w:tc>
          <w:tcPr>
            <w:tcW w:w="972" w:type="dxa"/>
            <w:vAlign w:val="center"/>
          </w:tcPr>
          <w:p w14:paraId="217FF386" w14:textId="7CE4A7D9" w:rsidR="0093545D"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9.732</w:t>
            </w:r>
          </w:p>
        </w:tc>
        <w:tc>
          <w:tcPr>
            <w:tcW w:w="972" w:type="dxa"/>
            <w:vAlign w:val="center"/>
          </w:tcPr>
          <w:p w14:paraId="44AE2FAD" w14:textId="345F5177" w:rsidR="0093545D"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9.732</w:t>
            </w:r>
          </w:p>
        </w:tc>
        <w:tc>
          <w:tcPr>
            <w:tcW w:w="972" w:type="dxa"/>
            <w:vAlign w:val="center"/>
          </w:tcPr>
          <w:p w14:paraId="6967CB13" w14:textId="44B18F5E" w:rsidR="0093545D"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9.732</w:t>
            </w:r>
          </w:p>
        </w:tc>
        <w:tc>
          <w:tcPr>
            <w:tcW w:w="1188" w:type="dxa"/>
            <w:vAlign w:val="center"/>
          </w:tcPr>
          <w:p w14:paraId="4DE67FD4" w14:textId="1BCF6D87" w:rsidR="0093545D" w:rsidRPr="00B04630" w:rsidRDefault="0093545D"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48.660</w:t>
            </w:r>
          </w:p>
        </w:tc>
      </w:tr>
      <w:tr w:rsidR="0093545D" w:rsidRPr="00333A4B" w14:paraId="533129F1"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28" w:type="dxa"/>
            <w:shd w:val="clear" w:color="auto" w:fill="4BACC6" w:themeFill="accent5"/>
          </w:tcPr>
          <w:p w14:paraId="0F9E8978" w14:textId="0F4DF55B" w:rsidR="00F56838" w:rsidRPr="00333A4B" w:rsidRDefault="00F56838" w:rsidP="00F56838">
            <w:pPr>
              <w:jc w:val="both"/>
              <w:outlineLvl w:val="1"/>
              <w:rPr>
                <w:rFonts w:ascii="Arial" w:eastAsia="Times New Roman" w:hAnsi="Arial" w:cs="Arial"/>
                <w:sz w:val="18"/>
                <w:szCs w:val="20"/>
                <w:lang w:val="es-ES"/>
              </w:rPr>
            </w:pPr>
            <w:r w:rsidRPr="00333A4B">
              <w:rPr>
                <w:rFonts w:ascii="Arial" w:eastAsia="Times New Roman" w:hAnsi="Arial" w:cs="Arial"/>
                <w:sz w:val="18"/>
                <w:lang w:val="es-ES"/>
              </w:rPr>
              <w:t xml:space="preserve">Componente III. </w:t>
            </w:r>
          </w:p>
        </w:tc>
        <w:tc>
          <w:tcPr>
            <w:tcW w:w="972" w:type="dxa"/>
            <w:shd w:val="clear" w:color="auto" w:fill="4BACC6" w:themeFill="accent5"/>
            <w:vAlign w:val="center"/>
          </w:tcPr>
          <w:p w14:paraId="500C8980" w14:textId="2951FB88"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11.930</w:t>
            </w:r>
          </w:p>
        </w:tc>
        <w:tc>
          <w:tcPr>
            <w:tcW w:w="972" w:type="dxa"/>
            <w:shd w:val="clear" w:color="auto" w:fill="4BACC6" w:themeFill="accent5"/>
            <w:vAlign w:val="center"/>
          </w:tcPr>
          <w:p w14:paraId="0C03C33A" w14:textId="4A75A7CB"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0.562</w:t>
            </w:r>
          </w:p>
        </w:tc>
        <w:tc>
          <w:tcPr>
            <w:tcW w:w="972" w:type="dxa"/>
            <w:shd w:val="clear" w:color="auto" w:fill="4BACC6" w:themeFill="accent5"/>
            <w:vAlign w:val="center"/>
          </w:tcPr>
          <w:p w14:paraId="09FCDB89" w14:textId="333269FB"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0.562</w:t>
            </w:r>
          </w:p>
        </w:tc>
        <w:tc>
          <w:tcPr>
            <w:tcW w:w="972" w:type="dxa"/>
            <w:shd w:val="clear" w:color="auto" w:fill="4BACC6" w:themeFill="accent5"/>
            <w:vAlign w:val="center"/>
          </w:tcPr>
          <w:p w14:paraId="3BC45B2F" w14:textId="2A7DAD2C"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0.562</w:t>
            </w:r>
          </w:p>
        </w:tc>
        <w:tc>
          <w:tcPr>
            <w:tcW w:w="972" w:type="dxa"/>
            <w:shd w:val="clear" w:color="auto" w:fill="4BACC6" w:themeFill="accent5"/>
            <w:vAlign w:val="center"/>
          </w:tcPr>
          <w:p w14:paraId="27B3C033" w14:textId="68AF0CDF"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0.562</w:t>
            </w:r>
          </w:p>
        </w:tc>
        <w:tc>
          <w:tcPr>
            <w:tcW w:w="1188" w:type="dxa"/>
            <w:shd w:val="clear" w:color="auto" w:fill="4BACC6" w:themeFill="accent5"/>
            <w:vAlign w:val="center"/>
          </w:tcPr>
          <w:p w14:paraId="076545BD" w14:textId="6AFD5B1B"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14.180</w:t>
            </w:r>
          </w:p>
        </w:tc>
      </w:tr>
      <w:tr w:rsidR="00FD2330" w:rsidRPr="00333A4B" w14:paraId="7F3156D0" w14:textId="77777777" w:rsidTr="00B04630">
        <w:trPr>
          <w:jc w:val="center"/>
        </w:trPr>
        <w:tc>
          <w:tcPr>
            <w:cnfStyle w:val="001000000000" w:firstRow="0" w:lastRow="0" w:firstColumn="1" w:lastColumn="0" w:oddVBand="0" w:evenVBand="0" w:oddHBand="0" w:evenHBand="0" w:firstRowFirstColumn="0" w:firstRowLastColumn="0" w:lastRowFirstColumn="0" w:lastRowLastColumn="0"/>
            <w:tcW w:w="3528" w:type="dxa"/>
          </w:tcPr>
          <w:p w14:paraId="28BA4187" w14:textId="6D0D6DFD" w:rsidR="00FD2330" w:rsidRPr="00B04630" w:rsidRDefault="00FD2330" w:rsidP="00F56838">
            <w:pPr>
              <w:jc w:val="both"/>
              <w:outlineLvl w:val="1"/>
              <w:rPr>
                <w:rFonts w:ascii="Arial Narrow" w:eastAsia="Times New Roman" w:hAnsi="Arial Narrow" w:cs="Arial"/>
                <w:b w:val="0"/>
                <w:sz w:val="18"/>
                <w:lang w:val="es-ES"/>
              </w:rPr>
            </w:pPr>
            <w:r w:rsidRPr="00B04630">
              <w:rPr>
                <w:rFonts w:ascii="Arial Narrow" w:eastAsia="Times New Roman" w:hAnsi="Arial Narrow" w:cs="Arial"/>
                <w:b w:val="0"/>
                <w:sz w:val="18"/>
                <w:lang w:val="es-ES"/>
              </w:rPr>
              <w:t>3.1 Apoyo</w:t>
            </w:r>
            <w:r>
              <w:rPr>
                <w:rFonts w:ascii="Arial Narrow" w:eastAsia="Times New Roman" w:hAnsi="Arial Narrow" w:cs="Arial"/>
                <w:b w:val="0"/>
                <w:sz w:val="18"/>
                <w:lang w:val="es-ES"/>
              </w:rPr>
              <w:t xml:space="preserve"> a la estrategia de género</w:t>
            </w:r>
          </w:p>
        </w:tc>
        <w:tc>
          <w:tcPr>
            <w:tcW w:w="972" w:type="dxa"/>
            <w:vAlign w:val="center"/>
          </w:tcPr>
          <w:p w14:paraId="0C70A9F1" w14:textId="2FC3F694" w:rsidR="00FD2330"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1.187</w:t>
            </w:r>
          </w:p>
        </w:tc>
        <w:tc>
          <w:tcPr>
            <w:tcW w:w="972" w:type="dxa"/>
            <w:vAlign w:val="center"/>
          </w:tcPr>
          <w:p w14:paraId="59344A7B" w14:textId="1C4D49BE" w:rsidR="00FD2330"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0.562</w:t>
            </w:r>
          </w:p>
        </w:tc>
        <w:tc>
          <w:tcPr>
            <w:tcW w:w="972" w:type="dxa"/>
            <w:vAlign w:val="center"/>
          </w:tcPr>
          <w:p w14:paraId="461A38E9" w14:textId="4CDAA0A3" w:rsidR="00FD2330"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sidRPr="00431A67">
              <w:rPr>
                <w:rFonts w:ascii="Arial Narrow" w:eastAsia="Times New Roman" w:hAnsi="Arial Narrow" w:cs="Arial"/>
                <w:sz w:val="18"/>
                <w:lang w:val="es-ES"/>
              </w:rPr>
              <w:t>0.562</w:t>
            </w:r>
          </w:p>
        </w:tc>
        <w:tc>
          <w:tcPr>
            <w:tcW w:w="972" w:type="dxa"/>
            <w:vAlign w:val="center"/>
          </w:tcPr>
          <w:p w14:paraId="77060F85" w14:textId="1F44B98C" w:rsidR="00FD2330"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sidRPr="00431A67">
              <w:rPr>
                <w:rFonts w:ascii="Arial Narrow" w:eastAsia="Times New Roman" w:hAnsi="Arial Narrow" w:cs="Arial"/>
                <w:sz w:val="18"/>
                <w:lang w:val="es-ES"/>
              </w:rPr>
              <w:t>0.562</w:t>
            </w:r>
          </w:p>
        </w:tc>
        <w:tc>
          <w:tcPr>
            <w:tcW w:w="972" w:type="dxa"/>
            <w:vAlign w:val="center"/>
          </w:tcPr>
          <w:p w14:paraId="3E8E4918" w14:textId="1007A929" w:rsidR="00FD2330"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lang w:val="es-ES"/>
              </w:rPr>
            </w:pPr>
            <w:r w:rsidRPr="00431A67">
              <w:rPr>
                <w:rFonts w:ascii="Arial Narrow" w:eastAsia="Times New Roman" w:hAnsi="Arial Narrow" w:cs="Arial"/>
                <w:sz w:val="18"/>
                <w:lang w:val="es-ES"/>
              </w:rPr>
              <w:t>0.562</w:t>
            </w:r>
          </w:p>
        </w:tc>
        <w:tc>
          <w:tcPr>
            <w:tcW w:w="1188" w:type="dxa"/>
            <w:vAlign w:val="center"/>
          </w:tcPr>
          <w:p w14:paraId="7396E738" w14:textId="33E603B6" w:rsidR="00FD2330"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3.437</w:t>
            </w:r>
          </w:p>
        </w:tc>
      </w:tr>
      <w:tr w:rsidR="00FD2330" w:rsidRPr="00333A4B" w14:paraId="2E502724"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28" w:type="dxa"/>
          </w:tcPr>
          <w:p w14:paraId="0E7CCED6" w14:textId="5B0E9880" w:rsidR="00FD2330" w:rsidRPr="00B04630" w:rsidRDefault="00FD2330" w:rsidP="00F56838">
            <w:pPr>
              <w:jc w:val="both"/>
              <w:outlineLvl w:val="1"/>
              <w:rPr>
                <w:rFonts w:ascii="Arial Narrow" w:eastAsia="Times New Roman" w:hAnsi="Arial Narrow" w:cs="Arial"/>
                <w:b w:val="0"/>
                <w:sz w:val="18"/>
                <w:lang w:val="es-ES"/>
              </w:rPr>
            </w:pPr>
            <w:r>
              <w:rPr>
                <w:rFonts w:ascii="Arial Narrow" w:eastAsia="Times New Roman" w:hAnsi="Arial Narrow" w:cs="Arial"/>
                <w:b w:val="0"/>
                <w:sz w:val="18"/>
                <w:lang w:val="es-ES"/>
              </w:rPr>
              <w:t>3.2 Modernización de sistema de TI</w:t>
            </w:r>
          </w:p>
        </w:tc>
        <w:tc>
          <w:tcPr>
            <w:tcW w:w="972" w:type="dxa"/>
            <w:vAlign w:val="center"/>
          </w:tcPr>
          <w:p w14:paraId="65179692" w14:textId="1402889F" w:rsidR="00FD2330"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10.743</w:t>
            </w:r>
          </w:p>
        </w:tc>
        <w:tc>
          <w:tcPr>
            <w:tcW w:w="972" w:type="dxa"/>
            <w:vAlign w:val="center"/>
          </w:tcPr>
          <w:p w14:paraId="54F84D08" w14:textId="403FEA4B" w:rsidR="00FD2330"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0</w:t>
            </w:r>
          </w:p>
        </w:tc>
        <w:tc>
          <w:tcPr>
            <w:tcW w:w="972" w:type="dxa"/>
            <w:vAlign w:val="center"/>
          </w:tcPr>
          <w:p w14:paraId="54B01E9F" w14:textId="6F0C115D" w:rsidR="00FD2330"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0</w:t>
            </w:r>
          </w:p>
        </w:tc>
        <w:tc>
          <w:tcPr>
            <w:tcW w:w="972" w:type="dxa"/>
            <w:vAlign w:val="center"/>
          </w:tcPr>
          <w:p w14:paraId="03939720" w14:textId="3D031FFC" w:rsidR="00FD2330"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0</w:t>
            </w:r>
          </w:p>
        </w:tc>
        <w:tc>
          <w:tcPr>
            <w:tcW w:w="972" w:type="dxa"/>
            <w:vAlign w:val="center"/>
          </w:tcPr>
          <w:p w14:paraId="5019668A" w14:textId="3BEEE27C" w:rsidR="00FD2330"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lang w:val="es-ES"/>
              </w:rPr>
            </w:pPr>
            <w:r>
              <w:rPr>
                <w:rFonts w:ascii="Arial Narrow" w:eastAsia="Times New Roman" w:hAnsi="Arial Narrow" w:cs="Arial"/>
                <w:sz w:val="18"/>
                <w:lang w:val="es-ES"/>
              </w:rPr>
              <w:t>0</w:t>
            </w:r>
          </w:p>
        </w:tc>
        <w:tc>
          <w:tcPr>
            <w:tcW w:w="1188" w:type="dxa"/>
            <w:vAlign w:val="center"/>
          </w:tcPr>
          <w:p w14:paraId="797F93A5" w14:textId="4A2CBBE4" w:rsidR="00FD2330"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Arial"/>
                <w:sz w:val="18"/>
                <w:szCs w:val="20"/>
                <w:lang w:val="es-ES"/>
              </w:rPr>
            </w:pPr>
            <w:r>
              <w:rPr>
                <w:rFonts w:ascii="Arial Narrow" w:eastAsia="Times New Roman" w:hAnsi="Arial Narrow" w:cs="Arial"/>
                <w:sz w:val="18"/>
                <w:szCs w:val="20"/>
                <w:lang w:val="es-ES"/>
              </w:rPr>
              <w:t>10.743</w:t>
            </w:r>
          </w:p>
        </w:tc>
      </w:tr>
      <w:tr w:rsidR="0093545D" w:rsidRPr="00333A4B" w14:paraId="07DC8DCC" w14:textId="77777777" w:rsidTr="00B04630">
        <w:trPr>
          <w:jc w:val="center"/>
        </w:trPr>
        <w:tc>
          <w:tcPr>
            <w:cnfStyle w:val="001000000000" w:firstRow="0" w:lastRow="0" w:firstColumn="1" w:lastColumn="0" w:oddVBand="0" w:evenVBand="0" w:oddHBand="0" w:evenHBand="0" w:firstRowFirstColumn="0" w:firstRowLastColumn="0" w:lastRowFirstColumn="0" w:lastRowLastColumn="0"/>
            <w:tcW w:w="3528" w:type="dxa"/>
            <w:shd w:val="clear" w:color="auto" w:fill="4BACC6" w:themeFill="accent5"/>
          </w:tcPr>
          <w:p w14:paraId="2022EAEE" w14:textId="77777777" w:rsidR="00F56838" w:rsidRPr="00333A4B" w:rsidRDefault="00F56838" w:rsidP="00B04630">
            <w:pPr>
              <w:outlineLvl w:val="1"/>
              <w:rPr>
                <w:rFonts w:ascii="Arial" w:eastAsia="Times New Roman" w:hAnsi="Arial" w:cs="Arial"/>
                <w:sz w:val="18"/>
                <w:lang w:val="es-ES"/>
              </w:rPr>
            </w:pPr>
            <w:r w:rsidRPr="00333A4B">
              <w:rPr>
                <w:rFonts w:ascii="Arial" w:eastAsia="Times New Roman" w:hAnsi="Arial" w:cs="Arial"/>
                <w:sz w:val="18"/>
                <w:lang w:val="es-ES"/>
              </w:rPr>
              <w:t>Administración, monitoreo y evaluación</w:t>
            </w:r>
          </w:p>
        </w:tc>
        <w:tc>
          <w:tcPr>
            <w:tcW w:w="972" w:type="dxa"/>
            <w:shd w:val="clear" w:color="auto" w:fill="4BACC6" w:themeFill="accent5"/>
            <w:vAlign w:val="center"/>
          </w:tcPr>
          <w:p w14:paraId="769B60E8" w14:textId="2F19C9DF" w:rsidR="00F56838"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0.628</w:t>
            </w:r>
          </w:p>
        </w:tc>
        <w:tc>
          <w:tcPr>
            <w:tcW w:w="972" w:type="dxa"/>
            <w:shd w:val="clear" w:color="auto" w:fill="4BACC6" w:themeFill="accent5"/>
            <w:vAlign w:val="center"/>
          </w:tcPr>
          <w:p w14:paraId="41E1AA2E" w14:textId="01026964" w:rsidR="00F56838"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0.628</w:t>
            </w:r>
          </w:p>
        </w:tc>
        <w:tc>
          <w:tcPr>
            <w:tcW w:w="972" w:type="dxa"/>
            <w:shd w:val="clear" w:color="auto" w:fill="4BACC6" w:themeFill="accent5"/>
            <w:vAlign w:val="center"/>
          </w:tcPr>
          <w:p w14:paraId="4D8976EC" w14:textId="06654BF1" w:rsidR="00F56838"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0.628</w:t>
            </w:r>
          </w:p>
        </w:tc>
        <w:tc>
          <w:tcPr>
            <w:tcW w:w="972" w:type="dxa"/>
            <w:shd w:val="clear" w:color="auto" w:fill="4BACC6" w:themeFill="accent5"/>
            <w:vAlign w:val="center"/>
          </w:tcPr>
          <w:p w14:paraId="30037984" w14:textId="76FC9C93" w:rsidR="00F56838"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0.628</w:t>
            </w:r>
          </w:p>
        </w:tc>
        <w:tc>
          <w:tcPr>
            <w:tcW w:w="972" w:type="dxa"/>
            <w:shd w:val="clear" w:color="auto" w:fill="4BACC6" w:themeFill="accent5"/>
            <w:vAlign w:val="center"/>
          </w:tcPr>
          <w:p w14:paraId="1873C3C0" w14:textId="3E081930" w:rsidR="00F56838"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0.628</w:t>
            </w:r>
          </w:p>
        </w:tc>
        <w:tc>
          <w:tcPr>
            <w:tcW w:w="1188" w:type="dxa"/>
            <w:shd w:val="clear" w:color="auto" w:fill="4BACC6" w:themeFill="accent5"/>
            <w:vAlign w:val="center"/>
          </w:tcPr>
          <w:p w14:paraId="094A70F8" w14:textId="7072ABC4" w:rsidR="00F56838" w:rsidRPr="00B04630" w:rsidRDefault="00431A67" w:rsidP="00F56838">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3.144</w:t>
            </w:r>
          </w:p>
        </w:tc>
      </w:tr>
      <w:tr w:rsidR="0093545D" w:rsidRPr="00333A4B" w14:paraId="40F105E3" w14:textId="77777777" w:rsidTr="00B0463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28" w:type="dxa"/>
            <w:shd w:val="clear" w:color="auto" w:fill="4BACC6" w:themeFill="accent5"/>
          </w:tcPr>
          <w:p w14:paraId="33388B53" w14:textId="77777777" w:rsidR="00F56838" w:rsidRPr="00333A4B" w:rsidRDefault="00F56838" w:rsidP="00F56838">
            <w:pPr>
              <w:jc w:val="both"/>
              <w:outlineLvl w:val="1"/>
              <w:rPr>
                <w:rFonts w:ascii="Arial" w:eastAsia="Times New Roman" w:hAnsi="Arial" w:cs="Arial"/>
                <w:sz w:val="18"/>
                <w:lang w:val="es-ES"/>
              </w:rPr>
            </w:pPr>
            <w:r w:rsidRPr="00333A4B">
              <w:rPr>
                <w:rFonts w:ascii="Arial" w:eastAsia="Times New Roman" w:hAnsi="Arial" w:cs="Arial"/>
                <w:sz w:val="18"/>
                <w:lang w:val="es-ES"/>
              </w:rPr>
              <w:t>Costos financieros</w:t>
            </w:r>
          </w:p>
        </w:tc>
        <w:tc>
          <w:tcPr>
            <w:tcW w:w="972" w:type="dxa"/>
            <w:shd w:val="clear" w:color="auto" w:fill="4BACC6" w:themeFill="accent5"/>
            <w:vAlign w:val="center"/>
          </w:tcPr>
          <w:p w14:paraId="1B45BC2E" w14:textId="37D2CE84"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1.611</w:t>
            </w:r>
          </w:p>
        </w:tc>
        <w:tc>
          <w:tcPr>
            <w:tcW w:w="972" w:type="dxa"/>
            <w:shd w:val="clear" w:color="auto" w:fill="4BACC6" w:themeFill="accent5"/>
            <w:vAlign w:val="center"/>
          </w:tcPr>
          <w:p w14:paraId="5D51000F" w14:textId="301E1048"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2.542</w:t>
            </w:r>
          </w:p>
        </w:tc>
        <w:tc>
          <w:tcPr>
            <w:tcW w:w="972" w:type="dxa"/>
            <w:shd w:val="clear" w:color="auto" w:fill="4BACC6" w:themeFill="accent5"/>
            <w:vAlign w:val="center"/>
          </w:tcPr>
          <w:p w14:paraId="0C40EA0B" w14:textId="1230D891"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3.477</w:t>
            </w:r>
          </w:p>
        </w:tc>
        <w:tc>
          <w:tcPr>
            <w:tcW w:w="972" w:type="dxa"/>
            <w:shd w:val="clear" w:color="auto" w:fill="4BACC6" w:themeFill="accent5"/>
            <w:vAlign w:val="center"/>
          </w:tcPr>
          <w:p w14:paraId="5576D863" w14:textId="5F457324"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4.343</w:t>
            </w:r>
          </w:p>
        </w:tc>
        <w:tc>
          <w:tcPr>
            <w:tcW w:w="972" w:type="dxa"/>
            <w:shd w:val="clear" w:color="auto" w:fill="4BACC6" w:themeFill="accent5"/>
            <w:vAlign w:val="center"/>
          </w:tcPr>
          <w:p w14:paraId="4C783EE2" w14:textId="683F493B"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lang w:val="es-ES"/>
              </w:rPr>
            </w:pPr>
            <w:r w:rsidRPr="00B04630">
              <w:rPr>
                <w:rFonts w:ascii="Arial" w:eastAsia="Times New Roman" w:hAnsi="Arial" w:cs="Arial"/>
                <w:b/>
                <w:sz w:val="18"/>
                <w:lang w:val="es-ES"/>
              </w:rPr>
              <w:t>5.080</w:t>
            </w:r>
          </w:p>
        </w:tc>
        <w:tc>
          <w:tcPr>
            <w:tcW w:w="1188" w:type="dxa"/>
            <w:shd w:val="clear" w:color="auto" w:fill="4BACC6" w:themeFill="accent5"/>
            <w:vAlign w:val="center"/>
          </w:tcPr>
          <w:p w14:paraId="077C2701" w14:textId="70CB034B" w:rsidR="00F56838" w:rsidRPr="00B04630" w:rsidRDefault="00431A67" w:rsidP="00F56838">
            <w:pPr>
              <w:jc w:val="right"/>
              <w:outlineLvl w:val="1"/>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8"/>
                <w:szCs w:val="20"/>
                <w:lang w:val="es-ES"/>
              </w:rPr>
            </w:pPr>
            <w:r w:rsidRPr="00B04630">
              <w:rPr>
                <w:rFonts w:ascii="Arial" w:eastAsia="Times New Roman" w:hAnsi="Arial" w:cs="Arial"/>
                <w:b/>
                <w:sz w:val="18"/>
                <w:szCs w:val="20"/>
                <w:lang w:val="es-ES"/>
              </w:rPr>
              <w:t>17.056</w:t>
            </w:r>
          </w:p>
        </w:tc>
      </w:tr>
      <w:tr w:rsidR="00431A67" w:rsidRPr="00333A4B" w14:paraId="410B66A1" w14:textId="77777777" w:rsidTr="00B04630">
        <w:trPr>
          <w:trHeight w:val="377"/>
          <w:jc w:val="center"/>
        </w:trPr>
        <w:tc>
          <w:tcPr>
            <w:cnfStyle w:val="001000000000" w:firstRow="0" w:lastRow="0" w:firstColumn="1" w:lastColumn="0" w:oddVBand="0" w:evenVBand="0" w:oddHBand="0" w:evenHBand="0" w:firstRowFirstColumn="0" w:firstRowLastColumn="0" w:lastRowFirstColumn="0" w:lastRowLastColumn="0"/>
            <w:tcW w:w="3528" w:type="dxa"/>
            <w:shd w:val="clear" w:color="auto" w:fill="DBE5F1" w:themeFill="accent1" w:themeFillTint="33"/>
            <w:vAlign w:val="center"/>
          </w:tcPr>
          <w:p w14:paraId="797BBBF7" w14:textId="756E4301" w:rsidR="00431A67" w:rsidRPr="00333A4B" w:rsidRDefault="00AD5B68" w:rsidP="00431A67">
            <w:pPr>
              <w:jc w:val="right"/>
              <w:outlineLvl w:val="1"/>
              <w:rPr>
                <w:rFonts w:ascii="Arial" w:eastAsia="Times New Roman" w:hAnsi="Arial" w:cs="Arial"/>
                <w:sz w:val="18"/>
                <w:szCs w:val="20"/>
                <w:lang w:val="es-ES"/>
              </w:rPr>
            </w:pPr>
            <w:r>
              <w:rPr>
                <w:rFonts w:ascii="Arial" w:eastAsia="Times New Roman" w:hAnsi="Arial" w:cs="Arial"/>
                <w:sz w:val="18"/>
                <w:szCs w:val="20"/>
                <w:lang w:val="es-ES"/>
              </w:rPr>
              <w:t>T</w:t>
            </w:r>
            <w:r w:rsidR="00536B55">
              <w:rPr>
                <w:rFonts w:ascii="Arial" w:eastAsia="Times New Roman" w:hAnsi="Arial" w:cs="Arial"/>
                <w:sz w:val="18"/>
                <w:szCs w:val="20"/>
                <w:lang w:val="es-ES"/>
              </w:rPr>
              <w:t>OTAL</w:t>
            </w:r>
          </w:p>
        </w:tc>
        <w:tc>
          <w:tcPr>
            <w:tcW w:w="972" w:type="dxa"/>
            <w:shd w:val="clear" w:color="auto" w:fill="DBE5F1" w:themeFill="accent1" w:themeFillTint="33"/>
            <w:vAlign w:val="center"/>
          </w:tcPr>
          <w:p w14:paraId="1AE6DF28" w14:textId="644934FE" w:rsidR="00431A67" w:rsidRPr="00333A4B" w:rsidRDefault="00431A67" w:rsidP="00431A67">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20"/>
                <w:lang w:val="es-ES"/>
              </w:rPr>
            </w:pPr>
            <w:r>
              <w:rPr>
                <w:rFonts w:ascii="Arial" w:eastAsia="Times New Roman" w:hAnsi="Arial" w:cs="Arial"/>
                <w:b/>
                <w:sz w:val="18"/>
                <w:szCs w:val="20"/>
                <w:lang w:val="es-ES"/>
              </w:rPr>
              <w:t>81.624</w:t>
            </w:r>
          </w:p>
        </w:tc>
        <w:tc>
          <w:tcPr>
            <w:tcW w:w="972" w:type="dxa"/>
            <w:shd w:val="clear" w:color="auto" w:fill="DBE5F1" w:themeFill="accent1" w:themeFillTint="33"/>
            <w:vAlign w:val="center"/>
          </w:tcPr>
          <w:p w14:paraId="260BAEB7" w14:textId="659C28B8" w:rsidR="00431A67" w:rsidRPr="00333A4B" w:rsidRDefault="00431A67" w:rsidP="00431A67">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szCs w:val="20"/>
                <w:lang w:val="es-ES"/>
              </w:rPr>
            </w:pPr>
            <w:r>
              <w:rPr>
                <w:rFonts w:ascii="Arial" w:eastAsia="Times New Roman" w:hAnsi="Arial" w:cs="Arial"/>
                <w:b/>
                <w:sz w:val="18"/>
                <w:lang w:val="es-ES"/>
              </w:rPr>
              <w:t>84.642</w:t>
            </w:r>
          </w:p>
        </w:tc>
        <w:tc>
          <w:tcPr>
            <w:tcW w:w="972" w:type="dxa"/>
            <w:shd w:val="clear" w:color="auto" w:fill="DBE5F1" w:themeFill="accent1" w:themeFillTint="33"/>
            <w:vAlign w:val="center"/>
          </w:tcPr>
          <w:p w14:paraId="305C589E" w14:textId="7204F500" w:rsidR="00431A67" w:rsidRPr="00333A4B" w:rsidRDefault="00431A67" w:rsidP="00431A67">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Pr>
                <w:rFonts w:ascii="Arial" w:eastAsia="Times New Roman" w:hAnsi="Arial" w:cs="Arial"/>
                <w:b/>
                <w:sz w:val="18"/>
                <w:szCs w:val="20"/>
                <w:lang w:val="es-ES"/>
              </w:rPr>
              <w:t>80.453</w:t>
            </w:r>
          </w:p>
        </w:tc>
        <w:tc>
          <w:tcPr>
            <w:tcW w:w="972" w:type="dxa"/>
            <w:shd w:val="clear" w:color="auto" w:fill="DBE5F1" w:themeFill="accent1" w:themeFillTint="33"/>
            <w:vAlign w:val="center"/>
          </w:tcPr>
          <w:p w14:paraId="10469826" w14:textId="710F1307" w:rsidR="00431A67" w:rsidRPr="00333A4B" w:rsidRDefault="00431A67" w:rsidP="00431A67">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Pr>
                <w:rFonts w:ascii="Arial" w:eastAsia="Times New Roman" w:hAnsi="Arial" w:cs="Arial"/>
                <w:b/>
                <w:sz w:val="18"/>
                <w:szCs w:val="20"/>
                <w:lang w:val="es-ES"/>
              </w:rPr>
              <w:t>72.972</w:t>
            </w:r>
          </w:p>
        </w:tc>
        <w:tc>
          <w:tcPr>
            <w:tcW w:w="972" w:type="dxa"/>
            <w:shd w:val="clear" w:color="auto" w:fill="DBE5F1" w:themeFill="accent1" w:themeFillTint="33"/>
            <w:vAlign w:val="center"/>
          </w:tcPr>
          <w:p w14:paraId="7C00BE0A" w14:textId="56F3EE75" w:rsidR="00431A67" w:rsidRPr="00333A4B" w:rsidRDefault="00431A67" w:rsidP="00431A67">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Pr>
                <w:rFonts w:ascii="Arial" w:eastAsia="Times New Roman" w:hAnsi="Arial" w:cs="Arial"/>
                <w:b/>
                <w:sz w:val="18"/>
                <w:lang w:val="es-ES"/>
              </w:rPr>
              <w:t>57.587</w:t>
            </w:r>
          </w:p>
        </w:tc>
        <w:tc>
          <w:tcPr>
            <w:tcW w:w="1188" w:type="dxa"/>
            <w:shd w:val="clear" w:color="auto" w:fill="DBE5F1" w:themeFill="accent1" w:themeFillTint="33"/>
            <w:vAlign w:val="center"/>
          </w:tcPr>
          <w:p w14:paraId="293A6A43" w14:textId="7AC7E02A" w:rsidR="00431A67" w:rsidRPr="00333A4B" w:rsidRDefault="00431A67" w:rsidP="00431A67">
            <w:pPr>
              <w:jc w:val="right"/>
              <w:outlineLvl w:val="1"/>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8"/>
                <w:lang w:val="es-ES"/>
              </w:rPr>
            </w:pPr>
            <w:r>
              <w:rPr>
                <w:rFonts w:ascii="Arial" w:eastAsia="Times New Roman" w:hAnsi="Arial" w:cs="Arial"/>
                <w:b/>
                <w:sz w:val="18"/>
                <w:lang w:val="es-ES"/>
              </w:rPr>
              <w:t>377.280</w:t>
            </w:r>
          </w:p>
        </w:tc>
      </w:tr>
    </w:tbl>
    <w:p w14:paraId="5E850A68" w14:textId="5FB4C811" w:rsidR="00333A4B" w:rsidRPr="00333A4B" w:rsidRDefault="00333A4B" w:rsidP="00333A4B">
      <w:pPr>
        <w:numPr>
          <w:ilvl w:val="0"/>
          <w:numId w:val="9"/>
        </w:numPr>
        <w:tabs>
          <w:tab w:val="left" w:pos="720"/>
        </w:tabs>
        <w:spacing w:before="360" w:after="120"/>
        <w:ind w:hanging="720"/>
        <w:jc w:val="both"/>
        <w:rPr>
          <w:rFonts w:ascii="Arial" w:hAnsi="Arial" w:cs="Arial"/>
          <w:b/>
          <w:lang w:val="es-ES"/>
        </w:rPr>
      </w:pPr>
      <w:r w:rsidRPr="00333A4B">
        <w:rPr>
          <w:rFonts w:ascii="Arial" w:hAnsi="Arial" w:cs="Arial"/>
          <w:b/>
          <w:lang w:val="es-ES"/>
        </w:rPr>
        <w:lastRenderedPageBreak/>
        <w:t>Esquema de Ejecución.</w:t>
      </w:r>
    </w:p>
    <w:p w14:paraId="181A9795" w14:textId="60ABA105" w:rsidR="00333A4B" w:rsidRPr="00333A4B" w:rsidRDefault="00333A4B" w:rsidP="00333A4B">
      <w:pPr>
        <w:pStyle w:val="ListParagraph"/>
        <w:numPr>
          <w:ilvl w:val="1"/>
          <w:numId w:val="17"/>
        </w:numPr>
        <w:tabs>
          <w:tab w:val="left" w:pos="0"/>
        </w:tabs>
        <w:spacing w:before="120" w:after="120"/>
        <w:ind w:left="720" w:hanging="720"/>
        <w:jc w:val="both"/>
        <w:rPr>
          <w:rFonts w:ascii="Arial" w:hAnsi="Arial" w:cs="Arial"/>
          <w:lang w:val="es-ES"/>
        </w:rPr>
      </w:pPr>
      <w:r w:rsidRPr="00333A4B">
        <w:rPr>
          <w:rFonts w:ascii="Arial" w:hAnsi="Arial" w:cs="Arial"/>
          <w:lang w:val="es-ES"/>
        </w:rPr>
        <w:t xml:space="preserve">El Prestatario y organismo ejecutor del programa será </w:t>
      </w:r>
      <w:proofErr w:type="spellStart"/>
      <w:r w:rsidRPr="00333A4B">
        <w:rPr>
          <w:rFonts w:ascii="Arial" w:hAnsi="Arial" w:cs="Arial"/>
          <w:lang w:val="es-ES"/>
        </w:rPr>
        <w:t>Celesc</w:t>
      </w:r>
      <w:proofErr w:type="spellEnd"/>
      <w:r w:rsidRPr="00333A4B">
        <w:rPr>
          <w:rFonts w:ascii="Arial" w:hAnsi="Arial" w:cs="Arial"/>
          <w:lang w:val="es-ES"/>
        </w:rPr>
        <w:t xml:space="preserve">-D. La responsabilidad de la ejecución, administración, monitoreo y evaluación del Programa será de </w:t>
      </w:r>
      <w:proofErr w:type="spellStart"/>
      <w:r w:rsidRPr="00333A4B">
        <w:rPr>
          <w:rFonts w:ascii="Arial" w:hAnsi="Arial" w:cs="Arial"/>
          <w:lang w:val="es-ES"/>
        </w:rPr>
        <w:t>Celesc</w:t>
      </w:r>
      <w:proofErr w:type="spellEnd"/>
      <w:r w:rsidRPr="00333A4B">
        <w:rPr>
          <w:rFonts w:ascii="Arial" w:hAnsi="Arial" w:cs="Arial"/>
          <w:lang w:val="es-ES"/>
        </w:rPr>
        <w:t>-D. Para garantizar el adecuado cumplimiento del contrato de préstamo en materia, administrativa, fiduciaria, de adquisic</w:t>
      </w:r>
      <w:bookmarkStart w:id="0" w:name="_GoBack"/>
      <w:bookmarkEnd w:id="0"/>
      <w:r w:rsidRPr="00333A4B">
        <w:rPr>
          <w:rFonts w:ascii="Arial" w:hAnsi="Arial" w:cs="Arial"/>
          <w:lang w:val="es-ES"/>
        </w:rPr>
        <w:t xml:space="preserve">iones, financiera, contable y socio-ambientales, se establecerá la Unidad Coordinadora del Programa (UCP) dentro de la estructura de </w:t>
      </w:r>
      <w:proofErr w:type="spellStart"/>
      <w:r w:rsidRPr="00333A4B">
        <w:rPr>
          <w:rFonts w:ascii="Arial" w:hAnsi="Arial" w:cs="Arial"/>
          <w:lang w:val="es-ES"/>
        </w:rPr>
        <w:t>Celesc</w:t>
      </w:r>
      <w:proofErr w:type="spellEnd"/>
      <w:r w:rsidRPr="00333A4B">
        <w:rPr>
          <w:rFonts w:ascii="Arial" w:hAnsi="Arial" w:cs="Arial"/>
          <w:lang w:val="es-ES"/>
        </w:rPr>
        <w:t xml:space="preserve">-D que contará con un coordinador general, y cinco coordinadores sectoriales (técnico, ambiental y social, adquisiciones y planificación, económico/financiero, y contable). La creación de la UCP y la designación del personal clave serán incluidos como parte del </w:t>
      </w:r>
      <w:hyperlink r:id="rId15" w:history="1">
        <w:r w:rsidRPr="00333A4B">
          <w:rPr>
            <w:rFonts w:ascii="Arial" w:hAnsi="Arial" w:cs="Arial"/>
            <w:lang w:val="es-ES"/>
          </w:rPr>
          <w:t>Manual Operativo del Programa (MOP)</w:t>
        </w:r>
      </w:hyperlink>
      <w:r w:rsidRPr="00333A4B">
        <w:rPr>
          <w:rFonts w:ascii="Arial" w:hAnsi="Arial" w:cs="Arial"/>
          <w:lang w:val="es-ES"/>
        </w:rPr>
        <w:t xml:space="preserve"> y serán implementadas antes de la firma del contrato de préstamo.</w:t>
      </w:r>
    </w:p>
    <w:p w14:paraId="13705F6D" w14:textId="2A7079B5" w:rsidR="00333A4B" w:rsidRPr="00333A4B" w:rsidRDefault="00333A4B" w:rsidP="00333A4B">
      <w:pPr>
        <w:tabs>
          <w:tab w:val="left" w:pos="0"/>
        </w:tabs>
        <w:spacing w:before="120" w:after="120"/>
        <w:ind w:left="720" w:hanging="720"/>
        <w:jc w:val="both"/>
        <w:rPr>
          <w:rFonts w:ascii="Arial" w:hAnsi="Arial" w:cs="Arial"/>
          <w:lang w:val="es-ES"/>
        </w:rPr>
      </w:pPr>
      <w:r w:rsidRPr="00333A4B">
        <w:rPr>
          <w:rFonts w:ascii="Arial" w:hAnsi="Arial" w:cs="Arial"/>
          <w:lang w:val="es-ES"/>
        </w:rPr>
        <w:t xml:space="preserve">1.9 </w:t>
      </w:r>
      <w:r w:rsidRPr="00333A4B">
        <w:rPr>
          <w:rFonts w:ascii="Arial" w:hAnsi="Arial" w:cs="Arial"/>
          <w:lang w:val="es-ES"/>
        </w:rPr>
        <w:tab/>
        <w:t xml:space="preserve">La UCP </w:t>
      </w:r>
      <w:r w:rsidR="00410D98" w:rsidRPr="00410D98">
        <w:rPr>
          <w:rFonts w:ascii="Arial" w:hAnsi="Arial" w:cs="Arial"/>
          <w:lang w:val="es-ES"/>
        </w:rPr>
        <w:t>se encargará de la gestión técnica, administrativa y operacional del programa incluyendo entre otras actividades: (i) coordinar las contrataciones de obras, bienes y servicios; (ii) solicitar los desembolsos del préstamo; (iii) elaborar los planes operativos anuales, el Plan de Adquisiciones, entre otros; (iv) presentar los informes de gestión del programa; (v) acompañar la supervisión y fiscalización de las obras y contratos de servicios; y (vi) actuar como interlocutor junto al Banco.</w:t>
      </w:r>
      <w:r w:rsidRPr="00333A4B">
        <w:rPr>
          <w:rFonts w:ascii="Arial" w:hAnsi="Arial" w:cs="Arial"/>
          <w:lang w:val="es-ES"/>
        </w:rPr>
        <w:t xml:space="preserve">. </w:t>
      </w:r>
      <w:r w:rsidR="00410D98">
        <w:rPr>
          <w:rFonts w:ascii="Arial" w:hAnsi="Arial" w:cs="Arial"/>
          <w:lang w:val="es-ES"/>
        </w:rPr>
        <w:t xml:space="preserve">LA UCP utilizará </w:t>
      </w:r>
      <w:r w:rsidRPr="00333A4B">
        <w:rPr>
          <w:rFonts w:ascii="Arial" w:hAnsi="Arial" w:cs="Arial"/>
          <w:lang w:val="es-ES"/>
        </w:rPr>
        <w:t xml:space="preserve">la comisión de licitaciones ya existente bajo la estructura de </w:t>
      </w:r>
      <w:proofErr w:type="spellStart"/>
      <w:r w:rsidRPr="00333A4B">
        <w:rPr>
          <w:rFonts w:ascii="Arial" w:hAnsi="Arial" w:cs="Arial"/>
          <w:lang w:val="es-ES"/>
        </w:rPr>
        <w:t>Celesc</w:t>
      </w:r>
      <w:proofErr w:type="spellEnd"/>
      <w:r w:rsidRPr="00333A4B">
        <w:rPr>
          <w:rFonts w:ascii="Arial" w:hAnsi="Arial" w:cs="Arial"/>
          <w:lang w:val="es-ES"/>
        </w:rPr>
        <w:t>-D, que será encargada de llevar a cabo todos los procesos de adquisiciones y contrataciones durante el período de desembolsos del Programa.</w:t>
      </w:r>
      <w:r w:rsidR="00806381">
        <w:rPr>
          <w:rFonts w:ascii="Arial" w:hAnsi="Arial" w:cs="Arial"/>
          <w:lang w:val="es-ES"/>
        </w:rPr>
        <w:t xml:space="preserve"> Los miembros de la comisión de licitaciones serán capacitados por el Banco antes del inicio del programa, con respecto a sus políticas de adquisiciones, procedimientos y documentos vigentes.</w:t>
      </w:r>
    </w:p>
    <w:p w14:paraId="590993A4" w14:textId="37F9D737" w:rsidR="00333A4B" w:rsidRPr="00333A4B" w:rsidRDefault="00333A4B" w:rsidP="00333A4B">
      <w:pPr>
        <w:tabs>
          <w:tab w:val="left" w:pos="0"/>
        </w:tabs>
        <w:spacing w:before="120" w:after="120"/>
        <w:ind w:left="720" w:hanging="720"/>
        <w:jc w:val="both"/>
        <w:rPr>
          <w:rFonts w:ascii="Arial" w:hAnsi="Arial" w:cs="Arial"/>
          <w:lang w:val="es-ES"/>
        </w:rPr>
      </w:pPr>
      <w:r w:rsidRPr="00333A4B">
        <w:rPr>
          <w:rFonts w:ascii="Arial" w:hAnsi="Arial" w:cs="Arial"/>
          <w:lang w:val="es-ES"/>
        </w:rPr>
        <w:t>1.10</w:t>
      </w:r>
      <w:r w:rsidRPr="00333A4B">
        <w:rPr>
          <w:rFonts w:ascii="Arial" w:hAnsi="Arial" w:cs="Arial"/>
          <w:lang w:val="es-ES"/>
        </w:rPr>
        <w:tab/>
        <w:t xml:space="preserve">La ejecución del Programa se regirá por las disposiciones establecidas en el contrato de préstamo, así como en el </w:t>
      </w:r>
      <w:hyperlink r:id="rId16" w:history="1">
        <w:r w:rsidRPr="00333A4B">
          <w:rPr>
            <w:rFonts w:ascii="Arial" w:hAnsi="Arial" w:cs="Arial"/>
            <w:color w:val="0000FF" w:themeColor="hyperlink"/>
            <w:u w:val="single"/>
            <w:lang w:val="es-ES"/>
          </w:rPr>
          <w:t>Manual Operativo del Programa</w:t>
        </w:r>
      </w:hyperlink>
      <w:r w:rsidRPr="00333A4B">
        <w:rPr>
          <w:rFonts w:ascii="Arial" w:hAnsi="Arial" w:cs="Arial"/>
          <w:lang w:val="es-ES"/>
        </w:rPr>
        <w:t xml:space="preserve"> (MOP), el cual incluirá, entre otros: (i) criterios de elegibilidad y procedimientos para la presentación de proyectos; (ii) procedimientos para la contratación de las obras, bienes, y servicios de consultoría; (iii) lineamientos para el uso de los recursos y la gestión financiera del Programa; (iv) procedimientos para los desembolsos; (v) una descripción detallada de las actividades del Programa, así como los aspectos vinculados al seguimiento y monitoreo del Programa; (vi) la estructura de la UCP, identificación de las funciones del personal clave, y los vínculos y mecanismos de coordinación con otras instancias de </w:t>
      </w:r>
      <w:proofErr w:type="spellStart"/>
      <w:r w:rsidRPr="00333A4B">
        <w:rPr>
          <w:rFonts w:ascii="Arial" w:hAnsi="Arial" w:cs="Arial"/>
          <w:lang w:val="es-ES"/>
        </w:rPr>
        <w:t>Celesc</w:t>
      </w:r>
      <w:proofErr w:type="spellEnd"/>
      <w:r w:rsidRPr="00333A4B">
        <w:rPr>
          <w:rFonts w:ascii="Arial" w:hAnsi="Arial" w:cs="Arial"/>
          <w:lang w:val="es-ES"/>
        </w:rPr>
        <w:t>-D</w:t>
      </w:r>
      <w:r w:rsidR="00806381">
        <w:rPr>
          <w:rFonts w:ascii="Arial" w:hAnsi="Arial" w:cs="Arial"/>
          <w:lang w:val="es-ES"/>
        </w:rPr>
        <w:t>; y (vii) un capítulo referido al Marco de Gestión Ambiental y Social</w:t>
      </w:r>
      <w:r w:rsidRPr="00333A4B">
        <w:rPr>
          <w:rFonts w:ascii="Arial" w:hAnsi="Arial" w:cs="Arial"/>
          <w:lang w:val="es-ES"/>
        </w:rPr>
        <w:t xml:space="preserve">. La aprobación y entrada en vigencia del </w:t>
      </w:r>
      <w:hyperlink r:id="rId17" w:history="1">
        <w:r w:rsidRPr="00333A4B">
          <w:rPr>
            <w:rFonts w:ascii="Arial" w:hAnsi="Arial" w:cs="Arial"/>
            <w:color w:val="0000FF" w:themeColor="hyperlink"/>
            <w:u w:val="single"/>
            <w:lang w:val="es-ES"/>
          </w:rPr>
          <w:t>MOP</w:t>
        </w:r>
      </w:hyperlink>
      <w:r w:rsidR="00806381">
        <w:rPr>
          <w:rFonts w:ascii="Arial" w:hAnsi="Arial" w:cs="Arial"/>
          <w:lang w:val="es-ES"/>
        </w:rPr>
        <w:t xml:space="preserve">, en los términos del Banco, </w:t>
      </w:r>
      <w:r w:rsidRPr="00333A4B">
        <w:rPr>
          <w:rFonts w:ascii="Arial" w:hAnsi="Arial" w:cs="Arial"/>
          <w:lang w:val="es-ES"/>
        </w:rPr>
        <w:t>será condición contractual previa al primer desembolso de los recursos del préstamo</w:t>
      </w:r>
      <w:r w:rsidRPr="00333A4B">
        <w:rPr>
          <w:rFonts w:ascii="Arial" w:hAnsi="Arial" w:cs="Times New Roman"/>
          <w:szCs w:val="20"/>
          <w:lang w:val="es-ES"/>
        </w:rPr>
        <w:t>.</w:t>
      </w:r>
    </w:p>
    <w:p w14:paraId="5F71D983" w14:textId="77777777" w:rsidR="00333A4B" w:rsidRPr="00333A4B" w:rsidRDefault="00333A4B" w:rsidP="00333A4B">
      <w:pPr>
        <w:numPr>
          <w:ilvl w:val="0"/>
          <w:numId w:val="17"/>
        </w:numPr>
        <w:spacing w:before="360" w:after="240"/>
        <w:ind w:left="720" w:hanging="720"/>
        <w:rPr>
          <w:rFonts w:ascii="Arial" w:hAnsi="Arial" w:cs="Arial"/>
          <w:b/>
          <w:smallCaps/>
          <w:lang w:val="es-ES"/>
        </w:rPr>
      </w:pPr>
      <w:r w:rsidRPr="00333A4B">
        <w:rPr>
          <w:rFonts w:ascii="Arial" w:hAnsi="Arial" w:cs="Arial"/>
          <w:b/>
          <w:smallCaps/>
          <w:lang w:val="es-ES"/>
        </w:rPr>
        <w:t>Monitoreo del Programa</w:t>
      </w:r>
    </w:p>
    <w:p w14:paraId="2DB255C0" w14:textId="1CC4EB3C" w:rsidR="00333A4B" w:rsidRDefault="00333A4B" w:rsidP="00E504B3">
      <w:pPr>
        <w:pStyle w:val="ListParagraph"/>
        <w:numPr>
          <w:ilvl w:val="1"/>
          <w:numId w:val="18"/>
        </w:numPr>
        <w:tabs>
          <w:tab w:val="left" w:pos="0"/>
        </w:tabs>
        <w:spacing w:before="120" w:after="120"/>
        <w:ind w:left="720" w:hanging="720"/>
        <w:contextualSpacing w:val="0"/>
        <w:jc w:val="both"/>
        <w:rPr>
          <w:rFonts w:ascii="Arial" w:hAnsi="Arial" w:cs="Arial"/>
          <w:lang w:val="es-ES"/>
        </w:rPr>
      </w:pPr>
      <w:r w:rsidRPr="00E504B3">
        <w:rPr>
          <w:rFonts w:ascii="Arial" w:hAnsi="Arial" w:cs="Arial"/>
          <w:lang w:val="es-ES"/>
        </w:rPr>
        <w:t xml:space="preserve">El objetivo del monitoreo es evidenciar los avances en la implementación de los principales productos del Programa de inversiones en infraestructura energética de </w:t>
      </w:r>
      <w:proofErr w:type="spellStart"/>
      <w:r w:rsidRPr="00E504B3">
        <w:rPr>
          <w:rFonts w:ascii="Arial" w:hAnsi="Arial" w:cs="Arial"/>
          <w:lang w:val="es-ES"/>
        </w:rPr>
        <w:t>Celesc</w:t>
      </w:r>
      <w:proofErr w:type="spellEnd"/>
      <w:r w:rsidRPr="00E504B3">
        <w:rPr>
          <w:rFonts w:ascii="Arial" w:hAnsi="Arial" w:cs="Arial"/>
          <w:lang w:val="es-ES"/>
        </w:rPr>
        <w:t xml:space="preserve">-D (BR-L1491). El monitoreo del Programa se realizará sobre la base de Hitos Verificables Específicos por Producto, en relación directa con las metas programadas, con informes de progreso semestrales y auditorías anuales externas durante su </w:t>
      </w:r>
      <w:r w:rsidRPr="00E504B3">
        <w:rPr>
          <w:rFonts w:ascii="Arial" w:hAnsi="Arial" w:cs="Arial"/>
          <w:lang w:val="es-ES"/>
        </w:rPr>
        <w:lastRenderedPageBreak/>
        <w:t>implementación, dirigida a determinar el cumplimiento de metas y la materialización de productos en los plazos previstos.</w:t>
      </w:r>
    </w:p>
    <w:p w14:paraId="2D907474" w14:textId="3F2F59C9" w:rsidR="00333A4B" w:rsidRDefault="00333A4B" w:rsidP="00E504B3">
      <w:pPr>
        <w:pStyle w:val="ListParagraph"/>
        <w:numPr>
          <w:ilvl w:val="1"/>
          <w:numId w:val="18"/>
        </w:numPr>
        <w:tabs>
          <w:tab w:val="left" w:pos="0"/>
        </w:tabs>
        <w:spacing w:before="120" w:after="120"/>
        <w:ind w:left="720" w:hanging="720"/>
        <w:contextualSpacing w:val="0"/>
        <w:jc w:val="both"/>
        <w:rPr>
          <w:rFonts w:ascii="Arial" w:hAnsi="Arial" w:cs="Arial"/>
          <w:lang w:val="es-ES"/>
        </w:rPr>
      </w:pPr>
      <w:r w:rsidRPr="00E504B3">
        <w:rPr>
          <w:rFonts w:ascii="Arial" w:hAnsi="Arial" w:cs="Arial"/>
          <w:lang w:val="es-ES"/>
        </w:rPr>
        <w:t xml:space="preserve">La Matriz de Resultados será el instrumento utilizado para llevar a cabo el monitoreo y evaluación de los objetivos y resultados del Programa. Dicha Matriz cuenta con: (i) indicadores de producto (Tabla </w:t>
      </w:r>
      <w:r w:rsidR="001F0957">
        <w:rPr>
          <w:rFonts w:ascii="Arial" w:hAnsi="Arial" w:cs="Arial"/>
          <w:lang w:val="es-ES"/>
        </w:rPr>
        <w:t>3</w:t>
      </w:r>
      <w:r w:rsidRPr="00E504B3">
        <w:rPr>
          <w:rFonts w:ascii="Arial" w:hAnsi="Arial" w:cs="Arial"/>
          <w:lang w:val="es-ES"/>
        </w:rPr>
        <w:t xml:space="preserve">); e (ii) indicadores de resultado (Tabla </w:t>
      </w:r>
      <w:r w:rsidR="001F0957">
        <w:rPr>
          <w:rFonts w:ascii="Arial" w:hAnsi="Arial" w:cs="Arial"/>
          <w:lang w:val="es-ES"/>
        </w:rPr>
        <w:t>6</w:t>
      </w:r>
      <w:r w:rsidRPr="00E504B3">
        <w:rPr>
          <w:rFonts w:ascii="Arial" w:hAnsi="Arial" w:cs="Arial"/>
          <w:lang w:val="es-ES"/>
        </w:rPr>
        <w:t>).</w:t>
      </w:r>
    </w:p>
    <w:p w14:paraId="19D0477B" w14:textId="0CB16B20" w:rsidR="00333A4B" w:rsidRDefault="00333A4B" w:rsidP="00E504B3">
      <w:pPr>
        <w:pStyle w:val="ListParagraph"/>
        <w:numPr>
          <w:ilvl w:val="1"/>
          <w:numId w:val="18"/>
        </w:numPr>
        <w:tabs>
          <w:tab w:val="left" w:pos="0"/>
        </w:tabs>
        <w:spacing w:before="120" w:after="120"/>
        <w:ind w:left="720" w:hanging="720"/>
        <w:contextualSpacing w:val="0"/>
        <w:jc w:val="both"/>
        <w:rPr>
          <w:rFonts w:ascii="Arial" w:hAnsi="Arial" w:cs="Arial"/>
          <w:lang w:val="es-ES"/>
        </w:rPr>
      </w:pPr>
      <w:r w:rsidRPr="00E504B3">
        <w:rPr>
          <w:rFonts w:ascii="Arial" w:hAnsi="Arial" w:cs="Arial"/>
          <w:lang w:val="es-ES"/>
        </w:rPr>
        <w:t xml:space="preserve">Los indicadores de producto permitirán hacer un seguimiento del avance de las actividades, obras e instalaciones de equipos, </w:t>
      </w:r>
      <w:r w:rsidR="00E53BF0">
        <w:rPr>
          <w:rFonts w:ascii="Arial" w:hAnsi="Arial" w:cs="Arial"/>
          <w:lang w:val="es-ES"/>
        </w:rPr>
        <w:t xml:space="preserve">y consultorías, </w:t>
      </w:r>
      <w:r w:rsidRPr="00E504B3">
        <w:rPr>
          <w:rFonts w:ascii="Arial" w:hAnsi="Arial" w:cs="Arial"/>
          <w:lang w:val="es-ES"/>
        </w:rPr>
        <w:t xml:space="preserve">y su cumplimiento en tiempo y forma. Dichos indicadores serán medidos </w:t>
      </w:r>
      <w:r w:rsidR="00E53BF0">
        <w:rPr>
          <w:rFonts w:ascii="Arial" w:hAnsi="Arial" w:cs="Arial"/>
          <w:lang w:val="es-ES"/>
        </w:rPr>
        <w:t xml:space="preserve">mensualmente </w:t>
      </w:r>
      <w:r w:rsidRPr="00E504B3">
        <w:rPr>
          <w:rFonts w:ascii="Arial" w:hAnsi="Arial" w:cs="Arial"/>
          <w:lang w:val="es-ES"/>
        </w:rPr>
        <w:t>por cuenta del ejecutor a partir del seguimiento de los niveles de avance físico de las obras</w:t>
      </w:r>
      <w:r w:rsidR="00E53BF0">
        <w:rPr>
          <w:rFonts w:ascii="Arial" w:hAnsi="Arial" w:cs="Arial"/>
          <w:lang w:val="es-ES"/>
        </w:rPr>
        <w:t>, instalación de equipos y consultorías, y reportados de forma agregada semestralmente al Banco</w:t>
      </w:r>
      <w:r w:rsidRPr="00E504B3">
        <w:rPr>
          <w:rFonts w:ascii="Arial" w:hAnsi="Arial" w:cs="Arial"/>
          <w:lang w:val="es-ES"/>
        </w:rPr>
        <w:t xml:space="preserve">. Los </w:t>
      </w:r>
      <w:hyperlink r:id="rId18" w:history="1">
        <w:r w:rsidRPr="00E504B3">
          <w:rPr>
            <w:rFonts w:ascii="Arial" w:hAnsi="Arial" w:cs="Arial"/>
            <w:color w:val="0000FF" w:themeColor="hyperlink"/>
            <w:u w:val="single"/>
            <w:lang w:val="es-ES"/>
          </w:rPr>
          <w:t>Planes Operativos Anuales</w:t>
        </w:r>
      </w:hyperlink>
      <w:r w:rsidRPr="00E504B3">
        <w:rPr>
          <w:rFonts w:ascii="Arial" w:hAnsi="Arial" w:cs="Arial"/>
          <w:lang w:val="es-ES"/>
        </w:rPr>
        <w:t xml:space="preserve"> (POA) presentados por el ejecutor reflejarán el estado de avance de las obras durante el año anterior y las proyecciones para el año del ejercicio, así como potenciales riesgos que afecten la ejecución ininterrumpida de las obras y las respectivas medidas correctivas para mitigarlos. En su caso, el </w:t>
      </w:r>
      <w:hyperlink r:id="rId19" w:history="1">
        <w:r w:rsidRPr="00E504B3">
          <w:rPr>
            <w:rFonts w:ascii="Arial" w:hAnsi="Arial" w:cs="Arial"/>
            <w:color w:val="0000FF" w:themeColor="hyperlink"/>
            <w:u w:val="single"/>
            <w:lang w:val="es-ES"/>
          </w:rPr>
          <w:t>Plan de Ejecución Plurianual</w:t>
        </w:r>
      </w:hyperlink>
      <w:r w:rsidRPr="00E504B3">
        <w:rPr>
          <w:rFonts w:ascii="Arial" w:hAnsi="Arial" w:cs="Arial"/>
          <w:lang w:val="es-ES"/>
        </w:rPr>
        <w:t xml:space="preserve"> (PEP) detallará el progreso y el calendario de ejecución para los años pendientes del préstamo, hasta la fecha de último desembolso.</w:t>
      </w:r>
    </w:p>
    <w:p w14:paraId="6652FC25" w14:textId="604D896D" w:rsidR="00333A4B" w:rsidRPr="00E504B3" w:rsidRDefault="00333A4B" w:rsidP="00E504B3">
      <w:pPr>
        <w:pStyle w:val="ListParagraph"/>
        <w:numPr>
          <w:ilvl w:val="1"/>
          <w:numId w:val="18"/>
        </w:numPr>
        <w:tabs>
          <w:tab w:val="left" w:pos="0"/>
        </w:tabs>
        <w:spacing w:before="120" w:after="120"/>
        <w:ind w:left="720" w:hanging="720"/>
        <w:contextualSpacing w:val="0"/>
        <w:jc w:val="both"/>
        <w:rPr>
          <w:rFonts w:ascii="Arial" w:hAnsi="Arial" w:cs="Arial"/>
          <w:lang w:val="es-ES"/>
        </w:rPr>
      </w:pPr>
      <w:r w:rsidRPr="00E504B3">
        <w:rPr>
          <w:rFonts w:ascii="Arial" w:hAnsi="Arial" w:cs="Arial"/>
          <w:lang w:val="es-ES"/>
        </w:rPr>
        <w:t>En la Tabla 2 se define la matriz de seguimiento para los indicadores de producto de la operación, de acuerdo a la Matriz de Resultados definida. La UCP será responsable por la consolidación de la línea de base y de los ajustes requeridos a las metas establecidas en la Matriz de Resultados del Programa, antes del inicio de la ejecución.</w:t>
      </w:r>
    </w:p>
    <w:p w14:paraId="189FF5B4" w14:textId="01E60992" w:rsidR="00333A4B" w:rsidRPr="00333A4B" w:rsidRDefault="00333A4B" w:rsidP="00333A4B">
      <w:pPr>
        <w:spacing w:before="240"/>
        <w:jc w:val="center"/>
        <w:rPr>
          <w:rFonts w:ascii="Arial" w:hAnsi="Arial" w:cs="Arial"/>
          <w:b/>
          <w:color w:val="1F497D" w:themeColor="text2"/>
          <w:lang w:val="es-ES"/>
        </w:rPr>
      </w:pPr>
      <w:r w:rsidRPr="00333A4B">
        <w:rPr>
          <w:rFonts w:ascii="Arial" w:hAnsi="Arial" w:cs="Arial"/>
          <w:b/>
          <w:color w:val="1F497D" w:themeColor="text2"/>
          <w:lang w:val="es-ES"/>
        </w:rPr>
        <w:t xml:space="preserve">Tabla </w:t>
      </w:r>
      <w:r w:rsidR="001F0957">
        <w:rPr>
          <w:rFonts w:ascii="Arial" w:hAnsi="Arial" w:cs="Arial"/>
          <w:b/>
          <w:color w:val="1F497D" w:themeColor="text2"/>
          <w:lang w:val="es-ES"/>
        </w:rPr>
        <w:t>3</w:t>
      </w:r>
      <w:r w:rsidRPr="00333A4B">
        <w:rPr>
          <w:rFonts w:ascii="Arial" w:hAnsi="Arial" w:cs="Arial"/>
          <w:b/>
          <w:color w:val="1F497D" w:themeColor="text2"/>
          <w:lang w:val="es-ES"/>
        </w:rPr>
        <w:t>. Indicadores de productos por Componente del Programa.</w:t>
      </w:r>
    </w:p>
    <w:tbl>
      <w:tblPr>
        <w:tblStyle w:val="LightShading-Accent11"/>
        <w:tblW w:w="0" w:type="auto"/>
        <w:tblLook w:val="04A0" w:firstRow="1" w:lastRow="0" w:firstColumn="1" w:lastColumn="0" w:noHBand="0" w:noVBand="1"/>
      </w:tblPr>
      <w:tblGrid>
        <w:gridCol w:w="2178"/>
        <w:gridCol w:w="90"/>
        <w:gridCol w:w="2250"/>
        <w:gridCol w:w="1620"/>
        <w:gridCol w:w="270"/>
        <w:gridCol w:w="3060"/>
      </w:tblGrid>
      <w:tr w:rsidR="00333A4B" w:rsidRPr="00333A4B" w14:paraId="1520A025" w14:textId="77777777" w:rsidTr="00EE27AC">
        <w:trPr>
          <w:cnfStyle w:val="100000000000" w:firstRow="1" w:lastRow="0" w:firstColumn="0" w:lastColumn="0" w:oddVBand="0" w:evenVBand="0" w:oddHBand="0"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2268" w:type="dxa"/>
            <w:gridSpan w:val="2"/>
            <w:shd w:val="clear" w:color="auto" w:fill="1F497D" w:themeFill="text2"/>
            <w:vAlign w:val="center"/>
          </w:tcPr>
          <w:p w14:paraId="4BA1C133" w14:textId="77777777" w:rsidR="00333A4B" w:rsidRPr="00333A4B" w:rsidRDefault="00333A4B" w:rsidP="00333A4B">
            <w:pPr>
              <w:jc w:val="center"/>
              <w:rPr>
                <w:rFonts w:ascii="Arial Narrow" w:hAnsi="Arial Narrow" w:cs="Arial"/>
                <w:color w:val="FFFFFF" w:themeColor="background1"/>
                <w:sz w:val="20"/>
                <w:lang w:val="es-ES"/>
              </w:rPr>
            </w:pPr>
            <w:r w:rsidRPr="00333A4B">
              <w:rPr>
                <w:rFonts w:ascii="Arial Narrow" w:hAnsi="Arial Narrow" w:cs="Arial"/>
                <w:color w:val="FFFFFF" w:themeColor="background1"/>
                <w:sz w:val="20"/>
                <w:lang w:val="es-ES"/>
              </w:rPr>
              <w:t>Indicador de producto</w:t>
            </w:r>
          </w:p>
        </w:tc>
        <w:tc>
          <w:tcPr>
            <w:tcW w:w="2250" w:type="dxa"/>
            <w:shd w:val="clear" w:color="auto" w:fill="1F497D" w:themeFill="text2"/>
            <w:vAlign w:val="center"/>
          </w:tcPr>
          <w:p w14:paraId="177D8DF5"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lang w:val="es-ES"/>
              </w:rPr>
            </w:pPr>
            <w:r w:rsidRPr="00333A4B">
              <w:rPr>
                <w:rFonts w:ascii="Arial Narrow" w:hAnsi="Arial Narrow" w:cs="Arial"/>
                <w:color w:val="FFFFFF" w:themeColor="background1"/>
                <w:sz w:val="20"/>
                <w:lang w:val="es-ES"/>
              </w:rPr>
              <w:t>Definición</w:t>
            </w:r>
          </w:p>
        </w:tc>
        <w:tc>
          <w:tcPr>
            <w:tcW w:w="1620" w:type="dxa"/>
            <w:shd w:val="clear" w:color="auto" w:fill="1F497D" w:themeFill="text2"/>
            <w:vAlign w:val="center"/>
          </w:tcPr>
          <w:p w14:paraId="46BBADF8"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lang w:val="es-ES"/>
              </w:rPr>
            </w:pPr>
            <w:r w:rsidRPr="00333A4B">
              <w:rPr>
                <w:rFonts w:ascii="Arial Narrow" w:hAnsi="Arial Narrow" w:cs="Arial"/>
                <w:color w:val="FFFFFF" w:themeColor="background1"/>
                <w:sz w:val="20"/>
                <w:lang w:val="es-ES"/>
              </w:rPr>
              <w:t>Frecuencia de medición</w:t>
            </w:r>
          </w:p>
        </w:tc>
        <w:tc>
          <w:tcPr>
            <w:tcW w:w="3330" w:type="dxa"/>
            <w:gridSpan w:val="2"/>
            <w:shd w:val="clear" w:color="auto" w:fill="1F497D" w:themeFill="text2"/>
            <w:vAlign w:val="center"/>
          </w:tcPr>
          <w:p w14:paraId="290DE540"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lang w:val="es-ES"/>
              </w:rPr>
            </w:pPr>
            <w:r w:rsidRPr="00333A4B">
              <w:rPr>
                <w:rFonts w:ascii="Arial Narrow" w:hAnsi="Arial Narrow" w:cs="Arial"/>
                <w:color w:val="FFFFFF" w:themeColor="background1"/>
                <w:sz w:val="20"/>
                <w:lang w:val="es-ES"/>
              </w:rPr>
              <w:t>Medio de verificación</w:t>
            </w:r>
          </w:p>
        </w:tc>
      </w:tr>
      <w:tr w:rsidR="00333A4B" w:rsidRPr="00E15779" w14:paraId="33210AC7" w14:textId="77777777" w:rsidTr="00EE27AC">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9468" w:type="dxa"/>
            <w:gridSpan w:val="6"/>
            <w:shd w:val="clear" w:color="auto" w:fill="C6D9F1" w:themeFill="text2" w:themeFillTint="33"/>
            <w:vAlign w:val="center"/>
          </w:tcPr>
          <w:p w14:paraId="1FAC6164" w14:textId="77777777" w:rsidR="00333A4B" w:rsidRPr="00333A4B" w:rsidRDefault="00333A4B" w:rsidP="00333A4B">
            <w:pPr>
              <w:rPr>
                <w:rFonts w:ascii="Arial Narrow" w:hAnsi="Arial Narrow" w:cs="Arial"/>
                <w:color w:val="1F497D" w:themeColor="text2"/>
                <w:sz w:val="20"/>
                <w:lang w:val="es-ES"/>
              </w:rPr>
            </w:pPr>
            <w:r w:rsidRPr="00333A4B">
              <w:rPr>
                <w:rFonts w:ascii="Arial Narrow" w:hAnsi="Arial Narrow" w:cs="Arial"/>
                <w:color w:val="17365D" w:themeColor="text2" w:themeShade="BF"/>
                <w:sz w:val="20"/>
                <w:lang w:val="es-ES"/>
              </w:rPr>
              <w:t>Componente #1 - Ampliación y Modernización del Sistema de Distribución de Alta Tensión</w:t>
            </w:r>
          </w:p>
        </w:tc>
      </w:tr>
      <w:tr w:rsidR="00333A4B" w:rsidRPr="00E15779" w14:paraId="428B024B" w14:textId="77777777" w:rsidTr="00EE27AC">
        <w:trPr>
          <w:trHeight w:val="3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15A738C8" w14:textId="21663494" w:rsidR="00333A4B" w:rsidRPr="00333A4B" w:rsidRDefault="003A7A72" w:rsidP="00333A4B">
            <w:pPr>
              <w:rPr>
                <w:rFonts w:ascii="Arial Narrow" w:hAnsi="Arial Narrow" w:cs="Arial"/>
                <w:sz w:val="20"/>
                <w:lang w:val="es-ES"/>
              </w:rPr>
            </w:pPr>
            <w:r>
              <w:rPr>
                <w:rFonts w:ascii="Arial Narrow" w:hAnsi="Arial Narrow" w:cs="Arial"/>
                <w:sz w:val="20"/>
                <w:lang w:val="es-ES"/>
              </w:rPr>
              <w:t>Potencia de n</w:t>
            </w:r>
            <w:r w:rsidR="00333A4B" w:rsidRPr="00333A4B">
              <w:rPr>
                <w:rFonts w:ascii="Arial Narrow" w:hAnsi="Arial Narrow" w:cs="Arial"/>
                <w:sz w:val="20"/>
                <w:lang w:val="es-ES"/>
              </w:rPr>
              <w:t>uevas subestaciones eléctricas instalada</w:t>
            </w:r>
          </w:p>
        </w:tc>
        <w:tc>
          <w:tcPr>
            <w:tcW w:w="2340" w:type="dxa"/>
            <w:gridSpan w:val="2"/>
            <w:tcBorders>
              <w:top w:val="single" w:sz="8" w:space="0" w:color="4F81BD" w:themeColor="accent1"/>
            </w:tcBorders>
            <w:shd w:val="clear" w:color="auto" w:fill="FFFFFF" w:themeFill="background1"/>
            <w:vAlign w:val="center"/>
          </w:tcPr>
          <w:p w14:paraId="4B3A04E2" w14:textId="68FBD99F" w:rsidR="00333A4B" w:rsidRPr="00333A4B" w:rsidRDefault="003A7A72"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Potencia</w:t>
            </w:r>
            <w:r w:rsidRPr="00333A4B">
              <w:rPr>
                <w:rFonts w:ascii="Arial Narrow" w:hAnsi="Arial Narrow" w:cs="Arial"/>
                <w:sz w:val="20"/>
                <w:lang w:val="es-ES"/>
              </w:rPr>
              <w:t xml:space="preserve"> </w:t>
            </w:r>
            <w:r w:rsidR="00333A4B" w:rsidRPr="00333A4B">
              <w:rPr>
                <w:rFonts w:ascii="Arial Narrow" w:hAnsi="Arial Narrow" w:cs="Arial"/>
                <w:sz w:val="20"/>
                <w:lang w:val="es-ES"/>
              </w:rPr>
              <w:t xml:space="preserve">en MVA instalados </w:t>
            </w:r>
          </w:p>
        </w:tc>
        <w:tc>
          <w:tcPr>
            <w:tcW w:w="1890" w:type="dxa"/>
            <w:gridSpan w:val="2"/>
            <w:tcBorders>
              <w:top w:val="single" w:sz="8" w:space="0" w:color="4F81BD" w:themeColor="accent1"/>
            </w:tcBorders>
            <w:shd w:val="clear" w:color="auto" w:fill="FFFFFF" w:themeFill="background1"/>
            <w:vAlign w:val="center"/>
          </w:tcPr>
          <w:p w14:paraId="0BDA1CBC" w14:textId="20D88A05" w:rsidR="00333A4B" w:rsidRPr="00333A4B" w:rsidRDefault="00E53BF0"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tcBorders>
            <w:shd w:val="clear" w:color="auto" w:fill="FFFFFF" w:themeFill="background1"/>
            <w:vAlign w:val="center"/>
          </w:tcPr>
          <w:p w14:paraId="498D087A" w14:textId="7A5B3478"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Reporte de </w:t>
            </w:r>
            <w:r w:rsidR="00E53BF0">
              <w:rPr>
                <w:rFonts w:ascii="Arial Narrow" w:hAnsi="Arial Narrow" w:cs="Arial"/>
                <w:sz w:val="20"/>
                <w:lang w:val="es-ES"/>
              </w:rPr>
              <w:t xml:space="preserve">avance de obra y de </w:t>
            </w:r>
            <w:r w:rsidRPr="00333A4B">
              <w:rPr>
                <w:rFonts w:ascii="Arial Narrow" w:hAnsi="Arial Narrow" w:cs="Arial"/>
                <w:sz w:val="20"/>
                <w:lang w:val="es-ES"/>
              </w:rPr>
              <w:t>entrada en operación de la subestación eléctrica</w:t>
            </w:r>
          </w:p>
        </w:tc>
      </w:tr>
      <w:tr w:rsidR="00333A4B" w:rsidRPr="00E15779" w14:paraId="327707C9" w14:textId="77777777" w:rsidTr="00EE27AC">
        <w:trPr>
          <w:cnfStyle w:val="000000100000" w:firstRow="0" w:lastRow="0" w:firstColumn="0" w:lastColumn="0" w:oddVBand="0" w:evenVBand="0" w:oddHBand="1" w:evenHBand="0" w:firstRowFirstColumn="0" w:firstRowLastColumn="0" w:lastRowFirstColumn="0" w:lastRowLastColumn="0"/>
          <w:trHeight w:val="565"/>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69E3C625" w14:textId="105FBCF7" w:rsidR="00333A4B" w:rsidRPr="00333A4B" w:rsidRDefault="003A7A72" w:rsidP="00333A4B">
            <w:pPr>
              <w:rPr>
                <w:rFonts w:ascii="Arial Narrow" w:hAnsi="Arial Narrow" w:cs="Arial"/>
                <w:sz w:val="20"/>
                <w:lang w:val="es-ES"/>
              </w:rPr>
            </w:pPr>
            <w:r>
              <w:rPr>
                <w:rFonts w:ascii="Arial Narrow" w:hAnsi="Arial Narrow" w:cs="Arial"/>
                <w:sz w:val="20"/>
                <w:lang w:val="es-ES"/>
              </w:rPr>
              <w:t>Potencia de s</w:t>
            </w:r>
            <w:r w:rsidR="00333A4B" w:rsidRPr="00333A4B">
              <w:rPr>
                <w:rFonts w:ascii="Arial Narrow" w:hAnsi="Arial Narrow" w:cs="Arial"/>
                <w:sz w:val="20"/>
                <w:lang w:val="es-ES"/>
              </w:rPr>
              <w:t xml:space="preserve">ubestaciones eléctricas </w:t>
            </w:r>
            <w:r>
              <w:rPr>
                <w:rFonts w:ascii="Arial Narrow" w:hAnsi="Arial Narrow" w:cs="Arial"/>
                <w:sz w:val="20"/>
                <w:lang w:val="es-ES"/>
              </w:rPr>
              <w:t xml:space="preserve">existentes </w:t>
            </w:r>
            <w:r w:rsidR="00333A4B" w:rsidRPr="00333A4B">
              <w:rPr>
                <w:rFonts w:ascii="Arial Narrow" w:hAnsi="Arial Narrow" w:cs="Arial"/>
                <w:sz w:val="20"/>
                <w:lang w:val="es-ES"/>
              </w:rPr>
              <w:t>ampliada</w:t>
            </w:r>
          </w:p>
        </w:tc>
        <w:tc>
          <w:tcPr>
            <w:tcW w:w="2340" w:type="dxa"/>
            <w:gridSpan w:val="2"/>
            <w:tcBorders>
              <w:top w:val="single" w:sz="8" w:space="0" w:color="4F81BD" w:themeColor="accent1"/>
            </w:tcBorders>
            <w:shd w:val="clear" w:color="auto" w:fill="FFFFFF" w:themeFill="background1"/>
            <w:vAlign w:val="center"/>
          </w:tcPr>
          <w:p w14:paraId="62355D8B" w14:textId="43E11CAF" w:rsidR="00333A4B" w:rsidRPr="00333A4B" w:rsidRDefault="003A7A72"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Potencia</w:t>
            </w:r>
            <w:r w:rsidRPr="00333A4B">
              <w:rPr>
                <w:rFonts w:ascii="Arial Narrow" w:hAnsi="Arial Narrow" w:cs="Arial"/>
                <w:sz w:val="20"/>
                <w:lang w:val="es-ES"/>
              </w:rPr>
              <w:t xml:space="preserve"> </w:t>
            </w:r>
            <w:r w:rsidR="00333A4B" w:rsidRPr="00333A4B">
              <w:rPr>
                <w:rFonts w:ascii="Arial Narrow" w:hAnsi="Arial Narrow" w:cs="Arial"/>
                <w:sz w:val="20"/>
                <w:lang w:val="es-ES"/>
              </w:rPr>
              <w:t>en MVA ampliados</w:t>
            </w:r>
          </w:p>
        </w:tc>
        <w:tc>
          <w:tcPr>
            <w:tcW w:w="1890" w:type="dxa"/>
            <w:gridSpan w:val="2"/>
            <w:tcBorders>
              <w:top w:val="single" w:sz="8" w:space="0" w:color="4F81BD" w:themeColor="accent1"/>
            </w:tcBorders>
            <w:shd w:val="clear" w:color="auto" w:fill="FFFFFF" w:themeFill="background1"/>
            <w:vAlign w:val="center"/>
          </w:tcPr>
          <w:p w14:paraId="3452911D" w14:textId="2E162DF5" w:rsidR="00333A4B" w:rsidRPr="00333A4B" w:rsidRDefault="00E53BF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w:t>
            </w:r>
            <w:r w:rsidRPr="00333A4B">
              <w:rPr>
                <w:rFonts w:ascii="Arial Narrow" w:hAnsi="Arial Narrow" w:cs="Arial"/>
                <w:sz w:val="20"/>
                <w:lang w:val="es-ES"/>
              </w:rPr>
              <w:t>l</w:t>
            </w:r>
          </w:p>
        </w:tc>
        <w:tc>
          <w:tcPr>
            <w:tcW w:w="3060" w:type="dxa"/>
            <w:tcBorders>
              <w:top w:val="single" w:sz="8" w:space="0" w:color="4F81BD" w:themeColor="accent1"/>
            </w:tcBorders>
            <w:shd w:val="clear" w:color="auto" w:fill="FFFFFF" w:themeFill="background1"/>
            <w:vAlign w:val="center"/>
          </w:tcPr>
          <w:p w14:paraId="5E95C36D" w14:textId="17F8CC18"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Reporte de </w:t>
            </w:r>
            <w:r w:rsidR="00E53BF0">
              <w:rPr>
                <w:rFonts w:ascii="Arial Narrow" w:hAnsi="Arial Narrow" w:cs="Arial"/>
                <w:sz w:val="20"/>
                <w:lang w:val="es-ES"/>
              </w:rPr>
              <w:t xml:space="preserve">avance de obra y de </w:t>
            </w:r>
            <w:r w:rsidRPr="00333A4B">
              <w:rPr>
                <w:rFonts w:ascii="Arial Narrow" w:hAnsi="Arial Narrow" w:cs="Arial"/>
                <w:sz w:val="20"/>
                <w:lang w:val="es-ES"/>
              </w:rPr>
              <w:t>entrada en operación de la subestación eléctrica</w:t>
            </w:r>
            <w:r w:rsidR="00E53BF0">
              <w:rPr>
                <w:rFonts w:ascii="Arial Narrow" w:hAnsi="Arial Narrow" w:cs="Arial"/>
                <w:sz w:val="20"/>
                <w:lang w:val="es-ES"/>
              </w:rPr>
              <w:t>/</w:t>
            </w:r>
          </w:p>
        </w:tc>
      </w:tr>
      <w:tr w:rsidR="00333A4B" w:rsidRPr="00E15779" w14:paraId="6597DF02" w14:textId="77777777" w:rsidTr="00EE27AC">
        <w:trPr>
          <w:trHeight w:val="475"/>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1B728609" w14:textId="761D3893" w:rsidR="00333A4B" w:rsidRPr="00333A4B" w:rsidRDefault="003A7A72" w:rsidP="00333A4B">
            <w:pPr>
              <w:rPr>
                <w:rFonts w:ascii="Arial Narrow" w:hAnsi="Arial Narrow" w:cs="Arial"/>
                <w:sz w:val="20"/>
                <w:lang w:val="es-ES"/>
              </w:rPr>
            </w:pPr>
            <w:r>
              <w:rPr>
                <w:rFonts w:ascii="Arial Narrow" w:hAnsi="Arial Narrow" w:cs="Arial"/>
                <w:sz w:val="20"/>
                <w:lang w:val="es-ES"/>
              </w:rPr>
              <w:t>Nuevos kilómetros de l</w:t>
            </w:r>
            <w:r w:rsidR="00333A4B" w:rsidRPr="00333A4B">
              <w:rPr>
                <w:rFonts w:ascii="Arial Narrow" w:hAnsi="Arial Narrow" w:cs="Arial"/>
                <w:sz w:val="20"/>
                <w:lang w:val="es-ES"/>
              </w:rPr>
              <w:t xml:space="preserve">íneas de distribución </w:t>
            </w:r>
            <w:r>
              <w:rPr>
                <w:rFonts w:ascii="Arial Narrow" w:hAnsi="Arial Narrow" w:cs="Arial"/>
                <w:sz w:val="20"/>
                <w:lang w:val="es-ES"/>
              </w:rPr>
              <w:t>instalados</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138CBCD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Kilómetros de líneas de distribución</w:t>
            </w:r>
          </w:p>
        </w:tc>
        <w:tc>
          <w:tcPr>
            <w:tcW w:w="1890" w:type="dxa"/>
            <w:gridSpan w:val="2"/>
            <w:tcBorders>
              <w:top w:val="single" w:sz="8" w:space="0" w:color="4F81BD" w:themeColor="accent1"/>
            </w:tcBorders>
            <w:shd w:val="clear" w:color="auto" w:fill="FFFFFF" w:themeFill="background1"/>
            <w:vAlign w:val="center"/>
          </w:tcPr>
          <w:p w14:paraId="19357F71" w14:textId="5A10496D" w:rsidR="00333A4B" w:rsidRPr="00333A4B" w:rsidRDefault="00E53BF0"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tcBorders>
            <w:shd w:val="clear" w:color="auto" w:fill="FFFFFF" w:themeFill="background1"/>
            <w:vAlign w:val="center"/>
          </w:tcPr>
          <w:p w14:paraId="3466C4C7" w14:textId="51E20E9F"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Reporte de </w:t>
            </w:r>
            <w:r w:rsidR="00E53BF0">
              <w:rPr>
                <w:rFonts w:ascii="Arial Narrow" w:hAnsi="Arial Narrow" w:cs="Arial"/>
                <w:sz w:val="20"/>
                <w:lang w:val="es-ES"/>
              </w:rPr>
              <w:t xml:space="preserve">avance de obra y de </w:t>
            </w:r>
            <w:r w:rsidRPr="00333A4B">
              <w:rPr>
                <w:rFonts w:ascii="Arial Narrow" w:hAnsi="Arial Narrow" w:cs="Arial"/>
                <w:sz w:val="20"/>
                <w:lang w:val="es-ES"/>
              </w:rPr>
              <w:t>entrada en operación de la</w:t>
            </w:r>
            <w:r w:rsidR="001F4BA3">
              <w:rPr>
                <w:rFonts w:ascii="Arial Narrow" w:hAnsi="Arial Narrow" w:cs="Arial"/>
                <w:sz w:val="20"/>
                <w:lang w:val="es-ES"/>
              </w:rPr>
              <w:t>s</w:t>
            </w:r>
            <w:r w:rsidRPr="00333A4B">
              <w:rPr>
                <w:rFonts w:ascii="Arial Narrow" w:hAnsi="Arial Narrow" w:cs="Arial"/>
                <w:sz w:val="20"/>
                <w:lang w:val="es-ES"/>
              </w:rPr>
              <w:t xml:space="preserve"> líneas de distribución</w:t>
            </w:r>
          </w:p>
        </w:tc>
      </w:tr>
      <w:tr w:rsidR="00333A4B" w:rsidRPr="00E15779" w14:paraId="2EAD80E3" w14:textId="77777777" w:rsidTr="00EE27AC">
        <w:trPr>
          <w:cnfStyle w:val="000000100000" w:firstRow="0" w:lastRow="0" w:firstColumn="0" w:lastColumn="0" w:oddVBand="0" w:evenVBand="0" w:oddHBand="1" w:evenHBand="0" w:firstRowFirstColumn="0" w:firstRowLastColumn="0" w:lastRowFirstColumn="0" w:lastRowLastColumn="0"/>
          <w:trHeight w:val="3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0E532BF7" w14:textId="11FADF81" w:rsidR="00333A4B" w:rsidRPr="00333A4B" w:rsidRDefault="00333A4B" w:rsidP="00333A4B">
            <w:pPr>
              <w:rPr>
                <w:rFonts w:ascii="Arial Narrow" w:hAnsi="Arial Narrow" w:cs="Arial"/>
                <w:sz w:val="20"/>
                <w:lang w:val="es-ES"/>
              </w:rPr>
            </w:pPr>
            <w:r w:rsidRPr="00333A4B">
              <w:rPr>
                <w:rFonts w:ascii="Arial Narrow" w:hAnsi="Arial Narrow" w:cs="Arial"/>
                <w:sz w:val="20"/>
                <w:lang w:val="es-ES"/>
              </w:rPr>
              <w:t xml:space="preserve">Equipos </w:t>
            </w:r>
            <w:r w:rsidR="003A7A72">
              <w:rPr>
                <w:rFonts w:ascii="Arial Narrow" w:hAnsi="Arial Narrow" w:cs="Arial"/>
                <w:sz w:val="20"/>
                <w:lang w:val="es-ES"/>
              </w:rPr>
              <w:t xml:space="preserve">para renovación y sustitución </w:t>
            </w:r>
            <w:r w:rsidRPr="00333A4B">
              <w:rPr>
                <w:rFonts w:ascii="Arial Narrow" w:hAnsi="Arial Narrow" w:cs="Arial"/>
                <w:sz w:val="20"/>
                <w:lang w:val="es-ES"/>
              </w:rPr>
              <w:t xml:space="preserve">subestaciones eléctricas </w:t>
            </w:r>
            <w:r w:rsidR="003A7A72">
              <w:rPr>
                <w:rFonts w:ascii="Arial Narrow" w:hAnsi="Arial Narrow" w:cs="Arial"/>
                <w:sz w:val="20"/>
                <w:lang w:val="es-ES"/>
              </w:rPr>
              <w:t>instalados</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27CA6D36"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Número de equipos renovados y sustituidos </w:t>
            </w:r>
          </w:p>
        </w:tc>
        <w:tc>
          <w:tcPr>
            <w:tcW w:w="1890" w:type="dxa"/>
            <w:gridSpan w:val="2"/>
            <w:tcBorders>
              <w:top w:val="single" w:sz="8" w:space="0" w:color="4F81BD" w:themeColor="accent1"/>
            </w:tcBorders>
            <w:shd w:val="clear" w:color="auto" w:fill="FFFFFF" w:themeFill="background1"/>
            <w:vAlign w:val="center"/>
          </w:tcPr>
          <w:p w14:paraId="1BCC793A" w14:textId="605D044B" w:rsidR="00333A4B" w:rsidRPr="00333A4B" w:rsidRDefault="00E53BF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tcBorders>
            <w:shd w:val="clear" w:color="auto" w:fill="FFFFFF" w:themeFill="background1"/>
            <w:vAlign w:val="center"/>
          </w:tcPr>
          <w:p w14:paraId="0E5359ED" w14:textId="205511DC"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Reporte de </w:t>
            </w:r>
            <w:r w:rsidR="00E53BF0">
              <w:rPr>
                <w:rFonts w:ascii="Arial Narrow" w:hAnsi="Arial Narrow" w:cs="Arial"/>
                <w:sz w:val="20"/>
                <w:lang w:val="es-ES"/>
              </w:rPr>
              <w:t xml:space="preserve">avance de obra y de </w:t>
            </w:r>
            <w:r w:rsidRPr="00333A4B">
              <w:rPr>
                <w:rFonts w:ascii="Arial Narrow" w:hAnsi="Arial Narrow" w:cs="Arial"/>
                <w:sz w:val="20"/>
                <w:lang w:val="es-ES"/>
              </w:rPr>
              <w:t>entrada en operación de la subestación eléctrica</w:t>
            </w:r>
          </w:p>
        </w:tc>
      </w:tr>
      <w:tr w:rsidR="00333A4B" w:rsidRPr="00E15779" w14:paraId="2AA4EC5A" w14:textId="77777777" w:rsidTr="00EE27AC">
        <w:trPr>
          <w:trHeight w:val="385"/>
        </w:trPr>
        <w:tc>
          <w:tcPr>
            <w:cnfStyle w:val="001000000000" w:firstRow="0" w:lastRow="0" w:firstColumn="1" w:lastColumn="0" w:oddVBand="0" w:evenVBand="0" w:oddHBand="0" w:evenHBand="0" w:firstRowFirstColumn="0" w:firstRowLastColumn="0" w:lastRowFirstColumn="0" w:lastRowLastColumn="0"/>
            <w:tcW w:w="9468" w:type="dxa"/>
            <w:gridSpan w:val="6"/>
            <w:tcBorders>
              <w:top w:val="single" w:sz="8" w:space="0" w:color="4F81BD" w:themeColor="accent1"/>
              <w:bottom w:val="single" w:sz="8" w:space="0" w:color="4F81BD" w:themeColor="accent1"/>
            </w:tcBorders>
            <w:shd w:val="clear" w:color="auto" w:fill="C6D9F1" w:themeFill="text2" w:themeFillTint="33"/>
            <w:vAlign w:val="center"/>
          </w:tcPr>
          <w:p w14:paraId="51364940" w14:textId="77777777" w:rsidR="00333A4B" w:rsidRPr="00333A4B" w:rsidRDefault="00333A4B" w:rsidP="00333A4B">
            <w:pPr>
              <w:rPr>
                <w:rFonts w:ascii="Arial Narrow" w:hAnsi="Arial Narrow" w:cs="Arial"/>
                <w:sz w:val="20"/>
                <w:lang w:val="es-ES"/>
              </w:rPr>
            </w:pPr>
            <w:r w:rsidRPr="00333A4B">
              <w:rPr>
                <w:rFonts w:ascii="Arial Narrow" w:hAnsi="Arial Narrow" w:cs="Arial"/>
                <w:color w:val="17365D" w:themeColor="text2" w:themeShade="BF"/>
                <w:sz w:val="20"/>
                <w:lang w:val="es-ES"/>
              </w:rPr>
              <w:t>Componente #2- Ampliación y Modernización del Sistema de Distribución de Media y Baja Tensión</w:t>
            </w:r>
          </w:p>
        </w:tc>
      </w:tr>
      <w:tr w:rsidR="00333A4B" w:rsidRPr="00E53BF0" w14:paraId="5380B276" w14:textId="77777777" w:rsidTr="00EE27AC">
        <w:trPr>
          <w:cnfStyle w:val="000000100000" w:firstRow="0" w:lastRow="0" w:firstColumn="0" w:lastColumn="0" w:oddVBand="0" w:evenVBand="0" w:oddHBand="1" w:evenHBand="0" w:firstRowFirstColumn="0" w:firstRowLastColumn="0" w:lastRowFirstColumn="0" w:lastRowLastColumn="0"/>
          <w:trHeight w:val="412"/>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140BF2D8" w14:textId="6B7AA66E" w:rsidR="00333A4B" w:rsidRPr="00333A4B" w:rsidRDefault="003A7A72" w:rsidP="00333A4B">
            <w:pPr>
              <w:rPr>
                <w:rFonts w:ascii="Arial Narrow" w:hAnsi="Arial Narrow" w:cs="Arial"/>
                <w:sz w:val="20"/>
                <w:lang w:val="es-ES"/>
              </w:rPr>
            </w:pPr>
            <w:r>
              <w:rPr>
                <w:rFonts w:ascii="Arial Narrow" w:hAnsi="Arial Narrow" w:cs="Arial"/>
                <w:sz w:val="20"/>
                <w:lang w:val="es-ES"/>
              </w:rPr>
              <w:t>Potencia</w:t>
            </w:r>
            <w:r w:rsidRPr="00333A4B">
              <w:rPr>
                <w:rFonts w:ascii="Arial Narrow" w:hAnsi="Arial Narrow" w:cs="Arial"/>
                <w:sz w:val="20"/>
                <w:lang w:val="es-ES"/>
              </w:rPr>
              <w:t xml:space="preserve"> </w:t>
            </w:r>
            <w:r w:rsidR="00333A4B" w:rsidRPr="00333A4B">
              <w:rPr>
                <w:rFonts w:ascii="Arial Narrow" w:hAnsi="Arial Narrow" w:cs="Arial"/>
                <w:sz w:val="20"/>
                <w:lang w:val="es-ES"/>
              </w:rPr>
              <w:t>de transformación en la red de distribución de media tensión ampliada</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296FFA26" w14:textId="5B4FCD75" w:rsidR="00333A4B" w:rsidRPr="00333A4B" w:rsidRDefault="003A7A72"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Potencia</w:t>
            </w:r>
            <w:r w:rsidRPr="00333A4B">
              <w:rPr>
                <w:rFonts w:ascii="Arial Narrow" w:hAnsi="Arial Narrow" w:cs="Arial"/>
                <w:sz w:val="20"/>
                <w:lang w:val="es-ES"/>
              </w:rPr>
              <w:t xml:space="preserve"> </w:t>
            </w:r>
            <w:r w:rsidR="00333A4B" w:rsidRPr="00333A4B">
              <w:rPr>
                <w:rFonts w:ascii="Arial Narrow" w:hAnsi="Arial Narrow" w:cs="Arial"/>
                <w:sz w:val="20"/>
                <w:lang w:val="es-ES"/>
              </w:rPr>
              <w:t>en MVA ampliados</w:t>
            </w:r>
          </w:p>
        </w:tc>
        <w:tc>
          <w:tcPr>
            <w:tcW w:w="1890" w:type="dxa"/>
            <w:gridSpan w:val="2"/>
            <w:tcBorders>
              <w:top w:val="single" w:sz="8" w:space="0" w:color="4F81BD" w:themeColor="accent1"/>
            </w:tcBorders>
            <w:shd w:val="clear" w:color="auto" w:fill="FFFFFF" w:themeFill="background1"/>
            <w:vAlign w:val="center"/>
          </w:tcPr>
          <w:p w14:paraId="47DC47B1" w14:textId="0B2E5CEA" w:rsidR="00333A4B" w:rsidRPr="00333A4B" w:rsidRDefault="00E53BF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tcBorders>
            <w:shd w:val="clear" w:color="auto" w:fill="FFFFFF" w:themeFill="background1"/>
            <w:vAlign w:val="center"/>
          </w:tcPr>
          <w:p w14:paraId="68B71A81" w14:textId="0CAF313C"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pt-BR"/>
              </w:rPr>
            </w:pPr>
            <w:r w:rsidRPr="00333A4B">
              <w:rPr>
                <w:rFonts w:ascii="Arial Narrow" w:hAnsi="Arial Narrow" w:cs="Arial"/>
                <w:sz w:val="20"/>
                <w:lang w:val="pt-BR"/>
              </w:rPr>
              <w:t xml:space="preserve">Reporte </w:t>
            </w:r>
            <w:r w:rsidR="00E53BF0">
              <w:rPr>
                <w:rFonts w:ascii="Arial Narrow" w:hAnsi="Arial Narrow" w:cs="Arial"/>
                <w:sz w:val="20"/>
                <w:lang w:val="pt-BR"/>
              </w:rPr>
              <w:t xml:space="preserve">de avance de obra </w:t>
            </w:r>
            <w:r w:rsidRPr="00333A4B">
              <w:rPr>
                <w:rFonts w:ascii="Arial Narrow" w:hAnsi="Arial Narrow" w:cs="Arial"/>
                <w:sz w:val="20"/>
                <w:lang w:val="pt-BR"/>
              </w:rPr>
              <w:t>de Celesc-D</w:t>
            </w:r>
          </w:p>
        </w:tc>
      </w:tr>
      <w:tr w:rsidR="00E53BF0" w:rsidRPr="00E53BF0" w14:paraId="1678DC79" w14:textId="77777777" w:rsidTr="00EE27AC">
        <w:trPr>
          <w:trHeight w:val="3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0B4B2C6A" w14:textId="66C5D20B" w:rsidR="00E53BF0" w:rsidRPr="00333A4B" w:rsidRDefault="00E53BF0" w:rsidP="00E53BF0">
            <w:pPr>
              <w:rPr>
                <w:rFonts w:ascii="Arial Narrow" w:hAnsi="Arial Narrow" w:cs="Arial"/>
                <w:sz w:val="20"/>
                <w:lang w:val="es-ES"/>
              </w:rPr>
            </w:pPr>
            <w:r>
              <w:rPr>
                <w:rFonts w:ascii="Arial Narrow" w:hAnsi="Arial Narrow" w:cs="Arial"/>
                <w:sz w:val="20"/>
                <w:lang w:val="es-ES"/>
              </w:rPr>
              <w:t>Nuevos a</w:t>
            </w:r>
            <w:r w:rsidR="00D36735">
              <w:rPr>
                <w:rFonts w:ascii="Arial Narrow" w:hAnsi="Arial Narrow" w:cs="Arial"/>
                <w:sz w:val="20"/>
                <w:lang w:val="es-ES"/>
              </w:rPr>
              <w:t>limentadores instalados</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5DF3A64A" w14:textId="77777777"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Número de alimentadores</w:t>
            </w:r>
          </w:p>
        </w:tc>
        <w:tc>
          <w:tcPr>
            <w:tcW w:w="1890" w:type="dxa"/>
            <w:gridSpan w:val="2"/>
            <w:tcBorders>
              <w:top w:val="single" w:sz="8" w:space="0" w:color="4F81BD" w:themeColor="accent1"/>
            </w:tcBorders>
            <w:shd w:val="clear" w:color="auto" w:fill="FFFFFF" w:themeFill="background1"/>
            <w:vAlign w:val="center"/>
          </w:tcPr>
          <w:p w14:paraId="673F3F2B" w14:textId="09714D25"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tcBorders>
            <w:shd w:val="clear" w:color="auto" w:fill="FFFFFF" w:themeFill="background1"/>
            <w:vAlign w:val="center"/>
          </w:tcPr>
          <w:p w14:paraId="0067501B" w14:textId="5AA9300C"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pt-BR"/>
              </w:rPr>
            </w:pPr>
            <w:r w:rsidRPr="00333A4B">
              <w:rPr>
                <w:rFonts w:ascii="Arial Narrow" w:hAnsi="Arial Narrow" w:cs="Arial"/>
                <w:sz w:val="20"/>
                <w:lang w:val="pt-BR"/>
              </w:rPr>
              <w:t xml:space="preserve">Reporte </w:t>
            </w:r>
            <w:r>
              <w:rPr>
                <w:rFonts w:ascii="Arial Narrow" w:hAnsi="Arial Narrow" w:cs="Arial"/>
                <w:sz w:val="20"/>
                <w:lang w:val="pt-BR"/>
              </w:rPr>
              <w:t xml:space="preserve">de avance de obra </w:t>
            </w:r>
            <w:r w:rsidRPr="00333A4B">
              <w:rPr>
                <w:rFonts w:ascii="Arial Narrow" w:hAnsi="Arial Narrow" w:cs="Arial"/>
                <w:sz w:val="20"/>
                <w:lang w:val="pt-BR"/>
              </w:rPr>
              <w:t>de Celesc-D</w:t>
            </w:r>
          </w:p>
        </w:tc>
      </w:tr>
      <w:tr w:rsidR="00E53BF0" w:rsidRPr="00E53BF0" w14:paraId="0A54247A" w14:textId="77777777" w:rsidTr="00EE27AC">
        <w:trPr>
          <w:cnfStyle w:val="000000100000" w:firstRow="0" w:lastRow="0" w:firstColumn="0" w:lastColumn="0" w:oddVBand="0" w:evenVBand="0" w:oddHBand="1" w:evenHBand="0" w:firstRowFirstColumn="0" w:firstRowLastColumn="0" w:lastRowFirstColumn="0" w:lastRowLastColumn="0"/>
          <w:trHeight w:val="3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35AEDE6F" w14:textId="076D84DF" w:rsidR="00E53BF0" w:rsidRPr="00333A4B" w:rsidRDefault="00E53BF0" w:rsidP="00E53BF0">
            <w:pPr>
              <w:rPr>
                <w:rFonts w:ascii="Arial Narrow" w:hAnsi="Arial Narrow" w:cs="Arial"/>
                <w:sz w:val="20"/>
                <w:lang w:val="es-ES"/>
              </w:rPr>
            </w:pPr>
            <w:r>
              <w:rPr>
                <w:rFonts w:ascii="Arial Narrow" w:hAnsi="Arial Narrow" w:cs="Arial"/>
                <w:sz w:val="20"/>
                <w:lang w:val="es-ES"/>
              </w:rPr>
              <w:lastRenderedPageBreak/>
              <w:t>Kilómetros de r</w:t>
            </w:r>
            <w:r w:rsidRPr="00333A4B">
              <w:rPr>
                <w:rFonts w:ascii="Arial Narrow" w:hAnsi="Arial Narrow" w:cs="Arial"/>
                <w:sz w:val="20"/>
                <w:lang w:val="es-ES"/>
              </w:rPr>
              <w:t>ed de distribución mejorad</w:t>
            </w:r>
            <w:r>
              <w:rPr>
                <w:rFonts w:ascii="Arial Narrow" w:hAnsi="Arial Narrow" w:cs="Arial"/>
                <w:sz w:val="20"/>
                <w:lang w:val="es-ES"/>
              </w:rPr>
              <w:t>os</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10980D51" w14:textId="77777777"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Kilómetros de red</w:t>
            </w:r>
          </w:p>
        </w:tc>
        <w:tc>
          <w:tcPr>
            <w:tcW w:w="1890" w:type="dxa"/>
            <w:gridSpan w:val="2"/>
            <w:tcBorders>
              <w:top w:val="single" w:sz="8" w:space="0" w:color="4F81BD" w:themeColor="accent1"/>
            </w:tcBorders>
            <w:shd w:val="clear" w:color="auto" w:fill="FFFFFF" w:themeFill="background1"/>
            <w:vAlign w:val="center"/>
          </w:tcPr>
          <w:p w14:paraId="3443A2EF" w14:textId="0F8F05E7"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tcBorders>
            <w:shd w:val="clear" w:color="auto" w:fill="FFFFFF" w:themeFill="background1"/>
            <w:vAlign w:val="center"/>
          </w:tcPr>
          <w:p w14:paraId="21CE81BE" w14:textId="7CE22CCE"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pt-BR"/>
              </w:rPr>
            </w:pPr>
            <w:r w:rsidRPr="00333A4B">
              <w:rPr>
                <w:rFonts w:ascii="Arial Narrow" w:hAnsi="Arial Narrow" w:cs="Arial"/>
                <w:sz w:val="20"/>
                <w:lang w:val="pt-BR"/>
              </w:rPr>
              <w:t xml:space="preserve">Reporte </w:t>
            </w:r>
            <w:r>
              <w:rPr>
                <w:rFonts w:ascii="Arial Narrow" w:hAnsi="Arial Narrow" w:cs="Arial"/>
                <w:sz w:val="20"/>
                <w:lang w:val="pt-BR"/>
              </w:rPr>
              <w:t xml:space="preserve">de avance de obra </w:t>
            </w:r>
            <w:r w:rsidRPr="00333A4B">
              <w:rPr>
                <w:rFonts w:ascii="Arial Narrow" w:hAnsi="Arial Narrow" w:cs="Arial"/>
                <w:sz w:val="20"/>
                <w:lang w:val="pt-BR"/>
              </w:rPr>
              <w:t>de Celesc-D</w:t>
            </w:r>
          </w:p>
        </w:tc>
      </w:tr>
      <w:tr w:rsidR="00E53BF0" w:rsidRPr="00E53BF0" w14:paraId="68F0D6D2" w14:textId="77777777" w:rsidTr="00EE27AC">
        <w:trPr>
          <w:trHeight w:val="3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5908169D" w14:textId="77777777" w:rsidR="00E53BF0" w:rsidRPr="00333A4B" w:rsidRDefault="00E53BF0" w:rsidP="00E53BF0">
            <w:pPr>
              <w:rPr>
                <w:rFonts w:ascii="Arial Narrow" w:hAnsi="Arial Narrow" w:cs="Arial"/>
                <w:sz w:val="20"/>
                <w:lang w:val="es-ES"/>
              </w:rPr>
            </w:pPr>
            <w:r w:rsidRPr="00333A4B">
              <w:rPr>
                <w:rFonts w:ascii="Arial Narrow" w:hAnsi="Arial Narrow" w:cs="Arial"/>
                <w:sz w:val="20"/>
                <w:lang w:val="es-ES"/>
              </w:rPr>
              <w:t>Medidores de electricidad instalados</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26586B04" w14:textId="77777777"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Número de medidores</w:t>
            </w:r>
          </w:p>
        </w:tc>
        <w:tc>
          <w:tcPr>
            <w:tcW w:w="1890" w:type="dxa"/>
            <w:gridSpan w:val="2"/>
            <w:tcBorders>
              <w:top w:val="single" w:sz="8" w:space="0" w:color="4F81BD" w:themeColor="accent1"/>
            </w:tcBorders>
            <w:shd w:val="clear" w:color="auto" w:fill="FFFFFF" w:themeFill="background1"/>
            <w:vAlign w:val="center"/>
          </w:tcPr>
          <w:p w14:paraId="290E3419" w14:textId="0BDDDC64"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tcBorders>
            <w:shd w:val="clear" w:color="auto" w:fill="FFFFFF" w:themeFill="background1"/>
            <w:vAlign w:val="center"/>
          </w:tcPr>
          <w:p w14:paraId="20F16D0A" w14:textId="595C9E0D"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pt-BR"/>
              </w:rPr>
            </w:pPr>
            <w:r w:rsidRPr="00333A4B">
              <w:rPr>
                <w:rFonts w:ascii="Arial Narrow" w:hAnsi="Arial Narrow" w:cs="Arial"/>
                <w:sz w:val="20"/>
                <w:lang w:val="pt-BR"/>
              </w:rPr>
              <w:t xml:space="preserve">Reporte </w:t>
            </w:r>
            <w:r>
              <w:rPr>
                <w:rFonts w:ascii="Arial Narrow" w:hAnsi="Arial Narrow" w:cs="Arial"/>
                <w:sz w:val="20"/>
                <w:lang w:val="pt-BR"/>
              </w:rPr>
              <w:t xml:space="preserve">de avance de obra </w:t>
            </w:r>
            <w:r w:rsidRPr="00333A4B">
              <w:rPr>
                <w:rFonts w:ascii="Arial Narrow" w:hAnsi="Arial Narrow" w:cs="Arial"/>
                <w:sz w:val="20"/>
                <w:lang w:val="pt-BR"/>
              </w:rPr>
              <w:t>de Celesc-D</w:t>
            </w:r>
          </w:p>
        </w:tc>
      </w:tr>
      <w:tr w:rsidR="00E53BF0" w:rsidRPr="00E53BF0" w14:paraId="2257BA6C" w14:textId="77777777" w:rsidTr="00EE27AC">
        <w:trPr>
          <w:cnfStyle w:val="000000100000" w:firstRow="0" w:lastRow="0" w:firstColumn="0" w:lastColumn="0" w:oddVBand="0" w:evenVBand="0" w:oddHBand="1" w:evenHBand="0" w:firstRowFirstColumn="0" w:firstRowLastColumn="0" w:lastRowFirstColumn="0" w:lastRowLastColumn="0"/>
          <w:trHeight w:val="3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7A6E2D59" w14:textId="77777777" w:rsidR="00E53BF0" w:rsidRPr="00333A4B" w:rsidRDefault="00E53BF0" w:rsidP="00E53BF0">
            <w:pPr>
              <w:rPr>
                <w:rFonts w:ascii="Arial Narrow" w:hAnsi="Arial Narrow" w:cs="Arial"/>
                <w:sz w:val="20"/>
                <w:lang w:val="es-ES"/>
              </w:rPr>
            </w:pPr>
            <w:r w:rsidRPr="00333A4B">
              <w:rPr>
                <w:rFonts w:ascii="Arial Narrow" w:hAnsi="Arial Narrow" w:cs="Arial"/>
                <w:sz w:val="20"/>
                <w:lang w:val="es-ES"/>
              </w:rPr>
              <w:t>Equipos de distribución reemplazados</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6FCEA138" w14:textId="77777777"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Número de equipos</w:t>
            </w:r>
          </w:p>
        </w:tc>
        <w:tc>
          <w:tcPr>
            <w:tcW w:w="1890" w:type="dxa"/>
            <w:gridSpan w:val="2"/>
            <w:tcBorders>
              <w:top w:val="single" w:sz="8" w:space="0" w:color="4F81BD" w:themeColor="accent1"/>
            </w:tcBorders>
            <w:shd w:val="clear" w:color="auto" w:fill="FFFFFF" w:themeFill="background1"/>
            <w:vAlign w:val="center"/>
          </w:tcPr>
          <w:p w14:paraId="650BE524" w14:textId="51283BA1"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tcBorders>
            <w:shd w:val="clear" w:color="auto" w:fill="FFFFFF" w:themeFill="background1"/>
            <w:vAlign w:val="center"/>
          </w:tcPr>
          <w:p w14:paraId="14628367" w14:textId="0F846057"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pt-BR"/>
              </w:rPr>
            </w:pPr>
            <w:r w:rsidRPr="00333A4B">
              <w:rPr>
                <w:rFonts w:ascii="Arial Narrow" w:hAnsi="Arial Narrow" w:cs="Arial"/>
                <w:sz w:val="20"/>
                <w:lang w:val="pt-BR"/>
              </w:rPr>
              <w:t xml:space="preserve">Reporte </w:t>
            </w:r>
            <w:r>
              <w:rPr>
                <w:rFonts w:ascii="Arial Narrow" w:hAnsi="Arial Narrow" w:cs="Arial"/>
                <w:sz w:val="20"/>
                <w:lang w:val="pt-BR"/>
              </w:rPr>
              <w:t xml:space="preserve">de avance de obra </w:t>
            </w:r>
            <w:r w:rsidRPr="00333A4B">
              <w:rPr>
                <w:rFonts w:ascii="Arial Narrow" w:hAnsi="Arial Narrow" w:cs="Arial"/>
                <w:sz w:val="20"/>
                <w:lang w:val="pt-BR"/>
              </w:rPr>
              <w:t>de Celesc-D</w:t>
            </w:r>
          </w:p>
        </w:tc>
      </w:tr>
      <w:tr w:rsidR="00333A4B" w:rsidRPr="00E53BF0" w14:paraId="3FBB77E9" w14:textId="77777777" w:rsidTr="00EE27AC">
        <w:trPr>
          <w:trHeight w:val="304"/>
        </w:trPr>
        <w:tc>
          <w:tcPr>
            <w:cnfStyle w:val="001000000000" w:firstRow="0" w:lastRow="0" w:firstColumn="1" w:lastColumn="0" w:oddVBand="0" w:evenVBand="0" w:oddHBand="0" w:evenHBand="0" w:firstRowFirstColumn="0" w:firstRowLastColumn="0" w:lastRowFirstColumn="0" w:lastRowLastColumn="0"/>
            <w:tcW w:w="9468" w:type="dxa"/>
            <w:gridSpan w:val="6"/>
            <w:tcBorders>
              <w:top w:val="single" w:sz="8" w:space="0" w:color="4F81BD" w:themeColor="accent1"/>
              <w:bottom w:val="single" w:sz="8" w:space="0" w:color="4F81BD" w:themeColor="accent1"/>
            </w:tcBorders>
            <w:shd w:val="clear" w:color="auto" w:fill="C6D9F1" w:themeFill="text2" w:themeFillTint="33"/>
            <w:vAlign w:val="center"/>
          </w:tcPr>
          <w:p w14:paraId="1A9776F6" w14:textId="64709CB4" w:rsidR="00333A4B" w:rsidRPr="00333A4B" w:rsidRDefault="00333A4B" w:rsidP="00333A4B">
            <w:pPr>
              <w:rPr>
                <w:rFonts w:ascii="Arial Narrow" w:hAnsi="Arial Narrow" w:cs="Arial"/>
                <w:sz w:val="20"/>
                <w:lang w:val="es-ES_tradnl"/>
              </w:rPr>
            </w:pPr>
            <w:r w:rsidRPr="00333A4B">
              <w:rPr>
                <w:rFonts w:ascii="Arial Narrow" w:hAnsi="Arial Narrow" w:cs="Arial"/>
                <w:color w:val="17365D" w:themeColor="text2" w:themeShade="BF"/>
                <w:sz w:val="20"/>
                <w:lang w:val="es-ES_tradnl"/>
              </w:rPr>
              <w:t>Componente #3 – Fortalecimiento institucional</w:t>
            </w:r>
          </w:p>
        </w:tc>
      </w:tr>
      <w:tr w:rsidR="00E53BF0" w:rsidRPr="00E53BF0" w14:paraId="6A6DD2A7" w14:textId="77777777" w:rsidTr="00EE27AC">
        <w:trPr>
          <w:cnfStyle w:val="000000100000" w:firstRow="0" w:lastRow="0" w:firstColumn="0" w:lastColumn="0" w:oddVBand="0" w:evenVBand="0" w:oddHBand="1" w:evenHBand="0" w:firstRowFirstColumn="0" w:firstRowLastColumn="0" w:lastRowFirstColumn="0" w:lastRowLastColumn="0"/>
          <w:trHeight w:val="3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15F3F67F" w14:textId="77777777" w:rsidR="00E53BF0" w:rsidRPr="00333A4B" w:rsidRDefault="00E53BF0" w:rsidP="00E53BF0">
            <w:pPr>
              <w:rPr>
                <w:rFonts w:ascii="Arial Narrow" w:hAnsi="Arial Narrow" w:cs="Arial"/>
                <w:sz w:val="20"/>
                <w:lang w:val="es-ES"/>
              </w:rPr>
            </w:pPr>
            <w:r w:rsidRPr="00333A4B">
              <w:rPr>
                <w:rFonts w:ascii="Arial Narrow" w:hAnsi="Arial Narrow" w:cs="Arial"/>
                <w:sz w:val="20"/>
                <w:lang w:val="es-ES"/>
              </w:rPr>
              <w:t>Sistema de información actualizado</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4B44193D" w14:textId="77777777"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Número de sistemas</w:t>
            </w:r>
          </w:p>
        </w:tc>
        <w:tc>
          <w:tcPr>
            <w:tcW w:w="1890" w:type="dxa"/>
            <w:gridSpan w:val="2"/>
            <w:tcBorders>
              <w:top w:val="single" w:sz="8" w:space="0" w:color="4F81BD" w:themeColor="accent1"/>
              <w:bottom w:val="single" w:sz="8" w:space="0" w:color="4F81BD" w:themeColor="accent1"/>
            </w:tcBorders>
            <w:shd w:val="clear" w:color="auto" w:fill="FFFFFF" w:themeFill="background1"/>
            <w:vAlign w:val="center"/>
          </w:tcPr>
          <w:p w14:paraId="0E890E5B" w14:textId="4F38A0F2"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bottom w:val="single" w:sz="8" w:space="0" w:color="4F81BD" w:themeColor="accent1"/>
            </w:tcBorders>
            <w:shd w:val="clear" w:color="auto" w:fill="FFFFFF" w:themeFill="background1"/>
            <w:vAlign w:val="center"/>
          </w:tcPr>
          <w:p w14:paraId="3AF880B1" w14:textId="2AEA2400"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pt-BR"/>
              </w:rPr>
            </w:pPr>
            <w:r w:rsidRPr="00333A4B">
              <w:rPr>
                <w:rFonts w:ascii="Arial Narrow" w:hAnsi="Arial Narrow" w:cs="Arial"/>
                <w:sz w:val="20"/>
                <w:lang w:val="pt-BR"/>
              </w:rPr>
              <w:t xml:space="preserve">Reporte </w:t>
            </w:r>
            <w:r>
              <w:rPr>
                <w:rFonts w:ascii="Arial Narrow" w:hAnsi="Arial Narrow" w:cs="Arial"/>
                <w:sz w:val="20"/>
                <w:lang w:val="pt-BR"/>
              </w:rPr>
              <w:t xml:space="preserve">de avance de obra </w:t>
            </w:r>
            <w:r w:rsidRPr="00333A4B">
              <w:rPr>
                <w:rFonts w:ascii="Arial Narrow" w:hAnsi="Arial Narrow" w:cs="Arial"/>
                <w:sz w:val="20"/>
                <w:lang w:val="pt-BR"/>
              </w:rPr>
              <w:t>de Celesc-D</w:t>
            </w:r>
          </w:p>
        </w:tc>
      </w:tr>
      <w:tr w:rsidR="00E53BF0" w:rsidRPr="00E53BF0" w14:paraId="2A3FDB2D" w14:textId="77777777" w:rsidTr="00EE27AC">
        <w:trPr>
          <w:trHeight w:val="3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12372E08" w14:textId="676C5D98" w:rsidR="00E53BF0" w:rsidRPr="00333A4B" w:rsidRDefault="00E53BF0" w:rsidP="00E53BF0">
            <w:pPr>
              <w:rPr>
                <w:rFonts w:ascii="Arial Narrow" w:hAnsi="Arial Narrow" w:cs="Arial"/>
                <w:sz w:val="20"/>
                <w:lang w:val="es-ES"/>
              </w:rPr>
            </w:pPr>
            <w:r w:rsidRPr="00333A4B">
              <w:rPr>
                <w:rFonts w:ascii="Arial Narrow" w:hAnsi="Arial Narrow" w:cs="Arial"/>
                <w:sz w:val="20"/>
                <w:lang w:val="es-ES"/>
              </w:rPr>
              <w:t>Equipo de cómputo (desktops) adquiridos</w:t>
            </w:r>
            <w:r>
              <w:rPr>
                <w:rFonts w:ascii="Arial Narrow" w:hAnsi="Arial Narrow" w:cs="Arial"/>
                <w:sz w:val="20"/>
                <w:lang w:val="es-ES"/>
              </w:rPr>
              <w:t xml:space="preserve"> e instalados</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69EDA8D1" w14:textId="77777777"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Número de equipos</w:t>
            </w:r>
          </w:p>
        </w:tc>
        <w:tc>
          <w:tcPr>
            <w:tcW w:w="1890" w:type="dxa"/>
            <w:gridSpan w:val="2"/>
            <w:tcBorders>
              <w:top w:val="single" w:sz="8" w:space="0" w:color="4F81BD" w:themeColor="accent1"/>
              <w:bottom w:val="single" w:sz="8" w:space="0" w:color="4F81BD" w:themeColor="accent1"/>
            </w:tcBorders>
            <w:shd w:val="clear" w:color="auto" w:fill="FFFFFF" w:themeFill="background1"/>
            <w:vAlign w:val="center"/>
          </w:tcPr>
          <w:p w14:paraId="5D7257CE" w14:textId="7373CAFF"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bottom w:val="single" w:sz="8" w:space="0" w:color="4F81BD" w:themeColor="accent1"/>
            </w:tcBorders>
            <w:shd w:val="clear" w:color="auto" w:fill="FFFFFF" w:themeFill="background1"/>
            <w:vAlign w:val="center"/>
          </w:tcPr>
          <w:p w14:paraId="069F59AC" w14:textId="3C3F7EEA"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pt-BR"/>
              </w:rPr>
            </w:pPr>
            <w:r w:rsidRPr="00333A4B">
              <w:rPr>
                <w:rFonts w:ascii="Arial Narrow" w:hAnsi="Arial Narrow" w:cs="Arial"/>
                <w:sz w:val="20"/>
                <w:lang w:val="pt-BR"/>
              </w:rPr>
              <w:t xml:space="preserve">Reporte </w:t>
            </w:r>
            <w:r>
              <w:rPr>
                <w:rFonts w:ascii="Arial Narrow" w:hAnsi="Arial Narrow" w:cs="Arial"/>
                <w:sz w:val="20"/>
                <w:lang w:val="pt-BR"/>
              </w:rPr>
              <w:t>de entrega de Celesc-D</w:t>
            </w:r>
          </w:p>
        </w:tc>
      </w:tr>
      <w:tr w:rsidR="00E53BF0" w:rsidRPr="00E53BF0" w14:paraId="10BBD080" w14:textId="77777777" w:rsidTr="00EE27AC">
        <w:trPr>
          <w:cnfStyle w:val="000000100000" w:firstRow="0" w:lastRow="0" w:firstColumn="0" w:lastColumn="0" w:oddVBand="0" w:evenVBand="0" w:oddHBand="1" w:evenHBand="0" w:firstRowFirstColumn="0" w:firstRowLastColumn="0" w:lastRowFirstColumn="0" w:lastRowLastColumn="0"/>
          <w:trHeight w:val="3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6EC80FF5" w14:textId="5712A10B" w:rsidR="00E53BF0" w:rsidRPr="00333A4B" w:rsidRDefault="00E53BF0" w:rsidP="00E53BF0">
            <w:pPr>
              <w:rPr>
                <w:rFonts w:ascii="Arial Narrow" w:hAnsi="Arial Narrow" w:cs="Arial"/>
                <w:sz w:val="20"/>
                <w:lang w:val="es-ES"/>
              </w:rPr>
            </w:pPr>
            <w:r w:rsidRPr="00333A4B">
              <w:rPr>
                <w:rFonts w:ascii="Arial Narrow" w:hAnsi="Arial Narrow" w:cs="Arial"/>
                <w:sz w:val="20"/>
                <w:lang w:val="es-ES"/>
              </w:rPr>
              <w:t>Equipo de cómputo (Laptop) adquiridos</w:t>
            </w:r>
            <w:r>
              <w:rPr>
                <w:rFonts w:ascii="Arial Narrow" w:hAnsi="Arial Narrow" w:cs="Arial"/>
                <w:sz w:val="20"/>
                <w:lang w:val="es-ES"/>
              </w:rPr>
              <w:t xml:space="preserve"> e instalados</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0C191634" w14:textId="77777777"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Número de equipos</w:t>
            </w:r>
          </w:p>
        </w:tc>
        <w:tc>
          <w:tcPr>
            <w:tcW w:w="1890" w:type="dxa"/>
            <w:gridSpan w:val="2"/>
            <w:tcBorders>
              <w:top w:val="single" w:sz="8" w:space="0" w:color="4F81BD" w:themeColor="accent1"/>
              <w:bottom w:val="single" w:sz="8" w:space="0" w:color="4F81BD" w:themeColor="accent1"/>
            </w:tcBorders>
            <w:shd w:val="clear" w:color="auto" w:fill="FFFFFF" w:themeFill="background1"/>
            <w:vAlign w:val="center"/>
          </w:tcPr>
          <w:p w14:paraId="39758775" w14:textId="47DB0A62"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3060" w:type="dxa"/>
            <w:tcBorders>
              <w:top w:val="single" w:sz="8" w:space="0" w:color="4F81BD" w:themeColor="accent1"/>
              <w:bottom w:val="single" w:sz="8" w:space="0" w:color="4F81BD" w:themeColor="accent1"/>
            </w:tcBorders>
            <w:shd w:val="clear" w:color="auto" w:fill="FFFFFF" w:themeFill="background1"/>
            <w:vAlign w:val="center"/>
          </w:tcPr>
          <w:p w14:paraId="6CDA60AD" w14:textId="392A3389" w:rsidR="00E53BF0" w:rsidRPr="00333A4B" w:rsidRDefault="00E53BF0" w:rsidP="00E53BF0">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pt-BR"/>
              </w:rPr>
            </w:pPr>
            <w:r w:rsidRPr="00333A4B">
              <w:rPr>
                <w:rFonts w:ascii="Arial Narrow" w:hAnsi="Arial Narrow" w:cs="Arial"/>
                <w:sz w:val="20"/>
                <w:lang w:val="pt-BR"/>
              </w:rPr>
              <w:t xml:space="preserve">Reporte </w:t>
            </w:r>
            <w:r>
              <w:rPr>
                <w:rFonts w:ascii="Arial Narrow" w:hAnsi="Arial Narrow" w:cs="Arial"/>
                <w:sz w:val="20"/>
                <w:lang w:val="pt-BR"/>
              </w:rPr>
              <w:t>de entrega de Celesc-</w:t>
            </w:r>
            <w:r w:rsidRPr="00333A4B">
              <w:rPr>
                <w:rFonts w:ascii="Arial Narrow" w:hAnsi="Arial Narrow" w:cs="Arial"/>
                <w:sz w:val="20"/>
                <w:lang w:val="pt-BR"/>
              </w:rPr>
              <w:t>D</w:t>
            </w:r>
          </w:p>
        </w:tc>
      </w:tr>
      <w:tr w:rsidR="00E53BF0" w:rsidRPr="00315EAA" w14:paraId="7AA5331A" w14:textId="77777777" w:rsidTr="00B04630">
        <w:trPr>
          <w:trHeight w:val="30"/>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4F81BD" w:themeColor="accent1"/>
              <w:bottom w:val="single" w:sz="8" w:space="0" w:color="4F81BD" w:themeColor="accent1"/>
            </w:tcBorders>
            <w:shd w:val="clear" w:color="auto" w:fill="FFFFFF" w:themeFill="background1"/>
            <w:vAlign w:val="center"/>
          </w:tcPr>
          <w:p w14:paraId="103A7786" w14:textId="2307D1C2" w:rsidR="00E53BF0" w:rsidRPr="00333A4B" w:rsidRDefault="00E53BF0" w:rsidP="00E53BF0">
            <w:pPr>
              <w:rPr>
                <w:rFonts w:ascii="Arial Narrow" w:hAnsi="Arial Narrow" w:cs="Arial"/>
                <w:sz w:val="20"/>
                <w:lang w:val="es-ES"/>
              </w:rPr>
            </w:pPr>
            <w:r w:rsidRPr="00333A4B">
              <w:rPr>
                <w:rFonts w:ascii="Arial Narrow" w:hAnsi="Arial Narrow" w:cs="Arial"/>
                <w:sz w:val="20"/>
                <w:lang w:val="es-ES"/>
              </w:rPr>
              <w:t xml:space="preserve">Estrategia de género de CELESC diseñada </w:t>
            </w:r>
            <w:r>
              <w:rPr>
                <w:rFonts w:ascii="Arial Narrow" w:hAnsi="Arial Narrow" w:cs="Arial"/>
                <w:sz w:val="20"/>
                <w:lang w:val="es-ES"/>
              </w:rPr>
              <w:t>e implementada</w:t>
            </w:r>
          </w:p>
        </w:tc>
        <w:tc>
          <w:tcPr>
            <w:tcW w:w="0" w:type="dxa"/>
            <w:gridSpan w:val="2"/>
            <w:tcBorders>
              <w:top w:val="single" w:sz="8" w:space="0" w:color="4F81BD" w:themeColor="accent1"/>
              <w:bottom w:val="single" w:sz="8" w:space="0" w:color="4F81BD" w:themeColor="accent1"/>
            </w:tcBorders>
            <w:shd w:val="clear" w:color="auto" w:fill="FFFFFF" w:themeFill="background1"/>
            <w:vAlign w:val="center"/>
          </w:tcPr>
          <w:p w14:paraId="2E080BEC" w14:textId="77777777"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Número de estrategias</w:t>
            </w:r>
          </w:p>
        </w:tc>
        <w:tc>
          <w:tcPr>
            <w:tcW w:w="0" w:type="dxa"/>
            <w:gridSpan w:val="2"/>
            <w:tcBorders>
              <w:top w:val="single" w:sz="8" w:space="0" w:color="4F81BD" w:themeColor="accent1"/>
              <w:bottom w:val="single" w:sz="8" w:space="0" w:color="4F81BD" w:themeColor="accent1"/>
            </w:tcBorders>
            <w:shd w:val="clear" w:color="auto" w:fill="FFFFFF" w:themeFill="background1"/>
            <w:vAlign w:val="center"/>
          </w:tcPr>
          <w:p w14:paraId="05BE3813" w14:textId="7E06C1C9"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Mensual</w:t>
            </w:r>
          </w:p>
        </w:tc>
        <w:tc>
          <w:tcPr>
            <w:tcW w:w="0" w:type="dxa"/>
            <w:tcBorders>
              <w:top w:val="single" w:sz="8" w:space="0" w:color="4F81BD" w:themeColor="accent1"/>
              <w:bottom w:val="single" w:sz="8" w:space="0" w:color="4F81BD" w:themeColor="accent1"/>
            </w:tcBorders>
            <w:shd w:val="clear" w:color="auto" w:fill="FFFFFF" w:themeFill="background1"/>
            <w:vAlign w:val="center"/>
          </w:tcPr>
          <w:p w14:paraId="6D79F47C" w14:textId="0EB326F7" w:rsidR="00E53BF0" w:rsidRPr="00333A4B" w:rsidRDefault="00E53BF0" w:rsidP="00E53BF0">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_tradnl"/>
              </w:rPr>
            </w:pPr>
            <w:r w:rsidRPr="00D36735">
              <w:rPr>
                <w:rFonts w:ascii="Arial Narrow" w:hAnsi="Arial Narrow" w:cs="Arial"/>
                <w:sz w:val="20"/>
                <w:lang w:val="es-ES_tradnl"/>
              </w:rPr>
              <w:t xml:space="preserve">Reporte de avance de la </w:t>
            </w:r>
            <w:proofErr w:type="spellStart"/>
            <w:r w:rsidR="00C04AC1" w:rsidRPr="00D36735">
              <w:rPr>
                <w:rFonts w:ascii="Arial Narrow" w:hAnsi="Arial Narrow" w:cs="Arial"/>
                <w:sz w:val="20"/>
                <w:lang w:val="es-ES_tradnl"/>
              </w:rPr>
              <w:t>consultoria</w:t>
            </w:r>
            <w:proofErr w:type="spellEnd"/>
            <w:r w:rsidRPr="00D36735">
              <w:rPr>
                <w:rFonts w:ascii="Arial Narrow" w:hAnsi="Arial Narrow" w:cs="Arial"/>
                <w:sz w:val="20"/>
                <w:lang w:val="es-ES_tradnl"/>
              </w:rPr>
              <w:t xml:space="preserve"> </w:t>
            </w:r>
          </w:p>
        </w:tc>
      </w:tr>
      <w:tr w:rsidR="003A7A72" w:rsidRPr="003A7A72" w14:paraId="7E5CD549" w14:textId="77777777" w:rsidTr="00EE27AC">
        <w:trPr>
          <w:cnfStyle w:val="000000100000" w:firstRow="0" w:lastRow="0" w:firstColumn="0" w:lastColumn="0" w:oddVBand="0" w:evenVBand="0" w:oddHBand="1" w:evenHBand="0" w:firstRowFirstColumn="0" w:firstRowLastColumn="0" w:lastRowFirstColumn="0" w:lastRowLastColumn="0"/>
          <w:trHeight w:val="30"/>
        </w:trPr>
        <w:tc>
          <w:tcPr>
            <w:cnfStyle w:val="001000000000" w:firstRow="0" w:lastRow="0" w:firstColumn="1" w:lastColumn="0" w:oddVBand="0" w:evenVBand="0" w:oddHBand="0" w:evenHBand="0" w:firstRowFirstColumn="0" w:firstRowLastColumn="0" w:lastRowFirstColumn="0" w:lastRowLastColumn="0"/>
            <w:tcW w:w="2178" w:type="dxa"/>
            <w:tcBorders>
              <w:top w:val="single" w:sz="8" w:space="0" w:color="4F81BD" w:themeColor="accent1"/>
              <w:bottom w:val="single" w:sz="8" w:space="0" w:color="4F81BD" w:themeColor="accent1"/>
            </w:tcBorders>
            <w:shd w:val="clear" w:color="auto" w:fill="FFFFFF" w:themeFill="background1"/>
            <w:vAlign w:val="center"/>
          </w:tcPr>
          <w:p w14:paraId="68813C72" w14:textId="0D829F35" w:rsidR="003A7A72" w:rsidRDefault="003A7A72" w:rsidP="00333A4B">
            <w:pPr>
              <w:rPr>
                <w:rFonts w:ascii="Arial Narrow" w:hAnsi="Arial Narrow" w:cs="Arial"/>
                <w:sz w:val="20"/>
                <w:lang w:val="es-ES"/>
              </w:rPr>
            </w:pPr>
            <w:r>
              <w:rPr>
                <w:rFonts w:ascii="Arial Narrow" w:hAnsi="Arial Narrow" w:cs="Arial"/>
                <w:sz w:val="20"/>
                <w:lang w:val="es-ES"/>
              </w:rPr>
              <w:t>Módulos de capacitación sobre el sector eléctrico desarrollados e implementados en el Programa “Joven Aprendiz”</w:t>
            </w:r>
          </w:p>
        </w:tc>
        <w:tc>
          <w:tcPr>
            <w:tcW w:w="2340" w:type="dxa"/>
            <w:gridSpan w:val="2"/>
            <w:tcBorders>
              <w:top w:val="single" w:sz="8" w:space="0" w:color="4F81BD" w:themeColor="accent1"/>
              <w:bottom w:val="single" w:sz="8" w:space="0" w:color="4F81BD" w:themeColor="accent1"/>
            </w:tcBorders>
            <w:shd w:val="clear" w:color="auto" w:fill="FFFFFF" w:themeFill="background1"/>
            <w:vAlign w:val="center"/>
          </w:tcPr>
          <w:p w14:paraId="40F8DC4C" w14:textId="5C0DE6D6" w:rsidR="003A7A72" w:rsidRPr="00333A4B" w:rsidRDefault="003A7A72"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Número de módulos</w:t>
            </w:r>
          </w:p>
        </w:tc>
        <w:tc>
          <w:tcPr>
            <w:tcW w:w="1890" w:type="dxa"/>
            <w:gridSpan w:val="2"/>
            <w:tcBorders>
              <w:top w:val="single" w:sz="8" w:space="0" w:color="4F81BD" w:themeColor="accent1"/>
            </w:tcBorders>
            <w:shd w:val="clear" w:color="auto" w:fill="FFFFFF" w:themeFill="background1"/>
            <w:vAlign w:val="center"/>
          </w:tcPr>
          <w:p w14:paraId="26282541" w14:textId="703CAB96" w:rsidR="003A7A72" w:rsidRPr="00333A4B" w:rsidRDefault="003A7A72"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Anual</w:t>
            </w:r>
          </w:p>
        </w:tc>
        <w:tc>
          <w:tcPr>
            <w:tcW w:w="3060" w:type="dxa"/>
            <w:tcBorders>
              <w:top w:val="single" w:sz="8" w:space="0" w:color="4F81BD" w:themeColor="accent1"/>
            </w:tcBorders>
            <w:shd w:val="clear" w:color="auto" w:fill="FFFFFF" w:themeFill="background1"/>
            <w:vAlign w:val="center"/>
          </w:tcPr>
          <w:p w14:paraId="6D29F9B0" w14:textId="4501706E" w:rsidR="003A7A72" w:rsidRPr="00333A4B" w:rsidRDefault="003A7A72"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_tradnl"/>
              </w:rPr>
            </w:pPr>
            <w:r>
              <w:rPr>
                <w:rFonts w:ascii="Arial Narrow" w:hAnsi="Arial Narrow" w:cs="Arial"/>
                <w:sz w:val="20"/>
                <w:lang w:val="es-ES_tradnl"/>
              </w:rPr>
              <w:t>Reporte de la capacitación</w:t>
            </w:r>
          </w:p>
        </w:tc>
      </w:tr>
    </w:tbl>
    <w:p w14:paraId="2EA6689A" w14:textId="77777777" w:rsidR="00333A4B" w:rsidRPr="00333A4B" w:rsidRDefault="00333A4B" w:rsidP="00E504B3">
      <w:pPr>
        <w:numPr>
          <w:ilvl w:val="0"/>
          <w:numId w:val="17"/>
        </w:numPr>
        <w:spacing w:before="480"/>
        <w:ind w:left="720" w:hanging="720"/>
        <w:jc w:val="both"/>
        <w:rPr>
          <w:rFonts w:ascii="Arial" w:hAnsi="Arial" w:cs="Arial"/>
          <w:b/>
          <w:smallCaps/>
          <w:lang w:val="es-ES"/>
        </w:rPr>
      </w:pPr>
      <w:r w:rsidRPr="00333A4B">
        <w:rPr>
          <w:rFonts w:ascii="Arial" w:hAnsi="Arial" w:cs="Arial"/>
          <w:b/>
          <w:smallCaps/>
          <w:lang w:val="es-ES"/>
        </w:rPr>
        <w:t>Instrumentos para el Monitoreo de los Indicadores y Recopilación de Datos.</w:t>
      </w:r>
    </w:p>
    <w:p w14:paraId="4107B509"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3.1</w:t>
      </w:r>
      <w:r w:rsidRPr="00333A4B">
        <w:rPr>
          <w:rFonts w:ascii="Arial" w:hAnsi="Arial" w:cs="Arial"/>
          <w:lang w:val="es-ES"/>
        </w:rPr>
        <w:tab/>
        <w:t xml:space="preserve">Los productos serán monitoreados durante toda la ejecución del proyecto, a partir de hitos verificables, teniendo como insumo principal el informe semestral de progreso de la operación, visitas de inspección, e informes adicionales de la UCP. </w:t>
      </w:r>
    </w:p>
    <w:p w14:paraId="5FB8F2FC"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 xml:space="preserve">3.2 </w:t>
      </w:r>
      <w:r w:rsidRPr="00333A4B">
        <w:rPr>
          <w:rFonts w:ascii="Arial" w:hAnsi="Arial" w:cs="Arial"/>
          <w:lang w:val="es-ES"/>
        </w:rPr>
        <w:tab/>
        <w:t xml:space="preserve">El Plan de Monitoreo y Evaluación (PM&amp;E), el cual se traducirá en el Reportes de Monitoreo del Programa (PMR – por sus siglas en inglés), proveerá hitos anuales y seguirá el progreso de los productos con unidades de medida claramente definidas, así como sus costos asociados. </w:t>
      </w:r>
    </w:p>
    <w:p w14:paraId="554E89C8"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3.3</w:t>
      </w:r>
      <w:r w:rsidRPr="00333A4B">
        <w:rPr>
          <w:rFonts w:ascii="Arial" w:hAnsi="Arial" w:cs="Arial"/>
          <w:lang w:val="es-ES"/>
        </w:rPr>
        <w:tab/>
        <w:t>Los indicadores de productos y medios de verificación propuestos, pretenden optimizar el uso de la información que la UCP recolectará por sí, o a través de servicios de consultorías que desarrollará durante la ejecución del programa y aquella que será obtenida directa o indirectamente durante la ejecución de las actividades correspondientes.</w:t>
      </w:r>
    </w:p>
    <w:p w14:paraId="4108AE80"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3.4</w:t>
      </w:r>
      <w:r w:rsidRPr="00333A4B">
        <w:rPr>
          <w:rFonts w:ascii="Arial" w:hAnsi="Arial" w:cs="Arial"/>
          <w:lang w:val="es-ES"/>
        </w:rPr>
        <w:tab/>
        <w:t>Los informes de ejecución semestrales que preparará la UCP, en calidad de coordinador del Programa, y que presentará al Banco en marzo y septiembre de cada año, contendrán un resumen de los informes de avance con respecto a los hitos definidos, productos determinados y actividades inherentes y de los reportes internos de la fiscalización del programa. Asimismo, los informes semestrales deberán presentar una identificación de los principales problemas encontrados durante la ejecución, y las medidas de solución propuestas, incluyendo una actualización de la matriz de riesgo.</w:t>
      </w:r>
    </w:p>
    <w:p w14:paraId="051B2D1C"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lastRenderedPageBreak/>
        <w:t>3.5</w:t>
      </w:r>
      <w:r w:rsidRPr="00333A4B">
        <w:rPr>
          <w:rFonts w:ascii="Arial" w:hAnsi="Arial" w:cs="Arial"/>
          <w:lang w:val="es-ES"/>
        </w:rPr>
        <w:tab/>
        <w:t>El costo de preparación de información para el seguimiento de la operación está incluido en los financiamientos del Banco (a través de los contratos de supervisión externa de obras o fiscalización interna), y del componente de Administración, Supervisión y Monitoreo del Programa.</w:t>
      </w:r>
    </w:p>
    <w:p w14:paraId="7E9E3F05" w14:textId="77777777" w:rsidR="00333A4B" w:rsidRPr="00333A4B" w:rsidRDefault="00333A4B" w:rsidP="00333A4B">
      <w:pPr>
        <w:spacing w:before="120" w:after="120"/>
        <w:jc w:val="both"/>
        <w:rPr>
          <w:rFonts w:ascii="Arial" w:hAnsi="Arial" w:cs="Arial"/>
          <w:lang w:val="es-ES"/>
        </w:rPr>
      </w:pPr>
      <w:r w:rsidRPr="00333A4B">
        <w:rPr>
          <w:rFonts w:ascii="Arial" w:hAnsi="Arial" w:cs="Arial"/>
          <w:lang w:val="es-ES"/>
        </w:rPr>
        <w:t>3.6</w:t>
      </w:r>
      <w:r w:rsidRPr="00333A4B">
        <w:rPr>
          <w:rFonts w:ascii="Arial" w:hAnsi="Arial" w:cs="Arial"/>
          <w:lang w:val="es-ES"/>
        </w:rPr>
        <w:tab/>
        <w:t>Para el seguimiento y monitoreo del Programa se utilizarán los siguientes instrumentos:</w:t>
      </w:r>
    </w:p>
    <w:p w14:paraId="17E49755"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3.7</w:t>
      </w:r>
      <w:r w:rsidRPr="00333A4B">
        <w:rPr>
          <w:rFonts w:ascii="Arial" w:hAnsi="Arial" w:cs="Arial"/>
          <w:lang w:val="es-ES"/>
        </w:rPr>
        <w:tab/>
      </w:r>
      <w:r w:rsidRPr="00333A4B">
        <w:rPr>
          <w:rFonts w:ascii="Arial" w:hAnsi="Arial" w:cs="Arial"/>
          <w:b/>
          <w:lang w:val="es-ES"/>
        </w:rPr>
        <w:t>Informe semestral de progreso.</w:t>
      </w:r>
      <w:r w:rsidRPr="00333A4B">
        <w:rPr>
          <w:rFonts w:ascii="Arial" w:hAnsi="Arial" w:cs="Arial"/>
          <w:lang w:val="es-ES"/>
        </w:rPr>
        <w:t xml:space="preserve"> Este instrumento tiene por finalidad presentar un reporte de la ejecución del Programa, semestralmente, en los meses de marzo y septiembre. El informe semestral a septiembre abarca data de enero a junio, mientras que el reporte a marzo corresponde al periodo de julio a diciembre, incluyendo la planificación para el próximo año.</w:t>
      </w:r>
    </w:p>
    <w:p w14:paraId="378E5CBD"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3.8</w:t>
      </w:r>
      <w:r w:rsidRPr="00333A4B">
        <w:rPr>
          <w:rFonts w:ascii="Arial" w:hAnsi="Arial" w:cs="Arial"/>
          <w:lang w:val="es-ES"/>
        </w:rPr>
        <w:tab/>
        <w:t>Este informe se presenta de acuerdo a un formato acordado entre la Representación del Banco en Brasil y el prestatario, y se compondrá mínimamente de los siguientes segmentos:</w:t>
      </w:r>
    </w:p>
    <w:p w14:paraId="6B8895B9" w14:textId="77777777" w:rsidR="00333A4B" w:rsidRPr="00333A4B" w:rsidRDefault="00333A4B" w:rsidP="00333A4B">
      <w:pPr>
        <w:numPr>
          <w:ilvl w:val="0"/>
          <w:numId w:val="10"/>
        </w:numPr>
        <w:spacing w:before="120" w:after="120"/>
        <w:jc w:val="both"/>
        <w:rPr>
          <w:rFonts w:ascii="Arial" w:hAnsi="Arial" w:cs="Arial"/>
          <w:lang w:val="es-ES"/>
        </w:rPr>
      </w:pPr>
      <w:r w:rsidRPr="00333A4B">
        <w:rPr>
          <w:rFonts w:ascii="Arial" w:hAnsi="Arial" w:cs="Arial"/>
          <w:i/>
          <w:u w:val="single"/>
          <w:lang w:val="es-ES"/>
        </w:rPr>
        <w:t>Resumen Ejecutivo.</w:t>
      </w:r>
      <w:r w:rsidRPr="00333A4B">
        <w:rPr>
          <w:rFonts w:ascii="Arial" w:hAnsi="Arial" w:cs="Arial"/>
          <w:lang w:val="es-ES"/>
        </w:rPr>
        <w:t xml:space="preserve"> Analiza la ejecución física y financiera del Programa, y los contenidos desarrollados en el Reporte de Monitoreo del período correspondiente. Incluye un análisis de los fondos desembolsados, el cumplimiento de las recomendaciones de auditoría externa, temas generales, lecciones aprendidas y los próximos pasos a seguir.</w:t>
      </w:r>
    </w:p>
    <w:p w14:paraId="71E4DCF4" w14:textId="77777777" w:rsidR="00333A4B" w:rsidRPr="00333A4B" w:rsidRDefault="00333A4B" w:rsidP="00333A4B">
      <w:pPr>
        <w:numPr>
          <w:ilvl w:val="0"/>
          <w:numId w:val="10"/>
        </w:numPr>
        <w:spacing w:before="120" w:after="120"/>
        <w:jc w:val="both"/>
        <w:rPr>
          <w:rFonts w:ascii="Arial" w:hAnsi="Arial" w:cs="Arial"/>
          <w:lang w:val="es-ES"/>
        </w:rPr>
      </w:pPr>
      <w:r w:rsidRPr="00333A4B">
        <w:rPr>
          <w:rFonts w:ascii="Arial" w:hAnsi="Arial" w:cs="Arial"/>
          <w:i/>
          <w:u w:val="single"/>
          <w:lang w:val="es-ES"/>
        </w:rPr>
        <w:t>Reporte de Monitoreo.</w:t>
      </w:r>
      <w:r w:rsidRPr="00333A4B">
        <w:rPr>
          <w:rFonts w:ascii="Arial" w:hAnsi="Arial" w:cs="Arial"/>
          <w:lang w:val="es-ES"/>
        </w:rPr>
        <w:t xml:space="preserve"> Provee la información general y de detalle de la operación. Analiza la programación desarrollada vs. la planificada en referencia a los impactos y resultados del proyecto. Analiza el avance y logro de los productos e hitos definidos en la Matriz de Resultados, tanto física como financieramente.</w:t>
      </w:r>
    </w:p>
    <w:p w14:paraId="73FD7B7E" w14:textId="77777777" w:rsidR="00333A4B" w:rsidRPr="00333A4B" w:rsidRDefault="00333A4B" w:rsidP="00333A4B">
      <w:pPr>
        <w:numPr>
          <w:ilvl w:val="0"/>
          <w:numId w:val="10"/>
        </w:numPr>
        <w:spacing w:before="120" w:after="120"/>
        <w:jc w:val="both"/>
        <w:rPr>
          <w:rFonts w:ascii="Arial" w:hAnsi="Arial" w:cs="Arial"/>
          <w:lang w:val="es-ES"/>
        </w:rPr>
      </w:pPr>
      <w:r w:rsidRPr="00333A4B">
        <w:rPr>
          <w:rFonts w:ascii="Arial" w:hAnsi="Arial" w:cs="Arial"/>
          <w:i/>
          <w:u w:val="single"/>
          <w:lang w:val="es-ES"/>
        </w:rPr>
        <w:t>PEP y POA</w:t>
      </w:r>
      <w:r w:rsidRPr="00333A4B">
        <w:rPr>
          <w:rFonts w:ascii="Arial" w:hAnsi="Arial" w:cs="Arial"/>
          <w:lang w:val="es-ES"/>
        </w:rPr>
        <w:t>. El PEP y el POA consolidan todas las actividades que serán desarrolladas durante determinado período de ejecución, por producto y cuenta con un cronograma físico financiero. La UCP presentará anualmente, el POA y el PEP, incluyendo las actividades, cronogramas y presupuesto estimado para los proyectos propuestos a financiar con el Programa. El POA y PEP finales del primer año serán incluidos en el informe inicial de la operación. El POA y el PEP incluirán, como mínimo, la siguiente información: i) estado de ejecución del Programa, discriminado por componentes; ii) el plan de adquisiciones de obras, bienes y servicios, así como el plan de adquisiciones de servicios de consultoría incluyendo presupuesto y proyecciones de desembolsos; iii) avance en el cumplimiento de las metas y resultados del Programa; iv) avance en el cumplimiento de los indicadores de producto para cada componente del Programa, de acuerdo a la Matriz de Resultados del Programa y el cronograma de su implementación; v) problemas presentados; y vi) soluciones implementadas.</w:t>
      </w:r>
    </w:p>
    <w:p w14:paraId="5E777E8B" w14:textId="77777777" w:rsidR="00333A4B" w:rsidRPr="00333A4B" w:rsidRDefault="00333A4B" w:rsidP="00333A4B">
      <w:pPr>
        <w:numPr>
          <w:ilvl w:val="0"/>
          <w:numId w:val="10"/>
        </w:numPr>
        <w:spacing w:before="120" w:after="120"/>
        <w:jc w:val="both"/>
        <w:rPr>
          <w:rFonts w:ascii="Arial" w:hAnsi="Arial" w:cs="Arial"/>
          <w:lang w:val="es-ES"/>
        </w:rPr>
      </w:pPr>
      <w:r w:rsidRPr="00333A4B">
        <w:rPr>
          <w:rFonts w:ascii="Arial" w:hAnsi="Arial" w:cs="Arial"/>
          <w:i/>
          <w:u w:val="single"/>
          <w:lang w:val="es-ES"/>
        </w:rPr>
        <w:t>Plan de Adquisiciones (PA).</w:t>
      </w:r>
      <w:r w:rsidRPr="00333A4B">
        <w:rPr>
          <w:rFonts w:ascii="Arial" w:hAnsi="Arial" w:cs="Arial"/>
          <w:lang w:val="es-ES"/>
        </w:rPr>
        <w:t xml:space="preserve"> Este instrumento tiene por finalidad presentar al Banco y hacer público el detalle de todas las adquisiciones y contrataciones que serán efectuadas en un determinado periodo de ejecución del Programa. El PA informa sobre las adquisiciones y contratos que se ejecutaran de conformidad con las “Políticas para Adquisiciones de bienes y obras financiadas por el Banco” (GN-2349-</w:t>
      </w:r>
      <w:r w:rsidRPr="00333A4B">
        <w:rPr>
          <w:rFonts w:ascii="Arial" w:hAnsi="Arial" w:cs="Arial"/>
          <w:lang w:val="es-ES"/>
        </w:rPr>
        <w:lastRenderedPageBreak/>
        <w:t>9) y las “Políticas para la Selección y contratación de consultorías financiadas por el Banco” (GN-2350-9) de conformidad con lo establecido en el Contrato de Préstamo. El PA debe ser incluido en el Sistema de Ejecución de Planes de Adquisiciones (SEPA), para consideración del Banco, y debe ser actualizado anualmente o cuando sea necesario.</w:t>
      </w:r>
    </w:p>
    <w:p w14:paraId="293E7862" w14:textId="77777777" w:rsidR="00333A4B" w:rsidRPr="00333A4B" w:rsidRDefault="00333A4B" w:rsidP="00333A4B">
      <w:pPr>
        <w:numPr>
          <w:ilvl w:val="0"/>
          <w:numId w:val="10"/>
        </w:numPr>
        <w:spacing w:before="120" w:after="120"/>
        <w:jc w:val="both"/>
        <w:rPr>
          <w:rFonts w:ascii="Arial" w:hAnsi="Arial" w:cs="Arial"/>
          <w:lang w:val="es-ES"/>
        </w:rPr>
      </w:pPr>
      <w:r w:rsidRPr="00333A4B">
        <w:rPr>
          <w:rFonts w:ascii="Arial" w:hAnsi="Arial" w:cs="Arial"/>
          <w:i/>
          <w:u w:val="single"/>
          <w:lang w:val="es-ES"/>
        </w:rPr>
        <w:t>Matriz de Riesgos.</w:t>
      </w:r>
      <w:r w:rsidRPr="00333A4B">
        <w:rPr>
          <w:rFonts w:ascii="Arial" w:hAnsi="Arial" w:cs="Arial"/>
          <w:lang w:val="es-ES"/>
        </w:rPr>
        <w:t xml:space="preserve"> Incluye una actualización de la matriz de riesgos, y de las medidas de mitigación propuestas para los riesgos de nivel medio o alto.</w:t>
      </w:r>
    </w:p>
    <w:p w14:paraId="5C9D11EE"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3.9</w:t>
      </w:r>
      <w:r w:rsidRPr="00333A4B">
        <w:rPr>
          <w:rFonts w:ascii="Arial" w:hAnsi="Arial" w:cs="Arial"/>
          <w:lang w:val="es-ES"/>
        </w:rPr>
        <w:tab/>
        <w:t xml:space="preserve">En cuanto al monitoreo del Programa, los principales medios de verificación corresponden a documentos administrativos y contractuales, siendo los siguientes: i) Actas de Recepción Provisorias de las Obras, ii) Actas de Recepción Finales, iii) Informes Finales de Servicios de Consultoría, iv) Contratos de Servicios de Consultoría; v) Contratos de Compras de Bienes, vi) Clausula contractuales; vii) Informes Finales de Auditoria y viii) Informes de Evaluación. Asimismo, el Banco, a través del Equipo de Proyecto, como parte del Plan de Supervisión Anual, realizará: </w:t>
      </w:r>
    </w:p>
    <w:p w14:paraId="10C5B87F"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3.10</w:t>
      </w:r>
      <w:r w:rsidRPr="00333A4B">
        <w:rPr>
          <w:rFonts w:ascii="Arial" w:hAnsi="Arial" w:cs="Arial"/>
          <w:b/>
          <w:lang w:val="es-ES"/>
        </w:rPr>
        <w:tab/>
        <w:t>Visitas de Inspección</w:t>
      </w:r>
      <w:r w:rsidRPr="00333A4B">
        <w:rPr>
          <w:rFonts w:ascii="Arial" w:hAnsi="Arial" w:cs="Arial"/>
          <w:lang w:val="es-ES"/>
        </w:rPr>
        <w:t xml:space="preserve">, en promedio dos por año, con la finalidad de monitorear las actividades del Programa. También podrá apoyarse de Misiones de Administración anuales con el objetivo de analizar los avances del Programa y tratar temas específicos identificados. Finalmente, durante la ejecución del Programa la UCP presentará anualmente al Banco, los estados financieros del Programa para la realización de la </w:t>
      </w:r>
      <w:r w:rsidRPr="00333A4B">
        <w:rPr>
          <w:rFonts w:ascii="Arial" w:hAnsi="Arial" w:cs="Arial"/>
          <w:b/>
          <w:lang w:val="es-ES"/>
        </w:rPr>
        <w:t>Auditoría Financiera</w:t>
      </w:r>
      <w:r w:rsidRPr="00333A4B">
        <w:rPr>
          <w:rFonts w:ascii="Arial" w:hAnsi="Arial" w:cs="Arial"/>
          <w:lang w:val="es-ES"/>
        </w:rPr>
        <w:t xml:space="preserve"> correspondiente, en los términos establecidos en las Condiciones Generales del Contrato de Préstamo.</w:t>
      </w:r>
    </w:p>
    <w:p w14:paraId="0C439C3C" w14:textId="77777777" w:rsidR="00333A4B" w:rsidRPr="00333A4B" w:rsidRDefault="00333A4B" w:rsidP="00333A4B">
      <w:pPr>
        <w:numPr>
          <w:ilvl w:val="0"/>
          <w:numId w:val="17"/>
        </w:numPr>
        <w:spacing w:before="360" w:after="240"/>
        <w:ind w:left="720"/>
        <w:jc w:val="both"/>
        <w:rPr>
          <w:rFonts w:ascii="Arial" w:hAnsi="Arial" w:cs="Arial"/>
          <w:b/>
          <w:smallCaps/>
          <w:lang w:val="es-ES"/>
        </w:rPr>
      </w:pPr>
      <w:r w:rsidRPr="00333A4B">
        <w:rPr>
          <w:rFonts w:ascii="Arial" w:hAnsi="Arial" w:cs="Arial"/>
          <w:b/>
          <w:smallCaps/>
          <w:lang w:val="es-ES"/>
        </w:rPr>
        <w:t>Coordinación, Plan de Trabajo y Presupuesto de Supervisión.</w:t>
      </w:r>
    </w:p>
    <w:p w14:paraId="18CD50D6" w14:textId="29C53411"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4.1</w:t>
      </w:r>
      <w:r w:rsidRPr="00333A4B">
        <w:rPr>
          <w:rFonts w:ascii="Arial" w:hAnsi="Arial" w:cs="Arial"/>
          <w:lang w:val="es-ES"/>
        </w:rPr>
        <w:tab/>
        <w:t xml:space="preserve">La supervisión consistirá en verificar si las actividades realizadas se ajustan a lo previsto en el </w:t>
      </w:r>
      <w:hyperlink r:id="rId20" w:history="1">
        <w:r w:rsidRPr="00333A4B">
          <w:rPr>
            <w:rFonts w:ascii="Arial" w:hAnsi="Arial" w:cs="Arial"/>
            <w:color w:val="0000FF" w:themeColor="hyperlink"/>
            <w:u w:val="single"/>
            <w:lang w:val="es-ES"/>
          </w:rPr>
          <w:t>POA</w:t>
        </w:r>
      </w:hyperlink>
      <w:r w:rsidRPr="00333A4B">
        <w:rPr>
          <w:rFonts w:ascii="Arial" w:hAnsi="Arial" w:cs="Arial"/>
          <w:lang w:val="es-ES"/>
        </w:rPr>
        <w:t xml:space="preserve"> y </w:t>
      </w:r>
      <w:hyperlink r:id="rId21" w:history="1">
        <w:r w:rsidRPr="00333A4B">
          <w:rPr>
            <w:rFonts w:ascii="Arial" w:hAnsi="Arial" w:cs="Arial"/>
            <w:color w:val="0000FF" w:themeColor="hyperlink"/>
            <w:u w:val="single"/>
            <w:lang w:val="es-ES"/>
          </w:rPr>
          <w:t>PEP</w:t>
        </w:r>
      </w:hyperlink>
      <w:r w:rsidRPr="00333A4B">
        <w:rPr>
          <w:rFonts w:ascii="Arial" w:hAnsi="Arial" w:cs="Arial"/>
          <w:lang w:val="es-ES"/>
        </w:rPr>
        <w:t xml:space="preserve"> de la operación, y si se han cumplido los objetivos específicos de acuerdo a la Matriz de Resultados de la misma. La supervisión se enfocará, entre otras, a constatar los avances físicos y financieros de los productos, y el cumplimiento de las salvaguardas ambientales y sociales, es decir si se produjeron los productos originalmente planeados en los plazos programados, y si se ajustan a los objetivos inicialmente propuestos, con las medidas de mitigación diseñadas e implementadas.</w:t>
      </w:r>
    </w:p>
    <w:p w14:paraId="17A2ED93"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4.2</w:t>
      </w:r>
      <w:r w:rsidRPr="00333A4B">
        <w:rPr>
          <w:rFonts w:ascii="Arial" w:hAnsi="Arial" w:cs="Arial"/>
          <w:lang w:val="es-ES"/>
        </w:rPr>
        <w:tab/>
        <w:t>La UCP presentará, a más tardar el 30 de noviembre de cada año, el POA para el año siguiente incluyendo actividades y proyectos a ser financiados, cronograma y presupuesto estimado.</w:t>
      </w:r>
    </w:p>
    <w:p w14:paraId="6080CCFC"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4.3</w:t>
      </w:r>
      <w:r w:rsidRPr="00333A4B">
        <w:rPr>
          <w:rFonts w:ascii="Arial" w:hAnsi="Arial" w:cs="Arial"/>
          <w:lang w:val="es-ES"/>
        </w:rPr>
        <w:tab/>
        <w:t>El cumplimiento de los productos será verificado en forma directa a partir de las actas de aceptación de los servicios, sean estos bienes, obras o servicios de consultoría o no consultoría. El cumplimiento parcial de los hitos o actividades intermedias para el logro de los productos, serán verificados a través de los informes periódicos de la UCP.</w:t>
      </w:r>
    </w:p>
    <w:p w14:paraId="4844BC4F"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4.4</w:t>
      </w:r>
      <w:r w:rsidRPr="00333A4B">
        <w:rPr>
          <w:rFonts w:ascii="Arial" w:hAnsi="Arial" w:cs="Arial"/>
          <w:lang w:val="es-ES"/>
        </w:rPr>
        <w:tab/>
        <w:t xml:space="preserve">Se realizarán anualmente auditorías externas que se encargarán de los aspectos financieros. La auditoría será desempeñada por una firma independiente y aceptable por el Banco, la cual será seleccionada de acuerdo con políticas y procedimientos del Banco. La determinación del alcance y otros aspectos relacionados se regirá de </w:t>
      </w:r>
      <w:r w:rsidRPr="00333A4B">
        <w:rPr>
          <w:rFonts w:ascii="Arial" w:hAnsi="Arial" w:cs="Arial"/>
          <w:lang w:val="es-ES"/>
        </w:rPr>
        <w:lastRenderedPageBreak/>
        <w:t>conformidad a la Política de Gestión Financiera para Proyectos Financiados por el Banco (OP-273-6) y la Guía de Estados Financieros y Auditoría Externa. Los estados financieros anuales de la operación serán presentados durante los primeros 120 días del año. El costo de las auditorias está incluido en el Préstamo y la contratación de la auditoria del Programa estará a cargo de la UCP.</w:t>
      </w:r>
    </w:p>
    <w:p w14:paraId="0FF8F799" w14:textId="09EA9060"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4.5</w:t>
      </w:r>
      <w:r w:rsidRPr="00333A4B">
        <w:rPr>
          <w:rFonts w:ascii="Arial" w:hAnsi="Arial" w:cs="Arial"/>
          <w:lang w:val="es-ES"/>
        </w:rPr>
        <w:tab/>
        <w:t xml:space="preserve">La UCP verificará el progreso de las actividades del Programa, lo cual realizará las siguientes funciones: (i) compilar la información periódica de avance físico (actividades) y financiero (fondos disponibles e invertidos); y (ii) mantener de forma, actualizada y relevante la información sobre la ejecución de las actividades del programa y sus recursos. La Tabla </w:t>
      </w:r>
      <w:r w:rsidR="001F0957">
        <w:rPr>
          <w:rFonts w:ascii="Arial" w:hAnsi="Arial" w:cs="Arial"/>
          <w:lang w:val="es-ES"/>
        </w:rPr>
        <w:t>4</w:t>
      </w:r>
      <w:r w:rsidRPr="00333A4B">
        <w:rPr>
          <w:rFonts w:ascii="Arial" w:hAnsi="Arial" w:cs="Arial"/>
          <w:lang w:val="es-ES"/>
        </w:rPr>
        <w:t xml:space="preserve"> se presenta en detalle el Plan de Trabajo del monitoreo por actividades y su presupuesto.</w:t>
      </w:r>
    </w:p>
    <w:p w14:paraId="5D3F5457"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4.6</w:t>
      </w:r>
      <w:r w:rsidRPr="00333A4B">
        <w:rPr>
          <w:rFonts w:ascii="Arial" w:hAnsi="Arial" w:cs="Arial"/>
          <w:lang w:val="es-ES"/>
        </w:rPr>
        <w:tab/>
        <w:t>El Especialista de Sectorial del Banco a cargo del Programa y la UCP trabajarán coordinadamente para asegurar y verificar la ejecución del cronograma del Programa. La supervisión del Programa se realizará de forma continua a partir de la elegibilidad de la operación y hasta la finalización del mismo, pautada para 2022.</w:t>
      </w:r>
    </w:p>
    <w:p w14:paraId="61936A71" w14:textId="06B160A9" w:rsidR="00333A4B" w:rsidRPr="00333A4B" w:rsidRDefault="00333A4B" w:rsidP="00333A4B">
      <w:pPr>
        <w:spacing w:before="240"/>
        <w:jc w:val="center"/>
        <w:rPr>
          <w:rFonts w:ascii="Arial" w:hAnsi="Arial" w:cs="Arial"/>
          <w:b/>
          <w:color w:val="1F497D" w:themeColor="text2"/>
          <w:lang w:val="es-ES"/>
        </w:rPr>
      </w:pPr>
      <w:r w:rsidRPr="00333A4B">
        <w:rPr>
          <w:rFonts w:ascii="Arial" w:hAnsi="Arial" w:cs="Arial"/>
          <w:b/>
          <w:color w:val="1F497D" w:themeColor="text2"/>
          <w:lang w:val="es-ES"/>
        </w:rPr>
        <w:t xml:space="preserve">Tabla </w:t>
      </w:r>
      <w:r w:rsidR="001F0957">
        <w:rPr>
          <w:rFonts w:ascii="Arial" w:hAnsi="Arial" w:cs="Arial"/>
          <w:b/>
          <w:color w:val="1F497D" w:themeColor="text2"/>
          <w:lang w:val="es-ES"/>
        </w:rPr>
        <w:t>4</w:t>
      </w:r>
      <w:r w:rsidRPr="00333A4B">
        <w:rPr>
          <w:rFonts w:ascii="Arial" w:hAnsi="Arial" w:cs="Arial"/>
          <w:b/>
          <w:color w:val="1F497D" w:themeColor="text2"/>
          <w:lang w:val="es-ES"/>
        </w:rPr>
        <w:t>. Plan de trabajo y Presupuesto del monitoreo.</w:t>
      </w:r>
    </w:p>
    <w:tbl>
      <w:tblPr>
        <w:tblStyle w:val="LightShading-Accent11"/>
        <w:tblW w:w="9900" w:type="dxa"/>
        <w:tblInd w:w="-342" w:type="dxa"/>
        <w:tblLook w:val="04A0" w:firstRow="1" w:lastRow="0" w:firstColumn="1" w:lastColumn="0" w:noHBand="0" w:noVBand="1"/>
      </w:tblPr>
      <w:tblGrid>
        <w:gridCol w:w="1389"/>
        <w:gridCol w:w="339"/>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1258"/>
        <w:gridCol w:w="1119"/>
      </w:tblGrid>
      <w:tr w:rsidR="00333A4B" w:rsidRPr="00333A4B" w14:paraId="2BFCAB69" w14:textId="77777777" w:rsidTr="00EE27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val="restart"/>
            <w:tcBorders>
              <w:right w:val="single" w:sz="8" w:space="0" w:color="4F81BD" w:themeColor="accent1"/>
            </w:tcBorders>
            <w:shd w:val="clear" w:color="auto" w:fill="1F497D" w:themeFill="text2"/>
            <w:vAlign w:val="center"/>
          </w:tcPr>
          <w:p w14:paraId="6F674CE9" w14:textId="77777777" w:rsidR="00333A4B" w:rsidRPr="00333A4B" w:rsidRDefault="00333A4B" w:rsidP="00333A4B">
            <w:pPr>
              <w:jc w:val="center"/>
              <w:rPr>
                <w:rFonts w:ascii="Arial Narrow" w:hAnsi="Arial Narrow" w:cs="Arial"/>
                <w:color w:val="FFFFFF" w:themeColor="background1"/>
                <w:sz w:val="20"/>
                <w:szCs w:val="20"/>
                <w:lang w:val="es-ES"/>
              </w:rPr>
            </w:pPr>
            <w:r w:rsidRPr="00333A4B">
              <w:rPr>
                <w:rFonts w:ascii="Arial Narrow" w:hAnsi="Arial Narrow" w:cs="Arial"/>
                <w:color w:val="FFFFFF" w:themeColor="background1"/>
                <w:sz w:val="20"/>
                <w:szCs w:val="20"/>
                <w:lang w:val="es-ES"/>
              </w:rPr>
              <w:t>Principales actividades de monitoreo</w:t>
            </w:r>
          </w:p>
        </w:tc>
        <w:tc>
          <w:tcPr>
            <w:tcW w:w="1254" w:type="dxa"/>
            <w:gridSpan w:val="4"/>
            <w:tcBorders>
              <w:left w:val="single" w:sz="8" w:space="0" w:color="4F81BD" w:themeColor="accent1"/>
              <w:right w:val="single" w:sz="8" w:space="0" w:color="4F81BD" w:themeColor="accent1"/>
            </w:tcBorders>
            <w:shd w:val="clear" w:color="auto" w:fill="1F497D" w:themeFill="text2"/>
            <w:vAlign w:val="center"/>
          </w:tcPr>
          <w:p w14:paraId="68FE7B02"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333A4B">
              <w:rPr>
                <w:rFonts w:ascii="Arial Narrow" w:hAnsi="Arial Narrow" w:cs="Arial"/>
                <w:color w:val="FFFFFF" w:themeColor="background1"/>
                <w:sz w:val="20"/>
                <w:szCs w:val="20"/>
                <w:lang w:val="es-ES"/>
              </w:rPr>
              <w:t>Año 1</w:t>
            </w:r>
          </w:p>
        </w:tc>
        <w:tc>
          <w:tcPr>
            <w:tcW w:w="1220" w:type="dxa"/>
            <w:gridSpan w:val="4"/>
            <w:tcBorders>
              <w:left w:val="single" w:sz="8" w:space="0" w:color="4F81BD" w:themeColor="accent1"/>
              <w:right w:val="single" w:sz="8" w:space="0" w:color="4F81BD" w:themeColor="accent1"/>
            </w:tcBorders>
            <w:shd w:val="clear" w:color="auto" w:fill="1F497D" w:themeFill="text2"/>
            <w:vAlign w:val="center"/>
          </w:tcPr>
          <w:p w14:paraId="05C1D904"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333A4B">
              <w:rPr>
                <w:rFonts w:ascii="Arial Narrow" w:hAnsi="Arial Narrow" w:cs="Arial"/>
                <w:color w:val="FFFFFF" w:themeColor="background1"/>
                <w:sz w:val="20"/>
                <w:szCs w:val="20"/>
                <w:lang w:val="es-ES"/>
              </w:rPr>
              <w:t>Año 2</w:t>
            </w:r>
          </w:p>
        </w:tc>
        <w:tc>
          <w:tcPr>
            <w:tcW w:w="1220" w:type="dxa"/>
            <w:gridSpan w:val="4"/>
            <w:tcBorders>
              <w:left w:val="single" w:sz="8" w:space="0" w:color="4F81BD" w:themeColor="accent1"/>
              <w:right w:val="single" w:sz="8" w:space="0" w:color="4F81BD" w:themeColor="accent1"/>
            </w:tcBorders>
            <w:shd w:val="clear" w:color="auto" w:fill="1F497D" w:themeFill="text2"/>
            <w:vAlign w:val="center"/>
          </w:tcPr>
          <w:p w14:paraId="78AF2765"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333A4B">
              <w:rPr>
                <w:rFonts w:ascii="Arial Narrow" w:hAnsi="Arial Narrow" w:cs="Arial"/>
                <w:color w:val="FFFFFF" w:themeColor="background1"/>
                <w:sz w:val="20"/>
                <w:szCs w:val="20"/>
                <w:lang w:val="es-ES"/>
              </w:rPr>
              <w:t>Año 3</w:t>
            </w:r>
          </w:p>
        </w:tc>
        <w:tc>
          <w:tcPr>
            <w:tcW w:w="1220" w:type="dxa"/>
            <w:gridSpan w:val="4"/>
            <w:tcBorders>
              <w:left w:val="single" w:sz="8" w:space="0" w:color="4F81BD" w:themeColor="accent1"/>
              <w:right w:val="single" w:sz="8" w:space="0" w:color="4F81BD" w:themeColor="accent1"/>
            </w:tcBorders>
            <w:shd w:val="clear" w:color="auto" w:fill="1F497D" w:themeFill="text2"/>
            <w:vAlign w:val="center"/>
          </w:tcPr>
          <w:p w14:paraId="72874FB0"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333A4B">
              <w:rPr>
                <w:rFonts w:ascii="Arial Narrow" w:hAnsi="Arial Narrow" w:cs="Arial"/>
                <w:color w:val="FFFFFF" w:themeColor="background1"/>
                <w:sz w:val="20"/>
                <w:szCs w:val="20"/>
                <w:lang w:val="es-ES"/>
              </w:rPr>
              <w:t>Año 4</w:t>
            </w:r>
          </w:p>
        </w:tc>
        <w:tc>
          <w:tcPr>
            <w:tcW w:w="1220" w:type="dxa"/>
            <w:gridSpan w:val="4"/>
            <w:tcBorders>
              <w:left w:val="single" w:sz="8" w:space="0" w:color="4F81BD" w:themeColor="accent1"/>
              <w:right w:val="single" w:sz="8" w:space="0" w:color="4F81BD" w:themeColor="accent1"/>
            </w:tcBorders>
            <w:shd w:val="clear" w:color="auto" w:fill="1F497D" w:themeFill="text2"/>
            <w:vAlign w:val="center"/>
          </w:tcPr>
          <w:p w14:paraId="4C0918D5"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333A4B">
              <w:rPr>
                <w:rFonts w:ascii="Arial Narrow" w:hAnsi="Arial Narrow" w:cs="Arial"/>
                <w:color w:val="FFFFFF" w:themeColor="background1"/>
                <w:sz w:val="20"/>
                <w:szCs w:val="20"/>
                <w:lang w:val="es-ES"/>
              </w:rPr>
              <w:t>Año 5</w:t>
            </w:r>
          </w:p>
        </w:tc>
        <w:tc>
          <w:tcPr>
            <w:tcW w:w="1258" w:type="dxa"/>
            <w:vMerge w:val="restart"/>
            <w:tcBorders>
              <w:left w:val="single" w:sz="8" w:space="0" w:color="4F81BD" w:themeColor="accent1"/>
              <w:right w:val="single" w:sz="8" w:space="0" w:color="4F81BD" w:themeColor="accent1"/>
            </w:tcBorders>
            <w:shd w:val="clear" w:color="auto" w:fill="1F497D" w:themeFill="text2"/>
            <w:vAlign w:val="center"/>
          </w:tcPr>
          <w:p w14:paraId="140A9400"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333A4B">
              <w:rPr>
                <w:rFonts w:ascii="Arial Narrow" w:hAnsi="Arial Narrow" w:cs="Arial"/>
                <w:color w:val="FFFFFF" w:themeColor="background1"/>
                <w:sz w:val="20"/>
                <w:szCs w:val="20"/>
                <w:lang w:val="es-ES"/>
              </w:rPr>
              <w:t>Responsable</w:t>
            </w:r>
          </w:p>
        </w:tc>
        <w:tc>
          <w:tcPr>
            <w:tcW w:w="1119" w:type="dxa"/>
            <w:vMerge w:val="restart"/>
            <w:tcBorders>
              <w:left w:val="single" w:sz="8" w:space="0" w:color="4F81BD" w:themeColor="accent1"/>
            </w:tcBorders>
            <w:shd w:val="clear" w:color="auto" w:fill="1F497D" w:themeFill="text2"/>
            <w:vAlign w:val="center"/>
          </w:tcPr>
          <w:p w14:paraId="74DC77B3"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333A4B">
              <w:rPr>
                <w:rFonts w:ascii="Arial Narrow" w:hAnsi="Arial Narrow" w:cs="Arial"/>
                <w:color w:val="FFFFFF" w:themeColor="background1"/>
                <w:sz w:val="20"/>
                <w:szCs w:val="20"/>
                <w:lang w:val="es-ES"/>
              </w:rPr>
              <w:t>Costo</w:t>
            </w:r>
          </w:p>
          <w:p w14:paraId="48E8F49B"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FFFFFF" w:themeColor="background1"/>
                <w:sz w:val="20"/>
                <w:szCs w:val="20"/>
                <w:lang w:val="es-ES"/>
              </w:rPr>
            </w:pPr>
            <w:r w:rsidRPr="00333A4B">
              <w:rPr>
                <w:rFonts w:ascii="Arial Narrow" w:hAnsi="Arial Narrow" w:cs="Arial"/>
                <w:color w:val="FFFFFF" w:themeColor="background1"/>
                <w:sz w:val="20"/>
                <w:szCs w:val="20"/>
                <w:lang w:val="es-ES"/>
              </w:rPr>
              <w:t>(US$)</w:t>
            </w:r>
          </w:p>
        </w:tc>
      </w:tr>
      <w:tr w:rsidR="00E15779" w:rsidRPr="00333A4B" w14:paraId="72E6F3F8" w14:textId="77777777" w:rsidTr="00EE27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vMerge/>
            <w:tcBorders>
              <w:bottom w:val="single" w:sz="8" w:space="0" w:color="4F81BD" w:themeColor="accent1"/>
              <w:right w:val="single" w:sz="8" w:space="0" w:color="4F81BD" w:themeColor="accent1"/>
            </w:tcBorders>
          </w:tcPr>
          <w:p w14:paraId="1748B177" w14:textId="77777777" w:rsidR="00333A4B" w:rsidRPr="00333A4B" w:rsidRDefault="00333A4B" w:rsidP="00333A4B">
            <w:pPr>
              <w:spacing w:before="240"/>
              <w:jc w:val="both"/>
              <w:rPr>
                <w:rFonts w:ascii="Arial" w:hAnsi="Arial" w:cs="Arial"/>
                <w:sz w:val="20"/>
                <w:szCs w:val="20"/>
                <w:lang w:val="es-ES"/>
              </w:rPr>
            </w:pPr>
          </w:p>
        </w:tc>
        <w:tc>
          <w:tcPr>
            <w:tcW w:w="33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ACCDF4C"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1</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09F41E0"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2</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8AEEAFD"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3</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979EA17"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4</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516553E"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1</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4D0D9AE"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2</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B3BBDDB"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3</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DEF45A3"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4</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F4F5834"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1</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1F7A27F"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2</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421D9A5"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3</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1A78447"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4</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28A82DE"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1</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6CB47C8"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2</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F8D81EC"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3</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2BE1266"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4</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0D4C0D3"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1</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CF63C76"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2</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D7A6497"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3</w:t>
            </w: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B71DA16"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FFFFFF" w:themeColor="background1"/>
                <w:sz w:val="16"/>
                <w:szCs w:val="20"/>
                <w:lang w:val="es-ES"/>
              </w:rPr>
            </w:pPr>
            <w:r w:rsidRPr="00333A4B">
              <w:rPr>
                <w:rFonts w:ascii="Arial" w:hAnsi="Arial" w:cs="Arial"/>
                <w:color w:val="FFFFFF" w:themeColor="background1"/>
                <w:sz w:val="16"/>
                <w:szCs w:val="20"/>
                <w:lang w:val="es-ES"/>
              </w:rPr>
              <w:t>4</w:t>
            </w:r>
          </w:p>
        </w:tc>
        <w:tc>
          <w:tcPr>
            <w:tcW w:w="1258" w:type="dxa"/>
            <w:vMerge/>
            <w:tcBorders>
              <w:top w:val="nil"/>
              <w:left w:val="single" w:sz="8" w:space="0" w:color="4F81BD" w:themeColor="accent1"/>
              <w:bottom w:val="single" w:sz="8" w:space="0" w:color="4F81BD" w:themeColor="accent1"/>
              <w:right w:val="single" w:sz="8" w:space="0" w:color="4F81BD" w:themeColor="accent1"/>
            </w:tcBorders>
          </w:tcPr>
          <w:p w14:paraId="79C840AD" w14:textId="77777777" w:rsidR="00333A4B" w:rsidRPr="00333A4B" w:rsidRDefault="00333A4B" w:rsidP="00333A4B">
            <w:pPr>
              <w:spacing w:before="24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1119" w:type="dxa"/>
            <w:vMerge/>
            <w:tcBorders>
              <w:top w:val="nil"/>
              <w:left w:val="single" w:sz="8" w:space="0" w:color="4F81BD" w:themeColor="accent1"/>
              <w:bottom w:val="single" w:sz="8" w:space="0" w:color="4F81BD" w:themeColor="accent1"/>
            </w:tcBorders>
          </w:tcPr>
          <w:p w14:paraId="12662004" w14:textId="77777777" w:rsidR="00333A4B" w:rsidRPr="00333A4B" w:rsidRDefault="00333A4B" w:rsidP="00333A4B">
            <w:pPr>
              <w:spacing w:before="240"/>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r>
      <w:tr w:rsidR="00333A4B" w:rsidRPr="00E15779" w14:paraId="0345B399" w14:textId="77777777" w:rsidTr="00EE27AC">
        <w:tc>
          <w:tcPr>
            <w:cnfStyle w:val="001000000000" w:firstRow="0" w:lastRow="0" w:firstColumn="1" w:lastColumn="0" w:oddVBand="0" w:evenVBand="0" w:oddHBand="0" w:evenHBand="0" w:firstRowFirstColumn="0" w:firstRowLastColumn="0" w:lastRowFirstColumn="0" w:lastRowLastColumn="0"/>
            <w:tcW w:w="1389" w:type="dxa"/>
            <w:tcBorders>
              <w:top w:val="single" w:sz="8" w:space="0" w:color="4F81BD" w:themeColor="accent1"/>
              <w:bottom w:val="single" w:sz="8" w:space="0" w:color="4F81BD" w:themeColor="accent1"/>
              <w:right w:val="single" w:sz="8" w:space="0" w:color="4F81BD" w:themeColor="accent1"/>
            </w:tcBorders>
            <w:vAlign w:val="center"/>
          </w:tcPr>
          <w:p w14:paraId="212A6BFA" w14:textId="77777777" w:rsidR="00333A4B" w:rsidRPr="00333A4B" w:rsidRDefault="00333A4B" w:rsidP="00333A4B">
            <w:pPr>
              <w:rPr>
                <w:rFonts w:ascii="Arial Narrow" w:hAnsi="Arial Narrow" w:cs="Segoe UI"/>
                <w:b w:val="0"/>
                <w:sz w:val="20"/>
                <w:szCs w:val="20"/>
                <w:lang w:val="es-ES"/>
              </w:rPr>
            </w:pPr>
            <w:r w:rsidRPr="00333A4B">
              <w:rPr>
                <w:rFonts w:ascii="Arial Narrow" w:hAnsi="Arial Narrow" w:cs="Segoe UI"/>
                <w:b w:val="0"/>
                <w:sz w:val="20"/>
                <w:szCs w:val="20"/>
                <w:lang w:val="es-ES"/>
              </w:rPr>
              <w:t>Preparación del Plan Operativo Anual</w:t>
            </w:r>
          </w:p>
        </w:tc>
        <w:tc>
          <w:tcPr>
            <w:tcW w:w="33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37D2B76"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3F93F50"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BFE93B1"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6074A68B"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6261A01"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EC08DB4"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C08F71A"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6EFC6993"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46B1107"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A7937A5"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1758A9AF"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3F7251E7"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FBCCEA8"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950BE4D"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19A15D74"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E8AD79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F7CF13B"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473F1B35"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B0391A0"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32F68B01"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125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373F8413"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UCP</w:t>
            </w:r>
          </w:p>
        </w:tc>
        <w:tc>
          <w:tcPr>
            <w:tcW w:w="1119" w:type="dxa"/>
            <w:tcBorders>
              <w:top w:val="single" w:sz="8" w:space="0" w:color="4F81BD" w:themeColor="accent1"/>
              <w:left w:val="single" w:sz="8" w:space="0" w:color="4F81BD" w:themeColor="accent1"/>
              <w:bottom w:val="single" w:sz="8" w:space="0" w:color="4F81BD" w:themeColor="accent1"/>
            </w:tcBorders>
            <w:vAlign w:val="center"/>
          </w:tcPr>
          <w:p w14:paraId="1ABA972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Incluido en el presupuesto del Programa</w:t>
            </w:r>
          </w:p>
        </w:tc>
      </w:tr>
      <w:tr w:rsidR="00E15779" w:rsidRPr="00E15779" w14:paraId="3F0153BA" w14:textId="77777777" w:rsidTr="00EE27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407B4CC" w14:textId="77777777" w:rsidR="00333A4B" w:rsidRPr="00333A4B" w:rsidRDefault="00333A4B" w:rsidP="00333A4B">
            <w:pPr>
              <w:rPr>
                <w:rFonts w:ascii="Arial Narrow" w:hAnsi="Arial Narrow" w:cs="Segoe UI"/>
                <w:b w:val="0"/>
                <w:sz w:val="20"/>
                <w:szCs w:val="20"/>
                <w:lang w:val="es-ES"/>
              </w:rPr>
            </w:pPr>
            <w:r w:rsidRPr="00333A4B">
              <w:rPr>
                <w:rFonts w:ascii="Arial Narrow" w:hAnsi="Arial Narrow" w:cs="Segoe UI"/>
                <w:b w:val="0"/>
                <w:sz w:val="20"/>
                <w:szCs w:val="20"/>
                <w:lang w:val="es-ES"/>
              </w:rPr>
              <w:t>Preparación del Plan de Adquisiciones</w:t>
            </w:r>
          </w:p>
        </w:tc>
        <w:tc>
          <w:tcPr>
            <w:tcW w:w="33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6AFC323"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FDDFC11"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21BF6A8"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5D28D1C"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97C2B3C"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B938240"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4F8A8D7"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27226E9"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04B7436"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9B624F8"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BB50068"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9DD661A"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DA2E8DC"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DCC0BAD"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7E8B7D4"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5E0FA8A"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2F82E4A"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614A287"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0ABE020"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CC1DF40"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125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49E79DD"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UCP</w:t>
            </w:r>
          </w:p>
        </w:tc>
        <w:tc>
          <w:tcPr>
            <w:tcW w:w="1119"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1EB5C989"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Incluido en el presupuesto del Programa</w:t>
            </w:r>
          </w:p>
        </w:tc>
      </w:tr>
      <w:tr w:rsidR="00E15779" w:rsidRPr="00E15779" w14:paraId="7082A372" w14:textId="77777777" w:rsidTr="00EE27AC">
        <w:tc>
          <w:tcPr>
            <w:cnfStyle w:val="001000000000" w:firstRow="0" w:lastRow="0" w:firstColumn="1" w:lastColumn="0" w:oddVBand="0" w:evenVBand="0" w:oddHBand="0" w:evenHBand="0" w:firstRowFirstColumn="0" w:firstRowLastColumn="0" w:lastRowFirstColumn="0" w:lastRowLastColumn="0"/>
            <w:tcW w:w="1389" w:type="dxa"/>
            <w:tcBorders>
              <w:top w:val="single" w:sz="8" w:space="0" w:color="4F81BD" w:themeColor="accent1"/>
              <w:bottom w:val="single" w:sz="8" w:space="0" w:color="4F81BD" w:themeColor="accent1"/>
              <w:right w:val="single" w:sz="8" w:space="0" w:color="4F81BD" w:themeColor="accent1"/>
            </w:tcBorders>
            <w:vAlign w:val="center"/>
          </w:tcPr>
          <w:p w14:paraId="30F5E0EF" w14:textId="77777777" w:rsidR="00333A4B" w:rsidRPr="00333A4B" w:rsidRDefault="00333A4B" w:rsidP="00333A4B">
            <w:pPr>
              <w:rPr>
                <w:rFonts w:ascii="Arial Narrow" w:hAnsi="Arial Narrow" w:cs="Segoe UI"/>
                <w:b w:val="0"/>
                <w:sz w:val="20"/>
                <w:szCs w:val="20"/>
                <w:lang w:val="es-ES"/>
              </w:rPr>
            </w:pPr>
            <w:r w:rsidRPr="00333A4B">
              <w:rPr>
                <w:rFonts w:ascii="Arial Narrow" w:hAnsi="Arial Narrow" w:cs="Segoe UI"/>
                <w:b w:val="0"/>
                <w:sz w:val="20"/>
                <w:szCs w:val="20"/>
                <w:lang w:val="es-ES"/>
              </w:rPr>
              <w:t>Visitas de campo y preparación de Informes de Supervisión del Programa</w:t>
            </w:r>
          </w:p>
        </w:tc>
        <w:tc>
          <w:tcPr>
            <w:tcW w:w="33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3C30CE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CD3298D"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BEDD71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E60A701"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CF3A68E"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A498394"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149B77B"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410C70C"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2B0D745"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53F6FF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DB676BF"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BF66371"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651A8A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5C04798"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C8750C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E32FC3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501E773"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5190617"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C0B55A0"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9E0E0F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125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3228D7D"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UCP</w:t>
            </w:r>
          </w:p>
        </w:tc>
        <w:tc>
          <w:tcPr>
            <w:tcW w:w="1119" w:type="dxa"/>
            <w:tcBorders>
              <w:top w:val="single" w:sz="8" w:space="0" w:color="4F81BD" w:themeColor="accent1"/>
              <w:left w:val="single" w:sz="8" w:space="0" w:color="4F81BD" w:themeColor="accent1"/>
              <w:bottom w:val="single" w:sz="8" w:space="0" w:color="4F81BD" w:themeColor="accent1"/>
            </w:tcBorders>
            <w:vAlign w:val="center"/>
          </w:tcPr>
          <w:p w14:paraId="7F9ACBA0"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Incluido en el presupuesto del Programa</w:t>
            </w:r>
          </w:p>
        </w:tc>
      </w:tr>
      <w:tr w:rsidR="00E15779" w:rsidRPr="00E15779" w14:paraId="419EC07C" w14:textId="77777777" w:rsidTr="00EE27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EC54306" w14:textId="77777777" w:rsidR="00333A4B" w:rsidRPr="00333A4B" w:rsidRDefault="00333A4B" w:rsidP="00333A4B">
            <w:pPr>
              <w:rPr>
                <w:rFonts w:ascii="Arial Narrow" w:hAnsi="Arial Narrow" w:cs="Segoe UI"/>
                <w:b w:val="0"/>
                <w:sz w:val="20"/>
                <w:szCs w:val="20"/>
                <w:lang w:val="es-ES"/>
              </w:rPr>
            </w:pPr>
            <w:r w:rsidRPr="00333A4B">
              <w:rPr>
                <w:rFonts w:ascii="Arial Narrow" w:hAnsi="Arial Narrow" w:cs="Segoe UI"/>
                <w:b w:val="0"/>
                <w:sz w:val="20"/>
                <w:szCs w:val="20"/>
                <w:lang w:val="es-ES"/>
              </w:rPr>
              <w:t>Elaboración y presentación de Informes Semestrales</w:t>
            </w:r>
          </w:p>
        </w:tc>
        <w:tc>
          <w:tcPr>
            <w:tcW w:w="33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0A92BB3"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4FE48CC"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A3B7AA0"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6DC0EA9"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32B4EA0"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F7412D0"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302825F"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2502198"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725AF11"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BB9F9C4"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8AF9ED4"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46D27EC"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AA15AB4"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B21A0A6"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41D0AC5"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9331B2D"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8A697F7"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A20B9EA"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4894863"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1AAB38A"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125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CB68A1A"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UCP</w:t>
            </w:r>
          </w:p>
        </w:tc>
        <w:tc>
          <w:tcPr>
            <w:tcW w:w="1119"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71DCE088"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Incluido en el presupuesto del Programa</w:t>
            </w:r>
          </w:p>
        </w:tc>
      </w:tr>
      <w:tr w:rsidR="00333A4B" w:rsidRPr="00E15779" w14:paraId="40756066" w14:textId="77777777" w:rsidTr="00EE27AC">
        <w:tc>
          <w:tcPr>
            <w:cnfStyle w:val="001000000000" w:firstRow="0" w:lastRow="0" w:firstColumn="1" w:lastColumn="0" w:oddVBand="0" w:evenVBand="0" w:oddHBand="0" w:evenHBand="0" w:firstRowFirstColumn="0" w:firstRowLastColumn="0" w:lastRowFirstColumn="0" w:lastRowLastColumn="0"/>
            <w:tcW w:w="1389" w:type="dxa"/>
            <w:tcBorders>
              <w:top w:val="single" w:sz="8" w:space="0" w:color="4F81BD" w:themeColor="accent1"/>
              <w:bottom w:val="single" w:sz="8" w:space="0" w:color="4F81BD" w:themeColor="accent1"/>
              <w:right w:val="single" w:sz="8" w:space="0" w:color="4F81BD" w:themeColor="accent1"/>
            </w:tcBorders>
            <w:vAlign w:val="center"/>
          </w:tcPr>
          <w:p w14:paraId="024B314A" w14:textId="77777777" w:rsidR="00333A4B" w:rsidRPr="00333A4B" w:rsidRDefault="00333A4B" w:rsidP="00333A4B">
            <w:pPr>
              <w:rPr>
                <w:rFonts w:ascii="Arial Narrow" w:hAnsi="Arial Narrow" w:cs="Segoe UI"/>
                <w:b w:val="0"/>
                <w:sz w:val="20"/>
                <w:szCs w:val="20"/>
                <w:lang w:val="es-ES"/>
              </w:rPr>
            </w:pPr>
            <w:r w:rsidRPr="00333A4B">
              <w:rPr>
                <w:rFonts w:ascii="Arial Narrow" w:hAnsi="Arial Narrow" w:cs="Segoe UI"/>
                <w:b w:val="0"/>
                <w:sz w:val="20"/>
                <w:szCs w:val="20"/>
                <w:lang w:val="es-ES"/>
              </w:rPr>
              <w:t xml:space="preserve">Analizar y No Objeción de </w:t>
            </w:r>
            <w:proofErr w:type="spellStart"/>
            <w:r w:rsidRPr="00333A4B">
              <w:rPr>
                <w:rFonts w:ascii="Arial Narrow" w:hAnsi="Arial Narrow" w:cs="Segoe UI"/>
                <w:b w:val="0"/>
                <w:sz w:val="20"/>
                <w:szCs w:val="20"/>
                <w:lang w:val="es-ES"/>
              </w:rPr>
              <w:t>POAs</w:t>
            </w:r>
            <w:proofErr w:type="spellEnd"/>
            <w:r w:rsidRPr="00333A4B">
              <w:rPr>
                <w:rFonts w:ascii="Arial Narrow" w:hAnsi="Arial Narrow" w:cs="Segoe UI"/>
                <w:b w:val="0"/>
                <w:sz w:val="20"/>
                <w:szCs w:val="20"/>
                <w:lang w:val="es-ES"/>
              </w:rPr>
              <w:t xml:space="preserve"> y </w:t>
            </w:r>
            <w:proofErr w:type="spellStart"/>
            <w:r w:rsidRPr="00333A4B">
              <w:rPr>
                <w:rFonts w:ascii="Arial Narrow" w:hAnsi="Arial Narrow" w:cs="Segoe UI"/>
                <w:b w:val="0"/>
                <w:sz w:val="20"/>
                <w:szCs w:val="20"/>
                <w:lang w:val="es-ES"/>
              </w:rPr>
              <w:t>PAs</w:t>
            </w:r>
            <w:proofErr w:type="spellEnd"/>
          </w:p>
        </w:tc>
        <w:tc>
          <w:tcPr>
            <w:tcW w:w="33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9AE8800"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7A4309B"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0E99B86"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D004F21"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FE86A98"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124E3F9C"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EEAF6D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70CBEFE"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F080026"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30FA7E9C"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14D7E11E"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38E40973"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F4B5A8B"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28DD5134"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4D80EF0A"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665F207B"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A6E045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19A89E60"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4D08185"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E05B171"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125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3B752C1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BID</w:t>
            </w:r>
          </w:p>
        </w:tc>
        <w:tc>
          <w:tcPr>
            <w:tcW w:w="1119" w:type="dxa"/>
            <w:tcBorders>
              <w:top w:val="single" w:sz="8" w:space="0" w:color="4F81BD" w:themeColor="accent1"/>
              <w:left w:val="single" w:sz="8" w:space="0" w:color="4F81BD" w:themeColor="accent1"/>
              <w:bottom w:val="single" w:sz="8" w:space="0" w:color="4F81BD" w:themeColor="accent1"/>
            </w:tcBorders>
            <w:vAlign w:val="center"/>
          </w:tcPr>
          <w:p w14:paraId="1928774C"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Incluido en el presupuesto del Programa</w:t>
            </w:r>
          </w:p>
        </w:tc>
      </w:tr>
      <w:tr w:rsidR="00E15779" w:rsidRPr="00E15779" w14:paraId="22337B64" w14:textId="77777777" w:rsidTr="00EE27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1FFEEF6" w14:textId="77777777" w:rsidR="00333A4B" w:rsidRPr="00333A4B" w:rsidRDefault="00333A4B" w:rsidP="00333A4B">
            <w:pPr>
              <w:rPr>
                <w:rFonts w:ascii="Arial Narrow" w:hAnsi="Arial Narrow" w:cs="Segoe UI"/>
                <w:b w:val="0"/>
                <w:sz w:val="20"/>
                <w:szCs w:val="20"/>
                <w:lang w:val="es-ES"/>
              </w:rPr>
            </w:pPr>
            <w:r w:rsidRPr="00333A4B">
              <w:rPr>
                <w:rFonts w:ascii="Arial Narrow" w:hAnsi="Arial Narrow" w:cs="Segoe UI"/>
                <w:b w:val="0"/>
                <w:sz w:val="20"/>
                <w:szCs w:val="20"/>
                <w:lang w:val="es-ES"/>
              </w:rPr>
              <w:t xml:space="preserve">Reuniones de monitoreo y progreso del </w:t>
            </w:r>
            <w:r w:rsidRPr="00333A4B">
              <w:rPr>
                <w:rFonts w:ascii="Arial Narrow" w:hAnsi="Arial Narrow" w:cs="Segoe UI"/>
                <w:b w:val="0"/>
                <w:sz w:val="20"/>
                <w:szCs w:val="20"/>
                <w:lang w:val="es-ES"/>
              </w:rPr>
              <w:lastRenderedPageBreak/>
              <w:t>Programa</w:t>
            </w:r>
          </w:p>
        </w:tc>
        <w:tc>
          <w:tcPr>
            <w:tcW w:w="33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27F3F45"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6AADCC2"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3E3DC24"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7811D82"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F55C231"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807B3F5"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A8F95E5"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1764E82"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2AE7C50"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AE3CD8C"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05159F3"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BF49885"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18BE69B"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F1A9C4E"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AEB2791"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A59A73E"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C71A686"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F0E5AF1"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4C3978E"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E9A11C7"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125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7A8EE6A"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UCP</w:t>
            </w:r>
          </w:p>
        </w:tc>
        <w:tc>
          <w:tcPr>
            <w:tcW w:w="1119"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16CF1A5F"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 xml:space="preserve">Incluido en el presupuesto </w:t>
            </w:r>
            <w:r w:rsidRPr="00333A4B">
              <w:rPr>
                <w:rFonts w:ascii="Arial Narrow" w:hAnsi="Arial Narrow" w:cs="Arial"/>
                <w:sz w:val="20"/>
                <w:szCs w:val="20"/>
                <w:lang w:val="es-ES"/>
              </w:rPr>
              <w:lastRenderedPageBreak/>
              <w:t>del Programa</w:t>
            </w:r>
          </w:p>
        </w:tc>
      </w:tr>
      <w:tr w:rsidR="00E15779" w:rsidRPr="00E15779" w14:paraId="61BD3B4F" w14:textId="77777777" w:rsidTr="00EE27AC">
        <w:tc>
          <w:tcPr>
            <w:cnfStyle w:val="001000000000" w:firstRow="0" w:lastRow="0" w:firstColumn="1" w:lastColumn="0" w:oddVBand="0" w:evenVBand="0" w:oddHBand="0" w:evenHBand="0" w:firstRowFirstColumn="0" w:firstRowLastColumn="0" w:lastRowFirstColumn="0" w:lastRowLastColumn="0"/>
            <w:tcW w:w="1389" w:type="dxa"/>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C116CBE" w14:textId="77777777" w:rsidR="00333A4B" w:rsidRPr="00333A4B" w:rsidRDefault="00333A4B" w:rsidP="00333A4B">
            <w:pPr>
              <w:rPr>
                <w:rFonts w:ascii="Arial Narrow" w:hAnsi="Arial Narrow" w:cs="Segoe UI"/>
                <w:b w:val="0"/>
                <w:sz w:val="20"/>
                <w:szCs w:val="20"/>
                <w:lang w:val="es-ES"/>
              </w:rPr>
            </w:pPr>
            <w:r w:rsidRPr="00333A4B">
              <w:rPr>
                <w:rFonts w:ascii="Arial Narrow" w:hAnsi="Arial Narrow" w:cs="Segoe UI"/>
                <w:b w:val="0"/>
                <w:sz w:val="20"/>
                <w:szCs w:val="20"/>
                <w:lang w:val="es-ES"/>
              </w:rPr>
              <w:lastRenderedPageBreak/>
              <w:t>Analizar y revisar solicitudes de desembolso</w:t>
            </w:r>
          </w:p>
        </w:tc>
        <w:tc>
          <w:tcPr>
            <w:tcW w:w="33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3857E74"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3510248"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5D14B56"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944118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3609E63"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CA9270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04B73C4"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9A4E478"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5DDA743"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3667CBF"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DCC893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AB82CE3"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69EE59E"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8DBC07A"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173FF9C"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A21BDBD"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B78F318"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A12D98D"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030DD66"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DAA7076"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125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EA959FA"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BID</w:t>
            </w:r>
          </w:p>
        </w:tc>
        <w:tc>
          <w:tcPr>
            <w:tcW w:w="1119"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11ED9015"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Incluido en el presupuesto del Programa</w:t>
            </w:r>
          </w:p>
        </w:tc>
      </w:tr>
      <w:tr w:rsidR="00E15779" w:rsidRPr="00E15779" w14:paraId="7D624508" w14:textId="77777777" w:rsidTr="00EE27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399430E" w14:textId="77777777" w:rsidR="00333A4B" w:rsidRPr="00333A4B" w:rsidRDefault="00333A4B" w:rsidP="00333A4B">
            <w:pPr>
              <w:rPr>
                <w:rFonts w:ascii="Arial Narrow" w:hAnsi="Arial Narrow" w:cs="Segoe UI"/>
                <w:b w:val="0"/>
                <w:sz w:val="20"/>
                <w:szCs w:val="20"/>
                <w:lang w:val="es-ES"/>
              </w:rPr>
            </w:pPr>
            <w:r w:rsidRPr="00333A4B">
              <w:rPr>
                <w:rFonts w:ascii="Arial Narrow" w:hAnsi="Arial Narrow" w:cs="Segoe UI"/>
                <w:b w:val="0"/>
                <w:sz w:val="20"/>
                <w:szCs w:val="20"/>
                <w:lang w:val="es-ES"/>
              </w:rPr>
              <w:t>Analizar y revisar estados financieros auditados</w:t>
            </w:r>
          </w:p>
        </w:tc>
        <w:tc>
          <w:tcPr>
            <w:tcW w:w="33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9AE4582"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DAD4266"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AD92969"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48165944"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C6B616B"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E8505EF"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0418747"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CEF8662"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C034467"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54640559"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C2E10C2"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2E45ABC2"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1DAFDAE"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942CBA3"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628AF45E"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07CDB748"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9FD05AB"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ACF5A04"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FBD570A"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DC12A1F"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125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1679BB1C"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BID</w:t>
            </w:r>
          </w:p>
        </w:tc>
        <w:tc>
          <w:tcPr>
            <w:tcW w:w="1119"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570BDE76"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Incluido en el presupuesto del Programa</w:t>
            </w:r>
          </w:p>
        </w:tc>
      </w:tr>
      <w:tr w:rsidR="00E15779" w:rsidRPr="00E15779" w14:paraId="1BB56204" w14:textId="77777777" w:rsidTr="00EE27AC">
        <w:tc>
          <w:tcPr>
            <w:cnfStyle w:val="001000000000" w:firstRow="0" w:lastRow="0" w:firstColumn="1" w:lastColumn="0" w:oddVBand="0" w:evenVBand="0" w:oddHBand="0" w:evenHBand="0" w:firstRowFirstColumn="0" w:firstRowLastColumn="0" w:lastRowFirstColumn="0" w:lastRowLastColumn="0"/>
            <w:tcW w:w="1389" w:type="dxa"/>
            <w:tcBorders>
              <w:top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3DFF40E3" w14:textId="77777777" w:rsidR="00333A4B" w:rsidRPr="00333A4B" w:rsidRDefault="00333A4B" w:rsidP="00333A4B">
            <w:pPr>
              <w:rPr>
                <w:rFonts w:ascii="Arial Narrow" w:hAnsi="Arial Narrow" w:cs="Segoe UI"/>
                <w:b w:val="0"/>
                <w:sz w:val="20"/>
                <w:szCs w:val="20"/>
                <w:lang w:val="es-ES"/>
              </w:rPr>
            </w:pPr>
            <w:r w:rsidRPr="00333A4B">
              <w:rPr>
                <w:rFonts w:ascii="Arial Narrow" w:hAnsi="Arial Narrow" w:cs="Segoe UI"/>
                <w:b w:val="0"/>
                <w:sz w:val="20"/>
                <w:szCs w:val="20"/>
                <w:lang w:val="es-ES"/>
              </w:rPr>
              <w:t>Visitas de inspección</w:t>
            </w:r>
          </w:p>
        </w:tc>
        <w:tc>
          <w:tcPr>
            <w:tcW w:w="33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4691D6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F99E98F"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EA1F76D"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69E00B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68D55F2"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7272857"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4435C03"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72DA0BA"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C7BDDE8"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76FCDB0E"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D6C96C1"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9E04EE5"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1D3F666F"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4496F7E"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3046ECF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2BFDC8C7"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420C363C"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6989819F"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5B3EAB31"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305"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1F497D" w:themeFill="text2"/>
            <w:vAlign w:val="center"/>
          </w:tcPr>
          <w:p w14:paraId="0E3A6F5D"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c>
          <w:tcPr>
            <w:tcW w:w="1258"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FFFFFF" w:themeFill="background1"/>
            <w:vAlign w:val="center"/>
          </w:tcPr>
          <w:p w14:paraId="72CF003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BID</w:t>
            </w:r>
          </w:p>
        </w:tc>
        <w:tc>
          <w:tcPr>
            <w:tcW w:w="1119" w:type="dxa"/>
            <w:tcBorders>
              <w:top w:val="single" w:sz="8" w:space="0" w:color="4F81BD" w:themeColor="accent1"/>
              <w:left w:val="single" w:sz="8" w:space="0" w:color="4F81BD" w:themeColor="accent1"/>
              <w:bottom w:val="single" w:sz="8" w:space="0" w:color="4F81BD" w:themeColor="accent1"/>
            </w:tcBorders>
            <w:shd w:val="clear" w:color="auto" w:fill="FFFFFF" w:themeFill="background1"/>
            <w:vAlign w:val="center"/>
          </w:tcPr>
          <w:p w14:paraId="0A4888D1"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szCs w:val="20"/>
                <w:lang w:val="es-ES"/>
              </w:rPr>
            </w:pPr>
            <w:r w:rsidRPr="00333A4B">
              <w:rPr>
                <w:rFonts w:ascii="Arial Narrow" w:hAnsi="Arial Narrow" w:cs="Arial"/>
                <w:sz w:val="20"/>
                <w:szCs w:val="20"/>
                <w:lang w:val="es-ES"/>
              </w:rPr>
              <w:t>Incluido en el presupuesto del Programa</w:t>
            </w:r>
          </w:p>
        </w:tc>
      </w:tr>
      <w:tr w:rsidR="00333A4B" w:rsidRPr="00333A4B" w14:paraId="28C637CB" w14:textId="77777777" w:rsidTr="00EE27AC">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8781" w:type="dxa"/>
            <w:gridSpan w:val="22"/>
            <w:tcBorders>
              <w:right w:val="single" w:sz="8" w:space="0" w:color="4F81BD" w:themeColor="accent1"/>
            </w:tcBorders>
            <w:vAlign w:val="center"/>
          </w:tcPr>
          <w:p w14:paraId="187DEDC0" w14:textId="77777777" w:rsidR="00333A4B" w:rsidRPr="00333A4B" w:rsidRDefault="00333A4B" w:rsidP="00333A4B">
            <w:pPr>
              <w:jc w:val="right"/>
              <w:rPr>
                <w:rFonts w:ascii="Arial" w:hAnsi="Arial" w:cs="Arial"/>
                <w:color w:val="17365D" w:themeColor="text2" w:themeShade="BF"/>
                <w:sz w:val="20"/>
                <w:szCs w:val="20"/>
                <w:lang w:val="es-ES"/>
              </w:rPr>
            </w:pPr>
            <w:r w:rsidRPr="00333A4B">
              <w:rPr>
                <w:rFonts w:ascii="Arial" w:hAnsi="Arial" w:cs="Arial"/>
                <w:color w:val="17365D" w:themeColor="text2" w:themeShade="BF"/>
                <w:sz w:val="20"/>
                <w:szCs w:val="20"/>
                <w:lang w:val="es-ES"/>
              </w:rPr>
              <w:t>Costo Total</w:t>
            </w:r>
          </w:p>
        </w:tc>
        <w:tc>
          <w:tcPr>
            <w:tcW w:w="1119" w:type="dxa"/>
            <w:tcBorders>
              <w:top w:val="single" w:sz="8" w:space="0" w:color="4F81BD" w:themeColor="accent1"/>
              <w:left w:val="single" w:sz="8" w:space="0" w:color="4F81BD" w:themeColor="accent1"/>
              <w:bottom w:val="single" w:sz="8" w:space="0" w:color="4F81BD" w:themeColor="accent1"/>
            </w:tcBorders>
            <w:vAlign w:val="center"/>
          </w:tcPr>
          <w:p w14:paraId="32169E5E" w14:textId="5DD5E632"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b/>
                <w:color w:val="17365D" w:themeColor="text2" w:themeShade="BF"/>
                <w:sz w:val="20"/>
                <w:szCs w:val="20"/>
                <w:lang w:val="es-ES"/>
              </w:rPr>
            </w:pPr>
            <w:r w:rsidRPr="00333A4B">
              <w:rPr>
                <w:rFonts w:ascii="Arial Narrow" w:hAnsi="Arial Narrow" w:cs="Arial"/>
                <w:b/>
                <w:color w:val="17365D" w:themeColor="text2" w:themeShade="BF"/>
                <w:sz w:val="20"/>
                <w:szCs w:val="20"/>
                <w:lang w:val="es-ES"/>
              </w:rPr>
              <w:t>3.</w:t>
            </w:r>
            <w:r w:rsidR="001F4BA3">
              <w:rPr>
                <w:rFonts w:ascii="Arial Narrow" w:hAnsi="Arial Narrow" w:cs="Arial"/>
                <w:b/>
                <w:color w:val="17365D" w:themeColor="text2" w:themeShade="BF"/>
                <w:sz w:val="20"/>
                <w:szCs w:val="20"/>
                <w:lang w:val="es-ES"/>
              </w:rPr>
              <w:t>144</w:t>
            </w:r>
            <w:r w:rsidRPr="00333A4B">
              <w:rPr>
                <w:rFonts w:ascii="Arial Narrow" w:hAnsi="Arial Narrow" w:cs="Arial"/>
                <w:b/>
                <w:color w:val="17365D" w:themeColor="text2" w:themeShade="BF"/>
                <w:sz w:val="20"/>
                <w:szCs w:val="20"/>
                <w:lang w:val="es-ES"/>
              </w:rPr>
              <w:t>.750</w:t>
            </w:r>
          </w:p>
        </w:tc>
      </w:tr>
    </w:tbl>
    <w:p w14:paraId="46F42795" w14:textId="4391F170" w:rsidR="00333A4B" w:rsidRPr="00333A4B" w:rsidRDefault="00333A4B" w:rsidP="00E504B3">
      <w:pPr>
        <w:spacing w:before="360" w:after="120"/>
        <w:ind w:left="720" w:hanging="720"/>
        <w:jc w:val="both"/>
        <w:rPr>
          <w:rFonts w:ascii="Arial" w:hAnsi="Arial" w:cs="Arial"/>
          <w:lang w:val="es-ES"/>
        </w:rPr>
      </w:pPr>
      <w:r w:rsidRPr="00333A4B">
        <w:rPr>
          <w:rFonts w:ascii="Arial" w:hAnsi="Arial" w:cs="Arial"/>
          <w:lang w:val="es-ES"/>
        </w:rPr>
        <w:t>4.7</w:t>
      </w:r>
      <w:r w:rsidRPr="00333A4B">
        <w:rPr>
          <w:rFonts w:ascii="Arial" w:hAnsi="Arial" w:cs="Arial"/>
          <w:lang w:val="es-ES"/>
        </w:rPr>
        <w:tab/>
        <w:t>El financiamiento del seguimiento del Programa queda asegurado por el Componente de Administración, Supervisión y Monitoreo del Préstamo. Se tienen presupuestados US$3,</w:t>
      </w:r>
      <w:r w:rsidR="00F95D22">
        <w:rPr>
          <w:rFonts w:ascii="Arial" w:hAnsi="Arial" w:cs="Arial"/>
          <w:lang w:val="es-ES"/>
        </w:rPr>
        <w:t>144</w:t>
      </w:r>
      <w:r w:rsidR="00F95D22" w:rsidRPr="00333A4B">
        <w:rPr>
          <w:rFonts w:ascii="Arial" w:hAnsi="Arial" w:cs="Arial"/>
          <w:lang w:val="es-ES"/>
        </w:rPr>
        <w:t xml:space="preserve"> </w:t>
      </w:r>
      <w:r w:rsidRPr="00333A4B">
        <w:rPr>
          <w:rFonts w:ascii="Arial" w:hAnsi="Arial" w:cs="Arial"/>
          <w:lang w:val="es-ES"/>
        </w:rPr>
        <w:t xml:space="preserve">millones del Préstamo para la administración, supervisión y monitoreo del Programa, </w:t>
      </w:r>
      <w:r w:rsidR="00F95D22" w:rsidRPr="00333A4B">
        <w:rPr>
          <w:rFonts w:ascii="Arial" w:hAnsi="Arial" w:cs="Arial"/>
          <w:lang w:val="es-ES"/>
        </w:rPr>
        <w:t>así</w:t>
      </w:r>
      <w:r w:rsidRPr="00333A4B">
        <w:rPr>
          <w:rFonts w:ascii="Arial" w:hAnsi="Arial" w:cs="Arial"/>
          <w:lang w:val="es-ES"/>
        </w:rPr>
        <w:t xml:space="preserve"> como para la evaluación del mismo. Con este presupuesto, la UCP contará con los recursos para levantar la información de los indicadores de monitoreo. En la Tabla </w:t>
      </w:r>
      <w:r w:rsidR="001F0957">
        <w:rPr>
          <w:rFonts w:ascii="Arial" w:hAnsi="Arial" w:cs="Arial"/>
          <w:lang w:val="es-ES"/>
        </w:rPr>
        <w:t>5</w:t>
      </w:r>
      <w:r w:rsidRPr="00333A4B">
        <w:rPr>
          <w:rFonts w:ascii="Arial" w:hAnsi="Arial" w:cs="Arial"/>
          <w:lang w:val="es-ES"/>
        </w:rPr>
        <w:t xml:space="preserve"> se encuentra el presupuesto indicativo. Asimismo, el </w:t>
      </w:r>
      <w:r w:rsidR="001F0957">
        <w:rPr>
          <w:rFonts w:ascii="Arial" w:hAnsi="Arial" w:cs="Arial"/>
          <w:lang w:val="es-ES"/>
        </w:rPr>
        <w:t>C</w:t>
      </w:r>
      <w:r w:rsidRPr="00333A4B">
        <w:rPr>
          <w:rFonts w:ascii="Arial" w:hAnsi="Arial" w:cs="Arial"/>
          <w:lang w:val="es-ES"/>
        </w:rPr>
        <w:t xml:space="preserve">omponente I, incluye financiamiento para la supervisión técnica y ambiental de las obras, lo que contribuirá con información para el correcto seguimiento del Programa. </w:t>
      </w:r>
    </w:p>
    <w:p w14:paraId="1F9F4FD4" w14:textId="50E81B4C" w:rsidR="00333A4B" w:rsidRPr="00333A4B" w:rsidRDefault="00333A4B" w:rsidP="00E504B3">
      <w:pPr>
        <w:spacing w:before="240" w:after="120"/>
        <w:jc w:val="center"/>
        <w:rPr>
          <w:rFonts w:ascii="Arial" w:hAnsi="Arial" w:cs="Arial"/>
          <w:b/>
          <w:color w:val="1F497D" w:themeColor="text2"/>
          <w:lang w:val="es-ES"/>
        </w:rPr>
      </w:pPr>
      <w:r w:rsidRPr="00333A4B">
        <w:rPr>
          <w:rFonts w:ascii="Arial" w:hAnsi="Arial" w:cs="Arial"/>
          <w:b/>
          <w:color w:val="1F497D" w:themeColor="text2"/>
          <w:lang w:val="es-ES"/>
        </w:rPr>
        <w:t xml:space="preserve">Tabla </w:t>
      </w:r>
      <w:r w:rsidR="001F0957">
        <w:rPr>
          <w:rFonts w:ascii="Arial" w:hAnsi="Arial" w:cs="Arial"/>
          <w:b/>
          <w:color w:val="1F497D" w:themeColor="text2"/>
          <w:lang w:val="es-ES"/>
        </w:rPr>
        <w:t>5</w:t>
      </w:r>
      <w:r w:rsidRPr="00333A4B">
        <w:rPr>
          <w:rFonts w:ascii="Arial" w:hAnsi="Arial" w:cs="Arial"/>
          <w:b/>
          <w:color w:val="1F497D" w:themeColor="text2"/>
          <w:lang w:val="es-ES"/>
        </w:rPr>
        <w:t>. Presupuesto de administración del Programa.</w:t>
      </w:r>
    </w:p>
    <w:tbl>
      <w:tblPr>
        <w:tblStyle w:val="LightShading-Accent11"/>
        <w:tblW w:w="0" w:type="auto"/>
        <w:tblInd w:w="918" w:type="dxa"/>
        <w:tblLook w:val="04A0" w:firstRow="1" w:lastRow="0" w:firstColumn="1" w:lastColumn="0" w:noHBand="0" w:noVBand="1"/>
      </w:tblPr>
      <w:tblGrid>
        <w:gridCol w:w="4410"/>
        <w:gridCol w:w="3240"/>
      </w:tblGrid>
      <w:tr w:rsidR="00333A4B" w:rsidRPr="00333A4B" w14:paraId="40911626" w14:textId="77777777" w:rsidTr="00EE27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0" w:type="dxa"/>
            <w:shd w:val="clear" w:color="auto" w:fill="1F497D" w:themeFill="text2"/>
            <w:vAlign w:val="center"/>
          </w:tcPr>
          <w:p w14:paraId="3DC6438B" w14:textId="77777777" w:rsidR="00333A4B" w:rsidRPr="00333A4B" w:rsidRDefault="00333A4B" w:rsidP="00333A4B">
            <w:pPr>
              <w:jc w:val="center"/>
              <w:rPr>
                <w:rFonts w:ascii="Arial" w:hAnsi="Arial" w:cs="Arial"/>
                <w:color w:val="FFFFFF" w:themeColor="background1"/>
                <w:sz w:val="20"/>
                <w:lang w:val="es-ES"/>
              </w:rPr>
            </w:pPr>
            <w:r w:rsidRPr="00333A4B">
              <w:rPr>
                <w:rFonts w:ascii="Arial" w:hAnsi="Arial" w:cs="Arial"/>
                <w:color w:val="FFFFFF" w:themeColor="background1"/>
                <w:sz w:val="20"/>
                <w:lang w:val="es-ES"/>
              </w:rPr>
              <w:t>Actividad</w:t>
            </w:r>
          </w:p>
        </w:tc>
        <w:tc>
          <w:tcPr>
            <w:tcW w:w="3240" w:type="dxa"/>
            <w:shd w:val="clear" w:color="auto" w:fill="1F497D" w:themeFill="text2"/>
            <w:vAlign w:val="center"/>
          </w:tcPr>
          <w:p w14:paraId="7A1A08EE"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0"/>
                <w:lang w:val="es-ES"/>
              </w:rPr>
            </w:pPr>
            <w:r w:rsidRPr="00333A4B">
              <w:rPr>
                <w:rFonts w:ascii="Arial" w:hAnsi="Arial" w:cs="Arial"/>
                <w:color w:val="FFFFFF" w:themeColor="background1"/>
                <w:sz w:val="20"/>
                <w:lang w:val="es-ES"/>
              </w:rPr>
              <w:t>Presupuesto</w:t>
            </w:r>
          </w:p>
          <w:p w14:paraId="53D57FB5"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0"/>
                <w:lang w:val="es-ES"/>
              </w:rPr>
            </w:pPr>
            <w:r w:rsidRPr="00333A4B">
              <w:rPr>
                <w:rFonts w:ascii="Arial" w:hAnsi="Arial" w:cs="Arial"/>
                <w:color w:val="FFFFFF" w:themeColor="background1"/>
                <w:sz w:val="20"/>
                <w:lang w:val="es-ES"/>
              </w:rPr>
              <w:t>(US$)</w:t>
            </w:r>
          </w:p>
        </w:tc>
      </w:tr>
      <w:tr w:rsidR="00333A4B" w:rsidRPr="00333A4B" w14:paraId="0CFE9922" w14:textId="77777777" w:rsidTr="00EE27AC">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4410" w:type="dxa"/>
            <w:tcBorders>
              <w:top w:val="single" w:sz="8" w:space="0" w:color="4F81BD" w:themeColor="accent1"/>
              <w:bottom w:val="single" w:sz="8" w:space="0" w:color="4F81BD" w:themeColor="accent1"/>
            </w:tcBorders>
            <w:shd w:val="clear" w:color="auto" w:fill="FFFFFF" w:themeFill="background1"/>
            <w:vAlign w:val="center"/>
          </w:tcPr>
          <w:p w14:paraId="190B9004" w14:textId="77777777" w:rsidR="00333A4B" w:rsidRPr="00333A4B" w:rsidRDefault="00333A4B" w:rsidP="00333A4B">
            <w:pPr>
              <w:rPr>
                <w:rFonts w:ascii="Arial Narrow" w:hAnsi="Arial Narrow" w:cs="Arial"/>
                <w:sz w:val="20"/>
                <w:lang w:val="es-ES"/>
              </w:rPr>
            </w:pPr>
            <w:r w:rsidRPr="00333A4B">
              <w:rPr>
                <w:rFonts w:ascii="Arial Narrow" w:hAnsi="Arial Narrow" w:cs="Arial"/>
                <w:sz w:val="20"/>
                <w:lang w:val="es-ES"/>
              </w:rPr>
              <w:t>Auditoría y evaluación</w:t>
            </w:r>
          </w:p>
        </w:tc>
        <w:tc>
          <w:tcPr>
            <w:tcW w:w="3240" w:type="dxa"/>
            <w:tcBorders>
              <w:top w:val="single" w:sz="8" w:space="0" w:color="4F81BD" w:themeColor="accent1"/>
              <w:bottom w:val="single" w:sz="8" w:space="0" w:color="4F81BD" w:themeColor="accent1"/>
            </w:tcBorders>
            <w:shd w:val="clear" w:color="auto" w:fill="FFFFFF" w:themeFill="background1"/>
            <w:vAlign w:val="center"/>
          </w:tcPr>
          <w:p w14:paraId="6BA0A59E"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468,750</w:t>
            </w:r>
          </w:p>
        </w:tc>
      </w:tr>
      <w:tr w:rsidR="00333A4B" w:rsidRPr="00333A4B" w14:paraId="0339C5CF" w14:textId="77777777" w:rsidTr="00EE27AC">
        <w:trPr>
          <w:trHeight w:val="360"/>
        </w:trPr>
        <w:tc>
          <w:tcPr>
            <w:cnfStyle w:val="001000000000" w:firstRow="0" w:lastRow="0" w:firstColumn="1" w:lastColumn="0" w:oddVBand="0" w:evenVBand="0" w:oddHBand="0" w:evenHBand="0" w:firstRowFirstColumn="0" w:firstRowLastColumn="0" w:lastRowFirstColumn="0" w:lastRowLastColumn="0"/>
            <w:tcW w:w="4410" w:type="dxa"/>
            <w:tcBorders>
              <w:top w:val="single" w:sz="8" w:space="0" w:color="4F81BD" w:themeColor="accent1"/>
              <w:bottom w:val="single" w:sz="8" w:space="0" w:color="4F81BD" w:themeColor="accent1"/>
            </w:tcBorders>
            <w:vAlign w:val="center"/>
          </w:tcPr>
          <w:p w14:paraId="1E45750F" w14:textId="77777777" w:rsidR="00333A4B" w:rsidRPr="00333A4B" w:rsidRDefault="00333A4B" w:rsidP="00333A4B">
            <w:pPr>
              <w:rPr>
                <w:rFonts w:ascii="Arial Narrow" w:hAnsi="Arial Narrow" w:cs="Arial"/>
                <w:sz w:val="20"/>
                <w:lang w:val="es-ES"/>
              </w:rPr>
            </w:pPr>
            <w:r w:rsidRPr="00333A4B">
              <w:rPr>
                <w:rFonts w:ascii="Arial Narrow" w:hAnsi="Arial Narrow" w:cs="Arial"/>
                <w:sz w:val="20"/>
                <w:lang w:val="es-ES"/>
              </w:rPr>
              <w:t>Coordinación y monitoreo de la ejecución</w:t>
            </w:r>
          </w:p>
        </w:tc>
        <w:tc>
          <w:tcPr>
            <w:tcW w:w="3240" w:type="dxa"/>
            <w:tcBorders>
              <w:top w:val="single" w:sz="8" w:space="0" w:color="4F81BD" w:themeColor="accent1"/>
              <w:bottom w:val="single" w:sz="8" w:space="0" w:color="4F81BD" w:themeColor="accent1"/>
            </w:tcBorders>
            <w:vAlign w:val="center"/>
          </w:tcPr>
          <w:p w14:paraId="69A893C4" w14:textId="736C02A1"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2.6</w:t>
            </w:r>
            <w:r w:rsidR="001F4BA3">
              <w:rPr>
                <w:rFonts w:ascii="Arial Narrow" w:hAnsi="Arial Narrow" w:cs="Arial"/>
                <w:sz w:val="20"/>
                <w:lang w:val="es-ES"/>
              </w:rPr>
              <w:t>76</w:t>
            </w:r>
            <w:r w:rsidRPr="00333A4B">
              <w:rPr>
                <w:rFonts w:ascii="Arial Narrow" w:hAnsi="Arial Narrow" w:cs="Arial"/>
                <w:sz w:val="20"/>
                <w:lang w:val="es-ES"/>
              </w:rPr>
              <w:t>.000</w:t>
            </w:r>
          </w:p>
        </w:tc>
      </w:tr>
      <w:tr w:rsidR="00333A4B" w:rsidRPr="00333A4B" w14:paraId="56A4F103" w14:textId="77777777" w:rsidTr="00EE27AC">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4410" w:type="dxa"/>
            <w:tcBorders>
              <w:top w:val="single" w:sz="8" w:space="0" w:color="4F81BD" w:themeColor="accent1"/>
              <w:bottom w:val="single" w:sz="8" w:space="0" w:color="4F81BD" w:themeColor="accent1"/>
            </w:tcBorders>
            <w:vAlign w:val="center"/>
          </w:tcPr>
          <w:p w14:paraId="5A66567D" w14:textId="77777777" w:rsidR="00333A4B" w:rsidRPr="00333A4B" w:rsidRDefault="00333A4B" w:rsidP="00333A4B">
            <w:pPr>
              <w:rPr>
                <w:rFonts w:ascii="Arial Narrow" w:hAnsi="Arial Narrow" w:cs="Arial"/>
                <w:sz w:val="20"/>
                <w:lang w:val="es-ES"/>
              </w:rPr>
            </w:pPr>
            <w:r w:rsidRPr="00333A4B">
              <w:rPr>
                <w:rFonts w:ascii="Arial Narrow" w:hAnsi="Arial Narrow" w:cs="Arial"/>
                <w:sz w:val="20"/>
                <w:lang w:val="es-ES"/>
              </w:rPr>
              <w:t>TOTAL</w:t>
            </w:r>
          </w:p>
        </w:tc>
        <w:tc>
          <w:tcPr>
            <w:tcW w:w="3240" w:type="dxa"/>
            <w:tcBorders>
              <w:top w:val="single" w:sz="8" w:space="0" w:color="4F81BD" w:themeColor="accent1"/>
              <w:bottom w:val="single" w:sz="8" w:space="0" w:color="4F81BD" w:themeColor="accent1"/>
            </w:tcBorders>
            <w:vAlign w:val="center"/>
          </w:tcPr>
          <w:p w14:paraId="2310CD69" w14:textId="11ADDA65"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b/>
                <w:sz w:val="20"/>
                <w:lang w:val="es-ES"/>
              </w:rPr>
            </w:pPr>
            <w:r w:rsidRPr="00333A4B">
              <w:rPr>
                <w:rFonts w:ascii="Arial Narrow" w:hAnsi="Arial Narrow" w:cs="Arial"/>
                <w:b/>
                <w:sz w:val="20"/>
                <w:lang w:val="es-ES"/>
              </w:rPr>
              <w:t>3.</w:t>
            </w:r>
            <w:r w:rsidR="001F4BA3">
              <w:rPr>
                <w:rFonts w:ascii="Arial Narrow" w:hAnsi="Arial Narrow" w:cs="Arial"/>
                <w:b/>
                <w:sz w:val="20"/>
                <w:lang w:val="es-ES"/>
              </w:rPr>
              <w:t>144</w:t>
            </w:r>
            <w:r w:rsidRPr="00333A4B">
              <w:rPr>
                <w:rFonts w:ascii="Arial Narrow" w:hAnsi="Arial Narrow" w:cs="Arial"/>
                <w:b/>
                <w:sz w:val="20"/>
                <w:lang w:val="es-ES"/>
              </w:rPr>
              <w:t>.750</w:t>
            </w:r>
          </w:p>
        </w:tc>
      </w:tr>
    </w:tbl>
    <w:p w14:paraId="10BEDEF4" w14:textId="77777777" w:rsidR="00333A4B" w:rsidRPr="00333A4B" w:rsidRDefault="00333A4B" w:rsidP="00E504B3">
      <w:pPr>
        <w:numPr>
          <w:ilvl w:val="0"/>
          <w:numId w:val="17"/>
        </w:numPr>
        <w:spacing w:before="480"/>
        <w:ind w:left="720" w:hanging="720"/>
        <w:rPr>
          <w:rFonts w:ascii="Arial" w:hAnsi="Arial" w:cs="Arial"/>
          <w:b/>
          <w:lang w:val="es-ES"/>
        </w:rPr>
      </w:pPr>
      <w:r w:rsidRPr="00333A4B">
        <w:rPr>
          <w:rFonts w:ascii="Arial" w:hAnsi="Arial" w:cs="Arial"/>
          <w:b/>
          <w:smallCaps/>
          <w:lang w:val="es-ES"/>
        </w:rPr>
        <w:t>Evaluación del Programa</w:t>
      </w:r>
      <w:r w:rsidRPr="00333A4B">
        <w:rPr>
          <w:rFonts w:ascii="Arial" w:hAnsi="Arial" w:cs="Arial"/>
          <w:b/>
          <w:lang w:val="es-ES"/>
        </w:rPr>
        <w:t>.</w:t>
      </w:r>
    </w:p>
    <w:p w14:paraId="057BE879" w14:textId="77777777" w:rsidR="00333A4B" w:rsidRPr="00333A4B" w:rsidRDefault="00333A4B" w:rsidP="00333A4B">
      <w:pPr>
        <w:jc w:val="both"/>
        <w:rPr>
          <w:rFonts w:ascii="Arial" w:hAnsi="Arial" w:cs="Arial"/>
          <w:b/>
          <w:lang w:val="es-ES"/>
        </w:rPr>
      </w:pPr>
      <w:r w:rsidRPr="00333A4B">
        <w:rPr>
          <w:rFonts w:ascii="Arial" w:hAnsi="Arial" w:cs="Arial"/>
          <w:b/>
          <w:lang w:val="es-ES"/>
        </w:rPr>
        <w:t>A.</w:t>
      </w:r>
      <w:r w:rsidRPr="00333A4B">
        <w:rPr>
          <w:rFonts w:ascii="Arial" w:hAnsi="Arial" w:cs="Arial"/>
          <w:b/>
          <w:lang w:val="es-ES"/>
        </w:rPr>
        <w:tab/>
        <w:t>Principales preguntas de evaluación.</w:t>
      </w:r>
    </w:p>
    <w:p w14:paraId="7D921569" w14:textId="322CCF98" w:rsidR="00333A4B" w:rsidRPr="00333A4B" w:rsidRDefault="00333A4B" w:rsidP="00E504B3">
      <w:pPr>
        <w:pStyle w:val="ListParagraph"/>
        <w:numPr>
          <w:ilvl w:val="1"/>
          <w:numId w:val="1"/>
        </w:numPr>
        <w:spacing w:before="120" w:after="120"/>
        <w:ind w:left="720" w:hanging="720"/>
        <w:contextualSpacing w:val="0"/>
        <w:jc w:val="both"/>
        <w:rPr>
          <w:rFonts w:ascii="Arial" w:hAnsi="Arial" w:cs="Arial"/>
          <w:lang w:val="es-ES"/>
        </w:rPr>
      </w:pPr>
      <w:r w:rsidRPr="00333A4B">
        <w:rPr>
          <w:rFonts w:ascii="Arial" w:hAnsi="Arial" w:cs="Arial"/>
          <w:lang w:val="es-ES"/>
        </w:rPr>
        <w:t xml:space="preserve">La principal pregunta de evaluación es verificar si las inversiones en la ampliación y modernización de la infraestructura eléctrica de distribución de la empresa </w:t>
      </w:r>
      <w:proofErr w:type="spellStart"/>
      <w:r w:rsidRPr="00333A4B">
        <w:rPr>
          <w:rFonts w:ascii="Arial" w:hAnsi="Arial" w:cs="Arial"/>
          <w:lang w:val="es-ES"/>
        </w:rPr>
        <w:t>Celesc</w:t>
      </w:r>
      <w:proofErr w:type="spellEnd"/>
      <w:r w:rsidRPr="00333A4B">
        <w:rPr>
          <w:rFonts w:ascii="Arial" w:hAnsi="Arial" w:cs="Arial"/>
          <w:lang w:val="es-ES"/>
        </w:rPr>
        <w:t>-D, han permitido cubrir el crecimiento de la demanda proyectada, reduciendo los equipos con sobrecarga, con una mejora en los indicadores de confiabilidad (FEC, DEC), y en la gestión de la compañía (medida a través de las pérdidas eléctricas). A través del logro de estos resultados, la evaluación permitirá definir si el Programa logró contribuir al crecimiento económico del Estado de Santa Catarina.</w:t>
      </w:r>
    </w:p>
    <w:p w14:paraId="684C6AD5" w14:textId="55A00A90" w:rsidR="00333A4B" w:rsidRPr="00333A4B" w:rsidRDefault="00333A4B" w:rsidP="00E504B3">
      <w:pPr>
        <w:pStyle w:val="ListParagraph"/>
        <w:numPr>
          <w:ilvl w:val="1"/>
          <w:numId w:val="1"/>
        </w:numPr>
        <w:spacing w:before="120" w:after="120"/>
        <w:ind w:left="720" w:hanging="720"/>
        <w:contextualSpacing w:val="0"/>
        <w:jc w:val="both"/>
        <w:rPr>
          <w:rFonts w:ascii="Arial" w:hAnsi="Arial" w:cs="Arial"/>
          <w:lang w:val="es-ES"/>
        </w:rPr>
      </w:pPr>
      <w:r w:rsidRPr="00333A4B">
        <w:rPr>
          <w:rFonts w:ascii="Arial" w:hAnsi="Arial" w:cs="Arial"/>
          <w:lang w:val="es-ES"/>
        </w:rPr>
        <w:lastRenderedPageBreak/>
        <w:t xml:space="preserve">Con respecto a los indicadores de resultado, la Matriz de Resultados proporciona una línea base e indicadores específicos que permitirán llevar a cabo una evaluación reflexiva (comparación antes y después) de los resultados de la operación. La UCP será responsable por el suministro de información relacionada a los indicadores de resultados establecidos en la matriz. La medición de los indicadores de resultados será anual. La evolución de los indicadores de resultados será incluida en los informes de avance de la operación que preparará la UCP, y serán reflejados en los PMR a ser supervisados por el Especialista Sectorial del Banco. Los indicadores de resultados, sus fórmulas y fuente de verificación son descritos en la Tabla </w:t>
      </w:r>
      <w:r w:rsidR="001F0957">
        <w:rPr>
          <w:rFonts w:ascii="Arial" w:hAnsi="Arial" w:cs="Arial"/>
          <w:lang w:val="es-ES"/>
        </w:rPr>
        <w:t>6</w:t>
      </w:r>
      <w:r w:rsidRPr="00333A4B">
        <w:rPr>
          <w:rFonts w:ascii="Arial" w:hAnsi="Arial" w:cs="Arial"/>
          <w:lang w:val="es-ES"/>
        </w:rPr>
        <w:t>.</w:t>
      </w:r>
    </w:p>
    <w:p w14:paraId="56AB59CD" w14:textId="77777777" w:rsidR="00333A4B" w:rsidRPr="00333A4B" w:rsidRDefault="00333A4B" w:rsidP="00333A4B">
      <w:pPr>
        <w:ind w:left="750"/>
        <w:contextualSpacing/>
        <w:jc w:val="both"/>
        <w:rPr>
          <w:rFonts w:ascii="Arial" w:hAnsi="Arial" w:cs="Arial"/>
          <w:lang w:val="es-ES"/>
        </w:rPr>
      </w:pPr>
    </w:p>
    <w:p w14:paraId="06A0E0F2" w14:textId="77C22727" w:rsidR="00333A4B" w:rsidRPr="00333A4B" w:rsidRDefault="00333A4B" w:rsidP="00B04630">
      <w:pPr>
        <w:spacing w:after="120" w:line="360" w:lineRule="auto"/>
        <w:ind w:left="1080"/>
        <w:contextualSpacing/>
        <w:jc w:val="center"/>
        <w:rPr>
          <w:rFonts w:ascii="Arial" w:hAnsi="Arial" w:cs="Arial"/>
          <w:b/>
          <w:color w:val="1F497D" w:themeColor="text2"/>
          <w:lang w:val="es-ES"/>
        </w:rPr>
      </w:pPr>
      <w:r w:rsidRPr="00333A4B">
        <w:rPr>
          <w:rFonts w:ascii="Arial" w:hAnsi="Arial" w:cs="Arial"/>
          <w:b/>
          <w:color w:val="1F497D" w:themeColor="text2"/>
          <w:lang w:val="es-ES"/>
        </w:rPr>
        <w:t xml:space="preserve">Tabla </w:t>
      </w:r>
      <w:r w:rsidR="001F0957">
        <w:rPr>
          <w:rFonts w:ascii="Arial" w:hAnsi="Arial" w:cs="Arial"/>
          <w:b/>
          <w:color w:val="1F497D" w:themeColor="text2"/>
          <w:lang w:val="es-ES"/>
        </w:rPr>
        <w:t>6</w:t>
      </w:r>
      <w:r w:rsidRPr="00333A4B">
        <w:rPr>
          <w:rFonts w:ascii="Arial" w:hAnsi="Arial" w:cs="Arial"/>
          <w:b/>
          <w:color w:val="1F497D" w:themeColor="text2"/>
          <w:lang w:val="es-ES"/>
        </w:rPr>
        <w:t>. Indicadores de resultados.</w:t>
      </w:r>
    </w:p>
    <w:tbl>
      <w:tblPr>
        <w:tblStyle w:val="LightShading-Accent11"/>
        <w:tblW w:w="0" w:type="auto"/>
        <w:tblLook w:val="04A0" w:firstRow="1" w:lastRow="0" w:firstColumn="1" w:lastColumn="0" w:noHBand="0" w:noVBand="1"/>
      </w:tblPr>
      <w:tblGrid>
        <w:gridCol w:w="2085"/>
        <w:gridCol w:w="1995"/>
        <w:gridCol w:w="2321"/>
        <w:gridCol w:w="1576"/>
        <w:gridCol w:w="1599"/>
      </w:tblGrid>
      <w:tr w:rsidR="00333A4B" w:rsidRPr="00333A4B" w14:paraId="1C26D1EF" w14:textId="77777777" w:rsidTr="00150B20">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2085" w:type="dxa"/>
            <w:shd w:val="clear" w:color="auto" w:fill="1F497D" w:themeFill="text2"/>
            <w:vAlign w:val="center"/>
          </w:tcPr>
          <w:p w14:paraId="64E264BA" w14:textId="77777777" w:rsidR="00333A4B" w:rsidRPr="00333A4B" w:rsidRDefault="00333A4B" w:rsidP="00333A4B">
            <w:pPr>
              <w:jc w:val="center"/>
              <w:rPr>
                <w:rFonts w:ascii="Arial" w:hAnsi="Arial" w:cs="Arial"/>
                <w:color w:val="FFFFFF" w:themeColor="background1"/>
                <w:sz w:val="20"/>
                <w:lang w:val="es-ES"/>
              </w:rPr>
            </w:pPr>
            <w:r w:rsidRPr="00333A4B">
              <w:rPr>
                <w:rFonts w:ascii="Arial" w:hAnsi="Arial" w:cs="Arial"/>
                <w:color w:val="FFFFFF" w:themeColor="background1"/>
                <w:sz w:val="20"/>
                <w:lang w:val="es-ES"/>
              </w:rPr>
              <w:t>Resultados esperados</w:t>
            </w:r>
          </w:p>
        </w:tc>
        <w:tc>
          <w:tcPr>
            <w:tcW w:w="1995" w:type="dxa"/>
            <w:shd w:val="clear" w:color="auto" w:fill="1F497D" w:themeFill="text2"/>
            <w:vAlign w:val="center"/>
          </w:tcPr>
          <w:p w14:paraId="5C3F11FB"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0"/>
                <w:lang w:val="es-ES"/>
              </w:rPr>
            </w:pPr>
            <w:r w:rsidRPr="00333A4B">
              <w:rPr>
                <w:rFonts w:ascii="Arial" w:hAnsi="Arial" w:cs="Arial"/>
                <w:color w:val="FFFFFF" w:themeColor="background1"/>
                <w:sz w:val="20"/>
                <w:lang w:val="es-ES"/>
              </w:rPr>
              <w:t>Indicador(es)</w:t>
            </w:r>
          </w:p>
        </w:tc>
        <w:tc>
          <w:tcPr>
            <w:tcW w:w="2321" w:type="dxa"/>
            <w:shd w:val="clear" w:color="auto" w:fill="1F497D" w:themeFill="text2"/>
            <w:vAlign w:val="center"/>
          </w:tcPr>
          <w:p w14:paraId="7AA19EED"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0"/>
                <w:lang w:val="es-ES"/>
              </w:rPr>
            </w:pPr>
            <w:r w:rsidRPr="00333A4B">
              <w:rPr>
                <w:rFonts w:ascii="Arial" w:hAnsi="Arial" w:cs="Arial"/>
                <w:color w:val="FFFFFF" w:themeColor="background1"/>
                <w:sz w:val="20"/>
                <w:lang w:val="es-ES"/>
              </w:rPr>
              <w:t>Fórmula</w:t>
            </w:r>
          </w:p>
        </w:tc>
        <w:tc>
          <w:tcPr>
            <w:tcW w:w="1576" w:type="dxa"/>
            <w:shd w:val="clear" w:color="auto" w:fill="1F497D" w:themeFill="text2"/>
            <w:vAlign w:val="center"/>
          </w:tcPr>
          <w:p w14:paraId="255AD4A6"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0"/>
                <w:lang w:val="es-ES"/>
              </w:rPr>
            </w:pPr>
            <w:r w:rsidRPr="00333A4B">
              <w:rPr>
                <w:rFonts w:ascii="Arial" w:hAnsi="Arial" w:cs="Arial"/>
                <w:color w:val="FFFFFF" w:themeColor="background1"/>
                <w:sz w:val="20"/>
                <w:lang w:val="es-ES"/>
              </w:rPr>
              <w:t>Frecuencia de medición</w:t>
            </w:r>
          </w:p>
        </w:tc>
        <w:tc>
          <w:tcPr>
            <w:tcW w:w="1599" w:type="dxa"/>
            <w:shd w:val="clear" w:color="auto" w:fill="1F497D" w:themeFill="text2"/>
            <w:vAlign w:val="center"/>
          </w:tcPr>
          <w:p w14:paraId="289CA305" w14:textId="77777777" w:rsidR="00333A4B" w:rsidRPr="00333A4B" w:rsidRDefault="00333A4B" w:rsidP="00333A4B">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0"/>
                <w:lang w:val="es-ES"/>
              </w:rPr>
            </w:pPr>
            <w:r w:rsidRPr="00333A4B">
              <w:rPr>
                <w:rFonts w:ascii="Arial" w:hAnsi="Arial" w:cs="Arial"/>
                <w:color w:val="FFFFFF" w:themeColor="background1"/>
                <w:sz w:val="20"/>
                <w:lang w:val="es-ES"/>
              </w:rPr>
              <w:t>Fuente de verificación</w:t>
            </w:r>
          </w:p>
        </w:tc>
      </w:tr>
      <w:tr w:rsidR="00150B20" w:rsidRPr="00333A4B" w14:paraId="5B8D9EE1" w14:textId="77777777" w:rsidTr="00150B20">
        <w:trPr>
          <w:cnfStyle w:val="000000100000" w:firstRow="0" w:lastRow="0" w:firstColumn="0" w:lastColumn="0" w:oddVBand="0" w:evenVBand="0" w:oddHBand="1" w:evenHBand="0" w:firstRowFirstColumn="0" w:firstRowLastColumn="0" w:lastRowFirstColumn="0" w:lastRowLastColumn="0"/>
          <w:trHeight w:val="628"/>
        </w:trPr>
        <w:tc>
          <w:tcPr>
            <w:cnfStyle w:val="001000000000" w:firstRow="0" w:lastRow="0" w:firstColumn="1" w:lastColumn="0" w:oddVBand="0" w:evenVBand="0" w:oddHBand="0" w:evenHBand="0" w:firstRowFirstColumn="0" w:firstRowLastColumn="0" w:lastRowFirstColumn="0" w:lastRowLastColumn="0"/>
            <w:tcW w:w="2085" w:type="dxa"/>
            <w:vMerge w:val="restart"/>
            <w:tcBorders>
              <w:top w:val="single" w:sz="8" w:space="0" w:color="4F81BD" w:themeColor="accent1"/>
            </w:tcBorders>
            <w:shd w:val="clear" w:color="auto" w:fill="FFFFFF" w:themeFill="background1"/>
            <w:vAlign w:val="center"/>
          </w:tcPr>
          <w:p w14:paraId="4D605A7A" w14:textId="31AA0301" w:rsidR="00150B20" w:rsidRPr="00333A4B" w:rsidRDefault="00150B20" w:rsidP="00333A4B">
            <w:pPr>
              <w:rPr>
                <w:rFonts w:ascii="Arial Narrow" w:hAnsi="Arial Narrow" w:cs="Arial"/>
                <w:b w:val="0"/>
                <w:bCs w:val="0"/>
                <w:sz w:val="20"/>
                <w:lang w:val="es-ES"/>
              </w:rPr>
            </w:pPr>
            <w:r w:rsidRPr="00333A4B">
              <w:rPr>
                <w:rFonts w:ascii="Arial Narrow" w:hAnsi="Arial Narrow" w:cs="Arial"/>
                <w:sz w:val="20"/>
                <w:lang w:val="es-ES"/>
              </w:rPr>
              <w:t xml:space="preserve">R1. </w:t>
            </w:r>
            <w:proofErr w:type="spellStart"/>
            <w:r w:rsidRPr="00150B20">
              <w:rPr>
                <w:rFonts w:ascii="Arial Narrow" w:hAnsi="Arial Narrow" w:cs="Arial"/>
                <w:sz w:val="20"/>
                <w:lang w:val="es-ES"/>
              </w:rPr>
              <w:t>Celesc</w:t>
            </w:r>
            <w:proofErr w:type="spellEnd"/>
            <w:r w:rsidRPr="00150B20">
              <w:rPr>
                <w:rFonts w:ascii="Arial Narrow" w:hAnsi="Arial Narrow" w:cs="Arial"/>
                <w:sz w:val="20"/>
                <w:lang w:val="es-ES"/>
              </w:rPr>
              <w:t>-D tiene la capacidad de atender la demanda eléctrica proyectada, a través de la ampliación y modernización de su red de distribución.</w:t>
            </w:r>
          </w:p>
          <w:p w14:paraId="18506C82" w14:textId="444DF6EB" w:rsidR="00150B20" w:rsidRPr="00333A4B" w:rsidRDefault="00150B20" w:rsidP="00333A4B">
            <w:pPr>
              <w:rPr>
                <w:rFonts w:ascii="Arial Narrow" w:hAnsi="Arial Narrow" w:cs="Arial"/>
                <w:sz w:val="20"/>
                <w:lang w:val="es-ES"/>
              </w:rPr>
            </w:pPr>
          </w:p>
        </w:tc>
        <w:tc>
          <w:tcPr>
            <w:tcW w:w="1995" w:type="dxa"/>
            <w:tcBorders>
              <w:top w:val="single" w:sz="8" w:space="0" w:color="4F81BD" w:themeColor="accent1"/>
              <w:bottom w:val="single" w:sz="8" w:space="0" w:color="4F81BD" w:themeColor="accent1"/>
            </w:tcBorders>
            <w:shd w:val="clear" w:color="auto" w:fill="FFFFFF" w:themeFill="background1"/>
            <w:vAlign w:val="center"/>
          </w:tcPr>
          <w:p w14:paraId="605F70EB" w14:textId="77777777" w:rsidR="00150B20" w:rsidRPr="00333A4B" w:rsidRDefault="00150B20" w:rsidP="00333A4B">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Demanda eléctrica atendida por CELESC-D</w:t>
            </w:r>
          </w:p>
        </w:tc>
        <w:tc>
          <w:tcPr>
            <w:tcW w:w="2321" w:type="dxa"/>
            <w:tcBorders>
              <w:top w:val="single" w:sz="8" w:space="0" w:color="4F81BD" w:themeColor="accent1"/>
              <w:bottom w:val="single" w:sz="8" w:space="0" w:color="4F81BD" w:themeColor="accent1"/>
            </w:tcBorders>
            <w:shd w:val="clear" w:color="auto" w:fill="FFFFFF" w:themeFill="background1"/>
            <w:vAlign w:val="center"/>
          </w:tcPr>
          <w:p w14:paraId="487BE254" w14:textId="77777777" w:rsidR="00150B20" w:rsidRPr="00333A4B" w:rsidRDefault="00150B2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proofErr w:type="spellStart"/>
            <w:r w:rsidRPr="00333A4B">
              <w:rPr>
                <w:rFonts w:ascii="Arial Narrow" w:hAnsi="Arial Narrow" w:cs="Arial"/>
                <w:sz w:val="20"/>
                <w:lang w:val="es-ES"/>
              </w:rPr>
              <w:t>GWh</w:t>
            </w:r>
            <w:proofErr w:type="spellEnd"/>
            <w:r w:rsidRPr="00333A4B">
              <w:rPr>
                <w:rFonts w:ascii="Arial Narrow" w:hAnsi="Arial Narrow" w:cs="Arial"/>
                <w:sz w:val="20"/>
                <w:lang w:val="es-ES"/>
              </w:rPr>
              <w:t>/año</w:t>
            </w:r>
          </w:p>
          <w:p w14:paraId="53A68D20" w14:textId="77777777" w:rsidR="00150B20" w:rsidRPr="00333A4B" w:rsidRDefault="00150B2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Incluye el mercado captivo y el mercado libre. No incluye pérdidas ni consumo propio.</w:t>
            </w:r>
          </w:p>
        </w:tc>
        <w:tc>
          <w:tcPr>
            <w:tcW w:w="1576" w:type="dxa"/>
            <w:tcBorders>
              <w:top w:val="single" w:sz="8" w:space="0" w:color="4F81BD" w:themeColor="accent1"/>
              <w:bottom w:val="single" w:sz="8" w:space="0" w:color="4F81BD" w:themeColor="accent1"/>
            </w:tcBorders>
            <w:shd w:val="clear" w:color="auto" w:fill="FFFFFF" w:themeFill="background1"/>
            <w:vAlign w:val="center"/>
          </w:tcPr>
          <w:p w14:paraId="3780F1F2" w14:textId="77777777" w:rsidR="00150B20" w:rsidRPr="00333A4B" w:rsidRDefault="00150B2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Anual</w:t>
            </w:r>
          </w:p>
        </w:tc>
        <w:tc>
          <w:tcPr>
            <w:tcW w:w="1599" w:type="dxa"/>
            <w:tcBorders>
              <w:top w:val="single" w:sz="8" w:space="0" w:color="4F81BD" w:themeColor="accent1"/>
              <w:bottom w:val="single" w:sz="8" w:space="0" w:color="4F81BD" w:themeColor="accent1"/>
            </w:tcBorders>
            <w:shd w:val="clear" w:color="auto" w:fill="FFFFFF" w:themeFill="background1"/>
            <w:vAlign w:val="center"/>
          </w:tcPr>
          <w:p w14:paraId="68CEAB47" w14:textId="6242128E" w:rsidR="00150B20" w:rsidRPr="00333A4B" w:rsidRDefault="00150B2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Reporte de </w:t>
            </w:r>
            <w:proofErr w:type="spellStart"/>
            <w:r w:rsidRPr="00333A4B">
              <w:rPr>
                <w:rFonts w:ascii="Arial Narrow" w:hAnsi="Arial Narrow" w:cs="Arial"/>
                <w:sz w:val="20"/>
                <w:lang w:val="es-ES"/>
              </w:rPr>
              <w:t>C</w:t>
            </w:r>
            <w:r>
              <w:rPr>
                <w:rFonts w:ascii="Arial Narrow" w:hAnsi="Arial Narrow" w:cs="Arial"/>
                <w:sz w:val="20"/>
                <w:lang w:val="es-ES"/>
              </w:rPr>
              <w:t>elesc</w:t>
            </w:r>
            <w:proofErr w:type="spellEnd"/>
            <w:r w:rsidRPr="00333A4B">
              <w:rPr>
                <w:rFonts w:ascii="Arial Narrow" w:hAnsi="Arial Narrow" w:cs="Arial"/>
                <w:sz w:val="20"/>
                <w:lang w:val="es-ES"/>
              </w:rPr>
              <w:t>-D</w:t>
            </w:r>
          </w:p>
        </w:tc>
      </w:tr>
      <w:tr w:rsidR="00150B20" w:rsidRPr="00333A4B" w14:paraId="1EBA4864" w14:textId="77777777" w:rsidTr="00150B20">
        <w:trPr>
          <w:trHeight w:val="610"/>
        </w:trPr>
        <w:tc>
          <w:tcPr>
            <w:cnfStyle w:val="001000000000" w:firstRow="0" w:lastRow="0" w:firstColumn="1" w:lastColumn="0" w:oddVBand="0" w:evenVBand="0" w:oddHBand="0" w:evenHBand="0" w:firstRowFirstColumn="0" w:firstRowLastColumn="0" w:lastRowFirstColumn="0" w:lastRowLastColumn="0"/>
            <w:tcW w:w="2085" w:type="dxa"/>
            <w:vMerge/>
            <w:shd w:val="clear" w:color="auto" w:fill="FFFFFF" w:themeFill="background1"/>
            <w:vAlign w:val="center"/>
          </w:tcPr>
          <w:p w14:paraId="631500A4" w14:textId="3ED82DB7" w:rsidR="00150B20" w:rsidRPr="00333A4B" w:rsidRDefault="00150B20" w:rsidP="00333A4B">
            <w:pPr>
              <w:rPr>
                <w:rFonts w:ascii="Arial Narrow" w:hAnsi="Arial Narrow" w:cs="Arial"/>
                <w:sz w:val="20"/>
                <w:lang w:val="es-ES"/>
              </w:rPr>
            </w:pPr>
          </w:p>
        </w:tc>
        <w:tc>
          <w:tcPr>
            <w:tcW w:w="1995" w:type="dxa"/>
            <w:tcBorders>
              <w:top w:val="single" w:sz="8" w:space="0" w:color="4F81BD" w:themeColor="accent1"/>
              <w:bottom w:val="single" w:sz="8" w:space="0" w:color="4F81BD" w:themeColor="accent1"/>
            </w:tcBorders>
            <w:shd w:val="clear" w:color="auto" w:fill="FFFFFF" w:themeFill="background1"/>
            <w:vAlign w:val="center"/>
          </w:tcPr>
          <w:p w14:paraId="37C68ACA" w14:textId="77777777" w:rsidR="00150B20" w:rsidRPr="00333A4B" w:rsidRDefault="00150B20" w:rsidP="00333A4B">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Subestaciones con carga superior a 90% </w:t>
            </w:r>
          </w:p>
        </w:tc>
        <w:tc>
          <w:tcPr>
            <w:tcW w:w="2321" w:type="dxa"/>
            <w:tcBorders>
              <w:top w:val="single" w:sz="8" w:space="0" w:color="4F81BD" w:themeColor="accent1"/>
              <w:bottom w:val="single" w:sz="8" w:space="0" w:color="4F81BD" w:themeColor="accent1"/>
            </w:tcBorders>
            <w:shd w:val="clear" w:color="auto" w:fill="FFFFFF" w:themeFill="background1"/>
            <w:vAlign w:val="center"/>
          </w:tcPr>
          <w:p w14:paraId="56C740D9" w14:textId="77777777" w:rsidR="00150B20" w:rsidRPr="00333A4B" w:rsidRDefault="00150B20"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 </w:t>
            </w:r>
          </w:p>
          <w:p w14:paraId="350F9A07" w14:textId="77777777" w:rsidR="00150B20" w:rsidRPr="00333A4B" w:rsidRDefault="00150B20"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Se calcula en base al número de subestaciones con por lo menos un transformador con carga superior a 90% en el año</w:t>
            </w:r>
          </w:p>
        </w:tc>
        <w:tc>
          <w:tcPr>
            <w:tcW w:w="1576" w:type="dxa"/>
            <w:tcBorders>
              <w:top w:val="single" w:sz="8" w:space="0" w:color="4F81BD" w:themeColor="accent1"/>
              <w:bottom w:val="single" w:sz="8" w:space="0" w:color="4F81BD" w:themeColor="accent1"/>
            </w:tcBorders>
            <w:shd w:val="clear" w:color="auto" w:fill="FFFFFF" w:themeFill="background1"/>
            <w:vAlign w:val="center"/>
          </w:tcPr>
          <w:p w14:paraId="3294C62D" w14:textId="77777777" w:rsidR="00150B20" w:rsidRPr="00333A4B" w:rsidRDefault="00150B20"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Anual</w:t>
            </w:r>
          </w:p>
        </w:tc>
        <w:tc>
          <w:tcPr>
            <w:tcW w:w="1599" w:type="dxa"/>
            <w:tcBorders>
              <w:top w:val="single" w:sz="8" w:space="0" w:color="4F81BD" w:themeColor="accent1"/>
              <w:bottom w:val="single" w:sz="8" w:space="0" w:color="4F81BD" w:themeColor="accent1"/>
            </w:tcBorders>
            <w:shd w:val="clear" w:color="auto" w:fill="FFFFFF" w:themeFill="background1"/>
            <w:vAlign w:val="center"/>
          </w:tcPr>
          <w:p w14:paraId="108378B4" w14:textId="1BCEBF95" w:rsidR="00150B20" w:rsidRPr="00333A4B" w:rsidRDefault="00150B20"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Reporte de </w:t>
            </w:r>
            <w:proofErr w:type="spellStart"/>
            <w:r w:rsidRPr="00333A4B">
              <w:rPr>
                <w:rFonts w:ascii="Arial Narrow" w:hAnsi="Arial Narrow" w:cs="Arial"/>
                <w:sz w:val="20"/>
                <w:lang w:val="es-ES"/>
              </w:rPr>
              <w:t>C</w:t>
            </w:r>
            <w:r>
              <w:rPr>
                <w:rFonts w:ascii="Arial Narrow" w:hAnsi="Arial Narrow" w:cs="Arial"/>
                <w:sz w:val="20"/>
                <w:lang w:val="es-ES"/>
              </w:rPr>
              <w:t>elesc</w:t>
            </w:r>
            <w:proofErr w:type="spellEnd"/>
            <w:r w:rsidRPr="00333A4B">
              <w:rPr>
                <w:rFonts w:ascii="Arial Narrow" w:hAnsi="Arial Narrow" w:cs="Arial"/>
                <w:sz w:val="20"/>
                <w:lang w:val="es-ES"/>
              </w:rPr>
              <w:t>-D</w:t>
            </w:r>
          </w:p>
        </w:tc>
      </w:tr>
      <w:tr w:rsidR="00150B20" w:rsidRPr="00150B20" w14:paraId="7ECBCE1A" w14:textId="77777777" w:rsidTr="00150B20">
        <w:trPr>
          <w:cnfStyle w:val="000000100000" w:firstRow="0" w:lastRow="0" w:firstColumn="0" w:lastColumn="0" w:oddVBand="0" w:evenVBand="0" w:oddHBand="1" w:evenHBand="0" w:firstRowFirstColumn="0" w:firstRowLastColumn="0" w:lastRowFirstColumn="0" w:lastRowLastColumn="0"/>
          <w:trHeight w:val="610"/>
        </w:trPr>
        <w:tc>
          <w:tcPr>
            <w:cnfStyle w:val="001000000000" w:firstRow="0" w:lastRow="0" w:firstColumn="1" w:lastColumn="0" w:oddVBand="0" w:evenVBand="0" w:oddHBand="0" w:evenHBand="0" w:firstRowFirstColumn="0" w:firstRowLastColumn="0" w:lastRowFirstColumn="0" w:lastRowLastColumn="0"/>
            <w:tcW w:w="2085" w:type="dxa"/>
            <w:vMerge/>
            <w:tcBorders>
              <w:bottom w:val="single" w:sz="8" w:space="0" w:color="4F81BD" w:themeColor="accent1"/>
            </w:tcBorders>
            <w:shd w:val="clear" w:color="auto" w:fill="FFFFFF" w:themeFill="background1"/>
            <w:vAlign w:val="center"/>
          </w:tcPr>
          <w:p w14:paraId="1AC893F9" w14:textId="785C4E0E" w:rsidR="00150B20" w:rsidRPr="00333A4B" w:rsidRDefault="00150B20" w:rsidP="00333A4B">
            <w:pPr>
              <w:rPr>
                <w:rFonts w:ascii="Arial Narrow" w:hAnsi="Arial Narrow" w:cs="Arial"/>
                <w:sz w:val="20"/>
                <w:lang w:val="es-ES"/>
              </w:rPr>
            </w:pPr>
          </w:p>
        </w:tc>
        <w:tc>
          <w:tcPr>
            <w:tcW w:w="1995" w:type="dxa"/>
            <w:tcBorders>
              <w:top w:val="single" w:sz="8" w:space="0" w:color="4F81BD" w:themeColor="accent1"/>
              <w:bottom w:val="single" w:sz="8" w:space="0" w:color="4F81BD" w:themeColor="accent1"/>
            </w:tcBorders>
            <w:shd w:val="clear" w:color="auto" w:fill="FFFFFF" w:themeFill="background1"/>
            <w:vAlign w:val="center"/>
          </w:tcPr>
          <w:p w14:paraId="1BE17FB1" w14:textId="65F78485" w:rsidR="00150B20" w:rsidRPr="00333A4B" w:rsidRDefault="00150B20" w:rsidP="00333A4B">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Nuevos hogares conectados a la red</w:t>
            </w:r>
          </w:p>
        </w:tc>
        <w:tc>
          <w:tcPr>
            <w:tcW w:w="2321" w:type="dxa"/>
            <w:tcBorders>
              <w:top w:val="single" w:sz="8" w:space="0" w:color="4F81BD" w:themeColor="accent1"/>
              <w:bottom w:val="single" w:sz="8" w:space="0" w:color="4F81BD" w:themeColor="accent1"/>
            </w:tcBorders>
            <w:shd w:val="clear" w:color="auto" w:fill="FFFFFF" w:themeFill="background1"/>
            <w:vAlign w:val="center"/>
          </w:tcPr>
          <w:p w14:paraId="2ED1B4FA" w14:textId="77777777" w:rsidR="00150B20" w:rsidRDefault="00150B2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 de hogares</w:t>
            </w:r>
          </w:p>
          <w:p w14:paraId="34EC60AC" w14:textId="3280C219" w:rsidR="00150B20" w:rsidRPr="00333A4B" w:rsidRDefault="00150B2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 xml:space="preserve">Calculado con los nuevos usuarios residenciales conectados por </w:t>
            </w:r>
            <w:proofErr w:type="spellStart"/>
            <w:r>
              <w:rPr>
                <w:rFonts w:ascii="Arial Narrow" w:hAnsi="Arial Narrow" w:cs="Arial"/>
                <w:sz w:val="20"/>
                <w:lang w:val="es-ES"/>
              </w:rPr>
              <w:t>Celesc</w:t>
            </w:r>
            <w:proofErr w:type="spellEnd"/>
            <w:r>
              <w:rPr>
                <w:rFonts w:ascii="Arial Narrow" w:hAnsi="Arial Narrow" w:cs="Arial"/>
                <w:sz w:val="20"/>
                <w:lang w:val="es-ES"/>
              </w:rPr>
              <w:t>-D</w:t>
            </w:r>
          </w:p>
        </w:tc>
        <w:tc>
          <w:tcPr>
            <w:tcW w:w="1576" w:type="dxa"/>
            <w:tcBorders>
              <w:top w:val="single" w:sz="8" w:space="0" w:color="4F81BD" w:themeColor="accent1"/>
              <w:bottom w:val="single" w:sz="8" w:space="0" w:color="4F81BD" w:themeColor="accent1"/>
            </w:tcBorders>
            <w:shd w:val="clear" w:color="auto" w:fill="FFFFFF" w:themeFill="background1"/>
            <w:vAlign w:val="center"/>
          </w:tcPr>
          <w:p w14:paraId="6B45893D" w14:textId="4EC384E5" w:rsidR="00150B20" w:rsidRPr="00333A4B" w:rsidRDefault="00150B2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Anual</w:t>
            </w:r>
          </w:p>
        </w:tc>
        <w:tc>
          <w:tcPr>
            <w:tcW w:w="1599" w:type="dxa"/>
            <w:tcBorders>
              <w:top w:val="single" w:sz="8" w:space="0" w:color="4F81BD" w:themeColor="accent1"/>
              <w:bottom w:val="single" w:sz="8" w:space="0" w:color="4F81BD" w:themeColor="accent1"/>
            </w:tcBorders>
            <w:shd w:val="clear" w:color="auto" w:fill="FFFFFF" w:themeFill="background1"/>
            <w:vAlign w:val="center"/>
          </w:tcPr>
          <w:p w14:paraId="65AED26F" w14:textId="1CDE1803" w:rsidR="00150B20" w:rsidRPr="00333A4B" w:rsidRDefault="00150B20"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150B20">
              <w:rPr>
                <w:rFonts w:ascii="Arial Narrow" w:hAnsi="Arial Narrow" w:cs="Arial"/>
                <w:sz w:val="20"/>
                <w:lang w:val="es-ES"/>
              </w:rPr>
              <w:t xml:space="preserve">Reporte de </w:t>
            </w:r>
            <w:proofErr w:type="spellStart"/>
            <w:r w:rsidRPr="00150B20">
              <w:rPr>
                <w:rFonts w:ascii="Arial Narrow" w:hAnsi="Arial Narrow" w:cs="Arial"/>
                <w:sz w:val="20"/>
                <w:lang w:val="es-ES"/>
              </w:rPr>
              <w:t>C</w:t>
            </w:r>
            <w:r>
              <w:rPr>
                <w:rFonts w:ascii="Arial Narrow" w:hAnsi="Arial Narrow" w:cs="Arial"/>
                <w:sz w:val="20"/>
                <w:lang w:val="es-ES"/>
              </w:rPr>
              <w:t>elesc</w:t>
            </w:r>
            <w:proofErr w:type="spellEnd"/>
            <w:r w:rsidRPr="00150B20">
              <w:rPr>
                <w:rFonts w:ascii="Arial Narrow" w:hAnsi="Arial Narrow" w:cs="Arial"/>
                <w:sz w:val="20"/>
                <w:lang w:val="es-ES"/>
              </w:rPr>
              <w:t>-D</w:t>
            </w:r>
          </w:p>
        </w:tc>
      </w:tr>
      <w:tr w:rsidR="00333A4B" w:rsidRPr="00333A4B" w14:paraId="3E286BE9" w14:textId="77777777" w:rsidTr="00150B20">
        <w:trPr>
          <w:trHeight w:val="1330"/>
        </w:trPr>
        <w:tc>
          <w:tcPr>
            <w:cnfStyle w:val="001000000000" w:firstRow="0" w:lastRow="0" w:firstColumn="1" w:lastColumn="0" w:oddVBand="0" w:evenVBand="0" w:oddHBand="0" w:evenHBand="0" w:firstRowFirstColumn="0" w:firstRowLastColumn="0" w:lastRowFirstColumn="0" w:lastRowLastColumn="0"/>
            <w:tcW w:w="2085" w:type="dxa"/>
            <w:vMerge w:val="restart"/>
            <w:tcBorders>
              <w:top w:val="single" w:sz="8" w:space="0" w:color="4F81BD" w:themeColor="accent1"/>
            </w:tcBorders>
            <w:shd w:val="clear" w:color="auto" w:fill="FFFFFF" w:themeFill="background1"/>
            <w:vAlign w:val="center"/>
          </w:tcPr>
          <w:p w14:paraId="6B77E43D" w14:textId="26F8E30C" w:rsidR="00333A4B" w:rsidRPr="00333A4B" w:rsidRDefault="00333A4B" w:rsidP="00333A4B">
            <w:pPr>
              <w:rPr>
                <w:rFonts w:ascii="Arial Narrow" w:hAnsi="Arial Narrow" w:cs="Arial"/>
                <w:sz w:val="20"/>
                <w:lang w:val="es-ES"/>
              </w:rPr>
            </w:pPr>
            <w:r w:rsidRPr="00333A4B">
              <w:rPr>
                <w:rFonts w:ascii="Arial Narrow" w:hAnsi="Arial Narrow" w:cs="Arial"/>
                <w:sz w:val="20"/>
                <w:lang w:val="es-ES"/>
              </w:rPr>
              <w:t xml:space="preserve">R2. </w:t>
            </w:r>
            <w:proofErr w:type="spellStart"/>
            <w:r w:rsidR="008E2F16" w:rsidRPr="008E2F16">
              <w:rPr>
                <w:rFonts w:ascii="Arial Narrow" w:hAnsi="Arial Narrow" w:cs="Arial"/>
                <w:sz w:val="20"/>
                <w:lang w:val="es-ES"/>
              </w:rPr>
              <w:t>Celesc</w:t>
            </w:r>
            <w:proofErr w:type="spellEnd"/>
            <w:r w:rsidR="008E2F16" w:rsidRPr="008E2F16">
              <w:rPr>
                <w:rFonts w:ascii="Arial Narrow" w:hAnsi="Arial Narrow" w:cs="Arial"/>
                <w:sz w:val="20"/>
                <w:lang w:val="es-ES"/>
              </w:rPr>
              <w:t>-D mejora la calidad del servicio eléctrico y sus indicadores de gestión, disminuyendo la duración y frecuencia de cortes y sus pérdidas no técnicas.</w:t>
            </w:r>
          </w:p>
        </w:tc>
        <w:tc>
          <w:tcPr>
            <w:tcW w:w="1995" w:type="dxa"/>
            <w:tcBorders>
              <w:top w:val="single" w:sz="8" w:space="0" w:color="4F81BD" w:themeColor="accent1"/>
              <w:bottom w:val="single" w:sz="8" w:space="0" w:color="4F81BD" w:themeColor="accent1"/>
            </w:tcBorders>
            <w:shd w:val="clear" w:color="auto" w:fill="FFFFFF" w:themeFill="background1"/>
            <w:vAlign w:val="center"/>
          </w:tcPr>
          <w:p w14:paraId="717BF609" w14:textId="77777777" w:rsidR="00333A4B" w:rsidRPr="00333A4B" w:rsidRDefault="00333A4B" w:rsidP="00333A4B">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Duración Equivalente de Interrupción por Unidad Consumidora (DEC)</w:t>
            </w:r>
          </w:p>
        </w:tc>
        <w:tc>
          <w:tcPr>
            <w:tcW w:w="2321" w:type="dxa"/>
            <w:tcBorders>
              <w:top w:val="single" w:sz="8" w:space="0" w:color="4F81BD" w:themeColor="accent1"/>
              <w:bottom w:val="single" w:sz="8" w:space="0" w:color="4F81BD" w:themeColor="accent1"/>
            </w:tcBorders>
            <w:shd w:val="clear" w:color="auto" w:fill="FFFFFF" w:themeFill="background1"/>
            <w:vAlign w:val="center"/>
          </w:tcPr>
          <w:p w14:paraId="3B9ABD77" w14:textId="0B6D4F87" w:rsid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horas/usuario/año</w:t>
            </w:r>
          </w:p>
          <w:p w14:paraId="7B90AF3A" w14:textId="77777777" w:rsidR="00150B20" w:rsidRPr="00333A4B" w:rsidRDefault="00150B20"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p>
          <w:p w14:paraId="120DE701" w14:textId="261F02C0" w:rsidR="00333A4B" w:rsidRPr="00333A4B" w:rsidRDefault="00150B20"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Pr>
                <w:rFonts w:ascii="Arial Narrow" w:hAnsi="Arial Narrow" w:cs="Arial"/>
                <w:sz w:val="20"/>
                <w:lang w:val="es-ES"/>
              </w:rPr>
              <w:t>C</w:t>
            </w:r>
            <w:r w:rsidR="00333A4B" w:rsidRPr="00333A4B">
              <w:rPr>
                <w:rFonts w:ascii="Arial Narrow" w:hAnsi="Arial Narrow" w:cs="Arial"/>
                <w:sz w:val="20"/>
                <w:lang w:val="es-ES"/>
              </w:rPr>
              <w:t>alculado con base en metodología de ANEEL (</w:t>
            </w:r>
            <w:proofErr w:type="spellStart"/>
            <w:r w:rsidR="00333A4B" w:rsidRPr="00333A4B">
              <w:rPr>
                <w:rFonts w:ascii="Arial Narrow" w:hAnsi="Arial Narrow" w:cs="Arial"/>
                <w:sz w:val="20"/>
                <w:lang w:val="es-ES"/>
              </w:rPr>
              <w:t>Prodist</w:t>
            </w:r>
            <w:proofErr w:type="spellEnd"/>
            <w:r w:rsidR="00333A4B" w:rsidRPr="00333A4B">
              <w:rPr>
                <w:rFonts w:ascii="Arial Narrow" w:hAnsi="Arial Narrow" w:cs="Arial"/>
                <w:sz w:val="20"/>
                <w:lang w:val="es-ES"/>
              </w:rPr>
              <w:t xml:space="preserve"> módulo 8)</w:t>
            </w:r>
          </w:p>
        </w:tc>
        <w:tc>
          <w:tcPr>
            <w:tcW w:w="1576" w:type="dxa"/>
            <w:tcBorders>
              <w:top w:val="single" w:sz="8" w:space="0" w:color="4F81BD" w:themeColor="accent1"/>
              <w:bottom w:val="single" w:sz="8" w:space="0" w:color="4F81BD" w:themeColor="accent1"/>
            </w:tcBorders>
            <w:shd w:val="clear" w:color="auto" w:fill="FFFFFF" w:themeFill="background1"/>
            <w:vAlign w:val="center"/>
          </w:tcPr>
          <w:p w14:paraId="3A63D313"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Anual</w:t>
            </w:r>
          </w:p>
        </w:tc>
        <w:tc>
          <w:tcPr>
            <w:tcW w:w="1599" w:type="dxa"/>
            <w:tcBorders>
              <w:top w:val="single" w:sz="8" w:space="0" w:color="4F81BD" w:themeColor="accent1"/>
              <w:bottom w:val="single" w:sz="8" w:space="0" w:color="4F81BD" w:themeColor="accent1"/>
            </w:tcBorders>
            <w:shd w:val="clear" w:color="auto" w:fill="FFFFFF" w:themeFill="background1"/>
            <w:vAlign w:val="center"/>
          </w:tcPr>
          <w:p w14:paraId="22A56535" w14:textId="73C394A9"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Reporte de </w:t>
            </w:r>
            <w:proofErr w:type="spellStart"/>
            <w:r w:rsidR="00150B20" w:rsidRPr="00333A4B">
              <w:rPr>
                <w:rFonts w:ascii="Arial Narrow" w:hAnsi="Arial Narrow" w:cs="Arial"/>
                <w:sz w:val="20"/>
                <w:lang w:val="es-ES"/>
              </w:rPr>
              <w:t>C</w:t>
            </w:r>
            <w:r w:rsidR="00150B20">
              <w:rPr>
                <w:rFonts w:ascii="Arial Narrow" w:hAnsi="Arial Narrow" w:cs="Arial"/>
                <w:sz w:val="20"/>
                <w:lang w:val="es-ES"/>
              </w:rPr>
              <w:t>elesc</w:t>
            </w:r>
            <w:proofErr w:type="spellEnd"/>
            <w:r w:rsidRPr="00333A4B">
              <w:rPr>
                <w:rFonts w:ascii="Arial Narrow" w:hAnsi="Arial Narrow" w:cs="Arial"/>
                <w:sz w:val="20"/>
                <w:lang w:val="es-ES"/>
              </w:rPr>
              <w:t xml:space="preserve">-D </w:t>
            </w:r>
          </w:p>
        </w:tc>
      </w:tr>
      <w:tr w:rsidR="00333A4B" w:rsidRPr="00333A4B" w14:paraId="2C2E0B0F" w14:textId="77777777" w:rsidTr="00150B20">
        <w:trPr>
          <w:cnfStyle w:val="000000100000" w:firstRow="0" w:lastRow="0" w:firstColumn="0" w:lastColumn="0" w:oddVBand="0" w:evenVBand="0" w:oddHBand="1" w:evenHBand="0" w:firstRowFirstColumn="0" w:firstRowLastColumn="0" w:lastRowFirstColumn="0" w:lastRowLastColumn="0"/>
          <w:trHeight w:val="1330"/>
        </w:trPr>
        <w:tc>
          <w:tcPr>
            <w:cnfStyle w:val="001000000000" w:firstRow="0" w:lastRow="0" w:firstColumn="1" w:lastColumn="0" w:oddVBand="0" w:evenVBand="0" w:oddHBand="0" w:evenHBand="0" w:firstRowFirstColumn="0" w:firstRowLastColumn="0" w:lastRowFirstColumn="0" w:lastRowLastColumn="0"/>
            <w:tcW w:w="2085" w:type="dxa"/>
            <w:vMerge/>
            <w:shd w:val="clear" w:color="auto" w:fill="FFFFFF" w:themeFill="background1"/>
            <w:vAlign w:val="center"/>
          </w:tcPr>
          <w:p w14:paraId="2FC09254" w14:textId="77777777" w:rsidR="00333A4B" w:rsidRPr="00333A4B" w:rsidRDefault="00333A4B" w:rsidP="00333A4B">
            <w:pPr>
              <w:rPr>
                <w:rFonts w:ascii="Arial Narrow" w:hAnsi="Arial Narrow" w:cs="Arial"/>
                <w:sz w:val="20"/>
                <w:lang w:val="es-ES"/>
              </w:rPr>
            </w:pPr>
          </w:p>
        </w:tc>
        <w:tc>
          <w:tcPr>
            <w:tcW w:w="1995" w:type="dxa"/>
            <w:tcBorders>
              <w:top w:val="single" w:sz="8" w:space="0" w:color="4F81BD" w:themeColor="accent1"/>
              <w:bottom w:val="single" w:sz="8" w:space="0" w:color="4F81BD" w:themeColor="accent1"/>
            </w:tcBorders>
            <w:shd w:val="clear" w:color="auto" w:fill="FFFFFF" w:themeFill="background1"/>
            <w:vAlign w:val="center"/>
          </w:tcPr>
          <w:p w14:paraId="09BA5B57" w14:textId="77777777" w:rsidR="00333A4B" w:rsidRPr="00333A4B" w:rsidRDefault="00333A4B" w:rsidP="00333A4B">
            <w:pP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Frecuencia Equivalente de Interrupción por Unidad Consumidora (FEC)</w:t>
            </w:r>
          </w:p>
        </w:tc>
        <w:tc>
          <w:tcPr>
            <w:tcW w:w="2321" w:type="dxa"/>
            <w:tcBorders>
              <w:top w:val="single" w:sz="8" w:space="0" w:color="4F81BD" w:themeColor="accent1"/>
              <w:bottom w:val="single" w:sz="8" w:space="0" w:color="4F81BD" w:themeColor="accent1"/>
            </w:tcBorders>
            <w:shd w:val="clear" w:color="auto" w:fill="FFFFFF" w:themeFill="background1"/>
            <w:vAlign w:val="center"/>
          </w:tcPr>
          <w:p w14:paraId="4D4EBC45"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cortes/usuario/año</w:t>
            </w:r>
          </w:p>
          <w:p w14:paraId="60998E96"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p>
          <w:p w14:paraId="7E00036E"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calculado con base en metodología de ANEEL (</w:t>
            </w:r>
            <w:proofErr w:type="spellStart"/>
            <w:r w:rsidRPr="00333A4B">
              <w:rPr>
                <w:rFonts w:ascii="Arial Narrow" w:hAnsi="Arial Narrow" w:cs="Arial"/>
                <w:sz w:val="20"/>
                <w:lang w:val="es-ES"/>
              </w:rPr>
              <w:t>Prodist</w:t>
            </w:r>
            <w:proofErr w:type="spellEnd"/>
            <w:r w:rsidRPr="00333A4B">
              <w:rPr>
                <w:rFonts w:ascii="Arial Narrow" w:hAnsi="Arial Narrow" w:cs="Arial"/>
                <w:sz w:val="20"/>
                <w:lang w:val="es-ES"/>
              </w:rPr>
              <w:t xml:space="preserve"> módulo 8)</w:t>
            </w:r>
          </w:p>
        </w:tc>
        <w:tc>
          <w:tcPr>
            <w:tcW w:w="1576" w:type="dxa"/>
            <w:tcBorders>
              <w:top w:val="single" w:sz="8" w:space="0" w:color="4F81BD" w:themeColor="accent1"/>
              <w:bottom w:val="single" w:sz="8" w:space="0" w:color="4F81BD" w:themeColor="accent1"/>
            </w:tcBorders>
            <w:shd w:val="clear" w:color="auto" w:fill="FFFFFF" w:themeFill="background1"/>
            <w:vAlign w:val="center"/>
          </w:tcPr>
          <w:p w14:paraId="6190853A" w14:textId="77777777"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Anual</w:t>
            </w:r>
          </w:p>
        </w:tc>
        <w:tc>
          <w:tcPr>
            <w:tcW w:w="1599" w:type="dxa"/>
            <w:tcBorders>
              <w:top w:val="single" w:sz="8" w:space="0" w:color="4F81BD" w:themeColor="accent1"/>
              <w:bottom w:val="single" w:sz="8" w:space="0" w:color="4F81BD" w:themeColor="accent1"/>
            </w:tcBorders>
            <w:shd w:val="clear" w:color="auto" w:fill="FFFFFF" w:themeFill="background1"/>
            <w:vAlign w:val="center"/>
          </w:tcPr>
          <w:p w14:paraId="0053DC10" w14:textId="312B0398" w:rsidR="00333A4B" w:rsidRPr="00333A4B" w:rsidRDefault="00333A4B" w:rsidP="00333A4B">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Reporte de </w:t>
            </w:r>
            <w:proofErr w:type="spellStart"/>
            <w:r w:rsidR="00150B20" w:rsidRPr="00333A4B">
              <w:rPr>
                <w:rFonts w:ascii="Arial Narrow" w:hAnsi="Arial Narrow" w:cs="Arial"/>
                <w:sz w:val="20"/>
                <w:lang w:val="es-ES"/>
              </w:rPr>
              <w:t>C</w:t>
            </w:r>
            <w:r w:rsidR="00150B20">
              <w:rPr>
                <w:rFonts w:ascii="Arial Narrow" w:hAnsi="Arial Narrow" w:cs="Arial"/>
                <w:sz w:val="20"/>
                <w:lang w:val="es-ES"/>
              </w:rPr>
              <w:t>elesc</w:t>
            </w:r>
            <w:proofErr w:type="spellEnd"/>
            <w:r w:rsidRPr="00333A4B">
              <w:rPr>
                <w:rFonts w:ascii="Arial Narrow" w:hAnsi="Arial Narrow" w:cs="Arial"/>
                <w:sz w:val="20"/>
                <w:lang w:val="es-ES"/>
              </w:rPr>
              <w:t xml:space="preserve">-D </w:t>
            </w:r>
          </w:p>
        </w:tc>
      </w:tr>
      <w:tr w:rsidR="00333A4B" w:rsidRPr="00333A4B" w14:paraId="7BADC40C" w14:textId="77777777" w:rsidTr="00150B20">
        <w:trPr>
          <w:trHeight w:val="378"/>
        </w:trPr>
        <w:tc>
          <w:tcPr>
            <w:cnfStyle w:val="001000000000" w:firstRow="0" w:lastRow="0" w:firstColumn="1" w:lastColumn="0" w:oddVBand="0" w:evenVBand="0" w:oddHBand="0" w:evenHBand="0" w:firstRowFirstColumn="0" w:firstRowLastColumn="0" w:lastRowFirstColumn="0" w:lastRowLastColumn="0"/>
            <w:tcW w:w="2085" w:type="dxa"/>
            <w:vMerge/>
            <w:shd w:val="clear" w:color="auto" w:fill="FFFFFF" w:themeFill="background1"/>
            <w:vAlign w:val="center"/>
          </w:tcPr>
          <w:p w14:paraId="7D6B0F98" w14:textId="77777777" w:rsidR="00333A4B" w:rsidRPr="00333A4B" w:rsidRDefault="00333A4B" w:rsidP="00333A4B">
            <w:pPr>
              <w:rPr>
                <w:rFonts w:ascii="Arial Narrow" w:hAnsi="Arial Narrow" w:cs="Arial"/>
                <w:sz w:val="20"/>
                <w:lang w:val="es-ES"/>
              </w:rPr>
            </w:pPr>
          </w:p>
        </w:tc>
        <w:tc>
          <w:tcPr>
            <w:tcW w:w="1995" w:type="dxa"/>
            <w:tcBorders>
              <w:top w:val="single" w:sz="8" w:space="0" w:color="4F81BD" w:themeColor="accent1"/>
            </w:tcBorders>
            <w:shd w:val="clear" w:color="auto" w:fill="FFFFFF" w:themeFill="background1"/>
            <w:vAlign w:val="center"/>
          </w:tcPr>
          <w:p w14:paraId="0F423DF2" w14:textId="5C87FA82" w:rsidR="00333A4B" w:rsidRPr="00333A4B" w:rsidRDefault="00333A4B" w:rsidP="00333A4B">
            <w:pP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Pérdidas eléctricas</w:t>
            </w:r>
            <w:r w:rsidR="003163A8">
              <w:rPr>
                <w:rFonts w:ascii="Arial Narrow" w:hAnsi="Arial Narrow" w:cs="Arial"/>
                <w:sz w:val="20"/>
                <w:lang w:val="es-ES"/>
              </w:rPr>
              <w:t xml:space="preserve"> totales</w:t>
            </w:r>
          </w:p>
        </w:tc>
        <w:tc>
          <w:tcPr>
            <w:tcW w:w="2321" w:type="dxa"/>
            <w:tcBorders>
              <w:top w:val="single" w:sz="8" w:space="0" w:color="4F81BD" w:themeColor="accent1"/>
            </w:tcBorders>
            <w:shd w:val="clear" w:color="auto" w:fill="FFFFFF" w:themeFill="background1"/>
            <w:vAlign w:val="center"/>
          </w:tcPr>
          <w:p w14:paraId="7B4F2CD3"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de la demanda</w:t>
            </w:r>
          </w:p>
          <w:p w14:paraId="27779889"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p>
          <w:p w14:paraId="3223793E"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calculado con base en metodología de ANEEL (</w:t>
            </w:r>
            <w:proofErr w:type="spellStart"/>
            <w:r w:rsidRPr="00333A4B">
              <w:rPr>
                <w:rFonts w:ascii="Arial Narrow" w:hAnsi="Arial Narrow" w:cs="Arial"/>
                <w:sz w:val="20"/>
                <w:lang w:val="es-ES"/>
              </w:rPr>
              <w:t>Prodist</w:t>
            </w:r>
            <w:proofErr w:type="spellEnd"/>
            <w:r w:rsidRPr="00333A4B">
              <w:rPr>
                <w:rFonts w:ascii="Arial Narrow" w:hAnsi="Arial Narrow" w:cs="Arial"/>
                <w:sz w:val="20"/>
                <w:lang w:val="es-ES"/>
              </w:rPr>
              <w:t xml:space="preserve"> módulo 7)</w:t>
            </w:r>
          </w:p>
        </w:tc>
        <w:tc>
          <w:tcPr>
            <w:tcW w:w="1576" w:type="dxa"/>
            <w:tcBorders>
              <w:top w:val="single" w:sz="8" w:space="0" w:color="4F81BD" w:themeColor="accent1"/>
            </w:tcBorders>
            <w:shd w:val="clear" w:color="auto" w:fill="FFFFFF" w:themeFill="background1"/>
            <w:vAlign w:val="center"/>
          </w:tcPr>
          <w:p w14:paraId="15EEFF37" w14:textId="77777777"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Anual</w:t>
            </w:r>
          </w:p>
        </w:tc>
        <w:tc>
          <w:tcPr>
            <w:tcW w:w="1599" w:type="dxa"/>
            <w:tcBorders>
              <w:top w:val="single" w:sz="8" w:space="0" w:color="4F81BD" w:themeColor="accent1"/>
            </w:tcBorders>
            <w:shd w:val="clear" w:color="auto" w:fill="FFFFFF" w:themeFill="background1"/>
            <w:vAlign w:val="center"/>
          </w:tcPr>
          <w:p w14:paraId="0CC1A398" w14:textId="5A359CC8" w:rsidR="00333A4B" w:rsidRPr="00333A4B" w:rsidRDefault="00333A4B" w:rsidP="00333A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sz w:val="20"/>
                <w:lang w:val="es-ES"/>
              </w:rPr>
            </w:pPr>
            <w:r w:rsidRPr="00333A4B">
              <w:rPr>
                <w:rFonts w:ascii="Arial Narrow" w:hAnsi="Arial Narrow" w:cs="Arial"/>
                <w:sz w:val="20"/>
                <w:lang w:val="es-ES"/>
              </w:rPr>
              <w:t xml:space="preserve">Reporte de </w:t>
            </w:r>
            <w:proofErr w:type="spellStart"/>
            <w:r w:rsidR="00150B20" w:rsidRPr="00333A4B">
              <w:rPr>
                <w:rFonts w:ascii="Arial Narrow" w:hAnsi="Arial Narrow" w:cs="Arial"/>
                <w:sz w:val="20"/>
                <w:lang w:val="es-ES"/>
              </w:rPr>
              <w:t>C</w:t>
            </w:r>
            <w:r w:rsidR="00150B20">
              <w:rPr>
                <w:rFonts w:ascii="Arial Narrow" w:hAnsi="Arial Narrow" w:cs="Arial"/>
                <w:sz w:val="20"/>
                <w:lang w:val="es-ES"/>
              </w:rPr>
              <w:t>elesc</w:t>
            </w:r>
            <w:proofErr w:type="spellEnd"/>
            <w:r w:rsidRPr="00333A4B">
              <w:rPr>
                <w:rFonts w:ascii="Arial Narrow" w:hAnsi="Arial Narrow" w:cs="Arial"/>
                <w:sz w:val="20"/>
                <w:lang w:val="es-ES"/>
              </w:rPr>
              <w:t xml:space="preserve">-D; </w:t>
            </w:r>
          </w:p>
        </w:tc>
      </w:tr>
    </w:tbl>
    <w:p w14:paraId="54470BA6" w14:textId="77777777" w:rsidR="00333A4B" w:rsidRPr="00333A4B" w:rsidRDefault="00333A4B" w:rsidP="00333A4B">
      <w:pPr>
        <w:ind w:left="1080"/>
        <w:contextualSpacing/>
        <w:jc w:val="both"/>
        <w:rPr>
          <w:rFonts w:ascii="Arial" w:hAnsi="Arial" w:cs="Arial"/>
          <w:lang w:val="es-ES"/>
        </w:rPr>
      </w:pPr>
    </w:p>
    <w:p w14:paraId="4496D2EB"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5.3</w:t>
      </w:r>
      <w:r w:rsidRPr="00333A4B">
        <w:rPr>
          <w:rFonts w:ascii="Arial" w:hAnsi="Arial" w:cs="Arial"/>
          <w:lang w:val="es-ES"/>
        </w:rPr>
        <w:tab/>
        <w:t>La evaluación del Programa consistirá en: (i) una evaluación cualitativa intermedia, en base a los indicadores de resultados; (ii) una evaluación cualitativa final del proyecto, en base a los indicadores de resultados; (iii) una evaluación económica de Costo-Beneficio ex-post, y (iv) El Reporte de Cierre del Programa (PCR), a ser preparado por el equipo del Banco una vez concluida la ejecución del Programa.</w:t>
      </w:r>
    </w:p>
    <w:p w14:paraId="6926659F" w14:textId="646E0FCF"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lastRenderedPageBreak/>
        <w:t>5.4</w:t>
      </w:r>
      <w:r w:rsidRPr="00333A4B">
        <w:rPr>
          <w:rFonts w:ascii="Arial" w:hAnsi="Arial" w:cs="Arial"/>
          <w:lang w:val="es-ES"/>
        </w:rPr>
        <w:tab/>
        <w:t xml:space="preserve">La </w:t>
      </w:r>
      <w:r w:rsidRPr="00B04630">
        <w:rPr>
          <w:rFonts w:ascii="Arial" w:hAnsi="Arial" w:cs="Arial"/>
          <w:i/>
          <w:lang w:val="es-ES"/>
        </w:rPr>
        <w:t>evaluación de medio término</w:t>
      </w:r>
      <w:r w:rsidRPr="00333A4B">
        <w:rPr>
          <w:rFonts w:ascii="Arial" w:hAnsi="Arial" w:cs="Arial"/>
          <w:lang w:val="es-ES"/>
        </w:rPr>
        <w:t xml:space="preserve"> se realizará a los sesenta (60) días contados a partir de la fecha en que se haya desembolsado el 50% de los recursos del préstamo</w:t>
      </w:r>
      <w:r w:rsidR="00DD69F7">
        <w:rPr>
          <w:rFonts w:ascii="Arial" w:hAnsi="Arial" w:cs="Arial"/>
          <w:lang w:val="es-ES"/>
        </w:rPr>
        <w:t>, caso sea requerido por el Banco</w:t>
      </w:r>
      <w:r w:rsidRPr="00333A4B">
        <w:rPr>
          <w:rFonts w:ascii="Arial" w:hAnsi="Arial" w:cs="Arial"/>
          <w:lang w:val="es-ES"/>
        </w:rPr>
        <w:t>. La UCP realizará esta evaluación intermedia para verificar el cumplimiento en la ejecución general del proyecto y el avance hacia la consecución de metas de la Matriz de Resultados. Esta evaluación identificará si el Programa está logrando los resultados últimos previstos y si está avanzando adecuadamente hacia la consecución del objetivo planteado. Además</w:t>
      </w:r>
      <w:r w:rsidR="00F95D22">
        <w:rPr>
          <w:rFonts w:ascii="Arial" w:hAnsi="Arial" w:cs="Arial"/>
          <w:lang w:val="es-ES"/>
        </w:rPr>
        <w:t>,</w:t>
      </w:r>
      <w:r w:rsidRPr="00333A4B">
        <w:rPr>
          <w:rFonts w:ascii="Arial" w:hAnsi="Arial" w:cs="Arial"/>
          <w:lang w:val="es-ES"/>
        </w:rPr>
        <w:t xml:space="preserve"> analizará la estrategia de la operación y su pertinencia para la situación del entorno. Verificará si los supuestos indicados en la Matriz de Resultados se han cumplido. También incluirá un análisis de los arreglos operativos y administrativos empleados y recomendaciones para su optimización. Asimismo</w:t>
      </w:r>
      <w:r w:rsidR="00F95D22">
        <w:rPr>
          <w:rFonts w:ascii="Arial" w:hAnsi="Arial" w:cs="Arial"/>
          <w:lang w:val="es-ES"/>
        </w:rPr>
        <w:t>,</w:t>
      </w:r>
      <w:r w:rsidRPr="00333A4B">
        <w:rPr>
          <w:rFonts w:ascii="Arial" w:hAnsi="Arial" w:cs="Arial"/>
          <w:lang w:val="es-ES"/>
        </w:rPr>
        <w:t xml:space="preserve"> analizará el cumplimiento de los compromisos establecidos en el Convenio BR-L1491, y en el MOP. La evaluación de medio término deberá orientar a los ejecutores del proyecto respecto a ajustes estratégicos y operativos que fuesen necesarios adoptar.</w:t>
      </w:r>
    </w:p>
    <w:p w14:paraId="01158651" w14:textId="63CE0C54"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5.5</w:t>
      </w:r>
      <w:r w:rsidRPr="00333A4B">
        <w:rPr>
          <w:rFonts w:ascii="Arial" w:hAnsi="Arial" w:cs="Arial"/>
          <w:lang w:val="es-ES"/>
        </w:rPr>
        <w:tab/>
        <w:t xml:space="preserve">La </w:t>
      </w:r>
      <w:r w:rsidRPr="00B04630">
        <w:rPr>
          <w:rFonts w:ascii="Arial" w:hAnsi="Arial" w:cs="Arial"/>
          <w:i/>
          <w:lang w:val="es-ES"/>
        </w:rPr>
        <w:t>Evaluación Final</w:t>
      </w:r>
      <w:r w:rsidRPr="00333A4B">
        <w:rPr>
          <w:rFonts w:ascii="Arial" w:hAnsi="Arial" w:cs="Arial"/>
          <w:lang w:val="es-ES"/>
        </w:rPr>
        <w:t xml:space="preserve"> se realizará en formato de PCR, a fin de servir como un insumo para la preparación del mismo. La misma se realizará una dentro de los </w:t>
      </w:r>
      <w:r w:rsidR="00DD69F7">
        <w:rPr>
          <w:rFonts w:ascii="Arial" w:hAnsi="Arial" w:cs="Arial"/>
          <w:lang w:val="es-ES"/>
        </w:rPr>
        <w:t>noventa</w:t>
      </w:r>
      <w:r w:rsidR="00DD69F7" w:rsidRPr="00333A4B">
        <w:rPr>
          <w:rFonts w:ascii="Arial" w:hAnsi="Arial" w:cs="Arial"/>
          <w:lang w:val="es-ES"/>
        </w:rPr>
        <w:t xml:space="preserve"> </w:t>
      </w:r>
      <w:r w:rsidRPr="00333A4B">
        <w:rPr>
          <w:rFonts w:ascii="Arial" w:hAnsi="Arial" w:cs="Arial"/>
          <w:lang w:val="es-ES"/>
        </w:rPr>
        <w:t>(</w:t>
      </w:r>
      <w:r w:rsidR="00DD69F7">
        <w:rPr>
          <w:rFonts w:ascii="Arial" w:hAnsi="Arial" w:cs="Arial"/>
          <w:lang w:val="es-ES"/>
        </w:rPr>
        <w:t>9</w:t>
      </w:r>
      <w:r w:rsidRPr="00333A4B">
        <w:rPr>
          <w:rFonts w:ascii="Arial" w:hAnsi="Arial" w:cs="Arial"/>
          <w:lang w:val="es-ES"/>
        </w:rPr>
        <w:t>0) días contados a partir de la fecha en que se haya desembolsado el 90% de los recursos del financiamiento del BID. Esta evaluación verificará el cumplimiento de la lógica vertical del Programa, el grado de alcance de los resultados, y el grado de avance de los productos. Asimismo, registrará lecciones aprendidas que deban ser aplicadas en operaciones similares.</w:t>
      </w:r>
    </w:p>
    <w:p w14:paraId="31CE8713" w14:textId="48C784C5"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5.6</w:t>
      </w:r>
      <w:r w:rsidRPr="00333A4B">
        <w:rPr>
          <w:rFonts w:ascii="Arial" w:hAnsi="Arial" w:cs="Arial"/>
          <w:lang w:val="es-ES"/>
        </w:rPr>
        <w:tab/>
      </w:r>
      <w:r w:rsidR="00DD69F7">
        <w:rPr>
          <w:rFonts w:ascii="Arial" w:hAnsi="Arial" w:cs="Arial"/>
          <w:lang w:val="es-ES"/>
        </w:rPr>
        <w:t>La UCP realizará</w:t>
      </w:r>
      <w:r w:rsidRPr="00333A4B">
        <w:rPr>
          <w:rFonts w:ascii="Arial" w:hAnsi="Arial" w:cs="Arial"/>
          <w:lang w:val="es-ES"/>
        </w:rPr>
        <w:t xml:space="preserve"> un </w:t>
      </w:r>
      <w:r w:rsidRPr="00B04630">
        <w:rPr>
          <w:rFonts w:ascii="Arial" w:hAnsi="Arial" w:cs="Arial"/>
          <w:i/>
          <w:lang w:val="es-ES"/>
        </w:rPr>
        <w:t>Análisis Costo-Beneficio ex–post</w:t>
      </w:r>
      <w:r w:rsidRPr="00333A4B">
        <w:rPr>
          <w:rFonts w:ascii="Arial" w:hAnsi="Arial" w:cs="Arial"/>
          <w:lang w:val="es-ES"/>
        </w:rPr>
        <w:t xml:space="preserve"> considerando datos actualizados de: (i) costos de la infraestructura financiada por el Programa; (ii) consumo de electricidad y proyecciones de demanda; y (iii) FEC, DEC y pérdidas eléctricas. Esta evaluación </w:t>
      </w:r>
      <w:r w:rsidR="00404D7D">
        <w:rPr>
          <w:rFonts w:ascii="Arial" w:hAnsi="Arial" w:cs="Arial"/>
          <w:lang w:val="es-ES"/>
        </w:rPr>
        <w:t>deberá ser presentada al Banco a los 90 días de la fecha de</w:t>
      </w:r>
      <w:r w:rsidR="00DD69F7">
        <w:rPr>
          <w:rFonts w:ascii="Arial" w:hAnsi="Arial" w:cs="Arial"/>
          <w:lang w:val="es-ES"/>
        </w:rPr>
        <w:t>l</w:t>
      </w:r>
      <w:r w:rsidR="00404D7D">
        <w:rPr>
          <w:rFonts w:ascii="Arial" w:hAnsi="Arial" w:cs="Arial"/>
          <w:lang w:val="es-ES"/>
        </w:rPr>
        <w:t xml:space="preserve"> último desembolso. </w:t>
      </w:r>
      <w:r w:rsidRPr="00333A4B">
        <w:rPr>
          <w:rFonts w:ascii="Arial" w:hAnsi="Arial" w:cs="Arial"/>
          <w:lang w:val="es-ES"/>
        </w:rPr>
        <w:t xml:space="preserve">La evaluación deberá seguir la misma metodología utilizada durante la evaluación para la preparación del préstamo, a fin de producir resultados comparables. </w:t>
      </w:r>
    </w:p>
    <w:p w14:paraId="5B20BFD7" w14:textId="77777777"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5.7</w:t>
      </w:r>
      <w:r w:rsidRPr="00333A4B">
        <w:rPr>
          <w:rFonts w:ascii="Arial" w:hAnsi="Arial" w:cs="Arial"/>
          <w:lang w:val="es-ES"/>
        </w:rPr>
        <w:tab/>
        <w:t xml:space="preserve">El </w:t>
      </w:r>
      <w:r w:rsidRPr="00B04630">
        <w:rPr>
          <w:rFonts w:ascii="Arial" w:hAnsi="Arial" w:cs="Arial"/>
          <w:i/>
          <w:lang w:val="es-ES"/>
        </w:rPr>
        <w:t>informe de terminación del Programa</w:t>
      </w:r>
      <w:r w:rsidRPr="00333A4B">
        <w:rPr>
          <w:rFonts w:ascii="Arial" w:hAnsi="Arial" w:cs="Arial"/>
          <w:lang w:val="es-ES"/>
        </w:rPr>
        <w:t xml:space="preserve"> será preparado de acuerdo con los procedimientos del BID por el equipo de proyecto (Equipo del BID), no más de seis meses después de realizado el último desembolso. El PCR evaluará si los objetivos del Programa fueron cumplidos, obteniendo lecciones aprendidas de cara a futuros proyectos y utilizará como insumo el CBA ex–post.</w:t>
      </w:r>
    </w:p>
    <w:p w14:paraId="126C7B94" w14:textId="1F4777C1" w:rsidR="00333A4B" w:rsidRPr="00333A4B" w:rsidRDefault="00333A4B" w:rsidP="00333A4B">
      <w:pPr>
        <w:spacing w:before="120" w:after="120"/>
        <w:ind w:left="720" w:hanging="720"/>
        <w:jc w:val="both"/>
        <w:rPr>
          <w:rFonts w:ascii="Arial" w:hAnsi="Arial" w:cs="Arial"/>
          <w:lang w:val="es-ES"/>
        </w:rPr>
      </w:pPr>
      <w:r w:rsidRPr="00333A4B">
        <w:rPr>
          <w:rFonts w:ascii="Arial" w:hAnsi="Arial" w:cs="Arial"/>
          <w:lang w:val="es-ES"/>
        </w:rPr>
        <w:t>5.8</w:t>
      </w:r>
      <w:r w:rsidRPr="00333A4B">
        <w:rPr>
          <w:rFonts w:ascii="Arial" w:hAnsi="Arial" w:cs="Arial"/>
          <w:lang w:val="es-ES"/>
        </w:rPr>
        <w:tab/>
        <w:t xml:space="preserve">Un consultor independiente será contratado para preparar las evaluaciones de medio término y final. El consultor se basará en la información del Programa de monitoreo e informes relacionados. El consultor también requerirá cooperación activa y retroalimentación de la UCP y del equipo del BID. El Programa cuenta con recursos del Préstamo de US$468 mil para realizar dichas evaluaciones, además de las auditorias (Tabla </w:t>
      </w:r>
      <w:r w:rsidR="00AD5B68">
        <w:rPr>
          <w:rFonts w:ascii="Arial" w:hAnsi="Arial" w:cs="Arial"/>
          <w:lang w:val="es-ES"/>
        </w:rPr>
        <w:t>5</w:t>
      </w:r>
      <w:r w:rsidRPr="00333A4B">
        <w:rPr>
          <w:rFonts w:ascii="Arial" w:hAnsi="Arial" w:cs="Arial"/>
          <w:lang w:val="es-ES"/>
        </w:rPr>
        <w:t>).</w:t>
      </w:r>
    </w:p>
    <w:p w14:paraId="5C20CDE6" w14:textId="12C1A432" w:rsidR="00333A4B" w:rsidRPr="00CC034E" w:rsidRDefault="00333A4B" w:rsidP="00B04630">
      <w:pPr>
        <w:ind w:left="720" w:hanging="720"/>
        <w:jc w:val="both"/>
        <w:rPr>
          <w:lang w:val="es-ES_tradnl"/>
        </w:rPr>
      </w:pPr>
      <w:r w:rsidRPr="00333A4B">
        <w:rPr>
          <w:rFonts w:ascii="Arial" w:hAnsi="Arial" w:cs="Arial"/>
          <w:lang w:val="es-ES"/>
        </w:rPr>
        <w:t>5.9</w:t>
      </w:r>
      <w:r w:rsidRPr="00333A4B">
        <w:rPr>
          <w:rFonts w:ascii="Arial" w:hAnsi="Arial" w:cs="Arial"/>
          <w:lang w:val="es-ES"/>
        </w:rPr>
        <w:tab/>
        <w:t xml:space="preserve">La </w:t>
      </w:r>
      <w:r w:rsidRPr="00B04630">
        <w:rPr>
          <w:rFonts w:ascii="Arial" w:hAnsi="Arial" w:cs="Arial"/>
          <w:i/>
          <w:lang w:val="es-ES"/>
        </w:rPr>
        <w:t>evaluación económica ex post</w:t>
      </w:r>
      <w:r w:rsidRPr="00333A4B">
        <w:rPr>
          <w:rFonts w:ascii="Arial" w:hAnsi="Arial" w:cs="Arial"/>
          <w:lang w:val="es-ES"/>
        </w:rPr>
        <w:t xml:space="preserve">, a ser realizada una vez concluido el Programa, será financiada con recursos propios de </w:t>
      </w:r>
      <w:proofErr w:type="spellStart"/>
      <w:r w:rsidRPr="00333A4B">
        <w:rPr>
          <w:rFonts w:ascii="Arial" w:hAnsi="Arial" w:cs="Arial"/>
          <w:lang w:val="es-ES"/>
        </w:rPr>
        <w:t>Celesc</w:t>
      </w:r>
      <w:proofErr w:type="spellEnd"/>
      <w:r w:rsidRPr="00333A4B">
        <w:rPr>
          <w:rFonts w:ascii="Arial" w:hAnsi="Arial" w:cs="Arial"/>
          <w:lang w:val="es-ES"/>
        </w:rPr>
        <w:t>-D. De la misma manera, el PCR, será realizado por el equipo del Banco, el cual absorberá el co</w:t>
      </w:r>
      <w:r>
        <w:rPr>
          <w:rFonts w:ascii="Arial" w:hAnsi="Arial" w:cs="Arial"/>
          <w:lang w:val="es-ES"/>
        </w:rPr>
        <w:t>sto.</w:t>
      </w:r>
    </w:p>
    <w:sectPr w:rsidR="00333A4B" w:rsidRPr="00CC03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A65EE" w14:textId="77777777" w:rsidR="00972738" w:rsidRDefault="00972738" w:rsidP="005F51A4">
      <w:pPr>
        <w:spacing w:after="0" w:line="240" w:lineRule="auto"/>
      </w:pPr>
      <w:r>
        <w:separator/>
      </w:r>
    </w:p>
  </w:endnote>
  <w:endnote w:type="continuationSeparator" w:id="0">
    <w:p w14:paraId="108466AE" w14:textId="77777777" w:rsidR="00972738" w:rsidRDefault="00972738" w:rsidP="005F5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BE3518" w14:textId="77777777" w:rsidR="00972738" w:rsidRDefault="00972738" w:rsidP="005F51A4">
      <w:pPr>
        <w:spacing w:after="0" w:line="240" w:lineRule="auto"/>
      </w:pPr>
      <w:r>
        <w:separator/>
      </w:r>
    </w:p>
  </w:footnote>
  <w:footnote w:type="continuationSeparator" w:id="0">
    <w:p w14:paraId="3DFC8F1A" w14:textId="77777777" w:rsidR="00972738" w:rsidRDefault="00972738" w:rsidP="005F51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F1B"/>
    <w:multiLevelType w:val="multilevel"/>
    <w:tmpl w:val="E2EAB98A"/>
    <w:lvl w:ilvl="0">
      <w:start w:val="1"/>
      <w:numFmt w:val="upperRoman"/>
      <w:lvlText w:val="%1."/>
      <w:lvlJc w:val="righ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1">
    <w:nsid w:val="00D108E0"/>
    <w:multiLevelType w:val="hybridMultilevel"/>
    <w:tmpl w:val="7A9C25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515F34"/>
    <w:multiLevelType w:val="hybridMultilevel"/>
    <w:tmpl w:val="B6DE1280"/>
    <w:lvl w:ilvl="0" w:tplc="4C14FAF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2242A0"/>
    <w:multiLevelType w:val="hybridMultilevel"/>
    <w:tmpl w:val="ADA6321A"/>
    <w:lvl w:ilvl="0" w:tplc="53F8DF1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DB8109A"/>
    <w:multiLevelType w:val="multilevel"/>
    <w:tmpl w:val="A09C075C"/>
    <w:lvl w:ilvl="0">
      <w:start w:val="1"/>
      <w:numFmt w:val="upperRoman"/>
      <w:lvlText w:val="%1."/>
      <w:lvlJc w:val="left"/>
      <w:pPr>
        <w:ind w:left="1080" w:hanging="720"/>
      </w:pPr>
      <w:rPr>
        <w:rFonts w:hint="default"/>
      </w:rPr>
    </w:lvl>
    <w:lvl w:ilvl="1">
      <w:start w:val="1"/>
      <w:numFmt w:val="decimal"/>
      <w:isLgl/>
      <w:lvlText w:val="%1.%2"/>
      <w:lvlJc w:val="left"/>
      <w:pPr>
        <w:ind w:left="1109" w:hanging="360"/>
      </w:pPr>
      <w:rPr>
        <w:rFonts w:hint="default"/>
      </w:rPr>
    </w:lvl>
    <w:lvl w:ilvl="2">
      <w:start w:val="1"/>
      <w:numFmt w:val="decimal"/>
      <w:isLgl/>
      <w:lvlText w:val="%1.%2.%3"/>
      <w:lvlJc w:val="left"/>
      <w:pPr>
        <w:ind w:left="1858" w:hanging="720"/>
      </w:pPr>
      <w:rPr>
        <w:rFonts w:hint="default"/>
      </w:rPr>
    </w:lvl>
    <w:lvl w:ilvl="3">
      <w:start w:val="1"/>
      <w:numFmt w:val="decimal"/>
      <w:isLgl/>
      <w:lvlText w:val="%1.%2.%3.%4"/>
      <w:lvlJc w:val="left"/>
      <w:pPr>
        <w:ind w:left="2247" w:hanging="720"/>
      </w:pPr>
      <w:rPr>
        <w:rFonts w:hint="default"/>
      </w:rPr>
    </w:lvl>
    <w:lvl w:ilvl="4">
      <w:start w:val="1"/>
      <w:numFmt w:val="decimal"/>
      <w:isLgl/>
      <w:lvlText w:val="%1.%2.%3.%4.%5"/>
      <w:lvlJc w:val="left"/>
      <w:pPr>
        <w:ind w:left="2996" w:hanging="1080"/>
      </w:pPr>
      <w:rPr>
        <w:rFonts w:hint="default"/>
      </w:rPr>
    </w:lvl>
    <w:lvl w:ilvl="5">
      <w:start w:val="1"/>
      <w:numFmt w:val="decimal"/>
      <w:isLgl/>
      <w:lvlText w:val="%1.%2.%3.%4.%5.%6"/>
      <w:lvlJc w:val="left"/>
      <w:pPr>
        <w:ind w:left="3385"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523" w:hanging="1440"/>
      </w:pPr>
      <w:rPr>
        <w:rFonts w:hint="default"/>
      </w:rPr>
    </w:lvl>
    <w:lvl w:ilvl="8">
      <w:start w:val="1"/>
      <w:numFmt w:val="decimal"/>
      <w:isLgl/>
      <w:lvlText w:val="%1.%2.%3.%4.%5.%6.%7.%8.%9"/>
      <w:lvlJc w:val="left"/>
      <w:pPr>
        <w:ind w:left="5272" w:hanging="1800"/>
      </w:pPr>
      <w:rPr>
        <w:rFonts w:hint="default"/>
      </w:rPr>
    </w:lvl>
  </w:abstractNum>
  <w:abstractNum w:abstractNumId="5">
    <w:nsid w:val="15A6447C"/>
    <w:multiLevelType w:val="hybridMultilevel"/>
    <w:tmpl w:val="7D5834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AD1446"/>
    <w:multiLevelType w:val="hybridMultilevel"/>
    <w:tmpl w:val="8B2C7D9A"/>
    <w:lvl w:ilvl="0" w:tplc="0A14DD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B57C9"/>
    <w:multiLevelType w:val="hybridMultilevel"/>
    <w:tmpl w:val="B0927946"/>
    <w:lvl w:ilvl="0" w:tplc="CC162174">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632655"/>
    <w:multiLevelType w:val="hybridMultilevel"/>
    <w:tmpl w:val="E0FEF6BE"/>
    <w:lvl w:ilvl="0" w:tplc="6BDE95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E65F70"/>
    <w:multiLevelType w:val="hybridMultilevel"/>
    <w:tmpl w:val="B9D6FEC2"/>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323F4A"/>
    <w:multiLevelType w:val="hybridMultilevel"/>
    <w:tmpl w:val="1C101A46"/>
    <w:lvl w:ilvl="0" w:tplc="B6E28B8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9807BBA"/>
    <w:multiLevelType w:val="multilevel"/>
    <w:tmpl w:val="AD58A4B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543B20C7"/>
    <w:multiLevelType w:val="hybridMultilevel"/>
    <w:tmpl w:val="0966DD18"/>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AC4063"/>
    <w:multiLevelType w:val="hybridMultilevel"/>
    <w:tmpl w:val="8E2E1E22"/>
    <w:lvl w:ilvl="0" w:tplc="E0BC27D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C881421"/>
    <w:multiLevelType w:val="hybridMultilevel"/>
    <w:tmpl w:val="C672AAA4"/>
    <w:lvl w:ilvl="0" w:tplc="8B1ACC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B9572F4"/>
    <w:multiLevelType w:val="hybridMultilevel"/>
    <w:tmpl w:val="7960D550"/>
    <w:lvl w:ilvl="0" w:tplc="656E901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00D658C"/>
    <w:multiLevelType w:val="hybridMultilevel"/>
    <w:tmpl w:val="6E181612"/>
    <w:lvl w:ilvl="0" w:tplc="9F9CBB7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DA15E97"/>
    <w:multiLevelType w:val="hybridMultilevel"/>
    <w:tmpl w:val="D55A7E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14"/>
  </w:num>
  <w:num w:numId="4">
    <w:abstractNumId w:val="2"/>
  </w:num>
  <w:num w:numId="5">
    <w:abstractNumId w:val="7"/>
  </w:num>
  <w:num w:numId="6">
    <w:abstractNumId w:val="17"/>
  </w:num>
  <w:num w:numId="7">
    <w:abstractNumId w:val="5"/>
  </w:num>
  <w:num w:numId="8">
    <w:abstractNumId w:val="6"/>
  </w:num>
  <w:num w:numId="9">
    <w:abstractNumId w:val="1"/>
  </w:num>
  <w:num w:numId="10">
    <w:abstractNumId w:val="8"/>
  </w:num>
  <w:num w:numId="11">
    <w:abstractNumId w:val="3"/>
  </w:num>
  <w:num w:numId="12">
    <w:abstractNumId w:val="13"/>
  </w:num>
  <w:num w:numId="13">
    <w:abstractNumId w:val="15"/>
  </w:num>
  <w:num w:numId="14">
    <w:abstractNumId w:val="16"/>
  </w:num>
  <w:num w:numId="15">
    <w:abstractNumId w:val="9"/>
  </w:num>
  <w:num w:numId="16">
    <w:abstractNumId w:val="12"/>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1A4"/>
    <w:rsid w:val="00017414"/>
    <w:rsid w:val="0003301C"/>
    <w:rsid w:val="00043567"/>
    <w:rsid w:val="000813D0"/>
    <w:rsid w:val="000928DE"/>
    <w:rsid w:val="00093364"/>
    <w:rsid w:val="000A3874"/>
    <w:rsid w:val="000D4825"/>
    <w:rsid w:val="000D7E90"/>
    <w:rsid w:val="000E401A"/>
    <w:rsid w:val="00103001"/>
    <w:rsid w:val="00130091"/>
    <w:rsid w:val="00150B20"/>
    <w:rsid w:val="001542B4"/>
    <w:rsid w:val="001554F8"/>
    <w:rsid w:val="00160499"/>
    <w:rsid w:val="00195589"/>
    <w:rsid w:val="001E18E3"/>
    <w:rsid w:val="001E510A"/>
    <w:rsid w:val="001E6016"/>
    <w:rsid w:val="001F0957"/>
    <w:rsid w:val="001F2D81"/>
    <w:rsid w:val="001F4BA3"/>
    <w:rsid w:val="001F7349"/>
    <w:rsid w:val="001F7B41"/>
    <w:rsid w:val="002007D0"/>
    <w:rsid w:val="00202337"/>
    <w:rsid w:val="002060CF"/>
    <w:rsid w:val="0024201E"/>
    <w:rsid w:val="002856B6"/>
    <w:rsid w:val="002C1C30"/>
    <w:rsid w:val="002C1FB7"/>
    <w:rsid w:val="002C76E4"/>
    <w:rsid w:val="002C76EA"/>
    <w:rsid w:val="002D29F9"/>
    <w:rsid w:val="003147C1"/>
    <w:rsid w:val="00315EAA"/>
    <w:rsid w:val="003163A8"/>
    <w:rsid w:val="00333A4B"/>
    <w:rsid w:val="00334425"/>
    <w:rsid w:val="003359BB"/>
    <w:rsid w:val="00343149"/>
    <w:rsid w:val="00370F7C"/>
    <w:rsid w:val="00376875"/>
    <w:rsid w:val="003A0079"/>
    <w:rsid w:val="003A7A72"/>
    <w:rsid w:val="003C2301"/>
    <w:rsid w:val="003D1315"/>
    <w:rsid w:val="003F52BD"/>
    <w:rsid w:val="00402C23"/>
    <w:rsid w:val="00403297"/>
    <w:rsid w:val="00404D7D"/>
    <w:rsid w:val="00410D98"/>
    <w:rsid w:val="0041188A"/>
    <w:rsid w:val="00412971"/>
    <w:rsid w:val="0042030B"/>
    <w:rsid w:val="00431A67"/>
    <w:rsid w:val="00465B1C"/>
    <w:rsid w:val="00486F9F"/>
    <w:rsid w:val="004A6F04"/>
    <w:rsid w:val="004B2ED5"/>
    <w:rsid w:val="004D3D02"/>
    <w:rsid w:val="004E6813"/>
    <w:rsid w:val="004F259C"/>
    <w:rsid w:val="00501DAF"/>
    <w:rsid w:val="00536B55"/>
    <w:rsid w:val="00550094"/>
    <w:rsid w:val="005A26E2"/>
    <w:rsid w:val="005A3B4D"/>
    <w:rsid w:val="005D7712"/>
    <w:rsid w:val="005F0700"/>
    <w:rsid w:val="005F51A4"/>
    <w:rsid w:val="00603714"/>
    <w:rsid w:val="00605A82"/>
    <w:rsid w:val="00610BB5"/>
    <w:rsid w:val="00641F8F"/>
    <w:rsid w:val="0067341B"/>
    <w:rsid w:val="00675A97"/>
    <w:rsid w:val="00696DDE"/>
    <w:rsid w:val="006A21CE"/>
    <w:rsid w:val="006A36D6"/>
    <w:rsid w:val="006B36C4"/>
    <w:rsid w:val="006C4963"/>
    <w:rsid w:val="006D5FB7"/>
    <w:rsid w:val="006F318E"/>
    <w:rsid w:val="00700D7D"/>
    <w:rsid w:val="00721BB2"/>
    <w:rsid w:val="007551A2"/>
    <w:rsid w:val="00773838"/>
    <w:rsid w:val="00785CE5"/>
    <w:rsid w:val="007A0997"/>
    <w:rsid w:val="007B5D2E"/>
    <w:rsid w:val="007D4527"/>
    <w:rsid w:val="0080022C"/>
    <w:rsid w:val="00803D7D"/>
    <w:rsid w:val="00804693"/>
    <w:rsid w:val="00806381"/>
    <w:rsid w:val="00825F86"/>
    <w:rsid w:val="00834F91"/>
    <w:rsid w:val="00842C8C"/>
    <w:rsid w:val="00854C6E"/>
    <w:rsid w:val="008A0822"/>
    <w:rsid w:val="008E2F16"/>
    <w:rsid w:val="008E4E9F"/>
    <w:rsid w:val="009004B4"/>
    <w:rsid w:val="00903BEC"/>
    <w:rsid w:val="00916355"/>
    <w:rsid w:val="0092582B"/>
    <w:rsid w:val="0093545D"/>
    <w:rsid w:val="00937F10"/>
    <w:rsid w:val="009465A3"/>
    <w:rsid w:val="00972738"/>
    <w:rsid w:val="00982581"/>
    <w:rsid w:val="009A40C1"/>
    <w:rsid w:val="009B5B5A"/>
    <w:rsid w:val="009D3466"/>
    <w:rsid w:val="009E7215"/>
    <w:rsid w:val="009F13A8"/>
    <w:rsid w:val="009F2CB4"/>
    <w:rsid w:val="009F449B"/>
    <w:rsid w:val="00A021C7"/>
    <w:rsid w:val="00A03153"/>
    <w:rsid w:val="00A30E63"/>
    <w:rsid w:val="00A44988"/>
    <w:rsid w:val="00A4531D"/>
    <w:rsid w:val="00A56338"/>
    <w:rsid w:val="00A6456E"/>
    <w:rsid w:val="00A759A8"/>
    <w:rsid w:val="00A92C58"/>
    <w:rsid w:val="00A95908"/>
    <w:rsid w:val="00A95E57"/>
    <w:rsid w:val="00A9669C"/>
    <w:rsid w:val="00AA724F"/>
    <w:rsid w:val="00AD5B68"/>
    <w:rsid w:val="00AE54CF"/>
    <w:rsid w:val="00AE655E"/>
    <w:rsid w:val="00AF0165"/>
    <w:rsid w:val="00B04630"/>
    <w:rsid w:val="00B2257A"/>
    <w:rsid w:val="00B346F3"/>
    <w:rsid w:val="00B550B2"/>
    <w:rsid w:val="00B71D16"/>
    <w:rsid w:val="00BB7164"/>
    <w:rsid w:val="00BC0AB7"/>
    <w:rsid w:val="00BC729F"/>
    <w:rsid w:val="00BE3BFC"/>
    <w:rsid w:val="00C04AC1"/>
    <w:rsid w:val="00C35DD2"/>
    <w:rsid w:val="00C52203"/>
    <w:rsid w:val="00C73451"/>
    <w:rsid w:val="00C87C55"/>
    <w:rsid w:val="00CB0875"/>
    <w:rsid w:val="00CB2B6E"/>
    <w:rsid w:val="00CC034E"/>
    <w:rsid w:val="00CC24C3"/>
    <w:rsid w:val="00CD7969"/>
    <w:rsid w:val="00CE05D9"/>
    <w:rsid w:val="00CE22E9"/>
    <w:rsid w:val="00CF24D5"/>
    <w:rsid w:val="00D1682C"/>
    <w:rsid w:val="00D217FF"/>
    <w:rsid w:val="00D34F7A"/>
    <w:rsid w:val="00D36735"/>
    <w:rsid w:val="00D37817"/>
    <w:rsid w:val="00D63ACF"/>
    <w:rsid w:val="00D6638F"/>
    <w:rsid w:val="00D8634F"/>
    <w:rsid w:val="00DC1303"/>
    <w:rsid w:val="00DD2CFF"/>
    <w:rsid w:val="00DD69F7"/>
    <w:rsid w:val="00E02CEF"/>
    <w:rsid w:val="00E04BA8"/>
    <w:rsid w:val="00E15779"/>
    <w:rsid w:val="00E26782"/>
    <w:rsid w:val="00E37A0A"/>
    <w:rsid w:val="00E504B3"/>
    <w:rsid w:val="00E53BF0"/>
    <w:rsid w:val="00E677C4"/>
    <w:rsid w:val="00E8333F"/>
    <w:rsid w:val="00E91107"/>
    <w:rsid w:val="00ED03CB"/>
    <w:rsid w:val="00ED413D"/>
    <w:rsid w:val="00EE27AC"/>
    <w:rsid w:val="00EE5197"/>
    <w:rsid w:val="00EF3BD3"/>
    <w:rsid w:val="00F20C35"/>
    <w:rsid w:val="00F34DB3"/>
    <w:rsid w:val="00F5428D"/>
    <w:rsid w:val="00F56838"/>
    <w:rsid w:val="00F66DFD"/>
    <w:rsid w:val="00F67AC3"/>
    <w:rsid w:val="00F87D87"/>
    <w:rsid w:val="00F95D22"/>
    <w:rsid w:val="00FA1FEE"/>
    <w:rsid w:val="00FA3184"/>
    <w:rsid w:val="00FA5ED3"/>
    <w:rsid w:val="00FB4E40"/>
    <w:rsid w:val="00FC7B22"/>
    <w:rsid w:val="00FD2330"/>
    <w:rsid w:val="00FE5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65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7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5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1A4"/>
  </w:style>
  <w:style w:type="paragraph" w:styleId="Footer">
    <w:name w:val="footer"/>
    <w:basedOn w:val="Normal"/>
    <w:link w:val="FooterChar"/>
    <w:uiPriority w:val="99"/>
    <w:unhideWhenUsed/>
    <w:rsid w:val="005F5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1A4"/>
  </w:style>
  <w:style w:type="paragraph" w:styleId="ListParagraph">
    <w:name w:val="List Paragraph"/>
    <w:basedOn w:val="Normal"/>
    <w:uiPriority w:val="34"/>
    <w:qFormat/>
    <w:rsid w:val="004F259C"/>
    <w:pPr>
      <w:ind w:left="720"/>
      <w:contextualSpacing/>
    </w:pPr>
  </w:style>
  <w:style w:type="table" w:styleId="TableGrid">
    <w:name w:val="Table Grid"/>
    <w:basedOn w:val="TableNormal"/>
    <w:uiPriority w:val="59"/>
    <w:rsid w:val="004F2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F070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8333F"/>
    <w:rPr>
      <w:color w:val="0000FF" w:themeColor="hyperlink"/>
      <w:u w:val="single"/>
    </w:rPr>
  </w:style>
  <w:style w:type="paragraph" w:styleId="BalloonText">
    <w:name w:val="Balloon Text"/>
    <w:basedOn w:val="Normal"/>
    <w:link w:val="BalloonTextChar"/>
    <w:uiPriority w:val="99"/>
    <w:semiHidden/>
    <w:unhideWhenUsed/>
    <w:rsid w:val="00155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54F8"/>
    <w:rPr>
      <w:rFonts w:ascii="Segoe UI" w:hAnsi="Segoe UI" w:cs="Segoe UI"/>
      <w:sz w:val="18"/>
      <w:szCs w:val="18"/>
    </w:rPr>
  </w:style>
  <w:style w:type="character" w:styleId="CommentReference">
    <w:name w:val="annotation reference"/>
    <w:basedOn w:val="DefaultParagraphFont"/>
    <w:uiPriority w:val="99"/>
    <w:semiHidden/>
    <w:unhideWhenUsed/>
    <w:rsid w:val="001554F8"/>
    <w:rPr>
      <w:sz w:val="16"/>
      <w:szCs w:val="16"/>
    </w:rPr>
  </w:style>
  <w:style w:type="paragraph" w:styleId="CommentText">
    <w:name w:val="annotation text"/>
    <w:basedOn w:val="Normal"/>
    <w:link w:val="CommentTextChar"/>
    <w:uiPriority w:val="99"/>
    <w:semiHidden/>
    <w:unhideWhenUsed/>
    <w:rsid w:val="001554F8"/>
    <w:pPr>
      <w:spacing w:line="240" w:lineRule="auto"/>
    </w:pPr>
    <w:rPr>
      <w:sz w:val="20"/>
      <w:szCs w:val="20"/>
    </w:rPr>
  </w:style>
  <w:style w:type="character" w:customStyle="1" w:styleId="CommentTextChar">
    <w:name w:val="Comment Text Char"/>
    <w:basedOn w:val="DefaultParagraphFont"/>
    <w:link w:val="CommentText"/>
    <w:uiPriority w:val="99"/>
    <w:semiHidden/>
    <w:rsid w:val="001554F8"/>
    <w:rPr>
      <w:sz w:val="20"/>
      <w:szCs w:val="20"/>
    </w:rPr>
  </w:style>
  <w:style w:type="paragraph" w:styleId="CommentSubject">
    <w:name w:val="annotation subject"/>
    <w:basedOn w:val="CommentText"/>
    <w:next w:val="CommentText"/>
    <w:link w:val="CommentSubjectChar"/>
    <w:uiPriority w:val="99"/>
    <w:semiHidden/>
    <w:unhideWhenUsed/>
    <w:rsid w:val="001554F8"/>
    <w:rPr>
      <w:b/>
      <w:bCs/>
    </w:rPr>
  </w:style>
  <w:style w:type="character" w:customStyle="1" w:styleId="CommentSubjectChar">
    <w:name w:val="Comment Subject Char"/>
    <w:basedOn w:val="CommentTextChar"/>
    <w:link w:val="CommentSubject"/>
    <w:uiPriority w:val="99"/>
    <w:semiHidden/>
    <w:rsid w:val="001554F8"/>
    <w:rPr>
      <w:b/>
      <w:bCs/>
      <w:sz w:val="20"/>
      <w:szCs w:val="20"/>
    </w:rPr>
  </w:style>
  <w:style w:type="paragraph" w:styleId="Revision">
    <w:name w:val="Revision"/>
    <w:hidden/>
    <w:uiPriority w:val="99"/>
    <w:semiHidden/>
    <w:rsid w:val="003359BB"/>
    <w:pPr>
      <w:spacing w:after="0" w:line="240" w:lineRule="auto"/>
    </w:pPr>
  </w:style>
  <w:style w:type="table" w:customStyle="1" w:styleId="LightShading-Accent11">
    <w:name w:val="Light Shading - Accent 11"/>
    <w:basedOn w:val="TableNormal"/>
    <w:next w:val="LightShading-Accent1"/>
    <w:uiPriority w:val="60"/>
    <w:rsid w:val="00333A4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idTable4-Accent11">
    <w:name w:val="Grid Table 4 - Accent 11"/>
    <w:basedOn w:val="TableNormal"/>
    <w:uiPriority w:val="49"/>
    <w:rsid w:val="00333A4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7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5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1A4"/>
  </w:style>
  <w:style w:type="paragraph" w:styleId="Footer">
    <w:name w:val="footer"/>
    <w:basedOn w:val="Normal"/>
    <w:link w:val="FooterChar"/>
    <w:uiPriority w:val="99"/>
    <w:unhideWhenUsed/>
    <w:rsid w:val="005F5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1A4"/>
  </w:style>
  <w:style w:type="paragraph" w:styleId="ListParagraph">
    <w:name w:val="List Paragraph"/>
    <w:basedOn w:val="Normal"/>
    <w:uiPriority w:val="34"/>
    <w:qFormat/>
    <w:rsid w:val="004F259C"/>
    <w:pPr>
      <w:ind w:left="720"/>
      <w:contextualSpacing/>
    </w:pPr>
  </w:style>
  <w:style w:type="table" w:styleId="TableGrid">
    <w:name w:val="Table Grid"/>
    <w:basedOn w:val="TableNormal"/>
    <w:uiPriority w:val="59"/>
    <w:rsid w:val="004F2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F070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8333F"/>
    <w:rPr>
      <w:color w:val="0000FF" w:themeColor="hyperlink"/>
      <w:u w:val="single"/>
    </w:rPr>
  </w:style>
  <w:style w:type="paragraph" w:styleId="BalloonText">
    <w:name w:val="Balloon Text"/>
    <w:basedOn w:val="Normal"/>
    <w:link w:val="BalloonTextChar"/>
    <w:uiPriority w:val="99"/>
    <w:semiHidden/>
    <w:unhideWhenUsed/>
    <w:rsid w:val="00155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54F8"/>
    <w:rPr>
      <w:rFonts w:ascii="Segoe UI" w:hAnsi="Segoe UI" w:cs="Segoe UI"/>
      <w:sz w:val="18"/>
      <w:szCs w:val="18"/>
    </w:rPr>
  </w:style>
  <w:style w:type="character" w:styleId="CommentReference">
    <w:name w:val="annotation reference"/>
    <w:basedOn w:val="DefaultParagraphFont"/>
    <w:uiPriority w:val="99"/>
    <w:semiHidden/>
    <w:unhideWhenUsed/>
    <w:rsid w:val="001554F8"/>
    <w:rPr>
      <w:sz w:val="16"/>
      <w:szCs w:val="16"/>
    </w:rPr>
  </w:style>
  <w:style w:type="paragraph" w:styleId="CommentText">
    <w:name w:val="annotation text"/>
    <w:basedOn w:val="Normal"/>
    <w:link w:val="CommentTextChar"/>
    <w:uiPriority w:val="99"/>
    <w:semiHidden/>
    <w:unhideWhenUsed/>
    <w:rsid w:val="001554F8"/>
    <w:pPr>
      <w:spacing w:line="240" w:lineRule="auto"/>
    </w:pPr>
    <w:rPr>
      <w:sz w:val="20"/>
      <w:szCs w:val="20"/>
    </w:rPr>
  </w:style>
  <w:style w:type="character" w:customStyle="1" w:styleId="CommentTextChar">
    <w:name w:val="Comment Text Char"/>
    <w:basedOn w:val="DefaultParagraphFont"/>
    <w:link w:val="CommentText"/>
    <w:uiPriority w:val="99"/>
    <w:semiHidden/>
    <w:rsid w:val="001554F8"/>
    <w:rPr>
      <w:sz w:val="20"/>
      <w:szCs w:val="20"/>
    </w:rPr>
  </w:style>
  <w:style w:type="paragraph" w:styleId="CommentSubject">
    <w:name w:val="annotation subject"/>
    <w:basedOn w:val="CommentText"/>
    <w:next w:val="CommentText"/>
    <w:link w:val="CommentSubjectChar"/>
    <w:uiPriority w:val="99"/>
    <w:semiHidden/>
    <w:unhideWhenUsed/>
    <w:rsid w:val="001554F8"/>
    <w:rPr>
      <w:b/>
      <w:bCs/>
    </w:rPr>
  </w:style>
  <w:style w:type="character" w:customStyle="1" w:styleId="CommentSubjectChar">
    <w:name w:val="Comment Subject Char"/>
    <w:basedOn w:val="CommentTextChar"/>
    <w:link w:val="CommentSubject"/>
    <w:uiPriority w:val="99"/>
    <w:semiHidden/>
    <w:rsid w:val="001554F8"/>
    <w:rPr>
      <w:b/>
      <w:bCs/>
      <w:sz w:val="20"/>
      <w:szCs w:val="20"/>
    </w:rPr>
  </w:style>
  <w:style w:type="paragraph" w:styleId="Revision">
    <w:name w:val="Revision"/>
    <w:hidden/>
    <w:uiPriority w:val="99"/>
    <w:semiHidden/>
    <w:rsid w:val="003359BB"/>
    <w:pPr>
      <w:spacing w:after="0" w:line="240" w:lineRule="auto"/>
    </w:pPr>
  </w:style>
  <w:style w:type="table" w:customStyle="1" w:styleId="LightShading-Accent11">
    <w:name w:val="Light Shading - Accent 11"/>
    <w:basedOn w:val="TableNormal"/>
    <w:next w:val="LightShading-Accent1"/>
    <w:uiPriority w:val="60"/>
    <w:rsid w:val="00333A4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idTable4-Accent11">
    <w:name w:val="Grid Table 4 - Accent 11"/>
    <w:basedOn w:val="TableNormal"/>
    <w:uiPriority w:val="49"/>
    <w:rsid w:val="00333A4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s://idbg.sharepoint.com/teams/EZ-BR-LON/BR-L1491/_layouts/15/DocIdRedir.aspx?ID=EZSHARE-620530985-44" TargetMode="External"/><Relationship Id="rId3" Type="http://schemas.openxmlformats.org/officeDocument/2006/relationships/customXml" Target="../customXml/item3.xml"/><Relationship Id="rId21" Type="http://schemas.openxmlformats.org/officeDocument/2006/relationships/hyperlink" Target="https://idbg.sharepoint.com/teams/EZ-BR-LON/BR-L1491/_layouts/15/DocIdRedir.aspx?ID=EZSHARE-620530985-30"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idbg.sharepoint.com/teams/EZ-BR-LON/BR-L1491/_layouts/15/DocIdRedir.aspx?ID=EZSHARE-620530985-28" TargetMode="External"/><Relationship Id="rId2" Type="http://schemas.openxmlformats.org/officeDocument/2006/relationships/customXml" Target="../customXml/item2.xml"/><Relationship Id="rId16" Type="http://schemas.openxmlformats.org/officeDocument/2006/relationships/hyperlink" Target="https://idbg.sharepoint.com/teams/EZ-BR-LON/BR-L1491/_layouts/15/DocIdRedir.aspx?ID=EZSHARE-620530985-28" TargetMode="External"/><Relationship Id="rId20" Type="http://schemas.openxmlformats.org/officeDocument/2006/relationships/hyperlink" Target="https://idbg.sharepoint.com/teams/EZ-BR-LON/BR-L1491/_layouts/15/DocIdRedir.aspx?ID=EZSHARE-620530985-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s://idbg.sharepoint.com/teams/EZ-BR-LON/BR-L1491/_layouts/15/DocIdRedir.aspx?ID=EZSHARE-620530985-28" TargetMode="External"/><Relationship Id="rId23"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hyperlink" Target="file:///C:/Users/joelh/Desktop/JOEL%20-%20BID/01%20-%20BID/Proyectos%20(Paises)/Brasil/BR-L1491/POD/Enlaces%20Electr&#243;nicos/Requeridos%20-%20REL/REL%204%20-%20Plan%20Monitoreo%20y%20Evaluaci&#243;n%20-%20PME/EZSHARE-620530985-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60D5BB1070ED47AAAC37FC3B8E9AC2" ma:contentTypeVersion="28" ma:contentTypeDescription="A content type to manage public (operations) IDB documents" ma:contentTypeScope="" ma:versionID="3f29b86fc565f190df321e6e49e2db3f">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Hernandez-Santoyo, Joel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33</Value>
      <Value>61</Value>
      <Value>30</Value>
      <Value>65</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R0000314112</Record_x0020_Number>
    <_dlc_DocId xmlns="cdc7663a-08f0-4737-9e8c-148ce897a09c">EZSHARE-620530985-29</_dlc_DocId>
    <_dlc_DocIdUrl xmlns="cdc7663a-08f0-4737-9e8c-148ce897a09c">
      <Url>https://idbg.sharepoint.com/teams/EZ-BR-LON/BR-L1491/_layouts/15/DocIdRedir.aspx?ID=EZSHARE-620530985-29</Url>
      <Description>EZSHARE-620530985-29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10619-5E28-4D05-88C4-1D747CA930A1}"/>
</file>

<file path=customXml/itemProps2.xml><?xml version="1.0" encoding="utf-8"?>
<ds:datastoreItem xmlns:ds="http://schemas.openxmlformats.org/officeDocument/2006/customXml" ds:itemID="{4440F93D-128C-4A84-A8E1-6FA1BD685CD0}"/>
</file>

<file path=customXml/itemProps3.xml><?xml version="1.0" encoding="utf-8"?>
<ds:datastoreItem xmlns:ds="http://schemas.openxmlformats.org/officeDocument/2006/customXml" ds:itemID="{7E7CA64B-218B-4774-B7C0-124BF6300F0B}">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92AC841B-0952-4B0D-8183-22F4D5095C72}"/>
</file>

<file path=customXml/itemProps5.xml><?xml version="1.0" encoding="utf-8"?>
<ds:datastoreItem xmlns:ds="http://schemas.openxmlformats.org/officeDocument/2006/customXml" ds:itemID="{94B38730-4436-458F-89D9-5AE3E8888DAD}">
  <ds:schemaRefs>
    <ds:schemaRef ds:uri="http://schemas.microsoft.com/sharepoint/v3/contenttype/forms"/>
  </ds:schemaRefs>
</ds:datastoreItem>
</file>

<file path=customXml/itemProps6.xml><?xml version="1.0" encoding="utf-8"?>
<ds:datastoreItem xmlns:ds="http://schemas.openxmlformats.org/officeDocument/2006/customXml" ds:itemID="{8CA8A48E-B307-400E-9EC8-6B3269945BE8}">
  <ds:schemaRefs>
    <ds:schemaRef ds:uri="http://schemas.microsoft.com/sharepoint/events"/>
  </ds:schemaRefs>
</ds:datastoreItem>
</file>

<file path=customXml/itemProps7.xml><?xml version="1.0" encoding="utf-8"?>
<ds:datastoreItem xmlns:ds="http://schemas.openxmlformats.org/officeDocument/2006/customXml" ds:itemID="{6432D138-9133-4F3D-919B-B63542E53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14</Pages>
  <Words>4924</Words>
  <Characters>28070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32929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Hernandez-Santoyo, Joel</dc:creator>
  <cp:keywords/>
  <cp:lastModifiedBy>Hernandez-Santoyo, Joel</cp:lastModifiedBy>
  <cp:revision>36</cp:revision>
  <dcterms:created xsi:type="dcterms:W3CDTF">2017-05-10T16:41:00Z</dcterms:created>
  <dcterms:modified xsi:type="dcterms:W3CDTF">2017-10-30T18:29:00Z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65;#ENERGY SECTOR REHABILITATION AND EFFICIENCY|bc14044a-5020-4002-b61d-5f3750c96619</vt:lpwstr>
  </property>
  <property fmtid="{D5CDD505-2E9C-101B-9397-08002B2CF9AE}" pid="7" name="Fund IDB">
    <vt:lpwstr>33;#ORC|c028a4b2-ad8b-4cf4-9cac-a2ae6a778e23</vt:lpwstr>
  </property>
  <property fmtid="{D5CDD505-2E9C-101B-9397-08002B2CF9AE}" pid="8" name="Country">
    <vt:lpwstr>30;#Brazil|7deb27ec-6837-4974-9aa8-6cfbac841ef8</vt:lpwstr>
  </property>
  <property fmtid="{D5CDD505-2E9C-101B-9397-08002B2CF9AE}" pid="9" name="Sector IDB">
    <vt:lpwstr>61;#ENERGY|4fed196a-cd0b-4970-87de-42da17f9b203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7ffa4a1b-eb67-423a-8dfe-bfdeab201b57</vt:lpwstr>
  </property>
  <property fmtid="{D5CDD505-2E9C-101B-9397-08002B2CF9AE}" pid="12" name="RecordPoint_Delete">
    <vt:lpwstr>1</vt:lpwstr>
  </property>
  <property fmtid="{D5CDD505-2E9C-101B-9397-08002B2CF9AE}" pid="13" name="ContentTypeId">
    <vt:lpwstr>0x0101001A458A224826124E8B45B1D613300CFC007A60D5BB1070ED47AAAC37FC3B8E9AC2</vt:lpwstr>
  </property>
</Properties>
</file>