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0D8" w:rsidRPr="00B11EA4" w:rsidRDefault="008E2791" w:rsidP="008355E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es-ES"/>
        </w:rPr>
      </w:pPr>
      <w:r w:rsidRPr="00B11EA4">
        <w:rPr>
          <w:rFonts w:ascii="Times New Roman" w:hAnsi="Times New Roman"/>
          <w:b/>
          <w:sz w:val="20"/>
          <w:szCs w:val="20"/>
          <w:lang w:val="es-ES"/>
        </w:rPr>
        <w:t>MATRIZ DE RESULTADOS</w:t>
      </w:r>
    </w:p>
    <w:p w:rsidR="00EB70D8" w:rsidRPr="00B11EA4" w:rsidRDefault="00CF6D87" w:rsidP="006462EC">
      <w:pPr>
        <w:pStyle w:val="Paragraph"/>
        <w:numPr>
          <w:ilvl w:val="0"/>
          <w:numId w:val="0"/>
        </w:numPr>
        <w:rPr>
          <w:bCs/>
          <w:sz w:val="20"/>
          <w:lang w:val="es-ES"/>
        </w:rPr>
      </w:pPr>
      <w:r w:rsidRPr="00B11EA4">
        <w:rPr>
          <w:b/>
          <w:sz w:val="20"/>
          <w:lang w:val="es-ES"/>
        </w:rPr>
        <w:t>Objetivo del Proyecto</w:t>
      </w:r>
      <w:r w:rsidR="00EB70D8" w:rsidRPr="00B11EA4">
        <w:rPr>
          <w:sz w:val="20"/>
          <w:lang w:val="es-ES"/>
        </w:rPr>
        <w:t xml:space="preserve">: </w:t>
      </w:r>
      <w:r w:rsidR="004525C1" w:rsidRPr="00B11EA4">
        <w:rPr>
          <w:bCs/>
          <w:sz w:val="20"/>
          <w:lang w:val="es-ES"/>
        </w:rPr>
        <w:t>El objetivo general del programa es contribuir a la reducción de los índices de crímenes violentos (homicidios y robos) en el Estado de Minas Gerais (“Minas Gerais”), en particular en 14 de sus municipios. Los objetivos específicos son: (i) incrementar la efectividad de la pol</w:t>
      </w:r>
      <w:r w:rsidR="004525C1" w:rsidRPr="00B11EA4">
        <w:rPr>
          <w:bCs/>
          <w:sz w:val="20"/>
          <w:lang w:val="es-ES"/>
        </w:rPr>
        <w:t>i</w:t>
      </w:r>
      <w:r w:rsidR="004525C1" w:rsidRPr="00B11EA4">
        <w:rPr>
          <w:bCs/>
          <w:sz w:val="20"/>
          <w:lang w:val="es-ES"/>
        </w:rPr>
        <w:t>cía</w:t>
      </w:r>
      <w:r w:rsidR="003822EF" w:rsidRPr="00B11EA4">
        <w:rPr>
          <w:bCs/>
          <w:sz w:val="20"/>
          <w:lang w:val="es-ES"/>
        </w:rPr>
        <w:t xml:space="preserve"> para prevenir, controlar e investigar el crimen</w:t>
      </w:r>
      <w:r w:rsidR="004525C1" w:rsidRPr="00B11EA4">
        <w:rPr>
          <w:bCs/>
          <w:sz w:val="20"/>
          <w:lang w:val="es-ES"/>
        </w:rPr>
        <w:t>; (ii) mejorar la inserción social de los jóvenes en situación de riesgo a la violencia; y (iii) reducir la reincidencia delictiva de los egresados del sistema socioeducativo y del sistema penitenciario.</w:t>
      </w:r>
    </w:p>
    <w:p w:rsidR="00EB70D8" w:rsidRPr="00B11EA4" w:rsidRDefault="00EB70D8" w:rsidP="00E60CE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es-ES"/>
        </w:rPr>
      </w:pPr>
      <w:r w:rsidRPr="00B11EA4">
        <w:rPr>
          <w:rFonts w:ascii="Times New Roman" w:hAnsi="Times New Roman"/>
          <w:b/>
          <w:sz w:val="20"/>
          <w:szCs w:val="20"/>
          <w:lang w:val="es-ES"/>
        </w:rPr>
        <w:t>IMPACTO ESPERADO</w:t>
      </w:r>
    </w:p>
    <w:p w:rsidR="00EB70D8" w:rsidRPr="00B11EA4" w:rsidRDefault="00EB70D8" w:rsidP="00E60CED">
      <w:pPr>
        <w:spacing w:after="0" w:line="240" w:lineRule="auto"/>
        <w:rPr>
          <w:rFonts w:ascii="Times New Roman" w:hAnsi="Times New Roman"/>
          <w:bCs/>
          <w:sz w:val="20"/>
          <w:szCs w:val="20"/>
          <w:lang w:val="es-ES"/>
        </w:rPr>
      </w:pPr>
    </w:p>
    <w:tbl>
      <w:tblPr>
        <w:tblW w:w="14160" w:type="dxa"/>
        <w:jc w:val="center"/>
        <w:tblInd w:w="-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34"/>
        <w:gridCol w:w="945"/>
        <w:gridCol w:w="720"/>
        <w:gridCol w:w="630"/>
        <w:gridCol w:w="630"/>
        <w:gridCol w:w="90"/>
        <w:gridCol w:w="630"/>
        <w:gridCol w:w="720"/>
        <w:gridCol w:w="630"/>
        <w:gridCol w:w="720"/>
        <w:gridCol w:w="630"/>
        <w:gridCol w:w="720"/>
        <w:gridCol w:w="630"/>
        <w:gridCol w:w="1511"/>
        <w:gridCol w:w="2820"/>
      </w:tblGrid>
      <w:tr w:rsidR="00CC418E" w:rsidRPr="00B11EA4" w:rsidTr="009C7457">
        <w:trPr>
          <w:jc w:val="center"/>
        </w:trPr>
        <w:tc>
          <w:tcPr>
            <w:tcW w:w="2134" w:type="dxa"/>
            <w:vMerge w:val="restart"/>
            <w:shd w:val="clear" w:color="auto" w:fill="C2D69B"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Indicadores</w:t>
            </w:r>
          </w:p>
        </w:tc>
        <w:tc>
          <w:tcPr>
            <w:tcW w:w="945" w:type="dxa"/>
            <w:vMerge w:val="restart"/>
            <w:shd w:val="clear" w:color="auto" w:fill="C2D69B"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Unidad de m</w:t>
            </w: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dida</w:t>
            </w:r>
          </w:p>
        </w:tc>
        <w:tc>
          <w:tcPr>
            <w:tcW w:w="1350" w:type="dxa"/>
            <w:gridSpan w:val="2"/>
            <w:shd w:val="clear" w:color="auto" w:fill="C2D69B"/>
          </w:tcPr>
          <w:p w:rsidR="00CC418E" w:rsidRPr="00B11EA4" w:rsidRDefault="00CC418E" w:rsidP="00BB13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Línea de base</w:t>
            </w:r>
          </w:p>
        </w:tc>
        <w:tc>
          <w:tcPr>
            <w:tcW w:w="4050" w:type="dxa"/>
            <w:gridSpan w:val="7"/>
            <w:shd w:val="clear" w:color="auto" w:fill="C2D69B"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Mediciones intermedias</w:t>
            </w:r>
          </w:p>
        </w:tc>
        <w:tc>
          <w:tcPr>
            <w:tcW w:w="1350" w:type="dxa"/>
            <w:gridSpan w:val="2"/>
            <w:shd w:val="clear" w:color="auto" w:fill="C2D69B"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Metas</w:t>
            </w:r>
          </w:p>
        </w:tc>
        <w:tc>
          <w:tcPr>
            <w:tcW w:w="1511" w:type="dxa"/>
            <w:vMerge w:val="restart"/>
            <w:shd w:val="clear" w:color="auto" w:fill="C2D69B"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Fuente/ Medio de verificación</w:t>
            </w:r>
          </w:p>
        </w:tc>
        <w:tc>
          <w:tcPr>
            <w:tcW w:w="2820" w:type="dxa"/>
            <w:vMerge w:val="restart"/>
            <w:shd w:val="clear" w:color="auto" w:fill="C2D69B"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Observaciones</w:t>
            </w:r>
          </w:p>
        </w:tc>
      </w:tr>
      <w:tr w:rsidR="00CC418E" w:rsidRPr="00B11EA4" w:rsidTr="009C7457">
        <w:trPr>
          <w:jc w:val="center"/>
        </w:trPr>
        <w:tc>
          <w:tcPr>
            <w:tcW w:w="2134" w:type="dxa"/>
            <w:vMerge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945" w:type="dxa"/>
            <w:vMerge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C2D69B"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Valor</w:t>
            </w:r>
          </w:p>
        </w:tc>
        <w:tc>
          <w:tcPr>
            <w:tcW w:w="630" w:type="dxa"/>
            <w:shd w:val="clear" w:color="auto" w:fill="C2D69B"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Año</w:t>
            </w:r>
          </w:p>
        </w:tc>
        <w:tc>
          <w:tcPr>
            <w:tcW w:w="720" w:type="dxa"/>
            <w:gridSpan w:val="2"/>
            <w:shd w:val="clear" w:color="auto" w:fill="C2D69B"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Valor</w:t>
            </w:r>
          </w:p>
        </w:tc>
        <w:tc>
          <w:tcPr>
            <w:tcW w:w="630" w:type="dxa"/>
            <w:shd w:val="clear" w:color="auto" w:fill="C2D69B"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Año</w:t>
            </w:r>
          </w:p>
        </w:tc>
        <w:tc>
          <w:tcPr>
            <w:tcW w:w="720" w:type="dxa"/>
            <w:shd w:val="clear" w:color="auto" w:fill="C2D69B"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Valor</w:t>
            </w:r>
          </w:p>
        </w:tc>
        <w:tc>
          <w:tcPr>
            <w:tcW w:w="630" w:type="dxa"/>
            <w:shd w:val="clear" w:color="auto" w:fill="C2D69B"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Año</w:t>
            </w:r>
          </w:p>
        </w:tc>
        <w:tc>
          <w:tcPr>
            <w:tcW w:w="720" w:type="dxa"/>
            <w:shd w:val="clear" w:color="auto" w:fill="C2D69B"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Valor</w:t>
            </w:r>
          </w:p>
        </w:tc>
        <w:tc>
          <w:tcPr>
            <w:tcW w:w="630" w:type="dxa"/>
            <w:shd w:val="clear" w:color="auto" w:fill="C2D69B"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Año</w:t>
            </w:r>
          </w:p>
        </w:tc>
        <w:tc>
          <w:tcPr>
            <w:tcW w:w="720" w:type="dxa"/>
            <w:shd w:val="clear" w:color="auto" w:fill="C2D69B"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Valor</w:t>
            </w:r>
          </w:p>
        </w:tc>
        <w:tc>
          <w:tcPr>
            <w:tcW w:w="630" w:type="dxa"/>
            <w:shd w:val="clear" w:color="auto" w:fill="C2D69B"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Año</w:t>
            </w:r>
          </w:p>
        </w:tc>
        <w:tc>
          <w:tcPr>
            <w:tcW w:w="1511" w:type="dxa"/>
            <w:vMerge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2820" w:type="dxa"/>
            <w:vMerge/>
          </w:tcPr>
          <w:p w:rsidR="00CC418E" w:rsidRPr="00B11EA4" w:rsidRDefault="00CC418E" w:rsidP="00BB1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EB70D8" w:rsidRPr="00B11EA4" w:rsidTr="009C7457">
        <w:trPr>
          <w:jc w:val="center"/>
        </w:trPr>
        <w:tc>
          <w:tcPr>
            <w:tcW w:w="14160" w:type="dxa"/>
            <w:gridSpan w:val="15"/>
          </w:tcPr>
          <w:p w:rsidR="00EB70D8" w:rsidRPr="00B11EA4" w:rsidRDefault="00CF6D87" w:rsidP="005B47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>Impacto Esperado</w:t>
            </w:r>
            <w:r w:rsidRPr="00B11EA4">
              <w:rPr>
                <w:rFonts w:ascii="Times New Roman" w:hAnsi="Times New Roman"/>
                <w:bCs/>
                <w:sz w:val="20"/>
                <w:szCs w:val="20"/>
                <w:lang w:val="es-ES"/>
              </w:rPr>
              <w:t xml:space="preserve"> </w:t>
            </w:r>
            <w:r w:rsidR="00D05B3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contribuir a reducir los índices de crímenes violentos (homicidios y robos) en</w:t>
            </w:r>
            <w:r w:rsidR="005B475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14</w:t>
            </w:r>
            <w:r w:rsidR="00D05B3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municipios de </w:t>
            </w:r>
            <w:r w:rsidR="005B475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MG</w:t>
            </w:r>
            <w:r w:rsidR="00381F66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6231A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</w:p>
        </w:tc>
      </w:tr>
      <w:tr w:rsidR="00342101" w:rsidRPr="00B11EA4" w:rsidTr="009C7457">
        <w:trPr>
          <w:jc w:val="center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:rsidR="00342101" w:rsidRPr="00B11EA4" w:rsidRDefault="00342101" w:rsidP="009A3882">
            <w:pPr>
              <w:tabs>
                <w:tab w:val="left" w:pos="432"/>
              </w:tabs>
              <w:spacing w:after="0" w:line="240" w:lineRule="auto"/>
              <w:ind w:left="252" w:hanging="252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1. Homicidios</w:t>
            </w:r>
            <w:r w:rsidR="00D8046A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9F1EB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totales anuales </w:t>
            </w:r>
            <w:r w:rsidR="00C20C9A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en 14 mun</w:t>
            </w:r>
            <w:r w:rsidR="00C20C9A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="00C20C9A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cipios</w:t>
            </w:r>
            <w:r w:rsidR="004C623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342101" w:rsidRPr="00B11EA4" w:rsidRDefault="00342101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Tasa</w:t>
            </w:r>
            <w:r w:rsidR="009762E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por cien mil habita</w:t>
            </w:r>
            <w:r w:rsidR="009762E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="009762E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tes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422683" w:rsidRPr="00B11EA4" w:rsidRDefault="00852996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35,0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342101" w:rsidRPr="00B11EA4" w:rsidRDefault="007979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</w:t>
            </w:r>
            <w:r w:rsidR="00852996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342101" w:rsidRPr="00B11EA4" w:rsidRDefault="00342101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:rsidR="00342101" w:rsidRPr="00B11EA4" w:rsidRDefault="00342101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42101" w:rsidRPr="00B11EA4" w:rsidRDefault="00342101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342101" w:rsidRPr="00B11EA4" w:rsidRDefault="003421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</w:t>
            </w:r>
            <w:r w:rsidR="001A290C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7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42101" w:rsidRPr="00B11EA4" w:rsidRDefault="00342101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342101" w:rsidRPr="00B11EA4" w:rsidRDefault="00342101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42101" w:rsidRPr="00B11EA4" w:rsidRDefault="00B93D2D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28,0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342101" w:rsidRPr="00B11EA4" w:rsidRDefault="00342101" w:rsidP="005B47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</w:t>
            </w:r>
            <w:r w:rsidR="005B475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9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vAlign w:val="center"/>
          </w:tcPr>
          <w:p w:rsidR="00342101" w:rsidRPr="00B11EA4" w:rsidRDefault="00450B4F" w:rsidP="00B11E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Registros 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mini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trativos del CINDS/SEDS</w:t>
            </w: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342101" w:rsidRPr="00B11EA4" w:rsidRDefault="004C6233" w:rsidP="002A7C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La</w:t>
            </w:r>
            <w:r w:rsidR="00BE79A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tasa fue calculada en función de </w:t>
            </w:r>
            <w:r w:rsidR="00852996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  <w:r w:rsidR="00D84256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852996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380 </w:t>
            </w:r>
            <w:r w:rsidR="00BE79A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homicidios con una población total de </w:t>
            </w:r>
            <w:r w:rsidR="00852996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</w:t>
            </w:r>
            <w:r w:rsidR="00D84256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852996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806</w:t>
            </w:r>
            <w:r w:rsidR="00D84256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852996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319</w:t>
            </w:r>
            <w:r w:rsidR="00BE79A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 El  s</w:t>
            </w:r>
            <w:r w:rsidR="003072D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eguimiento de este indicador y de los otros se realizara como parte de la implementación del Programa</w:t>
            </w:r>
            <w:r w:rsidR="00FB373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  <w:p w:rsidR="00FB3732" w:rsidRPr="00B11EA4" w:rsidRDefault="00267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La proyección de las tasas para 201</w:t>
            </w:r>
            <w:r w:rsidR="005B475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9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toma en cuenta un impa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to conservador d</w:t>
            </w:r>
            <w:r w:rsidR="00D84256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20% dada</w:t>
            </w:r>
            <w:r w:rsidR="00691A7A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D84256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las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intervenciones propuestas y los resultados alcanzados en </w:t>
            </w:r>
            <w:r w:rsidR="009D361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el Programa </w:t>
            </w:r>
            <w:proofErr w:type="spellStart"/>
            <w:r w:rsidR="009D361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Fica</w:t>
            </w:r>
            <w:proofErr w:type="spellEnd"/>
            <w:r w:rsidR="009D361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Vivo </w:t>
            </w:r>
            <w:r w:rsidR="00691A7A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y </w:t>
            </w:r>
            <w:r w:rsidR="009D361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en Di</w:t>
            </w:r>
            <w:r w:rsidR="009D361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="009D361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dema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Fica</w:t>
            </w:r>
            <w:proofErr w:type="spellEnd"/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 Vivo</w:t>
            </w:r>
            <w:r w:rsidR="00AE2FA5"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 tuvo un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 impa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c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to atribuible de una reducción de 69% en el número de hom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cidios;  Diadema logró reducir en un 85% los homicidios de jóvenes entre 16 y 20 años.</w:t>
            </w:r>
          </w:p>
        </w:tc>
      </w:tr>
      <w:tr w:rsidR="00A4127A" w:rsidRPr="00B11EA4" w:rsidTr="009C7457">
        <w:trPr>
          <w:jc w:val="center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:rsidR="00A4127A" w:rsidRPr="00B11EA4" w:rsidRDefault="00A4127A" w:rsidP="009A3882">
            <w:pPr>
              <w:tabs>
                <w:tab w:val="left" w:pos="432"/>
              </w:tabs>
              <w:spacing w:after="0" w:line="240" w:lineRule="auto"/>
              <w:ind w:left="252" w:hanging="252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2. Homicidios</w:t>
            </w:r>
            <w:r w:rsidR="009F1EB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totales anuales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 </w:t>
            </w:r>
            <w:r w:rsidR="006C001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afrode</w:t>
            </w:r>
            <w:r w:rsidR="006C001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  <w:r w:rsidR="006C001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cendientes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(Pardos y Negros)</w:t>
            </w:r>
            <w:r w:rsidR="006906C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en 14 m</w:t>
            </w:r>
            <w:r w:rsidR="006906C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</w:t>
            </w:r>
            <w:r w:rsidR="006906C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nicipios</w:t>
            </w:r>
            <w:r w:rsidR="004C623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A4127A" w:rsidRPr="00B11EA4" w:rsidRDefault="00A4127A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Tasa</w:t>
            </w:r>
            <w:r w:rsidR="009762E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por cien mil habita</w:t>
            </w:r>
            <w:r w:rsidR="009762E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="009762E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tes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A4127A" w:rsidRPr="00B11EA4" w:rsidRDefault="00845F0B" w:rsidP="005B47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44,6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A4127A" w:rsidRPr="00B11EA4" w:rsidRDefault="00A4127A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</w:t>
            </w:r>
            <w:r w:rsidR="00E63FF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A4127A" w:rsidRPr="00B11EA4" w:rsidRDefault="00A4127A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:rsidR="00A4127A" w:rsidRPr="00B11EA4" w:rsidRDefault="00A4127A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A4127A" w:rsidRPr="00B11EA4" w:rsidRDefault="00A4127A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A4127A" w:rsidRPr="00B11EA4" w:rsidRDefault="00A41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</w:t>
            </w:r>
            <w:r w:rsidR="001A290C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7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A4127A" w:rsidRPr="00B11EA4" w:rsidRDefault="00A4127A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A4127A" w:rsidRPr="00B11EA4" w:rsidRDefault="00A4127A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4A40F9" w:rsidRPr="00B11EA4" w:rsidRDefault="00B93D2D" w:rsidP="005B47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35,7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A4127A" w:rsidRPr="00B11EA4" w:rsidRDefault="00A4127A" w:rsidP="005B47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</w:t>
            </w:r>
            <w:r w:rsidR="005B475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9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vAlign w:val="center"/>
          </w:tcPr>
          <w:p w:rsidR="00A4127A" w:rsidRPr="00B11EA4" w:rsidRDefault="00450B4F" w:rsidP="00B11EA4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Registros admini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trativos del CINDS/SEDS</w:t>
            </w: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A4127A" w:rsidRPr="00B11EA4" w:rsidRDefault="00F16EDA" w:rsidP="002A7C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En el año de 2013 </w:t>
            </w:r>
            <w:r w:rsidR="00267FC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había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en los </w:t>
            </w:r>
            <w:r w:rsidR="005B475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14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municipios </w:t>
            </w:r>
            <w:r w:rsidR="00845F0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</w:t>
            </w:r>
            <w:r w:rsidR="00C20C9A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845F0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712</w:t>
            </w:r>
            <w:r w:rsidR="00C20C9A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845F0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640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afr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descendientes</w:t>
            </w:r>
            <w:r w:rsidR="00C20C9A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(estimativa con base en IBGE e información de la SEDS)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.  De estos </w:t>
            </w:r>
            <w:r w:rsidR="00845F0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  <w:r w:rsidR="00C20C9A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845F0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657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fu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ron </w:t>
            </w:r>
            <w:r w:rsidR="00267FC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víctima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 </w:t>
            </w:r>
            <w:r w:rsidR="00267FC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homicidios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1E3CF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</w:p>
          <w:p w:rsidR="0051634D" w:rsidRPr="00B11EA4" w:rsidRDefault="00267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La proyección de las tasas para 201</w:t>
            </w:r>
            <w:r w:rsidR="005B475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9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toma en cuenta un impa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to conservador </w:t>
            </w:r>
            <w:proofErr w:type="gramStart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del 20% dada</w:t>
            </w:r>
            <w:r w:rsidR="00691A7A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  <w:proofErr w:type="gramEnd"/>
            <w:r w:rsidR="00950B3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950B35"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las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intervenciones propuestas y los resultados alcanzados en otros programas</w:t>
            </w:r>
            <w:r w:rsidR="00B93D2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, con la evide</w:t>
            </w:r>
            <w:r w:rsidR="00B93D2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="00B93D2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cia identificada para el indic</w:t>
            </w:r>
            <w:r w:rsidR="00B93D2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="00B93D2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dor 1.</w:t>
            </w:r>
          </w:p>
        </w:tc>
      </w:tr>
      <w:tr w:rsidR="00342101" w:rsidRPr="00B11EA4" w:rsidTr="009C7457">
        <w:trPr>
          <w:jc w:val="center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01" w:rsidRPr="00B11EA4" w:rsidRDefault="004E5D5C" w:rsidP="009A3882">
            <w:pPr>
              <w:tabs>
                <w:tab w:val="left" w:pos="432"/>
              </w:tabs>
              <w:spacing w:after="0" w:line="240" w:lineRule="auto"/>
              <w:ind w:left="252" w:hanging="252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3</w:t>
            </w:r>
            <w:r w:rsidR="00342101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. </w:t>
            </w:r>
            <w:r w:rsidR="007B6FF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</w:t>
            </w:r>
            <w:r w:rsidR="004C623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obos</w:t>
            </w:r>
            <w:r w:rsidR="006906C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9F1EB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totales anu</w:t>
            </w:r>
            <w:r w:rsidR="009F1EB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="009F1EB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les </w:t>
            </w:r>
            <w:r w:rsidR="006906C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en 14 munic</w:t>
            </w:r>
            <w:r w:rsidR="006906C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="006906C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pios</w:t>
            </w:r>
            <w:r w:rsidR="004C623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01" w:rsidRPr="00B11EA4" w:rsidRDefault="00E63FFB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Tasa</w:t>
            </w:r>
            <w:r w:rsidR="009762E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por cien mil habita</w:t>
            </w:r>
            <w:r w:rsidR="009762E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="009762E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01" w:rsidRPr="00B11EA4" w:rsidDel="004C5E65" w:rsidRDefault="00973B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107</w:t>
            </w:r>
            <w:r w:rsidR="00617E2C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01" w:rsidRPr="00B11EA4" w:rsidRDefault="00342101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</w:t>
            </w:r>
            <w:r w:rsidR="00E63FF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01" w:rsidRPr="00B11EA4" w:rsidRDefault="00342101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01" w:rsidRPr="00B11EA4" w:rsidRDefault="00342101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01" w:rsidRPr="00B11EA4" w:rsidDel="004C5E65" w:rsidRDefault="00342101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01" w:rsidRPr="00B11EA4" w:rsidRDefault="007F36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01" w:rsidRPr="00B11EA4" w:rsidRDefault="00342101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01" w:rsidRPr="00B11EA4" w:rsidRDefault="00342101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01" w:rsidRPr="00B11EA4" w:rsidRDefault="003B5703" w:rsidP="005B47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813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01" w:rsidRPr="00B11EA4" w:rsidRDefault="00342101" w:rsidP="005B47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</w:t>
            </w:r>
            <w:r w:rsidR="005B475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01" w:rsidRPr="00B11EA4" w:rsidRDefault="00450B4F" w:rsidP="00B11EA4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Registros admini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trativos del CINDS/SEDS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7A" w:rsidRPr="00B11EA4" w:rsidRDefault="00EE4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El </w:t>
            </w:r>
            <w:r w:rsidR="00267FC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número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 robos observados en 2013 fue de</w:t>
            </w:r>
            <w:r w:rsidR="005B475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973B9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72</w:t>
            </w:r>
            <w:r w:rsidR="006906C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973B9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872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en los </w:t>
            </w:r>
            <w:r w:rsidR="005B475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14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267FC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municipios</w:t>
            </w:r>
            <w:r w:rsidR="006906C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,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cuya poblaci</w:t>
            </w:r>
            <w:r w:rsidR="00A05D7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ó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n era de </w:t>
            </w:r>
            <w:r w:rsidR="00973B9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</w:t>
            </w:r>
            <w:r w:rsidR="006906C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973B9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806</w:t>
            </w:r>
            <w:r w:rsidR="006906C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973B9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319</w:t>
            </w:r>
            <w:r w:rsidR="00F508C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. </w:t>
            </w:r>
          </w:p>
          <w:p w:rsidR="000537E0" w:rsidRPr="00B11EA4" w:rsidRDefault="006C00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La meta en la </w:t>
            </w:r>
            <w:r w:rsidR="00EE474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reducción de la tasa es de 20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% </w:t>
            </w:r>
            <w:r w:rsidR="00EE474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en </w:t>
            </w:r>
            <w:r w:rsidR="00267FC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función</w:t>
            </w:r>
            <w:r w:rsidR="00EE474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los programas de policía com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nitaria y de preven</w:t>
            </w:r>
            <w:r w:rsidR="00A05D7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ción:</w:t>
            </w:r>
            <w:r w:rsidR="00A05D78"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 Pr</w:t>
            </w:r>
            <w:r w:rsidR="00A05D78"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o</w:t>
            </w:r>
            <w:r w:rsidR="00A05D78"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grama IGESP ha contribuido con una reducción del 24% en los delitos contra la propiedad</w:t>
            </w:r>
            <w:r w:rsidR="003B5703"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.</w:t>
            </w:r>
          </w:p>
        </w:tc>
      </w:tr>
    </w:tbl>
    <w:p w:rsidR="00E15998" w:rsidRPr="00B11EA4" w:rsidRDefault="00E15998" w:rsidP="00E60CED">
      <w:pPr>
        <w:spacing w:after="0" w:line="240" w:lineRule="auto"/>
        <w:rPr>
          <w:rFonts w:ascii="Times New Roman" w:hAnsi="Times New Roman"/>
          <w:bCs/>
          <w:sz w:val="20"/>
          <w:szCs w:val="20"/>
          <w:lang w:val="es-ES"/>
        </w:rPr>
      </w:pPr>
    </w:p>
    <w:p w:rsidR="00EB70D8" w:rsidRPr="00B11EA4" w:rsidRDefault="00AF44A5" w:rsidP="006F4E38">
      <w:pPr>
        <w:spacing w:after="120" w:line="240" w:lineRule="auto"/>
        <w:jc w:val="center"/>
        <w:rPr>
          <w:rFonts w:ascii="Times New Roman" w:hAnsi="Times New Roman"/>
          <w:b/>
          <w:bCs/>
          <w:smallCaps/>
          <w:spacing w:val="5"/>
          <w:sz w:val="20"/>
          <w:szCs w:val="20"/>
          <w:lang w:val="es-ES"/>
        </w:rPr>
      </w:pPr>
      <w:r w:rsidRPr="00B11EA4">
        <w:rPr>
          <w:rStyle w:val="BookTitle"/>
          <w:rFonts w:ascii="Times New Roman" w:hAnsi="Times New Roman"/>
          <w:bCs/>
          <w:sz w:val="20"/>
          <w:szCs w:val="20"/>
          <w:lang w:val="es-ES"/>
        </w:rPr>
        <w:t>R</w:t>
      </w:r>
      <w:r w:rsidR="00EB70D8" w:rsidRPr="00B11EA4">
        <w:rPr>
          <w:rStyle w:val="BookTitle"/>
          <w:rFonts w:ascii="Times New Roman" w:hAnsi="Times New Roman"/>
          <w:bCs/>
          <w:sz w:val="20"/>
          <w:szCs w:val="20"/>
          <w:lang w:val="es-ES"/>
        </w:rPr>
        <w:t>ESULTADOS ESPERADOS</w:t>
      </w:r>
    </w:p>
    <w:tbl>
      <w:tblPr>
        <w:tblW w:w="14220" w:type="dxa"/>
        <w:jc w:val="center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3"/>
        <w:gridCol w:w="1192"/>
        <w:gridCol w:w="630"/>
        <w:gridCol w:w="90"/>
        <w:gridCol w:w="630"/>
        <w:gridCol w:w="720"/>
        <w:gridCol w:w="630"/>
        <w:gridCol w:w="630"/>
        <w:gridCol w:w="90"/>
        <w:gridCol w:w="585"/>
        <w:gridCol w:w="45"/>
        <w:gridCol w:w="585"/>
        <w:gridCol w:w="45"/>
        <w:gridCol w:w="720"/>
        <w:gridCol w:w="630"/>
        <w:gridCol w:w="90"/>
        <w:gridCol w:w="675"/>
        <w:gridCol w:w="1440"/>
        <w:gridCol w:w="2880"/>
      </w:tblGrid>
      <w:tr w:rsidR="00FA63A0" w:rsidRPr="00B11EA4" w:rsidTr="00B11EA4">
        <w:trPr>
          <w:jc w:val="center"/>
        </w:trPr>
        <w:tc>
          <w:tcPr>
            <w:tcW w:w="1913" w:type="dxa"/>
            <w:vMerge w:val="restart"/>
            <w:shd w:val="clear" w:color="auto" w:fill="C2D69B"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Indicadores</w:t>
            </w:r>
          </w:p>
        </w:tc>
        <w:tc>
          <w:tcPr>
            <w:tcW w:w="1192" w:type="dxa"/>
            <w:vMerge w:val="restart"/>
            <w:shd w:val="clear" w:color="auto" w:fill="C2D69B"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Unidad de medida</w:t>
            </w:r>
          </w:p>
        </w:tc>
        <w:tc>
          <w:tcPr>
            <w:tcW w:w="1350" w:type="dxa"/>
            <w:gridSpan w:val="3"/>
            <w:shd w:val="clear" w:color="auto" w:fill="C2D69B"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Línea de base</w:t>
            </w:r>
          </w:p>
        </w:tc>
        <w:tc>
          <w:tcPr>
            <w:tcW w:w="4050" w:type="dxa"/>
            <w:gridSpan w:val="9"/>
            <w:shd w:val="clear" w:color="auto" w:fill="C2D69B"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Mediciones intermedias</w:t>
            </w:r>
          </w:p>
        </w:tc>
        <w:tc>
          <w:tcPr>
            <w:tcW w:w="1395" w:type="dxa"/>
            <w:gridSpan w:val="3"/>
            <w:shd w:val="clear" w:color="auto" w:fill="C2D69B"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Metas</w:t>
            </w:r>
          </w:p>
        </w:tc>
        <w:tc>
          <w:tcPr>
            <w:tcW w:w="1440" w:type="dxa"/>
            <w:shd w:val="clear" w:color="auto" w:fill="C2D69B"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Fuente/ M</w:t>
            </w: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dio de verif</w:t>
            </w: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cación</w:t>
            </w:r>
          </w:p>
        </w:tc>
        <w:tc>
          <w:tcPr>
            <w:tcW w:w="2880" w:type="dxa"/>
            <w:shd w:val="clear" w:color="auto" w:fill="C2D69B"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Observaciones</w:t>
            </w:r>
          </w:p>
        </w:tc>
      </w:tr>
      <w:tr w:rsidR="00FA63A0" w:rsidRPr="00B11EA4" w:rsidTr="00B11EA4">
        <w:trPr>
          <w:jc w:val="center"/>
        </w:trPr>
        <w:tc>
          <w:tcPr>
            <w:tcW w:w="1913" w:type="dxa"/>
            <w:vMerge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1192" w:type="dxa"/>
            <w:vMerge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gridSpan w:val="2"/>
            <w:shd w:val="clear" w:color="auto" w:fill="C2D69B"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Valor</w:t>
            </w:r>
          </w:p>
        </w:tc>
        <w:tc>
          <w:tcPr>
            <w:tcW w:w="630" w:type="dxa"/>
            <w:shd w:val="clear" w:color="auto" w:fill="C2D69B"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Año</w:t>
            </w:r>
          </w:p>
        </w:tc>
        <w:tc>
          <w:tcPr>
            <w:tcW w:w="720" w:type="dxa"/>
            <w:shd w:val="clear" w:color="auto" w:fill="C2D69B"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Valor</w:t>
            </w:r>
          </w:p>
        </w:tc>
        <w:tc>
          <w:tcPr>
            <w:tcW w:w="630" w:type="dxa"/>
            <w:shd w:val="clear" w:color="auto" w:fill="C2D69B"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Año</w:t>
            </w:r>
          </w:p>
        </w:tc>
        <w:tc>
          <w:tcPr>
            <w:tcW w:w="720" w:type="dxa"/>
            <w:gridSpan w:val="2"/>
            <w:shd w:val="clear" w:color="auto" w:fill="C2D69B"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Valor</w:t>
            </w:r>
          </w:p>
        </w:tc>
        <w:tc>
          <w:tcPr>
            <w:tcW w:w="630" w:type="dxa"/>
            <w:gridSpan w:val="2"/>
            <w:shd w:val="clear" w:color="auto" w:fill="C2D69B"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Año</w:t>
            </w:r>
          </w:p>
        </w:tc>
        <w:tc>
          <w:tcPr>
            <w:tcW w:w="585" w:type="dxa"/>
            <w:shd w:val="clear" w:color="auto" w:fill="C2D69B"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V</w:t>
            </w: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lor</w:t>
            </w:r>
          </w:p>
        </w:tc>
        <w:tc>
          <w:tcPr>
            <w:tcW w:w="765" w:type="dxa"/>
            <w:gridSpan w:val="2"/>
            <w:shd w:val="clear" w:color="auto" w:fill="C2D69B"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Año</w:t>
            </w:r>
          </w:p>
        </w:tc>
        <w:tc>
          <w:tcPr>
            <w:tcW w:w="720" w:type="dxa"/>
            <w:gridSpan w:val="2"/>
            <w:shd w:val="clear" w:color="auto" w:fill="C2D69B"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Valor</w:t>
            </w:r>
          </w:p>
        </w:tc>
        <w:tc>
          <w:tcPr>
            <w:tcW w:w="675" w:type="dxa"/>
            <w:shd w:val="clear" w:color="auto" w:fill="C2D69B"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Año</w:t>
            </w:r>
          </w:p>
        </w:tc>
        <w:tc>
          <w:tcPr>
            <w:tcW w:w="1440" w:type="dxa"/>
            <w:shd w:val="clear" w:color="auto" w:fill="C6D99F"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2880" w:type="dxa"/>
            <w:shd w:val="clear" w:color="auto" w:fill="C6D99F"/>
          </w:tcPr>
          <w:p w:rsidR="00A451B6" w:rsidRPr="00B11EA4" w:rsidRDefault="00A451B6" w:rsidP="00CC4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</w:p>
        </w:tc>
      </w:tr>
      <w:tr w:rsidR="001B1947" w:rsidRPr="00B11EA4" w:rsidTr="009C7457">
        <w:trPr>
          <w:jc w:val="center"/>
        </w:trPr>
        <w:tc>
          <w:tcPr>
            <w:tcW w:w="14220" w:type="dxa"/>
            <w:gridSpan w:val="19"/>
          </w:tcPr>
          <w:p w:rsidR="001B1947" w:rsidRPr="00B11EA4" w:rsidRDefault="00CF6D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>Objetivo Especifico</w:t>
            </w:r>
            <w:r w:rsidR="00F51BFF"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 xml:space="preserve"> 1</w:t>
            </w:r>
            <w:r w:rsidR="001B194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: </w:t>
            </w:r>
            <w:r w:rsidR="0039492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Incrementar  </w:t>
            </w:r>
            <w:r w:rsidR="00F51BF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la efectividad de la </w:t>
            </w:r>
            <w:r w:rsidR="0039492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policía</w:t>
            </w:r>
            <w:r w:rsidR="003822E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para prevenir, controlar e investigar el crimen</w:t>
            </w:r>
            <w:r w:rsidR="005B475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</w:tc>
      </w:tr>
      <w:tr w:rsidR="00270EDB" w:rsidRPr="00B11EA4" w:rsidTr="009C7457">
        <w:trPr>
          <w:jc w:val="center"/>
        </w:trPr>
        <w:tc>
          <w:tcPr>
            <w:tcW w:w="14220" w:type="dxa"/>
            <w:gridSpan w:val="19"/>
          </w:tcPr>
          <w:p w:rsidR="00270EDB" w:rsidRPr="00B11EA4" w:rsidRDefault="00270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Para prevenir el crimen.</w:t>
            </w:r>
          </w:p>
        </w:tc>
      </w:tr>
      <w:tr w:rsidR="00270EDB" w:rsidRPr="00B11EA4" w:rsidTr="00E31046">
        <w:trPr>
          <w:jc w:val="center"/>
        </w:trPr>
        <w:tc>
          <w:tcPr>
            <w:tcW w:w="1913" w:type="dxa"/>
            <w:vAlign w:val="center"/>
          </w:tcPr>
          <w:p w:rsidR="00270EDB" w:rsidRPr="00B11EA4" w:rsidRDefault="00270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 w:eastAsia="pt-BR"/>
              </w:rPr>
            </w:pPr>
            <w:proofErr w:type="spellStart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R.1.1</w:t>
            </w:r>
            <w:proofErr w:type="spellEnd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Recomend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ciones de los Foros Comunitarios de Seguridad cumplidas por la PM en los 14 municipios</w:t>
            </w:r>
            <w:r w:rsidR="00A57EAB">
              <w:rPr>
                <w:rStyle w:val="FootnoteReference"/>
                <w:rFonts w:ascii="Times New Roman" w:hAnsi="Times New Roman"/>
                <w:sz w:val="20"/>
                <w:szCs w:val="20"/>
                <w:lang w:val="es-ES"/>
              </w:rPr>
              <w:footnoteReference w:id="2"/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Pr="00B11EA4" w:rsidDel="009416E6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192" w:type="dxa"/>
            <w:vAlign w:val="center"/>
          </w:tcPr>
          <w:p w:rsidR="00270EDB" w:rsidRPr="00B11EA4" w:rsidRDefault="00270EDB" w:rsidP="00835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Porcentaje</w:t>
            </w:r>
          </w:p>
        </w:tc>
        <w:tc>
          <w:tcPr>
            <w:tcW w:w="720" w:type="dxa"/>
            <w:gridSpan w:val="2"/>
            <w:vAlign w:val="center"/>
          </w:tcPr>
          <w:p w:rsidR="00270EDB" w:rsidRPr="00B11EA4" w:rsidRDefault="00270EDB" w:rsidP="0059157D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630" w:type="dxa"/>
            <w:vAlign w:val="center"/>
          </w:tcPr>
          <w:p w:rsidR="00270EDB" w:rsidRPr="00B11EA4" w:rsidRDefault="00270EDB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2013</w:t>
            </w:r>
          </w:p>
        </w:tc>
        <w:tc>
          <w:tcPr>
            <w:tcW w:w="720" w:type="dxa"/>
            <w:vAlign w:val="center"/>
          </w:tcPr>
          <w:p w:rsidR="00270EDB" w:rsidRPr="00B11EA4" w:rsidRDefault="00270EDB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270EDB" w:rsidRPr="00B11EA4" w:rsidRDefault="00270EDB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70EDB" w:rsidRPr="00B11EA4" w:rsidRDefault="00270EDB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270EDB" w:rsidRPr="00B11EA4" w:rsidRDefault="00270EDB" w:rsidP="006D530C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630" w:type="dxa"/>
            <w:gridSpan w:val="2"/>
            <w:vAlign w:val="center"/>
          </w:tcPr>
          <w:p w:rsidR="00270EDB" w:rsidRPr="00B11EA4" w:rsidRDefault="00270EDB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vAlign w:val="center"/>
          </w:tcPr>
          <w:p w:rsidR="00270EDB" w:rsidRPr="00B11EA4" w:rsidRDefault="00270EDB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70EDB" w:rsidRPr="00B11EA4" w:rsidRDefault="00270EDB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80</w:t>
            </w:r>
          </w:p>
        </w:tc>
        <w:tc>
          <w:tcPr>
            <w:tcW w:w="675" w:type="dxa"/>
            <w:vAlign w:val="center"/>
          </w:tcPr>
          <w:p w:rsidR="00270EDB" w:rsidRPr="00B11EA4" w:rsidRDefault="00270EDB" w:rsidP="006D530C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440" w:type="dxa"/>
            <w:vAlign w:val="center"/>
          </w:tcPr>
          <w:p w:rsidR="00270EDB" w:rsidRPr="00B11EA4" w:rsidRDefault="00270EDB" w:rsidP="00522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Encuesta sobre la policía c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munitaria</w:t>
            </w:r>
          </w:p>
          <w:p w:rsidR="00270EDB" w:rsidRPr="00B11EA4" w:rsidDel="00396E90" w:rsidRDefault="00270EDB" w:rsidP="000312C0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y actas de las reuniones de las CONSEP</w:t>
            </w:r>
          </w:p>
        </w:tc>
        <w:tc>
          <w:tcPr>
            <w:tcW w:w="2880" w:type="dxa"/>
          </w:tcPr>
          <w:p w:rsidR="00270EDB" w:rsidRPr="00B11EA4" w:rsidRDefault="00270EDB" w:rsidP="002A7C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Se hará un monitoreo mensual de dichas recomendaciones y dos encuestas la sobre policía comunitaria.</w:t>
            </w:r>
          </w:p>
        </w:tc>
      </w:tr>
      <w:tr w:rsidR="00270EDB" w:rsidRPr="00B11EA4" w:rsidTr="00B11EA4">
        <w:trPr>
          <w:jc w:val="center"/>
        </w:trPr>
        <w:tc>
          <w:tcPr>
            <w:tcW w:w="14220" w:type="dxa"/>
            <w:gridSpan w:val="19"/>
            <w:vAlign w:val="center"/>
          </w:tcPr>
          <w:p w:rsidR="00270EDB" w:rsidRPr="00B11EA4" w:rsidRDefault="00270EDB" w:rsidP="00B11E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Para controlar el crimen.</w:t>
            </w:r>
          </w:p>
        </w:tc>
      </w:tr>
      <w:tr w:rsidR="00872ABC" w:rsidRPr="00B11EA4" w:rsidTr="00B11EA4">
        <w:trPr>
          <w:jc w:val="center"/>
        </w:trPr>
        <w:tc>
          <w:tcPr>
            <w:tcW w:w="1913" w:type="dxa"/>
            <w:vAlign w:val="center"/>
          </w:tcPr>
          <w:p w:rsidR="00872ABC" w:rsidRPr="00B11EA4" w:rsidRDefault="00872ABC" w:rsidP="002A7C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 w:eastAsia="pt-BR"/>
              </w:rPr>
            </w:pPr>
            <w:proofErr w:type="spellStart"/>
            <w:r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R.1.</w:t>
            </w:r>
            <w:r w:rsidR="00270EDB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2</w:t>
            </w:r>
            <w:proofErr w:type="spellEnd"/>
            <w:r w:rsidR="00270EDB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 xml:space="preserve"> </w:t>
            </w:r>
            <w:r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Homicidios</w:t>
            </w:r>
            <w:r w:rsidR="009F1EB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totales anuales</w:t>
            </w:r>
          </w:p>
          <w:p w:rsidR="00872ABC" w:rsidRPr="00B11EA4" w:rsidRDefault="00872ABC" w:rsidP="002A7C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 w:eastAsia="pt-BR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de jóvenes de 15 a</w:t>
            </w:r>
          </w:p>
          <w:p w:rsidR="00872ABC" w:rsidRPr="00B11EA4" w:rsidRDefault="00872ABC" w:rsidP="002A7CDE">
            <w:pPr>
              <w:tabs>
                <w:tab w:val="left" w:pos="432"/>
              </w:tabs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lastRenderedPageBreak/>
              <w:t>24 años</w:t>
            </w:r>
            <w:r w:rsidR="00552D9C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 xml:space="preserve"> en 14 mun</w:t>
            </w:r>
            <w:r w:rsidR="00552D9C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i</w:t>
            </w:r>
            <w:r w:rsidR="00552D9C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cipios</w:t>
            </w:r>
            <w:r w:rsidR="004C6233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.</w:t>
            </w:r>
          </w:p>
        </w:tc>
        <w:tc>
          <w:tcPr>
            <w:tcW w:w="1192" w:type="dxa"/>
            <w:vAlign w:val="center"/>
          </w:tcPr>
          <w:p w:rsidR="00872ABC" w:rsidRPr="00B11EA4" w:rsidRDefault="00872ABC" w:rsidP="00835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Tasa</w:t>
            </w:r>
            <w:r w:rsidR="009762E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por cien mil habitantes</w:t>
            </w:r>
          </w:p>
        </w:tc>
        <w:tc>
          <w:tcPr>
            <w:tcW w:w="720" w:type="dxa"/>
            <w:gridSpan w:val="2"/>
            <w:vAlign w:val="center"/>
          </w:tcPr>
          <w:p w:rsidR="00872ABC" w:rsidRPr="00B11EA4" w:rsidRDefault="009116E4" w:rsidP="0059157D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80,1</w:t>
            </w:r>
          </w:p>
        </w:tc>
        <w:tc>
          <w:tcPr>
            <w:tcW w:w="630" w:type="dxa"/>
            <w:vAlign w:val="center"/>
          </w:tcPr>
          <w:p w:rsidR="00872ABC" w:rsidRPr="00B11EA4" w:rsidRDefault="00872ABC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</w:t>
            </w:r>
            <w:r w:rsidR="001E333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</w:t>
            </w:r>
          </w:p>
        </w:tc>
        <w:tc>
          <w:tcPr>
            <w:tcW w:w="720" w:type="dxa"/>
            <w:vAlign w:val="center"/>
          </w:tcPr>
          <w:p w:rsidR="00872ABC" w:rsidRPr="00B11EA4" w:rsidRDefault="00872ABC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872ABC" w:rsidRPr="00B11EA4" w:rsidRDefault="00872ABC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72ABC" w:rsidRPr="00B11EA4" w:rsidRDefault="00872ABC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872ABC" w:rsidRPr="00B11EA4" w:rsidRDefault="006D530C" w:rsidP="006D530C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630" w:type="dxa"/>
            <w:gridSpan w:val="2"/>
            <w:vAlign w:val="center"/>
          </w:tcPr>
          <w:p w:rsidR="00872ABC" w:rsidRPr="00B11EA4" w:rsidRDefault="00872ABC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vAlign w:val="center"/>
          </w:tcPr>
          <w:p w:rsidR="00872ABC" w:rsidRPr="00B11EA4" w:rsidRDefault="00872ABC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72ABC" w:rsidRPr="00B11EA4" w:rsidRDefault="00AC0C29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56,1</w:t>
            </w:r>
          </w:p>
        </w:tc>
        <w:tc>
          <w:tcPr>
            <w:tcW w:w="675" w:type="dxa"/>
            <w:vAlign w:val="center"/>
          </w:tcPr>
          <w:p w:rsidR="00872ABC" w:rsidRPr="00B11EA4" w:rsidRDefault="006D530C" w:rsidP="006D530C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440" w:type="dxa"/>
            <w:vAlign w:val="center"/>
          </w:tcPr>
          <w:p w:rsidR="00872ABC" w:rsidRPr="00B11EA4" w:rsidRDefault="006F54FC" w:rsidP="000312C0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Registros adm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nistrativos</w:t>
            </w:r>
            <w:r w:rsidR="00450B4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del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CINDS/SEDS</w:t>
            </w:r>
          </w:p>
        </w:tc>
        <w:tc>
          <w:tcPr>
            <w:tcW w:w="2880" w:type="dxa"/>
          </w:tcPr>
          <w:p w:rsidR="001E3335" w:rsidRPr="00B11EA4" w:rsidRDefault="004C6233" w:rsidP="002A7C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</w:t>
            </w:r>
            <w:r w:rsidR="001E333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a tasa fue calculada en función de </w:t>
            </w:r>
            <w:r w:rsidR="009D361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965 </w:t>
            </w:r>
            <w:r w:rsidR="001E333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homicidios con una p</w:t>
            </w:r>
            <w:r w:rsidR="001E333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="001E333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blación total de </w:t>
            </w:r>
            <w:r w:rsidR="009D361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  <w:r w:rsidR="00AD0D8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9D361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205</w:t>
            </w:r>
            <w:r w:rsidR="00AD0D8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9D361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279</w:t>
            </w:r>
            <w:r w:rsidR="001E333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  <w:p w:rsidR="00872ABC" w:rsidRPr="00B11EA4" w:rsidRDefault="00267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La proye</w:t>
            </w:r>
            <w:r w:rsidR="001E333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cción de las tasas para 201</w:t>
            </w:r>
            <w:r w:rsidR="0059157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9</w:t>
            </w:r>
            <w:r w:rsidR="001E333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toma en cuenta un impacto conservador </w:t>
            </w:r>
            <w:proofErr w:type="gramStart"/>
            <w:r w:rsidR="001E333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del 30% dada</w:t>
            </w:r>
            <w:r w:rsidR="00691A7A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  <w:proofErr w:type="gramEnd"/>
            <w:r w:rsidR="001E333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9D361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las </w:t>
            </w:r>
            <w:r w:rsidR="001E333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intervenciones propuestas y los resultados alcanzados en </w:t>
            </w:r>
            <w:r w:rsidR="009D361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el </w:t>
            </w:r>
            <w:r w:rsidR="001E333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pr</w:t>
            </w:r>
            <w:r w:rsidR="001E333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="00A05D7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grama</w:t>
            </w:r>
            <w:r w:rsidR="009D361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9D361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Fica</w:t>
            </w:r>
            <w:proofErr w:type="spellEnd"/>
            <w:r w:rsidR="009D361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Vivo </w:t>
            </w:r>
            <w:r w:rsidR="00691A7A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y </w:t>
            </w:r>
            <w:r w:rsidR="009D361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en Diadema</w:t>
            </w:r>
            <w:r w:rsidR="00D96C1C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4E653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Las actividades previstas para el Componente 1 </w:t>
            </w:r>
            <w:r w:rsidR="00A3753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alcanzarán</w:t>
            </w:r>
            <w:r w:rsidR="004E653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a 230.000 habitantes de los barrios con mayores niveles de crimin</w:t>
            </w:r>
            <w:r w:rsidR="004E653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="004E653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lidad en los 14 munic</w:t>
            </w:r>
            <w:r w:rsidR="004E653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="004E653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pios.</w:t>
            </w:r>
          </w:p>
        </w:tc>
      </w:tr>
      <w:tr w:rsidR="00A4127A" w:rsidRPr="00B11EA4" w:rsidTr="00B11EA4">
        <w:trPr>
          <w:jc w:val="center"/>
        </w:trPr>
        <w:tc>
          <w:tcPr>
            <w:tcW w:w="1913" w:type="dxa"/>
            <w:vAlign w:val="center"/>
          </w:tcPr>
          <w:p w:rsidR="00296DB1" w:rsidRPr="00B11EA4" w:rsidRDefault="00296DB1" w:rsidP="002A7C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 w:eastAsia="pt-BR"/>
              </w:rPr>
            </w:pPr>
            <w:proofErr w:type="spellStart"/>
            <w:r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lastRenderedPageBreak/>
              <w:t>R.1.</w:t>
            </w:r>
            <w:r w:rsidR="00270EDB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3</w:t>
            </w:r>
            <w:proofErr w:type="spellEnd"/>
            <w:r w:rsidR="00270EDB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 xml:space="preserve"> </w:t>
            </w:r>
            <w:r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Homicidios</w:t>
            </w:r>
          </w:p>
          <w:p w:rsidR="00A4127A" w:rsidRPr="00B11EA4" w:rsidRDefault="009F1E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 w:eastAsia="pt-BR"/>
              </w:rPr>
            </w:pPr>
            <w:proofErr w:type="gramStart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totales</w:t>
            </w:r>
            <w:proofErr w:type="gramEnd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anuales</w:t>
            </w:r>
            <w:r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 xml:space="preserve"> </w:t>
            </w:r>
            <w:r w:rsidR="00296DB1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de jóvenes afrodesce</w:t>
            </w:r>
            <w:r w:rsidR="00296DB1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n</w:t>
            </w:r>
            <w:r w:rsidR="00296DB1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dientes de</w:t>
            </w:r>
            <w:r w:rsidR="00AD0D8D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 xml:space="preserve"> </w:t>
            </w:r>
            <w:r w:rsidR="00296DB1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15 a</w:t>
            </w:r>
            <w:r w:rsidR="00AD0D8D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 xml:space="preserve"> </w:t>
            </w:r>
            <w:r w:rsidR="00296DB1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24 años</w:t>
            </w:r>
            <w:r w:rsidR="00AD0D8D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 xml:space="preserve"> en 14 munic</w:t>
            </w:r>
            <w:r w:rsidR="00AD0D8D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i</w:t>
            </w:r>
            <w:r w:rsidR="00AD0D8D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pios</w:t>
            </w:r>
            <w:r w:rsidR="004C6233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.</w:t>
            </w:r>
          </w:p>
        </w:tc>
        <w:tc>
          <w:tcPr>
            <w:tcW w:w="1192" w:type="dxa"/>
            <w:vAlign w:val="center"/>
          </w:tcPr>
          <w:p w:rsidR="00A4127A" w:rsidRPr="00B11EA4" w:rsidRDefault="00296DB1" w:rsidP="00835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Tasa</w:t>
            </w:r>
            <w:r w:rsidR="0076245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por cien mil habitantes</w:t>
            </w:r>
          </w:p>
        </w:tc>
        <w:tc>
          <w:tcPr>
            <w:tcW w:w="720" w:type="dxa"/>
            <w:gridSpan w:val="2"/>
            <w:vAlign w:val="center"/>
          </w:tcPr>
          <w:p w:rsidR="00A4127A" w:rsidRPr="00B11EA4" w:rsidRDefault="00ED4C21" w:rsidP="0059157D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101,6</w:t>
            </w:r>
          </w:p>
        </w:tc>
        <w:tc>
          <w:tcPr>
            <w:tcW w:w="630" w:type="dxa"/>
            <w:vAlign w:val="center"/>
          </w:tcPr>
          <w:p w:rsidR="00A4127A" w:rsidRPr="00B11EA4" w:rsidRDefault="0059157D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2013</w:t>
            </w:r>
          </w:p>
        </w:tc>
        <w:tc>
          <w:tcPr>
            <w:tcW w:w="720" w:type="dxa"/>
            <w:vAlign w:val="center"/>
          </w:tcPr>
          <w:p w:rsidR="00A4127A" w:rsidRPr="00B11EA4" w:rsidRDefault="00A4127A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A4127A" w:rsidRPr="00B11EA4" w:rsidRDefault="00A4127A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A4127A" w:rsidRPr="00B11EA4" w:rsidRDefault="00A4127A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A4127A" w:rsidRPr="00B11EA4" w:rsidRDefault="0059157D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630" w:type="dxa"/>
            <w:gridSpan w:val="2"/>
            <w:vAlign w:val="center"/>
          </w:tcPr>
          <w:p w:rsidR="00A4127A" w:rsidRPr="00B11EA4" w:rsidRDefault="00A4127A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vAlign w:val="center"/>
          </w:tcPr>
          <w:p w:rsidR="00A4127A" w:rsidRPr="00B11EA4" w:rsidRDefault="00A4127A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A4127A" w:rsidRPr="00B11EA4" w:rsidRDefault="009005D2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71,1</w:t>
            </w:r>
          </w:p>
        </w:tc>
        <w:tc>
          <w:tcPr>
            <w:tcW w:w="675" w:type="dxa"/>
            <w:vAlign w:val="center"/>
          </w:tcPr>
          <w:p w:rsidR="00A4127A" w:rsidRPr="00B11EA4" w:rsidRDefault="006D530C" w:rsidP="006D530C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440" w:type="dxa"/>
            <w:vAlign w:val="center"/>
          </w:tcPr>
          <w:p w:rsidR="00A4127A" w:rsidRPr="00B11EA4" w:rsidRDefault="00450B4F" w:rsidP="00B11EA4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Registros adm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nistrativos del CINDS/SEDS</w:t>
            </w:r>
          </w:p>
        </w:tc>
        <w:tc>
          <w:tcPr>
            <w:tcW w:w="2880" w:type="dxa"/>
          </w:tcPr>
          <w:p w:rsidR="001E3335" w:rsidRPr="00B11EA4" w:rsidRDefault="001E3335" w:rsidP="002A7C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En el año de 2013 </w:t>
            </w:r>
            <w:r w:rsidR="00267FC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había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en los </w:t>
            </w:r>
            <w:r w:rsidR="0059157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14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municipios </w:t>
            </w:r>
            <w:r w:rsidR="0013287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696</w:t>
            </w:r>
            <w:r w:rsidR="009005D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13287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195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afrode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cendientes de 15 a 24 años. De estos </w:t>
            </w:r>
            <w:r w:rsidR="0013287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707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fueron </w:t>
            </w:r>
            <w:r w:rsidR="00267FC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víctima</w:t>
            </w:r>
            <w:r w:rsidR="00435CB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 </w:t>
            </w:r>
            <w:r w:rsidR="00267FC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homicidios</w:t>
            </w:r>
            <w:r w:rsidR="0030244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  <w:p w:rsidR="00A4127A" w:rsidRPr="00B11EA4" w:rsidRDefault="00267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 w:eastAsia="pt-BR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La proyección de las tasas para 201</w:t>
            </w:r>
            <w:r w:rsidR="0059157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9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toma en cuenta un impacto conservador del 30% dada </w:t>
            </w:r>
            <w:r w:rsidR="00691A7A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las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intervenciones propuestas y los resultados alcanzados en </w:t>
            </w:r>
            <w:r w:rsidR="007D4F3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el pr</w:t>
            </w:r>
            <w:r w:rsidR="007D4F3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="007D4F3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grama </w:t>
            </w:r>
            <w:proofErr w:type="spellStart"/>
            <w:r w:rsidR="007D4F3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Fica</w:t>
            </w:r>
            <w:proofErr w:type="spellEnd"/>
            <w:r w:rsidR="007D4F3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Vivo </w:t>
            </w:r>
            <w:r w:rsidR="00691A7A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y </w:t>
            </w:r>
            <w:r w:rsidR="007D4F3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en Diadema</w:t>
            </w:r>
            <w:r w:rsidR="0030244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4E653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Las actividades previstas para el Componente 1 </w:t>
            </w:r>
            <w:r w:rsidR="00A3753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alcanzarán</w:t>
            </w:r>
            <w:r w:rsidR="004E653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a 230.000 habitantes de los barrios con mayores niveles de crimin</w:t>
            </w:r>
            <w:r w:rsidR="004E653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="004E653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lidad en los 14 munic</w:t>
            </w:r>
            <w:r w:rsidR="004E653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="004E653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pios.</w:t>
            </w:r>
          </w:p>
        </w:tc>
      </w:tr>
      <w:tr w:rsidR="006F196F" w:rsidRPr="00B11EA4" w:rsidTr="00B11EA4">
        <w:trPr>
          <w:trHeight w:val="70"/>
          <w:jc w:val="center"/>
        </w:trPr>
        <w:tc>
          <w:tcPr>
            <w:tcW w:w="14220" w:type="dxa"/>
            <w:gridSpan w:val="19"/>
            <w:shd w:val="clear" w:color="auto" w:fill="auto"/>
            <w:vAlign w:val="center"/>
          </w:tcPr>
          <w:p w:rsidR="006F196F" w:rsidRPr="00B11EA4" w:rsidRDefault="006F196F" w:rsidP="00B11E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Para investigar el crimen.</w:t>
            </w:r>
          </w:p>
        </w:tc>
      </w:tr>
      <w:tr w:rsidR="003C37E5" w:rsidRPr="00B11EA4" w:rsidTr="00B11EA4">
        <w:trPr>
          <w:trHeight w:val="1640"/>
          <w:jc w:val="center"/>
        </w:trPr>
        <w:tc>
          <w:tcPr>
            <w:tcW w:w="1913" w:type="dxa"/>
            <w:shd w:val="clear" w:color="auto" w:fill="auto"/>
            <w:vAlign w:val="center"/>
          </w:tcPr>
          <w:p w:rsidR="003C37E5" w:rsidRPr="00B11EA4" w:rsidRDefault="003C3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R.1.</w:t>
            </w:r>
            <w:r w:rsidR="00270EDB"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4</w:t>
            </w:r>
            <w:proofErr w:type="spellEnd"/>
            <w:r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 xml:space="preserve"> Investigaci</w:t>
            </w:r>
            <w:r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o</w:t>
            </w:r>
            <w:r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nes policiales de homicidios comet</w:t>
            </w:r>
            <w:r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dos en el año ant</w:t>
            </w:r>
            <w:r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 w:eastAsia="pt-BR"/>
              </w:rPr>
              <w:t>rior en MG enviadas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al Ministerio Público con autoría esclar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cida en los 12 meses posteriores al h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cho.</w:t>
            </w:r>
          </w:p>
        </w:tc>
        <w:tc>
          <w:tcPr>
            <w:tcW w:w="1192" w:type="dxa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Porcentaje</w:t>
            </w:r>
          </w:p>
        </w:tc>
        <w:tc>
          <w:tcPr>
            <w:tcW w:w="720" w:type="dxa"/>
            <w:gridSpan w:val="2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57,4</w:t>
            </w:r>
          </w:p>
        </w:tc>
        <w:tc>
          <w:tcPr>
            <w:tcW w:w="630" w:type="dxa"/>
            <w:vAlign w:val="center"/>
          </w:tcPr>
          <w:p w:rsidR="003C37E5" w:rsidRPr="00B11EA4" w:rsidRDefault="003C37E5" w:rsidP="0059157D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2013</w:t>
            </w:r>
          </w:p>
        </w:tc>
        <w:tc>
          <w:tcPr>
            <w:tcW w:w="720" w:type="dxa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630" w:type="dxa"/>
            <w:gridSpan w:val="2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66,7</w:t>
            </w:r>
          </w:p>
        </w:tc>
        <w:tc>
          <w:tcPr>
            <w:tcW w:w="675" w:type="dxa"/>
            <w:vAlign w:val="center"/>
          </w:tcPr>
          <w:p w:rsidR="003C37E5" w:rsidRPr="00B11EA4" w:rsidRDefault="003C37E5" w:rsidP="006D530C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440" w:type="dxa"/>
            <w:vAlign w:val="center"/>
          </w:tcPr>
          <w:p w:rsidR="003C37E5" w:rsidRPr="00B11EA4" w:rsidRDefault="003C37E5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Registros adm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nistrativos de la PC</w:t>
            </w:r>
          </w:p>
        </w:tc>
        <w:tc>
          <w:tcPr>
            <w:tcW w:w="2880" w:type="dxa"/>
          </w:tcPr>
          <w:p w:rsidR="003C37E5" w:rsidRPr="00B11EA4" w:rsidRDefault="003C37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En 2013, la Policía Civil (PC) encaminó 7.894  investig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ciones de homicidio al Ministerio P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ú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blico (MP), de los cuales apenas 4.530 con autoría esclarecida. Este indicador refl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ja la calidad del proceso de 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vestigación, siendo que se refiere al porcent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je de todas las inve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tigaciones de homicidio realiz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das por la PC en los cuales se ha (i) identific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do al autor material del crimen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como (ii) se ha 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viado el caso a consideración del MP. 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La meta propuesta es co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sistente con el incremento de la eficacia para resolver delitos violentos obse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r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vados en otros programas de nivel internaci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nal: </w:t>
            </w:r>
            <w:proofErr w:type="spellStart"/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Garicao</w:t>
            </w:r>
            <w:proofErr w:type="spellEnd"/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, L. &amp; </w:t>
            </w:r>
            <w:proofErr w:type="spellStart"/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Heaton</w:t>
            </w:r>
            <w:proofErr w:type="spellEnd"/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, P (2010). Las activ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dades de fort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lecimiento y de sistema de apoyo a su gestión tuvieron un impacto en el incr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mento de  la eficacia de la pol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cía para resolver delitos viole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tos en 9,36%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</w:tc>
      </w:tr>
      <w:tr w:rsidR="003C37E5" w:rsidRPr="00B11EA4" w:rsidTr="00B11EA4">
        <w:trPr>
          <w:jc w:val="center"/>
        </w:trPr>
        <w:tc>
          <w:tcPr>
            <w:tcW w:w="1913" w:type="dxa"/>
            <w:vAlign w:val="center"/>
          </w:tcPr>
          <w:p w:rsidR="003C37E5" w:rsidRPr="00B11EA4" w:rsidRDefault="003C3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R.1.</w:t>
            </w:r>
            <w:r w:rsidR="00270ED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</w:t>
            </w:r>
            <w:proofErr w:type="spellEnd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Homicidios enviados por la pol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cía en los últimos 12 meses al Ministerio Público y denunci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dos en MG.</w:t>
            </w:r>
          </w:p>
        </w:tc>
        <w:tc>
          <w:tcPr>
            <w:tcW w:w="1192" w:type="dxa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Porcentaje</w:t>
            </w:r>
          </w:p>
        </w:tc>
        <w:tc>
          <w:tcPr>
            <w:tcW w:w="720" w:type="dxa"/>
            <w:gridSpan w:val="2"/>
            <w:vAlign w:val="center"/>
          </w:tcPr>
          <w:p w:rsidR="003C37E5" w:rsidRPr="00B11EA4" w:rsidRDefault="003C37E5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3,2</w:t>
            </w:r>
          </w:p>
        </w:tc>
        <w:tc>
          <w:tcPr>
            <w:tcW w:w="630" w:type="dxa"/>
            <w:vAlign w:val="center"/>
          </w:tcPr>
          <w:p w:rsidR="003C37E5" w:rsidRPr="00B11EA4" w:rsidRDefault="003C37E5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2012</w:t>
            </w:r>
          </w:p>
        </w:tc>
        <w:tc>
          <w:tcPr>
            <w:tcW w:w="720" w:type="dxa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630" w:type="dxa"/>
            <w:gridSpan w:val="2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675" w:type="dxa"/>
            <w:vAlign w:val="center"/>
          </w:tcPr>
          <w:p w:rsidR="003C37E5" w:rsidRPr="00B11EA4" w:rsidRDefault="003C37E5" w:rsidP="006D530C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440" w:type="dxa"/>
            <w:vAlign w:val="center"/>
          </w:tcPr>
          <w:p w:rsidR="003C37E5" w:rsidRPr="00B11EA4" w:rsidRDefault="003C37E5" w:rsidP="000312C0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Registros adm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nistrativos de la PC</w:t>
            </w:r>
          </w:p>
        </w:tc>
        <w:tc>
          <w:tcPr>
            <w:tcW w:w="2880" w:type="dxa"/>
          </w:tcPr>
          <w:p w:rsidR="003C37E5" w:rsidRPr="00B11EA4" w:rsidRDefault="003C37E5" w:rsidP="00CB61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Hubo 390 denuncias relativas a 12.000 investigaciones en peri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do 2008-2009.  La meta estaría dos puntos porcentuales por 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cima de la media de Brasil (6%), dado la mejora en la calidad de las investigaciones por las inve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siones en capacitación y proc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dimientos. 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La meta propuesta es consistente con el desempeño de la PC en el cumplimiento de los objetivos de la Meta 2 del Pr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grama Federal.</w:t>
            </w:r>
          </w:p>
        </w:tc>
      </w:tr>
      <w:tr w:rsidR="003C37E5" w:rsidRPr="00B11EA4" w:rsidTr="00B11EA4">
        <w:trPr>
          <w:jc w:val="center"/>
        </w:trPr>
        <w:tc>
          <w:tcPr>
            <w:tcW w:w="1913" w:type="dxa"/>
            <w:vAlign w:val="center"/>
          </w:tcPr>
          <w:p w:rsidR="003C37E5" w:rsidRPr="00B11EA4" w:rsidRDefault="003C3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R.1.</w:t>
            </w:r>
            <w:r w:rsidR="00270ED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</w:t>
            </w:r>
            <w:proofErr w:type="spellEnd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Investigaci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nes policiales de robos registrados en MG en los últimos 12 meses enviadas al Ministerio Público con autoría esclar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cida en los 12 meses posteriores al h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cho.</w:t>
            </w:r>
          </w:p>
        </w:tc>
        <w:tc>
          <w:tcPr>
            <w:tcW w:w="1192" w:type="dxa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Porcentaje</w:t>
            </w:r>
          </w:p>
        </w:tc>
        <w:tc>
          <w:tcPr>
            <w:tcW w:w="720" w:type="dxa"/>
            <w:gridSpan w:val="2"/>
            <w:vAlign w:val="center"/>
          </w:tcPr>
          <w:p w:rsidR="003C37E5" w:rsidRPr="00B11EA4" w:rsidRDefault="003C37E5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7,5</w:t>
            </w:r>
          </w:p>
        </w:tc>
        <w:tc>
          <w:tcPr>
            <w:tcW w:w="630" w:type="dxa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2013</w:t>
            </w:r>
          </w:p>
        </w:tc>
        <w:tc>
          <w:tcPr>
            <w:tcW w:w="720" w:type="dxa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630" w:type="dxa"/>
            <w:gridSpan w:val="2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vAlign w:val="center"/>
          </w:tcPr>
          <w:p w:rsidR="003C37E5" w:rsidRPr="00B11EA4" w:rsidRDefault="003C37E5" w:rsidP="004C6233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C37E5" w:rsidRPr="00B11EA4" w:rsidRDefault="003C37E5" w:rsidP="00801486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8,3</w:t>
            </w:r>
          </w:p>
        </w:tc>
        <w:tc>
          <w:tcPr>
            <w:tcW w:w="675" w:type="dxa"/>
            <w:vAlign w:val="center"/>
          </w:tcPr>
          <w:p w:rsidR="003C37E5" w:rsidRPr="00B11EA4" w:rsidRDefault="003C37E5" w:rsidP="006D530C">
            <w:pPr>
              <w:tabs>
                <w:tab w:val="left" w:pos="432"/>
              </w:tabs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440" w:type="dxa"/>
            <w:vAlign w:val="center"/>
          </w:tcPr>
          <w:p w:rsidR="003C37E5" w:rsidRPr="00B11EA4" w:rsidRDefault="003C37E5" w:rsidP="00801486">
            <w:pPr>
              <w:tabs>
                <w:tab w:val="left" w:pos="-108"/>
                <w:tab w:val="left" w:pos="972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Registros adm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nistrativos de la PC</w:t>
            </w:r>
          </w:p>
          <w:p w:rsidR="003C37E5" w:rsidRPr="00B11EA4" w:rsidRDefault="003C37E5" w:rsidP="00801486">
            <w:pPr>
              <w:tabs>
                <w:tab w:val="left" w:pos="-108"/>
                <w:tab w:val="left" w:pos="972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y del</w:t>
            </w:r>
          </w:p>
          <w:p w:rsidR="003C37E5" w:rsidRPr="00B11EA4" w:rsidRDefault="003C37E5" w:rsidP="00801486">
            <w:pPr>
              <w:tabs>
                <w:tab w:val="left" w:pos="-108"/>
                <w:tab w:val="left" w:pos="972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CINDS/SEDS</w:t>
            </w:r>
          </w:p>
        </w:tc>
        <w:tc>
          <w:tcPr>
            <w:tcW w:w="2880" w:type="dxa"/>
          </w:tcPr>
          <w:p w:rsidR="003C37E5" w:rsidRPr="00B11EA4" w:rsidRDefault="003C37E5" w:rsidP="002A7C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En 2013 de los 100.401 robos registrados solamente 7.566 t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vieron autoría identificada. </w:t>
            </w:r>
          </w:p>
          <w:p w:rsidR="003C37E5" w:rsidRPr="00B11EA4" w:rsidRDefault="003C37E5" w:rsidP="003F71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La meta toma en cuenta un 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m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pacto conservador del 10% dada las intervenciones propuestas y los resultados alcanzados en otros programas: </w:t>
            </w:r>
            <w:proofErr w:type="spellStart"/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Tuffin</w:t>
            </w:r>
            <w:proofErr w:type="spellEnd"/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, Morris &amp; </w:t>
            </w:r>
            <w:proofErr w:type="spellStart"/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Poole</w:t>
            </w:r>
            <w:proofErr w:type="spellEnd"/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 (2006) que indica que una mayor presencia policía en los barrios priorizados, incl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u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yendo la respuesta focalizadas y la participación activa de las 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lastRenderedPageBreak/>
              <w:t>comunidades residentes redujo el crimen en 4% en los lugares que recibieron el tratamiento en comparación con aquellos lug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res que sirvieron de control. </w:t>
            </w:r>
          </w:p>
        </w:tc>
      </w:tr>
      <w:tr w:rsidR="002F1ACE" w:rsidRPr="00B11EA4" w:rsidTr="009C7457">
        <w:trPr>
          <w:jc w:val="center"/>
        </w:trPr>
        <w:tc>
          <w:tcPr>
            <w:tcW w:w="14220" w:type="dxa"/>
            <w:gridSpan w:val="19"/>
            <w:vAlign w:val="center"/>
          </w:tcPr>
          <w:p w:rsidR="002F1ACE" w:rsidRPr="00B11EA4" w:rsidRDefault="00CF6D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lastRenderedPageBreak/>
              <w:t xml:space="preserve">Objetivo Especifico </w:t>
            </w:r>
            <w:r w:rsidR="002F4C16"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>2</w:t>
            </w:r>
            <w:r w:rsidR="006C0017"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 xml:space="preserve">: </w:t>
            </w:r>
            <w:r w:rsidR="0039492F" w:rsidRPr="00B11EA4">
              <w:rPr>
                <w:rFonts w:ascii="Times New Roman" w:hAnsi="Times New Roman"/>
                <w:bCs/>
                <w:sz w:val="20"/>
                <w:szCs w:val="20"/>
                <w:lang w:val="es-ES"/>
              </w:rPr>
              <w:t>Mejorar la inserción social de jóvenes en situación de riesgo a la violencia</w:t>
            </w:r>
            <w:r w:rsidR="00F51BFF" w:rsidRPr="00B11EA4">
              <w:rPr>
                <w:rFonts w:ascii="Times New Roman" w:hAnsi="Times New Roman"/>
                <w:bCs/>
                <w:sz w:val="20"/>
                <w:szCs w:val="20"/>
                <w:lang w:val="es-ES"/>
              </w:rPr>
              <w:t>.</w:t>
            </w:r>
          </w:p>
        </w:tc>
      </w:tr>
      <w:tr w:rsidR="00FA63A0" w:rsidRPr="00B11EA4" w:rsidTr="00B11EA4">
        <w:trPr>
          <w:jc w:val="center"/>
        </w:trPr>
        <w:tc>
          <w:tcPr>
            <w:tcW w:w="1913" w:type="dxa"/>
            <w:vAlign w:val="center"/>
          </w:tcPr>
          <w:p w:rsidR="000537E0" w:rsidRPr="00B11EA4" w:rsidRDefault="002F4C16" w:rsidP="006C61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R.</w:t>
            </w:r>
            <w:r w:rsidR="00EA406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A05C01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  <w:proofErr w:type="spellEnd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E770A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Jóvenes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 15 a 24 años </w:t>
            </w:r>
            <w:r w:rsidR="00731E1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sin el </w:t>
            </w:r>
            <w:r w:rsidR="0048152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ciclo básico </w:t>
            </w:r>
            <w:r w:rsidR="00264C1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</w:t>
            </w:r>
            <w:r w:rsidR="00E770A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oncluido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en </w:t>
            </w:r>
            <w:r w:rsidR="006C615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14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municipios</w:t>
            </w:r>
            <w:r w:rsidR="004C623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1192" w:type="dxa"/>
            <w:vAlign w:val="center"/>
          </w:tcPr>
          <w:p w:rsidR="002F4C16" w:rsidRPr="00B11EA4" w:rsidRDefault="00DA6442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centaje</w:t>
            </w:r>
          </w:p>
        </w:tc>
        <w:tc>
          <w:tcPr>
            <w:tcW w:w="630" w:type="dxa"/>
            <w:vAlign w:val="center"/>
          </w:tcPr>
          <w:p w:rsidR="002F4C16" w:rsidRPr="00B11EA4" w:rsidRDefault="00DA6442" w:rsidP="006C6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22</w:t>
            </w:r>
          </w:p>
        </w:tc>
        <w:tc>
          <w:tcPr>
            <w:tcW w:w="720" w:type="dxa"/>
            <w:gridSpan w:val="2"/>
            <w:vAlign w:val="center"/>
          </w:tcPr>
          <w:p w:rsidR="002F4C16" w:rsidRPr="00B11EA4" w:rsidRDefault="001832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</w:t>
            </w:r>
            <w:r w:rsidR="0085275A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720" w:type="dxa"/>
            <w:vAlign w:val="center"/>
          </w:tcPr>
          <w:p w:rsidR="002F4C16" w:rsidRPr="00B11EA4" w:rsidRDefault="002F4C16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2F4C16" w:rsidRPr="00B11EA4" w:rsidRDefault="002F4C16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2F4C16" w:rsidRPr="00B11EA4" w:rsidRDefault="002F4C16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2F4C16" w:rsidRPr="00B11EA4" w:rsidRDefault="002F4C16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</w:t>
            </w:r>
            <w:r w:rsidR="009660E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7</w:t>
            </w:r>
          </w:p>
        </w:tc>
        <w:tc>
          <w:tcPr>
            <w:tcW w:w="630" w:type="dxa"/>
            <w:gridSpan w:val="2"/>
            <w:vAlign w:val="center"/>
          </w:tcPr>
          <w:p w:rsidR="002F4C16" w:rsidRPr="00B11EA4" w:rsidRDefault="002F4C16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2F4C16" w:rsidRPr="00B11EA4" w:rsidRDefault="002F4C16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2F4C16" w:rsidRPr="00B11EA4" w:rsidRDefault="00DA6442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18,8</w:t>
            </w:r>
          </w:p>
        </w:tc>
        <w:tc>
          <w:tcPr>
            <w:tcW w:w="765" w:type="dxa"/>
            <w:gridSpan w:val="2"/>
            <w:vAlign w:val="center"/>
          </w:tcPr>
          <w:p w:rsidR="002F4C16" w:rsidRPr="00B11EA4" w:rsidRDefault="006D530C" w:rsidP="006D53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440" w:type="dxa"/>
            <w:vAlign w:val="center"/>
          </w:tcPr>
          <w:p w:rsidR="002F4C16" w:rsidRPr="00B11EA4" w:rsidRDefault="00450B4F" w:rsidP="000312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Datos públicos del </w:t>
            </w:r>
            <w:r w:rsidR="0097660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IBGE</w:t>
            </w:r>
          </w:p>
        </w:tc>
        <w:tc>
          <w:tcPr>
            <w:tcW w:w="2880" w:type="dxa"/>
          </w:tcPr>
          <w:p w:rsidR="002F4C16" w:rsidRPr="00B11EA4" w:rsidDel="00B17C85" w:rsidRDefault="00FA6A55" w:rsidP="00DA64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En 201</w:t>
            </w:r>
            <w:r w:rsidR="00B97D4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existían </w:t>
            </w:r>
            <w:r w:rsidR="00B97D4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DA644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258450 </w:t>
            </w:r>
            <w:r w:rsidR="00731E1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de </w:t>
            </w:r>
            <w:r w:rsidR="008133E6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117479</w:t>
            </w:r>
            <w:r w:rsidR="00DA644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8</w:t>
            </w:r>
            <w:r w:rsidR="008133E6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 </w:t>
            </w:r>
            <w:r w:rsidR="0095391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jóvenes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 15 a 24 años de edad que no había cu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minado el ciclo básico en los </w:t>
            </w:r>
            <w:r w:rsidR="006C615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14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Municipios. El programa atend</w:t>
            </w:r>
            <w:r w:rsidR="001A57A1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rá </w:t>
            </w:r>
            <w:r w:rsidR="008133E6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38.000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del </w:t>
            </w:r>
            <w:r w:rsidR="008133E6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verso en los </w:t>
            </w:r>
            <w:r w:rsidR="008133E6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14 m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unicipios.</w:t>
            </w:r>
          </w:p>
        </w:tc>
      </w:tr>
      <w:tr w:rsidR="009F1EBF" w:rsidRPr="00B11EA4" w:rsidTr="00B11EA4">
        <w:trPr>
          <w:jc w:val="center"/>
        </w:trPr>
        <w:tc>
          <w:tcPr>
            <w:tcW w:w="1913" w:type="dxa"/>
            <w:vAlign w:val="center"/>
          </w:tcPr>
          <w:p w:rsidR="009F1EBF" w:rsidRPr="00B11EA4" w:rsidRDefault="009F1E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R.2.2</w:t>
            </w:r>
            <w:proofErr w:type="spellEnd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423A8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Jóvenes de 15 a 24 años afrode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cendientes sin ciclo básico concluido en 14 municipios</w:t>
            </w:r>
          </w:p>
        </w:tc>
        <w:tc>
          <w:tcPr>
            <w:tcW w:w="1192" w:type="dxa"/>
            <w:vAlign w:val="center"/>
          </w:tcPr>
          <w:p w:rsidR="009F1EBF" w:rsidRPr="00B11EA4" w:rsidRDefault="00DA6442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Porcentaje</w:t>
            </w:r>
          </w:p>
        </w:tc>
        <w:tc>
          <w:tcPr>
            <w:tcW w:w="630" w:type="dxa"/>
            <w:vAlign w:val="center"/>
          </w:tcPr>
          <w:p w:rsidR="009F1EBF" w:rsidRPr="00B11EA4" w:rsidRDefault="00DA64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26,8</w:t>
            </w:r>
          </w:p>
        </w:tc>
        <w:tc>
          <w:tcPr>
            <w:tcW w:w="720" w:type="dxa"/>
            <w:gridSpan w:val="2"/>
            <w:vAlign w:val="center"/>
          </w:tcPr>
          <w:p w:rsidR="009F1EBF" w:rsidRPr="00B11EA4" w:rsidRDefault="009F1E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2011</w:t>
            </w:r>
          </w:p>
        </w:tc>
        <w:tc>
          <w:tcPr>
            <w:tcW w:w="720" w:type="dxa"/>
            <w:vAlign w:val="center"/>
          </w:tcPr>
          <w:p w:rsidR="009F1EBF" w:rsidRPr="00B11EA4" w:rsidRDefault="009F1EBF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9F1EBF" w:rsidRPr="00B11EA4" w:rsidRDefault="009F1EBF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9F1EBF" w:rsidRPr="00B11EA4" w:rsidRDefault="009F1EBF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9F1EBF" w:rsidRPr="00B11EA4" w:rsidRDefault="009F1EBF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630" w:type="dxa"/>
            <w:gridSpan w:val="2"/>
            <w:vAlign w:val="center"/>
          </w:tcPr>
          <w:p w:rsidR="009F1EBF" w:rsidRPr="00B11EA4" w:rsidRDefault="009F1EBF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9F1EBF" w:rsidRPr="00B11EA4" w:rsidRDefault="009F1EBF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9F1EBF" w:rsidRPr="00B11EA4" w:rsidRDefault="00DA6442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23,2</w:t>
            </w:r>
          </w:p>
        </w:tc>
        <w:tc>
          <w:tcPr>
            <w:tcW w:w="765" w:type="dxa"/>
            <w:gridSpan w:val="2"/>
            <w:vAlign w:val="center"/>
          </w:tcPr>
          <w:p w:rsidR="009F1EBF" w:rsidRPr="00B11EA4" w:rsidRDefault="009F1EBF" w:rsidP="006D53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440" w:type="dxa"/>
            <w:vAlign w:val="center"/>
          </w:tcPr>
          <w:p w:rsidR="009F1EBF" w:rsidRPr="00B11EA4" w:rsidRDefault="00450B4F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Datos públicos del IBGE</w:t>
            </w:r>
          </w:p>
        </w:tc>
        <w:tc>
          <w:tcPr>
            <w:tcW w:w="2880" w:type="dxa"/>
          </w:tcPr>
          <w:p w:rsidR="009F1EBF" w:rsidRPr="00B11EA4" w:rsidRDefault="009F1E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En 2011 existían </w:t>
            </w:r>
            <w:r w:rsidR="00DA644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181796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 </w:t>
            </w:r>
            <w:r w:rsidR="00DA644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678589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 jóvenes </w:t>
            </w:r>
            <w:r w:rsidR="00DA644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afrodescendie</w:t>
            </w:r>
            <w:r w:rsidR="00DA644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="00DA644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tes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de 15 a 24 años</w:t>
            </w:r>
            <w:r w:rsidR="00DA644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 edad que no había</w:t>
            </w:r>
            <w:r w:rsidR="00DA644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culminado el ciclo básico en los 14 Municipios. El programa atenderá </w:t>
            </w:r>
            <w:r w:rsidR="00DA644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24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DA644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7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00 del universo.</w:t>
            </w:r>
          </w:p>
        </w:tc>
      </w:tr>
      <w:tr w:rsidR="00FA63A0" w:rsidRPr="00B11EA4" w:rsidTr="00B11EA4">
        <w:trPr>
          <w:jc w:val="center"/>
        </w:trPr>
        <w:tc>
          <w:tcPr>
            <w:tcW w:w="1913" w:type="dxa"/>
            <w:vAlign w:val="center"/>
          </w:tcPr>
          <w:p w:rsidR="000537E0" w:rsidRPr="00B11EA4" w:rsidRDefault="002F4C16" w:rsidP="00C13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R.</w:t>
            </w:r>
            <w:r w:rsidR="00342F2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C1303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</w:t>
            </w:r>
            <w:proofErr w:type="spellEnd"/>
            <w:r w:rsidR="00747EE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423A8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95391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Jóvenes</w:t>
            </w:r>
            <w:r w:rsidR="00EE4C9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 15 a 24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años</w:t>
            </w:r>
            <w:r w:rsidR="00227C0A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que trab</w:t>
            </w:r>
            <w:r w:rsidR="00227C0A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="00227C0A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jan </w:t>
            </w:r>
            <w:r w:rsidR="00EE4C9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en lo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s </w:t>
            </w:r>
            <w:r w:rsidR="006C615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14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mun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cipios</w:t>
            </w:r>
            <w:r w:rsidR="008E78A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192" w:type="dxa"/>
            <w:vAlign w:val="center"/>
          </w:tcPr>
          <w:p w:rsidR="002F4C16" w:rsidRPr="00B11EA4" w:rsidRDefault="00227C0A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Porcentaje</w:t>
            </w:r>
          </w:p>
        </w:tc>
        <w:tc>
          <w:tcPr>
            <w:tcW w:w="630" w:type="dxa"/>
            <w:vAlign w:val="center"/>
          </w:tcPr>
          <w:p w:rsidR="002F4C16" w:rsidRPr="00B11EA4" w:rsidRDefault="00DC3070" w:rsidP="006C6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51,7</w:t>
            </w:r>
          </w:p>
        </w:tc>
        <w:tc>
          <w:tcPr>
            <w:tcW w:w="720" w:type="dxa"/>
            <w:gridSpan w:val="2"/>
            <w:vAlign w:val="center"/>
          </w:tcPr>
          <w:p w:rsidR="002F4C16" w:rsidRPr="00B11EA4" w:rsidRDefault="00527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2010</w:t>
            </w:r>
          </w:p>
        </w:tc>
        <w:tc>
          <w:tcPr>
            <w:tcW w:w="720" w:type="dxa"/>
            <w:vAlign w:val="center"/>
          </w:tcPr>
          <w:p w:rsidR="002F4C16" w:rsidRPr="00B11EA4" w:rsidRDefault="002F4C16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2F4C16" w:rsidRPr="00B11EA4" w:rsidRDefault="002F4C16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2F4C16" w:rsidRPr="00B11EA4" w:rsidRDefault="002F4C16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2F4C16" w:rsidRPr="00B11EA4" w:rsidRDefault="002F4C16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</w:t>
            </w:r>
            <w:r w:rsidR="009660E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7</w:t>
            </w:r>
          </w:p>
        </w:tc>
        <w:tc>
          <w:tcPr>
            <w:tcW w:w="630" w:type="dxa"/>
            <w:gridSpan w:val="2"/>
            <w:vAlign w:val="center"/>
          </w:tcPr>
          <w:p w:rsidR="002F4C16" w:rsidRPr="00B11EA4" w:rsidRDefault="002F4C16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2F4C16" w:rsidRPr="00B11EA4" w:rsidRDefault="002F4C16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2F4C16" w:rsidRPr="00B11EA4" w:rsidRDefault="00DA6BB8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54,3</w:t>
            </w:r>
          </w:p>
        </w:tc>
        <w:tc>
          <w:tcPr>
            <w:tcW w:w="765" w:type="dxa"/>
            <w:gridSpan w:val="2"/>
            <w:vAlign w:val="center"/>
          </w:tcPr>
          <w:p w:rsidR="002F4C16" w:rsidRPr="00B11EA4" w:rsidRDefault="006D530C" w:rsidP="006D53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440" w:type="dxa"/>
            <w:vAlign w:val="center"/>
          </w:tcPr>
          <w:p w:rsidR="002F4C16" w:rsidRPr="00B11EA4" w:rsidRDefault="00450B4F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Datos públicos del IBGE</w:t>
            </w:r>
          </w:p>
        </w:tc>
        <w:tc>
          <w:tcPr>
            <w:tcW w:w="2880" w:type="dxa"/>
          </w:tcPr>
          <w:p w:rsidR="002F4C16" w:rsidRPr="00B11EA4" w:rsidRDefault="001F0B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En</w:t>
            </w:r>
            <w:r w:rsidR="004E66D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2010 existían </w:t>
            </w:r>
            <w:r w:rsidR="00DC307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607</w:t>
            </w:r>
            <w:r w:rsidR="004E66D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DC307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206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jóv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nes</w:t>
            </w:r>
            <w:r w:rsidR="00DC307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4E66D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trabajando</w:t>
            </w:r>
            <w:r w:rsidR="0026340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 un total de </w:t>
            </w:r>
            <w:r w:rsidR="004E66D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26340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1.174.709 jóvenes </w:t>
            </w:r>
            <w:r w:rsidR="004E66D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="0026340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="004E66D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los 14 m</w:t>
            </w:r>
            <w:r w:rsidR="004E66D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</w:t>
            </w:r>
            <w:r w:rsidR="004E66D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nicipios. El Programa tendrá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un</w:t>
            </w:r>
            <w:r w:rsidR="004E66D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impacto de 31.000</w:t>
            </w:r>
            <w:r w:rsidR="006A5C0C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nuevos</w:t>
            </w:r>
            <w:r w:rsidR="004E66D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jóv</w:t>
            </w:r>
            <w:r w:rsidR="004E66D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="004E66D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nes</w:t>
            </w:r>
            <w:r w:rsidR="006A5C0C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en el mercado laboral</w:t>
            </w:r>
            <w:r w:rsidR="00DC307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. </w:t>
            </w:r>
          </w:p>
        </w:tc>
      </w:tr>
      <w:tr w:rsidR="00FF48BB" w:rsidRPr="00B11EA4" w:rsidTr="00B11EA4">
        <w:trPr>
          <w:jc w:val="center"/>
        </w:trPr>
        <w:tc>
          <w:tcPr>
            <w:tcW w:w="1913" w:type="dxa"/>
            <w:vAlign w:val="center"/>
          </w:tcPr>
          <w:p w:rsidR="000537E0" w:rsidRPr="00B11EA4" w:rsidRDefault="00A05C01" w:rsidP="00C13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R.2.</w:t>
            </w:r>
            <w:r w:rsidR="00C1303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4</w:t>
            </w:r>
            <w:proofErr w:type="spellEnd"/>
            <w:r w:rsidR="00423A8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FF48B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Jóvenes de 15 a 24  años afrode</w:t>
            </w:r>
            <w:r w:rsidR="00FF48B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  <w:r w:rsidR="00FF48B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cendientes que tr</w:t>
            </w:r>
            <w:r w:rsidR="00FF48B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="00FF48B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bajan en los </w:t>
            </w:r>
            <w:r w:rsidR="006C615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14</w:t>
            </w:r>
            <w:r w:rsidR="00FF48B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m</w:t>
            </w:r>
            <w:r w:rsidR="00FF48B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</w:t>
            </w:r>
            <w:r w:rsidR="00FF48B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nicipios.</w:t>
            </w:r>
          </w:p>
        </w:tc>
        <w:tc>
          <w:tcPr>
            <w:tcW w:w="1192" w:type="dxa"/>
            <w:vAlign w:val="center"/>
          </w:tcPr>
          <w:p w:rsidR="00FF48BB" w:rsidRPr="00B11EA4" w:rsidRDefault="00FF48BB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Porcentaje</w:t>
            </w:r>
          </w:p>
        </w:tc>
        <w:tc>
          <w:tcPr>
            <w:tcW w:w="630" w:type="dxa"/>
            <w:vAlign w:val="center"/>
          </w:tcPr>
          <w:p w:rsidR="00FF48BB" w:rsidRPr="00B11EA4" w:rsidRDefault="00BB43CC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52,6</w:t>
            </w:r>
          </w:p>
        </w:tc>
        <w:tc>
          <w:tcPr>
            <w:tcW w:w="720" w:type="dxa"/>
            <w:gridSpan w:val="2"/>
            <w:vAlign w:val="center"/>
          </w:tcPr>
          <w:p w:rsidR="00FF48BB" w:rsidRPr="00B11EA4" w:rsidRDefault="00BB43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2010</w:t>
            </w:r>
          </w:p>
        </w:tc>
        <w:tc>
          <w:tcPr>
            <w:tcW w:w="720" w:type="dxa"/>
            <w:vAlign w:val="center"/>
          </w:tcPr>
          <w:p w:rsidR="00FF48BB" w:rsidRPr="00B11EA4" w:rsidRDefault="00FF48BB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FF48BB" w:rsidRPr="00B11EA4" w:rsidRDefault="00FF48BB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FF48BB" w:rsidRPr="00B11EA4" w:rsidRDefault="00FF48BB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FF48BB" w:rsidRPr="00B11EA4" w:rsidRDefault="009660E8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630" w:type="dxa"/>
            <w:gridSpan w:val="2"/>
            <w:vAlign w:val="center"/>
          </w:tcPr>
          <w:p w:rsidR="00FF48BB" w:rsidRPr="00B11EA4" w:rsidRDefault="00FF48BB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FF48BB" w:rsidRPr="00B11EA4" w:rsidRDefault="00FF48BB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FF48BB" w:rsidRPr="00B11EA4" w:rsidRDefault="002F7C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55,</w:t>
            </w:r>
            <w:r w:rsidR="002D2AE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</w:t>
            </w:r>
          </w:p>
        </w:tc>
        <w:tc>
          <w:tcPr>
            <w:tcW w:w="765" w:type="dxa"/>
            <w:gridSpan w:val="2"/>
            <w:vAlign w:val="center"/>
          </w:tcPr>
          <w:p w:rsidR="00FF48BB" w:rsidRPr="00B11EA4" w:rsidRDefault="006D530C" w:rsidP="006D53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440" w:type="dxa"/>
            <w:vAlign w:val="center"/>
          </w:tcPr>
          <w:p w:rsidR="00FF48BB" w:rsidRPr="00B11EA4" w:rsidRDefault="00450B4F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Datos públicos del IBGE</w:t>
            </w:r>
          </w:p>
        </w:tc>
        <w:tc>
          <w:tcPr>
            <w:tcW w:w="2880" w:type="dxa"/>
          </w:tcPr>
          <w:p w:rsidR="00FF48BB" w:rsidRPr="00B11EA4" w:rsidRDefault="00A701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En 2010 </w:t>
            </w:r>
            <w:r w:rsidR="006C001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existían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2F7CA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357.104 </w:t>
            </w:r>
            <w:r w:rsidR="006C001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jóv</w:t>
            </w:r>
            <w:r w:rsidR="006C001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="006C001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nes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2F7CA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afrodescendientes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que est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ban trabajando en los </w:t>
            </w:r>
            <w:r w:rsidR="006C615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14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munic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pios</w:t>
            </w:r>
            <w:r w:rsidR="0087375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. </w:t>
            </w:r>
            <w:r w:rsidR="002F7CA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Se espera que </w:t>
            </w:r>
            <w:r w:rsidR="002D2AE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17</w:t>
            </w:r>
            <w:r w:rsidR="002F7CA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2D2AE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98</w:t>
            </w:r>
            <w:r w:rsidR="002F7CA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 jóv</w:t>
            </w:r>
            <w:r w:rsidR="002F7CA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="002F7CA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nes afrodescendientes ingresen al mercado laboral. </w:t>
            </w:r>
          </w:p>
        </w:tc>
      </w:tr>
      <w:tr w:rsidR="009A0280" w:rsidRPr="00B11EA4" w:rsidTr="00B11EA4">
        <w:trPr>
          <w:jc w:val="center"/>
        </w:trPr>
        <w:tc>
          <w:tcPr>
            <w:tcW w:w="1913" w:type="dxa"/>
            <w:vAlign w:val="center"/>
          </w:tcPr>
          <w:p w:rsidR="009A0280" w:rsidRPr="00B11EA4" w:rsidRDefault="009A0280" w:rsidP="00C13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R.2.</w:t>
            </w:r>
            <w:r w:rsidR="00C1303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</w:t>
            </w:r>
            <w:proofErr w:type="spellEnd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423A8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C1620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Robos com</w:t>
            </w:r>
            <w:r w:rsidR="00C1620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="00C1620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tidos que tuvieron por autor a un joven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 15 a 24 años en los </w:t>
            </w:r>
            <w:r w:rsidR="006C615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14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municipios</w:t>
            </w:r>
            <w:r w:rsidR="004C623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 </w:t>
            </w:r>
          </w:p>
        </w:tc>
        <w:tc>
          <w:tcPr>
            <w:tcW w:w="1192" w:type="dxa"/>
            <w:vAlign w:val="center"/>
          </w:tcPr>
          <w:p w:rsidR="009A0280" w:rsidRPr="00B11EA4" w:rsidRDefault="009A0280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Porcentaje</w:t>
            </w:r>
          </w:p>
        </w:tc>
        <w:tc>
          <w:tcPr>
            <w:tcW w:w="630" w:type="dxa"/>
            <w:vAlign w:val="center"/>
          </w:tcPr>
          <w:p w:rsidR="009A0280" w:rsidRPr="00B11EA4" w:rsidRDefault="00B332C4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66,8</w:t>
            </w:r>
          </w:p>
        </w:tc>
        <w:tc>
          <w:tcPr>
            <w:tcW w:w="720" w:type="dxa"/>
            <w:gridSpan w:val="2"/>
            <w:vAlign w:val="center"/>
          </w:tcPr>
          <w:p w:rsidR="009A0280" w:rsidRPr="00B11EA4" w:rsidRDefault="0024765E" w:rsidP="006C6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</w:t>
            </w:r>
            <w:r w:rsidR="006C615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</w:t>
            </w:r>
          </w:p>
        </w:tc>
        <w:tc>
          <w:tcPr>
            <w:tcW w:w="720" w:type="dxa"/>
            <w:vAlign w:val="center"/>
          </w:tcPr>
          <w:p w:rsidR="009A0280" w:rsidRPr="00B11EA4" w:rsidRDefault="009A0280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9A0280" w:rsidRPr="00B11EA4" w:rsidRDefault="009A0280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9A0280" w:rsidRPr="00B11EA4" w:rsidRDefault="009A0280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9A0280" w:rsidRPr="00B11EA4" w:rsidRDefault="009660E8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</w:t>
            </w:r>
            <w:r w:rsidR="00DB38A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7</w:t>
            </w:r>
          </w:p>
        </w:tc>
        <w:tc>
          <w:tcPr>
            <w:tcW w:w="630" w:type="dxa"/>
            <w:gridSpan w:val="2"/>
            <w:vAlign w:val="center"/>
          </w:tcPr>
          <w:p w:rsidR="009A0280" w:rsidRPr="00B11EA4" w:rsidRDefault="009A0280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9A0280" w:rsidRPr="00B11EA4" w:rsidRDefault="009A0280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9A0280" w:rsidRPr="00B11EA4" w:rsidRDefault="009B74DE" w:rsidP="006C6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53,4</w:t>
            </w:r>
          </w:p>
        </w:tc>
        <w:tc>
          <w:tcPr>
            <w:tcW w:w="765" w:type="dxa"/>
            <w:gridSpan w:val="2"/>
            <w:vAlign w:val="center"/>
          </w:tcPr>
          <w:p w:rsidR="009A0280" w:rsidRPr="00B11EA4" w:rsidRDefault="0024765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</w:t>
            </w:r>
            <w:r w:rsidR="009660E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9</w:t>
            </w:r>
          </w:p>
        </w:tc>
        <w:tc>
          <w:tcPr>
            <w:tcW w:w="1440" w:type="dxa"/>
            <w:vAlign w:val="center"/>
          </w:tcPr>
          <w:p w:rsidR="009A0280" w:rsidRPr="00B11EA4" w:rsidRDefault="004C1CBB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Registros 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ministrativos del CINDS/SEDS</w:t>
            </w:r>
          </w:p>
        </w:tc>
        <w:tc>
          <w:tcPr>
            <w:tcW w:w="2880" w:type="dxa"/>
          </w:tcPr>
          <w:p w:rsidR="009A0280" w:rsidRPr="00B11EA4" w:rsidRDefault="003F4687" w:rsidP="003F71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="00ED4C1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2013, el 66,8% de la LB c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rresponde a 4.466 jóvenes de </w:t>
            </w:r>
            <w:r w:rsidR="00B332C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B332C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686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casos de robo </w:t>
            </w:r>
            <w:r w:rsidR="001F0B2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con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1F0B2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autoría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identificada. </w:t>
            </w:r>
            <w:r w:rsidR="0024765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La tasa de partic</w:t>
            </w:r>
            <w:r w:rsidR="0024765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="0024765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pación asume una tasa de éxito </w:t>
            </w:r>
            <w:r w:rsidR="006C001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del</w:t>
            </w:r>
            <w:r w:rsidR="0024765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20% como r</w:t>
            </w:r>
            <w:r w:rsidR="0024765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="0024765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sultado de los programas de pr</w:t>
            </w:r>
            <w:r w:rsidR="0024765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="0024765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vención. </w:t>
            </w:r>
            <w:r w:rsidR="003F7174"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El </w:t>
            </w:r>
            <w:r w:rsidR="00731F51"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Programa IGESP </w:t>
            </w:r>
            <w:r w:rsidR="003F7174"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tuvo un i</w:t>
            </w:r>
            <w:r w:rsidR="003F7174"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m</w:t>
            </w:r>
            <w:r w:rsidR="003F7174"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lastRenderedPageBreak/>
              <w:t>pacto de</w:t>
            </w:r>
            <w:r w:rsidR="00731F51"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 reducción de 24% en los delitos contra la propiedad.</w:t>
            </w:r>
          </w:p>
        </w:tc>
      </w:tr>
      <w:tr w:rsidR="00C13039" w:rsidRPr="00B11EA4" w:rsidTr="00B11EA4">
        <w:trPr>
          <w:jc w:val="center"/>
        </w:trPr>
        <w:tc>
          <w:tcPr>
            <w:tcW w:w="1913" w:type="dxa"/>
            <w:vAlign w:val="center"/>
          </w:tcPr>
          <w:p w:rsidR="00C13039" w:rsidRPr="00B11EA4" w:rsidRDefault="00C13039" w:rsidP="003F7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R.2.</w:t>
            </w:r>
            <w:r w:rsidR="003F717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</w:t>
            </w:r>
            <w:proofErr w:type="spellEnd"/>
            <w:r w:rsidR="00423A8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Robos com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tidos que tuvieron por autor a un joven de 15 a 24 años </w:t>
            </w:r>
            <w:r w:rsidR="001F0B2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afrodescendiente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en los 14 municipios.  </w:t>
            </w:r>
          </w:p>
        </w:tc>
        <w:tc>
          <w:tcPr>
            <w:tcW w:w="1192" w:type="dxa"/>
            <w:vAlign w:val="center"/>
          </w:tcPr>
          <w:p w:rsidR="00C13039" w:rsidRPr="00B11EA4" w:rsidRDefault="00C13039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Porcentaje</w:t>
            </w:r>
          </w:p>
        </w:tc>
        <w:tc>
          <w:tcPr>
            <w:tcW w:w="630" w:type="dxa"/>
            <w:vAlign w:val="center"/>
          </w:tcPr>
          <w:p w:rsidR="00C13039" w:rsidRPr="00B11EA4" w:rsidRDefault="00B81717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51,2</w:t>
            </w:r>
          </w:p>
        </w:tc>
        <w:tc>
          <w:tcPr>
            <w:tcW w:w="720" w:type="dxa"/>
            <w:gridSpan w:val="2"/>
            <w:vAlign w:val="center"/>
          </w:tcPr>
          <w:p w:rsidR="00C13039" w:rsidRPr="00B11EA4" w:rsidRDefault="00C13039" w:rsidP="006C6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2013</w:t>
            </w:r>
          </w:p>
        </w:tc>
        <w:tc>
          <w:tcPr>
            <w:tcW w:w="720" w:type="dxa"/>
            <w:vAlign w:val="center"/>
          </w:tcPr>
          <w:p w:rsidR="00C13039" w:rsidRPr="00B11EA4" w:rsidRDefault="00C13039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C13039" w:rsidRPr="00B11EA4" w:rsidRDefault="00C13039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C13039" w:rsidRPr="00B11EA4" w:rsidRDefault="00C13039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C13039" w:rsidRPr="00B11EA4" w:rsidRDefault="00C13039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630" w:type="dxa"/>
            <w:gridSpan w:val="2"/>
            <w:vAlign w:val="center"/>
          </w:tcPr>
          <w:p w:rsidR="00C13039" w:rsidRPr="00B11EA4" w:rsidRDefault="00C13039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C13039" w:rsidRPr="00B11EA4" w:rsidRDefault="00C13039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C13039" w:rsidRPr="00B11EA4" w:rsidRDefault="00B81717" w:rsidP="006C6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41,0</w:t>
            </w:r>
          </w:p>
        </w:tc>
        <w:tc>
          <w:tcPr>
            <w:tcW w:w="765" w:type="dxa"/>
            <w:gridSpan w:val="2"/>
            <w:vAlign w:val="center"/>
          </w:tcPr>
          <w:p w:rsidR="00C13039" w:rsidRPr="00B11EA4" w:rsidRDefault="00C13039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440" w:type="dxa"/>
            <w:vAlign w:val="center"/>
          </w:tcPr>
          <w:p w:rsidR="00C13039" w:rsidRPr="00B11EA4" w:rsidRDefault="004C1CBB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Registros 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ministrativos del CINDS/SEDS</w:t>
            </w:r>
          </w:p>
        </w:tc>
        <w:tc>
          <w:tcPr>
            <w:tcW w:w="2880" w:type="dxa"/>
          </w:tcPr>
          <w:p w:rsidR="00C13039" w:rsidRPr="00B11EA4" w:rsidRDefault="00C13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En 2013, el </w:t>
            </w:r>
            <w:r w:rsidR="00B8171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51,2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% de la LB c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rresponde a </w:t>
            </w:r>
            <w:r w:rsidR="00B8171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3.424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jóv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nes de </w:t>
            </w:r>
            <w:r w:rsidR="00B8171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6.686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casos de robo </w:t>
            </w:r>
            <w:r w:rsidR="001F0B2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con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1F0B2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autoría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identificada. La tasa de partic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pación asume una tasa de éxito del 20% como resultado de los programas de prevención. Este resultado es consistente con la evidencia que indica una redu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ción de 83%. </w:t>
            </w:r>
            <w:r w:rsidRPr="00B11EA4">
              <w:rPr>
                <w:rFonts w:ascii="Times New Roman" w:hAnsi="Times New Roman"/>
                <w:i/>
                <w:sz w:val="20"/>
                <w:szCs w:val="20"/>
              </w:rPr>
              <w:t>“New pool pr</w:t>
            </w:r>
            <w:r w:rsidRPr="00B11EA4">
              <w:rPr>
                <w:rFonts w:ascii="Times New Roman" w:hAnsi="Times New Roman"/>
                <w:i/>
                <w:sz w:val="20"/>
                <w:szCs w:val="20"/>
              </w:rPr>
              <w:t>o</w:t>
            </w:r>
            <w:r w:rsidRPr="00B11EA4">
              <w:rPr>
                <w:rFonts w:ascii="Times New Roman" w:hAnsi="Times New Roman"/>
                <w:i/>
                <w:sz w:val="20"/>
                <w:szCs w:val="20"/>
              </w:rPr>
              <w:t>grams help to reduce local crime” Smith, B. (1993)</w:t>
            </w:r>
            <w:proofErr w:type="gramStart"/>
            <w:r w:rsidRPr="00B11EA4">
              <w:rPr>
                <w:rFonts w:ascii="Times New Roman" w:hAnsi="Times New Roman"/>
                <w:i/>
                <w:sz w:val="20"/>
                <w:szCs w:val="20"/>
              </w:rPr>
              <w:t>,  Recr</w:t>
            </w:r>
            <w:r w:rsidRPr="00B11EA4">
              <w:rPr>
                <w:rFonts w:ascii="Times New Roman" w:hAnsi="Times New Roman"/>
                <w:i/>
                <w:sz w:val="20"/>
                <w:szCs w:val="20"/>
              </w:rPr>
              <w:t>e</w:t>
            </w:r>
            <w:r w:rsidRPr="00B11EA4">
              <w:rPr>
                <w:rFonts w:ascii="Times New Roman" w:hAnsi="Times New Roman"/>
                <w:i/>
                <w:sz w:val="20"/>
                <w:szCs w:val="20"/>
              </w:rPr>
              <w:t>ation</w:t>
            </w:r>
            <w:proofErr w:type="gramEnd"/>
            <w:r w:rsidRPr="00B11EA4">
              <w:rPr>
                <w:rFonts w:ascii="Times New Roman" w:hAnsi="Times New Roman"/>
                <w:i/>
                <w:sz w:val="20"/>
                <w:szCs w:val="20"/>
              </w:rPr>
              <w:t xml:space="preserve"> Exchange, </w:t>
            </w:r>
            <w:proofErr w:type="spellStart"/>
            <w:r w:rsidRPr="00B11EA4">
              <w:rPr>
                <w:rFonts w:ascii="Times New Roman" w:hAnsi="Times New Roman"/>
                <w:i/>
                <w:sz w:val="20"/>
                <w:szCs w:val="20"/>
              </w:rPr>
              <w:t>vol.5</w:t>
            </w:r>
            <w:proofErr w:type="spellEnd"/>
            <w:r w:rsidRPr="00B11EA4">
              <w:rPr>
                <w:rFonts w:ascii="Times New Roman" w:hAnsi="Times New Roman"/>
                <w:i/>
                <w:sz w:val="20"/>
                <w:szCs w:val="20"/>
              </w:rPr>
              <w:t xml:space="preserve">, no. 3. 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Resultado. El va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dalismo y los robos disminuy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ron 85% gracias al programa de la piscina; y Programa IGESP con una r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ducción del 24% en los delitos contra la propiedad.</w:t>
            </w:r>
          </w:p>
        </w:tc>
      </w:tr>
      <w:tr w:rsidR="00C92A75" w:rsidRPr="00B11EA4" w:rsidTr="009C7457">
        <w:trPr>
          <w:jc w:val="center"/>
        </w:trPr>
        <w:tc>
          <w:tcPr>
            <w:tcW w:w="14220" w:type="dxa"/>
            <w:gridSpan w:val="19"/>
          </w:tcPr>
          <w:p w:rsidR="00C92A75" w:rsidRPr="00B11EA4" w:rsidRDefault="00CF6D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 xml:space="preserve">Objetivo Especifico </w:t>
            </w:r>
            <w:r w:rsidR="00F51BFF"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>3</w:t>
            </w:r>
            <w:r w:rsidR="00C92A7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: Reducir la reincidencia </w:t>
            </w:r>
            <w:r w:rsidR="0039492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de los egresados del sistema socioeducativo y del sistema penitenciario.</w:t>
            </w:r>
          </w:p>
        </w:tc>
      </w:tr>
      <w:tr w:rsidR="00FA63A0" w:rsidRPr="00B11EA4" w:rsidTr="00B11EA4">
        <w:trPr>
          <w:jc w:val="center"/>
        </w:trPr>
        <w:tc>
          <w:tcPr>
            <w:tcW w:w="1913" w:type="dxa"/>
            <w:vAlign w:val="center"/>
          </w:tcPr>
          <w:p w:rsidR="00E26824" w:rsidRPr="00B11EA4" w:rsidRDefault="00E26824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R.</w:t>
            </w:r>
            <w:r w:rsidR="0024765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24765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  <w:proofErr w:type="spellEnd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926AD1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J</w:t>
            </w:r>
            <w:r w:rsidR="00EA633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óvenes que </w:t>
            </w:r>
            <w:r w:rsidR="009C745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egresaron</w:t>
            </w:r>
            <w:r w:rsidR="004F475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C81FA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de</w:t>
            </w:r>
            <w:r w:rsidR="004F475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 sist</w:t>
            </w:r>
            <w:r w:rsidR="004F475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="004F475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ma socioeducativo </w:t>
            </w:r>
            <w:r w:rsidR="00C81FA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en </w:t>
            </w:r>
            <w:r w:rsidR="00C1303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MG </w:t>
            </w:r>
            <w:r w:rsidR="00C81FA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el año de referencia y volvi</w:t>
            </w:r>
            <w:r w:rsidR="00C81FA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="00C81FA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ron al sistema</w:t>
            </w:r>
            <w:r w:rsidR="00C54AE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soci</w:t>
            </w:r>
            <w:r w:rsidR="00C54AE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="00C54AE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educativo o penite</w:t>
            </w:r>
            <w:r w:rsidR="00C54AE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="00C54AE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ciario</w:t>
            </w:r>
            <w:r w:rsidR="00C81FA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4F475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dentro de 3 años</w:t>
            </w:r>
          </w:p>
        </w:tc>
        <w:tc>
          <w:tcPr>
            <w:tcW w:w="1192" w:type="dxa"/>
            <w:vAlign w:val="center"/>
          </w:tcPr>
          <w:p w:rsidR="00E26824" w:rsidRPr="00B11EA4" w:rsidRDefault="0066063B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Tasa</w:t>
            </w:r>
          </w:p>
        </w:tc>
        <w:tc>
          <w:tcPr>
            <w:tcW w:w="630" w:type="dxa"/>
            <w:vAlign w:val="center"/>
          </w:tcPr>
          <w:p w:rsidR="00E26824" w:rsidRPr="00B11EA4" w:rsidRDefault="00C81FA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31,5</w:t>
            </w:r>
          </w:p>
        </w:tc>
        <w:tc>
          <w:tcPr>
            <w:tcW w:w="720" w:type="dxa"/>
            <w:gridSpan w:val="2"/>
            <w:vAlign w:val="center"/>
          </w:tcPr>
          <w:p w:rsidR="00E26824" w:rsidRPr="00B11EA4" w:rsidRDefault="00755D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2010</w:t>
            </w:r>
          </w:p>
        </w:tc>
        <w:tc>
          <w:tcPr>
            <w:tcW w:w="720" w:type="dxa"/>
            <w:vAlign w:val="center"/>
          </w:tcPr>
          <w:p w:rsidR="00E26824" w:rsidRPr="00B11EA4" w:rsidRDefault="00E26824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E26824" w:rsidRPr="00B11EA4" w:rsidRDefault="00E26824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E26824" w:rsidRPr="00B11EA4" w:rsidRDefault="00E26824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E26824" w:rsidRPr="00B11EA4" w:rsidRDefault="0066063B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</w:t>
            </w:r>
            <w:r w:rsidR="00DB38A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7</w:t>
            </w:r>
          </w:p>
        </w:tc>
        <w:tc>
          <w:tcPr>
            <w:tcW w:w="630" w:type="dxa"/>
            <w:gridSpan w:val="2"/>
            <w:vAlign w:val="center"/>
          </w:tcPr>
          <w:p w:rsidR="00E26824" w:rsidRPr="00B11EA4" w:rsidRDefault="00E26824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E26824" w:rsidRPr="00B11EA4" w:rsidRDefault="00E26824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E26824" w:rsidRPr="00B11EA4" w:rsidRDefault="0098455B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25.2</w:t>
            </w:r>
          </w:p>
        </w:tc>
        <w:tc>
          <w:tcPr>
            <w:tcW w:w="765" w:type="dxa"/>
            <w:gridSpan w:val="2"/>
            <w:vAlign w:val="center"/>
          </w:tcPr>
          <w:p w:rsidR="00E26824" w:rsidRPr="00B11EA4" w:rsidRDefault="0066063B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</w:t>
            </w:r>
            <w:r w:rsidR="009660E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9</w:t>
            </w:r>
          </w:p>
        </w:tc>
        <w:tc>
          <w:tcPr>
            <w:tcW w:w="1440" w:type="dxa"/>
            <w:vAlign w:val="center"/>
          </w:tcPr>
          <w:p w:rsidR="00E26824" w:rsidRPr="00B11EA4" w:rsidRDefault="004C1CBB" w:rsidP="000312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Registros 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ministrativos de la SU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SE/</w:t>
            </w:r>
            <w:r w:rsidR="00B97D4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SE</w:t>
            </w:r>
            <w:r w:rsidR="000312C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DS</w:t>
            </w:r>
          </w:p>
        </w:tc>
        <w:tc>
          <w:tcPr>
            <w:tcW w:w="2880" w:type="dxa"/>
          </w:tcPr>
          <w:p w:rsidR="00E26824" w:rsidRPr="00B11EA4" w:rsidRDefault="00097BF9" w:rsidP="0076307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La meta de reducción de 20% es consistente con la evidencia 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ternacional que sugiere una 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ducción del </w:t>
            </w:r>
            <w:r w:rsidR="0076307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25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%. </w:t>
            </w:r>
            <w:proofErr w:type="spellStart"/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Lipsey</w:t>
            </w:r>
            <w:proofErr w:type="spellEnd"/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, et al. (2007); y tasa de éxito de las APAC de 85% (TJMG, 2014).</w:t>
            </w:r>
            <w:r w:rsidR="004E653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El programa atenderá a 2.430 jóv</w:t>
            </w:r>
            <w:r w:rsidR="004E653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="004E653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nes </w:t>
            </w:r>
            <w:r w:rsidR="00A3753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infractores</w:t>
            </w:r>
            <w:r w:rsidR="004E653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</w:tc>
      </w:tr>
      <w:tr w:rsidR="000850E9" w:rsidRPr="00B11EA4" w:rsidTr="00B11EA4">
        <w:trPr>
          <w:trHeight w:val="60"/>
          <w:jc w:val="center"/>
        </w:trPr>
        <w:tc>
          <w:tcPr>
            <w:tcW w:w="1913" w:type="dxa"/>
            <w:vAlign w:val="center"/>
          </w:tcPr>
          <w:p w:rsidR="000850E9" w:rsidRPr="00B11EA4" w:rsidRDefault="009C7457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R.3.</w:t>
            </w:r>
            <w:r w:rsidR="00C56173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  <w:proofErr w:type="spellEnd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4F475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Infractores que </w:t>
            </w:r>
            <w:r w:rsidR="00C81FA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egresaron de</w:t>
            </w:r>
            <w:r w:rsidR="004F475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 sist</w:t>
            </w:r>
            <w:r w:rsidR="004F475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="004F475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ma penitenciario</w:t>
            </w:r>
            <w:r w:rsidR="00C81FA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en </w:t>
            </w:r>
            <w:r w:rsidR="002A69E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MG </w:t>
            </w:r>
            <w:r w:rsidR="00C81FA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el año de ref</w:t>
            </w:r>
            <w:r w:rsidR="00C81FA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="00C81FA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rencia y volvieron al sist</w:t>
            </w:r>
            <w:r w:rsidR="00C81FA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="00C81FA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ma</w:t>
            </w:r>
            <w:r w:rsidR="004F475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="00C81FA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en hasta</w:t>
            </w:r>
            <w:r w:rsidR="004F4758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3 años</w:t>
            </w:r>
          </w:p>
        </w:tc>
        <w:tc>
          <w:tcPr>
            <w:tcW w:w="1192" w:type="dxa"/>
            <w:vAlign w:val="center"/>
          </w:tcPr>
          <w:p w:rsidR="000850E9" w:rsidRPr="00B11EA4" w:rsidRDefault="000850E9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Tasa</w:t>
            </w:r>
          </w:p>
        </w:tc>
        <w:tc>
          <w:tcPr>
            <w:tcW w:w="630" w:type="dxa"/>
            <w:vAlign w:val="center"/>
          </w:tcPr>
          <w:p w:rsidR="000850E9" w:rsidRPr="00B11EA4" w:rsidRDefault="00C81FA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47,4</w:t>
            </w:r>
          </w:p>
        </w:tc>
        <w:tc>
          <w:tcPr>
            <w:tcW w:w="720" w:type="dxa"/>
            <w:gridSpan w:val="2"/>
            <w:vAlign w:val="center"/>
          </w:tcPr>
          <w:p w:rsidR="000850E9" w:rsidRPr="00B11EA4" w:rsidRDefault="00085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</w:t>
            </w:r>
            <w:r w:rsidR="00C81FA5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vAlign w:val="center"/>
          </w:tcPr>
          <w:p w:rsidR="000850E9" w:rsidRPr="00B11EA4" w:rsidRDefault="000850E9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0850E9" w:rsidRPr="00B11EA4" w:rsidRDefault="000850E9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0850E9" w:rsidRPr="00B11EA4" w:rsidRDefault="000850E9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0850E9" w:rsidRPr="00B11EA4" w:rsidRDefault="000850E9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630" w:type="dxa"/>
            <w:gridSpan w:val="2"/>
            <w:vAlign w:val="center"/>
          </w:tcPr>
          <w:p w:rsidR="000850E9" w:rsidRPr="00B11EA4" w:rsidRDefault="000850E9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0850E9" w:rsidRPr="00B11EA4" w:rsidRDefault="000850E9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0850E9" w:rsidRPr="00B11EA4" w:rsidRDefault="003A018A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37,9</w:t>
            </w:r>
          </w:p>
        </w:tc>
        <w:tc>
          <w:tcPr>
            <w:tcW w:w="765" w:type="dxa"/>
            <w:gridSpan w:val="2"/>
            <w:vAlign w:val="center"/>
          </w:tcPr>
          <w:p w:rsidR="000850E9" w:rsidRPr="00B11EA4" w:rsidRDefault="000850E9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440" w:type="dxa"/>
            <w:vAlign w:val="center"/>
          </w:tcPr>
          <w:p w:rsidR="000850E9" w:rsidRPr="00B11EA4" w:rsidRDefault="00CA6F82" w:rsidP="000312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Registros 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ministrativos de la SU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PI/</w:t>
            </w:r>
            <w:r w:rsidR="000850E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SEDS</w:t>
            </w:r>
          </w:p>
        </w:tc>
        <w:tc>
          <w:tcPr>
            <w:tcW w:w="2880" w:type="dxa"/>
          </w:tcPr>
          <w:p w:rsidR="000850E9" w:rsidRPr="00B11EA4" w:rsidRDefault="001377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En 2010, 9383 presos egresaron</w:t>
            </w:r>
            <w:r w:rsidR="00661FA1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del sistema </w:t>
            </w:r>
            <w:r w:rsidR="001F0B2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penitenci</w:t>
            </w:r>
            <w:r w:rsidR="001F0B2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="001F0B2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rio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. De estos, 4451 volvieron a ingresar en un periodo de 36 meses. La meta </w:t>
            </w:r>
            <w:r w:rsidR="000850E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de reducción de 20% es consistente con la evidencia i</w:t>
            </w:r>
            <w:r w:rsidR="000850E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="000850E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ternacional que sugiere una r</w:t>
            </w:r>
            <w:r w:rsidR="000850E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="000850E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ducción del 53%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="000850E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0850E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Lipsey</w:t>
            </w:r>
            <w:proofErr w:type="spellEnd"/>
            <w:r w:rsidR="000850E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et al.</w:t>
            </w:r>
            <w:r w:rsidR="000850E9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(2007)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; y tasa de éxito de las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APAC de 85% (TJMG, 2014).</w:t>
            </w:r>
            <w:r w:rsidR="004E653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El programa atenderá a 13.750 infractores adultos.</w:t>
            </w:r>
          </w:p>
        </w:tc>
      </w:tr>
    </w:tbl>
    <w:p w:rsidR="00EB70D8" w:rsidRPr="00B11EA4" w:rsidRDefault="00EB70D8" w:rsidP="006F4E38">
      <w:pPr>
        <w:spacing w:before="240" w:after="120" w:line="240" w:lineRule="auto"/>
        <w:jc w:val="center"/>
        <w:rPr>
          <w:rStyle w:val="BookTitle"/>
          <w:lang w:val="es-ES"/>
        </w:rPr>
      </w:pPr>
      <w:r w:rsidRPr="00B11EA4">
        <w:rPr>
          <w:rStyle w:val="BookTitle"/>
          <w:rFonts w:ascii="Times New Roman" w:hAnsi="Times New Roman"/>
          <w:bCs/>
          <w:sz w:val="20"/>
          <w:szCs w:val="20"/>
          <w:lang w:val="es-ES"/>
        </w:rPr>
        <w:lastRenderedPageBreak/>
        <w:t>RESULTADOS INTERMEDIOS</w:t>
      </w:r>
    </w:p>
    <w:tbl>
      <w:tblPr>
        <w:tblW w:w="14220" w:type="dxa"/>
        <w:jc w:val="center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14"/>
        <w:gridCol w:w="1170"/>
        <w:gridCol w:w="720"/>
        <w:gridCol w:w="720"/>
        <w:gridCol w:w="720"/>
        <w:gridCol w:w="630"/>
        <w:gridCol w:w="619"/>
        <w:gridCol w:w="731"/>
        <w:gridCol w:w="630"/>
        <w:gridCol w:w="90"/>
        <w:gridCol w:w="616"/>
        <w:gridCol w:w="734"/>
        <w:gridCol w:w="720"/>
        <w:gridCol w:w="1260"/>
        <w:gridCol w:w="3046"/>
      </w:tblGrid>
      <w:tr w:rsidR="006F4E38" w:rsidRPr="00B11EA4" w:rsidTr="00B11EA4">
        <w:trPr>
          <w:jc w:val="center"/>
        </w:trPr>
        <w:tc>
          <w:tcPr>
            <w:tcW w:w="1814" w:type="dxa"/>
            <w:vMerge w:val="restart"/>
            <w:shd w:val="clear" w:color="auto" w:fill="C2D69B"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Indicadores</w:t>
            </w:r>
          </w:p>
        </w:tc>
        <w:tc>
          <w:tcPr>
            <w:tcW w:w="1170" w:type="dxa"/>
            <w:vMerge w:val="restart"/>
            <w:shd w:val="clear" w:color="auto" w:fill="C2D69B"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Unidad de medida</w:t>
            </w:r>
          </w:p>
        </w:tc>
        <w:tc>
          <w:tcPr>
            <w:tcW w:w="1440" w:type="dxa"/>
            <w:gridSpan w:val="2"/>
            <w:shd w:val="clear" w:color="auto" w:fill="C2D69B"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Línea de base</w:t>
            </w:r>
          </w:p>
        </w:tc>
        <w:tc>
          <w:tcPr>
            <w:tcW w:w="4036" w:type="dxa"/>
            <w:gridSpan w:val="7"/>
            <w:shd w:val="clear" w:color="auto" w:fill="C2D69B"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Mediciones intermedias</w:t>
            </w:r>
          </w:p>
        </w:tc>
        <w:tc>
          <w:tcPr>
            <w:tcW w:w="1454" w:type="dxa"/>
            <w:gridSpan w:val="2"/>
            <w:shd w:val="clear" w:color="auto" w:fill="C2D69B"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Metas</w:t>
            </w:r>
          </w:p>
        </w:tc>
        <w:tc>
          <w:tcPr>
            <w:tcW w:w="1260" w:type="dxa"/>
            <w:vMerge w:val="restart"/>
            <w:shd w:val="clear" w:color="auto" w:fill="C2D69B"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Fuente/ Medio de verificación</w:t>
            </w:r>
          </w:p>
        </w:tc>
        <w:tc>
          <w:tcPr>
            <w:tcW w:w="3046" w:type="dxa"/>
            <w:vMerge w:val="restart"/>
            <w:shd w:val="clear" w:color="auto" w:fill="C2D69B"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Observaciones</w:t>
            </w:r>
          </w:p>
        </w:tc>
      </w:tr>
      <w:tr w:rsidR="006F4E38" w:rsidRPr="00B11EA4" w:rsidTr="00B11EA4">
        <w:trPr>
          <w:jc w:val="center"/>
        </w:trPr>
        <w:tc>
          <w:tcPr>
            <w:tcW w:w="1814" w:type="dxa"/>
            <w:vMerge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170" w:type="dxa"/>
            <w:vMerge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C2D69B"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Valor</w:t>
            </w:r>
          </w:p>
        </w:tc>
        <w:tc>
          <w:tcPr>
            <w:tcW w:w="720" w:type="dxa"/>
            <w:shd w:val="clear" w:color="auto" w:fill="C2D69B"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Año</w:t>
            </w:r>
          </w:p>
        </w:tc>
        <w:tc>
          <w:tcPr>
            <w:tcW w:w="720" w:type="dxa"/>
            <w:shd w:val="clear" w:color="auto" w:fill="C2D69B"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Valor</w:t>
            </w:r>
          </w:p>
        </w:tc>
        <w:tc>
          <w:tcPr>
            <w:tcW w:w="630" w:type="dxa"/>
            <w:shd w:val="clear" w:color="auto" w:fill="C2D69B"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Año</w:t>
            </w:r>
          </w:p>
        </w:tc>
        <w:tc>
          <w:tcPr>
            <w:tcW w:w="619" w:type="dxa"/>
            <w:shd w:val="clear" w:color="auto" w:fill="C2D69B"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V</w:t>
            </w: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lor</w:t>
            </w:r>
          </w:p>
        </w:tc>
        <w:tc>
          <w:tcPr>
            <w:tcW w:w="731" w:type="dxa"/>
            <w:shd w:val="clear" w:color="auto" w:fill="C2D69B"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Año</w:t>
            </w:r>
          </w:p>
        </w:tc>
        <w:tc>
          <w:tcPr>
            <w:tcW w:w="720" w:type="dxa"/>
            <w:gridSpan w:val="2"/>
            <w:shd w:val="clear" w:color="auto" w:fill="C2D69B"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Valor</w:t>
            </w:r>
          </w:p>
        </w:tc>
        <w:tc>
          <w:tcPr>
            <w:tcW w:w="616" w:type="dxa"/>
            <w:shd w:val="clear" w:color="auto" w:fill="C2D69B"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Año</w:t>
            </w:r>
          </w:p>
        </w:tc>
        <w:tc>
          <w:tcPr>
            <w:tcW w:w="734" w:type="dxa"/>
            <w:shd w:val="clear" w:color="auto" w:fill="C2D69B"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Valor</w:t>
            </w:r>
          </w:p>
        </w:tc>
        <w:tc>
          <w:tcPr>
            <w:tcW w:w="720" w:type="dxa"/>
            <w:shd w:val="clear" w:color="auto" w:fill="C2D69B"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Año</w:t>
            </w:r>
          </w:p>
        </w:tc>
        <w:tc>
          <w:tcPr>
            <w:tcW w:w="1260" w:type="dxa"/>
            <w:vMerge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3046" w:type="dxa"/>
            <w:vMerge/>
          </w:tcPr>
          <w:p w:rsidR="00A451B6" w:rsidRPr="00B11EA4" w:rsidRDefault="00A451B6" w:rsidP="00BB13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EA4065" w:rsidRPr="00B11EA4" w:rsidTr="009C7457">
        <w:trPr>
          <w:jc w:val="center"/>
        </w:trPr>
        <w:tc>
          <w:tcPr>
            <w:tcW w:w="14220" w:type="dxa"/>
            <w:gridSpan w:val="15"/>
          </w:tcPr>
          <w:p w:rsidR="00EA4065" w:rsidRPr="00B11EA4" w:rsidRDefault="00CF6D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 xml:space="preserve">Objetivo Especifico </w:t>
            </w:r>
            <w:r w:rsidR="00F51BFF"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>1</w:t>
            </w:r>
            <w:r w:rsidR="00F51BF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: </w:t>
            </w:r>
            <w:r w:rsidR="0039492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Incrementar  la efectividad de la policía</w:t>
            </w:r>
            <w:r w:rsidR="003822E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para prevenir, controlar e investigar el crimen</w:t>
            </w:r>
            <w:r w:rsidR="0039492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</w:tc>
      </w:tr>
      <w:tr w:rsidR="008438E5" w:rsidRPr="00B11EA4" w:rsidTr="009C7457">
        <w:trPr>
          <w:jc w:val="center"/>
        </w:trPr>
        <w:tc>
          <w:tcPr>
            <w:tcW w:w="14220" w:type="dxa"/>
            <w:gridSpan w:val="15"/>
          </w:tcPr>
          <w:p w:rsidR="008438E5" w:rsidRPr="00B11EA4" w:rsidRDefault="008438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Para prevenir el crimen.</w:t>
            </w:r>
          </w:p>
        </w:tc>
      </w:tr>
      <w:tr w:rsidR="008438E5" w:rsidRPr="00B11EA4" w:rsidTr="00B11EA4">
        <w:trPr>
          <w:trHeight w:val="812"/>
          <w:jc w:val="center"/>
        </w:trPr>
        <w:tc>
          <w:tcPr>
            <w:tcW w:w="1814" w:type="dxa"/>
            <w:vAlign w:val="center"/>
          </w:tcPr>
          <w:p w:rsidR="008438E5" w:rsidRPr="00B11EA4" w:rsidRDefault="008438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R.I.1.</w:t>
            </w:r>
            <w:r w:rsidR="006261F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Victimas en los 14 Municipios que registran robos en la </w:t>
            </w:r>
            <w:r w:rsidR="009F1F7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olicía en los últimos 12 meses. </w:t>
            </w:r>
          </w:p>
        </w:tc>
        <w:tc>
          <w:tcPr>
            <w:tcW w:w="1170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Porcent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je</w:t>
            </w:r>
          </w:p>
        </w:tc>
        <w:tc>
          <w:tcPr>
            <w:tcW w:w="720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59</w:t>
            </w:r>
          </w:p>
        </w:tc>
        <w:tc>
          <w:tcPr>
            <w:tcW w:w="720" w:type="dxa"/>
            <w:vAlign w:val="center"/>
          </w:tcPr>
          <w:p w:rsidR="008438E5" w:rsidRPr="00B11EA4" w:rsidRDefault="008438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2012</w:t>
            </w:r>
          </w:p>
        </w:tc>
        <w:tc>
          <w:tcPr>
            <w:tcW w:w="720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19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1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630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4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69</w:t>
            </w:r>
          </w:p>
        </w:tc>
        <w:tc>
          <w:tcPr>
            <w:tcW w:w="720" w:type="dxa"/>
            <w:vAlign w:val="center"/>
          </w:tcPr>
          <w:p w:rsidR="008438E5" w:rsidRPr="00B11EA4" w:rsidRDefault="008438E5" w:rsidP="006D53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260" w:type="dxa"/>
            <w:vAlign w:val="center"/>
          </w:tcPr>
          <w:p w:rsidR="008438E5" w:rsidRPr="00B11EA4" w:rsidRDefault="008438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Encuesta de victimiz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ción (UGP-SEDS)</w:t>
            </w:r>
          </w:p>
        </w:tc>
        <w:tc>
          <w:tcPr>
            <w:tcW w:w="3046" w:type="dxa"/>
          </w:tcPr>
          <w:p w:rsidR="008438E5" w:rsidRPr="00B11EA4" w:rsidRDefault="008438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La línea de base fue obtenida de la estimativa para MG de la encuesta nacional de victimización de 2012, y será actualizada al inicio del Programa. Se espera que el pr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grama tenga un impacto de 10 puntos porcentuales debido a las actividades de policía comunit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ria.</w:t>
            </w:r>
          </w:p>
        </w:tc>
      </w:tr>
      <w:tr w:rsidR="008438E5" w:rsidRPr="00B11EA4" w:rsidTr="00B11EA4">
        <w:trPr>
          <w:jc w:val="center"/>
        </w:trPr>
        <w:tc>
          <w:tcPr>
            <w:tcW w:w="1814" w:type="dxa"/>
            <w:vAlign w:val="center"/>
          </w:tcPr>
          <w:p w:rsidR="008438E5" w:rsidRPr="00B11EA4" w:rsidRDefault="008438E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R.I.1.</w:t>
            </w:r>
            <w:r w:rsidR="006261F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Victimas afrodescendientes en los 14 Munic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pios que registran robos en la Policía en los últimos 12 meses.</w:t>
            </w:r>
          </w:p>
        </w:tc>
        <w:tc>
          <w:tcPr>
            <w:tcW w:w="1170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Porcent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je</w:t>
            </w:r>
          </w:p>
        </w:tc>
        <w:tc>
          <w:tcPr>
            <w:tcW w:w="720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47,1</w:t>
            </w:r>
          </w:p>
        </w:tc>
        <w:tc>
          <w:tcPr>
            <w:tcW w:w="720" w:type="dxa"/>
            <w:vAlign w:val="center"/>
          </w:tcPr>
          <w:p w:rsidR="008438E5" w:rsidRPr="00B11EA4" w:rsidRDefault="008438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2012</w:t>
            </w:r>
          </w:p>
        </w:tc>
        <w:tc>
          <w:tcPr>
            <w:tcW w:w="720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19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1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630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4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57,1</w:t>
            </w:r>
          </w:p>
        </w:tc>
        <w:tc>
          <w:tcPr>
            <w:tcW w:w="720" w:type="dxa"/>
            <w:vAlign w:val="center"/>
          </w:tcPr>
          <w:p w:rsidR="008438E5" w:rsidRPr="00B11EA4" w:rsidRDefault="008438E5" w:rsidP="006D53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2119</w:t>
            </w:r>
          </w:p>
        </w:tc>
        <w:tc>
          <w:tcPr>
            <w:tcW w:w="1260" w:type="dxa"/>
            <w:vAlign w:val="center"/>
          </w:tcPr>
          <w:p w:rsidR="008438E5" w:rsidRPr="00B11EA4" w:rsidRDefault="008438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Encuesta de victimiz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ción (UGP-SEDS)</w:t>
            </w:r>
          </w:p>
        </w:tc>
        <w:tc>
          <w:tcPr>
            <w:tcW w:w="3046" w:type="dxa"/>
          </w:tcPr>
          <w:p w:rsidR="008438E5" w:rsidRPr="00B11EA4" w:rsidRDefault="008438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La línea de base fue obtenida de la estimativa para MG de la encuesta nacional de victimización de 2012, y será actualizada al inicio del Programa. Se espera que el pr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grama tenga un impacto de 10 puntos porcentuales debido a las actividades de policía comunit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ria.</w:t>
            </w:r>
          </w:p>
        </w:tc>
      </w:tr>
      <w:tr w:rsidR="008438E5" w:rsidRPr="00B11EA4" w:rsidTr="00B11EA4">
        <w:trPr>
          <w:jc w:val="center"/>
        </w:trPr>
        <w:tc>
          <w:tcPr>
            <w:tcW w:w="14220" w:type="dxa"/>
            <w:gridSpan w:val="15"/>
            <w:vAlign w:val="center"/>
          </w:tcPr>
          <w:p w:rsidR="008438E5" w:rsidRPr="00B11EA4" w:rsidRDefault="008438E5" w:rsidP="00B11EA4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Para investigar el crimen.</w:t>
            </w:r>
          </w:p>
        </w:tc>
      </w:tr>
      <w:tr w:rsidR="008438E5" w:rsidRPr="00B11EA4" w:rsidTr="00B11EA4">
        <w:trPr>
          <w:jc w:val="center"/>
        </w:trPr>
        <w:tc>
          <w:tcPr>
            <w:tcW w:w="1814" w:type="dxa"/>
            <w:vAlign w:val="center"/>
          </w:tcPr>
          <w:p w:rsidR="008438E5" w:rsidRPr="00B11EA4" w:rsidRDefault="008438E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R.I.1.</w:t>
            </w:r>
            <w:r w:rsidR="006261F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Laudos p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riciales anuales de la PC en MG que cumplen con el </w:t>
            </w:r>
            <w:proofErr w:type="spellStart"/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checklist</w:t>
            </w:r>
            <w:proofErr w:type="spellEnd"/>
            <w:r w:rsidRPr="00B11EA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de está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dar de cal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dad.</w:t>
            </w:r>
          </w:p>
        </w:tc>
        <w:tc>
          <w:tcPr>
            <w:tcW w:w="1170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Porcent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je</w:t>
            </w:r>
          </w:p>
        </w:tc>
        <w:tc>
          <w:tcPr>
            <w:tcW w:w="720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vAlign w:val="center"/>
          </w:tcPr>
          <w:p w:rsidR="008438E5" w:rsidRPr="00B11EA4" w:rsidRDefault="008438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2013</w:t>
            </w:r>
          </w:p>
        </w:tc>
        <w:tc>
          <w:tcPr>
            <w:tcW w:w="720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19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1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630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4" w:type="dxa"/>
            <w:vAlign w:val="center"/>
          </w:tcPr>
          <w:p w:rsidR="008438E5" w:rsidRPr="00B11EA4" w:rsidRDefault="008438E5" w:rsidP="000312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90</w:t>
            </w:r>
          </w:p>
        </w:tc>
        <w:tc>
          <w:tcPr>
            <w:tcW w:w="720" w:type="dxa"/>
            <w:vAlign w:val="center"/>
          </w:tcPr>
          <w:p w:rsidR="008438E5" w:rsidRPr="00B11EA4" w:rsidRDefault="008438E5" w:rsidP="006D53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260" w:type="dxa"/>
            <w:vAlign w:val="center"/>
          </w:tcPr>
          <w:p w:rsidR="008438E5" w:rsidRPr="00B11EA4" w:rsidRDefault="008438E5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Informe anual de la UGP-SEDS</w:t>
            </w:r>
          </w:p>
        </w:tc>
        <w:tc>
          <w:tcPr>
            <w:tcW w:w="3046" w:type="dxa"/>
          </w:tcPr>
          <w:p w:rsidR="008438E5" w:rsidRPr="00B11EA4" w:rsidRDefault="008438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Como parte del programa se ado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tara un sistema de </w:t>
            </w:r>
            <w:proofErr w:type="spellStart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checklist</w:t>
            </w:r>
            <w:proofErr w:type="spellEnd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en función de una propuesta prelim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nar que tiene MG. La meta se ha calculado en función  a que se 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pera que 90% de las investigaci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nes concluidas satisfacen un p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drón de calidad requerida.</w:t>
            </w:r>
          </w:p>
        </w:tc>
      </w:tr>
      <w:tr w:rsidR="006D530C" w:rsidRPr="00B11EA4" w:rsidTr="009C7457">
        <w:trPr>
          <w:jc w:val="center"/>
        </w:trPr>
        <w:tc>
          <w:tcPr>
            <w:tcW w:w="14220" w:type="dxa"/>
            <w:gridSpan w:val="15"/>
          </w:tcPr>
          <w:p w:rsidR="006D530C" w:rsidRPr="00B11EA4" w:rsidRDefault="006D530C" w:rsidP="00767E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>Objetivo Especifico 2</w:t>
            </w: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 xml:space="preserve">: </w:t>
            </w:r>
            <w:r w:rsidR="0039492F" w:rsidRPr="00B11EA4">
              <w:rPr>
                <w:rFonts w:ascii="Times New Roman" w:hAnsi="Times New Roman"/>
                <w:bCs/>
                <w:sz w:val="20"/>
                <w:szCs w:val="20"/>
                <w:lang w:val="es-ES"/>
              </w:rPr>
              <w:t>Mejorar la inserción social de jóvenes en situación de riesgo a la violencia.</w:t>
            </w:r>
          </w:p>
        </w:tc>
      </w:tr>
      <w:tr w:rsidR="006D530C" w:rsidRPr="00B11EA4" w:rsidTr="00B11EA4">
        <w:trPr>
          <w:jc w:val="center"/>
        </w:trPr>
        <w:tc>
          <w:tcPr>
            <w:tcW w:w="1814" w:type="dxa"/>
            <w:vAlign w:val="center"/>
          </w:tcPr>
          <w:p w:rsidR="008862AE" w:rsidRPr="00B11EA4" w:rsidRDefault="006D530C" w:rsidP="008862AE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R.I.2.1 Jóvenes </w:t>
            </w:r>
            <w:r w:rsidR="002A69E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de entre 15 y 24 </w:t>
            </w:r>
            <w:r w:rsidR="001F0B2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años que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completan el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ciclo básico de 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señanza, a través del Programa de aceleración (alfab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tización) a partir de los C</w:t>
            </w:r>
            <w:r w:rsidR="000312C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PC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1170" w:type="dxa"/>
            <w:vAlign w:val="center"/>
          </w:tcPr>
          <w:p w:rsidR="006D530C" w:rsidRPr="00B11EA4" w:rsidRDefault="00844070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Porcentaje</w:t>
            </w:r>
          </w:p>
        </w:tc>
        <w:tc>
          <w:tcPr>
            <w:tcW w:w="720" w:type="dxa"/>
            <w:vAlign w:val="center"/>
          </w:tcPr>
          <w:p w:rsidR="006D530C" w:rsidRPr="00B11EA4" w:rsidRDefault="008109CF" w:rsidP="000312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vAlign w:val="center"/>
          </w:tcPr>
          <w:p w:rsidR="006D530C" w:rsidRPr="00B11EA4" w:rsidRDefault="006D53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</w:t>
            </w:r>
            <w:r w:rsidR="00113E8B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</w:t>
            </w:r>
          </w:p>
        </w:tc>
        <w:tc>
          <w:tcPr>
            <w:tcW w:w="720" w:type="dxa"/>
            <w:vAlign w:val="center"/>
          </w:tcPr>
          <w:p w:rsidR="006D530C" w:rsidRPr="00B11EA4" w:rsidRDefault="006D530C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6D530C" w:rsidRPr="00B11EA4" w:rsidRDefault="006D530C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19" w:type="dxa"/>
            <w:vAlign w:val="center"/>
          </w:tcPr>
          <w:p w:rsidR="006D530C" w:rsidRPr="00B11EA4" w:rsidRDefault="006D530C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1" w:type="dxa"/>
            <w:vAlign w:val="center"/>
          </w:tcPr>
          <w:p w:rsidR="006D530C" w:rsidRPr="00B11EA4" w:rsidRDefault="006D530C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720" w:type="dxa"/>
            <w:gridSpan w:val="2"/>
            <w:vAlign w:val="center"/>
          </w:tcPr>
          <w:p w:rsidR="006D530C" w:rsidRPr="00B11EA4" w:rsidRDefault="006D530C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16" w:type="dxa"/>
            <w:vAlign w:val="center"/>
          </w:tcPr>
          <w:p w:rsidR="006D530C" w:rsidRPr="00B11EA4" w:rsidRDefault="006D530C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4" w:type="dxa"/>
            <w:vAlign w:val="center"/>
          </w:tcPr>
          <w:p w:rsidR="006D530C" w:rsidRPr="00B11EA4" w:rsidRDefault="00387F8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33</w:t>
            </w:r>
          </w:p>
        </w:tc>
        <w:tc>
          <w:tcPr>
            <w:tcW w:w="720" w:type="dxa"/>
            <w:vAlign w:val="center"/>
          </w:tcPr>
          <w:p w:rsidR="006D530C" w:rsidRPr="00B11EA4" w:rsidRDefault="006D530C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260" w:type="dxa"/>
            <w:vAlign w:val="center"/>
          </w:tcPr>
          <w:p w:rsidR="006D530C" w:rsidRPr="00B11EA4" w:rsidRDefault="00694A7F" w:rsidP="000312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Registros administr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 xml:space="preserve">tivos de la </w:t>
            </w:r>
            <w:r w:rsidR="006D530C"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lastRenderedPageBreak/>
              <w:t>SEDS</w:t>
            </w:r>
          </w:p>
        </w:tc>
        <w:tc>
          <w:tcPr>
            <w:tcW w:w="3046" w:type="dxa"/>
          </w:tcPr>
          <w:p w:rsidR="008862AE" w:rsidRPr="00B11EA4" w:rsidRDefault="00761C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En 2013, d</w:t>
            </w:r>
            <w:r w:rsidR="006D530C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 los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1.174.797 b</w:t>
            </w:r>
            <w:r w:rsidR="006D530C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enef</w:t>
            </w:r>
            <w:r w:rsidR="006D530C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="006D530C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ciarios,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45,3</w:t>
            </w:r>
            <w:r w:rsidR="006D530C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% (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532.527</w:t>
            </w:r>
            <w:r w:rsidR="006D530C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) no tiene el ciclo básico completo, y se esp</w:t>
            </w:r>
            <w:r w:rsidR="006D530C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="006D530C"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 xml:space="preserve">ra que de estos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38.000 </w:t>
            </w:r>
            <w:r w:rsidR="006D530C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ingresen en el Programa, y que </w:t>
            </w:r>
            <w:r w:rsidR="00886F3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60</w:t>
            </w:r>
            <w:r w:rsidR="006D530C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% de estos (</w:t>
            </w:r>
            <w:r w:rsidR="00886F3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22.800</w:t>
            </w:r>
            <w:r w:rsidR="006D530C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) completen el ciclo básico. L</w:t>
            </w:r>
            <w:r w:rsidR="00886F3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os </w:t>
            </w:r>
            <w:proofErr w:type="spellStart"/>
            <w:r w:rsidR="00886F3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CPCs</w:t>
            </w:r>
            <w:proofErr w:type="spellEnd"/>
            <w:r w:rsidR="00886F3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no ofrecían el EJA antes del programa.</w:t>
            </w:r>
          </w:p>
        </w:tc>
      </w:tr>
      <w:tr w:rsidR="008862AE" w:rsidRPr="00B11EA4" w:rsidTr="00B11EA4">
        <w:trPr>
          <w:jc w:val="center"/>
        </w:trPr>
        <w:tc>
          <w:tcPr>
            <w:tcW w:w="1814" w:type="dxa"/>
            <w:vAlign w:val="center"/>
          </w:tcPr>
          <w:p w:rsidR="008862AE" w:rsidRPr="00B11EA4" w:rsidRDefault="008862AE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R.I.2.2</w:t>
            </w:r>
            <w:r w:rsidR="003C00A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Jóvenes </w:t>
            </w:r>
            <w:r w:rsidR="002A69E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de entre 15 y 24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corporados a la fuerza de trabajo </w:t>
            </w:r>
            <w:r w:rsidR="002A69E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a partir de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los CPC.</w:t>
            </w:r>
          </w:p>
        </w:tc>
        <w:tc>
          <w:tcPr>
            <w:tcW w:w="1170" w:type="dxa"/>
            <w:vAlign w:val="center"/>
          </w:tcPr>
          <w:p w:rsidR="008862AE" w:rsidRPr="00B11EA4" w:rsidRDefault="008862AE" w:rsidP="004C623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Porcentaje</w:t>
            </w:r>
          </w:p>
        </w:tc>
        <w:tc>
          <w:tcPr>
            <w:tcW w:w="720" w:type="dxa"/>
            <w:vAlign w:val="center"/>
          </w:tcPr>
          <w:p w:rsidR="008862AE" w:rsidRPr="00B11EA4" w:rsidRDefault="008862AE" w:rsidP="004C6233">
            <w:pPr>
              <w:tabs>
                <w:tab w:val="center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vAlign w:val="center"/>
          </w:tcPr>
          <w:p w:rsidR="008862AE" w:rsidRPr="00B11EA4" w:rsidRDefault="008862AE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2013</w:t>
            </w:r>
          </w:p>
        </w:tc>
        <w:tc>
          <w:tcPr>
            <w:tcW w:w="720" w:type="dxa"/>
            <w:vAlign w:val="center"/>
          </w:tcPr>
          <w:p w:rsidR="008862AE" w:rsidRPr="00B11EA4" w:rsidRDefault="008862AE" w:rsidP="004C623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8862AE" w:rsidRPr="00B11EA4" w:rsidRDefault="008862AE" w:rsidP="008862AE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19" w:type="dxa"/>
            <w:vAlign w:val="center"/>
          </w:tcPr>
          <w:p w:rsidR="008862AE" w:rsidRPr="00B11EA4" w:rsidRDefault="008862AE" w:rsidP="008862AE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1" w:type="dxa"/>
            <w:vAlign w:val="center"/>
          </w:tcPr>
          <w:p w:rsidR="008862AE" w:rsidRPr="00B11EA4" w:rsidRDefault="007F36AB" w:rsidP="004C623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720" w:type="dxa"/>
            <w:gridSpan w:val="2"/>
            <w:vAlign w:val="center"/>
          </w:tcPr>
          <w:p w:rsidR="008862AE" w:rsidRPr="00B11EA4" w:rsidRDefault="008862AE" w:rsidP="004C623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16" w:type="dxa"/>
            <w:vAlign w:val="center"/>
          </w:tcPr>
          <w:p w:rsidR="008862AE" w:rsidRPr="00B11EA4" w:rsidRDefault="008862AE" w:rsidP="004C623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4" w:type="dxa"/>
            <w:vAlign w:val="center"/>
          </w:tcPr>
          <w:p w:rsidR="008862AE" w:rsidRPr="00B11EA4" w:rsidRDefault="008862AE" w:rsidP="004C623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45</w:t>
            </w:r>
          </w:p>
        </w:tc>
        <w:tc>
          <w:tcPr>
            <w:tcW w:w="720" w:type="dxa"/>
            <w:vAlign w:val="center"/>
          </w:tcPr>
          <w:p w:rsidR="008862AE" w:rsidRPr="00B11EA4" w:rsidRDefault="008862AE" w:rsidP="004C623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260" w:type="dxa"/>
            <w:vAlign w:val="center"/>
          </w:tcPr>
          <w:p w:rsidR="008862AE" w:rsidRPr="00B11EA4" w:rsidRDefault="00694A7F" w:rsidP="008E2791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Registros administr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tivos de la </w:t>
            </w:r>
            <w:r w:rsidR="008862A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SEDS </w:t>
            </w:r>
          </w:p>
        </w:tc>
        <w:tc>
          <w:tcPr>
            <w:tcW w:w="3046" w:type="dxa"/>
          </w:tcPr>
          <w:p w:rsidR="008862AE" w:rsidRPr="00B11EA4" w:rsidRDefault="008862AE" w:rsidP="0019237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De los 31.000 jóvenes benefici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rios de los CPC, se espera que 45%  (13.950) ingresen al mercado de trabajo. </w:t>
            </w:r>
          </w:p>
        </w:tc>
      </w:tr>
      <w:tr w:rsidR="008862AE" w:rsidRPr="00B11EA4" w:rsidTr="00B11EA4">
        <w:trPr>
          <w:jc w:val="center"/>
        </w:trPr>
        <w:tc>
          <w:tcPr>
            <w:tcW w:w="1814" w:type="dxa"/>
            <w:vAlign w:val="center"/>
          </w:tcPr>
          <w:p w:rsidR="008862AE" w:rsidRPr="00B11EA4" w:rsidRDefault="008862AE" w:rsidP="002A69ED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R.I.2.3 Delitos co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sistentes en el co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sumo de drogas </w:t>
            </w:r>
            <w:r w:rsidR="002A69E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en los últimos 12 m</w:t>
            </w:r>
            <w:r w:rsidR="002A69E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="002A69E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ses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que tuvieron por autores a jóv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nes de entre 15 y 24 años en los 14 municipios.</w:t>
            </w:r>
          </w:p>
        </w:tc>
        <w:tc>
          <w:tcPr>
            <w:tcW w:w="1170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Porcentaje</w:t>
            </w:r>
          </w:p>
        </w:tc>
        <w:tc>
          <w:tcPr>
            <w:tcW w:w="720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67,0</w:t>
            </w:r>
          </w:p>
        </w:tc>
        <w:tc>
          <w:tcPr>
            <w:tcW w:w="720" w:type="dxa"/>
            <w:vAlign w:val="center"/>
          </w:tcPr>
          <w:p w:rsidR="008862AE" w:rsidRPr="00B11EA4" w:rsidRDefault="008862AE" w:rsidP="008E27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2013</w:t>
            </w:r>
          </w:p>
        </w:tc>
        <w:tc>
          <w:tcPr>
            <w:tcW w:w="720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19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1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720" w:type="dxa"/>
            <w:gridSpan w:val="2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16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4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61,3</w:t>
            </w:r>
          </w:p>
        </w:tc>
        <w:tc>
          <w:tcPr>
            <w:tcW w:w="720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260" w:type="dxa"/>
            <w:vAlign w:val="center"/>
          </w:tcPr>
          <w:p w:rsidR="008862AE" w:rsidRPr="00B11EA4" w:rsidRDefault="00694A7F" w:rsidP="008E27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Registros administr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tivos del CINDS/</w:t>
            </w:r>
            <w:r w:rsidR="008862A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SEDS</w:t>
            </w:r>
          </w:p>
        </w:tc>
        <w:tc>
          <w:tcPr>
            <w:tcW w:w="3046" w:type="dxa"/>
          </w:tcPr>
          <w:p w:rsidR="008862AE" w:rsidRPr="00B11EA4" w:rsidRDefault="008862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En 2013 los jóvenes fueron re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ponsables del 67% (6.778 de 10.109) de los delitos por consumo de drogas (uso o posesión) en los 14 municipios (Fuente SEDS). Dado que la tendencia se ha reve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tido en el último año, se espera que el programa tenga un impacto del 10%.</w:t>
            </w:r>
          </w:p>
        </w:tc>
      </w:tr>
      <w:tr w:rsidR="00694A7F" w:rsidRPr="00B11EA4" w:rsidTr="00B11EA4">
        <w:trPr>
          <w:jc w:val="center"/>
        </w:trPr>
        <w:tc>
          <w:tcPr>
            <w:tcW w:w="1814" w:type="dxa"/>
            <w:vAlign w:val="center"/>
          </w:tcPr>
          <w:p w:rsidR="00694A7F" w:rsidRPr="00B11EA4" w:rsidRDefault="00694A7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R.I.2.4 Delitos por tráfico de drogas en los últimos 12 m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ses que tienen c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mo autor jóvenes de entre 15 y 24 años en los 14 m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nicipios.</w:t>
            </w:r>
          </w:p>
        </w:tc>
        <w:tc>
          <w:tcPr>
            <w:tcW w:w="1170" w:type="dxa"/>
            <w:vAlign w:val="center"/>
          </w:tcPr>
          <w:p w:rsidR="00694A7F" w:rsidRPr="00B11EA4" w:rsidRDefault="00694A7F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Porcentaje</w:t>
            </w:r>
          </w:p>
        </w:tc>
        <w:tc>
          <w:tcPr>
            <w:tcW w:w="720" w:type="dxa"/>
            <w:vAlign w:val="center"/>
          </w:tcPr>
          <w:p w:rsidR="00694A7F" w:rsidRPr="00B11EA4" w:rsidRDefault="00694A7F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67,4</w:t>
            </w:r>
          </w:p>
        </w:tc>
        <w:tc>
          <w:tcPr>
            <w:tcW w:w="720" w:type="dxa"/>
            <w:vAlign w:val="center"/>
          </w:tcPr>
          <w:p w:rsidR="00694A7F" w:rsidRPr="00B11EA4" w:rsidRDefault="00694A7F" w:rsidP="008E27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2013</w:t>
            </w:r>
          </w:p>
        </w:tc>
        <w:tc>
          <w:tcPr>
            <w:tcW w:w="720" w:type="dxa"/>
            <w:vAlign w:val="center"/>
          </w:tcPr>
          <w:p w:rsidR="00694A7F" w:rsidRPr="00B11EA4" w:rsidRDefault="00694A7F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694A7F" w:rsidRPr="00B11EA4" w:rsidRDefault="00694A7F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19" w:type="dxa"/>
            <w:vAlign w:val="center"/>
          </w:tcPr>
          <w:p w:rsidR="00694A7F" w:rsidRPr="00B11EA4" w:rsidRDefault="00694A7F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1" w:type="dxa"/>
            <w:vAlign w:val="center"/>
          </w:tcPr>
          <w:p w:rsidR="00694A7F" w:rsidRPr="00B11EA4" w:rsidRDefault="00694A7F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720" w:type="dxa"/>
            <w:gridSpan w:val="2"/>
            <w:vAlign w:val="center"/>
          </w:tcPr>
          <w:p w:rsidR="00694A7F" w:rsidRPr="00B11EA4" w:rsidRDefault="00694A7F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16" w:type="dxa"/>
            <w:vAlign w:val="center"/>
          </w:tcPr>
          <w:p w:rsidR="00694A7F" w:rsidRPr="00B11EA4" w:rsidRDefault="00694A7F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4" w:type="dxa"/>
            <w:vAlign w:val="center"/>
          </w:tcPr>
          <w:p w:rsidR="00694A7F" w:rsidRPr="00B11EA4" w:rsidRDefault="00694A7F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53,9</w:t>
            </w:r>
          </w:p>
        </w:tc>
        <w:tc>
          <w:tcPr>
            <w:tcW w:w="720" w:type="dxa"/>
            <w:vAlign w:val="center"/>
          </w:tcPr>
          <w:p w:rsidR="00694A7F" w:rsidRPr="00B11EA4" w:rsidRDefault="00694A7F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260" w:type="dxa"/>
            <w:vAlign w:val="center"/>
          </w:tcPr>
          <w:p w:rsidR="00694A7F" w:rsidRPr="00B11EA4" w:rsidRDefault="00694A7F" w:rsidP="008E27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Registros administr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tivos del CINDS/SEDS</w:t>
            </w:r>
          </w:p>
        </w:tc>
        <w:tc>
          <w:tcPr>
            <w:tcW w:w="3046" w:type="dxa"/>
          </w:tcPr>
          <w:p w:rsidR="00694A7F" w:rsidRPr="00B11EA4" w:rsidRDefault="00694A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En 2013 los jóvenes fueron re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ponsables del 67,4% (12.347 de 18.307) de los delitos por viol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ción de la ley asociada a tráfico de drogas en los 14 municipios (Fue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te SEDS). Dado que la tendencia se ha revertido en el último año, se espera que el programa tenga un impacto del 20%.</w:t>
            </w:r>
          </w:p>
        </w:tc>
      </w:tr>
      <w:tr w:rsidR="008862AE" w:rsidRPr="00B11EA4" w:rsidTr="009C7457">
        <w:trPr>
          <w:jc w:val="center"/>
        </w:trPr>
        <w:tc>
          <w:tcPr>
            <w:tcW w:w="14220" w:type="dxa"/>
            <w:gridSpan w:val="15"/>
          </w:tcPr>
          <w:p w:rsidR="008862AE" w:rsidRPr="00B11EA4" w:rsidRDefault="008862AE" w:rsidP="00855A9B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>Objetivo Especifico 3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: Reducir la reincidencia de los egresados del sistema socioeducativo y del sistema penitenciario.</w:t>
            </w:r>
          </w:p>
        </w:tc>
      </w:tr>
      <w:tr w:rsidR="008862AE" w:rsidRPr="00B11EA4" w:rsidTr="00B11EA4">
        <w:trPr>
          <w:jc w:val="center"/>
        </w:trPr>
        <w:tc>
          <w:tcPr>
            <w:tcW w:w="1814" w:type="dxa"/>
            <w:vAlign w:val="center"/>
          </w:tcPr>
          <w:p w:rsidR="008862AE" w:rsidRPr="00B11EA4" w:rsidRDefault="008862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R.I.3.1 Jóvenes </w:t>
            </w:r>
            <w:r w:rsidR="002A69E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de </w:t>
            </w:r>
            <w:r w:rsidR="00141B5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entre </w:t>
            </w:r>
            <w:r w:rsidR="002A69ED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15 a 21 años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egresados del si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tema socioeducat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vo con ciclo básico completo. </w:t>
            </w:r>
          </w:p>
        </w:tc>
        <w:tc>
          <w:tcPr>
            <w:tcW w:w="1170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Porcentaje</w:t>
            </w:r>
          </w:p>
        </w:tc>
        <w:tc>
          <w:tcPr>
            <w:tcW w:w="720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11,5</w:t>
            </w:r>
          </w:p>
        </w:tc>
        <w:tc>
          <w:tcPr>
            <w:tcW w:w="720" w:type="dxa"/>
            <w:vAlign w:val="center"/>
          </w:tcPr>
          <w:p w:rsidR="008862AE" w:rsidRPr="00B11EA4" w:rsidRDefault="008862AE" w:rsidP="008E2791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2013</w:t>
            </w:r>
          </w:p>
        </w:tc>
        <w:tc>
          <w:tcPr>
            <w:tcW w:w="720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19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1" w:type="dxa"/>
            <w:vAlign w:val="center"/>
          </w:tcPr>
          <w:p w:rsidR="008862AE" w:rsidRPr="00B11EA4" w:rsidRDefault="007F36AB" w:rsidP="004C6233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720" w:type="dxa"/>
            <w:gridSpan w:val="2"/>
            <w:vAlign w:val="center"/>
          </w:tcPr>
          <w:p w:rsidR="008862AE" w:rsidRPr="00B11EA4" w:rsidRDefault="008862AE" w:rsidP="004C6233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16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4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56</w:t>
            </w:r>
          </w:p>
        </w:tc>
        <w:tc>
          <w:tcPr>
            <w:tcW w:w="720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260" w:type="dxa"/>
            <w:vAlign w:val="center"/>
          </w:tcPr>
          <w:p w:rsidR="008862AE" w:rsidRPr="00B11EA4" w:rsidRDefault="009B7833" w:rsidP="008E2791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Registros administr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tivos de la SU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SE/</w:t>
            </w:r>
            <w:r w:rsidR="008862A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SEDS</w:t>
            </w:r>
          </w:p>
        </w:tc>
        <w:tc>
          <w:tcPr>
            <w:tcW w:w="3046" w:type="dxa"/>
          </w:tcPr>
          <w:p w:rsidR="008862AE" w:rsidRPr="00B11EA4" w:rsidRDefault="008862AE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La meta ha sido calculada en fu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ción de la estimativa de aquellos jóvenes que permanecen en los Centros MSE por lo menos 1 año.</w:t>
            </w:r>
          </w:p>
        </w:tc>
      </w:tr>
      <w:tr w:rsidR="008862AE" w:rsidRPr="00B11EA4" w:rsidTr="00B11EA4">
        <w:trPr>
          <w:jc w:val="center"/>
        </w:trPr>
        <w:tc>
          <w:tcPr>
            <w:tcW w:w="1814" w:type="dxa"/>
            <w:vAlign w:val="center"/>
          </w:tcPr>
          <w:p w:rsidR="008862AE" w:rsidRPr="00B11EA4" w:rsidRDefault="009C74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R.I.3.2. J</w:t>
            </w:r>
            <w:r w:rsidR="008862A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óvenes </w:t>
            </w:r>
            <w:r w:rsidR="00141B5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de entre 15 a 21 años </w:t>
            </w:r>
            <w:r w:rsidR="008862A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egresados del si</w:t>
            </w:r>
            <w:r w:rsidR="008862A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  <w:r w:rsidR="008862A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tema socioeducat</w:t>
            </w:r>
            <w:r w:rsidR="008862A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="008862AE"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vo que están trab</w:t>
            </w:r>
            <w:r w:rsidR="008862A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="008862A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jando.</w:t>
            </w:r>
          </w:p>
        </w:tc>
        <w:tc>
          <w:tcPr>
            <w:tcW w:w="1170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Porcentaje</w:t>
            </w:r>
          </w:p>
        </w:tc>
        <w:tc>
          <w:tcPr>
            <w:tcW w:w="720" w:type="dxa"/>
            <w:vAlign w:val="center"/>
          </w:tcPr>
          <w:p w:rsidR="008862AE" w:rsidRPr="00B11EA4" w:rsidRDefault="008862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29</w:t>
            </w:r>
          </w:p>
        </w:tc>
        <w:tc>
          <w:tcPr>
            <w:tcW w:w="720" w:type="dxa"/>
            <w:vAlign w:val="center"/>
          </w:tcPr>
          <w:p w:rsidR="008862AE" w:rsidRPr="00B11EA4" w:rsidRDefault="008862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2013</w:t>
            </w:r>
          </w:p>
        </w:tc>
        <w:tc>
          <w:tcPr>
            <w:tcW w:w="720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19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1" w:type="dxa"/>
            <w:vAlign w:val="center"/>
          </w:tcPr>
          <w:p w:rsidR="008862AE" w:rsidRPr="00B11EA4" w:rsidRDefault="007F36AB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720" w:type="dxa"/>
            <w:gridSpan w:val="2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16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4" w:type="dxa"/>
            <w:vAlign w:val="center"/>
          </w:tcPr>
          <w:p w:rsidR="008862AE" w:rsidRPr="00B11EA4" w:rsidRDefault="008862AE" w:rsidP="008E27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42</w:t>
            </w:r>
          </w:p>
        </w:tc>
        <w:tc>
          <w:tcPr>
            <w:tcW w:w="720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260" w:type="dxa"/>
            <w:vAlign w:val="center"/>
          </w:tcPr>
          <w:p w:rsidR="008862AE" w:rsidRPr="00B11EA4" w:rsidRDefault="009B7833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Registros administr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tivos de la SU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SE/</w:t>
            </w:r>
            <w:r w:rsidR="008862A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SEDS</w:t>
            </w:r>
          </w:p>
        </w:tc>
        <w:tc>
          <w:tcPr>
            <w:tcW w:w="3046" w:type="dxa"/>
          </w:tcPr>
          <w:p w:rsidR="008862AE" w:rsidRPr="00B11EA4" w:rsidRDefault="008862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El número de jóvenes que egresan anualmente de los Centros MSE es 611. Se espera colocar en el me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cado laboral 255 jóvenes, que </w:t>
            </w:r>
            <w:r w:rsidR="001F0B2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</w:t>
            </w:r>
            <w:r w:rsidR="001F0B2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="001F0B2F"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rresponden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a 42% del total de j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ó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venes egresados.</w:t>
            </w:r>
          </w:p>
        </w:tc>
      </w:tr>
      <w:tr w:rsidR="008862AE" w:rsidRPr="00B11EA4" w:rsidTr="00B11EA4">
        <w:trPr>
          <w:jc w:val="center"/>
        </w:trPr>
        <w:tc>
          <w:tcPr>
            <w:tcW w:w="1814" w:type="dxa"/>
            <w:vAlign w:val="center"/>
          </w:tcPr>
          <w:p w:rsidR="008862AE" w:rsidRPr="00B11EA4" w:rsidRDefault="008862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R.I.3.3. Adolesce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tes </w:t>
            </w:r>
            <w:r w:rsidR="00141B5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de entre 15 a 21 años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en medidas de internación y  </w:t>
            </w:r>
            <w:proofErr w:type="spellStart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sem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libertad</w:t>
            </w:r>
            <w:proofErr w:type="spellEnd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con P</w:t>
            </w:r>
            <w:r w:rsidR="00E64A9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lanes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="00E64A9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ndividuales de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="00E64A9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tención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conforme a</w:t>
            </w:r>
            <w:r w:rsidR="00E64A9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los r</w:t>
            </w:r>
            <w:r w:rsidR="00E64A9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="00E64A90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quisitos legales de</w:t>
            </w:r>
            <w:r w:rsidR="0074726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la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NASE</w:t>
            </w:r>
            <w:r w:rsidR="00141B5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y con sus metas cumpl</w:t>
            </w:r>
            <w:r w:rsidR="00141B5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="00141B5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das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1170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Porcentaje</w:t>
            </w:r>
          </w:p>
        </w:tc>
        <w:tc>
          <w:tcPr>
            <w:tcW w:w="720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vAlign w:val="center"/>
          </w:tcPr>
          <w:p w:rsidR="008862AE" w:rsidRPr="00B11EA4" w:rsidRDefault="008862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2013</w:t>
            </w:r>
          </w:p>
        </w:tc>
        <w:tc>
          <w:tcPr>
            <w:tcW w:w="720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19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1" w:type="dxa"/>
            <w:vAlign w:val="center"/>
          </w:tcPr>
          <w:p w:rsidR="008862AE" w:rsidRPr="00B11EA4" w:rsidRDefault="007F36AB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2017</w:t>
            </w:r>
          </w:p>
        </w:tc>
        <w:tc>
          <w:tcPr>
            <w:tcW w:w="720" w:type="dxa"/>
            <w:gridSpan w:val="2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16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34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80</w:t>
            </w:r>
          </w:p>
        </w:tc>
        <w:tc>
          <w:tcPr>
            <w:tcW w:w="720" w:type="dxa"/>
            <w:vAlign w:val="center"/>
          </w:tcPr>
          <w:p w:rsidR="008862AE" w:rsidRPr="00B11EA4" w:rsidRDefault="008862AE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2019</w:t>
            </w:r>
          </w:p>
        </w:tc>
        <w:tc>
          <w:tcPr>
            <w:tcW w:w="1260" w:type="dxa"/>
            <w:vAlign w:val="center"/>
          </w:tcPr>
          <w:p w:rsidR="008862AE" w:rsidRPr="00B11EA4" w:rsidRDefault="009B7833" w:rsidP="004C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Registros administr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tivos de la SU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SE/</w:t>
            </w:r>
            <w:r w:rsidR="008862AE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SEDS</w:t>
            </w:r>
          </w:p>
        </w:tc>
        <w:tc>
          <w:tcPr>
            <w:tcW w:w="3046" w:type="dxa"/>
          </w:tcPr>
          <w:p w:rsidR="008862AE" w:rsidRPr="00B11EA4" w:rsidRDefault="008862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El indicador de base es 0 porque aún no se ha</w:t>
            </w:r>
            <w:r w:rsidR="00B96FB7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implementado los </w:t>
            </w:r>
            <w:r w:rsidR="001F0B2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</w:t>
            </w:r>
            <w:r w:rsidR="009815F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lanes Individuales de Atención (P</w:t>
            </w:r>
            <w:r w:rsidR="001F0B2F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IA</w:t>
            </w:r>
            <w:r w:rsidR="009815F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)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conforme al </w:t>
            </w:r>
            <w:r w:rsidR="009815F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Sistema Naci</w:t>
            </w:r>
            <w:r w:rsidR="009815F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="009815F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nal de Atención Socioeducativa (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SINASE</w:t>
            </w:r>
            <w:r w:rsidR="009815F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)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</w:tc>
      </w:tr>
    </w:tbl>
    <w:p w:rsidR="00764088" w:rsidRPr="00B11EA4" w:rsidRDefault="00764088" w:rsidP="006F4E38">
      <w:pPr>
        <w:spacing w:before="240" w:line="240" w:lineRule="auto"/>
        <w:jc w:val="center"/>
        <w:rPr>
          <w:rFonts w:ascii="Times New Roman" w:hAnsi="Times New Roman"/>
          <w:b/>
          <w:sz w:val="20"/>
          <w:szCs w:val="20"/>
          <w:lang w:val="es-ES"/>
        </w:rPr>
      </w:pPr>
    </w:p>
    <w:p w:rsidR="007C14E2" w:rsidRPr="00B11EA4" w:rsidRDefault="007C14E2" w:rsidP="006F4E38">
      <w:pPr>
        <w:spacing w:before="240" w:line="240" w:lineRule="auto"/>
        <w:jc w:val="center"/>
        <w:rPr>
          <w:rFonts w:ascii="Times New Roman" w:hAnsi="Times New Roman"/>
          <w:b/>
          <w:sz w:val="20"/>
          <w:szCs w:val="20"/>
          <w:lang w:val="es-ES"/>
        </w:rPr>
      </w:pPr>
      <w:r w:rsidRPr="00B11EA4">
        <w:rPr>
          <w:rFonts w:ascii="Times New Roman" w:hAnsi="Times New Roman"/>
          <w:b/>
          <w:sz w:val="20"/>
          <w:szCs w:val="20"/>
          <w:lang w:val="es-ES"/>
        </w:rPr>
        <w:t>PRODUCTOS</w:t>
      </w:r>
    </w:p>
    <w:tbl>
      <w:tblPr>
        <w:tblW w:w="14246" w:type="dxa"/>
        <w:jc w:val="center"/>
        <w:tblInd w:w="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3"/>
        <w:gridCol w:w="1170"/>
        <w:gridCol w:w="900"/>
        <w:gridCol w:w="720"/>
        <w:gridCol w:w="720"/>
        <w:gridCol w:w="630"/>
        <w:gridCol w:w="720"/>
        <w:gridCol w:w="639"/>
        <w:gridCol w:w="814"/>
        <w:gridCol w:w="1954"/>
        <w:gridCol w:w="1736"/>
      </w:tblGrid>
      <w:tr w:rsidR="006E67C3" w:rsidRPr="00B11EA4" w:rsidTr="00B11EA4">
        <w:trPr>
          <w:tblHeader/>
          <w:jc w:val="center"/>
        </w:trPr>
        <w:tc>
          <w:tcPr>
            <w:tcW w:w="4243" w:type="dxa"/>
            <w:shd w:val="clear" w:color="auto" w:fill="C2D69B"/>
            <w:vAlign w:val="center"/>
          </w:tcPr>
          <w:p w:rsidR="00381A6C" w:rsidRPr="00B11EA4" w:rsidRDefault="00381A6C" w:rsidP="00CF6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Producto</w:t>
            </w:r>
          </w:p>
        </w:tc>
        <w:tc>
          <w:tcPr>
            <w:tcW w:w="1170" w:type="dxa"/>
            <w:shd w:val="clear" w:color="auto" w:fill="C2D69B"/>
            <w:vAlign w:val="center"/>
          </w:tcPr>
          <w:p w:rsidR="00381A6C" w:rsidRPr="00B11EA4" w:rsidRDefault="00381A6C" w:rsidP="00CF6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Unidad de medida</w:t>
            </w:r>
          </w:p>
        </w:tc>
        <w:tc>
          <w:tcPr>
            <w:tcW w:w="900" w:type="dxa"/>
            <w:shd w:val="clear" w:color="auto" w:fill="C2D69B"/>
            <w:vAlign w:val="center"/>
          </w:tcPr>
          <w:p w:rsidR="00381A6C" w:rsidRPr="00B11EA4" w:rsidRDefault="00381A6C" w:rsidP="00CF6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Línea de base</w:t>
            </w:r>
          </w:p>
        </w:tc>
        <w:tc>
          <w:tcPr>
            <w:tcW w:w="720" w:type="dxa"/>
            <w:shd w:val="clear" w:color="auto" w:fill="C2D69B"/>
            <w:vAlign w:val="center"/>
          </w:tcPr>
          <w:p w:rsidR="00381A6C" w:rsidRPr="00B11EA4" w:rsidRDefault="00381A6C" w:rsidP="00CF6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s-ES"/>
              </w:rPr>
              <w:t>Año 1</w:t>
            </w:r>
          </w:p>
        </w:tc>
        <w:tc>
          <w:tcPr>
            <w:tcW w:w="720" w:type="dxa"/>
            <w:shd w:val="clear" w:color="auto" w:fill="C2D69B"/>
            <w:vAlign w:val="center"/>
          </w:tcPr>
          <w:p w:rsidR="00381A6C" w:rsidRPr="00B11EA4" w:rsidRDefault="00381A6C" w:rsidP="00CF6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s-ES"/>
              </w:rPr>
              <w:t>Año 2</w:t>
            </w:r>
          </w:p>
        </w:tc>
        <w:tc>
          <w:tcPr>
            <w:tcW w:w="630" w:type="dxa"/>
            <w:shd w:val="clear" w:color="auto" w:fill="C2D69B"/>
            <w:vAlign w:val="center"/>
          </w:tcPr>
          <w:p w:rsidR="00381A6C" w:rsidRPr="00B11EA4" w:rsidRDefault="00381A6C" w:rsidP="00CF6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s-ES"/>
              </w:rPr>
              <w:t>Año 3</w:t>
            </w:r>
          </w:p>
        </w:tc>
        <w:tc>
          <w:tcPr>
            <w:tcW w:w="720" w:type="dxa"/>
            <w:shd w:val="clear" w:color="auto" w:fill="C2D69B"/>
            <w:vAlign w:val="center"/>
          </w:tcPr>
          <w:p w:rsidR="00381A6C" w:rsidRPr="00B11EA4" w:rsidRDefault="00381A6C" w:rsidP="00CF6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s-ES"/>
              </w:rPr>
              <w:t>Año 4</w:t>
            </w:r>
          </w:p>
        </w:tc>
        <w:tc>
          <w:tcPr>
            <w:tcW w:w="639" w:type="dxa"/>
            <w:shd w:val="clear" w:color="auto" w:fill="C2D69B"/>
            <w:vAlign w:val="center"/>
          </w:tcPr>
          <w:p w:rsidR="00381A6C" w:rsidRPr="00B11EA4" w:rsidRDefault="00381A6C" w:rsidP="00CF6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s-ES"/>
              </w:rPr>
              <w:t>Año 5</w:t>
            </w:r>
          </w:p>
        </w:tc>
        <w:tc>
          <w:tcPr>
            <w:tcW w:w="814" w:type="dxa"/>
            <w:shd w:val="clear" w:color="auto" w:fill="C2D69B"/>
            <w:vAlign w:val="center"/>
          </w:tcPr>
          <w:p w:rsidR="00381A6C" w:rsidRPr="00B11EA4" w:rsidRDefault="00381A6C" w:rsidP="00CF6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Meta</w:t>
            </w:r>
          </w:p>
        </w:tc>
        <w:tc>
          <w:tcPr>
            <w:tcW w:w="1954" w:type="dxa"/>
            <w:shd w:val="clear" w:color="auto" w:fill="C2D69B"/>
            <w:vAlign w:val="center"/>
          </w:tcPr>
          <w:p w:rsidR="00381A6C" w:rsidRPr="00B11EA4" w:rsidRDefault="00381A6C" w:rsidP="00CF6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Fuente</w:t>
            </w:r>
          </w:p>
        </w:tc>
        <w:tc>
          <w:tcPr>
            <w:tcW w:w="1736" w:type="dxa"/>
            <w:shd w:val="clear" w:color="auto" w:fill="C2D69B"/>
            <w:vAlign w:val="center"/>
          </w:tcPr>
          <w:p w:rsidR="00381A6C" w:rsidRPr="00B11EA4" w:rsidRDefault="00381A6C" w:rsidP="00CF6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Observación</w:t>
            </w:r>
          </w:p>
        </w:tc>
      </w:tr>
      <w:tr w:rsidR="00CF6D87" w:rsidRPr="00B11EA4" w:rsidTr="009C7457">
        <w:trPr>
          <w:jc w:val="center"/>
        </w:trPr>
        <w:tc>
          <w:tcPr>
            <w:tcW w:w="14246" w:type="dxa"/>
            <w:gridSpan w:val="11"/>
            <w:shd w:val="clear" w:color="auto" w:fill="D9D9D9"/>
          </w:tcPr>
          <w:p w:rsidR="00CF6D87" w:rsidRPr="00B11EA4" w:rsidRDefault="00CF6D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 xml:space="preserve">Componente 1: </w:t>
            </w:r>
            <w:r w:rsidRPr="00B11EA4">
              <w:rPr>
                <w:rFonts w:ascii="Times New Roman" w:hAnsi="Times New Roman"/>
                <w:b/>
                <w:spacing w:val="-6"/>
                <w:sz w:val="20"/>
                <w:szCs w:val="20"/>
                <w:lang w:val="es-ES"/>
              </w:rPr>
              <w:t xml:space="preserve"> </w:t>
            </w:r>
            <w:r w:rsidR="00F815EC"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>Efectividad</w:t>
            </w:r>
            <w:r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 xml:space="preserve"> policial para </w:t>
            </w:r>
            <w:r w:rsidR="00F815EC"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 xml:space="preserve">la prevención, </w:t>
            </w:r>
            <w:r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>control e investigación</w:t>
            </w:r>
            <w:r w:rsidRPr="00B11EA4" w:rsidDel="0045789D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 xml:space="preserve"> </w:t>
            </w:r>
            <w:r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>del crimen</w:t>
            </w:r>
          </w:p>
        </w:tc>
      </w:tr>
      <w:tr w:rsidR="009015B2" w:rsidRPr="00B11EA4" w:rsidTr="00B11EA4">
        <w:trPr>
          <w:trHeight w:val="272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2A7CDE">
            <w:pPr>
              <w:pStyle w:val="ListParagraph"/>
              <w:numPr>
                <w:ilvl w:val="1"/>
                <w:numId w:val="2"/>
              </w:num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Modelo de Policía Comunitaria fortalec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do.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5B76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557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E720BD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1.1.1 Efectivos policiales capacitados y certific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dos en atención a la comunidad, derechos hum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nos y análisis criminal, utilizando sus nuevas competencias adquiridas.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Efectiv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1249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1009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1009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974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974</w:t>
            </w: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3966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70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1.1.2 Bases de Policía Comunitaria equipadas y en funcionamiento.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Bases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57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7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7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14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5B76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413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1.1.3 Red de radiocomunicación para respuesta a emergencias con localización GPS integrada entre PM, PC y CB en funcionamiento con interoper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bilidad.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Red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EF7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5B76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70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1.1.4 Consejos Comunitarios de Seguridad en los Municipios del Programa fortalecidos y en fu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cionamiento aplicando los reglamentos operativos estandarizados.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Consejo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46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7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7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8F6A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14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530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1.1.5 Seminarios de coordinación y articulación de esfuerzos de los diferentes niveles de gobierno y de participación social en la prevención del d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lito realizados.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981C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Seminarios</w:t>
            </w:r>
            <w:r w:rsidRPr="00B11EA4" w:rsidDel="004F7CC8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B63F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67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67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67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67</w:t>
            </w: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67</w:t>
            </w: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335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5B76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323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lastRenderedPageBreak/>
              <w:t>1.1.6 Adecuado funcionamiento del control i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terno y social de la policía en los territorios del Programa verificado semestralmente.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522F64" w:rsidP="007102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Verific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ción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10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Del="00344011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UNODC y 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236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1.2 Proceso de investigación criminal mejor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do.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Del="00344011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5B76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866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FA224A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1.2.1 Centro Integrado de Pericia Técnico-Científica e Investigación Criminal en MG, con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s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truido de manera que se atienda los procesos e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s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tandarizados para la emisión de laudos y los niv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les de seguridad requeridos.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Centro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8F6A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Del="00344011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3741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596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FA224A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 xml:space="preserve">1.2.2 Sistema de identificación civil y criminal de la PC digitalizado, integrado al sistema de gestión de información </w:t>
            </w:r>
            <w:proofErr w:type="spellStart"/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PCNet</w:t>
            </w:r>
            <w:proofErr w:type="spellEnd"/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 xml:space="preserve"> y accesible en línea.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Sistema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Del="0018711F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Del="0018711F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Del="0018711F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4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5B76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308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1.2.3 Efectivos de la PC capacitados y certific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dos en gestión pública.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Efectiv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620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619</w:t>
            </w: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1239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Del="00344011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5B76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70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927937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1.2.4 Modulo para apoyar los procesos admini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s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 xml:space="preserve">trativos disciplinarios de la PC implementado y operando de manera integrada en el sistema de gestión de información </w:t>
            </w:r>
            <w:proofErr w:type="spellStart"/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PCNet</w:t>
            </w:r>
            <w:proofErr w:type="spellEnd"/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Mod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u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lo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Del="00344011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5B76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533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1.2.5 Base de datos del sistema de justicia crim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nal integrada y operando.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Base de datos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Del="00344011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5B76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173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0814CE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1.3 Respuesta integrada del Cuerpo de Bomberos a emergencias y a la escena del crimen mejor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da.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6729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560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07283F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1.3.1 Infraestructura de apoyo a la capacitación de la Academia de Bomberos Militar construida y operando.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0728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Infraestru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c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tura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6729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264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8355E3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1.3.2 Salas de capacitación equipadas y opera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n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do.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Salas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16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16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6729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1.3.3 Efectivo del Cuerpo de Bomberos capacit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dos y certificados en primeros auxilios y prese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r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vación de la escena del crimen, incluyendo mat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riales de capacitación.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Efectiv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544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544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544</w:t>
            </w: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544</w:t>
            </w: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2176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9078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522F64" w:rsidRPr="00B11EA4" w:rsidTr="00B11EA4">
        <w:trPr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522F64" w:rsidRPr="00B11EA4" w:rsidRDefault="00522F64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1.4 Gestores capacitados y certificados en polít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cas públicas de defensa, análisis criminal, sist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mas de información geográfica y manipulación de datos en sistemas visuales.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522F64" w:rsidRPr="00B11EA4" w:rsidRDefault="00522F64" w:rsidP="00855B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Gestores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522F64" w:rsidRPr="00B11EA4" w:rsidRDefault="00522F64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522F64" w:rsidRPr="00B11EA4" w:rsidRDefault="00522F64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160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522F64" w:rsidRPr="00B11EA4" w:rsidRDefault="00522F64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160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522F64" w:rsidRPr="00B11EA4" w:rsidRDefault="00522F64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160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522F64" w:rsidRPr="00B11EA4" w:rsidRDefault="00522F64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100</w:t>
            </w:r>
          </w:p>
        </w:tc>
        <w:tc>
          <w:tcPr>
            <w:tcW w:w="639" w:type="dxa"/>
            <w:shd w:val="clear" w:color="auto" w:fill="D9D9D9"/>
            <w:vAlign w:val="center"/>
          </w:tcPr>
          <w:p w:rsidR="00522F64" w:rsidRPr="00B11EA4" w:rsidRDefault="00522F64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137</w:t>
            </w:r>
          </w:p>
        </w:tc>
        <w:tc>
          <w:tcPr>
            <w:tcW w:w="814" w:type="dxa"/>
            <w:shd w:val="clear" w:color="auto" w:fill="D9D9D9"/>
            <w:vAlign w:val="center"/>
          </w:tcPr>
          <w:p w:rsidR="00522F64" w:rsidRPr="00B11EA4" w:rsidRDefault="00522F64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717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522F64" w:rsidRPr="00B11EA4" w:rsidRDefault="00522F64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  <w:vAlign w:val="center"/>
          </w:tcPr>
          <w:p w:rsidR="00522F64" w:rsidRPr="00B11EA4" w:rsidRDefault="00522F64" w:rsidP="009078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522F64" w:rsidRPr="00B11EA4" w:rsidTr="00522F64">
        <w:trPr>
          <w:jc w:val="center"/>
        </w:trPr>
        <w:tc>
          <w:tcPr>
            <w:tcW w:w="14246" w:type="dxa"/>
            <w:gridSpan w:val="11"/>
            <w:shd w:val="clear" w:color="auto" w:fill="D9D9D9"/>
          </w:tcPr>
          <w:p w:rsidR="00522F64" w:rsidRPr="00B11EA4" w:rsidRDefault="00522F64" w:rsidP="00B11EA4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 xml:space="preserve">Componente 2: </w:t>
            </w:r>
            <w:r w:rsidRPr="00B11EA4">
              <w:rPr>
                <w:rFonts w:ascii="Times New Roman" w:hAnsi="Times New Roman"/>
                <w:b/>
                <w:spacing w:val="-6"/>
                <w:sz w:val="20"/>
                <w:szCs w:val="20"/>
                <w:lang w:val="es-ES"/>
              </w:rPr>
              <w:t xml:space="preserve"> </w:t>
            </w:r>
            <w:r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>Prevención Social de la Violencia para la Población Joven</w:t>
            </w:r>
          </w:p>
        </w:tc>
      </w:tr>
      <w:tr w:rsidR="00522F64" w:rsidRPr="00B11EA4" w:rsidTr="0054797A">
        <w:trPr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522F64" w:rsidRPr="00B11EA4" w:rsidRDefault="00522F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2.1 Programa </w:t>
            </w:r>
            <w:proofErr w:type="spellStart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Fica</w:t>
            </w:r>
            <w:proofErr w:type="spellEnd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Vivo implementado en nuevos CPC.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522F64" w:rsidRPr="00B11EA4" w:rsidRDefault="00522F64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522F64" w:rsidRPr="00B11EA4" w:rsidRDefault="00522F64" w:rsidP="008E31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522F64" w:rsidRPr="00B11EA4" w:rsidRDefault="00522F64" w:rsidP="0078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522F64" w:rsidRPr="00B11EA4" w:rsidRDefault="00522F64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:rsidR="00522F64" w:rsidRPr="00B11EA4" w:rsidRDefault="00522F64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522F64" w:rsidRPr="00B11EA4" w:rsidRDefault="00522F64" w:rsidP="008E31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522F64" w:rsidRPr="00B11EA4" w:rsidRDefault="00522F64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522F64" w:rsidRPr="00B11EA4" w:rsidRDefault="00522F64" w:rsidP="008E31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954" w:type="dxa"/>
            <w:shd w:val="clear" w:color="auto" w:fill="D9D9D9"/>
            <w:vAlign w:val="center"/>
          </w:tcPr>
          <w:p w:rsidR="00522F64" w:rsidRPr="00B11EA4" w:rsidRDefault="00522F64" w:rsidP="00855BBB">
            <w:pPr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736" w:type="dxa"/>
            <w:shd w:val="clear" w:color="auto" w:fill="D9D9D9"/>
          </w:tcPr>
          <w:p w:rsidR="00522F64" w:rsidRPr="00B11EA4" w:rsidRDefault="00522F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54797A">
        <w:trPr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 xml:space="preserve">2.1.1 Programa </w:t>
            </w:r>
            <w:proofErr w:type="spellStart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Fica</w:t>
            </w:r>
            <w:proofErr w:type="spellEnd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Vivo con oferta de servicios ampliada implementado en 6 nuevos CPC dentro de los 14 </w:t>
            </w:r>
            <w:r w:rsidR="00A3753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municipios.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Del="008E3173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Programa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8E31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8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8E31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8E31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2.1.2 Jóvenes atendidos con servicios de deportes, cultura, métodos de resolución de conflictos, promoción de una cultura de paz y desarrollo pe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sonal.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Jóvene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8E31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8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2400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2400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2400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8E31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2400</w:t>
            </w: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2400</w:t>
            </w: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8E31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12000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522F64" w:rsidRPr="00B11EA4" w:rsidTr="0054797A">
        <w:trPr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522F64" w:rsidRPr="00B11EA4" w:rsidRDefault="00522F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2.1.3 Jóvenes que se benefician de las actividades escolares de aceleración y alfabetización.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522F64" w:rsidRPr="00B11EA4" w:rsidRDefault="00522F64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Jóvenes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522F64" w:rsidRPr="00B11EA4" w:rsidRDefault="00522F64" w:rsidP="008E31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522F64" w:rsidRPr="00B11EA4" w:rsidRDefault="00522F64" w:rsidP="0078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2400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522F64" w:rsidRPr="00B11EA4" w:rsidRDefault="00522F64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2400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522F64" w:rsidRPr="00B11EA4" w:rsidRDefault="00522F64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2400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522F64" w:rsidRPr="00B11EA4" w:rsidRDefault="00522F64" w:rsidP="008E31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2400</w:t>
            </w:r>
          </w:p>
        </w:tc>
        <w:tc>
          <w:tcPr>
            <w:tcW w:w="639" w:type="dxa"/>
            <w:shd w:val="clear" w:color="auto" w:fill="D9D9D9"/>
            <w:vAlign w:val="center"/>
          </w:tcPr>
          <w:p w:rsidR="00522F64" w:rsidRPr="00B11EA4" w:rsidRDefault="00522F64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2400</w:t>
            </w:r>
          </w:p>
        </w:tc>
        <w:tc>
          <w:tcPr>
            <w:tcW w:w="814" w:type="dxa"/>
            <w:shd w:val="clear" w:color="auto" w:fill="D9D9D9"/>
            <w:vAlign w:val="center"/>
          </w:tcPr>
          <w:p w:rsidR="00522F64" w:rsidRPr="00B11EA4" w:rsidRDefault="00522F64" w:rsidP="008E31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12000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522F64" w:rsidRPr="00B11EA4" w:rsidRDefault="00522F64" w:rsidP="00855BBB">
            <w:pPr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522F64" w:rsidRPr="00B11EA4" w:rsidRDefault="00522F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2F6C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2.1.4 Jóvenes que reciben capacitación lab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ral.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Jóvenes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604A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1100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604A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1100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604A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1100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604A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1100</w:t>
            </w: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1100</w:t>
            </w: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5500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710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70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604A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2.2 Oferta de Servicios en 32 CPC ampliada y fortalecida incluyendo educación remedial y fo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mación laboral. 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78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710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70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2F6C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2.2.1 Jóvenes atendidos con servicios de deportes y cultura.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Jóvenes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78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11450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5200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5200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5200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5200</w:t>
            </w: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5200</w:t>
            </w: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26000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710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2F6C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2.2.2 Jóvenes que se benefician de las actividades escolares de aceleración y alfabetización.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Jóv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nes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5200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5200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5200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5200</w:t>
            </w: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5200</w:t>
            </w: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26000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54797A">
        <w:trPr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2.2.3 Jóvenes que reciben capacitación lab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ral.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Jóvenes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B11E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5100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5100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5100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5100</w:t>
            </w: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5100</w:t>
            </w: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25500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2.2.4 Sistema para la gestión, seguimiento y ev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luación del funcionamiento de los CPC impl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mentado y operando.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Sistema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2.2.5 Mediadores Comunitarios de los territorios beneficiarios del Programa capacitados y certif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cados en mediación de conflictos.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522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Mediadores</w:t>
            </w:r>
          </w:p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capacit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dos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B11E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80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80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80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80</w:t>
            </w: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80</w:t>
            </w: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400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2.2.6 Supervisores de los CPC capacitados y ce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tificados.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Supervis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60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60</w:t>
            </w: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60</w:t>
            </w: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300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485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2.3 Desarrollo e implementación de metodología para atención de jóvenes con adicciones </w:t>
            </w:r>
            <w:r w:rsidR="00A3753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al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l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cohol y drogas.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A85E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A85E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5F0F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503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2.3.1 Metodología para atención de  jóvenes con adicciones </w:t>
            </w:r>
            <w:r w:rsidR="00A3753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al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alcohol y drogas incluyendo una encuesta a </w:t>
            </w:r>
            <w:proofErr w:type="gramStart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usuarios desarrollada</w:t>
            </w:r>
            <w:proofErr w:type="gramEnd"/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Metodol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gía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Del="00CC47B6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Del="00CC47B6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Del="00CC47B6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Del="00CC47B6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Del="00CC47B6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Del="00CC47B6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Del="00CC47B6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Del="00CC47B6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Del="00CC47B6" w:rsidRDefault="009015B2" w:rsidP="00CC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350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rPr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2.3.2 Gestores de los CPC formados y certific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dos en la implementación de la </w:t>
            </w:r>
            <w:r w:rsidR="00A37534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metodología.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Gestore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Del="00CC47B6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Del="00CC47B6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Del="00CC47B6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Del="00CC47B6" w:rsidRDefault="00522F64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280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Del="00CC47B6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Del="00CC47B6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Del="00CC47B6" w:rsidRDefault="00522F64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  <w:r w:rsidR="009015B2" w:rsidRPr="00B11EA4">
              <w:rPr>
                <w:rFonts w:ascii="Times New Roman" w:hAnsi="Times New Roman"/>
                <w:sz w:val="20"/>
                <w:szCs w:val="20"/>
                <w:lang w:val="es-ES"/>
              </w:rPr>
              <w:t>80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Del="00CC47B6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744C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D7E7D" w:rsidRPr="00B11EA4" w:rsidTr="00B11EA4">
        <w:trPr>
          <w:trHeight w:val="70"/>
          <w:jc w:val="center"/>
        </w:trPr>
        <w:tc>
          <w:tcPr>
            <w:tcW w:w="14246" w:type="dxa"/>
            <w:gridSpan w:val="11"/>
            <w:shd w:val="clear" w:color="auto" w:fill="D9D9D9"/>
          </w:tcPr>
          <w:p w:rsidR="009D7E7D" w:rsidRPr="00B11EA4" w:rsidRDefault="009D7E7D" w:rsidP="00B11E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 xml:space="preserve">Componente 3: </w:t>
            </w:r>
            <w:r w:rsidRPr="00B11EA4">
              <w:rPr>
                <w:rFonts w:ascii="Times New Roman" w:hAnsi="Times New Roman"/>
                <w:b/>
                <w:spacing w:val="-6"/>
                <w:sz w:val="20"/>
                <w:szCs w:val="20"/>
                <w:u w:val="single"/>
                <w:lang w:val="es-ES"/>
              </w:rPr>
              <w:t xml:space="preserve"> </w:t>
            </w:r>
            <w:r w:rsidRPr="00B11EA4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>Modernización del Proceso de Resocialización</w:t>
            </w:r>
            <w:r w:rsidRPr="00B11EA4" w:rsidDel="00BF0E2F">
              <w:rPr>
                <w:rFonts w:ascii="Times New Roman" w:hAnsi="Times New Roman"/>
                <w:b/>
                <w:sz w:val="20"/>
                <w:szCs w:val="20"/>
                <w:u w:val="single"/>
                <w:lang w:val="es-ES"/>
              </w:rPr>
              <w:t xml:space="preserve"> </w:t>
            </w:r>
          </w:p>
        </w:tc>
      </w:tr>
      <w:tr w:rsidR="009015B2" w:rsidRPr="00B11EA4" w:rsidTr="00B11EA4">
        <w:trPr>
          <w:trHeight w:val="80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554F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3.1 Fortalecimiento del sistema de medidas soci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educativas.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Del="00CC47B6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Del="00CC47B6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Del="00CC47B6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Del="00CC47B6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710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744C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720133" w:rsidRPr="00B11EA4" w:rsidTr="00B11EA4">
        <w:trPr>
          <w:trHeight w:val="70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720133" w:rsidRPr="00B11EA4" w:rsidRDefault="00720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3.1.1 Centros Socioeducativos: 1 construido, 4 adecuados y todos los 5 equipados y operando.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720133" w:rsidRPr="00B11EA4" w:rsidRDefault="00720133" w:rsidP="002A7C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Centros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720133" w:rsidRPr="00B11EA4" w:rsidRDefault="00720133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34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720133" w:rsidRPr="00B11EA4" w:rsidRDefault="00720133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720133" w:rsidRPr="00B11EA4" w:rsidRDefault="00720133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4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720133" w:rsidRPr="00B11EA4" w:rsidRDefault="00720133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720133" w:rsidRPr="00B11EA4" w:rsidRDefault="00720133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720133" w:rsidRPr="00B11EA4" w:rsidRDefault="00720133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720133" w:rsidRPr="00B11EA4" w:rsidRDefault="00720133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720133" w:rsidRPr="00B11EA4" w:rsidRDefault="00720133" w:rsidP="00B164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720133" w:rsidRPr="00B11EA4" w:rsidRDefault="00720133" w:rsidP="002A7C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164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3.1.2  Funcionarios públicos capacitados y certif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cados en MSE en medio abierto.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2A7C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Funcion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rios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100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500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B164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2A7C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3.1.3 Auditoria de desempeño y propuesta de mejora de los acuerdos con municipios que ejec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tan MSE en medio abierto realizada.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Audit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rias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B164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2A7C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3B58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3.2 Apoyo a la resocialización de los conden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dos.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B164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2A7C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1F68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3.2.1 Centros APAC: 4 construidos, equipados y operando.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Centr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33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4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B164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2A7C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107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835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3.2.2 Sistema de Gestión de APAC desarrollado y operando.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Sistema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B164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2A7C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385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3B58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3.2.3 Infractores monitoreados con el sistema de vigilancia electrónica.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Infract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res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4000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1300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450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1750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B164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2A7C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385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3B58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3.2.4 Galpones para educación  y capacitación profesional de condenados construidos y equip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dos y operando en las unidades penitenci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rias.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Galpone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B164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2A7C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125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3B58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Cs/>
                <w:sz w:val="20"/>
                <w:szCs w:val="20"/>
                <w:lang w:val="es-ES"/>
              </w:rPr>
              <w:t xml:space="preserve">3.2.5  Infractores de delitos menores beneficiados con 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penas alternativas.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Infractor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9900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1100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1100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1100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1100</w:t>
            </w: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1100</w:t>
            </w: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5500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B164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2A7C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9015B2" w:rsidRPr="00B11EA4" w:rsidTr="00B11EA4">
        <w:trPr>
          <w:trHeight w:val="377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9015B2" w:rsidRPr="00B11EA4" w:rsidRDefault="009015B2" w:rsidP="00B11EA4">
            <w:pPr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bCs/>
                <w:sz w:val="20"/>
                <w:szCs w:val="20"/>
                <w:lang w:val="es-ES"/>
              </w:rPr>
              <w:t>3.2.6 Egresados de la prisión apoyados en su pr</w:t>
            </w:r>
            <w:r w:rsidRPr="00B11EA4">
              <w:rPr>
                <w:rFonts w:ascii="Times New Roman" w:hAnsi="Times New Roman"/>
                <w:bCs/>
                <w:sz w:val="20"/>
                <w:szCs w:val="20"/>
                <w:lang w:val="es-ES"/>
              </w:rPr>
              <w:t>o</w:t>
            </w:r>
            <w:r w:rsidRPr="00B11EA4">
              <w:rPr>
                <w:rFonts w:ascii="Times New Roman" w:hAnsi="Times New Roman"/>
                <w:bCs/>
                <w:sz w:val="20"/>
                <w:szCs w:val="20"/>
                <w:lang w:val="es-ES"/>
              </w:rPr>
              <w:t>ceso de inclusión social.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015B2" w:rsidRPr="00B11EA4" w:rsidRDefault="009015B2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Egres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a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dos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2845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1300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1300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1300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1300</w:t>
            </w:r>
          </w:p>
        </w:tc>
        <w:tc>
          <w:tcPr>
            <w:tcW w:w="639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1300</w:t>
            </w:r>
          </w:p>
        </w:tc>
        <w:tc>
          <w:tcPr>
            <w:tcW w:w="814" w:type="dxa"/>
            <w:shd w:val="clear" w:color="auto" w:fill="D9D9D9"/>
            <w:vAlign w:val="center"/>
          </w:tcPr>
          <w:p w:rsidR="009015B2" w:rsidRPr="00B11EA4" w:rsidRDefault="009015B2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6500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9015B2" w:rsidRPr="00B11EA4" w:rsidRDefault="009015B2" w:rsidP="00B164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9015B2" w:rsidRPr="00B11EA4" w:rsidRDefault="009015B2" w:rsidP="002A7C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  <w:tr w:rsidR="00720133" w:rsidRPr="001F0B2F" w:rsidTr="00B11EA4">
        <w:trPr>
          <w:trHeight w:val="278"/>
          <w:jc w:val="center"/>
        </w:trPr>
        <w:tc>
          <w:tcPr>
            <w:tcW w:w="4243" w:type="dxa"/>
            <w:shd w:val="clear" w:color="auto" w:fill="D9D9D9"/>
            <w:vAlign w:val="center"/>
          </w:tcPr>
          <w:p w:rsidR="00720133" w:rsidRPr="00B11EA4" w:rsidRDefault="00720133" w:rsidP="00270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3.3 Gestores del sistema socioeducativo y pen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i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tenciario capacitados y certificados en gestión por resultados. 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720133" w:rsidRPr="00B11EA4" w:rsidRDefault="00720133" w:rsidP="00855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Gestore</w:t>
            </w: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720133" w:rsidRPr="00B11EA4" w:rsidRDefault="00720133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720133" w:rsidRPr="00B11EA4" w:rsidRDefault="00720133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720133" w:rsidRPr="00B11EA4" w:rsidRDefault="00720133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300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720133" w:rsidRPr="00B11EA4" w:rsidRDefault="00720133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720133" w:rsidRPr="00B11EA4" w:rsidRDefault="00720133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639" w:type="dxa"/>
            <w:shd w:val="clear" w:color="auto" w:fill="D9D9D9"/>
            <w:vAlign w:val="center"/>
          </w:tcPr>
          <w:p w:rsidR="00720133" w:rsidRPr="00B11EA4" w:rsidRDefault="00720133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814" w:type="dxa"/>
            <w:shd w:val="clear" w:color="auto" w:fill="D9D9D9"/>
            <w:vAlign w:val="center"/>
          </w:tcPr>
          <w:p w:rsidR="00720133" w:rsidRPr="00B11EA4" w:rsidRDefault="00720133" w:rsidP="00F258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300</w:t>
            </w:r>
          </w:p>
        </w:tc>
        <w:tc>
          <w:tcPr>
            <w:tcW w:w="1954" w:type="dxa"/>
            <w:shd w:val="clear" w:color="auto" w:fill="D9D9D9"/>
            <w:vAlign w:val="center"/>
          </w:tcPr>
          <w:p w:rsidR="00720133" w:rsidRPr="00B11EA4" w:rsidRDefault="00720133" w:rsidP="00B164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11EA4">
              <w:rPr>
                <w:rFonts w:ascii="Times New Roman" w:hAnsi="Times New Roman"/>
                <w:sz w:val="20"/>
                <w:szCs w:val="20"/>
                <w:lang w:val="es-ES"/>
              </w:rPr>
              <w:t>UGP-SEDS</w:t>
            </w:r>
          </w:p>
        </w:tc>
        <w:tc>
          <w:tcPr>
            <w:tcW w:w="1736" w:type="dxa"/>
            <w:shd w:val="clear" w:color="auto" w:fill="D9D9D9"/>
          </w:tcPr>
          <w:p w:rsidR="00720133" w:rsidRPr="00B11EA4" w:rsidRDefault="00720133" w:rsidP="002A7C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</w:tbl>
    <w:p w:rsidR="002A7CDE" w:rsidRPr="001F0B2F" w:rsidRDefault="002A7CDE" w:rsidP="0002329E">
      <w:pPr>
        <w:jc w:val="both"/>
        <w:rPr>
          <w:rFonts w:ascii="Times New Roman" w:hAnsi="Times New Roman"/>
          <w:sz w:val="2"/>
          <w:szCs w:val="2"/>
          <w:lang w:val="es-ES"/>
        </w:rPr>
      </w:pPr>
    </w:p>
    <w:sectPr w:rsidR="002A7CDE" w:rsidRPr="001F0B2F" w:rsidSect="004525C1">
      <w:headerReference w:type="default" r:id="rId10"/>
      <w:pgSz w:w="15840" w:h="12240" w:orient="landscape"/>
      <w:pgMar w:top="1440" w:right="1800" w:bottom="1440" w:left="1800" w:header="54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F64" w:rsidRDefault="00522F64" w:rsidP="00B66CA2">
      <w:pPr>
        <w:spacing w:after="0" w:line="240" w:lineRule="auto"/>
      </w:pPr>
      <w:r>
        <w:separator/>
      </w:r>
    </w:p>
  </w:endnote>
  <w:endnote w:type="continuationSeparator" w:id="0">
    <w:p w:rsidR="00522F64" w:rsidRDefault="00522F64" w:rsidP="00B66CA2">
      <w:pPr>
        <w:spacing w:after="0" w:line="240" w:lineRule="auto"/>
      </w:pPr>
      <w:r>
        <w:continuationSeparator/>
      </w:r>
    </w:p>
  </w:endnote>
  <w:endnote w:type="continuationNotice" w:id="1">
    <w:p w:rsidR="00522F64" w:rsidRDefault="00522F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F64" w:rsidRDefault="00522F64" w:rsidP="00B66CA2">
      <w:pPr>
        <w:spacing w:after="0" w:line="240" w:lineRule="auto"/>
      </w:pPr>
      <w:r>
        <w:separator/>
      </w:r>
    </w:p>
  </w:footnote>
  <w:footnote w:type="continuationSeparator" w:id="0">
    <w:p w:rsidR="00522F64" w:rsidRDefault="00522F64" w:rsidP="00B66CA2">
      <w:pPr>
        <w:spacing w:after="0" w:line="240" w:lineRule="auto"/>
      </w:pPr>
      <w:r>
        <w:continuationSeparator/>
      </w:r>
    </w:p>
  </w:footnote>
  <w:footnote w:type="continuationNotice" w:id="1">
    <w:p w:rsidR="00522F64" w:rsidRDefault="00522F64">
      <w:pPr>
        <w:spacing w:after="0" w:line="240" w:lineRule="auto"/>
      </w:pPr>
    </w:p>
  </w:footnote>
  <w:footnote w:id="2">
    <w:p w:rsidR="00A57EAB" w:rsidRDefault="00A57EA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85D22">
        <w:rPr>
          <w:rFonts w:ascii="Times New Roman" w:hAnsi="Times New Roman"/>
          <w:lang w:val="es-AR"/>
        </w:rPr>
        <w:t xml:space="preserve">Las recomendaciones de los Foros Comunitarios </w:t>
      </w:r>
      <w:r>
        <w:rPr>
          <w:rFonts w:ascii="Times New Roman" w:hAnsi="Times New Roman"/>
          <w:lang w:val="es-AR"/>
        </w:rPr>
        <w:t>es un</w:t>
      </w:r>
      <w:r w:rsidRPr="00885D22">
        <w:rPr>
          <w:rFonts w:ascii="Times New Roman" w:hAnsi="Times New Roman"/>
          <w:lang w:val="es-AR"/>
        </w:rPr>
        <w:t xml:space="preserve"> indicador de prevención efectiva en la medida que permiten indicar a la policía donde los serv</w:t>
      </w:r>
      <w:r w:rsidRPr="00885D22">
        <w:rPr>
          <w:rFonts w:ascii="Times New Roman" w:hAnsi="Times New Roman"/>
          <w:lang w:val="es-AR"/>
        </w:rPr>
        <w:t>i</w:t>
      </w:r>
      <w:r w:rsidRPr="00885D22">
        <w:rPr>
          <w:rFonts w:ascii="Times New Roman" w:hAnsi="Times New Roman"/>
          <w:lang w:val="es-AR"/>
        </w:rPr>
        <w:t>cios de seguridad son más requeridos para evitar el delito. De allí que acompañar el cumplimiento de sus recomendaciones resulta importante</w:t>
      </w:r>
      <w:r>
        <w:rPr>
          <w:rFonts w:ascii="Times New Roman" w:hAnsi="Times New Roman"/>
          <w:lang w:val="es-AR"/>
        </w:rPr>
        <w:t>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64" w:rsidRPr="00CF6D87" w:rsidRDefault="00522F64" w:rsidP="00CF6D87">
    <w:pPr>
      <w:pStyle w:val="Header"/>
      <w:spacing w:after="0" w:line="240" w:lineRule="auto"/>
      <w:jc w:val="right"/>
      <w:rPr>
        <w:rFonts w:ascii="Times New Roman" w:hAnsi="Times New Roman"/>
        <w:sz w:val="20"/>
        <w:szCs w:val="20"/>
        <w:lang w:val="pt-BR"/>
      </w:rPr>
    </w:pPr>
    <w:r>
      <w:rPr>
        <w:rFonts w:ascii="Times New Roman" w:hAnsi="Times New Roman"/>
        <w:sz w:val="20"/>
        <w:szCs w:val="20"/>
        <w:lang w:val="pt-BR"/>
      </w:rPr>
      <w:t>Enlace</w:t>
    </w:r>
    <w:r w:rsidRPr="00CF6D87">
      <w:rPr>
        <w:rFonts w:ascii="Times New Roman" w:hAnsi="Times New Roman"/>
        <w:sz w:val="20"/>
        <w:szCs w:val="20"/>
        <w:lang w:val="pt-BR"/>
      </w:rPr>
      <w:t xml:space="preserve"> – BR-L1</w:t>
    </w:r>
    <w:r>
      <w:rPr>
        <w:rFonts w:ascii="Times New Roman" w:hAnsi="Times New Roman"/>
        <w:sz w:val="20"/>
        <w:szCs w:val="20"/>
        <w:lang w:val="pt-BR"/>
      </w:rPr>
      <w:t>417</w:t>
    </w:r>
  </w:p>
  <w:p w:rsidR="00522F64" w:rsidRPr="00CF6D87" w:rsidRDefault="00522F64" w:rsidP="00CF6D87">
    <w:pPr>
      <w:pStyle w:val="Header"/>
      <w:spacing w:after="0" w:line="240" w:lineRule="auto"/>
      <w:jc w:val="right"/>
      <w:rPr>
        <w:rFonts w:ascii="Times New Roman" w:hAnsi="Times New Roman"/>
        <w:sz w:val="20"/>
        <w:szCs w:val="20"/>
        <w:lang w:val="pt-BR"/>
      </w:rPr>
    </w:pPr>
    <w:r w:rsidRPr="00CF6D87">
      <w:rPr>
        <w:rFonts w:ascii="Times New Roman" w:hAnsi="Times New Roman"/>
        <w:sz w:val="20"/>
        <w:szCs w:val="20"/>
        <w:lang w:val="pt-BR"/>
      </w:rPr>
      <w:t xml:space="preserve">Página </w:t>
    </w:r>
    <w:r w:rsidRPr="00CF6D87">
      <w:rPr>
        <w:rFonts w:ascii="Times New Roman" w:hAnsi="Times New Roman"/>
        <w:b/>
        <w:sz w:val="20"/>
        <w:szCs w:val="20"/>
      </w:rPr>
      <w:fldChar w:fldCharType="begin"/>
    </w:r>
    <w:r w:rsidRPr="00CF6D87">
      <w:rPr>
        <w:rFonts w:ascii="Times New Roman" w:hAnsi="Times New Roman"/>
        <w:b/>
        <w:sz w:val="20"/>
        <w:szCs w:val="20"/>
        <w:lang w:val="pt-BR"/>
      </w:rPr>
      <w:instrText xml:space="preserve"> PAGE </w:instrText>
    </w:r>
    <w:r w:rsidRPr="00CF6D87">
      <w:rPr>
        <w:rFonts w:ascii="Times New Roman" w:hAnsi="Times New Roman"/>
        <w:b/>
        <w:sz w:val="20"/>
        <w:szCs w:val="20"/>
      </w:rPr>
      <w:fldChar w:fldCharType="separate"/>
    </w:r>
    <w:r w:rsidR="00A57EAB">
      <w:rPr>
        <w:rFonts w:ascii="Times New Roman" w:hAnsi="Times New Roman"/>
        <w:b/>
        <w:noProof/>
        <w:sz w:val="20"/>
        <w:szCs w:val="20"/>
        <w:lang w:val="pt-BR"/>
      </w:rPr>
      <w:t>2</w:t>
    </w:r>
    <w:r w:rsidRPr="00CF6D87">
      <w:rPr>
        <w:rFonts w:ascii="Times New Roman" w:hAnsi="Times New Roman"/>
        <w:b/>
        <w:sz w:val="20"/>
        <w:szCs w:val="20"/>
      </w:rPr>
      <w:fldChar w:fldCharType="end"/>
    </w:r>
    <w:r w:rsidRPr="00CF6D87">
      <w:rPr>
        <w:rFonts w:ascii="Times New Roman" w:hAnsi="Times New Roman"/>
        <w:sz w:val="20"/>
        <w:szCs w:val="20"/>
        <w:lang w:val="pt-BR"/>
      </w:rPr>
      <w:t xml:space="preserve"> de </w:t>
    </w:r>
    <w:r w:rsidRPr="00CF6D87">
      <w:rPr>
        <w:rFonts w:ascii="Times New Roman" w:hAnsi="Times New Roman"/>
        <w:b/>
        <w:sz w:val="20"/>
        <w:szCs w:val="20"/>
      </w:rPr>
      <w:fldChar w:fldCharType="begin"/>
    </w:r>
    <w:r w:rsidRPr="00CF6D87">
      <w:rPr>
        <w:rFonts w:ascii="Times New Roman" w:hAnsi="Times New Roman"/>
        <w:b/>
        <w:sz w:val="20"/>
        <w:szCs w:val="20"/>
        <w:lang w:val="pt-BR"/>
      </w:rPr>
      <w:instrText xml:space="preserve"> NUMPAGES  </w:instrText>
    </w:r>
    <w:r w:rsidRPr="00CF6D87">
      <w:rPr>
        <w:rFonts w:ascii="Times New Roman" w:hAnsi="Times New Roman"/>
        <w:b/>
        <w:sz w:val="20"/>
        <w:szCs w:val="20"/>
      </w:rPr>
      <w:fldChar w:fldCharType="separate"/>
    </w:r>
    <w:r w:rsidR="00A57EAB">
      <w:rPr>
        <w:rFonts w:ascii="Times New Roman" w:hAnsi="Times New Roman"/>
        <w:b/>
        <w:noProof/>
        <w:sz w:val="20"/>
        <w:szCs w:val="20"/>
        <w:lang w:val="pt-BR"/>
      </w:rPr>
      <w:t>12</w:t>
    </w:r>
    <w:r w:rsidRPr="00CF6D87">
      <w:rPr>
        <w:rFonts w:ascii="Times New Roman" w:hAnsi="Times New Roman"/>
        <w:b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FC9"/>
    <w:multiLevelType w:val="multilevel"/>
    <w:tmpl w:val="D966ABC2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firstLine="288"/>
      </w:pPr>
      <w:rPr>
        <w:rFonts w:cs="Times New Roman" w:hint="default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">
    <w:nsid w:val="20C60686"/>
    <w:multiLevelType w:val="multilevel"/>
    <w:tmpl w:val="FCD298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4B053575"/>
    <w:multiLevelType w:val="multilevel"/>
    <w:tmpl w:val="22EC01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</w:rPr>
    </w:lvl>
  </w:abstractNum>
  <w:num w:numId="1">
    <w:abstractNumId w:val="0"/>
  </w:num>
  <w:num w:numId="2">
    <w:abstractNumId w:val="2"/>
  </w:num>
  <w:num w:numId="3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59"/>
    <w:rsid w:val="00003CF4"/>
    <w:rsid w:val="00005605"/>
    <w:rsid w:val="00005E95"/>
    <w:rsid w:val="00006C06"/>
    <w:rsid w:val="00007D4B"/>
    <w:rsid w:val="00010245"/>
    <w:rsid w:val="00011432"/>
    <w:rsid w:val="00012DB9"/>
    <w:rsid w:val="00014D93"/>
    <w:rsid w:val="00014FC4"/>
    <w:rsid w:val="000155E4"/>
    <w:rsid w:val="00017639"/>
    <w:rsid w:val="000222CD"/>
    <w:rsid w:val="000224E5"/>
    <w:rsid w:val="00022823"/>
    <w:rsid w:val="0002329E"/>
    <w:rsid w:val="00025798"/>
    <w:rsid w:val="00025853"/>
    <w:rsid w:val="000260FE"/>
    <w:rsid w:val="00026183"/>
    <w:rsid w:val="00026E2F"/>
    <w:rsid w:val="0002715C"/>
    <w:rsid w:val="000301B6"/>
    <w:rsid w:val="000312C0"/>
    <w:rsid w:val="000318CC"/>
    <w:rsid w:val="00035F8B"/>
    <w:rsid w:val="00036E5E"/>
    <w:rsid w:val="00037DD0"/>
    <w:rsid w:val="000405F2"/>
    <w:rsid w:val="00040DCB"/>
    <w:rsid w:val="00044778"/>
    <w:rsid w:val="00045C9E"/>
    <w:rsid w:val="00046337"/>
    <w:rsid w:val="0004769E"/>
    <w:rsid w:val="00050BE6"/>
    <w:rsid w:val="00051067"/>
    <w:rsid w:val="000517EC"/>
    <w:rsid w:val="00051DEC"/>
    <w:rsid w:val="00052055"/>
    <w:rsid w:val="0005219E"/>
    <w:rsid w:val="000537E0"/>
    <w:rsid w:val="00054CC7"/>
    <w:rsid w:val="0005576E"/>
    <w:rsid w:val="00056919"/>
    <w:rsid w:val="000604B3"/>
    <w:rsid w:val="0006235E"/>
    <w:rsid w:val="00062548"/>
    <w:rsid w:val="000629F6"/>
    <w:rsid w:val="000631E8"/>
    <w:rsid w:val="000642B2"/>
    <w:rsid w:val="00064A9C"/>
    <w:rsid w:val="000659AA"/>
    <w:rsid w:val="000668AF"/>
    <w:rsid w:val="00066C7A"/>
    <w:rsid w:val="00066F74"/>
    <w:rsid w:val="0007100B"/>
    <w:rsid w:val="000717A6"/>
    <w:rsid w:val="000719F3"/>
    <w:rsid w:val="00071F55"/>
    <w:rsid w:val="0007283F"/>
    <w:rsid w:val="000738B2"/>
    <w:rsid w:val="00074981"/>
    <w:rsid w:val="00076018"/>
    <w:rsid w:val="00076ED6"/>
    <w:rsid w:val="000776DD"/>
    <w:rsid w:val="000814CE"/>
    <w:rsid w:val="00081559"/>
    <w:rsid w:val="00081565"/>
    <w:rsid w:val="000830D3"/>
    <w:rsid w:val="0008435A"/>
    <w:rsid w:val="00084385"/>
    <w:rsid w:val="0008488D"/>
    <w:rsid w:val="000849F4"/>
    <w:rsid w:val="00084D57"/>
    <w:rsid w:val="00084E53"/>
    <w:rsid w:val="000850E9"/>
    <w:rsid w:val="0008516F"/>
    <w:rsid w:val="000857DC"/>
    <w:rsid w:val="0008606F"/>
    <w:rsid w:val="00087645"/>
    <w:rsid w:val="0008791E"/>
    <w:rsid w:val="00087A5A"/>
    <w:rsid w:val="000927BF"/>
    <w:rsid w:val="00095E5D"/>
    <w:rsid w:val="000972F2"/>
    <w:rsid w:val="00097BF9"/>
    <w:rsid w:val="000A014E"/>
    <w:rsid w:val="000A0664"/>
    <w:rsid w:val="000A0AFE"/>
    <w:rsid w:val="000A156E"/>
    <w:rsid w:val="000A163A"/>
    <w:rsid w:val="000A1DD6"/>
    <w:rsid w:val="000A4955"/>
    <w:rsid w:val="000A5189"/>
    <w:rsid w:val="000A58D6"/>
    <w:rsid w:val="000A5E57"/>
    <w:rsid w:val="000A62AC"/>
    <w:rsid w:val="000A73D2"/>
    <w:rsid w:val="000A750F"/>
    <w:rsid w:val="000B219E"/>
    <w:rsid w:val="000B33D1"/>
    <w:rsid w:val="000B4E13"/>
    <w:rsid w:val="000B5895"/>
    <w:rsid w:val="000B6147"/>
    <w:rsid w:val="000C06A9"/>
    <w:rsid w:val="000C1D56"/>
    <w:rsid w:val="000C316D"/>
    <w:rsid w:val="000C5429"/>
    <w:rsid w:val="000C6560"/>
    <w:rsid w:val="000C762A"/>
    <w:rsid w:val="000D4951"/>
    <w:rsid w:val="000D7176"/>
    <w:rsid w:val="000E41B6"/>
    <w:rsid w:val="000E5153"/>
    <w:rsid w:val="000E5A47"/>
    <w:rsid w:val="000E62C1"/>
    <w:rsid w:val="000E6502"/>
    <w:rsid w:val="000E6872"/>
    <w:rsid w:val="000F0B3B"/>
    <w:rsid w:val="000F1571"/>
    <w:rsid w:val="000F2C4C"/>
    <w:rsid w:val="000F3D24"/>
    <w:rsid w:val="000F4101"/>
    <w:rsid w:val="000F4AF2"/>
    <w:rsid w:val="000F5474"/>
    <w:rsid w:val="0010026C"/>
    <w:rsid w:val="0010047B"/>
    <w:rsid w:val="00105EBC"/>
    <w:rsid w:val="001066AF"/>
    <w:rsid w:val="00107046"/>
    <w:rsid w:val="00111D3C"/>
    <w:rsid w:val="001135C1"/>
    <w:rsid w:val="00113710"/>
    <w:rsid w:val="00113E8B"/>
    <w:rsid w:val="0011501A"/>
    <w:rsid w:val="00115EA0"/>
    <w:rsid w:val="00117A23"/>
    <w:rsid w:val="001224D2"/>
    <w:rsid w:val="0012354F"/>
    <w:rsid w:val="00123813"/>
    <w:rsid w:val="00124369"/>
    <w:rsid w:val="001251F0"/>
    <w:rsid w:val="001260F2"/>
    <w:rsid w:val="001306B7"/>
    <w:rsid w:val="0013132F"/>
    <w:rsid w:val="00132870"/>
    <w:rsid w:val="00135F57"/>
    <w:rsid w:val="001377CE"/>
    <w:rsid w:val="00141B5E"/>
    <w:rsid w:val="00141E82"/>
    <w:rsid w:val="00143833"/>
    <w:rsid w:val="001441E8"/>
    <w:rsid w:val="00144B7F"/>
    <w:rsid w:val="001472B4"/>
    <w:rsid w:val="001516B9"/>
    <w:rsid w:val="00151B1C"/>
    <w:rsid w:val="0015341A"/>
    <w:rsid w:val="0016356A"/>
    <w:rsid w:val="00163B96"/>
    <w:rsid w:val="001653D9"/>
    <w:rsid w:val="001704D3"/>
    <w:rsid w:val="0017218D"/>
    <w:rsid w:val="00175F88"/>
    <w:rsid w:val="0017638F"/>
    <w:rsid w:val="00176A0A"/>
    <w:rsid w:val="00176FBF"/>
    <w:rsid w:val="00177FDE"/>
    <w:rsid w:val="00180CFE"/>
    <w:rsid w:val="00182549"/>
    <w:rsid w:val="00183278"/>
    <w:rsid w:val="001842E6"/>
    <w:rsid w:val="0018489B"/>
    <w:rsid w:val="00185FF4"/>
    <w:rsid w:val="0018711F"/>
    <w:rsid w:val="0019237A"/>
    <w:rsid w:val="00192505"/>
    <w:rsid w:val="00192708"/>
    <w:rsid w:val="0019341D"/>
    <w:rsid w:val="00195981"/>
    <w:rsid w:val="001966E8"/>
    <w:rsid w:val="001968BB"/>
    <w:rsid w:val="001A1ED4"/>
    <w:rsid w:val="001A290C"/>
    <w:rsid w:val="001A504E"/>
    <w:rsid w:val="001A57A1"/>
    <w:rsid w:val="001A78F4"/>
    <w:rsid w:val="001B0045"/>
    <w:rsid w:val="001B1947"/>
    <w:rsid w:val="001B50DA"/>
    <w:rsid w:val="001B7D20"/>
    <w:rsid w:val="001C0245"/>
    <w:rsid w:val="001C2ECE"/>
    <w:rsid w:val="001C5C7E"/>
    <w:rsid w:val="001D21D6"/>
    <w:rsid w:val="001D4DE9"/>
    <w:rsid w:val="001D55E3"/>
    <w:rsid w:val="001D5953"/>
    <w:rsid w:val="001D6542"/>
    <w:rsid w:val="001D79A9"/>
    <w:rsid w:val="001E2123"/>
    <w:rsid w:val="001E266A"/>
    <w:rsid w:val="001E2C8B"/>
    <w:rsid w:val="001E3335"/>
    <w:rsid w:val="001E33D4"/>
    <w:rsid w:val="001E3CFD"/>
    <w:rsid w:val="001E63B2"/>
    <w:rsid w:val="001F0B2F"/>
    <w:rsid w:val="001F2B11"/>
    <w:rsid w:val="001F3FE1"/>
    <w:rsid w:val="001F5208"/>
    <w:rsid w:val="001F605D"/>
    <w:rsid w:val="001F6803"/>
    <w:rsid w:val="001F7902"/>
    <w:rsid w:val="00200573"/>
    <w:rsid w:val="0020145D"/>
    <w:rsid w:val="0020181A"/>
    <w:rsid w:val="00201ACD"/>
    <w:rsid w:val="00202AA0"/>
    <w:rsid w:val="00204014"/>
    <w:rsid w:val="002049DC"/>
    <w:rsid w:val="00206965"/>
    <w:rsid w:val="00207CEE"/>
    <w:rsid w:val="00210341"/>
    <w:rsid w:val="0021113D"/>
    <w:rsid w:val="002136E3"/>
    <w:rsid w:val="00217084"/>
    <w:rsid w:val="00217446"/>
    <w:rsid w:val="002177D3"/>
    <w:rsid w:val="00223AF3"/>
    <w:rsid w:val="00223D9D"/>
    <w:rsid w:val="00225BAB"/>
    <w:rsid w:val="0022614F"/>
    <w:rsid w:val="0022745B"/>
    <w:rsid w:val="00227C0A"/>
    <w:rsid w:val="0023028D"/>
    <w:rsid w:val="00230593"/>
    <w:rsid w:val="00236450"/>
    <w:rsid w:val="00240094"/>
    <w:rsid w:val="002422DD"/>
    <w:rsid w:val="002428A0"/>
    <w:rsid w:val="002438FB"/>
    <w:rsid w:val="00243DC2"/>
    <w:rsid w:val="0024716E"/>
    <w:rsid w:val="0024765E"/>
    <w:rsid w:val="00251025"/>
    <w:rsid w:val="00253037"/>
    <w:rsid w:val="00255B85"/>
    <w:rsid w:val="0025623A"/>
    <w:rsid w:val="00256D10"/>
    <w:rsid w:val="002617DF"/>
    <w:rsid w:val="0026340F"/>
    <w:rsid w:val="0026404C"/>
    <w:rsid w:val="00264C1D"/>
    <w:rsid w:val="002658DE"/>
    <w:rsid w:val="00267FC2"/>
    <w:rsid w:val="00270EDB"/>
    <w:rsid w:val="00271455"/>
    <w:rsid w:val="0027256A"/>
    <w:rsid w:val="0027358C"/>
    <w:rsid w:val="00273696"/>
    <w:rsid w:val="00273A35"/>
    <w:rsid w:val="00273D35"/>
    <w:rsid w:val="0027579D"/>
    <w:rsid w:val="0028088A"/>
    <w:rsid w:val="00280972"/>
    <w:rsid w:val="002810DF"/>
    <w:rsid w:val="002821D8"/>
    <w:rsid w:val="002830CC"/>
    <w:rsid w:val="0028414E"/>
    <w:rsid w:val="00286B0A"/>
    <w:rsid w:val="00286D8C"/>
    <w:rsid w:val="00292281"/>
    <w:rsid w:val="002922E5"/>
    <w:rsid w:val="002928AA"/>
    <w:rsid w:val="002929D2"/>
    <w:rsid w:val="002944C0"/>
    <w:rsid w:val="00296DB1"/>
    <w:rsid w:val="002978DF"/>
    <w:rsid w:val="00297BFE"/>
    <w:rsid w:val="002A244F"/>
    <w:rsid w:val="002A31D0"/>
    <w:rsid w:val="002A375D"/>
    <w:rsid w:val="002A4142"/>
    <w:rsid w:val="002A69ED"/>
    <w:rsid w:val="002A7725"/>
    <w:rsid w:val="002A7CDE"/>
    <w:rsid w:val="002B1AA4"/>
    <w:rsid w:val="002B2CCE"/>
    <w:rsid w:val="002B503A"/>
    <w:rsid w:val="002B7B3E"/>
    <w:rsid w:val="002C0480"/>
    <w:rsid w:val="002C407E"/>
    <w:rsid w:val="002C7408"/>
    <w:rsid w:val="002D220C"/>
    <w:rsid w:val="002D2AE9"/>
    <w:rsid w:val="002D2E51"/>
    <w:rsid w:val="002D3295"/>
    <w:rsid w:val="002D61F4"/>
    <w:rsid w:val="002D741B"/>
    <w:rsid w:val="002E0535"/>
    <w:rsid w:val="002E0AB6"/>
    <w:rsid w:val="002E2F6F"/>
    <w:rsid w:val="002E5AA7"/>
    <w:rsid w:val="002E748A"/>
    <w:rsid w:val="002E7D00"/>
    <w:rsid w:val="002F005E"/>
    <w:rsid w:val="002F1ACE"/>
    <w:rsid w:val="002F2342"/>
    <w:rsid w:val="002F3344"/>
    <w:rsid w:val="002F4C16"/>
    <w:rsid w:val="002F5068"/>
    <w:rsid w:val="002F63B5"/>
    <w:rsid w:val="002F697D"/>
    <w:rsid w:val="002F6C63"/>
    <w:rsid w:val="002F7CA7"/>
    <w:rsid w:val="002F7D44"/>
    <w:rsid w:val="00300B8E"/>
    <w:rsid w:val="00300C59"/>
    <w:rsid w:val="00302448"/>
    <w:rsid w:val="00303184"/>
    <w:rsid w:val="00304166"/>
    <w:rsid w:val="00305B7F"/>
    <w:rsid w:val="00305C40"/>
    <w:rsid w:val="00306218"/>
    <w:rsid w:val="003072D8"/>
    <w:rsid w:val="003074C6"/>
    <w:rsid w:val="00310C03"/>
    <w:rsid w:val="00310FA9"/>
    <w:rsid w:val="00311E5F"/>
    <w:rsid w:val="0031561C"/>
    <w:rsid w:val="003163FF"/>
    <w:rsid w:val="003179FB"/>
    <w:rsid w:val="003258F3"/>
    <w:rsid w:val="0032669A"/>
    <w:rsid w:val="00326CC8"/>
    <w:rsid w:val="00330F82"/>
    <w:rsid w:val="0033101B"/>
    <w:rsid w:val="003336E1"/>
    <w:rsid w:val="00333DCF"/>
    <w:rsid w:val="003370C7"/>
    <w:rsid w:val="00340B9C"/>
    <w:rsid w:val="00341529"/>
    <w:rsid w:val="00342101"/>
    <w:rsid w:val="003428E9"/>
    <w:rsid w:val="00342F24"/>
    <w:rsid w:val="00345AE4"/>
    <w:rsid w:val="0034601F"/>
    <w:rsid w:val="003466FF"/>
    <w:rsid w:val="00346A02"/>
    <w:rsid w:val="00347C33"/>
    <w:rsid w:val="0035003E"/>
    <w:rsid w:val="0035079E"/>
    <w:rsid w:val="003507CF"/>
    <w:rsid w:val="00350D5E"/>
    <w:rsid w:val="00351528"/>
    <w:rsid w:val="0035155A"/>
    <w:rsid w:val="00351EC7"/>
    <w:rsid w:val="00352F8F"/>
    <w:rsid w:val="00354A02"/>
    <w:rsid w:val="00355831"/>
    <w:rsid w:val="0035690D"/>
    <w:rsid w:val="00357AA4"/>
    <w:rsid w:val="00360E06"/>
    <w:rsid w:val="003631BB"/>
    <w:rsid w:val="00363A87"/>
    <w:rsid w:val="00365364"/>
    <w:rsid w:val="00367430"/>
    <w:rsid w:val="00367BE6"/>
    <w:rsid w:val="00373415"/>
    <w:rsid w:val="00374131"/>
    <w:rsid w:val="003741BF"/>
    <w:rsid w:val="0037638F"/>
    <w:rsid w:val="00376740"/>
    <w:rsid w:val="00381A6C"/>
    <w:rsid w:val="00381F66"/>
    <w:rsid w:val="003822EF"/>
    <w:rsid w:val="00385690"/>
    <w:rsid w:val="00385CD9"/>
    <w:rsid w:val="00385D92"/>
    <w:rsid w:val="00387F83"/>
    <w:rsid w:val="003931D7"/>
    <w:rsid w:val="00394512"/>
    <w:rsid w:val="0039492F"/>
    <w:rsid w:val="00396E90"/>
    <w:rsid w:val="003971C6"/>
    <w:rsid w:val="00397CA1"/>
    <w:rsid w:val="003A018A"/>
    <w:rsid w:val="003A2058"/>
    <w:rsid w:val="003A2303"/>
    <w:rsid w:val="003A3074"/>
    <w:rsid w:val="003A5287"/>
    <w:rsid w:val="003A5A6C"/>
    <w:rsid w:val="003A7709"/>
    <w:rsid w:val="003B1349"/>
    <w:rsid w:val="003B19E1"/>
    <w:rsid w:val="003B1A8D"/>
    <w:rsid w:val="003B4026"/>
    <w:rsid w:val="003B4547"/>
    <w:rsid w:val="003B4B98"/>
    <w:rsid w:val="003B5703"/>
    <w:rsid w:val="003B58BF"/>
    <w:rsid w:val="003B5BB2"/>
    <w:rsid w:val="003B6A72"/>
    <w:rsid w:val="003C00AF"/>
    <w:rsid w:val="003C37E5"/>
    <w:rsid w:val="003C4079"/>
    <w:rsid w:val="003C5EF0"/>
    <w:rsid w:val="003D18CF"/>
    <w:rsid w:val="003D372B"/>
    <w:rsid w:val="003D3ACC"/>
    <w:rsid w:val="003D4978"/>
    <w:rsid w:val="003D4B41"/>
    <w:rsid w:val="003D4B6F"/>
    <w:rsid w:val="003D53CA"/>
    <w:rsid w:val="003D7192"/>
    <w:rsid w:val="003D7C81"/>
    <w:rsid w:val="003E3D0F"/>
    <w:rsid w:val="003E76F3"/>
    <w:rsid w:val="003F2A4C"/>
    <w:rsid w:val="003F323B"/>
    <w:rsid w:val="003F4505"/>
    <w:rsid w:val="003F4557"/>
    <w:rsid w:val="003F4687"/>
    <w:rsid w:val="003F7174"/>
    <w:rsid w:val="0040075C"/>
    <w:rsid w:val="00402521"/>
    <w:rsid w:val="0040560D"/>
    <w:rsid w:val="004058FE"/>
    <w:rsid w:val="00410D81"/>
    <w:rsid w:val="0041220C"/>
    <w:rsid w:val="00413FFF"/>
    <w:rsid w:val="004148AA"/>
    <w:rsid w:val="00415811"/>
    <w:rsid w:val="0041582A"/>
    <w:rsid w:val="00420F0D"/>
    <w:rsid w:val="004220D3"/>
    <w:rsid w:val="00422683"/>
    <w:rsid w:val="00422B9F"/>
    <w:rsid w:val="00422E82"/>
    <w:rsid w:val="00423302"/>
    <w:rsid w:val="00423A8D"/>
    <w:rsid w:val="00424185"/>
    <w:rsid w:val="004317AA"/>
    <w:rsid w:val="00434F8F"/>
    <w:rsid w:val="00435CBB"/>
    <w:rsid w:val="004414C5"/>
    <w:rsid w:val="00442420"/>
    <w:rsid w:val="0044255D"/>
    <w:rsid w:val="004449B4"/>
    <w:rsid w:val="0044539C"/>
    <w:rsid w:val="00450B4F"/>
    <w:rsid w:val="00451DE8"/>
    <w:rsid w:val="004521D7"/>
    <w:rsid w:val="0045230D"/>
    <w:rsid w:val="004525C1"/>
    <w:rsid w:val="00452E4A"/>
    <w:rsid w:val="004537ED"/>
    <w:rsid w:val="00455E43"/>
    <w:rsid w:val="004577EF"/>
    <w:rsid w:val="0046023C"/>
    <w:rsid w:val="00461D67"/>
    <w:rsid w:val="004624D8"/>
    <w:rsid w:val="0046281F"/>
    <w:rsid w:val="00464667"/>
    <w:rsid w:val="0046654B"/>
    <w:rsid w:val="00466F62"/>
    <w:rsid w:val="004704A5"/>
    <w:rsid w:val="004704F1"/>
    <w:rsid w:val="004725EC"/>
    <w:rsid w:val="0047514C"/>
    <w:rsid w:val="00475C94"/>
    <w:rsid w:val="004810B8"/>
    <w:rsid w:val="00481525"/>
    <w:rsid w:val="00481563"/>
    <w:rsid w:val="00484588"/>
    <w:rsid w:val="00485C0D"/>
    <w:rsid w:val="00487D26"/>
    <w:rsid w:val="00490911"/>
    <w:rsid w:val="00491C10"/>
    <w:rsid w:val="00491C47"/>
    <w:rsid w:val="00491E5C"/>
    <w:rsid w:val="00495928"/>
    <w:rsid w:val="004965CE"/>
    <w:rsid w:val="00496D37"/>
    <w:rsid w:val="004A06C5"/>
    <w:rsid w:val="004A3328"/>
    <w:rsid w:val="004A40F9"/>
    <w:rsid w:val="004A6568"/>
    <w:rsid w:val="004A7A1C"/>
    <w:rsid w:val="004B112E"/>
    <w:rsid w:val="004B17D4"/>
    <w:rsid w:val="004B2A1B"/>
    <w:rsid w:val="004B3C81"/>
    <w:rsid w:val="004B46B3"/>
    <w:rsid w:val="004B4B8D"/>
    <w:rsid w:val="004B51D8"/>
    <w:rsid w:val="004B6215"/>
    <w:rsid w:val="004B7FD6"/>
    <w:rsid w:val="004C030D"/>
    <w:rsid w:val="004C1CBB"/>
    <w:rsid w:val="004C5E65"/>
    <w:rsid w:val="004C6233"/>
    <w:rsid w:val="004C75E0"/>
    <w:rsid w:val="004C7DD2"/>
    <w:rsid w:val="004D057C"/>
    <w:rsid w:val="004D1804"/>
    <w:rsid w:val="004D190D"/>
    <w:rsid w:val="004D22CB"/>
    <w:rsid w:val="004D2D55"/>
    <w:rsid w:val="004D4D03"/>
    <w:rsid w:val="004D517A"/>
    <w:rsid w:val="004D7BD1"/>
    <w:rsid w:val="004D7CA2"/>
    <w:rsid w:val="004E2995"/>
    <w:rsid w:val="004E2A32"/>
    <w:rsid w:val="004E3D20"/>
    <w:rsid w:val="004E3F79"/>
    <w:rsid w:val="004E5D5C"/>
    <w:rsid w:val="004E6530"/>
    <w:rsid w:val="004E66D8"/>
    <w:rsid w:val="004E6A6D"/>
    <w:rsid w:val="004F0FFE"/>
    <w:rsid w:val="004F151B"/>
    <w:rsid w:val="004F4758"/>
    <w:rsid w:val="004F5766"/>
    <w:rsid w:val="004F59DD"/>
    <w:rsid w:val="004F5ADF"/>
    <w:rsid w:val="004F6477"/>
    <w:rsid w:val="004F6B3B"/>
    <w:rsid w:val="005109BB"/>
    <w:rsid w:val="00513D81"/>
    <w:rsid w:val="00514F4A"/>
    <w:rsid w:val="0051634D"/>
    <w:rsid w:val="00520F22"/>
    <w:rsid w:val="00521DD0"/>
    <w:rsid w:val="00522F64"/>
    <w:rsid w:val="005233CB"/>
    <w:rsid w:val="00525258"/>
    <w:rsid w:val="00525886"/>
    <w:rsid w:val="00526BE2"/>
    <w:rsid w:val="00527AB3"/>
    <w:rsid w:val="00531356"/>
    <w:rsid w:val="005320A1"/>
    <w:rsid w:val="0053436D"/>
    <w:rsid w:val="00535101"/>
    <w:rsid w:val="0053702E"/>
    <w:rsid w:val="0053751A"/>
    <w:rsid w:val="00541D37"/>
    <w:rsid w:val="005432D2"/>
    <w:rsid w:val="00544D26"/>
    <w:rsid w:val="0054637F"/>
    <w:rsid w:val="0054797A"/>
    <w:rsid w:val="00552D9C"/>
    <w:rsid w:val="005539E5"/>
    <w:rsid w:val="00554FEB"/>
    <w:rsid w:val="005559CE"/>
    <w:rsid w:val="005577D1"/>
    <w:rsid w:val="0056043A"/>
    <w:rsid w:val="00565665"/>
    <w:rsid w:val="005675E3"/>
    <w:rsid w:val="00567C82"/>
    <w:rsid w:val="00570F76"/>
    <w:rsid w:val="00574596"/>
    <w:rsid w:val="00574898"/>
    <w:rsid w:val="00574D41"/>
    <w:rsid w:val="005750A8"/>
    <w:rsid w:val="00576709"/>
    <w:rsid w:val="00576D5F"/>
    <w:rsid w:val="00576DC3"/>
    <w:rsid w:val="00577408"/>
    <w:rsid w:val="0058058E"/>
    <w:rsid w:val="0058123B"/>
    <w:rsid w:val="00581F09"/>
    <w:rsid w:val="00583E92"/>
    <w:rsid w:val="005844BC"/>
    <w:rsid w:val="00586CB7"/>
    <w:rsid w:val="0058761A"/>
    <w:rsid w:val="0059157D"/>
    <w:rsid w:val="00592AFF"/>
    <w:rsid w:val="00596C9C"/>
    <w:rsid w:val="0059711B"/>
    <w:rsid w:val="005A3AE9"/>
    <w:rsid w:val="005A418B"/>
    <w:rsid w:val="005A58EA"/>
    <w:rsid w:val="005A6C3D"/>
    <w:rsid w:val="005A7494"/>
    <w:rsid w:val="005A7AD0"/>
    <w:rsid w:val="005A7FE5"/>
    <w:rsid w:val="005B01E1"/>
    <w:rsid w:val="005B16B5"/>
    <w:rsid w:val="005B4755"/>
    <w:rsid w:val="005B4F28"/>
    <w:rsid w:val="005B59CC"/>
    <w:rsid w:val="005B76E0"/>
    <w:rsid w:val="005B7C4A"/>
    <w:rsid w:val="005C260E"/>
    <w:rsid w:val="005C483D"/>
    <w:rsid w:val="005C560D"/>
    <w:rsid w:val="005C7649"/>
    <w:rsid w:val="005C79E0"/>
    <w:rsid w:val="005C7CBF"/>
    <w:rsid w:val="005D070B"/>
    <w:rsid w:val="005D0E74"/>
    <w:rsid w:val="005D0EAC"/>
    <w:rsid w:val="005D19B7"/>
    <w:rsid w:val="005D1E6A"/>
    <w:rsid w:val="005D3C08"/>
    <w:rsid w:val="005E202B"/>
    <w:rsid w:val="005E21A0"/>
    <w:rsid w:val="005E23F8"/>
    <w:rsid w:val="005E3BBF"/>
    <w:rsid w:val="005E3D6A"/>
    <w:rsid w:val="005F0385"/>
    <w:rsid w:val="005F0F03"/>
    <w:rsid w:val="005F114A"/>
    <w:rsid w:val="005F141F"/>
    <w:rsid w:val="005F146A"/>
    <w:rsid w:val="005F2204"/>
    <w:rsid w:val="005F397A"/>
    <w:rsid w:val="005F416F"/>
    <w:rsid w:val="005F44A2"/>
    <w:rsid w:val="0060063E"/>
    <w:rsid w:val="00600B00"/>
    <w:rsid w:val="00601E5B"/>
    <w:rsid w:val="006027DA"/>
    <w:rsid w:val="0060285D"/>
    <w:rsid w:val="00604A77"/>
    <w:rsid w:val="006068CC"/>
    <w:rsid w:val="0061282F"/>
    <w:rsid w:val="00613150"/>
    <w:rsid w:val="006133CD"/>
    <w:rsid w:val="00614426"/>
    <w:rsid w:val="0061680B"/>
    <w:rsid w:val="00617E2C"/>
    <w:rsid w:val="00621AFF"/>
    <w:rsid w:val="00622D38"/>
    <w:rsid w:val="00622E9F"/>
    <w:rsid w:val="00622EAE"/>
    <w:rsid w:val="006231A8"/>
    <w:rsid w:val="006232CE"/>
    <w:rsid w:val="006261FD"/>
    <w:rsid w:val="00626258"/>
    <w:rsid w:val="00626365"/>
    <w:rsid w:val="0062787B"/>
    <w:rsid w:val="00631EF6"/>
    <w:rsid w:val="006335AF"/>
    <w:rsid w:val="0063492E"/>
    <w:rsid w:val="00635031"/>
    <w:rsid w:val="0063534E"/>
    <w:rsid w:val="006415C0"/>
    <w:rsid w:val="00641870"/>
    <w:rsid w:val="0064230D"/>
    <w:rsid w:val="00645A24"/>
    <w:rsid w:val="006462EC"/>
    <w:rsid w:val="006464DF"/>
    <w:rsid w:val="00647C58"/>
    <w:rsid w:val="006529A6"/>
    <w:rsid w:val="00655270"/>
    <w:rsid w:val="00656B50"/>
    <w:rsid w:val="00657AA2"/>
    <w:rsid w:val="0066063B"/>
    <w:rsid w:val="00660744"/>
    <w:rsid w:val="0066117E"/>
    <w:rsid w:val="00661FA1"/>
    <w:rsid w:val="006624A0"/>
    <w:rsid w:val="006628FB"/>
    <w:rsid w:val="006642B1"/>
    <w:rsid w:val="006654C4"/>
    <w:rsid w:val="00670308"/>
    <w:rsid w:val="006729D9"/>
    <w:rsid w:val="006733BD"/>
    <w:rsid w:val="00674141"/>
    <w:rsid w:val="00677491"/>
    <w:rsid w:val="00677DA6"/>
    <w:rsid w:val="00680121"/>
    <w:rsid w:val="006808A7"/>
    <w:rsid w:val="0068230B"/>
    <w:rsid w:val="00684D0C"/>
    <w:rsid w:val="006875DC"/>
    <w:rsid w:val="006901A1"/>
    <w:rsid w:val="006901FA"/>
    <w:rsid w:val="0069026E"/>
    <w:rsid w:val="006906C4"/>
    <w:rsid w:val="00691142"/>
    <w:rsid w:val="00691A7A"/>
    <w:rsid w:val="006934BB"/>
    <w:rsid w:val="00694A7F"/>
    <w:rsid w:val="0069617A"/>
    <w:rsid w:val="00696E77"/>
    <w:rsid w:val="006A0A32"/>
    <w:rsid w:val="006A273F"/>
    <w:rsid w:val="006A5C0C"/>
    <w:rsid w:val="006A6BB0"/>
    <w:rsid w:val="006B3E96"/>
    <w:rsid w:val="006B55E0"/>
    <w:rsid w:val="006B5F45"/>
    <w:rsid w:val="006B7B4D"/>
    <w:rsid w:val="006B7F8F"/>
    <w:rsid w:val="006C0017"/>
    <w:rsid w:val="006C13DF"/>
    <w:rsid w:val="006C13FD"/>
    <w:rsid w:val="006C242D"/>
    <w:rsid w:val="006C53C7"/>
    <w:rsid w:val="006C54CC"/>
    <w:rsid w:val="006C6153"/>
    <w:rsid w:val="006D0591"/>
    <w:rsid w:val="006D0CC1"/>
    <w:rsid w:val="006D1ABF"/>
    <w:rsid w:val="006D530C"/>
    <w:rsid w:val="006D5D5F"/>
    <w:rsid w:val="006D68E5"/>
    <w:rsid w:val="006D6AB8"/>
    <w:rsid w:val="006E30CD"/>
    <w:rsid w:val="006E33A7"/>
    <w:rsid w:val="006E3B5D"/>
    <w:rsid w:val="006E5B88"/>
    <w:rsid w:val="006E6637"/>
    <w:rsid w:val="006E67C3"/>
    <w:rsid w:val="006F0592"/>
    <w:rsid w:val="006F196F"/>
    <w:rsid w:val="006F4E38"/>
    <w:rsid w:val="006F50FB"/>
    <w:rsid w:val="006F54FC"/>
    <w:rsid w:val="006F685C"/>
    <w:rsid w:val="006F70E6"/>
    <w:rsid w:val="00700C7D"/>
    <w:rsid w:val="00700E63"/>
    <w:rsid w:val="00701098"/>
    <w:rsid w:val="00704805"/>
    <w:rsid w:val="00704E4D"/>
    <w:rsid w:val="00710221"/>
    <w:rsid w:val="0071122C"/>
    <w:rsid w:val="0071149A"/>
    <w:rsid w:val="00715CEF"/>
    <w:rsid w:val="00717383"/>
    <w:rsid w:val="00720133"/>
    <w:rsid w:val="00720363"/>
    <w:rsid w:val="00721DDE"/>
    <w:rsid w:val="007237C4"/>
    <w:rsid w:val="007241DA"/>
    <w:rsid w:val="00724878"/>
    <w:rsid w:val="00731C33"/>
    <w:rsid w:val="00731E19"/>
    <w:rsid w:val="00731F51"/>
    <w:rsid w:val="00733F2D"/>
    <w:rsid w:val="00734667"/>
    <w:rsid w:val="00737CC9"/>
    <w:rsid w:val="007419FF"/>
    <w:rsid w:val="00742BA9"/>
    <w:rsid w:val="00742D35"/>
    <w:rsid w:val="00742FB9"/>
    <w:rsid w:val="007445D1"/>
    <w:rsid w:val="00744C1A"/>
    <w:rsid w:val="00744CA2"/>
    <w:rsid w:val="007458D5"/>
    <w:rsid w:val="00747209"/>
    <w:rsid w:val="00747264"/>
    <w:rsid w:val="00747EED"/>
    <w:rsid w:val="00747FE4"/>
    <w:rsid w:val="00752157"/>
    <w:rsid w:val="007526E7"/>
    <w:rsid w:val="00753529"/>
    <w:rsid w:val="00754A46"/>
    <w:rsid w:val="00755D6B"/>
    <w:rsid w:val="00755DD5"/>
    <w:rsid w:val="007564DD"/>
    <w:rsid w:val="0075682D"/>
    <w:rsid w:val="007576E6"/>
    <w:rsid w:val="007579B1"/>
    <w:rsid w:val="00760CEE"/>
    <w:rsid w:val="00761CAD"/>
    <w:rsid w:val="0076242A"/>
    <w:rsid w:val="00762452"/>
    <w:rsid w:val="00763073"/>
    <w:rsid w:val="00764088"/>
    <w:rsid w:val="00765346"/>
    <w:rsid w:val="0076549C"/>
    <w:rsid w:val="007664AE"/>
    <w:rsid w:val="00767E58"/>
    <w:rsid w:val="00770D03"/>
    <w:rsid w:val="00773F04"/>
    <w:rsid w:val="00774AB3"/>
    <w:rsid w:val="00775724"/>
    <w:rsid w:val="00775762"/>
    <w:rsid w:val="007774D2"/>
    <w:rsid w:val="00777EFA"/>
    <w:rsid w:val="0078045B"/>
    <w:rsid w:val="00780C30"/>
    <w:rsid w:val="00781455"/>
    <w:rsid w:val="00783542"/>
    <w:rsid w:val="007840C0"/>
    <w:rsid w:val="0078562F"/>
    <w:rsid w:val="00787ABF"/>
    <w:rsid w:val="00792415"/>
    <w:rsid w:val="007934DF"/>
    <w:rsid w:val="00796010"/>
    <w:rsid w:val="0079794F"/>
    <w:rsid w:val="0079795C"/>
    <w:rsid w:val="007A39BE"/>
    <w:rsid w:val="007B011A"/>
    <w:rsid w:val="007B0BF6"/>
    <w:rsid w:val="007B1347"/>
    <w:rsid w:val="007B2AC8"/>
    <w:rsid w:val="007B2AE3"/>
    <w:rsid w:val="007B30EF"/>
    <w:rsid w:val="007B344B"/>
    <w:rsid w:val="007B45CA"/>
    <w:rsid w:val="007B6FF0"/>
    <w:rsid w:val="007B7218"/>
    <w:rsid w:val="007B767E"/>
    <w:rsid w:val="007B7C28"/>
    <w:rsid w:val="007C14E2"/>
    <w:rsid w:val="007C225C"/>
    <w:rsid w:val="007C389B"/>
    <w:rsid w:val="007C6451"/>
    <w:rsid w:val="007C7AD4"/>
    <w:rsid w:val="007D09A4"/>
    <w:rsid w:val="007D1442"/>
    <w:rsid w:val="007D1E14"/>
    <w:rsid w:val="007D2EF7"/>
    <w:rsid w:val="007D4203"/>
    <w:rsid w:val="007D4F3F"/>
    <w:rsid w:val="007D540F"/>
    <w:rsid w:val="007D615F"/>
    <w:rsid w:val="007D64A8"/>
    <w:rsid w:val="007D72DB"/>
    <w:rsid w:val="007E1EFB"/>
    <w:rsid w:val="007E2DF0"/>
    <w:rsid w:val="007E71F0"/>
    <w:rsid w:val="007F1283"/>
    <w:rsid w:val="007F36AB"/>
    <w:rsid w:val="007F3718"/>
    <w:rsid w:val="007F5769"/>
    <w:rsid w:val="007F7150"/>
    <w:rsid w:val="007F78B3"/>
    <w:rsid w:val="0080014B"/>
    <w:rsid w:val="0080087B"/>
    <w:rsid w:val="008011DF"/>
    <w:rsid w:val="00801486"/>
    <w:rsid w:val="00802257"/>
    <w:rsid w:val="00802BAF"/>
    <w:rsid w:val="00802E5D"/>
    <w:rsid w:val="00805D98"/>
    <w:rsid w:val="00806F3E"/>
    <w:rsid w:val="00810332"/>
    <w:rsid w:val="008109CF"/>
    <w:rsid w:val="00810EEC"/>
    <w:rsid w:val="00811CB9"/>
    <w:rsid w:val="00811F35"/>
    <w:rsid w:val="00812ADF"/>
    <w:rsid w:val="008133E6"/>
    <w:rsid w:val="00815DCE"/>
    <w:rsid w:val="00821354"/>
    <w:rsid w:val="00822EF9"/>
    <w:rsid w:val="008237FF"/>
    <w:rsid w:val="008238BA"/>
    <w:rsid w:val="00825021"/>
    <w:rsid w:val="00830082"/>
    <w:rsid w:val="00830598"/>
    <w:rsid w:val="008355E3"/>
    <w:rsid w:val="0083695E"/>
    <w:rsid w:val="00837723"/>
    <w:rsid w:val="008435AF"/>
    <w:rsid w:val="008438E5"/>
    <w:rsid w:val="00844070"/>
    <w:rsid w:val="0084461B"/>
    <w:rsid w:val="00845181"/>
    <w:rsid w:val="008457F0"/>
    <w:rsid w:val="00845F0B"/>
    <w:rsid w:val="008477DA"/>
    <w:rsid w:val="00850486"/>
    <w:rsid w:val="0085275A"/>
    <w:rsid w:val="00852996"/>
    <w:rsid w:val="00853CAD"/>
    <w:rsid w:val="008554B2"/>
    <w:rsid w:val="00855A9B"/>
    <w:rsid w:val="00855BBB"/>
    <w:rsid w:val="00855D4A"/>
    <w:rsid w:val="00856695"/>
    <w:rsid w:val="00856CC8"/>
    <w:rsid w:val="008612AC"/>
    <w:rsid w:val="00861357"/>
    <w:rsid w:val="0086209F"/>
    <w:rsid w:val="00862DEC"/>
    <w:rsid w:val="0086448B"/>
    <w:rsid w:val="00864B8D"/>
    <w:rsid w:val="0086590A"/>
    <w:rsid w:val="00866262"/>
    <w:rsid w:val="008715E3"/>
    <w:rsid w:val="00872ABC"/>
    <w:rsid w:val="00872FAC"/>
    <w:rsid w:val="0087371A"/>
    <w:rsid w:val="0087375D"/>
    <w:rsid w:val="00873E4C"/>
    <w:rsid w:val="00874A51"/>
    <w:rsid w:val="00875279"/>
    <w:rsid w:val="00880197"/>
    <w:rsid w:val="0088025B"/>
    <w:rsid w:val="00880D1A"/>
    <w:rsid w:val="008826F6"/>
    <w:rsid w:val="00884C73"/>
    <w:rsid w:val="008862AE"/>
    <w:rsid w:val="00886F3F"/>
    <w:rsid w:val="00891238"/>
    <w:rsid w:val="008913C7"/>
    <w:rsid w:val="008952A0"/>
    <w:rsid w:val="00895FD3"/>
    <w:rsid w:val="0089625F"/>
    <w:rsid w:val="008A0993"/>
    <w:rsid w:val="008A3292"/>
    <w:rsid w:val="008A7BB8"/>
    <w:rsid w:val="008B05EF"/>
    <w:rsid w:val="008B0DD0"/>
    <w:rsid w:val="008B10AC"/>
    <w:rsid w:val="008B1A97"/>
    <w:rsid w:val="008B438B"/>
    <w:rsid w:val="008C13DA"/>
    <w:rsid w:val="008C164C"/>
    <w:rsid w:val="008C3EF9"/>
    <w:rsid w:val="008C43FA"/>
    <w:rsid w:val="008C4BCE"/>
    <w:rsid w:val="008C5B93"/>
    <w:rsid w:val="008C5FAC"/>
    <w:rsid w:val="008C6952"/>
    <w:rsid w:val="008D536B"/>
    <w:rsid w:val="008E2791"/>
    <w:rsid w:val="008E3173"/>
    <w:rsid w:val="008E3E43"/>
    <w:rsid w:val="008E4733"/>
    <w:rsid w:val="008E4E3C"/>
    <w:rsid w:val="008E5DED"/>
    <w:rsid w:val="008E64B1"/>
    <w:rsid w:val="008E6B63"/>
    <w:rsid w:val="008E6F03"/>
    <w:rsid w:val="008E716E"/>
    <w:rsid w:val="008E722B"/>
    <w:rsid w:val="008E78A8"/>
    <w:rsid w:val="008F5299"/>
    <w:rsid w:val="008F6A37"/>
    <w:rsid w:val="008F6A97"/>
    <w:rsid w:val="009005D2"/>
    <w:rsid w:val="00900707"/>
    <w:rsid w:val="0090136F"/>
    <w:rsid w:val="009015B2"/>
    <w:rsid w:val="009022D4"/>
    <w:rsid w:val="0090393F"/>
    <w:rsid w:val="0090412A"/>
    <w:rsid w:val="00904BBF"/>
    <w:rsid w:val="00905071"/>
    <w:rsid w:val="0090675A"/>
    <w:rsid w:val="0090766C"/>
    <w:rsid w:val="00907853"/>
    <w:rsid w:val="00907D38"/>
    <w:rsid w:val="00910B2E"/>
    <w:rsid w:val="00911225"/>
    <w:rsid w:val="009116E4"/>
    <w:rsid w:val="00912218"/>
    <w:rsid w:val="00912465"/>
    <w:rsid w:val="00912B62"/>
    <w:rsid w:val="00913317"/>
    <w:rsid w:val="009173EA"/>
    <w:rsid w:val="00917558"/>
    <w:rsid w:val="0092208A"/>
    <w:rsid w:val="00922991"/>
    <w:rsid w:val="009240D7"/>
    <w:rsid w:val="009246A2"/>
    <w:rsid w:val="00926154"/>
    <w:rsid w:val="00926AD1"/>
    <w:rsid w:val="00926AFE"/>
    <w:rsid w:val="00926C0E"/>
    <w:rsid w:val="00927937"/>
    <w:rsid w:val="00932B0D"/>
    <w:rsid w:val="00932D09"/>
    <w:rsid w:val="0093348D"/>
    <w:rsid w:val="00933C2B"/>
    <w:rsid w:val="00933EB6"/>
    <w:rsid w:val="00934EE0"/>
    <w:rsid w:val="0094082C"/>
    <w:rsid w:val="009416E6"/>
    <w:rsid w:val="00942853"/>
    <w:rsid w:val="009449A9"/>
    <w:rsid w:val="00945EDB"/>
    <w:rsid w:val="00947E7C"/>
    <w:rsid w:val="00950A04"/>
    <w:rsid w:val="00950B35"/>
    <w:rsid w:val="00951631"/>
    <w:rsid w:val="0095391E"/>
    <w:rsid w:val="00954123"/>
    <w:rsid w:val="00955A9E"/>
    <w:rsid w:val="00955EB1"/>
    <w:rsid w:val="0096091A"/>
    <w:rsid w:val="0096092C"/>
    <w:rsid w:val="00961B90"/>
    <w:rsid w:val="00961C09"/>
    <w:rsid w:val="0096305D"/>
    <w:rsid w:val="00965C50"/>
    <w:rsid w:val="009660E8"/>
    <w:rsid w:val="00967E56"/>
    <w:rsid w:val="0097089B"/>
    <w:rsid w:val="0097152C"/>
    <w:rsid w:val="00973B97"/>
    <w:rsid w:val="009748B1"/>
    <w:rsid w:val="00975982"/>
    <w:rsid w:val="009762C9"/>
    <w:rsid w:val="009762E3"/>
    <w:rsid w:val="00976605"/>
    <w:rsid w:val="00977DF8"/>
    <w:rsid w:val="009815F4"/>
    <w:rsid w:val="00981CFA"/>
    <w:rsid w:val="009820EF"/>
    <w:rsid w:val="0098455B"/>
    <w:rsid w:val="009860DA"/>
    <w:rsid w:val="009900E4"/>
    <w:rsid w:val="00990FC8"/>
    <w:rsid w:val="009945CF"/>
    <w:rsid w:val="00995220"/>
    <w:rsid w:val="0099639F"/>
    <w:rsid w:val="009A008A"/>
    <w:rsid w:val="009A0280"/>
    <w:rsid w:val="009A14CD"/>
    <w:rsid w:val="009A1531"/>
    <w:rsid w:val="009A3882"/>
    <w:rsid w:val="009A38F9"/>
    <w:rsid w:val="009A49CB"/>
    <w:rsid w:val="009A668F"/>
    <w:rsid w:val="009A7075"/>
    <w:rsid w:val="009B0995"/>
    <w:rsid w:val="009B2F9E"/>
    <w:rsid w:val="009B360B"/>
    <w:rsid w:val="009B5914"/>
    <w:rsid w:val="009B65A5"/>
    <w:rsid w:val="009B74DE"/>
    <w:rsid w:val="009B7635"/>
    <w:rsid w:val="009B7833"/>
    <w:rsid w:val="009C086B"/>
    <w:rsid w:val="009C26EE"/>
    <w:rsid w:val="009C3158"/>
    <w:rsid w:val="009C675B"/>
    <w:rsid w:val="009C72A0"/>
    <w:rsid w:val="009C7457"/>
    <w:rsid w:val="009D2D82"/>
    <w:rsid w:val="009D3619"/>
    <w:rsid w:val="009D6A84"/>
    <w:rsid w:val="009D7E7D"/>
    <w:rsid w:val="009E4808"/>
    <w:rsid w:val="009E62EC"/>
    <w:rsid w:val="009F10D6"/>
    <w:rsid w:val="009F1EBF"/>
    <w:rsid w:val="009F1F74"/>
    <w:rsid w:val="009F26B0"/>
    <w:rsid w:val="009F3BCC"/>
    <w:rsid w:val="009F4071"/>
    <w:rsid w:val="009F47E0"/>
    <w:rsid w:val="009F4BA8"/>
    <w:rsid w:val="009F5F11"/>
    <w:rsid w:val="009F79B0"/>
    <w:rsid w:val="00A02B6E"/>
    <w:rsid w:val="00A03C9F"/>
    <w:rsid w:val="00A03D50"/>
    <w:rsid w:val="00A05C01"/>
    <w:rsid w:val="00A05D78"/>
    <w:rsid w:val="00A075A9"/>
    <w:rsid w:val="00A07844"/>
    <w:rsid w:val="00A100C7"/>
    <w:rsid w:val="00A10615"/>
    <w:rsid w:val="00A10CBC"/>
    <w:rsid w:val="00A12138"/>
    <w:rsid w:val="00A12982"/>
    <w:rsid w:val="00A1497A"/>
    <w:rsid w:val="00A16624"/>
    <w:rsid w:val="00A2276C"/>
    <w:rsid w:val="00A235D9"/>
    <w:rsid w:val="00A239AB"/>
    <w:rsid w:val="00A23A85"/>
    <w:rsid w:val="00A24DCC"/>
    <w:rsid w:val="00A267C2"/>
    <w:rsid w:val="00A314BE"/>
    <w:rsid w:val="00A31719"/>
    <w:rsid w:val="00A31ACE"/>
    <w:rsid w:val="00A34885"/>
    <w:rsid w:val="00A35EA2"/>
    <w:rsid w:val="00A37534"/>
    <w:rsid w:val="00A4127A"/>
    <w:rsid w:val="00A42150"/>
    <w:rsid w:val="00A450A2"/>
    <w:rsid w:val="00A451B6"/>
    <w:rsid w:val="00A512B6"/>
    <w:rsid w:val="00A51CE2"/>
    <w:rsid w:val="00A521CE"/>
    <w:rsid w:val="00A57EAB"/>
    <w:rsid w:val="00A60118"/>
    <w:rsid w:val="00A61652"/>
    <w:rsid w:val="00A618C0"/>
    <w:rsid w:val="00A6196E"/>
    <w:rsid w:val="00A61E8A"/>
    <w:rsid w:val="00A62B10"/>
    <w:rsid w:val="00A63AFA"/>
    <w:rsid w:val="00A64E59"/>
    <w:rsid w:val="00A675ED"/>
    <w:rsid w:val="00A70172"/>
    <w:rsid w:val="00A706D7"/>
    <w:rsid w:val="00A72724"/>
    <w:rsid w:val="00A75519"/>
    <w:rsid w:val="00A80E03"/>
    <w:rsid w:val="00A81ECE"/>
    <w:rsid w:val="00A82307"/>
    <w:rsid w:val="00A827A8"/>
    <w:rsid w:val="00A83148"/>
    <w:rsid w:val="00A83CD1"/>
    <w:rsid w:val="00A85E19"/>
    <w:rsid w:val="00A85EBA"/>
    <w:rsid w:val="00A86243"/>
    <w:rsid w:val="00A86929"/>
    <w:rsid w:val="00A8767A"/>
    <w:rsid w:val="00A90D5C"/>
    <w:rsid w:val="00A91623"/>
    <w:rsid w:val="00A91996"/>
    <w:rsid w:val="00A94BA8"/>
    <w:rsid w:val="00A9701E"/>
    <w:rsid w:val="00AA0085"/>
    <w:rsid w:val="00AA1AC1"/>
    <w:rsid w:val="00AA361C"/>
    <w:rsid w:val="00AA5FB7"/>
    <w:rsid w:val="00AA6B47"/>
    <w:rsid w:val="00AA7B48"/>
    <w:rsid w:val="00AB2AB1"/>
    <w:rsid w:val="00AB482A"/>
    <w:rsid w:val="00AB77AE"/>
    <w:rsid w:val="00AB7D6E"/>
    <w:rsid w:val="00AB7E47"/>
    <w:rsid w:val="00AC0C29"/>
    <w:rsid w:val="00AC17C4"/>
    <w:rsid w:val="00AC21CB"/>
    <w:rsid w:val="00AC2236"/>
    <w:rsid w:val="00AC23AC"/>
    <w:rsid w:val="00AC2AD9"/>
    <w:rsid w:val="00AC3E88"/>
    <w:rsid w:val="00AC51B4"/>
    <w:rsid w:val="00AC51CC"/>
    <w:rsid w:val="00AC5866"/>
    <w:rsid w:val="00AC7F37"/>
    <w:rsid w:val="00AD01C9"/>
    <w:rsid w:val="00AD0401"/>
    <w:rsid w:val="00AD0547"/>
    <w:rsid w:val="00AD06B7"/>
    <w:rsid w:val="00AD0769"/>
    <w:rsid w:val="00AD0D8D"/>
    <w:rsid w:val="00AD69C2"/>
    <w:rsid w:val="00AD7B08"/>
    <w:rsid w:val="00AE1A87"/>
    <w:rsid w:val="00AE2FA5"/>
    <w:rsid w:val="00AE562E"/>
    <w:rsid w:val="00AE72D4"/>
    <w:rsid w:val="00AE76A8"/>
    <w:rsid w:val="00AE7BFA"/>
    <w:rsid w:val="00AF315F"/>
    <w:rsid w:val="00AF3169"/>
    <w:rsid w:val="00AF44A5"/>
    <w:rsid w:val="00AF4D97"/>
    <w:rsid w:val="00AF641A"/>
    <w:rsid w:val="00AF7ED8"/>
    <w:rsid w:val="00B02B3C"/>
    <w:rsid w:val="00B03671"/>
    <w:rsid w:val="00B04640"/>
    <w:rsid w:val="00B0641F"/>
    <w:rsid w:val="00B0701A"/>
    <w:rsid w:val="00B075D2"/>
    <w:rsid w:val="00B11EA4"/>
    <w:rsid w:val="00B12D84"/>
    <w:rsid w:val="00B132CE"/>
    <w:rsid w:val="00B13874"/>
    <w:rsid w:val="00B13A58"/>
    <w:rsid w:val="00B14046"/>
    <w:rsid w:val="00B142F7"/>
    <w:rsid w:val="00B14C41"/>
    <w:rsid w:val="00B15427"/>
    <w:rsid w:val="00B156F1"/>
    <w:rsid w:val="00B164EE"/>
    <w:rsid w:val="00B16DAA"/>
    <w:rsid w:val="00B17C85"/>
    <w:rsid w:val="00B23376"/>
    <w:rsid w:val="00B238AA"/>
    <w:rsid w:val="00B26300"/>
    <w:rsid w:val="00B2657F"/>
    <w:rsid w:val="00B32C03"/>
    <w:rsid w:val="00B332C4"/>
    <w:rsid w:val="00B34F9C"/>
    <w:rsid w:val="00B36BFD"/>
    <w:rsid w:val="00B37B0A"/>
    <w:rsid w:val="00B37E2B"/>
    <w:rsid w:val="00B426CF"/>
    <w:rsid w:val="00B4293D"/>
    <w:rsid w:val="00B43D88"/>
    <w:rsid w:val="00B52D9D"/>
    <w:rsid w:val="00B54AD2"/>
    <w:rsid w:val="00B5529B"/>
    <w:rsid w:val="00B553C0"/>
    <w:rsid w:val="00B57CE8"/>
    <w:rsid w:val="00B57D6D"/>
    <w:rsid w:val="00B57F4D"/>
    <w:rsid w:val="00B63FC7"/>
    <w:rsid w:val="00B642A0"/>
    <w:rsid w:val="00B6451B"/>
    <w:rsid w:val="00B66CA2"/>
    <w:rsid w:val="00B675C5"/>
    <w:rsid w:val="00B7020F"/>
    <w:rsid w:val="00B7064B"/>
    <w:rsid w:val="00B71135"/>
    <w:rsid w:val="00B71734"/>
    <w:rsid w:val="00B71A61"/>
    <w:rsid w:val="00B77096"/>
    <w:rsid w:val="00B80BE0"/>
    <w:rsid w:val="00B81717"/>
    <w:rsid w:val="00B82065"/>
    <w:rsid w:val="00B82296"/>
    <w:rsid w:val="00B835B5"/>
    <w:rsid w:val="00B845E0"/>
    <w:rsid w:val="00B84998"/>
    <w:rsid w:val="00B86A2C"/>
    <w:rsid w:val="00B873FE"/>
    <w:rsid w:val="00B876F7"/>
    <w:rsid w:val="00B879D7"/>
    <w:rsid w:val="00B91042"/>
    <w:rsid w:val="00B91E5C"/>
    <w:rsid w:val="00B9354A"/>
    <w:rsid w:val="00B93D2D"/>
    <w:rsid w:val="00B96FB7"/>
    <w:rsid w:val="00B97D40"/>
    <w:rsid w:val="00BA012C"/>
    <w:rsid w:val="00BA039E"/>
    <w:rsid w:val="00BA34B7"/>
    <w:rsid w:val="00BA37C7"/>
    <w:rsid w:val="00BA42F7"/>
    <w:rsid w:val="00BA6577"/>
    <w:rsid w:val="00BA7BF5"/>
    <w:rsid w:val="00BB1372"/>
    <w:rsid w:val="00BB2F0D"/>
    <w:rsid w:val="00BB34FC"/>
    <w:rsid w:val="00BB43CC"/>
    <w:rsid w:val="00BC0040"/>
    <w:rsid w:val="00BC0871"/>
    <w:rsid w:val="00BC3812"/>
    <w:rsid w:val="00BC3D64"/>
    <w:rsid w:val="00BC447A"/>
    <w:rsid w:val="00BC45A5"/>
    <w:rsid w:val="00BD0FB5"/>
    <w:rsid w:val="00BD2ED3"/>
    <w:rsid w:val="00BD5AA3"/>
    <w:rsid w:val="00BD5C13"/>
    <w:rsid w:val="00BD6163"/>
    <w:rsid w:val="00BD6FEB"/>
    <w:rsid w:val="00BD7593"/>
    <w:rsid w:val="00BE0AB7"/>
    <w:rsid w:val="00BE11CD"/>
    <w:rsid w:val="00BE4E04"/>
    <w:rsid w:val="00BE79AF"/>
    <w:rsid w:val="00BE7E87"/>
    <w:rsid w:val="00BF0E2F"/>
    <w:rsid w:val="00BF2304"/>
    <w:rsid w:val="00BF26D8"/>
    <w:rsid w:val="00BF3AA1"/>
    <w:rsid w:val="00BF6EF7"/>
    <w:rsid w:val="00BF7B82"/>
    <w:rsid w:val="00C00B8C"/>
    <w:rsid w:val="00C01D55"/>
    <w:rsid w:val="00C03198"/>
    <w:rsid w:val="00C036CF"/>
    <w:rsid w:val="00C06C98"/>
    <w:rsid w:val="00C06F36"/>
    <w:rsid w:val="00C07712"/>
    <w:rsid w:val="00C10ED4"/>
    <w:rsid w:val="00C124DF"/>
    <w:rsid w:val="00C13039"/>
    <w:rsid w:val="00C15CF2"/>
    <w:rsid w:val="00C1620E"/>
    <w:rsid w:val="00C162ED"/>
    <w:rsid w:val="00C178B5"/>
    <w:rsid w:val="00C17FCD"/>
    <w:rsid w:val="00C20873"/>
    <w:rsid w:val="00C20C9A"/>
    <w:rsid w:val="00C21ABF"/>
    <w:rsid w:val="00C2232C"/>
    <w:rsid w:val="00C22521"/>
    <w:rsid w:val="00C23E26"/>
    <w:rsid w:val="00C24AA6"/>
    <w:rsid w:val="00C24DBE"/>
    <w:rsid w:val="00C24E23"/>
    <w:rsid w:val="00C253BA"/>
    <w:rsid w:val="00C25D59"/>
    <w:rsid w:val="00C278DF"/>
    <w:rsid w:val="00C300E8"/>
    <w:rsid w:val="00C30659"/>
    <w:rsid w:val="00C312A4"/>
    <w:rsid w:val="00C32096"/>
    <w:rsid w:val="00C34CAB"/>
    <w:rsid w:val="00C36F68"/>
    <w:rsid w:val="00C4082B"/>
    <w:rsid w:val="00C408B0"/>
    <w:rsid w:val="00C43C06"/>
    <w:rsid w:val="00C44772"/>
    <w:rsid w:val="00C46310"/>
    <w:rsid w:val="00C513A3"/>
    <w:rsid w:val="00C51DE8"/>
    <w:rsid w:val="00C52A4F"/>
    <w:rsid w:val="00C54AE9"/>
    <w:rsid w:val="00C556B7"/>
    <w:rsid w:val="00C56173"/>
    <w:rsid w:val="00C565F1"/>
    <w:rsid w:val="00C57D2B"/>
    <w:rsid w:val="00C60751"/>
    <w:rsid w:val="00C63C07"/>
    <w:rsid w:val="00C64FC5"/>
    <w:rsid w:val="00C6570D"/>
    <w:rsid w:val="00C65904"/>
    <w:rsid w:val="00C717E9"/>
    <w:rsid w:val="00C7348A"/>
    <w:rsid w:val="00C76863"/>
    <w:rsid w:val="00C7736B"/>
    <w:rsid w:val="00C77C79"/>
    <w:rsid w:val="00C81FA5"/>
    <w:rsid w:val="00C84339"/>
    <w:rsid w:val="00C86DC1"/>
    <w:rsid w:val="00C87C04"/>
    <w:rsid w:val="00C92A75"/>
    <w:rsid w:val="00C92A8D"/>
    <w:rsid w:val="00C92B23"/>
    <w:rsid w:val="00C92B40"/>
    <w:rsid w:val="00C93612"/>
    <w:rsid w:val="00C94366"/>
    <w:rsid w:val="00C950CB"/>
    <w:rsid w:val="00C95785"/>
    <w:rsid w:val="00C95D0A"/>
    <w:rsid w:val="00CA0209"/>
    <w:rsid w:val="00CA06C1"/>
    <w:rsid w:val="00CA251A"/>
    <w:rsid w:val="00CA31B3"/>
    <w:rsid w:val="00CA445B"/>
    <w:rsid w:val="00CA5268"/>
    <w:rsid w:val="00CA6F82"/>
    <w:rsid w:val="00CB00C1"/>
    <w:rsid w:val="00CB1125"/>
    <w:rsid w:val="00CB1C39"/>
    <w:rsid w:val="00CB2E18"/>
    <w:rsid w:val="00CB3FBA"/>
    <w:rsid w:val="00CB54FD"/>
    <w:rsid w:val="00CB588E"/>
    <w:rsid w:val="00CB61AE"/>
    <w:rsid w:val="00CB674D"/>
    <w:rsid w:val="00CB6C70"/>
    <w:rsid w:val="00CB7B3E"/>
    <w:rsid w:val="00CC0C20"/>
    <w:rsid w:val="00CC135E"/>
    <w:rsid w:val="00CC1E3B"/>
    <w:rsid w:val="00CC3BD4"/>
    <w:rsid w:val="00CC418E"/>
    <w:rsid w:val="00CC47B6"/>
    <w:rsid w:val="00CC7088"/>
    <w:rsid w:val="00CD087B"/>
    <w:rsid w:val="00CD09BD"/>
    <w:rsid w:val="00CD0CBB"/>
    <w:rsid w:val="00CD142A"/>
    <w:rsid w:val="00CD22C7"/>
    <w:rsid w:val="00CD4E98"/>
    <w:rsid w:val="00CD6B46"/>
    <w:rsid w:val="00CD75FA"/>
    <w:rsid w:val="00CE38DA"/>
    <w:rsid w:val="00CE3AE9"/>
    <w:rsid w:val="00CE4C6A"/>
    <w:rsid w:val="00CE64B9"/>
    <w:rsid w:val="00CF49BE"/>
    <w:rsid w:val="00CF6D87"/>
    <w:rsid w:val="00CF7820"/>
    <w:rsid w:val="00D00351"/>
    <w:rsid w:val="00D004CC"/>
    <w:rsid w:val="00D00D94"/>
    <w:rsid w:val="00D01784"/>
    <w:rsid w:val="00D02897"/>
    <w:rsid w:val="00D05B3F"/>
    <w:rsid w:val="00D0640B"/>
    <w:rsid w:val="00D06930"/>
    <w:rsid w:val="00D07C29"/>
    <w:rsid w:val="00D10A85"/>
    <w:rsid w:val="00D1219F"/>
    <w:rsid w:val="00D12339"/>
    <w:rsid w:val="00D12FBA"/>
    <w:rsid w:val="00D157E1"/>
    <w:rsid w:val="00D15A9D"/>
    <w:rsid w:val="00D164C2"/>
    <w:rsid w:val="00D17E9B"/>
    <w:rsid w:val="00D17F85"/>
    <w:rsid w:val="00D20C68"/>
    <w:rsid w:val="00D224F8"/>
    <w:rsid w:val="00D22A96"/>
    <w:rsid w:val="00D236F9"/>
    <w:rsid w:val="00D23D79"/>
    <w:rsid w:val="00D23FA1"/>
    <w:rsid w:val="00D2462F"/>
    <w:rsid w:val="00D26960"/>
    <w:rsid w:val="00D306C4"/>
    <w:rsid w:val="00D311AA"/>
    <w:rsid w:val="00D3148B"/>
    <w:rsid w:val="00D33D25"/>
    <w:rsid w:val="00D33DF1"/>
    <w:rsid w:val="00D355D1"/>
    <w:rsid w:val="00D35BF7"/>
    <w:rsid w:val="00D412C4"/>
    <w:rsid w:val="00D41F04"/>
    <w:rsid w:val="00D44098"/>
    <w:rsid w:val="00D44F15"/>
    <w:rsid w:val="00D45105"/>
    <w:rsid w:val="00D45B7D"/>
    <w:rsid w:val="00D46EC7"/>
    <w:rsid w:val="00D47B2C"/>
    <w:rsid w:val="00D47B86"/>
    <w:rsid w:val="00D52CAD"/>
    <w:rsid w:val="00D609AC"/>
    <w:rsid w:val="00D61949"/>
    <w:rsid w:val="00D62F69"/>
    <w:rsid w:val="00D62F89"/>
    <w:rsid w:val="00D63503"/>
    <w:rsid w:val="00D65357"/>
    <w:rsid w:val="00D66A9E"/>
    <w:rsid w:val="00D67A6F"/>
    <w:rsid w:val="00D74227"/>
    <w:rsid w:val="00D75892"/>
    <w:rsid w:val="00D76CD0"/>
    <w:rsid w:val="00D8046A"/>
    <w:rsid w:val="00D8261E"/>
    <w:rsid w:val="00D82C5B"/>
    <w:rsid w:val="00D831A4"/>
    <w:rsid w:val="00D83C02"/>
    <w:rsid w:val="00D84256"/>
    <w:rsid w:val="00D84A7E"/>
    <w:rsid w:val="00D85171"/>
    <w:rsid w:val="00D864D5"/>
    <w:rsid w:val="00D86AF4"/>
    <w:rsid w:val="00D87F66"/>
    <w:rsid w:val="00D9264F"/>
    <w:rsid w:val="00D92C39"/>
    <w:rsid w:val="00D946E3"/>
    <w:rsid w:val="00D95D57"/>
    <w:rsid w:val="00D96C1C"/>
    <w:rsid w:val="00DA1067"/>
    <w:rsid w:val="00DA3503"/>
    <w:rsid w:val="00DA3D40"/>
    <w:rsid w:val="00DA4EE5"/>
    <w:rsid w:val="00DA6442"/>
    <w:rsid w:val="00DA68C8"/>
    <w:rsid w:val="00DA6BB8"/>
    <w:rsid w:val="00DA7156"/>
    <w:rsid w:val="00DB13FC"/>
    <w:rsid w:val="00DB2355"/>
    <w:rsid w:val="00DB38AB"/>
    <w:rsid w:val="00DB446F"/>
    <w:rsid w:val="00DB797D"/>
    <w:rsid w:val="00DC0AEF"/>
    <w:rsid w:val="00DC1470"/>
    <w:rsid w:val="00DC3070"/>
    <w:rsid w:val="00DC5C58"/>
    <w:rsid w:val="00DC7583"/>
    <w:rsid w:val="00DC774E"/>
    <w:rsid w:val="00DD35AE"/>
    <w:rsid w:val="00DD3B62"/>
    <w:rsid w:val="00DD4671"/>
    <w:rsid w:val="00DD4CD2"/>
    <w:rsid w:val="00DD51CB"/>
    <w:rsid w:val="00DD6EC8"/>
    <w:rsid w:val="00DD7DC5"/>
    <w:rsid w:val="00DD7FC2"/>
    <w:rsid w:val="00DE04C0"/>
    <w:rsid w:val="00DE1C87"/>
    <w:rsid w:val="00DE26C4"/>
    <w:rsid w:val="00DE400D"/>
    <w:rsid w:val="00DE4472"/>
    <w:rsid w:val="00DE5D2A"/>
    <w:rsid w:val="00DF19F4"/>
    <w:rsid w:val="00DF4B8D"/>
    <w:rsid w:val="00DF58AE"/>
    <w:rsid w:val="00DF666E"/>
    <w:rsid w:val="00DF717A"/>
    <w:rsid w:val="00DF7A55"/>
    <w:rsid w:val="00E01F18"/>
    <w:rsid w:val="00E025E1"/>
    <w:rsid w:val="00E02AB9"/>
    <w:rsid w:val="00E030B9"/>
    <w:rsid w:val="00E04CA7"/>
    <w:rsid w:val="00E05BFD"/>
    <w:rsid w:val="00E0629B"/>
    <w:rsid w:val="00E0799F"/>
    <w:rsid w:val="00E07C34"/>
    <w:rsid w:val="00E102FD"/>
    <w:rsid w:val="00E1399F"/>
    <w:rsid w:val="00E14CDC"/>
    <w:rsid w:val="00E15998"/>
    <w:rsid w:val="00E16967"/>
    <w:rsid w:val="00E177AA"/>
    <w:rsid w:val="00E21B2C"/>
    <w:rsid w:val="00E221A7"/>
    <w:rsid w:val="00E24932"/>
    <w:rsid w:val="00E24B4A"/>
    <w:rsid w:val="00E259EF"/>
    <w:rsid w:val="00E26195"/>
    <w:rsid w:val="00E26765"/>
    <w:rsid w:val="00E26824"/>
    <w:rsid w:val="00E273E7"/>
    <w:rsid w:val="00E2776C"/>
    <w:rsid w:val="00E278E4"/>
    <w:rsid w:val="00E27CC0"/>
    <w:rsid w:val="00E31046"/>
    <w:rsid w:val="00E31DDA"/>
    <w:rsid w:val="00E33843"/>
    <w:rsid w:val="00E34B4B"/>
    <w:rsid w:val="00E37091"/>
    <w:rsid w:val="00E3768F"/>
    <w:rsid w:val="00E40B2E"/>
    <w:rsid w:val="00E44744"/>
    <w:rsid w:val="00E45108"/>
    <w:rsid w:val="00E51346"/>
    <w:rsid w:val="00E5164F"/>
    <w:rsid w:val="00E523F4"/>
    <w:rsid w:val="00E538F8"/>
    <w:rsid w:val="00E56BEB"/>
    <w:rsid w:val="00E56CFD"/>
    <w:rsid w:val="00E5738A"/>
    <w:rsid w:val="00E57428"/>
    <w:rsid w:val="00E60CED"/>
    <w:rsid w:val="00E63FFB"/>
    <w:rsid w:val="00E6418C"/>
    <w:rsid w:val="00E64A90"/>
    <w:rsid w:val="00E65076"/>
    <w:rsid w:val="00E66BFB"/>
    <w:rsid w:val="00E70403"/>
    <w:rsid w:val="00E7200E"/>
    <w:rsid w:val="00E720BD"/>
    <w:rsid w:val="00E75DD2"/>
    <w:rsid w:val="00E770AB"/>
    <w:rsid w:val="00E773D6"/>
    <w:rsid w:val="00E77CAB"/>
    <w:rsid w:val="00E80E06"/>
    <w:rsid w:val="00E812C6"/>
    <w:rsid w:val="00E81427"/>
    <w:rsid w:val="00E817A3"/>
    <w:rsid w:val="00E818DB"/>
    <w:rsid w:val="00E826AE"/>
    <w:rsid w:val="00E867AB"/>
    <w:rsid w:val="00E87960"/>
    <w:rsid w:val="00E902A8"/>
    <w:rsid w:val="00E913F0"/>
    <w:rsid w:val="00E91FCD"/>
    <w:rsid w:val="00E93E9B"/>
    <w:rsid w:val="00E94175"/>
    <w:rsid w:val="00E95C9B"/>
    <w:rsid w:val="00E96253"/>
    <w:rsid w:val="00E97F32"/>
    <w:rsid w:val="00EA0B55"/>
    <w:rsid w:val="00EA0B6D"/>
    <w:rsid w:val="00EA2015"/>
    <w:rsid w:val="00EA4065"/>
    <w:rsid w:val="00EA4C7F"/>
    <w:rsid w:val="00EA5F33"/>
    <w:rsid w:val="00EA6333"/>
    <w:rsid w:val="00EB0766"/>
    <w:rsid w:val="00EB09C3"/>
    <w:rsid w:val="00EB0B6A"/>
    <w:rsid w:val="00EB0F99"/>
    <w:rsid w:val="00EB318A"/>
    <w:rsid w:val="00EB40BF"/>
    <w:rsid w:val="00EB69A2"/>
    <w:rsid w:val="00EB70C3"/>
    <w:rsid w:val="00EB70D8"/>
    <w:rsid w:val="00EC0B3F"/>
    <w:rsid w:val="00EC2346"/>
    <w:rsid w:val="00EC2BD6"/>
    <w:rsid w:val="00EC3D7E"/>
    <w:rsid w:val="00EC4378"/>
    <w:rsid w:val="00EC5EE7"/>
    <w:rsid w:val="00EC5F6D"/>
    <w:rsid w:val="00ED0C7B"/>
    <w:rsid w:val="00ED0F16"/>
    <w:rsid w:val="00ED2208"/>
    <w:rsid w:val="00ED4C14"/>
    <w:rsid w:val="00ED4C21"/>
    <w:rsid w:val="00ED5AC1"/>
    <w:rsid w:val="00ED76AA"/>
    <w:rsid w:val="00EE2573"/>
    <w:rsid w:val="00EE3025"/>
    <w:rsid w:val="00EE3035"/>
    <w:rsid w:val="00EE3104"/>
    <w:rsid w:val="00EE3A88"/>
    <w:rsid w:val="00EE3CF2"/>
    <w:rsid w:val="00EE3ED6"/>
    <w:rsid w:val="00EE474E"/>
    <w:rsid w:val="00EE4A93"/>
    <w:rsid w:val="00EE4C98"/>
    <w:rsid w:val="00EE7299"/>
    <w:rsid w:val="00EF0445"/>
    <w:rsid w:val="00EF0EC1"/>
    <w:rsid w:val="00EF1A9B"/>
    <w:rsid w:val="00EF2033"/>
    <w:rsid w:val="00EF54E5"/>
    <w:rsid w:val="00EF62A7"/>
    <w:rsid w:val="00EF6E19"/>
    <w:rsid w:val="00EF7910"/>
    <w:rsid w:val="00F003E3"/>
    <w:rsid w:val="00F022BF"/>
    <w:rsid w:val="00F02D39"/>
    <w:rsid w:val="00F04C2D"/>
    <w:rsid w:val="00F065BF"/>
    <w:rsid w:val="00F112C3"/>
    <w:rsid w:val="00F11924"/>
    <w:rsid w:val="00F12077"/>
    <w:rsid w:val="00F1213B"/>
    <w:rsid w:val="00F12F04"/>
    <w:rsid w:val="00F130B0"/>
    <w:rsid w:val="00F13ADD"/>
    <w:rsid w:val="00F148CB"/>
    <w:rsid w:val="00F149FE"/>
    <w:rsid w:val="00F14C71"/>
    <w:rsid w:val="00F1565D"/>
    <w:rsid w:val="00F1669A"/>
    <w:rsid w:val="00F16EDA"/>
    <w:rsid w:val="00F175B4"/>
    <w:rsid w:val="00F17ABB"/>
    <w:rsid w:val="00F21759"/>
    <w:rsid w:val="00F22606"/>
    <w:rsid w:val="00F229A9"/>
    <w:rsid w:val="00F22DF2"/>
    <w:rsid w:val="00F24E70"/>
    <w:rsid w:val="00F258CD"/>
    <w:rsid w:val="00F2603F"/>
    <w:rsid w:val="00F261E9"/>
    <w:rsid w:val="00F269A6"/>
    <w:rsid w:val="00F318F6"/>
    <w:rsid w:val="00F3263F"/>
    <w:rsid w:val="00F339D5"/>
    <w:rsid w:val="00F36202"/>
    <w:rsid w:val="00F366E8"/>
    <w:rsid w:val="00F37458"/>
    <w:rsid w:val="00F4016D"/>
    <w:rsid w:val="00F41E85"/>
    <w:rsid w:val="00F42F9A"/>
    <w:rsid w:val="00F46AAC"/>
    <w:rsid w:val="00F46D90"/>
    <w:rsid w:val="00F5081B"/>
    <w:rsid w:val="00F508C0"/>
    <w:rsid w:val="00F51BFF"/>
    <w:rsid w:val="00F522AC"/>
    <w:rsid w:val="00F54572"/>
    <w:rsid w:val="00F564C8"/>
    <w:rsid w:val="00F564EB"/>
    <w:rsid w:val="00F56DA7"/>
    <w:rsid w:val="00F5711A"/>
    <w:rsid w:val="00F57158"/>
    <w:rsid w:val="00F621DC"/>
    <w:rsid w:val="00F701E1"/>
    <w:rsid w:val="00F7093C"/>
    <w:rsid w:val="00F71AB0"/>
    <w:rsid w:val="00F73278"/>
    <w:rsid w:val="00F74317"/>
    <w:rsid w:val="00F760B4"/>
    <w:rsid w:val="00F815EC"/>
    <w:rsid w:val="00F817EF"/>
    <w:rsid w:val="00F81BDD"/>
    <w:rsid w:val="00F82A42"/>
    <w:rsid w:val="00F86460"/>
    <w:rsid w:val="00F90134"/>
    <w:rsid w:val="00F91B77"/>
    <w:rsid w:val="00F922E8"/>
    <w:rsid w:val="00F9299B"/>
    <w:rsid w:val="00F932AD"/>
    <w:rsid w:val="00F959E2"/>
    <w:rsid w:val="00F965F4"/>
    <w:rsid w:val="00F96BA3"/>
    <w:rsid w:val="00F971DA"/>
    <w:rsid w:val="00FA07D4"/>
    <w:rsid w:val="00FA144C"/>
    <w:rsid w:val="00FA224A"/>
    <w:rsid w:val="00FA5108"/>
    <w:rsid w:val="00FA63A0"/>
    <w:rsid w:val="00FA6A55"/>
    <w:rsid w:val="00FA7938"/>
    <w:rsid w:val="00FA7A02"/>
    <w:rsid w:val="00FB04A4"/>
    <w:rsid w:val="00FB2C44"/>
    <w:rsid w:val="00FB36CA"/>
    <w:rsid w:val="00FB3732"/>
    <w:rsid w:val="00FB56A1"/>
    <w:rsid w:val="00FC1041"/>
    <w:rsid w:val="00FC1191"/>
    <w:rsid w:val="00FC1EC8"/>
    <w:rsid w:val="00FC3F4C"/>
    <w:rsid w:val="00FC5398"/>
    <w:rsid w:val="00FC5B67"/>
    <w:rsid w:val="00FC66A3"/>
    <w:rsid w:val="00FC7BC6"/>
    <w:rsid w:val="00FD2871"/>
    <w:rsid w:val="00FD30A4"/>
    <w:rsid w:val="00FD42A3"/>
    <w:rsid w:val="00FD518F"/>
    <w:rsid w:val="00FD5798"/>
    <w:rsid w:val="00FD59B0"/>
    <w:rsid w:val="00FE2803"/>
    <w:rsid w:val="00FE65EC"/>
    <w:rsid w:val="00FF214F"/>
    <w:rsid w:val="00FF3EDC"/>
    <w:rsid w:val="00FF48BB"/>
    <w:rsid w:val="00FF4944"/>
    <w:rsid w:val="00FF716E"/>
    <w:rsid w:val="00FF770C"/>
    <w:rsid w:val="00FF7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B2657F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F0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6F03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  <w:lang w:val="pt-BR" w:eastAsia="pt-BR"/>
    </w:rPr>
  </w:style>
  <w:style w:type="character" w:customStyle="1" w:styleId="CommentSubjectChar">
    <w:name w:val="Comment Subject Char"/>
    <w:link w:val="CommentSubject"/>
    <w:uiPriority w:val="99"/>
    <w:semiHidden/>
    <w:locked/>
    <w:rsid w:val="008E6F03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/>
      <w:sz w:val="16"/>
      <w:szCs w:val="16"/>
      <w:lang w:val="pt-BR" w:eastAsia="pt-BR"/>
    </w:rPr>
  </w:style>
  <w:style w:type="character" w:customStyle="1" w:styleId="BalloonTextChar">
    <w:name w:val="Balloon Text Char"/>
    <w:link w:val="BalloonText"/>
    <w:uiPriority w:val="99"/>
    <w:semiHidden/>
    <w:locked/>
    <w:rsid w:val="008E6F03"/>
    <w:rPr>
      <w:rFonts w:ascii="Tahoma" w:hAnsi="Tahoma" w:cs="Times New Roman"/>
      <w:sz w:val="16"/>
    </w:rPr>
  </w:style>
  <w:style w:type="paragraph" w:customStyle="1" w:styleId="Chapter">
    <w:name w:val="Chapter"/>
    <w:basedOn w:val="Normal"/>
    <w:next w:val="Normal"/>
    <w:rsid w:val="002422DD"/>
    <w:pPr>
      <w:numPr>
        <w:numId w:val="1"/>
      </w:numPr>
      <w:tabs>
        <w:tab w:val="left" w:pos="1440"/>
      </w:tabs>
      <w:spacing w:after="240" w:line="240" w:lineRule="auto"/>
      <w:jc w:val="center"/>
    </w:pPr>
    <w:rPr>
      <w:rFonts w:ascii="Times New Roman" w:hAnsi="Times New Roman"/>
      <w:b/>
      <w:smallCaps/>
      <w:sz w:val="24"/>
      <w:szCs w:val="20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rsid w:val="002422DD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hAnsi="Times New Roman"/>
      <w:sz w:val="24"/>
      <w:szCs w:val="20"/>
      <w:lang w:val="pt-BR"/>
    </w:rPr>
  </w:style>
  <w:style w:type="paragraph" w:customStyle="1" w:styleId="subpar">
    <w:name w:val="subpar"/>
    <w:basedOn w:val="BodyTextIndent3"/>
    <w:rsid w:val="002422DD"/>
    <w:pPr>
      <w:numPr>
        <w:ilvl w:val="2"/>
        <w:numId w:val="1"/>
      </w:numPr>
      <w:spacing w:before="120" w:line="240" w:lineRule="auto"/>
      <w:jc w:val="both"/>
      <w:outlineLvl w:val="2"/>
    </w:pPr>
    <w:rPr>
      <w:rFonts w:ascii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2422DD"/>
    <w:pPr>
      <w:numPr>
        <w:ilvl w:val="3"/>
      </w:numPr>
      <w:tabs>
        <w:tab w:val="left" w:pos="0"/>
      </w:tabs>
      <w:ind w:left="2745" w:hanging="360"/>
    </w:pPr>
  </w:style>
  <w:style w:type="character" w:customStyle="1" w:styleId="ParagraphChar">
    <w:name w:val="Paragraph Char"/>
    <w:link w:val="Paragraph"/>
    <w:locked/>
    <w:rsid w:val="002422DD"/>
    <w:rPr>
      <w:rFonts w:ascii="Times New Roman" w:hAnsi="Times New Roman" w:cs="Times New Roman"/>
      <w:sz w:val="24"/>
      <w:lang w:val="pt-BR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422DD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locked/>
    <w:rsid w:val="002422DD"/>
    <w:rPr>
      <w:rFonts w:cs="Times New Roman"/>
      <w:sz w:val="22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422D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2422DD"/>
    <w:rPr>
      <w:rFonts w:cs="Times New Roman"/>
      <w:sz w:val="1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B66CA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B66CA2"/>
    <w:rPr>
      <w:rFonts w:cs="Times New Roman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66CA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B66CA2"/>
    <w:rPr>
      <w:rFonts w:cs="Times New Roman"/>
      <w:sz w:val="22"/>
      <w:lang w:val="en-US" w:eastAsia="en-US"/>
    </w:rPr>
  </w:style>
  <w:style w:type="character" w:styleId="PageNumber">
    <w:name w:val="page number"/>
    <w:uiPriority w:val="99"/>
    <w:rsid w:val="00B66CA2"/>
    <w:rPr>
      <w:rFonts w:cs="Times New Roman"/>
    </w:rPr>
  </w:style>
  <w:style w:type="character" w:customStyle="1" w:styleId="textoformbold1">
    <w:name w:val="textoformbold1"/>
    <w:rsid w:val="00B66CA2"/>
    <w:rPr>
      <w:rFonts w:ascii="Verdana" w:hAnsi="Verdana"/>
      <w:b/>
      <w:color w:val="000000"/>
      <w:sz w:val="17"/>
    </w:rPr>
  </w:style>
  <w:style w:type="character" w:styleId="BookTitle">
    <w:name w:val="Book Title"/>
    <w:uiPriority w:val="33"/>
    <w:qFormat/>
    <w:rsid w:val="00B66CA2"/>
    <w:rPr>
      <w:rFonts w:cs="Times New Roman"/>
      <w:b/>
      <w:smallCaps/>
      <w:spacing w:val="5"/>
    </w:rPr>
  </w:style>
  <w:style w:type="paragraph" w:styleId="ListParagraph">
    <w:name w:val="List Paragraph"/>
    <w:basedOn w:val="Normal"/>
    <w:uiPriority w:val="34"/>
    <w:qFormat/>
    <w:rsid w:val="00614426"/>
    <w:pPr>
      <w:spacing w:after="0" w:line="240" w:lineRule="auto"/>
      <w:ind w:left="72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565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565F1"/>
    <w:rPr>
      <w:rFonts w:cs="Times New Roman"/>
      <w:lang w:val="en-US" w:eastAsia="en-US"/>
    </w:rPr>
  </w:style>
  <w:style w:type="character" w:styleId="FootnoteReference">
    <w:name w:val="footnote reference"/>
    <w:aliases w:val="titulo 2,Style 24,pie pddes,referencia nota al pie,Fußnotenzeichen DISS,16 Point,Superscript 6 Point,ftref,FC"/>
    <w:rsid w:val="00C565F1"/>
    <w:rPr>
      <w:rFonts w:cs="Times New Roman"/>
      <w:vertAlign w:val="superscript"/>
    </w:rPr>
  </w:style>
  <w:style w:type="paragraph" w:customStyle="1" w:styleId="Default">
    <w:name w:val="Default"/>
    <w:rsid w:val="00AD69C2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eastAsia="pt-BR"/>
    </w:rPr>
  </w:style>
  <w:style w:type="paragraph" w:styleId="Revision">
    <w:name w:val="Revision"/>
    <w:hidden/>
    <w:uiPriority w:val="99"/>
    <w:semiHidden/>
    <w:rsid w:val="005233CB"/>
    <w:rPr>
      <w:rFonts w:cs="Times New Roman"/>
      <w:sz w:val="22"/>
      <w:szCs w:val="22"/>
    </w:rPr>
  </w:style>
  <w:style w:type="character" w:styleId="Hyperlink">
    <w:name w:val="Hyperlink"/>
    <w:uiPriority w:val="99"/>
    <w:unhideWhenUsed/>
    <w:rsid w:val="002A244F"/>
    <w:rPr>
      <w:color w:val="0000FF"/>
      <w:u w:val="single"/>
    </w:rPr>
  </w:style>
  <w:style w:type="paragraph" w:customStyle="1" w:styleId="Standard">
    <w:name w:val="Standard"/>
    <w:rsid w:val="00264C1D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kern w:val="3"/>
      <w:sz w:val="22"/>
      <w:szCs w:val="22"/>
      <w:lang w:val="pt-BR" w:eastAsia="zh-CN"/>
    </w:rPr>
  </w:style>
  <w:style w:type="character" w:styleId="FollowedHyperlink">
    <w:name w:val="FollowedHyperlink"/>
    <w:uiPriority w:val="99"/>
    <w:semiHidden/>
    <w:unhideWhenUsed/>
    <w:rsid w:val="001224D2"/>
    <w:rPr>
      <w:color w:val="800080"/>
      <w:u w:val="single"/>
    </w:rPr>
  </w:style>
  <w:style w:type="paragraph" w:styleId="NoSpacing">
    <w:name w:val="No Spacing"/>
    <w:uiPriority w:val="99"/>
    <w:qFormat/>
    <w:rsid w:val="00576DC3"/>
    <w:rPr>
      <w:rFonts w:eastAsia="MS Mincho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B2657F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F0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6F03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  <w:lang w:val="pt-BR" w:eastAsia="pt-BR"/>
    </w:rPr>
  </w:style>
  <w:style w:type="character" w:customStyle="1" w:styleId="CommentSubjectChar">
    <w:name w:val="Comment Subject Char"/>
    <w:link w:val="CommentSubject"/>
    <w:uiPriority w:val="99"/>
    <w:semiHidden/>
    <w:locked/>
    <w:rsid w:val="008E6F03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/>
      <w:sz w:val="16"/>
      <w:szCs w:val="16"/>
      <w:lang w:val="pt-BR" w:eastAsia="pt-BR"/>
    </w:rPr>
  </w:style>
  <w:style w:type="character" w:customStyle="1" w:styleId="BalloonTextChar">
    <w:name w:val="Balloon Text Char"/>
    <w:link w:val="BalloonText"/>
    <w:uiPriority w:val="99"/>
    <w:semiHidden/>
    <w:locked/>
    <w:rsid w:val="008E6F03"/>
    <w:rPr>
      <w:rFonts w:ascii="Tahoma" w:hAnsi="Tahoma" w:cs="Times New Roman"/>
      <w:sz w:val="16"/>
    </w:rPr>
  </w:style>
  <w:style w:type="paragraph" w:customStyle="1" w:styleId="Chapter">
    <w:name w:val="Chapter"/>
    <w:basedOn w:val="Normal"/>
    <w:next w:val="Normal"/>
    <w:rsid w:val="002422DD"/>
    <w:pPr>
      <w:numPr>
        <w:numId w:val="1"/>
      </w:numPr>
      <w:tabs>
        <w:tab w:val="left" w:pos="1440"/>
      </w:tabs>
      <w:spacing w:after="240" w:line="240" w:lineRule="auto"/>
      <w:jc w:val="center"/>
    </w:pPr>
    <w:rPr>
      <w:rFonts w:ascii="Times New Roman" w:hAnsi="Times New Roman"/>
      <w:b/>
      <w:smallCaps/>
      <w:sz w:val="24"/>
      <w:szCs w:val="20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rsid w:val="002422DD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hAnsi="Times New Roman"/>
      <w:sz w:val="24"/>
      <w:szCs w:val="20"/>
      <w:lang w:val="pt-BR"/>
    </w:rPr>
  </w:style>
  <w:style w:type="paragraph" w:customStyle="1" w:styleId="subpar">
    <w:name w:val="subpar"/>
    <w:basedOn w:val="BodyTextIndent3"/>
    <w:rsid w:val="002422DD"/>
    <w:pPr>
      <w:numPr>
        <w:ilvl w:val="2"/>
        <w:numId w:val="1"/>
      </w:numPr>
      <w:spacing w:before="120" w:line="240" w:lineRule="auto"/>
      <w:jc w:val="both"/>
      <w:outlineLvl w:val="2"/>
    </w:pPr>
    <w:rPr>
      <w:rFonts w:ascii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2422DD"/>
    <w:pPr>
      <w:numPr>
        <w:ilvl w:val="3"/>
      </w:numPr>
      <w:tabs>
        <w:tab w:val="left" w:pos="0"/>
      </w:tabs>
      <w:ind w:left="2745" w:hanging="360"/>
    </w:pPr>
  </w:style>
  <w:style w:type="character" w:customStyle="1" w:styleId="ParagraphChar">
    <w:name w:val="Paragraph Char"/>
    <w:link w:val="Paragraph"/>
    <w:locked/>
    <w:rsid w:val="002422DD"/>
    <w:rPr>
      <w:rFonts w:ascii="Times New Roman" w:hAnsi="Times New Roman" w:cs="Times New Roman"/>
      <w:sz w:val="24"/>
      <w:lang w:val="pt-BR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422DD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locked/>
    <w:rsid w:val="002422DD"/>
    <w:rPr>
      <w:rFonts w:cs="Times New Roman"/>
      <w:sz w:val="22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422D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2422DD"/>
    <w:rPr>
      <w:rFonts w:cs="Times New Roman"/>
      <w:sz w:val="1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B66CA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B66CA2"/>
    <w:rPr>
      <w:rFonts w:cs="Times New Roman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66CA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B66CA2"/>
    <w:rPr>
      <w:rFonts w:cs="Times New Roman"/>
      <w:sz w:val="22"/>
      <w:lang w:val="en-US" w:eastAsia="en-US"/>
    </w:rPr>
  </w:style>
  <w:style w:type="character" w:styleId="PageNumber">
    <w:name w:val="page number"/>
    <w:uiPriority w:val="99"/>
    <w:rsid w:val="00B66CA2"/>
    <w:rPr>
      <w:rFonts w:cs="Times New Roman"/>
    </w:rPr>
  </w:style>
  <w:style w:type="character" w:customStyle="1" w:styleId="textoformbold1">
    <w:name w:val="textoformbold1"/>
    <w:rsid w:val="00B66CA2"/>
    <w:rPr>
      <w:rFonts w:ascii="Verdana" w:hAnsi="Verdana"/>
      <w:b/>
      <w:color w:val="000000"/>
      <w:sz w:val="17"/>
    </w:rPr>
  </w:style>
  <w:style w:type="character" w:styleId="BookTitle">
    <w:name w:val="Book Title"/>
    <w:uiPriority w:val="33"/>
    <w:qFormat/>
    <w:rsid w:val="00B66CA2"/>
    <w:rPr>
      <w:rFonts w:cs="Times New Roman"/>
      <w:b/>
      <w:smallCaps/>
      <w:spacing w:val="5"/>
    </w:rPr>
  </w:style>
  <w:style w:type="paragraph" w:styleId="ListParagraph">
    <w:name w:val="List Paragraph"/>
    <w:basedOn w:val="Normal"/>
    <w:uiPriority w:val="34"/>
    <w:qFormat/>
    <w:rsid w:val="00614426"/>
    <w:pPr>
      <w:spacing w:after="0" w:line="240" w:lineRule="auto"/>
      <w:ind w:left="72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565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565F1"/>
    <w:rPr>
      <w:rFonts w:cs="Times New Roman"/>
      <w:lang w:val="en-US" w:eastAsia="en-US"/>
    </w:rPr>
  </w:style>
  <w:style w:type="character" w:styleId="FootnoteReference">
    <w:name w:val="footnote reference"/>
    <w:aliases w:val="titulo 2,Style 24,pie pddes,referencia nota al pie,Fußnotenzeichen DISS,16 Point,Superscript 6 Point,ftref,FC"/>
    <w:rsid w:val="00C565F1"/>
    <w:rPr>
      <w:rFonts w:cs="Times New Roman"/>
      <w:vertAlign w:val="superscript"/>
    </w:rPr>
  </w:style>
  <w:style w:type="paragraph" w:customStyle="1" w:styleId="Default">
    <w:name w:val="Default"/>
    <w:rsid w:val="00AD69C2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eastAsia="pt-BR"/>
    </w:rPr>
  </w:style>
  <w:style w:type="paragraph" w:styleId="Revision">
    <w:name w:val="Revision"/>
    <w:hidden/>
    <w:uiPriority w:val="99"/>
    <w:semiHidden/>
    <w:rsid w:val="005233CB"/>
    <w:rPr>
      <w:rFonts w:cs="Times New Roman"/>
      <w:sz w:val="22"/>
      <w:szCs w:val="22"/>
    </w:rPr>
  </w:style>
  <w:style w:type="character" w:styleId="Hyperlink">
    <w:name w:val="Hyperlink"/>
    <w:uiPriority w:val="99"/>
    <w:unhideWhenUsed/>
    <w:rsid w:val="002A244F"/>
    <w:rPr>
      <w:color w:val="0000FF"/>
      <w:u w:val="single"/>
    </w:rPr>
  </w:style>
  <w:style w:type="paragraph" w:customStyle="1" w:styleId="Standard">
    <w:name w:val="Standard"/>
    <w:rsid w:val="00264C1D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kern w:val="3"/>
      <w:sz w:val="22"/>
      <w:szCs w:val="22"/>
      <w:lang w:val="pt-BR" w:eastAsia="zh-CN"/>
    </w:rPr>
  </w:style>
  <w:style w:type="character" w:styleId="FollowedHyperlink">
    <w:name w:val="FollowedHyperlink"/>
    <w:uiPriority w:val="99"/>
    <w:semiHidden/>
    <w:unhideWhenUsed/>
    <w:rsid w:val="001224D2"/>
    <w:rPr>
      <w:color w:val="800080"/>
      <w:u w:val="single"/>
    </w:rPr>
  </w:style>
  <w:style w:type="paragraph" w:styleId="NoSpacing">
    <w:name w:val="No Spacing"/>
    <w:uiPriority w:val="99"/>
    <w:qFormat/>
    <w:rsid w:val="00576DC3"/>
    <w:rPr>
      <w:rFonts w:eastAsia="MS Mincho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2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2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customXml" Target="../customXml/item5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3A7C77F4D7096B4FA3F543C3ED0D3AED" ma:contentTypeVersion="0" ma:contentTypeDescription="A content type to manage public (operations) IDB documents" ma:contentTypeScope="" ma:versionID="1989fb695322d688900583e4bfe430e5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IFD/ICS</Division_x0020_or_x0020_Unit>
    <Other_x0020_Author xmlns="9c571b2f-e523-4ab2-ba2e-09e151a03ef4" xsi:nil="true"/>
    <Region xmlns="9c571b2f-e523-4ab2-ba2e-09e151a03ef4" xsi:nil="true"/>
    <IDBDocs_x0020_Number xmlns="9c571b2f-e523-4ab2-ba2e-09e151a03ef4">39166373</IDBDocs_x0020_Number>
    <Document_x0020_Author xmlns="9c571b2f-e523-4ab2-ba2e-09e151a03ef4">Caprirolo, Dino</Document_x0020_Author>
    <Publication_x0020_Type xmlns="9c571b2f-e523-4ab2-ba2e-09e151a03ef4" xsi:nil="true"/>
    <Operation_x0020_Type xmlns="9c571b2f-e523-4ab2-ba2e-09e151a03ef4" xsi:nil="true"/>
    <TaxCatchAll xmlns="9c571b2f-e523-4ab2-ba2e-09e151a03ef4">
      <Value>11</Value>
      <Value>10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BR-L1417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Proposal&lt;/USER_STAGE&gt;&lt;PD_OBJ_TYPE&gt;0&lt;/PD_OBJ_TYPE&gt;&lt;MAKERECORD&gt;N&lt;/MAKERECORD&gt;&lt;PD_FILEPT_NO&gt;PO-BR-L1417-Anl&lt;/PD_FILEPT_NO&gt;&lt;/Data&gt;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DS-SEC</Webtopic>
    <Identifier xmlns="9c571b2f-e523-4ab2-ba2e-09e151a03ef4">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D26358E5-6606-4665-89FB-6C69A554AEEA}"/>
</file>

<file path=customXml/itemProps2.xml><?xml version="1.0" encoding="utf-8"?>
<ds:datastoreItem xmlns:ds="http://schemas.openxmlformats.org/officeDocument/2006/customXml" ds:itemID="{BFEBB9EE-A967-4C4C-957B-8416AF6548B9}"/>
</file>

<file path=customXml/itemProps3.xml><?xml version="1.0" encoding="utf-8"?>
<ds:datastoreItem xmlns:ds="http://schemas.openxmlformats.org/officeDocument/2006/customXml" ds:itemID="{B5EE2BC8-2043-443D-9968-90EBEB41A705}"/>
</file>

<file path=customXml/itemProps4.xml><?xml version="1.0" encoding="utf-8"?>
<ds:datastoreItem xmlns:ds="http://schemas.openxmlformats.org/officeDocument/2006/customXml" ds:itemID="{BADBE6D3-3B7B-4378-B26C-80E43E11E832}"/>
</file>

<file path=customXml/itemProps5.xml><?xml version="1.0" encoding="utf-8"?>
<ds:datastoreItem xmlns:ds="http://schemas.openxmlformats.org/officeDocument/2006/customXml" ds:itemID="{E8ABE51B-1157-43DB-8AFE-31D64879E36B}"/>
</file>

<file path=customXml/itemProps6.xml><?xml version="1.0" encoding="utf-8"?>
<ds:datastoreItem xmlns:ds="http://schemas.openxmlformats.org/officeDocument/2006/customXml" ds:itemID="{7C4B06D7-4999-4D42-9369-A34F4D4922F8}"/>
</file>

<file path=customXml/itemProps7.xml><?xml version="1.0" encoding="utf-8"?>
<ds:datastoreItem xmlns:ds="http://schemas.openxmlformats.org/officeDocument/2006/customXml" ds:itemID="{064C79B3-51B7-4910-A933-8B3CD6D1CC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3303</Words>
  <Characters>18828</Characters>
  <Application>Microsoft Office Word</Application>
  <DocSecurity>0</DocSecurity>
  <Lines>156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22087</CharactersWithSpaces>
  <SharedDoc>false</SharedDoc>
  <HLinks>
    <vt:vector size="6" baseType="variant">
      <vt:variant>
        <vt:i4>131164</vt:i4>
      </vt:variant>
      <vt:variant>
        <vt:i4>0</vt:i4>
      </vt:variant>
      <vt:variant>
        <vt:i4>0</vt:i4>
      </vt:variant>
      <vt:variant>
        <vt:i4>5</vt:i4>
      </vt:variant>
      <vt:variant>
        <vt:lpwstr>http://www.todospelaeducacao.org.br/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Resultados Detallada</dc:title>
  <dc:creator>IADB</dc:creator>
  <cp:lastModifiedBy>Melissa</cp:lastModifiedBy>
  <cp:revision>5</cp:revision>
  <cp:lastPrinted>2014-10-23T18:08:00Z</cp:lastPrinted>
  <dcterms:created xsi:type="dcterms:W3CDTF">2014-11-03T17:18:00Z</dcterms:created>
  <dcterms:modified xsi:type="dcterms:W3CDTF">2014-11-04T18:22:00Z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-1634262268</vt:i4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ContentTypeId">
    <vt:lpwstr>0x01010046CF21643EE8D14686A648AA6DAD0892003A7C77F4D7096B4FA3F543C3ED0D3AED</vt:lpwstr>
  </property>
  <property fmtid="{D5CDD505-2E9C-101B-9397-08002B2CF9AE}" pid="6" name="TaxKeywordTaxHTField">
    <vt:lpwstr/>
  </property>
  <property fmtid="{D5CDD505-2E9C-101B-9397-08002B2CF9AE}" pid="7" name="Series Operations IDB">
    <vt:lpwstr>10;#Loan Proposal|6ee86b6f-6e46-485b-8bfb-87a1f44622ac</vt:lpwstr>
  </property>
  <property fmtid="{D5CDD505-2E9C-101B-9397-08002B2CF9AE}" pid="8" name="Sub-Sector">
    <vt:lpwstr/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10;#Loan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Function Operations IDB">
    <vt:lpwstr>11;#Project Preparation, Planning and Design|29ca0c72-1fc4-435f-a09c-28585cb5eac9</vt:lpwstr>
  </property>
</Properties>
</file>