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B39" w:rsidRPr="00784629" w:rsidRDefault="00504B39" w:rsidP="00784629">
      <w:pPr>
        <w:jc w:val="center"/>
        <w:rPr>
          <w:b/>
          <w:lang w:val="fr-FR"/>
        </w:rPr>
      </w:pPr>
      <w:r w:rsidRPr="00784629">
        <w:rPr>
          <w:b/>
          <w:lang w:val="fr-FR"/>
        </w:rPr>
        <w:t>JAMAICA</w:t>
      </w:r>
    </w:p>
    <w:p w:rsidR="00504B39" w:rsidRPr="00784629" w:rsidRDefault="00504B39" w:rsidP="00784629">
      <w:pPr>
        <w:jc w:val="center"/>
        <w:rPr>
          <w:b/>
          <w:lang w:val="fr-FR"/>
        </w:rPr>
      </w:pPr>
      <w:r w:rsidRPr="00784629">
        <w:rPr>
          <w:b/>
          <w:lang w:val="fr-FR"/>
        </w:rPr>
        <w:t>JA-L1014</w:t>
      </w:r>
    </w:p>
    <w:p w:rsidR="00504B39" w:rsidRDefault="00504B39" w:rsidP="00784629">
      <w:pPr>
        <w:jc w:val="center"/>
        <w:rPr>
          <w:b/>
          <w:lang w:val="fr-FR"/>
        </w:rPr>
      </w:pPr>
      <w:r w:rsidRPr="00504B39">
        <w:rPr>
          <w:b/>
          <w:lang w:val="fr-FR"/>
        </w:rPr>
        <w:t>JAMAICA COMP</w:t>
      </w:r>
      <w:r>
        <w:rPr>
          <w:b/>
          <w:lang w:val="fr-FR"/>
        </w:rPr>
        <w:t>ETITIVENNES ENHANCEMENT PROGRAM</w:t>
      </w:r>
    </w:p>
    <w:p w:rsidR="00504B39" w:rsidRDefault="00504B39" w:rsidP="00784629">
      <w:pPr>
        <w:jc w:val="center"/>
        <w:rPr>
          <w:b/>
          <w:lang w:val="fr-FR"/>
        </w:rPr>
      </w:pPr>
    </w:p>
    <w:p w:rsidR="008C1DEE" w:rsidRPr="007B04E0" w:rsidRDefault="008C1DEE" w:rsidP="00784629">
      <w:pPr>
        <w:jc w:val="center"/>
        <w:rPr>
          <w:b/>
          <w:lang w:val="fr-FR"/>
        </w:rPr>
      </w:pPr>
    </w:p>
    <w:p w:rsidR="008C1DEE" w:rsidRPr="007B04E0" w:rsidRDefault="008C1DEE" w:rsidP="00784629">
      <w:pPr>
        <w:jc w:val="center"/>
        <w:rPr>
          <w:b/>
          <w:lang w:val="fr-FR"/>
        </w:rPr>
      </w:pPr>
    </w:p>
    <w:p w:rsidR="008C1DEE" w:rsidRPr="007B04E0" w:rsidRDefault="008C1DEE" w:rsidP="00784629">
      <w:pPr>
        <w:jc w:val="center"/>
        <w:rPr>
          <w:b/>
          <w:lang w:val="fr-FR"/>
        </w:rPr>
      </w:pPr>
    </w:p>
    <w:p w:rsidR="008C1DEE" w:rsidRPr="007B04E0" w:rsidRDefault="008C1DEE" w:rsidP="00784629">
      <w:pPr>
        <w:jc w:val="center"/>
        <w:rPr>
          <w:b/>
          <w:lang w:val="fr-FR"/>
        </w:rPr>
      </w:pPr>
    </w:p>
    <w:p w:rsidR="008C1DEE" w:rsidRPr="007B04E0" w:rsidRDefault="008C1DEE" w:rsidP="00784629">
      <w:pPr>
        <w:jc w:val="center"/>
        <w:rPr>
          <w:b/>
          <w:lang w:val="fr-FR"/>
        </w:rPr>
      </w:pPr>
    </w:p>
    <w:p w:rsidR="008C1DEE" w:rsidRPr="007B04E0" w:rsidRDefault="008C1DEE" w:rsidP="00784629">
      <w:pPr>
        <w:jc w:val="center"/>
        <w:rPr>
          <w:b/>
          <w:lang w:val="fr-FR"/>
        </w:rPr>
      </w:pPr>
    </w:p>
    <w:p w:rsidR="008C1DEE" w:rsidRPr="007B04E0" w:rsidRDefault="008C1DEE" w:rsidP="00784629">
      <w:pPr>
        <w:jc w:val="center"/>
        <w:rPr>
          <w:b/>
          <w:lang w:val="fr-FR"/>
        </w:rPr>
      </w:pPr>
    </w:p>
    <w:p w:rsidR="008C1DEE" w:rsidRPr="007B04E0" w:rsidRDefault="008C1DEE" w:rsidP="00784629">
      <w:pPr>
        <w:jc w:val="center"/>
        <w:rPr>
          <w:b/>
          <w:lang w:val="fr-FR"/>
        </w:rPr>
      </w:pPr>
    </w:p>
    <w:p w:rsidR="008C1DEE" w:rsidRPr="007B04E0" w:rsidRDefault="008C1DEE" w:rsidP="00784629">
      <w:pPr>
        <w:jc w:val="center"/>
        <w:rPr>
          <w:b/>
          <w:lang w:val="fr-FR"/>
        </w:rPr>
      </w:pPr>
    </w:p>
    <w:p w:rsidR="008C1DEE" w:rsidRPr="007B04E0" w:rsidRDefault="008C1DEE" w:rsidP="00784629">
      <w:pPr>
        <w:jc w:val="center"/>
        <w:rPr>
          <w:b/>
          <w:lang w:val="fr-FR"/>
        </w:rPr>
      </w:pPr>
    </w:p>
    <w:p w:rsidR="00504B39" w:rsidRPr="00E4323B" w:rsidRDefault="00504B39" w:rsidP="00784629">
      <w:pPr>
        <w:jc w:val="center"/>
        <w:rPr>
          <w:b/>
        </w:rPr>
      </w:pPr>
      <w:r w:rsidRPr="00E4323B">
        <w:rPr>
          <w:b/>
        </w:rPr>
        <w:t>COST/BENEFIT ANALYSIS</w:t>
      </w:r>
    </w:p>
    <w:p w:rsidR="00504B39" w:rsidRPr="00E4323B" w:rsidRDefault="00504B39" w:rsidP="00784629">
      <w:pPr>
        <w:jc w:val="center"/>
        <w:rPr>
          <w:b/>
        </w:rPr>
      </w:pPr>
      <w:r w:rsidRPr="00E4323B">
        <w:rPr>
          <w:b/>
        </w:rPr>
        <w:t>RIA METHODOLOGY</w:t>
      </w:r>
    </w:p>
    <w:p w:rsidR="00504B39" w:rsidRPr="00E4323B" w:rsidRDefault="00504B39" w:rsidP="00784629">
      <w:pPr>
        <w:jc w:val="center"/>
        <w:rPr>
          <w:b/>
        </w:rPr>
      </w:pPr>
    </w:p>
    <w:p w:rsidR="00504B39" w:rsidRDefault="00504B39" w:rsidP="00784629">
      <w:pPr>
        <w:jc w:val="center"/>
        <w:rPr>
          <w:b/>
        </w:rPr>
      </w:pPr>
    </w:p>
    <w:p w:rsidR="008C1DEE" w:rsidRDefault="008C1DEE" w:rsidP="00784629">
      <w:pPr>
        <w:jc w:val="center"/>
        <w:rPr>
          <w:b/>
        </w:rPr>
      </w:pPr>
    </w:p>
    <w:p w:rsidR="008C1DEE" w:rsidRDefault="008C1DEE" w:rsidP="00784629">
      <w:pPr>
        <w:jc w:val="center"/>
        <w:rPr>
          <w:b/>
        </w:rPr>
      </w:pPr>
    </w:p>
    <w:p w:rsidR="008C1DEE" w:rsidRDefault="008C1DEE" w:rsidP="00784629">
      <w:pPr>
        <w:jc w:val="center"/>
        <w:rPr>
          <w:b/>
        </w:rPr>
      </w:pPr>
    </w:p>
    <w:p w:rsidR="008C1DEE" w:rsidRDefault="008C1DEE" w:rsidP="00784629">
      <w:pPr>
        <w:jc w:val="center"/>
        <w:rPr>
          <w:b/>
        </w:rPr>
      </w:pPr>
    </w:p>
    <w:p w:rsidR="008C1DEE" w:rsidRPr="00E4323B" w:rsidRDefault="008C1DEE" w:rsidP="00784629">
      <w:pPr>
        <w:jc w:val="center"/>
        <w:rPr>
          <w:b/>
        </w:rPr>
      </w:pPr>
    </w:p>
    <w:p w:rsidR="00504B39" w:rsidRPr="00E4323B" w:rsidRDefault="00504B39" w:rsidP="00784629">
      <w:pPr>
        <w:jc w:val="center"/>
        <w:rPr>
          <w:b/>
        </w:rPr>
      </w:pPr>
    </w:p>
    <w:p w:rsidR="00504B39" w:rsidRPr="00E4323B" w:rsidRDefault="00504B39" w:rsidP="00784629">
      <w:pPr>
        <w:jc w:val="center"/>
        <w:rPr>
          <w:b/>
        </w:rPr>
      </w:pPr>
      <w:r w:rsidRPr="00E4323B">
        <w:rPr>
          <w:b/>
        </w:rPr>
        <w:t>November 2013</w:t>
      </w:r>
    </w:p>
    <w:p w:rsidR="00504B39" w:rsidRPr="00E4323B" w:rsidRDefault="00504B39">
      <w:pPr>
        <w:rPr>
          <w:b/>
        </w:rPr>
      </w:pPr>
      <w:r w:rsidRPr="00E4323B">
        <w:rPr>
          <w:b/>
        </w:rPr>
        <w:br w:type="page"/>
      </w:r>
    </w:p>
    <w:p w:rsidR="008432B8" w:rsidRPr="00DF1720" w:rsidRDefault="00DF1720" w:rsidP="00A33DA4">
      <w:pPr>
        <w:pStyle w:val="ListParagraph"/>
        <w:jc w:val="center"/>
        <w:rPr>
          <w:b/>
        </w:rPr>
      </w:pPr>
      <w:r w:rsidRPr="00DF1720">
        <w:rPr>
          <w:b/>
        </w:rPr>
        <w:lastRenderedPageBreak/>
        <w:t>Cost Benefit Analysis</w:t>
      </w:r>
      <w:r w:rsidR="008432B8" w:rsidRPr="00DF1720">
        <w:rPr>
          <w:b/>
        </w:rPr>
        <w:t>:</w:t>
      </w:r>
    </w:p>
    <w:p w:rsidR="00DF1720" w:rsidRDefault="00DF1720" w:rsidP="00A33DA4">
      <w:pPr>
        <w:pStyle w:val="ListParagraph"/>
        <w:jc w:val="center"/>
        <w:rPr>
          <w:b/>
        </w:rPr>
      </w:pPr>
      <w:r>
        <w:rPr>
          <w:b/>
        </w:rPr>
        <w:t xml:space="preserve">Competitiveness Enhancement Program </w:t>
      </w:r>
    </w:p>
    <w:p w:rsidR="008432B8" w:rsidRPr="00DF1720" w:rsidRDefault="00DF1720" w:rsidP="00A33DA4">
      <w:pPr>
        <w:pStyle w:val="ListParagraph"/>
        <w:jc w:val="center"/>
        <w:rPr>
          <w:b/>
        </w:rPr>
      </w:pPr>
      <w:r>
        <w:rPr>
          <w:b/>
        </w:rPr>
        <w:t>JA-L1001, JA-L1010, JA-L1014</w:t>
      </w:r>
      <w:r w:rsidR="008432B8" w:rsidRPr="00DF1720">
        <w:rPr>
          <w:b/>
        </w:rPr>
        <w:t>.</w:t>
      </w:r>
    </w:p>
    <w:p w:rsidR="000C11FE" w:rsidRDefault="006C0AFF" w:rsidP="00A33DA4">
      <w:pPr>
        <w:pStyle w:val="ListParagraph"/>
        <w:jc w:val="center"/>
        <w:rPr>
          <w:b/>
        </w:rPr>
      </w:pPr>
      <w:r w:rsidRPr="00DF1720">
        <w:rPr>
          <w:b/>
        </w:rPr>
        <w:t xml:space="preserve">Assessing the impact of </w:t>
      </w:r>
      <w:r w:rsidR="00A33DA4" w:rsidRPr="00DF1720">
        <w:rPr>
          <w:b/>
        </w:rPr>
        <w:t xml:space="preserve">the </w:t>
      </w:r>
      <w:r w:rsidR="00DF1720">
        <w:rPr>
          <w:b/>
        </w:rPr>
        <w:t xml:space="preserve">proposed reforms </w:t>
      </w:r>
    </w:p>
    <w:p w:rsidR="00DF1720" w:rsidRPr="00DF1720" w:rsidRDefault="00DF1720" w:rsidP="00A33DA4">
      <w:pPr>
        <w:pStyle w:val="ListParagraph"/>
        <w:jc w:val="center"/>
        <w:rPr>
          <w:b/>
        </w:rPr>
      </w:pPr>
    </w:p>
    <w:p w:rsidR="00A33DA4" w:rsidRPr="00DF1720" w:rsidRDefault="00A33DA4" w:rsidP="00A33DA4">
      <w:pPr>
        <w:pStyle w:val="ListParagraph"/>
        <w:numPr>
          <w:ilvl w:val="0"/>
          <w:numId w:val="2"/>
        </w:numPr>
        <w:rPr>
          <w:b/>
        </w:rPr>
      </w:pPr>
      <w:r w:rsidRPr="00DF1720">
        <w:rPr>
          <w:b/>
        </w:rPr>
        <w:t>Introduction.</w:t>
      </w:r>
    </w:p>
    <w:p w:rsidR="00F751BE" w:rsidRDefault="00F751BE" w:rsidP="0014538A">
      <w:pPr>
        <w:spacing w:before="120" w:after="120"/>
        <w:ind w:left="360"/>
      </w:pPr>
      <w:bookmarkStart w:id="0" w:name="_Ref243909476"/>
      <w:r w:rsidRPr="0014538A">
        <w:rPr>
          <w:rFonts w:eastAsia="Arial Unicode MS"/>
        </w:rPr>
        <w:t>The objective of the program is to improve competitiveness by promoting reforms that expand access to credit, reduce distortions in the tax system, and lower business costs through more efficient land titling/registration</w:t>
      </w:r>
      <w:r w:rsidRPr="000216FF">
        <w:t>. The concrete activities supported by this loan are detailed below and are listed in the attached Policy Matrix</w:t>
      </w:r>
      <w:r w:rsidRPr="00BA2B38">
        <w:t xml:space="preserve"> (see Annex II).</w:t>
      </w:r>
      <w:bookmarkEnd w:id="0"/>
      <w:r>
        <w:t xml:space="preserve"> </w:t>
      </w:r>
    </w:p>
    <w:p w:rsidR="00A33DA4" w:rsidRPr="00DF1720" w:rsidRDefault="00A33DA4" w:rsidP="0014538A">
      <w:pPr>
        <w:spacing w:before="120" w:after="120"/>
        <w:ind w:left="360"/>
      </w:pPr>
      <w:r w:rsidRPr="00DF1720">
        <w:t xml:space="preserve"> The program’s objective will contribute to the government’s overall objectives of </w:t>
      </w:r>
      <w:r w:rsidR="0074713C">
        <w:t>promoting sustainable private sector led growth</w:t>
      </w:r>
      <w:r w:rsidRPr="00DF1720">
        <w:t xml:space="preserve">. </w:t>
      </w:r>
      <w:r w:rsidR="00B055F8" w:rsidRPr="00BA2B38">
        <w:t xml:space="preserve">In addition to the requirement for a macroeconomic framework congruent with the </w:t>
      </w:r>
      <w:r w:rsidR="00B055F8">
        <w:t>P</w:t>
      </w:r>
      <w:r w:rsidR="00B055F8" w:rsidRPr="00BA2B38">
        <w:t xml:space="preserve">rogram’s objective, the </w:t>
      </w:r>
      <w:r w:rsidR="00B055F8">
        <w:t>JCEP III</w:t>
      </w:r>
      <w:r w:rsidR="00B055F8" w:rsidRPr="00BA2B38">
        <w:t xml:space="preserve"> structure is divided into </w:t>
      </w:r>
      <w:r w:rsidR="000D05CB">
        <w:t xml:space="preserve">five </w:t>
      </w:r>
      <w:r w:rsidR="006103AF">
        <w:t>reform areas</w:t>
      </w:r>
      <w:r w:rsidR="00B055F8" w:rsidRPr="00BA2B38">
        <w:t xml:space="preserve">: </w:t>
      </w:r>
      <w:r w:rsidR="00B055F8">
        <w:t>1.</w:t>
      </w:r>
      <w:r w:rsidR="00B055F8" w:rsidRPr="00BA2B38">
        <w:t xml:space="preserve"> </w:t>
      </w:r>
      <w:r w:rsidR="00336D95">
        <w:t xml:space="preserve">Macroeconomic Stability; 2. </w:t>
      </w:r>
      <w:r w:rsidR="00B055F8" w:rsidRPr="00BA2B38">
        <w:t xml:space="preserve">Competitiveness </w:t>
      </w:r>
      <w:r w:rsidR="00B055F8" w:rsidRPr="006170BF">
        <w:t>Implementation</w:t>
      </w:r>
      <w:r w:rsidR="00B055F8" w:rsidRPr="00BA2B38">
        <w:t xml:space="preserve"> Framework; </w:t>
      </w:r>
      <w:r w:rsidR="00336D95">
        <w:t>3</w:t>
      </w:r>
      <w:r w:rsidR="00B055F8">
        <w:t>.</w:t>
      </w:r>
      <w:r w:rsidR="00B055F8" w:rsidRPr="00BA2B38">
        <w:t xml:space="preserve"> </w:t>
      </w:r>
      <w:r w:rsidR="00B055F8" w:rsidRPr="000216FF">
        <w:t xml:space="preserve">Tax Reform; </w:t>
      </w:r>
      <w:r w:rsidR="00336D95">
        <w:t>4</w:t>
      </w:r>
      <w:r w:rsidR="00B055F8" w:rsidRPr="000216FF">
        <w:t xml:space="preserve">. </w:t>
      </w:r>
      <w:r w:rsidR="000D05CB">
        <w:t xml:space="preserve">Reduction in Budgetary Burden </w:t>
      </w:r>
      <w:r w:rsidR="00336D95">
        <w:t>of State Owned Enterprises; 5</w:t>
      </w:r>
      <w:r w:rsidR="000D05CB">
        <w:t xml:space="preserve">. </w:t>
      </w:r>
      <w:r w:rsidR="00B055F8" w:rsidRPr="000216FF">
        <w:t>Improving Access to Finance and Financial</w:t>
      </w:r>
      <w:r w:rsidR="00B055F8" w:rsidRPr="00BA2B38">
        <w:t xml:space="preserve"> Market Development</w:t>
      </w:r>
      <w:r w:rsidR="00B055F8">
        <w:t>,</w:t>
      </w:r>
      <w:r w:rsidR="00B055F8" w:rsidRPr="00BA2B38">
        <w:t xml:space="preserve"> and </w:t>
      </w:r>
      <w:r w:rsidR="00336D95">
        <w:t>6</w:t>
      </w:r>
      <w:r w:rsidR="00B055F8">
        <w:t>.</w:t>
      </w:r>
      <w:r w:rsidR="00B055F8" w:rsidRPr="00BA2B38">
        <w:t xml:space="preserve"> Reduction of Business Costs</w:t>
      </w:r>
      <w:r w:rsidR="00B055F8">
        <w:t xml:space="preserve"> through Expedited Land Titling</w:t>
      </w:r>
      <w:r w:rsidR="005F54E8" w:rsidRPr="00DF1720">
        <w:t>.</w:t>
      </w:r>
      <w:r w:rsidRPr="00DF1720">
        <w:t xml:space="preserve"> For each area of intervention, the program </w:t>
      </w:r>
      <w:r w:rsidR="00B055F8">
        <w:t>has</w:t>
      </w:r>
      <w:r w:rsidRPr="00DF1720">
        <w:t xml:space="preserve"> establish</w:t>
      </w:r>
      <w:r w:rsidR="00B055F8">
        <w:t>ed</w:t>
      </w:r>
      <w:r w:rsidRPr="00DF1720">
        <w:t xml:space="preserve"> targets related to changes in the relevant </w:t>
      </w:r>
      <w:r w:rsidR="00B055F8">
        <w:t xml:space="preserve">institutional, regulatory and </w:t>
      </w:r>
      <w:r w:rsidRPr="00DF1720">
        <w:t xml:space="preserve">legal framework, as well as procedures and/or instruments necessary to achieve the desired objectives. </w:t>
      </w:r>
    </w:p>
    <w:p w:rsidR="006D09C1" w:rsidRPr="00DF1720" w:rsidRDefault="006D09C1" w:rsidP="0014538A">
      <w:pPr>
        <w:spacing w:before="120" w:after="120"/>
        <w:ind w:left="360"/>
      </w:pPr>
      <w:r w:rsidRPr="00DF1720">
        <w:t xml:space="preserve">Given its depth and breadth, the agreed program is structured in </w:t>
      </w:r>
      <w:r w:rsidR="00B055F8">
        <w:t>four</w:t>
      </w:r>
      <w:r w:rsidRPr="00DF1720">
        <w:t xml:space="preserve"> independent but related operations under the programmatic policy-based loan modality. This financing arrangement is considered the most appropriate because it is a flexible and effective mechanism to support complex and long</w:t>
      </w:r>
      <w:r w:rsidR="000D05CB">
        <w:t>-</w:t>
      </w:r>
      <w:r w:rsidRPr="00DF1720">
        <w:t>term reforms that require sequenced actions for implementation and broader dialogue.</w:t>
      </w:r>
      <w:r w:rsidR="00B055F8">
        <w:t xml:space="preserve"> T</w:t>
      </w:r>
      <w:r w:rsidR="00B055F8" w:rsidRPr="00BA2B38">
        <w:t xml:space="preserve">he Board </w:t>
      </w:r>
      <w:r w:rsidR="00B055F8">
        <w:t xml:space="preserve">of Executive Directors </w:t>
      </w:r>
      <w:r w:rsidR="00B055F8" w:rsidRPr="00BA2B38">
        <w:t xml:space="preserve">approved the first operation of the Jamaica Competitiveness Enhancement Program I </w:t>
      </w:r>
      <w:r w:rsidR="00B055F8">
        <w:t xml:space="preserve">- </w:t>
      </w:r>
      <w:r w:rsidR="00B055F8" w:rsidRPr="00BA2B38">
        <w:t xml:space="preserve">JCEP-I (Loan Contract 1972/OC-JA) on April 1, 2008, and </w:t>
      </w:r>
      <w:r w:rsidR="00B055F8">
        <w:t>the second operation - JCEP-II (Loan Contract 2297/OC-JA) was approved on February 17, 2010</w:t>
      </w:r>
      <w:r w:rsidR="00B055F8" w:rsidRPr="00CB1586">
        <w:t>.</w:t>
      </w:r>
      <w:r w:rsidR="00B055F8">
        <w:t xml:space="preserve"> The J</w:t>
      </w:r>
      <w:r w:rsidR="00B055F8" w:rsidRPr="00BA2B38">
        <w:t>CEP-I Loan provides the frame of reference for the current operation under the programmatic series (PR-</w:t>
      </w:r>
      <w:r w:rsidR="00B055F8" w:rsidRPr="00CE6CAB">
        <w:t>3251</w:t>
      </w:r>
      <w:r w:rsidR="00B055F8" w:rsidRPr="00BA2B38">
        <w:t>). Th</w:t>
      </w:r>
      <w:r w:rsidR="00B055F8">
        <w:t>e proposed third</w:t>
      </w:r>
      <w:r w:rsidR="00B055F8" w:rsidRPr="00BA2B38">
        <w:t xml:space="preserve"> </w:t>
      </w:r>
      <w:r w:rsidR="00B055F8">
        <w:t>stage</w:t>
      </w:r>
      <w:r w:rsidR="00B055F8" w:rsidRPr="00BA2B38">
        <w:t xml:space="preserve"> provides continuity to the agreements</w:t>
      </w:r>
      <w:r w:rsidR="00B055F8">
        <w:t xml:space="preserve"> in</w:t>
      </w:r>
      <w:r w:rsidR="00B055F8" w:rsidRPr="00BA2B38">
        <w:t xml:space="preserve"> the Policy Matrix of the first operation.</w:t>
      </w:r>
      <w:r w:rsidR="00B055F8">
        <w:t xml:space="preserve"> The programmatic modality originally contemplated three operations of US$30 million each. </w:t>
      </w:r>
      <w:r w:rsidR="007B04E0">
        <w:t>This</w:t>
      </w:r>
      <w:r w:rsidR="00B055F8">
        <w:t xml:space="preserve"> adjusted in the updated Country Strategy (GN-2422-3) to US $60 Million for the second and third operations.</w:t>
      </w:r>
      <w:r w:rsidR="00194AD3">
        <w:t xml:space="preserve"> For calculation purposes the t=0 is considered to be 2008, when the set of reforms were agreed with the counterpart  and started to be prepared.  Some of the reforms have become effective over the 2008-2012 period and are expected to be completed in their totality in December 2013.</w:t>
      </w:r>
    </w:p>
    <w:p w:rsidR="00336D95" w:rsidRDefault="00B055F8" w:rsidP="00504B39">
      <w:pPr>
        <w:spacing w:before="120" w:after="120"/>
        <w:ind w:left="360"/>
      </w:pPr>
      <w:r w:rsidRPr="0014538A">
        <w:rPr>
          <w:color w:val="363636"/>
        </w:rPr>
        <w:t>It is expected that with the implementation of the reforms, Jamaica’s competitiveness will be improved and business climate will be improved by reduction of transaction costs, tax distortions and by providing greater access to financial services. Broad understanding of the required reforms, acceptance by all stakeholders, and implementation of a series of legal reforms will increase</w:t>
      </w:r>
      <w:r w:rsidRPr="00BA2B38">
        <w:t xml:space="preserve"> the opportunities for businesses to obtain credit </w:t>
      </w:r>
      <w:r>
        <w:t>and to reduce</w:t>
      </w:r>
      <w:r w:rsidRPr="00BA2B38">
        <w:t xml:space="preserve"> the risk to lenders of extending credit beyond their circle of established and typically larger borrowers. By reducing the cost and time of the land titling and registration process, landowners, particularly those with smaller holdings, will be able to use their land as collateral for business endeavors and to make improvements in their property as a result of ownership</w:t>
      </w:r>
      <w:r w:rsidR="008F61EB" w:rsidRPr="00DF1720">
        <w:t>.</w:t>
      </w:r>
      <w:r>
        <w:t xml:space="preserve"> </w:t>
      </w:r>
    </w:p>
    <w:p w:rsidR="0029779B" w:rsidRPr="00FA46AC" w:rsidRDefault="0029779B" w:rsidP="00504B39">
      <w:pPr>
        <w:spacing w:before="120" w:after="120"/>
        <w:ind w:left="360"/>
        <w:rPr>
          <w:sz w:val="22"/>
          <w:szCs w:val="22"/>
        </w:rPr>
      </w:pPr>
      <w:r w:rsidRPr="00FA46AC">
        <w:rPr>
          <w:sz w:val="22"/>
          <w:szCs w:val="22"/>
        </w:rPr>
        <w:t xml:space="preserve">The Programs direct beneficiaries will be (i) Private sector companies, in particular SMEs that are the most adversely affected by an inadequate framework for doing business and accessing finance; (ii) the informal SME sector that lacks incentives for formality and (iii) individual entrepreneurs that will benefit with increased access to finance through modernized technological and legal framework. </w:t>
      </w:r>
      <w:r w:rsidRPr="00FA46AC">
        <w:rPr>
          <w:sz w:val="22"/>
          <w:szCs w:val="22"/>
        </w:rPr>
        <w:lastRenderedPageBreak/>
        <w:t xml:space="preserve">Increased access to finance, through the secured transactions, credit information and mobile banking legislative reforms, </w:t>
      </w:r>
      <w:r w:rsidRPr="00FA46AC">
        <w:rPr>
          <w:rFonts w:cs="Times New Roman"/>
          <w:sz w:val="22"/>
          <w:szCs w:val="22"/>
        </w:rPr>
        <w:t xml:space="preserve">will have a social and gender impact as they increase access to finance by SMSE's and women. </w:t>
      </w:r>
      <w:r w:rsidRPr="00FA46AC">
        <w:rPr>
          <w:sz w:val="22"/>
          <w:szCs w:val="22"/>
        </w:rPr>
        <w:t xml:space="preserve">By strengthening land property rights, SMEs have </w:t>
      </w:r>
      <w:r w:rsidRPr="00FA46AC">
        <w:rPr>
          <w:rFonts w:cstheme="minorHAnsi"/>
          <w:sz w:val="22"/>
          <w:szCs w:val="22"/>
        </w:rPr>
        <w:t>improved access to credit, and are encouraged to invest.</w:t>
      </w:r>
    </w:p>
    <w:p w:rsidR="008F7876" w:rsidRDefault="00B055F8" w:rsidP="00504B39">
      <w:pPr>
        <w:spacing w:before="120" w:after="120"/>
        <w:ind w:left="360"/>
      </w:pPr>
      <w:r>
        <w:t>The present evaluation attempts to estimate and capture the benefits of the aforementioned reforms.</w:t>
      </w:r>
    </w:p>
    <w:p w:rsidR="008C1DEE" w:rsidRDefault="008C1DEE" w:rsidP="00504B39">
      <w:pPr>
        <w:spacing w:before="120" w:after="120"/>
        <w:ind w:left="360"/>
      </w:pPr>
    </w:p>
    <w:p w:rsidR="00504B39" w:rsidRDefault="00504B39" w:rsidP="00504B39">
      <w:pPr>
        <w:spacing w:before="120" w:after="120"/>
        <w:ind w:left="360"/>
      </w:pPr>
    </w:p>
    <w:p w:rsidR="00504B39" w:rsidRDefault="00504B39" w:rsidP="00784629">
      <w:pPr>
        <w:pStyle w:val="ListParagraph"/>
        <w:numPr>
          <w:ilvl w:val="0"/>
          <w:numId w:val="2"/>
        </w:numPr>
        <w:spacing w:before="120" w:after="120"/>
      </w:pPr>
      <w:r>
        <w:t>Background and Justification</w:t>
      </w:r>
    </w:p>
    <w:p w:rsidR="002B135A" w:rsidRDefault="002B135A" w:rsidP="00784629">
      <w:pPr>
        <w:pStyle w:val="Paragraph"/>
        <w:numPr>
          <w:ilvl w:val="0"/>
          <w:numId w:val="0"/>
        </w:numPr>
        <w:suppressAutoHyphens/>
        <w:ind w:left="720"/>
        <w:rPr>
          <w:rFonts w:asciiTheme="minorHAnsi" w:hAnsiTheme="minorHAnsi"/>
          <w:sz w:val="20"/>
        </w:rPr>
      </w:pPr>
    </w:p>
    <w:p w:rsidR="00504B39" w:rsidRPr="00784629" w:rsidRDefault="00504B39" w:rsidP="00E4323B">
      <w:pPr>
        <w:pStyle w:val="Paragraph"/>
        <w:numPr>
          <w:ilvl w:val="0"/>
          <w:numId w:val="0"/>
        </w:numPr>
        <w:suppressAutoHyphens/>
        <w:ind w:left="720" w:hanging="90"/>
        <w:rPr>
          <w:sz w:val="20"/>
        </w:rPr>
      </w:pPr>
      <w:r w:rsidRPr="00784629">
        <w:rPr>
          <w:rFonts w:asciiTheme="minorHAnsi" w:hAnsiTheme="minorHAnsi"/>
          <w:sz w:val="20"/>
        </w:rPr>
        <w:t>The Bank has promoted reforms to enable private-sector-led growth in Jamaica, since the first programmatic operation approved in 2008 (JCEP I). Since then, the GoJ has been committed to carrying out the initially agreed reforms, having implemented all of the Policy Reforms agreed in the Policy Matrix to date</w:t>
      </w:r>
      <w:r w:rsidRPr="00784629">
        <w:rPr>
          <w:sz w:val="20"/>
        </w:rPr>
        <w:t>.</w:t>
      </w:r>
      <w:r w:rsidR="002B135A">
        <w:rPr>
          <w:sz w:val="20"/>
        </w:rPr>
        <w:t xml:space="preserve"> </w:t>
      </w:r>
    </w:p>
    <w:p w:rsidR="000B1618" w:rsidRPr="00784629" w:rsidRDefault="000B1618" w:rsidP="00784629">
      <w:pPr>
        <w:pStyle w:val="Paragraph"/>
        <w:numPr>
          <w:ilvl w:val="0"/>
          <w:numId w:val="0"/>
        </w:numPr>
        <w:suppressAutoHyphens/>
        <w:ind w:left="630"/>
        <w:rPr>
          <w:rFonts w:asciiTheme="minorHAnsi" w:hAnsiTheme="minorHAnsi"/>
          <w:sz w:val="20"/>
        </w:rPr>
      </w:pPr>
      <w:r w:rsidRPr="00784629">
        <w:rPr>
          <w:rFonts w:asciiTheme="minorHAnsi" w:hAnsiTheme="minorHAnsi"/>
          <w:sz w:val="20"/>
        </w:rPr>
        <w:t>The productive sector in Jamaica consists of traditional sectors such as manufacturing and agriculture (22% of GDP), which have been declining due to lack of competitiveness and loss of trade preferences. Other traditional activities such as mining (10% of GDP, mainly bauxite) and tourism and services (22% of GDP) were affected by the external crisis of 2008. Jamaica has experienced persistent low economic growth, partly as a result of sustained high levels of unproductive public spending, financed through public debt, and unproductive private investment. Private investment rates have been traditionally high, mainly due to foreign investment in tourism and bauxite. Between 2000 and 2005, investment averaged 30 percent of GDP, but economic growth was a mere 1.5 percent per annum. IDB studies attributed the problems in the quality of investment to distortions in the allocation of resources, especially those caused by the tax system.</w:t>
      </w:r>
      <w:r w:rsidRPr="00784629">
        <w:rPr>
          <w:rStyle w:val="FootnoteReference"/>
          <w:rFonts w:asciiTheme="minorHAnsi" w:hAnsiTheme="minorHAnsi"/>
          <w:sz w:val="20"/>
        </w:rPr>
        <w:footnoteReference w:id="1"/>
      </w:r>
      <w:r w:rsidRPr="00784629">
        <w:rPr>
          <w:rFonts w:asciiTheme="minorHAnsi" w:hAnsiTheme="minorHAnsi"/>
          <w:sz w:val="20"/>
        </w:rPr>
        <w:t xml:space="preserve"> Over the last fifteen years, Jamaica’s economy has grown, on average, less than one per cent per year; significantly below the economic growth of the Latin America and Caribbean (LAC-7) average (3.9% per year)</w:t>
      </w:r>
      <w:r w:rsidRPr="00784629">
        <w:rPr>
          <w:rStyle w:val="FootnoteReference"/>
          <w:rFonts w:asciiTheme="minorHAnsi" w:hAnsiTheme="minorHAnsi"/>
          <w:sz w:val="20"/>
        </w:rPr>
        <w:footnoteReference w:id="2"/>
      </w:r>
      <w:r w:rsidRPr="00784629">
        <w:rPr>
          <w:rFonts w:asciiTheme="minorHAnsi" w:hAnsiTheme="minorHAnsi"/>
          <w:sz w:val="20"/>
        </w:rPr>
        <w:t xml:space="preserve">. The global financial and economic crisis hit Jamaica early and hard, with the growth rates turning negative until 2010 and estimates for 2013 below 1%. </w:t>
      </w:r>
    </w:p>
    <w:p w:rsidR="000B1618" w:rsidRPr="00784629" w:rsidRDefault="000B1618" w:rsidP="00784629">
      <w:pPr>
        <w:pStyle w:val="Paragraph"/>
        <w:numPr>
          <w:ilvl w:val="0"/>
          <w:numId w:val="0"/>
        </w:numPr>
        <w:suppressAutoHyphens/>
        <w:ind w:left="630"/>
        <w:rPr>
          <w:rFonts w:asciiTheme="minorHAnsi" w:hAnsiTheme="minorHAnsi"/>
          <w:sz w:val="20"/>
        </w:rPr>
      </w:pPr>
      <w:r w:rsidRPr="00784629">
        <w:rPr>
          <w:rFonts w:asciiTheme="minorHAnsi" w:hAnsiTheme="minorHAnsi"/>
          <w:sz w:val="20"/>
        </w:rPr>
        <w:t>Even though Jamaica has assets that enhance private competitiveness, such as an educated work force, abundance of natural resources, and a strategic geographic location, it ranks 97</w:t>
      </w:r>
      <w:r w:rsidRPr="00784629">
        <w:rPr>
          <w:rFonts w:asciiTheme="minorHAnsi" w:hAnsiTheme="minorHAnsi"/>
          <w:sz w:val="20"/>
          <w:vertAlign w:val="superscript"/>
        </w:rPr>
        <w:t>st</w:t>
      </w:r>
      <w:r w:rsidRPr="00784629">
        <w:rPr>
          <w:rFonts w:asciiTheme="minorHAnsi" w:hAnsiTheme="minorHAnsi"/>
          <w:sz w:val="20"/>
        </w:rPr>
        <w:t xml:space="preserve"> out of 133 countries in the Global Competitiveness Index (GCI) according to the Global Competitiveness Report for 2012-2013.  The Global Competitiveness Index highlights the principal factors that limit business’ competitiveness as: (i) access to financing; (ii) tax regulation; (iii) tax rates; (iv) the cost of crime and violence to business; (v) the high level of informality among small businesses; (vi) inadequate supply of infrastructure; and (vii) burden of economic regulation. The </w:t>
      </w:r>
      <w:r w:rsidRPr="00784629">
        <w:rPr>
          <w:rFonts w:asciiTheme="minorHAnsi" w:hAnsiTheme="minorHAnsi"/>
          <w:iCs/>
          <w:sz w:val="20"/>
        </w:rPr>
        <w:t xml:space="preserve">Private Sector Assessment </w:t>
      </w:r>
      <w:r w:rsidRPr="00784629">
        <w:rPr>
          <w:rFonts w:asciiTheme="minorHAnsi" w:hAnsiTheme="minorHAnsi"/>
          <w:sz w:val="20"/>
        </w:rPr>
        <w:t>(PSA)</w:t>
      </w:r>
      <w:r w:rsidRPr="00784629">
        <w:rPr>
          <w:rStyle w:val="FootnoteReference"/>
          <w:rFonts w:asciiTheme="minorHAnsi" w:hAnsiTheme="minorHAnsi"/>
          <w:sz w:val="20"/>
        </w:rPr>
        <w:footnoteReference w:id="3"/>
      </w:r>
      <w:r w:rsidRPr="00784629">
        <w:rPr>
          <w:rFonts w:asciiTheme="minorHAnsi" w:hAnsiTheme="minorHAnsi"/>
          <w:sz w:val="20"/>
        </w:rPr>
        <w:t xml:space="preserve"> further identified the following factors that hinder private sector development in Jamaica: (i) over-involvement of the state in the economy; (ii) distortions due to incentives and inequitable tax systems; (iii) underdevelopment of financial markets; (iv) costly and cumbersome processes for land registration; (v) excess of regulation and procedures; (vi) inefficient legal system; and (vii) inadequate infrastructure.</w:t>
      </w:r>
    </w:p>
    <w:p w:rsidR="000B1618" w:rsidRPr="00784629" w:rsidRDefault="000B1618" w:rsidP="00784629">
      <w:pPr>
        <w:pStyle w:val="Paragraph"/>
        <w:numPr>
          <w:ilvl w:val="0"/>
          <w:numId w:val="0"/>
        </w:numPr>
        <w:suppressAutoHyphens/>
        <w:ind w:left="630"/>
        <w:rPr>
          <w:rFonts w:asciiTheme="minorHAnsi" w:hAnsiTheme="minorHAnsi"/>
          <w:sz w:val="20"/>
        </w:rPr>
      </w:pPr>
      <w:r w:rsidRPr="00784629">
        <w:rPr>
          <w:rFonts w:asciiTheme="minorHAnsi" w:hAnsiTheme="minorHAnsi"/>
          <w:sz w:val="20"/>
        </w:rPr>
        <w:t xml:space="preserve">The general macroeconomic framework, the fiscal constraints and the high levels of debt carried by the government affect the business climate and the confidence of investors  and affects productivity and growth. In addition, the lack of fluid dialogue between the public and private sector has hindered achieving </w:t>
      </w:r>
      <w:r w:rsidRPr="00784629">
        <w:rPr>
          <w:rFonts w:asciiTheme="minorHAnsi" w:hAnsiTheme="minorHAnsi"/>
          <w:sz w:val="20"/>
        </w:rPr>
        <w:lastRenderedPageBreak/>
        <w:t xml:space="preserve">consensus on how to address key issues. Jamaica has had several councils that have engaged in public-private sector dialogue on competitiveness and other related issues, and the proliferation of such councils with overlapping mandates and constituencies has hindered the achievement of strong consensus between the public and private. The </w:t>
      </w:r>
      <w:r w:rsidR="002B135A">
        <w:rPr>
          <w:rFonts w:asciiTheme="minorHAnsi" w:hAnsiTheme="minorHAnsi"/>
          <w:sz w:val="20"/>
        </w:rPr>
        <w:t>JCEP</w:t>
      </w:r>
      <w:r w:rsidRPr="00784629">
        <w:rPr>
          <w:rFonts w:asciiTheme="minorHAnsi" w:hAnsiTheme="minorHAnsi"/>
          <w:sz w:val="20"/>
        </w:rPr>
        <w:t xml:space="preserve"> operation has </w:t>
      </w:r>
      <w:r w:rsidR="002B135A" w:rsidRPr="002B135A">
        <w:rPr>
          <w:rFonts w:asciiTheme="minorHAnsi" w:hAnsiTheme="minorHAnsi"/>
          <w:sz w:val="20"/>
        </w:rPr>
        <w:t>tackle</w:t>
      </w:r>
      <w:r w:rsidR="002B135A">
        <w:rPr>
          <w:rFonts w:asciiTheme="minorHAnsi" w:hAnsiTheme="minorHAnsi"/>
          <w:sz w:val="20"/>
        </w:rPr>
        <w:t>d</w:t>
      </w:r>
      <w:r w:rsidRPr="00784629">
        <w:rPr>
          <w:rFonts w:asciiTheme="minorHAnsi" w:hAnsiTheme="minorHAnsi"/>
          <w:sz w:val="20"/>
        </w:rPr>
        <w:t xml:space="preserve"> directly the issues of: (i) public – private dialogue, (ii) tax regulation and tax rates; (iii) </w:t>
      </w:r>
      <w:r w:rsidR="00EB0FE2" w:rsidRPr="00784629">
        <w:rPr>
          <w:rFonts w:asciiTheme="minorHAnsi" w:hAnsiTheme="minorHAnsi"/>
          <w:sz w:val="20"/>
        </w:rPr>
        <w:t>over involvement</w:t>
      </w:r>
      <w:r w:rsidRPr="00784629">
        <w:rPr>
          <w:rFonts w:asciiTheme="minorHAnsi" w:hAnsiTheme="minorHAnsi"/>
          <w:sz w:val="20"/>
        </w:rPr>
        <w:t xml:space="preserve"> of the state in the economy; (iv) access to finance and (v) land registration.</w:t>
      </w:r>
    </w:p>
    <w:p w:rsidR="000B1618" w:rsidRPr="00784629" w:rsidRDefault="000B1618" w:rsidP="00784629">
      <w:pPr>
        <w:pStyle w:val="Paragraph"/>
        <w:numPr>
          <w:ilvl w:val="0"/>
          <w:numId w:val="0"/>
        </w:numPr>
        <w:suppressAutoHyphens/>
        <w:ind w:left="630"/>
        <w:rPr>
          <w:rFonts w:asciiTheme="minorHAnsi" w:hAnsiTheme="minorHAnsi"/>
          <w:sz w:val="20"/>
        </w:rPr>
      </w:pPr>
      <w:r w:rsidRPr="00784629">
        <w:rPr>
          <w:rFonts w:asciiTheme="minorHAnsi" w:hAnsiTheme="minorHAnsi"/>
          <w:sz w:val="20"/>
        </w:rPr>
        <w:t>Jamaica has experienced decades of stagnant growth and low productivity and has a very low competitiveness as measured by the Global Competitiveness Index. The lack of an adequate legal and institutional framework that provides for an enabling environment for private sector activity affect productivity and competiveness, in particular of SMEs. The main problems addressed by the program are highlighted below.</w:t>
      </w:r>
    </w:p>
    <w:p w:rsidR="000B1618" w:rsidRPr="00784629" w:rsidRDefault="000B1618" w:rsidP="00784629">
      <w:pPr>
        <w:pStyle w:val="SubHeading1"/>
        <w:tabs>
          <w:tab w:val="clear" w:pos="5976"/>
        </w:tabs>
        <w:suppressAutoHyphens/>
        <w:ind w:left="1080" w:firstLine="0"/>
        <w:rPr>
          <w:rFonts w:asciiTheme="minorHAnsi" w:hAnsiTheme="minorHAnsi"/>
          <w:sz w:val="20"/>
          <w:szCs w:val="20"/>
        </w:rPr>
      </w:pPr>
      <w:r w:rsidRPr="00784629">
        <w:rPr>
          <w:rFonts w:asciiTheme="minorHAnsi" w:hAnsiTheme="minorHAnsi"/>
          <w:sz w:val="20"/>
          <w:szCs w:val="20"/>
        </w:rPr>
        <w:t>Cumbersome and costly tax policy and administration system</w:t>
      </w:r>
    </w:p>
    <w:p w:rsidR="000B1618" w:rsidRPr="00784629" w:rsidRDefault="000B1618" w:rsidP="00784629">
      <w:pPr>
        <w:pStyle w:val="Paragraph"/>
        <w:numPr>
          <w:ilvl w:val="0"/>
          <w:numId w:val="0"/>
        </w:numPr>
        <w:suppressAutoHyphens/>
        <w:ind w:left="630"/>
        <w:rPr>
          <w:rFonts w:asciiTheme="minorHAnsi" w:hAnsiTheme="minorHAnsi"/>
          <w:sz w:val="20"/>
        </w:rPr>
      </w:pPr>
      <w:r w:rsidRPr="00784629">
        <w:rPr>
          <w:rFonts w:asciiTheme="minorHAnsi" w:hAnsiTheme="minorHAnsi"/>
          <w:sz w:val="20"/>
        </w:rPr>
        <w:t>Jamaica’s tax system penalizes small businesses, distorts resource allocation and is complex and expensive to administer, both from the perspective of taxpayers as well as the processes involved in the collection of taxes</w:t>
      </w:r>
      <w:r w:rsidRPr="00784629">
        <w:rPr>
          <w:rStyle w:val="FootnoteReference"/>
          <w:rFonts w:asciiTheme="minorHAnsi" w:hAnsiTheme="minorHAnsi"/>
          <w:sz w:val="20"/>
        </w:rPr>
        <w:footnoteReference w:id="4"/>
      </w:r>
      <w:r w:rsidRPr="00784629">
        <w:rPr>
          <w:rFonts w:asciiTheme="minorHAnsi" w:hAnsiTheme="minorHAnsi"/>
          <w:sz w:val="20"/>
        </w:rPr>
        <w:t>. The complexity and discretionality of the tax system creates uncertainty and increases transaction costs for businesses. Ad valorem stamp duties impose high costs commercial transactions particularly in property transfers and registering security interests, increasing the cost of transactions by up to 20%.  The Stamp Duties Act is complicated and open to broad interpretation. Tax incentives granted to some investors create a wedge between private and social rates of return, and result in a total “tax expenditure”, i.e. tax revenue forgone</w:t>
      </w:r>
      <w:r w:rsidRPr="00784629">
        <w:rPr>
          <w:rFonts w:asciiTheme="minorHAnsi" w:hAnsiTheme="minorHAnsi"/>
          <w:sz w:val="20"/>
          <w:vertAlign w:val="superscript"/>
        </w:rPr>
        <w:footnoteReference w:id="5"/>
      </w:r>
      <w:r w:rsidRPr="00784629">
        <w:rPr>
          <w:rFonts w:asciiTheme="minorHAnsi" w:hAnsiTheme="minorHAnsi"/>
          <w:sz w:val="20"/>
        </w:rPr>
        <w:t>. Studies sponsored by the Bank</w:t>
      </w:r>
      <w:r w:rsidRPr="00784629">
        <w:rPr>
          <w:rFonts w:asciiTheme="minorHAnsi" w:hAnsiTheme="minorHAnsi"/>
          <w:sz w:val="20"/>
          <w:vertAlign w:val="superscript"/>
        </w:rPr>
        <w:footnoteReference w:id="6"/>
      </w:r>
      <w:r w:rsidRPr="00784629">
        <w:rPr>
          <w:rFonts w:asciiTheme="minorHAnsi" w:hAnsiTheme="minorHAnsi"/>
          <w:sz w:val="20"/>
        </w:rPr>
        <w:t xml:space="preserve"> show that the Jamaican tax incentives are strongly biased towards capital-intensive production technologies in a country where capital is scarce and labour is plentiful. The tax incentive structure also promotes debt financing at the expense of equity financing and can result in the crowding out of investments with a higher economic rate of return</w:t>
      </w:r>
      <w:r w:rsidRPr="00784629">
        <w:rPr>
          <w:rStyle w:val="FootnoteReference"/>
          <w:rFonts w:asciiTheme="minorHAnsi" w:hAnsiTheme="minorHAnsi"/>
          <w:sz w:val="20"/>
        </w:rPr>
        <w:footnoteReference w:id="7"/>
      </w:r>
      <w:r w:rsidRPr="00784629">
        <w:rPr>
          <w:rFonts w:asciiTheme="minorHAnsi" w:hAnsiTheme="minorHAnsi"/>
          <w:sz w:val="20"/>
        </w:rPr>
        <w:t xml:space="preserve">. Jamaica’s corporate income tax framework is particularly distortionary and provides the wrong incentives to the private sector. Nominal rates of CIT are relatively high, but these are offset by tax incentives for preferred economic groups under 12 tax incentive acts. In addition, there is a rate differential between the CIT and the PIT (33.3% and 25%, respectively). These distortions affect resource allocation decisions between sectors and activities, promote informality and rent seeking activities, and drive a wedge between private and social rates of return. </w:t>
      </w:r>
      <w:r w:rsidRPr="00784629">
        <w:rPr>
          <w:rStyle w:val="FootnoteReference"/>
          <w:rFonts w:asciiTheme="minorHAnsi" w:hAnsiTheme="minorHAnsi"/>
          <w:sz w:val="20"/>
        </w:rPr>
        <w:footnoteReference w:id="8"/>
      </w:r>
      <w:r w:rsidRPr="00784629">
        <w:rPr>
          <w:rFonts w:asciiTheme="minorHAnsi" w:hAnsiTheme="minorHAnsi"/>
          <w:sz w:val="20"/>
        </w:rPr>
        <w:t>. In addition, empirical evidence has shown that small firms are less likely to become formal due to the high cost of paying taxes</w:t>
      </w:r>
      <w:r w:rsidRPr="00784629">
        <w:rPr>
          <w:rStyle w:val="FootnoteReference"/>
          <w:rFonts w:asciiTheme="minorHAnsi" w:hAnsiTheme="minorHAnsi"/>
          <w:sz w:val="20"/>
        </w:rPr>
        <w:footnoteReference w:id="9"/>
      </w:r>
    </w:p>
    <w:p w:rsidR="000B1618" w:rsidRPr="00784629" w:rsidRDefault="000B1618" w:rsidP="00784629">
      <w:pPr>
        <w:pStyle w:val="Paragraph"/>
        <w:numPr>
          <w:ilvl w:val="0"/>
          <w:numId w:val="0"/>
        </w:numPr>
        <w:suppressAutoHyphens/>
        <w:ind w:left="630"/>
        <w:rPr>
          <w:rFonts w:asciiTheme="minorHAnsi" w:hAnsiTheme="minorHAnsi"/>
          <w:sz w:val="20"/>
        </w:rPr>
      </w:pPr>
      <w:r w:rsidRPr="00784629">
        <w:rPr>
          <w:rFonts w:asciiTheme="minorHAnsi" w:hAnsiTheme="minorHAnsi"/>
          <w:b/>
          <w:sz w:val="20"/>
        </w:rPr>
        <w:t>Costly Tax administration.</w:t>
      </w:r>
      <w:r w:rsidRPr="00784629">
        <w:rPr>
          <w:rFonts w:asciiTheme="minorHAnsi" w:hAnsiTheme="minorHAnsi"/>
          <w:sz w:val="20"/>
        </w:rPr>
        <w:t xml:space="preserve"> Full compliance with all the tax laws and regulations is arduous and costly. For example, labour taxes must be paid to separate agencies at different times during the month, documentation requirements of legitimate business expense deductions are complicated and even ambiguous, and reporting requirements are occasionally duplicated. This makes doing business very costly and time consuming</w:t>
      </w:r>
      <w:r w:rsidRPr="00784629">
        <w:rPr>
          <w:rStyle w:val="FootnoteReference"/>
          <w:rFonts w:asciiTheme="minorHAnsi" w:hAnsiTheme="minorHAnsi"/>
          <w:sz w:val="20"/>
        </w:rPr>
        <w:footnoteReference w:id="10"/>
      </w:r>
      <w:r w:rsidRPr="00784629">
        <w:rPr>
          <w:rFonts w:asciiTheme="minorHAnsi" w:hAnsiTheme="minorHAnsi"/>
          <w:sz w:val="20"/>
        </w:rPr>
        <w:t>.</w:t>
      </w:r>
    </w:p>
    <w:p w:rsidR="000B1618" w:rsidRPr="00784629" w:rsidRDefault="000B1618" w:rsidP="00784629">
      <w:pPr>
        <w:pStyle w:val="SubHeading1"/>
        <w:tabs>
          <w:tab w:val="clear" w:pos="5976"/>
        </w:tabs>
        <w:suppressAutoHyphens/>
        <w:ind w:left="1080" w:firstLine="0"/>
        <w:rPr>
          <w:rFonts w:asciiTheme="minorHAnsi" w:hAnsiTheme="minorHAnsi"/>
          <w:sz w:val="20"/>
          <w:szCs w:val="20"/>
        </w:rPr>
      </w:pPr>
      <w:r w:rsidRPr="00784629">
        <w:rPr>
          <w:rFonts w:asciiTheme="minorHAnsi" w:hAnsiTheme="minorHAnsi"/>
          <w:sz w:val="20"/>
          <w:szCs w:val="20"/>
        </w:rPr>
        <w:t>State involvement in inefficient enterprises and projects</w:t>
      </w:r>
    </w:p>
    <w:p w:rsidR="000B1618" w:rsidRPr="00784629" w:rsidRDefault="000B1618" w:rsidP="00784629">
      <w:pPr>
        <w:pStyle w:val="Paragraph"/>
        <w:numPr>
          <w:ilvl w:val="0"/>
          <w:numId w:val="0"/>
        </w:numPr>
        <w:suppressAutoHyphens/>
        <w:ind w:left="630"/>
        <w:rPr>
          <w:rFonts w:asciiTheme="minorHAnsi" w:hAnsiTheme="minorHAnsi"/>
          <w:sz w:val="20"/>
        </w:rPr>
      </w:pPr>
      <w:r w:rsidRPr="00784629">
        <w:rPr>
          <w:rFonts w:asciiTheme="minorHAnsi" w:hAnsiTheme="minorHAnsi"/>
          <w:sz w:val="20"/>
        </w:rPr>
        <w:t>Expenditure rationalization</w:t>
      </w:r>
      <w:r w:rsidRPr="00784629">
        <w:rPr>
          <w:rFonts w:asciiTheme="minorHAnsi" w:hAnsiTheme="minorHAnsi"/>
          <w:b/>
          <w:sz w:val="20"/>
        </w:rPr>
        <w:t xml:space="preserve"> </w:t>
      </w:r>
      <w:r w:rsidRPr="00784629">
        <w:rPr>
          <w:rFonts w:asciiTheme="minorHAnsi" w:hAnsiTheme="minorHAnsi"/>
          <w:sz w:val="20"/>
        </w:rPr>
        <w:t xml:space="preserve">is essential to reduce high government debt levels and deficits, which in turn provides for fiscal space that enables tax reform. The budget needs to be reduced by divesting loss-making state-owned enterprises. In 2007, the budgetary support for state-owned enterprises was estimated at </w:t>
      </w:r>
      <w:r w:rsidRPr="00784629">
        <w:rPr>
          <w:rFonts w:asciiTheme="minorHAnsi" w:hAnsiTheme="minorHAnsi"/>
          <w:sz w:val="20"/>
        </w:rPr>
        <w:lastRenderedPageBreak/>
        <w:t>US$150 million</w:t>
      </w:r>
      <w:r w:rsidRPr="00784629">
        <w:rPr>
          <w:rStyle w:val="FootnoteReference"/>
          <w:rFonts w:asciiTheme="minorHAnsi" w:hAnsiTheme="minorHAnsi"/>
          <w:sz w:val="20"/>
        </w:rPr>
        <w:footnoteReference w:id="11"/>
      </w:r>
      <w:r w:rsidRPr="00784629">
        <w:rPr>
          <w:rFonts w:asciiTheme="minorHAnsi" w:hAnsiTheme="minorHAnsi"/>
          <w:sz w:val="20"/>
        </w:rPr>
        <w:t>, plus an additional US$100 million for Air Jamaica. An estimated 9.83% of GDP was allocated to transfers and subsidies in 2007</w:t>
      </w:r>
      <w:r w:rsidRPr="00784629">
        <w:rPr>
          <w:rStyle w:val="FootnoteReference"/>
          <w:rFonts w:asciiTheme="minorHAnsi" w:hAnsiTheme="minorHAnsi"/>
          <w:sz w:val="20"/>
        </w:rPr>
        <w:footnoteReference w:id="12"/>
      </w:r>
      <w:r w:rsidRPr="00784629">
        <w:rPr>
          <w:rFonts w:asciiTheme="minorHAnsi" w:hAnsiTheme="minorHAnsi"/>
          <w:sz w:val="20"/>
        </w:rPr>
        <w:t>.</w:t>
      </w:r>
    </w:p>
    <w:p w:rsidR="000B1618" w:rsidRPr="00784629" w:rsidRDefault="000B1618" w:rsidP="00784629">
      <w:pPr>
        <w:pStyle w:val="Paragraph"/>
        <w:numPr>
          <w:ilvl w:val="0"/>
          <w:numId w:val="0"/>
        </w:numPr>
        <w:suppressAutoHyphens/>
        <w:ind w:left="630"/>
        <w:rPr>
          <w:rFonts w:asciiTheme="minorHAnsi" w:hAnsiTheme="minorHAnsi"/>
          <w:sz w:val="20"/>
        </w:rPr>
      </w:pPr>
      <w:r w:rsidRPr="00784629">
        <w:rPr>
          <w:rFonts w:asciiTheme="minorHAnsi" w:hAnsiTheme="minorHAnsi"/>
          <w:b/>
          <w:sz w:val="20"/>
        </w:rPr>
        <w:t xml:space="preserve">Inadequate use of private capital and expertise for financing infrastructure. </w:t>
      </w:r>
      <w:r w:rsidRPr="00784629">
        <w:rPr>
          <w:rFonts w:asciiTheme="minorHAnsi" w:hAnsiTheme="minorHAnsi"/>
          <w:sz w:val="20"/>
        </w:rPr>
        <w:t>Jamaica has tried to overcome the infrastructure investment gap with PPP projects, mainly in water and transportation. However, these projects have yielded long-term negative fiscal impacts and have not met expectations. Water programs at the municipal level had to be taken over by the public sector as a result of financial difficulties. The Highway 2000 road , even though it was built in record time and met standards, required a government guarantee of a US$130 million bond issue and the assumption of all environmental and geological risks</w:t>
      </w:r>
      <w:r w:rsidRPr="00784629">
        <w:rPr>
          <w:rStyle w:val="FootnoteReference"/>
          <w:rFonts w:asciiTheme="minorHAnsi" w:hAnsiTheme="minorHAnsi"/>
          <w:sz w:val="20"/>
        </w:rPr>
        <w:footnoteReference w:id="13"/>
      </w:r>
      <w:r w:rsidRPr="00784629">
        <w:rPr>
          <w:rFonts w:asciiTheme="minorHAnsi" w:hAnsiTheme="minorHAnsi"/>
          <w:sz w:val="20"/>
        </w:rPr>
        <w:t>. A more streamlined and technically solid PPP framework is needed to promote private investment in major projects.</w:t>
      </w:r>
    </w:p>
    <w:p w:rsidR="000B1618" w:rsidRPr="00784629" w:rsidRDefault="000B1618" w:rsidP="00784629">
      <w:pPr>
        <w:pStyle w:val="SubHeading1"/>
        <w:tabs>
          <w:tab w:val="clear" w:pos="5976"/>
        </w:tabs>
        <w:suppressAutoHyphens/>
        <w:ind w:left="1080" w:firstLine="0"/>
        <w:rPr>
          <w:rFonts w:asciiTheme="minorHAnsi" w:hAnsiTheme="minorHAnsi"/>
          <w:sz w:val="20"/>
          <w:szCs w:val="20"/>
        </w:rPr>
      </w:pPr>
      <w:r w:rsidRPr="00784629">
        <w:rPr>
          <w:rFonts w:asciiTheme="minorHAnsi" w:hAnsiTheme="minorHAnsi"/>
          <w:sz w:val="20"/>
          <w:szCs w:val="20"/>
        </w:rPr>
        <w:t>Access to finance and financial market development</w:t>
      </w:r>
    </w:p>
    <w:p w:rsidR="000B1618" w:rsidRPr="00784629" w:rsidRDefault="000B1618" w:rsidP="00784629">
      <w:pPr>
        <w:pStyle w:val="Paragraph"/>
        <w:numPr>
          <w:ilvl w:val="0"/>
          <w:numId w:val="0"/>
        </w:numPr>
        <w:suppressAutoHyphens/>
        <w:ind w:left="630"/>
        <w:rPr>
          <w:rFonts w:asciiTheme="minorHAnsi" w:hAnsiTheme="minorHAnsi"/>
          <w:sz w:val="20"/>
        </w:rPr>
      </w:pPr>
      <w:r w:rsidRPr="00784629">
        <w:rPr>
          <w:rFonts w:asciiTheme="minorHAnsi" w:hAnsiTheme="minorHAnsi"/>
          <w:b/>
          <w:sz w:val="20"/>
        </w:rPr>
        <w:t>Limited Access to Finance</w:t>
      </w:r>
      <w:r w:rsidRPr="00784629">
        <w:rPr>
          <w:rFonts w:asciiTheme="minorHAnsi" w:hAnsiTheme="minorHAnsi"/>
          <w:sz w:val="20"/>
        </w:rPr>
        <w:t>. Access to finance by the private sector has been limited by the high ratio of public debt held by commercial banks, compared to their overall assets. This, coupled with the high costs of borrowings, has resulted in limited credit to the private sector of about 28% of GDP, and only 35% of the population has access to a Bank account</w:t>
      </w:r>
      <w:r w:rsidRPr="00784629">
        <w:rPr>
          <w:rStyle w:val="FootnoteReference"/>
          <w:rFonts w:asciiTheme="minorHAnsi" w:hAnsiTheme="minorHAnsi"/>
          <w:sz w:val="20"/>
        </w:rPr>
        <w:footnoteReference w:id="14"/>
      </w:r>
      <w:r w:rsidRPr="00784629">
        <w:rPr>
          <w:rFonts w:asciiTheme="minorHAnsi" w:hAnsiTheme="minorHAnsi"/>
          <w:sz w:val="20"/>
        </w:rPr>
        <w:t>. In addition to macroeconomic considerations, there are several sector-level constraints on businesses’ access to financing, resulting in financial markets that inadequately support investment and entrepreneurship activities. In addition, studies done as part of the Program show that woman entrepreneurs are the most affected group by limited access to finance</w:t>
      </w:r>
      <w:r w:rsidRPr="00784629">
        <w:rPr>
          <w:rStyle w:val="FootnoteReference"/>
          <w:rFonts w:asciiTheme="minorHAnsi" w:hAnsiTheme="minorHAnsi"/>
          <w:sz w:val="20"/>
        </w:rPr>
        <w:footnoteReference w:id="15"/>
      </w:r>
      <w:r w:rsidRPr="00784629">
        <w:rPr>
          <w:rFonts w:asciiTheme="minorHAnsi" w:hAnsiTheme="minorHAnsi"/>
          <w:sz w:val="20"/>
        </w:rPr>
        <w:t xml:space="preserve">. </w:t>
      </w:r>
      <w:r w:rsidRPr="00784629">
        <w:rPr>
          <w:rFonts w:asciiTheme="minorHAnsi" w:hAnsiTheme="minorHAnsi" w:cs="Arial"/>
          <w:sz w:val="20"/>
        </w:rPr>
        <w:t>While Jamaica has some unique characteristics around gender dynamics, it shares many of the same issues around financial empowerment of women at the lower economic strata around inequities of employment, income, caretaker burden, and greater financial vulnerability overall.  Mobile financial services begins to address some of these issues since it increases access to the remotest areas, provides control and privacy to the individual, enables new financial services to the previously unbanked, and provides efficiency gains around the replacement of cash to digital payments</w:t>
      </w:r>
      <w:r w:rsidRPr="00784629">
        <w:rPr>
          <w:rStyle w:val="FootnoteReference"/>
          <w:rFonts w:asciiTheme="minorHAnsi" w:hAnsiTheme="minorHAnsi" w:cs="Arial"/>
          <w:sz w:val="20"/>
        </w:rPr>
        <w:footnoteReference w:id="16"/>
      </w:r>
      <w:r w:rsidRPr="00784629">
        <w:rPr>
          <w:rFonts w:asciiTheme="minorHAnsi" w:hAnsiTheme="minorHAnsi" w:cs="Arial"/>
          <w:sz w:val="20"/>
        </w:rPr>
        <w:t>.</w:t>
      </w:r>
    </w:p>
    <w:p w:rsidR="000B1618" w:rsidRPr="00784629" w:rsidRDefault="000B1618" w:rsidP="00784629">
      <w:pPr>
        <w:pStyle w:val="Paragraph"/>
        <w:numPr>
          <w:ilvl w:val="0"/>
          <w:numId w:val="0"/>
        </w:numPr>
        <w:suppressAutoHyphens/>
        <w:ind w:left="630"/>
        <w:rPr>
          <w:rFonts w:asciiTheme="minorHAnsi" w:hAnsiTheme="minorHAnsi"/>
          <w:sz w:val="20"/>
        </w:rPr>
      </w:pPr>
      <w:r w:rsidRPr="00784629">
        <w:rPr>
          <w:rFonts w:asciiTheme="minorHAnsi" w:hAnsiTheme="minorHAnsi"/>
          <w:sz w:val="20"/>
        </w:rPr>
        <w:t>Empirical evidence in similar reforms in the region suggest that the reduction of asymmetries in credit information will result in an increase in access to credit for new borrowers and firms, as well as an increase in loan size for solidarity groups</w:t>
      </w:r>
      <w:r w:rsidRPr="00784629">
        <w:rPr>
          <w:rStyle w:val="FootnoteReference"/>
          <w:rFonts w:asciiTheme="minorHAnsi" w:hAnsiTheme="minorHAnsi"/>
          <w:sz w:val="20"/>
        </w:rPr>
        <w:footnoteReference w:id="17"/>
      </w:r>
      <w:r w:rsidRPr="00784629">
        <w:rPr>
          <w:rFonts w:asciiTheme="minorHAnsi" w:hAnsiTheme="minorHAnsi"/>
          <w:sz w:val="20"/>
        </w:rPr>
        <w:t>. In addition, the elimination of financial constraints, in particular for smaller firms, will have an increase in profits and returns to capital with a larger effect in smaller firms</w:t>
      </w:r>
      <w:r w:rsidRPr="00784629">
        <w:rPr>
          <w:rStyle w:val="FootnoteReference"/>
          <w:rFonts w:asciiTheme="minorHAnsi" w:hAnsiTheme="minorHAnsi"/>
          <w:sz w:val="20"/>
        </w:rPr>
        <w:footnoteReference w:id="18"/>
      </w:r>
      <w:r w:rsidRPr="00784629">
        <w:rPr>
          <w:rFonts w:asciiTheme="minorHAnsi" w:hAnsiTheme="minorHAnsi"/>
          <w:sz w:val="20"/>
        </w:rPr>
        <w:t>.</w:t>
      </w:r>
    </w:p>
    <w:p w:rsidR="000B1618" w:rsidRPr="00784629" w:rsidRDefault="000B1618" w:rsidP="00784629">
      <w:pPr>
        <w:pStyle w:val="Paragraph"/>
        <w:numPr>
          <w:ilvl w:val="0"/>
          <w:numId w:val="0"/>
        </w:numPr>
        <w:suppressAutoHyphens/>
        <w:ind w:left="630"/>
        <w:rPr>
          <w:rFonts w:asciiTheme="minorHAnsi" w:hAnsiTheme="minorHAnsi"/>
          <w:sz w:val="20"/>
        </w:rPr>
      </w:pPr>
      <w:r w:rsidRPr="00784629">
        <w:rPr>
          <w:rFonts w:asciiTheme="minorHAnsi" w:hAnsiTheme="minorHAnsi"/>
          <w:b/>
          <w:sz w:val="20"/>
        </w:rPr>
        <w:t>Lack of framework for Secured Transactions</w:t>
      </w:r>
      <w:r w:rsidRPr="00784629">
        <w:rPr>
          <w:rFonts w:asciiTheme="minorHAnsi" w:hAnsiTheme="minorHAnsi"/>
          <w:sz w:val="20"/>
        </w:rPr>
        <w:t xml:space="preserve">. Although the Jamaican legal system allows for various forms of secured lending in Jamaica, each has restrictions on the type of collateral, the type of debtor and the type of creditor, and has different costs and procedures. Each option comes with its own set of rules for </w:t>
      </w:r>
      <w:r w:rsidRPr="00784629">
        <w:rPr>
          <w:rFonts w:asciiTheme="minorHAnsi" w:hAnsiTheme="minorHAnsi"/>
          <w:sz w:val="20"/>
        </w:rPr>
        <w:lastRenderedPageBreak/>
        <w:t>creating security, some of which are very extensive</w:t>
      </w:r>
      <w:r w:rsidRPr="00784629">
        <w:rPr>
          <w:rStyle w:val="FootnoteReference"/>
          <w:rFonts w:asciiTheme="minorHAnsi" w:hAnsiTheme="minorHAnsi"/>
          <w:sz w:val="20"/>
        </w:rPr>
        <w:footnoteReference w:id="19"/>
      </w:r>
      <w:r w:rsidRPr="00784629">
        <w:rPr>
          <w:rFonts w:asciiTheme="minorHAnsi" w:hAnsiTheme="minorHAnsi"/>
          <w:sz w:val="20"/>
        </w:rPr>
        <w:t>. In addition, some of the options are subject to the Stamp Duty Act and some are only available to corporations, excluding smaller companies. Thus, a single and simple set of rules that would enable any corporation or entrepereneur</w:t>
      </w:r>
      <w:r w:rsidR="00EB0FE2">
        <w:rPr>
          <w:rFonts w:asciiTheme="minorHAnsi" w:hAnsiTheme="minorHAnsi"/>
          <w:sz w:val="20"/>
        </w:rPr>
        <w:t xml:space="preserve"> </w:t>
      </w:r>
      <w:r w:rsidRPr="00784629">
        <w:rPr>
          <w:rFonts w:asciiTheme="minorHAnsi" w:hAnsiTheme="minorHAnsi"/>
          <w:sz w:val="20"/>
        </w:rPr>
        <w:t>to give or take security in the form of movable property would foster access to credit under much simpler and less costly conditions for SMEs. Commercial banks exclude substantial classes of borrowers and financial instruments that are commonplace in other countries</w:t>
      </w:r>
      <w:r w:rsidRPr="00784629">
        <w:rPr>
          <w:rStyle w:val="FootnoteReference"/>
          <w:rFonts w:asciiTheme="minorHAnsi" w:hAnsiTheme="minorHAnsi"/>
          <w:sz w:val="20"/>
        </w:rPr>
        <w:footnoteReference w:id="20"/>
      </w:r>
      <w:r w:rsidRPr="00784629">
        <w:rPr>
          <w:rFonts w:asciiTheme="minorHAnsi" w:hAnsiTheme="minorHAnsi"/>
          <w:sz w:val="20"/>
        </w:rPr>
        <w:t>. The program supported the modernization of Jamaica’s financial with the reform of the legal framework for pledging collateral security for loans.</w:t>
      </w:r>
    </w:p>
    <w:p w:rsidR="000B1618" w:rsidRPr="00784629" w:rsidRDefault="000B1618" w:rsidP="00784629">
      <w:pPr>
        <w:pStyle w:val="Paragraph"/>
        <w:numPr>
          <w:ilvl w:val="0"/>
          <w:numId w:val="0"/>
        </w:numPr>
        <w:suppressAutoHyphens/>
        <w:ind w:left="630"/>
        <w:rPr>
          <w:rFonts w:asciiTheme="minorHAnsi" w:hAnsiTheme="minorHAnsi"/>
          <w:sz w:val="20"/>
        </w:rPr>
      </w:pPr>
      <w:r w:rsidRPr="00784629">
        <w:rPr>
          <w:rFonts w:asciiTheme="minorHAnsi" w:hAnsiTheme="minorHAnsi"/>
          <w:b/>
          <w:sz w:val="20"/>
        </w:rPr>
        <w:t>Lack of Credit Information.</w:t>
      </w:r>
      <w:r w:rsidRPr="00784629">
        <w:rPr>
          <w:rFonts w:asciiTheme="minorHAnsi" w:hAnsiTheme="minorHAnsi"/>
          <w:sz w:val="20"/>
        </w:rPr>
        <w:t xml:space="preserve">  When the program started no formal system for Credit information was in place, such as would be provided by credit bureaus, for assessing credit applicants’ payment histories and resulting likely creditworthiness. The absence of this information increases the transactions costs of providing credit for both the financial institution and the client. It discourages lending to smaller enterprises due to the high relative cost of obtaining this information for small loans. With the Program, there are now two licensed credit bureaus, one in operation since August 2013. However, the process of collecting information and using the system will take at least a year to be in operation.</w:t>
      </w:r>
    </w:p>
    <w:p w:rsidR="000B1618" w:rsidRPr="00784629" w:rsidRDefault="000B1618" w:rsidP="00784629">
      <w:pPr>
        <w:pStyle w:val="Paragraph"/>
        <w:numPr>
          <w:ilvl w:val="0"/>
          <w:numId w:val="0"/>
        </w:numPr>
        <w:suppressAutoHyphens/>
        <w:ind w:left="630"/>
        <w:rPr>
          <w:rFonts w:asciiTheme="minorHAnsi" w:hAnsiTheme="minorHAnsi"/>
          <w:sz w:val="20"/>
        </w:rPr>
      </w:pPr>
      <w:r w:rsidRPr="00784629">
        <w:rPr>
          <w:rFonts w:asciiTheme="minorHAnsi" w:hAnsiTheme="minorHAnsi"/>
          <w:b/>
          <w:sz w:val="20"/>
        </w:rPr>
        <w:t>Low banking penetration.</w:t>
      </w:r>
      <w:r w:rsidRPr="00784629">
        <w:rPr>
          <w:rFonts w:asciiTheme="minorHAnsi" w:hAnsiTheme="minorHAnsi"/>
          <w:sz w:val="20"/>
        </w:rPr>
        <w:t xml:space="preserve"> Only 35% of the adult population has access to a bank account</w:t>
      </w:r>
      <w:r w:rsidRPr="00784629">
        <w:rPr>
          <w:rStyle w:val="FootnoteReference"/>
          <w:rFonts w:asciiTheme="minorHAnsi" w:hAnsiTheme="minorHAnsi"/>
          <w:sz w:val="20"/>
        </w:rPr>
        <w:footnoteReference w:id="21"/>
      </w:r>
      <w:r w:rsidRPr="00784629">
        <w:rPr>
          <w:rFonts w:asciiTheme="minorHAnsi" w:hAnsiTheme="minorHAnsi"/>
          <w:sz w:val="20"/>
        </w:rPr>
        <w:t>. Limited access to traditional financial services to the SMEs, and the need for money transfers between urban and rural areas call for the use of electronic banking services</w:t>
      </w:r>
      <w:r w:rsidRPr="00784629">
        <w:rPr>
          <w:rStyle w:val="FootnoteReference"/>
          <w:rFonts w:asciiTheme="minorHAnsi" w:hAnsiTheme="minorHAnsi"/>
          <w:sz w:val="20"/>
        </w:rPr>
        <w:footnoteReference w:id="22"/>
      </w:r>
      <w:r w:rsidRPr="00784629">
        <w:rPr>
          <w:rFonts w:asciiTheme="minorHAnsi" w:hAnsiTheme="minorHAnsi"/>
          <w:sz w:val="20"/>
        </w:rPr>
        <w:t xml:space="preserve">. M-banking was not available in Jamaica when the first programmatic operation started, and </w:t>
      </w:r>
      <w:r w:rsidR="00EB0FE2" w:rsidRPr="00784629">
        <w:rPr>
          <w:rFonts w:asciiTheme="minorHAnsi" w:hAnsiTheme="minorHAnsi"/>
          <w:sz w:val="20"/>
        </w:rPr>
        <w:t>the private</w:t>
      </w:r>
      <w:r w:rsidRPr="00784629">
        <w:rPr>
          <w:rFonts w:asciiTheme="minorHAnsi" w:hAnsiTheme="minorHAnsi"/>
          <w:sz w:val="20"/>
        </w:rPr>
        <w:t xml:space="preserve"> sector initiatives represented</w:t>
      </w:r>
      <w:r w:rsidRPr="00784629" w:rsidDel="002B3191">
        <w:rPr>
          <w:rFonts w:asciiTheme="minorHAnsi" w:hAnsiTheme="minorHAnsi"/>
          <w:sz w:val="20"/>
        </w:rPr>
        <w:t xml:space="preserve"> </w:t>
      </w:r>
      <w:r w:rsidRPr="00784629">
        <w:rPr>
          <w:rFonts w:asciiTheme="minorHAnsi" w:hAnsiTheme="minorHAnsi"/>
          <w:sz w:val="20"/>
        </w:rPr>
        <w:t>only a portion of the full potential offered by mobile technologies. Regulatory gaps and restrictions have inhibited transformational m-banking offerings from emerging. Jamaica’s regulatory framework required reform before industry players can engage in m-banking, in particular by addressing money laundering issues</w:t>
      </w:r>
      <w:r w:rsidRPr="00784629">
        <w:rPr>
          <w:rStyle w:val="FootnoteReference"/>
          <w:rFonts w:asciiTheme="minorHAnsi" w:hAnsiTheme="minorHAnsi"/>
          <w:sz w:val="20"/>
        </w:rPr>
        <w:footnoteReference w:id="23"/>
      </w:r>
      <w:r w:rsidRPr="00784629">
        <w:rPr>
          <w:rFonts w:asciiTheme="minorHAnsi" w:hAnsiTheme="minorHAnsi"/>
          <w:sz w:val="20"/>
        </w:rPr>
        <w:t>. With the Program, the regulation for mobile payments is now in place and there are two pilot projects for m-banking for microfinance that are started.</w:t>
      </w:r>
    </w:p>
    <w:p w:rsidR="000B1618" w:rsidRPr="00784629" w:rsidRDefault="000B1618" w:rsidP="00784629">
      <w:pPr>
        <w:pStyle w:val="SubHeading1"/>
        <w:tabs>
          <w:tab w:val="clear" w:pos="5976"/>
        </w:tabs>
        <w:suppressAutoHyphens/>
        <w:ind w:left="1080" w:firstLine="0"/>
        <w:rPr>
          <w:rFonts w:asciiTheme="minorHAnsi" w:hAnsiTheme="minorHAnsi"/>
          <w:sz w:val="20"/>
          <w:szCs w:val="20"/>
        </w:rPr>
      </w:pPr>
      <w:r w:rsidRPr="00784629">
        <w:rPr>
          <w:rFonts w:asciiTheme="minorHAnsi" w:hAnsiTheme="minorHAnsi"/>
          <w:sz w:val="20"/>
          <w:szCs w:val="20"/>
        </w:rPr>
        <w:t>Costly and cumbersome land titling and registration</w:t>
      </w:r>
    </w:p>
    <w:p w:rsidR="00C60D4D" w:rsidRDefault="000B1618" w:rsidP="00E831D7">
      <w:pPr>
        <w:pStyle w:val="Paragraph"/>
        <w:numPr>
          <w:ilvl w:val="0"/>
          <w:numId w:val="0"/>
        </w:numPr>
        <w:suppressAutoHyphens/>
        <w:ind w:left="630"/>
        <w:rPr>
          <w:rFonts w:asciiTheme="minorHAnsi" w:hAnsiTheme="minorHAnsi"/>
          <w:sz w:val="20"/>
        </w:rPr>
      </w:pPr>
      <w:r w:rsidRPr="00784629">
        <w:rPr>
          <w:rFonts w:asciiTheme="minorHAnsi" w:hAnsiTheme="minorHAnsi"/>
          <w:b/>
          <w:sz w:val="20"/>
        </w:rPr>
        <w:t>In</w:t>
      </w:r>
      <w:r w:rsidRPr="00784629">
        <w:rPr>
          <w:rFonts w:asciiTheme="minorHAnsi" w:hAnsiTheme="minorHAnsi"/>
          <w:sz w:val="20"/>
        </w:rPr>
        <w:t xml:space="preserve"> Jamaica, 45% of the rural land markets have no legal title and 55% of the current titles have flawed arrangements. There are also 595 squatter settlements, of which 83% are urban</w:t>
      </w:r>
      <w:r w:rsidRPr="00784629">
        <w:rPr>
          <w:rStyle w:val="FootnoteReference"/>
          <w:rFonts w:asciiTheme="minorHAnsi" w:hAnsiTheme="minorHAnsi"/>
          <w:sz w:val="20"/>
        </w:rPr>
        <w:footnoteReference w:id="24"/>
      </w:r>
      <w:r w:rsidRPr="00784629">
        <w:rPr>
          <w:rFonts w:asciiTheme="minorHAnsi" w:hAnsiTheme="minorHAnsi"/>
          <w:sz w:val="20"/>
        </w:rPr>
        <w:t>. Weak land property rights and burdensome registration and titling procedures hinder private investment and the use of land as collateral for financing new businesses while creating a bottleneck for investors that need space to operate their businesses. In addition, the process for registering a parcel of land for which there is no registered title includes a cumbersome number of steps and the transactions costs of transfers are extremely high, making it prohibitively costly for Jamaicans to register their land</w:t>
      </w:r>
      <w:r w:rsidRPr="00784629">
        <w:rPr>
          <w:rStyle w:val="FootnoteReference"/>
          <w:rFonts w:asciiTheme="minorHAnsi" w:hAnsiTheme="minorHAnsi"/>
          <w:sz w:val="20"/>
        </w:rPr>
        <w:footnoteReference w:id="25"/>
      </w:r>
      <w:r w:rsidRPr="00784629">
        <w:rPr>
          <w:rFonts w:asciiTheme="minorHAnsi" w:hAnsiTheme="minorHAnsi"/>
          <w:sz w:val="20"/>
        </w:rPr>
        <w:t>. Transfer taxes and stamp duties account for about 13% of the value of the transaction, and professional fees may amount to an additional 12%. These factors limit the development of real estate markets and the value of the assets, in particular since they cannot be utilized as collateral for business endeavors.</w:t>
      </w:r>
      <w:r w:rsidR="00C60D4D">
        <w:rPr>
          <w:rFonts w:asciiTheme="minorHAnsi" w:hAnsiTheme="minorHAnsi"/>
          <w:sz w:val="20"/>
        </w:rPr>
        <w:t xml:space="preserve"> Even though the results for the benefits of </w:t>
      </w:r>
      <w:r w:rsidR="00C60D4D" w:rsidRPr="00E831D7">
        <w:rPr>
          <w:rFonts w:asciiTheme="minorHAnsi" w:hAnsiTheme="minorHAnsi"/>
          <w:sz w:val="20"/>
        </w:rPr>
        <w:t>having land titled and registered are difficult to measure and there have been a mix of benefits and results</w:t>
      </w:r>
      <w:r w:rsidR="00C60D4D" w:rsidRPr="00E831D7">
        <w:rPr>
          <w:rStyle w:val="FootnoteReference"/>
          <w:rFonts w:asciiTheme="minorHAnsi" w:hAnsiTheme="minorHAnsi"/>
          <w:sz w:val="20"/>
        </w:rPr>
        <w:footnoteReference w:id="26"/>
      </w:r>
      <w:r w:rsidR="00E831D7" w:rsidRPr="00E831D7">
        <w:rPr>
          <w:rFonts w:asciiTheme="minorHAnsi" w:hAnsiTheme="minorHAnsi"/>
          <w:sz w:val="20"/>
        </w:rPr>
        <w:t>, some randomly selected evaluation studies have shown that</w:t>
      </w:r>
      <w:r w:rsidR="00E831D7" w:rsidRPr="00E831D7">
        <w:rPr>
          <w:rFonts w:ascii="Book Antiqua" w:eastAsiaTheme="minorEastAsia" w:hAnsi="Book Antiqua" w:cs="Book Antiqua"/>
          <w:color w:val="000000"/>
          <w:sz w:val="20"/>
          <w:lang w:bidi="ar-SA"/>
        </w:rPr>
        <w:t xml:space="preserve">, </w:t>
      </w:r>
      <w:r w:rsidR="00E831D7" w:rsidRPr="00E831D7">
        <w:rPr>
          <w:rFonts w:asciiTheme="minorHAnsi" w:eastAsiaTheme="minorEastAsia" w:hAnsiTheme="minorHAnsi" w:cs="Book Antiqua"/>
          <w:color w:val="000000"/>
          <w:sz w:val="20"/>
          <w:lang w:bidi="ar-SA"/>
        </w:rPr>
        <w:t xml:space="preserve">landed property is not eligible for use as collateral unless it is formally </w:t>
      </w:r>
      <w:r w:rsidR="00EB0FE2" w:rsidRPr="00E831D7">
        <w:rPr>
          <w:rFonts w:asciiTheme="minorHAnsi" w:eastAsiaTheme="minorEastAsia" w:hAnsiTheme="minorHAnsi" w:cs="Book Antiqua"/>
          <w:color w:val="000000"/>
          <w:sz w:val="20"/>
          <w:lang w:bidi="ar-SA"/>
        </w:rPr>
        <w:t>registered</w:t>
      </w:r>
      <w:r w:rsidR="00E831D7" w:rsidRPr="00E831D7">
        <w:rPr>
          <w:rStyle w:val="FootnoteReference"/>
          <w:rFonts w:asciiTheme="minorHAnsi" w:hAnsiTheme="minorHAnsi"/>
          <w:sz w:val="20"/>
        </w:rPr>
        <w:footnoteReference w:id="27"/>
      </w:r>
      <w:r w:rsidR="00E831D7" w:rsidRPr="00E831D7">
        <w:rPr>
          <w:rFonts w:asciiTheme="minorHAnsi" w:eastAsiaTheme="minorEastAsia" w:hAnsiTheme="minorHAnsi" w:cs="Book Antiqua"/>
          <w:color w:val="000000"/>
          <w:sz w:val="20"/>
          <w:lang w:bidi="ar-SA"/>
        </w:rPr>
        <w:t xml:space="preserve">. Unregistered property is however accepted as collateral </w:t>
      </w:r>
      <w:r w:rsidR="00E831D7" w:rsidRPr="00E831D7">
        <w:rPr>
          <w:rFonts w:asciiTheme="minorHAnsi" w:eastAsiaTheme="minorEastAsia" w:hAnsiTheme="minorHAnsi" w:cs="Book Antiqua"/>
          <w:color w:val="000000"/>
          <w:sz w:val="20"/>
          <w:lang w:bidi="ar-SA"/>
        </w:rPr>
        <w:lastRenderedPageBreak/>
        <w:t>by the microfinance institutions. Therefore the exact impact of land registration on credit access may vary depending on the type of lender.</w:t>
      </w:r>
    </w:p>
    <w:p w:rsidR="00C60D4D" w:rsidRDefault="00C60D4D" w:rsidP="00784629">
      <w:pPr>
        <w:pStyle w:val="Paragraph"/>
        <w:numPr>
          <w:ilvl w:val="0"/>
          <w:numId w:val="0"/>
        </w:numPr>
        <w:suppressAutoHyphens/>
        <w:ind w:left="630"/>
        <w:rPr>
          <w:rFonts w:asciiTheme="minorHAnsi" w:hAnsiTheme="minorHAnsi"/>
          <w:sz w:val="20"/>
        </w:rPr>
      </w:pPr>
    </w:p>
    <w:p w:rsidR="00504B39" w:rsidRPr="00784629" w:rsidRDefault="000B1618" w:rsidP="00784629">
      <w:pPr>
        <w:pStyle w:val="Paragraph"/>
        <w:numPr>
          <w:ilvl w:val="0"/>
          <w:numId w:val="0"/>
        </w:numPr>
        <w:suppressAutoHyphens/>
        <w:ind w:left="630"/>
        <w:rPr>
          <w:rFonts w:asciiTheme="minorHAnsi" w:hAnsiTheme="minorHAnsi"/>
          <w:sz w:val="20"/>
        </w:rPr>
      </w:pPr>
      <w:r w:rsidRPr="00784629">
        <w:rPr>
          <w:rFonts w:asciiTheme="minorHAnsi" w:hAnsiTheme="minorHAnsi"/>
          <w:sz w:val="20"/>
        </w:rPr>
        <w:t xml:space="preserve"> With the program, the conditions to facilitate Land Titling and Registration have been improved by reducing the cost and time and now an average of 1,000 titles a year have been produced (compared to a baseline of 0 titles a year). However, there are still significant bottlenecks to address in terms of the institutional and regulatory framework to further increase the number of titles produced</w:t>
      </w:r>
    </w:p>
    <w:p w:rsidR="00504B39" w:rsidRPr="008C1DEE" w:rsidRDefault="00784629" w:rsidP="00E4323B">
      <w:pPr>
        <w:pStyle w:val="ListParagraph"/>
        <w:numPr>
          <w:ilvl w:val="0"/>
          <w:numId w:val="2"/>
        </w:numPr>
        <w:spacing w:before="120" w:after="120"/>
        <w:rPr>
          <w:b/>
        </w:rPr>
      </w:pPr>
      <w:r w:rsidRPr="00784629">
        <w:t xml:space="preserve"> </w:t>
      </w:r>
      <w:r w:rsidRPr="008C1DEE">
        <w:rPr>
          <w:b/>
        </w:rPr>
        <w:t>The Program</w:t>
      </w:r>
    </w:p>
    <w:p w:rsidR="00784629" w:rsidRPr="00784629" w:rsidRDefault="00784629" w:rsidP="00784629">
      <w:pPr>
        <w:pStyle w:val="Paragraph"/>
        <w:numPr>
          <w:ilvl w:val="0"/>
          <w:numId w:val="0"/>
        </w:numPr>
        <w:suppressAutoHyphens/>
        <w:ind w:left="630"/>
        <w:rPr>
          <w:rFonts w:asciiTheme="minorHAnsi" w:hAnsiTheme="minorHAnsi"/>
          <w:sz w:val="20"/>
        </w:rPr>
      </w:pPr>
      <w:r w:rsidRPr="00784629">
        <w:rPr>
          <w:rFonts w:asciiTheme="minorHAnsi" w:eastAsia="Arial Unicode MS" w:hAnsiTheme="minorHAnsi"/>
          <w:sz w:val="20"/>
        </w:rPr>
        <w:t>The objective of the program is to improve competitiveness by promoting reforms that expand access to credit, reduce distortions in the tax system and government participation in inefficient enterprises and projects, and lower business costs through more efficient land titling and registration</w:t>
      </w:r>
      <w:r w:rsidRPr="00784629">
        <w:rPr>
          <w:rFonts w:asciiTheme="minorHAnsi" w:hAnsiTheme="minorHAnsi"/>
          <w:sz w:val="20"/>
        </w:rPr>
        <w:t xml:space="preserve">. The activities supported by this loan are detailed below and are listed in the attached Policy Matrix. </w:t>
      </w:r>
    </w:p>
    <w:p w:rsidR="00784629" w:rsidRPr="00784629" w:rsidRDefault="00784629" w:rsidP="00784629">
      <w:pPr>
        <w:pStyle w:val="SecHeading"/>
        <w:tabs>
          <w:tab w:val="clear" w:pos="5400"/>
        </w:tabs>
        <w:ind w:left="630" w:firstLine="0"/>
        <w:rPr>
          <w:rFonts w:asciiTheme="minorHAnsi" w:hAnsiTheme="minorHAnsi"/>
          <w:sz w:val="20"/>
          <w:szCs w:val="20"/>
        </w:rPr>
      </w:pPr>
      <w:bookmarkStart w:id="1" w:name="_Toc180561245"/>
      <w:bookmarkStart w:id="2" w:name="_Toc180571603"/>
      <w:bookmarkStart w:id="3" w:name="_Toc180573120"/>
      <w:bookmarkStart w:id="4" w:name="_Toc219284384"/>
      <w:bookmarkStart w:id="5" w:name="_Toc242603422"/>
      <w:bookmarkStart w:id="6" w:name="_Toc283392392"/>
      <w:bookmarkStart w:id="7" w:name="_Toc287617071"/>
      <w:r w:rsidRPr="00784629">
        <w:rPr>
          <w:rFonts w:asciiTheme="minorHAnsi" w:hAnsiTheme="minorHAnsi"/>
          <w:sz w:val="20"/>
          <w:szCs w:val="20"/>
        </w:rPr>
        <w:t>Program structure</w:t>
      </w:r>
      <w:bookmarkEnd w:id="1"/>
      <w:bookmarkEnd w:id="2"/>
      <w:bookmarkEnd w:id="3"/>
      <w:bookmarkEnd w:id="4"/>
      <w:bookmarkEnd w:id="5"/>
      <w:bookmarkEnd w:id="6"/>
      <w:bookmarkEnd w:id="7"/>
    </w:p>
    <w:p w:rsidR="00784629" w:rsidRPr="00784629" w:rsidRDefault="00784629" w:rsidP="00784629">
      <w:pPr>
        <w:pStyle w:val="Paragraph"/>
        <w:numPr>
          <w:ilvl w:val="0"/>
          <w:numId w:val="0"/>
        </w:numPr>
        <w:suppressAutoHyphens/>
        <w:ind w:left="630"/>
        <w:rPr>
          <w:rFonts w:asciiTheme="minorHAnsi" w:hAnsiTheme="minorHAnsi"/>
          <w:sz w:val="20"/>
        </w:rPr>
      </w:pPr>
      <w:bookmarkStart w:id="8" w:name="_Ref180901875"/>
      <w:r w:rsidRPr="00784629">
        <w:rPr>
          <w:rFonts w:asciiTheme="minorHAnsi" w:hAnsiTheme="minorHAnsi"/>
          <w:sz w:val="20"/>
        </w:rPr>
        <w:t xml:space="preserve">JCEP III has six components: 1. Macroeconomic Policy Framework; 2.Competitiveness Implementation Framework; 3. Tax Reform; 4. Reduction of Budgetary Burden for State Owned Enterprises, 5. Improving Access to Finance and Financial Market Development, and 6. Reduction of Business Costs through Expedited Land Titling. </w:t>
      </w:r>
      <w:bookmarkEnd w:id="8"/>
      <w:r w:rsidRPr="00784629">
        <w:rPr>
          <w:rFonts w:asciiTheme="minorHAnsi" w:hAnsiTheme="minorHAnsi"/>
          <w:sz w:val="20"/>
        </w:rPr>
        <w:t xml:space="preserve">The following section describes the conditions for JCEP III disbursement and their status of compliance (see </w:t>
      </w:r>
      <w:hyperlink r:id="rId9" w:history="1">
        <w:r w:rsidRPr="00784629">
          <w:rPr>
            <w:rStyle w:val="Hyperlink"/>
            <w:rFonts w:asciiTheme="minorHAnsi" w:hAnsiTheme="minorHAnsi"/>
            <w:sz w:val="20"/>
          </w:rPr>
          <w:t>Policy Matrix</w:t>
        </w:r>
      </w:hyperlink>
      <w:r w:rsidRPr="00784629">
        <w:rPr>
          <w:rFonts w:asciiTheme="minorHAnsi" w:hAnsiTheme="minorHAnsi"/>
          <w:sz w:val="20"/>
        </w:rPr>
        <w:t xml:space="preserve"> and </w:t>
      </w:r>
      <w:hyperlink r:id="rId10" w:history="1">
        <w:r w:rsidRPr="00784629">
          <w:rPr>
            <w:rStyle w:val="Hyperlink"/>
            <w:rFonts w:asciiTheme="minorHAnsi" w:hAnsiTheme="minorHAnsi"/>
            <w:sz w:val="20"/>
          </w:rPr>
          <w:t>Means of Verification Matrix</w:t>
        </w:r>
      </w:hyperlink>
      <w:r w:rsidRPr="00784629">
        <w:rPr>
          <w:rFonts w:asciiTheme="minorHAnsi" w:hAnsiTheme="minorHAnsi"/>
          <w:sz w:val="20"/>
        </w:rPr>
        <w:t xml:space="preserve">). </w:t>
      </w:r>
    </w:p>
    <w:p w:rsidR="00784629" w:rsidRPr="00784629" w:rsidRDefault="00784629" w:rsidP="00784629">
      <w:pPr>
        <w:pStyle w:val="SecHeading"/>
        <w:tabs>
          <w:tab w:val="clear" w:pos="5400"/>
        </w:tabs>
        <w:suppressAutoHyphens/>
        <w:ind w:left="630" w:firstLine="0"/>
        <w:rPr>
          <w:rFonts w:asciiTheme="minorHAnsi" w:hAnsiTheme="minorHAnsi"/>
          <w:sz w:val="20"/>
          <w:szCs w:val="20"/>
        </w:rPr>
      </w:pPr>
      <w:bookmarkStart w:id="9" w:name="_Toc242603424"/>
      <w:bookmarkStart w:id="10" w:name="_Toc283392394"/>
      <w:bookmarkStart w:id="11" w:name="_Toc287617073"/>
      <w:r w:rsidRPr="00784629">
        <w:rPr>
          <w:rFonts w:asciiTheme="minorHAnsi" w:hAnsiTheme="minorHAnsi"/>
          <w:sz w:val="20"/>
          <w:szCs w:val="20"/>
        </w:rPr>
        <w:t xml:space="preserve">Component I. Macroeconomic Policy Framework </w:t>
      </w:r>
    </w:p>
    <w:p w:rsidR="00784629" w:rsidRPr="00784629" w:rsidRDefault="00784629" w:rsidP="00784629">
      <w:pPr>
        <w:pStyle w:val="Paragraph"/>
        <w:numPr>
          <w:ilvl w:val="0"/>
          <w:numId w:val="0"/>
        </w:numPr>
        <w:suppressAutoHyphens/>
        <w:ind w:left="630"/>
        <w:rPr>
          <w:rFonts w:asciiTheme="minorHAnsi" w:hAnsiTheme="minorHAnsi"/>
          <w:sz w:val="20"/>
        </w:rPr>
      </w:pPr>
      <w:r w:rsidRPr="00784629">
        <w:rPr>
          <w:rFonts w:asciiTheme="minorHAnsi" w:hAnsiTheme="minorHAnsi"/>
          <w:sz w:val="20"/>
        </w:rPr>
        <w:t xml:space="preserve"> The objective of this component is to </w:t>
      </w:r>
      <w:r w:rsidRPr="00784629">
        <w:rPr>
          <w:rFonts w:asciiTheme="minorHAnsi" w:hAnsiTheme="minorHAnsi"/>
          <w:spacing w:val="-3"/>
          <w:sz w:val="20"/>
        </w:rPr>
        <w:t>maintain an appropriate macroeconomic policy framework is congruent with the program’s objectives</w:t>
      </w:r>
      <w:r w:rsidRPr="00784629">
        <w:rPr>
          <w:rFonts w:asciiTheme="minorHAnsi" w:hAnsiTheme="minorHAnsi"/>
          <w:sz w:val="20"/>
        </w:rPr>
        <w:t xml:space="preserve"> </w:t>
      </w:r>
    </w:p>
    <w:p w:rsidR="00784629" w:rsidRPr="00784629" w:rsidRDefault="00784629" w:rsidP="00784629">
      <w:pPr>
        <w:pStyle w:val="SecHeading"/>
        <w:tabs>
          <w:tab w:val="clear" w:pos="5400"/>
        </w:tabs>
        <w:suppressAutoHyphens/>
        <w:ind w:left="630" w:firstLine="0"/>
        <w:rPr>
          <w:rFonts w:asciiTheme="minorHAnsi" w:hAnsiTheme="minorHAnsi"/>
          <w:sz w:val="20"/>
          <w:szCs w:val="20"/>
        </w:rPr>
      </w:pPr>
      <w:r w:rsidRPr="00784629">
        <w:rPr>
          <w:rFonts w:asciiTheme="minorHAnsi" w:hAnsiTheme="minorHAnsi"/>
          <w:sz w:val="20"/>
          <w:szCs w:val="20"/>
        </w:rPr>
        <w:t>Component 2: Competitiveness implementation framework</w:t>
      </w:r>
      <w:bookmarkEnd w:id="9"/>
      <w:bookmarkEnd w:id="10"/>
      <w:bookmarkEnd w:id="11"/>
    </w:p>
    <w:p w:rsidR="00784629" w:rsidRPr="00784629" w:rsidRDefault="00784629" w:rsidP="00784629">
      <w:pPr>
        <w:pStyle w:val="Paragraph"/>
        <w:numPr>
          <w:ilvl w:val="0"/>
          <w:numId w:val="0"/>
        </w:numPr>
        <w:suppressAutoHyphens/>
        <w:ind w:left="630"/>
        <w:rPr>
          <w:rFonts w:asciiTheme="minorHAnsi" w:hAnsiTheme="minorHAnsi"/>
          <w:sz w:val="20"/>
        </w:rPr>
      </w:pPr>
      <w:bookmarkStart w:id="12" w:name="_Ref274921837"/>
      <w:bookmarkStart w:id="13" w:name="_Ref287615448"/>
      <w:r w:rsidRPr="00784629">
        <w:rPr>
          <w:rFonts w:asciiTheme="minorHAnsi" w:hAnsiTheme="minorHAnsi"/>
          <w:sz w:val="20"/>
        </w:rPr>
        <w:t>The National Competitiveness Council (NCC), in charge of leading and monitoring the public-private dialogue in areas of competitiveness, housed at JAMPRO</w:t>
      </w:r>
      <w:r w:rsidR="00EB0FE2" w:rsidRPr="00784629">
        <w:rPr>
          <w:rFonts w:asciiTheme="minorHAnsi" w:hAnsiTheme="minorHAnsi"/>
          <w:sz w:val="20"/>
        </w:rPr>
        <w:t>, has</w:t>
      </w:r>
      <w:r w:rsidRPr="00784629">
        <w:rPr>
          <w:rFonts w:asciiTheme="minorHAnsi" w:hAnsiTheme="minorHAnsi"/>
          <w:sz w:val="20"/>
        </w:rPr>
        <w:t xml:space="preserve"> continued its operation, holding regular meetings</w:t>
      </w:r>
      <w:r w:rsidR="00EB0FE2" w:rsidRPr="00784629">
        <w:rPr>
          <w:rFonts w:asciiTheme="minorHAnsi" w:hAnsiTheme="minorHAnsi"/>
          <w:sz w:val="20"/>
        </w:rPr>
        <w:t>, having</w:t>
      </w:r>
      <w:r w:rsidRPr="00784629">
        <w:rPr>
          <w:rFonts w:asciiTheme="minorHAnsi" w:hAnsiTheme="minorHAnsi"/>
          <w:sz w:val="20"/>
        </w:rPr>
        <w:t xml:space="preserve"> its last meeting on September 2013. The NCC has developed an agenda for reforms for the 2012-2015 </w:t>
      </w:r>
      <w:r w:rsidRPr="00784629">
        <w:rPr>
          <w:rStyle w:val="FootnoteReference"/>
          <w:rFonts w:asciiTheme="minorHAnsi" w:hAnsiTheme="minorHAnsi"/>
          <w:sz w:val="20"/>
        </w:rPr>
        <w:footnoteReference w:id="28"/>
      </w:r>
      <w:r w:rsidRPr="00784629">
        <w:rPr>
          <w:rFonts w:asciiTheme="minorHAnsi" w:hAnsiTheme="minorHAnsi"/>
          <w:sz w:val="20"/>
        </w:rPr>
        <w:t>which has been closely monitored by the Secretariat and some of the priority actions have been already completed</w:t>
      </w:r>
      <w:bookmarkEnd w:id="12"/>
      <w:bookmarkEnd w:id="13"/>
      <w:r w:rsidRPr="00784629">
        <w:rPr>
          <w:rFonts w:asciiTheme="minorHAnsi" w:hAnsiTheme="minorHAnsi"/>
          <w:sz w:val="20"/>
        </w:rPr>
        <w:t>. In July 2013, the Partnerships for Jamaica agreement was signed by the Government, Private Sector, Academia and Civil Society and the initial meetings took place in September.</w:t>
      </w:r>
    </w:p>
    <w:p w:rsidR="00784629" w:rsidRPr="00784629" w:rsidRDefault="00784629" w:rsidP="00784629">
      <w:pPr>
        <w:pStyle w:val="SecHeading"/>
        <w:tabs>
          <w:tab w:val="clear" w:pos="5400"/>
        </w:tabs>
        <w:suppressAutoHyphens/>
        <w:ind w:left="630" w:firstLine="0"/>
        <w:rPr>
          <w:rFonts w:asciiTheme="minorHAnsi" w:hAnsiTheme="minorHAnsi"/>
          <w:sz w:val="20"/>
          <w:szCs w:val="20"/>
        </w:rPr>
      </w:pPr>
      <w:bookmarkStart w:id="14" w:name="_Toc242603425"/>
      <w:bookmarkStart w:id="15" w:name="_Toc283392395"/>
      <w:bookmarkStart w:id="16" w:name="_Toc287617074"/>
      <w:r w:rsidRPr="00784629">
        <w:rPr>
          <w:rFonts w:asciiTheme="minorHAnsi" w:hAnsiTheme="minorHAnsi"/>
          <w:sz w:val="20"/>
          <w:szCs w:val="20"/>
        </w:rPr>
        <w:t>Component 3: Tax reform</w:t>
      </w:r>
      <w:bookmarkEnd w:id="14"/>
      <w:bookmarkEnd w:id="15"/>
      <w:bookmarkEnd w:id="16"/>
    </w:p>
    <w:p w:rsidR="00784629" w:rsidRPr="00784629" w:rsidRDefault="00784629" w:rsidP="00784629">
      <w:pPr>
        <w:pStyle w:val="Paragraph"/>
        <w:numPr>
          <w:ilvl w:val="0"/>
          <w:numId w:val="0"/>
        </w:numPr>
        <w:suppressAutoHyphens/>
        <w:ind w:left="630"/>
        <w:rPr>
          <w:rFonts w:asciiTheme="minorHAnsi" w:hAnsiTheme="minorHAnsi"/>
          <w:sz w:val="20"/>
        </w:rPr>
      </w:pPr>
      <w:r w:rsidRPr="00784629">
        <w:rPr>
          <w:rFonts w:asciiTheme="minorHAnsi" w:hAnsiTheme="minorHAnsi"/>
          <w:sz w:val="20"/>
        </w:rPr>
        <w:t>The GoJ has made progress towards the compliance with the conditions mentioned above as follows: (i) the amalgamation of labour tax payments has been achieved with Parliament’s approval of regulations enabling one sole payment, completing Phase I and II of the implementation process; (ii) training for officials on tax policy modeling and tax expenditure reporting has been carried out. The tax policy models have been used in preparing the GoJ’s “Growth-Inducement Strategy”; (iii) comprehensive tax expenditure report was prepared for 2009, and has been published on a yearly basis up to 2013; (iii) the new methodology for collection of income tax information was approved by MEF. In addition, a Provisional Tax Order amended temporarily the Income Tax Act as of July 2013 in which the CIT and the PIT were harmonized at the rate of 25% for unregulated companies.</w:t>
      </w:r>
    </w:p>
    <w:p w:rsidR="00784629" w:rsidRPr="00784629" w:rsidRDefault="00784629" w:rsidP="00784629">
      <w:pPr>
        <w:pStyle w:val="Paragraph"/>
        <w:numPr>
          <w:ilvl w:val="0"/>
          <w:numId w:val="0"/>
        </w:numPr>
        <w:suppressAutoHyphens/>
        <w:ind w:left="630"/>
        <w:rPr>
          <w:rFonts w:asciiTheme="minorHAnsi" w:hAnsiTheme="minorHAnsi"/>
          <w:sz w:val="20"/>
        </w:rPr>
      </w:pPr>
      <w:r w:rsidRPr="00784629">
        <w:rPr>
          <w:rFonts w:asciiTheme="minorHAnsi" w:hAnsiTheme="minorHAnsi"/>
          <w:sz w:val="20"/>
        </w:rPr>
        <w:t xml:space="preserve">The GoJ has fully complied with all the conditions for simplifying and lowering the cost of paying taxes as agreed on the initial Action Plan. In this regard, the following has been accomplished: (i) the Electronic </w:t>
      </w:r>
      <w:r w:rsidRPr="00784629">
        <w:rPr>
          <w:rFonts w:asciiTheme="minorHAnsi" w:hAnsiTheme="minorHAnsi"/>
          <w:sz w:val="20"/>
        </w:rPr>
        <w:lastRenderedPageBreak/>
        <w:t>Drop Box has been implemented and is currently in operation, procedures have been fine-tuned, and advertised; (ii) the E-payment portal is in operation, the existing software and hardware has been upgraded, and self-employed and corporate individuals can now file electronically; (iii) the Third Party Collection Project’s technical component is completed and new service providers are being evaluated in order to reduce costs; and (iv) a Forensic Data Mining Intelligence Unit has been established and statistics relating to its performance are available.</w:t>
      </w:r>
    </w:p>
    <w:p w:rsidR="00784629" w:rsidRPr="00784629" w:rsidRDefault="00784629" w:rsidP="00784629">
      <w:pPr>
        <w:pStyle w:val="SecHeading"/>
        <w:tabs>
          <w:tab w:val="clear" w:pos="5400"/>
        </w:tabs>
        <w:suppressAutoHyphens/>
        <w:ind w:left="630" w:firstLine="0"/>
        <w:rPr>
          <w:rFonts w:asciiTheme="minorHAnsi" w:hAnsiTheme="minorHAnsi"/>
          <w:sz w:val="20"/>
          <w:szCs w:val="20"/>
        </w:rPr>
      </w:pPr>
      <w:bookmarkStart w:id="17" w:name="_Toc283392396"/>
      <w:bookmarkStart w:id="18" w:name="_Toc287617075"/>
      <w:r w:rsidRPr="00784629">
        <w:rPr>
          <w:rFonts w:asciiTheme="minorHAnsi" w:hAnsiTheme="minorHAnsi"/>
          <w:sz w:val="20"/>
          <w:szCs w:val="20"/>
        </w:rPr>
        <w:t xml:space="preserve">Component 4: Elimination of budgetary burden for SOEs </w:t>
      </w:r>
      <w:bookmarkEnd w:id="17"/>
      <w:bookmarkEnd w:id="18"/>
    </w:p>
    <w:p w:rsidR="00784629" w:rsidRPr="00784629" w:rsidRDefault="00784629" w:rsidP="00784629">
      <w:pPr>
        <w:pStyle w:val="Paragraph"/>
        <w:numPr>
          <w:ilvl w:val="0"/>
          <w:numId w:val="0"/>
        </w:numPr>
        <w:suppressAutoHyphens/>
        <w:ind w:left="630"/>
        <w:rPr>
          <w:rFonts w:asciiTheme="minorHAnsi" w:hAnsiTheme="minorHAnsi"/>
          <w:sz w:val="20"/>
        </w:rPr>
      </w:pPr>
      <w:r w:rsidRPr="00784629">
        <w:rPr>
          <w:rFonts w:asciiTheme="minorHAnsi" w:hAnsiTheme="minorHAnsi"/>
          <w:sz w:val="20"/>
        </w:rPr>
        <w:t>In addition, Cabinet approved a new institutional framework to streamline and strengthen the process of carrying out PPPs in 2012, involving a more active participation of the MEF, mandatory evaluation and assessment of fiscal contingencies and strengthening of the technical capacity of the Development Bank of Jamaica (DBJ), and program for institutional strengthening of DBJ has initiated.</w:t>
      </w:r>
    </w:p>
    <w:p w:rsidR="00784629" w:rsidRPr="00784629" w:rsidRDefault="00784629" w:rsidP="00784629">
      <w:pPr>
        <w:pStyle w:val="SecHeading"/>
        <w:tabs>
          <w:tab w:val="clear" w:pos="5400"/>
        </w:tabs>
        <w:suppressAutoHyphens/>
        <w:ind w:left="630" w:firstLine="0"/>
        <w:rPr>
          <w:rFonts w:asciiTheme="minorHAnsi" w:hAnsiTheme="minorHAnsi"/>
          <w:sz w:val="20"/>
          <w:szCs w:val="20"/>
        </w:rPr>
      </w:pPr>
      <w:bookmarkStart w:id="19" w:name="_Toc242603426"/>
      <w:bookmarkStart w:id="20" w:name="_Toc283392397"/>
      <w:bookmarkStart w:id="21" w:name="_Toc287617076"/>
      <w:r w:rsidRPr="00784629">
        <w:rPr>
          <w:rFonts w:asciiTheme="minorHAnsi" w:hAnsiTheme="minorHAnsi"/>
          <w:sz w:val="20"/>
          <w:szCs w:val="20"/>
        </w:rPr>
        <w:t xml:space="preserve">Component 5: Improving access to finance </w:t>
      </w:r>
      <w:bookmarkEnd w:id="19"/>
      <w:bookmarkEnd w:id="20"/>
      <w:bookmarkEnd w:id="21"/>
    </w:p>
    <w:p w:rsidR="00784629" w:rsidRPr="00784629" w:rsidRDefault="00784629" w:rsidP="00784629">
      <w:pPr>
        <w:pStyle w:val="Paragraph"/>
        <w:numPr>
          <w:ilvl w:val="0"/>
          <w:numId w:val="0"/>
        </w:numPr>
        <w:suppressAutoHyphens/>
        <w:ind w:left="630"/>
        <w:rPr>
          <w:rFonts w:asciiTheme="minorHAnsi" w:hAnsiTheme="minorHAnsi"/>
          <w:sz w:val="20"/>
        </w:rPr>
      </w:pPr>
      <w:r w:rsidRPr="00784629">
        <w:rPr>
          <w:rFonts w:asciiTheme="minorHAnsi" w:hAnsiTheme="minorHAnsi"/>
          <w:b/>
          <w:sz w:val="20"/>
        </w:rPr>
        <w:t>Secured transactions framework.</w:t>
      </w:r>
      <w:r w:rsidRPr="00784629">
        <w:rPr>
          <w:rFonts w:asciiTheme="minorHAnsi" w:hAnsiTheme="minorHAnsi"/>
          <w:sz w:val="20"/>
        </w:rPr>
        <w:t xml:space="preserve"> The consultations with Cabinet and private sector stakeholders that are part of the agreed benchmarks of the action plan have taken place. Cabinet approved the issuance of drafting instructions and the draft Bill was prepared during 2012, including consultations with stakeholders. The Bill was tabled in Parliament in June 2013. The insolvency Bill has also been Tabled in Parliament.</w:t>
      </w:r>
    </w:p>
    <w:p w:rsidR="00784629" w:rsidRPr="00784629" w:rsidRDefault="00784629" w:rsidP="00784629">
      <w:pPr>
        <w:pStyle w:val="Paragraph"/>
        <w:numPr>
          <w:ilvl w:val="0"/>
          <w:numId w:val="0"/>
        </w:numPr>
        <w:suppressAutoHyphens/>
        <w:ind w:left="630"/>
        <w:rPr>
          <w:rFonts w:asciiTheme="minorHAnsi" w:hAnsiTheme="minorHAnsi"/>
          <w:sz w:val="20"/>
        </w:rPr>
      </w:pPr>
      <w:r w:rsidRPr="00784629">
        <w:rPr>
          <w:rFonts w:asciiTheme="minorHAnsi" w:hAnsiTheme="minorHAnsi"/>
          <w:b/>
          <w:sz w:val="20"/>
        </w:rPr>
        <w:t>Creat</w:t>
      </w:r>
      <w:r w:rsidRPr="00784629">
        <w:rPr>
          <w:rFonts w:asciiTheme="minorHAnsi" w:hAnsiTheme="minorHAnsi"/>
          <w:b/>
          <w:bCs/>
          <w:sz w:val="20"/>
        </w:rPr>
        <w:t xml:space="preserve">ion of credit bureaus. </w:t>
      </w:r>
      <w:r w:rsidRPr="00784629">
        <w:rPr>
          <w:rFonts w:asciiTheme="minorHAnsi" w:hAnsiTheme="minorHAnsi"/>
          <w:bCs/>
          <w:sz w:val="20"/>
        </w:rPr>
        <w:t>The</w:t>
      </w:r>
      <w:r w:rsidRPr="00784629">
        <w:rPr>
          <w:rFonts w:asciiTheme="minorHAnsi" w:hAnsiTheme="minorHAnsi"/>
          <w:sz w:val="20"/>
        </w:rPr>
        <w:t xml:space="preserve"> GoJ has achieved the benchmarks of the agreed action plan as follows: (i) the Credit Reporting legislation and the legislation was put into effect on October 1, 2010 and Regulations were Tabled in 2011; (ii) the Bank of Jamaica has achieved the milestones in the Action Plan and strategy for the supervision of Credit Bureaus, including: (a) a public education campaign, (b) establishing a specialized unit for the supervision of credit bureaus under the Financial Institutions Supervisory Division, (c) methodology for implementation of the licensing process, (d) an on-going supervision plan, and (e) external due diligence. At present, the licenses for the operation of two Credit Bureaus have been granted and one Credit Bureau is in operation.</w:t>
      </w:r>
    </w:p>
    <w:p w:rsidR="00784629" w:rsidRPr="00784629" w:rsidRDefault="00784629" w:rsidP="00784629">
      <w:pPr>
        <w:pStyle w:val="Paragraph"/>
        <w:numPr>
          <w:ilvl w:val="0"/>
          <w:numId w:val="0"/>
        </w:numPr>
        <w:suppressAutoHyphens/>
        <w:ind w:left="630"/>
        <w:rPr>
          <w:rFonts w:asciiTheme="minorHAnsi" w:hAnsiTheme="minorHAnsi"/>
          <w:sz w:val="20"/>
        </w:rPr>
      </w:pPr>
      <w:r w:rsidRPr="00784629">
        <w:rPr>
          <w:rFonts w:asciiTheme="minorHAnsi" w:hAnsiTheme="minorHAnsi"/>
          <w:b/>
          <w:sz w:val="20"/>
        </w:rPr>
        <w:t>Facilitating electronic transactions.</w:t>
      </w:r>
      <w:r w:rsidRPr="00784629">
        <w:rPr>
          <w:rFonts w:asciiTheme="minorHAnsi" w:hAnsiTheme="minorHAnsi"/>
          <w:sz w:val="20"/>
        </w:rPr>
        <w:t xml:space="preserve"> A Working Committee with representation from the MoFP, BoJ and the Planning Institute of Jamaica (PIOJ), was established to fast track the implementation of M-Banking. A pilot program has been initiated to facilitate electronic payment of conditional cash transfers, including the Programme of Advancement through Health and Education (PATH), National Insurance Scheme (NIS) pensions, and student transfers. The cost benefit analysis of the pilot program was carried out, and an action plan for addressing the basic regulatory issues regarding money laundering was finalized. The BoJ issued the guidelines that enable a Bank center model for providing mobile services to microfinance institutions, the Electronic Payment Retail System Guidelines and approved to pilot projects for M-Banking with the DBJ and the Jamaica Credit Union League and a pilot project is currently being implemented by the DBJ. In addition, consultations with stakeholders have taken place for initiating the implementation of mobile payments for PATH and NIS. </w:t>
      </w:r>
    </w:p>
    <w:p w:rsidR="00784629" w:rsidRPr="00784629" w:rsidRDefault="00784629" w:rsidP="00784629">
      <w:pPr>
        <w:pStyle w:val="Paragraph"/>
        <w:numPr>
          <w:ilvl w:val="0"/>
          <w:numId w:val="0"/>
        </w:numPr>
        <w:suppressAutoHyphens/>
        <w:ind w:left="630"/>
        <w:rPr>
          <w:rFonts w:asciiTheme="minorHAnsi" w:hAnsiTheme="minorHAnsi"/>
          <w:sz w:val="20"/>
        </w:rPr>
      </w:pPr>
      <w:r w:rsidRPr="00784629">
        <w:rPr>
          <w:rFonts w:asciiTheme="minorHAnsi" w:hAnsiTheme="minorHAnsi"/>
          <w:sz w:val="20"/>
        </w:rPr>
        <w:t>Parliament approved The Payment Clearing and Settlement Act in 2010. In addition to this legal foundation for a modern National Payment System, the BOJ has made progress in: (i) implementing the Real Time Gross Settlements (RTGS) mechanism; (ii) creating the Central Security Depository; (iii) creating an enabling legal framework including the approval of the Government Securities Dematerialization Bill. The BoJ currently has 99% of all government securities in electronic form. Next steps after enactment of the law will include the development of a trading platform for fixed income securities.</w:t>
      </w:r>
    </w:p>
    <w:p w:rsidR="00784629" w:rsidRPr="00784629" w:rsidRDefault="00784629" w:rsidP="00784629">
      <w:pPr>
        <w:pStyle w:val="Paragraph"/>
        <w:numPr>
          <w:ilvl w:val="0"/>
          <w:numId w:val="0"/>
        </w:numPr>
        <w:suppressAutoHyphens/>
        <w:ind w:left="630"/>
        <w:rPr>
          <w:rFonts w:asciiTheme="minorHAnsi" w:hAnsiTheme="minorHAnsi"/>
          <w:sz w:val="20"/>
        </w:rPr>
      </w:pPr>
      <w:r w:rsidRPr="00784629">
        <w:rPr>
          <w:rFonts w:asciiTheme="minorHAnsi" w:hAnsiTheme="minorHAnsi"/>
          <w:sz w:val="20"/>
        </w:rPr>
        <w:t xml:space="preserve">In addition, the MSME policy has been developed and approved by Parliament. The policy includes a series of actions in the areas of: (i) creating an enabling business environment, (ii) promoting access to finance, (iii) enhancing business development support, and (iv) fostering a culture of entrepreneurship and innovation. </w:t>
      </w:r>
    </w:p>
    <w:p w:rsidR="00784629" w:rsidRPr="00784629" w:rsidRDefault="00784629" w:rsidP="00784629">
      <w:pPr>
        <w:pStyle w:val="SecHeading"/>
        <w:tabs>
          <w:tab w:val="clear" w:pos="5400"/>
        </w:tabs>
        <w:suppressAutoHyphens/>
        <w:ind w:left="630" w:firstLine="0"/>
        <w:rPr>
          <w:rFonts w:asciiTheme="minorHAnsi" w:hAnsiTheme="minorHAnsi"/>
          <w:sz w:val="20"/>
          <w:szCs w:val="20"/>
        </w:rPr>
      </w:pPr>
      <w:bookmarkStart w:id="22" w:name="_Toc242603427"/>
      <w:bookmarkStart w:id="23" w:name="_Toc283392398"/>
      <w:bookmarkStart w:id="24" w:name="_Toc287617077"/>
      <w:r w:rsidRPr="00784629">
        <w:rPr>
          <w:rFonts w:asciiTheme="minorHAnsi" w:hAnsiTheme="minorHAnsi"/>
          <w:sz w:val="20"/>
          <w:szCs w:val="20"/>
        </w:rPr>
        <w:lastRenderedPageBreak/>
        <w:t>Component 6: Reduction of business costs through expedited land titling</w:t>
      </w:r>
      <w:bookmarkEnd w:id="22"/>
      <w:bookmarkEnd w:id="23"/>
      <w:bookmarkEnd w:id="24"/>
    </w:p>
    <w:p w:rsidR="00E4323B" w:rsidRDefault="00784629" w:rsidP="00CB645B">
      <w:pPr>
        <w:pStyle w:val="Paragraph"/>
        <w:numPr>
          <w:ilvl w:val="0"/>
          <w:numId w:val="0"/>
        </w:numPr>
        <w:suppressAutoHyphens/>
        <w:ind w:left="630"/>
        <w:rPr>
          <w:rFonts w:asciiTheme="minorHAnsi" w:hAnsiTheme="minorHAnsi"/>
          <w:sz w:val="20"/>
        </w:rPr>
      </w:pPr>
      <w:bookmarkStart w:id="25" w:name="_Ref180901905"/>
      <w:bookmarkStart w:id="26" w:name="_Ref283391636"/>
      <w:r w:rsidRPr="00CB645B">
        <w:rPr>
          <w:rFonts w:asciiTheme="minorHAnsi" w:hAnsiTheme="minorHAnsi"/>
          <w:sz w:val="20"/>
        </w:rPr>
        <w:t xml:space="preserve">The Ministry of Agriculture has reduced land titling and registration costs by declaring all the parishes in the island as Land Administration and Management Program (LAMP) areas under the Special Provision Act, with the exception of three Parishes that are part of LAMP II. As a result of the MoA efforts, in LAMP areas, the cost of registering a new title has been reduced by around 75% and the time for registering has been reduced from seven weeks to two weeks for a typical parcel. The approval rate for titling applications under LAMP is around 88%, while the rate for those processed by the traditional process is lower (around 20-40%). </w:t>
      </w:r>
    </w:p>
    <w:p w:rsidR="00784629" w:rsidRPr="008C1DEE" w:rsidRDefault="00784629" w:rsidP="00CB645B">
      <w:pPr>
        <w:pStyle w:val="Paragraph"/>
        <w:numPr>
          <w:ilvl w:val="0"/>
          <w:numId w:val="0"/>
        </w:numPr>
        <w:suppressAutoHyphens/>
        <w:ind w:left="630"/>
        <w:rPr>
          <w:rFonts w:asciiTheme="minorHAnsi" w:hAnsiTheme="minorHAnsi"/>
          <w:sz w:val="20"/>
        </w:rPr>
      </w:pPr>
      <w:r w:rsidRPr="00CB645B">
        <w:rPr>
          <w:rFonts w:asciiTheme="minorHAnsi" w:hAnsiTheme="minorHAnsi"/>
          <w:sz w:val="20"/>
        </w:rPr>
        <w:t xml:space="preserve">LAMP I now covers eleven out of the 14 parishes in the country, and the rate of granting new titles increased from 728 in 2009 to 1300 in 2012. (A total of 4727 have been granted for LAMP I since its inception in 2006 and 427 for LAMP II.) </w:t>
      </w:r>
      <w:bookmarkEnd w:id="25"/>
      <w:r w:rsidRPr="00CB645B">
        <w:rPr>
          <w:rFonts w:asciiTheme="minorHAnsi" w:hAnsiTheme="minorHAnsi"/>
          <w:sz w:val="20"/>
        </w:rPr>
        <w:t xml:space="preserve">Since the IT capacity of the National Land Agency to process cadastral maps is severely limited, the GoJ  launched the LAMP II program in 2010, in which the GoJ has formed a public-private partnership with a local Jamaican firm, Geoland Title Company, and the Korea Cadastral Survey Corporation (KCSC), a non-profit Korean firm with expertise on land surveying and cadastral mapping. </w:t>
      </w:r>
      <w:r w:rsidRPr="008C1DEE">
        <w:rPr>
          <w:rFonts w:asciiTheme="minorHAnsi" w:hAnsiTheme="minorHAnsi"/>
          <w:sz w:val="20"/>
        </w:rPr>
        <w:t>The private partners contribute the capital investment and technological services, while the GoJ provides the support and the local expertise with the goal of titling 12,500 land parcels in the Saint Elizabeth Parish during a two-year period</w:t>
      </w:r>
      <w:bookmarkEnd w:id="26"/>
    </w:p>
    <w:p w:rsidR="00A33DA4" w:rsidRDefault="00A33DA4" w:rsidP="00784629">
      <w:pPr>
        <w:spacing w:before="120" w:after="120"/>
      </w:pPr>
    </w:p>
    <w:p w:rsidR="008F61EB" w:rsidRPr="00E4323B" w:rsidRDefault="00D110F3" w:rsidP="00E4323B">
      <w:pPr>
        <w:pStyle w:val="ListParagraph"/>
        <w:numPr>
          <w:ilvl w:val="0"/>
          <w:numId w:val="2"/>
        </w:numPr>
        <w:spacing w:before="120" w:after="120"/>
        <w:rPr>
          <w:b/>
        </w:rPr>
      </w:pPr>
      <w:r w:rsidRPr="00E4323B">
        <w:rPr>
          <w:b/>
        </w:rPr>
        <w:t>Assumptions and Methodology</w:t>
      </w:r>
      <w:r w:rsidR="008F61EB" w:rsidRPr="00E4323B">
        <w:rPr>
          <w:b/>
        </w:rPr>
        <w:t>.</w:t>
      </w:r>
    </w:p>
    <w:p w:rsidR="005E69C2" w:rsidRPr="00784629" w:rsidRDefault="00801130" w:rsidP="0014538A">
      <w:pPr>
        <w:spacing w:before="120" w:after="120"/>
        <w:ind w:left="720"/>
      </w:pPr>
      <w:r w:rsidRPr="00784629">
        <w:t>There are several challenges involving the measuring of cost and benefits of legal, regulatory and institutional policy reforms. For purposes of this paper, the CBA technique to be used to measure the improvement of a policy decision will use monetary measure of the aggregate change in individual well-being resulting from a policy decision</w:t>
      </w:r>
      <w:r w:rsidRPr="00B852B0">
        <w:rPr>
          <w:rStyle w:val="EndnoteReference"/>
        </w:rPr>
        <w:endnoteReference w:id="1"/>
      </w:r>
      <w:r w:rsidRPr="00B852B0">
        <w:t xml:space="preserve">. </w:t>
      </w:r>
      <w:r w:rsidR="002877A2" w:rsidRPr="00784629">
        <w:t xml:space="preserve">It also assumes that individual well-being can be characterized in terms of preference satisfaction and that aggregate social well-being can be expressed as an aggregation of individual social welfare. </w:t>
      </w:r>
      <w:r w:rsidR="005E69C2" w:rsidRPr="00784629">
        <w:t>In addition, the proposed methodology measures the first sequence of benefits, regardless of subsequent interactions and second generation effects of the reforms.</w:t>
      </w:r>
    </w:p>
    <w:p w:rsidR="005E69C2" w:rsidRDefault="002877A2" w:rsidP="0014538A">
      <w:pPr>
        <w:spacing w:before="120" w:after="120"/>
        <w:ind w:left="720"/>
      </w:pPr>
      <w:r w:rsidRPr="00784629">
        <w:t xml:space="preserve">This paper also follows the guidelines </w:t>
      </w:r>
      <w:r w:rsidR="008C60BB" w:rsidRPr="00784629">
        <w:t xml:space="preserve">of the </w:t>
      </w:r>
      <w:r w:rsidR="00E224FB" w:rsidRPr="00784629">
        <w:t>Office</w:t>
      </w:r>
      <w:r w:rsidR="008C60BB" w:rsidRPr="00784629">
        <w:t xml:space="preserve"> of Management and Budget (OMB) that include (i) use of clear and </w:t>
      </w:r>
      <w:r w:rsidR="00E224FB" w:rsidRPr="00784629">
        <w:t>consistent</w:t>
      </w:r>
      <w:r w:rsidR="008C60BB" w:rsidRPr="00784629">
        <w:t xml:space="preserve"> baseline assumptions, (ii) evaluation of alternatives, (iii) appropriate benefits of discounting future benefits and costs</w:t>
      </w:r>
      <w:r w:rsidR="008C60BB" w:rsidRPr="00B852B0">
        <w:rPr>
          <w:rStyle w:val="EndnoteReference"/>
        </w:rPr>
        <w:endnoteReference w:id="2"/>
      </w:r>
      <w:r w:rsidR="008C60BB" w:rsidRPr="00B852B0">
        <w:t xml:space="preserve">. </w:t>
      </w:r>
      <w:r w:rsidR="00CB645B">
        <w:t xml:space="preserve"> In addition, elements of the OECD methodology for regulatory impact analysis was applied, that includes, in addition to the cost and benefit evaluation, </w:t>
      </w:r>
      <w:r w:rsidR="00352F08">
        <w:t>a series of guidelines on the definition of the objectives of the public policies  and identification and quantification of the impacts of all the options considered, including costs, benefits and redistributive effects.</w:t>
      </w:r>
    </w:p>
    <w:p w:rsidR="00CB645B" w:rsidRDefault="00CB645B" w:rsidP="0014538A">
      <w:pPr>
        <w:spacing w:before="120" w:after="120"/>
        <w:ind w:left="720"/>
      </w:pPr>
      <w:r>
        <w:t>In addition, this analysis includes the application of the methodologies of only a portion of the reforms, since costs and benefits of reforms and institutional strengthening activities, such as public – private dialogue and some of the effects of tax reforms are very difficult to measure.</w:t>
      </w:r>
    </w:p>
    <w:p w:rsidR="00C5538C" w:rsidRPr="00784629" w:rsidRDefault="00C5538C" w:rsidP="0014538A">
      <w:pPr>
        <w:spacing w:before="120" w:after="120"/>
        <w:ind w:left="720"/>
      </w:pPr>
      <w:r>
        <w:t>In addition, due to the nature of the project, that started implementing the reforms in 2008, poses the challenges of the use of time. At present, some of the reforms have been carried out and  the impacts have occurred, while other are under implementation.  Thus, in the present document 2008, the year where the first disbursement of the program was made was considered  to be year 0.</w:t>
      </w:r>
    </w:p>
    <w:p w:rsidR="005E69C2" w:rsidRPr="00784629" w:rsidRDefault="00197CBD" w:rsidP="0014538A">
      <w:pPr>
        <w:pStyle w:val="ListParagraph"/>
        <w:numPr>
          <w:ilvl w:val="0"/>
          <w:numId w:val="22"/>
        </w:numPr>
        <w:spacing w:before="120" w:after="120"/>
      </w:pPr>
      <w:r w:rsidRPr="00784629">
        <w:rPr>
          <w:b/>
        </w:rPr>
        <w:t>First step: estimating the economic cost of the policy reforms</w:t>
      </w:r>
      <w:r w:rsidR="002E1959" w:rsidRPr="00784629">
        <w:rPr>
          <w:b/>
        </w:rPr>
        <w:t>:</w:t>
      </w:r>
      <w:r w:rsidR="002E1959" w:rsidRPr="00784629">
        <w:t xml:space="preserve">  </w:t>
      </w:r>
    </w:p>
    <w:p w:rsidR="005D7D30" w:rsidRPr="00784629" w:rsidRDefault="005525BB" w:rsidP="0014538A">
      <w:pPr>
        <w:spacing w:before="120" w:after="120"/>
        <w:ind w:left="720"/>
      </w:pPr>
      <w:r w:rsidRPr="00784629">
        <w:t xml:space="preserve">To </w:t>
      </w:r>
      <w:r w:rsidR="0008118A" w:rsidRPr="00784629">
        <w:t xml:space="preserve">assess the economic </w:t>
      </w:r>
      <w:r w:rsidR="008F61EB" w:rsidRPr="00784629">
        <w:t>cost</w:t>
      </w:r>
      <w:r w:rsidR="0008118A" w:rsidRPr="00784629">
        <w:t xml:space="preserve"> of the policy reforms supported by the program</w:t>
      </w:r>
      <w:r w:rsidR="008F61EB" w:rsidRPr="00784629">
        <w:t>,</w:t>
      </w:r>
      <w:r w:rsidRPr="00784629">
        <w:t xml:space="preserve"> </w:t>
      </w:r>
      <w:r w:rsidR="00197CBD" w:rsidRPr="00784629">
        <w:t xml:space="preserve">we </w:t>
      </w:r>
      <w:r w:rsidRPr="00784629">
        <w:t xml:space="preserve">estimated </w:t>
      </w:r>
      <w:r w:rsidR="00197CBD" w:rsidRPr="00784629">
        <w:t xml:space="preserve">the </w:t>
      </w:r>
      <w:r w:rsidR="00111453" w:rsidRPr="00784629">
        <w:t xml:space="preserve">needed to implement the numerous activities required to implement the reforms under the program (i.e. training, consultancies services, acquisition of equipment, project coordination, assumptions of liabilities by the GoJ, operating cost of new institutions, and others). The net benefits were them compared to the </w:t>
      </w:r>
      <w:r w:rsidR="00111453" w:rsidRPr="00784629">
        <w:lastRenderedPageBreak/>
        <w:t xml:space="preserve">discounted </w:t>
      </w:r>
      <w:r w:rsidR="00822FB1" w:rsidRPr="00784629">
        <w:t>amount of</w:t>
      </w:r>
      <w:r w:rsidRPr="00784629">
        <w:t xml:space="preserve"> </w:t>
      </w:r>
      <w:r w:rsidR="008F4B70" w:rsidRPr="00784629">
        <w:t xml:space="preserve">the </w:t>
      </w:r>
      <w:r w:rsidR="008C60BB" w:rsidRPr="00784629">
        <w:t>four</w:t>
      </w:r>
      <w:r w:rsidR="008F4B70" w:rsidRPr="00784629">
        <w:t xml:space="preserve"> loan operations under the programmatic series.</w:t>
      </w:r>
      <w:r w:rsidR="00B85566" w:rsidRPr="00784629">
        <w:t xml:space="preserve"> </w:t>
      </w:r>
      <w:r w:rsidR="008F4B70" w:rsidRPr="00784629">
        <w:t xml:space="preserve">For the sake of simplicity, we did not include </w:t>
      </w:r>
      <w:r w:rsidR="00197CBD" w:rsidRPr="00784629">
        <w:t xml:space="preserve">the financial costs associated with the service and repayment of the loans (fees and interest charges). </w:t>
      </w:r>
      <w:r w:rsidR="000B4D29" w:rsidRPr="00784629">
        <w:t>In addition to the loans, w</w:t>
      </w:r>
      <w:r w:rsidR="00197CBD" w:rsidRPr="00784629">
        <w:t xml:space="preserve">e added up the </w:t>
      </w:r>
      <w:r w:rsidR="005D7D30" w:rsidRPr="00784629">
        <w:t>estimated direct</w:t>
      </w:r>
      <w:r w:rsidRPr="00784629">
        <w:t xml:space="preserve"> costs needed to implement the </w:t>
      </w:r>
      <w:r w:rsidR="005D7D30" w:rsidRPr="00784629">
        <w:t xml:space="preserve">numerous activities required to implement the </w:t>
      </w:r>
      <w:r w:rsidRPr="00784629">
        <w:t>reform</w:t>
      </w:r>
      <w:r w:rsidR="005D7D30" w:rsidRPr="00784629">
        <w:t>s</w:t>
      </w:r>
      <w:r w:rsidRPr="00784629">
        <w:t xml:space="preserve"> </w:t>
      </w:r>
      <w:r w:rsidR="005D7D30" w:rsidRPr="00784629">
        <w:t xml:space="preserve">under the program </w:t>
      </w:r>
      <w:r w:rsidR="00AE0712" w:rsidRPr="00784629">
        <w:t>(</w:t>
      </w:r>
      <w:r w:rsidR="005D7D30" w:rsidRPr="00784629">
        <w:t xml:space="preserve">i.e. </w:t>
      </w:r>
      <w:r w:rsidR="00AE0712" w:rsidRPr="00784629">
        <w:t>training,</w:t>
      </w:r>
      <w:r w:rsidR="005D7D30" w:rsidRPr="00784629">
        <w:t xml:space="preserve"> consultancies services,</w:t>
      </w:r>
      <w:r w:rsidR="00AE0712" w:rsidRPr="00784629">
        <w:t xml:space="preserve"> acquisition of equipment, project coordination, </w:t>
      </w:r>
      <w:r w:rsidR="008C60BB" w:rsidRPr="00784629">
        <w:t xml:space="preserve">assumptions of liabilities by the GoJ, operating cost of new institutions, and </w:t>
      </w:r>
      <w:r w:rsidR="00AE0712" w:rsidRPr="00784629">
        <w:t>other</w:t>
      </w:r>
      <w:r w:rsidR="008C60BB" w:rsidRPr="00784629">
        <w:t>s</w:t>
      </w:r>
      <w:r w:rsidR="00AE0712" w:rsidRPr="00784629">
        <w:t>)</w:t>
      </w:r>
      <w:r w:rsidRPr="00784629">
        <w:t>.</w:t>
      </w:r>
      <w:r w:rsidR="005D7D30" w:rsidRPr="00784629">
        <w:t xml:space="preserve"> </w:t>
      </w:r>
    </w:p>
    <w:p w:rsidR="00C50309" w:rsidRPr="00784629" w:rsidRDefault="005D7D30" w:rsidP="0014538A">
      <w:pPr>
        <w:spacing w:before="120" w:after="120"/>
        <w:ind w:left="720"/>
      </w:pPr>
      <w:r w:rsidRPr="00784629">
        <w:t>The s</w:t>
      </w:r>
      <w:r w:rsidR="005525BB" w:rsidRPr="00784629">
        <w:t>econd</w:t>
      </w:r>
      <w:r w:rsidRPr="00784629">
        <w:t xml:space="preserve"> and most challenging assessment is to </w:t>
      </w:r>
      <w:r w:rsidR="005525BB" w:rsidRPr="00784629">
        <w:t xml:space="preserve">estimate the expected benefits of the policy reforms supported by the program in dollar terms. </w:t>
      </w:r>
      <w:r w:rsidR="001837C7" w:rsidRPr="00784629">
        <w:t>As</w:t>
      </w:r>
      <w:r w:rsidR="00311CB3" w:rsidRPr="00784629">
        <w:t xml:space="preserve"> this is an ex-ante analysis, th</w:t>
      </w:r>
      <w:r w:rsidRPr="00784629">
        <w:t xml:space="preserve">e assessment of the expected </w:t>
      </w:r>
      <w:r w:rsidR="00311CB3" w:rsidRPr="00784629">
        <w:t>benefit</w:t>
      </w:r>
      <w:r w:rsidRPr="00784629">
        <w:t>s</w:t>
      </w:r>
      <w:r w:rsidR="00311CB3" w:rsidRPr="00784629">
        <w:t xml:space="preserve"> resulted from the policy changes in the areas supported by the PBL seeks to quantify the dollar value of the expected benefits</w:t>
      </w:r>
      <w:r w:rsidRPr="00784629">
        <w:t xml:space="preserve"> and then</w:t>
      </w:r>
      <w:r w:rsidR="00311CB3" w:rsidRPr="00784629">
        <w:t xml:space="preserve"> </w:t>
      </w:r>
      <w:r w:rsidR="00AB4296" w:rsidRPr="00784629">
        <w:t>subtract</w:t>
      </w:r>
      <w:r w:rsidR="00311CB3" w:rsidRPr="00784629">
        <w:t xml:space="preserve"> the program </w:t>
      </w:r>
      <w:r w:rsidRPr="00784629">
        <w:t xml:space="preserve">total </w:t>
      </w:r>
      <w:r w:rsidR="00311CB3" w:rsidRPr="00784629">
        <w:t xml:space="preserve">costs, </w:t>
      </w:r>
      <w:r w:rsidRPr="00784629">
        <w:t>to</w:t>
      </w:r>
      <w:r w:rsidR="00311CB3" w:rsidRPr="00784629">
        <w:t xml:space="preserve"> </w:t>
      </w:r>
      <w:r w:rsidR="00AB4296" w:rsidRPr="00784629">
        <w:t>arrive at an economic “bottom line” estimate</w:t>
      </w:r>
      <w:r w:rsidR="00311CB3" w:rsidRPr="00784629">
        <w:t xml:space="preserve"> </w:t>
      </w:r>
      <w:r w:rsidR="00AB4296" w:rsidRPr="00784629">
        <w:t>of the program</w:t>
      </w:r>
      <w:r w:rsidR="00311CB3" w:rsidRPr="00784629">
        <w:t xml:space="preserve">. </w:t>
      </w:r>
      <w:r w:rsidR="002906D6" w:rsidRPr="00784629">
        <w:t xml:space="preserve"> </w:t>
      </w:r>
      <w:r w:rsidR="00AB4296" w:rsidRPr="00784629">
        <w:t xml:space="preserve">In effect, this </w:t>
      </w:r>
      <w:r w:rsidRPr="00784629">
        <w:t xml:space="preserve">economic </w:t>
      </w:r>
      <w:r w:rsidR="00AB4296" w:rsidRPr="00784629">
        <w:t xml:space="preserve">analysis seeks to define ex-ante whether the dollar value of the </w:t>
      </w:r>
      <w:r w:rsidR="005F6C06" w:rsidRPr="00784629">
        <w:t xml:space="preserve">benefits of the series of </w:t>
      </w:r>
      <w:r w:rsidR="00AB4296" w:rsidRPr="00784629">
        <w:t xml:space="preserve">programmatic </w:t>
      </w:r>
      <w:r w:rsidR="00117AFB" w:rsidRPr="00784629">
        <w:t>operations exceeds</w:t>
      </w:r>
      <w:r w:rsidR="00AB4296" w:rsidRPr="00784629">
        <w:t xml:space="preserve"> </w:t>
      </w:r>
      <w:r w:rsidR="00821288" w:rsidRPr="00784629">
        <w:t>their</w:t>
      </w:r>
      <w:r w:rsidR="00AB4296" w:rsidRPr="00784629">
        <w:t xml:space="preserve"> cost.</w:t>
      </w:r>
      <w:r w:rsidR="00C50309" w:rsidRPr="00784629">
        <w:t xml:space="preserve"> For the case of the series of JCEP programs, </w:t>
      </w:r>
      <w:r w:rsidR="004E021B" w:rsidRPr="00784629">
        <w:t xml:space="preserve">the net benefits are measured as the differences between situations with the policy and without the policy. In the case of JCEP, benefits </w:t>
      </w:r>
      <w:r w:rsidR="00C50309" w:rsidRPr="00784629">
        <w:t xml:space="preserve">were estimated in terms of </w:t>
      </w:r>
      <w:r w:rsidR="00821288" w:rsidRPr="00784629">
        <w:t xml:space="preserve">reduced </w:t>
      </w:r>
      <w:r w:rsidR="00C50309" w:rsidRPr="00784629">
        <w:t xml:space="preserve">costs for the individuals for doing business activities such as paying taxes, </w:t>
      </w:r>
      <w:r w:rsidR="00821288" w:rsidRPr="00784629">
        <w:t xml:space="preserve">lower </w:t>
      </w:r>
      <w:r w:rsidR="00C50309" w:rsidRPr="00784629">
        <w:t xml:space="preserve">transaction fees, efficiency gains and </w:t>
      </w:r>
      <w:r w:rsidR="00925B73" w:rsidRPr="00784629">
        <w:t>time</w:t>
      </w:r>
      <w:r w:rsidR="00822FB1" w:rsidRPr="00784629">
        <w:t xml:space="preserve"> </w:t>
      </w:r>
      <w:r w:rsidR="00925B73" w:rsidRPr="00784629">
        <w:t>savings</w:t>
      </w:r>
      <w:r w:rsidR="00C50309" w:rsidRPr="00784629">
        <w:t>, among others</w:t>
      </w:r>
      <w:r w:rsidR="00117AFB">
        <w:t>, and these were estimated to be social benefits as they have implications on the efficiency of the economy as a whole</w:t>
      </w:r>
      <w:r w:rsidR="00117AFB">
        <w:rPr>
          <w:rStyle w:val="FootnoteReference"/>
        </w:rPr>
        <w:footnoteReference w:id="29"/>
      </w:r>
      <w:r w:rsidR="00C50309" w:rsidRPr="00784629">
        <w:t xml:space="preserve">. </w:t>
      </w:r>
      <w:r w:rsidR="004E021B" w:rsidRPr="00784629">
        <w:t xml:space="preserve"> The detailed calculation of the benefits as well as the assumptions is explained in detail </w:t>
      </w:r>
      <w:r w:rsidR="00821288" w:rsidRPr="00784629">
        <w:t xml:space="preserve">in section </w:t>
      </w:r>
      <w:r w:rsidR="004E021B" w:rsidRPr="00784629">
        <w:t>III.</w:t>
      </w:r>
    </w:p>
    <w:p w:rsidR="00F751BE" w:rsidRPr="00784629" w:rsidRDefault="00F751BE" w:rsidP="0014538A">
      <w:pPr>
        <w:spacing w:before="120" w:after="120"/>
        <w:ind w:left="720"/>
      </w:pPr>
      <w:r w:rsidRPr="00784629">
        <w:t>The third challenge for the evaluation of this particular program, being the third of a series, is the issue of the timing of the calculation of the benefits. Since some of the reforms have already taking place, the benefits have already been accomplished and can be calculated in a historical basis. However, some of the reforms have a medium and long</w:t>
      </w:r>
      <w:r w:rsidR="00925B73" w:rsidRPr="00784629">
        <w:t>-</w:t>
      </w:r>
      <w:r w:rsidRPr="00784629">
        <w:t xml:space="preserve">term effect and the benefits have to be estimated. Although the evaluation gains in accuracy at incorporating the evaluation of the benefits and costs of already achieved reforms, the current economic evaluation is not completely ex-ante. It has however some components </w:t>
      </w:r>
      <w:r w:rsidR="00EB0FE2" w:rsidRPr="00784629">
        <w:t>those are</w:t>
      </w:r>
      <w:r w:rsidRPr="00784629">
        <w:t xml:space="preserve"> ex-post.</w:t>
      </w:r>
    </w:p>
    <w:p w:rsidR="00BB01C9" w:rsidRDefault="00BB01C9" w:rsidP="0014538A">
      <w:pPr>
        <w:spacing w:before="120" w:after="120"/>
        <w:ind w:left="720"/>
      </w:pPr>
      <w:r w:rsidRPr="00784629">
        <w:t>For purposes of the present evaluation, the most important reforms are taken into consideration, and hence the benefits from supporting activities such as training in modeling and public private dialogue are not included in the analysis</w:t>
      </w:r>
      <w:r>
        <w:t>.</w:t>
      </w:r>
    </w:p>
    <w:p w:rsidR="004C64D3" w:rsidRPr="00DF1720" w:rsidRDefault="004C64D3" w:rsidP="0014538A">
      <w:pPr>
        <w:spacing w:before="120" w:after="120"/>
        <w:ind w:left="720"/>
      </w:pPr>
      <w:r>
        <w:t>The baseline is considered to be the state without the project interventio</w:t>
      </w:r>
      <w:r w:rsidR="004E021B">
        <w:t>n and the economic approach is discounting, to reflect the overall average return of capital in the economy.</w:t>
      </w:r>
    </w:p>
    <w:p w:rsidR="00961CEA" w:rsidRPr="00DF1720" w:rsidRDefault="00961CEA" w:rsidP="00C50309">
      <w:pPr>
        <w:pStyle w:val="ListParagraph"/>
        <w:spacing w:before="120" w:after="120"/>
        <w:ind w:left="1080"/>
        <w:contextualSpacing w:val="0"/>
      </w:pPr>
    </w:p>
    <w:p w:rsidR="00DC5365" w:rsidRPr="00DF1720" w:rsidRDefault="006068AB" w:rsidP="00DF1720">
      <w:pPr>
        <w:pStyle w:val="ListParagraph"/>
        <w:numPr>
          <w:ilvl w:val="0"/>
          <w:numId w:val="2"/>
        </w:numPr>
        <w:spacing w:before="120" w:after="120"/>
        <w:contextualSpacing w:val="0"/>
        <w:rPr>
          <w:b/>
        </w:rPr>
      </w:pPr>
      <w:r w:rsidRPr="00DF1720">
        <w:rPr>
          <w:b/>
        </w:rPr>
        <w:t>Assessing the economic</w:t>
      </w:r>
      <w:r w:rsidR="00C50309">
        <w:rPr>
          <w:b/>
        </w:rPr>
        <w:t xml:space="preserve"> cost and</w:t>
      </w:r>
      <w:r w:rsidRPr="00DF1720">
        <w:rPr>
          <w:b/>
        </w:rPr>
        <w:t xml:space="preserve"> benefits of </w:t>
      </w:r>
      <w:r w:rsidR="00C50309">
        <w:rPr>
          <w:b/>
        </w:rPr>
        <w:t>a Competitiveness Enhancement Program</w:t>
      </w:r>
      <w:r w:rsidR="002E1959" w:rsidRPr="00DF1720">
        <w:rPr>
          <w:b/>
        </w:rPr>
        <w:t>.</w:t>
      </w:r>
    </w:p>
    <w:p w:rsidR="00E513FB" w:rsidRDefault="00C50309" w:rsidP="0014538A">
      <w:pPr>
        <w:spacing w:before="120" w:after="120"/>
        <w:ind w:left="720"/>
      </w:pPr>
      <w:r w:rsidRPr="0014538A">
        <w:rPr>
          <w:color w:val="363636"/>
        </w:rPr>
        <w:t xml:space="preserve">It is expected that with the implementation of the reforms, Jamaica’s </w:t>
      </w:r>
      <w:r w:rsidR="00BA2A50" w:rsidRPr="0014538A">
        <w:rPr>
          <w:color w:val="363636"/>
        </w:rPr>
        <w:t xml:space="preserve">business climate and general </w:t>
      </w:r>
      <w:r w:rsidRPr="0014538A">
        <w:rPr>
          <w:color w:val="363636"/>
        </w:rPr>
        <w:t>competitiveness will be improved by reduction of transaction costs, tax distortions and by providing greater access to financial services. Broad understanding of the required reforms, acceptance by all stakeholders, and implementation of a series of legal reforms will increase</w:t>
      </w:r>
      <w:r w:rsidRPr="00BA2B38">
        <w:t xml:space="preserve"> the opportunities for businesses to obtain credit </w:t>
      </w:r>
      <w:r>
        <w:t>and to reduce</w:t>
      </w:r>
      <w:r w:rsidRPr="00BA2B38">
        <w:t xml:space="preserve"> the risk to lenders of extending credit beyond their circle of established and typically larger borrowers. By reducing the cost and time of the land titling and registration process, landowners, particularly those with smaller holdings, will be able to use their land as collateral for business endeavors and to make improvements in their property as a result of ownership</w:t>
      </w:r>
      <w:r w:rsidR="009D1259" w:rsidRPr="00DF1720">
        <w:t>.</w:t>
      </w:r>
      <w:r w:rsidR="00D5344F">
        <w:t xml:space="preserve"> </w:t>
      </w:r>
    </w:p>
    <w:p w:rsidR="00D5344F" w:rsidRDefault="00D5344F" w:rsidP="0014538A">
      <w:pPr>
        <w:spacing w:before="120" w:after="120"/>
        <w:ind w:left="720"/>
      </w:pPr>
      <w:r w:rsidRPr="0014538A">
        <w:rPr>
          <w:color w:val="363636"/>
        </w:rPr>
        <w:t>The detailed assumptions, parameters and calculations are shown on Annex 1.</w:t>
      </w:r>
    </w:p>
    <w:p w:rsidR="00C50309" w:rsidRDefault="00C50309" w:rsidP="00C50309">
      <w:pPr>
        <w:pStyle w:val="Heading4"/>
        <w:numPr>
          <w:ilvl w:val="0"/>
          <w:numId w:val="16"/>
        </w:numPr>
      </w:pPr>
      <w:r>
        <w:lastRenderedPageBreak/>
        <w:t>Reductions in distortions in the tax system</w:t>
      </w:r>
    </w:p>
    <w:p w:rsidR="00FA46AC" w:rsidRDefault="00352F08" w:rsidP="000A21D7">
      <w:pPr>
        <w:spacing w:before="120" w:after="120"/>
        <w:ind w:left="720"/>
        <w:rPr>
          <w:rFonts w:cs="Frutiger-Light"/>
          <w:lang w:bidi="ar-SA"/>
        </w:rPr>
      </w:pPr>
      <w:r w:rsidRPr="000A21D7">
        <w:rPr>
          <w:color w:val="363636"/>
        </w:rPr>
        <w:t>As many studies have shown, measuring the effects of tax reforms in the economy is a difficult task</w:t>
      </w:r>
      <w:r w:rsidRPr="000A21D7">
        <w:rPr>
          <w:color w:val="363636"/>
          <w:sz w:val="16"/>
          <w:vertAlign w:val="superscript"/>
        </w:rPr>
        <w:t>.</w:t>
      </w:r>
      <w:r w:rsidRPr="000A21D7">
        <w:rPr>
          <w:color w:val="363636"/>
          <w:sz w:val="16"/>
          <w:vertAlign w:val="superscript"/>
        </w:rPr>
        <w:footnoteReference w:id="30"/>
      </w:r>
      <w:r w:rsidR="00E7568B" w:rsidRPr="000A21D7">
        <w:rPr>
          <w:color w:val="363636"/>
        </w:rPr>
        <w:t xml:space="preserve"> Tax reforms</w:t>
      </w:r>
      <w:r w:rsidR="00E7568B" w:rsidRPr="00E7568B">
        <w:t xml:space="preserve"> are </w:t>
      </w:r>
      <w:r w:rsidR="00EB0FE2" w:rsidRPr="00E7568B">
        <w:t>complex,</w:t>
      </w:r>
      <w:r w:rsidR="00E7568B" w:rsidRPr="00E7568B">
        <w:t xml:space="preserve"> have differential effect across the actors in the economy and the implications and impacts can only be seen in the long run. </w:t>
      </w:r>
      <w:r w:rsidR="00E7568B" w:rsidRPr="00E7568B">
        <w:rPr>
          <w:rFonts w:cs="Frutiger-Light"/>
          <w:lang w:bidi="ar-SA"/>
        </w:rPr>
        <w:t>The lack of controlled experiments due to the nature of reforms and of the ability to measure economic changes limits the scope for evaluating these type</w:t>
      </w:r>
      <w:r w:rsidR="00FA46AC">
        <w:rPr>
          <w:rFonts w:cs="Frutiger-Light"/>
          <w:lang w:bidi="ar-SA"/>
        </w:rPr>
        <w:t>s</w:t>
      </w:r>
      <w:r w:rsidR="00E7568B" w:rsidRPr="00E7568B">
        <w:rPr>
          <w:rFonts w:cs="Frutiger-Light"/>
          <w:lang w:bidi="ar-SA"/>
        </w:rPr>
        <w:t xml:space="preserve"> of reforms</w:t>
      </w:r>
      <w:r w:rsidR="00E7568B" w:rsidRPr="000A21D7">
        <w:rPr>
          <w:rFonts w:cs="Frutiger-Light"/>
          <w:lang w:bidi="ar-SA"/>
        </w:rPr>
        <w:t>.</w:t>
      </w:r>
    </w:p>
    <w:p w:rsidR="00203CF4" w:rsidRDefault="00FA46AC" w:rsidP="000A21D7">
      <w:pPr>
        <w:spacing w:before="120" w:after="120"/>
        <w:ind w:left="720"/>
        <w:rPr>
          <w:rFonts w:cs="TimesNewRomanPSMT"/>
          <w:lang w:bidi="ar-SA"/>
        </w:rPr>
      </w:pPr>
      <w:r>
        <w:rPr>
          <w:rFonts w:cs="Frutiger-Light"/>
          <w:lang w:bidi="ar-SA"/>
        </w:rPr>
        <w:t>However,</w:t>
      </w:r>
      <w:r w:rsidR="007A05EC" w:rsidRPr="000A21D7">
        <w:rPr>
          <w:rFonts w:cs="Frutiger-Light"/>
          <w:lang w:bidi="ar-SA"/>
        </w:rPr>
        <w:t xml:space="preserve"> </w:t>
      </w:r>
      <w:r>
        <w:rPr>
          <w:rFonts w:cs="Frutiger-Light"/>
          <w:lang w:bidi="ar-SA"/>
        </w:rPr>
        <w:t>t</w:t>
      </w:r>
      <w:r w:rsidR="007A05EC" w:rsidRPr="000A21D7">
        <w:rPr>
          <w:rFonts w:cs="TimesNewRomanPSMT"/>
          <w:lang w:bidi="ar-SA"/>
        </w:rPr>
        <w:t xml:space="preserve">he stamp duty land </w:t>
      </w:r>
      <w:r>
        <w:rPr>
          <w:rFonts w:cs="TimesNewRomanPSMT"/>
          <w:lang w:bidi="ar-SA"/>
        </w:rPr>
        <w:t xml:space="preserve">and the transfer </w:t>
      </w:r>
      <w:r w:rsidR="007A05EC" w:rsidRPr="000A21D7">
        <w:rPr>
          <w:rFonts w:cs="TimesNewRomanPSMT"/>
          <w:lang w:bidi="ar-SA"/>
        </w:rPr>
        <w:t xml:space="preserve">tax </w:t>
      </w:r>
      <w:r>
        <w:rPr>
          <w:rFonts w:cs="TimesNewRomanPSMT"/>
          <w:lang w:bidi="ar-SA"/>
        </w:rPr>
        <w:t>are considered to be</w:t>
      </w:r>
      <w:r w:rsidR="007A05EC" w:rsidRPr="000A21D7">
        <w:rPr>
          <w:rFonts w:cs="TimesNewRomanPSMT"/>
          <w:lang w:bidi="ar-SA"/>
        </w:rPr>
        <w:t xml:space="preserve"> highly inefficient transactions tax</w:t>
      </w:r>
      <w:r>
        <w:rPr>
          <w:rFonts w:cs="TimesNewRomanPSMT"/>
          <w:lang w:bidi="ar-SA"/>
        </w:rPr>
        <w:t>es</w:t>
      </w:r>
      <w:r w:rsidR="007A05EC" w:rsidRPr="000A21D7">
        <w:rPr>
          <w:rFonts w:cs="TimesNewRomanPSMT"/>
          <w:lang w:bidi="ar-SA"/>
        </w:rPr>
        <w:t xml:space="preserve"> that discourages and creates perverse incentives for commercial transactions</w:t>
      </w:r>
      <w:r w:rsidR="007A05EC" w:rsidRPr="000A21D7">
        <w:rPr>
          <w:rStyle w:val="FootnoteReference"/>
          <w:rFonts w:cs="TimesNewRomanPSMT"/>
          <w:lang w:bidi="ar-SA"/>
        </w:rPr>
        <w:footnoteReference w:id="31"/>
      </w:r>
      <w:r w:rsidR="000A21D7">
        <w:rPr>
          <w:rFonts w:cs="TimesNewRomanPSMT"/>
          <w:lang w:bidi="ar-SA"/>
        </w:rPr>
        <w:t xml:space="preserve">. </w:t>
      </w:r>
      <w:r w:rsidR="0047527B">
        <w:rPr>
          <w:rFonts w:cs="TimesNewRomanPSMT"/>
          <w:lang w:bidi="ar-SA"/>
        </w:rPr>
        <w:t xml:space="preserve"> </w:t>
      </w:r>
      <w:r w:rsidR="0047527B">
        <w:t>In the case of Stamp Duties and Transfer taxes, studies</w:t>
      </w:r>
      <w:r w:rsidR="0047527B">
        <w:rPr>
          <w:rStyle w:val="FootnoteReference"/>
        </w:rPr>
        <w:footnoteReference w:id="32"/>
      </w:r>
      <w:r w:rsidR="0047527B">
        <w:t xml:space="preserve"> have shown that Stamp Duties and Transfer Taxes, create inefficiencies by raising the cost of capital and inhibiting commercial transactions. Some studies have shown that the abolition of Stamp Duties could have an effect of between 0.24% and 0.78% on GDP.  However, for simplicity purposes, in the present calculation, it is assumed that the increase in welfare is greater than the decrease in revenue, by a factor of 25 at the maximum%.</w:t>
      </w:r>
    </w:p>
    <w:p w:rsidR="00352F08" w:rsidRDefault="000A21D7" w:rsidP="000A21D7">
      <w:pPr>
        <w:spacing w:before="120" w:after="120"/>
        <w:ind w:left="720"/>
        <w:rPr>
          <w:rFonts w:cs="TimesNewRomanPSMT"/>
          <w:lang w:bidi="ar-SA"/>
        </w:rPr>
      </w:pPr>
      <w:r>
        <w:rPr>
          <w:rFonts w:cs="TimesNewRomanPSMT"/>
          <w:lang w:bidi="ar-SA"/>
        </w:rPr>
        <w:t>For tax reform to be considered under a Cost/Benefit Analysis perspective, the costs and the benefits of a change in the tax structure should be evaluated to see if there is an improvement</w:t>
      </w:r>
      <w:r>
        <w:rPr>
          <w:rStyle w:val="FootnoteReference"/>
          <w:rFonts w:cs="TimesNewRomanPSMT"/>
          <w:lang w:bidi="ar-SA"/>
        </w:rPr>
        <w:footnoteReference w:id="33"/>
      </w:r>
      <w:r>
        <w:rPr>
          <w:rFonts w:cs="TimesNewRomanPSMT"/>
          <w:lang w:bidi="ar-SA"/>
        </w:rPr>
        <w:t>.</w:t>
      </w:r>
      <w:r w:rsidR="003576C5">
        <w:rPr>
          <w:rFonts w:cs="TimesNewRomanPSMT"/>
          <w:lang w:bidi="ar-SA"/>
        </w:rPr>
        <w:t xml:space="preserve"> A reduction in a tax rate means that there is a reduction in the revenue for the government while some businesses, (in the case of stamp duties and transfer taxes) will experience an increase in welfare by the reduction. The full impact of the change will be measured as:</w:t>
      </w:r>
    </w:p>
    <w:p w:rsidR="003576C5" w:rsidRDefault="003576C5" w:rsidP="000A21D7">
      <w:pPr>
        <w:spacing w:before="120" w:after="120"/>
        <w:ind w:left="720"/>
      </w:pPr>
      <w:r>
        <w:t>Marginal Social Benefit =</w:t>
      </w:r>
      <m:oMath>
        <m:f>
          <m:fPr>
            <m:ctrlPr>
              <w:rPr>
                <w:rFonts w:ascii="Cambria Math" w:hAnsi="Cambria Math"/>
                <w:i/>
              </w:rPr>
            </m:ctrlPr>
          </m:fPr>
          <m:num>
            <m:r>
              <w:rPr>
                <w:rFonts w:ascii="Cambria Math" w:hAnsi="Cambria Math"/>
              </w:rPr>
              <m:t>∆ welfare/∆t</m:t>
            </m:r>
          </m:num>
          <m:den>
            <m:r>
              <m:rPr>
                <m:sty m:val="p"/>
              </m:rPr>
              <w:rPr>
                <w:rFonts w:ascii="Cambria Math" w:hAnsi="Cambria Math"/>
              </w:rPr>
              <m:t xml:space="preserve"> </m:t>
            </m:r>
            <m:r>
              <w:rPr>
                <w:rFonts w:ascii="Cambria Math" w:hAnsi="Cambria Math"/>
              </w:rPr>
              <m:t>∆revenue/∆t</m:t>
            </m:r>
          </m:den>
        </m:f>
      </m:oMath>
    </w:p>
    <w:p w:rsidR="003576C5" w:rsidRDefault="00203CF4" w:rsidP="000A21D7">
      <w:pPr>
        <w:spacing w:before="120" w:after="120"/>
        <w:ind w:left="720"/>
      </w:pPr>
      <w:r>
        <w:t xml:space="preserve"> </w:t>
      </w:r>
    </w:p>
    <w:p w:rsidR="00C50309" w:rsidRDefault="0021333D" w:rsidP="0014538A">
      <w:pPr>
        <w:spacing w:before="120" w:after="120"/>
        <w:ind w:left="720"/>
      </w:pPr>
      <w:r>
        <w:t xml:space="preserve">The program contemplates reductions in distortions in the tax system in form of reducing the stamp duties and transfer taxes </w:t>
      </w:r>
      <w:r w:rsidR="00925B73">
        <w:t xml:space="preserve">that </w:t>
      </w:r>
      <w:r>
        <w:t xml:space="preserve">create a cost burden on business transactions. With a yearly estimate of the number transactions that are subject </w:t>
      </w:r>
      <w:r w:rsidR="00BA2A50">
        <w:t xml:space="preserve">to </w:t>
      </w:r>
      <w:r>
        <w:t>stamp duties and transfer taxes, , the benefits were calculated in terms of the lower cost due to reduced fees. As part of the program implementation, Tran</w:t>
      </w:r>
      <w:r w:rsidR="00AC7471">
        <w:t>s</w:t>
      </w:r>
      <w:r>
        <w:t xml:space="preserve">fer Taxes and Stamp Duties were reduced by 45%, as shown on Table 1.  For simplicity purposes, since the reduction of the fees was done gradually over a period of three years, the benefits are calculated on the full reduction starting the third year. </w:t>
      </w:r>
    </w:p>
    <w:p w:rsidR="005E69C2" w:rsidRDefault="005E69C2" w:rsidP="0014538A">
      <w:pPr>
        <w:spacing w:before="120" w:after="120"/>
        <w:ind w:left="720"/>
      </w:pPr>
      <w:r>
        <w:t>The reduction of Stamp Duties and Transfer Taxes was calculated using the following formula</w:t>
      </w:r>
    </w:p>
    <w:p w:rsidR="005E69C2" w:rsidRDefault="005E69C2" w:rsidP="005E69C2">
      <w:pPr>
        <w:spacing w:before="120" w:after="120"/>
        <w:ind w:left="720"/>
      </w:pPr>
      <w:r>
        <w:t>B</w:t>
      </w:r>
      <w:r w:rsidRPr="005E69C2">
        <w:rPr>
          <w:vertAlign w:val="subscript"/>
        </w:rPr>
        <w:t>i</w:t>
      </w:r>
      <w:r w:rsidRPr="005E69C2">
        <w:t xml:space="preserve"> =</w:t>
      </w:r>
      <w:r w:rsidRPr="005E69C2">
        <w:rPr>
          <w:vertAlign w:val="subscript"/>
        </w:rPr>
        <w:t xml:space="preserve"> </w:t>
      </w:r>
      <w:r>
        <w:t>T</w:t>
      </w:r>
      <w:r w:rsidRPr="005E69C2">
        <w:rPr>
          <w:vertAlign w:val="subscript"/>
        </w:rPr>
        <w:t>i</w:t>
      </w:r>
      <w:r>
        <w:t xml:space="preserve"> x (ST</w:t>
      </w:r>
      <w:r w:rsidRPr="005E69C2">
        <w:rPr>
          <w:vertAlign w:val="subscript"/>
        </w:rPr>
        <w:t>2008</w:t>
      </w:r>
      <w:r>
        <w:t xml:space="preserve"> – ST</w:t>
      </w:r>
      <w:r w:rsidRPr="005E69C2">
        <w:rPr>
          <w:vertAlign w:val="subscript"/>
        </w:rPr>
        <w:t>2010</w:t>
      </w:r>
      <w:r w:rsidR="000A122F">
        <w:rPr>
          <w:vertAlign w:val="subscript"/>
        </w:rPr>
        <w:t xml:space="preserve">) </w:t>
      </w:r>
      <w:r w:rsidR="000A122F" w:rsidRPr="000A122F">
        <w:t>x TA</w:t>
      </w:r>
      <w:r w:rsidR="000A122F">
        <w:rPr>
          <w:vertAlign w:val="subscript"/>
        </w:rPr>
        <w:t xml:space="preserve"> </w:t>
      </w:r>
      <w:r w:rsidR="0047527B">
        <w:rPr>
          <w:vertAlign w:val="subscript"/>
        </w:rPr>
        <w:t xml:space="preserve">I  x </w:t>
      </w:r>
      <w:r w:rsidR="0047527B" w:rsidRPr="0047527B">
        <w:t>µ</w:t>
      </w:r>
    </w:p>
    <w:p w:rsidR="005E69C2" w:rsidRDefault="005E69C2" w:rsidP="0014538A">
      <w:pPr>
        <w:spacing w:before="120" w:after="120"/>
        <w:ind w:left="720"/>
      </w:pPr>
      <w:r>
        <w:t xml:space="preserve">Were Bi is the estimated benefit for the year I,  Ti is the number of transactions for the year </w:t>
      </w:r>
      <w:r w:rsidRPr="0014538A">
        <w:rPr>
          <w:vertAlign w:val="subscript"/>
        </w:rPr>
        <w:t>I</w:t>
      </w:r>
      <w:r>
        <w:t>, ST</w:t>
      </w:r>
      <w:r w:rsidRPr="0014538A">
        <w:rPr>
          <w:vertAlign w:val="subscript"/>
        </w:rPr>
        <w:t>2008</w:t>
      </w:r>
      <w:r>
        <w:t xml:space="preserve"> is the value of the Stamp Duty in the year 2008 and ST</w:t>
      </w:r>
      <w:r w:rsidRPr="0014538A">
        <w:rPr>
          <w:vertAlign w:val="subscript"/>
        </w:rPr>
        <w:t xml:space="preserve">2010 </w:t>
      </w:r>
      <w:r>
        <w:t>is the value of the Stamp Duty in the year 2010</w:t>
      </w:r>
      <w:r w:rsidR="000A122F">
        <w:t xml:space="preserve"> ant TA</w:t>
      </w:r>
      <w:r w:rsidR="000A122F" w:rsidRPr="000A122F">
        <w:rPr>
          <w:vertAlign w:val="subscript"/>
        </w:rPr>
        <w:t xml:space="preserve">i </w:t>
      </w:r>
      <w:r w:rsidR="000A122F">
        <w:t>is the average transaction amount on the year I, conservatively estimated in US 1,000</w:t>
      </w:r>
      <w:r w:rsidR="0047527B">
        <w:t xml:space="preserve"> and µ is the coefficient that adjusts for the welfare reduction in the case not all the increase in welfare for the firms is captured by the society. </w:t>
      </w:r>
      <w:r>
        <w:t>The same formula was used to calculate the benefits of transfer taxes.</w:t>
      </w:r>
    </w:p>
    <w:p w:rsidR="0021333D" w:rsidRDefault="0021333D" w:rsidP="0021333D">
      <w:pPr>
        <w:spacing w:before="120" w:after="120"/>
      </w:pPr>
      <w:r>
        <w:t>Table 1: Reduction in Stamp Duties and Transfer Taxes</w:t>
      </w:r>
    </w:p>
    <w:tbl>
      <w:tblPr>
        <w:tblStyle w:val="TableGrid"/>
        <w:tblW w:w="0" w:type="auto"/>
        <w:tblInd w:w="1188" w:type="dxa"/>
        <w:tblLayout w:type="fixed"/>
        <w:tblLook w:val="04A0" w:firstRow="1" w:lastRow="0" w:firstColumn="1" w:lastColumn="0" w:noHBand="0" w:noVBand="1"/>
      </w:tblPr>
      <w:tblGrid>
        <w:gridCol w:w="1620"/>
        <w:gridCol w:w="1170"/>
        <w:gridCol w:w="1080"/>
        <w:gridCol w:w="1170"/>
        <w:gridCol w:w="1350"/>
      </w:tblGrid>
      <w:tr w:rsidR="00203CF4">
        <w:tc>
          <w:tcPr>
            <w:tcW w:w="1620" w:type="dxa"/>
          </w:tcPr>
          <w:p w:rsidR="00203CF4" w:rsidRDefault="00203CF4" w:rsidP="0021333D">
            <w:pPr>
              <w:pStyle w:val="BodyText"/>
            </w:pPr>
          </w:p>
        </w:tc>
        <w:tc>
          <w:tcPr>
            <w:tcW w:w="1170" w:type="dxa"/>
          </w:tcPr>
          <w:p w:rsidR="00203CF4" w:rsidRDefault="00203CF4" w:rsidP="0021333D">
            <w:pPr>
              <w:pStyle w:val="BodyText"/>
            </w:pPr>
            <w:r>
              <w:t>2008</w:t>
            </w:r>
          </w:p>
          <w:p w:rsidR="00203CF4" w:rsidRDefault="00203CF4" w:rsidP="0021333D">
            <w:pPr>
              <w:pStyle w:val="BodyText"/>
            </w:pPr>
            <w:r>
              <w:lastRenderedPageBreak/>
              <w:t>(Baseline)</w:t>
            </w:r>
          </w:p>
        </w:tc>
        <w:tc>
          <w:tcPr>
            <w:tcW w:w="2250" w:type="dxa"/>
            <w:gridSpan w:val="2"/>
          </w:tcPr>
          <w:p w:rsidR="00203CF4" w:rsidRDefault="00203CF4" w:rsidP="0021333D">
            <w:pPr>
              <w:pStyle w:val="BodyText"/>
            </w:pPr>
            <w:r>
              <w:lastRenderedPageBreak/>
              <w:t>2009</w:t>
            </w:r>
          </w:p>
        </w:tc>
        <w:tc>
          <w:tcPr>
            <w:tcW w:w="1350" w:type="dxa"/>
          </w:tcPr>
          <w:p w:rsidR="00203CF4" w:rsidRDefault="00203CF4" w:rsidP="0021333D">
            <w:pPr>
              <w:pStyle w:val="BodyText"/>
            </w:pPr>
            <w:r>
              <w:t>% Reduction</w:t>
            </w:r>
          </w:p>
        </w:tc>
      </w:tr>
      <w:tr w:rsidR="00203CF4">
        <w:trPr>
          <w:trHeight w:val="332"/>
        </w:trPr>
        <w:tc>
          <w:tcPr>
            <w:tcW w:w="1620" w:type="dxa"/>
          </w:tcPr>
          <w:p w:rsidR="00203CF4" w:rsidRDefault="00203CF4" w:rsidP="0021333D">
            <w:pPr>
              <w:pStyle w:val="BodyText"/>
            </w:pPr>
          </w:p>
        </w:tc>
        <w:tc>
          <w:tcPr>
            <w:tcW w:w="1170" w:type="dxa"/>
          </w:tcPr>
          <w:p w:rsidR="00203CF4" w:rsidRDefault="00203CF4" w:rsidP="0021333D">
            <w:pPr>
              <w:pStyle w:val="BodyText"/>
            </w:pPr>
            <w:r>
              <w:t>Real</w:t>
            </w:r>
          </w:p>
        </w:tc>
        <w:tc>
          <w:tcPr>
            <w:tcW w:w="1080" w:type="dxa"/>
          </w:tcPr>
          <w:p w:rsidR="00203CF4" w:rsidRDefault="00203CF4" w:rsidP="0021333D">
            <w:pPr>
              <w:pStyle w:val="BodyText"/>
            </w:pPr>
            <w:r>
              <w:t>Target</w:t>
            </w:r>
          </w:p>
        </w:tc>
        <w:tc>
          <w:tcPr>
            <w:tcW w:w="1170" w:type="dxa"/>
          </w:tcPr>
          <w:p w:rsidR="00203CF4" w:rsidRDefault="00203CF4" w:rsidP="0021333D">
            <w:pPr>
              <w:pStyle w:val="BodyText"/>
            </w:pPr>
            <w:r>
              <w:t>Effective</w:t>
            </w:r>
          </w:p>
        </w:tc>
        <w:tc>
          <w:tcPr>
            <w:tcW w:w="1350" w:type="dxa"/>
          </w:tcPr>
          <w:p w:rsidR="00203CF4" w:rsidRDefault="00203CF4" w:rsidP="0021333D">
            <w:pPr>
              <w:pStyle w:val="BodyText"/>
            </w:pPr>
          </w:p>
        </w:tc>
      </w:tr>
      <w:tr w:rsidR="00203CF4">
        <w:tc>
          <w:tcPr>
            <w:tcW w:w="1620" w:type="dxa"/>
          </w:tcPr>
          <w:p w:rsidR="00203CF4" w:rsidRDefault="00203CF4" w:rsidP="0021333D">
            <w:pPr>
              <w:pStyle w:val="BodyText"/>
            </w:pPr>
            <w:r>
              <w:t>Stamp Duties</w:t>
            </w:r>
          </w:p>
        </w:tc>
        <w:tc>
          <w:tcPr>
            <w:tcW w:w="1170" w:type="dxa"/>
          </w:tcPr>
          <w:p w:rsidR="00203CF4" w:rsidRDefault="00203CF4" w:rsidP="0021333D">
            <w:pPr>
              <w:pStyle w:val="BodyText"/>
            </w:pPr>
            <w:r>
              <w:t>5.5</w:t>
            </w:r>
          </w:p>
        </w:tc>
        <w:tc>
          <w:tcPr>
            <w:tcW w:w="1080" w:type="dxa"/>
          </w:tcPr>
          <w:p w:rsidR="00203CF4" w:rsidRDefault="00203CF4" w:rsidP="0021333D">
            <w:pPr>
              <w:pStyle w:val="BodyText"/>
            </w:pPr>
            <w:r>
              <w:t>5.5</w:t>
            </w:r>
          </w:p>
        </w:tc>
        <w:tc>
          <w:tcPr>
            <w:tcW w:w="1170" w:type="dxa"/>
          </w:tcPr>
          <w:p w:rsidR="00203CF4" w:rsidRDefault="00203CF4" w:rsidP="0021333D">
            <w:pPr>
              <w:pStyle w:val="BodyText"/>
            </w:pPr>
            <w:r>
              <w:t>4.5</w:t>
            </w:r>
          </w:p>
        </w:tc>
        <w:tc>
          <w:tcPr>
            <w:tcW w:w="1350" w:type="dxa"/>
          </w:tcPr>
          <w:p w:rsidR="00203CF4" w:rsidRDefault="00203CF4" w:rsidP="0021333D">
            <w:pPr>
              <w:pStyle w:val="BodyText"/>
            </w:pPr>
            <w:r>
              <w:t>18%</w:t>
            </w:r>
          </w:p>
        </w:tc>
      </w:tr>
      <w:tr w:rsidR="00203CF4">
        <w:tc>
          <w:tcPr>
            <w:tcW w:w="1620" w:type="dxa"/>
          </w:tcPr>
          <w:p w:rsidR="00203CF4" w:rsidRDefault="00203CF4" w:rsidP="0021333D">
            <w:pPr>
              <w:pStyle w:val="BodyText"/>
            </w:pPr>
            <w:r>
              <w:t>Transfer Taxes</w:t>
            </w:r>
          </w:p>
        </w:tc>
        <w:tc>
          <w:tcPr>
            <w:tcW w:w="1170" w:type="dxa"/>
          </w:tcPr>
          <w:p w:rsidR="00203CF4" w:rsidRDefault="00203CF4" w:rsidP="0021333D">
            <w:pPr>
              <w:pStyle w:val="BodyText"/>
            </w:pPr>
            <w:r>
              <w:t>7.5</w:t>
            </w:r>
          </w:p>
        </w:tc>
        <w:tc>
          <w:tcPr>
            <w:tcW w:w="1080" w:type="dxa"/>
          </w:tcPr>
          <w:p w:rsidR="00203CF4" w:rsidRDefault="00203CF4" w:rsidP="0021333D">
            <w:pPr>
              <w:pStyle w:val="BodyText"/>
            </w:pPr>
            <w:r>
              <w:t>6.0</w:t>
            </w:r>
          </w:p>
        </w:tc>
        <w:tc>
          <w:tcPr>
            <w:tcW w:w="1170" w:type="dxa"/>
          </w:tcPr>
          <w:p w:rsidR="00203CF4" w:rsidRDefault="00203CF4" w:rsidP="0021333D">
            <w:pPr>
              <w:pStyle w:val="BodyText"/>
            </w:pPr>
            <w:r>
              <w:t>5.0</w:t>
            </w:r>
          </w:p>
        </w:tc>
        <w:tc>
          <w:tcPr>
            <w:tcW w:w="1350" w:type="dxa"/>
          </w:tcPr>
          <w:p w:rsidR="00203CF4" w:rsidRDefault="00203CF4" w:rsidP="0021333D">
            <w:pPr>
              <w:pStyle w:val="BodyText"/>
            </w:pPr>
            <w:r>
              <w:t>33%</w:t>
            </w:r>
          </w:p>
        </w:tc>
      </w:tr>
    </w:tbl>
    <w:p w:rsidR="0021333D" w:rsidRDefault="0021333D" w:rsidP="0021333D">
      <w:pPr>
        <w:spacing w:before="120" w:after="120"/>
      </w:pPr>
    </w:p>
    <w:p w:rsidR="0052408E" w:rsidRDefault="0052408E" w:rsidP="0052408E">
      <w:pPr>
        <w:spacing w:before="120" w:after="120"/>
        <w:ind w:left="720"/>
      </w:pPr>
      <w:r>
        <w:t>As for the amalgamation of labour taxes, in 2008 t</w:t>
      </w:r>
      <w:r w:rsidRPr="00BA2B38">
        <w:t xml:space="preserve">here </w:t>
      </w:r>
      <w:r>
        <w:t>were</w:t>
      </w:r>
      <w:r w:rsidRPr="00BA2B38">
        <w:t xml:space="preserve"> five payroll deductions, </w:t>
      </w:r>
      <w:r>
        <w:t xml:space="preserve">each </w:t>
      </w:r>
      <w:r w:rsidRPr="00BA2B38">
        <w:t>separate</w:t>
      </w:r>
      <w:r>
        <w:t>ly</w:t>
      </w:r>
      <w:r w:rsidRPr="00BA2B38">
        <w:t xml:space="preserve"> administ</w:t>
      </w:r>
      <w:r>
        <w:t>ered</w:t>
      </w:r>
      <w:r w:rsidRPr="00BA2B38">
        <w:t xml:space="preserve"> and </w:t>
      </w:r>
      <w:r>
        <w:t xml:space="preserve">with </w:t>
      </w:r>
      <w:r w:rsidRPr="00BA2B38">
        <w:t>separate rate and base structures</w:t>
      </w:r>
      <w:r>
        <w:rPr>
          <w:rStyle w:val="FootnoteReference"/>
        </w:rPr>
        <w:footnoteReference w:id="34"/>
      </w:r>
      <w:r>
        <w:t xml:space="preserve"> which obliged businesses to issue five separate checks on a monthly basis. Companies interviewed during project preparation argued that the amount of time and effort spent on filing monthly labor taxes decreased the </w:t>
      </w:r>
      <w:r w:rsidR="00EB0FE2">
        <w:t>firms’</w:t>
      </w:r>
      <w:r>
        <w:t xml:space="preserve"> productivity and deterred companies for hiring formally and filing taxes for employment</w:t>
      </w:r>
      <w:r w:rsidR="00192700">
        <w:rPr>
          <w:rStyle w:val="FootnoteReference"/>
        </w:rPr>
        <w:footnoteReference w:id="35"/>
      </w:r>
      <w:r>
        <w:t>.</w:t>
      </w:r>
      <w:r w:rsidR="007B68CD">
        <w:t xml:space="preserve"> Small </w:t>
      </w:r>
      <w:r w:rsidR="0047527B">
        <w:t>businesses that</w:t>
      </w:r>
      <w:r w:rsidR="007B68CD">
        <w:t xml:space="preserve"> have less human resources are affected in great proportion, since they will have less time for productive activities, deterring formality as well.</w:t>
      </w:r>
    </w:p>
    <w:p w:rsidR="0052408E" w:rsidRDefault="0052408E" w:rsidP="0052408E">
      <w:pPr>
        <w:spacing w:before="120" w:after="120"/>
        <w:ind w:left="720"/>
      </w:pPr>
      <w:r>
        <w:t xml:space="preserve">Under the proposed reform, businesses have to make only one amalgamated payment with the subsequent reduction in time. For this, the methodology of using time savings to estimate consumer surplus, widely used for cost benefit analysis of transportation </w:t>
      </w:r>
      <w:r w:rsidR="007B68CD">
        <w:t>projects was</w:t>
      </w:r>
      <w:r>
        <w:t xml:space="preserve"> applied</w:t>
      </w:r>
      <w:r>
        <w:rPr>
          <w:rStyle w:val="FootnoteReference"/>
        </w:rPr>
        <w:footnoteReference w:id="36"/>
      </w:r>
      <w:r>
        <w:t>. Even though the methodology calls for a differentiation of income groups, a simplification by using a conservative estimate of the cost of time was used.</w:t>
      </w:r>
    </w:p>
    <w:p w:rsidR="0052408E" w:rsidRDefault="0052408E" w:rsidP="0052408E">
      <w:pPr>
        <w:spacing w:before="120" w:after="120"/>
        <w:ind w:left="720"/>
      </w:pPr>
    </w:p>
    <w:p w:rsidR="0052408E" w:rsidRPr="0014538A" w:rsidRDefault="0052408E" w:rsidP="0052408E">
      <w:pPr>
        <w:spacing w:before="120" w:after="120"/>
        <w:ind w:left="720"/>
        <w:rPr>
          <w:rFonts w:eastAsia="Times New Roman" w:cs="Times New Roman"/>
        </w:rPr>
      </w:pPr>
      <w:r>
        <w:t xml:space="preserve"> In this case, the benefit was estimated calculating the time savings for business for doing one sole payment instead of five, using the following formula</w:t>
      </w:r>
    </w:p>
    <w:p w:rsidR="0052408E" w:rsidRPr="00822FB1" w:rsidRDefault="0052408E" w:rsidP="0052408E">
      <w:pPr>
        <w:spacing w:before="120" w:after="120"/>
        <w:ind w:left="720"/>
        <w:rPr>
          <w:rFonts w:eastAsia="Times New Roman" w:cs="Times New Roman"/>
        </w:rPr>
      </w:pPr>
      <w:r w:rsidRPr="00822FB1">
        <w:rPr>
          <w:rFonts w:eastAsia="Times New Roman" w:cs="Times New Roman"/>
        </w:rPr>
        <w:t xml:space="preserve">Time savings </w:t>
      </w:r>
      <w:r w:rsidRPr="00822FB1">
        <w:rPr>
          <w:rFonts w:eastAsia="Times New Roman" w:cs="Times New Roman"/>
          <w:vertAlign w:val="subscript"/>
        </w:rPr>
        <w:t>(i)</w:t>
      </w:r>
      <w:r w:rsidRPr="00822FB1">
        <w:rPr>
          <w:rFonts w:eastAsia="Times New Roman" w:cs="Times New Roman"/>
        </w:rPr>
        <w:t xml:space="preserve"> = (H </w:t>
      </w:r>
      <w:r w:rsidRPr="00822FB1">
        <w:rPr>
          <w:rFonts w:eastAsia="Times New Roman" w:cs="Times New Roman"/>
          <w:vertAlign w:val="subscript"/>
        </w:rPr>
        <w:t>(i)</w:t>
      </w:r>
      <w:r w:rsidRPr="00822FB1">
        <w:rPr>
          <w:rFonts w:eastAsia="Times New Roman" w:cs="Times New Roman"/>
        </w:rPr>
        <w:t xml:space="preserve"> – H </w:t>
      </w:r>
      <w:r w:rsidRPr="00822FB1">
        <w:rPr>
          <w:rFonts w:eastAsia="Times New Roman" w:cs="Times New Roman"/>
          <w:vertAlign w:val="subscript"/>
        </w:rPr>
        <w:t>(2008)</w:t>
      </w:r>
      <w:r w:rsidRPr="00822FB1">
        <w:rPr>
          <w:rFonts w:eastAsia="Times New Roman" w:cs="Times New Roman"/>
        </w:rPr>
        <w:t xml:space="preserve"> X HR x Ci</w:t>
      </w:r>
      <w:r w:rsidRPr="00822FB1">
        <w:rPr>
          <w:rFonts w:eastAsia="Times New Roman" w:cs="Times New Roman"/>
          <w:vertAlign w:val="subscript"/>
        </w:rPr>
        <w:t>i</w:t>
      </w:r>
      <w:r w:rsidRPr="00822FB1">
        <w:rPr>
          <w:rFonts w:eastAsia="Times New Roman" w:cs="Times New Roman"/>
        </w:rPr>
        <w:t xml:space="preserve"> ,</w:t>
      </w:r>
    </w:p>
    <w:p w:rsidR="0052408E" w:rsidRPr="0014538A" w:rsidRDefault="0052408E" w:rsidP="0052408E">
      <w:pPr>
        <w:spacing w:before="120" w:after="120"/>
        <w:ind w:left="720"/>
        <w:rPr>
          <w:rFonts w:eastAsia="Times New Roman" w:cs="Times New Roman"/>
        </w:rPr>
      </w:pPr>
      <w:r w:rsidRPr="00822FB1">
        <w:rPr>
          <w:rFonts w:eastAsia="Times New Roman" w:cs="Times New Roman"/>
        </w:rPr>
        <w:t xml:space="preserve"> </w:t>
      </w:r>
      <w:r w:rsidRPr="0014538A">
        <w:rPr>
          <w:rFonts w:eastAsia="Times New Roman" w:cs="Times New Roman"/>
        </w:rPr>
        <w:t>W</w:t>
      </w:r>
      <w:r>
        <w:rPr>
          <w:rFonts w:eastAsia="Times New Roman" w:cs="Times New Roman"/>
        </w:rPr>
        <w:t>h</w:t>
      </w:r>
      <w:r w:rsidRPr="0014538A">
        <w:rPr>
          <w:rFonts w:eastAsia="Times New Roman" w:cs="Times New Roman"/>
        </w:rPr>
        <w:t xml:space="preserve">ere, Time savings </w:t>
      </w:r>
      <w:r w:rsidRPr="0014538A">
        <w:rPr>
          <w:rFonts w:eastAsia="Times New Roman" w:cs="Times New Roman"/>
          <w:vertAlign w:val="subscript"/>
        </w:rPr>
        <w:t xml:space="preserve">(i) </w:t>
      </w:r>
      <w:r w:rsidRPr="0014538A">
        <w:rPr>
          <w:rFonts w:eastAsia="Times New Roman" w:cs="Times New Roman"/>
        </w:rPr>
        <w:t>are the value of the time savings in the year I, H</w:t>
      </w:r>
      <w:r w:rsidRPr="0014538A">
        <w:rPr>
          <w:rFonts w:eastAsia="Times New Roman" w:cs="Times New Roman"/>
          <w:vertAlign w:val="subscript"/>
        </w:rPr>
        <w:t>(2008)</w:t>
      </w:r>
      <w:r w:rsidRPr="0014538A">
        <w:rPr>
          <w:rFonts w:eastAsia="Times New Roman" w:cs="Times New Roman"/>
        </w:rPr>
        <w:t xml:space="preserve"> are the number of hours spent in the baseline year and HR is the hourly rate. For calculation p</w:t>
      </w:r>
      <w:r>
        <w:t>urposes, the value of time was calculated as the hourly rate of an employee that earns two times the minimum wage. Ci is the number of companies that pay taxes on a yearly basis.</w:t>
      </w:r>
    </w:p>
    <w:p w:rsidR="0052408E" w:rsidRPr="00297D49" w:rsidRDefault="0052408E" w:rsidP="0052408E">
      <w:pPr>
        <w:spacing w:before="120" w:after="120"/>
        <w:ind w:left="630"/>
        <w:rPr>
          <w:rFonts w:eastAsia="Times New Roman" w:cs="Times New Roman"/>
        </w:rPr>
      </w:pPr>
      <w:r>
        <w:t xml:space="preserve">These reforms do not imply significant operational or investment costs. For calculation purposes, an amount of US $200,000 is assumed to cover the costs of informing the public on the changes, and the administrative cost of adjusting to one sole payment electronically and in paper (developing new formats, etc.) </w:t>
      </w:r>
    </w:p>
    <w:p w:rsidR="008C1DEE" w:rsidRDefault="00117AFB" w:rsidP="00117AFB">
      <w:pPr>
        <w:spacing w:before="120" w:after="120"/>
        <w:ind w:left="720"/>
      </w:pPr>
      <w:r>
        <w:t>Table 2 shows the benefits over time of the reduction in transfer taxes and stamp duties, as well as the sensitivity analysis of the change in the elasticity in the change of wel</w:t>
      </w:r>
      <w:r w:rsidR="0047527B">
        <w:t xml:space="preserve">fare per increase in efficiency that was applied for the reduction of Stamp Duties and Transfer Taxes. </w:t>
      </w:r>
      <w:r>
        <w:t xml:space="preserve">  For this case, the reforms became effective in 2010, although the preparatory activities started in 2008 when the Action Plan for reduction of distortions was agreed.</w:t>
      </w:r>
      <w:r w:rsidR="0052408E">
        <w:t xml:space="preserve">  </w:t>
      </w:r>
    </w:p>
    <w:p w:rsidR="00117AFB" w:rsidRDefault="0052408E" w:rsidP="00117AFB">
      <w:pPr>
        <w:spacing w:before="120" w:after="120"/>
        <w:ind w:left="720"/>
      </w:pPr>
      <w:r>
        <w:lastRenderedPageBreak/>
        <w:t>Due to the low cost of implementation of the reforms, the NPV, even for the case when the factor of the multiplier is 0.05%.</w:t>
      </w:r>
      <w:r w:rsidR="008C1DEE">
        <w:t xml:space="preserve"> has a positive factor of US $113.91.</w:t>
      </w:r>
    </w:p>
    <w:p w:rsidR="004E4D00" w:rsidRDefault="00117AFB">
      <w:pPr>
        <w:sectPr w:rsidR="004E4D00">
          <w:headerReference w:type="default" r:id="rId11"/>
          <w:footerReference w:type="default" r:id="rId12"/>
          <w:pgSz w:w="12240" w:h="15840"/>
          <w:pgMar w:top="1440" w:right="1440" w:bottom="1440" w:left="1440" w:header="720" w:footer="720" w:gutter="0"/>
          <w:cols w:space="720"/>
          <w:docGrid w:linePitch="360"/>
        </w:sectPr>
      </w:pPr>
      <w:r>
        <w:br w:type="page"/>
      </w:r>
    </w:p>
    <w:tbl>
      <w:tblPr>
        <w:tblW w:w="23310" w:type="dxa"/>
        <w:tblInd w:w="108" w:type="dxa"/>
        <w:tblLook w:val="04A0" w:firstRow="1" w:lastRow="0" w:firstColumn="1" w:lastColumn="0" w:noHBand="0" w:noVBand="1"/>
      </w:tblPr>
      <w:tblGrid>
        <w:gridCol w:w="4600"/>
        <w:gridCol w:w="2731"/>
        <w:gridCol w:w="1360"/>
        <w:gridCol w:w="236"/>
        <w:gridCol w:w="43"/>
        <w:gridCol w:w="941"/>
        <w:gridCol w:w="279"/>
        <w:gridCol w:w="140"/>
        <w:gridCol w:w="541"/>
        <w:gridCol w:w="279"/>
        <w:gridCol w:w="400"/>
        <w:gridCol w:w="960"/>
        <w:gridCol w:w="21"/>
        <w:gridCol w:w="279"/>
        <w:gridCol w:w="1181"/>
        <w:gridCol w:w="179"/>
        <w:gridCol w:w="100"/>
        <w:gridCol w:w="681"/>
        <w:gridCol w:w="279"/>
        <w:gridCol w:w="400"/>
        <w:gridCol w:w="281"/>
        <w:gridCol w:w="279"/>
        <w:gridCol w:w="400"/>
        <w:gridCol w:w="281"/>
        <w:gridCol w:w="279"/>
        <w:gridCol w:w="400"/>
        <w:gridCol w:w="281"/>
        <w:gridCol w:w="279"/>
        <w:gridCol w:w="400"/>
        <w:gridCol w:w="281"/>
        <w:gridCol w:w="279"/>
        <w:gridCol w:w="400"/>
        <w:gridCol w:w="281"/>
        <w:gridCol w:w="279"/>
        <w:gridCol w:w="400"/>
        <w:gridCol w:w="281"/>
        <w:gridCol w:w="279"/>
        <w:gridCol w:w="400"/>
        <w:gridCol w:w="281"/>
        <w:gridCol w:w="279"/>
        <w:gridCol w:w="400"/>
        <w:gridCol w:w="960"/>
      </w:tblGrid>
      <w:tr w:rsidR="008C1DEE" w:rsidRPr="00483F99" w:rsidTr="0029779B">
        <w:trPr>
          <w:trHeight w:val="300"/>
        </w:trPr>
        <w:tc>
          <w:tcPr>
            <w:tcW w:w="7331" w:type="dxa"/>
            <w:gridSpan w:val="2"/>
            <w:tcBorders>
              <w:top w:val="nil"/>
              <w:left w:val="nil"/>
              <w:bottom w:val="nil"/>
              <w:right w:val="nil"/>
            </w:tcBorders>
            <w:shd w:val="clear" w:color="auto" w:fill="auto"/>
            <w:noWrap/>
            <w:vAlign w:val="bottom"/>
            <w:hideMark/>
          </w:tcPr>
          <w:p w:rsidR="008C1DEE" w:rsidRPr="008C1DEE" w:rsidRDefault="008C1DEE" w:rsidP="00483F99">
            <w:pPr>
              <w:spacing w:after="0" w:line="240" w:lineRule="auto"/>
              <w:jc w:val="left"/>
              <w:rPr>
                <w:rFonts w:eastAsia="Times New Roman" w:cs="Times New Roman"/>
                <w:b/>
                <w:color w:val="000000"/>
                <w:lang w:bidi="ar-SA"/>
              </w:rPr>
            </w:pPr>
            <w:r w:rsidRPr="008C1DEE">
              <w:rPr>
                <w:rFonts w:eastAsia="Times New Roman" w:cs="Times New Roman"/>
                <w:b/>
                <w:color w:val="000000"/>
                <w:lang w:bidi="ar-SA"/>
              </w:rPr>
              <w:lastRenderedPageBreak/>
              <w:t>TABLE 2: ASSUMPTION AND COST BENEFIT ANALYSIS OF TAX SIMPLIFICATION</w:t>
            </w:r>
          </w:p>
        </w:tc>
        <w:tc>
          <w:tcPr>
            <w:tcW w:w="1360" w:type="dxa"/>
            <w:tcBorders>
              <w:top w:val="nil"/>
              <w:left w:val="nil"/>
              <w:bottom w:val="nil"/>
              <w:right w:val="nil"/>
            </w:tcBorders>
            <w:shd w:val="clear" w:color="auto" w:fill="auto"/>
            <w:noWrap/>
            <w:vAlign w:val="bottom"/>
            <w:hideMark/>
          </w:tcPr>
          <w:p w:rsidR="008C1DEE" w:rsidRPr="00483F99" w:rsidRDefault="008C1DEE" w:rsidP="00483F99">
            <w:pPr>
              <w:spacing w:after="0" w:line="240" w:lineRule="auto"/>
              <w:jc w:val="left"/>
              <w:rPr>
                <w:rFonts w:eastAsia="Times New Roman" w:cs="Times New Roman"/>
                <w:color w:val="000000"/>
                <w:sz w:val="16"/>
                <w:szCs w:val="16"/>
                <w:lang w:bidi="ar-SA"/>
              </w:rPr>
            </w:pPr>
          </w:p>
        </w:tc>
        <w:tc>
          <w:tcPr>
            <w:tcW w:w="236" w:type="dxa"/>
            <w:tcBorders>
              <w:top w:val="nil"/>
              <w:left w:val="nil"/>
              <w:bottom w:val="nil"/>
              <w:right w:val="nil"/>
            </w:tcBorders>
            <w:shd w:val="clear" w:color="auto" w:fill="auto"/>
            <w:noWrap/>
            <w:vAlign w:val="bottom"/>
            <w:hideMark/>
          </w:tcPr>
          <w:p w:rsidR="008C1DEE" w:rsidRPr="00483F99" w:rsidRDefault="008C1DEE" w:rsidP="00483F99">
            <w:pPr>
              <w:spacing w:after="0" w:line="240" w:lineRule="auto"/>
              <w:jc w:val="left"/>
              <w:rPr>
                <w:rFonts w:eastAsia="Times New Roman" w:cs="Times New Roman"/>
                <w:color w:val="000000"/>
                <w:sz w:val="16"/>
                <w:szCs w:val="16"/>
                <w:lang w:bidi="ar-SA"/>
              </w:rPr>
            </w:pPr>
          </w:p>
        </w:tc>
        <w:tc>
          <w:tcPr>
            <w:tcW w:w="2623" w:type="dxa"/>
            <w:gridSpan w:val="7"/>
            <w:tcBorders>
              <w:top w:val="nil"/>
              <w:left w:val="nil"/>
              <w:bottom w:val="nil"/>
              <w:right w:val="nil"/>
            </w:tcBorders>
            <w:shd w:val="clear" w:color="auto" w:fill="auto"/>
            <w:noWrap/>
            <w:vAlign w:val="bottom"/>
            <w:hideMark/>
          </w:tcPr>
          <w:p w:rsidR="008C1DEE" w:rsidRPr="00483F99" w:rsidRDefault="008C1DEE" w:rsidP="00483F99">
            <w:pPr>
              <w:spacing w:after="0" w:line="240" w:lineRule="auto"/>
              <w:jc w:val="left"/>
              <w:rPr>
                <w:rFonts w:eastAsia="Times New Roman" w:cs="Times New Roman"/>
                <w:color w:val="000000"/>
                <w:sz w:val="16"/>
                <w:szCs w:val="16"/>
                <w:lang w:bidi="ar-SA"/>
              </w:rPr>
            </w:pPr>
          </w:p>
        </w:tc>
        <w:tc>
          <w:tcPr>
            <w:tcW w:w="960" w:type="dxa"/>
            <w:tcBorders>
              <w:top w:val="nil"/>
              <w:left w:val="nil"/>
              <w:bottom w:val="nil"/>
              <w:right w:val="nil"/>
            </w:tcBorders>
            <w:shd w:val="clear" w:color="auto" w:fill="auto"/>
            <w:noWrap/>
            <w:vAlign w:val="bottom"/>
            <w:hideMark/>
          </w:tcPr>
          <w:p w:rsidR="008C1DEE" w:rsidRPr="00483F99" w:rsidRDefault="008C1DEE"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8C1DEE" w:rsidRPr="00483F99" w:rsidRDefault="008C1DEE" w:rsidP="00483F99">
            <w:pPr>
              <w:spacing w:after="0" w:line="240" w:lineRule="auto"/>
              <w:jc w:val="left"/>
              <w:rPr>
                <w:rFonts w:eastAsia="Times New Roman" w:cs="Times New Roman"/>
                <w:color w:val="000000"/>
                <w:sz w:val="16"/>
                <w:szCs w:val="16"/>
                <w:lang w:bidi="ar-SA"/>
              </w:rPr>
            </w:pPr>
          </w:p>
        </w:tc>
        <w:tc>
          <w:tcPr>
            <w:tcW w:w="1460" w:type="dxa"/>
            <w:gridSpan w:val="4"/>
            <w:tcBorders>
              <w:top w:val="nil"/>
              <w:left w:val="nil"/>
              <w:bottom w:val="nil"/>
              <w:right w:val="nil"/>
            </w:tcBorders>
            <w:shd w:val="clear" w:color="auto" w:fill="auto"/>
            <w:noWrap/>
            <w:vAlign w:val="bottom"/>
            <w:hideMark/>
          </w:tcPr>
          <w:p w:rsidR="008C1DEE" w:rsidRPr="00483F99" w:rsidRDefault="008C1DE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8C1DEE" w:rsidRPr="00483F99" w:rsidRDefault="008C1DE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8C1DEE" w:rsidRPr="00483F99" w:rsidRDefault="008C1DE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8C1DEE" w:rsidRPr="00483F99" w:rsidRDefault="008C1DE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8C1DEE" w:rsidRPr="00483F99" w:rsidRDefault="008C1DE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8C1DEE" w:rsidRPr="00483F99" w:rsidRDefault="008C1DE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8C1DEE" w:rsidRPr="00483F99" w:rsidRDefault="008C1DE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8C1DEE" w:rsidRPr="00483F99" w:rsidRDefault="008C1DEE" w:rsidP="00483F99">
            <w:pPr>
              <w:spacing w:after="0" w:line="240" w:lineRule="auto"/>
              <w:jc w:val="left"/>
              <w:rPr>
                <w:rFonts w:ascii="Calibri" w:eastAsia="Times New Roman" w:hAnsi="Calibri" w:cs="Times New Roman"/>
                <w:color w:val="000000"/>
                <w:sz w:val="22"/>
                <w:szCs w:val="22"/>
                <w:lang w:bidi="ar-SA"/>
              </w:rPr>
            </w:pPr>
          </w:p>
        </w:tc>
        <w:tc>
          <w:tcPr>
            <w:tcW w:w="960" w:type="dxa"/>
            <w:tcBorders>
              <w:top w:val="nil"/>
              <w:left w:val="nil"/>
              <w:bottom w:val="nil"/>
              <w:right w:val="nil"/>
            </w:tcBorders>
            <w:shd w:val="clear" w:color="auto" w:fill="auto"/>
            <w:noWrap/>
            <w:vAlign w:val="bottom"/>
            <w:hideMark/>
          </w:tcPr>
          <w:p w:rsidR="008C1DEE" w:rsidRPr="00483F99" w:rsidRDefault="008C1DEE" w:rsidP="00483F99">
            <w:pPr>
              <w:spacing w:after="0" w:line="240" w:lineRule="auto"/>
              <w:jc w:val="left"/>
              <w:rPr>
                <w:rFonts w:ascii="Calibri" w:eastAsia="Times New Roman" w:hAnsi="Calibri" w:cs="Times New Roman"/>
                <w:color w:val="000000"/>
                <w:sz w:val="22"/>
                <w:szCs w:val="22"/>
                <w:lang w:bidi="ar-SA"/>
              </w:rPr>
            </w:pPr>
          </w:p>
        </w:tc>
      </w:tr>
      <w:tr w:rsidR="00483F99" w:rsidRPr="00483F99" w:rsidTr="0052408E">
        <w:trPr>
          <w:trHeight w:val="300"/>
        </w:trPr>
        <w:tc>
          <w:tcPr>
            <w:tcW w:w="460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b/>
                <w:bCs/>
                <w:color w:val="000000"/>
                <w:sz w:val="16"/>
                <w:szCs w:val="16"/>
                <w:lang w:bidi="ar-SA"/>
              </w:rPr>
            </w:pPr>
            <w:r w:rsidRPr="00483F99">
              <w:rPr>
                <w:rFonts w:eastAsia="Times New Roman" w:cs="Times New Roman"/>
                <w:b/>
                <w:bCs/>
                <w:color w:val="000000"/>
                <w:sz w:val="16"/>
                <w:szCs w:val="16"/>
                <w:lang w:bidi="ar-SA"/>
              </w:rPr>
              <w:t>Assumptions</w:t>
            </w:r>
          </w:p>
        </w:tc>
        <w:tc>
          <w:tcPr>
            <w:tcW w:w="2731"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3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236"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2623" w:type="dxa"/>
            <w:gridSpan w:val="7"/>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4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r>
      <w:tr w:rsidR="00483F99" w:rsidRPr="00483F99" w:rsidTr="0052408E">
        <w:trPr>
          <w:trHeight w:val="300"/>
        </w:trPr>
        <w:tc>
          <w:tcPr>
            <w:tcW w:w="8970" w:type="dxa"/>
            <w:gridSpan w:val="5"/>
            <w:tcBorders>
              <w:top w:val="single" w:sz="4" w:space="0" w:color="auto"/>
              <w:left w:val="single" w:sz="4" w:space="0" w:color="auto"/>
              <w:bottom w:val="single" w:sz="4" w:space="0" w:color="auto"/>
              <w:right w:val="single" w:sz="4" w:space="0" w:color="000000"/>
            </w:tcBorders>
            <w:shd w:val="clear" w:color="000000" w:fill="DCE6F1"/>
            <w:noWrap/>
            <w:vAlign w:val="bottom"/>
            <w:hideMark/>
          </w:tcPr>
          <w:p w:rsidR="00483F99" w:rsidRPr="00483F99" w:rsidRDefault="00483F99" w:rsidP="00483F99">
            <w:pPr>
              <w:spacing w:after="0" w:line="240" w:lineRule="auto"/>
              <w:jc w:val="left"/>
              <w:rPr>
                <w:rFonts w:eastAsia="Times New Roman" w:cs="Times New Roman"/>
                <w:b/>
                <w:bCs/>
                <w:color w:val="4F81BD"/>
                <w:sz w:val="16"/>
                <w:szCs w:val="16"/>
                <w:lang w:bidi="ar-SA"/>
              </w:rPr>
            </w:pPr>
            <w:r w:rsidRPr="00483F99">
              <w:rPr>
                <w:rFonts w:eastAsia="Times New Roman" w:cs="Times New Roman"/>
                <w:b/>
                <w:bCs/>
                <w:color w:val="4F81BD"/>
                <w:sz w:val="16"/>
                <w:szCs w:val="16"/>
                <w:lang w:bidi="ar-SA"/>
              </w:rPr>
              <w:t>Assumptions related to costs and benefits of tax reforms</w:t>
            </w:r>
          </w:p>
        </w:tc>
        <w:tc>
          <w:tcPr>
            <w:tcW w:w="2580" w:type="dxa"/>
            <w:gridSpan w:val="6"/>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4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r>
      <w:tr w:rsidR="0052408E" w:rsidRPr="00483F99" w:rsidTr="00483F99">
        <w:trPr>
          <w:gridAfter w:val="2"/>
          <w:wAfter w:w="1360" w:type="dxa"/>
          <w:trHeight w:val="300"/>
        </w:trPr>
        <w:tc>
          <w:tcPr>
            <w:tcW w:w="4600" w:type="dxa"/>
            <w:tcBorders>
              <w:top w:val="nil"/>
              <w:left w:val="single" w:sz="4" w:space="0" w:color="auto"/>
              <w:bottom w:val="single" w:sz="4" w:space="0" w:color="auto"/>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Number of Companies that pay taxes</w:t>
            </w:r>
          </w:p>
        </w:tc>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xml:space="preserve">                50,000 </w:t>
            </w:r>
          </w:p>
        </w:tc>
        <w:tc>
          <w:tcPr>
            <w:tcW w:w="1639" w:type="dxa"/>
            <w:gridSpan w:val="3"/>
            <w:tcBorders>
              <w:top w:val="nil"/>
              <w:left w:val="nil"/>
              <w:bottom w:val="single" w:sz="4" w:space="0" w:color="auto"/>
              <w:right w:val="single" w:sz="4" w:space="0" w:color="auto"/>
            </w:tcBorders>
            <w:shd w:val="clear" w:color="auto" w:fill="auto"/>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w:t>
            </w:r>
          </w:p>
        </w:tc>
        <w:tc>
          <w:tcPr>
            <w:tcW w:w="1220" w:type="dxa"/>
            <w:gridSpan w:val="2"/>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4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2"/>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r>
      <w:tr w:rsidR="0052408E" w:rsidRPr="00483F99" w:rsidTr="00483F99">
        <w:trPr>
          <w:gridAfter w:val="2"/>
          <w:wAfter w:w="1360" w:type="dxa"/>
          <w:trHeight w:val="300"/>
        </w:trPr>
        <w:tc>
          <w:tcPr>
            <w:tcW w:w="4600" w:type="dxa"/>
            <w:tcBorders>
              <w:top w:val="nil"/>
              <w:left w:val="single" w:sz="4" w:space="0" w:color="auto"/>
              <w:bottom w:val="single" w:sz="4" w:space="0" w:color="auto"/>
              <w:right w:val="nil"/>
            </w:tcBorders>
            <w:shd w:val="clear" w:color="auto" w:fill="auto"/>
            <w:noWrap/>
            <w:vAlign w:val="bottom"/>
            <w:hideMark/>
          </w:tcPr>
          <w:p w:rsidR="0052408E" w:rsidRPr="00483F99" w:rsidRDefault="00E4323B"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Amount</w:t>
            </w:r>
            <w:r w:rsidR="0052408E" w:rsidRPr="00483F99">
              <w:rPr>
                <w:rFonts w:eastAsia="Times New Roman" w:cs="Times New Roman"/>
                <w:color w:val="000000"/>
                <w:sz w:val="16"/>
                <w:szCs w:val="16"/>
                <w:lang w:bidi="ar-SA"/>
              </w:rPr>
              <w:t xml:space="preserve"> of Stamp Duties and Transfer Taxes Transactions</w:t>
            </w:r>
          </w:p>
        </w:tc>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xml:space="preserve">       200,000,000 </w:t>
            </w:r>
          </w:p>
        </w:tc>
        <w:tc>
          <w:tcPr>
            <w:tcW w:w="1639" w:type="dxa"/>
            <w:gridSpan w:val="3"/>
            <w:tcBorders>
              <w:top w:val="nil"/>
              <w:left w:val="nil"/>
              <w:bottom w:val="single" w:sz="4" w:space="0" w:color="auto"/>
              <w:right w:val="single" w:sz="4" w:space="0" w:color="auto"/>
            </w:tcBorders>
            <w:shd w:val="clear" w:color="auto" w:fill="auto"/>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USD</w:t>
            </w:r>
          </w:p>
        </w:tc>
        <w:tc>
          <w:tcPr>
            <w:tcW w:w="1220" w:type="dxa"/>
            <w:gridSpan w:val="2"/>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4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2"/>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r>
      <w:tr w:rsidR="0052408E" w:rsidRPr="00483F99" w:rsidTr="00483F99">
        <w:trPr>
          <w:gridAfter w:val="2"/>
          <w:wAfter w:w="1360" w:type="dxa"/>
          <w:trHeight w:val="495"/>
        </w:trPr>
        <w:tc>
          <w:tcPr>
            <w:tcW w:w="4600" w:type="dxa"/>
            <w:tcBorders>
              <w:top w:val="nil"/>
              <w:left w:val="single" w:sz="4" w:space="0" w:color="auto"/>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Number of Stamp Duties and Transfer Taxes a Year</w:t>
            </w:r>
          </w:p>
        </w:tc>
        <w:tc>
          <w:tcPr>
            <w:tcW w:w="2731" w:type="dxa"/>
            <w:tcBorders>
              <w:top w:val="nil"/>
              <w:left w:val="single" w:sz="4" w:space="0" w:color="auto"/>
              <w:bottom w:val="nil"/>
              <w:right w:val="single" w:sz="4" w:space="0" w:color="auto"/>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xml:space="preserve">                     200 </w:t>
            </w:r>
          </w:p>
        </w:tc>
        <w:tc>
          <w:tcPr>
            <w:tcW w:w="1639" w:type="dxa"/>
            <w:gridSpan w:val="3"/>
            <w:tcBorders>
              <w:top w:val="nil"/>
              <w:left w:val="nil"/>
              <w:bottom w:val="nil"/>
              <w:right w:val="single" w:sz="4" w:space="0" w:color="auto"/>
            </w:tcBorders>
            <w:shd w:val="clear" w:color="auto" w:fill="auto"/>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Number of procedures</w:t>
            </w:r>
          </w:p>
        </w:tc>
        <w:tc>
          <w:tcPr>
            <w:tcW w:w="1220" w:type="dxa"/>
            <w:gridSpan w:val="2"/>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4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2"/>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r>
      <w:tr w:rsidR="0052408E" w:rsidRPr="00483F99" w:rsidTr="00483F99">
        <w:trPr>
          <w:gridAfter w:val="2"/>
          <w:wAfter w:w="1360" w:type="dxa"/>
          <w:trHeight w:val="300"/>
        </w:trPr>
        <w:tc>
          <w:tcPr>
            <w:tcW w:w="4600" w:type="dxa"/>
            <w:tcBorders>
              <w:top w:val="single" w:sz="4" w:space="0" w:color="auto"/>
              <w:left w:val="single" w:sz="4" w:space="0" w:color="auto"/>
              <w:bottom w:val="single" w:sz="4" w:space="0" w:color="auto"/>
              <w:right w:val="nil"/>
            </w:tcBorders>
            <w:shd w:val="clear" w:color="auto" w:fill="auto"/>
            <w:noWrap/>
            <w:vAlign w:val="bottom"/>
            <w:hideMark/>
          </w:tcPr>
          <w:p w:rsidR="0052408E" w:rsidRPr="00483F99" w:rsidRDefault="00E4323B" w:rsidP="00483F99">
            <w:pPr>
              <w:spacing w:after="0" w:line="240" w:lineRule="auto"/>
              <w:jc w:val="left"/>
              <w:rPr>
                <w:rFonts w:eastAsia="Times New Roman" w:cs="Times New Roman"/>
                <w:color w:val="000000"/>
                <w:sz w:val="16"/>
                <w:szCs w:val="16"/>
                <w:lang w:bidi="ar-SA"/>
              </w:rPr>
            </w:pPr>
            <w:r>
              <w:rPr>
                <w:rFonts w:eastAsia="Times New Roman" w:cs="Times New Roman"/>
                <w:color w:val="000000"/>
                <w:sz w:val="16"/>
                <w:szCs w:val="16"/>
                <w:lang w:bidi="ar-SA"/>
              </w:rPr>
              <w:t>Average Value of Stamp Duty and Transfer Ta</w:t>
            </w:r>
            <w:r w:rsidR="0052408E" w:rsidRPr="00483F99">
              <w:rPr>
                <w:rFonts w:eastAsia="Times New Roman" w:cs="Times New Roman"/>
                <w:color w:val="000000"/>
                <w:sz w:val="16"/>
                <w:szCs w:val="16"/>
                <w:lang w:bidi="ar-SA"/>
              </w:rPr>
              <w:t>xes</w:t>
            </w:r>
          </w:p>
        </w:tc>
        <w:tc>
          <w:tcPr>
            <w:tcW w:w="2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xml:space="preserve">           1,000,000 </w:t>
            </w:r>
          </w:p>
        </w:tc>
        <w:tc>
          <w:tcPr>
            <w:tcW w:w="1639" w:type="dxa"/>
            <w:gridSpan w:val="3"/>
            <w:tcBorders>
              <w:top w:val="single" w:sz="4" w:space="0" w:color="auto"/>
              <w:left w:val="nil"/>
              <w:bottom w:val="single" w:sz="4" w:space="0" w:color="auto"/>
              <w:right w:val="single" w:sz="4" w:space="0" w:color="auto"/>
            </w:tcBorders>
            <w:shd w:val="clear" w:color="auto" w:fill="auto"/>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xml:space="preserve">USD </w:t>
            </w:r>
          </w:p>
        </w:tc>
        <w:tc>
          <w:tcPr>
            <w:tcW w:w="1220" w:type="dxa"/>
            <w:gridSpan w:val="2"/>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4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2"/>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r>
      <w:tr w:rsidR="00483F99" w:rsidRPr="00483F99" w:rsidTr="00483F99">
        <w:trPr>
          <w:trHeight w:val="300"/>
        </w:trPr>
        <w:tc>
          <w:tcPr>
            <w:tcW w:w="460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2731"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3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39" w:type="dxa"/>
            <w:gridSpan w:val="5"/>
            <w:tcBorders>
              <w:top w:val="nil"/>
              <w:left w:val="nil"/>
              <w:bottom w:val="nil"/>
              <w:right w:val="nil"/>
            </w:tcBorders>
            <w:shd w:val="clear" w:color="auto" w:fill="auto"/>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22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4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r>
      <w:tr w:rsidR="00483F99" w:rsidRPr="00483F99" w:rsidTr="00483F99">
        <w:trPr>
          <w:trHeight w:val="300"/>
        </w:trPr>
        <w:tc>
          <w:tcPr>
            <w:tcW w:w="460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b/>
                <w:bCs/>
                <w:color w:val="000000"/>
                <w:sz w:val="16"/>
                <w:szCs w:val="16"/>
                <w:lang w:bidi="ar-SA"/>
              </w:rPr>
            </w:pPr>
            <w:r w:rsidRPr="00483F99">
              <w:rPr>
                <w:rFonts w:eastAsia="Times New Roman" w:cs="Times New Roman"/>
                <w:b/>
                <w:bCs/>
                <w:color w:val="000000"/>
                <w:sz w:val="16"/>
                <w:szCs w:val="16"/>
                <w:lang w:bidi="ar-SA"/>
              </w:rPr>
              <w:t>Calculation of Benefits</w:t>
            </w:r>
          </w:p>
        </w:tc>
        <w:tc>
          <w:tcPr>
            <w:tcW w:w="2731"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3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39" w:type="dxa"/>
            <w:gridSpan w:val="5"/>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22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4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r>
      <w:tr w:rsidR="0052408E" w:rsidRPr="00483F99" w:rsidTr="00483F99">
        <w:trPr>
          <w:gridAfter w:val="3"/>
          <w:wAfter w:w="1639" w:type="dxa"/>
          <w:trHeight w:val="300"/>
        </w:trPr>
        <w:tc>
          <w:tcPr>
            <w:tcW w:w="4600" w:type="dxa"/>
            <w:tcBorders>
              <w:top w:val="single" w:sz="4" w:space="0" w:color="auto"/>
              <w:left w:val="single" w:sz="4" w:space="0" w:color="auto"/>
              <w:bottom w:val="single" w:sz="4" w:space="0" w:color="auto"/>
              <w:right w:val="nil"/>
            </w:tcBorders>
            <w:shd w:val="clear" w:color="000000" w:fill="B7DEE8"/>
            <w:noWrap/>
            <w:vAlign w:val="bottom"/>
            <w:hideMark/>
          </w:tcPr>
          <w:p w:rsidR="0052408E" w:rsidRPr="00483F99" w:rsidRDefault="0052408E" w:rsidP="00483F99">
            <w:pPr>
              <w:spacing w:after="0" w:line="240" w:lineRule="auto"/>
              <w:jc w:val="left"/>
              <w:rPr>
                <w:rFonts w:eastAsia="Times New Roman" w:cs="Times New Roman"/>
                <w:b/>
                <w:bCs/>
                <w:color w:val="4F81BD"/>
                <w:sz w:val="16"/>
                <w:szCs w:val="16"/>
                <w:lang w:bidi="ar-SA"/>
              </w:rPr>
            </w:pPr>
            <w:r w:rsidRPr="00483F99">
              <w:rPr>
                <w:rFonts w:eastAsia="Times New Roman" w:cs="Times New Roman"/>
                <w:b/>
                <w:bCs/>
                <w:color w:val="4F81BD"/>
                <w:sz w:val="16"/>
                <w:szCs w:val="16"/>
                <w:lang w:bidi="ar-SA"/>
              </w:rPr>
              <w:t>Components</w:t>
            </w:r>
          </w:p>
        </w:tc>
        <w:tc>
          <w:tcPr>
            <w:tcW w:w="2731" w:type="dxa"/>
            <w:tcBorders>
              <w:top w:val="single" w:sz="4" w:space="0" w:color="auto"/>
              <w:left w:val="nil"/>
              <w:bottom w:val="single" w:sz="4" w:space="0" w:color="auto"/>
              <w:right w:val="nil"/>
            </w:tcBorders>
            <w:shd w:val="clear" w:color="000000" w:fill="B7DEE8"/>
            <w:noWrap/>
            <w:vAlign w:val="bottom"/>
            <w:hideMark/>
          </w:tcPr>
          <w:p w:rsidR="0052408E" w:rsidRPr="00483F99" w:rsidRDefault="0052408E" w:rsidP="00483F99">
            <w:pPr>
              <w:spacing w:after="0" w:line="240" w:lineRule="auto"/>
              <w:jc w:val="left"/>
              <w:rPr>
                <w:rFonts w:eastAsia="Times New Roman" w:cs="Times New Roman"/>
                <w:b/>
                <w:bCs/>
                <w:color w:val="4F81BD"/>
                <w:sz w:val="16"/>
                <w:szCs w:val="16"/>
                <w:lang w:bidi="ar-SA"/>
              </w:rPr>
            </w:pPr>
            <w:r w:rsidRPr="00483F99">
              <w:rPr>
                <w:rFonts w:eastAsia="Times New Roman" w:cs="Times New Roman"/>
                <w:b/>
                <w:bCs/>
                <w:color w:val="4F81BD"/>
                <w:sz w:val="16"/>
                <w:szCs w:val="16"/>
                <w:lang w:bidi="ar-SA"/>
              </w:rPr>
              <w:t> </w:t>
            </w:r>
          </w:p>
        </w:tc>
        <w:tc>
          <w:tcPr>
            <w:tcW w:w="1360" w:type="dxa"/>
            <w:tcBorders>
              <w:top w:val="single" w:sz="4" w:space="0" w:color="auto"/>
              <w:left w:val="single" w:sz="4" w:space="0" w:color="auto"/>
              <w:bottom w:val="single" w:sz="4" w:space="0" w:color="auto"/>
              <w:right w:val="nil"/>
            </w:tcBorders>
            <w:shd w:val="clear" w:color="000000" w:fill="B7DEE8"/>
            <w:noWrap/>
            <w:vAlign w:val="bottom"/>
            <w:hideMark/>
          </w:tcPr>
          <w:p w:rsidR="0052408E" w:rsidRPr="00483F99" w:rsidRDefault="0052408E" w:rsidP="00483F99">
            <w:pPr>
              <w:spacing w:after="0" w:line="240" w:lineRule="auto"/>
              <w:jc w:val="left"/>
              <w:rPr>
                <w:rFonts w:eastAsia="Times New Roman" w:cs="Times New Roman"/>
                <w:b/>
                <w:bCs/>
                <w:color w:val="4F81BD"/>
                <w:sz w:val="16"/>
                <w:szCs w:val="16"/>
                <w:lang w:bidi="ar-SA"/>
              </w:rPr>
            </w:pPr>
            <w:r w:rsidRPr="00483F99">
              <w:rPr>
                <w:rFonts w:eastAsia="Times New Roman" w:cs="Times New Roman"/>
                <w:b/>
                <w:bCs/>
                <w:color w:val="4F81BD"/>
                <w:sz w:val="16"/>
                <w:szCs w:val="16"/>
                <w:lang w:bidi="ar-SA"/>
              </w:rPr>
              <w:t>Baseline (2008)</w:t>
            </w:r>
          </w:p>
        </w:tc>
        <w:tc>
          <w:tcPr>
            <w:tcW w:w="1220" w:type="dxa"/>
            <w:gridSpan w:val="3"/>
            <w:tcBorders>
              <w:top w:val="single" w:sz="4" w:space="0" w:color="auto"/>
              <w:left w:val="nil"/>
              <w:bottom w:val="single" w:sz="4" w:space="0" w:color="auto"/>
              <w:right w:val="single" w:sz="4" w:space="0" w:color="auto"/>
            </w:tcBorders>
            <w:shd w:val="clear" w:color="000000" w:fill="B7DEE8"/>
            <w:noWrap/>
            <w:vAlign w:val="bottom"/>
            <w:hideMark/>
          </w:tcPr>
          <w:p w:rsidR="0052408E" w:rsidRPr="00483F99" w:rsidRDefault="0052408E" w:rsidP="00483F99">
            <w:pPr>
              <w:spacing w:after="0" w:line="240" w:lineRule="auto"/>
              <w:jc w:val="left"/>
              <w:rPr>
                <w:rFonts w:eastAsia="Times New Roman" w:cs="Times New Roman"/>
                <w:b/>
                <w:bCs/>
                <w:color w:val="4F81BD"/>
                <w:sz w:val="16"/>
                <w:szCs w:val="16"/>
                <w:lang w:bidi="ar-SA"/>
              </w:rPr>
            </w:pPr>
            <w:r w:rsidRPr="00483F99">
              <w:rPr>
                <w:rFonts w:eastAsia="Times New Roman" w:cs="Times New Roman"/>
                <w:b/>
                <w:bCs/>
                <w:color w:val="4F81BD"/>
                <w:sz w:val="16"/>
                <w:szCs w:val="16"/>
                <w:lang w:bidi="ar-SA"/>
              </w:rPr>
              <w:t>With Project</w:t>
            </w: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460" w:type="dxa"/>
            <w:gridSpan w:val="2"/>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r>
      <w:tr w:rsidR="0052408E" w:rsidRPr="00483F99" w:rsidTr="00483F99">
        <w:trPr>
          <w:gridAfter w:val="3"/>
          <w:wAfter w:w="1639" w:type="dxa"/>
          <w:trHeight w:val="300"/>
        </w:trPr>
        <w:tc>
          <w:tcPr>
            <w:tcW w:w="4600" w:type="dxa"/>
            <w:tcBorders>
              <w:top w:val="nil"/>
              <w:left w:val="single" w:sz="4" w:space="0" w:color="auto"/>
              <w:bottom w:val="single" w:sz="4" w:space="0" w:color="auto"/>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Tax Expenditure and Reform</w:t>
            </w:r>
          </w:p>
        </w:tc>
        <w:tc>
          <w:tcPr>
            <w:tcW w:w="2731" w:type="dxa"/>
            <w:tcBorders>
              <w:top w:val="nil"/>
              <w:left w:val="single" w:sz="4" w:space="0" w:color="auto"/>
              <w:bottom w:val="nil"/>
              <w:right w:val="single" w:sz="4" w:space="0" w:color="auto"/>
            </w:tcBorders>
            <w:shd w:val="clear" w:color="000000" w:fill="DAEEF3"/>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Parameter</w:t>
            </w:r>
          </w:p>
        </w:tc>
        <w:tc>
          <w:tcPr>
            <w:tcW w:w="1360" w:type="dxa"/>
            <w:tcBorders>
              <w:top w:val="nil"/>
              <w:left w:val="nil"/>
              <w:bottom w:val="nil"/>
              <w:right w:val="nil"/>
            </w:tcBorders>
            <w:shd w:val="clear" w:color="000000" w:fill="DAEEF3"/>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Measure</w:t>
            </w:r>
          </w:p>
        </w:tc>
        <w:tc>
          <w:tcPr>
            <w:tcW w:w="1220" w:type="dxa"/>
            <w:gridSpan w:val="3"/>
            <w:tcBorders>
              <w:top w:val="nil"/>
              <w:left w:val="nil"/>
              <w:bottom w:val="nil"/>
              <w:right w:val="single" w:sz="4" w:space="0" w:color="auto"/>
            </w:tcBorders>
            <w:shd w:val="clear" w:color="000000" w:fill="DAEEF3"/>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New Measure</w:t>
            </w: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460" w:type="dxa"/>
            <w:gridSpan w:val="2"/>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r>
      <w:tr w:rsidR="0052408E" w:rsidRPr="00483F99" w:rsidTr="00483F99">
        <w:trPr>
          <w:gridAfter w:val="3"/>
          <w:wAfter w:w="1639" w:type="dxa"/>
          <w:trHeight w:val="300"/>
        </w:trPr>
        <w:tc>
          <w:tcPr>
            <w:tcW w:w="4600" w:type="dxa"/>
            <w:tcBorders>
              <w:top w:val="nil"/>
              <w:left w:val="single" w:sz="4" w:space="0" w:color="auto"/>
              <w:bottom w:val="single" w:sz="4" w:space="0" w:color="auto"/>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Reduction of Distortions of the Tax System</w:t>
            </w:r>
          </w:p>
        </w:tc>
        <w:tc>
          <w:tcPr>
            <w:tcW w:w="2731" w:type="dxa"/>
            <w:tcBorders>
              <w:top w:val="single" w:sz="4" w:space="0" w:color="auto"/>
              <w:left w:val="single" w:sz="4" w:space="0" w:color="auto"/>
              <w:bottom w:val="single" w:sz="4" w:space="0" w:color="auto"/>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w:t>
            </w:r>
          </w:p>
        </w:tc>
        <w:tc>
          <w:tcPr>
            <w:tcW w:w="1360" w:type="dxa"/>
            <w:tcBorders>
              <w:top w:val="single" w:sz="4" w:space="0" w:color="auto"/>
              <w:left w:val="nil"/>
              <w:bottom w:val="single" w:sz="4" w:space="0" w:color="auto"/>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w:t>
            </w: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460" w:type="dxa"/>
            <w:gridSpan w:val="2"/>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r>
      <w:tr w:rsidR="0052408E" w:rsidRPr="00483F99" w:rsidTr="0052408E">
        <w:trPr>
          <w:gridAfter w:val="3"/>
          <w:wAfter w:w="1639" w:type="dxa"/>
          <w:trHeight w:val="300"/>
        </w:trPr>
        <w:tc>
          <w:tcPr>
            <w:tcW w:w="4600" w:type="dxa"/>
            <w:tcBorders>
              <w:top w:val="nil"/>
              <w:left w:val="single" w:sz="4" w:space="0" w:color="auto"/>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xml:space="preserve">   - Reform of Stamp Duties</w:t>
            </w:r>
          </w:p>
        </w:tc>
        <w:tc>
          <w:tcPr>
            <w:tcW w:w="2731" w:type="dxa"/>
            <w:tcBorders>
              <w:top w:val="nil"/>
              <w:left w:val="single" w:sz="4" w:space="0" w:color="auto"/>
              <w:bottom w:val="nil"/>
              <w:right w:val="single" w:sz="4" w:space="0" w:color="auto"/>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of Transaction</w:t>
            </w:r>
          </w:p>
        </w:tc>
        <w:tc>
          <w:tcPr>
            <w:tcW w:w="1360" w:type="dxa"/>
            <w:tcBorders>
              <w:top w:val="nil"/>
              <w:left w:val="nil"/>
              <w:bottom w:val="nil"/>
              <w:right w:val="single" w:sz="4" w:space="0" w:color="auto"/>
            </w:tcBorders>
            <w:shd w:val="clear" w:color="auto" w:fill="auto"/>
            <w:noWrap/>
            <w:vAlign w:val="bottom"/>
            <w:hideMark/>
          </w:tcPr>
          <w:p w:rsidR="0052408E" w:rsidRPr="00483F99" w:rsidRDefault="0052408E" w:rsidP="00483F99">
            <w:pPr>
              <w:spacing w:after="0" w:line="240" w:lineRule="auto"/>
              <w:jc w:val="right"/>
              <w:rPr>
                <w:rFonts w:eastAsia="Times New Roman" w:cs="Times New Roman"/>
                <w:color w:val="000000"/>
                <w:sz w:val="16"/>
                <w:szCs w:val="16"/>
                <w:lang w:bidi="ar-SA"/>
              </w:rPr>
            </w:pPr>
            <w:r w:rsidRPr="00483F99">
              <w:rPr>
                <w:rFonts w:eastAsia="Times New Roman" w:cs="Times New Roman"/>
                <w:color w:val="000000"/>
                <w:sz w:val="16"/>
                <w:szCs w:val="16"/>
                <w:lang w:bidi="ar-SA"/>
              </w:rPr>
              <w:t>5.5</w:t>
            </w:r>
          </w:p>
        </w:tc>
        <w:tc>
          <w:tcPr>
            <w:tcW w:w="1220" w:type="dxa"/>
            <w:gridSpan w:val="3"/>
            <w:tcBorders>
              <w:top w:val="nil"/>
              <w:left w:val="single" w:sz="4" w:space="0" w:color="auto"/>
              <w:bottom w:val="nil"/>
              <w:right w:val="single" w:sz="4" w:space="0" w:color="auto"/>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xml:space="preserve">                 4.50 </w:t>
            </w: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460" w:type="dxa"/>
            <w:gridSpan w:val="2"/>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r>
      <w:tr w:rsidR="0052408E" w:rsidRPr="00483F99" w:rsidTr="0052408E">
        <w:trPr>
          <w:gridAfter w:val="3"/>
          <w:wAfter w:w="1639" w:type="dxa"/>
          <w:trHeight w:val="300"/>
        </w:trPr>
        <w:tc>
          <w:tcPr>
            <w:tcW w:w="4600" w:type="dxa"/>
            <w:tcBorders>
              <w:top w:val="nil"/>
              <w:left w:val="single" w:sz="4" w:space="0" w:color="auto"/>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xml:space="preserve">   - Reform of Transfer Taxes</w:t>
            </w:r>
          </w:p>
        </w:tc>
        <w:tc>
          <w:tcPr>
            <w:tcW w:w="2731" w:type="dxa"/>
            <w:tcBorders>
              <w:top w:val="nil"/>
              <w:left w:val="single" w:sz="4" w:space="0" w:color="auto"/>
              <w:bottom w:val="nil"/>
              <w:right w:val="single" w:sz="4" w:space="0" w:color="auto"/>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of Transaction</w:t>
            </w:r>
          </w:p>
        </w:tc>
        <w:tc>
          <w:tcPr>
            <w:tcW w:w="1360" w:type="dxa"/>
            <w:tcBorders>
              <w:top w:val="nil"/>
              <w:left w:val="nil"/>
              <w:bottom w:val="nil"/>
              <w:right w:val="single" w:sz="4" w:space="0" w:color="auto"/>
            </w:tcBorders>
            <w:shd w:val="clear" w:color="auto" w:fill="auto"/>
            <w:noWrap/>
            <w:vAlign w:val="bottom"/>
            <w:hideMark/>
          </w:tcPr>
          <w:p w:rsidR="0052408E" w:rsidRPr="00483F99" w:rsidRDefault="0052408E" w:rsidP="00483F99">
            <w:pPr>
              <w:spacing w:after="0" w:line="240" w:lineRule="auto"/>
              <w:jc w:val="right"/>
              <w:rPr>
                <w:rFonts w:eastAsia="Times New Roman" w:cs="Times New Roman"/>
                <w:color w:val="000000"/>
                <w:sz w:val="16"/>
                <w:szCs w:val="16"/>
                <w:lang w:bidi="ar-SA"/>
              </w:rPr>
            </w:pPr>
            <w:r w:rsidRPr="00483F99">
              <w:rPr>
                <w:rFonts w:eastAsia="Times New Roman" w:cs="Times New Roman"/>
                <w:color w:val="000000"/>
                <w:sz w:val="16"/>
                <w:szCs w:val="16"/>
                <w:lang w:bidi="ar-SA"/>
              </w:rPr>
              <w:t>7.5</w:t>
            </w:r>
          </w:p>
        </w:tc>
        <w:tc>
          <w:tcPr>
            <w:tcW w:w="1220" w:type="dxa"/>
            <w:gridSpan w:val="3"/>
            <w:tcBorders>
              <w:top w:val="nil"/>
              <w:left w:val="single" w:sz="4" w:space="0" w:color="auto"/>
              <w:bottom w:val="nil"/>
              <w:right w:val="single" w:sz="4" w:space="0" w:color="auto"/>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xml:space="preserve">                 5.00 </w:t>
            </w: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460" w:type="dxa"/>
            <w:gridSpan w:val="2"/>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r>
      <w:tr w:rsidR="0052408E" w:rsidRPr="00483F99" w:rsidTr="0052408E">
        <w:trPr>
          <w:gridAfter w:val="3"/>
          <w:wAfter w:w="1639" w:type="dxa"/>
          <w:trHeight w:val="300"/>
        </w:trPr>
        <w:tc>
          <w:tcPr>
            <w:tcW w:w="4600" w:type="dxa"/>
            <w:tcBorders>
              <w:top w:val="nil"/>
              <w:left w:val="single" w:sz="4" w:space="0" w:color="auto"/>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xml:space="preserve">   - Amalgamation of Payroll Taxes</w:t>
            </w:r>
          </w:p>
        </w:tc>
        <w:tc>
          <w:tcPr>
            <w:tcW w:w="2731" w:type="dxa"/>
            <w:tcBorders>
              <w:top w:val="nil"/>
              <w:left w:val="single" w:sz="4" w:space="0" w:color="auto"/>
              <w:bottom w:val="nil"/>
              <w:right w:val="single" w:sz="4" w:space="0" w:color="auto"/>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Time Paying Taxes (hours per month)</w:t>
            </w:r>
          </w:p>
        </w:tc>
        <w:tc>
          <w:tcPr>
            <w:tcW w:w="1360" w:type="dxa"/>
            <w:tcBorders>
              <w:top w:val="nil"/>
              <w:left w:val="nil"/>
              <w:bottom w:val="nil"/>
              <w:right w:val="single" w:sz="4" w:space="0" w:color="auto"/>
            </w:tcBorders>
            <w:shd w:val="clear" w:color="auto" w:fill="auto"/>
            <w:noWrap/>
            <w:vAlign w:val="bottom"/>
            <w:hideMark/>
          </w:tcPr>
          <w:p w:rsidR="0052408E" w:rsidRPr="00483F99" w:rsidRDefault="0052408E" w:rsidP="00483F99">
            <w:pPr>
              <w:spacing w:after="0" w:line="240" w:lineRule="auto"/>
              <w:jc w:val="right"/>
              <w:rPr>
                <w:rFonts w:eastAsia="Times New Roman" w:cs="Times New Roman"/>
                <w:color w:val="000000"/>
                <w:sz w:val="16"/>
                <w:szCs w:val="16"/>
                <w:lang w:bidi="ar-SA"/>
              </w:rPr>
            </w:pPr>
            <w:r w:rsidRPr="00483F99">
              <w:rPr>
                <w:rFonts w:eastAsia="Times New Roman" w:cs="Times New Roman"/>
                <w:color w:val="000000"/>
                <w:sz w:val="16"/>
                <w:szCs w:val="16"/>
                <w:lang w:bidi="ar-SA"/>
              </w:rPr>
              <w:t>5</w:t>
            </w:r>
          </w:p>
        </w:tc>
        <w:tc>
          <w:tcPr>
            <w:tcW w:w="1220" w:type="dxa"/>
            <w:gridSpan w:val="3"/>
            <w:tcBorders>
              <w:top w:val="nil"/>
              <w:left w:val="single" w:sz="4" w:space="0" w:color="auto"/>
              <w:bottom w:val="nil"/>
              <w:right w:val="single" w:sz="4" w:space="0" w:color="auto"/>
            </w:tcBorders>
            <w:shd w:val="clear" w:color="auto" w:fill="auto"/>
            <w:noWrap/>
            <w:vAlign w:val="bottom"/>
            <w:hideMark/>
          </w:tcPr>
          <w:p w:rsidR="0052408E" w:rsidRPr="00483F99" w:rsidRDefault="0052408E" w:rsidP="00483F99">
            <w:pPr>
              <w:spacing w:after="0" w:line="240" w:lineRule="auto"/>
              <w:jc w:val="right"/>
              <w:rPr>
                <w:rFonts w:eastAsia="Times New Roman" w:cs="Times New Roman"/>
                <w:color w:val="000000"/>
                <w:sz w:val="16"/>
                <w:szCs w:val="16"/>
                <w:lang w:bidi="ar-SA"/>
              </w:rPr>
            </w:pPr>
            <w:r w:rsidRPr="00483F99">
              <w:rPr>
                <w:rFonts w:eastAsia="Times New Roman" w:cs="Times New Roman"/>
                <w:color w:val="000000"/>
                <w:sz w:val="16"/>
                <w:szCs w:val="16"/>
                <w:lang w:bidi="ar-SA"/>
              </w:rPr>
              <w:t>1</w:t>
            </w: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460" w:type="dxa"/>
            <w:gridSpan w:val="2"/>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r>
      <w:tr w:rsidR="0052408E" w:rsidRPr="00483F99" w:rsidTr="00483F99">
        <w:trPr>
          <w:gridAfter w:val="3"/>
          <w:wAfter w:w="1639" w:type="dxa"/>
          <w:trHeight w:val="300"/>
        </w:trPr>
        <w:tc>
          <w:tcPr>
            <w:tcW w:w="4600" w:type="dxa"/>
            <w:tcBorders>
              <w:top w:val="single" w:sz="4" w:space="0" w:color="auto"/>
              <w:left w:val="single" w:sz="4" w:space="0" w:color="auto"/>
              <w:bottom w:val="single" w:sz="4" w:space="0" w:color="auto"/>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Simplification of Tax Administration</w:t>
            </w:r>
          </w:p>
        </w:tc>
        <w:tc>
          <w:tcPr>
            <w:tcW w:w="2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xml:space="preserve">   </w:t>
            </w: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eastAsia="Times New Roman" w:cs="Times New Roman"/>
                <w:color w:val="000000"/>
                <w:sz w:val="16"/>
                <w:szCs w:val="16"/>
                <w:lang w:bidi="ar-SA"/>
              </w:rPr>
            </w:pPr>
          </w:p>
        </w:tc>
        <w:tc>
          <w:tcPr>
            <w:tcW w:w="1460" w:type="dxa"/>
            <w:gridSpan w:val="2"/>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52408E" w:rsidRPr="00483F99" w:rsidRDefault="0052408E" w:rsidP="00483F99">
            <w:pPr>
              <w:spacing w:after="0" w:line="240" w:lineRule="auto"/>
              <w:jc w:val="left"/>
              <w:rPr>
                <w:rFonts w:ascii="Calibri" w:eastAsia="Times New Roman" w:hAnsi="Calibri" w:cs="Times New Roman"/>
                <w:color w:val="000000"/>
                <w:sz w:val="22"/>
                <w:szCs w:val="22"/>
                <w:lang w:bidi="ar-SA"/>
              </w:rPr>
            </w:pPr>
          </w:p>
        </w:tc>
      </w:tr>
      <w:tr w:rsidR="00483F99" w:rsidRPr="00483F99" w:rsidTr="0052408E">
        <w:trPr>
          <w:trHeight w:val="300"/>
        </w:trPr>
        <w:tc>
          <w:tcPr>
            <w:tcW w:w="4600" w:type="dxa"/>
            <w:tcBorders>
              <w:top w:val="nil"/>
              <w:left w:val="single" w:sz="4" w:space="0" w:color="auto"/>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Elasticity of Demand</w:t>
            </w:r>
          </w:p>
        </w:tc>
        <w:tc>
          <w:tcPr>
            <w:tcW w:w="2731"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3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right"/>
              <w:rPr>
                <w:rFonts w:eastAsia="Times New Roman" w:cs="Times New Roman"/>
                <w:color w:val="000000"/>
                <w:sz w:val="16"/>
                <w:szCs w:val="16"/>
                <w:lang w:bidi="ar-SA"/>
              </w:rPr>
            </w:pPr>
            <w:r w:rsidRPr="00483F99">
              <w:rPr>
                <w:rFonts w:eastAsia="Times New Roman" w:cs="Times New Roman"/>
                <w:color w:val="000000"/>
                <w:sz w:val="16"/>
                <w:szCs w:val="16"/>
                <w:lang w:bidi="ar-SA"/>
              </w:rPr>
              <w:t>0.05</w:t>
            </w:r>
          </w:p>
        </w:tc>
        <w:tc>
          <w:tcPr>
            <w:tcW w:w="122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39" w:type="dxa"/>
            <w:gridSpan w:val="5"/>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4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r>
      <w:tr w:rsidR="00483F99" w:rsidRPr="00483F99" w:rsidTr="0052408E">
        <w:trPr>
          <w:trHeight w:val="300"/>
        </w:trPr>
        <w:tc>
          <w:tcPr>
            <w:tcW w:w="4600" w:type="dxa"/>
            <w:tcBorders>
              <w:top w:val="single" w:sz="4" w:space="0" w:color="auto"/>
              <w:left w:val="single" w:sz="4" w:space="0" w:color="auto"/>
              <w:bottom w:val="single" w:sz="4" w:space="0" w:color="auto"/>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Minimun Wage in Jamaica</w:t>
            </w:r>
          </w:p>
        </w:tc>
        <w:tc>
          <w:tcPr>
            <w:tcW w:w="2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3F99" w:rsidRPr="00483F99" w:rsidRDefault="00483F99" w:rsidP="00483F99">
            <w:pPr>
              <w:spacing w:after="0" w:line="240" w:lineRule="auto"/>
              <w:jc w:val="right"/>
              <w:rPr>
                <w:rFonts w:eastAsia="Times New Roman" w:cs="Times New Roman"/>
                <w:color w:val="000000"/>
                <w:sz w:val="16"/>
                <w:szCs w:val="16"/>
                <w:lang w:bidi="ar-SA"/>
              </w:rPr>
            </w:pPr>
            <w:r w:rsidRPr="00483F99">
              <w:rPr>
                <w:rFonts w:eastAsia="Times New Roman" w:cs="Times New Roman"/>
                <w:color w:val="000000"/>
                <w:sz w:val="16"/>
                <w:szCs w:val="16"/>
                <w:lang w:bidi="ar-SA"/>
              </w:rPr>
              <w:t>101.75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$J/hour</w:t>
            </w:r>
          </w:p>
        </w:tc>
        <w:tc>
          <w:tcPr>
            <w:tcW w:w="1220" w:type="dxa"/>
            <w:gridSpan w:val="3"/>
            <w:tcBorders>
              <w:top w:val="single" w:sz="4" w:space="0" w:color="auto"/>
              <w:left w:val="nil"/>
              <w:bottom w:val="single" w:sz="4" w:space="0" w:color="auto"/>
              <w:right w:val="single" w:sz="4" w:space="0" w:color="auto"/>
            </w:tcBorders>
            <w:shd w:val="clear" w:color="auto" w:fill="auto"/>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w:t>
            </w:r>
          </w:p>
        </w:tc>
        <w:tc>
          <w:tcPr>
            <w:tcW w:w="1639" w:type="dxa"/>
            <w:gridSpan w:val="5"/>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4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r>
      <w:tr w:rsidR="00483F99" w:rsidRPr="00483F99" w:rsidTr="0052408E">
        <w:trPr>
          <w:trHeight w:val="495"/>
        </w:trPr>
        <w:tc>
          <w:tcPr>
            <w:tcW w:w="4600" w:type="dxa"/>
            <w:tcBorders>
              <w:top w:val="nil"/>
              <w:left w:val="single" w:sz="4" w:space="0" w:color="auto"/>
              <w:bottom w:val="single" w:sz="4" w:space="0" w:color="auto"/>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Exchange Rate</w:t>
            </w:r>
          </w:p>
        </w:tc>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483F99" w:rsidRPr="00483F99" w:rsidRDefault="00483F99" w:rsidP="00483F99">
            <w:pPr>
              <w:spacing w:after="0" w:line="240" w:lineRule="auto"/>
              <w:jc w:val="right"/>
              <w:rPr>
                <w:rFonts w:eastAsia="Times New Roman" w:cs="Times New Roman"/>
                <w:color w:val="000000"/>
                <w:sz w:val="16"/>
                <w:szCs w:val="16"/>
                <w:lang w:bidi="ar-SA"/>
              </w:rPr>
            </w:pPr>
            <w:r w:rsidRPr="00483F99">
              <w:rPr>
                <w:rFonts w:eastAsia="Times New Roman" w:cs="Times New Roman"/>
                <w:color w:val="000000"/>
                <w:sz w:val="16"/>
                <w:szCs w:val="16"/>
                <w:lang w:bidi="ar-SA"/>
              </w:rPr>
              <w:t>85.38</w:t>
            </w:r>
          </w:p>
        </w:tc>
        <w:tc>
          <w:tcPr>
            <w:tcW w:w="1360" w:type="dxa"/>
            <w:tcBorders>
              <w:top w:val="nil"/>
              <w:left w:val="nil"/>
              <w:bottom w:val="single" w:sz="4" w:space="0" w:color="auto"/>
              <w:right w:val="single" w:sz="4" w:space="0" w:color="auto"/>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SJ/USD</w:t>
            </w:r>
          </w:p>
        </w:tc>
        <w:tc>
          <w:tcPr>
            <w:tcW w:w="1220" w:type="dxa"/>
            <w:gridSpan w:val="3"/>
            <w:tcBorders>
              <w:top w:val="nil"/>
              <w:left w:val="nil"/>
              <w:bottom w:val="single" w:sz="4" w:space="0" w:color="auto"/>
              <w:right w:val="single" w:sz="4" w:space="0" w:color="auto"/>
            </w:tcBorders>
            <w:shd w:val="clear" w:color="auto" w:fill="auto"/>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as Nov 16/2010</w:t>
            </w:r>
          </w:p>
        </w:tc>
        <w:tc>
          <w:tcPr>
            <w:tcW w:w="1639" w:type="dxa"/>
            <w:gridSpan w:val="5"/>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4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r>
      <w:tr w:rsidR="00483F99" w:rsidRPr="00483F99" w:rsidTr="0052408E">
        <w:trPr>
          <w:trHeight w:val="300"/>
        </w:trPr>
        <w:tc>
          <w:tcPr>
            <w:tcW w:w="4600" w:type="dxa"/>
            <w:tcBorders>
              <w:top w:val="nil"/>
              <w:left w:val="single" w:sz="4" w:space="0" w:color="auto"/>
              <w:bottom w:val="single" w:sz="4" w:space="0" w:color="auto"/>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Number of Companies that pay taxes</w:t>
            </w:r>
          </w:p>
        </w:tc>
        <w:tc>
          <w:tcPr>
            <w:tcW w:w="2731" w:type="dxa"/>
            <w:tcBorders>
              <w:top w:val="nil"/>
              <w:left w:val="single" w:sz="4" w:space="0" w:color="auto"/>
              <w:bottom w:val="single" w:sz="4" w:space="0" w:color="auto"/>
              <w:right w:val="single" w:sz="4" w:space="0" w:color="auto"/>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xml:space="preserve">                50,000 </w:t>
            </w:r>
          </w:p>
        </w:tc>
        <w:tc>
          <w:tcPr>
            <w:tcW w:w="13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22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39" w:type="dxa"/>
            <w:gridSpan w:val="5"/>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4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r>
      <w:tr w:rsidR="00483F99" w:rsidRPr="00483F99" w:rsidTr="0052408E">
        <w:trPr>
          <w:trHeight w:val="300"/>
        </w:trPr>
        <w:tc>
          <w:tcPr>
            <w:tcW w:w="460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2731"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3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22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39" w:type="dxa"/>
            <w:gridSpan w:val="5"/>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4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r>
      <w:tr w:rsidR="00483F99" w:rsidRPr="00483F99" w:rsidTr="0052408E">
        <w:trPr>
          <w:trHeight w:val="300"/>
        </w:trPr>
        <w:tc>
          <w:tcPr>
            <w:tcW w:w="4600" w:type="dxa"/>
            <w:tcBorders>
              <w:top w:val="single" w:sz="4" w:space="0" w:color="auto"/>
              <w:left w:val="single" w:sz="4" w:space="0" w:color="auto"/>
              <w:bottom w:val="single" w:sz="4" w:space="0" w:color="auto"/>
              <w:right w:val="nil"/>
            </w:tcBorders>
            <w:shd w:val="clear" w:color="000000" w:fill="B7DEE8"/>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Sensitiv</w:t>
            </w:r>
            <w:r w:rsidR="0060120B">
              <w:rPr>
                <w:rFonts w:eastAsia="Times New Roman" w:cs="Times New Roman"/>
                <w:color w:val="000000"/>
                <w:sz w:val="16"/>
                <w:szCs w:val="16"/>
                <w:lang w:bidi="ar-SA"/>
              </w:rPr>
              <w:t>it</w:t>
            </w:r>
            <w:r w:rsidRPr="00483F99">
              <w:rPr>
                <w:rFonts w:eastAsia="Times New Roman" w:cs="Times New Roman"/>
                <w:color w:val="000000"/>
                <w:sz w:val="16"/>
                <w:szCs w:val="16"/>
                <w:lang w:bidi="ar-SA"/>
              </w:rPr>
              <w:t>y  Analysis</w:t>
            </w:r>
          </w:p>
        </w:tc>
        <w:tc>
          <w:tcPr>
            <w:tcW w:w="2731" w:type="dxa"/>
            <w:tcBorders>
              <w:top w:val="single" w:sz="4" w:space="0" w:color="auto"/>
              <w:left w:val="nil"/>
              <w:bottom w:val="single" w:sz="4" w:space="0" w:color="auto"/>
              <w:right w:val="nil"/>
            </w:tcBorders>
            <w:shd w:val="clear" w:color="000000" w:fill="B7DEE8"/>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w:t>
            </w:r>
          </w:p>
        </w:tc>
        <w:tc>
          <w:tcPr>
            <w:tcW w:w="1360" w:type="dxa"/>
            <w:tcBorders>
              <w:top w:val="single" w:sz="4" w:space="0" w:color="auto"/>
              <w:left w:val="nil"/>
              <w:bottom w:val="single" w:sz="4" w:space="0" w:color="auto"/>
              <w:right w:val="single" w:sz="4" w:space="0" w:color="auto"/>
            </w:tcBorders>
            <w:shd w:val="clear" w:color="000000" w:fill="B7DEE8"/>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NPV</w:t>
            </w:r>
            <w:r w:rsidR="008C1DEE">
              <w:rPr>
                <w:rFonts w:eastAsia="Times New Roman" w:cs="Times New Roman"/>
                <w:color w:val="000000"/>
                <w:sz w:val="16"/>
                <w:szCs w:val="16"/>
                <w:lang w:bidi="ar-SA"/>
              </w:rPr>
              <w:t xml:space="preserve">  (US Million)</w:t>
            </w:r>
          </w:p>
        </w:tc>
        <w:tc>
          <w:tcPr>
            <w:tcW w:w="122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39" w:type="dxa"/>
            <w:gridSpan w:val="5"/>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4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r>
      <w:tr w:rsidR="00483F99" w:rsidRPr="00483F99" w:rsidTr="0052408E">
        <w:trPr>
          <w:trHeight w:val="300"/>
        </w:trPr>
        <w:tc>
          <w:tcPr>
            <w:tcW w:w="4600" w:type="dxa"/>
            <w:tcBorders>
              <w:top w:val="nil"/>
              <w:left w:val="single" w:sz="4" w:space="0" w:color="auto"/>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Change in Welfare</w:t>
            </w:r>
          </w:p>
        </w:tc>
        <w:tc>
          <w:tcPr>
            <w:tcW w:w="2731"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right"/>
              <w:rPr>
                <w:rFonts w:eastAsia="Times New Roman" w:cs="Times New Roman"/>
                <w:color w:val="000000"/>
                <w:sz w:val="16"/>
                <w:szCs w:val="16"/>
                <w:lang w:bidi="ar-SA"/>
              </w:rPr>
            </w:pPr>
            <w:r w:rsidRPr="00483F99">
              <w:rPr>
                <w:rFonts w:eastAsia="Times New Roman" w:cs="Times New Roman"/>
                <w:color w:val="000000"/>
                <w:sz w:val="16"/>
                <w:szCs w:val="16"/>
                <w:lang w:bidi="ar-SA"/>
              </w:rPr>
              <w:t>0.25</w:t>
            </w:r>
          </w:p>
        </w:tc>
        <w:tc>
          <w:tcPr>
            <w:tcW w:w="1360" w:type="dxa"/>
            <w:tcBorders>
              <w:top w:val="nil"/>
              <w:left w:val="nil"/>
              <w:bottom w:val="nil"/>
              <w:right w:val="single" w:sz="4" w:space="0" w:color="auto"/>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 xml:space="preserve">              571.00 </w:t>
            </w:r>
          </w:p>
        </w:tc>
        <w:tc>
          <w:tcPr>
            <w:tcW w:w="122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39" w:type="dxa"/>
            <w:gridSpan w:val="5"/>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4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r>
      <w:tr w:rsidR="00483F99" w:rsidRPr="00483F99" w:rsidTr="0052408E">
        <w:trPr>
          <w:trHeight w:val="300"/>
        </w:trPr>
        <w:tc>
          <w:tcPr>
            <w:tcW w:w="4600" w:type="dxa"/>
            <w:tcBorders>
              <w:top w:val="nil"/>
              <w:left w:val="single" w:sz="4" w:space="0" w:color="auto"/>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Change in Welfare</w:t>
            </w:r>
          </w:p>
        </w:tc>
        <w:tc>
          <w:tcPr>
            <w:tcW w:w="2731"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right"/>
              <w:rPr>
                <w:rFonts w:eastAsia="Times New Roman" w:cs="Times New Roman"/>
                <w:color w:val="000000"/>
                <w:sz w:val="16"/>
                <w:szCs w:val="16"/>
                <w:lang w:bidi="ar-SA"/>
              </w:rPr>
            </w:pPr>
            <w:r w:rsidRPr="00483F99">
              <w:rPr>
                <w:rFonts w:eastAsia="Times New Roman" w:cs="Times New Roman"/>
                <w:color w:val="000000"/>
                <w:sz w:val="16"/>
                <w:szCs w:val="16"/>
                <w:lang w:bidi="ar-SA"/>
              </w:rPr>
              <w:t>0.1</w:t>
            </w:r>
          </w:p>
        </w:tc>
        <w:tc>
          <w:tcPr>
            <w:tcW w:w="1360" w:type="dxa"/>
            <w:tcBorders>
              <w:top w:val="nil"/>
              <w:left w:val="nil"/>
              <w:bottom w:val="nil"/>
              <w:right w:val="single" w:sz="4" w:space="0" w:color="auto"/>
            </w:tcBorders>
            <w:shd w:val="clear" w:color="auto" w:fill="auto"/>
            <w:noWrap/>
            <w:vAlign w:val="bottom"/>
            <w:hideMark/>
          </w:tcPr>
          <w:p w:rsidR="00483F99" w:rsidRPr="00483F99" w:rsidRDefault="00483F99" w:rsidP="00483F99">
            <w:pPr>
              <w:spacing w:after="0" w:line="240" w:lineRule="auto"/>
              <w:jc w:val="right"/>
              <w:rPr>
                <w:rFonts w:eastAsia="Times New Roman" w:cs="Times New Roman"/>
                <w:color w:val="000000"/>
                <w:sz w:val="16"/>
                <w:szCs w:val="16"/>
                <w:lang w:bidi="ar-SA"/>
              </w:rPr>
            </w:pPr>
            <w:r w:rsidRPr="00483F99">
              <w:rPr>
                <w:rFonts w:eastAsia="Times New Roman" w:cs="Times New Roman"/>
                <w:color w:val="000000"/>
                <w:sz w:val="16"/>
                <w:szCs w:val="16"/>
                <w:lang w:bidi="ar-SA"/>
              </w:rPr>
              <w:t>228.18</w:t>
            </w:r>
          </w:p>
        </w:tc>
        <w:tc>
          <w:tcPr>
            <w:tcW w:w="122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39" w:type="dxa"/>
            <w:gridSpan w:val="5"/>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4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r>
      <w:tr w:rsidR="00483F99" w:rsidRPr="00483F99" w:rsidTr="0052408E">
        <w:trPr>
          <w:trHeight w:val="300"/>
        </w:trPr>
        <w:tc>
          <w:tcPr>
            <w:tcW w:w="4600" w:type="dxa"/>
            <w:tcBorders>
              <w:top w:val="nil"/>
              <w:left w:val="single" w:sz="4" w:space="0" w:color="auto"/>
              <w:bottom w:val="single" w:sz="4" w:space="0" w:color="auto"/>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r w:rsidRPr="00483F99">
              <w:rPr>
                <w:rFonts w:eastAsia="Times New Roman" w:cs="Times New Roman"/>
                <w:color w:val="000000"/>
                <w:sz w:val="16"/>
                <w:szCs w:val="16"/>
                <w:lang w:bidi="ar-SA"/>
              </w:rPr>
              <w:t>Change in Welfare</w:t>
            </w:r>
          </w:p>
        </w:tc>
        <w:tc>
          <w:tcPr>
            <w:tcW w:w="2731" w:type="dxa"/>
            <w:tcBorders>
              <w:top w:val="nil"/>
              <w:left w:val="nil"/>
              <w:bottom w:val="single" w:sz="4" w:space="0" w:color="auto"/>
              <w:right w:val="nil"/>
            </w:tcBorders>
            <w:shd w:val="clear" w:color="auto" w:fill="auto"/>
            <w:noWrap/>
            <w:vAlign w:val="bottom"/>
            <w:hideMark/>
          </w:tcPr>
          <w:p w:rsidR="00483F99" w:rsidRPr="00483F99" w:rsidRDefault="00483F99" w:rsidP="00483F99">
            <w:pPr>
              <w:spacing w:after="0" w:line="240" w:lineRule="auto"/>
              <w:jc w:val="right"/>
              <w:rPr>
                <w:rFonts w:eastAsia="Times New Roman" w:cs="Times New Roman"/>
                <w:color w:val="000000"/>
                <w:sz w:val="16"/>
                <w:szCs w:val="16"/>
                <w:lang w:bidi="ar-SA"/>
              </w:rPr>
            </w:pPr>
            <w:r w:rsidRPr="00483F99">
              <w:rPr>
                <w:rFonts w:eastAsia="Times New Roman" w:cs="Times New Roman"/>
                <w:color w:val="000000"/>
                <w:sz w:val="16"/>
                <w:szCs w:val="16"/>
                <w:lang w:bidi="ar-SA"/>
              </w:rPr>
              <w:t>0.05</w:t>
            </w:r>
          </w:p>
        </w:tc>
        <w:tc>
          <w:tcPr>
            <w:tcW w:w="1360" w:type="dxa"/>
            <w:tcBorders>
              <w:top w:val="nil"/>
              <w:left w:val="nil"/>
              <w:bottom w:val="single" w:sz="4" w:space="0" w:color="auto"/>
              <w:right w:val="single" w:sz="4" w:space="0" w:color="auto"/>
            </w:tcBorders>
            <w:shd w:val="clear" w:color="auto" w:fill="auto"/>
            <w:noWrap/>
            <w:vAlign w:val="bottom"/>
            <w:hideMark/>
          </w:tcPr>
          <w:p w:rsidR="00483F99" w:rsidRPr="00483F99" w:rsidRDefault="00483F99" w:rsidP="00483F99">
            <w:pPr>
              <w:spacing w:after="0" w:line="240" w:lineRule="auto"/>
              <w:jc w:val="right"/>
              <w:rPr>
                <w:rFonts w:eastAsia="Times New Roman" w:cs="Times New Roman"/>
                <w:color w:val="000000"/>
                <w:sz w:val="16"/>
                <w:szCs w:val="16"/>
                <w:lang w:bidi="ar-SA"/>
              </w:rPr>
            </w:pPr>
            <w:r w:rsidRPr="00483F99">
              <w:rPr>
                <w:rFonts w:eastAsia="Times New Roman" w:cs="Times New Roman"/>
                <w:color w:val="000000"/>
                <w:sz w:val="16"/>
                <w:szCs w:val="16"/>
                <w:lang w:bidi="ar-SA"/>
              </w:rPr>
              <w:t>113.91</w:t>
            </w:r>
          </w:p>
        </w:tc>
        <w:tc>
          <w:tcPr>
            <w:tcW w:w="122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39" w:type="dxa"/>
            <w:gridSpan w:val="5"/>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6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eastAsia="Times New Roman" w:cs="Times New Roman"/>
                <w:color w:val="000000"/>
                <w:sz w:val="16"/>
                <w:szCs w:val="16"/>
                <w:lang w:bidi="ar-SA"/>
              </w:rPr>
            </w:pPr>
          </w:p>
        </w:tc>
        <w:tc>
          <w:tcPr>
            <w:tcW w:w="1460" w:type="dxa"/>
            <w:gridSpan w:val="4"/>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gridSpan w:val="3"/>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c>
          <w:tcPr>
            <w:tcW w:w="960" w:type="dxa"/>
            <w:tcBorders>
              <w:top w:val="nil"/>
              <w:left w:val="nil"/>
              <w:bottom w:val="nil"/>
              <w:right w:val="nil"/>
            </w:tcBorders>
            <w:shd w:val="clear" w:color="auto" w:fill="auto"/>
            <w:noWrap/>
            <w:vAlign w:val="bottom"/>
            <w:hideMark/>
          </w:tcPr>
          <w:p w:rsidR="00483F99" w:rsidRPr="00483F99" w:rsidRDefault="00483F99" w:rsidP="00483F99">
            <w:pPr>
              <w:spacing w:after="0" w:line="240" w:lineRule="auto"/>
              <w:jc w:val="left"/>
              <w:rPr>
                <w:rFonts w:ascii="Calibri" w:eastAsia="Times New Roman" w:hAnsi="Calibri" w:cs="Times New Roman"/>
                <w:color w:val="000000"/>
                <w:sz w:val="22"/>
                <w:szCs w:val="22"/>
                <w:lang w:bidi="ar-SA"/>
              </w:rPr>
            </w:pPr>
          </w:p>
        </w:tc>
      </w:tr>
    </w:tbl>
    <w:p w:rsidR="004E4D00" w:rsidRDefault="004E4D00"/>
    <w:p w:rsidR="004E4D00" w:rsidRDefault="004E4D00"/>
    <w:p w:rsidR="004E4D00" w:rsidRDefault="007129F0">
      <w:r w:rsidRPr="007129F0">
        <w:rPr>
          <w:noProof/>
          <w:lang w:bidi="ar-SA"/>
        </w:rPr>
        <w:lastRenderedPageBreak/>
        <w:drawing>
          <wp:inline distT="0" distB="0" distL="0" distR="0" wp14:anchorId="35286A5E" wp14:editId="6A857821">
            <wp:extent cx="8229600" cy="2168591"/>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29600" cy="2168591"/>
                    </a:xfrm>
                    <a:prstGeom prst="rect">
                      <a:avLst/>
                    </a:prstGeom>
                    <a:noFill/>
                    <a:ln>
                      <a:noFill/>
                    </a:ln>
                  </pic:spPr>
                </pic:pic>
              </a:graphicData>
            </a:graphic>
          </wp:inline>
        </w:drawing>
      </w:r>
    </w:p>
    <w:p w:rsidR="004E4D00" w:rsidRDefault="004E4D00"/>
    <w:p w:rsidR="004E4D00" w:rsidRDefault="004E4D00">
      <w:pPr>
        <w:sectPr w:rsidR="004E4D00" w:rsidSect="004E4D00">
          <w:pgSz w:w="15840" w:h="12240" w:orient="landscape"/>
          <w:pgMar w:top="1440" w:right="1440" w:bottom="1440" w:left="1440" w:header="720" w:footer="720" w:gutter="0"/>
          <w:cols w:space="720"/>
          <w:docGrid w:linePitch="360"/>
        </w:sectPr>
      </w:pPr>
    </w:p>
    <w:p w:rsidR="00D80E58" w:rsidRDefault="00D80E58" w:rsidP="00D80E58">
      <w:pPr>
        <w:pStyle w:val="Heading4"/>
        <w:numPr>
          <w:ilvl w:val="0"/>
          <w:numId w:val="16"/>
        </w:numPr>
      </w:pPr>
      <w:r>
        <w:lastRenderedPageBreak/>
        <w:t>simplification of tax administration</w:t>
      </w:r>
    </w:p>
    <w:p w:rsidR="00297D49" w:rsidRDefault="00D80E58" w:rsidP="0014538A">
      <w:pPr>
        <w:spacing w:before="120" w:after="120"/>
        <w:ind w:left="720"/>
        <w:rPr>
          <w:rFonts w:eastAsia="Times New Roman" w:cs="Times New Roman"/>
        </w:rPr>
      </w:pPr>
      <w:r w:rsidRPr="0014538A">
        <w:rPr>
          <w:rFonts w:eastAsia="Times New Roman" w:cs="Times New Roman"/>
        </w:rPr>
        <w:t xml:space="preserve">The measures taken by the Ministry of Finance and the Public Service (MoF&amp;PS) regarding tax administration have allowed the GoJ to increase the tax revenue collection in terms of analyzing and tackling tax evaders and by increasing the collection efficiency in terms of providing electronic services to tax payers and increasing the options for paying taxes such as the establishment of third party collection kiosks. </w:t>
      </w:r>
    </w:p>
    <w:p w:rsidR="005B615A" w:rsidRDefault="00D80E58" w:rsidP="0014538A">
      <w:pPr>
        <w:spacing w:before="120" w:after="120"/>
        <w:ind w:left="720"/>
        <w:rPr>
          <w:rFonts w:eastAsia="Times New Roman" w:cs="Times New Roman"/>
        </w:rPr>
      </w:pPr>
      <w:r w:rsidRPr="0014538A">
        <w:rPr>
          <w:rFonts w:eastAsia="Times New Roman" w:cs="Times New Roman"/>
        </w:rPr>
        <w:t>In this area, the benefits are estimated in te</w:t>
      </w:r>
      <w:r w:rsidR="00BC4217">
        <w:rPr>
          <w:rFonts w:eastAsia="Times New Roman" w:cs="Times New Roman"/>
        </w:rPr>
        <w:t>rms of increased tax collection</w:t>
      </w:r>
      <w:r w:rsidRPr="0014538A">
        <w:rPr>
          <w:rFonts w:eastAsia="Times New Roman" w:cs="Times New Roman"/>
        </w:rPr>
        <w:t xml:space="preserve">. </w:t>
      </w:r>
      <w:r w:rsidR="005B615A">
        <w:rPr>
          <w:rFonts w:eastAsia="Times New Roman" w:cs="Times New Roman"/>
        </w:rPr>
        <w:t xml:space="preserve">In this particular case, the analysis corresponds to new taxes that would not have been implemented if the measures had not been </w:t>
      </w:r>
      <w:r w:rsidR="00BC4217">
        <w:rPr>
          <w:rFonts w:eastAsia="Times New Roman" w:cs="Times New Roman"/>
        </w:rPr>
        <w:t xml:space="preserve">taken, although a sensitivity analysis is carried out to incorporate the case that tax collection could have increased due to </w:t>
      </w:r>
      <w:r w:rsidR="00EB0FE2">
        <w:rPr>
          <w:rFonts w:eastAsia="Times New Roman" w:cs="Times New Roman"/>
        </w:rPr>
        <w:t>other variables</w:t>
      </w:r>
      <w:r w:rsidR="00BC4217">
        <w:rPr>
          <w:rFonts w:eastAsia="Times New Roman" w:cs="Times New Roman"/>
        </w:rPr>
        <w:t xml:space="preserve"> such as increased economic activity. (Although since Jamaica has experienced very low to negative rates of GDP, the case is highly improbable).</w:t>
      </w:r>
    </w:p>
    <w:p w:rsidR="00D80E58" w:rsidRPr="0014538A" w:rsidRDefault="00763242" w:rsidP="0014538A">
      <w:pPr>
        <w:spacing w:before="120" w:after="120"/>
        <w:ind w:left="720"/>
        <w:rPr>
          <w:rFonts w:eastAsia="Times New Roman" w:cs="Times New Roman"/>
        </w:rPr>
      </w:pPr>
      <w:r>
        <w:rPr>
          <w:rFonts w:eastAsia="Times New Roman" w:cs="Times New Roman"/>
        </w:rPr>
        <w:t>I</w:t>
      </w:r>
      <w:r w:rsidR="00D5344F" w:rsidRPr="0014538A">
        <w:rPr>
          <w:rFonts w:eastAsia="Times New Roman" w:cs="Times New Roman"/>
        </w:rPr>
        <w:t xml:space="preserve">n the Jamaican case, part of the reduction of the collection costs from improved administration </w:t>
      </w:r>
      <w:r>
        <w:rPr>
          <w:rFonts w:eastAsia="Times New Roman" w:cs="Times New Roman"/>
        </w:rPr>
        <w:t>was</w:t>
      </w:r>
      <w:r w:rsidR="00D5344F" w:rsidRPr="0014538A">
        <w:rPr>
          <w:rFonts w:eastAsia="Times New Roman" w:cs="Times New Roman"/>
        </w:rPr>
        <w:t xml:space="preserve"> </w:t>
      </w:r>
      <w:r w:rsidR="00EB0FE2" w:rsidRPr="0014538A">
        <w:rPr>
          <w:rFonts w:eastAsia="Times New Roman" w:cs="Times New Roman"/>
        </w:rPr>
        <w:t>being</w:t>
      </w:r>
      <w:r w:rsidR="00D5344F" w:rsidRPr="0014538A">
        <w:rPr>
          <w:rFonts w:eastAsia="Times New Roman" w:cs="Times New Roman"/>
        </w:rPr>
        <w:t xml:space="preserve"> </w:t>
      </w:r>
      <w:r w:rsidR="00111453" w:rsidRPr="0014538A">
        <w:rPr>
          <w:rFonts w:eastAsia="Times New Roman" w:cs="Times New Roman"/>
        </w:rPr>
        <w:t xml:space="preserve">reflected in </w:t>
      </w:r>
      <w:r w:rsidR="00D5344F" w:rsidRPr="0014538A">
        <w:rPr>
          <w:rFonts w:eastAsia="Times New Roman" w:cs="Times New Roman"/>
        </w:rPr>
        <w:t>an improved capture rate</w:t>
      </w:r>
      <w:r w:rsidR="00BB01C9">
        <w:rPr>
          <w:rStyle w:val="EndnoteReference"/>
          <w:rFonts w:eastAsia="Times New Roman" w:cs="Times New Roman"/>
        </w:rPr>
        <w:endnoteReference w:id="3"/>
      </w:r>
      <w:r w:rsidR="00BB01C9" w:rsidRPr="0014538A">
        <w:rPr>
          <w:rFonts w:eastAsia="Times New Roman" w:cs="Times New Roman"/>
        </w:rPr>
        <w:t>. However, to capture the expected change in welfare from income and labour market effects as well as improved horizontal equity w</w:t>
      </w:r>
      <w:r w:rsidR="00AC7471" w:rsidRPr="0014538A">
        <w:rPr>
          <w:rFonts w:eastAsia="Times New Roman" w:cs="Times New Roman"/>
        </w:rPr>
        <w:t>ould</w:t>
      </w:r>
      <w:r w:rsidR="00BB01C9" w:rsidRPr="0014538A">
        <w:rPr>
          <w:rFonts w:eastAsia="Times New Roman" w:cs="Times New Roman"/>
        </w:rPr>
        <w:t xml:space="preserve"> require the application of a General Equilibrium model, which in turn may have its own limitations, particularly in te</w:t>
      </w:r>
      <w:r>
        <w:rPr>
          <w:rFonts w:eastAsia="Times New Roman" w:cs="Times New Roman"/>
        </w:rPr>
        <w:t>rms of the availability of data, as discussed in the previous chapter.</w:t>
      </w:r>
    </w:p>
    <w:p w:rsidR="00BB01C9" w:rsidRPr="0014538A" w:rsidRDefault="00BB01C9" w:rsidP="0014538A">
      <w:pPr>
        <w:spacing w:before="120" w:after="120"/>
        <w:ind w:left="720"/>
        <w:rPr>
          <w:rFonts w:eastAsia="Times New Roman" w:cs="Times New Roman"/>
        </w:rPr>
      </w:pPr>
      <w:r w:rsidRPr="0014538A">
        <w:rPr>
          <w:rFonts w:eastAsia="Times New Roman" w:cs="Times New Roman"/>
        </w:rPr>
        <w:t xml:space="preserve">The administrative reforms taken in Jamaica </w:t>
      </w:r>
      <w:r w:rsidR="000D4067" w:rsidRPr="0014538A">
        <w:rPr>
          <w:rFonts w:eastAsia="Times New Roman" w:cs="Times New Roman"/>
        </w:rPr>
        <w:t>broadened the net</w:t>
      </w:r>
      <w:r w:rsidR="00201A26" w:rsidRPr="0014538A">
        <w:rPr>
          <w:rFonts w:eastAsia="Times New Roman" w:cs="Times New Roman"/>
        </w:rPr>
        <w:t>,</w:t>
      </w:r>
      <w:r w:rsidR="000D4067" w:rsidRPr="0014538A">
        <w:rPr>
          <w:rFonts w:eastAsia="Times New Roman" w:cs="Times New Roman"/>
        </w:rPr>
        <w:t xml:space="preserve"> leading to higher capture rates and </w:t>
      </w:r>
      <w:r w:rsidRPr="0014538A">
        <w:rPr>
          <w:rFonts w:eastAsia="Times New Roman" w:cs="Times New Roman"/>
        </w:rPr>
        <w:t>increased revenue collection</w:t>
      </w:r>
      <w:r w:rsidR="000D4067" w:rsidRPr="0014538A">
        <w:rPr>
          <w:rFonts w:eastAsia="Times New Roman" w:cs="Times New Roman"/>
        </w:rPr>
        <w:t>.</w:t>
      </w:r>
      <w:r w:rsidRPr="0014538A">
        <w:rPr>
          <w:rFonts w:eastAsia="Times New Roman" w:cs="Times New Roman"/>
        </w:rPr>
        <w:t xml:space="preserve"> </w:t>
      </w:r>
      <w:r w:rsidR="000D4067" w:rsidRPr="0014538A">
        <w:rPr>
          <w:rFonts w:eastAsia="Times New Roman" w:cs="Times New Roman"/>
        </w:rPr>
        <w:t>B</w:t>
      </w:r>
      <w:r w:rsidRPr="0014538A">
        <w:rPr>
          <w:rFonts w:eastAsia="Times New Roman" w:cs="Times New Roman"/>
        </w:rPr>
        <w:t>enefits are expected to come from a lower fiscal deficit and a greater provision of public goods. In this case, to fully capture the effects of</w:t>
      </w:r>
      <w:r w:rsidR="0056513D" w:rsidRPr="0014538A">
        <w:rPr>
          <w:rFonts w:eastAsia="Times New Roman" w:cs="Times New Roman"/>
        </w:rPr>
        <w:t xml:space="preserve"> the measure, a General Equilibrium model w</w:t>
      </w:r>
      <w:r w:rsidR="000D4067" w:rsidRPr="0014538A">
        <w:rPr>
          <w:rFonts w:eastAsia="Times New Roman" w:cs="Times New Roman"/>
        </w:rPr>
        <w:t xml:space="preserve">ould be needed to </w:t>
      </w:r>
      <w:r w:rsidR="0056513D" w:rsidRPr="0014538A">
        <w:rPr>
          <w:rFonts w:eastAsia="Times New Roman" w:cs="Times New Roman"/>
        </w:rPr>
        <w:t xml:space="preserve">capture the effects on the private sector. </w:t>
      </w:r>
      <w:r w:rsidR="00822FB1">
        <w:rPr>
          <w:rFonts w:eastAsia="Times New Roman" w:cs="Times New Roman"/>
        </w:rPr>
        <w:t>However, the model includes as benefits the information provided from the Ministry of Finance regarding increase in collections as part of the reforms.</w:t>
      </w:r>
    </w:p>
    <w:p w:rsidR="0014538A" w:rsidRPr="00DB0B02" w:rsidRDefault="0056513D" w:rsidP="00763242">
      <w:pPr>
        <w:spacing w:before="120" w:after="120"/>
        <w:ind w:left="720"/>
        <w:rPr>
          <w:rFonts w:eastAsia="Times New Roman" w:cs="Times New Roman"/>
        </w:rPr>
      </w:pPr>
      <w:r w:rsidRPr="0014538A">
        <w:rPr>
          <w:rFonts w:eastAsia="Times New Roman" w:cs="Times New Roman"/>
        </w:rPr>
        <w:t>For simplicity of purposes, the benefits are estimated in the reported increases in revenue collection by the use of the new systems</w:t>
      </w:r>
      <w:r w:rsidR="00111453">
        <w:rPr>
          <w:rStyle w:val="FootnoteReference"/>
          <w:rFonts w:eastAsia="Times New Roman" w:cs="Times New Roman"/>
        </w:rPr>
        <w:footnoteReference w:id="37"/>
      </w:r>
      <w:r w:rsidR="00763242">
        <w:rPr>
          <w:rFonts w:eastAsia="Times New Roman" w:cs="Times New Roman"/>
        </w:rPr>
        <w:t>.</w:t>
      </w:r>
    </w:p>
    <w:p w:rsidR="005B615A" w:rsidRDefault="0056513D" w:rsidP="00DB0B02">
      <w:pPr>
        <w:spacing w:before="120" w:after="120"/>
        <w:ind w:left="720"/>
        <w:rPr>
          <w:rFonts w:eastAsia="Times New Roman" w:cs="Times New Roman"/>
        </w:rPr>
      </w:pPr>
      <w:r w:rsidRPr="00DB0B02">
        <w:rPr>
          <w:rFonts w:eastAsia="Times New Roman" w:cs="Times New Roman"/>
        </w:rPr>
        <w:t xml:space="preserve"> The investment in the required software, hardware and training of public officials are incl</w:t>
      </w:r>
      <w:r w:rsidR="00297D49">
        <w:rPr>
          <w:rFonts w:eastAsia="Times New Roman" w:cs="Times New Roman"/>
        </w:rPr>
        <w:t>uded in the costs of the reform an</w:t>
      </w:r>
      <w:r w:rsidR="005A0574">
        <w:rPr>
          <w:rFonts w:eastAsia="Times New Roman" w:cs="Times New Roman"/>
        </w:rPr>
        <w:t xml:space="preserve">d are estimated in US 2 </w:t>
      </w:r>
      <w:r w:rsidR="008C1DEE">
        <w:rPr>
          <w:rFonts w:eastAsia="Times New Roman" w:cs="Times New Roman"/>
        </w:rPr>
        <w:t>million</w:t>
      </w:r>
      <w:r w:rsidR="005A0574">
        <w:rPr>
          <w:rFonts w:eastAsia="Times New Roman" w:cs="Times New Roman"/>
        </w:rPr>
        <w:t>.</w:t>
      </w:r>
    </w:p>
    <w:p w:rsidR="005A0574" w:rsidRDefault="005A0574" w:rsidP="00DB0B02">
      <w:pPr>
        <w:spacing w:before="120" w:after="120"/>
        <w:ind w:left="720"/>
        <w:rPr>
          <w:rFonts w:eastAsia="Times New Roman" w:cs="Times New Roman"/>
        </w:rPr>
      </w:pPr>
      <w:r>
        <w:rPr>
          <w:rFonts w:eastAsia="Times New Roman" w:cs="Times New Roman"/>
        </w:rPr>
        <w:t>In this case as well, the baseline corresponds to 2008 when the GoJ and the Program agreed on the set of measures to be implemented. In 2010 the measures were implemented and the results measured in terms of increase in collection. Since the reforms were implemented in one year, the increase in collection was reflected the same year on a one year bases. It is assumed that the collection remained stable since the  implementation of the reforms, since additional increases could have corresponded to another set of refor</w:t>
      </w:r>
      <w:r w:rsidR="008C1DEE">
        <w:rPr>
          <w:rFonts w:eastAsia="Times New Roman" w:cs="Times New Roman"/>
        </w:rPr>
        <w:t>ms not included in the program.</w:t>
      </w:r>
    </w:p>
    <w:p w:rsidR="008C1DEE" w:rsidRDefault="008C1DEE" w:rsidP="00DB0B02">
      <w:pPr>
        <w:spacing w:before="120" w:after="120"/>
        <w:ind w:left="720"/>
        <w:rPr>
          <w:rFonts w:eastAsia="Times New Roman" w:cs="Times New Roman"/>
        </w:rPr>
      </w:pPr>
      <w:r>
        <w:rPr>
          <w:rFonts w:eastAsia="Times New Roman" w:cs="Times New Roman"/>
        </w:rPr>
        <w:t>The cost benefit analysis shows that the implementation of the reforms, in terms of new taxes collected, exceed the cost of implementing the measures, with a NPV of US $27.70 Million. Sensitivity analysis in terms that the increase in welfare is not internalized fully also showed positive values (Table 3)</w:t>
      </w:r>
    </w:p>
    <w:p w:rsidR="005B615A" w:rsidRDefault="005B615A">
      <w:pPr>
        <w:rPr>
          <w:rFonts w:eastAsia="Times New Roman" w:cs="Times New Roman"/>
        </w:rPr>
      </w:pPr>
      <w:r>
        <w:rPr>
          <w:rFonts w:eastAsia="Times New Roman" w:cs="Times New Roman"/>
        </w:rPr>
        <w:br w:type="page"/>
      </w:r>
    </w:p>
    <w:p w:rsidR="005B615A" w:rsidRDefault="005B615A" w:rsidP="005B615A">
      <w:pPr>
        <w:spacing w:before="120" w:after="120"/>
        <w:rPr>
          <w:rFonts w:eastAsia="Times New Roman" w:cs="Times New Roman"/>
        </w:rPr>
        <w:sectPr w:rsidR="005B615A" w:rsidSect="004E4D00">
          <w:pgSz w:w="12240" w:h="15840"/>
          <w:pgMar w:top="1440" w:right="1440" w:bottom="1440" w:left="1440" w:header="720" w:footer="720" w:gutter="0"/>
          <w:cols w:space="720"/>
          <w:docGrid w:linePitch="360"/>
        </w:sectPr>
      </w:pPr>
    </w:p>
    <w:p w:rsidR="0056513D" w:rsidRDefault="0056513D" w:rsidP="005B615A">
      <w:pPr>
        <w:spacing w:before="120" w:after="120"/>
        <w:rPr>
          <w:rFonts w:eastAsia="Times New Roman" w:cs="Times New Roman"/>
        </w:rPr>
      </w:pPr>
    </w:p>
    <w:p w:rsidR="005B615A" w:rsidRPr="009074CC" w:rsidRDefault="008C1DEE" w:rsidP="005B615A">
      <w:pPr>
        <w:spacing w:before="120" w:after="120"/>
        <w:rPr>
          <w:rFonts w:eastAsia="Times New Roman" w:cs="Times New Roman"/>
          <w:sz w:val="18"/>
          <w:szCs w:val="18"/>
        </w:rPr>
      </w:pPr>
      <w:r w:rsidRPr="008C1DEE">
        <w:rPr>
          <w:rFonts w:eastAsia="Times New Roman" w:cs="Times New Roman"/>
          <w:b/>
          <w:sz w:val="18"/>
          <w:szCs w:val="18"/>
        </w:rPr>
        <w:t>TABLE 3. COST BENEFIT ANALYSIS OF TAX ADMINISTRATION</w:t>
      </w:r>
      <w:r>
        <w:rPr>
          <w:rFonts w:eastAsia="Times New Roman" w:cs="Times New Roman"/>
          <w:sz w:val="18"/>
          <w:szCs w:val="18"/>
        </w:rPr>
        <w:t>.</w:t>
      </w:r>
    </w:p>
    <w:p w:rsidR="005B615A" w:rsidRPr="009074CC" w:rsidRDefault="005B615A" w:rsidP="005B615A">
      <w:pPr>
        <w:spacing w:before="120" w:after="120"/>
        <w:rPr>
          <w:rFonts w:eastAsia="Times New Roman" w:cs="Times New Roman"/>
          <w:sz w:val="18"/>
          <w:szCs w:val="18"/>
        </w:rPr>
      </w:pPr>
    </w:p>
    <w:tbl>
      <w:tblPr>
        <w:tblW w:w="10505" w:type="dxa"/>
        <w:tblInd w:w="103" w:type="dxa"/>
        <w:tblLook w:val="04A0" w:firstRow="1" w:lastRow="0" w:firstColumn="1" w:lastColumn="0" w:noHBand="0" w:noVBand="1"/>
      </w:tblPr>
      <w:tblGrid>
        <w:gridCol w:w="3695"/>
        <w:gridCol w:w="1440"/>
        <w:gridCol w:w="1440"/>
        <w:gridCol w:w="1620"/>
        <w:gridCol w:w="1350"/>
        <w:gridCol w:w="960"/>
      </w:tblGrid>
      <w:tr w:rsidR="001E2146" w:rsidRPr="001E2146" w:rsidTr="009074CC">
        <w:trPr>
          <w:trHeight w:val="300"/>
        </w:trPr>
        <w:tc>
          <w:tcPr>
            <w:tcW w:w="8195" w:type="dxa"/>
            <w:gridSpan w:val="4"/>
            <w:tcBorders>
              <w:top w:val="single" w:sz="4" w:space="0" w:color="auto"/>
              <w:left w:val="single" w:sz="4" w:space="0" w:color="auto"/>
              <w:bottom w:val="single" w:sz="4" w:space="0" w:color="auto"/>
              <w:right w:val="single" w:sz="4" w:space="0" w:color="000000"/>
            </w:tcBorders>
            <w:shd w:val="clear" w:color="000000" w:fill="DCE6F1"/>
            <w:noWrap/>
            <w:vAlign w:val="bottom"/>
            <w:hideMark/>
          </w:tcPr>
          <w:p w:rsidR="001E2146" w:rsidRPr="001E2146" w:rsidRDefault="001E2146" w:rsidP="001E2146">
            <w:pPr>
              <w:spacing w:after="0" w:line="240" w:lineRule="auto"/>
              <w:jc w:val="left"/>
              <w:rPr>
                <w:rFonts w:eastAsia="Times New Roman" w:cs="Times New Roman"/>
                <w:b/>
                <w:bCs/>
                <w:color w:val="4F81BD"/>
                <w:sz w:val="18"/>
                <w:szCs w:val="18"/>
                <w:lang w:bidi="ar-SA"/>
              </w:rPr>
            </w:pPr>
            <w:r w:rsidRPr="001E2146">
              <w:rPr>
                <w:rFonts w:eastAsia="Times New Roman" w:cs="Times New Roman"/>
                <w:b/>
                <w:bCs/>
                <w:color w:val="4F81BD"/>
                <w:sz w:val="18"/>
                <w:szCs w:val="18"/>
                <w:lang w:bidi="ar-SA"/>
              </w:rPr>
              <w:t>Assumptions related to costs and benefits of tax reforms</w:t>
            </w: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300"/>
        </w:trPr>
        <w:tc>
          <w:tcPr>
            <w:tcW w:w="3695" w:type="dxa"/>
            <w:tcBorders>
              <w:top w:val="nil"/>
              <w:left w:val="single" w:sz="4" w:space="0" w:color="auto"/>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Number of Companies that pay taxes</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50,000 </w:t>
            </w:r>
          </w:p>
        </w:tc>
        <w:tc>
          <w:tcPr>
            <w:tcW w:w="1440" w:type="dxa"/>
            <w:tcBorders>
              <w:top w:val="nil"/>
              <w:left w:val="nil"/>
              <w:bottom w:val="single" w:sz="4" w:space="0" w:color="auto"/>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1620" w:type="dxa"/>
            <w:tcBorders>
              <w:top w:val="nil"/>
              <w:left w:val="nil"/>
              <w:bottom w:val="single" w:sz="4" w:space="0" w:color="auto"/>
              <w:right w:val="single" w:sz="4" w:space="0" w:color="auto"/>
            </w:tcBorders>
            <w:shd w:val="clear" w:color="auto" w:fill="auto"/>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465"/>
        </w:trPr>
        <w:tc>
          <w:tcPr>
            <w:tcW w:w="3695" w:type="dxa"/>
            <w:tcBorders>
              <w:top w:val="nil"/>
              <w:left w:val="single" w:sz="4" w:space="0" w:color="auto"/>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Increase in Revenue for Drop Box</w:t>
            </w:r>
          </w:p>
        </w:tc>
        <w:tc>
          <w:tcPr>
            <w:tcW w:w="1440" w:type="dxa"/>
            <w:tcBorders>
              <w:top w:val="nil"/>
              <w:left w:val="single" w:sz="4" w:space="0" w:color="auto"/>
              <w:bottom w:val="nil"/>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0.45 </w:t>
            </w:r>
          </w:p>
        </w:tc>
        <w:tc>
          <w:tcPr>
            <w:tcW w:w="1440" w:type="dxa"/>
            <w:tcBorders>
              <w:top w:val="nil"/>
              <w:left w:val="nil"/>
              <w:bottom w:val="nil"/>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$J Billion</w:t>
            </w:r>
          </w:p>
        </w:tc>
        <w:tc>
          <w:tcPr>
            <w:tcW w:w="1620" w:type="dxa"/>
            <w:tcBorders>
              <w:top w:val="nil"/>
              <w:left w:val="nil"/>
              <w:bottom w:val="nil"/>
              <w:right w:val="single" w:sz="4" w:space="0" w:color="auto"/>
            </w:tcBorders>
            <w:shd w:val="clear" w:color="auto" w:fill="auto"/>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For the year 2010 based on MoF information</w:t>
            </w: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555"/>
        </w:trPr>
        <w:tc>
          <w:tcPr>
            <w:tcW w:w="3695" w:type="dxa"/>
            <w:tcBorders>
              <w:top w:val="nil"/>
              <w:left w:val="single" w:sz="4" w:space="0" w:color="auto"/>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Increase in Revenue for Forensic Service</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2.54 </w:t>
            </w:r>
          </w:p>
        </w:tc>
        <w:tc>
          <w:tcPr>
            <w:tcW w:w="1440" w:type="dxa"/>
            <w:tcBorders>
              <w:top w:val="nil"/>
              <w:left w:val="nil"/>
              <w:bottom w:val="single" w:sz="4" w:space="0" w:color="auto"/>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$J Billion</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For the year 2010 based on MoF information</w:t>
            </w: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1005"/>
        </w:trPr>
        <w:tc>
          <w:tcPr>
            <w:tcW w:w="3695" w:type="dxa"/>
            <w:tcBorders>
              <w:top w:val="nil"/>
              <w:left w:val="single" w:sz="4" w:space="0" w:color="auto"/>
              <w:bottom w:val="single" w:sz="4" w:space="0" w:color="auto"/>
              <w:right w:val="nil"/>
            </w:tcBorders>
            <w:shd w:val="clear" w:color="auto" w:fill="auto"/>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Cost of Implementation of Measures for Reduction of Distortions in the tax System (amalgamation of labour taxes)</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200.00 </w:t>
            </w:r>
          </w:p>
        </w:tc>
        <w:tc>
          <w:tcPr>
            <w:tcW w:w="1440" w:type="dxa"/>
            <w:tcBorders>
              <w:top w:val="nil"/>
              <w:left w:val="nil"/>
              <w:bottom w:val="single" w:sz="4" w:space="0" w:color="auto"/>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US Dollars</w:t>
            </w:r>
          </w:p>
        </w:tc>
        <w:tc>
          <w:tcPr>
            <w:tcW w:w="1620" w:type="dxa"/>
            <w:tcBorders>
              <w:top w:val="nil"/>
              <w:left w:val="nil"/>
              <w:bottom w:val="single" w:sz="4" w:space="0" w:color="auto"/>
              <w:right w:val="single" w:sz="4" w:space="0" w:color="auto"/>
            </w:tcBorders>
            <w:shd w:val="clear" w:color="auto" w:fill="auto"/>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Corresponds to new software, training of officials.</w:t>
            </w: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975"/>
        </w:trPr>
        <w:tc>
          <w:tcPr>
            <w:tcW w:w="3695" w:type="dxa"/>
            <w:tcBorders>
              <w:top w:val="nil"/>
              <w:left w:val="single" w:sz="4" w:space="0" w:color="auto"/>
              <w:bottom w:val="single" w:sz="4" w:space="0" w:color="auto"/>
              <w:right w:val="nil"/>
            </w:tcBorders>
            <w:shd w:val="clear" w:color="auto" w:fill="auto"/>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Cost of Implementation of Measures for Reduction of Distortions in the tax System</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2,000,000.00 </w:t>
            </w:r>
          </w:p>
        </w:tc>
        <w:tc>
          <w:tcPr>
            <w:tcW w:w="1440" w:type="dxa"/>
            <w:tcBorders>
              <w:top w:val="nil"/>
              <w:left w:val="nil"/>
              <w:bottom w:val="single" w:sz="4" w:space="0" w:color="auto"/>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US Dollars</w:t>
            </w:r>
          </w:p>
        </w:tc>
        <w:tc>
          <w:tcPr>
            <w:tcW w:w="1620" w:type="dxa"/>
            <w:tcBorders>
              <w:top w:val="nil"/>
              <w:left w:val="nil"/>
              <w:bottom w:val="single" w:sz="4" w:space="0" w:color="auto"/>
              <w:right w:val="single" w:sz="4" w:space="0" w:color="auto"/>
            </w:tcBorders>
            <w:shd w:val="clear" w:color="auto" w:fill="auto"/>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Corresponds to new software, training of officials.</w:t>
            </w: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360"/>
        </w:trPr>
        <w:tc>
          <w:tcPr>
            <w:tcW w:w="3695" w:type="dxa"/>
            <w:tcBorders>
              <w:top w:val="nil"/>
              <w:left w:val="single" w:sz="4" w:space="0" w:color="auto"/>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Exchange Rate</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E2146" w:rsidRPr="001E2146" w:rsidRDefault="001E2146" w:rsidP="001E2146">
            <w:pPr>
              <w:spacing w:after="0" w:line="240" w:lineRule="auto"/>
              <w:jc w:val="right"/>
              <w:rPr>
                <w:rFonts w:eastAsia="Times New Roman" w:cs="Times New Roman"/>
                <w:color w:val="000000"/>
                <w:sz w:val="18"/>
                <w:szCs w:val="18"/>
                <w:lang w:bidi="ar-SA"/>
              </w:rPr>
            </w:pPr>
            <w:r w:rsidRPr="001E2146">
              <w:rPr>
                <w:rFonts w:eastAsia="Times New Roman" w:cs="Times New Roman"/>
                <w:color w:val="000000"/>
                <w:sz w:val="18"/>
                <w:szCs w:val="18"/>
                <w:lang w:bidi="ar-SA"/>
              </w:rPr>
              <w:t>85.38</w:t>
            </w:r>
          </w:p>
        </w:tc>
        <w:tc>
          <w:tcPr>
            <w:tcW w:w="1440" w:type="dxa"/>
            <w:tcBorders>
              <w:top w:val="nil"/>
              <w:left w:val="nil"/>
              <w:bottom w:val="single" w:sz="4" w:space="0" w:color="auto"/>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SJ/USD</w:t>
            </w:r>
          </w:p>
        </w:tc>
        <w:tc>
          <w:tcPr>
            <w:tcW w:w="1620" w:type="dxa"/>
            <w:tcBorders>
              <w:top w:val="nil"/>
              <w:left w:val="nil"/>
              <w:bottom w:val="single" w:sz="4" w:space="0" w:color="auto"/>
              <w:right w:val="single" w:sz="4" w:space="0" w:color="auto"/>
            </w:tcBorders>
            <w:shd w:val="clear" w:color="auto" w:fill="auto"/>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as Nov 16/2010</w:t>
            </w: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300"/>
        </w:trPr>
        <w:tc>
          <w:tcPr>
            <w:tcW w:w="3695"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62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300"/>
        </w:trPr>
        <w:tc>
          <w:tcPr>
            <w:tcW w:w="3695"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62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300"/>
        </w:trPr>
        <w:tc>
          <w:tcPr>
            <w:tcW w:w="3695" w:type="dxa"/>
            <w:tcBorders>
              <w:top w:val="single" w:sz="4" w:space="0" w:color="auto"/>
              <w:left w:val="single" w:sz="4" w:space="0" w:color="auto"/>
              <w:bottom w:val="single" w:sz="4" w:space="0" w:color="auto"/>
              <w:right w:val="nil"/>
            </w:tcBorders>
            <w:shd w:val="clear" w:color="000000" w:fill="B7DEE8"/>
            <w:noWrap/>
            <w:vAlign w:val="bottom"/>
            <w:hideMark/>
          </w:tcPr>
          <w:p w:rsidR="001E2146" w:rsidRPr="001E2146" w:rsidRDefault="00EB0FE2"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Sensitive</w:t>
            </w:r>
            <w:r w:rsidR="001E2146" w:rsidRPr="001E2146">
              <w:rPr>
                <w:rFonts w:eastAsia="Times New Roman" w:cs="Times New Roman"/>
                <w:color w:val="000000"/>
                <w:sz w:val="18"/>
                <w:szCs w:val="18"/>
                <w:lang w:bidi="ar-SA"/>
              </w:rPr>
              <w:t xml:space="preserve">  Analysis</w:t>
            </w:r>
          </w:p>
        </w:tc>
        <w:tc>
          <w:tcPr>
            <w:tcW w:w="1440" w:type="dxa"/>
            <w:tcBorders>
              <w:top w:val="single" w:sz="4" w:space="0" w:color="auto"/>
              <w:left w:val="nil"/>
              <w:bottom w:val="single" w:sz="4" w:space="0" w:color="auto"/>
              <w:right w:val="nil"/>
            </w:tcBorders>
            <w:shd w:val="clear" w:color="000000" w:fill="B7DEE8"/>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1440" w:type="dxa"/>
            <w:tcBorders>
              <w:top w:val="single" w:sz="4" w:space="0" w:color="auto"/>
              <w:left w:val="nil"/>
              <w:bottom w:val="single" w:sz="4" w:space="0" w:color="auto"/>
              <w:right w:val="single" w:sz="4" w:space="0" w:color="auto"/>
            </w:tcBorders>
            <w:shd w:val="clear" w:color="000000" w:fill="B7DEE8"/>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NPV</w:t>
            </w:r>
          </w:p>
        </w:tc>
        <w:tc>
          <w:tcPr>
            <w:tcW w:w="162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300"/>
        </w:trPr>
        <w:tc>
          <w:tcPr>
            <w:tcW w:w="3695" w:type="dxa"/>
            <w:tcBorders>
              <w:top w:val="nil"/>
              <w:left w:val="single" w:sz="4" w:space="0" w:color="auto"/>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Increase in collection due to measures</w:t>
            </w: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right"/>
              <w:rPr>
                <w:rFonts w:eastAsia="Times New Roman" w:cs="Times New Roman"/>
                <w:color w:val="000000"/>
                <w:sz w:val="18"/>
                <w:szCs w:val="18"/>
                <w:lang w:bidi="ar-SA"/>
              </w:rPr>
            </w:pPr>
            <w:r w:rsidRPr="001E2146">
              <w:rPr>
                <w:rFonts w:eastAsia="Times New Roman" w:cs="Times New Roman"/>
                <w:color w:val="000000"/>
                <w:sz w:val="18"/>
                <w:szCs w:val="18"/>
                <w:lang w:bidi="ar-SA"/>
              </w:rPr>
              <w:t>1</w:t>
            </w:r>
          </w:p>
        </w:tc>
        <w:tc>
          <w:tcPr>
            <w:tcW w:w="1440" w:type="dxa"/>
            <w:tcBorders>
              <w:top w:val="nil"/>
              <w:left w:val="nil"/>
              <w:bottom w:val="nil"/>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27.20 </w:t>
            </w:r>
          </w:p>
        </w:tc>
        <w:tc>
          <w:tcPr>
            <w:tcW w:w="162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300"/>
        </w:trPr>
        <w:tc>
          <w:tcPr>
            <w:tcW w:w="3695" w:type="dxa"/>
            <w:tcBorders>
              <w:top w:val="nil"/>
              <w:left w:val="single" w:sz="4" w:space="0" w:color="auto"/>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Change in Welfare</w:t>
            </w: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right"/>
              <w:rPr>
                <w:rFonts w:eastAsia="Times New Roman" w:cs="Times New Roman"/>
                <w:color w:val="000000"/>
                <w:sz w:val="18"/>
                <w:szCs w:val="18"/>
                <w:lang w:bidi="ar-SA"/>
              </w:rPr>
            </w:pPr>
            <w:r w:rsidRPr="001E2146">
              <w:rPr>
                <w:rFonts w:eastAsia="Times New Roman" w:cs="Times New Roman"/>
                <w:color w:val="000000"/>
                <w:sz w:val="18"/>
                <w:szCs w:val="18"/>
                <w:lang w:bidi="ar-SA"/>
              </w:rPr>
              <w:t>0.8</w:t>
            </w:r>
          </w:p>
        </w:tc>
        <w:tc>
          <w:tcPr>
            <w:tcW w:w="1440" w:type="dxa"/>
            <w:tcBorders>
              <w:top w:val="nil"/>
              <w:left w:val="nil"/>
              <w:bottom w:val="nil"/>
              <w:right w:val="single" w:sz="4" w:space="0" w:color="auto"/>
            </w:tcBorders>
            <w:shd w:val="clear" w:color="auto" w:fill="auto"/>
            <w:noWrap/>
            <w:vAlign w:val="bottom"/>
            <w:hideMark/>
          </w:tcPr>
          <w:p w:rsidR="001E2146" w:rsidRPr="001E2146" w:rsidRDefault="001E2146" w:rsidP="001E2146">
            <w:pPr>
              <w:spacing w:after="0" w:line="240" w:lineRule="auto"/>
              <w:jc w:val="right"/>
              <w:rPr>
                <w:rFonts w:eastAsia="Times New Roman" w:cs="Times New Roman"/>
                <w:color w:val="000000"/>
                <w:sz w:val="18"/>
                <w:szCs w:val="18"/>
                <w:lang w:bidi="ar-SA"/>
              </w:rPr>
            </w:pPr>
            <w:r w:rsidRPr="001E2146">
              <w:rPr>
                <w:rFonts w:eastAsia="Times New Roman" w:cs="Times New Roman"/>
                <w:color w:val="000000"/>
                <w:sz w:val="18"/>
                <w:szCs w:val="18"/>
                <w:lang w:bidi="ar-SA"/>
              </w:rPr>
              <w:t>23.23</w:t>
            </w:r>
          </w:p>
        </w:tc>
        <w:tc>
          <w:tcPr>
            <w:tcW w:w="162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300"/>
        </w:trPr>
        <w:tc>
          <w:tcPr>
            <w:tcW w:w="3695" w:type="dxa"/>
            <w:tcBorders>
              <w:top w:val="nil"/>
              <w:left w:val="single" w:sz="4" w:space="0" w:color="auto"/>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Change in Welfare</w:t>
            </w:r>
          </w:p>
        </w:tc>
        <w:tc>
          <w:tcPr>
            <w:tcW w:w="1440" w:type="dxa"/>
            <w:tcBorders>
              <w:top w:val="nil"/>
              <w:left w:val="nil"/>
              <w:bottom w:val="single" w:sz="4" w:space="0" w:color="auto"/>
              <w:right w:val="nil"/>
            </w:tcBorders>
            <w:shd w:val="clear" w:color="auto" w:fill="auto"/>
            <w:noWrap/>
            <w:vAlign w:val="bottom"/>
            <w:hideMark/>
          </w:tcPr>
          <w:p w:rsidR="001E2146" w:rsidRPr="001E2146" w:rsidRDefault="001E2146" w:rsidP="001E2146">
            <w:pPr>
              <w:spacing w:after="0" w:line="240" w:lineRule="auto"/>
              <w:jc w:val="right"/>
              <w:rPr>
                <w:rFonts w:eastAsia="Times New Roman" w:cs="Times New Roman"/>
                <w:color w:val="000000"/>
                <w:sz w:val="18"/>
                <w:szCs w:val="18"/>
                <w:lang w:bidi="ar-SA"/>
              </w:rPr>
            </w:pPr>
            <w:r w:rsidRPr="001E2146">
              <w:rPr>
                <w:rFonts w:eastAsia="Times New Roman" w:cs="Times New Roman"/>
                <w:color w:val="000000"/>
                <w:sz w:val="18"/>
                <w:szCs w:val="18"/>
                <w:lang w:bidi="ar-SA"/>
              </w:rPr>
              <w:t>0.75</w:t>
            </w:r>
          </w:p>
        </w:tc>
        <w:tc>
          <w:tcPr>
            <w:tcW w:w="1440" w:type="dxa"/>
            <w:tcBorders>
              <w:top w:val="nil"/>
              <w:left w:val="nil"/>
              <w:bottom w:val="single" w:sz="4" w:space="0" w:color="auto"/>
              <w:right w:val="single" w:sz="4" w:space="0" w:color="auto"/>
            </w:tcBorders>
            <w:shd w:val="clear" w:color="auto" w:fill="auto"/>
            <w:noWrap/>
            <w:vAlign w:val="bottom"/>
            <w:hideMark/>
          </w:tcPr>
          <w:p w:rsidR="001E2146" w:rsidRPr="001E2146" w:rsidRDefault="001E2146" w:rsidP="001E2146">
            <w:pPr>
              <w:spacing w:after="0" w:line="240" w:lineRule="auto"/>
              <w:jc w:val="right"/>
              <w:rPr>
                <w:rFonts w:eastAsia="Times New Roman" w:cs="Times New Roman"/>
                <w:color w:val="000000"/>
                <w:sz w:val="18"/>
                <w:szCs w:val="18"/>
                <w:lang w:bidi="ar-SA"/>
              </w:rPr>
            </w:pPr>
            <w:r w:rsidRPr="001E2146">
              <w:rPr>
                <w:rFonts w:eastAsia="Times New Roman" w:cs="Times New Roman"/>
                <w:color w:val="000000"/>
                <w:sz w:val="18"/>
                <w:szCs w:val="18"/>
                <w:lang w:bidi="ar-SA"/>
              </w:rPr>
              <w:t>21.67</w:t>
            </w:r>
          </w:p>
        </w:tc>
        <w:tc>
          <w:tcPr>
            <w:tcW w:w="162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300"/>
        </w:trPr>
        <w:tc>
          <w:tcPr>
            <w:tcW w:w="3695"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62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300"/>
        </w:trPr>
        <w:tc>
          <w:tcPr>
            <w:tcW w:w="3695"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b/>
                <w:bCs/>
                <w:color w:val="000000"/>
                <w:sz w:val="18"/>
                <w:szCs w:val="18"/>
                <w:lang w:bidi="ar-SA"/>
              </w:rPr>
            </w:pPr>
            <w:r w:rsidRPr="001E2146">
              <w:rPr>
                <w:rFonts w:eastAsia="Times New Roman" w:cs="Times New Roman"/>
                <w:b/>
                <w:bCs/>
                <w:color w:val="000000"/>
                <w:sz w:val="18"/>
                <w:szCs w:val="18"/>
                <w:lang w:bidi="ar-SA"/>
              </w:rPr>
              <w:t>Cost Benefit Analysis</w:t>
            </w: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62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300"/>
        </w:trPr>
        <w:tc>
          <w:tcPr>
            <w:tcW w:w="3695"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62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9074CC" w:rsidRPr="001E2146" w:rsidTr="009074CC">
        <w:trPr>
          <w:trHeight w:val="300"/>
        </w:trPr>
        <w:tc>
          <w:tcPr>
            <w:tcW w:w="3695"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US MILLIONS</w:t>
            </w:r>
          </w:p>
        </w:tc>
        <w:tc>
          <w:tcPr>
            <w:tcW w:w="1440" w:type="dxa"/>
            <w:tcBorders>
              <w:top w:val="single" w:sz="4" w:space="0" w:color="auto"/>
              <w:left w:val="single" w:sz="4" w:space="0" w:color="auto"/>
              <w:bottom w:val="nil"/>
              <w:right w:val="nil"/>
            </w:tcBorders>
            <w:shd w:val="clear" w:color="000000" w:fill="B7DEE8"/>
            <w:noWrap/>
            <w:vAlign w:val="bottom"/>
            <w:hideMark/>
          </w:tcPr>
          <w:p w:rsidR="001E2146" w:rsidRPr="001E2146" w:rsidRDefault="001E2146" w:rsidP="001E2146">
            <w:pPr>
              <w:spacing w:after="0" w:line="240" w:lineRule="auto"/>
              <w:jc w:val="right"/>
              <w:rPr>
                <w:rFonts w:eastAsia="Times New Roman" w:cs="Times New Roman"/>
                <w:b/>
                <w:bCs/>
                <w:color w:val="4F81BD"/>
                <w:sz w:val="18"/>
                <w:szCs w:val="18"/>
                <w:lang w:bidi="ar-SA"/>
              </w:rPr>
            </w:pPr>
            <w:r w:rsidRPr="001E2146">
              <w:rPr>
                <w:rFonts w:eastAsia="Times New Roman" w:cs="Times New Roman"/>
                <w:b/>
                <w:bCs/>
                <w:color w:val="4F81BD"/>
                <w:sz w:val="18"/>
                <w:szCs w:val="18"/>
                <w:lang w:bidi="ar-SA"/>
              </w:rPr>
              <w:t>2008</w:t>
            </w:r>
          </w:p>
        </w:tc>
        <w:tc>
          <w:tcPr>
            <w:tcW w:w="1440" w:type="dxa"/>
            <w:tcBorders>
              <w:top w:val="single" w:sz="4" w:space="0" w:color="auto"/>
              <w:left w:val="nil"/>
              <w:bottom w:val="nil"/>
              <w:right w:val="nil"/>
            </w:tcBorders>
            <w:shd w:val="clear" w:color="000000" w:fill="B7DEE8"/>
            <w:noWrap/>
            <w:vAlign w:val="bottom"/>
            <w:hideMark/>
          </w:tcPr>
          <w:p w:rsidR="001E2146" w:rsidRPr="001E2146" w:rsidRDefault="001E2146" w:rsidP="001E2146">
            <w:pPr>
              <w:spacing w:after="0" w:line="240" w:lineRule="auto"/>
              <w:jc w:val="right"/>
              <w:rPr>
                <w:rFonts w:eastAsia="Times New Roman" w:cs="Times New Roman"/>
                <w:b/>
                <w:bCs/>
                <w:color w:val="4F81BD"/>
                <w:sz w:val="18"/>
                <w:szCs w:val="18"/>
                <w:lang w:bidi="ar-SA"/>
              </w:rPr>
            </w:pPr>
            <w:r w:rsidRPr="001E2146">
              <w:rPr>
                <w:rFonts w:eastAsia="Times New Roman" w:cs="Times New Roman"/>
                <w:b/>
                <w:bCs/>
                <w:color w:val="4F81BD"/>
                <w:sz w:val="18"/>
                <w:szCs w:val="18"/>
                <w:lang w:bidi="ar-SA"/>
              </w:rPr>
              <w:t>2009</w:t>
            </w:r>
          </w:p>
        </w:tc>
        <w:tc>
          <w:tcPr>
            <w:tcW w:w="1620" w:type="dxa"/>
            <w:tcBorders>
              <w:top w:val="single" w:sz="4" w:space="0" w:color="auto"/>
              <w:left w:val="nil"/>
              <w:bottom w:val="nil"/>
              <w:right w:val="nil"/>
            </w:tcBorders>
            <w:shd w:val="clear" w:color="000000" w:fill="B7DEE8"/>
            <w:noWrap/>
            <w:vAlign w:val="bottom"/>
            <w:hideMark/>
          </w:tcPr>
          <w:p w:rsidR="001E2146" w:rsidRPr="001E2146" w:rsidRDefault="001E2146" w:rsidP="009074CC">
            <w:pPr>
              <w:spacing w:after="0" w:line="240" w:lineRule="auto"/>
              <w:jc w:val="left"/>
              <w:rPr>
                <w:rFonts w:eastAsia="Times New Roman" w:cs="Times New Roman"/>
                <w:b/>
                <w:bCs/>
                <w:color w:val="4F81BD"/>
                <w:sz w:val="18"/>
                <w:szCs w:val="18"/>
                <w:lang w:bidi="ar-SA"/>
              </w:rPr>
            </w:pPr>
            <w:r w:rsidRPr="001E2146">
              <w:rPr>
                <w:rFonts w:eastAsia="Times New Roman" w:cs="Times New Roman"/>
                <w:b/>
                <w:bCs/>
                <w:color w:val="4F81BD"/>
                <w:sz w:val="18"/>
                <w:szCs w:val="18"/>
                <w:lang w:bidi="ar-SA"/>
              </w:rPr>
              <w:t xml:space="preserve">                        </w:t>
            </w:r>
            <w:r w:rsidR="009074CC">
              <w:rPr>
                <w:rFonts w:eastAsia="Times New Roman" w:cs="Times New Roman"/>
                <w:b/>
                <w:bCs/>
                <w:color w:val="4F81BD"/>
                <w:sz w:val="18"/>
                <w:szCs w:val="18"/>
                <w:lang w:bidi="ar-SA"/>
              </w:rPr>
              <w:t>2010</w:t>
            </w:r>
            <w:r w:rsidRPr="001E2146">
              <w:rPr>
                <w:rFonts w:eastAsia="Times New Roman" w:cs="Times New Roman"/>
                <w:b/>
                <w:bCs/>
                <w:color w:val="4F81BD"/>
                <w:sz w:val="18"/>
                <w:szCs w:val="18"/>
                <w:lang w:bidi="ar-SA"/>
              </w:rPr>
              <w:t xml:space="preserve"> </w:t>
            </w:r>
          </w:p>
        </w:tc>
        <w:tc>
          <w:tcPr>
            <w:tcW w:w="1350" w:type="dxa"/>
            <w:tcBorders>
              <w:top w:val="single" w:sz="4" w:space="0" w:color="auto"/>
              <w:left w:val="nil"/>
              <w:bottom w:val="nil"/>
              <w:right w:val="nil"/>
            </w:tcBorders>
            <w:shd w:val="clear" w:color="000000" w:fill="B7DEE8"/>
            <w:noWrap/>
            <w:vAlign w:val="bottom"/>
            <w:hideMark/>
          </w:tcPr>
          <w:p w:rsidR="001E2146" w:rsidRPr="001E2146" w:rsidRDefault="001E2146" w:rsidP="001E2146">
            <w:pPr>
              <w:spacing w:after="0" w:line="240" w:lineRule="auto"/>
              <w:jc w:val="right"/>
              <w:rPr>
                <w:rFonts w:eastAsia="Times New Roman" w:cs="Times New Roman"/>
                <w:b/>
                <w:bCs/>
                <w:color w:val="4F81BD"/>
                <w:sz w:val="18"/>
                <w:szCs w:val="18"/>
                <w:lang w:bidi="ar-SA"/>
              </w:rPr>
            </w:pPr>
            <w:r w:rsidRPr="001E2146">
              <w:rPr>
                <w:rFonts w:eastAsia="Times New Roman" w:cs="Times New Roman"/>
                <w:b/>
                <w:bCs/>
                <w:color w:val="4F81BD"/>
                <w:sz w:val="18"/>
                <w:szCs w:val="18"/>
                <w:lang w:bidi="ar-SA"/>
              </w:rPr>
              <w:t>2011</w:t>
            </w:r>
          </w:p>
        </w:tc>
        <w:tc>
          <w:tcPr>
            <w:tcW w:w="960" w:type="dxa"/>
            <w:tcBorders>
              <w:top w:val="single" w:sz="4" w:space="0" w:color="auto"/>
              <w:left w:val="nil"/>
              <w:bottom w:val="nil"/>
              <w:right w:val="single" w:sz="4" w:space="0" w:color="auto"/>
            </w:tcBorders>
            <w:shd w:val="clear" w:color="000000" w:fill="B7DEE8"/>
            <w:noWrap/>
            <w:vAlign w:val="bottom"/>
            <w:hideMark/>
          </w:tcPr>
          <w:p w:rsidR="001E2146" w:rsidRPr="001E2146" w:rsidRDefault="001E2146" w:rsidP="001E2146">
            <w:pPr>
              <w:spacing w:after="0" w:line="240" w:lineRule="auto"/>
              <w:jc w:val="right"/>
              <w:rPr>
                <w:rFonts w:eastAsia="Times New Roman" w:cs="Times New Roman"/>
                <w:b/>
                <w:bCs/>
                <w:color w:val="4F81BD"/>
                <w:sz w:val="18"/>
                <w:szCs w:val="18"/>
                <w:lang w:bidi="ar-SA"/>
              </w:rPr>
            </w:pPr>
            <w:r w:rsidRPr="001E2146">
              <w:rPr>
                <w:rFonts w:eastAsia="Times New Roman" w:cs="Times New Roman"/>
                <w:b/>
                <w:bCs/>
                <w:color w:val="4F81BD"/>
                <w:sz w:val="18"/>
                <w:szCs w:val="18"/>
                <w:lang w:bidi="ar-SA"/>
              </w:rPr>
              <w:t>2012</w:t>
            </w:r>
          </w:p>
        </w:tc>
      </w:tr>
      <w:tr w:rsidR="001E2146" w:rsidRPr="001E2146" w:rsidTr="009074CC">
        <w:trPr>
          <w:trHeight w:val="300"/>
        </w:trPr>
        <w:tc>
          <w:tcPr>
            <w:tcW w:w="3695" w:type="dxa"/>
            <w:tcBorders>
              <w:top w:val="single" w:sz="4" w:space="0" w:color="auto"/>
              <w:left w:val="single" w:sz="4" w:space="0" w:color="auto"/>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Increase in Revenue Collection</w:t>
            </w:r>
          </w:p>
        </w:tc>
        <w:tc>
          <w:tcPr>
            <w:tcW w:w="1440" w:type="dxa"/>
            <w:tcBorders>
              <w:top w:val="single" w:sz="4" w:space="0" w:color="auto"/>
              <w:left w:val="single" w:sz="4" w:space="0" w:color="auto"/>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1440" w:type="dxa"/>
            <w:tcBorders>
              <w:top w:val="single" w:sz="4" w:space="0" w:color="auto"/>
              <w:left w:val="nil"/>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1620" w:type="dxa"/>
            <w:tcBorders>
              <w:top w:val="single" w:sz="4" w:space="0" w:color="auto"/>
              <w:left w:val="nil"/>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35.02 </w:t>
            </w:r>
          </w:p>
        </w:tc>
        <w:tc>
          <w:tcPr>
            <w:tcW w:w="1350" w:type="dxa"/>
            <w:tcBorders>
              <w:top w:val="single" w:sz="4" w:space="0" w:color="auto"/>
              <w:left w:val="nil"/>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   </w:t>
            </w:r>
          </w:p>
        </w:tc>
      </w:tr>
      <w:tr w:rsidR="001E2146" w:rsidRPr="001E2146" w:rsidTr="009074CC">
        <w:trPr>
          <w:trHeight w:val="300"/>
        </w:trPr>
        <w:tc>
          <w:tcPr>
            <w:tcW w:w="3695" w:type="dxa"/>
            <w:tcBorders>
              <w:top w:val="nil"/>
              <w:left w:val="single" w:sz="4" w:space="0" w:color="auto"/>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-Increase in Revenue in Drop Box</w:t>
            </w:r>
          </w:p>
        </w:tc>
        <w:tc>
          <w:tcPr>
            <w:tcW w:w="1440" w:type="dxa"/>
            <w:tcBorders>
              <w:top w:val="nil"/>
              <w:left w:val="single" w:sz="4" w:space="0" w:color="auto"/>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62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5.27 </w:t>
            </w: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   </w:t>
            </w:r>
          </w:p>
        </w:tc>
        <w:tc>
          <w:tcPr>
            <w:tcW w:w="960" w:type="dxa"/>
            <w:tcBorders>
              <w:top w:val="nil"/>
              <w:left w:val="nil"/>
              <w:bottom w:val="nil"/>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   </w:t>
            </w:r>
          </w:p>
        </w:tc>
      </w:tr>
      <w:tr w:rsidR="001E2146" w:rsidRPr="001E2146" w:rsidTr="009074CC">
        <w:trPr>
          <w:trHeight w:val="300"/>
        </w:trPr>
        <w:tc>
          <w:tcPr>
            <w:tcW w:w="3695" w:type="dxa"/>
            <w:tcBorders>
              <w:top w:val="nil"/>
              <w:left w:val="single" w:sz="4" w:space="0" w:color="auto"/>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 Increase in Revenue in Forensic Service</w:t>
            </w:r>
          </w:p>
        </w:tc>
        <w:tc>
          <w:tcPr>
            <w:tcW w:w="1440" w:type="dxa"/>
            <w:tcBorders>
              <w:top w:val="nil"/>
              <w:left w:val="single" w:sz="4" w:space="0" w:color="auto"/>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62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29.75 </w:t>
            </w: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   </w:t>
            </w:r>
          </w:p>
        </w:tc>
        <w:tc>
          <w:tcPr>
            <w:tcW w:w="960" w:type="dxa"/>
            <w:tcBorders>
              <w:top w:val="nil"/>
              <w:left w:val="nil"/>
              <w:bottom w:val="nil"/>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   </w:t>
            </w:r>
          </w:p>
        </w:tc>
      </w:tr>
      <w:tr w:rsidR="001E2146" w:rsidRPr="001E2146" w:rsidTr="009074CC">
        <w:trPr>
          <w:trHeight w:val="300"/>
        </w:trPr>
        <w:tc>
          <w:tcPr>
            <w:tcW w:w="3695" w:type="dxa"/>
            <w:tcBorders>
              <w:top w:val="nil"/>
              <w:left w:val="single" w:sz="4" w:space="0" w:color="auto"/>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 Cost of Implementation</w:t>
            </w:r>
          </w:p>
        </w:tc>
        <w:tc>
          <w:tcPr>
            <w:tcW w:w="1440" w:type="dxa"/>
            <w:tcBorders>
              <w:top w:val="nil"/>
              <w:left w:val="single" w:sz="4" w:space="0" w:color="auto"/>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1440" w:type="dxa"/>
            <w:tcBorders>
              <w:top w:val="nil"/>
              <w:left w:val="nil"/>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1620" w:type="dxa"/>
            <w:tcBorders>
              <w:top w:val="nil"/>
              <w:left w:val="nil"/>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2.00 </w:t>
            </w:r>
          </w:p>
        </w:tc>
        <w:tc>
          <w:tcPr>
            <w:tcW w:w="1350" w:type="dxa"/>
            <w:tcBorders>
              <w:top w:val="nil"/>
              <w:left w:val="nil"/>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960" w:type="dxa"/>
            <w:tcBorders>
              <w:top w:val="nil"/>
              <w:left w:val="nil"/>
              <w:bottom w:val="single" w:sz="4" w:space="0" w:color="auto"/>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r>
      <w:tr w:rsidR="009074CC" w:rsidRPr="001E2146" w:rsidTr="009074CC">
        <w:trPr>
          <w:trHeight w:val="300"/>
        </w:trPr>
        <w:tc>
          <w:tcPr>
            <w:tcW w:w="3695" w:type="dxa"/>
            <w:tcBorders>
              <w:top w:val="nil"/>
              <w:left w:val="single" w:sz="4" w:space="0" w:color="auto"/>
              <w:bottom w:val="single" w:sz="4" w:space="0" w:color="auto"/>
              <w:right w:val="nil"/>
            </w:tcBorders>
            <w:shd w:val="clear" w:color="000000" w:fill="B7DEE8"/>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TOTAL</w:t>
            </w:r>
          </w:p>
        </w:tc>
        <w:tc>
          <w:tcPr>
            <w:tcW w:w="1440" w:type="dxa"/>
            <w:tcBorders>
              <w:top w:val="nil"/>
              <w:left w:val="single" w:sz="4" w:space="0" w:color="auto"/>
              <w:bottom w:val="single" w:sz="4" w:space="0" w:color="auto"/>
              <w:right w:val="nil"/>
            </w:tcBorders>
            <w:shd w:val="clear" w:color="000000" w:fill="B7DEE8"/>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1440" w:type="dxa"/>
            <w:tcBorders>
              <w:top w:val="nil"/>
              <w:left w:val="single" w:sz="4" w:space="0" w:color="auto"/>
              <w:bottom w:val="single" w:sz="4" w:space="0" w:color="auto"/>
              <w:right w:val="nil"/>
            </w:tcBorders>
            <w:shd w:val="clear" w:color="000000" w:fill="B7DEE8"/>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1620" w:type="dxa"/>
            <w:tcBorders>
              <w:top w:val="nil"/>
              <w:left w:val="single" w:sz="4" w:space="0" w:color="auto"/>
              <w:bottom w:val="single" w:sz="4" w:space="0" w:color="auto"/>
              <w:right w:val="nil"/>
            </w:tcBorders>
            <w:shd w:val="clear" w:color="000000" w:fill="B7DEE8"/>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33.02 </w:t>
            </w:r>
          </w:p>
        </w:tc>
        <w:tc>
          <w:tcPr>
            <w:tcW w:w="1350" w:type="dxa"/>
            <w:tcBorders>
              <w:top w:val="nil"/>
              <w:left w:val="nil"/>
              <w:bottom w:val="single" w:sz="4" w:space="0" w:color="auto"/>
              <w:right w:val="nil"/>
            </w:tcBorders>
            <w:shd w:val="clear" w:color="000000" w:fill="B7DEE8"/>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   </w:t>
            </w:r>
          </w:p>
        </w:tc>
        <w:tc>
          <w:tcPr>
            <w:tcW w:w="960" w:type="dxa"/>
            <w:tcBorders>
              <w:top w:val="nil"/>
              <w:left w:val="nil"/>
              <w:bottom w:val="single" w:sz="4" w:space="0" w:color="auto"/>
              <w:right w:val="single" w:sz="4" w:space="0" w:color="auto"/>
            </w:tcBorders>
            <w:shd w:val="clear" w:color="000000" w:fill="B7DEE8"/>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   </w:t>
            </w:r>
          </w:p>
        </w:tc>
      </w:tr>
      <w:tr w:rsidR="001E2146" w:rsidRPr="001E2146" w:rsidTr="009074CC">
        <w:trPr>
          <w:trHeight w:val="300"/>
        </w:trPr>
        <w:tc>
          <w:tcPr>
            <w:tcW w:w="3695" w:type="dxa"/>
            <w:tcBorders>
              <w:top w:val="nil"/>
              <w:left w:val="single" w:sz="4" w:space="0" w:color="auto"/>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b/>
                <w:bCs/>
                <w:color w:val="1F497D"/>
                <w:sz w:val="18"/>
                <w:szCs w:val="18"/>
                <w:lang w:bidi="ar-SA"/>
              </w:rPr>
            </w:pPr>
            <w:r w:rsidRPr="001E2146">
              <w:rPr>
                <w:rFonts w:eastAsia="Times New Roman" w:cs="Times New Roman"/>
                <w:b/>
                <w:bCs/>
                <w:color w:val="1F497D"/>
                <w:sz w:val="18"/>
                <w:szCs w:val="18"/>
                <w:lang w:bidi="ar-SA"/>
              </w:rPr>
              <w:t>Net Present Value of Benefits</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E2146" w:rsidRPr="001E2146" w:rsidRDefault="001E2146" w:rsidP="001E2146">
            <w:pPr>
              <w:spacing w:after="0" w:line="240" w:lineRule="auto"/>
              <w:jc w:val="right"/>
              <w:rPr>
                <w:rFonts w:eastAsia="Times New Roman" w:cs="Times New Roman"/>
                <w:b/>
                <w:bCs/>
                <w:color w:val="1F497D"/>
                <w:sz w:val="18"/>
                <w:szCs w:val="18"/>
                <w:lang w:bidi="ar-SA"/>
              </w:rPr>
            </w:pPr>
            <w:r w:rsidRPr="001E2146">
              <w:rPr>
                <w:rFonts w:eastAsia="Times New Roman" w:cs="Times New Roman"/>
                <w:b/>
                <w:bCs/>
                <w:color w:val="1F497D"/>
                <w:sz w:val="18"/>
                <w:szCs w:val="18"/>
                <w:lang w:bidi="ar-SA"/>
              </w:rPr>
              <w:t xml:space="preserve">$29.48 </w:t>
            </w: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62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xml:space="preserve"> </w:t>
            </w:r>
          </w:p>
        </w:tc>
      </w:tr>
      <w:tr w:rsidR="001E2146" w:rsidRPr="001E2146" w:rsidTr="009074CC">
        <w:trPr>
          <w:trHeight w:val="300"/>
        </w:trPr>
        <w:tc>
          <w:tcPr>
            <w:tcW w:w="3695"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440" w:type="dxa"/>
            <w:tcBorders>
              <w:top w:val="nil"/>
              <w:left w:val="single" w:sz="4" w:space="0" w:color="auto"/>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62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single" w:sz="4" w:space="0" w:color="auto"/>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r>
      <w:tr w:rsidR="009074CC" w:rsidRPr="001E2146" w:rsidTr="009074CC">
        <w:trPr>
          <w:trHeight w:val="300"/>
        </w:trPr>
        <w:tc>
          <w:tcPr>
            <w:tcW w:w="3695" w:type="dxa"/>
            <w:tcBorders>
              <w:top w:val="single" w:sz="4" w:space="0" w:color="auto"/>
              <w:left w:val="single" w:sz="4" w:space="0" w:color="auto"/>
              <w:bottom w:val="single" w:sz="4" w:space="0" w:color="auto"/>
              <w:right w:val="nil"/>
            </w:tcBorders>
            <w:shd w:val="clear" w:color="000000" w:fill="B7DEE8"/>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1440" w:type="dxa"/>
            <w:tcBorders>
              <w:top w:val="single" w:sz="4" w:space="0" w:color="auto"/>
              <w:left w:val="single" w:sz="4" w:space="0" w:color="auto"/>
              <w:bottom w:val="single" w:sz="4" w:space="0" w:color="auto"/>
              <w:right w:val="nil"/>
            </w:tcBorders>
            <w:shd w:val="clear" w:color="000000" w:fill="B7DEE8"/>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1440" w:type="dxa"/>
            <w:tcBorders>
              <w:top w:val="single" w:sz="4" w:space="0" w:color="auto"/>
              <w:left w:val="nil"/>
              <w:bottom w:val="single" w:sz="4" w:space="0" w:color="auto"/>
              <w:right w:val="nil"/>
            </w:tcBorders>
            <w:shd w:val="clear" w:color="000000" w:fill="B7DEE8"/>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1620" w:type="dxa"/>
            <w:tcBorders>
              <w:top w:val="single" w:sz="4" w:space="0" w:color="auto"/>
              <w:left w:val="nil"/>
              <w:bottom w:val="single" w:sz="4" w:space="0" w:color="auto"/>
              <w:right w:val="nil"/>
            </w:tcBorders>
            <w:shd w:val="clear" w:color="000000" w:fill="B7DEE8"/>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1350" w:type="dxa"/>
            <w:tcBorders>
              <w:top w:val="single" w:sz="4" w:space="0" w:color="auto"/>
              <w:left w:val="nil"/>
              <w:bottom w:val="single" w:sz="4" w:space="0" w:color="auto"/>
              <w:right w:val="nil"/>
            </w:tcBorders>
            <w:shd w:val="clear" w:color="000000" w:fill="B7DEE8"/>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c>
          <w:tcPr>
            <w:tcW w:w="960" w:type="dxa"/>
            <w:tcBorders>
              <w:top w:val="single" w:sz="4" w:space="0" w:color="auto"/>
              <w:left w:val="nil"/>
              <w:bottom w:val="single" w:sz="4" w:space="0" w:color="auto"/>
              <w:right w:val="single" w:sz="4" w:space="0" w:color="auto"/>
            </w:tcBorders>
            <w:shd w:val="clear" w:color="000000" w:fill="B7DEE8"/>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r w:rsidRPr="001E2146">
              <w:rPr>
                <w:rFonts w:eastAsia="Times New Roman" w:cs="Times New Roman"/>
                <w:color w:val="000000"/>
                <w:sz w:val="18"/>
                <w:szCs w:val="18"/>
                <w:lang w:bidi="ar-SA"/>
              </w:rPr>
              <w:t> </w:t>
            </w:r>
          </w:p>
        </w:tc>
      </w:tr>
      <w:tr w:rsidR="001E2146" w:rsidRPr="001E2146" w:rsidTr="009074CC">
        <w:trPr>
          <w:trHeight w:val="300"/>
        </w:trPr>
        <w:tc>
          <w:tcPr>
            <w:tcW w:w="3695" w:type="dxa"/>
            <w:tcBorders>
              <w:top w:val="nil"/>
              <w:left w:val="single" w:sz="4" w:space="0" w:color="auto"/>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b/>
                <w:bCs/>
                <w:color w:val="1F497D"/>
                <w:sz w:val="18"/>
                <w:szCs w:val="18"/>
                <w:lang w:bidi="ar-SA"/>
              </w:rPr>
            </w:pPr>
            <w:r w:rsidRPr="001E2146">
              <w:rPr>
                <w:rFonts w:eastAsia="Times New Roman" w:cs="Times New Roman"/>
                <w:b/>
                <w:bCs/>
                <w:color w:val="1F497D"/>
                <w:sz w:val="18"/>
                <w:szCs w:val="18"/>
                <w:lang w:bidi="ar-SA"/>
              </w:rPr>
              <w:t>NPV of Costs</w:t>
            </w:r>
          </w:p>
        </w:tc>
        <w:tc>
          <w:tcPr>
            <w:tcW w:w="1440" w:type="dxa"/>
            <w:tcBorders>
              <w:top w:val="nil"/>
              <w:left w:val="nil"/>
              <w:bottom w:val="single" w:sz="4" w:space="0" w:color="auto"/>
              <w:right w:val="single" w:sz="4" w:space="0" w:color="auto"/>
            </w:tcBorders>
            <w:shd w:val="clear" w:color="auto" w:fill="auto"/>
            <w:noWrap/>
            <w:vAlign w:val="bottom"/>
            <w:hideMark/>
          </w:tcPr>
          <w:p w:rsidR="001E2146" w:rsidRPr="001E2146" w:rsidRDefault="001E2146" w:rsidP="001E2146">
            <w:pPr>
              <w:spacing w:after="0" w:line="240" w:lineRule="auto"/>
              <w:jc w:val="right"/>
              <w:rPr>
                <w:rFonts w:eastAsia="Times New Roman" w:cs="Times New Roman"/>
                <w:b/>
                <w:bCs/>
                <w:color w:val="1F497D"/>
                <w:sz w:val="18"/>
                <w:szCs w:val="18"/>
                <w:lang w:bidi="ar-SA"/>
              </w:rPr>
            </w:pPr>
            <w:r w:rsidRPr="001E2146">
              <w:rPr>
                <w:rFonts w:eastAsia="Times New Roman" w:cs="Times New Roman"/>
                <w:b/>
                <w:bCs/>
                <w:color w:val="1F497D"/>
                <w:sz w:val="18"/>
                <w:szCs w:val="18"/>
                <w:lang w:bidi="ar-SA"/>
              </w:rPr>
              <w:t xml:space="preserve">$1.79 </w:t>
            </w: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62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300"/>
        </w:trPr>
        <w:tc>
          <w:tcPr>
            <w:tcW w:w="3695"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62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r w:rsidR="001E2146" w:rsidRPr="001E2146" w:rsidTr="009074CC">
        <w:trPr>
          <w:trHeight w:val="300"/>
        </w:trPr>
        <w:tc>
          <w:tcPr>
            <w:tcW w:w="3695" w:type="dxa"/>
            <w:tcBorders>
              <w:top w:val="single" w:sz="4" w:space="0" w:color="auto"/>
              <w:left w:val="single" w:sz="4" w:space="0" w:color="auto"/>
              <w:bottom w:val="single" w:sz="4" w:space="0" w:color="auto"/>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b/>
                <w:bCs/>
                <w:color w:val="1F497D"/>
                <w:sz w:val="18"/>
                <w:szCs w:val="18"/>
                <w:lang w:bidi="ar-SA"/>
              </w:rPr>
            </w:pPr>
            <w:r w:rsidRPr="001E2146">
              <w:rPr>
                <w:rFonts w:eastAsia="Times New Roman" w:cs="Times New Roman"/>
                <w:b/>
                <w:bCs/>
                <w:color w:val="1F497D"/>
                <w:sz w:val="18"/>
                <w:szCs w:val="18"/>
                <w:lang w:bidi="ar-SA"/>
              </w:rPr>
              <w:t>NET PRESENT VALUE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1E2146" w:rsidRPr="001E2146" w:rsidRDefault="001E2146" w:rsidP="001E2146">
            <w:pPr>
              <w:spacing w:after="0" w:line="240" w:lineRule="auto"/>
              <w:jc w:val="right"/>
              <w:rPr>
                <w:rFonts w:eastAsia="Times New Roman" w:cs="Times New Roman"/>
                <w:b/>
                <w:bCs/>
                <w:color w:val="1F497D"/>
                <w:sz w:val="18"/>
                <w:szCs w:val="18"/>
                <w:lang w:bidi="ar-SA"/>
              </w:rPr>
            </w:pPr>
            <w:r w:rsidRPr="001E2146">
              <w:rPr>
                <w:rFonts w:eastAsia="Times New Roman" w:cs="Times New Roman"/>
                <w:b/>
                <w:bCs/>
                <w:color w:val="1F497D"/>
                <w:sz w:val="18"/>
                <w:szCs w:val="18"/>
                <w:lang w:bidi="ar-SA"/>
              </w:rPr>
              <w:t xml:space="preserve">$27.70 </w:t>
            </w:r>
          </w:p>
        </w:tc>
        <w:tc>
          <w:tcPr>
            <w:tcW w:w="144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62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135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c>
          <w:tcPr>
            <w:tcW w:w="960" w:type="dxa"/>
            <w:tcBorders>
              <w:top w:val="nil"/>
              <w:left w:val="nil"/>
              <w:bottom w:val="nil"/>
              <w:right w:val="nil"/>
            </w:tcBorders>
            <w:shd w:val="clear" w:color="auto" w:fill="auto"/>
            <w:noWrap/>
            <w:vAlign w:val="bottom"/>
            <w:hideMark/>
          </w:tcPr>
          <w:p w:rsidR="001E2146" w:rsidRPr="001E2146" w:rsidRDefault="001E2146" w:rsidP="001E2146">
            <w:pPr>
              <w:spacing w:after="0" w:line="240" w:lineRule="auto"/>
              <w:jc w:val="left"/>
              <w:rPr>
                <w:rFonts w:eastAsia="Times New Roman" w:cs="Times New Roman"/>
                <w:color w:val="000000"/>
                <w:sz w:val="18"/>
                <w:szCs w:val="18"/>
                <w:lang w:bidi="ar-SA"/>
              </w:rPr>
            </w:pPr>
          </w:p>
        </w:tc>
      </w:tr>
    </w:tbl>
    <w:p w:rsidR="005B615A" w:rsidRDefault="005B615A" w:rsidP="005B615A">
      <w:pPr>
        <w:spacing w:before="120" w:after="120"/>
        <w:rPr>
          <w:rFonts w:eastAsia="Times New Roman" w:cs="Times New Roman"/>
        </w:rPr>
        <w:sectPr w:rsidR="005B615A" w:rsidSect="001E2146">
          <w:pgSz w:w="12240" w:h="15840"/>
          <w:pgMar w:top="1440" w:right="1440" w:bottom="1440" w:left="1440" w:header="720" w:footer="720" w:gutter="0"/>
          <w:cols w:space="720"/>
          <w:docGrid w:linePitch="360"/>
        </w:sectPr>
      </w:pPr>
    </w:p>
    <w:p w:rsidR="005B615A" w:rsidRPr="00DB0B02" w:rsidRDefault="005B615A" w:rsidP="005B615A">
      <w:pPr>
        <w:spacing w:before="120" w:after="120"/>
        <w:rPr>
          <w:rFonts w:eastAsia="Times New Roman" w:cs="Times New Roman"/>
        </w:rPr>
      </w:pPr>
    </w:p>
    <w:p w:rsidR="00D80E58" w:rsidRDefault="00D80E58" w:rsidP="00D80E58">
      <w:pPr>
        <w:pStyle w:val="Heading4"/>
        <w:numPr>
          <w:ilvl w:val="0"/>
          <w:numId w:val="16"/>
        </w:numPr>
      </w:pPr>
      <w:r>
        <w:t>divestiture of state owned enterprises</w:t>
      </w:r>
    </w:p>
    <w:p w:rsidR="00DB0B02" w:rsidRDefault="00095A2D" w:rsidP="00DB0B02">
      <w:pPr>
        <w:spacing w:before="120" w:after="120" w:line="240" w:lineRule="auto"/>
        <w:ind w:left="720"/>
        <w:rPr>
          <w:rFonts w:eastAsia="Times New Roman" w:cs="Times New Roman"/>
        </w:rPr>
      </w:pPr>
      <w:r w:rsidRPr="00886D40">
        <w:rPr>
          <w:rFonts w:eastAsia="Times New Roman" w:cs="Times New Roman"/>
        </w:rPr>
        <w:t xml:space="preserve">The GoJ has a number of inefficient state owned enterprises that create a budgetary pressure on the country’s fiscal account. In this regard, the operation includes the divestment of at least two state owned enterprises.  At present, the Sugar Industry </w:t>
      </w:r>
      <w:r w:rsidR="00E4323B">
        <w:rPr>
          <w:rFonts w:eastAsia="Times New Roman" w:cs="Times New Roman"/>
        </w:rPr>
        <w:t xml:space="preserve">and Air Jamaica have </w:t>
      </w:r>
      <w:r w:rsidRPr="00886D40">
        <w:rPr>
          <w:rFonts w:eastAsia="Times New Roman" w:cs="Times New Roman"/>
        </w:rPr>
        <w:t xml:space="preserve"> been fully divested</w:t>
      </w:r>
      <w:r w:rsidR="00886D40" w:rsidRPr="00886D40">
        <w:rPr>
          <w:rFonts w:eastAsia="Times New Roman" w:cs="Times New Roman"/>
        </w:rPr>
        <w:t>, so these two entities were selecte</w:t>
      </w:r>
      <w:r w:rsidR="00E4323B">
        <w:rPr>
          <w:rFonts w:eastAsia="Times New Roman" w:cs="Times New Roman"/>
        </w:rPr>
        <w:t>d for the cost benefit analysis, even though the operation called for divestiture of one SOE.</w:t>
      </w:r>
    </w:p>
    <w:p w:rsidR="00DC7186" w:rsidRDefault="00E4323B" w:rsidP="00DB0B02">
      <w:pPr>
        <w:spacing w:before="120" w:after="120" w:line="240" w:lineRule="auto"/>
        <w:ind w:left="720"/>
        <w:rPr>
          <w:rFonts w:eastAsia="Times New Roman" w:cs="Times New Roman"/>
        </w:rPr>
      </w:pPr>
      <w:r>
        <w:rPr>
          <w:rFonts w:eastAsia="Times New Roman" w:cs="Times New Roman"/>
        </w:rPr>
        <w:t xml:space="preserve">For this case, the </w:t>
      </w:r>
      <w:r w:rsidR="00DC7186">
        <w:rPr>
          <w:rFonts w:eastAsia="Times New Roman" w:cs="Times New Roman"/>
        </w:rPr>
        <w:t>methodology</w:t>
      </w:r>
      <w:r>
        <w:rPr>
          <w:rFonts w:eastAsia="Times New Roman" w:cs="Times New Roman"/>
        </w:rPr>
        <w:t xml:space="preserve"> for evaluation divestiture was based on the evaluation of the social benefits of transferring the ownership from the Government to a private </w:t>
      </w:r>
      <w:r w:rsidR="00DC7186">
        <w:rPr>
          <w:rFonts w:eastAsia="Times New Roman" w:cs="Times New Roman"/>
        </w:rPr>
        <w:t>company</w:t>
      </w:r>
      <w:r>
        <w:rPr>
          <w:rStyle w:val="FootnoteReference"/>
          <w:rFonts w:eastAsia="Times New Roman" w:cs="Times New Roman"/>
        </w:rPr>
        <w:footnoteReference w:id="38"/>
      </w:r>
      <w:r w:rsidR="00DC7186">
        <w:rPr>
          <w:rFonts w:eastAsia="Times New Roman" w:cs="Times New Roman"/>
        </w:rPr>
        <w:t xml:space="preserve">. </w:t>
      </w:r>
    </w:p>
    <w:p w:rsidR="00F829E4" w:rsidRDefault="00DC7186" w:rsidP="00DB0B02">
      <w:pPr>
        <w:spacing w:before="120" w:after="120" w:line="240" w:lineRule="auto"/>
        <w:ind w:left="720"/>
        <w:rPr>
          <w:rFonts w:eastAsia="Times New Roman" w:cs="Times New Roman"/>
        </w:rPr>
      </w:pPr>
      <w:r>
        <w:rPr>
          <w:rFonts w:eastAsia="Times New Roman" w:cs="Times New Roman"/>
        </w:rPr>
        <w:t xml:space="preserve">In this case, the private value is the company is the </w:t>
      </w:r>
      <w:r w:rsidR="00F829E4">
        <w:rPr>
          <w:rFonts w:eastAsia="Times New Roman" w:cs="Times New Roman"/>
        </w:rPr>
        <w:t>amount that</w:t>
      </w:r>
      <w:r>
        <w:rPr>
          <w:rFonts w:eastAsia="Times New Roman" w:cs="Times New Roman"/>
        </w:rPr>
        <w:t xml:space="preserve"> the company is worth to the private buyer (V</w:t>
      </w:r>
      <w:r w:rsidRPr="00DC7186">
        <w:rPr>
          <w:rFonts w:eastAsia="Times New Roman" w:cs="Times New Roman"/>
          <w:vertAlign w:val="subscript"/>
        </w:rPr>
        <w:t>pp</w:t>
      </w:r>
      <w:r>
        <w:rPr>
          <w:rFonts w:eastAsia="Times New Roman" w:cs="Times New Roman"/>
        </w:rPr>
        <w:t>), V</w:t>
      </w:r>
      <w:r w:rsidRPr="00DC7186">
        <w:rPr>
          <w:rFonts w:eastAsia="Times New Roman" w:cs="Times New Roman"/>
          <w:vertAlign w:val="subscript"/>
        </w:rPr>
        <w:t>sp</w:t>
      </w:r>
      <w:r>
        <w:rPr>
          <w:rFonts w:eastAsia="Times New Roman" w:cs="Times New Roman"/>
        </w:rPr>
        <w:t xml:space="preserve"> is the social value of t</w:t>
      </w:r>
      <w:r w:rsidR="00F829E4">
        <w:rPr>
          <w:rFonts w:eastAsia="Times New Roman" w:cs="Times New Roman"/>
        </w:rPr>
        <w:t>he company under operation,</w:t>
      </w:r>
      <w:r>
        <w:rPr>
          <w:rFonts w:eastAsia="Times New Roman" w:cs="Times New Roman"/>
        </w:rPr>
        <w:t xml:space="preserve"> α</w:t>
      </w:r>
      <w:r w:rsidRPr="00DC7186">
        <w:rPr>
          <w:rFonts w:eastAsia="Times New Roman" w:cs="Times New Roman"/>
          <w:vertAlign w:val="subscript"/>
        </w:rPr>
        <w:t>g</w:t>
      </w:r>
      <w:r>
        <w:rPr>
          <w:rFonts w:eastAsia="Times New Roman" w:cs="Times New Roman"/>
        </w:rPr>
        <w:t xml:space="preserve"> is the shadow multiplier under government revenue</w:t>
      </w:r>
      <w:r w:rsidR="00F829E4">
        <w:rPr>
          <w:rFonts w:eastAsia="Times New Roman" w:cs="Times New Roman"/>
        </w:rPr>
        <w:t xml:space="preserve"> and α</w:t>
      </w:r>
      <w:r w:rsidR="00F829E4" w:rsidRPr="00DC7186">
        <w:rPr>
          <w:rFonts w:eastAsia="Times New Roman" w:cs="Times New Roman"/>
          <w:vertAlign w:val="subscript"/>
        </w:rPr>
        <w:t>g</w:t>
      </w:r>
      <w:r w:rsidR="00F829E4">
        <w:rPr>
          <w:rFonts w:eastAsia="Times New Roman" w:cs="Times New Roman"/>
          <w:vertAlign w:val="subscript"/>
        </w:rPr>
        <w:t xml:space="preserve"> </w:t>
      </w:r>
      <w:r w:rsidR="00F829E4" w:rsidRPr="00F829E4">
        <w:rPr>
          <w:rFonts w:eastAsia="Times New Roman" w:cs="Times New Roman"/>
        </w:rPr>
        <w:t>is the shadow</w:t>
      </w:r>
      <w:r w:rsidR="00F829E4">
        <w:rPr>
          <w:rFonts w:eastAsia="Times New Roman" w:cs="Times New Roman"/>
          <w:vertAlign w:val="subscript"/>
        </w:rPr>
        <w:t xml:space="preserve"> </w:t>
      </w:r>
      <w:r w:rsidR="00F829E4">
        <w:rPr>
          <w:rFonts w:eastAsia="Times New Roman" w:cs="Times New Roman"/>
        </w:rPr>
        <w:t>multiplier under private operation.</w:t>
      </w:r>
      <w:r>
        <w:rPr>
          <w:rFonts w:eastAsia="Times New Roman" w:cs="Times New Roman"/>
        </w:rPr>
        <w:t xml:space="preserve"> </w:t>
      </w:r>
    </w:p>
    <w:p w:rsidR="00E4323B" w:rsidRDefault="00DC7186" w:rsidP="00DB0B02">
      <w:pPr>
        <w:spacing w:before="120" w:after="120" w:line="240" w:lineRule="auto"/>
        <w:ind w:left="720"/>
        <w:rPr>
          <w:rFonts w:eastAsia="Times New Roman" w:cs="Times New Roman"/>
        </w:rPr>
      </w:pPr>
      <w:r>
        <w:rPr>
          <w:rFonts w:eastAsia="Times New Roman" w:cs="Times New Roman"/>
        </w:rPr>
        <w:t>Since both companies were making losses, it is estimated that the V</w:t>
      </w:r>
      <w:r w:rsidRPr="00DC7186">
        <w:rPr>
          <w:rFonts w:eastAsia="Times New Roman" w:cs="Times New Roman"/>
          <w:vertAlign w:val="subscript"/>
        </w:rPr>
        <w:t>sp</w:t>
      </w:r>
      <w:r>
        <w:rPr>
          <w:rFonts w:eastAsia="Times New Roman" w:cs="Times New Roman"/>
          <w:vertAlign w:val="subscript"/>
        </w:rPr>
        <w:t xml:space="preserve"> </w:t>
      </w:r>
      <w:r>
        <w:rPr>
          <w:rFonts w:eastAsia="Times New Roman" w:cs="Times New Roman"/>
        </w:rPr>
        <w:t>is ne</w:t>
      </w:r>
      <w:r w:rsidRPr="00DC7186">
        <w:rPr>
          <w:rFonts w:eastAsia="Times New Roman" w:cs="Times New Roman"/>
        </w:rPr>
        <w:t>gative</w:t>
      </w:r>
      <w:r>
        <w:rPr>
          <w:rFonts w:eastAsia="Times New Roman" w:cs="Times New Roman"/>
        </w:rPr>
        <w:t xml:space="preserve"> and the V</w:t>
      </w:r>
      <w:r w:rsidRPr="00DC7186">
        <w:rPr>
          <w:rFonts w:eastAsia="Times New Roman" w:cs="Times New Roman"/>
          <w:vertAlign w:val="subscript"/>
        </w:rPr>
        <w:t>p</w:t>
      </w:r>
      <w:r>
        <w:rPr>
          <w:rFonts w:eastAsia="Times New Roman" w:cs="Times New Roman"/>
          <w:vertAlign w:val="subscript"/>
        </w:rPr>
        <w:t xml:space="preserve">p </w:t>
      </w:r>
      <w:r w:rsidRPr="00DC7186">
        <w:rPr>
          <w:rFonts w:eastAsia="Times New Roman" w:cs="Times New Roman"/>
        </w:rPr>
        <w:t>is the value</w:t>
      </w:r>
      <w:r>
        <w:rPr>
          <w:rFonts w:eastAsia="Times New Roman" w:cs="Times New Roman"/>
          <w:vertAlign w:val="subscript"/>
        </w:rPr>
        <w:t xml:space="preserve"> </w:t>
      </w:r>
      <w:r>
        <w:rPr>
          <w:rFonts w:eastAsia="Times New Roman" w:cs="Times New Roman"/>
        </w:rPr>
        <w:t>of the company that takes the losses under the assumption that with efficiency gains the companies will make profits, once the social and environmental liabilities have been removed. Since government revenue is negative as well, the assumption, without project</w:t>
      </w:r>
      <w:r w:rsidR="0050786D">
        <w:rPr>
          <w:rFonts w:eastAsia="Times New Roman" w:cs="Times New Roman"/>
        </w:rPr>
        <w:t xml:space="preserve">, </w:t>
      </w:r>
      <w:r>
        <w:rPr>
          <w:rFonts w:eastAsia="Times New Roman" w:cs="Times New Roman"/>
        </w:rPr>
        <w:t xml:space="preserve"> is that the losses would remain constant or increase due to the difficulty of Government to make </w:t>
      </w:r>
      <w:r w:rsidR="0050786D">
        <w:rPr>
          <w:rFonts w:eastAsia="Times New Roman" w:cs="Times New Roman"/>
        </w:rPr>
        <w:t xml:space="preserve">efficiency </w:t>
      </w:r>
      <w:r>
        <w:rPr>
          <w:rFonts w:eastAsia="Times New Roman" w:cs="Times New Roman"/>
        </w:rPr>
        <w:t>adjustments.</w:t>
      </w:r>
      <w:r w:rsidR="00F829E4">
        <w:rPr>
          <w:rFonts w:eastAsia="Times New Roman" w:cs="Times New Roman"/>
        </w:rPr>
        <w:t xml:space="preserve"> For conservative purposes, the additional benefits of introducing α</w:t>
      </w:r>
      <w:r w:rsidR="00F829E4">
        <w:rPr>
          <w:rFonts w:eastAsia="Times New Roman" w:cs="Times New Roman"/>
          <w:vertAlign w:val="subscript"/>
        </w:rPr>
        <w:t xml:space="preserve">p, </w:t>
      </w:r>
      <w:r w:rsidR="00F829E4">
        <w:rPr>
          <w:rFonts w:eastAsia="Times New Roman" w:cs="Times New Roman"/>
        </w:rPr>
        <w:t>that correspond to the efficiency gains from private participation are not included into the analysis.</w:t>
      </w:r>
    </w:p>
    <w:p w:rsidR="00DC7186" w:rsidRDefault="00DC7186" w:rsidP="00DB0B02">
      <w:pPr>
        <w:spacing w:before="120" w:after="120" w:line="240" w:lineRule="auto"/>
        <w:ind w:left="720"/>
        <w:rPr>
          <w:rFonts w:eastAsia="Times New Roman" w:cs="Times New Roman"/>
        </w:rPr>
      </w:pPr>
      <w:r>
        <w:rPr>
          <w:rFonts w:eastAsia="Times New Roman" w:cs="Times New Roman"/>
        </w:rPr>
        <w:t>Thus, the benefits from the divestiture are estimated as follows:</w:t>
      </w:r>
    </w:p>
    <w:p w:rsidR="00DC7186" w:rsidRDefault="001C6259" w:rsidP="00DB0B02">
      <w:pPr>
        <w:spacing w:before="120" w:after="120" w:line="240" w:lineRule="auto"/>
        <w:ind w:left="720"/>
        <w:rPr>
          <w:rFonts w:eastAsia="Times New Roman" w:cs="Times New Roman"/>
        </w:rPr>
      </w:pPr>
      <m:oMathPara>
        <m:oMath>
          <m:r>
            <w:rPr>
              <w:rFonts w:ascii="Cambria Math" w:eastAsia="Times New Roman" w:hAnsi="Cambria Math" w:cs="Times New Roman"/>
            </w:rPr>
            <m:t>Bi=(∆ Operational Losses-Social and Environmental Liabilties)×αg</m:t>
          </m:r>
        </m:oMath>
      </m:oMathPara>
    </w:p>
    <w:p w:rsidR="00F829E4" w:rsidRDefault="00F829E4" w:rsidP="00F829E4">
      <w:pPr>
        <w:spacing w:before="120" w:after="120" w:line="240" w:lineRule="auto"/>
        <w:ind w:left="720"/>
        <w:rPr>
          <w:rFonts w:eastAsia="Times New Roman" w:cs="Times New Roman"/>
        </w:rPr>
      </w:pPr>
    </w:p>
    <w:p w:rsidR="001C6259" w:rsidRDefault="001C6259" w:rsidP="001C6259">
      <w:pPr>
        <w:spacing w:before="120" w:after="120" w:line="240" w:lineRule="auto"/>
        <w:ind w:left="720"/>
        <w:rPr>
          <w:rFonts w:eastAsia="Times New Roman" w:cs="Times New Roman"/>
        </w:rPr>
      </w:pPr>
      <w:r w:rsidRPr="00886D40">
        <w:rPr>
          <w:rFonts w:eastAsia="Times New Roman" w:cs="Times New Roman"/>
        </w:rPr>
        <w:t>For the Sugar Industry, the MoF reports show that in the baseline year, 2008 the government support amounted to US</w:t>
      </w:r>
      <w:r>
        <w:rPr>
          <w:rFonts w:eastAsia="Times New Roman" w:cs="Times New Roman"/>
        </w:rPr>
        <w:t xml:space="preserve"> $</w:t>
      </w:r>
      <w:r w:rsidRPr="00886D40">
        <w:rPr>
          <w:rFonts w:eastAsia="Times New Roman" w:cs="Times New Roman"/>
        </w:rPr>
        <w:t>169 Million</w:t>
      </w:r>
      <w:r>
        <w:rPr>
          <w:rFonts w:eastAsia="Times New Roman" w:cs="Times New Roman"/>
        </w:rPr>
        <w:t xml:space="preserve"> per year</w:t>
      </w:r>
      <w:r w:rsidRPr="00886D40">
        <w:rPr>
          <w:rFonts w:eastAsia="Times New Roman" w:cs="Times New Roman"/>
        </w:rPr>
        <w:t xml:space="preserve">. However, for the process of divestiture, the GoJ took charge of the social liabilities, including </w:t>
      </w:r>
      <w:r w:rsidRPr="007040B7">
        <w:t xml:space="preserve">the economic diversification, social resilience and environmental sustainability </w:t>
      </w:r>
      <w:r>
        <w:t>of Sugar Dependent Areas (SDAs)</w:t>
      </w:r>
      <w:r w:rsidRPr="00886D40">
        <w:rPr>
          <w:rFonts w:eastAsia="Times New Roman" w:cs="Times New Roman"/>
        </w:rPr>
        <w:t>, and with the support of the European Union implemented a Program for the transition</w:t>
      </w:r>
      <w:r>
        <w:rPr>
          <w:rStyle w:val="EndnoteReference"/>
          <w:rFonts w:eastAsia="Times New Roman" w:cs="Times New Roman"/>
        </w:rPr>
        <w:endnoteReference w:id="4"/>
      </w:r>
      <w:r>
        <w:rPr>
          <w:rFonts w:eastAsia="Times New Roman" w:cs="Times New Roman"/>
        </w:rPr>
        <w:t xml:space="preserve"> with a cost of US $116 Million over a six year period. After that period, no additional support would be taken from part of the GoJ and the European Union.</w:t>
      </w:r>
    </w:p>
    <w:p w:rsidR="00DC7186" w:rsidRDefault="001C6259" w:rsidP="001C6259">
      <w:pPr>
        <w:spacing w:before="120" w:after="120" w:line="240" w:lineRule="auto"/>
        <w:ind w:left="720"/>
        <w:rPr>
          <w:rFonts w:eastAsia="Times New Roman" w:cs="Times New Roman"/>
        </w:rPr>
      </w:pPr>
      <w:r>
        <w:rPr>
          <w:rFonts w:eastAsia="Times New Roman" w:cs="Times New Roman"/>
        </w:rPr>
        <w:t>In the case of Air Jamaica, the reported losses for 2008 were US $100 Million a year. The benefits of the divestiture are calculated by the elimination of budget support the amount of US $100 Million. The liabilities, including operational losses, financial liabilities, and equipment leases amounted to US $493 Million in 2008 which are assumed to be the costs of the divestiture for the GoJ. The liability payment was done by the GoJ in 2010, when the agreement was signed with the company that bought Air Jamaica. After 2010, the budgetary lines for support of the SOEs analyzed went to zero in the national accounts</w:t>
      </w:r>
    </w:p>
    <w:p w:rsidR="00DB0B02" w:rsidRDefault="00DB0B02" w:rsidP="00DB0B02">
      <w:pPr>
        <w:spacing w:before="120" w:after="120" w:line="240" w:lineRule="auto"/>
        <w:ind w:left="720"/>
        <w:rPr>
          <w:rFonts w:eastAsia="Times New Roman" w:cs="Times New Roman"/>
        </w:rPr>
      </w:pPr>
      <w:r>
        <w:rPr>
          <w:rFonts w:eastAsia="Times New Roman" w:cs="Times New Roman"/>
        </w:rPr>
        <w:t xml:space="preserve"> The benefits of the divestiture are calculated by the elimination of government support to the indu</w:t>
      </w:r>
      <w:r w:rsidR="00AD034E">
        <w:rPr>
          <w:rFonts w:eastAsia="Times New Roman" w:cs="Times New Roman"/>
        </w:rPr>
        <w:t>stry by US 169 Million per year and the costs are estimated as the five year implementation program.</w:t>
      </w:r>
      <w:r w:rsidR="00BA387E">
        <w:rPr>
          <w:rFonts w:eastAsia="Times New Roman" w:cs="Times New Roman"/>
        </w:rPr>
        <w:t xml:space="preserve"> </w:t>
      </w:r>
    </w:p>
    <w:p w:rsidR="008C1DEE" w:rsidRDefault="00BA387E" w:rsidP="00DB0B02">
      <w:pPr>
        <w:spacing w:before="120" w:after="120" w:line="240" w:lineRule="auto"/>
        <w:ind w:left="720"/>
        <w:rPr>
          <w:rFonts w:eastAsia="Times New Roman" w:cs="Times New Roman"/>
        </w:rPr>
      </w:pPr>
      <w:r>
        <w:rPr>
          <w:rFonts w:eastAsia="Times New Roman" w:cs="Times New Roman"/>
        </w:rPr>
        <w:t xml:space="preserve">The analysis shows that the benefits of divesting State Owned Enterprises that generate losses are one of the most important in all the areas of reforms, with NPV of up to US $935.42 Million, and remaining positive even with a </w:t>
      </w:r>
      <w:r w:rsidR="00C73B4A">
        <w:rPr>
          <w:rFonts w:eastAsia="Times New Roman" w:cs="Times New Roman"/>
        </w:rPr>
        <w:t>scenario where the efficiency gains from part of the private sector are not fully achieved</w:t>
      </w:r>
      <w:r w:rsidR="0050786D">
        <w:rPr>
          <w:rFonts w:eastAsia="Times New Roman" w:cs="Times New Roman"/>
        </w:rPr>
        <w:t xml:space="preserve"> by 20%</w:t>
      </w:r>
      <w:r w:rsidR="00C73B4A">
        <w:rPr>
          <w:rFonts w:eastAsia="Times New Roman" w:cs="Times New Roman"/>
        </w:rPr>
        <w:t>.</w:t>
      </w:r>
    </w:p>
    <w:p w:rsidR="008C1DEE" w:rsidRDefault="008C1DEE" w:rsidP="00DB0B02">
      <w:pPr>
        <w:spacing w:before="120" w:after="120" w:line="240" w:lineRule="auto"/>
        <w:ind w:left="720"/>
        <w:rPr>
          <w:rFonts w:eastAsia="Times New Roman" w:cs="Times New Roman"/>
        </w:rPr>
        <w:sectPr w:rsidR="008C1DEE" w:rsidSect="008C1DEE">
          <w:pgSz w:w="12240" w:h="15840"/>
          <w:pgMar w:top="1440" w:right="1440" w:bottom="1440" w:left="1440" w:header="720" w:footer="720" w:gutter="0"/>
          <w:cols w:space="720"/>
          <w:docGrid w:linePitch="360"/>
        </w:sectPr>
      </w:pPr>
    </w:p>
    <w:p w:rsidR="00C652BB" w:rsidRDefault="00C73B4A">
      <w:pPr>
        <w:rPr>
          <w:rFonts w:eastAsia="Times New Roman" w:cs="Times New Roman"/>
        </w:rPr>
      </w:pPr>
      <w:r>
        <w:rPr>
          <w:rFonts w:eastAsia="Times New Roman" w:cs="Times New Roman"/>
        </w:rPr>
        <w:lastRenderedPageBreak/>
        <w:t>TABLE 4: COST BENEFIT ANALYSIS OF DIVESTITURE OF PUBLIC ENTERPRISES</w:t>
      </w:r>
    </w:p>
    <w:tbl>
      <w:tblPr>
        <w:tblW w:w="12282" w:type="dxa"/>
        <w:tblInd w:w="103" w:type="dxa"/>
        <w:tblLook w:val="04A0" w:firstRow="1" w:lastRow="0" w:firstColumn="1" w:lastColumn="0" w:noHBand="0" w:noVBand="1"/>
      </w:tblPr>
      <w:tblGrid>
        <w:gridCol w:w="4400"/>
        <w:gridCol w:w="1300"/>
        <w:gridCol w:w="2123"/>
        <w:gridCol w:w="1639"/>
        <w:gridCol w:w="1420"/>
        <w:gridCol w:w="1400"/>
      </w:tblGrid>
      <w:tr w:rsidR="00C652BB" w:rsidRPr="00C652BB" w:rsidTr="00C652BB">
        <w:trPr>
          <w:trHeight w:val="300"/>
        </w:trPr>
        <w:tc>
          <w:tcPr>
            <w:tcW w:w="4400" w:type="dxa"/>
            <w:tcBorders>
              <w:top w:val="single" w:sz="4" w:space="0" w:color="auto"/>
              <w:left w:val="single" w:sz="4" w:space="0" w:color="auto"/>
              <w:bottom w:val="single" w:sz="4" w:space="0" w:color="auto"/>
              <w:right w:val="nil"/>
            </w:tcBorders>
            <w:shd w:val="clear" w:color="000000" w:fill="B7DEE8"/>
            <w:noWrap/>
            <w:vAlign w:val="bottom"/>
            <w:hideMark/>
          </w:tcPr>
          <w:p w:rsidR="00C652BB" w:rsidRPr="00C652BB" w:rsidRDefault="00C652BB" w:rsidP="00C652BB">
            <w:pPr>
              <w:spacing w:after="0" w:line="240" w:lineRule="auto"/>
              <w:jc w:val="left"/>
              <w:rPr>
                <w:rFonts w:ascii="Calibri" w:eastAsia="Times New Roman" w:hAnsi="Calibri" w:cs="Times New Roman"/>
                <w:b/>
                <w:bCs/>
                <w:color w:val="4F81BD"/>
                <w:sz w:val="18"/>
                <w:szCs w:val="18"/>
                <w:lang w:bidi="ar-SA"/>
              </w:rPr>
            </w:pPr>
            <w:r w:rsidRPr="00C652BB">
              <w:rPr>
                <w:rFonts w:ascii="Calibri" w:eastAsia="Times New Roman" w:hAnsi="Calibri" w:cs="Times New Roman"/>
                <w:b/>
                <w:bCs/>
                <w:color w:val="4F81BD"/>
                <w:sz w:val="18"/>
                <w:szCs w:val="18"/>
                <w:lang w:bidi="ar-SA"/>
              </w:rPr>
              <w:t>Assumptions</w:t>
            </w:r>
          </w:p>
        </w:tc>
        <w:tc>
          <w:tcPr>
            <w:tcW w:w="1300" w:type="dxa"/>
            <w:tcBorders>
              <w:top w:val="single" w:sz="4" w:space="0" w:color="auto"/>
              <w:left w:val="single" w:sz="4" w:space="0" w:color="auto"/>
              <w:bottom w:val="single" w:sz="4" w:space="0" w:color="auto"/>
              <w:right w:val="single" w:sz="4" w:space="0" w:color="auto"/>
            </w:tcBorders>
            <w:shd w:val="clear" w:color="000000" w:fill="B7DEE8"/>
            <w:noWrap/>
            <w:vAlign w:val="bottom"/>
            <w:hideMark/>
          </w:tcPr>
          <w:p w:rsidR="00C652BB" w:rsidRPr="00C652BB" w:rsidRDefault="00C652BB" w:rsidP="00C652BB">
            <w:pPr>
              <w:spacing w:after="0" w:line="240" w:lineRule="auto"/>
              <w:jc w:val="left"/>
              <w:rPr>
                <w:rFonts w:ascii="Calibri" w:eastAsia="Times New Roman" w:hAnsi="Calibri" w:cs="Times New Roman"/>
                <w:b/>
                <w:bCs/>
                <w:color w:val="4F81BD"/>
                <w:sz w:val="18"/>
                <w:szCs w:val="18"/>
                <w:lang w:bidi="ar-SA"/>
              </w:rPr>
            </w:pPr>
            <w:r w:rsidRPr="00C652BB">
              <w:rPr>
                <w:rFonts w:ascii="Calibri" w:eastAsia="Times New Roman" w:hAnsi="Calibri" w:cs="Times New Roman"/>
                <w:b/>
                <w:bCs/>
                <w:color w:val="4F81BD"/>
                <w:sz w:val="18"/>
                <w:szCs w:val="18"/>
                <w:lang w:bidi="ar-SA"/>
              </w:rPr>
              <w:t>Parameter</w:t>
            </w:r>
          </w:p>
        </w:tc>
        <w:tc>
          <w:tcPr>
            <w:tcW w:w="2123" w:type="dxa"/>
            <w:tcBorders>
              <w:top w:val="single" w:sz="4" w:space="0" w:color="auto"/>
              <w:left w:val="nil"/>
              <w:bottom w:val="single" w:sz="4" w:space="0" w:color="auto"/>
              <w:right w:val="single" w:sz="4" w:space="0" w:color="auto"/>
            </w:tcBorders>
            <w:shd w:val="clear" w:color="000000" w:fill="B7DEE8"/>
            <w:noWrap/>
            <w:vAlign w:val="bottom"/>
            <w:hideMark/>
          </w:tcPr>
          <w:p w:rsidR="00C652BB" w:rsidRPr="00C652BB" w:rsidRDefault="00C652BB" w:rsidP="00C652BB">
            <w:pPr>
              <w:spacing w:after="0" w:line="240" w:lineRule="auto"/>
              <w:jc w:val="left"/>
              <w:rPr>
                <w:rFonts w:ascii="Calibri" w:eastAsia="Times New Roman" w:hAnsi="Calibri" w:cs="Times New Roman"/>
                <w:b/>
                <w:bCs/>
                <w:color w:val="4F81BD"/>
                <w:sz w:val="18"/>
                <w:szCs w:val="18"/>
                <w:lang w:bidi="ar-SA"/>
              </w:rPr>
            </w:pPr>
            <w:r w:rsidRPr="00C652BB">
              <w:rPr>
                <w:rFonts w:ascii="Calibri" w:eastAsia="Times New Roman" w:hAnsi="Calibri" w:cs="Times New Roman"/>
                <w:b/>
                <w:bCs/>
                <w:color w:val="4F81BD"/>
                <w:sz w:val="18"/>
                <w:szCs w:val="18"/>
                <w:lang w:bidi="ar-SA"/>
              </w:rPr>
              <w:t>Measure</w:t>
            </w:r>
          </w:p>
        </w:tc>
        <w:tc>
          <w:tcPr>
            <w:tcW w:w="1639" w:type="dxa"/>
            <w:tcBorders>
              <w:top w:val="single" w:sz="4" w:space="0" w:color="auto"/>
              <w:left w:val="nil"/>
              <w:bottom w:val="single" w:sz="4" w:space="0" w:color="auto"/>
              <w:right w:val="single" w:sz="4" w:space="0" w:color="auto"/>
            </w:tcBorders>
            <w:shd w:val="clear" w:color="000000" w:fill="B7DEE8"/>
            <w:vAlign w:val="bottom"/>
            <w:hideMark/>
          </w:tcPr>
          <w:p w:rsidR="00C652BB" w:rsidRPr="00C652BB" w:rsidRDefault="00C652BB" w:rsidP="00C652BB">
            <w:pPr>
              <w:spacing w:after="0" w:line="240" w:lineRule="auto"/>
              <w:jc w:val="left"/>
              <w:rPr>
                <w:rFonts w:ascii="Calibri" w:eastAsia="Times New Roman" w:hAnsi="Calibri" w:cs="Times New Roman"/>
                <w:b/>
                <w:bCs/>
                <w:color w:val="4F81BD"/>
                <w:sz w:val="18"/>
                <w:szCs w:val="18"/>
                <w:lang w:bidi="ar-SA"/>
              </w:rPr>
            </w:pPr>
            <w:r w:rsidRPr="00C652BB">
              <w:rPr>
                <w:rFonts w:ascii="Calibri" w:eastAsia="Times New Roman" w:hAnsi="Calibri" w:cs="Times New Roman"/>
                <w:b/>
                <w:bCs/>
                <w:color w:val="4F81BD"/>
                <w:sz w:val="18"/>
                <w:szCs w:val="18"/>
                <w:lang w:bidi="ar-SA"/>
              </w:rPr>
              <w:t>Comments</w:t>
            </w:r>
          </w:p>
        </w:tc>
        <w:tc>
          <w:tcPr>
            <w:tcW w:w="1420" w:type="dxa"/>
            <w:tcBorders>
              <w:top w:val="nil"/>
              <w:left w:val="nil"/>
              <w:bottom w:val="nil"/>
              <w:right w:val="nil"/>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22"/>
                <w:szCs w:val="22"/>
                <w:lang w:bidi="ar-SA"/>
              </w:rPr>
            </w:pPr>
          </w:p>
        </w:tc>
        <w:tc>
          <w:tcPr>
            <w:tcW w:w="1400" w:type="dxa"/>
            <w:tcBorders>
              <w:top w:val="nil"/>
              <w:left w:val="nil"/>
              <w:bottom w:val="nil"/>
              <w:right w:val="nil"/>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22"/>
                <w:szCs w:val="22"/>
                <w:lang w:bidi="ar-SA"/>
              </w:rPr>
            </w:pPr>
          </w:p>
        </w:tc>
      </w:tr>
      <w:tr w:rsidR="00C652BB" w:rsidRPr="00C652BB" w:rsidTr="00C73B4A">
        <w:trPr>
          <w:trHeight w:val="300"/>
        </w:trPr>
        <w:tc>
          <w:tcPr>
            <w:tcW w:w="9462" w:type="dxa"/>
            <w:gridSpan w:val="4"/>
            <w:tcBorders>
              <w:top w:val="single" w:sz="4" w:space="0" w:color="auto"/>
              <w:left w:val="single" w:sz="4" w:space="0" w:color="auto"/>
              <w:right w:val="single" w:sz="4" w:space="0" w:color="000000"/>
            </w:tcBorders>
            <w:shd w:val="clear" w:color="000000" w:fill="DCE6F1"/>
            <w:noWrap/>
            <w:vAlign w:val="bottom"/>
            <w:hideMark/>
          </w:tcPr>
          <w:p w:rsidR="00C652BB" w:rsidRPr="00C652BB" w:rsidRDefault="00C652BB" w:rsidP="00C652BB">
            <w:pPr>
              <w:spacing w:after="0" w:line="240" w:lineRule="auto"/>
              <w:jc w:val="left"/>
              <w:rPr>
                <w:rFonts w:ascii="Calibri" w:eastAsia="Times New Roman" w:hAnsi="Calibri" w:cs="Times New Roman"/>
                <w:b/>
                <w:bCs/>
                <w:color w:val="4F81BD"/>
                <w:sz w:val="18"/>
                <w:szCs w:val="18"/>
                <w:lang w:bidi="ar-SA"/>
              </w:rPr>
            </w:pPr>
            <w:r w:rsidRPr="00C652BB">
              <w:rPr>
                <w:rFonts w:ascii="Calibri" w:eastAsia="Times New Roman" w:hAnsi="Calibri" w:cs="Times New Roman"/>
                <w:b/>
                <w:bCs/>
                <w:color w:val="4F81BD"/>
                <w:sz w:val="18"/>
                <w:szCs w:val="18"/>
                <w:lang w:bidi="ar-SA"/>
              </w:rPr>
              <w:t>Assumptions related to divestiture of public entities</w:t>
            </w:r>
          </w:p>
        </w:tc>
        <w:tc>
          <w:tcPr>
            <w:tcW w:w="1420" w:type="dxa"/>
            <w:tcBorders>
              <w:top w:val="nil"/>
              <w:left w:val="nil"/>
              <w:bottom w:val="nil"/>
              <w:right w:val="nil"/>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22"/>
                <w:szCs w:val="22"/>
                <w:lang w:bidi="ar-SA"/>
              </w:rPr>
            </w:pPr>
          </w:p>
        </w:tc>
        <w:tc>
          <w:tcPr>
            <w:tcW w:w="1400" w:type="dxa"/>
            <w:tcBorders>
              <w:top w:val="nil"/>
              <w:left w:val="nil"/>
              <w:bottom w:val="nil"/>
              <w:right w:val="nil"/>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22"/>
                <w:szCs w:val="22"/>
                <w:lang w:bidi="ar-SA"/>
              </w:rPr>
            </w:pPr>
          </w:p>
        </w:tc>
      </w:tr>
      <w:tr w:rsidR="00C652BB" w:rsidRPr="00C652BB" w:rsidTr="00C73B4A">
        <w:trPr>
          <w:trHeight w:val="795"/>
        </w:trPr>
        <w:tc>
          <w:tcPr>
            <w:tcW w:w="4400" w:type="dxa"/>
            <w:tcBorders>
              <w:top w:val="nil"/>
              <w:left w:val="single" w:sz="4" w:space="0" w:color="auto"/>
              <w:bottom w:val="single" w:sz="4" w:space="0" w:color="auto"/>
              <w:right w:val="nil"/>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18"/>
                <w:szCs w:val="18"/>
                <w:lang w:bidi="ar-SA"/>
              </w:rPr>
            </w:pPr>
            <w:r w:rsidRPr="00C652BB">
              <w:rPr>
                <w:rFonts w:ascii="Calibri" w:eastAsia="Times New Roman" w:hAnsi="Calibri" w:cs="Times New Roman"/>
                <w:color w:val="000000"/>
                <w:sz w:val="18"/>
                <w:szCs w:val="18"/>
                <w:lang w:bidi="ar-SA"/>
              </w:rPr>
              <w:t>Budget support for Air Jamaica in 2008</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18"/>
                <w:szCs w:val="18"/>
                <w:lang w:bidi="ar-SA"/>
              </w:rPr>
            </w:pPr>
            <w:r w:rsidRPr="00C652BB">
              <w:rPr>
                <w:rFonts w:ascii="Calibri" w:eastAsia="Times New Roman" w:hAnsi="Calibri" w:cs="Times New Roman"/>
                <w:color w:val="000000"/>
                <w:sz w:val="18"/>
                <w:szCs w:val="18"/>
                <w:lang w:bidi="ar-SA"/>
              </w:rPr>
              <w:t xml:space="preserve">                    100 </w:t>
            </w:r>
          </w:p>
        </w:tc>
        <w:tc>
          <w:tcPr>
            <w:tcW w:w="2123" w:type="dxa"/>
            <w:tcBorders>
              <w:top w:val="nil"/>
              <w:left w:val="nil"/>
              <w:bottom w:val="single" w:sz="4" w:space="0" w:color="auto"/>
              <w:right w:val="single" w:sz="4" w:space="0" w:color="auto"/>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18"/>
                <w:szCs w:val="18"/>
                <w:lang w:bidi="ar-SA"/>
              </w:rPr>
            </w:pPr>
            <w:r w:rsidRPr="00C652BB">
              <w:rPr>
                <w:rFonts w:ascii="Calibri" w:eastAsia="Times New Roman" w:hAnsi="Calibri" w:cs="Times New Roman"/>
                <w:color w:val="000000"/>
                <w:sz w:val="18"/>
                <w:szCs w:val="18"/>
                <w:lang w:bidi="ar-SA"/>
              </w:rPr>
              <w:t>UDS Million</w:t>
            </w:r>
          </w:p>
        </w:tc>
        <w:tc>
          <w:tcPr>
            <w:tcW w:w="1639" w:type="dxa"/>
            <w:tcBorders>
              <w:top w:val="nil"/>
              <w:left w:val="nil"/>
              <w:bottom w:val="single" w:sz="4" w:space="0" w:color="auto"/>
              <w:right w:val="single" w:sz="4" w:space="0" w:color="auto"/>
            </w:tcBorders>
            <w:shd w:val="clear" w:color="auto" w:fill="auto"/>
            <w:vAlign w:val="bottom"/>
            <w:hideMark/>
          </w:tcPr>
          <w:p w:rsidR="00C652BB" w:rsidRPr="00C652BB" w:rsidRDefault="00C652BB" w:rsidP="00C652BB">
            <w:pPr>
              <w:spacing w:after="0" w:line="240" w:lineRule="auto"/>
              <w:jc w:val="left"/>
              <w:rPr>
                <w:rFonts w:ascii="Calibri" w:eastAsia="Times New Roman" w:hAnsi="Calibri" w:cs="Times New Roman"/>
                <w:color w:val="000000"/>
                <w:sz w:val="18"/>
                <w:szCs w:val="18"/>
                <w:lang w:bidi="ar-SA"/>
              </w:rPr>
            </w:pPr>
            <w:r w:rsidRPr="00C652BB">
              <w:rPr>
                <w:rFonts w:ascii="Calibri" w:eastAsia="Times New Roman" w:hAnsi="Calibri" w:cs="Times New Roman"/>
                <w:color w:val="000000"/>
                <w:sz w:val="18"/>
                <w:szCs w:val="18"/>
                <w:lang w:bidi="ar-SA"/>
              </w:rPr>
              <w:t>Based on MoF Public Bodies annual report 2008</w:t>
            </w:r>
          </w:p>
        </w:tc>
        <w:tc>
          <w:tcPr>
            <w:tcW w:w="1420" w:type="dxa"/>
            <w:tcBorders>
              <w:top w:val="nil"/>
              <w:left w:val="nil"/>
              <w:bottom w:val="nil"/>
              <w:right w:val="nil"/>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22"/>
                <w:szCs w:val="22"/>
                <w:lang w:bidi="ar-SA"/>
              </w:rPr>
            </w:pPr>
          </w:p>
        </w:tc>
        <w:tc>
          <w:tcPr>
            <w:tcW w:w="1400" w:type="dxa"/>
            <w:tcBorders>
              <w:top w:val="nil"/>
              <w:left w:val="nil"/>
              <w:bottom w:val="nil"/>
              <w:right w:val="nil"/>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22"/>
                <w:szCs w:val="22"/>
                <w:lang w:bidi="ar-SA"/>
              </w:rPr>
            </w:pPr>
          </w:p>
        </w:tc>
      </w:tr>
      <w:tr w:rsidR="00C652BB" w:rsidRPr="00C652BB" w:rsidTr="00C73B4A">
        <w:trPr>
          <w:trHeight w:val="690"/>
        </w:trPr>
        <w:tc>
          <w:tcPr>
            <w:tcW w:w="4400" w:type="dxa"/>
            <w:tcBorders>
              <w:top w:val="single" w:sz="4" w:space="0" w:color="auto"/>
              <w:left w:val="single" w:sz="4" w:space="0" w:color="auto"/>
              <w:bottom w:val="single" w:sz="4" w:space="0" w:color="auto"/>
              <w:right w:val="nil"/>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18"/>
                <w:szCs w:val="18"/>
                <w:lang w:bidi="ar-SA"/>
              </w:rPr>
            </w:pPr>
            <w:r w:rsidRPr="00C652BB">
              <w:rPr>
                <w:rFonts w:ascii="Calibri" w:eastAsia="Times New Roman" w:hAnsi="Calibri" w:cs="Times New Roman"/>
                <w:color w:val="000000"/>
                <w:sz w:val="18"/>
                <w:szCs w:val="18"/>
                <w:lang w:bidi="ar-SA"/>
              </w:rPr>
              <w:t>Budget support for Sugar Industry in 2008</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18"/>
                <w:szCs w:val="18"/>
                <w:lang w:bidi="ar-SA"/>
              </w:rPr>
            </w:pPr>
            <w:r w:rsidRPr="00C652BB">
              <w:rPr>
                <w:rFonts w:ascii="Calibri" w:eastAsia="Times New Roman" w:hAnsi="Calibri" w:cs="Times New Roman"/>
                <w:color w:val="000000"/>
                <w:sz w:val="18"/>
                <w:szCs w:val="18"/>
                <w:lang w:bidi="ar-SA"/>
              </w:rPr>
              <w:t xml:space="preserve">                    169 </w:t>
            </w:r>
          </w:p>
        </w:tc>
        <w:tc>
          <w:tcPr>
            <w:tcW w:w="2123" w:type="dxa"/>
            <w:tcBorders>
              <w:top w:val="single" w:sz="4" w:space="0" w:color="auto"/>
              <w:left w:val="nil"/>
              <w:bottom w:val="single" w:sz="4" w:space="0" w:color="auto"/>
              <w:right w:val="single" w:sz="4" w:space="0" w:color="auto"/>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18"/>
                <w:szCs w:val="18"/>
                <w:lang w:bidi="ar-SA"/>
              </w:rPr>
            </w:pPr>
            <w:r w:rsidRPr="00C652BB">
              <w:rPr>
                <w:rFonts w:ascii="Calibri" w:eastAsia="Times New Roman" w:hAnsi="Calibri" w:cs="Times New Roman"/>
                <w:color w:val="000000"/>
                <w:sz w:val="18"/>
                <w:szCs w:val="18"/>
                <w:lang w:bidi="ar-SA"/>
              </w:rPr>
              <w:t>USD Million</w:t>
            </w:r>
          </w:p>
        </w:tc>
        <w:tc>
          <w:tcPr>
            <w:tcW w:w="1639" w:type="dxa"/>
            <w:tcBorders>
              <w:top w:val="single" w:sz="4" w:space="0" w:color="auto"/>
              <w:left w:val="nil"/>
              <w:bottom w:val="nil"/>
              <w:right w:val="single" w:sz="4" w:space="0" w:color="auto"/>
            </w:tcBorders>
            <w:shd w:val="clear" w:color="auto" w:fill="auto"/>
            <w:vAlign w:val="bottom"/>
            <w:hideMark/>
          </w:tcPr>
          <w:p w:rsidR="00C652BB" w:rsidRPr="00C652BB" w:rsidRDefault="00C652BB" w:rsidP="00C652BB">
            <w:pPr>
              <w:spacing w:after="0" w:line="240" w:lineRule="auto"/>
              <w:jc w:val="left"/>
              <w:rPr>
                <w:rFonts w:ascii="Calibri" w:eastAsia="Times New Roman" w:hAnsi="Calibri" w:cs="Times New Roman"/>
                <w:color w:val="000000"/>
                <w:sz w:val="18"/>
                <w:szCs w:val="18"/>
                <w:lang w:bidi="ar-SA"/>
              </w:rPr>
            </w:pPr>
            <w:r w:rsidRPr="00C652BB">
              <w:rPr>
                <w:rFonts w:ascii="Calibri" w:eastAsia="Times New Roman" w:hAnsi="Calibri" w:cs="Times New Roman"/>
                <w:color w:val="000000"/>
                <w:sz w:val="18"/>
                <w:szCs w:val="18"/>
                <w:lang w:bidi="ar-SA"/>
              </w:rPr>
              <w:t>Based on MoF Public Bodies annual report 2008</w:t>
            </w:r>
          </w:p>
        </w:tc>
        <w:tc>
          <w:tcPr>
            <w:tcW w:w="1420" w:type="dxa"/>
            <w:tcBorders>
              <w:top w:val="nil"/>
              <w:left w:val="nil"/>
              <w:bottom w:val="nil"/>
              <w:right w:val="nil"/>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22"/>
                <w:szCs w:val="22"/>
                <w:lang w:bidi="ar-SA"/>
              </w:rPr>
            </w:pPr>
          </w:p>
        </w:tc>
        <w:tc>
          <w:tcPr>
            <w:tcW w:w="1400" w:type="dxa"/>
            <w:tcBorders>
              <w:top w:val="nil"/>
              <w:left w:val="nil"/>
              <w:bottom w:val="nil"/>
              <w:right w:val="nil"/>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22"/>
                <w:szCs w:val="22"/>
                <w:lang w:bidi="ar-SA"/>
              </w:rPr>
            </w:pPr>
          </w:p>
        </w:tc>
      </w:tr>
      <w:tr w:rsidR="00C652BB" w:rsidRPr="00C652BB" w:rsidTr="00C652BB">
        <w:trPr>
          <w:trHeight w:val="585"/>
        </w:trPr>
        <w:tc>
          <w:tcPr>
            <w:tcW w:w="4400" w:type="dxa"/>
            <w:tcBorders>
              <w:top w:val="nil"/>
              <w:left w:val="single" w:sz="4" w:space="0" w:color="auto"/>
              <w:bottom w:val="nil"/>
              <w:right w:val="nil"/>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18"/>
                <w:szCs w:val="18"/>
                <w:lang w:bidi="ar-SA"/>
              </w:rPr>
            </w:pPr>
            <w:r w:rsidRPr="00C652BB">
              <w:rPr>
                <w:rFonts w:ascii="Calibri" w:eastAsia="Times New Roman" w:hAnsi="Calibri" w:cs="Times New Roman"/>
                <w:color w:val="000000"/>
                <w:sz w:val="18"/>
                <w:szCs w:val="18"/>
                <w:lang w:bidi="ar-SA"/>
              </w:rPr>
              <w:t>Air Jamaica Liabilities</w:t>
            </w:r>
          </w:p>
        </w:tc>
        <w:tc>
          <w:tcPr>
            <w:tcW w:w="1300" w:type="dxa"/>
            <w:tcBorders>
              <w:top w:val="nil"/>
              <w:left w:val="single" w:sz="4" w:space="0" w:color="auto"/>
              <w:bottom w:val="nil"/>
              <w:right w:val="single" w:sz="4" w:space="0" w:color="auto"/>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18"/>
                <w:szCs w:val="18"/>
                <w:lang w:bidi="ar-SA"/>
              </w:rPr>
            </w:pPr>
            <w:r w:rsidRPr="00C652BB">
              <w:rPr>
                <w:rFonts w:ascii="Calibri" w:eastAsia="Times New Roman" w:hAnsi="Calibri" w:cs="Times New Roman"/>
                <w:color w:val="000000"/>
                <w:sz w:val="18"/>
                <w:szCs w:val="18"/>
                <w:lang w:bidi="ar-SA"/>
              </w:rPr>
              <w:t xml:space="preserve">                    493 </w:t>
            </w:r>
          </w:p>
        </w:tc>
        <w:tc>
          <w:tcPr>
            <w:tcW w:w="2123" w:type="dxa"/>
            <w:tcBorders>
              <w:top w:val="nil"/>
              <w:left w:val="nil"/>
              <w:bottom w:val="nil"/>
              <w:right w:val="single" w:sz="4" w:space="0" w:color="auto"/>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18"/>
                <w:szCs w:val="18"/>
                <w:lang w:bidi="ar-SA"/>
              </w:rPr>
            </w:pPr>
            <w:r w:rsidRPr="00C652BB">
              <w:rPr>
                <w:rFonts w:ascii="Calibri" w:eastAsia="Times New Roman" w:hAnsi="Calibri" w:cs="Times New Roman"/>
                <w:color w:val="000000"/>
                <w:sz w:val="18"/>
                <w:szCs w:val="18"/>
                <w:lang w:bidi="ar-SA"/>
              </w:rPr>
              <w:t>US Million</w:t>
            </w:r>
          </w:p>
        </w:tc>
        <w:tc>
          <w:tcPr>
            <w:tcW w:w="1639" w:type="dxa"/>
            <w:tcBorders>
              <w:top w:val="single" w:sz="4" w:space="0" w:color="auto"/>
              <w:left w:val="nil"/>
              <w:bottom w:val="nil"/>
              <w:right w:val="single" w:sz="4" w:space="0" w:color="auto"/>
            </w:tcBorders>
            <w:shd w:val="clear" w:color="auto" w:fill="auto"/>
            <w:vAlign w:val="bottom"/>
            <w:hideMark/>
          </w:tcPr>
          <w:p w:rsidR="00C652BB" w:rsidRPr="00C652BB" w:rsidRDefault="00C652BB" w:rsidP="00C652BB">
            <w:pPr>
              <w:spacing w:after="0" w:line="240" w:lineRule="auto"/>
              <w:jc w:val="left"/>
              <w:rPr>
                <w:rFonts w:ascii="Calibri" w:eastAsia="Times New Roman" w:hAnsi="Calibri" w:cs="Times New Roman"/>
                <w:color w:val="000000"/>
                <w:sz w:val="18"/>
                <w:szCs w:val="18"/>
                <w:lang w:bidi="ar-SA"/>
              </w:rPr>
            </w:pPr>
            <w:r w:rsidRPr="00C652BB">
              <w:rPr>
                <w:rFonts w:ascii="Calibri" w:eastAsia="Times New Roman" w:hAnsi="Calibri" w:cs="Times New Roman"/>
                <w:color w:val="000000"/>
                <w:sz w:val="18"/>
                <w:szCs w:val="18"/>
                <w:lang w:bidi="ar-SA"/>
              </w:rPr>
              <w:t>MEF Public Bodies Report</w:t>
            </w:r>
          </w:p>
        </w:tc>
        <w:tc>
          <w:tcPr>
            <w:tcW w:w="1420" w:type="dxa"/>
            <w:tcBorders>
              <w:top w:val="nil"/>
              <w:left w:val="nil"/>
              <w:bottom w:val="nil"/>
              <w:right w:val="nil"/>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22"/>
                <w:szCs w:val="22"/>
                <w:lang w:bidi="ar-SA"/>
              </w:rPr>
            </w:pPr>
          </w:p>
        </w:tc>
        <w:tc>
          <w:tcPr>
            <w:tcW w:w="1400" w:type="dxa"/>
            <w:tcBorders>
              <w:top w:val="nil"/>
              <w:left w:val="nil"/>
              <w:bottom w:val="nil"/>
              <w:right w:val="nil"/>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22"/>
                <w:szCs w:val="22"/>
                <w:lang w:bidi="ar-SA"/>
              </w:rPr>
            </w:pPr>
          </w:p>
        </w:tc>
      </w:tr>
      <w:tr w:rsidR="00C652BB" w:rsidRPr="00C652BB" w:rsidTr="00C73B4A">
        <w:trPr>
          <w:trHeight w:val="665"/>
        </w:trPr>
        <w:tc>
          <w:tcPr>
            <w:tcW w:w="4400" w:type="dxa"/>
            <w:tcBorders>
              <w:top w:val="single" w:sz="4" w:space="0" w:color="auto"/>
              <w:left w:val="single" w:sz="4" w:space="0" w:color="auto"/>
              <w:bottom w:val="single" w:sz="4" w:space="0" w:color="auto"/>
              <w:right w:val="nil"/>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18"/>
                <w:szCs w:val="18"/>
                <w:lang w:bidi="ar-SA"/>
              </w:rPr>
            </w:pPr>
            <w:r w:rsidRPr="00C652BB">
              <w:rPr>
                <w:rFonts w:ascii="Calibri" w:eastAsia="Times New Roman" w:hAnsi="Calibri" w:cs="Times New Roman"/>
                <w:color w:val="000000"/>
                <w:sz w:val="18"/>
                <w:szCs w:val="18"/>
                <w:lang w:bidi="ar-SA"/>
              </w:rPr>
              <w:t>Sugar Industry Liabilities</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18"/>
                <w:szCs w:val="18"/>
                <w:lang w:bidi="ar-SA"/>
              </w:rPr>
            </w:pPr>
            <w:r w:rsidRPr="00C652BB">
              <w:rPr>
                <w:rFonts w:ascii="Calibri" w:eastAsia="Times New Roman" w:hAnsi="Calibri" w:cs="Times New Roman"/>
                <w:color w:val="000000"/>
                <w:sz w:val="18"/>
                <w:szCs w:val="18"/>
                <w:lang w:bidi="ar-SA"/>
              </w:rPr>
              <w:t xml:space="preserve">                    116 </w:t>
            </w:r>
          </w:p>
        </w:tc>
        <w:tc>
          <w:tcPr>
            <w:tcW w:w="2123" w:type="dxa"/>
            <w:tcBorders>
              <w:top w:val="single" w:sz="4" w:space="0" w:color="auto"/>
              <w:left w:val="nil"/>
              <w:bottom w:val="single" w:sz="4" w:space="0" w:color="auto"/>
              <w:right w:val="single" w:sz="4" w:space="0" w:color="auto"/>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18"/>
                <w:szCs w:val="18"/>
                <w:lang w:bidi="ar-SA"/>
              </w:rPr>
            </w:pPr>
            <w:r w:rsidRPr="00C652BB">
              <w:rPr>
                <w:rFonts w:ascii="Calibri" w:eastAsia="Times New Roman" w:hAnsi="Calibri" w:cs="Times New Roman"/>
                <w:color w:val="000000"/>
                <w:sz w:val="18"/>
                <w:szCs w:val="18"/>
                <w:lang w:bidi="ar-SA"/>
              </w:rPr>
              <w:t>US  Million during 2008 2013</w:t>
            </w:r>
          </w:p>
        </w:tc>
        <w:tc>
          <w:tcPr>
            <w:tcW w:w="1639" w:type="dxa"/>
            <w:tcBorders>
              <w:top w:val="single" w:sz="4" w:space="0" w:color="auto"/>
              <w:left w:val="nil"/>
              <w:bottom w:val="single" w:sz="4" w:space="0" w:color="auto"/>
              <w:right w:val="single" w:sz="4" w:space="0" w:color="auto"/>
            </w:tcBorders>
            <w:shd w:val="clear" w:color="auto" w:fill="auto"/>
            <w:vAlign w:val="bottom"/>
            <w:hideMark/>
          </w:tcPr>
          <w:p w:rsidR="00C652BB" w:rsidRPr="00C652BB" w:rsidRDefault="00C652BB" w:rsidP="00C652BB">
            <w:pPr>
              <w:spacing w:after="0" w:line="240" w:lineRule="auto"/>
              <w:jc w:val="left"/>
              <w:rPr>
                <w:rFonts w:ascii="Calibri" w:eastAsia="Times New Roman" w:hAnsi="Calibri" w:cs="Times New Roman"/>
                <w:color w:val="000000"/>
                <w:sz w:val="18"/>
                <w:szCs w:val="18"/>
                <w:lang w:bidi="ar-SA"/>
              </w:rPr>
            </w:pPr>
            <w:r w:rsidRPr="00C652BB">
              <w:rPr>
                <w:rFonts w:ascii="Calibri" w:eastAsia="Times New Roman" w:hAnsi="Calibri" w:cs="Times New Roman"/>
                <w:color w:val="000000"/>
                <w:sz w:val="18"/>
                <w:szCs w:val="18"/>
                <w:lang w:bidi="ar-SA"/>
              </w:rPr>
              <w:t>Sugar Area Development Programme</w:t>
            </w:r>
          </w:p>
        </w:tc>
        <w:tc>
          <w:tcPr>
            <w:tcW w:w="1420" w:type="dxa"/>
            <w:tcBorders>
              <w:top w:val="nil"/>
              <w:left w:val="nil"/>
              <w:bottom w:val="nil"/>
              <w:right w:val="nil"/>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22"/>
                <w:szCs w:val="22"/>
                <w:lang w:bidi="ar-SA"/>
              </w:rPr>
            </w:pPr>
          </w:p>
        </w:tc>
        <w:tc>
          <w:tcPr>
            <w:tcW w:w="1400" w:type="dxa"/>
            <w:tcBorders>
              <w:top w:val="nil"/>
              <w:left w:val="nil"/>
              <w:bottom w:val="nil"/>
              <w:right w:val="nil"/>
            </w:tcBorders>
            <w:shd w:val="clear" w:color="auto" w:fill="auto"/>
            <w:noWrap/>
            <w:vAlign w:val="bottom"/>
            <w:hideMark/>
          </w:tcPr>
          <w:p w:rsidR="00C652BB" w:rsidRPr="00C652BB" w:rsidRDefault="00C652BB" w:rsidP="00C652BB">
            <w:pPr>
              <w:spacing w:after="0" w:line="240" w:lineRule="auto"/>
              <w:jc w:val="left"/>
              <w:rPr>
                <w:rFonts w:ascii="Calibri" w:eastAsia="Times New Roman" w:hAnsi="Calibri" w:cs="Times New Roman"/>
                <w:color w:val="000000"/>
                <w:sz w:val="22"/>
                <w:szCs w:val="22"/>
                <w:lang w:bidi="ar-SA"/>
              </w:rPr>
            </w:pPr>
          </w:p>
        </w:tc>
      </w:tr>
      <w:tr w:rsidR="00C73B4A" w:rsidRPr="00C652BB" w:rsidTr="00C652BB">
        <w:trPr>
          <w:trHeight w:val="300"/>
        </w:trPr>
        <w:tc>
          <w:tcPr>
            <w:tcW w:w="4400"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ascii="Calibri" w:eastAsia="Times New Roman" w:hAnsi="Calibri" w:cs="Times New Roman"/>
                <w:color w:val="000000"/>
                <w:sz w:val="18"/>
                <w:szCs w:val="18"/>
                <w:lang w:bidi="ar-SA"/>
              </w:rPr>
            </w:pPr>
            <w:r w:rsidRPr="00C652BB">
              <w:rPr>
                <w:rFonts w:eastAsia="Times New Roman" w:cs="Times New Roman"/>
                <w:b/>
                <w:bCs/>
                <w:color w:val="000000"/>
                <w:sz w:val="18"/>
                <w:szCs w:val="18"/>
                <w:lang w:bidi="ar-SA"/>
              </w:rPr>
              <w:t>Calculation of Benefits</w:t>
            </w:r>
          </w:p>
        </w:tc>
        <w:tc>
          <w:tcPr>
            <w:tcW w:w="1300"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ascii="Calibri" w:eastAsia="Times New Roman" w:hAnsi="Calibri" w:cs="Times New Roman"/>
                <w:color w:val="000000"/>
                <w:sz w:val="18"/>
                <w:szCs w:val="18"/>
                <w:lang w:bidi="ar-SA"/>
              </w:rPr>
            </w:pPr>
          </w:p>
        </w:tc>
        <w:tc>
          <w:tcPr>
            <w:tcW w:w="2123"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ascii="Calibri" w:eastAsia="Times New Roman" w:hAnsi="Calibri" w:cs="Times New Roman"/>
                <w:color w:val="000000"/>
                <w:sz w:val="18"/>
                <w:szCs w:val="18"/>
                <w:lang w:bidi="ar-SA"/>
              </w:rPr>
            </w:pPr>
          </w:p>
        </w:tc>
        <w:tc>
          <w:tcPr>
            <w:tcW w:w="1639"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ascii="Calibri" w:eastAsia="Times New Roman" w:hAnsi="Calibri" w:cs="Times New Roman"/>
                <w:color w:val="000000"/>
                <w:sz w:val="18"/>
                <w:szCs w:val="18"/>
                <w:lang w:bidi="ar-SA"/>
              </w:rPr>
            </w:pPr>
          </w:p>
        </w:tc>
        <w:tc>
          <w:tcPr>
            <w:tcW w:w="1420"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ascii="Calibri" w:eastAsia="Times New Roman" w:hAnsi="Calibri" w:cs="Times New Roman"/>
                <w:color w:val="000000"/>
                <w:sz w:val="22"/>
                <w:szCs w:val="22"/>
                <w:lang w:bidi="ar-SA"/>
              </w:rPr>
            </w:pPr>
          </w:p>
        </w:tc>
        <w:tc>
          <w:tcPr>
            <w:tcW w:w="1400"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ascii="Calibri" w:eastAsia="Times New Roman" w:hAnsi="Calibri" w:cs="Times New Roman"/>
                <w:color w:val="000000"/>
                <w:sz w:val="22"/>
                <w:szCs w:val="22"/>
                <w:lang w:bidi="ar-SA"/>
              </w:rPr>
            </w:pPr>
          </w:p>
        </w:tc>
      </w:tr>
      <w:tr w:rsidR="00C73B4A" w:rsidRPr="00C652BB" w:rsidTr="0029779B">
        <w:trPr>
          <w:trHeight w:val="300"/>
        </w:trPr>
        <w:tc>
          <w:tcPr>
            <w:tcW w:w="4400" w:type="dxa"/>
            <w:tcBorders>
              <w:top w:val="single" w:sz="4" w:space="0" w:color="auto"/>
              <w:left w:val="single" w:sz="4" w:space="0" w:color="auto"/>
              <w:bottom w:val="single" w:sz="4" w:space="0" w:color="auto"/>
              <w:right w:val="nil"/>
            </w:tcBorders>
            <w:shd w:val="clear" w:color="000000" w:fill="B7DEE8"/>
            <w:noWrap/>
            <w:vAlign w:val="bottom"/>
            <w:hideMark/>
          </w:tcPr>
          <w:p w:rsidR="00C73B4A" w:rsidRPr="00C652BB" w:rsidRDefault="00C73B4A" w:rsidP="00C652BB">
            <w:pPr>
              <w:spacing w:after="0" w:line="240" w:lineRule="auto"/>
              <w:jc w:val="left"/>
              <w:rPr>
                <w:rFonts w:eastAsia="Times New Roman" w:cs="Times New Roman"/>
                <w:b/>
                <w:bCs/>
                <w:color w:val="000000"/>
                <w:sz w:val="18"/>
                <w:szCs w:val="18"/>
                <w:lang w:bidi="ar-SA"/>
              </w:rPr>
            </w:pPr>
            <w:r w:rsidRPr="00C652BB">
              <w:rPr>
                <w:rFonts w:eastAsia="Times New Roman" w:cs="Times New Roman"/>
                <w:b/>
                <w:bCs/>
                <w:color w:val="4F81BD"/>
                <w:sz w:val="18"/>
                <w:szCs w:val="18"/>
                <w:lang w:bidi="ar-SA"/>
              </w:rPr>
              <w:t>Components</w:t>
            </w:r>
          </w:p>
        </w:tc>
        <w:tc>
          <w:tcPr>
            <w:tcW w:w="1300" w:type="dxa"/>
            <w:tcBorders>
              <w:top w:val="single" w:sz="4" w:space="0" w:color="auto"/>
              <w:left w:val="nil"/>
              <w:bottom w:val="single" w:sz="4" w:space="0" w:color="auto"/>
              <w:right w:val="nil"/>
            </w:tcBorders>
            <w:shd w:val="clear" w:color="000000" w:fill="B7DEE8"/>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b/>
                <w:bCs/>
                <w:color w:val="4F81BD"/>
                <w:sz w:val="18"/>
                <w:szCs w:val="18"/>
                <w:lang w:bidi="ar-SA"/>
              </w:rPr>
              <w:t> </w:t>
            </w:r>
          </w:p>
        </w:tc>
        <w:tc>
          <w:tcPr>
            <w:tcW w:w="2123" w:type="dxa"/>
            <w:tcBorders>
              <w:top w:val="single" w:sz="4" w:space="0" w:color="auto"/>
              <w:left w:val="single" w:sz="4" w:space="0" w:color="auto"/>
              <w:bottom w:val="single" w:sz="4" w:space="0" w:color="auto"/>
              <w:right w:val="nil"/>
            </w:tcBorders>
            <w:shd w:val="clear" w:color="000000" w:fill="B7DEE8"/>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b/>
                <w:bCs/>
                <w:color w:val="4F81BD"/>
                <w:sz w:val="18"/>
                <w:szCs w:val="18"/>
                <w:lang w:bidi="ar-SA"/>
              </w:rPr>
              <w:t>Baseline (2008)</w:t>
            </w:r>
          </w:p>
        </w:tc>
        <w:tc>
          <w:tcPr>
            <w:tcW w:w="1639" w:type="dxa"/>
            <w:tcBorders>
              <w:top w:val="single" w:sz="4" w:space="0" w:color="auto"/>
              <w:left w:val="nil"/>
              <w:bottom w:val="single" w:sz="4" w:space="0" w:color="auto"/>
              <w:right w:val="single" w:sz="4" w:space="0" w:color="auto"/>
            </w:tcBorders>
            <w:shd w:val="clear" w:color="000000" w:fill="B7DEE8"/>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b/>
                <w:bCs/>
                <w:color w:val="4F81BD"/>
                <w:sz w:val="18"/>
                <w:szCs w:val="18"/>
                <w:lang w:bidi="ar-SA"/>
              </w:rPr>
              <w:t> </w:t>
            </w:r>
          </w:p>
        </w:tc>
        <w:tc>
          <w:tcPr>
            <w:tcW w:w="1420" w:type="dxa"/>
            <w:tcBorders>
              <w:top w:val="single" w:sz="4" w:space="0" w:color="auto"/>
              <w:left w:val="nil"/>
              <w:bottom w:val="single" w:sz="4" w:space="0" w:color="auto"/>
              <w:right w:val="single" w:sz="4" w:space="0" w:color="auto"/>
            </w:tcBorders>
            <w:shd w:val="clear" w:color="000000" w:fill="B7DEE8"/>
            <w:noWrap/>
            <w:vAlign w:val="bottom"/>
            <w:hideMark/>
          </w:tcPr>
          <w:p w:rsidR="00C73B4A" w:rsidRPr="00C652BB" w:rsidRDefault="00C73B4A" w:rsidP="00C652BB">
            <w:pPr>
              <w:spacing w:after="0" w:line="240" w:lineRule="auto"/>
              <w:jc w:val="left"/>
              <w:rPr>
                <w:rFonts w:eastAsia="Times New Roman" w:cs="Times New Roman"/>
                <w:color w:val="000000"/>
                <w:lang w:bidi="ar-SA"/>
              </w:rPr>
            </w:pPr>
            <w:r w:rsidRPr="00C652BB">
              <w:rPr>
                <w:rFonts w:eastAsia="Times New Roman" w:cs="Times New Roman"/>
                <w:b/>
                <w:bCs/>
                <w:color w:val="4F81BD"/>
                <w:lang w:bidi="ar-SA"/>
              </w:rPr>
              <w:t>With Project</w:t>
            </w:r>
          </w:p>
        </w:tc>
        <w:tc>
          <w:tcPr>
            <w:tcW w:w="1400" w:type="dxa"/>
            <w:tcBorders>
              <w:top w:val="single" w:sz="4" w:space="0" w:color="auto"/>
              <w:left w:val="nil"/>
              <w:bottom w:val="single" w:sz="4" w:space="0" w:color="auto"/>
              <w:right w:val="single" w:sz="4" w:space="0" w:color="auto"/>
            </w:tcBorders>
            <w:shd w:val="clear" w:color="000000" w:fill="B7DEE8"/>
            <w:noWrap/>
            <w:vAlign w:val="bottom"/>
            <w:hideMark/>
          </w:tcPr>
          <w:p w:rsidR="00C73B4A" w:rsidRPr="00C652BB" w:rsidRDefault="00C73B4A" w:rsidP="00C652BB">
            <w:pPr>
              <w:spacing w:after="0" w:line="240" w:lineRule="auto"/>
              <w:jc w:val="left"/>
              <w:rPr>
                <w:rFonts w:eastAsia="Times New Roman" w:cs="Times New Roman"/>
                <w:color w:val="000000"/>
                <w:lang w:bidi="ar-SA"/>
              </w:rPr>
            </w:pPr>
            <w:r w:rsidRPr="00C652BB">
              <w:rPr>
                <w:rFonts w:eastAsia="Times New Roman" w:cs="Times New Roman"/>
                <w:b/>
                <w:bCs/>
                <w:color w:val="4F81BD"/>
                <w:lang w:bidi="ar-SA"/>
              </w:rPr>
              <w:t>Comment</w:t>
            </w:r>
          </w:p>
        </w:tc>
      </w:tr>
      <w:tr w:rsidR="00C73B4A" w:rsidRPr="00C652BB" w:rsidTr="0029779B">
        <w:trPr>
          <w:trHeight w:val="300"/>
        </w:trPr>
        <w:tc>
          <w:tcPr>
            <w:tcW w:w="4400" w:type="dxa"/>
            <w:tcBorders>
              <w:top w:val="nil"/>
              <w:left w:val="single" w:sz="4" w:space="0" w:color="auto"/>
              <w:bottom w:val="single" w:sz="4" w:space="0" w:color="auto"/>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b/>
                <w:bCs/>
                <w:color w:val="4F81BD"/>
                <w:sz w:val="18"/>
                <w:szCs w:val="18"/>
                <w:lang w:bidi="ar-SA"/>
              </w:rPr>
            </w:pPr>
            <w:r w:rsidRPr="00C652BB">
              <w:rPr>
                <w:rFonts w:eastAsia="Times New Roman" w:cs="Times New Roman"/>
                <w:color w:val="000000"/>
                <w:sz w:val="18"/>
                <w:szCs w:val="18"/>
                <w:lang w:bidi="ar-SA"/>
              </w:rPr>
              <w:t xml:space="preserve"> </w:t>
            </w:r>
          </w:p>
        </w:tc>
        <w:tc>
          <w:tcPr>
            <w:tcW w:w="1300" w:type="dxa"/>
            <w:tcBorders>
              <w:top w:val="nil"/>
              <w:left w:val="single" w:sz="4" w:space="0" w:color="auto"/>
              <w:bottom w:val="nil"/>
              <w:right w:val="single" w:sz="4" w:space="0" w:color="auto"/>
            </w:tcBorders>
            <w:shd w:val="clear" w:color="000000" w:fill="DAEEF3"/>
            <w:noWrap/>
            <w:vAlign w:val="bottom"/>
            <w:hideMark/>
          </w:tcPr>
          <w:p w:rsidR="00C73B4A" w:rsidRPr="00C652BB" w:rsidRDefault="00C73B4A" w:rsidP="00C652BB">
            <w:pPr>
              <w:spacing w:after="0" w:line="240" w:lineRule="auto"/>
              <w:jc w:val="left"/>
              <w:rPr>
                <w:rFonts w:eastAsia="Times New Roman" w:cs="Times New Roman"/>
                <w:b/>
                <w:bCs/>
                <w:color w:val="4F81BD"/>
                <w:sz w:val="18"/>
                <w:szCs w:val="18"/>
                <w:lang w:bidi="ar-SA"/>
              </w:rPr>
            </w:pPr>
            <w:r w:rsidRPr="00C652BB">
              <w:rPr>
                <w:rFonts w:eastAsia="Times New Roman" w:cs="Times New Roman"/>
                <w:color w:val="000000"/>
                <w:sz w:val="18"/>
                <w:szCs w:val="18"/>
                <w:lang w:bidi="ar-SA"/>
              </w:rPr>
              <w:t>Parameter</w:t>
            </w:r>
          </w:p>
        </w:tc>
        <w:tc>
          <w:tcPr>
            <w:tcW w:w="2123" w:type="dxa"/>
            <w:tcBorders>
              <w:top w:val="nil"/>
              <w:left w:val="nil"/>
              <w:bottom w:val="nil"/>
              <w:right w:val="nil"/>
            </w:tcBorders>
            <w:shd w:val="clear" w:color="000000" w:fill="DAEEF3"/>
            <w:noWrap/>
            <w:vAlign w:val="bottom"/>
            <w:hideMark/>
          </w:tcPr>
          <w:p w:rsidR="00C73B4A" w:rsidRPr="00C652BB" w:rsidRDefault="00C73B4A" w:rsidP="00C652BB">
            <w:pPr>
              <w:spacing w:after="0" w:line="240" w:lineRule="auto"/>
              <w:jc w:val="left"/>
              <w:rPr>
                <w:rFonts w:eastAsia="Times New Roman" w:cs="Times New Roman"/>
                <w:b/>
                <w:bCs/>
                <w:color w:val="4F81BD"/>
                <w:sz w:val="18"/>
                <w:szCs w:val="18"/>
                <w:lang w:bidi="ar-SA"/>
              </w:rPr>
            </w:pPr>
            <w:r w:rsidRPr="00C652BB">
              <w:rPr>
                <w:rFonts w:eastAsia="Times New Roman" w:cs="Times New Roman"/>
                <w:color w:val="000000"/>
                <w:sz w:val="18"/>
                <w:szCs w:val="18"/>
                <w:lang w:bidi="ar-SA"/>
              </w:rPr>
              <w:t>Measure</w:t>
            </w:r>
          </w:p>
        </w:tc>
        <w:tc>
          <w:tcPr>
            <w:tcW w:w="1639" w:type="dxa"/>
            <w:tcBorders>
              <w:top w:val="nil"/>
              <w:left w:val="nil"/>
              <w:bottom w:val="nil"/>
              <w:right w:val="single" w:sz="4" w:space="0" w:color="auto"/>
            </w:tcBorders>
            <w:shd w:val="clear" w:color="000000" w:fill="DAEEF3"/>
            <w:noWrap/>
            <w:vAlign w:val="bottom"/>
            <w:hideMark/>
          </w:tcPr>
          <w:p w:rsidR="00C73B4A" w:rsidRPr="00C652BB" w:rsidRDefault="00C73B4A" w:rsidP="00C652BB">
            <w:pPr>
              <w:spacing w:after="0" w:line="240" w:lineRule="auto"/>
              <w:jc w:val="left"/>
              <w:rPr>
                <w:rFonts w:eastAsia="Times New Roman" w:cs="Times New Roman"/>
                <w:b/>
                <w:bCs/>
                <w:color w:val="4F81BD"/>
                <w:sz w:val="18"/>
                <w:szCs w:val="18"/>
                <w:lang w:bidi="ar-SA"/>
              </w:rPr>
            </w:pPr>
            <w:r w:rsidRPr="00C652BB">
              <w:rPr>
                <w:rFonts w:eastAsia="Times New Roman" w:cs="Times New Roman"/>
                <w:color w:val="000000"/>
                <w:sz w:val="18"/>
                <w:szCs w:val="18"/>
                <w:lang w:bidi="ar-SA"/>
              </w:rPr>
              <w:t>Amount (US Million)</w:t>
            </w:r>
          </w:p>
        </w:tc>
        <w:tc>
          <w:tcPr>
            <w:tcW w:w="1420" w:type="dxa"/>
            <w:tcBorders>
              <w:top w:val="nil"/>
              <w:left w:val="nil"/>
              <w:bottom w:val="nil"/>
              <w:right w:val="single" w:sz="4" w:space="0" w:color="auto"/>
            </w:tcBorders>
            <w:shd w:val="clear" w:color="000000" w:fill="DAEEF3"/>
            <w:noWrap/>
            <w:vAlign w:val="bottom"/>
            <w:hideMark/>
          </w:tcPr>
          <w:p w:rsidR="00C73B4A" w:rsidRPr="00C652BB" w:rsidRDefault="00C73B4A" w:rsidP="00C652BB">
            <w:pPr>
              <w:spacing w:after="0" w:line="240" w:lineRule="auto"/>
              <w:jc w:val="left"/>
              <w:rPr>
                <w:rFonts w:eastAsia="Times New Roman" w:cs="Times New Roman"/>
                <w:b/>
                <w:bCs/>
                <w:color w:val="4F81BD"/>
                <w:lang w:bidi="ar-SA"/>
              </w:rPr>
            </w:pPr>
            <w:r w:rsidRPr="00C652BB">
              <w:rPr>
                <w:rFonts w:eastAsia="Times New Roman" w:cs="Times New Roman"/>
                <w:color w:val="000000"/>
                <w:lang w:bidi="ar-SA"/>
              </w:rPr>
              <w:t>New Measure</w:t>
            </w:r>
          </w:p>
        </w:tc>
        <w:tc>
          <w:tcPr>
            <w:tcW w:w="1400" w:type="dxa"/>
            <w:tcBorders>
              <w:top w:val="nil"/>
              <w:left w:val="nil"/>
              <w:bottom w:val="nil"/>
              <w:right w:val="single" w:sz="4" w:space="0" w:color="auto"/>
            </w:tcBorders>
            <w:shd w:val="clear" w:color="000000" w:fill="DAEEF3"/>
            <w:noWrap/>
            <w:vAlign w:val="bottom"/>
            <w:hideMark/>
          </w:tcPr>
          <w:p w:rsidR="00C73B4A" w:rsidRPr="00C652BB" w:rsidRDefault="00C73B4A" w:rsidP="00C652BB">
            <w:pPr>
              <w:spacing w:after="0" w:line="240" w:lineRule="auto"/>
              <w:jc w:val="left"/>
              <w:rPr>
                <w:rFonts w:eastAsia="Times New Roman" w:cs="Times New Roman"/>
                <w:b/>
                <w:bCs/>
                <w:color w:val="4F81BD"/>
                <w:lang w:bidi="ar-SA"/>
              </w:rPr>
            </w:pPr>
            <w:r w:rsidRPr="00C652BB">
              <w:rPr>
                <w:rFonts w:eastAsia="Times New Roman" w:cs="Times New Roman"/>
                <w:color w:val="000000"/>
                <w:lang w:bidi="ar-SA"/>
              </w:rPr>
              <w:t xml:space="preserve"> </w:t>
            </w:r>
          </w:p>
        </w:tc>
      </w:tr>
      <w:tr w:rsidR="00C73B4A" w:rsidRPr="00C652BB" w:rsidTr="0029779B">
        <w:trPr>
          <w:trHeight w:val="300"/>
        </w:trPr>
        <w:tc>
          <w:tcPr>
            <w:tcW w:w="4400" w:type="dxa"/>
            <w:tcBorders>
              <w:top w:val="nil"/>
              <w:left w:val="single" w:sz="4" w:space="0" w:color="auto"/>
              <w:bottom w:val="single" w:sz="4" w:space="0" w:color="auto"/>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Reduction in Budget Support for Air Jamaica</w:t>
            </w:r>
          </w:p>
        </w:tc>
        <w:tc>
          <w:tcPr>
            <w:tcW w:w="1300" w:type="dxa"/>
            <w:tcBorders>
              <w:top w:val="single" w:sz="4" w:space="0" w:color="auto"/>
              <w:left w:val="single" w:sz="4" w:space="0" w:color="auto"/>
              <w:bottom w:val="single" w:sz="4" w:space="0" w:color="auto"/>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Budget Line</w:t>
            </w:r>
          </w:p>
        </w:tc>
        <w:tc>
          <w:tcPr>
            <w:tcW w:w="2123" w:type="dxa"/>
            <w:tcBorders>
              <w:top w:val="single" w:sz="4" w:space="0" w:color="auto"/>
              <w:left w:val="nil"/>
              <w:bottom w:val="single" w:sz="4" w:space="0" w:color="auto"/>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US Million</w:t>
            </w:r>
          </w:p>
        </w:tc>
        <w:tc>
          <w:tcPr>
            <w:tcW w:w="1639" w:type="dxa"/>
            <w:tcBorders>
              <w:top w:val="single" w:sz="4" w:space="0" w:color="auto"/>
              <w:left w:val="nil"/>
              <w:bottom w:val="single" w:sz="4" w:space="0" w:color="auto"/>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 xml:space="preserve">               100.00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lang w:bidi="ar-SA"/>
              </w:rPr>
            </w:pPr>
            <w:r w:rsidRPr="00C652BB">
              <w:rPr>
                <w:rFonts w:eastAsia="Times New Roman" w:cs="Times New Roman"/>
                <w:color w:val="000000"/>
                <w:lang w:bidi="ar-SA"/>
              </w:rPr>
              <w:t>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lang w:bidi="ar-SA"/>
              </w:rPr>
            </w:pPr>
            <w:r w:rsidRPr="00C652BB">
              <w:rPr>
                <w:rFonts w:eastAsia="Times New Roman" w:cs="Times New Roman"/>
                <w:color w:val="000000"/>
                <w:lang w:bidi="ar-SA"/>
              </w:rPr>
              <w:t> </w:t>
            </w:r>
          </w:p>
        </w:tc>
      </w:tr>
      <w:tr w:rsidR="00C73B4A" w:rsidRPr="00C652BB" w:rsidTr="00C73B4A">
        <w:trPr>
          <w:trHeight w:val="300"/>
        </w:trPr>
        <w:tc>
          <w:tcPr>
            <w:tcW w:w="4400" w:type="dxa"/>
            <w:tcBorders>
              <w:top w:val="nil"/>
              <w:left w:val="single" w:sz="4" w:space="0" w:color="auto"/>
              <w:bottom w:val="nil"/>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Reduction in Budget Support for Sugar Industry</w:t>
            </w:r>
          </w:p>
        </w:tc>
        <w:tc>
          <w:tcPr>
            <w:tcW w:w="1300" w:type="dxa"/>
            <w:tcBorders>
              <w:top w:val="nil"/>
              <w:left w:val="single" w:sz="4" w:space="0" w:color="auto"/>
              <w:bottom w:val="single" w:sz="4" w:space="0" w:color="auto"/>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Budget Line</w:t>
            </w:r>
          </w:p>
        </w:tc>
        <w:tc>
          <w:tcPr>
            <w:tcW w:w="2123" w:type="dxa"/>
            <w:tcBorders>
              <w:top w:val="nil"/>
              <w:left w:val="nil"/>
              <w:bottom w:val="single" w:sz="4" w:space="0" w:color="auto"/>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US Million</w:t>
            </w:r>
          </w:p>
        </w:tc>
        <w:tc>
          <w:tcPr>
            <w:tcW w:w="1639" w:type="dxa"/>
            <w:tcBorders>
              <w:top w:val="nil"/>
              <w:left w:val="single" w:sz="4" w:space="0" w:color="auto"/>
              <w:bottom w:val="single" w:sz="4" w:space="0" w:color="auto"/>
              <w:right w:val="single" w:sz="4" w:space="0" w:color="auto"/>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 xml:space="preserve">                 169.0 </w:t>
            </w:r>
          </w:p>
        </w:tc>
        <w:tc>
          <w:tcPr>
            <w:tcW w:w="1420" w:type="dxa"/>
            <w:tcBorders>
              <w:top w:val="nil"/>
              <w:left w:val="nil"/>
              <w:bottom w:val="single" w:sz="4" w:space="0" w:color="auto"/>
              <w:right w:val="single" w:sz="4" w:space="0" w:color="auto"/>
            </w:tcBorders>
            <w:shd w:val="clear" w:color="auto" w:fill="auto"/>
            <w:noWrap/>
            <w:vAlign w:val="bottom"/>
            <w:hideMark/>
          </w:tcPr>
          <w:p w:rsidR="00C73B4A" w:rsidRPr="00C652BB" w:rsidRDefault="00C73B4A" w:rsidP="00C652BB">
            <w:pPr>
              <w:spacing w:after="0" w:line="240" w:lineRule="auto"/>
              <w:jc w:val="right"/>
              <w:rPr>
                <w:rFonts w:eastAsia="Times New Roman" w:cs="Times New Roman"/>
                <w:color w:val="000000"/>
                <w:lang w:bidi="ar-SA"/>
              </w:rPr>
            </w:pPr>
            <w:r w:rsidRPr="00C652BB">
              <w:rPr>
                <w:rFonts w:eastAsia="Times New Roman" w:cs="Times New Roman"/>
                <w:color w:val="000000"/>
                <w:lang w:bidi="ar-SA"/>
              </w:rPr>
              <w:t xml:space="preserve">                         -   </w:t>
            </w:r>
          </w:p>
        </w:tc>
        <w:tc>
          <w:tcPr>
            <w:tcW w:w="1400" w:type="dxa"/>
            <w:tcBorders>
              <w:top w:val="nil"/>
              <w:left w:val="nil"/>
              <w:bottom w:val="nil"/>
              <w:right w:val="single" w:sz="4" w:space="0" w:color="auto"/>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lang w:bidi="ar-SA"/>
              </w:rPr>
            </w:pPr>
            <w:r w:rsidRPr="00C652BB">
              <w:rPr>
                <w:rFonts w:eastAsia="Times New Roman" w:cs="Times New Roman"/>
                <w:color w:val="000000"/>
                <w:lang w:bidi="ar-SA"/>
              </w:rPr>
              <w:t> </w:t>
            </w:r>
          </w:p>
        </w:tc>
      </w:tr>
      <w:tr w:rsidR="00C73B4A" w:rsidRPr="00C652BB" w:rsidTr="00C73B4A">
        <w:trPr>
          <w:trHeight w:val="1007"/>
        </w:trPr>
        <w:tc>
          <w:tcPr>
            <w:tcW w:w="4400" w:type="dxa"/>
            <w:tcBorders>
              <w:top w:val="single" w:sz="4" w:space="0" w:color="auto"/>
              <w:left w:val="single" w:sz="4" w:space="0" w:color="auto"/>
              <w:bottom w:val="single" w:sz="4" w:space="0" w:color="auto"/>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Air Jamaica Liabilities</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Budget Line</w:t>
            </w:r>
          </w:p>
        </w:tc>
        <w:tc>
          <w:tcPr>
            <w:tcW w:w="21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US Million</w:t>
            </w:r>
          </w:p>
        </w:tc>
        <w:tc>
          <w:tcPr>
            <w:tcW w:w="16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 xml:space="preserve">                       -   </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lang w:bidi="ar-SA"/>
              </w:rPr>
            </w:pPr>
            <w:r w:rsidRPr="00C652BB">
              <w:rPr>
                <w:rFonts w:eastAsia="Times New Roman" w:cs="Times New Roman"/>
                <w:color w:val="000000"/>
                <w:lang w:bidi="ar-SA"/>
              </w:rPr>
              <w:t>493</w:t>
            </w:r>
          </w:p>
        </w:tc>
        <w:tc>
          <w:tcPr>
            <w:tcW w:w="1400" w:type="dxa"/>
            <w:tcBorders>
              <w:top w:val="single" w:sz="4" w:space="0" w:color="auto"/>
              <w:left w:val="nil"/>
              <w:bottom w:val="nil"/>
              <w:right w:val="single" w:sz="4" w:space="0" w:color="auto"/>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lang w:bidi="ar-SA"/>
              </w:rPr>
            </w:pPr>
            <w:r w:rsidRPr="00C652BB">
              <w:rPr>
                <w:rFonts w:eastAsia="Times New Roman" w:cs="Times New Roman"/>
                <w:color w:val="000000"/>
                <w:lang w:bidi="ar-SA"/>
              </w:rPr>
              <w:t>Liabilities were assumed in one year at the time of divestiture</w:t>
            </w:r>
          </w:p>
        </w:tc>
      </w:tr>
      <w:tr w:rsidR="00C73B4A" w:rsidRPr="00C652BB" w:rsidTr="00C73B4A">
        <w:trPr>
          <w:trHeight w:val="944"/>
        </w:trPr>
        <w:tc>
          <w:tcPr>
            <w:tcW w:w="4400" w:type="dxa"/>
            <w:tcBorders>
              <w:top w:val="nil"/>
              <w:left w:val="single" w:sz="4" w:space="0" w:color="auto"/>
              <w:bottom w:val="single" w:sz="4" w:space="0" w:color="auto"/>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Sugar Industry Liabilities</w:t>
            </w:r>
          </w:p>
        </w:tc>
        <w:tc>
          <w:tcPr>
            <w:tcW w:w="1300" w:type="dxa"/>
            <w:tcBorders>
              <w:top w:val="nil"/>
              <w:left w:val="single" w:sz="4" w:space="0" w:color="auto"/>
              <w:bottom w:val="single" w:sz="4" w:space="0" w:color="auto"/>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Budget Line</w:t>
            </w:r>
          </w:p>
        </w:tc>
        <w:tc>
          <w:tcPr>
            <w:tcW w:w="2123" w:type="dxa"/>
            <w:tcBorders>
              <w:top w:val="nil"/>
              <w:left w:val="nil"/>
              <w:bottom w:val="single" w:sz="4" w:space="0" w:color="auto"/>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US Million</w:t>
            </w:r>
          </w:p>
        </w:tc>
        <w:tc>
          <w:tcPr>
            <w:tcW w:w="1639" w:type="dxa"/>
            <w:tcBorders>
              <w:top w:val="nil"/>
              <w:left w:val="single" w:sz="4" w:space="0" w:color="auto"/>
              <w:bottom w:val="single" w:sz="4" w:space="0" w:color="auto"/>
              <w:right w:val="single" w:sz="4" w:space="0" w:color="auto"/>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 xml:space="preserve">                       -   </w:t>
            </w:r>
          </w:p>
        </w:tc>
        <w:tc>
          <w:tcPr>
            <w:tcW w:w="1420" w:type="dxa"/>
            <w:tcBorders>
              <w:top w:val="nil"/>
              <w:left w:val="nil"/>
              <w:bottom w:val="single" w:sz="4" w:space="0" w:color="auto"/>
              <w:right w:val="single" w:sz="4" w:space="0" w:color="auto"/>
            </w:tcBorders>
            <w:shd w:val="clear" w:color="auto" w:fill="auto"/>
            <w:noWrap/>
            <w:vAlign w:val="bottom"/>
            <w:hideMark/>
          </w:tcPr>
          <w:p w:rsidR="00C73B4A" w:rsidRPr="00C652BB" w:rsidRDefault="00C73B4A" w:rsidP="00C652BB">
            <w:pPr>
              <w:spacing w:after="0" w:line="240" w:lineRule="auto"/>
              <w:jc w:val="right"/>
              <w:rPr>
                <w:rFonts w:eastAsia="Times New Roman" w:cs="Times New Roman"/>
                <w:color w:val="000000"/>
                <w:lang w:bidi="ar-SA"/>
              </w:rPr>
            </w:pPr>
            <w:r w:rsidRPr="00C652BB">
              <w:rPr>
                <w:rFonts w:eastAsia="Times New Roman" w:cs="Times New Roman"/>
                <w:color w:val="000000"/>
                <w:lang w:bidi="ar-SA"/>
              </w:rPr>
              <w:t xml:space="preserve">                 116.00 </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C73B4A" w:rsidRPr="00C652BB" w:rsidRDefault="00C73B4A" w:rsidP="00C652BB">
            <w:pPr>
              <w:spacing w:after="0" w:line="240" w:lineRule="auto"/>
              <w:jc w:val="left"/>
              <w:rPr>
                <w:rFonts w:eastAsia="Times New Roman" w:cs="Times New Roman"/>
                <w:color w:val="000000"/>
                <w:lang w:bidi="ar-SA"/>
              </w:rPr>
            </w:pPr>
            <w:r w:rsidRPr="00C652BB">
              <w:rPr>
                <w:rFonts w:eastAsia="Times New Roman" w:cs="Times New Roman"/>
                <w:color w:val="000000"/>
                <w:lang w:bidi="ar-SA"/>
              </w:rPr>
              <w:t>Liabilities were assumed</w:t>
            </w:r>
            <w:r>
              <w:rPr>
                <w:rFonts w:eastAsia="Times New Roman" w:cs="Times New Roman"/>
                <w:color w:val="000000"/>
                <w:lang w:bidi="ar-SA"/>
              </w:rPr>
              <w:t xml:space="preserve"> </w:t>
            </w:r>
            <w:r w:rsidRPr="00C652BB">
              <w:rPr>
                <w:rFonts w:eastAsia="Times New Roman" w:cs="Times New Roman"/>
                <w:color w:val="000000"/>
                <w:lang w:bidi="ar-SA"/>
              </w:rPr>
              <w:t>for a five year period</w:t>
            </w:r>
          </w:p>
        </w:tc>
      </w:tr>
      <w:tr w:rsidR="00C73B4A" w:rsidRPr="00C652BB" w:rsidTr="0029779B">
        <w:trPr>
          <w:trHeight w:val="300"/>
        </w:trPr>
        <w:tc>
          <w:tcPr>
            <w:tcW w:w="4400" w:type="dxa"/>
            <w:tcBorders>
              <w:top w:val="single" w:sz="4" w:space="0" w:color="auto"/>
              <w:left w:val="single" w:sz="4" w:space="0" w:color="auto"/>
              <w:bottom w:val="single" w:sz="4" w:space="0" w:color="auto"/>
              <w:right w:val="nil"/>
            </w:tcBorders>
            <w:shd w:val="clear" w:color="000000" w:fill="C5D9F1"/>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Sensitivity Analysis</w:t>
            </w:r>
          </w:p>
        </w:tc>
        <w:tc>
          <w:tcPr>
            <w:tcW w:w="1300" w:type="dxa"/>
            <w:tcBorders>
              <w:top w:val="single" w:sz="4" w:space="0" w:color="auto"/>
              <w:left w:val="nil"/>
              <w:bottom w:val="single" w:sz="4" w:space="0" w:color="auto"/>
              <w:right w:val="single" w:sz="4" w:space="0" w:color="auto"/>
            </w:tcBorders>
            <w:shd w:val="clear" w:color="000000" w:fill="C5D9F1"/>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α</w:t>
            </w:r>
          </w:p>
        </w:tc>
        <w:tc>
          <w:tcPr>
            <w:tcW w:w="2123" w:type="dxa"/>
            <w:tcBorders>
              <w:top w:val="single" w:sz="4" w:space="0" w:color="auto"/>
              <w:left w:val="nil"/>
              <w:bottom w:val="single" w:sz="4" w:space="0" w:color="auto"/>
              <w:right w:val="single" w:sz="4" w:space="0" w:color="auto"/>
            </w:tcBorders>
            <w:shd w:val="clear" w:color="000000" w:fill="C5D9F1"/>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NPV</w:t>
            </w:r>
          </w:p>
        </w:tc>
        <w:tc>
          <w:tcPr>
            <w:tcW w:w="1639"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p>
        </w:tc>
        <w:tc>
          <w:tcPr>
            <w:tcW w:w="1420"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lang w:bidi="ar-SA"/>
              </w:rPr>
            </w:pPr>
          </w:p>
        </w:tc>
        <w:tc>
          <w:tcPr>
            <w:tcW w:w="1400"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lang w:bidi="ar-SA"/>
              </w:rPr>
            </w:pPr>
          </w:p>
        </w:tc>
      </w:tr>
      <w:tr w:rsidR="00C73B4A" w:rsidRPr="00C652BB" w:rsidTr="0029779B">
        <w:trPr>
          <w:trHeight w:val="300"/>
        </w:trPr>
        <w:tc>
          <w:tcPr>
            <w:tcW w:w="4400" w:type="dxa"/>
            <w:tcBorders>
              <w:top w:val="nil"/>
              <w:left w:val="single" w:sz="4" w:space="0" w:color="auto"/>
              <w:bottom w:val="nil"/>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Scenario 1</w:t>
            </w:r>
          </w:p>
        </w:tc>
        <w:tc>
          <w:tcPr>
            <w:tcW w:w="1300" w:type="dxa"/>
            <w:tcBorders>
              <w:top w:val="nil"/>
              <w:left w:val="nil"/>
              <w:bottom w:val="nil"/>
              <w:right w:val="single" w:sz="4" w:space="0" w:color="auto"/>
            </w:tcBorders>
            <w:shd w:val="clear" w:color="auto" w:fill="auto"/>
            <w:noWrap/>
            <w:vAlign w:val="bottom"/>
            <w:hideMark/>
          </w:tcPr>
          <w:p w:rsidR="00C73B4A" w:rsidRPr="00C652BB" w:rsidRDefault="00C73B4A" w:rsidP="00C73B4A">
            <w:pPr>
              <w:spacing w:after="0" w:line="240" w:lineRule="auto"/>
              <w:rPr>
                <w:rFonts w:eastAsia="Times New Roman" w:cs="Times New Roman"/>
                <w:color w:val="000000"/>
                <w:sz w:val="18"/>
                <w:szCs w:val="18"/>
                <w:lang w:bidi="ar-SA"/>
              </w:rPr>
            </w:pPr>
            <w:r w:rsidRPr="00C652BB">
              <w:rPr>
                <w:rFonts w:eastAsia="Times New Roman" w:cs="Times New Roman"/>
                <w:color w:val="000000"/>
                <w:sz w:val="18"/>
                <w:szCs w:val="18"/>
                <w:lang w:bidi="ar-SA"/>
              </w:rPr>
              <w:t>1.00</w:t>
            </w:r>
          </w:p>
        </w:tc>
        <w:tc>
          <w:tcPr>
            <w:tcW w:w="2123" w:type="dxa"/>
            <w:tcBorders>
              <w:top w:val="nil"/>
              <w:left w:val="nil"/>
              <w:bottom w:val="nil"/>
              <w:right w:val="single" w:sz="4" w:space="0" w:color="auto"/>
            </w:tcBorders>
            <w:shd w:val="clear" w:color="auto" w:fill="auto"/>
            <w:noWrap/>
            <w:vAlign w:val="bottom"/>
            <w:hideMark/>
          </w:tcPr>
          <w:p w:rsidR="00C73B4A" w:rsidRPr="00C652BB" w:rsidRDefault="00C73B4A" w:rsidP="00C73B4A">
            <w:pPr>
              <w:spacing w:after="0" w:line="240" w:lineRule="auto"/>
              <w:rPr>
                <w:rFonts w:eastAsia="Times New Roman" w:cs="Times New Roman"/>
                <w:color w:val="000000"/>
                <w:sz w:val="18"/>
                <w:szCs w:val="18"/>
                <w:lang w:bidi="ar-SA"/>
              </w:rPr>
            </w:pPr>
            <w:r w:rsidRPr="00C652BB">
              <w:rPr>
                <w:rFonts w:eastAsia="Times New Roman" w:cs="Times New Roman"/>
                <w:color w:val="000000"/>
                <w:sz w:val="18"/>
                <w:szCs w:val="18"/>
                <w:lang w:bidi="ar-SA"/>
              </w:rPr>
              <w:t>935.42</w:t>
            </w:r>
          </w:p>
        </w:tc>
        <w:tc>
          <w:tcPr>
            <w:tcW w:w="1639"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p>
        </w:tc>
        <w:tc>
          <w:tcPr>
            <w:tcW w:w="1420"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lang w:bidi="ar-SA"/>
              </w:rPr>
            </w:pPr>
          </w:p>
        </w:tc>
        <w:tc>
          <w:tcPr>
            <w:tcW w:w="1400"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lang w:bidi="ar-SA"/>
              </w:rPr>
            </w:pPr>
          </w:p>
        </w:tc>
      </w:tr>
      <w:tr w:rsidR="00C73B4A" w:rsidRPr="00C652BB" w:rsidTr="00C652BB">
        <w:trPr>
          <w:trHeight w:val="300"/>
        </w:trPr>
        <w:tc>
          <w:tcPr>
            <w:tcW w:w="4400" w:type="dxa"/>
            <w:tcBorders>
              <w:top w:val="nil"/>
              <w:left w:val="single" w:sz="4" w:space="0" w:color="auto"/>
              <w:bottom w:val="nil"/>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Scenario 2</w:t>
            </w:r>
          </w:p>
        </w:tc>
        <w:tc>
          <w:tcPr>
            <w:tcW w:w="1300" w:type="dxa"/>
            <w:tcBorders>
              <w:top w:val="nil"/>
              <w:left w:val="nil"/>
              <w:bottom w:val="nil"/>
              <w:right w:val="single" w:sz="4" w:space="0" w:color="auto"/>
            </w:tcBorders>
            <w:shd w:val="clear" w:color="auto" w:fill="auto"/>
            <w:noWrap/>
            <w:vAlign w:val="bottom"/>
            <w:hideMark/>
          </w:tcPr>
          <w:p w:rsidR="00C73B4A" w:rsidRPr="00C652BB" w:rsidRDefault="00C73B4A" w:rsidP="00C73B4A">
            <w:pPr>
              <w:spacing w:after="0" w:line="240" w:lineRule="auto"/>
              <w:rPr>
                <w:rFonts w:eastAsia="Times New Roman" w:cs="Times New Roman"/>
                <w:color w:val="000000"/>
                <w:sz w:val="18"/>
                <w:szCs w:val="18"/>
                <w:lang w:bidi="ar-SA"/>
              </w:rPr>
            </w:pPr>
            <w:r w:rsidRPr="00C652BB">
              <w:rPr>
                <w:rFonts w:eastAsia="Times New Roman" w:cs="Times New Roman"/>
                <w:color w:val="000000"/>
                <w:sz w:val="18"/>
                <w:szCs w:val="18"/>
                <w:lang w:bidi="ar-SA"/>
              </w:rPr>
              <w:t>1.25</w:t>
            </w:r>
          </w:p>
        </w:tc>
        <w:tc>
          <w:tcPr>
            <w:tcW w:w="2123" w:type="dxa"/>
            <w:tcBorders>
              <w:top w:val="nil"/>
              <w:left w:val="nil"/>
              <w:bottom w:val="nil"/>
              <w:right w:val="single" w:sz="4" w:space="0" w:color="auto"/>
            </w:tcBorders>
            <w:shd w:val="clear" w:color="auto" w:fill="auto"/>
            <w:noWrap/>
            <w:vAlign w:val="bottom"/>
            <w:hideMark/>
          </w:tcPr>
          <w:p w:rsidR="00C73B4A" w:rsidRPr="00C652BB" w:rsidRDefault="00C73B4A" w:rsidP="00C73B4A">
            <w:pPr>
              <w:spacing w:after="0" w:line="240" w:lineRule="auto"/>
              <w:rPr>
                <w:rFonts w:eastAsia="Times New Roman" w:cs="Times New Roman"/>
                <w:color w:val="000000"/>
                <w:sz w:val="18"/>
                <w:szCs w:val="18"/>
                <w:lang w:bidi="ar-SA"/>
              </w:rPr>
            </w:pPr>
            <w:r w:rsidRPr="00C652BB">
              <w:rPr>
                <w:rFonts w:eastAsia="Times New Roman" w:cs="Times New Roman"/>
                <w:color w:val="000000"/>
                <w:sz w:val="18"/>
                <w:szCs w:val="18"/>
                <w:lang w:bidi="ar-SA"/>
              </w:rPr>
              <w:t>1367.41</w:t>
            </w:r>
          </w:p>
        </w:tc>
        <w:tc>
          <w:tcPr>
            <w:tcW w:w="1639"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p>
        </w:tc>
        <w:tc>
          <w:tcPr>
            <w:tcW w:w="1420"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lang w:bidi="ar-SA"/>
              </w:rPr>
            </w:pPr>
          </w:p>
        </w:tc>
        <w:tc>
          <w:tcPr>
            <w:tcW w:w="1400"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lang w:bidi="ar-SA"/>
              </w:rPr>
            </w:pPr>
          </w:p>
        </w:tc>
      </w:tr>
      <w:tr w:rsidR="00C73B4A" w:rsidRPr="00C652BB" w:rsidTr="0029779B">
        <w:trPr>
          <w:trHeight w:val="300"/>
        </w:trPr>
        <w:tc>
          <w:tcPr>
            <w:tcW w:w="4400" w:type="dxa"/>
            <w:tcBorders>
              <w:top w:val="nil"/>
              <w:left w:val="single" w:sz="4" w:space="0" w:color="auto"/>
              <w:bottom w:val="single" w:sz="4" w:space="0" w:color="auto"/>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r w:rsidRPr="00C652BB">
              <w:rPr>
                <w:rFonts w:eastAsia="Times New Roman" w:cs="Times New Roman"/>
                <w:color w:val="000000"/>
                <w:sz w:val="18"/>
                <w:szCs w:val="18"/>
                <w:lang w:bidi="ar-SA"/>
              </w:rPr>
              <w:t>Scenario 3</w:t>
            </w:r>
          </w:p>
        </w:tc>
        <w:tc>
          <w:tcPr>
            <w:tcW w:w="1300" w:type="dxa"/>
            <w:tcBorders>
              <w:top w:val="nil"/>
              <w:left w:val="nil"/>
              <w:bottom w:val="single" w:sz="4" w:space="0" w:color="auto"/>
              <w:right w:val="single" w:sz="4" w:space="0" w:color="auto"/>
            </w:tcBorders>
            <w:shd w:val="clear" w:color="auto" w:fill="auto"/>
            <w:noWrap/>
            <w:vAlign w:val="bottom"/>
            <w:hideMark/>
          </w:tcPr>
          <w:p w:rsidR="00C73B4A" w:rsidRPr="00C652BB" w:rsidRDefault="00C73B4A" w:rsidP="00C73B4A">
            <w:pPr>
              <w:spacing w:after="0" w:line="240" w:lineRule="auto"/>
              <w:rPr>
                <w:rFonts w:eastAsia="Times New Roman" w:cs="Times New Roman"/>
                <w:color w:val="000000"/>
                <w:sz w:val="18"/>
                <w:szCs w:val="18"/>
                <w:lang w:bidi="ar-SA"/>
              </w:rPr>
            </w:pPr>
            <w:r w:rsidRPr="00C652BB">
              <w:rPr>
                <w:rFonts w:eastAsia="Times New Roman" w:cs="Times New Roman"/>
                <w:color w:val="000000"/>
                <w:sz w:val="18"/>
                <w:szCs w:val="18"/>
                <w:lang w:bidi="ar-SA"/>
              </w:rPr>
              <w:t>0.80</w:t>
            </w:r>
          </w:p>
        </w:tc>
        <w:tc>
          <w:tcPr>
            <w:tcW w:w="2123" w:type="dxa"/>
            <w:tcBorders>
              <w:top w:val="nil"/>
              <w:left w:val="nil"/>
              <w:bottom w:val="single" w:sz="4" w:space="0" w:color="auto"/>
              <w:right w:val="single" w:sz="4" w:space="0" w:color="auto"/>
            </w:tcBorders>
            <w:shd w:val="clear" w:color="auto" w:fill="auto"/>
            <w:noWrap/>
            <w:vAlign w:val="bottom"/>
            <w:hideMark/>
          </w:tcPr>
          <w:p w:rsidR="00C73B4A" w:rsidRPr="00C652BB" w:rsidRDefault="00C73B4A" w:rsidP="00C73B4A">
            <w:pPr>
              <w:spacing w:after="0" w:line="240" w:lineRule="auto"/>
              <w:rPr>
                <w:rFonts w:eastAsia="Times New Roman" w:cs="Times New Roman"/>
                <w:color w:val="000000"/>
                <w:sz w:val="18"/>
                <w:szCs w:val="18"/>
                <w:lang w:bidi="ar-SA"/>
              </w:rPr>
            </w:pPr>
            <w:r w:rsidRPr="00C652BB">
              <w:rPr>
                <w:rFonts w:eastAsia="Times New Roman" w:cs="Times New Roman"/>
                <w:color w:val="000000"/>
                <w:sz w:val="18"/>
                <w:szCs w:val="18"/>
                <w:lang w:bidi="ar-SA"/>
              </w:rPr>
              <w:t>594.94</w:t>
            </w:r>
          </w:p>
        </w:tc>
        <w:tc>
          <w:tcPr>
            <w:tcW w:w="1639"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sz w:val="18"/>
                <w:szCs w:val="18"/>
                <w:lang w:bidi="ar-SA"/>
              </w:rPr>
            </w:pPr>
          </w:p>
        </w:tc>
        <w:tc>
          <w:tcPr>
            <w:tcW w:w="1420"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lang w:bidi="ar-SA"/>
              </w:rPr>
            </w:pPr>
          </w:p>
        </w:tc>
        <w:tc>
          <w:tcPr>
            <w:tcW w:w="1400" w:type="dxa"/>
            <w:tcBorders>
              <w:top w:val="nil"/>
              <w:left w:val="nil"/>
              <w:bottom w:val="nil"/>
              <w:right w:val="nil"/>
            </w:tcBorders>
            <w:shd w:val="clear" w:color="auto" w:fill="auto"/>
            <w:noWrap/>
            <w:vAlign w:val="bottom"/>
            <w:hideMark/>
          </w:tcPr>
          <w:p w:rsidR="00C73B4A" w:rsidRPr="00C652BB" w:rsidRDefault="00C73B4A" w:rsidP="00C652BB">
            <w:pPr>
              <w:spacing w:after="0" w:line="240" w:lineRule="auto"/>
              <w:jc w:val="left"/>
              <w:rPr>
                <w:rFonts w:eastAsia="Times New Roman" w:cs="Times New Roman"/>
                <w:color w:val="000000"/>
                <w:lang w:bidi="ar-SA"/>
              </w:rPr>
            </w:pPr>
          </w:p>
        </w:tc>
      </w:tr>
    </w:tbl>
    <w:p w:rsidR="00D80E58" w:rsidRDefault="00E95EE4" w:rsidP="00DB0B02">
      <w:pPr>
        <w:spacing w:before="120" w:after="120" w:line="240" w:lineRule="auto"/>
        <w:ind w:left="720"/>
        <w:rPr>
          <w:rFonts w:eastAsia="Times New Roman" w:cs="Times New Roman"/>
        </w:rPr>
      </w:pPr>
      <w:r w:rsidRPr="00E95EE4">
        <w:rPr>
          <w:noProof/>
          <w:lang w:bidi="ar-SA"/>
        </w:rPr>
        <w:lastRenderedPageBreak/>
        <w:drawing>
          <wp:inline distT="0" distB="0" distL="0" distR="0" wp14:anchorId="34A9A37D" wp14:editId="6AF1B279">
            <wp:extent cx="8229600" cy="168565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29600" cy="1685658"/>
                    </a:xfrm>
                    <a:prstGeom prst="rect">
                      <a:avLst/>
                    </a:prstGeom>
                    <a:noFill/>
                    <a:ln>
                      <a:noFill/>
                    </a:ln>
                  </pic:spPr>
                </pic:pic>
              </a:graphicData>
            </a:graphic>
          </wp:inline>
        </w:drawing>
      </w:r>
    </w:p>
    <w:p w:rsidR="00E95EE4" w:rsidRDefault="00E95EE4" w:rsidP="00E95EE4">
      <w:pPr>
        <w:pStyle w:val="Heading4"/>
        <w:ind w:left="1080"/>
        <w:sectPr w:rsidR="00E95EE4" w:rsidSect="008C1DEE">
          <w:pgSz w:w="15840" w:h="12240" w:orient="landscape"/>
          <w:pgMar w:top="1440" w:right="1440" w:bottom="1440" w:left="1440" w:header="720" w:footer="720" w:gutter="0"/>
          <w:cols w:space="720"/>
          <w:docGrid w:linePitch="360"/>
        </w:sectPr>
      </w:pPr>
    </w:p>
    <w:p w:rsidR="00E95EE4" w:rsidRDefault="00E95EE4" w:rsidP="00E95EE4">
      <w:pPr>
        <w:pStyle w:val="Heading4"/>
        <w:ind w:left="1080"/>
      </w:pPr>
    </w:p>
    <w:p w:rsidR="0056513D" w:rsidRDefault="0056513D" w:rsidP="0056513D">
      <w:pPr>
        <w:pStyle w:val="Heading4"/>
        <w:numPr>
          <w:ilvl w:val="0"/>
          <w:numId w:val="16"/>
        </w:numPr>
      </w:pPr>
      <w:r>
        <w:t>increased access to finance</w:t>
      </w:r>
    </w:p>
    <w:p w:rsidR="0056513D" w:rsidRPr="006103AF" w:rsidRDefault="0056513D" w:rsidP="00AD034E">
      <w:pPr>
        <w:spacing w:before="120" w:after="120" w:line="240" w:lineRule="auto"/>
        <w:ind w:left="720"/>
        <w:rPr>
          <w:rFonts w:eastAsia="Times New Roman" w:cs="Times New Roman"/>
        </w:rPr>
      </w:pPr>
      <w:r>
        <w:rPr>
          <w:rFonts w:eastAsia="Times New Roman" w:cs="Times New Roman"/>
        </w:rPr>
        <w:t xml:space="preserve"> </w:t>
      </w:r>
      <w:r w:rsidRPr="00AF3774">
        <w:rPr>
          <w:rFonts w:eastAsia="Times New Roman" w:cs="Times New Roman"/>
        </w:rPr>
        <w:t xml:space="preserve">The </w:t>
      </w:r>
      <w:r w:rsidRPr="006103AF">
        <w:rPr>
          <w:rFonts w:eastAsia="Times New Roman" w:cs="Times New Roman"/>
        </w:rPr>
        <w:t xml:space="preserve">JCEP involves a series of reforms to </w:t>
      </w:r>
      <w:r w:rsidR="00920F48" w:rsidRPr="006103AF">
        <w:rPr>
          <w:rFonts w:eastAsia="Times New Roman" w:cs="Times New Roman"/>
        </w:rPr>
        <w:t>promote greater access to finance</w:t>
      </w:r>
      <w:r w:rsidR="00AF3774" w:rsidRPr="006103AF">
        <w:rPr>
          <w:rFonts w:eastAsia="Times New Roman" w:cs="Times New Roman"/>
        </w:rPr>
        <w:t>, including establishing legal and institutional frameworks for secured transactions, credit bureaus, electronic transactions and mobile banking.</w:t>
      </w:r>
    </w:p>
    <w:p w:rsidR="00CA07A8" w:rsidRDefault="006103AF" w:rsidP="00AD034E">
      <w:pPr>
        <w:spacing w:before="120" w:after="120" w:line="240" w:lineRule="auto"/>
        <w:ind w:left="720"/>
        <w:rPr>
          <w:rFonts w:cs="Times New Roman"/>
        </w:rPr>
      </w:pPr>
      <w:r w:rsidRPr="006103AF">
        <w:rPr>
          <w:rFonts w:eastAsia="Times New Roman" w:cs="Arial"/>
        </w:rPr>
        <w:t xml:space="preserve"> E</w:t>
      </w:r>
      <w:r w:rsidR="00AF3774" w:rsidRPr="006103AF">
        <w:rPr>
          <w:rFonts w:eastAsia="Times New Roman" w:cs="Arial"/>
        </w:rPr>
        <w:t>mpirical evidence shows a strong link between financial depth and national economic growth, and furthermore, research suggests that financial development generates pro-poor growth and has a greater impact on poor households and small enterprises</w:t>
      </w:r>
      <w:r w:rsidR="00AF3774" w:rsidRPr="006103AF">
        <w:rPr>
          <w:rStyle w:val="EndnoteReference"/>
          <w:rFonts w:eastAsia="Times New Roman" w:cs="Arial"/>
        </w:rPr>
        <w:endnoteReference w:id="5"/>
      </w:r>
      <w:r w:rsidR="00AF3774" w:rsidRPr="006103AF">
        <w:rPr>
          <w:rFonts w:eastAsia="Times New Roman" w:cs="Arial"/>
        </w:rPr>
        <w:t>. In Jamaica, it is estimated that 35% of the population has access to Bank accounts and 21% of the adult population has access to credit</w:t>
      </w:r>
      <w:r w:rsidR="00AF3774" w:rsidRPr="006103AF">
        <w:rPr>
          <w:rStyle w:val="EndnoteReference"/>
          <w:rFonts w:eastAsia="Times New Roman" w:cs="Arial"/>
        </w:rPr>
        <w:endnoteReference w:id="6"/>
      </w:r>
      <w:r w:rsidR="00AF3774" w:rsidRPr="006103AF">
        <w:rPr>
          <w:rFonts w:eastAsia="Times New Roman" w:cs="Arial"/>
        </w:rPr>
        <w:t xml:space="preserve"> In addition, low income economies show a higher rate of penetration of mobile telephony than commercial Bank accounts</w:t>
      </w:r>
      <w:r w:rsidR="00AF3774" w:rsidRPr="006103AF">
        <w:rPr>
          <w:rStyle w:val="EndnoteReference"/>
          <w:rFonts w:eastAsia="Times New Roman" w:cs="Arial"/>
        </w:rPr>
        <w:endnoteReference w:id="7"/>
      </w:r>
      <w:r w:rsidR="00AF3774" w:rsidRPr="006103AF">
        <w:rPr>
          <w:rFonts w:eastAsia="Times New Roman" w:cs="Arial"/>
        </w:rPr>
        <w:t>.</w:t>
      </w:r>
      <w:r w:rsidRPr="006103AF">
        <w:rPr>
          <w:rFonts w:eastAsia="Times New Roman" w:cs="Arial"/>
        </w:rPr>
        <w:t xml:space="preserve"> </w:t>
      </w:r>
      <w:r w:rsidRPr="006103AF">
        <w:rPr>
          <w:rFonts w:cs="Times New Roman"/>
        </w:rPr>
        <w:t xml:space="preserve">Furthermore these measures have </w:t>
      </w:r>
      <w:r w:rsidR="00C34518">
        <w:rPr>
          <w:rFonts w:cs="Times New Roman"/>
        </w:rPr>
        <w:t xml:space="preserve">been </w:t>
      </w:r>
      <w:r w:rsidRPr="006103AF">
        <w:rPr>
          <w:rFonts w:cs="Times New Roman"/>
        </w:rPr>
        <w:t xml:space="preserve">shown to be pro-poor in addition to </w:t>
      </w:r>
      <w:r w:rsidRPr="001768AC">
        <w:rPr>
          <w:rFonts w:cs="Times New Roman"/>
        </w:rPr>
        <w:t xml:space="preserve">being pro-growth, but the scope of the impact on the GDP depends on the particular set of variables and </w:t>
      </w:r>
      <w:r w:rsidR="00D855E0">
        <w:rPr>
          <w:rFonts w:cs="Times New Roman"/>
        </w:rPr>
        <w:t xml:space="preserve">it </w:t>
      </w:r>
      <w:r w:rsidRPr="001768AC">
        <w:rPr>
          <w:rFonts w:cs="Times New Roman"/>
        </w:rPr>
        <w:t>is challenging to predict the increase in productivity based on the approval and implementation of a set of laws that tackle barriers on access to finance and promote a reduction in risks and cost. A</w:t>
      </w:r>
      <w:r w:rsidR="00D855E0">
        <w:rPr>
          <w:rFonts w:cs="Times New Roman"/>
        </w:rPr>
        <w:t>mple</w:t>
      </w:r>
      <w:r w:rsidRPr="001768AC">
        <w:rPr>
          <w:rFonts w:cs="Times New Roman"/>
        </w:rPr>
        <w:t xml:space="preserve"> literature is available on these issues</w:t>
      </w:r>
      <w:r w:rsidRPr="001768AC">
        <w:rPr>
          <w:rStyle w:val="EndnoteReference"/>
          <w:rFonts w:cs="Times New Roman"/>
        </w:rPr>
        <w:endnoteReference w:id="8"/>
      </w:r>
      <w:r w:rsidRPr="001768AC">
        <w:rPr>
          <w:rFonts w:cs="Times New Roman"/>
        </w:rPr>
        <w:t xml:space="preserve"> that shows a positive relationship between increasing access to finance and GDP growth,  but with variations according to the country, the size of the economy, the size of the firms.</w:t>
      </w:r>
    </w:p>
    <w:p w:rsidR="00914A50" w:rsidRDefault="00914A50" w:rsidP="00914A50">
      <w:pPr>
        <w:spacing w:before="120" w:after="120" w:line="240" w:lineRule="auto"/>
        <w:ind w:left="720"/>
      </w:pPr>
      <w:r>
        <w:t>Empirical evidence in similar reforms in the region suggest that the reduction of asymmetries in credit information will result in an increase in access to credit for new borrowers and firms, as well as an increase in loan size for solidarity groups</w:t>
      </w:r>
      <w:r>
        <w:rPr>
          <w:rStyle w:val="FootnoteReference"/>
        </w:rPr>
        <w:footnoteReference w:id="39"/>
      </w:r>
      <w:r>
        <w:t>. In addition, the elimination of financial constraints, in particular for smaller firms, will have an increase in profits and returns to capital with a larger effect in smaller firms</w:t>
      </w:r>
      <w:r>
        <w:rPr>
          <w:rStyle w:val="FootnoteReference"/>
        </w:rPr>
        <w:footnoteReference w:id="40"/>
      </w:r>
      <w:r>
        <w:t>.</w:t>
      </w:r>
    </w:p>
    <w:p w:rsidR="00914A50" w:rsidRDefault="00914A50" w:rsidP="00AD034E">
      <w:pPr>
        <w:spacing w:before="120" w:after="120" w:line="240" w:lineRule="auto"/>
        <w:ind w:left="720"/>
        <w:rPr>
          <w:rFonts w:cs="Times New Roman"/>
        </w:rPr>
      </w:pPr>
    </w:p>
    <w:p w:rsidR="00AF3774" w:rsidRPr="001768AC" w:rsidRDefault="006103AF" w:rsidP="00CA07A8">
      <w:pPr>
        <w:spacing w:before="120" w:after="120" w:line="240" w:lineRule="auto"/>
        <w:ind w:left="720"/>
        <w:rPr>
          <w:rFonts w:eastAsia="Times New Roman" w:cs="Times New Roman"/>
        </w:rPr>
      </w:pPr>
      <w:r w:rsidRPr="001768AC">
        <w:rPr>
          <w:rFonts w:eastAsia="Times New Roman" w:cs="Arial"/>
        </w:rPr>
        <w:t xml:space="preserve"> </w:t>
      </w:r>
      <w:r w:rsidR="00D855E0">
        <w:rPr>
          <w:rFonts w:eastAsia="Times New Roman" w:cs="Arial"/>
        </w:rPr>
        <w:t>Similarly</w:t>
      </w:r>
      <w:r w:rsidR="001768AC" w:rsidRPr="001768AC">
        <w:rPr>
          <w:rFonts w:eastAsia="Times New Roman" w:cs="Arial"/>
        </w:rPr>
        <w:t xml:space="preserve">, </w:t>
      </w:r>
      <w:r w:rsidRPr="001768AC">
        <w:rPr>
          <w:rFonts w:eastAsia="Times New Roman" w:cs="Arial"/>
        </w:rPr>
        <w:t>M</w:t>
      </w:r>
      <w:r w:rsidR="00AF3774" w:rsidRPr="001768AC">
        <w:rPr>
          <w:rFonts w:eastAsia="Times New Roman" w:cs="Arial"/>
        </w:rPr>
        <w:t xml:space="preserve">obile telephony provides new opportunities for economic growth, not only </w:t>
      </w:r>
      <w:r w:rsidR="00D855E0">
        <w:rPr>
          <w:rFonts w:eastAsia="Times New Roman" w:cs="Arial"/>
        </w:rPr>
        <w:t xml:space="preserve">by </w:t>
      </w:r>
      <w:r w:rsidR="00AF3774" w:rsidRPr="001768AC">
        <w:rPr>
          <w:rFonts w:eastAsia="Times New Roman" w:cs="Arial"/>
        </w:rPr>
        <w:t>provid</w:t>
      </w:r>
      <w:r w:rsidR="00D855E0">
        <w:rPr>
          <w:rFonts w:eastAsia="Times New Roman" w:cs="Arial"/>
        </w:rPr>
        <w:t>ing</w:t>
      </w:r>
      <w:r w:rsidR="00AF3774" w:rsidRPr="001768AC">
        <w:rPr>
          <w:rFonts w:eastAsia="Times New Roman" w:cs="Arial"/>
        </w:rPr>
        <w:t xml:space="preserve"> financial services, but also </w:t>
      </w:r>
      <w:r w:rsidR="00D855E0">
        <w:rPr>
          <w:rFonts w:eastAsia="Times New Roman" w:cs="Arial"/>
        </w:rPr>
        <w:t xml:space="preserve">providing </w:t>
      </w:r>
      <w:r w:rsidR="00AF3774" w:rsidRPr="001768AC">
        <w:rPr>
          <w:rFonts w:eastAsia="Times New Roman" w:cs="Arial"/>
        </w:rPr>
        <w:t>a wider set of externalities</w:t>
      </w:r>
      <w:r w:rsidRPr="001768AC">
        <w:rPr>
          <w:rStyle w:val="EndnoteReference"/>
          <w:rFonts w:eastAsia="Times New Roman" w:cs="Arial"/>
        </w:rPr>
        <w:endnoteReference w:id="9"/>
      </w:r>
      <w:r w:rsidRPr="001768AC">
        <w:rPr>
          <w:rFonts w:eastAsia="Times New Roman" w:cs="Arial"/>
        </w:rPr>
        <w:t>.</w:t>
      </w:r>
      <w:r w:rsidR="00AF3774" w:rsidRPr="001768AC">
        <w:rPr>
          <w:rFonts w:eastAsia="Times New Roman" w:cs="Arial"/>
        </w:rPr>
        <w:t xml:space="preserve"> A number of studies done concluded that a 10% rise in mobile subscribers in emerging markets will lead to a .6% to 1.2% increase in GDP in those markets due to the productivity gains associated with communication as well as new jobs.</w:t>
      </w:r>
      <w:r w:rsidR="00AF3774" w:rsidRPr="001768AC">
        <w:rPr>
          <w:rStyle w:val="EndnoteReference"/>
          <w:rFonts w:eastAsia="Times New Roman" w:cs="Arial"/>
        </w:rPr>
        <w:endnoteReference w:id="10"/>
      </w:r>
      <w:r w:rsidR="00AF3774" w:rsidRPr="001768AC">
        <w:rPr>
          <w:rFonts w:eastAsia="Times New Roman" w:cs="Arial"/>
        </w:rPr>
        <w:t xml:space="preserve">  The studies further noted that the effect mobile telephony has on GDP is greater in emerging markets where connectivity is criticall</w:t>
      </w:r>
      <w:r w:rsidR="001768AC">
        <w:rPr>
          <w:rFonts w:eastAsia="Times New Roman" w:cs="Arial"/>
        </w:rPr>
        <w:t>y dependent on mobile telephony.</w:t>
      </w:r>
    </w:p>
    <w:p w:rsidR="00CA07A8" w:rsidRDefault="00CA07A8" w:rsidP="00CA07A8">
      <w:pPr>
        <w:spacing w:before="120" w:after="120" w:line="240" w:lineRule="auto"/>
        <w:ind w:left="720"/>
        <w:rPr>
          <w:rFonts w:eastAsia="Times New Roman" w:cs="Times New Roman"/>
        </w:rPr>
      </w:pPr>
      <w:r>
        <w:rPr>
          <w:rFonts w:cs="Times New Roman"/>
        </w:rPr>
        <w:t xml:space="preserve">For calculation purposes, a proxy of the elasticity of increasing access to finance of </w:t>
      </w:r>
      <w:r w:rsidRPr="001768AC">
        <w:rPr>
          <w:rFonts w:cs="Times New Roman"/>
        </w:rPr>
        <w:t>a</w:t>
      </w:r>
      <w:r>
        <w:rPr>
          <w:rFonts w:eastAsia="Times New Roman" w:cs="Times New Roman"/>
        </w:rPr>
        <w:t xml:space="preserve"> conservative elasticity of 0.001 (0.10%) was used as the effect in employment creation that was used. The assumption that increase in employment creation will have a 1% effect on GDP growth was used, with an overall compound</w:t>
      </w:r>
      <w:r w:rsidR="00EF1139">
        <w:rPr>
          <w:rFonts w:eastAsia="Times New Roman" w:cs="Times New Roman"/>
        </w:rPr>
        <w:t xml:space="preserve"> elasticity of 0.0</w:t>
      </w:r>
      <w:r w:rsidR="00346B23">
        <w:rPr>
          <w:rFonts w:eastAsia="Times New Roman" w:cs="Times New Roman"/>
        </w:rPr>
        <w:t>2</w:t>
      </w:r>
      <w:r>
        <w:rPr>
          <w:rFonts w:eastAsia="Times New Roman" w:cs="Times New Roman"/>
        </w:rPr>
        <w:t xml:space="preserve"> % of GDP</w:t>
      </w:r>
      <w:r w:rsidR="00346B23">
        <w:rPr>
          <w:rFonts w:eastAsia="Times New Roman" w:cs="Times New Roman"/>
        </w:rPr>
        <w:t>, with sensitivity analysis of up to 0.01% of GDP.</w:t>
      </w:r>
    </w:p>
    <w:p w:rsidR="00346B23" w:rsidRDefault="00346B23" w:rsidP="00CA07A8">
      <w:pPr>
        <w:spacing w:before="120" w:after="120" w:line="240" w:lineRule="auto"/>
        <w:ind w:left="720"/>
        <w:rPr>
          <w:rFonts w:eastAsia="Times New Roman" w:cs="Times New Roman"/>
        </w:rPr>
      </w:pPr>
      <w:r>
        <w:rPr>
          <w:rFonts w:eastAsia="Times New Roman" w:cs="Times New Roman"/>
        </w:rPr>
        <w:t xml:space="preserve">However, since the reforms in all the areas related to access to finance were implemented gradually during the 2008-2012 period, and some are still to be implemented in 2014, and to reflect the fact that the benefits are experienced in the medium and long term, the benefits for the implementation period (2010-2014) were calculated at half of its potential, reaching its full potential in the year 2015. It was also </w:t>
      </w:r>
      <w:r>
        <w:rPr>
          <w:rFonts w:eastAsia="Times New Roman" w:cs="Times New Roman"/>
        </w:rPr>
        <w:lastRenderedPageBreak/>
        <w:t>assumed that the increase in productivity was sustained for a period of three years to gradually decrease to a 10% of the elasticity to reflect a stabilization of the new actors after a period of time.</w:t>
      </w:r>
    </w:p>
    <w:p w:rsidR="00346B23" w:rsidRDefault="00F033E8" w:rsidP="00CA07A8">
      <w:pPr>
        <w:spacing w:before="120" w:after="120" w:line="240" w:lineRule="auto"/>
        <w:ind w:left="720"/>
        <w:rPr>
          <w:rFonts w:eastAsia="Times New Roman" w:cs="Times New Roman"/>
        </w:rPr>
      </w:pPr>
      <w:r>
        <w:rPr>
          <w:rFonts w:eastAsia="Times New Roman" w:cs="Times New Roman"/>
        </w:rPr>
        <w:t xml:space="preserve">Regarding the implementation costs, an initial amount of US </w:t>
      </w:r>
      <w:r w:rsidR="00346B23">
        <w:rPr>
          <w:rFonts w:eastAsia="Times New Roman" w:cs="Times New Roman"/>
        </w:rPr>
        <w:t xml:space="preserve">0.3 </w:t>
      </w:r>
      <w:r>
        <w:rPr>
          <w:rFonts w:eastAsia="Times New Roman" w:cs="Times New Roman"/>
        </w:rPr>
        <w:t>million</w:t>
      </w:r>
      <w:r w:rsidR="00346B23">
        <w:rPr>
          <w:rFonts w:eastAsia="Times New Roman" w:cs="Times New Roman"/>
        </w:rPr>
        <w:t xml:space="preserve"> yearly for the years of implementation</w:t>
      </w:r>
      <w:r>
        <w:rPr>
          <w:rFonts w:eastAsia="Times New Roman" w:cs="Times New Roman"/>
        </w:rPr>
        <w:t xml:space="preserve"> is estimated basically to include the </w:t>
      </w:r>
      <w:r w:rsidR="00914A50">
        <w:rPr>
          <w:rFonts w:eastAsia="Times New Roman" w:cs="Times New Roman"/>
        </w:rPr>
        <w:t>cost of</w:t>
      </w:r>
      <w:r>
        <w:rPr>
          <w:rFonts w:eastAsia="Times New Roman" w:cs="Times New Roman"/>
        </w:rPr>
        <w:t xml:space="preserve"> the drafting of the new law, expert consultants to support the reform and the implementation of a registry for Secured Transactions. The operational costs of the registry are estimated in US 200,000.</w:t>
      </w:r>
    </w:p>
    <w:p w:rsidR="0052210B" w:rsidRDefault="00C73B4A" w:rsidP="00CA07A8">
      <w:pPr>
        <w:spacing w:before="120" w:after="120" w:line="240" w:lineRule="auto"/>
        <w:ind w:left="720"/>
        <w:rPr>
          <w:rFonts w:eastAsia="Times New Roman" w:cs="Times New Roman"/>
        </w:rPr>
      </w:pPr>
      <w:r>
        <w:rPr>
          <w:rFonts w:eastAsia="Times New Roman" w:cs="Times New Roman"/>
        </w:rPr>
        <w:t>As shown on Table 5</w:t>
      </w:r>
      <w:r w:rsidR="0052210B">
        <w:rPr>
          <w:rFonts w:eastAsia="Times New Roman" w:cs="Times New Roman"/>
        </w:rPr>
        <w:t>, the sensitivity analysis shows positive NPV of up to US $193 Million, remaining positive even under a reduction of the elasticity up to 10%.</w:t>
      </w:r>
    </w:p>
    <w:p w:rsidR="00346B23" w:rsidRDefault="00346B23" w:rsidP="00CA07A8">
      <w:pPr>
        <w:spacing w:before="120" w:after="120" w:line="240" w:lineRule="auto"/>
        <w:ind w:left="720"/>
        <w:rPr>
          <w:rFonts w:eastAsia="Times New Roman" w:cs="Times New Roman"/>
        </w:rPr>
        <w:sectPr w:rsidR="00346B23" w:rsidSect="00E95EE4">
          <w:pgSz w:w="12240" w:h="15840"/>
          <w:pgMar w:top="1440" w:right="1440" w:bottom="1440" w:left="1440" w:header="720" w:footer="720" w:gutter="0"/>
          <w:cols w:space="720"/>
          <w:docGrid w:linePitch="360"/>
        </w:sectPr>
      </w:pPr>
    </w:p>
    <w:tbl>
      <w:tblPr>
        <w:tblW w:w="13221" w:type="dxa"/>
        <w:tblInd w:w="103" w:type="dxa"/>
        <w:tblLook w:val="04A0" w:firstRow="1" w:lastRow="0" w:firstColumn="1" w:lastColumn="0" w:noHBand="0" w:noVBand="1"/>
      </w:tblPr>
      <w:tblGrid>
        <w:gridCol w:w="3845"/>
        <w:gridCol w:w="1544"/>
        <w:gridCol w:w="1365"/>
        <w:gridCol w:w="2087"/>
        <w:gridCol w:w="1660"/>
        <w:gridCol w:w="2720"/>
      </w:tblGrid>
      <w:tr w:rsidR="00C73B4A" w:rsidRPr="00346B23" w:rsidTr="00C73B4A">
        <w:trPr>
          <w:trHeight w:val="300"/>
        </w:trPr>
        <w:tc>
          <w:tcPr>
            <w:tcW w:w="8841" w:type="dxa"/>
            <w:gridSpan w:val="4"/>
            <w:tcBorders>
              <w:bottom w:val="single" w:sz="4" w:space="0" w:color="auto"/>
            </w:tcBorders>
            <w:shd w:val="clear" w:color="auto" w:fill="auto"/>
            <w:noWrap/>
            <w:vAlign w:val="bottom"/>
          </w:tcPr>
          <w:p w:rsidR="00C73B4A" w:rsidRPr="00C73B4A" w:rsidRDefault="00C73B4A" w:rsidP="00346B23">
            <w:pPr>
              <w:spacing w:after="0" w:line="240" w:lineRule="auto"/>
              <w:jc w:val="left"/>
              <w:rPr>
                <w:rFonts w:ascii="Calibri" w:eastAsia="Times New Roman" w:hAnsi="Calibri" w:cs="Times New Roman"/>
                <w:b/>
                <w:bCs/>
                <w:color w:val="1F497D" w:themeColor="text2"/>
                <w:sz w:val="18"/>
                <w:szCs w:val="18"/>
                <w:lang w:bidi="ar-SA"/>
              </w:rPr>
            </w:pPr>
            <w:r>
              <w:rPr>
                <w:rFonts w:ascii="Calibri" w:eastAsia="Times New Roman" w:hAnsi="Calibri" w:cs="Times New Roman"/>
                <w:b/>
                <w:bCs/>
                <w:color w:val="1F497D" w:themeColor="text2"/>
                <w:sz w:val="18"/>
                <w:szCs w:val="18"/>
                <w:lang w:bidi="ar-SA"/>
              </w:rPr>
              <w:lastRenderedPageBreak/>
              <w:t>TABLE 5: COST BENEFIT ANALYSIS OF INCREASED ACCESS TO FINANCE</w:t>
            </w:r>
          </w:p>
        </w:tc>
        <w:tc>
          <w:tcPr>
            <w:tcW w:w="1660" w:type="dxa"/>
            <w:tcBorders>
              <w:top w:val="nil"/>
              <w:left w:val="nil"/>
              <w:bottom w:val="nil"/>
              <w:right w:val="nil"/>
            </w:tcBorders>
            <w:shd w:val="clear" w:color="auto" w:fill="auto"/>
            <w:noWrap/>
            <w:vAlign w:val="bottom"/>
          </w:tcPr>
          <w:p w:rsidR="00C73B4A" w:rsidRPr="00346B23" w:rsidRDefault="00C73B4A" w:rsidP="00346B23">
            <w:pPr>
              <w:spacing w:after="0" w:line="240" w:lineRule="auto"/>
              <w:jc w:val="left"/>
              <w:rPr>
                <w:rFonts w:ascii="Calibri" w:eastAsia="Times New Roman" w:hAnsi="Calibri" w:cs="Times New Roman"/>
                <w:color w:val="000000"/>
                <w:sz w:val="22"/>
                <w:szCs w:val="22"/>
                <w:lang w:bidi="ar-SA"/>
              </w:rPr>
            </w:pPr>
          </w:p>
        </w:tc>
        <w:tc>
          <w:tcPr>
            <w:tcW w:w="2720" w:type="dxa"/>
            <w:tcBorders>
              <w:top w:val="nil"/>
              <w:left w:val="nil"/>
              <w:bottom w:val="nil"/>
              <w:right w:val="nil"/>
            </w:tcBorders>
            <w:shd w:val="clear" w:color="auto" w:fill="auto"/>
            <w:noWrap/>
            <w:vAlign w:val="bottom"/>
          </w:tcPr>
          <w:p w:rsidR="00C73B4A" w:rsidRPr="00346B23" w:rsidRDefault="00C73B4A" w:rsidP="00346B23">
            <w:pPr>
              <w:spacing w:after="0" w:line="240" w:lineRule="auto"/>
              <w:jc w:val="left"/>
              <w:rPr>
                <w:rFonts w:ascii="Calibri" w:eastAsia="Times New Roman" w:hAnsi="Calibri" w:cs="Times New Roman"/>
                <w:color w:val="000000"/>
                <w:sz w:val="22"/>
                <w:szCs w:val="22"/>
                <w:lang w:bidi="ar-SA"/>
              </w:rPr>
            </w:pPr>
          </w:p>
        </w:tc>
      </w:tr>
      <w:tr w:rsidR="00346B23" w:rsidRPr="00346B23" w:rsidTr="00C73B4A">
        <w:trPr>
          <w:trHeight w:val="300"/>
        </w:trPr>
        <w:tc>
          <w:tcPr>
            <w:tcW w:w="8841" w:type="dxa"/>
            <w:gridSpan w:val="4"/>
            <w:tcBorders>
              <w:top w:val="single" w:sz="4" w:space="0" w:color="auto"/>
              <w:left w:val="single" w:sz="4" w:space="0" w:color="auto"/>
              <w:bottom w:val="single" w:sz="4" w:space="0" w:color="auto"/>
              <w:right w:val="single" w:sz="4" w:space="0" w:color="auto"/>
            </w:tcBorders>
            <w:shd w:val="clear" w:color="000000" w:fill="DCE6F1"/>
            <w:noWrap/>
            <w:vAlign w:val="bottom"/>
            <w:hideMark/>
          </w:tcPr>
          <w:p w:rsidR="00346B23" w:rsidRPr="00346B23" w:rsidRDefault="00346B23" w:rsidP="00346B23">
            <w:pPr>
              <w:spacing w:after="0" w:line="240" w:lineRule="auto"/>
              <w:jc w:val="left"/>
              <w:rPr>
                <w:rFonts w:ascii="Calibri" w:eastAsia="Times New Roman" w:hAnsi="Calibri" w:cs="Times New Roman"/>
                <w:b/>
                <w:bCs/>
                <w:color w:val="4F81BD"/>
                <w:sz w:val="18"/>
                <w:szCs w:val="18"/>
                <w:lang w:bidi="ar-SA"/>
              </w:rPr>
            </w:pPr>
            <w:r w:rsidRPr="00346B23">
              <w:rPr>
                <w:rFonts w:ascii="Calibri" w:eastAsia="Times New Roman" w:hAnsi="Calibri" w:cs="Times New Roman"/>
                <w:b/>
                <w:bCs/>
                <w:color w:val="4F81BD"/>
                <w:sz w:val="18"/>
                <w:szCs w:val="18"/>
                <w:lang w:bidi="ar-SA"/>
              </w:rPr>
              <w:t>Assumptions related to increase productivity to increased access to Finance</w:t>
            </w:r>
          </w:p>
        </w:tc>
        <w:tc>
          <w:tcPr>
            <w:tcW w:w="1660" w:type="dxa"/>
            <w:tcBorders>
              <w:top w:val="nil"/>
              <w:left w:val="single" w:sz="4" w:space="0" w:color="auto"/>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72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r>
      <w:tr w:rsidR="00346B23" w:rsidRPr="00346B23" w:rsidTr="00346B23">
        <w:trPr>
          <w:trHeight w:val="300"/>
        </w:trPr>
        <w:tc>
          <w:tcPr>
            <w:tcW w:w="3845" w:type="dxa"/>
            <w:tcBorders>
              <w:top w:val="nil"/>
              <w:left w:val="single" w:sz="4" w:space="0" w:color="auto"/>
              <w:bottom w:val="single" w:sz="4" w:space="0" w:color="auto"/>
              <w:right w:val="nil"/>
            </w:tcBorders>
            <w:shd w:val="clear" w:color="000000" w:fill="B7DEE8"/>
            <w:noWrap/>
            <w:vAlign w:val="bottom"/>
            <w:hideMark/>
          </w:tcPr>
          <w:p w:rsidR="00346B23" w:rsidRPr="00346B23" w:rsidRDefault="00346B23" w:rsidP="00346B23">
            <w:pPr>
              <w:spacing w:after="0" w:line="240" w:lineRule="auto"/>
              <w:jc w:val="left"/>
              <w:rPr>
                <w:rFonts w:ascii="Calibri" w:eastAsia="Times New Roman" w:hAnsi="Calibri" w:cs="Times New Roman"/>
                <w:b/>
                <w:bCs/>
                <w:color w:val="4F81BD"/>
                <w:sz w:val="18"/>
                <w:szCs w:val="18"/>
                <w:lang w:bidi="ar-SA"/>
              </w:rPr>
            </w:pPr>
            <w:r w:rsidRPr="00346B23">
              <w:rPr>
                <w:rFonts w:ascii="Calibri" w:eastAsia="Times New Roman" w:hAnsi="Calibri" w:cs="Times New Roman"/>
                <w:b/>
                <w:bCs/>
                <w:color w:val="4F81BD"/>
                <w:sz w:val="18"/>
                <w:szCs w:val="18"/>
                <w:lang w:bidi="ar-SA"/>
              </w:rPr>
              <w:t>Assumptions</w:t>
            </w:r>
          </w:p>
        </w:tc>
        <w:tc>
          <w:tcPr>
            <w:tcW w:w="1544" w:type="dxa"/>
            <w:tcBorders>
              <w:top w:val="nil"/>
              <w:left w:val="single" w:sz="4" w:space="0" w:color="auto"/>
              <w:bottom w:val="single" w:sz="4" w:space="0" w:color="auto"/>
              <w:right w:val="single" w:sz="4" w:space="0" w:color="auto"/>
            </w:tcBorders>
            <w:shd w:val="clear" w:color="000000" w:fill="B7DEE8"/>
            <w:noWrap/>
            <w:vAlign w:val="bottom"/>
            <w:hideMark/>
          </w:tcPr>
          <w:p w:rsidR="00346B23" w:rsidRPr="00346B23" w:rsidRDefault="00346B23" w:rsidP="00346B23">
            <w:pPr>
              <w:spacing w:after="0" w:line="240" w:lineRule="auto"/>
              <w:jc w:val="left"/>
              <w:rPr>
                <w:rFonts w:ascii="Calibri" w:eastAsia="Times New Roman" w:hAnsi="Calibri" w:cs="Times New Roman"/>
                <w:b/>
                <w:bCs/>
                <w:color w:val="4F81BD"/>
                <w:sz w:val="18"/>
                <w:szCs w:val="18"/>
                <w:lang w:bidi="ar-SA"/>
              </w:rPr>
            </w:pPr>
            <w:r w:rsidRPr="00346B23">
              <w:rPr>
                <w:rFonts w:ascii="Calibri" w:eastAsia="Times New Roman" w:hAnsi="Calibri" w:cs="Times New Roman"/>
                <w:b/>
                <w:bCs/>
                <w:color w:val="4F81BD"/>
                <w:sz w:val="18"/>
                <w:szCs w:val="18"/>
                <w:lang w:bidi="ar-SA"/>
              </w:rPr>
              <w:t>Parameter</w:t>
            </w:r>
          </w:p>
        </w:tc>
        <w:tc>
          <w:tcPr>
            <w:tcW w:w="1365" w:type="dxa"/>
            <w:tcBorders>
              <w:top w:val="nil"/>
              <w:left w:val="nil"/>
              <w:bottom w:val="single" w:sz="4" w:space="0" w:color="auto"/>
              <w:right w:val="single" w:sz="4" w:space="0" w:color="auto"/>
            </w:tcBorders>
            <w:shd w:val="clear" w:color="000000" w:fill="B7DEE8"/>
            <w:noWrap/>
            <w:vAlign w:val="bottom"/>
            <w:hideMark/>
          </w:tcPr>
          <w:p w:rsidR="00346B23" w:rsidRPr="00346B23" w:rsidRDefault="00346B23" w:rsidP="00346B23">
            <w:pPr>
              <w:spacing w:after="0" w:line="240" w:lineRule="auto"/>
              <w:jc w:val="left"/>
              <w:rPr>
                <w:rFonts w:ascii="Calibri" w:eastAsia="Times New Roman" w:hAnsi="Calibri" w:cs="Times New Roman"/>
                <w:b/>
                <w:bCs/>
                <w:color w:val="4F81BD"/>
                <w:sz w:val="18"/>
                <w:szCs w:val="18"/>
                <w:lang w:bidi="ar-SA"/>
              </w:rPr>
            </w:pPr>
            <w:r w:rsidRPr="00346B23">
              <w:rPr>
                <w:rFonts w:ascii="Calibri" w:eastAsia="Times New Roman" w:hAnsi="Calibri" w:cs="Times New Roman"/>
                <w:b/>
                <w:bCs/>
                <w:color w:val="4F81BD"/>
                <w:sz w:val="18"/>
                <w:szCs w:val="18"/>
                <w:lang w:bidi="ar-SA"/>
              </w:rPr>
              <w:t>Measure</w:t>
            </w:r>
          </w:p>
        </w:tc>
        <w:tc>
          <w:tcPr>
            <w:tcW w:w="2087" w:type="dxa"/>
            <w:tcBorders>
              <w:top w:val="nil"/>
              <w:left w:val="nil"/>
              <w:bottom w:val="nil"/>
              <w:right w:val="single" w:sz="4" w:space="0" w:color="auto"/>
            </w:tcBorders>
            <w:shd w:val="clear" w:color="000000" w:fill="B7DEE8"/>
            <w:noWrap/>
            <w:vAlign w:val="bottom"/>
            <w:hideMark/>
          </w:tcPr>
          <w:p w:rsidR="00346B23" w:rsidRPr="00346B23" w:rsidRDefault="00346B23" w:rsidP="00346B23">
            <w:pPr>
              <w:spacing w:after="0" w:line="240" w:lineRule="auto"/>
              <w:jc w:val="left"/>
              <w:rPr>
                <w:rFonts w:ascii="Calibri" w:eastAsia="Times New Roman" w:hAnsi="Calibri" w:cs="Times New Roman"/>
                <w:b/>
                <w:bCs/>
                <w:color w:val="4F81BD"/>
                <w:sz w:val="18"/>
                <w:szCs w:val="18"/>
                <w:lang w:bidi="ar-SA"/>
              </w:rPr>
            </w:pPr>
            <w:r w:rsidRPr="00346B23">
              <w:rPr>
                <w:rFonts w:ascii="Calibri" w:eastAsia="Times New Roman" w:hAnsi="Calibri" w:cs="Times New Roman"/>
                <w:b/>
                <w:bCs/>
                <w:color w:val="4F81BD"/>
                <w:sz w:val="18"/>
                <w:szCs w:val="18"/>
                <w:lang w:bidi="ar-SA"/>
              </w:rPr>
              <w:t>Comments</w:t>
            </w:r>
          </w:p>
        </w:tc>
        <w:tc>
          <w:tcPr>
            <w:tcW w:w="166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72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r>
      <w:tr w:rsidR="00346B23" w:rsidRPr="00346B23" w:rsidTr="00346B23">
        <w:trPr>
          <w:trHeight w:val="300"/>
        </w:trPr>
        <w:tc>
          <w:tcPr>
            <w:tcW w:w="3845" w:type="dxa"/>
            <w:tcBorders>
              <w:top w:val="nil"/>
              <w:left w:val="single" w:sz="4" w:space="0" w:color="auto"/>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GDP</w:t>
            </w:r>
          </w:p>
        </w:tc>
        <w:tc>
          <w:tcPr>
            <w:tcW w:w="1544" w:type="dxa"/>
            <w:tcBorders>
              <w:top w:val="nil"/>
              <w:left w:val="single" w:sz="4" w:space="0" w:color="auto"/>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xml:space="preserve">        14,600,000.0 </w:t>
            </w:r>
          </w:p>
        </w:tc>
        <w:tc>
          <w:tcPr>
            <w:tcW w:w="1365" w:type="dxa"/>
            <w:tcBorders>
              <w:top w:val="nil"/>
              <w:left w:val="nil"/>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USD Billion</w:t>
            </w:r>
          </w:p>
        </w:tc>
        <w:tc>
          <w:tcPr>
            <w:tcW w:w="2087" w:type="dxa"/>
            <w:tcBorders>
              <w:top w:val="single" w:sz="4" w:space="0" w:color="auto"/>
              <w:left w:val="nil"/>
              <w:bottom w:val="nil"/>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r w:rsidRPr="00346B23">
              <w:rPr>
                <w:rFonts w:ascii="Calibri" w:eastAsia="Times New Roman" w:hAnsi="Calibri" w:cs="Times New Roman"/>
                <w:color w:val="000000"/>
                <w:sz w:val="22"/>
                <w:szCs w:val="22"/>
                <w:lang w:bidi="ar-SA"/>
              </w:rPr>
              <w:t> </w:t>
            </w:r>
          </w:p>
        </w:tc>
        <w:tc>
          <w:tcPr>
            <w:tcW w:w="166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72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r>
      <w:tr w:rsidR="00346B23" w:rsidRPr="00346B23" w:rsidTr="00C73B4A">
        <w:trPr>
          <w:trHeight w:val="1097"/>
        </w:trPr>
        <w:tc>
          <w:tcPr>
            <w:tcW w:w="3845" w:type="dxa"/>
            <w:tcBorders>
              <w:top w:val="nil"/>
              <w:left w:val="single" w:sz="4" w:space="0" w:color="auto"/>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xml:space="preserve">Increase productivity </w:t>
            </w:r>
          </w:p>
        </w:tc>
        <w:tc>
          <w:tcPr>
            <w:tcW w:w="1544" w:type="dxa"/>
            <w:tcBorders>
              <w:top w:val="nil"/>
              <w:left w:val="single" w:sz="4" w:space="0" w:color="auto"/>
              <w:bottom w:val="nil"/>
              <w:right w:val="single" w:sz="4" w:space="0" w:color="auto"/>
            </w:tcBorders>
            <w:shd w:val="clear" w:color="auto" w:fill="auto"/>
            <w:noWrap/>
            <w:vAlign w:val="bottom"/>
            <w:hideMark/>
          </w:tcPr>
          <w:p w:rsidR="00346B23" w:rsidRPr="00346B23" w:rsidRDefault="00346B23" w:rsidP="00346B23">
            <w:pPr>
              <w:spacing w:after="0" w:line="240" w:lineRule="auto"/>
              <w:jc w:val="righ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0.10%</w:t>
            </w:r>
          </w:p>
        </w:tc>
        <w:tc>
          <w:tcPr>
            <w:tcW w:w="1365" w:type="dxa"/>
            <w:tcBorders>
              <w:top w:val="nil"/>
              <w:left w:val="nil"/>
              <w:bottom w:val="nil"/>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Yearly</w:t>
            </w:r>
          </w:p>
        </w:tc>
        <w:tc>
          <w:tcPr>
            <w:tcW w:w="2087" w:type="dxa"/>
            <w:tcBorders>
              <w:top w:val="single" w:sz="4" w:space="0" w:color="auto"/>
              <w:left w:val="nil"/>
              <w:bottom w:val="nil"/>
              <w:right w:val="single" w:sz="4" w:space="0" w:color="auto"/>
            </w:tcBorders>
            <w:shd w:val="clear" w:color="auto" w:fill="auto"/>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using the revealed information for m-banking as a proxy and taking a conservative approach</w:t>
            </w:r>
          </w:p>
        </w:tc>
        <w:tc>
          <w:tcPr>
            <w:tcW w:w="166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72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r>
      <w:tr w:rsidR="00346B23" w:rsidRPr="00346B23" w:rsidTr="00346B23">
        <w:trPr>
          <w:trHeight w:val="300"/>
        </w:trPr>
        <w:tc>
          <w:tcPr>
            <w:tcW w:w="3845" w:type="dxa"/>
            <w:tcBorders>
              <w:top w:val="single" w:sz="4" w:space="0" w:color="auto"/>
              <w:left w:val="single" w:sz="4" w:space="0" w:color="auto"/>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Producti</w:t>
            </w:r>
            <w:r w:rsidR="00EB0FE2">
              <w:rPr>
                <w:rFonts w:ascii="Calibri" w:eastAsia="Times New Roman" w:hAnsi="Calibri" w:cs="Times New Roman"/>
                <w:color w:val="000000"/>
                <w:sz w:val="18"/>
                <w:szCs w:val="18"/>
                <w:lang w:bidi="ar-SA"/>
              </w:rPr>
              <w:t>vi</w:t>
            </w:r>
            <w:r w:rsidRPr="00346B23">
              <w:rPr>
                <w:rFonts w:ascii="Calibri" w:eastAsia="Times New Roman" w:hAnsi="Calibri" w:cs="Times New Roman"/>
                <w:color w:val="000000"/>
                <w:sz w:val="18"/>
                <w:szCs w:val="18"/>
                <w:lang w:bidi="ar-SA"/>
              </w:rPr>
              <w:t>ty Increase</w:t>
            </w: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xml:space="preserve">               14,600.0 </w:t>
            </w:r>
          </w:p>
        </w:tc>
        <w:tc>
          <w:tcPr>
            <w:tcW w:w="1365" w:type="dxa"/>
            <w:tcBorders>
              <w:top w:val="single" w:sz="4" w:space="0" w:color="auto"/>
              <w:left w:val="nil"/>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USD Million</w:t>
            </w:r>
          </w:p>
        </w:tc>
        <w:tc>
          <w:tcPr>
            <w:tcW w:w="2087" w:type="dxa"/>
            <w:tcBorders>
              <w:top w:val="single" w:sz="4" w:space="0" w:color="auto"/>
              <w:left w:val="nil"/>
              <w:bottom w:val="single" w:sz="4" w:space="0" w:color="auto"/>
              <w:right w:val="single" w:sz="4" w:space="0" w:color="auto"/>
            </w:tcBorders>
            <w:shd w:val="clear" w:color="auto" w:fill="auto"/>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w:t>
            </w:r>
          </w:p>
        </w:tc>
        <w:tc>
          <w:tcPr>
            <w:tcW w:w="166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72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r>
      <w:tr w:rsidR="00346B23" w:rsidRPr="00346B23" w:rsidTr="00346B23">
        <w:trPr>
          <w:trHeight w:val="300"/>
        </w:trPr>
        <w:tc>
          <w:tcPr>
            <w:tcW w:w="3845" w:type="dxa"/>
            <w:tcBorders>
              <w:top w:val="nil"/>
              <w:left w:val="single" w:sz="4" w:space="0" w:color="auto"/>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Elasticity</w:t>
            </w:r>
          </w:p>
        </w:tc>
        <w:tc>
          <w:tcPr>
            <w:tcW w:w="1544"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right"/>
              <w:rPr>
                <w:rFonts w:ascii="Calibri" w:eastAsia="Times New Roman" w:hAnsi="Calibri" w:cs="Times New Roman"/>
                <w:color w:val="000000"/>
                <w:sz w:val="22"/>
                <w:szCs w:val="22"/>
                <w:lang w:bidi="ar-SA"/>
              </w:rPr>
            </w:pPr>
            <w:r w:rsidRPr="00346B23">
              <w:rPr>
                <w:rFonts w:ascii="Calibri" w:eastAsia="Times New Roman" w:hAnsi="Calibri" w:cs="Times New Roman"/>
                <w:color w:val="000000"/>
                <w:sz w:val="22"/>
                <w:szCs w:val="22"/>
                <w:lang w:bidi="ar-SA"/>
              </w:rPr>
              <w:t>1</w:t>
            </w:r>
          </w:p>
        </w:tc>
        <w:tc>
          <w:tcPr>
            <w:tcW w:w="1365"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087"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166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72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r>
      <w:tr w:rsidR="00346B23" w:rsidRPr="00346B23" w:rsidTr="00346B23">
        <w:trPr>
          <w:trHeight w:val="300"/>
        </w:trPr>
        <w:tc>
          <w:tcPr>
            <w:tcW w:w="3845"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1544"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1365"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087"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166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72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r>
      <w:tr w:rsidR="00346B23" w:rsidRPr="00346B23" w:rsidTr="00346B23">
        <w:trPr>
          <w:trHeight w:val="300"/>
        </w:trPr>
        <w:tc>
          <w:tcPr>
            <w:tcW w:w="3845"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1544"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1365"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087"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166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72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r>
      <w:tr w:rsidR="00346B23" w:rsidRPr="00346B23" w:rsidTr="00346B23">
        <w:trPr>
          <w:trHeight w:val="300"/>
        </w:trPr>
        <w:tc>
          <w:tcPr>
            <w:tcW w:w="3845"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b/>
                <w:bCs/>
                <w:color w:val="000000"/>
                <w:sz w:val="22"/>
                <w:szCs w:val="22"/>
                <w:lang w:bidi="ar-SA"/>
              </w:rPr>
            </w:pPr>
            <w:r w:rsidRPr="00346B23">
              <w:rPr>
                <w:rFonts w:ascii="Calibri" w:eastAsia="Times New Roman" w:hAnsi="Calibri" w:cs="Times New Roman"/>
                <w:b/>
                <w:bCs/>
                <w:color w:val="000000"/>
                <w:sz w:val="22"/>
                <w:szCs w:val="22"/>
                <w:lang w:bidi="ar-SA"/>
              </w:rPr>
              <w:t>Calculation of Benefits</w:t>
            </w:r>
          </w:p>
        </w:tc>
        <w:tc>
          <w:tcPr>
            <w:tcW w:w="1544"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1365"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087"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166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72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r>
      <w:tr w:rsidR="00346B23" w:rsidRPr="00346B23" w:rsidTr="00346B23">
        <w:trPr>
          <w:trHeight w:val="300"/>
        </w:trPr>
        <w:tc>
          <w:tcPr>
            <w:tcW w:w="3845" w:type="dxa"/>
            <w:tcBorders>
              <w:top w:val="single" w:sz="4" w:space="0" w:color="auto"/>
              <w:left w:val="single" w:sz="4" w:space="0" w:color="auto"/>
              <w:bottom w:val="single" w:sz="4" w:space="0" w:color="auto"/>
              <w:right w:val="nil"/>
            </w:tcBorders>
            <w:shd w:val="clear" w:color="000000" w:fill="B7DEE8"/>
            <w:noWrap/>
            <w:vAlign w:val="bottom"/>
            <w:hideMark/>
          </w:tcPr>
          <w:p w:rsidR="00346B23" w:rsidRPr="00346B23" w:rsidRDefault="00346B23" w:rsidP="00346B23">
            <w:pPr>
              <w:spacing w:after="0" w:line="240" w:lineRule="auto"/>
              <w:jc w:val="left"/>
              <w:rPr>
                <w:rFonts w:ascii="Calibri" w:eastAsia="Times New Roman" w:hAnsi="Calibri" w:cs="Times New Roman"/>
                <w:b/>
                <w:bCs/>
                <w:color w:val="4F81BD"/>
                <w:sz w:val="18"/>
                <w:szCs w:val="18"/>
                <w:lang w:bidi="ar-SA"/>
              </w:rPr>
            </w:pPr>
            <w:r w:rsidRPr="00346B23">
              <w:rPr>
                <w:rFonts w:ascii="Calibri" w:eastAsia="Times New Roman" w:hAnsi="Calibri" w:cs="Times New Roman"/>
                <w:b/>
                <w:bCs/>
                <w:color w:val="4F81BD"/>
                <w:sz w:val="18"/>
                <w:szCs w:val="18"/>
                <w:lang w:bidi="ar-SA"/>
              </w:rPr>
              <w:t>Components</w:t>
            </w:r>
          </w:p>
        </w:tc>
        <w:tc>
          <w:tcPr>
            <w:tcW w:w="1544" w:type="dxa"/>
            <w:tcBorders>
              <w:top w:val="single" w:sz="4" w:space="0" w:color="auto"/>
              <w:left w:val="nil"/>
              <w:bottom w:val="single" w:sz="4" w:space="0" w:color="auto"/>
              <w:right w:val="nil"/>
            </w:tcBorders>
            <w:shd w:val="clear" w:color="000000" w:fill="B7DEE8"/>
            <w:noWrap/>
            <w:vAlign w:val="bottom"/>
            <w:hideMark/>
          </w:tcPr>
          <w:p w:rsidR="00346B23" w:rsidRPr="00346B23" w:rsidRDefault="00346B23" w:rsidP="00346B23">
            <w:pPr>
              <w:spacing w:after="0" w:line="240" w:lineRule="auto"/>
              <w:jc w:val="left"/>
              <w:rPr>
                <w:rFonts w:ascii="Calibri" w:eastAsia="Times New Roman" w:hAnsi="Calibri" w:cs="Times New Roman"/>
                <w:b/>
                <w:bCs/>
                <w:color w:val="4F81BD"/>
                <w:sz w:val="22"/>
                <w:szCs w:val="22"/>
                <w:lang w:bidi="ar-SA"/>
              </w:rPr>
            </w:pPr>
            <w:r w:rsidRPr="00346B23">
              <w:rPr>
                <w:rFonts w:ascii="Calibri" w:eastAsia="Times New Roman" w:hAnsi="Calibri" w:cs="Times New Roman"/>
                <w:b/>
                <w:bCs/>
                <w:color w:val="4F81BD"/>
                <w:sz w:val="22"/>
                <w:szCs w:val="22"/>
                <w:lang w:bidi="ar-SA"/>
              </w:rPr>
              <w:t> </w:t>
            </w:r>
          </w:p>
        </w:tc>
        <w:tc>
          <w:tcPr>
            <w:tcW w:w="1365" w:type="dxa"/>
            <w:tcBorders>
              <w:top w:val="single" w:sz="4" w:space="0" w:color="auto"/>
              <w:left w:val="single" w:sz="4" w:space="0" w:color="auto"/>
              <w:bottom w:val="single" w:sz="4" w:space="0" w:color="auto"/>
              <w:right w:val="nil"/>
            </w:tcBorders>
            <w:shd w:val="clear" w:color="000000" w:fill="B7DEE8"/>
            <w:noWrap/>
            <w:vAlign w:val="bottom"/>
            <w:hideMark/>
          </w:tcPr>
          <w:p w:rsidR="00346B23" w:rsidRPr="00346B23" w:rsidRDefault="00346B23" w:rsidP="00346B23">
            <w:pPr>
              <w:spacing w:after="0" w:line="240" w:lineRule="auto"/>
              <w:jc w:val="left"/>
              <w:rPr>
                <w:rFonts w:ascii="Calibri" w:eastAsia="Times New Roman" w:hAnsi="Calibri" w:cs="Times New Roman"/>
                <w:b/>
                <w:bCs/>
                <w:color w:val="4F81BD"/>
                <w:sz w:val="18"/>
                <w:szCs w:val="18"/>
                <w:lang w:bidi="ar-SA"/>
              </w:rPr>
            </w:pPr>
            <w:r w:rsidRPr="00346B23">
              <w:rPr>
                <w:rFonts w:ascii="Calibri" w:eastAsia="Times New Roman" w:hAnsi="Calibri" w:cs="Times New Roman"/>
                <w:b/>
                <w:bCs/>
                <w:color w:val="4F81BD"/>
                <w:sz w:val="18"/>
                <w:szCs w:val="18"/>
                <w:lang w:bidi="ar-SA"/>
              </w:rPr>
              <w:t>Baseline (2008)</w:t>
            </w:r>
          </w:p>
        </w:tc>
        <w:tc>
          <w:tcPr>
            <w:tcW w:w="2087" w:type="dxa"/>
            <w:tcBorders>
              <w:top w:val="single" w:sz="4" w:space="0" w:color="auto"/>
              <w:left w:val="nil"/>
              <w:bottom w:val="single" w:sz="4" w:space="0" w:color="auto"/>
              <w:right w:val="single" w:sz="4" w:space="0" w:color="auto"/>
            </w:tcBorders>
            <w:shd w:val="clear" w:color="000000" w:fill="B7DEE8"/>
            <w:noWrap/>
            <w:vAlign w:val="bottom"/>
            <w:hideMark/>
          </w:tcPr>
          <w:p w:rsidR="00346B23" w:rsidRPr="00346B23" w:rsidRDefault="00346B23" w:rsidP="00346B23">
            <w:pPr>
              <w:spacing w:after="0" w:line="240" w:lineRule="auto"/>
              <w:jc w:val="left"/>
              <w:rPr>
                <w:rFonts w:ascii="Calibri" w:eastAsia="Times New Roman" w:hAnsi="Calibri" w:cs="Times New Roman"/>
                <w:b/>
                <w:bCs/>
                <w:color w:val="4F81BD"/>
                <w:sz w:val="18"/>
                <w:szCs w:val="18"/>
                <w:lang w:bidi="ar-SA"/>
              </w:rPr>
            </w:pPr>
            <w:r w:rsidRPr="00346B23">
              <w:rPr>
                <w:rFonts w:ascii="Calibri" w:eastAsia="Times New Roman" w:hAnsi="Calibri" w:cs="Times New Roman"/>
                <w:b/>
                <w:bCs/>
                <w:color w:val="4F81BD"/>
                <w:sz w:val="18"/>
                <w:szCs w:val="18"/>
                <w:lang w:bidi="ar-SA"/>
              </w:rPr>
              <w:t> </w:t>
            </w:r>
          </w:p>
        </w:tc>
        <w:tc>
          <w:tcPr>
            <w:tcW w:w="1660" w:type="dxa"/>
            <w:tcBorders>
              <w:top w:val="single" w:sz="4" w:space="0" w:color="auto"/>
              <w:left w:val="nil"/>
              <w:bottom w:val="single" w:sz="4" w:space="0" w:color="auto"/>
              <w:right w:val="single" w:sz="4" w:space="0" w:color="auto"/>
            </w:tcBorders>
            <w:shd w:val="clear" w:color="000000" w:fill="B7DEE8"/>
            <w:noWrap/>
            <w:vAlign w:val="bottom"/>
            <w:hideMark/>
          </w:tcPr>
          <w:p w:rsidR="00346B23" w:rsidRPr="00346B23" w:rsidRDefault="00346B23" w:rsidP="00346B23">
            <w:pPr>
              <w:spacing w:after="0" w:line="240" w:lineRule="auto"/>
              <w:jc w:val="left"/>
              <w:rPr>
                <w:rFonts w:ascii="Calibri" w:eastAsia="Times New Roman" w:hAnsi="Calibri" w:cs="Times New Roman"/>
                <w:b/>
                <w:bCs/>
                <w:color w:val="4F81BD"/>
                <w:sz w:val="18"/>
                <w:szCs w:val="18"/>
                <w:lang w:bidi="ar-SA"/>
              </w:rPr>
            </w:pPr>
            <w:r w:rsidRPr="00346B23">
              <w:rPr>
                <w:rFonts w:ascii="Calibri" w:eastAsia="Times New Roman" w:hAnsi="Calibri" w:cs="Times New Roman"/>
                <w:b/>
                <w:bCs/>
                <w:color w:val="4F81BD"/>
                <w:sz w:val="18"/>
                <w:szCs w:val="18"/>
                <w:lang w:bidi="ar-SA"/>
              </w:rPr>
              <w:t>With Project</w:t>
            </w:r>
          </w:p>
        </w:tc>
        <w:tc>
          <w:tcPr>
            <w:tcW w:w="2720" w:type="dxa"/>
            <w:tcBorders>
              <w:top w:val="single" w:sz="4" w:space="0" w:color="auto"/>
              <w:left w:val="nil"/>
              <w:bottom w:val="single" w:sz="4" w:space="0" w:color="auto"/>
              <w:right w:val="single" w:sz="4" w:space="0" w:color="auto"/>
            </w:tcBorders>
            <w:shd w:val="clear" w:color="000000" w:fill="B7DEE8"/>
            <w:noWrap/>
            <w:vAlign w:val="bottom"/>
            <w:hideMark/>
          </w:tcPr>
          <w:p w:rsidR="00346B23" w:rsidRPr="00346B23" w:rsidRDefault="00346B23" w:rsidP="00346B23">
            <w:pPr>
              <w:spacing w:after="0" w:line="240" w:lineRule="auto"/>
              <w:jc w:val="left"/>
              <w:rPr>
                <w:rFonts w:ascii="Calibri" w:eastAsia="Times New Roman" w:hAnsi="Calibri" w:cs="Times New Roman"/>
                <w:b/>
                <w:bCs/>
                <w:color w:val="4F81BD"/>
                <w:sz w:val="18"/>
                <w:szCs w:val="18"/>
                <w:lang w:bidi="ar-SA"/>
              </w:rPr>
            </w:pPr>
            <w:r w:rsidRPr="00346B23">
              <w:rPr>
                <w:rFonts w:ascii="Calibri" w:eastAsia="Times New Roman" w:hAnsi="Calibri" w:cs="Times New Roman"/>
                <w:b/>
                <w:bCs/>
                <w:color w:val="4F81BD"/>
                <w:sz w:val="18"/>
                <w:szCs w:val="18"/>
                <w:lang w:bidi="ar-SA"/>
              </w:rPr>
              <w:t>Comment</w:t>
            </w:r>
          </w:p>
        </w:tc>
      </w:tr>
      <w:tr w:rsidR="00346B23" w:rsidRPr="00346B23" w:rsidTr="00346B23">
        <w:trPr>
          <w:trHeight w:val="300"/>
        </w:trPr>
        <w:tc>
          <w:tcPr>
            <w:tcW w:w="3845" w:type="dxa"/>
            <w:tcBorders>
              <w:top w:val="nil"/>
              <w:left w:val="single" w:sz="4" w:space="0" w:color="auto"/>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Tax Expenditure and Reform</w:t>
            </w:r>
          </w:p>
        </w:tc>
        <w:tc>
          <w:tcPr>
            <w:tcW w:w="1544" w:type="dxa"/>
            <w:tcBorders>
              <w:top w:val="nil"/>
              <w:left w:val="single" w:sz="4" w:space="0" w:color="auto"/>
              <w:bottom w:val="nil"/>
              <w:right w:val="single" w:sz="4" w:space="0" w:color="auto"/>
            </w:tcBorders>
            <w:shd w:val="clear" w:color="000000" w:fill="DAEEF3"/>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Parameter</w:t>
            </w:r>
          </w:p>
        </w:tc>
        <w:tc>
          <w:tcPr>
            <w:tcW w:w="1365" w:type="dxa"/>
            <w:tcBorders>
              <w:top w:val="nil"/>
              <w:left w:val="nil"/>
              <w:bottom w:val="nil"/>
              <w:right w:val="nil"/>
            </w:tcBorders>
            <w:shd w:val="clear" w:color="000000" w:fill="DAEEF3"/>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Measure</w:t>
            </w:r>
          </w:p>
        </w:tc>
        <w:tc>
          <w:tcPr>
            <w:tcW w:w="2087" w:type="dxa"/>
            <w:tcBorders>
              <w:top w:val="nil"/>
              <w:left w:val="nil"/>
              <w:bottom w:val="nil"/>
              <w:right w:val="single" w:sz="4" w:space="0" w:color="auto"/>
            </w:tcBorders>
            <w:shd w:val="clear" w:color="000000" w:fill="DAEEF3"/>
            <w:noWrap/>
            <w:vAlign w:val="bottom"/>
            <w:hideMark/>
          </w:tcPr>
          <w:p w:rsidR="00346B23" w:rsidRPr="00346B23" w:rsidRDefault="00EB0FE2"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Amount</w:t>
            </w:r>
            <w:r w:rsidR="00346B23" w:rsidRPr="00346B23">
              <w:rPr>
                <w:rFonts w:ascii="Calibri" w:eastAsia="Times New Roman" w:hAnsi="Calibri" w:cs="Times New Roman"/>
                <w:color w:val="000000"/>
                <w:sz w:val="18"/>
                <w:szCs w:val="18"/>
                <w:lang w:bidi="ar-SA"/>
              </w:rPr>
              <w:t xml:space="preserve"> (US Million)</w:t>
            </w:r>
          </w:p>
        </w:tc>
        <w:tc>
          <w:tcPr>
            <w:tcW w:w="1660" w:type="dxa"/>
            <w:tcBorders>
              <w:top w:val="nil"/>
              <w:left w:val="nil"/>
              <w:bottom w:val="nil"/>
              <w:right w:val="single" w:sz="4" w:space="0" w:color="auto"/>
            </w:tcBorders>
            <w:shd w:val="clear" w:color="000000" w:fill="DAEEF3"/>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New Measure</w:t>
            </w:r>
          </w:p>
        </w:tc>
        <w:tc>
          <w:tcPr>
            <w:tcW w:w="2720" w:type="dxa"/>
            <w:tcBorders>
              <w:top w:val="nil"/>
              <w:left w:val="nil"/>
              <w:bottom w:val="nil"/>
              <w:right w:val="single" w:sz="4" w:space="0" w:color="auto"/>
            </w:tcBorders>
            <w:shd w:val="clear" w:color="000000" w:fill="DAEEF3"/>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New Measure</w:t>
            </w:r>
          </w:p>
        </w:tc>
      </w:tr>
      <w:tr w:rsidR="00346B23" w:rsidRPr="00346B23" w:rsidTr="00346B23">
        <w:trPr>
          <w:trHeight w:val="300"/>
        </w:trPr>
        <w:tc>
          <w:tcPr>
            <w:tcW w:w="3845" w:type="dxa"/>
            <w:tcBorders>
              <w:top w:val="nil"/>
              <w:left w:val="single" w:sz="4" w:space="0" w:color="auto"/>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Increase in Access to Finance</w:t>
            </w:r>
          </w:p>
        </w:tc>
        <w:tc>
          <w:tcPr>
            <w:tcW w:w="1544" w:type="dxa"/>
            <w:tcBorders>
              <w:top w:val="single" w:sz="4" w:space="0" w:color="auto"/>
              <w:left w:val="single" w:sz="4" w:space="0" w:color="auto"/>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r w:rsidRPr="00346B23">
              <w:rPr>
                <w:rFonts w:ascii="Calibri" w:eastAsia="Times New Roman" w:hAnsi="Calibri" w:cs="Times New Roman"/>
                <w:color w:val="000000"/>
                <w:sz w:val="22"/>
                <w:szCs w:val="22"/>
                <w:lang w:bidi="ar-SA"/>
              </w:rPr>
              <w:t> </w:t>
            </w:r>
          </w:p>
        </w:tc>
        <w:tc>
          <w:tcPr>
            <w:tcW w:w="1365" w:type="dxa"/>
            <w:tcBorders>
              <w:top w:val="single" w:sz="4" w:space="0" w:color="auto"/>
              <w:left w:val="nil"/>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w:t>
            </w:r>
          </w:p>
        </w:tc>
        <w:tc>
          <w:tcPr>
            <w:tcW w:w="2087" w:type="dxa"/>
            <w:tcBorders>
              <w:top w:val="single" w:sz="4" w:space="0" w:color="auto"/>
              <w:left w:val="nil"/>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Total</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Total</w:t>
            </w:r>
          </w:p>
        </w:tc>
      </w:tr>
      <w:tr w:rsidR="00346B23" w:rsidRPr="00346B23" w:rsidTr="00346B23">
        <w:trPr>
          <w:trHeight w:val="300"/>
        </w:trPr>
        <w:tc>
          <w:tcPr>
            <w:tcW w:w="3845" w:type="dxa"/>
            <w:tcBorders>
              <w:top w:val="nil"/>
              <w:left w:val="single" w:sz="4" w:space="0" w:color="auto"/>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xml:space="preserve"> -Increase In </w:t>
            </w:r>
            <w:r w:rsidR="00EB0FE2" w:rsidRPr="00346B23">
              <w:rPr>
                <w:rFonts w:ascii="Calibri" w:eastAsia="Times New Roman" w:hAnsi="Calibri" w:cs="Times New Roman"/>
                <w:color w:val="000000"/>
                <w:sz w:val="18"/>
                <w:szCs w:val="18"/>
                <w:lang w:bidi="ar-SA"/>
              </w:rPr>
              <w:t>Productiv</w:t>
            </w:r>
            <w:r w:rsidR="00EB0FE2">
              <w:rPr>
                <w:rFonts w:ascii="Calibri" w:eastAsia="Times New Roman" w:hAnsi="Calibri" w:cs="Times New Roman"/>
                <w:color w:val="000000"/>
                <w:sz w:val="18"/>
                <w:szCs w:val="18"/>
                <w:lang w:bidi="ar-SA"/>
              </w:rPr>
              <w:t>ity</w:t>
            </w:r>
            <w:r w:rsidRPr="00346B23">
              <w:rPr>
                <w:rFonts w:ascii="Calibri" w:eastAsia="Times New Roman" w:hAnsi="Calibri" w:cs="Times New Roman"/>
                <w:color w:val="000000"/>
                <w:sz w:val="18"/>
                <w:szCs w:val="18"/>
                <w:lang w:bidi="ar-SA"/>
              </w:rPr>
              <w:t xml:space="preserve"> of Access to Finance</w:t>
            </w:r>
          </w:p>
        </w:tc>
        <w:tc>
          <w:tcPr>
            <w:tcW w:w="1544" w:type="dxa"/>
            <w:tcBorders>
              <w:top w:val="nil"/>
              <w:left w:val="single" w:sz="4" w:space="0" w:color="auto"/>
              <w:bottom w:val="nil"/>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of</w:t>
            </w:r>
            <w:r w:rsidR="00DC7186">
              <w:rPr>
                <w:rFonts w:ascii="Calibri" w:eastAsia="Times New Roman" w:hAnsi="Calibri" w:cs="Times New Roman"/>
                <w:color w:val="000000"/>
                <w:sz w:val="18"/>
                <w:szCs w:val="18"/>
                <w:lang w:bidi="ar-SA"/>
              </w:rPr>
              <w:t xml:space="preserve"> </w:t>
            </w:r>
            <w:r w:rsidRPr="00346B23">
              <w:rPr>
                <w:rFonts w:ascii="Calibri" w:eastAsia="Times New Roman" w:hAnsi="Calibri" w:cs="Times New Roman"/>
                <w:color w:val="000000"/>
                <w:sz w:val="18"/>
                <w:szCs w:val="18"/>
                <w:lang w:bidi="ar-SA"/>
              </w:rPr>
              <w:t>GDP Increase</w:t>
            </w:r>
          </w:p>
        </w:tc>
        <w:tc>
          <w:tcPr>
            <w:tcW w:w="1365"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r w:rsidRPr="00346B23">
              <w:rPr>
                <w:rFonts w:ascii="Calibri" w:eastAsia="Times New Roman" w:hAnsi="Calibri" w:cs="Times New Roman"/>
                <w:color w:val="000000"/>
                <w:sz w:val="22"/>
                <w:szCs w:val="22"/>
                <w:lang w:bidi="ar-SA"/>
              </w:rPr>
              <w:t>US Million</w:t>
            </w:r>
          </w:p>
        </w:tc>
        <w:tc>
          <w:tcPr>
            <w:tcW w:w="2087" w:type="dxa"/>
            <w:tcBorders>
              <w:top w:val="nil"/>
              <w:left w:val="single" w:sz="4" w:space="0" w:color="auto"/>
              <w:bottom w:val="nil"/>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xml:space="preserve">                                   -   </w:t>
            </w:r>
          </w:p>
        </w:tc>
        <w:tc>
          <w:tcPr>
            <w:tcW w:w="1660" w:type="dxa"/>
            <w:tcBorders>
              <w:top w:val="nil"/>
              <w:left w:val="nil"/>
              <w:bottom w:val="nil"/>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xml:space="preserve">                         14.60 </w:t>
            </w:r>
          </w:p>
        </w:tc>
        <w:tc>
          <w:tcPr>
            <w:tcW w:w="2720" w:type="dxa"/>
            <w:tcBorders>
              <w:top w:val="nil"/>
              <w:left w:val="nil"/>
              <w:bottom w:val="nil"/>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xml:space="preserve"> Full Value at Implementation </w:t>
            </w:r>
          </w:p>
        </w:tc>
      </w:tr>
      <w:tr w:rsidR="00346B23" w:rsidRPr="00346B23" w:rsidTr="00346B23">
        <w:trPr>
          <w:trHeight w:val="300"/>
        </w:trPr>
        <w:tc>
          <w:tcPr>
            <w:tcW w:w="3845" w:type="dxa"/>
            <w:tcBorders>
              <w:top w:val="single" w:sz="4" w:space="0" w:color="auto"/>
              <w:left w:val="single" w:sz="4" w:space="0" w:color="auto"/>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Increase in Access to Finance</w:t>
            </w:r>
          </w:p>
        </w:tc>
        <w:tc>
          <w:tcPr>
            <w:tcW w:w="1544" w:type="dxa"/>
            <w:tcBorders>
              <w:top w:val="single" w:sz="4" w:space="0" w:color="auto"/>
              <w:left w:val="single" w:sz="4" w:space="0" w:color="auto"/>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r w:rsidRPr="00346B23">
              <w:rPr>
                <w:rFonts w:ascii="Calibri" w:eastAsia="Times New Roman" w:hAnsi="Calibri" w:cs="Times New Roman"/>
                <w:color w:val="000000"/>
                <w:sz w:val="22"/>
                <w:szCs w:val="22"/>
                <w:lang w:bidi="ar-SA"/>
              </w:rPr>
              <w:t> </w:t>
            </w:r>
          </w:p>
        </w:tc>
        <w:tc>
          <w:tcPr>
            <w:tcW w:w="1365" w:type="dxa"/>
            <w:tcBorders>
              <w:top w:val="single" w:sz="4" w:space="0" w:color="auto"/>
              <w:left w:val="nil"/>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w:t>
            </w:r>
          </w:p>
        </w:tc>
        <w:tc>
          <w:tcPr>
            <w:tcW w:w="2087" w:type="dxa"/>
            <w:tcBorders>
              <w:top w:val="single" w:sz="4" w:space="0" w:color="auto"/>
              <w:left w:val="nil"/>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First Five Year</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First Five Year</w:t>
            </w:r>
          </w:p>
        </w:tc>
      </w:tr>
      <w:tr w:rsidR="00346B23" w:rsidRPr="00346B23" w:rsidTr="00346B23">
        <w:trPr>
          <w:trHeight w:val="300"/>
        </w:trPr>
        <w:tc>
          <w:tcPr>
            <w:tcW w:w="3845" w:type="dxa"/>
            <w:tcBorders>
              <w:top w:val="nil"/>
              <w:left w:val="single" w:sz="4" w:space="0" w:color="auto"/>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xml:space="preserve"> -Increase In Productiv</w:t>
            </w:r>
            <w:r w:rsidR="00EB0FE2">
              <w:rPr>
                <w:rFonts w:ascii="Calibri" w:eastAsia="Times New Roman" w:hAnsi="Calibri" w:cs="Times New Roman"/>
                <w:color w:val="000000"/>
                <w:sz w:val="18"/>
                <w:szCs w:val="18"/>
                <w:lang w:bidi="ar-SA"/>
              </w:rPr>
              <w:t>ity</w:t>
            </w:r>
            <w:r w:rsidRPr="00346B23">
              <w:rPr>
                <w:rFonts w:ascii="Calibri" w:eastAsia="Times New Roman" w:hAnsi="Calibri" w:cs="Times New Roman"/>
                <w:color w:val="000000"/>
                <w:sz w:val="18"/>
                <w:szCs w:val="18"/>
                <w:lang w:bidi="ar-SA"/>
              </w:rPr>
              <w:t xml:space="preserve"> of Access to Finance</w:t>
            </w:r>
          </w:p>
        </w:tc>
        <w:tc>
          <w:tcPr>
            <w:tcW w:w="1544" w:type="dxa"/>
            <w:tcBorders>
              <w:top w:val="nil"/>
              <w:left w:val="single" w:sz="4" w:space="0" w:color="auto"/>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of</w:t>
            </w:r>
            <w:r w:rsidR="00DC7186">
              <w:rPr>
                <w:rFonts w:ascii="Calibri" w:eastAsia="Times New Roman" w:hAnsi="Calibri" w:cs="Times New Roman"/>
                <w:color w:val="000000"/>
                <w:sz w:val="18"/>
                <w:szCs w:val="18"/>
                <w:lang w:bidi="ar-SA"/>
              </w:rPr>
              <w:t xml:space="preserve"> </w:t>
            </w:r>
            <w:r w:rsidRPr="00346B23">
              <w:rPr>
                <w:rFonts w:ascii="Calibri" w:eastAsia="Times New Roman" w:hAnsi="Calibri" w:cs="Times New Roman"/>
                <w:color w:val="000000"/>
                <w:sz w:val="18"/>
                <w:szCs w:val="18"/>
                <w:lang w:bidi="ar-SA"/>
              </w:rPr>
              <w:t>GDP Increase</w:t>
            </w:r>
          </w:p>
        </w:tc>
        <w:tc>
          <w:tcPr>
            <w:tcW w:w="1365" w:type="dxa"/>
            <w:tcBorders>
              <w:top w:val="nil"/>
              <w:left w:val="nil"/>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r w:rsidRPr="00346B23">
              <w:rPr>
                <w:rFonts w:ascii="Calibri" w:eastAsia="Times New Roman" w:hAnsi="Calibri" w:cs="Times New Roman"/>
                <w:color w:val="000000"/>
                <w:sz w:val="22"/>
                <w:szCs w:val="22"/>
                <w:lang w:bidi="ar-SA"/>
              </w:rPr>
              <w:t>US Million</w:t>
            </w:r>
          </w:p>
        </w:tc>
        <w:tc>
          <w:tcPr>
            <w:tcW w:w="2087" w:type="dxa"/>
            <w:tcBorders>
              <w:top w:val="nil"/>
              <w:left w:val="single" w:sz="4" w:space="0" w:color="auto"/>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xml:space="preserve">                                   -   </w:t>
            </w:r>
          </w:p>
        </w:tc>
        <w:tc>
          <w:tcPr>
            <w:tcW w:w="1660" w:type="dxa"/>
            <w:tcBorders>
              <w:top w:val="nil"/>
              <w:left w:val="nil"/>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xml:space="preserve">                           7.30 </w:t>
            </w:r>
          </w:p>
        </w:tc>
        <w:tc>
          <w:tcPr>
            <w:tcW w:w="2720" w:type="dxa"/>
            <w:tcBorders>
              <w:top w:val="nil"/>
              <w:left w:val="nil"/>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xml:space="preserve"> Under Implementation </w:t>
            </w:r>
          </w:p>
        </w:tc>
      </w:tr>
      <w:tr w:rsidR="00346B23" w:rsidRPr="00346B23" w:rsidTr="00346B23">
        <w:trPr>
          <w:trHeight w:val="300"/>
        </w:trPr>
        <w:tc>
          <w:tcPr>
            <w:tcW w:w="3845" w:type="dxa"/>
            <w:tcBorders>
              <w:top w:val="nil"/>
              <w:left w:val="single" w:sz="4" w:space="0" w:color="auto"/>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Increase in Access to Finance</w:t>
            </w:r>
          </w:p>
        </w:tc>
        <w:tc>
          <w:tcPr>
            <w:tcW w:w="1544" w:type="dxa"/>
            <w:tcBorders>
              <w:top w:val="nil"/>
              <w:left w:val="single" w:sz="4" w:space="0" w:color="auto"/>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r w:rsidRPr="00346B23">
              <w:rPr>
                <w:rFonts w:ascii="Calibri" w:eastAsia="Times New Roman" w:hAnsi="Calibri" w:cs="Times New Roman"/>
                <w:color w:val="000000"/>
                <w:sz w:val="22"/>
                <w:szCs w:val="22"/>
                <w:lang w:bidi="ar-SA"/>
              </w:rPr>
              <w:t> </w:t>
            </w:r>
          </w:p>
        </w:tc>
        <w:tc>
          <w:tcPr>
            <w:tcW w:w="1365" w:type="dxa"/>
            <w:tcBorders>
              <w:top w:val="nil"/>
              <w:left w:val="nil"/>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w:t>
            </w:r>
          </w:p>
        </w:tc>
        <w:tc>
          <w:tcPr>
            <w:tcW w:w="2087" w:type="dxa"/>
            <w:tcBorders>
              <w:top w:val="nil"/>
              <w:left w:val="nil"/>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w:t>
            </w:r>
          </w:p>
        </w:tc>
        <w:tc>
          <w:tcPr>
            <w:tcW w:w="1660" w:type="dxa"/>
            <w:tcBorders>
              <w:top w:val="nil"/>
              <w:left w:val="nil"/>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Rest of the Period</w:t>
            </w:r>
          </w:p>
        </w:tc>
        <w:tc>
          <w:tcPr>
            <w:tcW w:w="2720" w:type="dxa"/>
            <w:tcBorders>
              <w:top w:val="nil"/>
              <w:left w:val="nil"/>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Rest of the Period</w:t>
            </w:r>
          </w:p>
        </w:tc>
      </w:tr>
      <w:tr w:rsidR="00346B23" w:rsidRPr="00346B23" w:rsidTr="00346B23">
        <w:trPr>
          <w:trHeight w:val="300"/>
        </w:trPr>
        <w:tc>
          <w:tcPr>
            <w:tcW w:w="3845" w:type="dxa"/>
            <w:tcBorders>
              <w:top w:val="nil"/>
              <w:left w:val="single" w:sz="4" w:space="0" w:color="auto"/>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xml:space="preserve"> -Increase In Productiv</w:t>
            </w:r>
            <w:r w:rsidR="00EB0FE2">
              <w:rPr>
                <w:rFonts w:ascii="Calibri" w:eastAsia="Times New Roman" w:hAnsi="Calibri" w:cs="Times New Roman"/>
                <w:color w:val="000000"/>
                <w:sz w:val="18"/>
                <w:szCs w:val="18"/>
                <w:lang w:bidi="ar-SA"/>
              </w:rPr>
              <w:t>it</w:t>
            </w:r>
            <w:r w:rsidRPr="00346B23">
              <w:rPr>
                <w:rFonts w:ascii="Calibri" w:eastAsia="Times New Roman" w:hAnsi="Calibri" w:cs="Times New Roman"/>
                <w:color w:val="000000"/>
                <w:sz w:val="18"/>
                <w:szCs w:val="18"/>
                <w:lang w:bidi="ar-SA"/>
              </w:rPr>
              <w:t>y of Access to Finance</w:t>
            </w:r>
          </w:p>
        </w:tc>
        <w:tc>
          <w:tcPr>
            <w:tcW w:w="1544" w:type="dxa"/>
            <w:tcBorders>
              <w:top w:val="nil"/>
              <w:left w:val="single" w:sz="4" w:space="0" w:color="auto"/>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of</w:t>
            </w:r>
            <w:r w:rsidR="00DC7186">
              <w:rPr>
                <w:rFonts w:ascii="Calibri" w:eastAsia="Times New Roman" w:hAnsi="Calibri" w:cs="Times New Roman"/>
                <w:color w:val="000000"/>
                <w:sz w:val="18"/>
                <w:szCs w:val="18"/>
                <w:lang w:bidi="ar-SA"/>
              </w:rPr>
              <w:t xml:space="preserve"> </w:t>
            </w:r>
            <w:r w:rsidRPr="00346B23">
              <w:rPr>
                <w:rFonts w:ascii="Calibri" w:eastAsia="Times New Roman" w:hAnsi="Calibri" w:cs="Times New Roman"/>
                <w:color w:val="000000"/>
                <w:sz w:val="18"/>
                <w:szCs w:val="18"/>
                <w:lang w:bidi="ar-SA"/>
              </w:rPr>
              <w:t>GDP Increase</w:t>
            </w:r>
          </w:p>
        </w:tc>
        <w:tc>
          <w:tcPr>
            <w:tcW w:w="1365" w:type="dxa"/>
            <w:tcBorders>
              <w:top w:val="nil"/>
              <w:left w:val="nil"/>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r w:rsidRPr="00346B23">
              <w:rPr>
                <w:rFonts w:ascii="Calibri" w:eastAsia="Times New Roman" w:hAnsi="Calibri" w:cs="Times New Roman"/>
                <w:color w:val="000000"/>
                <w:sz w:val="22"/>
                <w:szCs w:val="22"/>
                <w:lang w:bidi="ar-SA"/>
              </w:rPr>
              <w:t>US Million</w:t>
            </w:r>
          </w:p>
        </w:tc>
        <w:tc>
          <w:tcPr>
            <w:tcW w:w="2087" w:type="dxa"/>
            <w:tcBorders>
              <w:top w:val="nil"/>
              <w:left w:val="single" w:sz="4" w:space="0" w:color="auto"/>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xml:space="preserve">                                   -   </w:t>
            </w:r>
          </w:p>
        </w:tc>
        <w:tc>
          <w:tcPr>
            <w:tcW w:w="1660" w:type="dxa"/>
            <w:tcBorders>
              <w:top w:val="nil"/>
              <w:left w:val="nil"/>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xml:space="preserve">                           1.46 </w:t>
            </w:r>
          </w:p>
        </w:tc>
        <w:tc>
          <w:tcPr>
            <w:tcW w:w="2720" w:type="dxa"/>
            <w:tcBorders>
              <w:top w:val="nil"/>
              <w:left w:val="nil"/>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xml:space="preserve"> Marginal Increase  </w:t>
            </w:r>
          </w:p>
        </w:tc>
      </w:tr>
      <w:tr w:rsidR="00346B23" w:rsidRPr="00346B23" w:rsidTr="00346B23">
        <w:trPr>
          <w:trHeight w:val="300"/>
        </w:trPr>
        <w:tc>
          <w:tcPr>
            <w:tcW w:w="3845"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p>
        </w:tc>
        <w:tc>
          <w:tcPr>
            <w:tcW w:w="1544"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p>
        </w:tc>
        <w:tc>
          <w:tcPr>
            <w:tcW w:w="1365"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087"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166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72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r>
      <w:tr w:rsidR="00346B23" w:rsidRPr="00346B23" w:rsidTr="00346B23">
        <w:trPr>
          <w:trHeight w:val="300"/>
        </w:trPr>
        <w:tc>
          <w:tcPr>
            <w:tcW w:w="3845" w:type="dxa"/>
            <w:tcBorders>
              <w:top w:val="single" w:sz="4" w:space="0" w:color="auto"/>
              <w:left w:val="single" w:sz="4" w:space="0" w:color="auto"/>
              <w:bottom w:val="single" w:sz="4" w:space="0" w:color="auto"/>
              <w:right w:val="nil"/>
            </w:tcBorders>
            <w:shd w:val="clear" w:color="000000" w:fill="B7DEE8"/>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Sensitivity Analysis</w:t>
            </w:r>
          </w:p>
        </w:tc>
        <w:tc>
          <w:tcPr>
            <w:tcW w:w="1544" w:type="dxa"/>
            <w:tcBorders>
              <w:top w:val="single" w:sz="4" w:space="0" w:color="auto"/>
              <w:left w:val="nil"/>
              <w:bottom w:val="single" w:sz="4" w:space="0" w:color="auto"/>
              <w:right w:val="nil"/>
            </w:tcBorders>
            <w:shd w:val="clear" w:color="000000" w:fill="B7DEE8"/>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 xml:space="preserve"> Elasticity </w:t>
            </w:r>
          </w:p>
        </w:tc>
        <w:tc>
          <w:tcPr>
            <w:tcW w:w="1365" w:type="dxa"/>
            <w:tcBorders>
              <w:top w:val="single" w:sz="4" w:space="0" w:color="auto"/>
              <w:left w:val="nil"/>
              <w:bottom w:val="single" w:sz="4" w:space="0" w:color="auto"/>
              <w:right w:val="single" w:sz="4" w:space="0" w:color="auto"/>
            </w:tcBorders>
            <w:shd w:val="clear" w:color="000000" w:fill="B7DEE8"/>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r w:rsidRPr="00346B23">
              <w:rPr>
                <w:rFonts w:ascii="Calibri" w:eastAsia="Times New Roman" w:hAnsi="Calibri" w:cs="Times New Roman"/>
                <w:color w:val="000000"/>
                <w:sz w:val="22"/>
                <w:szCs w:val="22"/>
                <w:lang w:bidi="ar-SA"/>
              </w:rPr>
              <w:t>NPV</w:t>
            </w:r>
          </w:p>
        </w:tc>
        <w:tc>
          <w:tcPr>
            <w:tcW w:w="2087"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166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72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r>
      <w:tr w:rsidR="00346B23" w:rsidRPr="00346B23" w:rsidTr="00346B23">
        <w:trPr>
          <w:trHeight w:val="300"/>
        </w:trPr>
        <w:tc>
          <w:tcPr>
            <w:tcW w:w="3845" w:type="dxa"/>
            <w:tcBorders>
              <w:top w:val="nil"/>
              <w:left w:val="single" w:sz="4" w:space="0" w:color="auto"/>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Scenario 1</w:t>
            </w:r>
          </w:p>
        </w:tc>
        <w:tc>
          <w:tcPr>
            <w:tcW w:w="1544"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righ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0.20%</w:t>
            </w:r>
          </w:p>
        </w:tc>
        <w:tc>
          <w:tcPr>
            <w:tcW w:w="1365" w:type="dxa"/>
            <w:tcBorders>
              <w:top w:val="nil"/>
              <w:left w:val="nil"/>
              <w:bottom w:val="nil"/>
              <w:right w:val="single" w:sz="4" w:space="0" w:color="auto"/>
            </w:tcBorders>
            <w:shd w:val="clear" w:color="auto" w:fill="auto"/>
            <w:noWrap/>
            <w:vAlign w:val="bottom"/>
            <w:hideMark/>
          </w:tcPr>
          <w:p w:rsidR="00346B23" w:rsidRPr="00346B23" w:rsidRDefault="00346B23" w:rsidP="00346B23">
            <w:pPr>
              <w:spacing w:after="0" w:line="240" w:lineRule="auto"/>
              <w:jc w:val="right"/>
              <w:rPr>
                <w:rFonts w:ascii="Calibri" w:eastAsia="Times New Roman" w:hAnsi="Calibri" w:cs="Times New Roman"/>
                <w:color w:val="000000"/>
                <w:sz w:val="22"/>
                <w:szCs w:val="22"/>
                <w:lang w:bidi="ar-SA"/>
              </w:rPr>
            </w:pPr>
            <w:r w:rsidRPr="00346B23">
              <w:rPr>
                <w:rFonts w:ascii="Calibri" w:eastAsia="Times New Roman" w:hAnsi="Calibri" w:cs="Times New Roman"/>
                <w:color w:val="000000"/>
                <w:sz w:val="22"/>
                <w:szCs w:val="22"/>
                <w:lang w:bidi="ar-SA"/>
              </w:rPr>
              <w:t>193.35</w:t>
            </w:r>
          </w:p>
        </w:tc>
        <w:tc>
          <w:tcPr>
            <w:tcW w:w="2087"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166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72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r>
      <w:tr w:rsidR="00346B23" w:rsidRPr="00346B23" w:rsidTr="00346B23">
        <w:trPr>
          <w:trHeight w:val="300"/>
        </w:trPr>
        <w:tc>
          <w:tcPr>
            <w:tcW w:w="3845" w:type="dxa"/>
            <w:tcBorders>
              <w:top w:val="nil"/>
              <w:left w:val="single" w:sz="4" w:space="0" w:color="auto"/>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Scenario 2</w:t>
            </w:r>
          </w:p>
        </w:tc>
        <w:tc>
          <w:tcPr>
            <w:tcW w:w="1544"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righ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0.15%</w:t>
            </w:r>
          </w:p>
        </w:tc>
        <w:tc>
          <w:tcPr>
            <w:tcW w:w="1365" w:type="dxa"/>
            <w:tcBorders>
              <w:top w:val="nil"/>
              <w:left w:val="nil"/>
              <w:bottom w:val="nil"/>
              <w:right w:val="single" w:sz="4" w:space="0" w:color="auto"/>
            </w:tcBorders>
            <w:shd w:val="clear" w:color="auto" w:fill="auto"/>
            <w:noWrap/>
            <w:vAlign w:val="bottom"/>
            <w:hideMark/>
          </w:tcPr>
          <w:p w:rsidR="00346B23" w:rsidRPr="00346B23" w:rsidRDefault="00346B23" w:rsidP="00346B23">
            <w:pPr>
              <w:spacing w:after="0" w:line="240" w:lineRule="auto"/>
              <w:jc w:val="right"/>
              <w:rPr>
                <w:rFonts w:ascii="Calibri" w:eastAsia="Times New Roman" w:hAnsi="Calibri" w:cs="Times New Roman"/>
                <w:color w:val="000000"/>
                <w:sz w:val="22"/>
                <w:szCs w:val="22"/>
                <w:lang w:bidi="ar-SA"/>
              </w:rPr>
            </w:pPr>
            <w:r w:rsidRPr="00346B23">
              <w:rPr>
                <w:rFonts w:ascii="Calibri" w:eastAsia="Times New Roman" w:hAnsi="Calibri" w:cs="Times New Roman"/>
                <w:color w:val="000000"/>
                <w:sz w:val="22"/>
                <w:szCs w:val="22"/>
                <w:lang w:bidi="ar-SA"/>
              </w:rPr>
              <w:t>108.76</w:t>
            </w:r>
          </w:p>
        </w:tc>
        <w:tc>
          <w:tcPr>
            <w:tcW w:w="2087"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166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72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r>
      <w:tr w:rsidR="00346B23" w:rsidRPr="00346B23" w:rsidTr="00346B23">
        <w:trPr>
          <w:trHeight w:val="300"/>
        </w:trPr>
        <w:tc>
          <w:tcPr>
            <w:tcW w:w="3845" w:type="dxa"/>
            <w:tcBorders>
              <w:top w:val="nil"/>
              <w:left w:val="single" w:sz="4" w:space="0" w:color="auto"/>
              <w:bottom w:val="single" w:sz="4" w:space="0" w:color="auto"/>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Scenario 3</w:t>
            </w:r>
          </w:p>
        </w:tc>
        <w:tc>
          <w:tcPr>
            <w:tcW w:w="1544" w:type="dxa"/>
            <w:tcBorders>
              <w:top w:val="nil"/>
              <w:left w:val="nil"/>
              <w:bottom w:val="single" w:sz="4" w:space="0" w:color="auto"/>
              <w:right w:val="nil"/>
            </w:tcBorders>
            <w:shd w:val="clear" w:color="auto" w:fill="auto"/>
            <w:noWrap/>
            <w:vAlign w:val="bottom"/>
            <w:hideMark/>
          </w:tcPr>
          <w:p w:rsidR="00346B23" w:rsidRPr="00346B23" w:rsidRDefault="00346B23" w:rsidP="00346B23">
            <w:pPr>
              <w:spacing w:after="0" w:line="240" w:lineRule="auto"/>
              <w:jc w:val="right"/>
              <w:rPr>
                <w:rFonts w:ascii="Calibri" w:eastAsia="Times New Roman" w:hAnsi="Calibri" w:cs="Times New Roman"/>
                <w:color w:val="000000"/>
                <w:sz w:val="18"/>
                <w:szCs w:val="18"/>
                <w:lang w:bidi="ar-SA"/>
              </w:rPr>
            </w:pPr>
            <w:r w:rsidRPr="00346B23">
              <w:rPr>
                <w:rFonts w:ascii="Calibri" w:eastAsia="Times New Roman" w:hAnsi="Calibri" w:cs="Times New Roman"/>
                <w:color w:val="000000"/>
                <w:sz w:val="18"/>
                <w:szCs w:val="18"/>
                <w:lang w:bidi="ar-SA"/>
              </w:rPr>
              <w:t>0.10%</w:t>
            </w:r>
          </w:p>
        </w:tc>
        <w:tc>
          <w:tcPr>
            <w:tcW w:w="1365" w:type="dxa"/>
            <w:tcBorders>
              <w:top w:val="nil"/>
              <w:left w:val="nil"/>
              <w:bottom w:val="single" w:sz="4" w:space="0" w:color="auto"/>
              <w:right w:val="single" w:sz="4" w:space="0" w:color="auto"/>
            </w:tcBorders>
            <w:shd w:val="clear" w:color="auto" w:fill="auto"/>
            <w:noWrap/>
            <w:vAlign w:val="bottom"/>
            <w:hideMark/>
          </w:tcPr>
          <w:p w:rsidR="00346B23" w:rsidRPr="00346B23" w:rsidRDefault="00346B23" w:rsidP="00346B23">
            <w:pPr>
              <w:spacing w:after="0" w:line="240" w:lineRule="auto"/>
              <w:jc w:val="right"/>
              <w:rPr>
                <w:rFonts w:ascii="Calibri" w:eastAsia="Times New Roman" w:hAnsi="Calibri" w:cs="Times New Roman"/>
                <w:color w:val="000000"/>
                <w:sz w:val="22"/>
                <w:szCs w:val="22"/>
                <w:lang w:bidi="ar-SA"/>
              </w:rPr>
            </w:pPr>
            <w:r w:rsidRPr="00346B23">
              <w:rPr>
                <w:rFonts w:ascii="Calibri" w:eastAsia="Times New Roman" w:hAnsi="Calibri" w:cs="Times New Roman"/>
                <w:color w:val="000000"/>
                <w:sz w:val="22"/>
                <w:szCs w:val="22"/>
                <w:lang w:bidi="ar-SA"/>
              </w:rPr>
              <w:t>48.34</w:t>
            </w:r>
          </w:p>
        </w:tc>
        <w:tc>
          <w:tcPr>
            <w:tcW w:w="2087"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166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c>
          <w:tcPr>
            <w:tcW w:w="2720" w:type="dxa"/>
            <w:tcBorders>
              <w:top w:val="nil"/>
              <w:left w:val="nil"/>
              <w:bottom w:val="nil"/>
              <w:right w:val="nil"/>
            </w:tcBorders>
            <w:shd w:val="clear" w:color="auto" w:fill="auto"/>
            <w:noWrap/>
            <w:vAlign w:val="bottom"/>
            <w:hideMark/>
          </w:tcPr>
          <w:p w:rsidR="00346B23" w:rsidRPr="00346B23" w:rsidRDefault="00346B23" w:rsidP="00346B23">
            <w:pPr>
              <w:spacing w:after="0" w:line="240" w:lineRule="auto"/>
              <w:jc w:val="left"/>
              <w:rPr>
                <w:rFonts w:ascii="Calibri" w:eastAsia="Times New Roman" w:hAnsi="Calibri" w:cs="Times New Roman"/>
                <w:color w:val="000000"/>
                <w:sz w:val="22"/>
                <w:szCs w:val="22"/>
                <w:lang w:bidi="ar-SA"/>
              </w:rPr>
            </w:pPr>
          </w:p>
        </w:tc>
      </w:tr>
    </w:tbl>
    <w:p w:rsidR="00F033E8" w:rsidRDefault="00F033E8" w:rsidP="00CA07A8">
      <w:pPr>
        <w:spacing w:before="120" w:after="120" w:line="240" w:lineRule="auto"/>
        <w:ind w:left="720"/>
        <w:rPr>
          <w:rFonts w:eastAsia="Times New Roman" w:cs="Times New Roman"/>
        </w:rPr>
      </w:pPr>
    </w:p>
    <w:p w:rsidR="00346B23" w:rsidRDefault="00346B23" w:rsidP="00CA07A8">
      <w:pPr>
        <w:spacing w:before="120" w:after="120" w:line="240" w:lineRule="auto"/>
        <w:ind w:left="720"/>
        <w:rPr>
          <w:rFonts w:eastAsia="Times New Roman" w:cs="Times New Roman"/>
        </w:rPr>
      </w:pPr>
      <w:r w:rsidRPr="00346B23">
        <w:rPr>
          <w:noProof/>
          <w:lang w:bidi="ar-SA"/>
        </w:rPr>
        <w:lastRenderedPageBreak/>
        <w:drawing>
          <wp:inline distT="0" distB="0" distL="0" distR="0" wp14:anchorId="04B35962" wp14:editId="6F78C377">
            <wp:extent cx="8229600" cy="171826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29600" cy="1718263"/>
                    </a:xfrm>
                    <a:prstGeom prst="rect">
                      <a:avLst/>
                    </a:prstGeom>
                    <a:noFill/>
                    <a:ln>
                      <a:noFill/>
                    </a:ln>
                  </pic:spPr>
                </pic:pic>
              </a:graphicData>
            </a:graphic>
          </wp:inline>
        </w:drawing>
      </w:r>
    </w:p>
    <w:p w:rsidR="00C73B4A" w:rsidRDefault="00C73B4A" w:rsidP="00CA07A8">
      <w:pPr>
        <w:spacing w:before="120" w:after="120" w:line="240" w:lineRule="auto"/>
        <w:ind w:left="720"/>
        <w:rPr>
          <w:rFonts w:eastAsia="Times New Roman" w:cs="Times New Roman"/>
        </w:rPr>
        <w:sectPr w:rsidR="00C73B4A" w:rsidSect="00C73B4A">
          <w:pgSz w:w="15840" w:h="12240" w:orient="landscape"/>
          <w:pgMar w:top="1440" w:right="1440" w:bottom="1440" w:left="1440" w:header="720" w:footer="720" w:gutter="0"/>
          <w:cols w:space="720"/>
          <w:docGrid w:linePitch="360"/>
        </w:sectPr>
      </w:pPr>
    </w:p>
    <w:p w:rsidR="00F67E0F" w:rsidRDefault="00F67E0F" w:rsidP="00CA07A8">
      <w:pPr>
        <w:spacing w:before="120" w:after="120" w:line="240" w:lineRule="auto"/>
        <w:ind w:left="720"/>
        <w:rPr>
          <w:rFonts w:eastAsia="Times New Roman" w:cs="Times New Roman"/>
        </w:rPr>
      </w:pPr>
    </w:p>
    <w:p w:rsidR="00F033E8" w:rsidRDefault="00F033E8" w:rsidP="00CA07A8">
      <w:pPr>
        <w:spacing w:before="120" w:after="120" w:line="240" w:lineRule="auto"/>
        <w:ind w:left="720"/>
        <w:rPr>
          <w:rFonts w:eastAsia="Times New Roman" w:cs="Times New Roman"/>
        </w:rPr>
      </w:pPr>
    </w:p>
    <w:p w:rsidR="001768AC" w:rsidRDefault="001768AC" w:rsidP="00CA07A8">
      <w:pPr>
        <w:pStyle w:val="Heading4"/>
        <w:numPr>
          <w:ilvl w:val="0"/>
          <w:numId w:val="16"/>
        </w:numPr>
      </w:pPr>
      <w:r>
        <w:t>reduction in the cost of land titling and registration</w:t>
      </w:r>
    </w:p>
    <w:p w:rsidR="00F67E0F" w:rsidRDefault="00F67E0F" w:rsidP="00CA07A8">
      <w:pPr>
        <w:spacing w:before="120" w:after="120" w:line="240" w:lineRule="auto"/>
        <w:ind w:left="630"/>
        <w:rPr>
          <w:rFonts w:eastAsia="Times New Roman" w:cs="Arial"/>
        </w:rPr>
      </w:pPr>
    </w:p>
    <w:p w:rsidR="00862F29" w:rsidRDefault="00F67E0F" w:rsidP="00CA07A8">
      <w:pPr>
        <w:spacing w:before="120" w:after="120" w:line="240" w:lineRule="auto"/>
        <w:ind w:left="630"/>
      </w:pPr>
      <w:r>
        <w:rPr>
          <w:rFonts w:eastAsia="Times New Roman" w:cs="Arial"/>
        </w:rPr>
        <w:t>Developing countries have made efforts on improving the land property right system of their countries, based on the precept that increased security in the land title will improve productivity by increasing access to finance, investment and land productivity</w:t>
      </w:r>
      <w:r>
        <w:rPr>
          <w:rStyle w:val="FootnoteReference"/>
          <w:rFonts w:eastAsia="Times New Roman" w:cs="Arial"/>
        </w:rPr>
        <w:footnoteReference w:id="41"/>
      </w:r>
      <w:r w:rsidR="00DA6273">
        <w:rPr>
          <w:rFonts w:eastAsia="Times New Roman" w:cs="Arial"/>
        </w:rPr>
        <w:t>.</w:t>
      </w:r>
      <w:r w:rsidR="007B68CD">
        <w:rPr>
          <w:rFonts w:eastAsia="Times New Roman" w:cs="Arial"/>
        </w:rPr>
        <w:t xml:space="preserve"> In particular, empirical evidence shows that </w:t>
      </w:r>
      <w:r w:rsidR="007B68CD" w:rsidRPr="00862F29">
        <w:t xml:space="preserve">relationship between land registration and credit access is </w:t>
      </w:r>
      <w:r w:rsidR="00862F29">
        <w:t>based</w:t>
      </w:r>
      <w:r w:rsidR="007B68CD" w:rsidRPr="00862F29">
        <w:t xml:space="preserve"> on the use of </w:t>
      </w:r>
      <w:r w:rsidR="00862F29">
        <w:t>registered</w:t>
      </w:r>
      <w:r w:rsidR="007B68CD" w:rsidRPr="00862F29">
        <w:t xml:space="preserve"> property to secure credit; the strength of this relationship will therefore depend on whether or not borrowers are required to provide collateral</w:t>
      </w:r>
      <w:r w:rsidR="00862F29">
        <w:t>, and in many cases due to the underdeveloped finance markets for unsecured transactions, registered property is fundamental for access to credit of SMEs.</w:t>
      </w:r>
      <w:r w:rsidR="007B68CD" w:rsidRPr="00862F29">
        <w:t>.</w:t>
      </w:r>
      <w:r w:rsidR="00862F29">
        <w:t xml:space="preserve"> </w:t>
      </w:r>
      <w:r w:rsidR="007B68CD" w:rsidRPr="00862F29">
        <w:t xml:space="preserve">Different studies have shown that </w:t>
      </w:r>
      <w:r w:rsidR="00862F29">
        <w:t>between 50</w:t>
      </w:r>
      <w:r w:rsidR="007B68CD" w:rsidRPr="00862F29">
        <w:t xml:space="preserve">% </w:t>
      </w:r>
      <w:r w:rsidR="00862F29">
        <w:t xml:space="preserve"> and 80%</w:t>
      </w:r>
      <w:r w:rsidR="007B68CD" w:rsidRPr="00862F29">
        <w:t>of credit providers will not approve a small enterprise credit proposal if collateral is not provided</w:t>
      </w:r>
      <w:r w:rsidR="007B68CD" w:rsidRPr="00862F29">
        <w:rPr>
          <w:rStyle w:val="FootnoteReference"/>
        </w:rPr>
        <w:footnoteReference w:id="42"/>
      </w:r>
      <w:r w:rsidR="007B68CD" w:rsidRPr="00862F29">
        <w:t xml:space="preserve">. </w:t>
      </w:r>
    </w:p>
    <w:p w:rsidR="00862F29" w:rsidRDefault="00862F29" w:rsidP="00CA07A8">
      <w:pPr>
        <w:spacing w:before="120" w:after="120" w:line="240" w:lineRule="auto"/>
        <w:ind w:left="630"/>
      </w:pPr>
    </w:p>
    <w:p w:rsidR="00F67E0F" w:rsidRDefault="00507094" w:rsidP="00CA07A8">
      <w:pPr>
        <w:spacing w:before="120" w:after="120" w:line="240" w:lineRule="auto"/>
        <w:ind w:left="630"/>
        <w:rPr>
          <w:rFonts w:eastAsia="Times New Roman" w:cs="Arial"/>
        </w:rPr>
      </w:pPr>
      <w:r>
        <w:rPr>
          <w:rFonts w:eastAsia="Times New Roman" w:cs="Arial"/>
        </w:rPr>
        <w:t>S</w:t>
      </w:r>
      <w:r w:rsidR="00DA6273">
        <w:rPr>
          <w:rFonts w:eastAsia="Times New Roman" w:cs="Arial"/>
        </w:rPr>
        <w:t xml:space="preserve">ince the productivity effects are difficult to measure and occur mainly in the long run, the calculation of benefits will be based on the reduction of inefficiencies in terms of time and cost of registering a title. The indirect effects on productivity will not be taken into account. </w:t>
      </w:r>
      <w:r>
        <w:rPr>
          <w:rFonts w:eastAsia="Times New Roman" w:cs="Arial"/>
        </w:rPr>
        <w:t xml:space="preserve">Even </w:t>
      </w:r>
      <w:r w:rsidR="0050786D">
        <w:rPr>
          <w:rFonts w:eastAsia="Times New Roman" w:cs="Arial"/>
        </w:rPr>
        <w:t>though</w:t>
      </w:r>
      <w:r>
        <w:rPr>
          <w:rFonts w:eastAsia="Times New Roman" w:cs="Arial"/>
        </w:rPr>
        <w:t xml:space="preserve"> the benefits are in general for all the land owners of unregistered land, SMEs will have an additional benefit in terms of access to</w:t>
      </w:r>
      <w:r w:rsidR="00592522">
        <w:rPr>
          <w:rFonts w:eastAsia="Times New Roman" w:cs="Arial"/>
        </w:rPr>
        <w:t xml:space="preserve"> finance.</w:t>
      </w:r>
    </w:p>
    <w:p w:rsidR="007B68CD" w:rsidRDefault="007B68CD" w:rsidP="00CA07A8">
      <w:pPr>
        <w:spacing w:before="120" w:after="120" w:line="240" w:lineRule="auto"/>
        <w:ind w:left="630"/>
        <w:rPr>
          <w:rFonts w:eastAsia="Times New Roman" w:cs="Arial"/>
        </w:rPr>
      </w:pPr>
    </w:p>
    <w:p w:rsidR="00C53EBC" w:rsidRPr="00C53EBC" w:rsidRDefault="00C53EBC" w:rsidP="00CA07A8">
      <w:pPr>
        <w:spacing w:before="120" w:after="120" w:line="240" w:lineRule="auto"/>
        <w:ind w:left="630"/>
        <w:rPr>
          <w:rFonts w:cs="Arial"/>
        </w:rPr>
      </w:pPr>
      <w:r w:rsidRPr="00C53EBC">
        <w:rPr>
          <w:rFonts w:eastAsia="Times New Roman" w:cs="Arial"/>
        </w:rPr>
        <w:t>The</w:t>
      </w:r>
      <w:r w:rsidRPr="00C53EBC">
        <w:rPr>
          <w:rFonts w:cs="Arial"/>
          <w:color w:val="000000"/>
        </w:rPr>
        <w:t xml:space="preserve"> Land Administration and Management Programme, LAMP, which began its operations in 2001, has </w:t>
      </w:r>
      <w:r w:rsidR="00346B23">
        <w:rPr>
          <w:rFonts w:cs="Arial"/>
          <w:color w:val="000000"/>
        </w:rPr>
        <w:t xml:space="preserve"> </w:t>
      </w:r>
      <w:r>
        <w:rPr>
          <w:rFonts w:cs="Arial"/>
          <w:color w:val="000000"/>
        </w:rPr>
        <w:t xml:space="preserve">GoJ </w:t>
      </w:r>
      <w:r w:rsidRPr="00C53EBC">
        <w:rPr>
          <w:rFonts w:cs="Arial"/>
          <w:color w:val="000000"/>
        </w:rPr>
        <w:t>secured the pass</w:t>
      </w:r>
      <w:r w:rsidR="00DB6B34">
        <w:rPr>
          <w:rFonts w:cs="Arial"/>
          <w:color w:val="000000"/>
        </w:rPr>
        <w:t>age</w:t>
      </w:r>
      <w:r w:rsidRPr="00C53EBC">
        <w:rPr>
          <w:rFonts w:cs="Arial"/>
          <w:color w:val="000000"/>
        </w:rPr>
        <w:t xml:space="preserve"> of The Registration of Titles Cadastral Mapping and Tenure Clarification (Special Provisions) Act of 2005. The principal aim of this legislation is to remove some of the legal impediments </w:t>
      </w:r>
      <w:r w:rsidR="00925B73">
        <w:rPr>
          <w:rFonts w:cs="Arial"/>
          <w:color w:val="000000"/>
        </w:rPr>
        <w:t>that</w:t>
      </w:r>
      <w:r w:rsidR="00925B73" w:rsidRPr="00C53EBC">
        <w:rPr>
          <w:rFonts w:cs="Arial"/>
          <w:color w:val="000000"/>
        </w:rPr>
        <w:t xml:space="preserve"> </w:t>
      </w:r>
      <w:r w:rsidRPr="00C53EBC">
        <w:rPr>
          <w:rFonts w:cs="Arial"/>
          <w:color w:val="000000"/>
        </w:rPr>
        <w:t xml:space="preserve">are hindering applicants from successfully making applications to register land. These impediments include cost, establishing root of title and issues related to subdivision. </w:t>
      </w:r>
      <w:r>
        <w:rPr>
          <w:rFonts w:cs="Arial"/>
          <w:color w:val="000000"/>
        </w:rPr>
        <w:t xml:space="preserve">Under this act, the </w:t>
      </w:r>
      <w:r w:rsidRPr="00C53EBC">
        <w:rPr>
          <w:rFonts w:cs="Arial"/>
          <w:i/>
        </w:rPr>
        <w:t xml:space="preserve">Transfer Tax and Stamp Duty </w:t>
      </w:r>
      <w:r>
        <w:rPr>
          <w:rFonts w:cs="Arial"/>
          <w:i/>
        </w:rPr>
        <w:t xml:space="preserve">are waived as well as all </w:t>
      </w:r>
      <w:r w:rsidRPr="00C53EBC">
        <w:rPr>
          <w:rFonts w:cs="Arial"/>
          <w:i/>
        </w:rPr>
        <w:t xml:space="preserve">as all fees and charges including Transfer Tax on death. </w:t>
      </w:r>
      <w:r w:rsidRPr="00C53EBC">
        <w:rPr>
          <w:rFonts w:cs="Arial"/>
        </w:rPr>
        <w:t>This is of crucial importance as many persons in Jamaica seek to title lands that they have inherited from family members “generational or family” lands. Such lands cannot be titled without the estate duties relating to such properties being settled and under the provisions of the Registration of Titles Act root of title cannot be established without evidence that the duties have been paid.</w:t>
      </w:r>
      <w:r w:rsidR="004C64D3">
        <w:rPr>
          <w:rFonts w:cs="Arial"/>
        </w:rPr>
        <w:t xml:space="preserve"> Estimates from the LAMP program show that </w:t>
      </w:r>
      <w:r w:rsidR="004000C2">
        <w:rPr>
          <w:rFonts w:cs="Arial"/>
        </w:rPr>
        <w:t>the cost of</w:t>
      </w:r>
      <w:r w:rsidR="004C64D3">
        <w:rPr>
          <w:rFonts w:cs="Arial"/>
        </w:rPr>
        <w:t xml:space="preserve"> registering a 1,000 square meters parcel with a market value of $ 1 Million, drops from J$144,250 to J$ 34,800.</w:t>
      </w:r>
    </w:p>
    <w:p w:rsidR="00C53EBC" w:rsidRPr="004C64D3" w:rsidRDefault="00C53EBC" w:rsidP="00CA07A8">
      <w:pPr>
        <w:spacing w:before="120" w:after="120" w:line="240" w:lineRule="auto"/>
        <w:ind w:left="630"/>
        <w:rPr>
          <w:rFonts w:cs="Arial"/>
          <w:color w:val="000000"/>
        </w:rPr>
      </w:pPr>
      <w:r w:rsidRPr="004C64D3">
        <w:rPr>
          <w:rFonts w:eastAsia="Times New Roman" w:cs="Arial"/>
        </w:rPr>
        <w:t>The</w:t>
      </w:r>
      <w:r w:rsidRPr="004C64D3">
        <w:rPr>
          <w:rFonts w:cs="Arial"/>
          <w:color w:val="000000"/>
        </w:rPr>
        <w:t xml:space="preserve"> declaration of a geographical location as a LAMP project area allows for speedier processing of applications. On average LAMP applications are approved within two (2) weeks from the date of </w:t>
      </w:r>
      <w:r w:rsidR="00925B73" w:rsidRPr="004C64D3">
        <w:rPr>
          <w:rFonts w:cs="Arial"/>
          <w:color w:val="000000"/>
        </w:rPr>
        <w:t>lodgment</w:t>
      </w:r>
      <w:r w:rsidRPr="004C64D3">
        <w:rPr>
          <w:rFonts w:cs="Arial"/>
          <w:color w:val="000000"/>
        </w:rPr>
        <w:t xml:space="preserve"> at the Titles Division of The National Land Agency. Further the time period for </w:t>
      </w:r>
      <w:r w:rsidR="00111453">
        <w:rPr>
          <w:rFonts w:cs="Arial"/>
          <w:color w:val="000000"/>
        </w:rPr>
        <w:t>filing</w:t>
      </w:r>
      <w:r w:rsidR="00925B73">
        <w:rPr>
          <w:rFonts w:cs="Arial"/>
          <w:color w:val="000000"/>
        </w:rPr>
        <w:t xml:space="preserve"> </w:t>
      </w:r>
      <w:r w:rsidRPr="004C64D3">
        <w:rPr>
          <w:rFonts w:cs="Arial"/>
          <w:color w:val="000000"/>
        </w:rPr>
        <w:t>objections after approval has been reduce from seven (7) to six (6) weeks which impacts on the total processing time. On average the total processing time from date of lodgment to date title is issued is four (4) months.</w:t>
      </w:r>
    </w:p>
    <w:p w:rsidR="001768AC" w:rsidRPr="004C64D3" w:rsidRDefault="00C53EBC" w:rsidP="00CA07A8">
      <w:pPr>
        <w:spacing w:before="120" w:after="120" w:line="240" w:lineRule="auto"/>
        <w:ind w:left="630"/>
        <w:rPr>
          <w:rFonts w:eastAsia="Times New Roman" w:cs="Times New Roman"/>
        </w:rPr>
      </w:pPr>
      <w:r w:rsidRPr="00C53EBC">
        <w:rPr>
          <w:rFonts w:cs="Arial"/>
          <w:bCs/>
          <w:color w:val="000000"/>
        </w:rPr>
        <w:t xml:space="preserve">LAMP is currently operating in the parishes of St. Catherine, St. Thomas, St. Elizabeth, Clarendon and in limited areas in the parishes of St. James and Manchester to facilitate work being undertaken by the National Irrigation Commission in these parishes. LAMP therefore is operating in </w:t>
      </w:r>
      <w:r w:rsidR="00DA6273">
        <w:rPr>
          <w:rFonts w:cs="Arial"/>
          <w:bCs/>
          <w:color w:val="000000"/>
        </w:rPr>
        <w:t>thirteen</w:t>
      </w:r>
      <w:r w:rsidRPr="00C53EBC">
        <w:rPr>
          <w:rFonts w:cs="Arial"/>
          <w:bCs/>
          <w:color w:val="000000"/>
        </w:rPr>
        <w:t xml:space="preserve"> ou</w:t>
      </w:r>
      <w:r w:rsidR="00DA6273">
        <w:rPr>
          <w:rFonts w:cs="Arial"/>
          <w:bCs/>
          <w:color w:val="000000"/>
        </w:rPr>
        <w:t>t of the Fourteen (14) parishes, while the 14</w:t>
      </w:r>
      <w:r w:rsidR="00DA6273" w:rsidRPr="00DA6273">
        <w:rPr>
          <w:rFonts w:cs="Arial"/>
          <w:bCs/>
          <w:color w:val="000000"/>
          <w:vertAlign w:val="superscript"/>
        </w:rPr>
        <w:t>th</w:t>
      </w:r>
      <w:r w:rsidR="00DA6273">
        <w:rPr>
          <w:rFonts w:cs="Arial"/>
          <w:bCs/>
          <w:color w:val="000000"/>
        </w:rPr>
        <w:t xml:space="preserve"> is being carried out </w:t>
      </w:r>
      <w:r w:rsidR="00EB0FE2">
        <w:rPr>
          <w:rFonts w:cs="Arial"/>
          <w:bCs/>
          <w:color w:val="000000"/>
        </w:rPr>
        <w:t>under</w:t>
      </w:r>
      <w:r w:rsidR="00DA6273">
        <w:rPr>
          <w:rFonts w:cs="Arial"/>
          <w:bCs/>
          <w:color w:val="000000"/>
        </w:rPr>
        <w:t xml:space="preserve"> the PPP approach. </w:t>
      </w:r>
      <w:r w:rsidR="00EB0FE2" w:rsidRPr="00C53EBC">
        <w:rPr>
          <w:rFonts w:cs="Arial"/>
          <w:bCs/>
          <w:color w:val="000000"/>
        </w:rPr>
        <w:t>In</w:t>
      </w:r>
      <w:r w:rsidRPr="00C53EBC">
        <w:rPr>
          <w:rFonts w:cs="Arial"/>
          <w:bCs/>
          <w:color w:val="000000"/>
        </w:rPr>
        <w:t xml:space="preserve"> Jamaica</w:t>
      </w:r>
      <w:r w:rsidR="004C64D3">
        <w:rPr>
          <w:rFonts w:cs="Arial"/>
          <w:bCs/>
          <w:color w:val="000000"/>
        </w:rPr>
        <w:t xml:space="preserve"> and is titling around 1,000 titles a year. Even though </w:t>
      </w:r>
      <w:r w:rsidR="00EB0FE2">
        <w:rPr>
          <w:rFonts w:cs="Arial"/>
          <w:bCs/>
          <w:color w:val="000000"/>
        </w:rPr>
        <w:t>it’s</w:t>
      </w:r>
      <w:r w:rsidR="004C64D3">
        <w:rPr>
          <w:rFonts w:cs="Arial"/>
          <w:bCs/>
          <w:color w:val="000000"/>
        </w:rPr>
        <w:t xml:space="preserve"> in the process of implementation a new PPP approach in </w:t>
      </w:r>
      <w:r w:rsidR="004C64D3">
        <w:rPr>
          <w:rFonts w:cs="Arial"/>
          <w:bCs/>
          <w:color w:val="000000"/>
        </w:rPr>
        <w:lastRenderedPageBreak/>
        <w:t>partnership with a Korean surveying firm with the goal of titling 12,500 titles in two years, for calculation purposes the figure of 1,000 titles a year is used.</w:t>
      </w:r>
    </w:p>
    <w:p w:rsidR="00CA07A8" w:rsidRDefault="004C64D3" w:rsidP="00CA07A8">
      <w:pPr>
        <w:spacing w:before="120" w:after="120" w:line="240" w:lineRule="auto"/>
        <w:ind w:left="630"/>
        <w:rPr>
          <w:rFonts w:cs="Arial"/>
          <w:bCs/>
          <w:color w:val="000000"/>
        </w:rPr>
      </w:pPr>
      <w:r>
        <w:rPr>
          <w:rFonts w:cs="Arial"/>
          <w:bCs/>
          <w:color w:val="000000"/>
        </w:rPr>
        <w:t>The benefits are thus calculated by accounting the cost and time savings for registering a title under a LAMP declared area</w:t>
      </w:r>
      <w:r w:rsidR="00CA07A8">
        <w:rPr>
          <w:rFonts w:cs="Arial"/>
          <w:bCs/>
          <w:color w:val="000000"/>
        </w:rPr>
        <w:t>, using the following formula:</w:t>
      </w:r>
    </w:p>
    <w:p w:rsidR="00CA07A8" w:rsidRPr="00EF1139" w:rsidRDefault="00CA07A8" w:rsidP="00CA07A8">
      <w:pPr>
        <w:spacing w:before="120" w:after="120" w:line="240" w:lineRule="auto"/>
        <w:ind w:left="630"/>
        <w:rPr>
          <w:rFonts w:cs="Arial"/>
          <w:bCs/>
          <w:color w:val="000000"/>
        </w:rPr>
      </w:pPr>
      <w:r w:rsidRPr="00EF1139">
        <w:rPr>
          <w:rFonts w:cs="Arial"/>
          <w:bCs/>
          <w:color w:val="000000"/>
        </w:rPr>
        <w:t>BLTi =</w:t>
      </w:r>
      <w:r w:rsidR="0036299D" w:rsidRPr="00EF1139">
        <w:rPr>
          <w:rFonts w:cs="Arial"/>
          <w:bCs/>
          <w:color w:val="000000"/>
        </w:rPr>
        <w:t>(</w:t>
      </w:r>
      <w:r w:rsidRPr="00EF1139">
        <w:rPr>
          <w:rFonts w:cs="Arial"/>
          <w:bCs/>
          <w:color w:val="000000"/>
        </w:rPr>
        <w:t xml:space="preserve"> </w:t>
      </w:r>
      <w:r w:rsidR="0036299D" w:rsidRPr="00EF1139">
        <w:rPr>
          <w:rFonts w:cs="Arial"/>
          <w:bCs/>
          <w:color w:val="000000"/>
        </w:rPr>
        <w:t>CLT</w:t>
      </w:r>
      <w:r w:rsidR="0036299D" w:rsidRPr="00EF1139">
        <w:rPr>
          <w:rFonts w:cs="Arial"/>
          <w:bCs/>
          <w:color w:val="000000"/>
          <w:vertAlign w:val="subscript"/>
        </w:rPr>
        <w:t>i</w:t>
      </w:r>
      <w:r w:rsidR="0036299D" w:rsidRPr="00EF1139">
        <w:rPr>
          <w:rFonts w:cs="Arial"/>
          <w:bCs/>
          <w:color w:val="000000"/>
        </w:rPr>
        <w:t>-CLT</w:t>
      </w:r>
      <w:r w:rsidR="0036299D" w:rsidRPr="00EF1139">
        <w:rPr>
          <w:rFonts w:cs="Arial"/>
          <w:bCs/>
          <w:color w:val="000000"/>
          <w:vertAlign w:val="subscript"/>
        </w:rPr>
        <w:t>2008</w:t>
      </w:r>
      <w:r w:rsidR="0036299D" w:rsidRPr="00EF1139">
        <w:rPr>
          <w:rFonts w:cs="Arial"/>
          <w:bCs/>
          <w:color w:val="000000"/>
        </w:rPr>
        <w:t>) x NT</w:t>
      </w:r>
      <w:r w:rsidR="0036299D" w:rsidRPr="00EF1139">
        <w:rPr>
          <w:rFonts w:cs="Arial"/>
          <w:bCs/>
          <w:color w:val="000000"/>
          <w:vertAlign w:val="subscript"/>
        </w:rPr>
        <w:t>i</w:t>
      </w:r>
      <w:r w:rsidR="00EF1139" w:rsidRPr="00EF1139">
        <w:rPr>
          <w:rFonts w:cs="Arial"/>
          <w:bCs/>
          <w:color w:val="000000"/>
        </w:rPr>
        <w:t xml:space="preserve"> + (TL</w:t>
      </w:r>
      <w:r w:rsidR="00EF1139">
        <w:rPr>
          <w:rFonts w:cs="Arial"/>
          <w:bCs/>
          <w:color w:val="000000"/>
        </w:rPr>
        <w:t>T</w:t>
      </w:r>
      <w:r w:rsidR="00EF1139" w:rsidRPr="00EF1139">
        <w:rPr>
          <w:rFonts w:cs="Arial"/>
          <w:bCs/>
          <w:color w:val="000000"/>
          <w:vertAlign w:val="subscript"/>
        </w:rPr>
        <w:t>i</w:t>
      </w:r>
      <w:r w:rsidR="00EF1139">
        <w:rPr>
          <w:rFonts w:cs="Arial"/>
          <w:bCs/>
          <w:color w:val="000000"/>
        </w:rPr>
        <w:t>-TLTi</w:t>
      </w:r>
      <w:r w:rsidR="00EF1139" w:rsidRPr="00EF1139">
        <w:rPr>
          <w:rFonts w:cs="Arial"/>
          <w:bCs/>
          <w:color w:val="000000"/>
          <w:vertAlign w:val="subscript"/>
        </w:rPr>
        <w:t>2008</w:t>
      </w:r>
      <w:r w:rsidR="00EF1139">
        <w:rPr>
          <w:rFonts w:cs="Arial"/>
          <w:bCs/>
          <w:color w:val="000000"/>
        </w:rPr>
        <w:t>) X VNT</w:t>
      </w:r>
      <w:r w:rsidR="00EF1139" w:rsidRPr="00EF1139">
        <w:rPr>
          <w:rFonts w:cs="Arial"/>
          <w:bCs/>
          <w:color w:val="000000"/>
          <w:vertAlign w:val="subscript"/>
        </w:rPr>
        <w:t>i</w:t>
      </w:r>
    </w:p>
    <w:p w:rsidR="0036299D" w:rsidRPr="00EF1139" w:rsidRDefault="0036299D" w:rsidP="00CA07A8">
      <w:pPr>
        <w:spacing w:before="120" w:after="120" w:line="240" w:lineRule="auto"/>
        <w:ind w:left="630"/>
        <w:rPr>
          <w:rFonts w:cs="Arial"/>
          <w:bCs/>
          <w:color w:val="000000"/>
        </w:rPr>
      </w:pPr>
    </w:p>
    <w:p w:rsidR="0036299D" w:rsidRDefault="00EF1139" w:rsidP="00EF1139">
      <w:pPr>
        <w:spacing w:before="120" w:after="120" w:line="240" w:lineRule="auto"/>
        <w:ind w:left="630"/>
        <w:rPr>
          <w:rFonts w:ascii="Calibri" w:eastAsia="Times New Roman" w:hAnsi="Calibri" w:cs="Times New Roman"/>
          <w:color w:val="000000"/>
          <w:sz w:val="18"/>
          <w:szCs w:val="18"/>
          <w:lang w:bidi="ar-SA"/>
        </w:rPr>
      </w:pPr>
      <w:r>
        <w:rPr>
          <w:rFonts w:ascii="Calibri" w:eastAsia="Times New Roman" w:hAnsi="Calibri" w:cs="Times New Roman"/>
          <w:color w:val="000000"/>
          <w:sz w:val="18"/>
          <w:szCs w:val="18"/>
          <w:lang w:bidi="ar-SA"/>
        </w:rPr>
        <w:t>CLT</w:t>
      </w:r>
      <w:r w:rsidRPr="00EF1139">
        <w:rPr>
          <w:rFonts w:ascii="Calibri" w:eastAsia="Times New Roman" w:hAnsi="Calibri" w:cs="Times New Roman"/>
          <w:color w:val="000000"/>
          <w:sz w:val="18"/>
          <w:szCs w:val="18"/>
          <w:vertAlign w:val="subscript"/>
          <w:lang w:bidi="ar-SA"/>
        </w:rPr>
        <w:t>i</w:t>
      </w:r>
      <w:r>
        <w:rPr>
          <w:rFonts w:ascii="Calibri" w:eastAsia="Times New Roman" w:hAnsi="Calibri" w:cs="Times New Roman"/>
          <w:color w:val="000000"/>
          <w:sz w:val="18"/>
          <w:szCs w:val="18"/>
          <w:lang w:bidi="ar-SA"/>
        </w:rPr>
        <w:t xml:space="preserve"> = </w:t>
      </w:r>
      <w:r w:rsidR="0036299D" w:rsidRPr="0036299D">
        <w:rPr>
          <w:rFonts w:ascii="Calibri" w:eastAsia="Times New Roman" w:hAnsi="Calibri" w:cs="Times New Roman"/>
          <w:color w:val="000000"/>
          <w:sz w:val="18"/>
          <w:szCs w:val="18"/>
          <w:lang w:bidi="ar-SA"/>
        </w:rPr>
        <w:t xml:space="preserve">Cost of regitering1000 square </w:t>
      </w:r>
      <w:r w:rsidR="00EB0FE2" w:rsidRPr="0036299D">
        <w:rPr>
          <w:rFonts w:ascii="Calibri" w:eastAsia="Times New Roman" w:hAnsi="Calibri" w:cs="Times New Roman"/>
          <w:color w:val="000000"/>
          <w:sz w:val="18"/>
          <w:szCs w:val="18"/>
          <w:lang w:bidi="ar-SA"/>
        </w:rPr>
        <w:t>meters</w:t>
      </w:r>
      <w:r w:rsidR="0036299D" w:rsidRPr="0036299D">
        <w:rPr>
          <w:rFonts w:ascii="Calibri" w:eastAsia="Times New Roman" w:hAnsi="Calibri" w:cs="Times New Roman"/>
          <w:color w:val="000000"/>
          <w:sz w:val="18"/>
          <w:szCs w:val="18"/>
          <w:lang w:bidi="ar-SA"/>
        </w:rPr>
        <w:t xml:space="preserve"> (¼ acre) of land with market value $1,000,000.00</w:t>
      </w:r>
      <w:r>
        <w:rPr>
          <w:rFonts w:ascii="Calibri" w:eastAsia="Times New Roman" w:hAnsi="Calibri" w:cs="Times New Roman"/>
          <w:color w:val="000000"/>
          <w:sz w:val="18"/>
          <w:szCs w:val="18"/>
          <w:lang w:bidi="ar-SA"/>
        </w:rPr>
        <w:t>.</w:t>
      </w:r>
    </w:p>
    <w:p w:rsidR="00EF1139" w:rsidRPr="0036299D" w:rsidRDefault="00EF1139" w:rsidP="00EF1139">
      <w:pPr>
        <w:spacing w:before="120" w:after="120" w:line="240" w:lineRule="auto"/>
        <w:ind w:left="630"/>
        <w:rPr>
          <w:rFonts w:ascii="Calibri" w:eastAsia="Times New Roman" w:hAnsi="Calibri" w:cs="Times New Roman"/>
          <w:color w:val="000000"/>
          <w:sz w:val="18"/>
          <w:szCs w:val="18"/>
          <w:lang w:bidi="ar-SA"/>
        </w:rPr>
      </w:pPr>
      <w:r>
        <w:rPr>
          <w:rFonts w:ascii="Calibri" w:eastAsia="Times New Roman" w:hAnsi="Calibri" w:cs="Times New Roman"/>
          <w:color w:val="000000"/>
          <w:sz w:val="18"/>
          <w:szCs w:val="18"/>
          <w:lang w:bidi="ar-SA"/>
        </w:rPr>
        <w:t>NT</w:t>
      </w:r>
      <w:r w:rsidRPr="00EF1139">
        <w:rPr>
          <w:rFonts w:ascii="Calibri" w:eastAsia="Times New Roman" w:hAnsi="Calibri" w:cs="Times New Roman"/>
          <w:color w:val="000000"/>
          <w:sz w:val="18"/>
          <w:szCs w:val="18"/>
          <w:vertAlign w:val="subscript"/>
          <w:lang w:bidi="ar-SA"/>
        </w:rPr>
        <w:t>i</w:t>
      </w:r>
      <w:r>
        <w:rPr>
          <w:rFonts w:ascii="Calibri" w:eastAsia="Times New Roman" w:hAnsi="Calibri" w:cs="Times New Roman"/>
          <w:color w:val="000000"/>
          <w:sz w:val="18"/>
          <w:szCs w:val="18"/>
          <w:lang w:bidi="ar-SA"/>
        </w:rPr>
        <w:t>= Number of titles registered per year</w:t>
      </w:r>
    </w:p>
    <w:p w:rsidR="0036299D" w:rsidRDefault="00EF1139" w:rsidP="00CA07A8">
      <w:pPr>
        <w:spacing w:before="120" w:after="120" w:line="240" w:lineRule="auto"/>
        <w:ind w:left="630"/>
        <w:rPr>
          <w:rFonts w:cs="Arial"/>
          <w:bCs/>
          <w:color w:val="000000"/>
        </w:rPr>
      </w:pPr>
      <w:r>
        <w:rPr>
          <w:rFonts w:cs="Arial"/>
          <w:bCs/>
          <w:color w:val="000000"/>
        </w:rPr>
        <w:t>VTTi = Value of the time processing a Title.</w:t>
      </w:r>
    </w:p>
    <w:p w:rsidR="004C64D3" w:rsidRDefault="004C64D3" w:rsidP="00CA07A8">
      <w:pPr>
        <w:spacing w:before="120" w:after="120" w:line="240" w:lineRule="auto"/>
        <w:ind w:left="630"/>
        <w:rPr>
          <w:rFonts w:cs="Arial"/>
          <w:bCs/>
          <w:color w:val="000000"/>
        </w:rPr>
      </w:pPr>
      <w:r>
        <w:rPr>
          <w:rFonts w:cs="Arial"/>
          <w:bCs/>
          <w:color w:val="000000"/>
        </w:rPr>
        <w:t>The incurred costs are mainly from the education and awareness program, aimed at disseminating the benefits of the program in order to promote participation</w:t>
      </w:r>
      <w:r w:rsidR="00F033E8">
        <w:rPr>
          <w:rFonts w:cs="Arial"/>
          <w:bCs/>
          <w:color w:val="000000"/>
        </w:rPr>
        <w:t>, which amounted to US $70.000.</w:t>
      </w:r>
    </w:p>
    <w:p w:rsidR="00BA387E" w:rsidRDefault="00BA387E" w:rsidP="00C73B4A">
      <w:pPr>
        <w:spacing w:before="120" w:after="120" w:line="240" w:lineRule="auto"/>
        <w:ind w:left="630"/>
        <w:rPr>
          <w:rFonts w:eastAsia="Times New Roman" w:cs="Times New Roman"/>
        </w:rPr>
      </w:pPr>
      <w:r>
        <w:rPr>
          <w:rFonts w:eastAsia="Times New Roman" w:cs="Times New Roman"/>
        </w:rPr>
        <w:t>The analysis included a sensitivity analysis to show the elasticity of increasing the benefits by increasing the number or titles that are registered in a year up to 50%. In the base case the NPV of the measure amounts to US $10.68 Million</w:t>
      </w:r>
      <w:r w:rsidR="00C73B4A">
        <w:rPr>
          <w:rFonts w:eastAsia="Times New Roman" w:cs="Times New Roman"/>
        </w:rPr>
        <w:t>, as shown on Table 6</w:t>
      </w:r>
      <w:r>
        <w:rPr>
          <w:rFonts w:eastAsia="Times New Roman" w:cs="Times New Roman"/>
        </w:rPr>
        <w:t xml:space="preserve">. </w:t>
      </w:r>
    </w:p>
    <w:p w:rsidR="00C73B4A" w:rsidRDefault="00C73B4A" w:rsidP="00C73B4A">
      <w:pPr>
        <w:spacing w:before="120" w:after="120" w:line="240" w:lineRule="auto"/>
        <w:ind w:left="630"/>
        <w:rPr>
          <w:rFonts w:eastAsia="Times New Roman" w:cs="Times New Roman"/>
        </w:rPr>
        <w:sectPr w:rsidR="00C73B4A" w:rsidSect="00C73B4A">
          <w:pgSz w:w="12240" w:h="15840"/>
          <w:pgMar w:top="1440" w:right="1440" w:bottom="1440" w:left="1440" w:header="720" w:footer="720" w:gutter="0"/>
          <w:cols w:space="720"/>
          <w:docGrid w:linePitch="360"/>
        </w:sectPr>
      </w:pPr>
    </w:p>
    <w:tbl>
      <w:tblPr>
        <w:tblW w:w="9895" w:type="dxa"/>
        <w:tblInd w:w="103" w:type="dxa"/>
        <w:tblLook w:val="04A0" w:firstRow="1" w:lastRow="0" w:firstColumn="1" w:lastColumn="0" w:noHBand="0" w:noVBand="1"/>
      </w:tblPr>
      <w:tblGrid>
        <w:gridCol w:w="3100"/>
        <w:gridCol w:w="8"/>
        <w:gridCol w:w="1165"/>
        <w:gridCol w:w="443"/>
        <w:gridCol w:w="599"/>
        <w:gridCol w:w="1089"/>
        <w:gridCol w:w="511"/>
        <w:gridCol w:w="1480"/>
        <w:gridCol w:w="1500"/>
      </w:tblGrid>
      <w:tr w:rsidR="00C73B4A" w:rsidRPr="00DA6273" w:rsidTr="00C73B4A">
        <w:trPr>
          <w:trHeight w:val="300"/>
        </w:trPr>
        <w:tc>
          <w:tcPr>
            <w:tcW w:w="6915" w:type="dxa"/>
            <w:gridSpan w:val="7"/>
            <w:tcBorders>
              <w:bottom w:val="single" w:sz="4" w:space="0" w:color="auto"/>
            </w:tcBorders>
            <w:shd w:val="clear" w:color="auto" w:fill="auto"/>
            <w:noWrap/>
            <w:vAlign w:val="bottom"/>
          </w:tcPr>
          <w:p w:rsidR="00C73B4A" w:rsidRPr="00DA6273" w:rsidRDefault="00C73B4A" w:rsidP="00DA6273">
            <w:pPr>
              <w:spacing w:after="0" w:line="240" w:lineRule="auto"/>
              <w:jc w:val="left"/>
              <w:rPr>
                <w:rFonts w:eastAsia="Times New Roman" w:cs="Times New Roman"/>
                <w:b/>
                <w:bCs/>
                <w:color w:val="4F81BD"/>
                <w:sz w:val="16"/>
                <w:szCs w:val="16"/>
                <w:lang w:bidi="ar-SA"/>
              </w:rPr>
            </w:pPr>
            <w:r w:rsidRPr="00C73B4A">
              <w:rPr>
                <w:rFonts w:eastAsia="Times New Roman" w:cs="Times New Roman"/>
                <w:b/>
                <w:bCs/>
                <w:color w:val="1F497D" w:themeColor="text2"/>
                <w:sz w:val="16"/>
                <w:szCs w:val="16"/>
                <w:lang w:bidi="ar-SA"/>
              </w:rPr>
              <w:lastRenderedPageBreak/>
              <w:t>TABLE 6: COST BENEFIT ANALYSI OF LAND TITLING AND REGISTRATION</w:t>
            </w:r>
          </w:p>
        </w:tc>
        <w:tc>
          <w:tcPr>
            <w:tcW w:w="1480" w:type="dxa"/>
            <w:tcBorders>
              <w:top w:val="nil"/>
              <w:left w:val="nil"/>
              <w:bottom w:val="nil"/>
              <w:right w:val="nil"/>
            </w:tcBorders>
            <w:shd w:val="clear" w:color="auto" w:fill="auto"/>
            <w:noWrap/>
            <w:vAlign w:val="bottom"/>
          </w:tcPr>
          <w:p w:rsidR="00C73B4A" w:rsidRPr="00DA6273" w:rsidRDefault="00C73B4A" w:rsidP="00DA6273">
            <w:pPr>
              <w:spacing w:after="0" w:line="240" w:lineRule="auto"/>
              <w:jc w:val="left"/>
              <w:rPr>
                <w:rFonts w:eastAsia="Times New Roman" w:cs="Times New Roman"/>
                <w:color w:val="000000"/>
                <w:sz w:val="16"/>
                <w:szCs w:val="16"/>
                <w:lang w:bidi="ar-SA"/>
              </w:rPr>
            </w:pPr>
          </w:p>
        </w:tc>
        <w:tc>
          <w:tcPr>
            <w:tcW w:w="1500" w:type="dxa"/>
            <w:tcBorders>
              <w:top w:val="nil"/>
              <w:left w:val="nil"/>
              <w:bottom w:val="nil"/>
              <w:right w:val="nil"/>
            </w:tcBorders>
            <w:shd w:val="clear" w:color="auto" w:fill="auto"/>
            <w:noWrap/>
            <w:vAlign w:val="bottom"/>
          </w:tcPr>
          <w:p w:rsidR="00C73B4A" w:rsidRPr="00DA6273" w:rsidRDefault="00C73B4A" w:rsidP="00DA6273">
            <w:pPr>
              <w:spacing w:after="0" w:line="240" w:lineRule="auto"/>
              <w:jc w:val="left"/>
              <w:rPr>
                <w:rFonts w:eastAsia="Times New Roman" w:cs="Times New Roman"/>
                <w:color w:val="000000"/>
                <w:sz w:val="16"/>
                <w:szCs w:val="16"/>
                <w:lang w:bidi="ar-SA"/>
              </w:rPr>
            </w:pPr>
          </w:p>
        </w:tc>
      </w:tr>
      <w:tr w:rsidR="00DA6273" w:rsidRPr="00DA6273" w:rsidTr="00C73B4A">
        <w:trPr>
          <w:trHeight w:val="300"/>
        </w:trPr>
        <w:tc>
          <w:tcPr>
            <w:tcW w:w="3100" w:type="dxa"/>
            <w:tcBorders>
              <w:top w:val="single" w:sz="4" w:space="0" w:color="auto"/>
              <w:left w:val="single" w:sz="4" w:space="0" w:color="auto"/>
              <w:bottom w:val="single" w:sz="4" w:space="0" w:color="auto"/>
              <w:right w:val="nil"/>
            </w:tcBorders>
            <w:shd w:val="clear" w:color="000000" w:fill="B7DEE8"/>
            <w:noWrap/>
            <w:vAlign w:val="bottom"/>
            <w:hideMark/>
          </w:tcPr>
          <w:p w:rsidR="00DA6273" w:rsidRPr="00DA6273" w:rsidRDefault="00DA6273" w:rsidP="00DA6273">
            <w:pPr>
              <w:spacing w:after="0" w:line="240" w:lineRule="auto"/>
              <w:jc w:val="left"/>
              <w:rPr>
                <w:rFonts w:eastAsia="Times New Roman" w:cs="Times New Roman"/>
                <w:b/>
                <w:bCs/>
                <w:color w:val="4F81BD"/>
                <w:sz w:val="16"/>
                <w:szCs w:val="16"/>
                <w:lang w:bidi="ar-SA"/>
              </w:rPr>
            </w:pPr>
            <w:r w:rsidRPr="00DA6273">
              <w:rPr>
                <w:rFonts w:eastAsia="Times New Roman" w:cs="Times New Roman"/>
                <w:b/>
                <w:bCs/>
                <w:color w:val="4F81BD"/>
                <w:sz w:val="16"/>
                <w:szCs w:val="16"/>
                <w:lang w:bidi="ar-SA"/>
              </w:rPr>
              <w:t>Assumptions</w:t>
            </w:r>
          </w:p>
        </w:tc>
        <w:tc>
          <w:tcPr>
            <w:tcW w:w="1173" w:type="dxa"/>
            <w:gridSpan w:val="2"/>
            <w:tcBorders>
              <w:top w:val="single" w:sz="4" w:space="0" w:color="auto"/>
              <w:left w:val="single" w:sz="4" w:space="0" w:color="auto"/>
              <w:bottom w:val="single" w:sz="4" w:space="0" w:color="auto"/>
              <w:right w:val="single" w:sz="4" w:space="0" w:color="auto"/>
            </w:tcBorders>
            <w:shd w:val="clear" w:color="000000" w:fill="B7DEE8"/>
            <w:noWrap/>
            <w:vAlign w:val="bottom"/>
            <w:hideMark/>
          </w:tcPr>
          <w:p w:rsidR="00DA6273" w:rsidRPr="00DA6273" w:rsidRDefault="00DA6273" w:rsidP="00DA6273">
            <w:pPr>
              <w:spacing w:after="0" w:line="240" w:lineRule="auto"/>
              <w:jc w:val="left"/>
              <w:rPr>
                <w:rFonts w:eastAsia="Times New Roman" w:cs="Times New Roman"/>
                <w:b/>
                <w:bCs/>
                <w:color w:val="4F81BD"/>
                <w:sz w:val="16"/>
                <w:szCs w:val="16"/>
                <w:lang w:bidi="ar-SA"/>
              </w:rPr>
            </w:pPr>
            <w:r w:rsidRPr="00DA6273">
              <w:rPr>
                <w:rFonts w:eastAsia="Times New Roman" w:cs="Times New Roman"/>
                <w:b/>
                <w:bCs/>
                <w:color w:val="4F81BD"/>
                <w:sz w:val="16"/>
                <w:szCs w:val="16"/>
                <w:lang w:bidi="ar-SA"/>
              </w:rPr>
              <w:t>Parameter</w:t>
            </w:r>
          </w:p>
        </w:tc>
        <w:tc>
          <w:tcPr>
            <w:tcW w:w="1042" w:type="dxa"/>
            <w:gridSpan w:val="2"/>
            <w:tcBorders>
              <w:top w:val="single" w:sz="4" w:space="0" w:color="auto"/>
              <w:left w:val="nil"/>
              <w:bottom w:val="single" w:sz="4" w:space="0" w:color="auto"/>
              <w:right w:val="single" w:sz="4" w:space="0" w:color="auto"/>
            </w:tcBorders>
            <w:shd w:val="clear" w:color="000000" w:fill="B7DEE8"/>
            <w:noWrap/>
            <w:vAlign w:val="bottom"/>
            <w:hideMark/>
          </w:tcPr>
          <w:p w:rsidR="00DA6273" w:rsidRPr="00DA6273" w:rsidRDefault="00DA6273" w:rsidP="00DA6273">
            <w:pPr>
              <w:spacing w:after="0" w:line="240" w:lineRule="auto"/>
              <w:jc w:val="left"/>
              <w:rPr>
                <w:rFonts w:eastAsia="Times New Roman" w:cs="Times New Roman"/>
                <w:b/>
                <w:bCs/>
                <w:color w:val="4F81BD"/>
                <w:sz w:val="16"/>
                <w:szCs w:val="16"/>
                <w:lang w:bidi="ar-SA"/>
              </w:rPr>
            </w:pPr>
            <w:r w:rsidRPr="00DA6273">
              <w:rPr>
                <w:rFonts w:eastAsia="Times New Roman" w:cs="Times New Roman"/>
                <w:b/>
                <w:bCs/>
                <w:color w:val="4F81BD"/>
                <w:sz w:val="16"/>
                <w:szCs w:val="16"/>
                <w:lang w:bidi="ar-SA"/>
              </w:rPr>
              <w:t>Measure</w:t>
            </w:r>
          </w:p>
        </w:tc>
        <w:tc>
          <w:tcPr>
            <w:tcW w:w="1600" w:type="dxa"/>
            <w:gridSpan w:val="2"/>
            <w:tcBorders>
              <w:top w:val="single" w:sz="4" w:space="0" w:color="auto"/>
              <w:left w:val="nil"/>
              <w:bottom w:val="single" w:sz="4" w:space="0" w:color="auto"/>
              <w:right w:val="single" w:sz="4" w:space="0" w:color="auto"/>
            </w:tcBorders>
            <w:shd w:val="clear" w:color="000000" w:fill="B7DEE8"/>
            <w:vAlign w:val="bottom"/>
            <w:hideMark/>
          </w:tcPr>
          <w:p w:rsidR="00DA6273" w:rsidRPr="00DA6273" w:rsidRDefault="00DA6273" w:rsidP="00DA6273">
            <w:pPr>
              <w:spacing w:after="0" w:line="240" w:lineRule="auto"/>
              <w:jc w:val="left"/>
              <w:rPr>
                <w:rFonts w:eastAsia="Times New Roman" w:cs="Times New Roman"/>
                <w:b/>
                <w:bCs/>
                <w:color w:val="4F81BD"/>
                <w:sz w:val="16"/>
                <w:szCs w:val="16"/>
                <w:lang w:bidi="ar-SA"/>
              </w:rPr>
            </w:pPr>
            <w:r w:rsidRPr="00DA6273">
              <w:rPr>
                <w:rFonts w:eastAsia="Times New Roman" w:cs="Times New Roman"/>
                <w:b/>
                <w:bCs/>
                <w:color w:val="4F81BD"/>
                <w:sz w:val="16"/>
                <w:szCs w:val="16"/>
                <w:lang w:bidi="ar-SA"/>
              </w:rPr>
              <w:t>Comments</w:t>
            </w:r>
          </w:p>
        </w:tc>
        <w:tc>
          <w:tcPr>
            <w:tcW w:w="148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50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r>
      <w:tr w:rsidR="00DA6273" w:rsidRPr="00DA6273" w:rsidTr="00BA387E">
        <w:trPr>
          <w:trHeight w:val="300"/>
        </w:trPr>
        <w:tc>
          <w:tcPr>
            <w:tcW w:w="6915" w:type="dxa"/>
            <w:gridSpan w:val="7"/>
            <w:tcBorders>
              <w:top w:val="single" w:sz="4" w:space="0" w:color="auto"/>
              <w:left w:val="single" w:sz="4" w:space="0" w:color="auto"/>
              <w:right w:val="single" w:sz="4" w:space="0" w:color="000000"/>
            </w:tcBorders>
            <w:shd w:val="clear" w:color="000000" w:fill="DCE6F1"/>
            <w:noWrap/>
            <w:vAlign w:val="bottom"/>
            <w:hideMark/>
          </w:tcPr>
          <w:p w:rsidR="00DA6273" w:rsidRPr="00DA6273" w:rsidRDefault="00DA6273" w:rsidP="00DA6273">
            <w:pPr>
              <w:spacing w:after="0" w:line="240" w:lineRule="auto"/>
              <w:jc w:val="left"/>
              <w:rPr>
                <w:rFonts w:eastAsia="Times New Roman" w:cs="Times New Roman"/>
                <w:b/>
                <w:bCs/>
                <w:color w:val="4F81BD"/>
                <w:sz w:val="16"/>
                <w:szCs w:val="16"/>
                <w:lang w:bidi="ar-SA"/>
              </w:rPr>
            </w:pPr>
            <w:r w:rsidRPr="00DA6273">
              <w:rPr>
                <w:rFonts w:eastAsia="Times New Roman" w:cs="Times New Roman"/>
                <w:b/>
                <w:bCs/>
                <w:color w:val="4F81BD"/>
                <w:sz w:val="16"/>
                <w:szCs w:val="16"/>
                <w:lang w:bidi="ar-SA"/>
              </w:rPr>
              <w:t>Assumptions related to Lam Titling and Registration</w:t>
            </w:r>
          </w:p>
        </w:tc>
        <w:tc>
          <w:tcPr>
            <w:tcW w:w="148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50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r>
      <w:tr w:rsidR="00DA6273" w:rsidRPr="00DA6273" w:rsidTr="00BA387E">
        <w:trPr>
          <w:trHeight w:val="660"/>
        </w:trPr>
        <w:tc>
          <w:tcPr>
            <w:tcW w:w="3100" w:type="dxa"/>
            <w:tcBorders>
              <w:top w:val="nil"/>
              <w:left w:val="single" w:sz="4" w:space="0" w:color="auto"/>
              <w:bottom w:val="single" w:sz="4" w:space="0" w:color="auto"/>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Cost of Issuing a Title</w:t>
            </w:r>
          </w:p>
        </w:tc>
        <w:tc>
          <w:tcPr>
            <w:tcW w:w="1173" w:type="dxa"/>
            <w:gridSpan w:val="2"/>
            <w:tcBorders>
              <w:top w:val="nil"/>
              <w:left w:val="single" w:sz="4" w:space="0" w:color="auto"/>
              <w:bottom w:val="single" w:sz="4" w:space="0" w:color="auto"/>
              <w:right w:val="single" w:sz="4" w:space="0" w:color="auto"/>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 xml:space="preserve">                    144,250 </w:t>
            </w:r>
          </w:p>
        </w:tc>
        <w:tc>
          <w:tcPr>
            <w:tcW w:w="1042" w:type="dxa"/>
            <w:gridSpan w:val="2"/>
            <w:tcBorders>
              <w:top w:val="nil"/>
              <w:left w:val="nil"/>
              <w:bottom w:val="single" w:sz="4" w:space="0" w:color="auto"/>
              <w:right w:val="single" w:sz="4" w:space="0" w:color="auto"/>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$J</w:t>
            </w:r>
          </w:p>
        </w:tc>
        <w:tc>
          <w:tcPr>
            <w:tcW w:w="1600" w:type="dxa"/>
            <w:gridSpan w:val="2"/>
            <w:tcBorders>
              <w:top w:val="nil"/>
              <w:left w:val="nil"/>
              <w:bottom w:val="single" w:sz="4" w:space="0" w:color="auto"/>
              <w:right w:val="single" w:sz="4" w:space="0" w:color="auto"/>
            </w:tcBorders>
            <w:shd w:val="clear" w:color="auto" w:fill="auto"/>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 xml:space="preserve">Cost of regitering1000 square </w:t>
            </w:r>
            <w:r w:rsidR="00EB0FE2" w:rsidRPr="00DA6273">
              <w:rPr>
                <w:rFonts w:eastAsia="Times New Roman" w:cs="Times New Roman"/>
                <w:color w:val="000000"/>
                <w:sz w:val="16"/>
                <w:szCs w:val="16"/>
                <w:lang w:bidi="ar-SA"/>
              </w:rPr>
              <w:t>meters</w:t>
            </w:r>
            <w:r w:rsidRPr="00DA6273">
              <w:rPr>
                <w:rFonts w:eastAsia="Times New Roman" w:cs="Times New Roman"/>
                <w:color w:val="000000"/>
                <w:sz w:val="16"/>
                <w:szCs w:val="16"/>
                <w:lang w:bidi="ar-SA"/>
              </w:rPr>
              <w:t xml:space="preserve"> (¼ acre) of land with market value $1,000,000.00</w:t>
            </w:r>
          </w:p>
        </w:tc>
        <w:tc>
          <w:tcPr>
            <w:tcW w:w="148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50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r>
      <w:tr w:rsidR="00DA6273" w:rsidRPr="00DA6273" w:rsidTr="00BA387E">
        <w:trPr>
          <w:trHeight w:val="450"/>
        </w:trPr>
        <w:tc>
          <w:tcPr>
            <w:tcW w:w="3100" w:type="dxa"/>
            <w:tcBorders>
              <w:top w:val="single" w:sz="4" w:space="0" w:color="auto"/>
              <w:left w:val="single" w:sz="4" w:space="0" w:color="auto"/>
              <w:bottom w:val="single" w:sz="4" w:space="0" w:color="auto"/>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Time for Issuing a Title</w:t>
            </w:r>
          </w:p>
        </w:tc>
        <w:tc>
          <w:tcPr>
            <w:tcW w:w="117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6273" w:rsidRPr="00DA6273" w:rsidRDefault="00DA6273" w:rsidP="00DA6273">
            <w:pPr>
              <w:spacing w:after="0" w:line="240" w:lineRule="auto"/>
              <w:jc w:val="right"/>
              <w:rPr>
                <w:rFonts w:eastAsia="Times New Roman" w:cs="Times New Roman"/>
                <w:color w:val="000000"/>
                <w:sz w:val="16"/>
                <w:szCs w:val="16"/>
                <w:lang w:bidi="ar-SA"/>
              </w:rPr>
            </w:pPr>
            <w:r w:rsidRPr="00DA6273">
              <w:rPr>
                <w:rFonts w:eastAsia="Times New Roman" w:cs="Times New Roman"/>
                <w:color w:val="000000"/>
                <w:sz w:val="16"/>
                <w:szCs w:val="16"/>
                <w:lang w:bidi="ar-SA"/>
              </w:rPr>
              <w:t>30</w:t>
            </w:r>
          </w:p>
        </w:tc>
        <w:tc>
          <w:tcPr>
            <w:tcW w:w="1042" w:type="dxa"/>
            <w:gridSpan w:val="2"/>
            <w:tcBorders>
              <w:top w:val="single" w:sz="4" w:space="0" w:color="auto"/>
              <w:left w:val="nil"/>
              <w:bottom w:val="single" w:sz="4" w:space="0" w:color="auto"/>
              <w:right w:val="single" w:sz="4" w:space="0" w:color="auto"/>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Days</w:t>
            </w:r>
          </w:p>
        </w:tc>
        <w:tc>
          <w:tcPr>
            <w:tcW w:w="1600" w:type="dxa"/>
            <w:gridSpan w:val="2"/>
            <w:tcBorders>
              <w:top w:val="single" w:sz="4" w:space="0" w:color="auto"/>
              <w:left w:val="nil"/>
              <w:bottom w:val="single" w:sz="4" w:space="0" w:color="auto"/>
              <w:right w:val="single" w:sz="4" w:space="0" w:color="auto"/>
            </w:tcBorders>
            <w:shd w:val="clear" w:color="auto" w:fill="auto"/>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 </w:t>
            </w:r>
          </w:p>
        </w:tc>
        <w:tc>
          <w:tcPr>
            <w:tcW w:w="148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50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r>
      <w:tr w:rsidR="00DA6273" w:rsidRPr="00DA6273" w:rsidTr="00BA387E">
        <w:trPr>
          <w:trHeight w:val="540"/>
        </w:trPr>
        <w:tc>
          <w:tcPr>
            <w:tcW w:w="3100" w:type="dxa"/>
            <w:tcBorders>
              <w:top w:val="nil"/>
              <w:left w:val="single" w:sz="4" w:space="0" w:color="auto"/>
              <w:bottom w:val="single" w:sz="4" w:space="0" w:color="auto"/>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Cost of Issuing a Title under LAMP</w:t>
            </w:r>
          </w:p>
        </w:tc>
        <w:tc>
          <w:tcPr>
            <w:tcW w:w="117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 xml:space="preserve">                      34,800 </w:t>
            </w:r>
          </w:p>
        </w:tc>
        <w:tc>
          <w:tcPr>
            <w:tcW w:w="1042" w:type="dxa"/>
            <w:gridSpan w:val="2"/>
            <w:tcBorders>
              <w:top w:val="single" w:sz="4" w:space="0" w:color="auto"/>
              <w:left w:val="nil"/>
              <w:bottom w:val="single" w:sz="4" w:space="0" w:color="auto"/>
              <w:right w:val="single" w:sz="4" w:space="0" w:color="auto"/>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$J</w:t>
            </w:r>
          </w:p>
        </w:tc>
        <w:tc>
          <w:tcPr>
            <w:tcW w:w="1600" w:type="dxa"/>
            <w:gridSpan w:val="2"/>
            <w:tcBorders>
              <w:top w:val="single" w:sz="4" w:space="0" w:color="auto"/>
              <w:left w:val="nil"/>
              <w:bottom w:val="single" w:sz="4" w:space="0" w:color="auto"/>
              <w:right w:val="single" w:sz="4" w:space="0" w:color="auto"/>
            </w:tcBorders>
            <w:shd w:val="clear" w:color="auto" w:fill="auto"/>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 xml:space="preserve">Cost of regitering1000 square </w:t>
            </w:r>
            <w:r w:rsidR="00EB0FE2" w:rsidRPr="00DA6273">
              <w:rPr>
                <w:rFonts w:eastAsia="Times New Roman" w:cs="Times New Roman"/>
                <w:color w:val="000000"/>
                <w:sz w:val="16"/>
                <w:szCs w:val="16"/>
                <w:lang w:bidi="ar-SA"/>
              </w:rPr>
              <w:t>meters</w:t>
            </w:r>
            <w:r w:rsidRPr="00DA6273">
              <w:rPr>
                <w:rFonts w:eastAsia="Times New Roman" w:cs="Times New Roman"/>
                <w:color w:val="000000"/>
                <w:sz w:val="16"/>
                <w:szCs w:val="16"/>
                <w:lang w:bidi="ar-SA"/>
              </w:rPr>
              <w:t xml:space="preserve"> (¼ acre) of land with market value $1,000,000.00</w:t>
            </w:r>
          </w:p>
        </w:tc>
        <w:tc>
          <w:tcPr>
            <w:tcW w:w="148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50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r>
      <w:tr w:rsidR="00DA6273" w:rsidRPr="00DA6273" w:rsidTr="00BA387E">
        <w:trPr>
          <w:trHeight w:val="422"/>
        </w:trPr>
        <w:tc>
          <w:tcPr>
            <w:tcW w:w="3100" w:type="dxa"/>
            <w:tcBorders>
              <w:top w:val="nil"/>
              <w:left w:val="single" w:sz="4" w:space="0" w:color="auto"/>
              <w:bottom w:val="single" w:sz="4" w:space="0" w:color="auto"/>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Time for Issuing a Title</w:t>
            </w:r>
          </w:p>
        </w:tc>
        <w:tc>
          <w:tcPr>
            <w:tcW w:w="117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6273" w:rsidRPr="00DA6273" w:rsidRDefault="00DA6273" w:rsidP="00DA6273">
            <w:pPr>
              <w:spacing w:after="0" w:line="240" w:lineRule="auto"/>
              <w:jc w:val="right"/>
              <w:rPr>
                <w:rFonts w:eastAsia="Times New Roman" w:cs="Times New Roman"/>
                <w:color w:val="000000"/>
                <w:sz w:val="16"/>
                <w:szCs w:val="16"/>
                <w:lang w:bidi="ar-SA"/>
              </w:rPr>
            </w:pPr>
            <w:r w:rsidRPr="00DA6273">
              <w:rPr>
                <w:rFonts w:eastAsia="Times New Roman" w:cs="Times New Roman"/>
                <w:color w:val="000000"/>
                <w:sz w:val="16"/>
                <w:szCs w:val="16"/>
                <w:lang w:bidi="ar-SA"/>
              </w:rPr>
              <w:t>10</w:t>
            </w:r>
          </w:p>
        </w:tc>
        <w:tc>
          <w:tcPr>
            <w:tcW w:w="1042" w:type="dxa"/>
            <w:gridSpan w:val="2"/>
            <w:tcBorders>
              <w:top w:val="single" w:sz="4" w:space="0" w:color="auto"/>
              <w:left w:val="nil"/>
              <w:bottom w:val="single" w:sz="4" w:space="0" w:color="auto"/>
              <w:right w:val="single" w:sz="4" w:space="0" w:color="auto"/>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Days</w:t>
            </w:r>
          </w:p>
        </w:tc>
        <w:tc>
          <w:tcPr>
            <w:tcW w:w="1600" w:type="dxa"/>
            <w:gridSpan w:val="2"/>
            <w:tcBorders>
              <w:top w:val="single" w:sz="4" w:space="0" w:color="auto"/>
              <w:left w:val="nil"/>
              <w:bottom w:val="single" w:sz="4" w:space="0" w:color="auto"/>
              <w:right w:val="single" w:sz="4" w:space="0" w:color="auto"/>
            </w:tcBorders>
            <w:shd w:val="clear" w:color="auto" w:fill="auto"/>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 </w:t>
            </w:r>
          </w:p>
        </w:tc>
        <w:tc>
          <w:tcPr>
            <w:tcW w:w="148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50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r>
      <w:tr w:rsidR="00DA6273" w:rsidRPr="00DA6273" w:rsidTr="00BA387E">
        <w:trPr>
          <w:trHeight w:val="458"/>
        </w:trPr>
        <w:tc>
          <w:tcPr>
            <w:tcW w:w="3100" w:type="dxa"/>
            <w:tcBorders>
              <w:top w:val="nil"/>
              <w:left w:val="single" w:sz="4" w:space="0" w:color="auto"/>
              <w:bottom w:val="single" w:sz="4" w:space="0" w:color="auto"/>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Number of Titles a Year</w:t>
            </w:r>
          </w:p>
        </w:tc>
        <w:tc>
          <w:tcPr>
            <w:tcW w:w="1173" w:type="dxa"/>
            <w:gridSpan w:val="2"/>
            <w:tcBorders>
              <w:top w:val="nil"/>
              <w:left w:val="single" w:sz="4" w:space="0" w:color="auto"/>
              <w:bottom w:val="single" w:sz="4" w:space="0" w:color="auto"/>
              <w:right w:val="single" w:sz="4" w:space="0" w:color="auto"/>
            </w:tcBorders>
            <w:shd w:val="clear" w:color="auto" w:fill="auto"/>
            <w:noWrap/>
            <w:vAlign w:val="bottom"/>
            <w:hideMark/>
          </w:tcPr>
          <w:p w:rsidR="00DA6273" w:rsidRPr="00DA6273" w:rsidRDefault="00DA6273" w:rsidP="00DA6273">
            <w:pPr>
              <w:spacing w:after="0" w:line="240" w:lineRule="auto"/>
              <w:jc w:val="right"/>
              <w:rPr>
                <w:rFonts w:eastAsia="Times New Roman" w:cs="Times New Roman"/>
                <w:color w:val="000000"/>
                <w:sz w:val="16"/>
                <w:szCs w:val="16"/>
                <w:lang w:bidi="ar-SA"/>
              </w:rPr>
            </w:pPr>
            <w:r w:rsidRPr="00DA6273">
              <w:rPr>
                <w:rFonts w:eastAsia="Times New Roman" w:cs="Times New Roman"/>
                <w:color w:val="000000"/>
                <w:sz w:val="16"/>
                <w:szCs w:val="16"/>
                <w:lang w:bidi="ar-SA"/>
              </w:rPr>
              <w:t>1,000</w:t>
            </w:r>
          </w:p>
        </w:tc>
        <w:tc>
          <w:tcPr>
            <w:tcW w:w="1042" w:type="dxa"/>
            <w:gridSpan w:val="2"/>
            <w:tcBorders>
              <w:top w:val="nil"/>
              <w:left w:val="nil"/>
              <w:bottom w:val="single" w:sz="4" w:space="0" w:color="auto"/>
              <w:right w:val="single" w:sz="4" w:space="0" w:color="auto"/>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Titles</w:t>
            </w:r>
          </w:p>
        </w:tc>
        <w:tc>
          <w:tcPr>
            <w:tcW w:w="1600" w:type="dxa"/>
            <w:gridSpan w:val="2"/>
            <w:tcBorders>
              <w:top w:val="nil"/>
              <w:left w:val="nil"/>
              <w:bottom w:val="single" w:sz="4" w:space="0" w:color="auto"/>
              <w:right w:val="single" w:sz="4" w:space="0" w:color="auto"/>
            </w:tcBorders>
            <w:shd w:val="clear" w:color="auto" w:fill="auto"/>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 </w:t>
            </w:r>
          </w:p>
        </w:tc>
        <w:tc>
          <w:tcPr>
            <w:tcW w:w="148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50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r>
      <w:tr w:rsidR="00DA6273" w:rsidRPr="00DA6273" w:rsidTr="00BA387E">
        <w:trPr>
          <w:trHeight w:val="431"/>
        </w:trPr>
        <w:tc>
          <w:tcPr>
            <w:tcW w:w="3100" w:type="dxa"/>
            <w:tcBorders>
              <w:top w:val="nil"/>
              <w:left w:val="single" w:sz="4" w:space="0" w:color="auto"/>
              <w:bottom w:val="single" w:sz="4" w:space="0" w:color="auto"/>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Exchange Rate</w:t>
            </w:r>
          </w:p>
        </w:tc>
        <w:tc>
          <w:tcPr>
            <w:tcW w:w="1173" w:type="dxa"/>
            <w:gridSpan w:val="2"/>
            <w:tcBorders>
              <w:top w:val="nil"/>
              <w:left w:val="single" w:sz="4" w:space="0" w:color="auto"/>
              <w:bottom w:val="single" w:sz="4" w:space="0" w:color="auto"/>
              <w:right w:val="single" w:sz="4" w:space="0" w:color="auto"/>
            </w:tcBorders>
            <w:shd w:val="clear" w:color="auto" w:fill="auto"/>
            <w:noWrap/>
            <w:vAlign w:val="bottom"/>
            <w:hideMark/>
          </w:tcPr>
          <w:p w:rsidR="00DA6273" w:rsidRPr="00DA6273" w:rsidRDefault="00DA6273" w:rsidP="00DA6273">
            <w:pPr>
              <w:spacing w:after="0" w:line="240" w:lineRule="auto"/>
              <w:jc w:val="right"/>
              <w:rPr>
                <w:rFonts w:eastAsia="Times New Roman" w:cs="Times New Roman"/>
                <w:color w:val="000000"/>
                <w:sz w:val="16"/>
                <w:szCs w:val="16"/>
                <w:lang w:bidi="ar-SA"/>
              </w:rPr>
            </w:pPr>
            <w:r w:rsidRPr="00DA6273">
              <w:rPr>
                <w:rFonts w:eastAsia="Times New Roman" w:cs="Times New Roman"/>
                <w:color w:val="000000"/>
                <w:sz w:val="16"/>
                <w:szCs w:val="16"/>
                <w:lang w:bidi="ar-SA"/>
              </w:rPr>
              <w:t>85.38</w:t>
            </w:r>
          </w:p>
        </w:tc>
        <w:tc>
          <w:tcPr>
            <w:tcW w:w="1042" w:type="dxa"/>
            <w:gridSpan w:val="2"/>
            <w:tcBorders>
              <w:top w:val="nil"/>
              <w:left w:val="nil"/>
              <w:bottom w:val="single" w:sz="4" w:space="0" w:color="auto"/>
              <w:right w:val="single" w:sz="4" w:space="0" w:color="auto"/>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SJ/USD</w:t>
            </w:r>
          </w:p>
        </w:tc>
        <w:tc>
          <w:tcPr>
            <w:tcW w:w="1600" w:type="dxa"/>
            <w:gridSpan w:val="2"/>
            <w:tcBorders>
              <w:top w:val="nil"/>
              <w:left w:val="nil"/>
              <w:bottom w:val="single" w:sz="4" w:space="0" w:color="auto"/>
              <w:right w:val="single" w:sz="4" w:space="0" w:color="auto"/>
            </w:tcBorders>
            <w:shd w:val="clear" w:color="auto" w:fill="auto"/>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as Nov 16/2010</w:t>
            </w:r>
          </w:p>
        </w:tc>
        <w:tc>
          <w:tcPr>
            <w:tcW w:w="148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50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r>
      <w:tr w:rsidR="00DA6273" w:rsidRPr="00DA6273" w:rsidTr="00BA387E">
        <w:trPr>
          <w:trHeight w:val="300"/>
        </w:trPr>
        <w:tc>
          <w:tcPr>
            <w:tcW w:w="310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b/>
                <w:bCs/>
                <w:color w:val="000000"/>
                <w:sz w:val="16"/>
                <w:szCs w:val="16"/>
                <w:lang w:bidi="ar-SA"/>
              </w:rPr>
            </w:pPr>
            <w:r w:rsidRPr="00DA6273">
              <w:rPr>
                <w:rFonts w:eastAsia="Times New Roman" w:cs="Times New Roman"/>
                <w:b/>
                <w:bCs/>
                <w:color w:val="000000"/>
                <w:sz w:val="16"/>
                <w:szCs w:val="16"/>
                <w:lang w:bidi="ar-SA"/>
              </w:rPr>
              <w:t>Calculation of Benefits</w:t>
            </w:r>
          </w:p>
        </w:tc>
        <w:tc>
          <w:tcPr>
            <w:tcW w:w="1173" w:type="dxa"/>
            <w:gridSpan w:val="2"/>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042" w:type="dxa"/>
            <w:gridSpan w:val="2"/>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600" w:type="dxa"/>
            <w:gridSpan w:val="2"/>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48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50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r>
      <w:tr w:rsidR="00DA6273" w:rsidRPr="00DA6273" w:rsidTr="00BA387E">
        <w:trPr>
          <w:trHeight w:val="300"/>
        </w:trPr>
        <w:tc>
          <w:tcPr>
            <w:tcW w:w="3100" w:type="dxa"/>
            <w:tcBorders>
              <w:top w:val="single" w:sz="4" w:space="0" w:color="auto"/>
              <w:left w:val="single" w:sz="4" w:space="0" w:color="auto"/>
              <w:bottom w:val="single" w:sz="4" w:space="0" w:color="auto"/>
              <w:right w:val="nil"/>
            </w:tcBorders>
            <w:shd w:val="clear" w:color="000000" w:fill="B7DEE8"/>
            <w:noWrap/>
            <w:vAlign w:val="bottom"/>
            <w:hideMark/>
          </w:tcPr>
          <w:p w:rsidR="00DA6273" w:rsidRPr="00DA6273" w:rsidRDefault="00DA6273" w:rsidP="00DA6273">
            <w:pPr>
              <w:spacing w:after="0" w:line="240" w:lineRule="auto"/>
              <w:jc w:val="left"/>
              <w:rPr>
                <w:rFonts w:eastAsia="Times New Roman" w:cs="Times New Roman"/>
                <w:b/>
                <w:bCs/>
                <w:color w:val="4F81BD"/>
                <w:sz w:val="16"/>
                <w:szCs w:val="16"/>
                <w:lang w:bidi="ar-SA"/>
              </w:rPr>
            </w:pPr>
            <w:r w:rsidRPr="00DA6273">
              <w:rPr>
                <w:rFonts w:eastAsia="Times New Roman" w:cs="Times New Roman"/>
                <w:b/>
                <w:bCs/>
                <w:color w:val="4F81BD"/>
                <w:sz w:val="16"/>
                <w:szCs w:val="16"/>
                <w:lang w:bidi="ar-SA"/>
              </w:rPr>
              <w:t>Components</w:t>
            </w:r>
          </w:p>
        </w:tc>
        <w:tc>
          <w:tcPr>
            <w:tcW w:w="1173" w:type="dxa"/>
            <w:gridSpan w:val="2"/>
            <w:tcBorders>
              <w:top w:val="single" w:sz="4" w:space="0" w:color="auto"/>
              <w:left w:val="nil"/>
              <w:bottom w:val="single" w:sz="4" w:space="0" w:color="auto"/>
              <w:right w:val="nil"/>
            </w:tcBorders>
            <w:shd w:val="clear" w:color="000000" w:fill="B7DEE8"/>
            <w:noWrap/>
            <w:vAlign w:val="bottom"/>
            <w:hideMark/>
          </w:tcPr>
          <w:p w:rsidR="00DA6273" w:rsidRPr="00DA6273" w:rsidRDefault="00DA6273" w:rsidP="00DA6273">
            <w:pPr>
              <w:spacing w:after="0" w:line="240" w:lineRule="auto"/>
              <w:jc w:val="left"/>
              <w:rPr>
                <w:rFonts w:eastAsia="Times New Roman" w:cs="Times New Roman"/>
                <w:b/>
                <w:bCs/>
                <w:color w:val="4F81BD"/>
                <w:sz w:val="16"/>
                <w:szCs w:val="16"/>
                <w:lang w:bidi="ar-SA"/>
              </w:rPr>
            </w:pPr>
            <w:r w:rsidRPr="00DA6273">
              <w:rPr>
                <w:rFonts w:eastAsia="Times New Roman" w:cs="Times New Roman"/>
                <w:b/>
                <w:bCs/>
                <w:color w:val="4F81BD"/>
                <w:sz w:val="16"/>
                <w:szCs w:val="16"/>
                <w:lang w:bidi="ar-SA"/>
              </w:rPr>
              <w:t> </w:t>
            </w:r>
          </w:p>
        </w:tc>
        <w:tc>
          <w:tcPr>
            <w:tcW w:w="1042" w:type="dxa"/>
            <w:gridSpan w:val="2"/>
            <w:tcBorders>
              <w:top w:val="single" w:sz="4" w:space="0" w:color="auto"/>
              <w:left w:val="single" w:sz="4" w:space="0" w:color="auto"/>
              <w:bottom w:val="single" w:sz="4" w:space="0" w:color="auto"/>
              <w:right w:val="nil"/>
            </w:tcBorders>
            <w:shd w:val="clear" w:color="000000" w:fill="B7DEE8"/>
            <w:noWrap/>
            <w:vAlign w:val="bottom"/>
            <w:hideMark/>
          </w:tcPr>
          <w:p w:rsidR="00DA6273" w:rsidRPr="00DA6273" w:rsidRDefault="00DA6273" w:rsidP="00DA6273">
            <w:pPr>
              <w:spacing w:after="0" w:line="240" w:lineRule="auto"/>
              <w:jc w:val="left"/>
              <w:rPr>
                <w:rFonts w:eastAsia="Times New Roman" w:cs="Times New Roman"/>
                <w:b/>
                <w:bCs/>
                <w:color w:val="4F81BD"/>
                <w:sz w:val="16"/>
                <w:szCs w:val="16"/>
                <w:lang w:bidi="ar-SA"/>
              </w:rPr>
            </w:pPr>
            <w:r w:rsidRPr="00DA6273">
              <w:rPr>
                <w:rFonts w:eastAsia="Times New Roman" w:cs="Times New Roman"/>
                <w:b/>
                <w:bCs/>
                <w:color w:val="4F81BD"/>
                <w:sz w:val="16"/>
                <w:szCs w:val="16"/>
                <w:lang w:bidi="ar-SA"/>
              </w:rPr>
              <w:t>Baseline (2008)</w:t>
            </w:r>
          </w:p>
        </w:tc>
        <w:tc>
          <w:tcPr>
            <w:tcW w:w="1600" w:type="dxa"/>
            <w:gridSpan w:val="2"/>
            <w:tcBorders>
              <w:top w:val="single" w:sz="4" w:space="0" w:color="auto"/>
              <w:left w:val="nil"/>
              <w:bottom w:val="single" w:sz="4" w:space="0" w:color="auto"/>
              <w:right w:val="single" w:sz="4" w:space="0" w:color="auto"/>
            </w:tcBorders>
            <w:shd w:val="clear" w:color="000000" w:fill="B7DEE8"/>
            <w:noWrap/>
            <w:vAlign w:val="bottom"/>
            <w:hideMark/>
          </w:tcPr>
          <w:p w:rsidR="00DA6273" w:rsidRPr="00DA6273" w:rsidRDefault="00DA6273" w:rsidP="00DA6273">
            <w:pPr>
              <w:spacing w:after="0" w:line="240" w:lineRule="auto"/>
              <w:jc w:val="left"/>
              <w:rPr>
                <w:rFonts w:eastAsia="Times New Roman" w:cs="Times New Roman"/>
                <w:b/>
                <w:bCs/>
                <w:color w:val="4F81BD"/>
                <w:sz w:val="16"/>
                <w:szCs w:val="16"/>
                <w:lang w:bidi="ar-SA"/>
              </w:rPr>
            </w:pPr>
            <w:r w:rsidRPr="00DA6273">
              <w:rPr>
                <w:rFonts w:eastAsia="Times New Roman" w:cs="Times New Roman"/>
                <w:b/>
                <w:bCs/>
                <w:color w:val="4F81BD"/>
                <w:sz w:val="16"/>
                <w:szCs w:val="16"/>
                <w:lang w:bidi="ar-SA"/>
              </w:rPr>
              <w:t> </w:t>
            </w:r>
          </w:p>
        </w:tc>
        <w:tc>
          <w:tcPr>
            <w:tcW w:w="1480" w:type="dxa"/>
            <w:tcBorders>
              <w:top w:val="single" w:sz="4" w:space="0" w:color="auto"/>
              <w:left w:val="nil"/>
              <w:bottom w:val="single" w:sz="4" w:space="0" w:color="auto"/>
              <w:right w:val="single" w:sz="4" w:space="0" w:color="auto"/>
            </w:tcBorders>
            <w:shd w:val="clear" w:color="000000" w:fill="B7DEE8"/>
            <w:noWrap/>
            <w:vAlign w:val="bottom"/>
            <w:hideMark/>
          </w:tcPr>
          <w:p w:rsidR="00DA6273" w:rsidRPr="00DA6273" w:rsidRDefault="00DA6273" w:rsidP="00DA6273">
            <w:pPr>
              <w:spacing w:after="0" w:line="240" w:lineRule="auto"/>
              <w:jc w:val="left"/>
              <w:rPr>
                <w:rFonts w:eastAsia="Times New Roman" w:cs="Times New Roman"/>
                <w:b/>
                <w:bCs/>
                <w:color w:val="4F81BD"/>
                <w:sz w:val="16"/>
                <w:szCs w:val="16"/>
                <w:lang w:bidi="ar-SA"/>
              </w:rPr>
            </w:pPr>
            <w:r w:rsidRPr="00DA6273">
              <w:rPr>
                <w:rFonts w:eastAsia="Times New Roman" w:cs="Times New Roman"/>
                <w:b/>
                <w:bCs/>
                <w:color w:val="4F81BD"/>
                <w:sz w:val="16"/>
                <w:szCs w:val="16"/>
                <w:lang w:bidi="ar-SA"/>
              </w:rPr>
              <w:t>With Project</w:t>
            </w:r>
          </w:p>
        </w:tc>
        <w:tc>
          <w:tcPr>
            <w:tcW w:w="1500" w:type="dxa"/>
            <w:tcBorders>
              <w:top w:val="single" w:sz="4" w:space="0" w:color="auto"/>
              <w:left w:val="nil"/>
              <w:bottom w:val="single" w:sz="4" w:space="0" w:color="auto"/>
              <w:right w:val="single" w:sz="4" w:space="0" w:color="auto"/>
            </w:tcBorders>
            <w:shd w:val="clear" w:color="000000" w:fill="B7DEE8"/>
            <w:noWrap/>
            <w:vAlign w:val="bottom"/>
            <w:hideMark/>
          </w:tcPr>
          <w:p w:rsidR="00DA6273" w:rsidRPr="00DA6273" w:rsidRDefault="00DA6273" w:rsidP="00DA6273">
            <w:pPr>
              <w:spacing w:after="0" w:line="240" w:lineRule="auto"/>
              <w:jc w:val="left"/>
              <w:rPr>
                <w:rFonts w:eastAsia="Times New Roman" w:cs="Times New Roman"/>
                <w:b/>
                <w:bCs/>
                <w:color w:val="4F81BD"/>
                <w:sz w:val="16"/>
                <w:szCs w:val="16"/>
                <w:lang w:bidi="ar-SA"/>
              </w:rPr>
            </w:pPr>
            <w:r w:rsidRPr="00DA6273">
              <w:rPr>
                <w:rFonts w:eastAsia="Times New Roman" w:cs="Times New Roman"/>
                <w:b/>
                <w:bCs/>
                <w:color w:val="4F81BD"/>
                <w:sz w:val="16"/>
                <w:szCs w:val="16"/>
                <w:lang w:bidi="ar-SA"/>
              </w:rPr>
              <w:t>Comment</w:t>
            </w:r>
          </w:p>
        </w:tc>
      </w:tr>
      <w:tr w:rsidR="00DA6273" w:rsidRPr="00DA6273" w:rsidTr="00BA387E">
        <w:trPr>
          <w:trHeight w:val="300"/>
        </w:trPr>
        <w:tc>
          <w:tcPr>
            <w:tcW w:w="3100" w:type="dxa"/>
            <w:tcBorders>
              <w:top w:val="nil"/>
              <w:left w:val="single" w:sz="4" w:space="0" w:color="auto"/>
              <w:bottom w:val="single" w:sz="4" w:space="0" w:color="auto"/>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 xml:space="preserve"> </w:t>
            </w:r>
          </w:p>
        </w:tc>
        <w:tc>
          <w:tcPr>
            <w:tcW w:w="1173" w:type="dxa"/>
            <w:gridSpan w:val="2"/>
            <w:tcBorders>
              <w:top w:val="nil"/>
              <w:left w:val="single" w:sz="4" w:space="0" w:color="auto"/>
              <w:bottom w:val="nil"/>
              <w:right w:val="single" w:sz="4" w:space="0" w:color="auto"/>
            </w:tcBorders>
            <w:shd w:val="clear" w:color="000000" w:fill="DAEEF3"/>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Parameter</w:t>
            </w:r>
          </w:p>
        </w:tc>
        <w:tc>
          <w:tcPr>
            <w:tcW w:w="1042" w:type="dxa"/>
            <w:gridSpan w:val="2"/>
            <w:tcBorders>
              <w:top w:val="nil"/>
              <w:left w:val="nil"/>
              <w:bottom w:val="nil"/>
              <w:right w:val="nil"/>
            </w:tcBorders>
            <w:shd w:val="clear" w:color="000000" w:fill="DAEEF3"/>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Measure</w:t>
            </w:r>
          </w:p>
        </w:tc>
        <w:tc>
          <w:tcPr>
            <w:tcW w:w="1600" w:type="dxa"/>
            <w:gridSpan w:val="2"/>
            <w:tcBorders>
              <w:top w:val="nil"/>
              <w:left w:val="nil"/>
              <w:bottom w:val="single" w:sz="4" w:space="0" w:color="auto"/>
              <w:right w:val="nil"/>
            </w:tcBorders>
            <w:shd w:val="clear" w:color="auto" w:fill="auto"/>
            <w:noWrap/>
            <w:vAlign w:val="bottom"/>
            <w:hideMark/>
          </w:tcPr>
          <w:p w:rsidR="00DA6273" w:rsidRPr="00DA6273" w:rsidRDefault="00EB0FE2"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Amount</w:t>
            </w:r>
            <w:r w:rsidR="00DA6273" w:rsidRPr="00DA6273">
              <w:rPr>
                <w:rFonts w:eastAsia="Times New Roman" w:cs="Times New Roman"/>
                <w:color w:val="000000"/>
                <w:sz w:val="16"/>
                <w:szCs w:val="16"/>
                <w:lang w:bidi="ar-SA"/>
              </w:rPr>
              <w:t xml:space="preserve"> (US )</w:t>
            </w:r>
          </w:p>
        </w:tc>
        <w:tc>
          <w:tcPr>
            <w:tcW w:w="1480" w:type="dxa"/>
            <w:tcBorders>
              <w:top w:val="nil"/>
              <w:left w:val="single" w:sz="4" w:space="0" w:color="auto"/>
              <w:bottom w:val="nil"/>
              <w:right w:val="single" w:sz="4" w:space="0" w:color="auto"/>
            </w:tcBorders>
            <w:shd w:val="clear" w:color="000000" w:fill="DAEEF3"/>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New Measure</w:t>
            </w:r>
          </w:p>
        </w:tc>
        <w:tc>
          <w:tcPr>
            <w:tcW w:w="1500" w:type="dxa"/>
            <w:tcBorders>
              <w:top w:val="nil"/>
              <w:left w:val="nil"/>
              <w:bottom w:val="nil"/>
              <w:right w:val="single" w:sz="4" w:space="0" w:color="auto"/>
            </w:tcBorders>
            <w:shd w:val="clear" w:color="000000" w:fill="DAEEF3"/>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 xml:space="preserve"> </w:t>
            </w:r>
          </w:p>
        </w:tc>
      </w:tr>
      <w:tr w:rsidR="00DA6273" w:rsidRPr="00DA6273" w:rsidTr="00BA387E">
        <w:trPr>
          <w:trHeight w:val="1455"/>
        </w:trPr>
        <w:tc>
          <w:tcPr>
            <w:tcW w:w="3100" w:type="dxa"/>
            <w:tcBorders>
              <w:top w:val="nil"/>
              <w:left w:val="single" w:sz="4" w:space="0" w:color="auto"/>
              <w:bottom w:val="single" w:sz="4" w:space="0" w:color="auto"/>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Cost of Issuing a Title</w:t>
            </w:r>
          </w:p>
        </w:tc>
        <w:tc>
          <w:tcPr>
            <w:tcW w:w="117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 xml:space="preserve">Cost of regitering1000 square </w:t>
            </w:r>
            <w:r w:rsidR="00EB0FE2" w:rsidRPr="00DA6273">
              <w:rPr>
                <w:rFonts w:eastAsia="Times New Roman" w:cs="Times New Roman"/>
                <w:color w:val="000000"/>
                <w:sz w:val="16"/>
                <w:szCs w:val="16"/>
                <w:lang w:bidi="ar-SA"/>
              </w:rPr>
              <w:t>meters</w:t>
            </w:r>
            <w:r w:rsidRPr="00DA6273">
              <w:rPr>
                <w:rFonts w:eastAsia="Times New Roman" w:cs="Times New Roman"/>
                <w:color w:val="000000"/>
                <w:sz w:val="16"/>
                <w:szCs w:val="16"/>
                <w:lang w:bidi="ar-SA"/>
              </w:rPr>
              <w:t xml:space="preserve"> (¼ acre) of land with market value $1,000,000.00</w:t>
            </w:r>
          </w:p>
        </w:tc>
        <w:tc>
          <w:tcPr>
            <w:tcW w:w="1042" w:type="dxa"/>
            <w:gridSpan w:val="2"/>
            <w:tcBorders>
              <w:top w:val="single" w:sz="4" w:space="0" w:color="auto"/>
              <w:left w:val="nil"/>
              <w:bottom w:val="single" w:sz="4" w:space="0" w:color="auto"/>
              <w:right w:val="single" w:sz="4" w:space="0" w:color="auto"/>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 xml:space="preserve">US </w:t>
            </w:r>
          </w:p>
        </w:tc>
        <w:tc>
          <w:tcPr>
            <w:tcW w:w="1600" w:type="dxa"/>
            <w:gridSpan w:val="2"/>
            <w:tcBorders>
              <w:top w:val="nil"/>
              <w:left w:val="nil"/>
              <w:bottom w:val="single" w:sz="4" w:space="0" w:color="auto"/>
              <w:right w:val="single" w:sz="4" w:space="0" w:color="auto"/>
            </w:tcBorders>
            <w:shd w:val="clear" w:color="auto" w:fill="auto"/>
            <w:noWrap/>
            <w:vAlign w:val="bottom"/>
            <w:hideMark/>
          </w:tcPr>
          <w:p w:rsid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 </w:t>
            </w:r>
            <w:r w:rsidR="00BA387E">
              <w:rPr>
                <w:rFonts w:eastAsia="Times New Roman" w:cs="Times New Roman"/>
                <w:color w:val="000000"/>
                <w:sz w:val="16"/>
                <w:szCs w:val="16"/>
                <w:lang w:bidi="ar-SA"/>
              </w:rPr>
              <w:t>0</w:t>
            </w:r>
          </w:p>
          <w:p w:rsidR="00BA387E" w:rsidRPr="00DA6273" w:rsidRDefault="00BA387E" w:rsidP="00DA6273">
            <w:pPr>
              <w:spacing w:after="0" w:line="240" w:lineRule="auto"/>
              <w:jc w:val="left"/>
              <w:rPr>
                <w:rFonts w:eastAsia="Times New Roman" w:cs="Times New Roman"/>
                <w:color w:val="000000"/>
                <w:sz w:val="16"/>
                <w:szCs w:val="16"/>
                <w:lang w:bidi="ar-SA"/>
              </w:rPr>
            </w:pPr>
          </w:p>
        </w:tc>
        <w:tc>
          <w:tcPr>
            <w:tcW w:w="1480" w:type="dxa"/>
            <w:tcBorders>
              <w:top w:val="single" w:sz="4" w:space="0" w:color="auto"/>
              <w:left w:val="nil"/>
              <w:bottom w:val="single" w:sz="4" w:space="0" w:color="auto"/>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 xml:space="preserve">         1,689,505.74 </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r w:rsidRPr="00DA6273">
              <w:rPr>
                <w:rFonts w:eastAsia="Times New Roman" w:cs="Times New Roman"/>
                <w:color w:val="000000"/>
                <w:sz w:val="16"/>
                <w:szCs w:val="16"/>
                <w:lang w:bidi="ar-SA"/>
              </w:rPr>
              <w:t>Yearly benefit of price reduction on an average title</w:t>
            </w:r>
          </w:p>
        </w:tc>
      </w:tr>
      <w:tr w:rsidR="00DA6273" w:rsidRPr="00DA6273" w:rsidTr="00BA387E">
        <w:trPr>
          <w:trHeight w:val="300"/>
        </w:trPr>
        <w:tc>
          <w:tcPr>
            <w:tcW w:w="310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173" w:type="dxa"/>
            <w:gridSpan w:val="2"/>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042" w:type="dxa"/>
            <w:gridSpan w:val="2"/>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600" w:type="dxa"/>
            <w:gridSpan w:val="2"/>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48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c>
          <w:tcPr>
            <w:tcW w:w="1500" w:type="dxa"/>
            <w:tcBorders>
              <w:top w:val="nil"/>
              <w:left w:val="nil"/>
              <w:bottom w:val="nil"/>
              <w:right w:val="nil"/>
            </w:tcBorders>
            <w:shd w:val="clear" w:color="auto" w:fill="auto"/>
            <w:noWrap/>
            <w:vAlign w:val="bottom"/>
            <w:hideMark/>
          </w:tcPr>
          <w:p w:rsidR="00DA6273" w:rsidRPr="00DA6273" w:rsidRDefault="00DA6273" w:rsidP="00DA6273">
            <w:pPr>
              <w:spacing w:after="0" w:line="240" w:lineRule="auto"/>
              <w:jc w:val="left"/>
              <w:rPr>
                <w:rFonts w:eastAsia="Times New Roman" w:cs="Times New Roman"/>
                <w:color w:val="000000"/>
                <w:sz w:val="16"/>
                <w:szCs w:val="16"/>
                <w:lang w:bidi="ar-SA"/>
              </w:rPr>
            </w:pPr>
          </w:p>
        </w:tc>
      </w:tr>
      <w:tr w:rsidR="00BA387E" w:rsidRPr="00BA387E" w:rsidTr="00BA387E">
        <w:trPr>
          <w:gridAfter w:val="3"/>
          <w:wAfter w:w="3491" w:type="dxa"/>
          <w:trHeight w:val="300"/>
        </w:trPr>
        <w:tc>
          <w:tcPr>
            <w:tcW w:w="3108" w:type="dxa"/>
            <w:gridSpan w:val="2"/>
            <w:tcBorders>
              <w:top w:val="single" w:sz="4" w:space="0" w:color="auto"/>
              <w:left w:val="single" w:sz="4" w:space="0" w:color="auto"/>
              <w:bottom w:val="single" w:sz="4" w:space="0" w:color="auto"/>
              <w:right w:val="nil"/>
            </w:tcBorders>
            <w:shd w:val="clear" w:color="000000" w:fill="C5D9F1"/>
            <w:noWrap/>
            <w:vAlign w:val="bottom"/>
            <w:hideMark/>
          </w:tcPr>
          <w:p w:rsidR="00BA387E" w:rsidRPr="00BA387E" w:rsidRDefault="00BA387E" w:rsidP="00BA387E">
            <w:pPr>
              <w:spacing w:after="0" w:line="240" w:lineRule="auto"/>
              <w:jc w:val="left"/>
              <w:rPr>
                <w:rFonts w:ascii="Calibri" w:eastAsia="Times New Roman" w:hAnsi="Calibri" w:cs="Times New Roman"/>
                <w:color w:val="000000"/>
                <w:sz w:val="18"/>
                <w:szCs w:val="18"/>
                <w:lang w:bidi="ar-SA"/>
              </w:rPr>
            </w:pPr>
            <w:r w:rsidRPr="00BA387E">
              <w:rPr>
                <w:rFonts w:ascii="Calibri" w:eastAsia="Times New Roman" w:hAnsi="Calibri" w:cs="Times New Roman"/>
                <w:color w:val="000000"/>
                <w:sz w:val="18"/>
                <w:szCs w:val="18"/>
                <w:lang w:bidi="ar-SA"/>
              </w:rPr>
              <w:t>Sensitivity Analysis</w:t>
            </w:r>
          </w:p>
        </w:tc>
        <w:tc>
          <w:tcPr>
            <w:tcW w:w="1608" w:type="dxa"/>
            <w:gridSpan w:val="2"/>
            <w:tcBorders>
              <w:top w:val="single" w:sz="4" w:space="0" w:color="auto"/>
              <w:left w:val="nil"/>
              <w:bottom w:val="single" w:sz="4" w:space="0" w:color="auto"/>
              <w:right w:val="single" w:sz="4" w:space="0" w:color="auto"/>
            </w:tcBorders>
            <w:shd w:val="clear" w:color="000000" w:fill="C5D9F1"/>
            <w:noWrap/>
            <w:vAlign w:val="bottom"/>
            <w:hideMark/>
          </w:tcPr>
          <w:p w:rsidR="00BA387E" w:rsidRPr="00BA387E" w:rsidRDefault="00BA387E" w:rsidP="00BA387E">
            <w:pPr>
              <w:spacing w:after="0" w:line="240" w:lineRule="auto"/>
              <w:jc w:val="left"/>
              <w:rPr>
                <w:rFonts w:ascii="Calibri" w:eastAsia="Times New Roman" w:hAnsi="Calibri" w:cs="Times New Roman"/>
                <w:color w:val="000000"/>
                <w:sz w:val="22"/>
                <w:szCs w:val="22"/>
                <w:lang w:bidi="ar-SA"/>
              </w:rPr>
            </w:pPr>
            <w:r w:rsidRPr="00BA387E">
              <w:rPr>
                <w:rFonts w:ascii="Calibri" w:eastAsia="Times New Roman" w:hAnsi="Calibri" w:cs="Times New Roman"/>
                <w:color w:val="000000"/>
                <w:sz w:val="22"/>
                <w:szCs w:val="22"/>
                <w:lang w:bidi="ar-SA"/>
              </w:rPr>
              <w:t>α</w:t>
            </w:r>
          </w:p>
        </w:tc>
        <w:tc>
          <w:tcPr>
            <w:tcW w:w="1688" w:type="dxa"/>
            <w:gridSpan w:val="2"/>
            <w:tcBorders>
              <w:top w:val="single" w:sz="4" w:space="0" w:color="auto"/>
              <w:left w:val="nil"/>
              <w:bottom w:val="single" w:sz="4" w:space="0" w:color="auto"/>
              <w:right w:val="single" w:sz="4" w:space="0" w:color="auto"/>
            </w:tcBorders>
            <w:shd w:val="clear" w:color="000000" w:fill="C5D9F1"/>
            <w:noWrap/>
            <w:vAlign w:val="bottom"/>
            <w:hideMark/>
          </w:tcPr>
          <w:p w:rsidR="00BA387E" w:rsidRPr="00BA387E" w:rsidRDefault="00BA387E" w:rsidP="00BA387E">
            <w:pPr>
              <w:spacing w:after="0" w:line="240" w:lineRule="auto"/>
              <w:jc w:val="left"/>
              <w:rPr>
                <w:rFonts w:ascii="Calibri" w:eastAsia="Times New Roman" w:hAnsi="Calibri" w:cs="Times New Roman"/>
                <w:color w:val="000000"/>
                <w:sz w:val="22"/>
                <w:szCs w:val="22"/>
                <w:lang w:bidi="ar-SA"/>
              </w:rPr>
            </w:pPr>
            <w:r w:rsidRPr="00BA387E">
              <w:rPr>
                <w:rFonts w:ascii="Calibri" w:eastAsia="Times New Roman" w:hAnsi="Calibri" w:cs="Times New Roman"/>
                <w:color w:val="000000"/>
                <w:sz w:val="22"/>
                <w:szCs w:val="22"/>
                <w:lang w:bidi="ar-SA"/>
              </w:rPr>
              <w:t>NPV</w:t>
            </w:r>
          </w:p>
        </w:tc>
      </w:tr>
      <w:tr w:rsidR="00BA387E" w:rsidRPr="00BA387E" w:rsidTr="00BA387E">
        <w:trPr>
          <w:gridAfter w:val="3"/>
          <w:wAfter w:w="3491" w:type="dxa"/>
          <w:trHeight w:val="300"/>
        </w:trPr>
        <w:tc>
          <w:tcPr>
            <w:tcW w:w="3108" w:type="dxa"/>
            <w:gridSpan w:val="2"/>
            <w:tcBorders>
              <w:top w:val="nil"/>
              <w:left w:val="single" w:sz="4" w:space="0" w:color="auto"/>
              <w:bottom w:val="nil"/>
              <w:right w:val="nil"/>
            </w:tcBorders>
            <w:shd w:val="clear" w:color="auto" w:fill="auto"/>
            <w:noWrap/>
            <w:vAlign w:val="bottom"/>
            <w:hideMark/>
          </w:tcPr>
          <w:p w:rsidR="00BA387E" w:rsidRPr="00BA387E" w:rsidRDefault="00BA387E" w:rsidP="00BA387E">
            <w:pPr>
              <w:spacing w:after="0" w:line="240" w:lineRule="auto"/>
              <w:jc w:val="left"/>
              <w:rPr>
                <w:rFonts w:ascii="Calibri" w:eastAsia="Times New Roman" w:hAnsi="Calibri" w:cs="Times New Roman"/>
                <w:color w:val="000000"/>
                <w:sz w:val="18"/>
                <w:szCs w:val="18"/>
                <w:lang w:bidi="ar-SA"/>
              </w:rPr>
            </w:pPr>
            <w:r w:rsidRPr="00BA387E">
              <w:rPr>
                <w:rFonts w:ascii="Calibri" w:eastAsia="Times New Roman" w:hAnsi="Calibri" w:cs="Times New Roman"/>
                <w:color w:val="000000"/>
                <w:sz w:val="18"/>
                <w:szCs w:val="18"/>
                <w:lang w:bidi="ar-SA"/>
              </w:rPr>
              <w:t>Scenario 1</w:t>
            </w:r>
          </w:p>
        </w:tc>
        <w:tc>
          <w:tcPr>
            <w:tcW w:w="1608" w:type="dxa"/>
            <w:gridSpan w:val="2"/>
            <w:tcBorders>
              <w:top w:val="nil"/>
              <w:left w:val="nil"/>
              <w:bottom w:val="nil"/>
              <w:right w:val="single" w:sz="4" w:space="0" w:color="auto"/>
            </w:tcBorders>
            <w:shd w:val="clear" w:color="auto" w:fill="auto"/>
            <w:noWrap/>
            <w:vAlign w:val="bottom"/>
            <w:hideMark/>
          </w:tcPr>
          <w:p w:rsidR="00BA387E" w:rsidRPr="00BA387E" w:rsidRDefault="00BA387E" w:rsidP="00BA387E">
            <w:pPr>
              <w:spacing w:after="0" w:line="240" w:lineRule="auto"/>
              <w:jc w:val="right"/>
              <w:rPr>
                <w:rFonts w:ascii="Calibri" w:eastAsia="Times New Roman" w:hAnsi="Calibri" w:cs="Times New Roman"/>
                <w:color w:val="000000"/>
                <w:sz w:val="22"/>
                <w:szCs w:val="22"/>
                <w:lang w:bidi="ar-SA"/>
              </w:rPr>
            </w:pPr>
            <w:r w:rsidRPr="00BA387E">
              <w:rPr>
                <w:rFonts w:ascii="Calibri" w:eastAsia="Times New Roman" w:hAnsi="Calibri" w:cs="Times New Roman"/>
                <w:color w:val="000000"/>
                <w:sz w:val="22"/>
                <w:szCs w:val="22"/>
                <w:lang w:bidi="ar-SA"/>
              </w:rPr>
              <w:t>1.00</w:t>
            </w:r>
          </w:p>
        </w:tc>
        <w:tc>
          <w:tcPr>
            <w:tcW w:w="1688" w:type="dxa"/>
            <w:gridSpan w:val="2"/>
            <w:tcBorders>
              <w:top w:val="nil"/>
              <w:left w:val="nil"/>
              <w:bottom w:val="nil"/>
              <w:right w:val="single" w:sz="4" w:space="0" w:color="auto"/>
            </w:tcBorders>
            <w:shd w:val="clear" w:color="auto" w:fill="auto"/>
            <w:noWrap/>
            <w:vAlign w:val="bottom"/>
            <w:hideMark/>
          </w:tcPr>
          <w:p w:rsidR="00BA387E" w:rsidRPr="00BA387E" w:rsidRDefault="00BA387E" w:rsidP="00BA387E">
            <w:pPr>
              <w:spacing w:after="0" w:line="240" w:lineRule="auto"/>
              <w:jc w:val="right"/>
              <w:rPr>
                <w:rFonts w:ascii="Calibri" w:eastAsia="Times New Roman" w:hAnsi="Calibri" w:cs="Times New Roman"/>
                <w:color w:val="000000"/>
                <w:sz w:val="22"/>
                <w:szCs w:val="22"/>
                <w:lang w:bidi="ar-SA"/>
              </w:rPr>
            </w:pPr>
            <w:r w:rsidRPr="00BA387E">
              <w:rPr>
                <w:rFonts w:ascii="Calibri" w:eastAsia="Times New Roman" w:hAnsi="Calibri" w:cs="Times New Roman"/>
                <w:color w:val="000000"/>
                <w:sz w:val="22"/>
                <w:szCs w:val="22"/>
                <w:lang w:bidi="ar-SA"/>
              </w:rPr>
              <w:t>10.68</w:t>
            </w:r>
          </w:p>
        </w:tc>
      </w:tr>
      <w:tr w:rsidR="00BA387E" w:rsidRPr="00BA387E" w:rsidTr="00BA387E">
        <w:trPr>
          <w:gridAfter w:val="3"/>
          <w:wAfter w:w="3491" w:type="dxa"/>
          <w:trHeight w:val="300"/>
        </w:trPr>
        <w:tc>
          <w:tcPr>
            <w:tcW w:w="3108" w:type="dxa"/>
            <w:gridSpan w:val="2"/>
            <w:tcBorders>
              <w:top w:val="nil"/>
              <w:left w:val="single" w:sz="4" w:space="0" w:color="auto"/>
              <w:bottom w:val="nil"/>
              <w:right w:val="nil"/>
            </w:tcBorders>
            <w:shd w:val="clear" w:color="auto" w:fill="auto"/>
            <w:noWrap/>
            <w:vAlign w:val="bottom"/>
            <w:hideMark/>
          </w:tcPr>
          <w:p w:rsidR="00BA387E" w:rsidRPr="00BA387E" w:rsidRDefault="00BA387E" w:rsidP="00BA387E">
            <w:pPr>
              <w:spacing w:after="0" w:line="240" w:lineRule="auto"/>
              <w:jc w:val="left"/>
              <w:rPr>
                <w:rFonts w:ascii="Calibri" w:eastAsia="Times New Roman" w:hAnsi="Calibri" w:cs="Times New Roman"/>
                <w:color w:val="000000"/>
                <w:sz w:val="18"/>
                <w:szCs w:val="18"/>
                <w:lang w:bidi="ar-SA"/>
              </w:rPr>
            </w:pPr>
            <w:r w:rsidRPr="00BA387E">
              <w:rPr>
                <w:rFonts w:ascii="Calibri" w:eastAsia="Times New Roman" w:hAnsi="Calibri" w:cs="Times New Roman"/>
                <w:color w:val="000000"/>
                <w:sz w:val="18"/>
                <w:szCs w:val="18"/>
                <w:lang w:bidi="ar-SA"/>
              </w:rPr>
              <w:t>Scenario 2</w:t>
            </w:r>
          </w:p>
        </w:tc>
        <w:tc>
          <w:tcPr>
            <w:tcW w:w="1608" w:type="dxa"/>
            <w:gridSpan w:val="2"/>
            <w:tcBorders>
              <w:top w:val="nil"/>
              <w:left w:val="nil"/>
              <w:bottom w:val="nil"/>
              <w:right w:val="single" w:sz="4" w:space="0" w:color="auto"/>
            </w:tcBorders>
            <w:shd w:val="clear" w:color="auto" w:fill="auto"/>
            <w:noWrap/>
            <w:vAlign w:val="bottom"/>
            <w:hideMark/>
          </w:tcPr>
          <w:p w:rsidR="00BA387E" w:rsidRPr="00BA387E" w:rsidRDefault="00BA387E" w:rsidP="00BA387E">
            <w:pPr>
              <w:spacing w:after="0" w:line="240" w:lineRule="auto"/>
              <w:jc w:val="right"/>
              <w:rPr>
                <w:rFonts w:ascii="Calibri" w:eastAsia="Times New Roman" w:hAnsi="Calibri" w:cs="Times New Roman"/>
                <w:color w:val="000000"/>
                <w:sz w:val="22"/>
                <w:szCs w:val="22"/>
                <w:lang w:bidi="ar-SA"/>
              </w:rPr>
            </w:pPr>
            <w:r w:rsidRPr="00BA387E">
              <w:rPr>
                <w:rFonts w:ascii="Calibri" w:eastAsia="Times New Roman" w:hAnsi="Calibri" w:cs="Times New Roman"/>
                <w:color w:val="000000"/>
                <w:sz w:val="22"/>
                <w:szCs w:val="22"/>
                <w:lang w:bidi="ar-SA"/>
              </w:rPr>
              <w:t>1.25</w:t>
            </w:r>
          </w:p>
        </w:tc>
        <w:tc>
          <w:tcPr>
            <w:tcW w:w="1688" w:type="dxa"/>
            <w:gridSpan w:val="2"/>
            <w:tcBorders>
              <w:top w:val="nil"/>
              <w:left w:val="nil"/>
              <w:bottom w:val="nil"/>
              <w:right w:val="single" w:sz="4" w:space="0" w:color="auto"/>
            </w:tcBorders>
            <w:shd w:val="clear" w:color="auto" w:fill="auto"/>
            <w:noWrap/>
            <w:vAlign w:val="bottom"/>
            <w:hideMark/>
          </w:tcPr>
          <w:p w:rsidR="00BA387E" w:rsidRPr="00BA387E" w:rsidRDefault="00BA387E" w:rsidP="00BA387E">
            <w:pPr>
              <w:spacing w:after="0" w:line="240" w:lineRule="auto"/>
              <w:jc w:val="right"/>
              <w:rPr>
                <w:rFonts w:ascii="Calibri" w:eastAsia="Times New Roman" w:hAnsi="Calibri" w:cs="Times New Roman"/>
                <w:color w:val="000000"/>
                <w:sz w:val="22"/>
                <w:szCs w:val="22"/>
                <w:lang w:bidi="ar-SA"/>
              </w:rPr>
            </w:pPr>
            <w:r w:rsidRPr="00BA387E">
              <w:rPr>
                <w:rFonts w:ascii="Calibri" w:eastAsia="Times New Roman" w:hAnsi="Calibri" w:cs="Times New Roman"/>
                <w:color w:val="000000"/>
                <w:sz w:val="22"/>
                <w:szCs w:val="22"/>
                <w:lang w:bidi="ar-SA"/>
              </w:rPr>
              <w:t>13.4</w:t>
            </w:r>
          </w:p>
        </w:tc>
      </w:tr>
      <w:tr w:rsidR="00BA387E" w:rsidRPr="00BA387E" w:rsidTr="00BA387E">
        <w:trPr>
          <w:gridAfter w:val="3"/>
          <w:wAfter w:w="3491" w:type="dxa"/>
          <w:trHeight w:val="300"/>
        </w:trPr>
        <w:tc>
          <w:tcPr>
            <w:tcW w:w="3108" w:type="dxa"/>
            <w:gridSpan w:val="2"/>
            <w:tcBorders>
              <w:top w:val="nil"/>
              <w:left w:val="single" w:sz="4" w:space="0" w:color="auto"/>
              <w:bottom w:val="single" w:sz="4" w:space="0" w:color="auto"/>
              <w:right w:val="nil"/>
            </w:tcBorders>
            <w:shd w:val="clear" w:color="auto" w:fill="auto"/>
            <w:noWrap/>
            <w:vAlign w:val="bottom"/>
            <w:hideMark/>
          </w:tcPr>
          <w:p w:rsidR="00BA387E" w:rsidRPr="00BA387E" w:rsidRDefault="00BA387E" w:rsidP="00BA387E">
            <w:pPr>
              <w:spacing w:after="0" w:line="240" w:lineRule="auto"/>
              <w:jc w:val="left"/>
              <w:rPr>
                <w:rFonts w:ascii="Calibri" w:eastAsia="Times New Roman" w:hAnsi="Calibri" w:cs="Times New Roman"/>
                <w:color w:val="000000"/>
                <w:sz w:val="18"/>
                <w:szCs w:val="18"/>
                <w:lang w:bidi="ar-SA"/>
              </w:rPr>
            </w:pPr>
            <w:r w:rsidRPr="00BA387E">
              <w:rPr>
                <w:rFonts w:ascii="Calibri" w:eastAsia="Times New Roman" w:hAnsi="Calibri" w:cs="Times New Roman"/>
                <w:color w:val="000000"/>
                <w:sz w:val="18"/>
                <w:szCs w:val="18"/>
                <w:lang w:bidi="ar-SA"/>
              </w:rPr>
              <w:t>Scenario 3</w:t>
            </w:r>
          </w:p>
        </w:tc>
        <w:tc>
          <w:tcPr>
            <w:tcW w:w="1608" w:type="dxa"/>
            <w:gridSpan w:val="2"/>
            <w:tcBorders>
              <w:top w:val="nil"/>
              <w:left w:val="nil"/>
              <w:bottom w:val="single" w:sz="4" w:space="0" w:color="auto"/>
              <w:right w:val="single" w:sz="4" w:space="0" w:color="auto"/>
            </w:tcBorders>
            <w:shd w:val="clear" w:color="auto" w:fill="auto"/>
            <w:noWrap/>
            <w:vAlign w:val="bottom"/>
            <w:hideMark/>
          </w:tcPr>
          <w:p w:rsidR="00BA387E" w:rsidRPr="00BA387E" w:rsidRDefault="00BA387E" w:rsidP="00BA387E">
            <w:pPr>
              <w:spacing w:after="0" w:line="240" w:lineRule="auto"/>
              <w:jc w:val="right"/>
              <w:rPr>
                <w:rFonts w:ascii="Calibri" w:eastAsia="Times New Roman" w:hAnsi="Calibri" w:cs="Times New Roman"/>
                <w:color w:val="000000"/>
                <w:sz w:val="22"/>
                <w:szCs w:val="22"/>
                <w:lang w:bidi="ar-SA"/>
              </w:rPr>
            </w:pPr>
            <w:r w:rsidRPr="00BA387E">
              <w:rPr>
                <w:rFonts w:ascii="Calibri" w:eastAsia="Times New Roman" w:hAnsi="Calibri" w:cs="Times New Roman"/>
                <w:color w:val="000000"/>
                <w:sz w:val="22"/>
                <w:szCs w:val="22"/>
                <w:lang w:bidi="ar-SA"/>
              </w:rPr>
              <w:t>1.50</w:t>
            </w:r>
          </w:p>
        </w:tc>
        <w:tc>
          <w:tcPr>
            <w:tcW w:w="1688" w:type="dxa"/>
            <w:gridSpan w:val="2"/>
            <w:tcBorders>
              <w:top w:val="nil"/>
              <w:left w:val="nil"/>
              <w:bottom w:val="single" w:sz="4" w:space="0" w:color="auto"/>
              <w:right w:val="single" w:sz="4" w:space="0" w:color="auto"/>
            </w:tcBorders>
            <w:shd w:val="clear" w:color="auto" w:fill="auto"/>
            <w:noWrap/>
            <w:vAlign w:val="bottom"/>
            <w:hideMark/>
          </w:tcPr>
          <w:p w:rsidR="00BA387E" w:rsidRPr="00BA387E" w:rsidRDefault="00BA387E" w:rsidP="00BA387E">
            <w:pPr>
              <w:spacing w:after="0" w:line="240" w:lineRule="auto"/>
              <w:jc w:val="right"/>
              <w:rPr>
                <w:rFonts w:ascii="Calibri" w:eastAsia="Times New Roman" w:hAnsi="Calibri" w:cs="Times New Roman"/>
                <w:color w:val="000000"/>
                <w:sz w:val="22"/>
                <w:szCs w:val="22"/>
                <w:lang w:bidi="ar-SA"/>
              </w:rPr>
            </w:pPr>
            <w:r w:rsidRPr="00BA387E">
              <w:rPr>
                <w:rFonts w:ascii="Calibri" w:eastAsia="Times New Roman" w:hAnsi="Calibri" w:cs="Times New Roman"/>
                <w:color w:val="000000"/>
                <w:sz w:val="22"/>
                <w:szCs w:val="22"/>
                <w:lang w:bidi="ar-SA"/>
              </w:rPr>
              <w:t>16.11</w:t>
            </w:r>
          </w:p>
        </w:tc>
      </w:tr>
    </w:tbl>
    <w:p w:rsidR="00DA6273" w:rsidRPr="00DA6273" w:rsidRDefault="00DA6273" w:rsidP="00CA07A8">
      <w:pPr>
        <w:spacing w:before="120" w:after="120" w:line="240" w:lineRule="auto"/>
        <w:ind w:left="630"/>
        <w:rPr>
          <w:rFonts w:eastAsia="Times New Roman" w:cs="Times New Roman"/>
          <w:sz w:val="16"/>
          <w:szCs w:val="16"/>
        </w:rPr>
      </w:pPr>
    </w:p>
    <w:p w:rsidR="001768AC" w:rsidRDefault="00BA387E" w:rsidP="001768AC">
      <w:pPr>
        <w:spacing w:before="120" w:after="120" w:line="240" w:lineRule="auto"/>
        <w:rPr>
          <w:rFonts w:eastAsia="Times New Roman" w:cs="Times New Roman"/>
        </w:rPr>
      </w:pPr>
      <w:r w:rsidRPr="00BA387E">
        <w:rPr>
          <w:noProof/>
          <w:lang w:bidi="ar-SA"/>
        </w:rPr>
        <w:drawing>
          <wp:inline distT="0" distB="0" distL="0" distR="0" wp14:anchorId="05824909" wp14:editId="7238806F">
            <wp:extent cx="8229600" cy="156325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29600" cy="1563253"/>
                    </a:xfrm>
                    <a:prstGeom prst="rect">
                      <a:avLst/>
                    </a:prstGeom>
                    <a:noFill/>
                    <a:ln>
                      <a:noFill/>
                    </a:ln>
                  </pic:spPr>
                </pic:pic>
              </a:graphicData>
            </a:graphic>
          </wp:inline>
        </w:drawing>
      </w:r>
    </w:p>
    <w:p w:rsidR="00BA387E" w:rsidRDefault="00BA387E" w:rsidP="001768AC">
      <w:pPr>
        <w:spacing w:before="120" w:after="120" w:line="240" w:lineRule="auto"/>
        <w:rPr>
          <w:rFonts w:eastAsia="Times New Roman" w:cs="Times New Roman"/>
        </w:rPr>
        <w:sectPr w:rsidR="00BA387E" w:rsidSect="00DA6273">
          <w:pgSz w:w="15840" w:h="12240" w:orient="landscape"/>
          <w:pgMar w:top="1440" w:right="1440" w:bottom="1440" w:left="1440" w:header="720" w:footer="720" w:gutter="0"/>
          <w:cols w:space="720"/>
          <w:docGrid w:linePitch="360"/>
        </w:sectPr>
      </w:pPr>
    </w:p>
    <w:p w:rsidR="00F033E8" w:rsidRPr="00C53EBC" w:rsidRDefault="00F033E8" w:rsidP="001768AC">
      <w:pPr>
        <w:spacing w:before="120" w:after="120" w:line="240" w:lineRule="auto"/>
        <w:rPr>
          <w:rFonts w:eastAsia="Times New Roman" w:cs="Times New Roman"/>
        </w:rPr>
      </w:pPr>
    </w:p>
    <w:p w:rsidR="00083988" w:rsidRDefault="00D80E58" w:rsidP="00511925">
      <w:pPr>
        <w:pStyle w:val="ListParagraph"/>
        <w:numPr>
          <w:ilvl w:val="0"/>
          <w:numId w:val="2"/>
        </w:numPr>
        <w:rPr>
          <w:b/>
        </w:rPr>
      </w:pPr>
      <w:r w:rsidRPr="00C53EBC">
        <w:rPr>
          <w:b/>
        </w:rPr>
        <w:t>Calculation of Cost/Benefit</w:t>
      </w:r>
      <w:r w:rsidR="00511925" w:rsidRPr="00C53EBC">
        <w:rPr>
          <w:b/>
        </w:rPr>
        <w:t>.</w:t>
      </w:r>
    </w:p>
    <w:p w:rsidR="00B93B72" w:rsidRDefault="004E021B" w:rsidP="00EF1139">
      <w:pPr>
        <w:spacing w:before="120" w:after="120" w:line="240" w:lineRule="auto"/>
        <w:ind w:left="630"/>
      </w:pPr>
      <w:r>
        <w:t xml:space="preserve">For each one of the areas discussed above, the estimated net benefits were calculated and projected over a </w:t>
      </w:r>
      <w:r w:rsidR="006609B5">
        <w:t>10</w:t>
      </w:r>
      <w:r w:rsidR="00925B73">
        <w:t>-</w:t>
      </w:r>
      <w:r w:rsidR="006609B5">
        <w:t>year period.</w:t>
      </w:r>
      <w:r w:rsidR="00A61C01">
        <w:t xml:space="preserve"> </w:t>
      </w:r>
      <w:r w:rsidR="00111453">
        <w:t xml:space="preserve"> The net value of the benefits w</w:t>
      </w:r>
      <w:r w:rsidR="00925B73">
        <w:t>as</w:t>
      </w:r>
      <w:r w:rsidR="00111453">
        <w:t xml:space="preserve"> then compared to the discounted value of the four JCEP operations. </w:t>
      </w:r>
      <w:r w:rsidR="00B93B72">
        <w:t xml:space="preserve"> Table </w:t>
      </w:r>
      <w:r w:rsidR="00C73B4A">
        <w:t xml:space="preserve"> 7</w:t>
      </w:r>
      <w:r w:rsidR="00B93B72">
        <w:t xml:space="preserve"> shows the consolidated Cost/Benefit Analysis for the operation.</w:t>
      </w:r>
      <w:r w:rsidR="001247C5">
        <w:t xml:space="preserve"> The NPV of the benefits of the program is US 1,642.27 Million discounted at a 12% rate. The NPV of the cost is US $ 634.75 Million. The cost benefit ratio of the operation is 2.59.</w:t>
      </w:r>
    </w:p>
    <w:p w:rsidR="00B93B72" w:rsidRDefault="00B93B72">
      <w:pPr>
        <w:sectPr w:rsidR="00B93B72" w:rsidSect="00BA387E">
          <w:pgSz w:w="12240" w:h="15840"/>
          <w:pgMar w:top="1440" w:right="1440" w:bottom="1440" w:left="1440" w:header="720" w:footer="720" w:gutter="0"/>
          <w:cols w:space="720"/>
          <w:docGrid w:linePitch="360"/>
        </w:sectPr>
      </w:pPr>
    </w:p>
    <w:p w:rsidR="00B93B72" w:rsidRDefault="001247C5">
      <w:r w:rsidRPr="001247C5">
        <w:rPr>
          <w:noProof/>
          <w:lang w:bidi="ar-SA"/>
        </w:rPr>
        <w:lastRenderedPageBreak/>
        <w:drawing>
          <wp:inline distT="0" distB="0" distL="0" distR="0" wp14:anchorId="3B5A0D90" wp14:editId="08C72A3A">
            <wp:extent cx="8229600" cy="493440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29600" cy="4934403"/>
                    </a:xfrm>
                    <a:prstGeom prst="rect">
                      <a:avLst/>
                    </a:prstGeom>
                    <a:noFill/>
                    <a:ln>
                      <a:noFill/>
                    </a:ln>
                  </pic:spPr>
                </pic:pic>
              </a:graphicData>
            </a:graphic>
          </wp:inline>
        </w:drawing>
      </w:r>
      <w:r w:rsidR="00B93B72" w:rsidRPr="00B93B72">
        <w:t xml:space="preserve"> </w:t>
      </w:r>
      <w:r w:rsidR="00B93B72">
        <w:br w:type="page"/>
      </w:r>
    </w:p>
    <w:p w:rsidR="00B93B72" w:rsidRDefault="00B93B72" w:rsidP="00EF1139">
      <w:pPr>
        <w:spacing w:before="120" w:after="120" w:line="240" w:lineRule="auto"/>
        <w:ind w:left="630"/>
        <w:rPr>
          <w:b/>
        </w:rPr>
        <w:sectPr w:rsidR="00B93B72" w:rsidSect="00B93B72">
          <w:pgSz w:w="15840" w:h="12240" w:orient="landscape"/>
          <w:pgMar w:top="1440" w:right="1440" w:bottom="1440" w:left="1440" w:header="720" w:footer="720" w:gutter="0"/>
          <w:cols w:space="720"/>
          <w:docGrid w:linePitch="360"/>
        </w:sectPr>
      </w:pPr>
    </w:p>
    <w:p w:rsidR="004C64D3" w:rsidRPr="00A61C01" w:rsidRDefault="004C64D3" w:rsidP="00EF1139">
      <w:pPr>
        <w:spacing w:before="120" w:after="120" w:line="240" w:lineRule="auto"/>
        <w:ind w:left="630"/>
        <w:rPr>
          <w:b/>
        </w:rPr>
      </w:pPr>
    </w:p>
    <w:p w:rsidR="00A61C01" w:rsidRDefault="00A61C01" w:rsidP="00A61C01">
      <w:pPr>
        <w:pStyle w:val="ListParagraph"/>
        <w:numPr>
          <w:ilvl w:val="0"/>
          <w:numId w:val="2"/>
        </w:numPr>
        <w:rPr>
          <w:b/>
        </w:rPr>
      </w:pPr>
      <w:r>
        <w:rPr>
          <w:b/>
        </w:rPr>
        <w:t>Risk Asse</w:t>
      </w:r>
      <w:r w:rsidR="00925B73">
        <w:rPr>
          <w:b/>
        </w:rPr>
        <w:t>s</w:t>
      </w:r>
      <w:r>
        <w:rPr>
          <w:b/>
        </w:rPr>
        <w:t>sment</w:t>
      </w:r>
      <w:r w:rsidR="00D110F3">
        <w:rPr>
          <w:b/>
        </w:rPr>
        <w:t xml:space="preserve"> and Scenario Analysis</w:t>
      </w:r>
    </w:p>
    <w:p w:rsidR="00A61C01" w:rsidRDefault="00A61C01" w:rsidP="00EF1139">
      <w:pPr>
        <w:spacing w:before="120" w:after="120" w:line="240" w:lineRule="auto"/>
        <w:ind w:left="630"/>
      </w:pPr>
      <w:r>
        <w:t xml:space="preserve">One of the main risks of the economic evaluation is the risk that the implementation of a policy does not produce the expected benefits and of the miscalculation of benefits. Due to the program being halfway through implementation some of the benefits of the measures have already been </w:t>
      </w:r>
      <w:r w:rsidR="00F77C70">
        <w:t xml:space="preserve">realized </w:t>
      </w:r>
      <w:r>
        <w:t>such as in the case of Tax Administration, Tax Policy and Land Titling and Registration. Regarding the policy measures related to access to finance, the effect of all the regulatory and legal measures in deep</w:t>
      </w:r>
      <w:r w:rsidR="00AC3B66">
        <w:t>en</w:t>
      </w:r>
      <w:r>
        <w:t>ing the financial access is yet to be experienced and measured. Finally, the effec</w:t>
      </w:r>
      <w:r w:rsidR="00AC3B66">
        <w:t>ts of many of the policies may have a set of indirect effects that could be more accurately measured with a General Equilibrium Model. However, the building and application of a GE model for the operation is not a realistic option in terms of costs and information availability</w:t>
      </w:r>
      <w:r>
        <w:t>.</w:t>
      </w:r>
    </w:p>
    <w:p w:rsidR="00EF1139" w:rsidRPr="00C53EBC" w:rsidRDefault="00EF1139" w:rsidP="00EF1139">
      <w:pPr>
        <w:spacing w:before="120" w:after="120" w:line="240" w:lineRule="auto"/>
        <w:ind w:left="630"/>
        <w:rPr>
          <w:b/>
        </w:rPr>
      </w:pPr>
      <w:r>
        <w:t>In addition, a sensitivity analysis of the main variables was carried out to ensure that the program still has a favorable rate of return, even though in this case some of the benefits have already been achieved.</w:t>
      </w:r>
    </w:p>
    <w:p w:rsidR="00D110F3" w:rsidRDefault="00D110F3" w:rsidP="00D110F3">
      <w:pPr>
        <w:pStyle w:val="ListParagraph"/>
        <w:numPr>
          <w:ilvl w:val="0"/>
          <w:numId w:val="2"/>
        </w:numPr>
        <w:rPr>
          <w:b/>
        </w:rPr>
      </w:pPr>
      <w:r>
        <w:rPr>
          <w:b/>
        </w:rPr>
        <w:t>Conclusions and Recommendations</w:t>
      </w:r>
    </w:p>
    <w:p w:rsidR="00D110F3" w:rsidRPr="00D110F3" w:rsidRDefault="00D110F3" w:rsidP="00D110F3">
      <w:pPr>
        <w:rPr>
          <w:b/>
        </w:rPr>
      </w:pPr>
    </w:p>
    <w:p w:rsidR="00F033E8" w:rsidRDefault="00D110F3" w:rsidP="00E5502C">
      <w:pPr>
        <w:spacing w:before="120" w:after="120" w:line="240" w:lineRule="auto"/>
        <w:ind w:left="630"/>
      </w:pPr>
      <w:r>
        <w:t>The Net Present Value of the</w:t>
      </w:r>
      <w:r w:rsidR="00C73B4A">
        <w:t xml:space="preserve"> NET </w:t>
      </w:r>
      <w:r>
        <w:t xml:space="preserve"> Benefits, discounted at a 12% rate is </w:t>
      </w:r>
      <w:r w:rsidR="00C73B4A">
        <w:t>US $1,007.51 Million</w:t>
      </w:r>
      <w:r>
        <w:t>. The Cost Benefit Ratio of the Program is</w:t>
      </w:r>
      <w:r w:rsidR="001247C5">
        <w:t xml:space="preserve"> 2.58, showing the implications of the reform. It is to be noted, that some reforms may have more impact than others, but a more detailed impact analysis would need to be carried out to verify the direct and indirect impact</w:t>
      </w:r>
      <w:r>
        <w:t>.</w:t>
      </w:r>
    </w:p>
    <w:p w:rsidR="00F033E8" w:rsidRDefault="00F033E8" w:rsidP="00E5502C">
      <w:pPr>
        <w:spacing w:before="120" w:after="120" w:line="240" w:lineRule="auto"/>
        <w:ind w:left="630"/>
      </w:pPr>
      <w:r>
        <w:t>A sensitivity analysis of the main variables showed that if there were significant reductions in the parameters that are projected, (since most of the reforms have already been complied), the net present value of the operation will still be positive.</w:t>
      </w:r>
      <w:r w:rsidR="000A6180">
        <w:t xml:space="preserve"> Even with a 20% reduction in the estimated benefits and a 20% increase in the estimated costs, the NPV of the operation remains at a positive value of US $522.11 Million.</w:t>
      </w:r>
    </w:p>
    <w:p w:rsidR="000A6180" w:rsidRDefault="000A6180" w:rsidP="00E5502C">
      <w:pPr>
        <w:spacing w:before="120" w:after="120" w:line="240" w:lineRule="auto"/>
        <w:ind w:left="630"/>
      </w:pPr>
    </w:p>
    <w:tbl>
      <w:tblPr>
        <w:tblW w:w="6390" w:type="dxa"/>
        <w:tblInd w:w="918" w:type="dxa"/>
        <w:tblLook w:val="04A0" w:firstRow="1" w:lastRow="0" w:firstColumn="1" w:lastColumn="0" w:noHBand="0" w:noVBand="1"/>
      </w:tblPr>
      <w:tblGrid>
        <w:gridCol w:w="3510"/>
        <w:gridCol w:w="1077"/>
        <w:gridCol w:w="1803"/>
      </w:tblGrid>
      <w:tr w:rsidR="000A6180" w:rsidRPr="000A6180" w:rsidTr="000A6180">
        <w:trPr>
          <w:trHeight w:val="300"/>
        </w:trPr>
        <w:tc>
          <w:tcPr>
            <w:tcW w:w="3510"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0A6180" w:rsidRPr="000A6180" w:rsidRDefault="000A6180" w:rsidP="000A6180">
            <w:pPr>
              <w:spacing w:after="0" w:line="240" w:lineRule="auto"/>
              <w:jc w:val="left"/>
              <w:rPr>
                <w:rFonts w:ascii="Calibri" w:eastAsia="Times New Roman" w:hAnsi="Calibri" w:cs="Times New Roman"/>
                <w:color w:val="000000"/>
                <w:lang w:bidi="ar-SA"/>
              </w:rPr>
            </w:pPr>
            <w:r w:rsidRPr="000A6180">
              <w:rPr>
                <w:rFonts w:ascii="Calibri" w:eastAsia="Times New Roman" w:hAnsi="Calibri" w:cs="Times New Roman"/>
                <w:color w:val="000000"/>
                <w:lang w:bidi="ar-SA"/>
              </w:rPr>
              <w:t>SENSITIVITY ANALYSIS</w:t>
            </w:r>
          </w:p>
        </w:tc>
        <w:tc>
          <w:tcPr>
            <w:tcW w:w="1077" w:type="dxa"/>
            <w:tcBorders>
              <w:top w:val="single" w:sz="4" w:space="0" w:color="auto"/>
              <w:left w:val="nil"/>
              <w:bottom w:val="single" w:sz="4" w:space="0" w:color="auto"/>
              <w:right w:val="nil"/>
            </w:tcBorders>
            <w:shd w:val="clear" w:color="000000" w:fill="D8E4BC"/>
            <w:noWrap/>
            <w:vAlign w:val="bottom"/>
            <w:hideMark/>
          </w:tcPr>
          <w:p w:rsidR="000A6180" w:rsidRPr="000A6180" w:rsidRDefault="000A6180" w:rsidP="000A6180">
            <w:pPr>
              <w:spacing w:after="0" w:line="240" w:lineRule="auto"/>
              <w:jc w:val="left"/>
              <w:rPr>
                <w:rFonts w:ascii="Calibri" w:eastAsia="Times New Roman" w:hAnsi="Calibri" w:cs="Times New Roman"/>
                <w:color w:val="000000"/>
                <w:lang w:bidi="ar-SA"/>
              </w:rPr>
            </w:pPr>
            <w:r w:rsidRPr="000A6180">
              <w:rPr>
                <w:rFonts w:ascii="Calibri" w:eastAsia="Times New Roman" w:hAnsi="Calibri" w:cs="Times New Roman"/>
                <w:color w:val="000000"/>
                <w:lang w:bidi="ar-SA"/>
              </w:rPr>
              <w:t>Parameter</w:t>
            </w:r>
          </w:p>
        </w:tc>
        <w:tc>
          <w:tcPr>
            <w:tcW w:w="1803" w:type="dxa"/>
            <w:tcBorders>
              <w:top w:val="single" w:sz="4" w:space="0" w:color="auto"/>
              <w:left w:val="nil"/>
              <w:bottom w:val="single" w:sz="4" w:space="0" w:color="auto"/>
              <w:right w:val="single" w:sz="4" w:space="0" w:color="auto"/>
            </w:tcBorders>
            <w:shd w:val="clear" w:color="000000" w:fill="D8E4BC"/>
            <w:noWrap/>
            <w:vAlign w:val="bottom"/>
            <w:hideMark/>
          </w:tcPr>
          <w:p w:rsidR="000A6180" w:rsidRDefault="000A6180" w:rsidP="000A6180">
            <w:pPr>
              <w:spacing w:after="0" w:line="240" w:lineRule="auto"/>
              <w:jc w:val="left"/>
              <w:rPr>
                <w:rFonts w:ascii="Calibri" w:eastAsia="Times New Roman" w:hAnsi="Calibri" w:cs="Times New Roman"/>
                <w:color w:val="000000"/>
                <w:lang w:bidi="ar-SA"/>
              </w:rPr>
            </w:pPr>
            <w:r w:rsidRPr="000A6180">
              <w:rPr>
                <w:rFonts w:ascii="Calibri" w:eastAsia="Times New Roman" w:hAnsi="Calibri" w:cs="Times New Roman"/>
                <w:color w:val="000000"/>
                <w:lang w:bidi="ar-SA"/>
              </w:rPr>
              <w:t>NPV</w:t>
            </w:r>
          </w:p>
          <w:p w:rsidR="000A6180" w:rsidRPr="000A6180" w:rsidRDefault="000A6180" w:rsidP="000A6180">
            <w:pPr>
              <w:spacing w:after="0" w:line="240" w:lineRule="auto"/>
              <w:jc w:val="left"/>
              <w:rPr>
                <w:rFonts w:ascii="Calibri" w:eastAsia="Times New Roman" w:hAnsi="Calibri" w:cs="Times New Roman"/>
                <w:color w:val="000000"/>
                <w:lang w:bidi="ar-SA"/>
              </w:rPr>
            </w:pPr>
            <w:r>
              <w:rPr>
                <w:rFonts w:ascii="Calibri" w:eastAsia="Times New Roman" w:hAnsi="Calibri" w:cs="Times New Roman"/>
                <w:color w:val="000000"/>
                <w:lang w:bidi="ar-SA"/>
              </w:rPr>
              <w:t>US Million</w:t>
            </w:r>
          </w:p>
        </w:tc>
      </w:tr>
      <w:tr w:rsidR="000A6180" w:rsidRPr="000A6180" w:rsidTr="000A6180">
        <w:trPr>
          <w:trHeight w:val="300"/>
        </w:trPr>
        <w:tc>
          <w:tcPr>
            <w:tcW w:w="3510" w:type="dxa"/>
            <w:tcBorders>
              <w:top w:val="nil"/>
              <w:left w:val="single" w:sz="4" w:space="0" w:color="auto"/>
              <w:bottom w:val="nil"/>
              <w:right w:val="single" w:sz="4" w:space="0" w:color="auto"/>
            </w:tcBorders>
            <w:shd w:val="clear" w:color="auto" w:fill="auto"/>
            <w:noWrap/>
            <w:vAlign w:val="bottom"/>
            <w:hideMark/>
          </w:tcPr>
          <w:p w:rsidR="000A6180" w:rsidRPr="000A6180" w:rsidRDefault="000A6180" w:rsidP="000A6180">
            <w:pPr>
              <w:spacing w:after="0" w:line="240" w:lineRule="auto"/>
              <w:jc w:val="left"/>
              <w:rPr>
                <w:rFonts w:ascii="Calibri" w:eastAsia="Times New Roman" w:hAnsi="Calibri" w:cs="Times New Roman"/>
                <w:color w:val="000000"/>
                <w:lang w:bidi="ar-SA"/>
              </w:rPr>
            </w:pPr>
            <w:r w:rsidRPr="000A6180">
              <w:rPr>
                <w:rFonts w:ascii="Calibri" w:eastAsia="Times New Roman" w:hAnsi="Calibri" w:cs="Times New Roman"/>
                <w:color w:val="000000"/>
                <w:lang w:bidi="ar-SA"/>
              </w:rPr>
              <w:t>Decrease in Benefits</w:t>
            </w:r>
          </w:p>
        </w:tc>
        <w:tc>
          <w:tcPr>
            <w:tcW w:w="1077" w:type="dxa"/>
            <w:tcBorders>
              <w:top w:val="nil"/>
              <w:left w:val="nil"/>
              <w:bottom w:val="nil"/>
              <w:right w:val="nil"/>
            </w:tcBorders>
            <w:shd w:val="clear" w:color="auto" w:fill="auto"/>
            <w:noWrap/>
            <w:vAlign w:val="bottom"/>
            <w:hideMark/>
          </w:tcPr>
          <w:p w:rsidR="000A6180" w:rsidRPr="000A6180" w:rsidRDefault="000A6180" w:rsidP="000A6180">
            <w:pPr>
              <w:spacing w:after="0" w:line="240" w:lineRule="auto"/>
              <w:jc w:val="right"/>
              <w:rPr>
                <w:rFonts w:ascii="Calibri" w:eastAsia="Times New Roman" w:hAnsi="Calibri" w:cs="Times New Roman"/>
                <w:color w:val="000000"/>
                <w:lang w:bidi="ar-SA"/>
              </w:rPr>
            </w:pPr>
            <w:r w:rsidRPr="000A6180">
              <w:rPr>
                <w:rFonts w:ascii="Calibri" w:eastAsia="Times New Roman" w:hAnsi="Calibri" w:cs="Times New Roman"/>
                <w:color w:val="000000"/>
                <w:lang w:bidi="ar-SA"/>
              </w:rPr>
              <w:t>0.2</w:t>
            </w:r>
          </w:p>
        </w:tc>
        <w:tc>
          <w:tcPr>
            <w:tcW w:w="1803" w:type="dxa"/>
            <w:tcBorders>
              <w:top w:val="nil"/>
              <w:left w:val="nil"/>
              <w:bottom w:val="nil"/>
              <w:right w:val="single" w:sz="4" w:space="0" w:color="auto"/>
            </w:tcBorders>
            <w:shd w:val="clear" w:color="auto" w:fill="auto"/>
            <w:noWrap/>
            <w:vAlign w:val="bottom"/>
            <w:hideMark/>
          </w:tcPr>
          <w:p w:rsidR="000A6180" w:rsidRPr="000A6180" w:rsidRDefault="000A6180" w:rsidP="000A6180">
            <w:pPr>
              <w:spacing w:after="0" w:line="240" w:lineRule="auto"/>
              <w:jc w:val="left"/>
              <w:rPr>
                <w:rFonts w:ascii="Calibri" w:eastAsia="Times New Roman" w:hAnsi="Calibri" w:cs="Times New Roman"/>
                <w:color w:val="000000"/>
                <w:lang w:bidi="ar-SA"/>
              </w:rPr>
            </w:pPr>
            <w:r w:rsidRPr="000A6180">
              <w:rPr>
                <w:rFonts w:ascii="Calibri" w:eastAsia="Times New Roman" w:hAnsi="Calibri" w:cs="Times New Roman"/>
                <w:color w:val="000000"/>
                <w:lang w:bidi="ar-SA"/>
              </w:rPr>
              <w:t xml:space="preserve">      679.06 </w:t>
            </w:r>
          </w:p>
        </w:tc>
      </w:tr>
      <w:tr w:rsidR="000A6180" w:rsidRPr="000A6180" w:rsidTr="000A6180">
        <w:trPr>
          <w:trHeight w:val="300"/>
        </w:trPr>
        <w:tc>
          <w:tcPr>
            <w:tcW w:w="3510" w:type="dxa"/>
            <w:tcBorders>
              <w:top w:val="nil"/>
              <w:left w:val="single" w:sz="4" w:space="0" w:color="auto"/>
              <w:bottom w:val="nil"/>
              <w:right w:val="single" w:sz="4" w:space="0" w:color="auto"/>
            </w:tcBorders>
            <w:shd w:val="clear" w:color="auto" w:fill="auto"/>
            <w:noWrap/>
            <w:vAlign w:val="bottom"/>
            <w:hideMark/>
          </w:tcPr>
          <w:p w:rsidR="000A6180" w:rsidRPr="000A6180" w:rsidRDefault="000A6180" w:rsidP="000A6180">
            <w:pPr>
              <w:spacing w:after="0" w:line="240" w:lineRule="auto"/>
              <w:jc w:val="left"/>
              <w:rPr>
                <w:rFonts w:ascii="Calibri" w:eastAsia="Times New Roman" w:hAnsi="Calibri" w:cs="Times New Roman"/>
                <w:color w:val="000000"/>
                <w:lang w:bidi="ar-SA"/>
              </w:rPr>
            </w:pPr>
            <w:r w:rsidRPr="000A6180">
              <w:rPr>
                <w:rFonts w:ascii="Calibri" w:eastAsia="Times New Roman" w:hAnsi="Calibri" w:cs="Times New Roman"/>
                <w:color w:val="000000"/>
                <w:lang w:bidi="ar-SA"/>
              </w:rPr>
              <w:t>Decrease In Benefits</w:t>
            </w:r>
          </w:p>
        </w:tc>
        <w:tc>
          <w:tcPr>
            <w:tcW w:w="1077" w:type="dxa"/>
            <w:tcBorders>
              <w:top w:val="nil"/>
              <w:left w:val="nil"/>
              <w:bottom w:val="nil"/>
              <w:right w:val="nil"/>
            </w:tcBorders>
            <w:shd w:val="clear" w:color="auto" w:fill="auto"/>
            <w:noWrap/>
            <w:vAlign w:val="bottom"/>
            <w:hideMark/>
          </w:tcPr>
          <w:p w:rsidR="000A6180" w:rsidRPr="000A6180" w:rsidRDefault="000A6180" w:rsidP="000A6180">
            <w:pPr>
              <w:spacing w:after="0" w:line="240" w:lineRule="auto"/>
              <w:jc w:val="right"/>
              <w:rPr>
                <w:rFonts w:ascii="Calibri" w:eastAsia="Times New Roman" w:hAnsi="Calibri" w:cs="Times New Roman"/>
                <w:color w:val="000000"/>
                <w:lang w:bidi="ar-SA"/>
              </w:rPr>
            </w:pPr>
            <w:r w:rsidRPr="000A6180">
              <w:rPr>
                <w:rFonts w:ascii="Calibri" w:eastAsia="Times New Roman" w:hAnsi="Calibri" w:cs="Times New Roman"/>
                <w:color w:val="000000"/>
                <w:lang w:bidi="ar-SA"/>
              </w:rPr>
              <w:t>0.35</w:t>
            </w:r>
          </w:p>
        </w:tc>
        <w:tc>
          <w:tcPr>
            <w:tcW w:w="1803" w:type="dxa"/>
            <w:tcBorders>
              <w:top w:val="nil"/>
              <w:left w:val="nil"/>
              <w:bottom w:val="nil"/>
              <w:right w:val="single" w:sz="4" w:space="0" w:color="auto"/>
            </w:tcBorders>
            <w:shd w:val="clear" w:color="auto" w:fill="auto"/>
            <w:noWrap/>
            <w:vAlign w:val="bottom"/>
            <w:hideMark/>
          </w:tcPr>
          <w:p w:rsidR="000A6180" w:rsidRPr="000A6180" w:rsidRDefault="000A6180" w:rsidP="000A6180">
            <w:pPr>
              <w:spacing w:after="0" w:line="240" w:lineRule="auto"/>
              <w:jc w:val="left"/>
              <w:rPr>
                <w:rFonts w:ascii="Calibri" w:eastAsia="Times New Roman" w:hAnsi="Calibri" w:cs="Times New Roman"/>
                <w:color w:val="000000"/>
                <w:lang w:bidi="ar-SA"/>
              </w:rPr>
            </w:pPr>
            <w:r w:rsidRPr="000A6180">
              <w:rPr>
                <w:rFonts w:ascii="Calibri" w:eastAsia="Times New Roman" w:hAnsi="Calibri" w:cs="Times New Roman"/>
                <w:color w:val="000000"/>
                <w:lang w:bidi="ar-SA"/>
              </w:rPr>
              <w:t xml:space="preserve">      432.72 </w:t>
            </w:r>
          </w:p>
        </w:tc>
      </w:tr>
      <w:tr w:rsidR="000A6180" w:rsidRPr="000A6180" w:rsidTr="000A6180">
        <w:trPr>
          <w:trHeight w:val="300"/>
        </w:trPr>
        <w:tc>
          <w:tcPr>
            <w:tcW w:w="3510" w:type="dxa"/>
            <w:tcBorders>
              <w:top w:val="nil"/>
              <w:left w:val="single" w:sz="4" w:space="0" w:color="auto"/>
              <w:bottom w:val="nil"/>
              <w:right w:val="single" w:sz="4" w:space="0" w:color="auto"/>
            </w:tcBorders>
            <w:shd w:val="clear" w:color="auto" w:fill="auto"/>
            <w:noWrap/>
            <w:vAlign w:val="bottom"/>
            <w:hideMark/>
          </w:tcPr>
          <w:p w:rsidR="000A6180" w:rsidRPr="000A6180" w:rsidRDefault="000A6180" w:rsidP="000A6180">
            <w:pPr>
              <w:spacing w:after="0" w:line="240" w:lineRule="auto"/>
              <w:jc w:val="left"/>
              <w:rPr>
                <w:rFonts w:ascii="Calibri" w:eastAsia="Times New Roman" w:hAnsi="Calibri" w:cs="Times New Roman"/>
                <w:color w:val="000000"/>
                <w:lang w:bidi="ar-SA"/>
              </w:rPr>
            </w:pPr>
            <w:r w:rsidRPr="000A6180">
              <w:rPr>
                <w:rFonts w:ascii="Calibri" w:eastAsia="Times New Roman" w:hAnsi="Calibri" w:cs="Times New Roman"/>
                <w:color w:val="000000"/>
                <w:lang w:bidi="ar-SA"/>
              </w:rPr>
              <w:t>Increase in Costs</w:t>
            </w:r>
          </w:p>
        </w:tc>
        <w:tc>
          <w:tcPr>
            <w:tcW w:w="1077" w:type="dxa"/>
            <w:tcBorders>
              <w:top w:val="nil"/>
              <w:left w:val="nil"/>
              <w:bottom w:val="nil"/>
              <w:right w:val="nil"/>
            </w:tcBorders>
            <w:shd w:val="clear" w:color="auto" w:fill="auto"/>
            <w:noWrap/>
            <w:vAlign w:val="bottom"/>
            <w:hideMark/>
          </w:tcPr>
          <w:p w:rsidR="000A6180" w:rsidRPr="000A6180" w:rsidRDefault="000A6180" w:rsidP="000A6180">
            <w:pPr>
              <w:spacing w:after="0" w:line="240" w:lineRule="auto"/>
              <w:jc w:val="right"/>
              <w:rPr>
                <w:rFonts w:ascii="Calibri" w:eastAsia="Times New Roman" w:hAnsi="Calibri" w:cs="Times New Roman"/>
                <w:color w:val="000000"/>
                <w:lang w:bidi="ar-SA"/>
              </w:rPr>
            </w:pPr>
            <w:r w:rsidRPr="000A6180">
              <w:rPr>
                <w:rFonts w:ascii="Calibri" w:eastAsia="Times New Roman" w:hAnsi="Calibri" w:cs="Times New Roman"/>
                <w:color w:val="000000"/>
                <w:lang w:bidi="ar-SA"/>
              </w:rPr>
              <w:t>0.2</w:t>
            </w:r>
          </w:p>
        </w:tc>
        <w:tc>
          <w:tcPr>
            <w:tcW w:w="1803" w:type="dxa"/>
            <w:tcBorders>
              <w:top w:val="nil"/>
              <w:left w:val="nil"/>
              <w:bottom w:val="nil"/>
              <w:right w:val="single" w:sz="4" w:space="0" w:color="auto"/>
            </w:tcBorders>
            <w:shd w:val="clear" w:color="auto" w:fill="auto"/>
            <w:noWrap/>
            <w:vAlign w:val="bottom"/>
            <w:hideMark/>
          </w:tcPr>
          <w:p w:rsidR="000A6180" w:rsidRPr="000A6180" w:rsidRDefault="000A6180" w:rsidP="000A6180">
            <w:pPr>
              <w:spacing w:after="0" w:line="240" w:lineRule="auto"/>
              <w:jc w:val="left"/>
              <w:rPr>
                <w:rFonts w:ascii="Calibri" w:eastAsia="Times New Roman" w:hAnsi="Calibri" w:cs="Times New Roman"/>
                <w:color w:val="000000"/>
                <w:lang w:bidi="ar-SA"/>
              </w:rPr>
            </w:pPr>
            <w:r w:rsidRPr="000A6180">
              <w:rPr>
                <w:rFonts w:ascii="Calibri" w:eastAsia="Times New Roman" w:hAnsi="Calibri" w:cs="Times New Roman"/>
                <w:color w:val="000000"/>
                <w:lang w:bidi="ar-SA"/>
              </w:rPr>
              <w:t xml:space="preserve">      880.56 </w:t>
            </w:r>
          </w:p>
        </w:tc>
      </w:tr>
      <w:tr w:rsidR="000A6180" w:rsidRPr="000A6180" w:rsidTr="000A6180">
        <w:trPr>
          <w:trHeight w:val="300"/>
        </w:trPr>
        <w:tc>
          <w:tcPr>
            <w:tcW w:w="3510" w:type="dxa"/>
            <w:tcBorders>
              <w:top w:val="nil"/>
              <w:left w:val="single" w:sz="4" w:space="0" w:color="auto"/>
              <w:bottom w:val="nil"/>
              <w:right w:val="single" w:sz="4" w:space="0" w:color="auto"/>
            </w:tcBorders>
            <w:shd w:val="clear" w:color="auto" w:fill="auto"/>
            <w:noWrap/>
            <w:vAlign w:val="bottom"/>
            <w:hideMark/>
          </w:tcPr>
          <w:p w:rsidR="000A6180" w:rsidRPr="000A6180" w:rsidRDefault="000A6180" w:rsidP="000A6180">
            <w:pPr>
              <w:spacing w:after="0" w:line="240" w:lineRule="auto"/>
              <w:jc w:val="left"/>
              <w:rPr>
                <w:rFonts w:ascii="Calibri" w:eastAsia="Times New Roman" w:hAnsi="Calibri" w:cs="Times New Roman"/>
                <w:color w:val="000000"/>
                <w:lang w:bidi="ar-SA"/>
              </w:rPr>
            </w:pPr>
            <w:r w:rsidRPr="000A6180">
              <w:rPr>
                <w:rFonts w:ascii="Calibri" w:eastAsia="Times New Roman" w:hAnsi="Calibri" w:cs="Times New Roman"/>
                <w:color w:val="000000"/>
                <w:lang w:bidi="ar-SA"/>
              </w:rPr>
              <w:t>Increase in Costs</w:t>
            </w:r>
          </w:p>
        </w:tc>
        <w:tc>
          <w:tcPr>
            <w:tcW w:w="1077" w:type="dxa"/>
            <w:tcBorders>
              <w:top w:val="nil"/>
              <w:left w:val="nil"/>
              <w:bottom w:val="nil"/>
              <w:right w:val="nil"/>
            </w:tcBorders>
            <w:shd w:val="clear" w:color="auto" w:fill="auto"/>
            <w:noWrap/>
            <w:vAlign w:val="bottom"/>
            <w:hideMark/>
          </w:tcPr>
          <w:p w:rsidR="000A6180" w:rsidRPr="000A6180" w:rsidRDefault="000A6180" w:rsidP="000A6180">
            <w:pPr>
              <w:spacing w:after="0" w:line="240" w:lineRule="auto"/>
              <w:jc w:val="right"/>
              <w:rPr>
                <w:rFonts w:ascii="Calibri" w:eastAsia="Times New Roman" w:hAnsi="Calibri" w:cs="Times New Roman"/>
                <w:color w:val="000000"/>
                <w:lang w:bidi="ar-SA"/>
              </w:rPr>
            </w:pPr>
            <w:r w:rsidRPr="000A6180">
              <w:rPr>
                <w:rFonts w:ascii="Calibri" w:eastAsia="Times New Roman" w:hAnsi="Calibri" w:cs="Times New Roman"/>
                <w:color w:val="000000"/>
                <w:lang w:bidi="ar-SA"/>
              </w:rPr>
              <w:t>0.35</w:t>
            </w:r>
          </w:p>
        </w:tc>
        <w:tc>
          <w:tcPr>
            <w:tcW w:w="1803" w:type="dxa"/>
            <w:tcBorders>
              <w:top w:val="nil"/>
              <w:left w:val="nil"/>
              <w:bottom w:val="nil"/>
              <w:right w:val="single" w:sz="4" w:space="0" w:color="auto"/>
            </w:tcBorders>
            <w:shd w:val="clear" w:color="auto" w:fill="auto"/>
            <w:noWrap/>
            <w:vAlign w:val="bottom"/>
            <w:hideMark/>
          </w:tcPr>
          <w:p w:rsidR="000A6180" w:rsidRPr="000A6180" w:rsidRDefault="000A6180" w:rsidP="000A6180">
            <w:pPr>
              <w:spacing w:after="0" w:line="240" w:lineRule="auto"/>
              <w:jc w:val="left"/>
              <w:rPr>
                <w:rFonts w:ascii="Calibri" w:eastAsia="Times New Roman" w:hAnsi="Calibri" w:cs="Times New Roman"/>
                <w:color w:val="000000"/>
                <w:lang w:bidi="ar-SA"/>
              </w:rPr>
            </w:pPr>
            <w:r w:rsidRPr="000A6180">
              <w:rPr>
                <w:rFonts w:ascii="Calibri" w:eastAsia="Times New Roman" w:hAnsi="Calibri" w:cs="Times New Roman"/>
                <w:color w:val="000000"/>
                <w:lang w:bidi="ar-SA"/>
              </w:rPr>
              <w:t xml:space="preserve">      785.35 </w:t>
            </w:r>
          </w:p>
        </w:tc>
      </w:tr>
      <w:tr w:rsidR="000A6180" w:rsidRPr="000A6180" w:rsidTr="000A6180">
        <w:trPr>
          <w:trHeight w:val="300"/>
        </w:trPr>
        <w:tc>
          <w:tcPr>
            <w:tcW w:w="3510" w:type="dxa"/>
            <w:tcBorders>
              <w:top w:val="nil"/>
              <w:left w:val="single" w:sz="4" w:space="0" w:color="auto"/>
              <w:bottom w:val="single" w:sz="4" w:space="0" w:color="auto"/>
              <w:right w:val="single" w:sz="4" w:space="0" w:color="auto"/>
            </w:tcBorders>
            <w:shd w:val="clear" w:color="auto" w:fill="auto"/>
            <w:noWrap/>
            <w:vAlign w:val="bottom"/>
            <w:hideMark/>
          </w:tcPr>
          <w:p w:rsidR="000A6180" w:rsidRPr="000A6180" w:rsidRDefault="000A6180" w:rsidP="000A6180">
            <w:pPr>
              <w:spacing w:after="0" w:line="240" w:lineRule="auto"/>
              <w:jc w:val="left"/>
              <w:rPr>
                <w:rFonts w:ascii="Calibri" w:eastAsia="Times New Roman" w:hAnsi="Calibri" w:cs="Times New Roman"/>
                <w:color w:val="000000"/>
                <w:lang w:bidi="ar-SA"/>
              </w:rPr>
            </w:pPr>
            <w:r w:rsidRPr="000A6180">
              <w:rPr>
                <w:rFonts w:ascii="Calibri" w:eastAsia="Times New Roman" w:hAnsi="Calibri" w:cs="Times New Roman"/>
                <w:color w:val="000000"/>
                <w:lang w:bidi="ar-SA"/>
              </w:rPr>
              <w:t>Decrease in Benefits + Increase in Costs</w:t>
            </w:r>
          </w:p>
        </w:tc>
        <w:tc>
          <w:tcPr>
            <w:tcW w:w="1077" w:type="dxa"/>
            <w:tcBorders>
              <w:top w:val="nil"/>
              <w:left w:val="nil"/>
              <w:bottom w:val="single" w:sz="4" w:space="0" w:color="auto"/>
              <w:right w:val="nil"/>
            </w:tcBorders>
            <w:shd w:val="clear" w:color="auto" w:fill="auto"/>
            <w:noWrap/>
            <w:vAlign w:val="bottom"/>
            <w:hideMark/>
          </w:tcPr>
          <w:p w:rsidR="000A6180" w:rsidRPr="000A6180" w:rsidRDefault="000A6180" w:rsidP="000A6180">
            <w:pPr>
              <w:spacing w:after="0" w:line="240" w:lineRule="auto"/>
              <w:jc w:val="right"/>
              <w:rPr>
                <w:rFonts w:ascii="Calibri" w:eastAsia="Times New Roman" w:hAnsi="Calibri" w:cs="Times New Roman"/>
                <w:color w:val="000000"/>
                <w:lang w:bidi="ar-SA"/>
              </w:rPr>
            </w:pPr>
            <w:r w:rsidRPr="000A6180">
              <w:rPr>
                <w:rFonts w:ascii="Calibri" w:eastAsia="Times New Roman" w:hAnsi="Calibri" w:cs="Times New Roman"/>
                <w:color w:val="000000"/>
                <w:lang w:bidi="ar-SA"/>
              </w:rPr>
              <w:t>0.2</w:t>
            </w:r>
          </w:p>
        </w:tc>
        <w:tc>
          <w:tcPr>
            <w:tcW w:w="1803" w:type="dxa"/>
            <w:tcBorders>
              <w:top w:val="nil"/>
              <w:left w:val="nil"/>
              <w:bottom w:val="single" w:sz="4" w:space="0" w:color="auto"/>
              <w:right w:val="single" w:sz="4" w:space="0" w:color="auto"/>
            </w:tcBorders>
            <w:shd w:val="clear" w:color="auto" w:fill="auto"/>
            <w:noWrap/>
            <w:vAlign w:val="bottom"/>
            <w:hideMark/>
          </w:tcPr>
          <w:p w:rsidR="000A6180" w:rsidRPr="000A6180" w:rsidRDefault="000A6180" w:rsidP="000A6180">
            <w:pPr>
              <w:spacing w:after="0" w:line="240" w:lineRule="auto"/>
              <w:jc w:val="left"/>
              <w:rPr>
                <w:rFonts w:ascii="Calibri" w:eastAsia="Times New Roman" w:hAnsi="Calibri" w:cs="Times New Roman"/>
                <w:color w:val="000000"/>
                <w:lang w:bidi="ar-SA"/>
              </w:rPr>
            </w:pPr>
            <w:r w:rsidRPr="000A6180">
              <w:rPr>
                <w:rFonts w:ascii="Calibri" w:eastAsia="Times New Roman" w:hAnsi="Calibri" w:cs="Times New Roman"/>
                <w:color w:val="000000"/>
                <w:lang w:bidi="ar-SA"/>
              </w:rPr>
              <w:t xml:space="preserve">      552.11 </w:t>
            </w:r>
          </w:p>
        </w:tc>
      </w:tr>
    </w:tbl>
    <w:p w:rsidR="000A6180" w:rsidRDefault="000A6180" w:rsidP="00E5502C">
      <w:pPr>
        <w:spacing w:before="120" w:after="120" w:line="240" w:lineRule="auto"/>
        <w:ind w:left="630"/>
      </w:pPr>
    </w:p>
    <w:p w:rsidR="000A6180" w:rsidRDefault="000A6180" w:rsidP="00E5502C">
      <w:pPr>
        <w:spacing w:before="120" w:after="120" w:line="240" w:lineRule="auto"/>
        <w:ind w:left="630"/>
      </w:pPr>
      <w:r>
        <w:t xml:space="preserve">In addition, an additional scenario, in which the amount of IDB financing was included into the NPV calculations, shows that the NPV of the IDB financing </w:t>
      </w:r>
      <w:r w:rsidR="00EB0FE2">
        <w:t>amounts</w:t>
      </w:r>
      <w:r>
        <w:t xml:space="preserve"> to  US $ 899  Million</w:t>
      </w:r>
    </w:p>
    <w:p w:rsidR="00D110F3" w:rsidRDefault="00D110F3" w:rsidP="008278E0">
      <w:pPr>
        <w:spacing w:before="120" w:after="120" w:line="240" w:lineRule="auto"/>
        <w:ind w:left="990"/>
      </w:pPr>
      <w:r>
        <w:t xml:space="preserve"> </w:t>
      </w:r>
    </w:p>
    <w:p w:rsidR="00D110F3" w:rsidRDefault="00D110F3" w:rsidP="00D110F3">
      <w:pPr>
        <w:numPr>
          <w:ilvl w:val="1"/>
          <w:numId w:val="2"/>
        </w:numPr>
        <w:spacing w:before="120" w:after="120" w:line="240" w:lineRule="auto"/>
        <w:sectPr w:rsidR="00D110F3" w:rsidSect="00B93B72">
          <w:pgSz w:w="12240" w:h="15840"/>
          <w:pgMar w:top="1440" w:right="1440" w:bottom="1440" w:left="1440" w:header="720" w:footer="720" w:gutter="0"/>
          <w:cols w:space="720"/>
          <w:docGrid w:linePitch="360"/>
        </w:sectPr>
      </w:pPr>
    </w:p>
    <w:p w:rsidR="00E5759C" w:rsidRDefault="000A6180">
      <w:r w:rsidRPr="000A6180">
        <w:lastRenderedPageBreak/>
        <w:t xml:space="preserve"> </w:t>
      </w:r>
      <w:r w:rsidRPr="000A6180">
        <w:rPr>
          <w:noProof/>
          <w:lang w:bidi="ar-SA"/>
        </w:rPr>
        <w:drawing>
          <wp:inline distT="0" distB="0" distL="0" distR="0" wp14:anchorId="2D2A287A" wp14:editId="455FA19E">
            <wp:extent cx="8229600" cy="1516058"/>
            <wp:effectExtent l="0" t="0" r="0"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229600" cy="1516058"/>
                    </a:xfrm>
                    <a:prstGeom prst="rect">
                      <a:avLst/>
                    </a:prstGeom>
                    <a:noFill/>
                    <a:ln>
                      <a:noFill/>
                    </a:ln>
                  </pic:spPr>
                </pic:pic>
              </a:graphicData>
            </a:graphic>
          </wp:inline>
        </w:drawing>
      </w:r>
    </w:p>
    <w:p w:rsidR="000A6180" w:rsidRDefault="000A6180" w:rsidP="006609B5">
      <w:pPr>
        <w:rPr>
          <w:b/>
        </w:rPr>
        <w:sectPr w:rsidR="000A6180" w:rsidSect="000A6180">
          <w:pgSz w:w="15840" w:h="12240" w:orient="landscape"/>
          <w:pgMar w:top="1440" w:right="1440" w:bottom="1440" w:left="1440" w:header="720" w:footer="720" w:gutter="0"/>
          <w:cols w:space="720"/>
          <w:docGrid w:linePitch="360"/>
        </w:sectPr>
      </w:pPr>
    </w:p>
    <w:p w:rsidR="00E5759C" w:rsidRPr="001E2146" w:rsidRDefault="00F42DF1" w:rsidP="006609B5">
      <w:pPr>
        <w:rPr>
          <w:b/>
        </w:rPr>
      </w:pPr>
      <w:r w:rsidRPr="001E2146">
        <w:rPr>
          <w:b/>
        </w:rPr>
        <w:lastRenderedPageBreak/>
        <w:t>REFERENCES</w:t>
      </w:r>
    </w:p>
    <w:p w:rsidR="00F42DF1" w:rsidRDefault="00F42DF1" w:rsidP="006609B5"/>
    <w:p w:rsidR="00352F08" w:rsidRPr="00EB0FE2" w:rsidRDefault="00352F08" w:rsidP="00352F08">
      <w:pPr>
        <w:autoSpaceDE w:val="0"/>
        <w:autoSpaceDN w:val="0"/>
        <w:adjustRightInd w:val="0"/>
        <w:spacing w:after="0" w:line="240" w:lineRule="auto"/>
        <w:jc w:val="left"/>
        <w:rPr>
          <w:rFonts w:cs="Times New Roman"/>
          <w:lang w:val="fr-FR" w:bidi="ar-SA"/>
        </w:rPr>
      </w:pPr>
      <w:r w:rsidRPr="00352F08">
        <w:rPr>
          <w:rFonts w:cs="Times New Roman"/>
        </w:rPr>
        <w:t>Auerbach. Alan. 1996.  Measuring the Impact of Tax Reform.</w:t>
      </w:r>
      <w:r w:rsidRPr="00352F08">
        <w:rPr>
          <w:rFonts w:cs="Times New Roman"/>
          <w:lang w:bidi="ar-SA"/>
        </w:rPr>
        <w:t xml:space="preserve"> </w:t>
      </w:r>
      <w:r w:rsidRPr="00EB0FE2">
        <w:rPr>
          <w:rFonts w:cs="Times New Roman"/>
          <w:lang w:val="fr-FR" w:bidi="ar-SA"/>
        </w:rPr>
        <w:t xml:space="preserve">National Tax Journal. </w:t>
      </w:r>
    </w:p>
    <w:p w:rsidR="000A21D7" w:rsidRDefault="000A21D7" w:rsidP="00352F08">
      <w:pPr>
        <w:autoSpaceDE w:val="0"/>
        <w:autoSpaceDN w:val="0"/>
        <w:adjustRightInd w:val="0"/>
        <w:spacing w:after="0" w:line="240" w:lineRule="auto"/>
        <w:jc w:val="left"/>
        <w:rPr>
          <w:rFonts w:cs="Times New Roman"/>
          <w:lang w:bidi="ar-SA"/>
        </w:rPr>
      </w:pPr>
      <w:r w:rsidRPr="00EB0FE2">
        <w:rPr>
          <w:rFonts w:cs="Times New Roman"/>
          <w:lang w:val="fr-FR" w:bidi="ar-SA"/>
        </w:rPr>
        <w:t xml:space="preserve">Brent, Robert. </w:t>
      </w:r>
      <w:r>
        <w:rPr>
          <w:rFonts w:cs="Times New Roman"/>
          <w:lang w:bidi="ar-SA"/>
        </w:rPr>
        <w:t>2006. Applied Cost Benefit Analysis</w:t>
      </w:r>
      <w:r w:rsidR="003C55D3">
        <w:rPr>
          <w:rFonts w:cs="Times New Roman"/>
          <w:lang w:bidi="ar-SA"/>
        </w:rPr>
        <w:t>.</w:t>
      </w:r>
    </w:p>
    <w:p w:rsidR="006A1C48" w:rsidRDefault="006A1C48" w:rsidP="00352F08">
      <w:pPr>
        <w:autoSpaceDE w:val="0"/>
        <w:autoSpaceDN w:val="0"/>
        <w:adjustRightInd w:val="0"/>
        <w:spacing w:after="0" w:line="240" w:lineRule="auto"/>
        <w:jc w:val="left"/>
        <w:rPr>
          <w:rFonts w:cs="Times New Roman"/>
          <w:lang w:bidi="ar-SA"/>
        </w:rPr>
      </w:pPr>
      <w:r>
        <w:t>Boullion. C, Tejerina, L. (2007) Do we know what works? A systemic Evaluation of Social Programs in Latina America and the Caribbean. Chapter 5: Economic Opportunities for the Poor: Land Titling Program. InterAmerican Development Bank.</w:t>
      </w:r>
    </w:p>
    <w:p w:rsidR="003C55D3" w:rsidRDefault="003C55D3" w:rsidP="00352F08">
      <w:pPr>
        <w:autoSpaceDE w:val="0"/>
        <w:autoSpaceDN w:val="0"/>
        <w:adjustRightInd w:val="0"/>
        <w:spacing w:after="0" w:line="240" w:lineRule="auto"/>
        <w:jc w:val="left"/>
        <w:rPr>
          <w:rFonts w:cs="Times New Roman"/>
          <w:lang w:bidi="ar-SA"/>
        </w:rPr>
      </w:pPr>
      <w:r w:rsidRPr="007B68CD">
        <w:t xml:space="preserve">Domehers, D. Abdulaui. R. 2010.  </w:t>
      </w:r>
      <w:r w:rsidRPr="007B68CD">
        <w:rPr>
          <w:bCs/>
        </w:rPr>
        <w:t xml:space="preserve">Land Registration and Access to Small Enterprise Credit: Preliminary Findings. </w:t>
      </w:r>
      <w:r w:rsidRPr="007B68CD">
        <w:rPr>
          <w:iCs/>
        </w:rPr>
        <w:t>Liverpool John Moores University</w:t>
      </w:r>
    </w:p>
    <w:p w:rsidR="00945CBE" w:rsidRPr="00352F08" w:rsidRDefault="00945CBE" w:rsidP="00352F08">
      <w:pPr>
        <w:autoSpaceDE w:val="0"/>
        <w:autoSpaceDN w:val="0"/>
        <w:adjustRightInd w:val="0"/>
        <w:spacing w:after="0" w:line="240" w:lineRule="auto"/>
        <w:jc w:val="left"/>
        <w:rPr>
          <w:rFonts w:cs="Times New Roman"/>
          <w:lang w:bidi="ar-SA"/>
        </w:rPr>
      </w:pPr>
      <w:r>
        <w:t>Feder. G. Nishio. A. 1998. The Benefits of Land Registration and Titling: Economics and Social Property. Land Use Policy</w:t>
      </w:r>
    </w:p>
    <w:p w:rsidR="00B852B0" w:rsidRPr="00784629" w:rsidRDefault="00B852B0" w:rsidP="00F42DF1">
      <w:pPr>
        <w:pStyle w:val="EndnoteText"/>
        <w:rPr>
          <w:rFonts w:cs="Times New Roman"/>
        </w:rPr>
      </w:pPr>
      <w:r>
        <w:rPr>
          <w:rFonts w:cs="Times New Roman"/>
        </w:rPr>
        <w:t xml:space="preserve">CGAP. 2009. </w:t>
      </w:r>
      <w:r w:rsidRPr="00784629">
        <w:rPr>
          <w:rFonts w:cs="Times New Roman"/>
        </w:rPr>
        <w:t>Measuring Financial Acc</w:t>
      </w:r>
      <w:r w:rsidRPr="00F42DF1">
        <w:rPr>
          <w:rFonts w:cs="Times New Roman"/>
        </w:rPr>
        <w:t>ess Around the World. CGAP.</w:t>
      </w:r>
    </w:p>
    <w:p w:rsidR="00B852B0" w:rsidRPr="00784629" w:rsidRDefault="00B852B0" w:rsidP="00F42DF1">
      <w:pPr>
        <w:pStyle w:val="EndnoteText"/>
        <w:rPr>
          <w:rFonts w:cs="Times New Roman"/>
        </w:rPr>
      </w:pPr>
      <w:r>
        <w:rPr>
          <w:rFonts w:cs="Times New Roman"/>
        </w:rPr>
        <w:t xml:space="preserve">Gencer, Menekse. 2010. </w:t>
      </w:r>
      <w:r w:rsidRPr="00784629">
        <w:rPr>
          <w:rFonts w:cs="Times New Roman"/>
        </w:rPr>
        <w:t>The Mobile Money Movement, Catalyst to Jumpstart Emerging Markets..  2010.</w:t>
      </w:r>
    </w:p>
    <w:p w:rsidR="00B852B0" w:rsidRPr="00784629" w:rsidRDefault="00B852B0" w:rsidP="00F42DF1">
      <w:pPr>
        <w:pStyle w:val="EndnoteText"/>
        <w:rPr>
          <w:rFonts w:cs="Times New Roman"/>
        </w:rPr>
      </w:pPr>
      <w:r>
        <w:rPr>
          <w:rFonts w:cs="Times New Roman"/>
        </w:rPr>
        <w:t xml:space="preserve">Government of Jamaica. </w:t>
      </w:r>
      <w:r w:rsidRPr="00784629">
        <w:rPr>
          <w:rFonts w:cs="Times New Roman"/>
        </w:rPr>
        <w:t>Jamaica Country Strategy for the Adaptation of the Sugar Industry. Ministry of Agriculture 2009.</w:t>
      </w:r>
    </w:p>
    <w:p w:rsidR="00B852B0" w:rsidRPr="00784629" w:rsidRDefault="00B852B0" w:rsidP="00F42DF1">
      <w:pPr>
        <w:pStyle w:val="EndnoteText"/>
        <w:rPr>
          <w:rFonts w:cs="Times New Roman"/>
        </w:rPr>
      </w:pPr>
      <w:r>
        <w:rPr>
          <w:rFonts w:cs="Times New Roman"/>
        </w:rPr>
        <w:t xml:space="preserve">Guash, J. Luis and H. Hanh, Robert. 1997. </w:t>
      </w:r>
      <w:r w:rsidRPr="00784629">
        <w:rPr>
          <w:rFonts w:cs="Times New Roman"/>
        </w:rPr>
        <w:t>The Costs and Benefits of Regulations: Implications for Developing Countries.. Wo</w:t>
      </w:r>
      <w:r w:rsidRPr="00F42DF1">
        <w:rPr>
          <w:rFonts w:cs="Times New Roman"/>
        </w:rPr>
        <w:t xml:space="preserve">rld Bank Development Report </w:t>
      </w:r>
      <w:r w:rsidRPr="00784629">
        <w:rPr>
          <w:rFonts w:cs="Times New Roman"/>
        </w:rPr>
        <w:t>.</w:t>
      </w:r>
    </w:p>
    <w:p w:rsidR="00B852B0" w:rsidRPr="00784629" w:rsidRDefault="00B852B0" w:rsidP="00F42DF1">
      <w:pPr>
        <w:autoSpaceDE w:val="0"/>
        <w:autoSpaceDN w:val="0"/>
        <w:adjustRightInd w:val="0"/>
        <w:spacing w:after="0" w:line="240" w:lineRule="auto"/>
        <w:rPr>
          <w:rFonts w:eastAsia="Times New Roman" w:cs="Times New Roman"/>
        </w:rPr>
      </w:pPr>
      <w:r w:rsidRPr="00784629">
        <w:rPr>
          <w:rFonts w:eastAsia="Times New Roman" w:cs="Times New Roman"/>
        </w:rPr>
        <w:t>Holden, Paul, Welsh Allen (2008) Policies and Options for Secured Transactions</w:t>
      </w:r>
    </w:p>
    <w:p w:rsidR="00B852B0" w:rsidRDefault="00B852B0" w:rsidP="00F42DF1">
      <w:pPr>
        <w:autoSpaceDE w:val="0"/>
        <w:autoSpaceDN w:val="0"/>
        <w:adjustRightInd w:val="0"/>
        <w:spacing w:after="0" w:line="240" w:lineRule="auto"/>
      </w:pPr>
      <w:r w:rsidRPr="00784629">
        <w:rPr>
          <w:rFonts w:eastAsia="Times New Roman" w:cs="Times New Roman"/>
        </w:rPr>
        <w:t>Holden, Paul.2008. Cell Phone Banking in South Africa. Financial Services for the Poor</w:t>
      </w:r>
      <w:r>
        <w:t>.</w:t>
      </w:r>
    </w:p>
    <w:p w:rsidR="00E4323B" w:rsidRPr="006609B5" w:rsidRDefault="00E4323B" w:rsidP="00F42DF1">
      <w:pPr>
        <w:autoSpaceDE w:val="0"/>
        <w:autoSpaceDN w:val="0"/>
        <w:adjustRightInd w:val="0"/>
        <w:spacing w:after="0" w:line="240" w:lineRule="auto"/>
        <w:rPr>
          <w:rFonts w:ascii="Times New Roman" w:eastAsia="Times New Roman" w:hAnsi="Times New Roman" w:cs="Times New Roman"/>
        </w:rPr>
      </w:pPr>
      <w:r>
        <w:t>Jones. L, Tandon, P and Vogelsang, I. 1990. Selling Public Enterprises. A Cost/Benefit Methodology. MIT Press. London, England.</w:t>
      </w:r>
    </w:p>
    <w:p w:rsidR="00B852B0" w:rsidRPr="00784629" w:rsidRDefault="00B852B0" w:rsidP="00F42DF1">
      <w:pPr>
        <w:pStyle w:val="EndnoteText"/>
        <w:rPr>
          <w:rFonts w:cs="Times New Roman"/>
        </w:rPr>
      </w:pPr>
      <w:r w:rsidRPr="00784629">
        <w:rPr>
          <w:rFonts w:cs="Times New Roman"/>
        </w:rPr>
        <w:t>INCTAD. 2010. Information and Economy Report</w:t>
      </w:r>
    </w:p>
    <w:p w:rsidR="00B852B0" w:rsidRPr="00784629" w:rsidRDefault="00B852B0" w:rsidP="00F42DF1">
      <w:pPr>
        <w:autoSpaceDE w:val="0"/>
        <w:autoSpaceDN w:val="0"/>
        <w:adjustRightInd w:val="0"/>
        <w:spacing w:after="0" w:line="240" w:lineRule="auto"/>
        <w:rPr>
          <w:rFonts w:eastAsia="Times New Roman" w:cs="Times New Roman"/>
        </w:rPr>
      </w:pPr>
      <w:r w:rsidRPr="00784629">
        <w:rPr>
          <w:rFonts w:eastAsia="Times New Roman" w:cs="Times New Roman"/>
        </w:rPr>
        <w:t>International Telecommunications Union (ITU), “Speech by ITU Secretary General”, April 6, 2010 and Indian Council for Research on International Economic Relations (ICRIER).</w:t>
      </w:r>
    </w:p>
    <w:p w:rsidR="00CB645B" w:rsidRDefault="00B852B0" w:rsidP="00F42DF1">
      <w:pPr>
        <w:pStyle w:val="EndnoteText"/>
        <w:rPr>
          <w:rFonts w:cs="Times New Roman"/>
        </w:rPr>
      </w:pPr>
      <w:r w:rsidRPr="00784629">
        <w:rPr>
          <w:rFonts w:cs="Times New Roman"/>
        </w:rPr>
        <w:t xml:space="preserve"> Investment Climate and Empowerment Growth: The impact of access to Finance, Corruption and Regulation Across Firms</w:t>
      </w:r>
      <w:r w:rsidR="00EB0FE2" w:rsidRPr="00784629">
        <w:rPr>
          <w:rFonts w:cs="Times New Roman"/>
        </w:rPr>
        <w:t>.</w:t>
      </w:r>
      <w:r w:rsidR="007A05EC">
        <w:rPr>
          <w:rFonts w:cs="Times New Roman"/>
        </w:rPr>
        <w:t xml:space="preserve"> World Bank – IDB. 2008.</w:t>
      </w:r>
    </w:p>
    <w:p w:rsidR="009F4E67" w:rsidRDefault="009F4E67" w:rsidP="009F4E67">
      <w:pPr>
        <w:pStyle w:val="FootnoteText"/>
      </w:pPr>
      <w:r>
        <w:t>McKensie, D and Seynchou S. 2010. Does it pay for Firms to Register Taxes? Journal of Development Economics.</w:t>
      </w:r>
    </w:p>
    <w:p w:rsidR="007A05EC" w:rsidRDefault="007A05EC" w:rsidP="00F42DF1">
      <w:pPr>
        <w:pStyle w:val="EndnoteText"/>
        <w:rPr>
          <w:rFonts w:cs="Times New Roman"/>
        </w:rPr>
      </w:pPr>
      <w:r>
        <w:t>Mirrlees, James et. Al. The Mirrlees Review: A Proposal for Systemic Tax Reform. National Tax Journal</w:t>
      </w:r>
    </w:p>
    <w:p w:rsidR="00CB645B" w:rsidRDefault="00B852B0" w:rsidP="00F42DF1">
      <w:pPr>
        <w:pStyle w:val="EndnoteText"/>
        <w:rPr>
          <w:rFonts w:cs="Times New Roman"/>
        </w:rPr>
      </w:pPr>
      <w:r w:rsidRPr="00784629">
        <w:rPr>
          <w:rFonts w:cs="Times New Roman"/>
        </w:rPr>
        <w:t xml:space="preserve">Thorstin Beck, Demirigu-Kunt and Patrick Monohan. </w:t>
      </w:r>
      <w:r w:rsidR="00CB645B" w:rsidRPr="00784629">
        <w:rPr>
          <w:rFonts w:cs="Times New Roman"/>
        </w:rPr>
        <w:t xml:space="preserve">Access to Financial Services: Measurement, Impact, Policies </w:t>
      </w:r>
      <w:r w:rsidR="00CB645B">
        <w:rPr>
          <w:rFonts w:cs="Times New Roman"/>
        </w:rPr>
        <w:t>The World Bank, 2007.</w:t>
      </w:r>
    </w:p>
    <w:p w:rsidR="00B852B0" w:rsidRDefault="00B852B0" w:rsidP="00F42DF1">
      <w:pPr>
        <w:pStyle w:val="EndnoteText"/>
        <w:rPr>
          <w:rFonts w:eastAsia="Times New Roman" w:cs="Times New Roman"/>
        </w:rPr>
      </w:pPr>
      <w:r w:rsidRPr="00784629">
        <w:rPr>
          <w:rFonts w:cs="Times New Roman"/>
        </w:rPr>
        <w:t xml:space="preserve"> UNCTAD. 2010. Information and Economy Report, </w:t>
      </w:r>
      <w:r w:rsidRPr="00784629">
        <w:rPr>
          <w:rFonts w:eastAsia="Times New Roman" w:cs="Times New Roman"/>
        </w:rPr>
        <w:t>Moody’s Economy.com Study: “The Positive Economic Impact of Digital Currency,” 2008</w:t>
      </w:r>
      <w:r w:rsidR="00CB645B">
        <w:rPr>
          <w:rFonts w:eastAsia="Times New Roman" w:cs="Times New Roman"/>
        </w:rPr>
        <w:t>.</w:t>
      </w:r>
    </w:p>
    <w:p w:rsidR="00CB645B" w:rsidRPr="00784629" w:rsidRDefault="00CB645B" w:rsidP="00F42DF1">
      <w:pPr>
        <w:pStyle w:val="EndnoteText"/>
        <w:rPr>
          <w:rFonts w:cs="Times New Roman"/>
        </w:rPr>
      </w:pPr>
      <w:r>
        <w:rPr>
          <w:rFonts w:eastAsia="Times New Roman" w:cs="Times New Roman"/>
        </w:rPr>
        <w:t>OECD. 2008. Building and Institutional Framework for Regulatory Impact Analysis (RIA). Guidance on Policy Matters.</w:t>
      </w:r>
    </w:p>
    <w:p w:rsidR="00B852B0" w:rsidRPr="00784629" w:rsidRDefault="00B852B0" w:rsidP="00784629">
      <w:pPr>
        <w:pStyle w:val="EndnoteText"/>
        <w:rPr>
          <w:rFonts w:cs="Times New Roman"/>
        </w:rPr>
      </w:pPr>
      <w:r>
        <w:rPr>
          <w:rFonts w:cs="Times New Roman"/>
        </w:rPr>
        <w:t xml:space="preserve">Kumprick Alan and Toman, Michael. 1997. </w:t>
      </w:r>
      <w:r w:rsidRPr="00784629">
        <w:rPr>
          <w:rFonts w:cs="Times New Roman"/>
        </w:rPr>
        <w:t xml:space="preserve">Cost and Benefit Analysis and Regulatory Reform: An Assessment of the Science and the Art. Raymond J. Kopp. Alan J. Kumprick and Michael Toman. Resources for the Future. </w:t>
      </w:r>
    </w:p>
    <w:p w:rsidR="00B852B0" w:rsidRPr="00784629" w:rsidRDefault="00EB0FE2" w:rsidP="00F42DF1">
      <w:pPr>
        <w:autoSpaceDE w:val="0"/>
        <w:autoSpaceDN w:val="0"/>
        <w:adjustRightInd w:val="0"/>
        <w:spacing w:after="0" w:line="240" w:lineRule="auto"/>
        <w:rPr>
          <w:rFonts w:eastAsia="Times New Roman" w:cs="Times New Roman"/>
        </w:rPr>
      </w:pPr>
      <w:r>
        <w:rPr>
          <w:rFonts w:eastAsia="Times New Roman" w:cs="Times New Roman"/>
        </w:rPr>
        <w:t xml:space="preserve">Mitha, Aize. </w:t>
      </w:r>
      <w:r w:rsidR="00B852B0" w:rsidRPr="00784629">
        <w:rPr>
          <w:rFonts w:eastAsia="Times New Roman" w:cs="Times New Roman"/>
        </w:rPr>
        <w:t>2007. Financial Services through Mobile Devices; Issues and Options for Jamaica</w:t>
      </w:r>
    </w:p>
    <w:p w:rsidR="00B852B0" w:rsidRPr="00784629" w:rsidRDefault="00B852B0" w:rsidP="00F42DF1">
      <w:pPr>
        <w:pStyle w:val="EndnoteText"/>
        <w:rPr>
          <w:rFonts w:cs="Times New Roman"/>
        </w:rPr>
      </w:pPr>
      <w:r>
        <w:rPr>
          <w:rFonts w:cs="Times New Roman"/>
        </w:rPr>
        <w:t xml:space="preserve">Reyes Aterido, Halwar-Driemen Mary and Pages, Carmen. 2008. </w:t>
      </w:r>
      <w:r w:rsidRPr="00784629">
        <w:rPr>
          <w:rFonts w:cs="Times New Roman"/>
        </w:rPr>
        <w:t xml:space="preserve">Investment Climate and </w:t>
      </w:r>
      <w:r w:rsidR="00EB0FE2" w:rsidRPr="00784629">
        <w:rPr>
          <w:rFonts w:cs="Times New Roman"/>
        </w:rPr>
        <w:t>Empowerment</w:t>
      </w:r>
      <w:r w:rsidRPr="00784629">
        <w:rPr>
          <w:rFonts w:cs="Times New Roman"/>
        </w:rPr>
        <w:t xml:space="preserve"> Growth: The impact of access to Finance, Corruption and Regulation Across Firms.  World Bank – IDB. </w:t>
      </w:r>
    </w:p>
    <w:p w:rsidR="00B852B0" w:rsidRDefault="00B852B0" w:rsidP="00F42DF1">
      <w:pPr>
        <w:pStyle w:val="EndnoteText"/>
        <w:rPr>
          <w:rFonts w:cs="Times New Roman"/>
        </w:rPr>
      </w:pPr>
      <w:r>
        <w:rPr>
          <w:rFonts w:cs="Times New Roman"/>
        </w:rPr>
        <w:t>Reyes Aterido, Halwar-Driemen Mary and Pages, Carmen. 2008.</w:t>
      </w:r>
      <w:r w:rsidRPr="00784629">
        <w:rPr>
          <w:rFonts w:cs="Times New Roman"/>
        </w:rPr>
        <w:t>Finance for all? Policies and Pitfalls in Expand</w:t>
      </w:r>
      <w:r w:rsidRPr="00F42DF1">
        <w:rPr>
          <w:rFonts w:cs="Times New Roman"/>
        </w:rPr>
        <w:t>ing Access. The World Bank</w:t>
      </w:r>
    </w:p>
    <w:p w:rsidR="00B852B0" w:rsidRPr="00784629" w:rsidRDefault="00B852B0" w:rsidP="00F42DF1">
      <w:pPr>
        <w:autoSpaceDE w:val="0"/>
        <w:autoSpaceDN w:val="0"/>
        <w:adjustRightInd w:val="0"/>
        <w:spacing w:after="0" w:line="240" w:lineRule="auto"/>
        <w:rPr>
          <w:rFonts w:eastAsia="Times New Roman" w:cs="Times New Roman"/>
        </w:rPr>
      </w:pPr>
      <w:r w:rsidRPr="00784629">
        <w:rPr>
          <w:rFonts w:eastAsia="Times New Roman" w:cs="Times New Roman"/>
        </w:rPr>
        <w:t>Welsh., Allen (</w:t>
      </w:r>
      <w:r>
        <w:rPr>
          <w:rFonts w:eastAsia="Times New Roman" w:cs="Times New Roman"/>
        </w:rPr>
        <w:t>2009</w:t>
      </w:r>
      <w:r w:rsidRPr="00784629">
        <w:rPr>
          <w:rFonts w:eastAsia="Times New Roman" w:cs="Times New Roman"/>
        </w:rPr>
        <w:t>) Implementation of Regulatory Reform in Secured Transactions: Action Plan</w:t>
      </w:r>
    </w:p>
    <w:p w:rsidR="00B852B0" w:rsidRDefault="00B852B0" w:rsidP="00F42DF1">
      <w:pPr>
        <w:autoSpaceDE w:val="0"/>
        <w:autoSpaceDN w:val="0"/>
        <w:adjustRightInd w:val="0"/>
        <w:spacing w:after="0" w:line="240" w:lineRule="auto"/>
        <w:rPr>
          <w:rFonts w:eastAsia="Times New Roman" w:cs="Times New Roman"/>
        </w:rPr>
      </w:pPr>
      <w:r w:rsidRPr="00784629">
        <w:rPr>
          <w:rFonts w:eastAsia="Times New Roman" w:cs="Times New Roman"/>
        </w:rPr>
        <w:t>World Bank Development Report (2012)</w:t>
      </w:r>
    </w:p>
    <w:p w:rsidR="001E2146" w:rsidRPr="00784629" w:rsidRDefault="001E2146" w:rsidP="00F42DF1">
      <w:pPr>
        <w:autoSpaceDE w:val="0"/>
        <w:autoSpaceDN w:val="0"/>
        <w:adjustRightInd w:val="0"/>
        <w:spacing w:after="0" w:line="240" w:lineRule="auto"/>
        <w:rPr>
          <w:rFonts w:eastAsia="Times New Roman" w:cs="Times New Roman"/>
        </w:rPr>
      </w:pPr>
    </w:p>
    <w:p w:rsidR="00F42DF1" w:rsidRDefault="00F42DF1" w:rsidP="006609B5"/>
    <w:sectPr w:rsidR="00F42DF1" w:rsidSect="000A618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1C4" w:rsidRDefault="00F211C4" w:rsidP="006F4929">
      <w:pPr>
        <w:spacing w:after="0" w:line="240" w:lineRule="auto"/>
      </w:pPr>
      <w:r>
        <w:separator/>
      </w:r>
    </w:p>
  </w:endnote>
  <w:endnote w:type="continuationSeparator" w:id="0">
    <w:p w:rsidR="00F211C4" w:rsidRDefault="00F211C4" w:rsidP="006F4929">
      <w:pPr>
        <w:spacing w:after="0" w:line="240" w:lineRule="auto"/>
      </w:pPr>
      <w:r>
        <w:continuationSeparator/>
      </w:r>
    </w:p>
  </w:endnote>
  <w:endnote w:id="1">
    <w:p w:rsidR="00E831D7" w:rsidRPr="006609B5" w:rsidRDefault="00E831D7" w:rsidP="008C60BB">
      <w:pPr>
        <w:pStyle w:val="EndnoteText"/>
        <w:rPr>
          <w:rFonts w:ascii="Times New Roman" w:hAnsi="Times New Roman" w:cs="Times New Roman"/>
        </w:rPr>
      </w:pPr>
      <w:r>
        <w:rPr>
          <w:rStyle w:val="EndnoteReference"/>
        </w:rPr>
        <w:endnoteRef/>
      </w:r>
      <w:r>
        <w:t xml:space="preserve"> </w:t>
      </w:r>
      <w:r w:rsidRPr="006609B5">
        <w:rPr>
          <w:rFonts w:ascii="Times New Roman" w:hAnsi="Times New Roman" w:cs="Times New Roman"/>
        </w:rPr>
        <w:t>Cost and Benefit Analysis and Regulatory Reform: An Assessment of the Science and the Art. Raymond J. Kopp. Alan J. Kumprick and Michael Toman. Resources for the Future. 1997</w:t>
      </w:r>
    </w:p>
  </w:endnote>
  <w:endnote w:id="2">
    <w:p w:rsidR="00E831D7" w:rsidRPr="006609B5" w:rsidRDefault="00E831D7" w:rsidP="00BB01C9">
      <w:pPr>
        <w:pStyle w:val="Heading1"/>
        <w:shd w:val="clear" w:color="auto" w:fill="FAFAFA"/>
        <w:spacing w:before="0" w:after="0"/>
        <w:rPr>
          <w:rFonts w:ascii="Times New Roman" w:hAnsi="Times New Roman" w:cs="Times New Roman"/>
          <w:sz w:val="20"/>
          <w:szCs w:val="20"/>
        </w:rPr>
      </w:pPr>
      <w:r w:rsidRPr="006609B5">
        <w:rPr>
          <w:rStyle w:val="EndnoteReference"/>
          <w:rFonts w:ascii="Times New Roman" w:hAnsi="Times New Roman" w:cs="Times New Roman"/>
          <w:sz w:val="20"/>
          <w:szCs w:val="20"/>
        </w:rPr>
        <w:endnoteRef/>
      </w:r>
      <w:r w:rsidRPr="006609B5">
        <w:rPr>
          <w:rFonts w:ascii="Times New Roman" w:hAnsi="Times New Roman" w:cs="Times New Roman"/>
          <w:sz w:val="20"/>
          <w:szCs w:val="20"/>
        </w:rPr>
        <w:t xml:space="preserve"> </w:t>
      </w:r>
      <w:r w:rsidRPr="006609B5">
        <w:rPr>
          <w:rFonts w:ascii="Times New Roman" w:hAnsi="Times New Roman" w:cs="Times New Roman"/>
          <w:smallCaps w:val="0"/>
          <w:sz w:val="20"/>
          <w:szCs w:val="20"/>
        </w:rPr>
        <w:t xml:space="preserve">Economic Analysis of Federal Regulations under Executive Order  </w:t>
      </w:r>
    </w:p>
  </w:endnote>
  <w:endnote w:id="3">
    <w:p w:rsidR="00E831D7" w:rsidRPr="006609B5" w:rsidRDefault="00E831D7">
      <w:pPr>
        <w:pStyle w:val="EndnoteText"/>
        <w:rPr>
          <w:rFonts w:ascii="Times New Roman" w:hAnsi="Times New Roman" w:cs="Times New Roman"/>
        </w:rPr>
      </w:pPr>
      <w:r w:rsidRPr="006609B5">
        <w:rPr>
          <w:rStyle w:val="EndnoteReference"/>
          <w:rFonts w:ascii="Times New Roman" w:hAnsi="Times New Roman" w:cs="Times New Roman"/>
        </w:rPr>
        <w:endnoteRef/>
      </w:r>
      <w:r w:rsidRPr="006609B5">
        <w:rPr>
          <w:rFonts w:ascii="Times New Roman" w:hAnsi="Times New Roman" w:cs="Times New Roman"/>
        </w:rPr>
        <w:t xml:space="preserve"> The Costs and Benefits of Regulations: Implications for Developing Countries. J Luis Guash and Robert H. Hahn. World Bank Development Report 1997.</w:t>
      </w:r>
    </w:p>
  </w:endnote>
  <w:endnote w:id="4">
    <w:p w:rsidR="00E831D7" w:rsidRPr="006609B5" w:rsidRDefault="00E831D7" w:rsidP="001C6259">
      <w:pPr>
        <w:pStyle w:val="EndnoteText"/>
        <w:rPr>
          <w:rFonts w:ascii="Times New Roman" w:hAnsi="Times New Roman" w:cs="Times New Roman"/>
        </w:rPr>
      </w:pPr>
      <w:r w:rsidRPr="006609B5">
        <w:rPr>
          <w:rStyle w:val="EndnoteReference"/>
          <w:rFonts w:ascii="Times New Roman" w:hAnsi="Times New Roman" w:cs="Times New Roman"/>
        </w:rPr>
        <w:endnoteRef/>
      </w:r>
      <w:r w:rsidRPr="006609B5">
        <w:rPr>
          <w:rFonts w:ascii="Times New Roman" w:hAnsi="Times New Roman" w:cs="Times New Roman"/>
        </w:rPr>
        <w:t xml:space="preserve">  Jamaica Country Strategy for the Adaptation of the Sugar Industry. Ministry of Agriculture 2009.</w:t>
      </w:r>
    </w:p>
  </w:endnote>
  <w:endnote w:id="5">
    <w:p w:rsidR="00E831D7" w:rsidRPr="006609B5" w:rsidRDefault="00E831D7" w:rsidP="00AF3774">
      <w:pPr>
        <w:pStyle w:val="EndnoteText"/>
        <w:rPr>
          <w:rFonts w:ascii="Times New Roman" w:hAnsi="Times New Roman" w:cs="Times New Roman"/>
        </w:rPr>
      </w:pPr>
      <w:r w:rsidRPr="006609B5">
        <w:rPr>
          <w:rStyle w:val="EndnoteReference"/>
          <w:rFonts w:ascii="Times New Roman" w:hAnsi="Times New Roman" w:cs="Times New Roman"/>
        </w:rPr>
        <w:endnoteRef/>
      </w:r>
      <w:r w:rsidRPr="006609B5">
        <w:rPr>
          <w:rFonts w:ascii="Times New Roman" w:hAnsi="Times New Roman" w:cs="Times New Roman"/>
        </w:rPr>
        <w:t xml:space="preserve"> Investment Climate and </w:t>
      </w:r>
      <w:r w:rsidR="00EB0FE2" w:rsidRPr="006609B5">
        <w:rPr>
          <w:rFonts w:ascii="Times New Roman" w:hAnsi="Times New Roman" w:cs="Times New Roman"/>
        </w:rPr>
        <w:t>Empowerment</w:t>
      </w:r>
      <w:r w:rsidRPr="006609B5">
        <w:rPr>
          <w:rFonts w:ascii="Times New Roman" w:hAnsi="Times New Roman" w:cs="Times New Roman"/>
        </w:rPr>
        <w:t xml:space="preserve"> Growth: The impact of access to Finance, Corruption and Regulation Across Firms. Aterido Reyex, Mary Hallwar-Driemen and Carmen Pages. World Bank – IDB. 2008</w:t>
      </w:r>
    </w:p>
  </w:endnote>
  <w:endnote w:id="6">
    <w:p w:rsidR="00E831D7" w:rsidRPr="006609B5" w:rsidRDefault="00E831D7">
      <w:pPr>
        <w:pStyle w:val="EndnoteText"/>
        <w:rPr>
          <w:rFonts w:ascii="Times New Roman" w:hAnsi="Times New Roman" w:cs="Times New Roman"/>
        </w:rPr>
      </w:pPr>
      <w:r w:rsidRPr="006609B5">
        <w:rPr>
          <w:rStyle w:val="EndnoteReference"/>
          <w:rFonts w:ascii="Times New Roman" w:hAnsi="Times New Roman" w:cs="Times New Roman"/>
        </w:rPr>
        <w:endnoteRef/>
      </w:r>
      <w:r w:rsidRPr="006609B5">
        <w:rPr>
          <w:rFonts w:ascii="Times New Roman" w:hAnsi="Times New Roman" w:cs="Times New Roman"/>
        </w:rPr>
        <w:t xml:space="preserve"> Measuring Financial Access Around the World. CGAP. 2009</w:t>
      </w:r>
    </w:p>
  </w:endnote>
  <w:endnote w:id="7">
    <w:p w:rsidR="00E831D7" w:rsidRPr="006609B5" w:rsidRDefault="00E831D7" w:rsidP="00AF3774">
      <w:pPr>
        <w:pStyle w:val="EndnoteText"/>
        <w:rPr>
          <w:rFonts w:ascii="Times New Roman" w:hAnsi="Times New Roman" w:cs="Times New Roman"/>
        </w:rPr>
      </w:pPr>
      <w:r w:rsidRPr="006609B5">
        <w:rPr>
          <w:rStyle w:val="EndnoteReference"/>
          <w:rFonts w:ascii="Times New Roman" w:hAnsi="Times New Roman" w:cs="Times New Roman"/>
        </w:rPr>
        <w:endnoteRef/>
      </w:r>
      <w:r w:rsidRPr="006609B5">
        <w:rPr>
          <w:rFonts w:ascii="Times New Roman" w:hAnsi="Times New Roman" w:cs="Times New Roman"/>
        </w:rPr>
        <w:t xml:space="preserve"> INCTAD. 2010. Information and Economy Report</w:t>
      </w:r>
    </w:p>
  </w:endnote>
  <w:endnote w:id="8">
    <w:p w:rsidR="00E831D7" w:rsidRPr="006609B5" w:rsidRDefault="00E831D7">
      <w:pPr>
        <w:pStyle w:val="EndnoteText"/>
        <w:rPr>
          <w:rFonts w:ascii="Times New Roman" w:hAnsi="Times New Roman" w:cs="Times New Roman"/>
        </w:rPr>
      </w:pPr>
      <w:r w:rsidRPr="006609B5">
        <w:rPr>
          <w:rStyle w:val="EndnoteReference"/>
          <w:rFonts w:ascii="Times New Roman" w:hAnsi="Times New Roman" w:cs="Times New Roman"/>
        </w:rPr>
        <w:endnoteRef/>
      </w:r>
      <w:r w:rsidRPr="006609B5">
        <w:rPr>
          <w:rFonts w:ascii="Times New Roman" w:hAnsi="Times New Roman" w:cs="Times New Roman"/>
        </w:rPr>
        <w:t xml:space="preserve"> Finance for all? Policies and Pitfalls in Expanding Access. The World Bank 2008, Investment Climate and Empowerment Growth: The impact of access to Finance, Corruption and Regulation Across Firms. Aterido Reyex, Mary Hallwar-Driemen and Carmen Pages. World Bank – IDB. 2008, Access to Financial Services: Measurement, Impact, Policies. Thorstin Beck, Demirigu-Kunt and Patrick Monohan. The World Bank, 2007, UNCTAD. 2010. Information and Economy Report, </w:t>
      </w:r>
      <w:r w:rsidRPr="006609B5">
        <w:rPr>
          <w:rFonts w:ascii="Times New Roman" w:eastAsia="Times New Roman" w:hAnsi="Times New Roman" w:cs="Times New Roman"/>
        </w:rPr>
        <w:t>Moody’s Economy.com Study: “The Positive Economic Impact of Digital Currency,” 2008</w:t>
      </w:r>
    </w:p>
  </w:endnote>
  <w:endnote w:id="9">
    <w:p w:rsidR="00E831D7" w:rsidRPr="006609B5" w:rsidRDefault="00E831D7">
      <w:pPr>
        <w:pStyle w:val="EndnoteText"/>
        <w:rPr>
          <w:rFonts w:ascii="Times New Roman" w:hAnsi="Times New Roman" w:cs="Times New Roman"/>
        </w:rPr>
      </w:pPr>
      <w:r w:rsidRPr="006609B5">
        <w:rPr>
          <w:rStyle w:val="EndnoteReference"/>
          <w:rFonts w:ascii="Times New Roman" w:hAnsi="Times New Roman" w:cs="Times New Roman"/>
        </w:rPr>
        <w:endnoteRef/>
      </w:r>
      <w:r w:rsidRPr="006609B5">
        <w:rPr>
          <w:rFonts w:ascii="Times New Roman" w:hAnsi="Times New Roman" w:cs="Times New Roman"/>
        </w:rPr>
        <w:t xml:space="preserve"> The Mobile Money Movement, Catalyst to Jumpstart Emerging Markets. Menekse Gencer.  2010.</w:t>
      </w:r>
    </w:p>
  </w:endnote>
  <w:endnote w:id="10">
    <w:p w:rsidR="00E831D7" w:rsidRDefault="00E831D7" w:rsidP="00AF3774">
      <w:pPr>
        <w:autoSpaceDE w:val="0"/>
        <w:autoSpaceDN w:val="0"/>
        <w:adjustRightInd w:val="0"/>
        <w:spacing w:after="0" w:line="240" w:lineRule="auto"/>
        <w:rPr>
          <w:rFonts w:ascii="Times New Roman" w:eastAsia="Times New Roman" w:hAnsi="Times New Roman" w:cs="Times New Roman"/>
        </w:rPr>
      </w:pPr>
      <w:r w:rsidRPr="006609B5">
        <w:rPr>
          <w:rFonts w:ascii="Times New Roman" w:eastAsia="Times New Roman" w:hAnsi="Times New Roman" w:cs="Times New Roman"/>
        </w:rPr>
        <w:endnoteRef/>
      </w:r>
      <w:r w:rsidRPr="006609B5">
        <w:rPr>
          <w:rFonts w:ascii="Times New Roman" w:eastAsia="Times New Roman" w:hAnsi="Times New Roman" w:cs="Times New Roman"/>
        </w:rPr>
        <w:t xml:space="preserve"> International Telecommunications Union (ITU), “Speech by ITU Secretary General”, April 6, 2010 and Indian Council for Research on International Economic Relations (ICRIER.)</w:t>
      </w:r>
      <w:r>
        <w:rPr>
          <w:rFonts w:ascii="Times New Roman" w:eastAsia="Times New Roman" w:hAnsi="Times New Roman" w:cs="Times New Roman"/>
        </w:rPr>
        <w:t>.</w:t>
      </w:r>
    </w:p>
    <w:p w:rsidR="00E831D7" w:rsidRPr="00784629" w:rsidRDefault="00E831D7" w:rsidP="00784629">
      <w:pPr>
        <w:autoSpaceDE w:val="0"/>
        <w:autoSpaceDN w:val="0"/>
        <w:adjustRightInd w:val="0"/>
        <w:spacing w:after="0" w:line="240" w:lineRule="auto"/>
        <w:rPr>
          <w:rFonts w:ascii="Times New Roman" w:eastAsia="Times New Roman" w:hAnsi="Times New Roman" w:cs="Times New Roman"/>
        </w:rPr>
      </w:pPr>
      <w:r w:rsidRPr="00784629">
        <w:rPr>
          <w:rFonts w:ascii="Times New Roman" w:eastAsia="Times New Roman" w:hAnsi="Times New Roman" w:cs="Times New Roman"/>
        </w:rPr>
        <w:t>Holden, Paul, Welsh Allen (2008) Policies and Options for Secured Transactions</w:t>
      </w:r>
    </w:p>
    <w:p w:rsidR="00E831D7" w:rsidRPr="00784629" w:rsidRDefault="00E831D7" w:rsidP="00784629">
      <w:pPr>
        <w:autoSpaceDE w:val="0"/>
        <w:autoSpaceDN w:val="0"/>
        <w:adjustRightInd w:val="0"/>
        <w:spacing w:after="0" w:line="240" w:lineRule="auto"/>
        <w:rPr>
          <w:rFonts w:ascii="Times New Roman" w:eastAsia="Times New Roman" w:hAnsi="Times New Roman" w:cs="Times New Roman"/>
        </w:rPr>
      </w:pPr>
      <w:r w:rsidRPr="00784629">
        <w:rPr>
          <w:rFonts w:ascii="Times New Roman" w:eastAsia="Times New Roman" w:hAnsi="Times New Roman" w:cs="Times New Roman"/>
        </w:rPr>
        <w:endnoteRef/>
      </w:r>
      <w:r w:rsidRPr="00784629">
        <w:rPr>
          <w:rFonts w:ascii="Times New Roman" w:eastAsia="Times New Roman" w:hAnsi="Times New Roman" w:cs="Times New Roman"/>
        </w:rPr>
        <w:t xml:space="preserve"> </w:t>
      </w:r>
      <w:r w:rsidRPr="00784629">
        <w:rPr>
          <w:rFonts w:ascii="Times New Roman" w:eastAsia="Times New Roman" w:hAnsi="Times New Roman" w:cs="Times New Roman"/>
        </w:rPr>
        <w:tab/>
        <w:t>Welsh., Allen (227) Implementation of Regulatory Reform in Secured Transactions: Action Plan</w:t>
      </w:r>
    </w:p>
    <w:p w:rsidR="00E831D7" w:rsidRPr="00784629" w:rsidRDefault="00E831D7" w:rsidP="00784629">
      <w:pPr>
        <w:autoSpaceDE w:val="0"/>
        <w:autoSpaceDN w:val="0"/>
        <w:adjustRightInd w:val="0"/>
        <w:spacing w:after="0" w:line="240" w:lineRule="auto"/>
        <w:rPr>
          <w:rFonts w:ascii="Times New Roman" w:eastAsia="Times New Roman" w:hAnsi="Times New Roman" w:cs="Times New Roman"/>
        </w:rPr>
      </w:pPr>
      <w:r w:rsidRPr="00784629">
        <w:rPr>
          <w:rFonts w:ascii="Times New Roman" w:eastAsia="Times New Roman" w:hAnsi="Times New Roman" w:cs="Times New Roman"/>
        </w:rPr>
        <w:endnoteRef/>
      </w:r>
      <w:r w:rsidRPr="00784629">
        <w:rPr>
          <w:rFonts w:ascii="Times New Roman" w:eastAsia="Times New Roman" w:hAnsi="Times New Roman" w:cs="Times New Roman"/>
        </w:rPr>
        <w:tab/>
        <w:t xml:space="preserve"> World Bank Development Report (2012)</w:t>
      </w:r>
    </w:p>
    <w:p w:rsidR="00E831D7" w:rsidRPr="006609B5" w:rsidRDefault="00E831D7" w:rsidP="00E5759C">
      <w:pPr>
        <w:autoSpaceDE w:val="0"/>
        <w:autoSpaceDN w:val="0"/>
        <w:adjustRightInd w:val="0"/>
        <w:spacing w:after="0" w:line="240" w:lineRule="auto"/>
        <w:rPr>
          <w:rFonts w:ascii="Times New Roman" w:eastAsia="Times New Roman" w:hAnsi="Times New Roman" w:cs="Times New Roman"/>
        </w:rPr>
      </w:pPr>
      <w:r w:rsidRPr="00784629">
        <w:rPr>
          <w:rFonts w:ascii="Times New Roman" w:eastAsia="Times New Roman" w:hAnsi="Times New Roman" w:cs="Times New Roman"/>
        </w:rPr>
        <w:endnoteRef/>
      </w:r>
      <w:r w:rsidRPr="00784629">
        <w:rPr>
          <w:rFonts w:ascii="Times New Roman" w:eastAsia="Times New Roman" w:hAnsi="Times New Roman" w:cs="Times New Roman"/>
        </w:rPr>
        <w:t xml:space="preserve"> </w:t>
      </w:r>
      <w:r w:rsidRPr="00784629">
        <w:rPr>
          <w:rFonts w:ascii="Times New Roman" w:eastAsia="Times New Roman" w:hAnsi="Times New Roman" w:cs="Times New Roman"/>
        </w:rPr>
        <w:tab/>
        <w:t>Several studies have found that implementing m-banking schemes has a positive impact on countries’ economic growth and improves access to finance for the unbanked population. (Mitha, Aize..2007. Financial Services through Mobile Devices; Issues and Options for Jamaica, Holden, Paul.2008. Cell Phone Banking in South Africa. Financial Services for the Poor</w:t>
      </w:r>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Book Antiqua">
    <w:altName w:val="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utiger-Ligh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3173"/>
      <w:docPartObj>
        <w:docPartGallery w:val="Page Numbers (Bottom of Page)"/>
        <w:docPartUnique/>
      </w:docPartObj>
    </w:sdtPr>
    <w:sdtEndPr/>
    <w:sdtContent>
      <w:p w:rsidR="00E831D7" w:rsidRDefault="00E831D7">
        <w:pPr>
          <w:pStyle w:val="Footer"/>
          <w:jc w:val="right"/>
        </w:pPr>
        <w:r>
          <w:fldChar w:fldCharType="begin"/>
        </w:r>
        <w:r>
          <w:instrText xml:space="preserve"> PAGE   \* MERGEFORMAT </w:instrText>
        </w:r>
        <w:r>
          <w:fldChar w:fldCharType="separate"/>
        </w:r>
        <w:r w:rsidR="007A560A">
          <w:rPr>
            <w:noProof/>
          </w:rPr>
          <w:t>21</w:t>
        </w:r>
        <w:r>
          <w:rPr>
            <w:noProof/>
          </w:rPr>
          <w:fldChar w:fldCharType="end"/>
        </w:r>
      </w:p>
    </w:sdtContent>
  </w:sdt>
  <w:p w:rsidR="00E831D7" w:rsidRDefault="00E831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1C4" w:rsidRDefault="00F211C4" w:rsidP="006F4929">
      <w:pPr>
        <w:spacing w:after="0" w:line="240" w:lineRule="auto"/>
      </w:pPr>
      <w:r>
        <w:separator/>
      </w:r>
    </w:p>
  </w:footnote>
  <w:footnote w:type="continuationSeparator" w:id="0">
    <w:p w:rsidR="00F211C4" w:rsidRDefault="00F211C4" w:rsidP="006F4929">
      <w:pPr>
        <w:spacing w:after="0" w:line="240" w:lineRule="auto"/>
      </w:pPr>
      <w:r>
        <w:continuationSeparator/>
      </w:r>
    </w:p>
  </w:footnote>
  <w:footnote w:id="1">
    <w:p w:rsidR="00E831D7" w:rsidRPr="00423670" w:rsidRDefault="00E831D7" w:rsidP="000B1618">
      <w:pPr>
        <w:pStyle w:val="FootnoteText"/>
        <w:ind w:left="270" w:hanging="270"/>
      </w:pPr>
      <w:r w:rsidRPr="00E45019">
        <w:rPr>
          <w:rStyle w:val="FootnoteReference"/>
        </w:rPr>
        <w:footnoteRef/>
      </w:r>
      <w:r w:rsidRPr="00E45019">
        <w:t xml:space="preserve"> </w:t>
      </w:r>
      <w:r w:rsidRPr="00E45019">
        <w:tab/>
        <w:t>Jamaica: A Private Sector Assessment ERI (2006) and Artana and Navajas “Fiscal Policy Challenges” (2004). IMF</w:t>
      </w:r>
      <w:r>
        <w:t xml:space="preserve">’s WP ED/861235 </w:t>
      </w:r>
      <w:r w:rsidRPr="00E45019">
        <w:t>Public Debt and Productivity, the Difficult Quest for Growth.</w:t>
      </w:r>
    </w:p>
  </w:footnote>
  <w:footnote w:id="2">
    <w:p w:rsidR="00E831D7" w:rsidRPr="00423670" w:rsidRDefault="00E831D7" w:rsidP="000B1618">
      <w:pPr>
        <w:pStyle w:val="FootnoteText"/>
        <w:tabs>
          <w:tab w:val="left" w:pos="270"/>
        </w:tabs>
        <w:ind w:left="274" w:hanging="274"/>
      </w:pPr>
      <w:r w:rsidRPr="00E45019">
        <w:rPr>
          <w:rStyle w:val="FootnoteReference"/>
        </w:rPr>
        <w:footnoteRef/>
      </w:r>
      <w:r w:rsidRPr="00E45019">
        <w:t xml:space="preserve"> </w:t>
      </w:r>
      <w:r w:rsidRPr="00E45019">
        <w:tab/>
        <w:t>The LAC-7 is comprised of Brazil, Mexico, Argentina, Chile, Peru, Colombia, Venezuela and Ecuador. These countries account for about 92% of the LAC Region’s total GDP.</w:t>
      </w:r>
    </w:p>
    <w:p w:rsidR="00E831D7" w:rsidRPr="00423670" w:rsidRDefault="00E831D7" w:rsidP="000B1618">
      <w:pPr>
        <w:pStyle w:val="FootnoteText"/>
      </w:pPr>
    </w:p>
  </w:footnote>
  <w:footnote w:id="3">
    <w:p w:rsidR="00E831D7" w:rsidRPr="00770B00" w:rsidRDefault="00E831D7" w:rsidP="000B1618">
      <w:pPr>
        <w:pStyle w:val="FootnoteText"/>
        <w:ind w:left="180" w:hanging="180"/>
      </w:pPr>
      <w:r w:rsidRPr="00E45019">
        <w:rPr>
          <w:rStyle w:val="FootnoteReference"/>
        </w:rPr>
        <w:footnoteRef/>
      </w:r>
      <w:r w:rsidRPr="00E45019">
        <w:t xml:space="preserve"> </w:t>
      </w:r>
      <w:r w:rsidRPr="00E45019">
        <w:tab/>
      </w:r>
      <w:r w:rsidRPr="00352A9B">
        <w:t>Jamaica: A Private Sector Assessment ERI. 2006</w:t>
      </w:r>
      <w:r>
        <w:t>.</w:t>
      </w:r>
    </w:p>
  </w:footnote>
  <w:footnote w:id="4">
    <w:p w:rsidR="00E831D7" w:rsidRDefault="00E831D7" w:rsidP="000B1618">
      <w:pPr>
        <w:pStyle w:val="FootnoteText"/>
      </w:pPr>
      <w:r>
        <w:rPr>
          <w:rStyle w:val="FootnoteReference"/>
        </w:rPr>
        <w:footnoteRef/>
      </w:r>
      <w:r>
        <w:tab/>
        <w:t xml:space="preserve"> Howell, Holden (2012) Private Sector Report Assessment: Removing Barriers to Growth.</w:t>
      </w:r>
    </w:p>
  </w:footnote>
  <w:footnote w:id="5">
    <w:p w:rsidR="00E831D7" w:rsidRPr="00334CE2" w:rsidRDefault="00E831D7" w:rsidP="000B1618">
      <w:pPr>
        <w:pStyle w:val="FootnoteText"/>
      </w:pPr>
      <w:r w:rsidRPr="00334CE2">
        <w:rPr>
          <w:rStyle w:val="FootnoteReference"/>
        </w:rPr>
        <w:footnoteRef/>
      </w:r>
      <w:r w:rsidRPr="00334CE2">
        <w:t xml:space="preserve"> </w:t>
      </w:r>
      <w:r w:rsidRPr="00334CE2">
        <w:tab/>
        <w:t>The program has enabled the GoJ to prepare its own Tax Expenditure Budget</w:t>
      </w:r>
      <w:r>
        <w:t xml:space="preserve"> that estimates these amounts on a yearly basis</w:t>
      </w:r>
      <w:r w:rsidRPr="00334CE2">
        <w:t>.</w:t>
      </w:r>
    </w:p>
  </w:footnote>
  <w:footnote w:id="6">
    <w:p w:rsidR="00E831D7" w:rsidRPr="00A026D8" w:rsidRDefault="00E831D7" w:rsidP="000B1618">
      <w:pPr>
        <w:pStyle w:val="FootnoteText"/>
        <w:tabs>
          <w:tab w:val="left" w:pos="270"/>
        </w:tabs>
        <w:ind w:left="270" w:hanging="270"/>
      </w:pPr>
      <w:r>
        <w:rPr>
          <w:rStyle w:val="FootnoteReference"/>
        </w:rPr>
        <w:footnoteRef/>
      </w:r>
      <w:r>
        <w:t xml:space="preserve"> </w:t>
      </w:r>
      <w:r>
        <w:tab/>
      </w:r>
      <w:r w:rsidRPr="00334CE2">
        <w:t>Artana and Navajas (2004)</w:t>
      </w:r>
      <w:r>
        <w:t>.</w:t>
      </w:r>
      <w:r w:rsidRPr="00334CE2">
        <w:t xml:space="preserve"> “Fiscal Policy Challenges</w:t>
      </w:r>
      <w:r>
        <w:t>.” IDB and Jamaica: A Private Sector Assessment.</w:t>
      </w:r>
    </w:p>
  </w:footnote>
  <w:footnote w:id="7">
    <w:p w:rsidR="00E831D7" w:rsidRPr="00334CE2" w:rsidRDefault="00E831D7" w:rsidP="000B1618">
      <w:pPr>
        <w:pStyle w:val="FootnoteText"/>
      </w:pPr>
      <w:r w:rsidRPr="00334CE2">
        <w:rPr>
          <w:rStyle w:val="FootnoteReference"/>
        </w:rPr>
        <w:footnoteRef/>
      </w:r>
      <w:r w:rsidRPr="00334CE2">
        <w:t xml:space="preserve"> </w:t>
      </w:r>
      <w:r>
        <w:tab/>
      </w:r>
      <w:r w:rsidRPr="00334CE2">
        <w:t>It is estimated that around 200,000 tax waivers have been issued.</w:t>
      </w:r>
    </w:p>
  </w:footnote>
  <w:footnote w:id="8">
    <w:p w:rsidR="00E831D7" w:rsidRPr="00334CE2" w:rsidRDefault="00E831D7" w:rsidP="000B1618">
      <w:pPr>
        <w:pStyle w:val="Paragraph"/>
        <w:numPr>
          <w:ilvl w:val="0"/>
          <w:numId w:val="0"/>
        </w:numPr>
        <w:spacing w:before="0" w:after="0"/>
        <w:ind w:left="270" w:hanging="270"/>
        <w:rPr>
          <w:sz w:val="20"/>
        </w:rPr>
      </w:pPr>
      <w:r w:rsidRPr="00334CE2">
        <w:rPr>
          <w:rStyle w:val="FootnoteReference"/>
          <w:sz w:val="20"/>
        </w:rPr>
        <w:footnoteRef/>
      </w:r>
      <w:r w:rsidRPr="00334CE2">
        <w:rPr>
          <w:sz w:val="20"/>
        </w:rPr>
        <w:t xml:space="preserve"> </w:t>
      </w:r>
      <w:r>
        <w:rPr>
          <w:sz w:val="20"/>
        </w:rPr>
        <w:tab/>
      </w:r>
      <w:r w:rsidRPr="00334CE2">
        <w:rPr>
          <w:sz w:val="20"/>
        </w:rPr>
        <w:t xml:space="preserve">Two of these deductions are the contributions to the Human Employment and Resource Training (HEART) trust fund and the Education Tax. </w:t>
      </w:r>
    </w:p>
  </w:footnote>
  <w:footnote w:id="9">
    <w:p w:rsidR="00E831D7" w:rsidRDefault="00E831D7" w:rsidP="000B1618">
      <w:pPr>
        <w:pStyle w:val="FootnoteText"/>
      </w:pPr>
      <w:r>
        <w:rPr>
          <w:rStyle w:val="FootnoteReference"/>
        </w:rPr>
        <w:footnoteRef/>
      </w:r>
      <w:r>
        <w:t xml:space="preserve"> Does it pay to register for taxes? The impact of formality on a firm Profitability. McKenzie, Syhabou Sakho. Journal of Development Economics. 2010</w:t>
      </w:r>
    </w:p>
  </w:footnote>
  <w:footnote w:id="10">
    <w:p w:rsidR="00E831D7" w:rsidRDefault="00E831D7" w:rsidP="000B1618">
      <w:pPr>
        <w:pStyle w:val="FootnoteText"/>
      </w:pPr>
      <w:r>
        <w:rPr>
          <w:rStyle w:val="FootnoteReference"/>
        </w:rPr>
        <w:footnoteRef/>
      </w:r>
      <w:r>
        <w:t xml:space="preserve"> </w:t>
      </w:r>
      <w:r>
        <w:tab/>
        <w:t>Holden (2006) Private Sector Assessment.</w:t>
      </w:r>
    </w:p>
  </w:footnote>
  <w:footnote w:id="11">
    <w:p w:rsidR="00E831D7" w:rsidRDefault="00E831D7" w:rsidP="000B1618">
      <w:pPr>
        <w:pStyle w:val="FootnoteText"/>
      </w:pPr>
      <w:r>
        <w:rPr>
          <w:rStyle w:val="FootnoteReference"/>
        </w:rPr>
        <w:footnoteRef/>
      </w:r>
      <w:r>
        <w:t xml:space="preserve"> </w:t>
      </w:r>
      <w:r>
        <w:tab/>
      </w:r>
      <w:r w:rsidRPr="00382833">
        <w:t xml:space="preserve"> </w:t>
      </w:r>
      <w:r>
        <w:t>Until the JCEP-sponsored reforms were carried out, t</w:t>
      </w:r>
      <w:r w:rsidRPr="00382833">
        <w:t>here</w:t>
      </w:r>
      <w:r>
        <w:t xml:space="preserve"> were</w:t>
      </w:r>
      <w:r w:rsidRPr="00382833">
        <w:t xml:space="preserve"> five payroll deductions, separately administered and with separate rate and base structures</w:t>
      </w:r>
      <w:r>
        <w:t xml:space="preserve"> Source: Ministry of Finance: Estimates of Revenues and Expenditure for Public Bodies.</w:t>
      </w:r>
    </w:p>
  </w:footnote>
  <w:footnote w:id="12">
    <w:p w:rsidR="00E831D7" w:rsidRDefault="00E831D7" w:rsidP="000B1618">
      <w:pPr>
        <w:pStyle w:val="FootnoteText"/>
      </w:pPr>
      <w:r>
        <w:rPr>
          <w:rStyle w:val="FootnoteReference"/>
        </w:rPr>
        <w:footnoteRef/>
      </w:r>
      <w:r>
        <w:t xml:space="preserve"> </w:t>
      </w:r>
      <w:r>
        <w:tab/>
        <w:t>Ministry of Finance. Budget Reports on State Owned Enterprises</w:t>
      </w:r>
    </w:p>
  </w:footnote>
  <w:footnote w:id="13">
    <w:p w:rsidR="00E831D7" w:rsidRPr="00334CE2" w:rsidRDefault="00E831D7" w:rsidP="000B1618">
      <w:pPr>
        <w:pStyle w:val="FootnoteText"/>
      </w:pPr>
      <w:r w:rsidRPr="00334CE2">
        <w:rPr>
          <w:rStyle w:val="FootnoteReference"/>
        </w:rPr>
        <w:footnoteRef/>
      </w:r>
      <w:r w:rsidRPr="00334CE2">
        <w:t xml:space="preserve"> </w:t>
      </w:r>
      <w:r w:rsidRPr="00334CE2">
        <w:tab/>
        <w:t>“PPPs in the Caricom”</w:t>
      </w:r>
      <w:r>
        <w:t>,</w:t>
      </w:r>
      <w:r w:rsidRPr="00334CE2">
        <w:t xml:space="preserve"> Nicholas Livingston. 2009</w:t>
      </w:r>
      <w:r>
        <w:t>.</w:t>
      </w:r>
    </w:p>
  </w:footnote>
  <w:footnote w:id="14">
    <w:p w:rsidR="00E831D7" w:rsidRDefault="00E831D7" w:rsidP="000B1618">
      <w:pPr>
        <w:pStyle w:val="FootnoteText"/>
      </w:pPr>
      <w:r>
        <w:rPr>
          <w:rStyle w:val="FootnoteReference"/>
        </w:rPr>
        <w:footnoteRef/>
      </w:r>
      <w:r>
        <w:t xml:space="preserve"> </w:t>
      </w:r>
      <w:r>
        <w:tab/>
        <w:t>Source: World Bank Development Indicators. World Bank Financial Indicators.</w:t>
      </w:r>
    </w:p>
  </w:footnote>
  <w:footnote w:id="15">
    <w:p w:rsidR="00E831D7" w:rsidRDefault="00E831D7" w:rsidP="000B1618">
      <w:pPr>
        <w:pStyle w:val="FootnoteText"/>
      </w:pPr>
      <w:r>
        <w:rPr>
          <w:rStyle w:val="FootnoteReference"/>
        </w:rPr>
        <w:footnoteRef/>
      </w:r>
      <w:r>
        <w:t xml:space="preserve"> Holden, Paul. 2010. Reforming Jamaica’s </w:t>
      </w:r>
      <w:r w:rsidR="00EB0FE2">
        <w:t>Collateral</w:t>
      </w:r>
      <w:r>
        <w:t xml:space="preserve"> Framework to Increase Access to Credit for Women. And  Hossein, Caroline Shenaz. 2009. Access and Microfinance in Kingston, Jamaica.</w:t>
      </w:r>
    </w:p>
  </w:footnote>
  <w:footnote w:id="16">
    <w:p w:rsidR="00E831D7" w:rsidRDefault="00E831D7" w:rsidP="000B1618">
      <w:pPr>
        <w:pStyle w:val="FootnoteText"/>
      </w:pPr>
      <w:r>
        <w:rPr>
          <w:rStyle w:val="FootnoteReference"/>
        </w:rPr>
        <w:footnoteRef/>
      </w:r>
      <w:r>
        <w:t xml:space="preserve">  Mpay connect. 2010. Jamaica Gender and Mobile Financial Services Report.</w:t>
      </w:r>
    </w:p>
  </w:footnote>
  <w:footnote w:id="17">
    <w:p w:rsidR="00E831D7" w:rsidRDefault="00E831D7" w:rsidP="000B1618">
      <w:pPr>
        <w:pStyle w:val="FootnoteText"/>
      </w:pPr>
      <w:r>
        <w:rPr>
          <w:rStyle w:val="FootnoteReference"/>
        </w:rPr>
        <w:footnoteRef/>
      </w:r>
      <w:r>
        <w:t xml:space="preserve"> The Supply and Demand side of Credit Market Information. 2013. </w:t>
      </w:r>
      <w:r w:rsidR="00EB0FE2">
        <w:t>January</w:t>
      </w:r>
      <w:r>
        <w:t xml:space="preserve">, McIntosh and Sadoulet. Journal of Development </w:t>
      </w:r>
      <w:r w:rsidR="00EB0FE2">
        <w:t>Economics</w:t>
      </w:r>
      <w:r>
        <w:t>. Evidence is provided through a randomized experiment on how the implementation of a Credit Bureau in Guatemala and the reduction of asymmetric information generated a large increase in turnover of clients, introduced new borrowers to the system, increased loan size for small and solidarity debtors and a dramatic increase in payment performance.</w:t>
      </w:r>
    </w:p>
  </w:footnote>
  <w:footnote w:id="18">
    <w:p w:rsidR="00E831D7" w:rsidRDefault="00E831D7" w:rsidP="000B1618">
      <w:pPr>
        <w:pStyle w:val="FootnoteText"/>
      </w:pPr>
      <w:r>
        <w:rPr>
          <w:rStyle w:val="FootnoteReference"/>
        </w:rPr>
        <w:footnoteRef/>
      </w:r>
      <w:r>
        <w:t xml:space="preserve"> Experimental evidence in Returns to Capital and Access to Finance in Mexico. 2008. McKinsey and Woodruf. Oxford </w:t>
      </w:r>
      <w:r w:rsidR="00EB0FE2">
        <w:t>University</w:t>
      </w:r>
      <w:r>
        <w:t xml:space="preserve"> Press. Through a randomized control trail experiment, the study found that financially constrained firms can increase their return to capital (10-20% for small to medium sized firms) when given access to capital. Furthermore, the results show how constraints on finance affect productivity.</w:t>
      </w:r>
    </w:p>
  </w:footnote>
  <w:footnote w:id="19">
    <w:p w:rsidR="00E831D7" w:rsidRDefault="00E831D7" w:rsidP="000B1618">
      <w:pPr>
        <w:pStyle w:val="FootnoteText"/>
      </w:pPr>
      <w:r>
        <w:rPr>
          <w:rStyle w:val="FootnoteReference"/>
        </w:rPr>
        <w:footnoteRef/>
      </w:r>
      <w:r>
        <w:t xml:space="preserve"> </w:t>
      </w:r>
      <w:r>
        <w:tab/>
        <w:t>Holden, Paul, Welsh Allen (2008) Policies and Options for Secured Transactions</w:t>
      </w:r>
    </w:p>
  </w:footnote>
  <w:footnote w:id="20">
    <w:p w:rsidR="00E831D7" w:rsidRDefault="00E831D7" w:rsidP="000B1618">
      <w:pPr>
        <w:pStyle w:val="FootnoteText"/>
      </w:pPr>
      <w:r>
        <w:rPr>
          <w:rStyle w:val="FootnoteReference"/>
        </w:rPr>
        <w:footnoteRef/>
      </w:r>
      <w:r>
        <w:t xml:space="preserve"> </w:t>
      </w:r>
      <w:r>
        <w:tab/>
        <w:t>Welsh., Allen (227) Implementation of Regulatory Reform in Secured Transactions: Action Plan</w:t>
      </w:r>
    </w:p>
  </w:footnote>
  <w:footnote w:id="21">
    <w:p w:rsidR="00E831D7" w:rsidRDefault="00E831D7" w:rsidP="000B1618">
      <w:pPr>
        <w:pStyle w:val="FootnoteText"/>
      </w:pPr>
      <w:r>
        <w:rPr>
          <w:rStyle w:val="FootnoteReference"/>
        </w:rPr>
        <w:footnoteRef/>
      </w:r>
      <w:r>
        <w:tab/>
        <w:t xml:space="preserve"> World Bank Development Report (2012)</w:t>
      </w:r>
    </w:p>
  </w:footnote>
  <w:footnote w:id="22">
    <w:p w:rsidR="00E831D7" w:rsidRDefault="00E831D7" w:rsidP="000B1618">
      <w:pPr>
        <w:pStyle w:val="FootnoteText"/>
        <w:ind w:left="274" w:hanging="274"/>
      </w:pPr>
      <w:r>
        <w:rPr>
          <w:rStyle w:val="FootnoteReference"/>
        </w:rPr>
        <w:footnoteRef/>
      </w:r>
      <w:r>
        <w:t xml:space="preserve"> </w:t>
      </w:r>
      <w:r>
        <w:tab/>
        <w:t>Several studies have found that implementing m-banking schemes has a positive impact on countries’ economic growth and improves access to finance for the unbanked population.</w:t>
      </w:r>
    </w:p>
  </w:footnote>
  <w:footnote w:id="23">
    <w:p w:rsidR="00E831D7" w:rsidRDefault="00E831D7" w:rsidP="000B1618">
      <w:pPr>
        <w:pStyle w:val="FootnoteText"/>
      </w:pPr>
      <w:r>
        <w:rPr>
          <w:rStyle w:val="FootnoteReference"/>
        </w:rPr>
        <w:footnoteRef/>
      </w:r>
      <w:r>
        <w:t xml:space="preserve"> </w:t>
      </w:r>
      <w:r>
        <w:tab/>
        <w:t>MPayconnect (2010) Assessment of Jamaica Regulatory Issues for M-Banking</w:t>
      </w:r>
    </w:p>
  </w:footnote>
  <w:footnote w:id="24">
    <w:p w:rsidR="00E831D7" w:rsidRDefault="00E831D7" w:rsidP="000B1618">
      <w:pPr>
        <w:pStyle w:val="FootnoteText"/>
      </w:pPr>
      <w:r>
        <w:rPr>
          <w:rStyle w:val="FootnoteReference"/>
        </w:rPr>
        <w:footnoteRef/>
      </w:r>
      <w:r>
        <w:t xml:space="preserve"> </w:t>
      </w:r>
      <w:r>
        <w:tab/>
        <w:t>GoJ. Discussion Paper for the National Planning Summit 2007.</w:t>
      </w:r>
    </w:p>
  </w:footnote>
  <w:footnote w:id="25">
    <w:p w:rsidR="00E831D7" w:rsidRDefault="00E831D7" w:rsidP="000B1618">
      <w:pPr>
        <w:pStyle w:val="FootnoteText"/>
      </w:pPr>
      <w:r>
        <w:rPr>
          <w:rStyle w:val="FootnoteReference"/>
        </w:rPr>
        <w:footnoteRef/>
      </w:r>
      <w:r>
        <w:t xml:space="preserve"> </w:t>
      </w:r>
      <w:r>
        <w:tab/>
        <w:t>Campbell, Delrose (2007) Action Plan for Land Titling Reform.</w:t>
      </w:r>
    </w:p>
  </w:footnote>
  <w:footnote w:id="26">
    <w:p w:rsidR="00E831D7" w:rsidRDefault="00E831D7">
      <w:pPr>
        <w:pStyle w:val="FootnoteText"/>
      </w:pPr>
      <w:r>
        <w:rPr>
          <w:rStyle w:val="FootnoteReference"/>
        </w:rPr>
        <w:footnoteRef/>
      </w:r>
      <w:r>
        <w:rPr>
          <w:rStyle w:val="FootnoteReference"/>
        </w:rPr>
        <w:footnoteRef/>
      </w:r>
      <w:r>
        <w:t xml:space="preserve"> </w:t>
      </w:r>
      <w:r>
        <w:tab/>
        <w:t>Boullion. C, Tejerina, L. (2007) Do we know what works? A systemic Evaluation of Social Programs in Latina America and the Caribbean. Chapter 5: Economic Opportunities for the Poor: Land Titling Program. InterAmerican Development Bank.</w:t>
      </w:r>
    </w:p>
  </w:footnote>
  <w:footnote w:id="27">
    <w:p w:rsidR="00E831D7" w:rsidRDefault="00E831D7">
      <w:pPr>
        <w:pStyle w:val="FootnoteText"/>
      </w:pPr>
      <w:r>
        <w:rPr>
          <w:rStyle w:val="FootnoteReference"/>
        </w:rPr>
        <w:footnoteRef/>
      </w:r>
      <w:r>
        <w:t xml:space="preserve"> </w:t>
      </w:r>
      <w:r w:rsidRPr="007B68CD">
        <w:t xml:space="preserve">Domehers, D. Abdulaui. R. 2010.  </w:t>
      </w:r>
      <w:r w:rsidRPr="007B68CD">
        <w:rPr>
          <w:bCs/>
        </w:rPr>
        <w:t xml:space="preserve">Land Registration and Access to Small Enterprise Credit: Preliminary Findings. </w:t>
      </w:r>
      <w:r w:rsidRPr="007B68CD">
        <w:rPr>
          <w:iCs/>
        </w:rPr>
        <w:t>Liverpool John Moores University</w:t>
      </w:r>
    </w:p>
  </w:footnote>
  <w:footnote w:id="28">
    <w:p w:rsidR="00E831D7" w:rsidRDefault="00E831D7" w:rsidP="00784629">
      <w:pPr>
        <w:pStyle w:val="FootnoteText"/>
      </w:pPr>
      <w:r>
        <w:rPr>
          <w:rStyle w:val="FootnoteReference"/>
        </w:rPr>
        <w:footnoteRef/>
      </w:r>
      <w:r>
        <w:t xml:space="preserve"> The last agenda for reforms include the coordination and monitoring of the agenda for reforms that are included in this Program, such as access to finance, reduction of the cost of doing business, paying taxes (electronic filing and amalgamation), opening and closing a businesses, property registration as well as others that are included in the Doing Business Report such as getting electricity, trading across borders and enforcing contracts. The detailed Matrix and its follow up is included in the Means of Verification matrix.</w:t>
      </w:r>
    </w:p>
  </w:footnote>
  <w:footnote w:id="29">
    <w:p w:rsidR="00E831D7" w:rsidRDefault="00E831D7">
      <w:pPr>
        <w:pStyle w:val="FootnoteText"/>
      </w:pPr>
      <w:r>
        <w:rPr>
          <w:rStyle w:val="FootnoteReference"/>
        </w:rPr>
        <w:footnoteRef/>
      </w:r>
      <w:r>
        <w:t xml:space="preserve"> Brent, Robert. 2006. Applied Cost Benefit Analysis</w:t>
      </w:r>
    </w:p>
  </w:footnote>
  <w:footnote w:id="30">
    <w:p w:rsidR="00E831D7" w:rsidRPr="00E4323B" w:rsidRDefault="00E831D7" w:rsidP="00352F08">
      <w:pPr>
        <w:autoSpaceDE w:val="0"/>
        <w:autoSpaceDN w:val="0"/>
        <w:adjustRightInd w:val="0"/>
        <w:spacing w:after="0" w:line="240" w:lineRule="auto"/>
        <w:jc w:val="left"/>
        <w:rPr>
          <w:rFonts w:ascii="Times New Roman" w:hAnsi="Times New Roman" w:cs="Times New Roman"/>
          <w:lang w:val="fr-FR" w:bidi="ar-SA"/>
        </w:rPr>
      </w:pPr>
      <w:r>
        <w:rPr>
          <w:rStyle w:val="FootnoteReference"/>
        </w:rPr>
        <w:footnoteRef/>
      </w:r>
      <w:r w:rsidRPr="00352F08">
        <w:rPr>
          <w:rFonts w:ascii="Times New Roman" w:hAnsi="Times New Roman" w:cs="Times New Roman"/>
        </w:rPr>
        <w:t xml:space="preserve">Auerbach. Alan. 1996.  </w:t>
      </w:r>
      <w:r>
        <w:rPr>
          <w:rFonts w:ascii="Times New Roman" w:hAnsi="Times New Roman" w:cs="Times New Roman"/>
        </w:rPr>
        <w:t>Measuring the Impact of Tax Reform.</w:t>
      </w:r>
      <w:r w:rsidRPr="00352F08">
        <w:rPr>
          <w:rFonts w:ascii="Times New Roman" w:hAnsi="Times New Roman" w:cs="Times New Roman"/>
          <w:lang w:bidi="ar-SA"/>
        </w:rPr>
        <w:t xml:space="preserve"> </w:t>
      </w:r>
      <w:r w:rsidRPr="00E4323B">
        <w:rPr>
          <w:rFonts w:ascii="Times New Roman" w:hAnsi="Times New Roman" w:cs="Times New Roman"/>
          <w:lang w:val="fr-FR" w:bidi="ar-SA"/>
        </w:rPr>
        <w:t xml:space="preserve">National Tax Journal. </w:t>
      </w:r>
    </w:p>
    <w:p w:rsidR="00E831D7" w:rsidRPr="00E4323B" w:rsidRDefault="00E831D7" w:rsidP="00352F08">
      <w:pPr>
        <w:pStyle w:val="FootnoteText"/>
        <w:rPr>
          <w:rFonts w:ascii="Times New Roman" w:hAnsi="Times New Roman" w:cs="Times New Roman"/>
          <w:lang w:val="fr-FR"/>
        </w:rPr>
      </w:pPr>
    </w:p>
  </w:footnote>
  <w:footnote w:id="31">
    <w:p w:rsidR="00E831D7" w:rsidRDefault="00E831D7">
      <w:pPr>
        <w:pStyle w:val="FootnoteText"/>
      </w:pPr>
      <w:r>
        <w:rPr>
          <w:rStyle w:val="FootnoteReference"/>
        </w:rPr>
        <w:footnoteRef/>
      </w:r>
      <w:r w:rsidRPr="00E4323B">
        <w:rPr>
          <w:lang w:val="fr-FR"/>
        </w:rPr>
        <w:t xml:space="preserve"> Mirrlees, James et. </w:t>
      </w:r>
      <w:r>
        <w:t>Al. The Mirrlees Review: A Proposal for Systemic Tax Reform. National Tax Journal</w:t>
      </w:r>
    </w:p>
  </w:footnote>
  <w:footnote w:id="32">
    <w:p w:rsidR="00E831D7" w:rsidRDefault="00E831D7" w:rsidP="0047527B">
      <w:pPr>
        <w:pStyle w:val="FootnoteText"/>
      </w:pPr>
      <w:r>
        <w:rPr>
          <w:rStyle w:val="FootnoteReference"/>
        </w:rPr>
        <w:footnoteRef/>
      </w:r>
      <w:r>
        <w:t xml:space="preserve"> Oxera. 2007. Stamp Duty. Its effects and Impact on Abolition.</w:t>
      </w:r>
    </w:p>
  </w:footnote>
  <w:footnote w:id="33">
    <w:p w:rsidR="00E831D7" w:rsidRDefault="00E831D7">
      <w:pPr>
        <w:pStyle w:val="FootnoteText"/>
      </w:pPr>
      <w:r>
        <w:rPr>
          <w:rStyle w:val="FootnoteReference"/>
        </w:rPr>
        <w:footnoteRef/>
      </w:r>
      <w:r>
        <w:t xml:space="preserve"> Brent, Robert. 2006. Applied Cost Benefit Analysis</w:t>
      </w:r>
    </w:p>
  </w:footnote>
  <w:footnote w:id="34">
    <w:p w:rsidR="00E831D7" w:rsidRDefault="00E831D7" w:rsidP="0052408E">
      <w:pPr>
        <w:pStyle w:val="FootnoteText"/>
      </w:pPr>
      <w:r>
        <w:rPr>
          <w:rStyle w:val="FootnoteReference"/>
        </w:rPr>
        <w:footnoteRef/>
      </w:r>
      <w:r>
        <w:t xml:space="preserve"> </w:t>
      </w:r>
      <w:r w:rsidRPr="00D80E58">
        <w:rPr>
          <w:sz w:val="18"/>
          <w:szCs w:val="18"/>
        </w:rPr>
        <w:t>Two of these deductions are the contributions to the Human Employment and Res</w:t>
      </w:r>
      <w:r>
        <w:rPr>
          <w:sz w:val="18"/>
          <w:szCs w:val="18"/>
        </w:rPr>
        <w:t>ource Training (HEART) Trust Fu</w:t>
      </w:r>
      <w:r w:rsidRPr="00D80E58">
        <w:rPr>
          <w:sz w:val="18"/>
          <w:szCs w:val="18"/>
        </w:rPr>
        <w:t>nd and the Education Tax</w:t>
      </w:r>
    </w:p>
  </w:footnote>
  <w:footnote w:id="35">
    <w:p w:rsidR="00E831D7" w:rsidRDefault="00E831D7">
      <w:pPr>
        <w:pStyle w:val="FootnoteText"/>
      </w:pPr>
      <w:r>
        <w:rPr>
          <w:rStyle w:val="FootnoteReference"/>
        </w:rPr>
        <w:footnoteRef/>
      </w:r>
      <w:r>
        <w:t xml:space="preserve"> A randomly selected evaluation done in Bolivia for Small firms showed that firms profitability increases when firms register taxes, in particular for SMES. Does it pay for Firms to Register Taxes? McKensie, D and Seynchou S. 2020. Journal of Development Economcis.</w:t>
      </w:r>
    </w:p>
  </w:footnote>
  <w:footnote w:id="36">
    <w:p w:rsidR="00E831D7" w:rsidRDefault="00E831D7" w:rsidP="0052408E">
      <w:pPr>
        <w:pStyle w:val="FootnoteText"/>
      </w:pPr>
      <w:r>
        <w:rPr>
          <w:rStyle w:val="FootnoteReference"/>
        </w:rPr>
        <w:footnoteRef/>
      </w:r>
      <w:r>
        <w:t xml:space="preserve"> Brent, Robert. 2006. Aplied Cost Benefit Analysis</w:t>
      </w:r>
    </w:p>
  </w:footnote>
  <w:footnote w:id="37">
    <w:p w:rsidR="00E831D7" w:rsidRDefault="00E831D7">
      <w:pPr>
        <w:pStyle w:val="FootnoteText"/>
      </w:pPr>
      <w:r>
        <w:rPr>
          <w:rStyle w:val="FootnoteReference"/>
        </w:rPr>
        <w:footnoteRef/>
      </w:r>
      <w:r>
        <w:t xml:space="preserve"> Even though an increased collection rate can be accounted as a transfer of wealth from the private sector to the Government, in this case it is assumed that through improved tax collection systems welfare is generated through greater efficiencies and that the taxes collected would not have been collected without the measures.</w:t>
      </w:r>
    </w:p>
  </w:footnote>
  <w:footnote w:id="38">
    <w:p w:rsidR="00E831D7" w:rsidRDefault="00E831D7">
      <w:pPr>
        <w:pStyle w:val="FootnoteText"/>
      </w:pPr>
      <w:r>
        <w:rPr>
          <w:rStyle w:val="FootnoteReference"/>
        </w:rPr>
        <w:footnoteRef/>
      </w:r>
      <w:r>
        <w:t xml:space="preserve"> Jones. L, Tandon, P and Vogelsang, I. 1990. Selling Public Enterprises. A Cost/Benefit Methodology. MIT Press. London, England.</w:t>
      </w:r>
    </w:p>
  </w:footnote>
  <w:footnote w:id="39">
    <w:p w:rsidR="00E831D7" w:rsidRDefault="00E831D7" w:rsidP="00914A50">
      <w:pPr>
        <w:pStyle w:val="FootnoteText"/>
      </w:pPr>
      <w:r>
        <w:rPr>
          <w:rStyle w:val="FootnoteReference"/>
        </w:rPr>
        <w:footnoteRef/>
      </w:r>
      <w:r>
        <w:t xml:space="preserve"> The Supply and Demand side of Credit Market Information. 2013. January, McIntosh and Sadoulet. Journal of Development </w:t>
      </w:r>
      <w:r w:rsidR="00EB0FE2">
        <w:t>Economics</w:t>
      </w:r>
      <w:r>
        <w:t>. Evidence is provided through a randomized experiment on how the implementation of a Credit Bureau in Guatemala and the reduction of asymmetric information generated a large increase in turnover of clients, introduced new borrowers to the system, increased loan size for small and solidarity debtors and a dramatic increase in payment per</w:t>
      </w:r>
      <w:r w:rsidR="00EB0FE2">
        <w:t>formance.</w:t>
      </w:r>
    </w:p>
  </w:footnote>
  <w:footnote w:id="40">
    <w:p w:rsidR="00E831D7" w:rsidRDefault="00E831D7" w:rsidP="00914A50">
      <w:pPr>
        <w:pStyle w:val="FootnoteText"/>
      </w:pPr>
      <w:r>
        <w:rPr>
          <w:rStyle w:val="FootnoteReference"/>
        </w:rPr>
        <w:footnoteRef/>
      </w:r>
      <w:r>
        <w:t xml:space="preserve"> Experimental evidence in Returns to Capital and Access to Finance in Mexico. 2008. McKinsey and Woodruf. Oxford Univer</w:t>
      </w:r>
      <w:r w:rsidR="00EB0FE2">
        <w:t>s</w:t>
      </w:r>
      <w:bookmarkStart w:id="27" w:name="_GoBack"/>
      <w:bookmarkEnd w:id="27"/>
      <w:r>
        <w:t>ity Press. Through a randomized control trail experiment, the study found that financially constrained firms can increase their return to capital (10-20% for small to medium sized firms) when given access to capital. Furthermore, the results show how constraints on finance affect productivity.</w:t>
      </w:r>
    </w:p>
  </w:footnote>
  <w:footnote w:id="41">
    <w:p w:rsidR="00E831D7" w:rsidRDefault="00E831D7">
      <w:pPr>
        <w:pStyle w:val="FootnoteText"/>
      </w:pPr>
      <w:r>
        <w:rPr>
          <w:rStyle w:val="FootnoteReference"/>
        </w:rPr>
        <w:footnoteRef/>
      </w:r>
      <w:r>
        <w:t xml:space="preserve"> Feder. G. Nishio. A. 1998. The Benefits of Land Registration and Titling: Economics and Social Property. Land Use Policy.</w:t>
      </w:r>
    </w:p>
  </w:footnote>
  <w:footnote w:id="42">
    <w:p w:rsidR="00E831D7" w:rsidRDefault="00E831D7" w:rsidP="007B68CD">
      <w:pPr>
        <w:pStyle w:val="Default"/>
      </w:pPr>
      <w:r>
        <w:rPr>
          <w:rStyle w:val="FootnoteReference"/>
        </w:rPr>
        <w:footnoteRef/>
      </w:r>
      <w:r>
        <w:t xml:space="preserve"> </w:t>
      </w:r>
      <w:r w:rsidRPr="007B68CD">
        <w:rPr>
          <w:rFonts w:asciiTheme="minorHAnsi" w:hAnsiTheme="minorHAnsi"/>
          <w:sz w:val="20"/>
          <w:szCs w:val="20"/>
        </w:rPr>
        <w:t xml:space="preserve">Domehers, D. Abdulaui. R. 2010.  </w:t>
      </w:r>
      <w:r w:rsidRPr="007B68CD">
        <w:rPr>
          <w:rFonts w:asciiTheme="minorHAnsi" w:hAnsiTheme="minorHAnsi"/>
          <w:bCs/>
          <w:sz w:val="20"/>
          <w:szCs w:val="20"/>
        </w:rPr>
        <w:t xml:space="preserve">Land Registration and Access to Small Enterprise Credit: Preliminary Findings. </w:t>
      </w:r>
      <w:r w:rsidRPr="007B68CD">
        <w:rPr>
          <w:rFonts w:asciiTheme="minorHAnsi" w:hAnsiTheme="minorHAnsi"/>
          <w:iCs/>
          <w:sz w:val="20"/>
          <w:szCs w:val="20"/>
        </w:rPr>
        <w:t>Liverpool John Moores University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1D7" w:rsidRDefault="00E831D7">
    <w:pPr>
      <w:pStyle w:val="Header"/>
    </w:pPr>
    <w:r>
      <w:t>Optional Link 1</w:t>
    </w:r>
    <w:r w:rsidR="007A560A">
      <w:t>4</w:t>
    </w:r>
    <w:r>
      <w:t xml:space="preserve"> Cost Benefit Analysis</w:t>
    </w:r>
  </w:p>
  <w:p w:rsidR="00E831D7" w:rsidRDefault="00E831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1505"/>
    <w:multiLevelType w:val="hybridMultilevel"/>
    <w:tmpl w:val="4B080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2E2B89"/>
    <w:multiLevelType w:val="hybridMultilevel"/>
    <w:tmpl w:val="E7E4B8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DAB7FC9"/>
    <w:multiLevelType w:val="multilevel"/>
    <w:tmpl w:val="E1B2F9A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0FE16DF9"/>
    <w:multiLevelType w:val="multilevel"/>
    <w:tmpl w:val="7E0E6536"/>
    <w:lvl w:ilvl="0">
      <w:start w:val="1"/>
      <w:numFmt w:val="upperRoman"/>
      <w:lvlText w:val="%1."/>
      <w:lvlJc w:val="left"/>
      <w:pPr>
        <w:ind w:left="720" w:hanging="360"/>
      </w:pPr>
      <w:rPr>
        <w:rFonts w:ascii="Times New Roman" w:eastAsiaTheme="minorHAnsi" w:hAnsi="Times New Roman" w:cstheme="minorBidi"/>
        <w:b/>
      </w:rPr>
    </w:lvl>
    <w:lvl w:ilvl="1">
      <w:start w:val="1"/>
      <w:numFmt w:val="decimal"/>
      <w:isLgl/>
      <w:lvlText w:val="%1.%2"/>
      <w:lvlJc w:val="left"/>
      <w:pPr>
        <w:ind w:left="9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109B2B36"/>
    <w:multiLevelType w:val="hybridMultilevel"/>
    <w:tmpl w:val="8C60B1C2"/>
    <w:lvl w:ilvl="0" w:tplc="BEA8E16C">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8B56B0"/>
    <w:multiLevelType w:val="hybridMultilevel"/>
    <w:tmpl w:val="A7F4D0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6A7554"/>
    <w:multiLevelType w:val="hybridMultilevel"/>
    <w:tmpl w:val="F65A9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A35CB2"/>
    <w:multiLevelType w:val="hybridMultilevel"/>
    <w:tmpl w:val="EA766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FF3D51"/>
    <w:multiLevelType w:val="multilevel"/>
    <w:tmpl w:val="62E45DBC"/>
    <w:lvl w:ilvl="0">
      <w:start w:val="1"/>
      <w:numFmt w:val="upperRoman"/>
      <w:lvlText w:val="%1."/>
      <w:lvlJc w:val="center"/>
      <w:pPr>
        <w:tabs>
          <w:tab w:val="num" w:pos="2088"/>
        </w:tabs>
        <w:ind w:left="1440" w:firstLine="288"/>
      </w:pPr>
      <w:rPr>
        <w:b/>
        <w:i w:val="0"/>
      </w:rPr>
    </w:lvl>
    <w:lvl w:ilvl="1">
      <w:start w:val="1"/>
      <w:numFmt w:val="decimal"/>
      <w:isLgl/>
      <w:lvlText w:val="%1.%2"/>
      <w:lvlJc w:val="left"/>
      <w:pPr>
        <w:tabs>
          <w:tab w:val="num" w:pos="1386"/>
        </w:tabs>
        <w:ind w:left="138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9">
    <w:nsid w:val="2CBB383F"/>
    <w:multiLevelType w:val="hybridMultilevel"/>
    <w:tmpl w:val="2D64E06A"/>
    <w:lvl w:ilvl="0" w:tplc="BD2E3CEE">
      <w:start w:val="1"/>
      <w:numFmt w:val="decimal"/>
      <w:lvlText w:val="%1."/>
      <w:lvlJc w:val="left"/>
      <w:pPr>
        <w:ind w:left="720" w:hanging="360"/>
      </w:pPr>
    </w:lvl>
    <w:lvl w:ilvl="1" w:tplc="F284560C" w:tentative="1">
      <w:start w:val="1"/>
      <w:numFmt w:val="lowerLetter"/>
      <w:lvlText w:val="%2."/>
      <w:lvlJc w:val="left"/>
      <w:pPr>
        <w:ind w:left="1440" w:hanging="360"/>
      </w:pPr>
    </w:lvl>
    <w:lvl w:ilvl="2" w:tplc="7644AD7E" w:tentative="1">
      <w:start w:val="1"/>
      <w:numFmt w:val="lowerRoman"/>
      <w:lvlText w:val="%3."/>
      <w:lvlJc w:val="right"/>
      <w:pPr>
        <w:ind w:left="2160" w:hanging="180"/>
      </w:pPr>
    </w:lvl>
    <w:lvl w:ilvl="3" w:tplc="4394F77A" w:tentative="1">
      <w:start w:val="1"/>
      <w:numFmt w:val="decimal"/>
      <w:lvlText w:val="%4."/>
      <w:lvlJc w:val="left"/>
      <w:pPr>
        <w:ind w:left="2880" w:hanging="360"/>
      </w:pPr>
    </w:lvl>
    <w:lvl w:ilvl="4" w:tplc="A1FA7F64" w:tentative="1">
      <w:start w:val="1"/>
      <w:numFmt w:val="lowerLetter"/>
      <w:lvlText w:val="%5."/>
      <w:lvlJc w:val="left"/>
      <w:pPr>
        <w:ind w:left="3600" w:hanging="360"/>
      </w:pPr>
    </w:lvl>
    <w:lvl w:ilvl="5" w:tplc="9DEE509A" w:tentative="1">
      <w:start w:val="1"/>
      <w:numFmt w:val="lowerRoman"/>
      <w:lvlText w:val="%6."/>
      <w:lvlJc w:val="right"/>
      <w:pPr>
        <w:ind w:left="4320" w:hanging="180"/>
      </w:pPr>
    </w:lvl>
    <w:lvl w:ilvl="6" w:tplc="7B4A5906" w:tentative="1">
      <w:start w:val="1"/>
      <w:numFmt w:val="decimal"/>
      <w:lvlText w:val="%7."/>
      <w:lvlJc w:val="left"/>
      <w:pPr>
        <w:ind w:left="5040" w:hanging="360"/>
      </w:pPr>
    </w:lvl>
    <w:lvl w:ilvl="7" w:tplc="9A4E29E4" w:tentative="1">
      <w:start w:val="1"/>
      <w:numFmt w:val="lowerLetter"/>
      <w:lvlText w:val="%8."/>
      <w:lvlJc w:val="left"/>
      <w:pPr>
        <w:ind w:left="5760" w:hanging="360"/>
      </w:pPr>
    </w:lvl>
    <w:lvl w:ilvl="8" w:tplc="68C48B7C" w:tentative="1">
      <w:start w:val="1"/>
      <w:numFmt w:val="lowerRoman"/>
      <w:lvlText w:val="%9."/>
      <w:lvlJc w:val="right"/>
      <w:pPr>
        <w:ind w:left="6480" w:hanging="180"/>
      </w:pPr>
    </w:lvl>
  </w:abstractNum>
  <w:abstractNum w:abstractNumId="10">
    <w:nsid w:val="3461231E"/>
    <w:multiLevelType w:val="multilevel"/>
    <w:tmpl w:val="0F70A1A0"/>
    <w:lvl w:ilvl="0">
      <w:start w:val="1"/>
      <w:numFmt w:val="decimal"/>
      <w:lvlText w:val="%1."/>
      <w:lvlJc w:val="left"/>
      <w:pPr>
        <w:ind w:left="720" w:hanging="360"/>
      </w:pPr>
      <w:rPr>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3574559B"/>
    <w:multiLevelType w:val="hybridMultilevel"/>
    <w:tmpl w:val="CC2E8190"/>
    <w:lvl w:ilvl="0" w:tplc="C3ECE342">
      <w:start w:val="1"/>
      <w:numFmt w:val="decimal"/>
      <w:lvlText w:val="%1."/>
      <w:lvlJc w:val="left"/>
      <w:pPr>
        <w:ind w:left="720" w:hanging="360"/>
      </w:pPr>
    </w:lvl>
    <w:lvl w:ilvl="1" w:tplc="18480B14" w:tentative="1">
      <w:start w:val="1"/>
      <w:numFmt w:val="lowerLetter"/>
      <w:lvlText w:val="%2."/>
      <w:lvlJc w:val="left"/>
      <w:pPr>
        <w:ind w:left="1440" w:hanging="360"/>
      </w:pPr>
    </w:lvl>
    <w:lvl w:ilvl="2" w:tplc="4B6A7002" w:tentative="1">
      <w:start w:val="1"/>
      <w:numFmt w:val="lowerRoman"/>
      <w:lvlText w:val="%3."/>
      <w:lvlJc w:val="right"/>
      <w:pPr>
        <w:ind w:left="2160" w:hanging="180"/>
      </w:pPr>
    </w:lvl>
    <w:lvl w:ilvl="3" w:tplc="59660AC2" w:tentative="1">
      <w:start w:val="1"/>
      <w:numFmt w:val="decimal"/>
      <w:lvlText w:val="%4."/>
      <w:lvlJc w:val="left"/>
      <w:pPr>
        <w:ind w:left="2880" w:hanging="360"/>
      </w:pPr>
    </w:lvl>
    <w:lvl w:ilvl="4" w:tplc="38E0623C" w:tentative="1">
      <w:start w:val="1"/>
      <w:numFmt w:val="lowerLetter"/>
      <w:lvlText w:val="%5."/>
      <w:lvlJc w:val="left"/>
      <w:pPr>
        <w:ind w:left="3600" w:hanging="360"/>
      </w:pPr>
    </w:lvl>
    <w:lvl w:ilvl="5" w:tplc="0C1E2A90" w:tentative="1">
      <w:start w:val="1"/>
      <w:numFmt w:val="lowerRoman"/>
      <w:lvlText w:val="%6."/>
      <w:lvlJc w:val="right"/>
      <w:pPr>
        <w:ind w:left="4320" w:hanging="180"/>
      </w:pPr>
    </w:lvl>
    <w:lvl w:ilvl="6" w:tplc="39607F70" w:tentative="1">
      <w:start w:val="1"/>
      <w:numFmt w:val="decimal"/>
      <w:lvlText w:val="%7."/>
      <w:lvlJc w:val="left"/>
      <w:pPr>
        <w:ind w:left="5040" w:hanging="360"/>
      </w:pPr>
    </w:lvl>
    <w:lvl w:ilvl="7" w:tplc="49D84E26" w:tentative="1">
      <w:start w:val="1"/>
      <w:numFmt w:val="lowerLetter"/>
      <w:lvlText w:val="%8."/>
      <w:lvlJc w:val="left"/>
      <w:pPr>
        <w:ind w:left="5760" w:hanging="360"/>
      </w:pPr>
    </w:lvl>
    <w:lvl w:ilvl="8" w:tplc="945E4770" w:tentative="1">
      <w:start w:val="1"/>
      <w:numFmt w:val="lowerRoman"/>
      <w:lvlText w:val="%9."/>
      <w:lvlJc w:val="right"/>
      <w:pPr>
        <w:ind w:left="6480" w:hanging="180"/>
      </w:pPr>
    </w:lvl>
  </w:abstractNum>
  <w:abstractNum w:abstractNumId="12">
    <w:nsid w:val="386C3C4C"/>
    <w:multiLevelType w:val="hybridMultilevel"/>
    <w:tmpl w:val="E586F136"/>
    <w:lvl w:ilvl="0" w:tplc="D00E4B76">
      <w:start w:val="1"/>
      <w:numFmt w:val="lowerLetter"/>
      <w:lvlText w:val="%1."/>
      <w:lvlJc w:val="left"/>
      <w:pPr>
        <w:ind w:left="720" w:hanging="360"/>
      </w:pPr>
    </w:lvl>
    <w:lvl w:ilvl="1" w:tplc="85FA2B1C" w:tentative="1">
      <w:start w:val="1"/>
      <w:numFmt w:val="lowerLetter"/>
      <w:lvlText w:val="%2."/>
      <w:lvlJc w:val="left"/>
      <w:pPr>
        <w:ind w:left="1440" w:hanging="360"/>
      </w:pPr>
    </w:lvl>
    <w:lvl w:ilvl="2" w:tplc="22E62150" w:tentative="1">
      <w:start w:val="1"/>
      <w:numFmt w:val="lowerRoman"/>
      <w:lvlText w:val="%3."/>
      <w:lvlJc w:val="right"/>
      <w:pPr>
        <w:ind w:left="2160" w:hanging="180"/>
      </w:pPr>
    </w:lvl>
    <w:lvl w:ilvl="3" w:tplc="800A7A92" w:tentative="1">
      <w:start w:val="1"/>
      <w:numFmt w:val="decimal"/>
      <w:lvlText w:val="%4."/>
      <w:lvlJc w:val="left"/>
      <w:pPr>
        <w:ind w:left="2880" w:hanging="360"/>
      </w:pPr>
    </w:lvl>
    <w:lvl w:ilvl="4" w:tplc="D1B6DD7E" w:tentative="1">
      <w:start w:val="1"/>
      <w:numFmt w:val="lowerLetter"/>
      <w:lvlText w:val="%5."/>
      <w:lvlJc w:val="left"/>
      <w:pPr>
        <w:ind w:left="3600" w:hanging="360"/>
      </w:pPr>
    </w:lvl>
    <w:lvl w:ilvl="5" w:tplc="BB008C72" w:tentative="1">
      <w:start w:val="1"/>
      <w:numFmt w:val="lowerRoman"/>
      <w:lvlText w:val="%6."/>
      <w:lvlJc w:val="right"/>
      <w:pPr>
        <w:ind w:left="4320" w:hanging="180"/>
      </w:pPr>
    </w:lvl>
    <w:lvl w:ilvl="6" w:tplc="54188438" w:tentative="1">
      <w:start w:val="1"/>
      <w:numFmt w:val="decimal"/>
      <w:lvlText w:val="%7."/>
      <w:lvlJc w:val="left"/>
      <w:pPr>
        <w:ind w:left="5040" w:hanging="360"/>
      </w:pPr>
    </w:lvl>
    <w:lvl w:ilvl="7" w:tplc="E29E70A4" w:tentative="1">
      <w:start w:val="1"/>
      <w:numFmt w:val="lowerLetter"/>
      <w:lvlText w:val="%8."/>
      <w:lvlJc w:val="left"/>
      <w:pPr>
        <w:ind w:left="5760" w:hanging="360"/>
      </w:pPr>
    </w:lvl>
    <w:lvl w:ilvl="8" w:tplc="C83E7F12" w:tentative="1">
      <w:start w:val="1"/>
      <w:numFmt w:val="lowerRoman"/>
      <w:lvlText w:val="%9."/>
      <w:lvlJc w:val="right"/>
      <w:pPr>
        <w:ind w:left="6480" w:hanging="180"/>
      </w:pPr>
    </w:lvl>
  </w:abstractNum>
  <w:abstractNum w:abstractNumId="13">
    <w:nsid w:val="39610E85"/>
    <w:multiLevelType w:val="hybridMultilevel"/>
    <w:tmpl w:val="5CEE6CD0"/>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C96664"/>
    <w:multiLevelType w:val="hybridMultilevel"/>
    <w:tmpl w:val="A7A4E9B0"/>
    <w:lvl w:ilvl="0" w:tplc="04090019">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67F0B28"/>
    <w:multiLevelType w:val="hybridMultilevel"/>
    <w:tmpl w:val="D422C7E8"/>
    <w:lvl w:ilvl="0" w:tplc="04090019">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601D7166"/>
    <w:multiLevelType w:val="hybridMultilevel"/>
    <w:tmpl w:val="2FD2F5C6"/>
    <w:lvl w:ilvl="0" w:tplc="AF76BDE6">
      <w:start w:val="1"/>
      <w:numFmt w:val="decimal"/>
      <w:lvlText w:val="%1."/>
      <w:lvlJc w:val="left"/>
      <w:pPr>
        <w:tabs>
          <w:tab w:val="num" w:pos="1080"/>
        </w:tabs>
        <w:ind w:left="1080" w:hanging="360"/>
      </w:pPr>
      <w:rPr>
        <w:rFonts w:hint="default"/>
      </w:rPr>
    </w:lvl>
    <w:lvl w:ilvl="1" w:tplc="04090019">
      <w:start w:val="1"/>
      <w:numFmt w:val="lowerRoman"/>
      <w:lvlText w:val="(%2)"/>
      <w:lvlJc w:val="left"/>
      <w:pPr>
        <w:tabs>
          <w:tab w:val="num" w:pos="2520"/>
        </w:tabs>
        <w:ind w:left="2520" w:hanging="108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0944790"/>
    <w:multiLevelType w:val="hybridMultilevel"/>
    <w:tmpl w:val="2F867918"/>
    <w:lvl w:ilvl="0" w:tplc="DA4AEF82">
      <w:start w:val="1"/>
      <w:numFmt w:val="lowerLetter"/>
      <w:lvlText w:val="%1."/>
      <w:lvlJc w:val="left"/>
      <w:pPr>
        <w:ind w:left="1440" w:hanging="360"/>
      </w:pPr>
    </w:lvl>
    <w:lvl w:ilvl="1" w:tplc="495E1EE6"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09E666D"/>
    <w:multiLevelType w:val="hybridMultilevel"/>
    <w:tmpl w:val="3D66CF44"/>
    <w:lvl w:ilvl="0" w:tplc="B76E713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
    <w:nsid w:val="68A1379D"/>
    <w:multiLevelType w:val="multilevel"/>
    <w:tmpl w:val="F06030C8"/>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20">
    <w:nsid w:val="70AF3A9E"/>
    <w:multiLevelType w:val="multilevel"/>
    <w:tmpl w:val="B04E4EE6"/>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75E64F9D"/>
    <w:multiLevelType w:val="hybridMultilevel"/>
    <w:tmpl w:val="EB0A9DF0"/>
    <w:lvl w:ilvl="0" w:tplc="B100D2A6">
      <w:start w:val="1"/>
      <w:numFmt w:val="lowerLetter"/>
      <w:lvlText w:val="%1."/>
      <w:lvlJc w:val="left"/>
      <w:pPr>
        <w:ind w:left="720" w:hanging="360"/>
      </w:pPr>
    </w:lvl>
    <w:lvl w:ilvl="1" w:tplc="A13019F4" w:tentative="1">
      <w:start w:val="1"/>
      <w:numFmt w:val="lowerLetter"/>
      <w:lvlText w:val="%2."/>
      <w:lvlJc w:val="left"/>
      <w:pPr>
        <w:ind w:left="1440" w:hanging="360"/>
      </w:pPr>
    </w:lvl>
    <w:lvl w:ilvl="2" w:tplc="EBB4DB1C" w:tentative="1">
      <w:start w:val="1"/>
      <w:numFmt w:val="lowerRoman"/>
      <w:lvlText w:val="%3."/>
      <w:lvlJc w:val="right"/>
      <w:pPr>
        <w:ind w:left="2160" w:hanging="180"/>
      </w:pPr>
    </w:lvl>
    <w:lvl w:ilvl="3" w:tplc="51DCDD58" w:tentative="1">
      <w:start w:val="1"/>
      <w:numFmt w:val="decimal"/>
      <w:lvlText w:val="%4."/>
      <w:lvlJc w:val="left"/>
      <w:pPr>
        <w:ind w:left="2880" w:hanging="360"/>
      </w:pPr>
    </w:lvl>
    <w:lvl w:ilvl="4" w:tplc="0B8E8124" w:tentative="1">
      <w:start w:val="1"/>
      <w:numFmt w:val="lowerLetter"/>
      <w:lvlText w:val="%5."/>
      <w:lvlJc w:val="left"/>
      <w:pPr>
        <w:ind w:left="3600" w:hanging="360"/>
      </w:pPr>
    </w:lvl>
    <w:lvl w:ilvl="5" w:tplc="DC567BAA" w:tentative="1">
      <w:start w:val="1"/>
      <w:numFmt w:val="lowerRoman"/>
      <w:lvlText w:val="%6."/>
      <w:lvlJc w:val="right"/>
      <w:pPr>
        <w:ind w:left="4320" w:hanging="180"/>
      </w:pPr>
    </w:lvl>
    <w:lvl w:ilvl="6" w:tplc="C3D4169A" w:tentative="1">
      <w:start w:val="1"/>
      <w:numFmt w:val="decimal"/>
      <w:lvlText w:val="%7."/>
      <w:lvlJc w:val="left"/>
      <w:pPr>
        <w:ind w:left="5040" w:hanging="360"/>
      </w:pPr>
    </w:lvl>
    <w:lvl w:ilvl="7" w:tplc="72E8D384" w:tentative="1">
      <w:start w:val="1"/>
      <w:numFmt w:val="lowerLetter"/>
      <w:lvlText w:val="%8."/>
      <w:lvlJc w:val="left"/>
      <w:pPr>
        <w:ind w:left="5760" w:hanging="360"/>
      </w:pPr>
    </w:lvl>
    <w:lvl w:ilvl="8" w:tplc="08FACB20" w:tentative="1">
      <w:start w:val="1"/>
      <w:numFmt w:val="lowerRoman"/>
      <w:lvlText w:val="%9."/>
      <w:lvlJc w:val="right"/>
      <w:pPr>
        <w:ind w:left="6480" w:hanging="180"/>
      </w:pPr>
    </w:lvl>
  </w:abstractNum>
  <w:abstractNum w:abstractNumId="22">
    <w:nsid w:val="78EB1D46"/>
    <w:multiLevelType w:val="hybridMultilevel"/>
    <w:tmpl w:val="7F486656"/>
    <w:lvl w:ilvl="0" w:tplc="15FA9EFE">
      <w:start w:val="1"/>
      <w:numFmt w:val="bullet"/>
      <w:lvlText w:val=""/>
      <w:lvlJc w:val="left"/>
      <w:pPr>
        <w:tabs>
          <w:tab w:val="num" w:pos="720"/>
        </w:tabs>
        <w:ind w:left="720" w:hanging="360"/>
      </w:pPr>
      <w:rPr>
        <w:rFonts w:ascii="Wingdings 2" w:hAnsi="Wingdings 2" w:hint="default"/>
      </w:rPr>
    </w:lvl>
    <w:lvl w:ilvl="1" w:tplc="1CCABEEC">
      <w:start w:val="1174"/>
      <w:numFmt w:val="bullet"/>
      <w:lvlText w:val=""/>
      <w:lvlJc w:val="left"/>
      <w:pPr>
        <w:tabs>
          <w:tab w:val="num" w:pos="1440"/>
        </w:tabs>
        <w:ind w:left="1440" w:hanging="360"/>
      </w:pPr>
      <w:rPr>
        <w:rFonts w:ascii="Wingdings 2" w:hAnsi="Wingdings 2" w:hint="default"/>
      </w:rPr>
    </w:lvl>
    <w:lvl w:ilvl="2" w:tplc="1F3ED6DC" w:tentative="1">
      <w:start w:val="1"/>
      <w:numFmt w:val="bullet"/>
      <w:lvlText w:val=""/>
      <w:lvlJc w:val="left"/>
      <w:pPr>
        <w:tabs>
          <w:tab w:val="num" w:pos="2160"/>
        </w:tabs>
        <w:ind w:left="2160" w:hanging="360"/>
      </w:pPr>
      <w:rPr>
        <w:rFonts w:ascii="Wingdings 2" w:hAnsi="Wingdings 2" w:hint="default"/>
      </w:rPr>
    </w:lvl>
    <w:lvl w:ilvl="3" w:tplc="78B8CE0E" w:tentative="1">
      <w:start w:val="1"/>
      <w:numFmt w:val="bullet"/>
      <w:lvlText w:val=""/>
      <w:lvlJc w:val="left"/>
      <w:pPr>
        <w:tabs>
          <w:tab w:val="num" w:pos="2880"/>
        </w:tabs>
        <w:ind w:left="2880" w:hanging="360"/>
      </w:pPr>
      <w:rPr>
        <w:rFonts w:ascii="Wingdings 2" w:hAnsi="Wingdings 2" w:hint="default"/>
      </w:rPr>
    </w:lvl>
    <w:lvl w:ilvl="4" w:tplc="81EE1F72" w:tentative="1">
      <w:start w:val="1"/>
      <w:numFmt w:val="bullet"/>
      <w:lvlText w:val=""/>
      <w:lvlJc w:val="left"/>
      <w:pPr>
        <w:tabs>
          <w:tab w:val="num" w:pos="3600"/>
        </w:tabs>
        <w:ind w:left="3600" w:hanging="360"/>
      </w:pPr>
      <w:rPr>
        <w:rFonts w:ascii="Wingdings 2" w:hAnsi="Wingdings 2" w:hint="default"/>
      </w:rPr>
    </w:lvl>
    <w:lvl w:ilvl="5" w:tplc="C7B4CD6C" w:tentative="1">
      <w:start w:val="1"/>
      <w:numFmt w:val="bullet"/>
      <w:lvlText w:val=""/>
      <w:lvlJc w:val="left"/>
      <w:pPr>
        <w:tabs>
          <w:tab w:val="num" w:pos="4320"/>
        </w:tabs>
        <w:ind w:left="4320" w:hanging="360"/>
      </w:pPr>
      <w:rPr>
        <w:rFonts w:ascii="Wingdings 2" w:hAnsi="Wingdings 2" w:hint="default"/>
      </w:rPr>
    </w:lvl>
    <w:lvl w:ilvl="6" w:tplc="1E84F59A" w:tentative="1">
      <w:start w:val="1"/>
      <w:numFmt w:val="bullet"/>
      <w:lvlText w:val=""/>
      <w:lvlJc w:val="left"/>
      <w:pPr>
        <w:tabs>
          <w:tab w:val="num" w:pos="5040"/>
        </w:tabs>
        <w:ind w:left="5040" w:hanging="360"/>
      </w:pPr>
      <w:rPr>
        <w:rFonts w:ascii="Wingdings 2" w:hAnsi="Wingdings 2" w:hint="default"/>
      </w:rPr>
    </w:lvl>
    <w:lvl w:ilvl="7" w:tplc="AE20882A" w:tentative="1">
      <w:start w:val="1"/>
      <w:numFmt w:val="bullet"/>
      <w:lvlText w:val=""/>
      <w:lvlJc w:val="left"/>
      <w:pPr>
        <w:tabs>
          <w:tab w:val="num" w:pos="5760"/>
        </w:tabs>
        <w:ind w:left="5760" w:hanging="360"/>
      </w:pPr>
      <w:rPr>
        <w:rFonts w:ascii="Wingdings 2" w:hAnsi="Wingdings 2" w:hint="default"/>
      </w:rPr>
    </w:lvl>
    <w:lvl w:ilvl="8" w:tplc="17D48D54" w:tentative="1">
      <w:start w:val="1"/>
      <w:numFmt w:val="bullet"/>
      <w:lvlText w:val=""/>
      <w:lvlJc w:val="left"/>
      <w:pPr>
        <w:tabs>
          <w:tab w:val="num" w:pos="6480"/>
        </w:tabs>
        <w:ind w:left="6480" w:hanging="360"/>
      </w:pPr>
      <w:rPr>
        <w:rFonts w:ascii="Wingdings 2" w:hAnsi="Wingdings 2" w:hint="default"/>
      </w:rPr>
    </w:lvl>
  </w:abstractNum>
  <w:abstractNum w:abstractNumId="23">
    <w:nsid w:val="7EB67099"/>
    <w:multiLevelType w:val="multilevel"/>
    <w:tmpl w:val="0F70A1A0"/>
    <w:lvl w:ilvl="0">
      <w:start w:val="1"/>
      <w:numFmt w:val="decimal"/>
      <w:lvlText w:val="%1."/>
      <w:lvlJc w:val="left"/>
      <w:pPr>
        <w:ind w:left="720" w:hanging="360"/>
      </w:pPr>
      <w:rPr>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
  </w:num>
  <w:num w:numId="2">
    <w:abstractNumId w:val="3"/>
  </w:num>
  <w:num w:numId="3">
    <w:abstractNumId w:val="5"/>
  </w:num>
  <w:num w:numId="4">
    <w:abstractNumId w:val="21"/>
  </w:num>
  <w:num w:numId="5">
    <w:abstractNumId w:val="12"/>
  </w:num>
  <w:num w:numId="6">
    <w:abstractNumId w:val="20"/>
  </w:num>
  <w:num w:numId="7">
    <w:abstractNumId w:val="0"/>
  </w:num>
  <w:num w:numId="8">
    <w:abstractNumId w:val="9"/>
  </w:num>
  <w:num w:numId="9">
    <w:abstractNumId w:val="17"/>
  </w:num>
  <w:num w:numId="10">
    <w:abstractNumId w:val="13"/>
  </w:num>
  <w:num w:numId="11">
    <w:abstractNumId w:val="6"/>
  </w:num>
  <w:num w:numId="12">
    <w:abstractNumId w:val="10"/>
  </w:num>
  <w:num w:numId="13">
    <w:abstractNumId w:val="23"/>
  </w:num>
  <w:num w:numId="14">
    <w:abstractNumId w:val="1"/>
  </w:num>
  <w:num w:numId="15">
    <w:abstractNumId w:val="11"/>
  </w:num>
  <w:num w:numId="16">
    <w:abstractNumId w:val="14"/>
  </w:num>
  <w:num w:numId="17">
    <w:abstractNumId w:val="18"/>
  </w:num>
  <w:num w:numId="18">
    <w:abstractNumId w:val="7"/>
  </w:num>
  <w:num w:numId="19">
    <w:abstractNumId w:val="16"/>
  </w:num>
  <w:num w:numId="20">
    <w:abstractNumId w:val="15"/>
  </w:num>
  <w:num w:numId="21">
    <w:abstractNumId w:val="22"/>
  </w:num>
  <w:num w:numId="22">
    <w:abstractNumId w:val="4"/>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9"/>
  </w:num>
  <w:num w:numId="26">
    <w:abstractNumId w:val="2"/>
  </w:num>
  <w:num w:numId="27">
    <w:abstractNumId w:val="2"/>
  </w:num>
  <w:num w:numId="28">
    <w:abstractNumId w:val="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efaultTabStop w:val="720"/>
  <w:drawingGridHorizontalSpacing w:val="10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9D2"/>
    <w:rsid w:val="000005A4"/>
    <w:rsid w:val="000124D2"/>
    <w:rsid w:val="00035D5B"/>
    <w:rsid w:val="0008118A"/>
    <w:rsid w:val="00083988"/>
    <w:rsid w:val="00095A2D"/>
    <w:rsid w:val="000A122F"/>
    <w:rsid w:val="000A21D7"/>
    <w:rsid w:val="000A6180"/>
    <w:rsid w:val="000A73E5"/>
    <w:rsid w:val="000B1618"/>
    <w:rsid w:val="000B4D29"/>
    <w:rsid w:val="000B59BE"/>
    <w:rsid w:val="000C11FE"/>
    <w:rsid w:val="000D05CB"/>
    <w:rsid w:val="000D4067"/>
    <w:rsid w:val="000D6A20"/>
    <w:rsid w:val="000D6E44"/>
    <w:rsid w:val="000F4A39"/>
    <w:rsid w:val="00111453"/>
    <w:rsid w:val="00117AFB"/>
    <w:rsid w:val="001247C5"/>
    <w:rsid w:val="00133327"/>
    <w:rsid w:val="001425AB"/>
    <w:rsid w:val="0014482D"/>
    <w:rsid w:val="0014538A"/>
    <w:rsid w:val="0014547A"/>
    <w:rsid w:val="00157E53"/>
    <w:rsid w:val="001768AC"/>
    <w:rsid w:val="001837C7"/>
    <w:rsid w:val="00190965"/>
    <w:rsid w:val="00192700"/>
    <w:rsid w:val="00194AD3"/>
    <w:rsid w:val="00197CBD"/>
    <w:rsid w:val="001B0C5C"/>
    <w:rsid w:val="001B622C"/>
    <w:rsid w:val="001C6259"/>
    <w:rsid w:val="001D19DE"/>
    <w:rsid w:val="001D6CF8"/>
    <w:rsid w:val="001E2146"/>
    <w:rsid w:val="001F4E8E"/>
    <w:rsid w:val="00201A26"/>
    <w:rsid w:val="00203CF4"/>
    <w:rsid w:val="0021333D"/>
    <w:rsid w:val="00226BF6"/>
    <w:rsid w:val="002277C5"/>
    <w:rsid w:val="00232546"/>
    <w:rsid w:val="002753F2"/>
    <w:rsid w:val="002877A2"/>
    <w:rsid w:val="002906D6"/>
    <w:rsid w:val="0029779B"/>
    <w:rsid w:val="00297D49"/>
    <w:rsid w:val="002A2B15"/>
    <w:rsid w:val="002B135A"/>
    <w:rsid w:val="002C625C"/>
    <w:rsid w:val="002D398A"/>
    <w:rsid w:val="002D4191"/>
    <w:rsid w:val="002E1959"/>
    <w:rsid w:val="00303CE2"/>
    <w:rsid w:val="00311CB3"/>
    <w:rsid w:val="00336D95"/>
    <w:rsid w:val="00346B23"/>
    <w:rsid w:val="00346DCB"/>
    <w:rsid w:val="00352F08"/>
    <w:rsid w:val="00355F88"/>
    <w:rsid w:val="003576C5"/>
    <w:rsid w:val="00362374"/>
    <w:rsid w:val="0036299D"/>
    <w:rsid w:val="003732C4"/>
    <w:rsid w:val="00373FC5"/>
    <w:rsid w:val="003906B9"/>
    <w:rsid w:val="003937C8"/>
    <w:rsid w:val="003A2667"/>
    <w:rsid w:val="003C55D3"/>
    <w:rsid w:val="003C7141"/>
    <w:rsid w:val="003E13DD"/>
    <w:rsid w:val="003F4D86"/>
    <w:rsid w:val="003F669C"/>
    <w:rsid w:val="004000C2"/>
    <w:rsid w:val="0040114E"/>
    <w:rsid w:val="00420FCB"/>
    <w:rsid w:val="004250F8"/>
    <w:rsid w:val="00443D8B"/>
    <w:rsid w:val="00462A92"/>
    <w:rsid w:val="00462E2A"/>
    <w:rsid w:val="0047527B"/>
    <w:rsid w:val="00483F99"/>
    <w:rsid w:val="00494C07"/>
    <w:rsid w:val="00495F75"/>
    <w:rsid w:val="004A61B5"/>
    <w:rsid w:val="004A7878"/>
    <w:rsid w:val="004B2B79"/>
    <w:rsid w:val="004C64D3"/>
    <w:rsid w:val="004D6D33"/>
    <w:rsid w:val="004E021B"/>
    <w:rsid w:val="004E4D00"/>
    <w:rsid w:val="00504B39"/>
    <w:rsid w:val="00507094"/>
    <w:rsid w:val="0050786D"/>
    <w:rsid w:val="00511925"/>
    <w:rsid w:val="00520D9D"/>
    <w:rsid w:val="0052210B"/>
    <w:rsid w:val="0052408E"/>
    <w:rsid w:val="00532C4D"/>
    <w:rsid w:val="005525BB"/>
    <w:rsid w:val="005558B3"/>
    <w:rsid w:val="0056513D"/>
    <w:rsid w:val="00592522"/>
    <w:rsid w:val="005934D6"/>
    <w:rsid w:val="005A0574"/>
    <w:rsid w:val="005A0847"/>
    <w:rsid w:val="005B615A"/>
    <w:rsid w:val="005B76F5"/>
    <w:rsid w:val="005C6719"/>
    <w:rsid w:val="005D39D9"/>
    <w:rsid w:val="005D7D30"/>
    <w:rsid w:val="005E14BD"/>
    <w:rsid w:val="005E3211"/>
    <w:rsid w:val="005E69C2"/>
    <w:rsid w:val="005F54E8"/>
    <w:rsid w:val="005F6C06"/>
    <w:rsid w:val="0060120B"/>
    <w:rsid w:val="0060553D"/>
    <w:rsid w:val="006068AB"/>
    <w:rsid w:val="006103AF"/>
    <w:rsid w:val="00612B79"/>
    <w:rsid w:val="0061683C"/>
    <w:rsid w:val="00632B22"/>
    <w:rsid w:val="00647A3D"/>
    <w:rsid w:val="006609B5"/>
    <w:rsid w:val="00661DE9"/>
    <w:rsid w:val="00665CB7"/>
    <w:rsid w:val="006761A9"/>
    <w:rsid w:val="00676210"/>
    <w:rsid w:val="006A1C48"/>
    <w:rsid w:val="006C0AFF"/>
    <w:rsid w:val="006D09C1"/>
    <w:rsid w:val="006D4704"/>
    <w:rsid w:val="006D55CC"/>
    <w:rsid w:val="006E584D"/>
    <w:rsid w:val="006F4929"/>
    <w:rsid w:val="00711B68"/>
    <w:rsid w:val="007129F0"/>
    <w:rsid w:val="00716E4B"/>
    <w:rsid w:val="0074713C"/>
    <w:rsid w:val="00747FDB"/>
    <w:rsid w:val="00754BE9"/>
    <w:rsid w:val="00763242"/>
    <w:rsid w:val="00765797"/>
    <w:rsid w:val="00770C70"/>
    <w:rsid w:val="00772C8F"/>
    <w:rsid w:val="00777E74"/>
    <w:rsid w:val="00783471"/>
    <w:rsid w:val="00784629"/>
    <w:rsid w:val="007A05EC"/>
    <w:rsid w:val="007A5065"/>
    <w:rsid w:val="007A560A"/>
    <w:rsid w:val="007B04E0"/>
    <w:rsid w:val="007B68CD"/>
    <w:rsid w:val="007D1936"/>
    <w:rsid w:val="007D290F"/>
    <w:rsid w:val="007D3BFB"/>
    <w:rsid w:val="007D5656"/>
    <w:rsid w:val="007D7AF6"/>
    <w:rsid w:val="007E562A"/>
    <w:rsid w:val="00801130"/>
    <w:rsid w:val="00813811"/>
    <w:rsid w:val="00821288"/>
    <w:rsid w:val="00822FB1"/>
    <w:rsid w:val="008278E0"/>
    <w:rsid w:val="008432B8"/>
    <w:rsid w:val="008613A8"/>
    <w:rsid w:val="00862F29"/>
    <w:rsid w:val="00866385"/>
    <w:rsid w:val="0087057B"/>
    <w:rsid w:val="00871758"/>
    <w:rsid w:val="008771C8"/>
    <w:rsid w:val="00883BDA"/>
    <w:rsid w:val="00885FF8"/>
    <w:rsid w:val="00886D40"/>
    <w:rsid w:val="008A1DD3"/>
    <w:rsid w:val="008B4DEE"/>
    <w:rsid w:val="008C18E2"/>
    <w:rsid w:val="008C1DEE"/>
    <w:rsid w:val="008C60BB"/>
    <w:rsid w:val="008F4B70"/>
    <w:rsid w:val="008F61EB"/>
    <w:rsid w:val="008F7876"/>
    <w:rsid w:val="009074CC"/>
    <w:rsid w:val="009100A8"/>
    <w:rsid w:val="00910F65"/>
    <w:rsid w:val="00914A50"/>
    <w:rsid w:val="00920F48"/>
    <w:rsid w:val="00923AB9"/>
    <w:rsid w:val="00925B73"/>
    <w:rsid w:val="00945CBE"/>
    <w:rsid w:val="0094640C"/>
    <w:rsid w:val="00961CEA"/>
    <w:rsid w:val="00977724"/>
    <w:rsid w:val="009832A2"/>
    <w:rsid w:val="009A180C"/>
    <w:rsid w:val="009B187D"/>
    <w:rsid w:val="009D1259"/>
    <w:rsid w:val="009D451B"/>
    <w:rsid w:val="009E6682"/>
    <w:rsid w:val="009F0B1E"/>
    <w:rsid w:val="009F3130"/>
    <w:rsid w:val="009F4E67"/>
    <w:rsid w:val="00A00BDE"/>
    <w:rsid w:val="00A20DD5"/>
    <w:rsid w:val="00A33DA4"/>
    <w:rsid w:val="00A41248"/>
    <w:rsid w:val="00A415C9"/>
    <w:rsid w:val="00A5684F"/>
    <w:rsid w:val="00A56D65"/>
    <w:rsid w:val="00A60A7A"/>
    <w:rsid w:val="00A61C01"/>
    <w:rsid w:val="00A70857"/>
    <w:rsid w:val="00A8686B"/>
    <w:rsid w:val="00AA0D7B"/>
    <w:rsid w:val="00AA7FDE"/>
    <w:rsid w:val="00AB4296"/>
    <w:rsid w:val="00AC3B66"/>
    <w:rsid w:val="00AC53DF"/>
    <w:rsid w:val="00AC7471"/>
    <w:rsid w:val="00AD034E"/>
    <w:rsid w:val="00AD3FAC"/>
    <w:rsid w:val="00AE0712"/>
    <w:rsid w:val="00AF0C7B"/>
    <w:rsid w:val="00AF3774"/>
    <w:rsid w:val="00B055F8"/>
    <w:rsid w:val="00B1350F"/>
    <w:rsid w:val="00B20E9C"/>
    <w:rsid w:val="00B421BF"/>
    <w:rsid w:val="00B806A1"/>
    <w:rsid w:val="00B852B0"/>
    <w:rsid w:val="00B85566"/>
    <w:rsid w:val="00B8575F"/>
    <w:rsid w:val="00B93B72"/>
    <w:rsid w:val="00B96B3F"/>
    <w:rsid w:val="00BA2A50"/>
    <w:rsid w:val="00BA387E"/>
    <w:rsid w:val="00BA3A7F"/>
    <w:rsid w:val="00BB01C9"/>
    <w:rsid w:val="00BC4217"/>
    <w:rsid w:val="00C234E7"/>
    <w:rsid w:val="00C30303"/>
    <w:rsid w:val="00C34518"/>
    <w:rsid w:val="00C42686"/>
    <w:rsid w:val="00C44804"/>
    <w:rsid w:val="00C50309"/>
    <w:rsid w:val="00C53EBC"/>
    <w:rsid w:val="00C5538C"/>
    <w:rsid w:val="00C60D4D"/>
    <w:rsid w:val="00C652BB"/>
    <w:rsid w:val="00C73B4A"/>
    <w:rsid w:val="00CA07A8"/>
    <w:rsid w:val="00CA25DE"/>
    <w:rsid w:val="00CB1734"/>
    <w:rsid w:val="00CB577C"/>
    <w:rsid w:val="00CB645B"/>
    <w:rsid w:val="00CD4499"/>
    <w:rsid w:val="00D06EA3"/>
    <w:rsid w:val="00D110F3"/>
    <w:rsid w:val="00D22E14"/>
    <w:rsid w:val="00D43993"/>
    <w:rsid w:val="00D5344F"/>
    <w:rsid w:val="00D65549"/>
    <w:rsid w:val="00D80E58"/>
    <w:rsid w:val="00D855E0"/>
    <w:rsid w:val="00D97EC5"/>
    <w:rsid w:val="00DA1A89"/>
    <w:rsid w:val="00DA6273"/>
    <w:rsid w:val="00DB0B02"/>
    <w:rsid w:val="00DB22F0"/>
    <w:rsid w:val="00DB3FBF"/>
    <w:rsid w:val="00DB6B34"/>
    <w:rsid w:val="00DC5365"/>
    <w:rsid w:val="00DC6323"/>
    <w:rsid w:val="00DC7186"/>
    <w:rsid w:val="00DE685D"/>
    <w:rsid w:val="00DE6A1B"/>
    <w:rsid w:val="00DF1720"/>
    <w:rsid w:val="00E224FB"/>
    <w:rsid w:val="00E4323B"/>
    <w:rsid w:val="00E513FB"/>
    <w:rsid w:val="00E53598"/>
    <w:rsid w:val="00E5502C"/>
    <w:rsid w:val="00E5759C"/>
    <w:rsid w:val="00E63FC1"/>
    <w:rsid w:val="00E7568B"/>
    <w:rsid w:val="00E831D7"/>
    <w:rsid w:val="00E95EE4"/>
    <w:rsid w:val="00EA2EF6"/>
    <w:rsid w:val="00EA4FD4"/>
    <w:rsid w:val="00EB0FE2"/>
    <w:rsid w:val="00EB79D2"/>
    <w:rsid w:val="00ED187E"/>
    <w:rsid w:val="00ED22E2"/>
    <w:rsid w:val="00EF1139"/>
    <w:rsid w:val="00F033E8"/>
    <w:rsid w:val="00F211C4"/>
    <w:rsid w:val="00F35F20"/>
    <w:rsid w:val="00F42DF1"/>
    <w:rsid w:val="00F50901"/>
    <w:rsid w:val="00F527D2"/>
    <w:rsid w:val="00F67E0F"/>
    <w:rsid w:val="00F751BE"/>
    <w:rsid w:val="00F77C70"/>
    <w:rsid w:val="00F829E4"/>
    <w:rsid w:val="00F86017"/>
    <w:rsid w:val="00FA0315"/>
    <w:rsid w:val="00FA46AC"/>
    <w:rsid w:val="00FC2618"/>
    <w:rsid w:val="00FE1371"/>
    <w:rsid w:val="00FF6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720"/>
  </w:style>
  <w:style w:type="paragraph" w:styleId="Heading1">
    <w:name w:val="heading 1"/>
    <w:basedOn w:val="Normal"/>
    <w:next w:val="Normal"/>
    <w:link w:val="Heading1Char"/>
    <w:uiPriority w:val="9"/>
    <w:qFormat/>
    <w:rsid w:val="00DF1720"/>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DF1720"/>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DF1720"/>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DF1720"/>
    <w:pPr>
      <w:spacing w:before="240" w:after="0"/>
      <w:jc w:val="left"/>
      <w:outlineLvl w:val="3"/>
    </w:pPr>
    <w:rPr>
      <w:smallCaps/>
      <w:spacing w:val="10"/>
      <w:sz w:val="22"/>
      <w:szCs w:val="22"/>
    </w:rPr>
  </w:style>
  <w:style w:type="paragraph" w:styleId="Heading5">
    <w:name w:val="heading 5"/>
    <w:basedOn w:val="Normal"/>
    <w:next w:val="Normal"/>
    <w:link w:val="Heading5Char"/>
    <w:unhideWhenUsed/>
    <w:qFormat/>
    <w:rsid w:val="00DF1720"/>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nhideWhenUsed/>
    <w:qFormat/>
    <w:rsid w:val="00DF1720"/>
    <w:pPr>
      <w:spacing w:after="0"/>
      <w:jc w:val="left"/>
      <w:outlineLvl w:val="5"/>
    </w:pPr>
    <w:rPr>
      <w:smallCaps/>
      <w:color w:val="C0504D" w:themeColor="accent2"/>
      <w:spacing w:val="5"/>
      <w:sz w:val="22"/>
    </w:rPr>
  </w:style>
  <w:style w:type="paragraph" w:styleId="Heading7">
    <w:name w:val="heading 7"/>
    <w:basedOn w:val="Normal"/>
    <w:next w:val="Normal"/>
    <w:link w:val="Heading7Char"/>
    <w:unhideWhenUsed/>
    <w:qFormat/>
    <w:rsid w:val="00DF1720"/>
    <w:pPr>
      <w:spacing w:after="0"/>
      <w:jc w:val="left"/>
      <w:outlineLvl w:val="6"/>
    </w:pPr>
    <w:rPr>
      <w:b/>
      <w:smallCaps/>
      <w:color w:val="C0504D" w:themeColor="accent2"/>
      <w:spacing w:val="10"/>
    </w:rPr>
  </w:style>
  <w:style w:type="paragraph" w:styleId="Heading8">
    <w:name w:val="heading 8"/>
    <w:basedOn w:val="Normal"/>
    <w:next w:val="Normal"/>
    <w:link w:val="Heading8Char"/>
    <w:unhideWhenUsed/>
    <w:qFormat/>
    <w:rsid w:val="00DF1720"/>
    <w:pPr>
      <w:spacing w:after="0"/>
      <w:jc w:val="left"/>
      <w:outlineLvl w:val="7"/>
    </w:pPr>
    <w:rPr>
      <w:b/>
      <w:i/>
      <w:smallCaps/>
      <w:color w:val="943634" w:themeColor="accent2" w:themeShade="BF"/>
    </w:rPr>
  </w:style>
  <w:style w:type="paragraph" w:styleId="Heading9">
    <w:name w:val="heading 9"/>
    <w:basedOn w:val="Normal"/>
    <w:next w:val="Normal"/>
    <w:link w:val="Heading9Char"/>
    <w:unhideWhenUsed/>
    <w:qFormat/>
    <w:rsid w:val="00DF1720"/>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6E584D"/>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1A309A"/>
    <w:rPr>
      <w:rFonts w:ascii="Lucida Grande" w:hAnsi="Lucida Grande"/>
      <w:sz w:val="18"/>
      <w:szCs w:val="18"/>
    </w:rPr>
  </w:style>
  <w:style w:type="character" w:customStyle="1" w:styleId="BalloonTextChar0">
    <w:name w:val="Balloon Text Char"/>
    <w:basedOn w:val="DefaultParagraphFont"/>
    <w:uiPriority w:val="99"/>
    <w:semiHidden/>
    <w:rsid w:val="001A309A"/>
    <w:rPr>
      <w:rFonts w:ascii="Lucida Grande" w:hAnsi="Lucida Grande"/>
      <w:sz w:val="18"/>
      <w:szCs w:val="18"/>
    </w:rPr>
  </w:style>
  <w:style w:type="character" w:customStyle="1" w:styleId="BalloonTextChar2">
    <w:name w:val="Balloon Text Char"/>
    <w:basedOn w:val="DefaultParagraphFont"/>
    <w:uiPriority w:val="99"/>
    <w:semiHidden/>
    <w:rsid w:val="00EF3FC9"/>
    <w:rPr>
      <w:rFonts w:ascii="Lucida Grande" w:hAnsi="Lucida Grande"/>
      <w:sz w:val="18"/>
      <w:szCs w:val="18"/>
    </w:rPr>
  </w:style>
  <w:style w:type="character" w:customStyle="1" w:styleId="BalloonTextChar3">
    <w:name w:val="Balloon Text Char"/>
    <w:basedOn w:val="DefaultParagraphFont"/>
    <w:uiPriority w:val="99"/>
    <w:semiHidden/>
    <w:rsid w:val="00EF3FC9"/>
    <w:rPr>
      <w:rFonts w:ascii="Lucida Grande" w:hAnsi="Lucida Grande"/>
      <w:sz w:val="18"/>
      <w:szCs w:val="18"/>
    </w:rPr>
  </w:style>
  <w:style w:type="character" w:customStyle="1" w:styleId="BalloonTextChar4">
    <w:name w:val="Balloon Text Char"/>
    <w:basedOn w:val="DefaultParagraphFont"/>
    <w:uiPriority w:val="99"/>
    <w:semiHidden/>
    <w:rsid w:val="00EF3FC9"/>
    <w:rPr>
      <w:rFonts w:ascii="Lucida Grande" w:hAnsi="Lucida Grande"/>
      <w:sz w:val="18"/>
      <w:szCs w:val="18"/>
    </w:rPr>
  </w:style>
  <w:style w:type="character" w:customStyle="1" w:styleId="BalloonTextChar5">
    <w:name w:val="Balloon Text Char"/>
    <w:basedOn w:val="DefaultParagraphFont"/>
    <w:uiPriority w:val="99"/>
    <w:semiHidden/>
    <w:rsid w:val="00EF3FC9"/>
    <w:rPr>
      <w:rFonts w:ascii="Lucida Grande" w:hAnsi="Lucida Grande"/>
      <w:sz w:val="18"/>
      <w:szCs w:val="18"/>
    </w:rPr>
  </w:style>
  <w:style w:type="character" w:customStyle="1" w:styleId="BalloonTextChar6">
    <w:name w:val="Balloon Text Char"/>
    <w:basedOn w:val="DefaultParagraphFont"/>
    <w:uiPriority w:val="99"/>
    <w:semiHidden/>
    <w:rsid w:val="00B86FAE"/>
    <w:rPr>
      <w:rFonts w:ascii="Lucida Grande" w:hAnsi="Lucida Grande"/>
      <w:sz w:val="18"/>
      <w:szCs w:val="18"/>
    </w:rPr>
  </w:style>
  <w:style w:type="character" w:customStyle="1" w:styleId="BalloonTextChar7">
    <w:name w:val="Balloon Text Char"/>
    <w:basedOn w:val="DefaultParagraphFont"/>
    <w:uiPriority w:val="99"/>
    <w:semiHidden/>
    <w:rsid w:val="00B86FAE"/>
    <w:rPr>
      <w:rFonts w:ascii="Lucida Grande" w:hAnsi="Lucida Grande"/>
      <w:sz w:val="18"/>
      <w:szCs w:val="18"/>
    </w:rPr>
  </w:style>
  <w:style w:type="paragraph" w:customStyle="1" w:styleId="Chapter">
    <w:name w:val="Chapter"/>
    <w:basedOn w:val="Normal"/>
    <w:next w:val="Normal"/>
    <w:rsid w:val="00A41248"/>
    <w:pPr>
      <w:numPr>
        <w:numId w:val="1"/>
      </w:numPr>
      <w:tabs>
        <w:tab w:val="left" w:pos="1440"/>
      </w:tabs>
      <w:spacing w:after="240" w:line="240" w:lineRule="auto"/>
      <w:jc w:val="center"/>
    </w:pPr>
    <w:rPr>
      <w:rFonts w:ascii="Times New Roman" w:eastAsia="Times New Roman" w:hAnsi="Times New Roman" w:cs="Times New Roman"/>
      <w:b/>
      <w:smallCaps/>
      <w:noProof/>
      <w:sz w:val="24"/>
    </w:rPr>
  </w:style>
  <w:style w:type="paragraph" w:customStyle="1" w:styleId="Paragraph">
    <w:name w:val="Paragraph"/>
    <w:basedOn w:val="BodyTextIndent"/>
    <w:link w:val="ParagraphChar"/>
    <w:rsid w:val="00A41248"/>
    <w:pPr>
      <w:numPr>
        <w:ilvl w:val="1"/>
        <w:numId w:val="1"/>
      </w:numPr>
      <w:spacing w:before="120" w:line="240" w:lineRule="auto"/>
      <w:outlineLvl w:val="1"/>
    </w:pPr>
    <w:rPr>
      <w:rFonts w:ascii="Times New Roman" w:eastAsia="Times New Roman" w:hAnsi="Times New Roman" w:cs="Times New Roman"/>
      <w:sz w:val="24"/>
    </w:rPr>
  </w:style>
  <w:style w:type="paragraph" w:customStyle="1" w:styleId="subpar">
    <w:name w:val="subpar"/>
    <w:basedOn w:val="BodyTextIndent3"/>
    <w:rsid w:val="00A41248"/>
    <w:pPr>
      <w:numPr>
        <w:ilvl w:val="2"/>
        <w:numId w:val="1"/>
      </w:numPr>
      <w:tabs>
        <w:tab w:val="clear" w:pos="1152"/>
      </w:tabs>
      <w:ind w:left="360" w:firstLine="0"/>
    </w:pPr>
  </w:style>
  <w:style w:type="paragraph" w:customStyle="1" w:styleId="SubSubPar">
    <w:name w:val="SubSubPar"/>
    <w:basedOn w:val="subpar"/>
    <w:rsid w:val="00A41248"/>
    <w:pPr>
      <w:numPr>
        <w:ilvl w:val="3"/>
      </w:numPr>
      <w:tabs>
        <w:tab w:val="clear" w:pos="1584"/>
      </w:tabs>
      <w:ind w:left="360" w:firstLine="0"/>
    </w:pPr>
  </w:style>
  <w:style w:type="paragraph" w:styleId="BodyTextIndent">
    <w:name w:val="Body Text Indent"/>
    <w:basedOn w:val="Normal"/>
    <w:link w:val="BodyTextIndentChar"/>
    <w:uiPriority w:val="99"/>
    <w:semiHidden/>
    <w:unhideWhenUsed/>
    <w:rsid w:val="00A41248"/>
    <w:pPr>
      <w:spacing w:after="120"/>
      <w:ind w:left="360"/>
    </w:pPr>
  </w:style>
  <w:style w:type="character" w:customStyle="1" w:styleId="BodyTextIndentChar">
    <w:name w:val="Body Text Indent Char"/>
    <w:basedOn w:val="DefaultParagraphFont"/>
    <w:link w:val="BodyTextIndent"/>
    <w:uiPriority w:val="99"/>
    <w:semiHidden/>
    <w:rsid w:val="00A41248"/>
  </w:style>
  <w:style w:type="paragraph" w:styleId="BodyTextIndent3">
    <w:name w:val="Body Text Indent 3"/>
    <w:basedOn w:val="Normal"/>
    <w:link w:val="BodyTextIndent3Char"/>
    <w:uiPriority w:val="99"/>
    <w:semiHidden/>
    <w:unhideWhenUsed/>
    <w:rsid w:val="00A4124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41248"/>
    <w:rPr>
      <w:sz w:val="16"/>
      <w:szCs w:val="16"/>
    </w:rPr>
  </w:style>
  <w:style w:type="paragraph" w:styleId="NormalWeb">
    <w:name w:val="Normal (Web)"/>
    <w:basedOn w:val="Normal"/>
    <w:uiPriority w:val="99"/>
    <w:unhideWhenUsed/>
    <w:rsid w:val="000D6E4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nhideWhenUsed/>
    <w:rsid w:val="00D65549"/>
    <w:rPr>
      <w:color w:val="0000FF"/>
      <w:u w:val="single"/>
    </w:rPr>
  </w:style>
  <w:style w:type="paragraph" w:styleId="ListParagraph">
    <w:name w:val="List Paragraph"/>
    <w:basedOn w:val="Normal"/>
    <w:uiPriority w:val="34"/>
    <w:qFormat/>
    <w:rsid w:val="00DF1720"/>
    <w:pPr>
      <w:ind w:left="720"/>
      <w:contextualSpacing/>
    </w:pPr>
  </w:style>
  <w:style w:type="paragraph" w:styleId="FootnoteText">
    <w:name w:val="footnote text"/>
    <w:aliases w:val="fn"/>
    <w:basedOn w:val="Normal"/>
    <w:link w:val="FootnoteTextChar"/>
    <w:uiPriority w:val="99"/>
    <w:unhideWhenUsed/>
    <w:rsid w:val="006F4929"/>
    <w:pPr>
      <w:spacing w:after="0" w:line="240" w:lineRule="auto"/>
    </w:pPr>
  </w:style>
  <w:style w:type="character" w:customStyle="1" w:styleId="FootnoteTextChar">
    <w:name w:val="Footnote Text Char"/>
    <w:aliases w:val="fn Char"/>
    <w:basedOn w:val="DefaultParagraphFont"/>
    <w:link w:val="FootnoteText"/>
    <w:uiPriority w:val="99"/>
    <w:rsid w:val="006F4929"/>
    <w:rPr>
      <w:sz w:val="20"/>
      <w:szCs w:val="20"/>
    </w:rPr>
  </w:style>
  <w:style w:type="character" w:styleId="FootnoteReference">
    <w:name w:val="footnote reference"/>
    <w:basedOn w:val="DefaultParagraphFont"/>
    <w:uiPriority w:val="99"/>
    <w:unhideWhenUsed/>
    <w:rsid w:val="006F4929"/>
    <w:rPr>
      <w:vertAlign w:val="superscript"/>
    </w:rPr>
  </w:style>
  <w:style w:type="paragraph" w:styleId="Header">
    <w:name w:val="header"/>
    <w:basedOn w:val="Normal"/>
    <w:link w:val="HeaderChar"/>
    <w:uiPriority w:val="99"/>
    <w:unhideWhenUsed/>
    <w:rsid w:val="00A33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3DA4"/>
  </w:style>
  <w:style w:type="paragraph" w:styleId="Footer">
    <w:name w:val="footer"/>
    <w:basedOn w:val="Normal"/>
    <w:link w:val="FooterChar"/>
    <w:uiPriority w:val="99"/>
    <w:unhideWhenUsed/>
    <w:rsid w:val="00A33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3DA4"/>
  </w:style>
  <w:style w:type="character" w:customStyle="1" w:styleId="ParagraphChar">
    <w:name w:val="Paragraph Char"/>
    <w:link w:val="Paragraph"/>
    <w:rsid w:val="00A33DA4"/>
    <w:rPr>
      <w:rFonts w:ascii="Times New Roman" w:eastAsia="Times New Roman" w:hAnsi="Times New Roman" w:cs="Times New Roman"/>
      <w:sz w:val="24"/>
    </w:rPr>
  </w:style>
  <w:style w:type="character" w:customStyle="1" w:styleId="BalloonTextChar1">
    <w:name w:val="Balloon Text Char1"/>
    <w:basedOn w:val="DefaultParagraphFont"/>
    <w:link w:val="BalloonText"/>
    <w:uiPriority w:val="99"/>
    <w:semiHidden/>
    <w:rsid w:val="006E584D"/>
    <w:rPr>
      <w:rFonts w:ascii="Tahoma" w:hAnsi="Tahoma" w:cs="Tahoma"/>
      <w:sz w:val="16"/>
      <w:szCs w:val="16"/>
    </w:rPr>
  </w:style>
  <w:style w:type="character" w:customStyle="1" w:styleId="Heading1Char">
    <w:name w:val="Heading 1 Char"/>
    <w:basedOn w:val="DefaultParagraphFont"/>
    <w:link w:val="Heading1"/>
    <w:uiPriority w:val="9"/>
    <w:rsid w:val="00DF1720"/>
    <w:rPr>
      <w:smallCaps/>
      <w:spacing w:val="5"/>
      <w:sz w:val="32"/>
      <w:szCs w:val="32"/>
    </w:rPr>
  </w:style>
  <w:style w:type="character" w:customStyle="1" w:styleId="Heading2Char">
    <w:name w:val="Heading 2 Char"/>
    <w:basedOn w:val="DefaultParagraphFont"/>
    <w:link w:val="Heading2"/>
    <w:uiPriority w:val="9"/>
    <w:rsid w:val="00DF1720"/>
    <w:rPr>
      <w:smallCaps/>
      <w:spacing w:val="5"/>
      <w:sz w:val="28"/>
      <w:szCs w:val="28"/>
    </w:rPr>
  </w:style>
  <w:style w:type="character" w:customStyle="1" w:styleId="Heading3Char">
    <w:name w:val="Heading 3 Char"/>
    <w:basedOn w:val="DefaultParagraphFont"/>
    <w:link w:val="Heading3"/>
    <w:uiPriority w:val="9"/>
    <w:rsid w:val="00DF1720"/>
    <w:rPr>
      <w:smallCaps/>
      <w:spacing w:val="5"/>
      <w:sz w:val="24"/>
      <w:szCs w:val="24"/>
    </w:rPr>
  </w:style>
  <w:style w:type="character" w:customStyle="1" w:styleId="Heading4Char">
    <w:name w:val="Heading 4 Char"/>
    <w:basedOn w:val="DefaultParagraphFont"/>
    <w:link w:val="Heading4"/>
    <w:uiPriority w:val="9"/>
    <w:rsid w:val="00DF1720"/>
    <w:rPr>
      <w:smallCaps/>
      <w:spacing w:val="10"/>
      <w:sz w:val="22"/>
      <w:szCs w:val="22"/>
    </w:rPr>
  </w:style>
  <w:style w:type="character" w:customStyle="1" w:styleId="Heading5Char">
    <w:name w:val="Heading 5 Char"/>
    <w:basedOn w:val="DefaultParagraphFont"/>
    <w:link w:val="Heading5"/>
    <w:uiPriority w:val="9"/>
    <w:semiHidden/>
    <w:rsid w:val="00DF172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DF1720"/>
    <w:rPr>
      <w:smallCaps/>
      <w:color w:val="C0504D" w:themeColor="accent2"/>
      <w:spacing w:val="5"/>
      <w:sz w:val="22"/>
    </w:rPr>
  </w:style>
  <w:style w:type="character" w:customStyle="1" w:styleId="Heading7Char">
    <w:name w:val="Heading 7 Char"/>
    <w:basedOn w:val="DefaultParagraphFont"/>
    <w:link w:val="Heading7"/>
    <w:uiPriority w:val="9"/>
    <w:semiHidden/>
    <w:rsid w:val="00DF1720"/>
    <w:rPr>
      <w:b/>
      <w:smallCaps/>
      <w:color w:val="C0504D" w:themeColor="accent2"/>
      <w:spacing w:val="10"/>
    </w:rPr>
  </w:style>
  <w:style w:type="character" w:customStyle="1" w:styleId="Heading8Char">
    <w:name w:val="Heading 8 Char"/>
    <w:basedOn w:val="DefaultParagraphFont"/>
    <w:link w:val="Heading8"/>
    <w:uiPriority w:val="9"/>
    <w:semiHidden/>
    <w:rsid w:val="00DF1720"/>
    <w:rPr>
      <w:b/>
      <w:i/>
      <w:smallCaps/>
      <w:color w:val="943634" w:themeColor="accent2" w:themeShade="BF"/>
    </w:rPr>
  </w:style>
  <w:style w:type="character" w:customStyle="1" w:styleId="Heading9Char">
    <w:name w:val="Heading 9 Char"/>
    <w:basedOn w:val="DefaultParagraphFont"/>
    <w:link w:val="Heading9"/>
    <w:uiPriority w:val="9"/>
    <w:semiHidden/>
    <w:rsid w:val="00DF1720"/>
    <w:rPr>
      <w:b/>
      <w:i/>
      <w:smallCaps/>
      <w:color w:val="622423" w:themeColor="accent2" w:themeShade="7F"/>
    </w:rPr>
  </w:style>
  <w:style w:type="paragraph" w:styleId="Caption">
    <w:name w:val="caption"/>
    <w:basedOn w:val="Normal"/>
    <w:next w:val="Normal"/>
    <w:uiPriority w:val="35"/>
    <w:semiHidden/>
    <w:unhideWhenUsed/>
    <w:qFormat/>
    <w:rsid w:val="00DF1720"/>
    <w:rPr>
      <w:b/>
      <w:bCs/>
      <w:caps/>
      <w:sz w:val="16"/>
      <w:szCs w:val="18"/>
    </w:rPr>
  </w:style>
  <w:style w:type="paragraph" w:styleId="Title">
    <w:name w:val="Title"/>
    <w:basedOn w:val="Normal"/>
    <w:next w:val="Normal"/>
    <w:link w:val="TitleChar"/>
    <w:qFormat/>
    <w:rsid w:val="00DF1720"/>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DF1720"/>
    <w:rPr>
      <w:smallCaps/>
      <w:sz w:val="48"/>
      <w:szCs w:val="48"/>
    </w:rPr>
  </w:style>
  <w:style w:type="paragraph" w:styleId="Subtitle">
    <w:name w:val="Subtitle"/>
    <w:basedOn w:val="Normal"/>
    <w:next w:val="Normal"/>
    <w:link w:val="SubtitleChar"/>
    <w:uiPriority w:val="11"/>
    <w:qFormat/>
    <w:rsid w:val="00DF1720"/>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DF1720"/>
    <w:rPr>
      <w:rFonts w:asciiTheme="majorHAnsi" w:eastAsiaTheme="majorEastAsia" w:hAnsiTheme="majorHAnsi" w:cstheme="majorBidi"/>
      <w:szCs w:val="22"/>
    </w:rPr>
  </w:style>
  <w:style w:type="character" w:styleId="Strong">
    <w:name w:val="Strong"/>
    <w:uiPriority w:val="22"/>
    <w:qFormat/>
    <w:rsid w:val="00DF1720"/>
    <w:rPr>
      <w:b/>
      <w:color w:val="C0504D" w:themeColor="accent2"/>
    </w:rPr>
  </w:style>
  <w:style w:type="character" w:styleId="Emphasis">
    <w:name w:val="Emphasis"/>
    <w:uiPriority w:val="20"/>
    <w:qFormat/>
    <w:rsid w:val="00DF1720"/>
    <w:rPr>
      <w:b/>
      <w:i/>
      <w:spacing w:val="10"/>
    </w:rPr>
  </w:style>
  <w:style w:type="paragraph" w:styleId="NoSpacing">
    <w:name w:val="No Spacing"/>
    <w:basedOn w:val="Normal"/>
    <w:link w:val="NoSpacingChar"/>
    <w:uiPriority w:val="1"/>
    <w:qFormat/>
    <w:rsid w:val="00DF1720"/>
    <w:pPr>
      <w:spacing w:after="0" w:line="240" w:lineRule="auto"/>
    </w:pPr>
  </w:style>
  <w:style w:type="character" w:customStyle="1" w:styleId="NoSpacingChar">
    <w:name w:val="No Spacing Char"/>
    <w:basedOn w:val="DefaultParagraphFont"/>
    <w:link w:val="NoSpacing"/>
    <w:uiPriority w:val="1"/>
    <w:rsid w:val="00DF1720"/>
  </w:style>
  <w:style w:type="paragraph" w:styleId="Quote">
    <w:name w:val="Quote"/>
    <w:basedOn w:val="Normal"/>
    <w:next w:val="Normal"/>
    <w:link w:val="QuoteChar"/>
    <w:uiPriority w:val="29"/>
    <w:qFormat/>
    <w:rsid w:val="00DF1720"/>
    <w:rPr>
      <w:i/>
    </w:rPr>
  </w:style>
  <w:style w:type="character" w:customStyle="1" w:styleId="QuoteChar">
    <w:name w:val="Quote Char"/>
    <w:basedOn w:val="DefaultParagraphFont"/>
    <w:link w:val="Quote"/>
    <w:uiPriority w:val="29"/>
    <w:rsid w:val="00DF1720"/>
    <w:rPr>
      <w:i/>
    </w:rPr>
  </w:style>
  <w:style w:type="paragraph" w:styleId="IntenseQuote">
    <w:name w:val="Intense Quote"/>
    <w:basedOn w:val="Normal"/>
    <w:next w:val="Normal"/>
    <w:link w:val="IntenseQuoteChar"/>
    <w:uiPriority w:val="30"/>
    <w:qFormat/>
    <w:rsid w:val="00DF172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DF1720"/>
    <w:rPr>
      <w:b/>
      <w:i/>
      <w:color w:val="FFFFFF" w:themeColor="background1"/>
      <w:shd w:val="clear" w:color="auto" w:fill="C0504D" w:themeFill="accent2"/>
    </w:rPr>
  </w:style>
  <w:style w:type="character" w:styleId="SubtleEmphasis">
    <w:name w:val="Subtle Emphasis"/>
    <w:uiPriority w:val="19"/>
    <w:qFormat/>
    <w:rsid w:val="00DF1720"/>
    <w:rPr>
      <w:i/>
    </w:rPr>
  </w:style>
  <w:style w:type="character" w:styleId="IntenseEmphasis">
    <w:name w:val="Intense Emphasis"/>
    <w:uiPriority w:val="21"/>
    <w:qFormat/>
    <w:rsid w:val="00DF1720"/>
    <w:rPr>
      <w:b/>
      <w:i/>
      <w:color w:val="C0504D" w:themeColor="accent2"/>
      <w:spacing w:val="10"/>
    </w:rPr>
  </w:style>
  <w:style w:type="character" w:styleId="SubtleReference">
    <w:name w:val="Subtle Reference"/>
    <w:uiPriority w:val="31"/>
    <w:qFormat/>
    <w:rsid w:val="00DF1720"/>
    <w:rPr>
      <w:b/>
    </w:rPr>
  </w:style>
  <w:style w:type="character" w:styleId="IntenseReference">
    <w:name w:val="Intense Reference"/>
    <w:uiPriority w:val="32"/>
    <w:qFormat/>
    <w:rsid w:val="00DF1720"/>
    <w:rPr>
      <w:b/>
      <w:bCs/>
      <w:smallCaps/>
      <w:spacing w:val="5"/>
      <w:sz w:val="22"/>
      <w:szCs w:val="22"/>
      <w:u w:val="single"/>
    </w:rPr>
  </w:style>
  <w:style w:type="character" w:styleId="BookTitle">
    <w:name w:val="Book Title"/>
    <w:uiPriority w:val="33"/>
    <w:qFormat/>
    <w:rsid w:val="00DF172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DF1720"/>
    <w:pPr>
      <w:outlineLvl w:val="9"/>
    </w:pPr>
  </w:style>
  <w:style w:type="paragraph" w:styleId="EndnoteText">
    <w:name w:val="endnote text"/>
    <w:basedOn w:val="Normal"/>
    <w:link w:val="EndnoteTextChar"/>
    <w:uiPriority w:val="99"/>
    <w:unhideWhenUsed/>
    <w:rsid w:val="00801130"/>
    <w:pPr>
      <w:spacing w:after="0" w:line="240" w:lineRule="auto"/>
    </w:pPr>
  </w:style>
  <w:style w:type="character" w:customStyle="1" w:styleId="EndnoteTextChar">
    <w:name w:val="Endnote Text Char"/>
    <w:basedOn w:val="DefaultParagraphFont"/>
    <w:link w:val="EndnoteText"/>
    <w:uiPriority w:val="99"/>
    <w:rsid w:val="00801130"/>
  </w:style>
  <w:style w:type="character" w:styleId="EndnoteReference">
    <w:name w:val="endnote reference"/>
    <w:basedOn w:val="DefaultParagraphFont"/>
    <w:uiPriority w:val="99"/>
    <w:semiHidden/>
    <w:unhideWhenUsed/>
    <w:rsid w:val="00801130"/>
    <w:rPr>
      <w:vertAlign w:val="superscript"/>
    </w:rPr>
  </w:style>
  <w:style w:type="paragraph" w:styleId="BodyText">
    <w:name w:val="Body Text"/>
    <w:basedOn w:val="Normal"/>
    <w:link w:val="BodyTextChar"/>
    <w:uiPriority w:val="99"/>
    <w:semiHidden/>
    <w:unhideWhenUsed/>
    <w:rsid w:val="0021333D"/>
    <w:pPr>
      <w:spacing w:after="120"/>
    </w:pPr>
  </w:style>
  <w:style w:type="character" w:customStyle="1" w:styleId="BodyTextChar">
    <w:name w:val="Body Text Char"/>
    <w:basedOn w:val="DefaultParagraphFont"/>
    <w:link w:val="BodyText"/>
    <w:uiPriority w:val="99"/>
    <w:semiHidden/>
    <w:rsid w:val="0021333D"/>
  </w:style>
  <w:style w:type="table" w:styleId="TableGrid">
    <w:name w:val="Table Grid"/>
    <w:basedOn w:val="TableNormal"/>
    <w:rsid w:val="0021333D"/>
    <w:pPr>
      <w:spacing w:after="0" w:line="240" w:lineRule="auto"/>
      <w:jc w:val="left"/>
    </w:pPr>
    <w:rPr>
      <w:rFonts w:ascii="Times New Roman" w:eastAsia="Times New Roman" w:hAnsi="Times New Roman" w:cs="Times New Roman"/>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semiHidden/>
    <w:unhideWhenUsed/>
    <w:rsid w:val="00AF3774"/>
    <w:rPr>
      <w:sz w:val="16"/>
      <w:szCs w:val="16"/>
    </w:rPr>
  </w:style>
  <w:style w:type="paragraph" w:styleId="CommentText">
    <w:name w:val="annotation text"/>
    <w:basedOn w:val="Normal"/>
    <w:link w:val="CommentTextChar"/>
    <w:semiHidden/>
    <w:unhideWhenUsed/>
    <w:rsid w:val="00AF3774"/>
    <w:pPr>
      <w:spacing w:line="240" w:lineRule="auto"/>
      <w:jc w:val="left"/>
    </w:pPr>
    <w:rPr>
      <w:rFonts w:eastAsiaTheme="minorHAnsi"/>
      <w:lang w:bidi="ar-SA"/>
    </w:rPr>
  </w:style>
  <w:style w:type="character" w:customStyle="1" w:styleId="CommentTextChar">
    <w:name w:val="Comment Text Char"/>
    <w:basedOn w:val="DefaultParagraphFont"/>
    <w:link w:val="CommentText"/>
    <w:uiPriority w:val="99"/>
    <w:semiHidden/>
    <w:rsid w:val="00AF3774"/>
    <w:rPr>
      <w:rFonts w:eastAsiaTheme="minorHAnsi"/>
      <w:lang w:bidi="ar-SA"/>
    </w:rPr>
  </w:style>
  <w:style w:type="paragraph" w:styleId="BodyText2">
    <w:name w:val="Body Text 2"/>
    <w:basedOn w:val="Normal"/>
    <w:link w:val="BodyText2Char"/>
    <w:uiPriority w:val="99"/>
    <w:semiHidden/>
    <w:unhideWhenUsed/>
    <w:rsid w:val="00C53EBC"/>
    <w:pPr>
      <w:spacing w:after="120" w:line="480" w:lineRule="auto"/>
    </w:pPr>
  </w:style>
  <w:style w:type="character" w:customStyle="1" w:styleId="BodyText2Char">
    <w:name w:val="Body Text 2 Char"/>
    <w:basedOn w:val="DefaultParagraphFont"/>
    <w:link w:val="BodyText2"/>
    <w:uiPriority w:val="99"/>
    <w:semiHidden/>
    <w:rsid w:val="00C53EBC"/>
  </w:style>
  <w:style w:type="paragraph" w:styleId="BodyText3">
    <w:name w:val="Body Text 3"/>
    <w:basedOn w:val="Normal"/>
    <w:link w:val="BodyText3Char"/>
    <w:uiPriority w:val="99"/>
    <w:semiHidden/>
    <w:unhideWhenUsed/>
    <w:rsid w:val="00C53EBC"/>
    <w:pPr>
      <w:spacing w:after="120"/>
    </w:pPr>
    <w:rPr>
      <w:sz w:val="16"/>
      <w:szCs w:val="16"/>
    </w:rPr>
  </w:style>
  <w:style w:type="character" w:customStyle="1" w:styleId="BodyText3Char">
    <w:name w:val="Body Text 3 Char"/>
    <w:basedOn w:val="DefaultParagraphFont"/>
    <w:link w:val="BodyText3"/>
    <w:uiPriority w:val="99"/>
    <w:semiHidden/>
    <w:rsid w:val="00C53EBC"/>
    <w:rPr>
      <w:sz w:val="16"/>
      <w:szCs w:val="16"/>
    </w:rPr>
  </w:style>
  <w:style w:type="paragraph" w:styleId="CommentSubject">
    <w:name w:val="annotation subject"/>
    <w:basedOn w:val="CommentText"/>
    <w:next w:val="CommentText"/>
    <w:link w:val="CommentSubjectChar"/>
    <w:uiPriority w:val="99"/>
    <w:semiHidden/>
    <w:unhideWhenUsed/>
    <w:rsid w:val="00E63FC1"/>
    <w:pPr>
      <w:jc w:val="both"/>
    </w:pPr>
    <w:rPr>
      <w:rFonts w:eastAsiaTheme="minorEastAsia"/>
      <w:b/>
      <w:bCs/>
      <w:lang w:bidi="en-US"/>
    </w:rPr>
  </w:style>
  <w:style w:type="character" w:customStyle="1" w:styleId="CommentSubjectChar">
    <w:name w:val="Comment Subject Char"/>
    <w:basedOn w:val="CommentTextChar"/>
    <w:link w:val="CommentSubject"/>
    <w:uiPriority w:val="99"/>
    <w:semiHidden/>
    <w:rsid w:val="00E63FC1"/>
    <w:rPr>
      <w:rFonts w:eastAsiaTheme="minorHAnsi"/>
      <w:b/>
      <w:bCs/>
      <w:lang w:bidi="ar-SA"/>
    </w:rPr>
  </w:style>
  <w:style w:type="paragraph" w:customStyle="1" w:styleId="FirstHeading">
    <w:name w:val="FirstHeading"/>
    <w:basedOn w:val="Normal"/>
    <w:next w:val="Normal"/>
    <w:rsid w:val="000B1618"/>
    <w:pPr>
      <w:keepNext/>
      <w:tabs>
        <w:tab w:val="left" w:pos="0"/>
        <w:tab w:val="left" w:pos="86"/>
      </w:tabs>
      <w:spacing w:before="120" w:after="120" w:line="240" w:lineRule="auto"/>
      <w:ind w:left="4824" w:hanging="720"/>
      <w:jc w:val="left"/>
    </w:pPr>
    <w:rPr>
      <w:rFonts w:ascii="Times New Roman" w:eastAsia="Times New Roman" w:hAnsi="Times New Roman" w:cs="Times New Roman"/>
      <w:b/>
      <w:sz w:val="24"/>
      <w:szCs w:val="24"/>
      <w:lang w:bidi="ar-SA"/>
    </w:rPr>
  </w:style>
  <w:style w:type="paragraph" w:customStyle="1" w:styleId="SecHeading">
    <w:name w:val="SecHeading"/>
    <w:basedOn w:val="Normal"/>
    <w:next w:val="Paragraph"/>
    <w:rsid w:val="000B1618"/>
    <w:pPr>
      <w:keepNext/>
      <w:tabs>
        <w:tab w:val="num" w:pos="5400"/>
      </w:tabs>
      <w:spacing w:before="120" w:after="120" w:line="240" w:lineRule="auto"/>
      <w:ind w:left="5400" w:hanging="576"/>
      <w:jc w:val="left"/>
    </w:pPr>
    <w:rPr>
      <w:rFonts w:ascii="Times New Roman" w:eastAsia="Times New Roman" w:hAnsi="Times New Roman" w:cs="Times New Roman"/>
      <w:b/>
      <w:sz w:val="24"/>
      <w:szCs w:val="24"/>
      <w:lang w:bidi="ar-SA"/>
    </w:rPr>
  </w:style>
  <w:style w:type="paragraph" w:customStyle="1" w:styleId="SubHeading1">
    <w:name w:val="SubHeading1"/>
    <w:basedOn w:val="SecHeading"/>
    <w:rsid w:val="000B1618"/>
    <w:pPr>
      <w:tabs>
        <w:tab w:val="clear" w:pos="5400"/>
        <w:tab w:val="num" w:pos="5976"/>
      </w:tabs>
      <w:ind w:left="5976"/>
    </w:pPr>
  </w:style>
  <w:style w:type="paragraph" w:customStyle="1" w:styleId="Subheading2">
    <w:name w:val="Subheading2"/>
    <w:basedOn w:val="SecHeading"/>
    <w:rsid w:val="000B1618"/>
    <w:pPr>
      <w:tabs>
        <w:tab w:val="clear" w:pos="5400"/>
        <w:tab w:val="num" w:pos="2376"/>
      </w:tabs>
      <w:ind w:left="2376" w:hanging="288"/>
    </w:pPr>
  </w:style>
  <w:style w:type="character" w:styleId="PlaceholderText">
    <w:name w:val="Placeholder Text"/>
    <w:basedOn w:val="DefaultParagraphFont"/>
    <w:uiPriority w:val="99"/>
    <w:semiHidden/>
    <w:rsid w:val="003576C5"/>
    <w:rPr>
      <w:color w:val="808080"/>
    </w:rPr>
  </w:style>
  <w:style w:type="paragraph" w:customStyle="1" w:styleId="Default">
    <w:name w:val="Default"/>
    <w:rsid w:val="007B68CD"/>
    <w:pPr>
      <w:autoSpaceDE w:val="0"/>
      <w:autoSpaceDN w:val="0"/>
      <w:adjustRightInd w:val="0"/>
      <w:spacing w:after="0" w:line="240" w:lineRule="auto"/>
      <w:jc w:val="left"/>
    </w:pPr>
    <w:rPr>
      <w:rFonts w:ascii="Book Antiqua" w:hAnsi="Book Antiqua" w:cs="Book Antiqua"/>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720"/>
  </w:style>
  <w:style w:type="paragraph" w:styleId="Heading1">
    <w:name w:val="heading 1"/>
    <w:basedOn w:val="Normal"/>
    <w:next w:val="Normal"/>
    <w:link w:val="Heading1Char"/>
    <w:uiPriority w:val="9"/>
    <w:qFormat/>
    <w:rsid w:val="00DF1720"/>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DF1720"/>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DF1720"/>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DF1720"/>
    <w:pPr>
      <w:spacing w:before="240" w:after="0"/>
      <w:jc w:val="left"/>
      <w:outlineLvl w:val="3"/>
    </w:pPr>
    <w:rPr>
      <w:smallCaps/>
      <w:spacing w:val="10"/>
      <w:sz w:val="22"/>
      <w:szCs w:val="22"/>
    </w:rPr>
  </w:style>
  <w:style w:type="paragraph" w:styleId="Heading5">
    <w:name w:val="heading 5"/>
    <w:basedOn w:val="Normal"/>
    <w:next w:val="Normal"/>
    <w:link w:val="Heading5Char"/>
    <w:unhideWhenUsed/>
    <w:qFormat/>
    <w:rsid w:val="00DF1720"/>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nhideWhenUsed/>
    <w:qFormat/>
    <w:rsid w:val="00DF1720"/>
    <w:pPr>
      <w:spacing w:after="0"/>
      <w:jc w:val="left"/>
      <w:outlineLvl w:val="5"/>
    </w:pPr>
    <w:rPr>
      <w:smallCaps/>
      <w:color w:val="C0504D" w:themeColor="accent2"/>
      <w:spacing w:val="5"/>
      <w:sz w:val="22"/>
    </w:rPr>
  </w:style>
  <w:style w:type="paragraph" w:styleId="Heading7">
    <w:name w:val="heading 7"/>
    <w:basedOn w:val="Normal"/>
    <w:next w:val="Normal"/>
    <w:link w:val="Heading7Char"/>
    <w:unhideWhenUsed/>
    <w:qFormat/>
    <w:rsid w:val="00DF1720"/>
    <w:pPr>
      <w:spacing w:after="0"/>
      <w:jc w:val="left"/>
      <w:outlineLvl w:val="6"/>
    </w:pPr>
    <w:rPr>
      <w:b/>
      <w:smallCaps/>
      <w:color w:val="C0504D" w:themeColor="accent2"/>
      <w:spacing w:val="10"/>
    </w:rPr>
  </w:style>
  <w:style w:type="paragraph" w:styleId="Heading8">
    <w:name w:val="heading 8"/>
    <w:basedOn w:val="Normal"/>
    <w:next w:val="Normal"/>
    <w:link w:val="Heading8Char"/>
    <w:unhideWhenUsed/>
    <w:qFormat/>
    <w:rsid w:val="00DF1720"/>
    <w:pPr>
      <w:spacing w:after="0"/>
      <w:jc w:val="left"/>
      <w:outlineLvl w:val="7"/>
    </w:pPr>
    <w:rPr>
      <w:b/>
      <w:i/>
      <w:smallCaps/>
      <w:color w:val="943634" w:themeColor="accent2" w:themeShade="BF"/>
    </w:rPr>
  </w:style>
  <w:style w:type="paragraph" w:styleId="Heading9">
    <w:name w:val="heading 9"/>
    <w:basedOn w:val="Normal"/>
    <w:next w:val="Normal"/>
    <w:link w:val="Heading9Char"/>
    <w:unhideWhenUsed/>
    <w:qFormat/>
    <w:rsid w:val="00DF1720"/>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6E584D"/>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1A309A"/>
    <w:rPr>
      <w:rFonts w:ascii="Lucida Grande" w:hAnsi="Lucida Grande"/>
      <w:sz w:val="18"/>
      <w:szCs w:val="18"/>
    </w:rPr>
  </w:style>
  <w:style w:type="character" w:customStyle="1" w:styleId="BalloonTextChar0">
    <w:name w:val="Balloon Text Char"/>
    <w:basedOn w:val="DefaultParagraphFont"/>
    <w:uiPriority w:val="99"/>
    <w:semiHidden/>
    <w:rsid w:val="001A309A"/>
    <w:rPr>
      <w:rFonts w:ascii="Lucida Grande" w:hAnsi="Lucida Grande"/>
      <w:sz w:val="18"/>
      <w:szCs w:val="18"/>
    </w:rPr>
  </w:style>
  <w:style w:type="character" w:customStyle="1" w:styleId="BalloonTextChar2">
    <w:name w:val="Balloon Text Char"/>
    <w:basedOn w:val="DefaultParagraphFont"/>
    <w:uiPriority w:val="99"/>
    <w:semiHidden/>
    <w:rsid w:val="00EF3FC9"/>
    <w:rPr>
      <w:rFonts w:ascii="Lucida Grande" w:hAnsi="Lucida Grande"/>
      <w:sz w:val="18"/>
      <w:szCs w:val="18"/>
    </w:rPr>
  </w:style>
  <w:style w:type="character" w:customStyle="1" w:styleId="BalloonTextChar3">
    <w:name w:val="Balloon Text Char"/>
    <w:basedOn w:val="DefaultParagraphFont"/>
    <w:uiPriority w:val="99"/>
    <w:semiHidden/>
    <w:rsid w:val="00EF3FC9"/>
    <w:rPr>
      <w:rFonts w:ascii="Lucida Grande" w:hAnsi="Lucida Grande"/>
      <w:sz w:val="18"/>
      <w:szCs w:val="18"/>
    </w:rPr>
  </w:style>
  <w:style w:type="character" w:customStyle="1" w:styleId="BalloonTextChar4">
    <w:name w:val="Balloon Text Char"/>
    <w:basedOn w:val="DefaultParagraphFont"/>
    <w:uiPriority w:val="99"/>
    <w:semiHidden/>
    <w:rsid w:val="00EF3FC9"/>
    <w:rPr>
      <w:rFonts w:ascii="Lucida Grande" w:hAnsi="Lucida Grande"/>
      <w:sz w:val="18"/>
      <w:szCs w:val="18"/>
    </w:rPr>
  </w:style>
  <w:style w:type="character" w:customStyle="1" w:styleId="BalloonTextChar5">
    <w:name w:val="Balloon Text Char"/>
    <w:basedOn w:val="DefaultParagraphFont"/>
    <w:uiPriority w:val="99"/>
    <w:semiHidden/>
    <w:rsid w:val="00EF3FC9"/>
    <w:rPr>
      <w:rFonts w:ascii="Lucida Grande" w:hAnsi="Lucida Grande"/>
      <w:sz w:val="18"/>
      <w:szCs w:val="18"/>
    </w:rPr>
  </w:style>
  <w:style w:type="character" w:customStyle="1" w:styleId="BalloonTextChar6">
    <w:name w:val="Balloon Text Char"/>
    <w:basedOn w:val="DefaultParagraphFont"/>
    <w:uiPriority w:val="99"/>
    <w:semiHidden/>
    <w:rsid w:val="00B86FAE"/>
    <w:rPr>
      <w:rFonts w:ascii="Lucida Grande" w:hAnsi="Lucida Grande"/>
      <w:sz w:val="18"/>
      <w:szCs w:val="18"/>
    </w:rPr>
  </w:style>
  <w:style w:type="character" w:customStyle="1" w:styleId="BalloonTextChar7">
    <w:name w:val="Balloon Text Char"/>
    <w:basedOn w:val="DefaultParagraphFont"/>
    <w:uiPriority w:val="99"/>
    <w:semiHidden/>
    <w:rsid w:val="00B86FAE"/>
    <w:rPr>
      <w:rFonts w:ascii="Lucida Grande" w:hAnsi="Lucida Grande"/>
      <w:sz w:val="18"/>
      <w:szCs w:val="18"/>
    </w:rPr>
  </w:style>
  <w:style w:type="paragraph" w:customStyle="1" w:styleId="Chapter">
    <w:name w:val="Chapter"/>
    <w:basedOn w:val="Normal"/>
    <w:next w:val="Normal"/>
    <w:rsid w:val="00A41248"/>
    <w:pPr>
      <w:numPr>
        <w:numId w:val="1"/>
      </w:numPr>
      <w:tabs>
        <w:tab w:val="left" w:pos="1440"/>
      </w:tabs>
      <w:spacing w:after="240" w:line="240" w:lineRule="auto"/>
      <w:jc w:val="center"/>
    </w:pPr>
    <w:rPr>
      <w:rFonts w:ascii="Times New Roman" w:eastAsia="Times New Roman" w:hAnsi="Times New Roman" w:cs="Times New Roman"/>
      <w:b/>
      <w:smallCaps/>
      <w:noProof/>
      <w:sz w:val="24"/>
    </w:rPr>
  </w:style>
  <w:style w:type="paragraph" w:customStyle="1" w:styleId="Paragraph">
    <w:name w:val="Paragraph"/>
    <w:basedOn w:val="BodyTextIndent"/>
    <w:link w:val="ParagraphChar"/>
    <w:rsid w:val="00A41248"/>
    <w:pPr>
      <w:numPr>
        <w:ilvl w:val="1"/>
        <w:numId w:val="1"/>
      </w:numPr>
      <w:spacing w:before="120" w:line="240" w:lineRule="auto"/>
      <w:outlineLvl w:val="1"/>
    </w:pPr>
    <w:rPr>
      <w:rFonts w:ascii="Times New Roman" w:eastAsia="Times New Roman" w:hAnsi="Times New Roman" w:cs="Times New Roman"/>
      <w:sz w:val="24"/>
    </w:rPr>
  </w:style>
  <w:style w:type="paragraph" w:customStyle="1" w:styleId="subpar">
    <w:name w:val="subpar"/>
    <w:basedOn w:val="BodyTextIndent3"/>
    <w:rsid w:val="00A41248"/>
    <w:pPr>
      <w:numPr>
        <w:ilvl w:val="2"/>
        <w:numId w:val="1"/>
      </w:numPr>
      <w:tabs>
        <w:tab w:val="clear" w:pos="1152"/>
      </w:tabs>
      <w:ind w:left="360" w:firstLine="0"/>
    </w:pPr>
  </w:style>
  <w:style w:type="paragraph" w:customStyle="1" w:styleId="SubSubPar">
    <w:name w:val="SubSubPar"/>
    <w:basedOn w:val="subpar"/>
    <w:rsid w:val="00A41248"/>
    <w:pPr>
      <w:numPr>
        <w:ilvl w:val="3"/>
      </w:numPr>
      <w:tabs>
        <w:tab w:val="clear" w:pos="1584"/>
      </w:tabs>
      <w:ind w:left="360" w:firstLine="0"/>
    </w:pPr>
  </w:style>
  <w:style w:type="paragraph" w:styleId="BodyTextIndent">
    <w:name w:val="Body Text Indent"/>
    <w:basedOn w:val="Normal"/>
    <w:link w:val="BodyTextIndentChar"/>
    <w:uiPriority w:val="99"/>
    <w:semiHidden/>
    <w:unhideWhenUsed/>
    <w:rsid w:val="00A41248"/>
    <w:pPr>
      <w:spacing w:after="120"/>
      <w:ind w:left="360"/>
    </w:pPr>
  </w:style>
  <w:style w:type="character" w:customStyle="1" w:styleId="BodyTextIndentChar">
    <w:name w:val="Body Text Indent Char"/>
    <w:basedOn w:val="DefaultParagraphFont"/>
    <w:link w:val="BodyTextIndent"/>
    <w:uiPriority w:val="99"/>
    <w:semiHidden/>
    <w:rsid w:val="00A41248"/>
  </w:style>
  <w:style w:type="paragraph" w:styleId="BodyTextIndent3">
    <w:name w:val="Body Text Indent 3"/>
    <w:basedOn w:val="Normal"/>
    <w:link w:val="BodyTextIndent3Char"/>
    <w:uiPriority w:val="99"/>
    <w:semiHidden/>
    <w:unhideWhenUsed/>
    <w:rsid w:val="00A4124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41248"/>
    <w:rPr>
      <w:sz w:val="16"/>
      <w:szCs w:val="16"/>
    </w:rPr>
  </w:style>
  <w:style w:type="paragraph" w:styleId="NormalWeb">
    <w:name w:val="Normal (Web)"/>
    <w:basedOn w:val="Normal"/>
    <w:uiPriority w:val="99"/>
    <w:unhideWhenUsed/>
    <w:rsid w:val="000D6E4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nhideWhenUsed/>
    <w:rsid w:val="00D65549"/>
    <w:rPr>
      <w:color w:val="0000FF"/>
      <w:u w:val="single"/>
    </w:rPr>
  </w:style>
  <w:style w:type="paragraph" w:styleId="ListParagraph">
    <w:name w:val="List Paragraph"/>
    <w:basedOn w:val="Normal"/>
    <w:uiPriority w:val="34"/>
    <w:qFormat/>
    <w:rsid w:val="00DF1720"/>
    <w:pPr>
      <w:ind w:left="720"/>
      <w:contextualSpacing/>
    </w:pPr>
  </w:style>
  <w:style w:type="paragraph" w:styleId="FootnoteText">
    <w:name w:val="footnote text"/>
    <w:aliases w:val="fn"/>
    <w:basedOn w:val="Normal"/>
    <w:link w:val="FootnoteTextChar"/>
    <w:uiPriority w:val="99"/>
    <w:unhideWhenUsed/>
    <w:rsid w:val="006F4929"/>
    <w:pPr>
      <w:spacing w:after="0" w:line="240" w:lineRule="auto"/>
    </w:pPr>
  </w:style>
  <w:style w:type="character" w:customStyle="1" w:styleId="FootnoteTextChar">
    <w:name w:val="Footnote Text Char"/>
    <w:aliases w:val="fn Char"/>
    <w:basedOn w:val="DefaultParagraphFont"/>
    <w:link w:val="FootnoteText"/>
    <w:uiPriority w:val="99"/>
    <w:rsid w:val="006F4929"/>
    <w:rPr>
      <w:sz w:val="20"/>
      <w:szCs w:val="20"/>
    </w:rPr>
  </w:style>
  <w:style w:type="character" w:styleId="FootnoteReference">
    <w:name w:val="footnote reference"/>
    <w:basedOn w:val="DefaultParagraphFont"/>
    <w:uiPriority w:val="99"/>
    <w:unhideWhenUsed/>
    <w:rsid w:val="006F4929"/>
    <w:rPr>
      <w:vertAlign w:val="superscript"/>
    </w:rPr>
  </w:style>
  <w:style w:type="paragraph" w:styleId="Header">
    <w:name w:val="header"/>
    <w:basedOn w:val="Normal"/>
    <w:link w:val="HeaderChar"/>
    <w:uiPriority w:val="99"/>
    <w:unhideWhenUsed/>
    <w:rsid w:val="00A33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3DA4"/>
  </w:style>
  <w:style w:type="paragraph" w:styleId="Footer">
    <w:name w:val="footer"/>
    <w:basedOn w:val="Normal"/>
    <w:link w:val="FooterChar"/>
    <w:uiPriority w:val="99"/>
    <w:unhideWhenUsed/>
    <w:rsid w:val="00A33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3DA4"/>
  </w:style>
  <w:style w:type="character" w:customStyle="1" w:styleId="ParagraphChar">
    <w:name w:val="Paragraph Char"/>
    <w:link w:val="Paragraph"/>
    <w:rsid w:val="00A33DA4"/>
    <w:rPr>
      <w:rFonts w:ascii="Times New Roman" w:eastAsia="Times New Roman" w:hAnsi="Times New Roman" w:cs="Times New Roman"/>
      <w:sz w:val="24"/>
    </w:rPr>
  </w:style>
  <w:style w:type="character" w:customStyle="1" w:styleId="BalloonTextChar1">
    <w:name w:val="Balloon Text Char1"/>
    <w:basedOn w:val="DefaultParagraphFont"/>
    <w:link w:val="BalloonText"/>
    <w:uiPriority w:val="99"/>
    <w:semiHidden/>
    <w:rsid w:val="006E584D"/>
    <w:rPr>
      <w:rFonts w:ascii="Tahoma" w:hAnsi="Tahoma" w:cs="Tahoma"/>
      <w:sz w:val="16"/>
      <w:szCs w:val="16"/>
    </w:rPr>
  </w:style>
  <w:style w:type="character" w:customStyle="1" w:styleId="Heading1Char">
    <w:name w:val="Heading 1 Char"/>
    <w:basedOn w:val="DefaultParagraphFont"/>
    <w:link w:val="Heading1"/>
    <w:uiPriority w:val="9"/>
    <w:rsid w:val="00DF1720"/>
    <w:rPr>
      <w:smallCaps/>
      <w:spacing w:val="5"/>
      <w:sz w:val="32"/>
      <w:szCs w:val="32"/>
    </w:rPr>
  </w:style>
  <w:style w:type="character" w:customStyle="1" w:styleId="Heading2Char">
    <w:name w:val="Heading 2 Char"/>
    <w:basedOn w:val="DefaultParagraphFont"/>
    <w:link w:val="Heading2"/>
    <w:uiPriority w:val="9"/>
    <w:rsid w:val="00DF1720"/>
    <w:rPr>
      <w:smallCaps/>
      <w:spacing w:val="5"/>
      <w:sz w:val="28"/>
      <w:szCs w:val="28"/>
    </w:rPr>
  </w:style>
  <w:style w:type="character" w:customStyle="1" w:styleId="Heading3Char">
    <w:name w:val="Heading 3 Char"/>
    <w:basedOn w:val="DefaultParagraphFont"/>
    <w:link w:val="Heading3"/>
    <w:uiPriority w:val="9"/>
    <w:rsid w:val="00DF1720"/>
    <w:rPr>
      <w:smallCaps/>
      <w:spacing w:val="5"/>
      <w:sz w:val="24"/>
      <w:szCs w:val="24"/>
    </w:rPr>
  </w:style>
  <w:style w:type="character" w:customStyle="1" w:styleId="Heading4Char">
    <w:name w:val="Heading 4 Char"/>
    <w:basedOn w:val="DefaultParagraphFont"/>
    <w:link w:val="Heading4"/>
    <w:uiPriority w:val="9"/>
    <w:rsid w:val="00DF1720"/>
    <w:rPr>
      <w:smallCaps/>
      <w:spacing w:val="10"/>
      <w:sz w:val="22"/>
      <w:szCs w:val="22"/>
    </w:rPr>
  </w:style>
  <w:style w:type="character" w:customStyle="1" w:styleId="Heading5Char">
    <w:name w:val="Heading 5 Char"/>
    <w:basedOn w:val="DefaultParagraphFont"/>
    <w:link w:val="Heading5"/>
    <w:uiPriority w:val="9"/>
    <w:semiHidden/>
    <w:rsid w:val="00DF172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DF1720"/>
    <w:rPr>
      <w:smallCaps/>
      <w:color w:val="C0504D" w:themeColor="accent2"/>
      <w:spacing w:val="5"/>
      <w:sz w:val="22"/>
    </w:rPr>
  </w:style>
  <w:style w:type="character" w:customStyle="1" w:styleId="Heading7Char">
    <w:name w:val="Heading 7 Char"/>
    <w:basedOn w:val="DefaultParagraphFont"/>
    <w:link w:val="Heading7"/>
    <w:uiPriority w:val="9"/>
    <w:semiHidden/>
    <w:rsid w:val="00DF1720"/>
    <w:rPr>
      <w:b/>
      <w:smallCaps/>
      <w:color w:val="C0504D" w:themeColor="accent2"/>
      <w:spacing w:val="10"/>
    </w:rPr>
  </w:style>
  <w:style w:type="character" w:customStyle="1" w:styleId="Heading8Char">
    <w:name w:val="Heading 8 Char"/>
    <w:basedOn w:val="DefaultParagraphFont"/>
    <w:link w:val="Heading8"/>
    <w:uiPriority w:val="9"/>
    <w:semiHidden/>
    <w:rsid w:val="00DF1720"/>
    <w:rPr>
      <w:b/>
      <w:i/>
      <w:smallCaps/>
      <w:color w:val="943634" w:themeColor="accent2" w:themeShade="BF"/>
    </w:rPr>
  </w:style>
  <w:style w:type="character" w:customStyle="1" w:styleId="Heading9Char">
    <w:name w:val="Heading 9 Char"/>
    <w:basedOn w:val="DefaultParagraphFont"/>
    <w:link w:val="Heading9"/>
    <w:uiPriority w:val="9"/>
    <w:semiHidden/>
    <w:rsid w:val="00DF1720"/>
    <w:rPr>
      <w:b/>
      <w:i/>
      <w:smallCaps/>
      <w:color w:val="622423" w:themeColor="accent2" w:themeShade="7F"/>
    </w:rPr>
  </w:style>
  <w:style w:type="paragraph" w:styleId="Caption">
    <w:name w:val="caption"/>
    <w:basedOn w:val="Normal"/>
    <w:next w:val="Normal"/>
    <w:uiPriority w:val="35"/>
    <w:semiHidden/>
    <w:unhideWhenUsed/>
    <w:qFormat/>
    <w:rsid w:val="00DF1720"/>
    <w:rPr>
      <w:b/>
      <w:bCs/>
      <w:caps/>
      <w:sz w:val="16"/>
      <w:szCs w:val="18"/>
    </w:rPr>
  </w:style>
  <w:style w:type="paragraph" w:styleId="Title">
    <w:name w:val="Title"/>
    <w:basedOn w:val="Normal"/>
    <w:next w:val="Normal"/>
    <w:link w:val="TitleChar"/>
    <w:qFormat/>
    <w:rsid w:val="00DF1720"/>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DF1720"/>
    <w:rPr>
      <w:smallCaps/>
      <w:sz w:val="48"/>
      <w:szCs w:val="48"/>
    </w:rPr>
  </w:style>
  <w:style w:type="paragraph" w:styleId="Subtitle">
    <w:name w:val="Subtitle"/>
    <w:basedOn w:val="Normal"/>
    <w:next w:val="Normal"/>
    <w:link w:val="SubtitleChar"/>
    <w:uiPriority w:val="11"/>
    <w:qFormat/>
    <w:rsid w:val="00DF1720"/>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DF1720"/>
    <w:rPr>
      <w:rFonts w:asciiTheme="majorHAnsi" w:eastAsiaTheme="majorEastAsia" w:hAnsiTheme="majorHAnsi" w:cstheme="majorBidi"/>
      <w:szCs w:val="22"/>
    </w:rPr>
  </w:style>
  <w:style w:type="character" w:styleId="Strong">
    <w:name w:val="Strong"/>
    <w:uiPriority w:val="22"/>
    <w:qFormat/>
    <w:rsid w:val="00DF1720"/>
    <w:rPr>
      <w:b/>
      <w:color w:val="C0504D" w:themeColor="accent2"/>
    </w:rPr>
  </w:style>
  <w:style w:type="character" w:styleId="Emphasis">
    <w:name w:val="Emphasis"/>
    <w:uiPriority w:val="20"/>
    <w:qFormat/>
    <w:rsid w:val="00DF1720"/>
    <w:rPr>
      <w:b/>
      <w:i/>
      <w:spacing w:val="10"/>
    </w:rPr>
  </w:style>
  <w:style w:type="paragraph" w:styleId="NoSpacing">
    <w:name w:val="No Spacing"/>
    <w:basedOn w:val="Normal"/>
    <w:link w:val="NoSpacingChar"/>
    <w:uiPriority w:val="1"/>
    <w:qFormat/>
    <w:rsid w:val="00DF1720"/>
    <w:pPr>
      <w:spacing w:after="0" w:line="240" w:lineRule="auto"/>
    </w:pPr>
  </w:style>
  <w:style w:type="character" w:customStyle="1" w:styleId="NoSpacingChar">
    <w:name w:val="No Spacing Char"/>
    <w:basedOn w:val="DefaultParagraphFont"/>
    <w:link w:val="NoSpacing"/>
    <w:uiPriority w:val="1"/>
    <w:rsid w:val="00DF1720"/>
  </w:style>
  <w:style w:type="paragraph" w:styleId="Quote">
    <w:name w:val="Quote"/>
    <w:basedOn w:val="Normal"/>
    <w:next w:val="Normal"/>
    <w:link w:val="QuoteChar"/>
    <w:uiPriority w:val="29"/>
    <w:qFormat/>
    <w:rsid w:val="00DF1720"/>
    <w:rPr>
      <w:i/>
    </w:rPr>
  </w:style>
  <w:style w:type="character" w:customStyle="1" w:styleId="QuoteChar">
    <w:name w:val="Quote Char"/>
    <w:basedOn w:val="DefaultParagraphFont"/>
    <w:link w:val="Quote"/>
    <w:uiPriority w:val="29"/>
    <w:rsid w:val="00DF1720"/>
    <w:rPr>
      <w:i/>
    </w:rPr>
  </w:style>
  <w:style w:type="paragraph" w:styleId="IntenseQuote">
    <w:name w:val="Intense Quote"/>
    <w:basedOn w:val="Normal"/>
    <w:next w:val="Normal"/>
    <w:link w:val="IntenseQuoteChar"/>
    <w:uiPriority w:val="30"/>
    <w:qFormat/>
    <w:rsid w:val="00DF172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DF1720"/>
    <w:rPr>
      <w:b/>
      <w:i/>
      <w:color w:val="FFFFFF" w:themeColor="background1"/>
      <w:shd w:val="clear" w:color="auto" w:fill="C0504D" w:themeFill="accent2"/>
    </w:rPr>
  </w:style>
  <w:style w:type="character" w:styleId="SubtleEmphasis">
    <w:name w:val="Subtle Emphasis"/>
    <w:uiPriority w:val="19"/>
    <w:qFormat/>
    <w:rsid w:val="00DF1720"/>
    <w:rPr>
      <w:i/>
    </w:rPr>
  </w:style>
  <w:style w:type="character" w:styleId="IntenseEmphasis">
    <w:name w:val="Intense Emphasis"/>
    <w:uiPriority w:val="21"/>
    <w:qFormat/>
    <w:rsid w:val="00DF1720"/>
    <w:rPr>
      <w:b/>
      <w:i/>
      <w:color w:val="C0504D" w:themeColor="accent2"/>
      <w:spacing w:val="10"/>
    </w:rPr>
  </w:style>
  <w:style w:type="character" w:styleId="SubtleReference">
    <w:name w:val="Subtle Reference"/>
    <w:uiPriority w:val="31"/>
    <w:qFormat/>
    <w:rsid w:val="00DF1720"/>
    <w:rPr>
      <w:b/>
    </w:rPr>
  </w:style>
  <w:style w:type="character" w:styleId="IntenseReference">
    <w:name w:val="Intense Reference"/>
    <w:uiPriority w:val="32"/>
    <w:qFormat/>
    <w:rsid w:val="00DF1720"/>
    <w:rPr>
      <w:b/>
      <w:bCs/>
      <w:smallCaps/>
      <w:spacing w:val="5"/>
      <w:sz w:val="22"/>
      <w:szCs w:val="22"/>
      <w:u w:val="single"/>
    </w:rPr>
  </w:style>
  <w:style w:type="character" w:styleId="BookTitle">
    <w:name w:val="Book Title"/>
    <w:uiPriority w:val="33"/>
    <w:qFormat/>
    <w:rsid w:val="00DF172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DF1720"/>
    <w:pPr>
      <w:outlineLvl w:val="9"/>
    </w:pPr>
  </w:style>
  <w:style w:type="paragraph" w:styleId="EndnoteText">
    <w:name w:val="endnote text"/>
    <w:basedOn w:val="Normal"/>
    <w:link w:val="EndnoteTextChar"/>
    <w:uiPriority w:val="99"/>
    <w:unhideWhenUsed/>
    <w:rsid w:val="00801130"/>
    <w:pPr>
      <w:spacing w:after="0" w:line="240" w:lineRule="auto"/>
    </w:pPr>
  </w:style>
  <w:style w:type="character" w:customStyle="1" w:styleId="EndnoteTextChar">
    <w:name w:val="Endnote Text Char"/>
    <w:basedOn w:val="DefaultParagraphFont"/>
    <w:link w:val="EndnoteText"/>
    <w:uiPriority w:val="99"/>
    <w:rsid w:val="00801130"/>
  </w:style>
  <w:style w:type="character" w:styleId="EndnoteReference">
    <w:name w:val="endnote reference"/>
    <w:basedOn w:val="DefaultParagraphFont"/>
    <w:uiPriority w:val="99"/>
    <w:semiHidden/>
    <w:unhideWhenUsed/>
    <w:rsid w:val="00801130"/>
    <w:rPr>
      <w:vertAlign w:val="superscript"/>
    </w:rPr>
  </w:style>
  <w:style w:type="paragraph" w:styleId="BodyText">
    <w:name w:val="Body Text"/>
    <w:basedOn w:val="Normal"/>
    <w:link w:val="BodyTextChar"/>
    <w:uiPriority w:val="99"/>
    <w:semiHidden/>
    <w:unhideWhenUsed/>
    <w:rsid w:val="0021333D"/>
    <w:pPr>
      <w:spacing w:after="120"/>
    </w:pPr>
  </w:style>
  <w:style w:type="character" w:customStyle="1" w:styleId="BodyTextChar">
    <w:name w:val="Body Text Char"/>
    <w:basedOn w:val="DefaultParagraphFont"/>
    <w:link w:val="BodyText"/>
    <w:uiPriority w:val="99"/>
    <w:semiHidden/>
    <w:rsid w:val="0021333D"/>
  </w:style>
  <w:style w:type="table" w:styleId="TableGrid">
    <w:name w:val="Table Grid"/>
    <w:basedOn w:val="TableNormal"/>
    <w:rsid w:val="0021333D"/>
    <w:pPr>
      <w:spacing w:after="0" w:line="240" w:lineRule="auto"/>
      <w:jc w:val="left"/>
    </w:pPr>
    <w:rPr>
      <w:rFonts w:ascii="Times New Roman" w:eastAsia="Times New Roman" w:hAnsi="Times New Roman" w:cs="Times New Roman"/>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semiHidden/>
    <w:unhideWhenUsed/>
    <w:rsid w:val="00AF3774"/>
    <w:rPr>
      <w:sz w:val="16"/>
      <w:szCs w:val="16"/>
    </w:rPr>
  </w:style>
  <w:style w:type="paragraph" w:styleId="CommentText">
    <w:name w:val="annotation text"/>
    <w:basedOn w:val="Normal"/>
    <w:link w:val="CommentTextChar"/>
    <w:semiHidden/>
    <w:unhideWhenUsed/>
    <w:rsid w:val="00AF3774"/>
    <w:pPr>
      <w:spacing w:line="240" w:lineRule="auto"/>
      <w:jc w:val="left"/>
    </w:pPr>
    <w:rPr>
      <w:rFonts w:eastAsiaTheme="minorHAnsi"/>
      <w:lang w:bidi="ar-SA"/>
    </w:rPr>
  </w:style>
  <w:style w:type="character" w:customStyle="1" w:styleId="CommentTextChar">
    <w:name w:val="Comment Text Char"/>
    <w:basedOn w:val="DefaultParagraphFont"/>
    <w:link w:val="CommentText"/>
    <w:uiPriority w:val="99"/>
    <w:semiHidden/>
    <w:rsid w:val="00AF3774"/>
    <w:rPr>
      <w:rFonts w:eastAsiaTheme="minorHAnsi"/>
      <w:lang w:bidi="ar-SA"/>
    </w:rPr>
  </w:style>
  <w:style w:type="paragraph" w:styleId="BodyText2">
    <w:name w:val="Body Text 2"/>
    <w:basedOn w:val="Normal"/>
    <w:link w:val="BodyText2Char"/>
    <w:uiPriority w:val="99"/>
    <w:semiHidden/>
    <w:unhideWhenUsed/>
    <w:rsid w:val="00C53EBC"/>
    <w:pPr>
      <w:spacing w:after="120" w:line="480" w:lineRule="auto"/>
    </w:pPr>
  </w:style>
  <w:style w:type="character" w:customStyle="1" w:styleId="BodyText2Char">
    <w:name w:val="Body Text 2 Char"/>
    <w:basedOn w:val="DefaultParagraphFont"/>
    <w:link w:val="BodyText2"/>
    <w:uiPriority w:val="99"/>
    <w:semiHidden/>
    <w:rsid w:val="00C53EBC"/>
  </w:style>
  <w:style w:type="paragraph" w:styleId="BodyText3">
    <w:name w:val="Body Text 3"/>
    <w:basedOn w:val="Normal"/>
    <w:link w:val="BodyText3Char"/>
    <w:uiPriority w:val="99"/>
    <w:semiHidden/>
    <w:unhideWhenUsed/>
    <w:rsid w:val="00C53EBC"/>
    <w:pPr>
      <w:spacing w:after="120"/>
    </w:pPr>
    <w:rPr>
      <w:sz w:val="16"/>
      <w:szCs w:val="16"/>
    </w:rPr>
  </w:style>
  <w:style w:type="character" w:customStyle="1" w:styleId="BodyText3Char">
    <w:name w:val="Body Text 3 Char"/>
    <w:basedOn w:val="DefaultParagraphFont"/>
    <w:link w:val="BodyText3"/>
    <w:uiPriority w:val="99"/>
    <w:semiHidden/>
    <w:rsid w:val="00C53EBC"/>
    <w:rPr>
      <w:sz w:val="16"/>
      <w:szCs w:val="16"/>
    </w:rPr>
  </w:style>
  <w:style w:type="paragraph" w:styleId="CommentSubject">
    <w:name w:val="annotation subject"/>
    <w:basedOn w:val="CommentText"/>
    <w:next w:val="CommentText"/>
    <w:link w:val="CommentSubjectChar"/>
    <w:uiPriority w:val="99"/>
    <w:semiHidden/>
    <w:unhideWhenUsed/>
    <w:rsid w:val="00E63FC1"/>
    <w:pPr>
      <w:jc w:val="both"/>
    </w:pPr>
    <w:rPr>
      <w:rFonts w:eastAsiaTheme="minorEastAsia"/>
      <w:b/>
      <w:bCs/>
      <w:lang w:bidi="en-US"/>
    </w:rPr>
  </w:style>
  <w:style w:type="character" w:customStyle="1" w:styleId="CommentSubjectChar">
    <w:name w:val="Comment Subject Char"/>
    <w:basedOn w:val="CommentTextChar"/>
    <w:link w:val="CommentSubject"/>
    <w:uiPriority w:val="99"/>
    <w:semiHidden/>
    <w:rsid w:val="00E63FC1"/>
    <w:rPr>
      <w:rFonts w:eastAsiaTheme="minorHAnsi"/>
      <w:b/>
      <w:bCs/>
      <w:lang w:bidi="ar-SA"/>
    </w:rPr>
  </w:style>
  <w:style w:type="paragraph" w:customStyle="1" w:styleId="FirstHeading">
    <w:name w:val="FirstHeading"/>
    <w:basedOn w:val="Normal"/>
    <w:next w:val="Normal"/>
    <w:rsid w:val="000B1618"/>
    <w:pPr>
      <w:keepNext/>
      <w:tabs>
        <w:tab w:val="left" w:pos="0"/>
        <w:tab w:val="left" w:pos="86"/>
      </w:tabs>
      <w:spacing w:before="120" w:after="120" w:line="240" w:lineRule="auto"/>
      <w:ind w:left="4824" w:hanging="720"/>
      <w:jc w:val="left"/>
    </w:pPr>
    <w:rPr>
      <w:rFonts w:ascii="Times New Roman" w:eastAsia="Times New Roman" w:hAnsi="Times New Roman" w:cs="Times New Roman"/>
      <w:b/>
      <w:sz w:val="24"/>
      <w:szCs w:val="24"/>
      <w:lang w:bidi="ar-SA"/>
    </w:rPr>
  </w:style>
  <w:style w:type="paragraph" w:customStyle="1" w:styleId="SecHeading">
    <w:name w:val="SecHeading"/>
    <w:basedOn w:val="Normal"/>
    <w:next w:val="Paragraph"/>
    <w:rsid w:val="000B1618"/>
    <w:pPr>
      <w:keepNext/>
      <w:tabs>
        <w:tab w:val="num" w:pos="5400"/>
      </w:tabs>
      <w:spacing w:before="120" w:after="120" w:line="240" w:lineRule="auto"/>
      <w:ind w:left="5400" w:hanging="576"/>
      <w:jc w:val="left"/>
    </w:pPr>
    <w:rPr>
      <w:rFonts w:ascii="Times New Roman" w:eastAsia="Times New Roman" w:hAnsi="Times New Roman" w:cs="Times New Roman"/>
      <w:b/>
      <w:sz w:val="24"/>
      <w:szCs w:val="24"/>
      <w:lang w:bidi="ar-SA"/>
    </w:rPr>
  </w:style>
  <w:style w:type="paragraph" w:customStyle="1" w:styleId="SubHeading1">
    <w:name w:val="SubHeading1"/>
    <w:basedOn w:val="SecHeading"/>
    <w:rsid w:val="000B1618"/>
    <w:pPr>
      <w:tabs>
        <w:tab w:val="clear" w:pos="5400"/>
        <w:tab w:val="num" w:pos="5976"/>
      </w:tabs>
      <w:ind w:left="5976"/>
    </w:pPr>
  </w:style>
  <w:style w:type="paragraph" w:customStyle="1" w:styleId="Subheading2">
    <w:name w:val="Subheading2"/>
    <w:basedOn w:val="SecHeading"/>
    <w:rsid w:val="000B1618"/>
    <w:pPr>
      <w:tabs>
        <w:tab w:val="clear" w:pos="5400"/>
        <w:tab w:val="num" w:pos="2376"/>
      </w:tabs>
      <w:ind w:left="2376" w:hanging="288"/>
    </w:pPr>
  </w:style>
  <w:style w:type="character" w:styleId="PlaceholderText">
    <w:name w:val="Placeholder Text"/>
    <w:basedOn w:val="DefaultParagraphFont"/>
    <w:uiPriority w:val="99"/>
    <w:semiHidden/>
    <w:rsid w:val="003576C5"/>
    <w:rPr>
      <w:color w:val="808080"/>
    </w:rPr>
  </w:style>
  <w:style w:type="paragraph" w:customStyle="1" w:styleId="Default">
    <w:name w:val="Default"/>
    <w:rsid w:val="007B68CD"/>
    <w:pPr>
      <w:autoSpaceDE w:val="0"/>
      <w:autoSpaceDN w:val="0"/>
      <w:adjustRightInd w:val="0"/>
      <w:spacing w:after="0" w:line="240" w:lineRule="auto"/>
      <w:jc w:val="left"/>
    </w:pPr>
    <w:rPr>
      <w:rFonts w:ascii="Book Antiqua" w:hAnsi="Book Antiqua" w:cs="Book Antiqua"/>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43335">
      <w:bodyDiv w:val="1"/>
      <w:marLeft w:val="0"/>
      <w:marRight w:val="0"/>
      <w:marTop w:val="0"/>
      <w:marBottom w:val="0"/>
      <w:divBdr>
        <w:top w:val="none" w:sz="0" w:space="0" w:color="auto"/>
        <w:left w:val="none" w:sz="0" w:space="0" w:color="auto"/>
        <w:bottom w:val="none" w:sz="0" w:space="0" w:color="auto"/>
        <w:right w:val="none" w:sz="0" w:space="0" w:color="auto"/>
      </w:divBdr>
      <w:divsChild>
        <w:div w:id="396707405">
          <w:marLeft w:val="0"/>
          <w:marRight w:val="0"/>
          <w:marTop w:val="0"/>
          <w:marBottom w:val="0"/>
          <w:divBdr>
            <w:top w:val="none" w:sz="0" w:space="0" w:color="auto"/>
            <w:left w:val="none" w:sz="0" w:space="0" w:color="auto"/>
            <w:bottom w:val="none" w:sz="0" w:space="0" w:color="auto"/>
            <w:right w:val="none" w:sz="0" w:space="0" w:color="auto"/>
          </w:divBdr>
          <w:divsChild>
            <w:div w:id="1524324305">
              <w:marLeft w:val="0"/>
              <w:marRight w:val="0"/>
              <w:marTop w:val="0"/>
              <w:marBottom w:val="0"/>
              <w:divBdr>
                <w:top w:val="none" w:sz="0" w:space="0" w:color="auto"/>
                <w:left w:val="none" w:sz="0" w:space="0" w:color="auto"/>
                <w:bottom w:val="none" w:sz="0" w:space="0" w:color="auto"/>
                <w:right w:val="none" w:sz="0" w:space="0" w:color="auto"/>
              </w:divBdr>
              <w:divsChild>
                <w:div w:id="1959942843">
                  <w:marLeft w:val="0"/>
                  <w:marRight w:val="0"/>
                  <w:marTop w:val="0"/>
                  <w:marBottom w:val="0"/>
                  <w:divBdr>
                    <w:top w:val="none" w:sz="0" w:space="0" w:color="auto"/>
                    <w:left w:val="none" w:sz="0" w:space="0" w:color="auto"/>
                    <w:bottom w:val="none" w:sz="0" w:space="0" w:color="auto"/>
                    <w:right w:val="none" w:sz="0" w:space="0" w:color="auto"/>
                  </w:divBdr>
                  <w:divsChild>
                    <w:div w:id="1058171314">
                      <w:marLeft w:val="0"/>
                      <w:marRight w:val="0"/>
                      <w:marTop w:val="0"/>
                      <w:marBottom w:val="0"/>
                      <w:divBdr>
                        <w:top w:val="none" w:sz="0" w:space="0" w:color="auto"/>
                        <w:left w:val="none" w:sz="0" w:space="0" w:color="auto"/>
                        <w:bottom w:val="none" w:sz="0" w:space="0" w:color="auto"/>
                        <w:right w:val="none" w:sz="0" w:space="0" w:color="auto"/>
                      </w:divBdr>
                      <w:divsChild>
                        <w:div w:id="46173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11934">
      <w:bodyDiv w:val="1"/>
      <w:marLeft w:val="0"/>
      <w:marRight w:val="0"/>
      <w:marTop w:val="0"/>
      <w:marBottom w:val="0"/>
      <w:divBdr>
        <w:top w:val="none" w:sz="0" w:space="0" w:color="auto"/>
        <w:left w:val="none" w:sz="0" w:space="0" w:color="auto"/>
        <w:bottom w:val="none" w:sz="0" w:space="0" w:color="auto"/>
        <w:right w:val="none" w:sz="0" w:space="0" w:color="auto"/>
      </w:divBdr>
    </w:div>
    <w:div w:id="236089843">
      <w:bodyDiv w:val="1"/>
      <w:marLeft w:val="0"/>
      <w:marRight w:val="0"/>
      <w:marTop w:val="0"/>
      <w:marBottom w:val="0"/>
      <w:divBdr>
        <w:top w:val="none" w:sz="0" w:space="0" w:color="auto"/>
        <w:left w:val="none" w:sz="0" w:space="0" w:color="auto"/>
        <w:bottom w:val="none" w:sz="0" w:space="0" w:color="auto"/>
        <w:right w:val="none" w:sz="0" w:space="0" w:color="auto"/>
      </w:divBdr>
    </w:div>
    <w:div w:id="279149892">
      <w:bodyDiv w:val="1"/>
      <w:marLeft w:val="0"/>
      <w:marRight w:val="0"/>
      <w:marTop w:val="0"/>
      <w:marBottom w:val="0"/>
      <w:divBdr>
        <w:top w:val="none" w:sz="0" w:space="0" w:color="auto"/>
        <w:left w:val="none" w:sz="0" w:space="0" w:color="auto"/>
        <w:bottom w:val="none" w:sz="0" w:space="0" w:color="auto"/>
        <w:right w:val="none" w:sz="0" w:space="0" w:color="auto"/>
      </w:divBdr>
    </w:div>
    <w:div w:id="303504812">
      <w:bodyDiv w:val="1"/>
      <w:marLeft w:val="0"/>
      <w:marRight w:val="0"/>
      <w:marTop w:val="0"/>
      <w:marBottom w:val="0"/>
      <w:divBdr>
        <w:top w:val="none" w:sz="0" w:space="0" w:color="auto"/>
        <w:left w:val="none" w:sz="0" w:space="0" w:color="auto"/>
        <w:bottom w:val="none" w:sz="0" w:space="0" w:color="auto"/>
        <w:right w:val="none" w:sz="0" w:space="0" w:color="auto"/>
      </w:divBdr>
    </w:div>
    <w:div w:id="376319657">
      <w:bodyDiv w:val="1"/>
      <w:marLeft w:val="0"/>
      <w:marRight w:val="0"/>
      <w:marTop w:val="0"/>
      <w:marBottom w:val="0"/>
      <w:divBdr>
        <w:top w:val="none" w:sz="0" w:space="0" w:color="auto"/>
        <w:left w:val="none" w:sz="0" w:space="0" w:color="auto"/>
        <w:bottom w:val="none" w:sz="0" w:space="0" w:color="auto"/>
        <w:right w:val="none" w:sz="0" w:space="0" w:color="auto"/>
      </w:divBdr>
    </w:div>
    <w:div w:id="442308613">
      <w:bodyDiv w:val="1"/>
      <w:marLeft w:val="0"/>
      <w:marRight w:val="0"/>
      <w:marTop w:val="0"/>
      <w:marBottom w:val="0"/>
      <w:divBdr>
        <w:top w:val="none" w:sz="0" w:space="0" w:color="auto"/>
        <w:left w:val="none" w:sz="0" w:space="0" w:color="auto"/>
        <w:bottom w:val="none" w:sz="0" w:space="0" w:color="auto"/>
        <w:right w:val="none" w:sz="0" w:space="0" w:color="auto"/>
      </w:divBdr>
      <w:divsChild>
        <w:div w:id="1435440871">
          <w:marLeft w:val="0"/>
          <w:marRight w:val="0"/>
          <w:marTop w:val="0"/>
          <w:marBottom w:val="0"/>
          <w:divBdr>
            <w:top w:val="none" w:sz="0" w:space="0" w:color="auto"/>
            <w:left w:val="none" w:sz="0" w:space="0" w:color="auto"/>
            <w:bottom w:val="none" w:sz="0" w:space="0" w:color="auto"/>
            <w:right w:val="none" w:sz="0" w:space="0" w:color="auto"/>
          </w:divBdr>
          <w:divsChild>
            <w:div w:id="2080901850">
              <w:marLeft w:val="0"/>
              <w:marRight w:val="0"/>
              <w:marTop w:val="0"/>
              <w:marBottom w:val="0"/>
              <w:divBdr>
                <w:top w:val="none" w:sz="0" w:space="0" w:color="auto"/>
                <w:left w:val="none" w:sz="0" w:space="0" w:color="auto"/>
                <w:bottom w:val="none" w:sz="0" w:space="0" w:color="auto"/>
                <w:right w:val="none" w:sz="0" w:space="0" w:color="auto"/>
              </w:divBdr>
              <w:divsChild>
                <w:div w:id="501119812">
                  <w:marLeft w:val="0"/>
                  <w:marRight w:val="0"/>
                  <w:marTop w:val="0"/>
                  <w:marBottom w:val="0"/>
                  <w:divBdr>
                    <w:top w:val="none" w:sz="0" w:space="0" w:color="auto"/>
                    <w:left w:val="none" w:sz="0" w:space="0" w:color="auto"/>
                    <w:bottom w:val="none" w:sz="0" w:space="0" w:color="auto"/>
                    <w:right w:val="none" w:sz="0" w:space="0" w:color="auto"/>
                  </w:divBdr>
                  <w:divsChild>
                    <w:div w:id="1280338285">
                      <w:marLeft w:val="0"/>
                      <w:marRight w:val="0"/>
                      <w:marTop w:val="0"/>
                      <w:marBottom w:val="0"/>
                      <w:divBdr>
                        <w:top w:val="none" w:sz="0" w:space="0" w:color="auto"/>
                        <w:left w:val="none" w:sz="0" w:space="0" w:color="auto"/>
                        <w:bottom w:val="none" w:sz="0" w:space="0" w:color="auto"/>
                        <w:right w:val="none" w:sz="0" w:space="0" w:color="auto"/>
                      </w:divBdr>
                      <w:divsChild>
                        <w:div w:id="192533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803842">
      <w:bodyDiv w:val="1"/>
      <w:marLeft w:val="0"/>
      <w:marRight w:val="0"/>
      <w:marTop w:val="0"/>
      <w:marBottom w:val="0"/>
      <w:divBdr>
        <w:top w:val="none" w:sz="0" w:space="0" w:color="auto"/>
        <w:left w:val="none" w:sz="0" w:space="0" w:color="auto"/>
        <w:bottom w:val="none" w:sz="0" w:space="0" w:color="auto"/>
        <w:right w:val="none" w:sz="0" w:space="0" w:color="auto"/>
      </w:divBdr>
    </w:div>
    <w:div w:id="530149045">
      <w:bodyDiv w:val="1"/>
      <w:marLeft w:val="0"/>
      <w:marRight w:val="0"/>
      <w:marTop w:val="0"/>
      <w:marBottom w:val="0"/>
      <w:divBdr>
        <w:top w:val="none" w:sz="0" w:space="0" w:color="auto"/>
        <w:left w:val="none" w:sz="0" w:space="0" w:color="auto"/>
        <w:bottom w:val="none" w:sz="0" w:space="0" w:color="auto"/>
        <w:right w:val="none" w:sz="0" w:space="0" w:color="auto"/>
      </w:divBdr>
    </w:div>
    <w:div w:id="581135601">
      <w:bodyDiv w:val="1"/>
      <w:marLeft w:val="0"/>
      <w:marRight w:val="0"/>
      <w:marTop w:val="0"/>
      <w:marBottom w:val="0"/>
      <w:divBdr>
        <w:top w:val="none" w:sz="0" w:space="0" w:color="auto"/>
        <w:left w:val="none" w:sz="0" w:space="0" w:color="auto"/>
        <w:bottom w:val="none" w:sz="0" w:space="0" w:color="auto"/>
        <w:right w:val="none" w:sz="0" w:space="0" w:color="auto"/>
      </w:divBdr>
    </w:div>
    <w:div w:id="631667693">
      <w:bodyDiv w:val="1"/>
      <w:marLeft w:val="0"/>
      <w:marRight w:val="0"/>
      <w:marTop w:val="0"/>
      <w:marBottom w:val="0"/>
      <w:divBdr>
        <w:top w:val="none" w:sz="0" w:space="0" w:color="auto"/>
        <w:left w:val="none" w:sz="0" w:space="0" w:color="auto"/>
        <w:bottom w:val="none" w:sz="0" w:space="0" w:color="auto"/>
        <w:right w:val="none" w:sz="0" w:space="0" w:color="auto"/>
      </w:divBdr>
      <w:divsChild>
        <w:div w:id="989093936">
          <w:marLeft w:val="0"/>
          <w:marRight w:val="0"/>
          <w:marTop w:val="0"/>
          <w:marBottom w:val="0"/>
          <w:divBdr>
            <w:top w:val="none" w:sz="0" w:space="0" w:color="auto"/>
            <w:left w:val="none" w:sz="0" w:space="0" w:color="auto"/>
            <w:bottom w:val="none" w:sz="0" w:space="0" w:color="auto"/>
            <w:right w:val="none" w:sz="0" w:space="0" w:color="auto"/>
          </w:divBdr>
          <w:divsChild>
            <w:div w:id="1029256360">
              <w:marLeft w:val="0"/>
              <w:marRight w:val="0"/>
              <w:marTop w:val="0"/>
              <w:marBottom w:val="0"/>
              <w:divBdr>
                <w:top w:val="none" w:sz="0" w:space="0" w:color="auto"/>
                <w:left w:val="none" w:sz="0" w:space="0" w:color="auto"/>
                <w:bottom w:val="none" w:sz="0" w:space="0" w:color="auto"/>
                <w:right w:val="none" w:sz="0" w:space="0" w:color="auto"/>
              </w:divBdr>
              <w:divsChild>
                <w:div w:id="1931311384">
                  <w:marLeft w:val="0"/>
                  <w:marRight w:val="0"/>
                  <w:marTop w:val="0"/>
                  <w:marBottom w:val="0"/>
                  <w:divBdr>
                    <w:top w:val="none" w:sz="0" w:space="0" w:color="auto"/>
                    <w:left w:val="none" w:sz="0" w:space="0" w:color="auto"/>
                    <w:bottom w:val="none" w:sz="0" w:space="0" w:color="auto"/>
                    <w:right w:val="none" w:sz="0" w:space="0" w:color="auto"/>
                  </w:divBdr>
                  <w:divsChild>
                    <w:div w:id="56755460">
                      <w:marLeft w:val="0"/>
                      <w:marRight w:val="0"/>
                      <w:marTop w:val="0"/>
                      <w:marBottom w:val="0"/>
                      <w:divBdr>
                        <w:top w:val="none" w:sz="0" w:space="0" w:color="auto"/>
                        <w:left w:val="none" w:sz="0" w:space="0" w:color="auto"/>
                        <w:bottom w:val="none" w:sz="0" w:space="0" w:color="auto"/>
                        <w:right w:val="none" w:sz="0" w:space="0" w:color="auto"/>
                      </w:divBdr>
                      <w:divsChild>
                        <w:div w:id="19461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672089">
      <w:bodyDiv w:val="1"/>
      <w:marLeft w:val="0"/>
      <w:marRight w:val="0"/>
      <w:marTop w:val="0"/>
      <w:marBottom w:val="0"/>
      <w:divBdr>
        <w:top w:val="none" w:sz="0" w:space="0" w:color="auto"/>
        <w:left w:val="none" w:sz="0" w:space="0" w:color="auto"/>
        <w:bottom w:val="none" w:sz="0" w:space="0" w:color="auto"/>
        <w:right w:val="none" w:sz="0" w:space="0" w:color="auto"/>
      </w:divBdr>
    </w:div>
    <w:div w:id="796531583">
      <w:bodyDiv w:val="1"/>
      <w:marLeft w:val="0"/>
      <w:marRight w:val="0"/>
      <w:marTop w:val="0"/>
      <w:marBottom w:val="0"/>
      <w:divBdr>
        <w:top w:val="none" w:sz="0" w:space="0" w:color="auto"/>
        <w:left w:val="none" w:sz="0" w:space="0" w:color="auto"/>
        <w:bottom w:val="none" w:sz="0" w:space="0" w:color="auto"/>
        <w:right w:val="none" w:sz="0" w:space="0" w:color="auto"/>
      </w:divBdr>
    </w:div>
    <w:div w:id="826171072">
      <w:bodyDiv w:val="1"/>
      <w:marLeft w:val="0"/>
      <w:marRight w:val="0"/>
      <w:marTop w:val="0"/>
      <w:marBottom w:val="0"/>
      <w:divBdr>
        <w:top w:val="none" w:sz="0" w:space="0" w:color="auto"/>
        <w:left w:val="none" w:sz="0" w:space="0" w:color="auto"/>
        <w:bottom w:val="none" w:sz="0" w:space="0" w:color="auto"/>
        <w:right w:val="none" w:sz="0" w:space="0" w:color="auto"/>
      </w:divBdr>
    </w:div>
    <w:div w:id="833179515">
      <w:bodyDiv w:val="1"/>
      <w:marLeft w:val="0"/>
      <w:marRight w:val="0"/>
      <w:marTop w:val="0"/>
      <w:marBottom w:val="0"/>
      <w:divBdr>
        <w:top w:val="none" w:sz="0" w:space="0" w:color="auto"/>
        <w:left w:val="none" w:sz="0" w:space="0" w:color="auto"/>
        <w:bottom w:val="none" w:sz="0" w:space="0" w:color="auto"/>
        <w:right w:val="none" w:sz="0" w:space="0" w:color="auto"/>
      </w:divBdr>
      <w:divsChild>
        <w:div w:id="1810324241">
          <w:marLeft w:val="0"/>
          <w:marRight w:val="0"/>
          <w:marTop w:val="0"/>
          <w:marBottom w:val="0"/>
          <w:divBdr>
            <w:top w:val="none" w:sz="0" w:space="0" w:color="auto"/>
            <w:left w:val="none" w:sz="0" w:space="0" w:color="auto"/>
            <w:bottom w:val="none" w:sz="0" w:space="0" w:color="auto"/>
            <w:right w:val="none" w:sz="0" w:space="0" w:color="auto"/>
          </w:divBdr>
        </w:div>
      </w:divsChild>
    </w:div>
    <w:div w:id="841433990">
      <w:bodyDiv w:val="1"/>
      <w:marLeft w:val="0"/>
      <w:marRight w:val="0"/>
      <w:marTop w:val="0"/>
      <w:marBottom w:val="0"/>
      <w:divBdr>
        <w:top w:val="none" w:sz="0" w:space="0" w:color="auto"/>
        <w:left w:val="none" w:sz="0" w:space="0" w:color="auto"/>
        <w:bottom w:val="none" w:sz="0" w:space="0" w:color="auto"/>
        <w:right w:val="none" w:sz="0" w:space="0" w:color="auto"/>
      </w:divBdr>
    </w:div>
    <w:div w:id="846137879">
      <w:bodyDiv w:val="1"/>
      <w:marLeft w:val="0"/>
      <w:marRight w:val="0"/>
      <w:marTop w:val="0"/>
      <w:marBottom w:val="0"/>
      <w:divBdr>
        <w:top w:val="none" w:sz="0" w:space="0" w:color="auto"/>
        <w:left w:val="none" w:sz="0" w:space="0" w:color="auto"/>
        <w:bottom w:val="none" w:sz="0" w:space="0" w:color="auto"/>
        <w:right w:val="none" w:sz="0" w:space="0" w:color="auto"/>
      </w:divBdr>
    </w:div>
    <w:div w:id="1128473571">
      <w:bodyDiv w:val="1"/>
      <w:marLeft w:val="0"/>
      <w:marRight w:val="0"/>
      <w:marTop w:val="0"/>
      <w:marBottom w:val="0"/>
      <w:divBdr>
        <w:top w:val="none" w:sz="0" w:space="0" w:color="auto"/>
        <w:left w:val="none" w:sz="0" w:space="0" w:color="auto"/>
        <w:bottom w:val="none" w:sz="0" w:space="0" w:color="auto"/>
        <w:right w:val="none" w:sz="0" w:space="0" w:color="auto"/>
      </w:divBdr>
    </w:div>
    <w:div w:id="1148665131">
      <w:bodyDiv w:val="1"/>
      <w:marLeft w:val="0"/>
      <w:marRight w:val="0"/>
      <w:marTop w:val="0"/>
      <w:marBottom w:val="0"/>
      <w:divBdr>
        <w:top w:val="none" w:sz="0" w:space="0" w:color="auto"/>
        <w:left w:val="none" w:sz="0" w:space="0" w:color="auto"/>
        <w:bottom w:val="none" w:sz="0" w:space="0" w:color="auto"/>
        <w:right w:val="none" w:sz="0" w:space="0" w:color="auto"/>
      </w:divBdr>
    </w:div>
    <w:div w:id="1218010422">
      <w:bodyDiv w:val="1"/>
      <w:marLeft w:val="0"/>
      <w:marRight w:val="0"/>
      <w:marTop w:val="0"/>
      <w:marBottom w:val="0"/>
      <w:divBdr>
        <w:top w:val="none" w:sz="0" w:space="0" w:color="auto"/>
        <w:left w:val="none" w:sz="0" w:space="0" w:color="auto"/>
        <w:bottom w:val="none" w:sz="0" w:space="0" w:color="auto"/>
        <w:right w:val="none" w:sz="0" w:space="0" w:color="auto"/>
      </w:divBdr>
    </w:div>
    <w:div w:id="1224566376">
      <w:bodyDiv w:val="1"/>
      <w:marLeft w:val="0"/>
      <w:marRight w:val="0"/>
      <w:marTop w:val="0"/>
      <w:marBottom w:val="0"/>
      <w:divBdr>
        <w:top w:val="none" w:sz="0" w:space="0" w:color="auto"/>
        <w:left w:val="none" w:sz="0" w:space="0" w:color="auto"/>
        <w:bottom w:val="none" w:sz="0" w:space="0" w:color="auto"/>
        <w:right w:val="none" w:sz="0" w:space="0" w:color="auto"/>
      </w:divBdr>
    </w:div>
    <w:div w:id="1266885056">
      <w:bodyDiv w:val="1"/>
      <w:marLeft w:val="0"/>
      <w:marRight w:val="0"/>
      <w:marTop w:val="0"/>
      <w:marBottom w:val="0"/>
      <w:divBdr>
        <w:top w:val="none" w:sz="0" w:space="0" w:color="auto"/>
        <w:left w:val="none" w:sz="0" w:space="0" w:color="auto"/>
        <w:bottom w:val="none" w:sz="0" w:space="0" w:color="auto"/>
        <w:right w:val="none" w:sz="0" w:space="0" w:color="auto"/>
      </w:divBdr>
      <w:divsChild>
        <w:div w:id="689571849">
          <w:marLeft w:val="0"/>
          <w:marRight w:val="0"/>
          <w:marTop w:val="0"/>
          <w:marBottom w:val="0"/>
          <w:divBdr>
            <w:top w:val="none" w:sz="0" w:space="0" w:color="auto"/>
            <w:left w:val="none" w:sz="0" w:space="0" w:color="auto"/>
            <w:bottom w:val="none" w:sz="0" w:space="0" w:color="auto"/>
            <w:right w:val="none" w:sz="0" w:space="0" w:color="auto"/>
          </w:divBdr>
          <w:divsChild>
            <w:div w:id="992562653">
              <w:marLeft w:val="0"/>
              <w:marRight w:val="0"/>
              <w:marTop w:val="0"/>
              <w:marBottom w:val="0"/>
              <w:divBdr>
                <w:top w:val="none" w:sz="0" w:space="0" w:color="auto"/>
                <w:left w:val="none" w:sz="0" w:space="0" w:color="auto"/>
                <w:bottom w:val="none" w:sz="0" w:space="0" w:color="auto"/>
                <w:right w:val="none" w:sz="0" w:space="0" w:color="auto"/>
              </w:divBdr>
              <w:divsChild>
                <w:div w:id="1323317500">
                  <w:marLeft w:val="0"/>
                  <w:marRight w:val="0"/>
                  <w:marTop w:val="0"/>
                  <w:marBottom w:val="0"/>
                  <w:divBdr>
                    <w:top w:val="none" w:sz="0" w:space="0" w:color="auto"/>
                    <w:left w:val="none" w:sz="0" w:space="0" w:color="auto"/>
                    <w:bottom w:val="none" w:sz="0" w:space="0" w:color="auto"/>
                    <w:right w:val="none" w:sz="0" w:space="0" w:color="auto"/>
                  </w:divBdr>
                  <w:divsChild>
                    <w:div w:id="1493372834">
                      <w:marLeft w:val="0"/>
                      <w:marRight w:val="0"/>
                      <w:marTop w:val="0"/>
                      <w:marBottom w:val="0"/>
                      <w:divBdr>
                        <w:top w:val="none" w:sz="0" w:space="0" w:color="auto"/>
                        <w:left w:val="none" w:sz="0" w:space="0" w:color="auto"/>
                        <w:bottom w:val="none" w:sz="0" w:space="0" w:color="auto"/>
                        <w:right w:val="none" w:sz="0" w:space="0" w:color="auto"/>
                      </w:divBdr>
                      <w:divsChild>
                        <w:div w:id="73906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8716040">
      <w:bodyDiv w:val="1"/>
      <w:marLeft w:val="0"/>
      <w:marRight w:val="0"/>
      <w:marTop w:val="0"/>
      <w:marBottom w:val="0"/>
      <w:divBdr>
        <w:top w:val="none" w:sz="0" w:space="0" w:color="auto"/>
        <w:left w:val="none" w:sz="0" w:space="0" w:color="auto"/>
        <w:bottom w:val="none" w:sz="0" w:space="0" w:color="auto"/>
        <w:right w:val="none" w:sz="0" w:space="0" w:color="auto"/>
      </w:divBdr>
    </w:div>
    <w:div w:id="1521117739">
      <w:bodyDiv w:val="1"/>
      <w:marLeft w:val="0"/>
      <w:marRight w:val="0"/>
      <w:marTop w:val="0"/>
      <w:marBottom w:val="0"/>
      <w:divBdr>
        <w:top w:val="none" w:sz="0" w:space="0" w:color="auto"/>
        <w:left w:val="none" w:sz="0" w:space="0" w:color="auto"/>
        <w:bottom w:val="none" w:sz="0" w:space="0" w:color="auto"/>
        <w:right w:val="none" w:sz="0" w:space="0" w:color="auto"/>
      </w:divBdr>
    </w:div>
    <w:div w:id="1628046360">
      <w:bodyDiv w:val="1"/>
      <w:marLeft w:val="0"/>
      <w:marRight w:val="0"/>
      <w:marTop w:val="0"/>
      <w:marBottom w:val="0"/>
      <w:divBdr>
        <w:top w:val="none" w:sz="0" w:space="0" w:color="auto"/>
        <w:left w:val="none" w:sz="0" w:space="0" w:color="auto"/>
        <w:bottom w:val="none" w:sz="0" w:space="0" w:color="auto"/>
        <w:right w:val="none" w:sz="0" w:space="0" w:color="auto"/>
      </w:divBdr>
    </w:div>
    <w:div w:id="1642540304">
      <w:bodyDiv w:val="1"/>
      <w:marLeft w:val="0"/>
      <w:marRight w:val="0"/>
      <w:marTop w:val="0"/>
      <w:marBottom w:val="0"/>
      <w:divBdr>
        <w:top w:val="none" w:sz="0" w:space="0" w:color="auto"/>
        <w:left w:val="none" w:sz="0" w:space="0" w:color="auto"/>
        <w:bottom w:val="none" w:sz="0" w:space="0" w:color="auto"/>
        <w:right w:val="none" w:sz="0" w:space="0" w:color="auto"/>
      </w:divBdr>
    </w:div>
    <w:div w:id="1729497166">
      <w:bodyDiv w:val="1"/>
      <w:marLeft w:val="0"/>
      <w:marRight w:val="0"/>
      <w:marTop w:val="0"/>
      <w:marBottom w:val="0"/>
      <w:divBdr>
        <w:top w:val="none" w:sz="0" w:space="0" w:color="auto"/>
        <w:left w:val="none" w:sz="0" w:space="0" w:color="auto"/>
        <w:bottom w:val="none" w:sz="0" w:space="0" w:color="auto"/>
        <w:right w:val="none" w:sz="0" w:space="0" w:color="auto"/>
      </w:divBdr>
    </w:div>
    <w:div w:id="1734038172">
      <w:bodyDiv w:val="1"/>
      <w:marLeft w:val="0"/>
      <w:marRight w:val="0"/>
      <w:marTop w:val="0"/>
      <w:marBottom w:val="0"/>
      <w:divBdr>
        <w:top w:val="none" w:sz="0" w:space="0" w:color="auto"/>
        <w:left w:val="none" w:sz="0" w:space="0" w:color="auto"/>
        <w:bottom w:val="none" w:sz="0" w:space="0" w:color="auto"/>
        <w:right w:val="none" w:sz="0" w:space="0" w:color="auto"/>
      </w:divBdr>
    </w:div>
    <w:div w:id="1790052358">
      <w:bodyDiv w:val="1"/>
      <w:marLeft w:val="0"/>
      <w:marRight w:val="0"/>
      <w:marTop w:val="0"/>
      <w:marBottom w:val="0"/>
      <w:divBdr>
        <w:top w:val="none" w:sz="0" w:space="0" w:color="auto"/>
        <w:left w:val="none" w:sz="0" w:space="0" w:color="auto"/>
        <w:bottom w:val="none" w:sz="0" w:space="0" w:color="auto"/>
        <w:right w:val="none" w:sz="0" w:space="0" w:color="auto"/>
      </w:divBdr>
      <w:divsChild>
        <w:div w:id="284585107">
          <w:marLeft w:val="0"/>
          <w:marRight w:val="0"/>
          <w:marTop w:val="0"/>
          <w:marBottom w:val="0"/>
          <w:divBdr>
            <w:top w:val="none" w:sz="0" w:space="0" w:color="auto"/>
            <w:left w:val="none" w:sz="0" w:space="0" w:color="auto"/>
            <w:bottom w:val="none" w:sz="0" w:space="0" w:color="auto"/>
            <w:right w:val="none" w:sz="0" w:space="0" w:color="auto"/>
          </w:divBdr>
          <w:divsChild>
            <w:div w:id="1970088970">
              <w:marLeft w:val="0"/>
              <w:marRight w:val="0"/>
              <w:marTop w:val="0"/>
              <w:marBottom w:val="0"/>
              <w:divBdr>
                <w:top w:val="none" w:sz="0" w:space="0" w:color="auto"/>
                <w:left w:val="none" w:sz="0" w:space="0" w:color="auto"/>
                <w:bottom w:val="none" w:sz="0" w:space="0" w:color="auto"/>
                <w:right w:val="none" w:sz="0" w:space="0" w:color="auto"/>
              </w:divBdr>
              <w:divsChild>
                <w:div w:id="597493193">
                  <w:marLeft w:val="0"/>
                  <w:marRight w:val="0"/>
                  <w:marTop w:val="0"/>
                  <w:marBottom w:val="0"/>
                  <w:divBdr>
                    <w:top w:val="none" w:sz="0" w:space="0" w:color="auto"/>
                    <w:left w:val="none" w:sz="0" w:space="0" w:color="auto"/>
                    <w:bottom w:val="none" w:sz="0" w:space="0" w:color="auto"/>
                    <w:right w:val="none" w:sz="0" w:space="0" w:color="auto"/>
                  </w:divBdr>
                  <w:divsChild>
                    <w:div w:id="869297621">
                      <w:marLeft w:val="0"/>
                      <w:marRight w:val="0"/>
                      <w:marTop w:val="0"/>
                      <w:marBottom w:val="0"/>
                      <w:divBdr>
                        <w:top w:val="none" w:sz="0" w:space="0" w:color="auto"/>
                        <w:left w:val="none" w:sz="0" w:space="0" w:color="auto"/>
                        <w:bottom w:val="none" w:sz="0" w:space="0" w:color="auto"/>
                        <w:right w:val="none" w:sz="0" w:space="0" w:color="auto"/>
                      </w:divBdr>
                      <w:divsChild>
                        <w:div w:id="172965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5584023">
      <w:bodyDiv w:val="1"/>
      <w:marLeft w:val="0"/>
      <w:marRight w:val="0"/>
      <w:marTop w:val="0"/>
      <w:marBottom w:val="0"/>
      <w:divBdr>
        <w:top w:val="none" w:sz="0" w:space="0" w:color="auto"/>
        <w:left w:val="none" w:sz="0" w:space="0" w:color="auto"/>
        <w:bottom w:val="none" w:sz="0" w:space="0" w:color="auto"/>
        <w:right w:val="none" w:sz="0" w:space="0" w:color="auto"/>
      </w:divBdr>
      <w:divsChild>
        <w:div w:id="1138842984">
          <w:marLeft w:val="0"/>
          <w:marRight w:val="0"/>
          <w:marTop w:val="0"/>
          <w:marBottom w:val="0"/>
          <w:divBdr>
            <w:top w:val="none" w:sz="0" w:space="0" w:color="auto"/>
            <w:left w:val="none" w:sz="0" w:space="0" w:color="auto"/>
            <w:bottom w:val="none" w:sz="0" w:space="0" w:color="auto"/>
            <w:right w:val="none" w:sz="0" w:space="0" w:color="auto"/>
          </w:divBdr>
          <w:divsChild>
            <w:div w:id="986393651">
              <w:marLeft w:val="0"/>
              <w:marRight w:val="0"/>
              <w:marTop w:val="0"/>
              <w:marBottom w:val="0"/>
              <w:divBdr>
                <w:top w:val="none" w:sz="0" w:space="0" w:color="auto"/>
                <w:left w:val="none" w:sz="0" w:space="0" w:color="auto"/>
                <w:bottom w:val="none" w:sz="0" w:space="0" w:color="auto"/>
                <w:right w:val="none" w:sz="0" w:space="0" w:color="auto"/>
              </w:divBdr>
              <w:divsChild>
                <w:div w:id="1076709462">
                  <w:marLeft w:val="0"/>
                  <w:marRight w:val="0"/>
                  <w:marTop w:val="0"/>
                  <w:marBottom w:val="0"/>
                  <w:divBdr>
                    <w:top w:val="none" w:sz="0" w:space="0" w:color="auto"/>
                    <w:left w:val="none" w:sz="0" w:space="0" w:color="auto"/>
                    <w:bottom w:val="none" w:sz="0" w:space="0" w:color="auto"/>
                    <w:right w:val="none" w:sz="0" w:space="0" w:color="auto"/>
                  </w:divBdr>
                  <w:divsChild>
                    <w:div w:id="1561355920">
                      <w:marLeft w:val="0"/>
                      <w:marRight w:val="0"/>
                      <w:marTop w:val="0"/>
                      <w:marBottom w:val="0"/>
                      <w:divBdr>
                        <w:top w:val="none" w:sz="0" w:space="0" w:color="auto"/>
                        <w:left w:val="none" w:sz="0" w:space="0" w:color="auto"/>
                        <w:bottom w:val="none" w:sz="0" w:space="0" w:color="auto"/>
                        <w:right w:val="none" w:sz="0" w:space="0" w:color="auto"/>
                      </w:divBdr>
                      <w:divsChild>
                        <w:div w:id="53327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3641126">
      <w:bodyDiv w:val="1"/>
      <w:marLeft w:val="0"/>
      <w:marRight w:val="0"/>
      <w:marTop w:val="0"/>
      <w:marBottom w:val="0"/>
      <w:divBdr>
        <w:top w:val="none" w:sz="0" w:space="0" w:color="auto"/>
        <w:left w:val="none" w:sz="0" w:space="0" w:color="auto"/>
        <w:bottom w:val="none" w:sz="0" w:space="0" w:color="auto"/>
        <w:right w:val="none" w:sz="0" w:space="0" w:color="auto"/>
      </w:divBdr>
      <w:divsChild>
        <w:div w:id="950012178">
          <w:marLeft w:val="0"/>
          <w:marRight w:val="0"/>
          <w:marTop w:val="0"/>
          <w:marBottom w:val="0"/>
          <w:divBdr>
            <w:top w:val="none" w:sz="0" w:space="0" w:color="auto"/>
            <w:left w:val="none" w:sz="0" w:space="0" w:color="auto"/>
            <w:bottom w:val="none" w:sz="0" w:space="0" w:color="auto"/>
            <w:right w:val="none" w:sz="0" w:space="0" w:color="auto"/>
          </w:divBdr>
          <w:divsChild>
            <w:div w:id="2095205069">
              <w:marLeft w:val="0"/>
              <w:marRight w:val="0"/>
              <w:marTop w:val="0"/>
              <w:marBottom w:val="0"/>
              <w:divBdr>
                <w:top w:val="none" w:sz="0" w:space="0" w:color="auto"/>
                <w:left w:val="none" w:sz="0" w:space="0" w:color="auto"/>
                <w:bottom w:val="none" w:sz="0" w:space="0" w:color="auto"/>
                <w:right w:val="none" w:sz="0" w:space="0" w:color="auto"/>
              </w:divBdr>
              <w:divsChild>
                <w:div w:id="654264198">
                  <w:marLeft w:val="0"/>
                  <w:marRight w:val="0"/>
                  <w:marTop w:val="0"/>
                  <w:marBottom w:val="0"/>
                  <w:divBdr>
                    <w:top w:val="none" w:sz="0" w:space="0" w:color="auto"/>
                    <w:left w:val="none" w:sz="0" w:space="0" w:color="auto"/>
                    <w:bottom w:val="none" w:sz="0" w:space="0" w:color="auto"/>
                    <w:right w:val="none" w:sz="0" w:space="0" w:color="auto"/>
                  </w:divBdr>
                  <w:divsChild>
                    <w:div w:id="1998679879">
                      <w:marLeft w:val="0"/>
                      <w:marRight w:val="0"/>
                      <w:marTop w:val="0"/>
                      <w:marBottom w:val="0"/>
                      <w:divBdr>
                        <w:top w:val="none" w:sz="0" w:space="0" w:color="auto"/>
                        <w:left w:val="none" w:sz="0" w:space="0" w:color="auto"/>
                        <w:bottom w:val="none" w:sz="0" w:space="0" w:color="auto"/>
                        <w:right w:val="none" w:sz="0" w:space="0" w:color="auto"/>
                      </w:divBdr>
                      <w:divsChild>
                        <w:div w:id="187010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154905">
      <w:bodyDiv w:val="1"/>
      <w:marLeft w:val="0"/>
      <w:marRight w:val="0"/>
      <w:marTop w:val="0"/>
      <w:marBottom w:val="0"/>
      <w:divBdr>
        <w:top w:val="none" w:sz="0" w:space="0" w:color="auto"/>
        <w:left w:val="none" w:sz="0" w:space="0" w:color="auto"/>
        <w:bottom w:val="none" w:sz="0" w:space="0" w:color="auto"/>
        <w:right w:val="none" w:sz="0" w:space="0" w:color="auto"/>
      </w:divBdr>
    </w:div>
    <w:div w:id="2116172970">
      <w:bodyDiv w:val="1"/>
      <w:marLeft w:val="0"/>
      <w:marRight w:val="0"/>
      <w:marTop w:val="0"/>
      <w:marBottom w:val="0"/>
      <w:divBdr>
        <w:top w:val="none" w:sz="0" w:space="0" w:color="auto"/>
        <w:left w:val="none" w:sz="0" w:space="0" w:color="auto"/>
        <w:bottom w:val="none" w:sz="0" w:space="0" w:color="auto"/>
        <w:right w:val="none" w:sz="0" w:space="0" w:color="auto"/>
      </w:divBdr>
    </w:div>
    <w:div w:id="213012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image" Target="media/image6.emf"/><Relationship Id="rId26" Type="http://schemas.openxmlformats.org/officeDocument/2006/relationships/customXml" Target="../customXml/item7.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emf"/><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customXml" Target="../customXml/item4.xml"/><Relationship Id="rId10" Type="http://schemas.openxmlformats.org/officeDocument/2006/relationships/hyperlink" Target="http://idbdocs.iadb.org/WSDocs/getDocument.aspx?DOCNUM=35398853"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dbdocs.iadb.org/WSDocs/getDocument.aspx?DOCNUM=35398852" TargetMode="External"/><Relationship Id="rId14" Type="http://schemas.openxmlformats.org/officeDocument/2006/relationships/image" Target="media/image2.emf"/><Relationship Id="rId22" Type="http://schemas.openxmlformats.org/officeDocument/2006/relationships/customXml" Target="../customXml/item3.xml"/><Relationship Id="rId27"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R0002761087</Record_x0020_Number>
    <Key_x0020_Document xmlns="cdc7663a-08f0-4737-9e8c-148ce897a09c">false</Key_x0020_Document>
    <Division_x0020_or_x0020_Unit xmlns="cdc7663a-08f0-4737-9e8c-148ce897a09c">IFD/CTI</Division_x0020_or_x0020_Unit>
    <Other_x0020_Author xmlns="cdc7663a-08f0-4737-9e8c-148ce897a09c" xsi:nil="true"/>
    <IDBDocs_x0020_Number xmlns="cdc7663a-08f0-4737-9e8c-148ce897a09c">35478777</IDBDocs_x0020_Number>
    <Document_x0020_Author xmlns="cdc7663a-08f0-4737-9e8c-148ce897a09c">Stevenson, Claudia</Document_x0020_Author>
    <Operation_x0020_Type xmlns="cdc7663a-08f0-4737-9e8c-148ce897a09c" xsi:nil="true"/>
    <TaxCatchAll xmlns="cdc7663a-08f0-4737-9e8c-148ce897a09c"/>
    <Fiscal_x0020_Year_x0020_IDB xmlns="cdc7663a-08f0-4737-9e8c-148ce897a09c">2010</Fiscal_x0020_Year_x0020_IDB>
    <Project_x0020_Number xmlns="cdc7663a-08f0-4737-9e8c-148ce897a09c">JA-L1014</Project_x0020_Number>
    <Package_x0020_Code xmlns="cdc7663a-08f0-4737-9e8c-148ce897a09c" xsi:nil="true"/>
    <Migration_x0020_Info xmlns="cdc7663a-08f0-4737-9e8c-148ce897a09c">MS WORDLPLoan ProposalQRRQuality &amp;amp; Risk Review0N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EZSHARE-624782996-46</_dlc_DocId>
    <From_x003a_ xmlns="cdc7663a-08f0-4737-9e8c-148ce897a09c" xsi:nil="true"/>
    <To_x003a_ xmlns="cdc7663a-08f0-4737-9e8c-148ce897a09c" xsi:nil="true"/>
    <_dlc_DocIdUrl xmlns="cdc7663a-08f0-4737-9e8c-148ce897a09c">
      <Url>https://idbg.sharepoint.com/teams/EZ-JA-LON/JA-L1014/_layouts/15/DocIdRedir.aspx?ID=EZSHARE-624782996-46</Url>
      <Description>EZSHARE-624782996-46</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C34CFFD0A6E2594889D4A6AA745272C6" ma:contentTypeVersion="423" ma:contentTypeDescription="The base project type from which other project content types inherit their information." ma:contentTypeScope="" ma:versionID="e0c2fad0ca168cec2b36be4b188d2f2d">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A09784DA-9198-4B4B-9E38-2EFECF80B1C4}"/>
</file>

<file path=customXml/itemProps2.xml><?xml version="1.0" encoding="utf-8"?>
<ds:datastoreItem xmlns:ds="http://schemas.openxmlformats.org/officeDocument/2006/customXml" ds:itemID="{8F74A28A-E4FE-470C-85BF-F8AAA6FD759C}"/>
</file>

<file path=customXml/itemProps3.xml><?xml version="1.0" encoding="utf-8"?>
<ds:datastoreItem xmlns:ds="http://schemas.openxmlformats.org/officeDocument/2006/customXml" ds:itemID="{59107358-BA1F-44E0-9AE2-7CB724FFFD81}"/>
</file>

<file path=customXml/itemProps4.xml><?xml version="1.0" encoding="utf-8"?>
<ds:datastoreItem xmlns:ds="http://schemas.openxmlformats.org/officeDocument/2006/customXml" ds:itemID="{CADEB85A-3E6D-424F-BDED-952109E337F8}"/>
</file>

<file path=customXml/itemProps5.xml><?xml version="1.0" encoding="utf-8"?>
<ds:datastoreItem xmlns:ds="http://schemas.openxmlformats.org/officeDocument/2006/customXml" ds:itemID="{351746B2-250E-4BE8-8A3D-5F2251E729C0}"/>
</file>

<file path=customXml/itemProps6.xml><?xml version="1.0" encoding="utf-8"?>
<ds:datastoreItem xmlns:ds="http://schemas.openxmlformats.org/officeDocument/2006/customXml" ds:itemID="{724C6913-7C1A-4633-8B1E-5C4E0FFD9C40}"/>
</file>

<file path=customXml/itemProps7.xml><?xml version="1.0" encoding="utf-8"?>
<ds:datastoreItem xmlns:ds="http://schemas.openxmlformats.org/officeDocument/2006/customXml" ds:itemID="{0049DE98-BDA3-4CD7-9A35-95097939CD48}"/>
</file>

<file path=customXml/itemProps8.xml><?xml version="1.0" encoding="utf-8"?>
<ds:datastoreItem xmlns:ds="http://schemas.openxmlformats.org/officeDocument/2006/customXml" ds:itemID="{74EBFF09-E817-42D8-8EAA-FA6E31870220}"/>
</file>

<file path=docProps/app.xml><?xml version="1.0" encoding="utf-8"?>
<Properties xmlns="http://schemas.openxmlformats.org/officeDocument/2006/extended-properties" xmlns:vt="http://schemas.openxmlformats.org/officeDocument/2006/docPropsVTypes">
  <Template>Normal.dotm</Template>
  <TotalTime>19</TotalTime>
  <Pages>34</Pages>
  <Words>10127</Words>
  <Characters>57725</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OpLink 13 - Cost-Benefit Analysis</dc:title>
  <dc:creator>jvonhoroch</dc:creator>
  <cp:lastModifiedBy>Test</cp:lastModifiedBy>
  <cp:revision>4</cp:revision>
  <cp:lastPrinted>2010-11-23T15:57:00Z</cp:lastPrinted>
  <dcterms:created xsi:type="dcterms:W3CDTF">2013-12-09T23:30:00Z</dcterms:created>
  <dcterms:modified xsi:type="dcterms:W3CDTF">2013-12-12T16:59:00Z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0x010100ACF722E9F6B0B149B0CD8BE2560A667200C34CFFD0A6E2594889D4A6AA745272C6</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20" name="Webtopic">
    <vt:lpwstr>Science and Technology;E-business;Information Technology and Communications;Internet and Knowledge Management;Internet and Knowledge Management</vt:lpwstr>
  </property>
  <property fmtid="{D5CDD505-2E9C-101B-9397-08002B2CF9AE}" pid="22" name="Disclosed">
    <vt:bool>true</vt:bool>
  </property>
  <property fmtid="{D5CDD505-2E9C-101B-9397-08002B2CF9AE}" pid="26" name="_dlc_DocIdItemGuid">
    <vt:lpwstr>e5febb03-33bc-4b58-8031-5c984d6dce16</vt:lpwstr>
  </property>
</Properties>
</file>