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glossary/document.xml" ContentType="application/vnd.openxmlformats-officedocument.wordprocessingml.document.glossary+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body>
    <w:p w:rsidRPr="003930CD" w:rsidR="0050360B" w:rsidP="0050360B" w:rsidRDefault="0050360B" w14:paraId="2DC06727" w14:textId="77777777">
      <w:pPr>
        <w:spacing w:before="120"/>
        <w:jc w:val="both"/>
        <w:rPr>
          <w:rFonts w:ascii="Arial" w:hAnsi="Arial" w:cs="Arial"/>
          <w:b/>
          <w:lang w:val="es-ES_tradnl"/>
        </w:rPr>
      </w:pPr>
      <w:r w:rsidRPr="003930CD">
        <w:rPr>
          <w:rFonts w:ascii="Arial" w:hAnsi="Arial" w:cs="Arial"/>
          <w:noProof/>
        </w:rPr>
        <mc:AlternateContent>
          <mc:Choice Requires="wps">
            <w:drawing>
              <wp:anchor distT="36576" distB="36576" distL="36576" distR="36576" simplePos="0" relativeHeight="251659264" behindDoc="0" locked="0" layoutInCell="1" allowOverlap="1" wp14:anchorId="7577A0B7" wp14:editId="095D784E">
                <wp:simplePos x="0" y="0"/>
                <wp:positionH relativeFrom="column">
                  <wp:posOffset>3162300</wp:posOffset>
                </wp:positionH>
                <wp:positionV relativeFrom="page">
                  <wp:posOffset>0</wp:posOffset>
                </wp:positionV>
                <wp:extent cx="3319145" cy="10716260"/>
                <wp:effectExtent l="0" t="0" r="0" b="8890"/>
                <wp:wrapTight wrapText="bothSides">
                  <wp:wrapPolygon edited="0">
                    <wp:start x="0" y="0"/>
                    <wp:lineTo x="0" y="21580"/>
                    <wp:lineTo x="21447" y="21580"/>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716260"/>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style="position:absolute;margin-left:249pt;margin-top:0;width:261.35pt;height:843.8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spid="_x0000_s1026" fillcolor="#0078b4" stroked="f" strokecolor="#212120" w14:anchorId="25A2C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">
                <v:shadow color="#dcd6d4"/>
                <v:textbox inset="2.88pt,2.88pt,2.88pt,2.88pt"/>
                <w10:wrap type="tight" anchory="page"/>
              </v:rect>
            </w:pict>
          </mc:Fallback>
        </mc:AlternateContent>
      </w:r>
      <w:r w:rsidRPr="003930CD">
        <w:rPr>
          <w:rFonts w:ascii="Arial" w:hAnsi="Arial" w:cs="Arial"/>
          <w:b/>
          <w:i/>
          <w:noProof/>
          <w:color w:val="000000"/>
        </w:rPr>
        <w:drawing>
          <wp:inline distT="0" distB="0" distL="0" distR="0" wp14:anchorId="61DD0A7F" wp14:editId="77E892E2">
            <wp:extent cx="1997075" cy="848360"/>
            <wp:effectExtent l="0" t="0" r="3175" b="8890"/>
            <wp:docPr id="2" name="Picture 2" descr="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7075" cy="848360"/>
                    </a:xfrm>
                    <a:prstGeom prst="rect">
                      <a:avLst/>
                    </a:prstGeom>
                    <a:noFill/>
                    <a:ln>
                      <a:noFill/>
                    </a:ln>
                  </pic:spPr>
                </pic:pic>
              </a:graphicData>
            </a:graphic>
          </wp:inline>
        </w:drawing>
      </w:r>
    </w:p>
    <w:p w:rsidRPr="003930CD" w:rsidR="0050360B" w:rsidP="0050360B" w:rsidRDefault="0050360B" w14:paraId="49421344" w14:textId="77777777">
      <w:pPr>
        <w:spacing w:before="120"/>
        <w:jc w:val="both"/>
        <w:rPr>
          <w:rFonts w:ascii="Arial" w:hAnsi="Arial" w:cs="Arial"/>
          <w:lang w:val="es-ES_tradnl"/>
        </w:rPr>
      </w:pPr>
    </w:p>
    <w:p w:rsidRPr="003930CD" w:rsidR="0050360B" w:rsidP="0050360B" w:rsidRDefault="0050360B" w14:paraId="06E9F837" w14:textId="77777777">
      <w:pPr>
        <w:spacing w:before="120"/>
        <w:jc w:val="both"/>
        <w:rPr>
          <w:rFonts w:ascii="Arial" w:hAnsi="Arial" w:cs="Arial"/>
          <w:lang w:val="es-ES_tradnl"/>
        </w:rPr>
      </w:pPr>
      <w:r w:rsidRPr="003930CD">
        <w:rPr>
          <w:rFonts w:ascii="Arial" w:hAnsi="Arial" w:cs="Arial"/>
          <w:noProof/>
        </w:rPr>
        <mc:AlternateContent>
          <mc:Choice Requires="wps">
            <w:drawing>
              <wp:anchor distT="0" distB="0" distL="114300" distR="114300" simplePos="0" relativeHeight="251660288" behindDoc="0" locked="0" layoutInCell="1" allowOverlap="1" wp14:anchorId="3057E5C2" wp14:editId="37160E7B">
                <wp:simplePos x="0" y="0"/>
                <wp:positionH relativeFrom="column">
                  <wp:posOffset>-365760</wp:posOffset>
                </wp:positionH>
                <wp:positionV relativeFrom="paragraph">
                  <wp:posOffset>652145</wp:posOffset>
                </wp:positionV>
                <wp:extent cx="3352800" cy="3276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2766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0360B" w:rsidR="0050360B" w:rsidP="0050360B" w:rsidRDefault="0050360B" w14:paraId="324C4E05" w14:textId="6D517B50">
                            <w:pPr>
                              <w:pStyle w:val="Newpage"/>
                              <w:jc w:val="left"/>
                              <w:rPr>
                                <w:rFonts w:ascii="Arial" w:hAnsi="Arial" w:cs="Arial"/>
                                <w:sz w:val="36"/>
                                <w:szCs w:val="36"/>
                                <w:lang w:val="es-MX"/>
                              </w:rPr>
                            </w:pPr>
                            <w:r w:rsidRPr="0050360B">
                              <w:rPr>
                                <w:rFonts w:ascii="Arial" w:hAnsi="Arial" w:cs="Arial"/>
                                <w:sz w:val="36"/>
                                <w:szCs w:val="36"/>
                                <w:lang w:val="es-MX"/>
                              </w:rPr>
                              <w:t xml:space="preserve">Programa de </w:t>
                            </w:r>
                            <w:r w:rsidR="00E96621">
                              <w:rPr>
                                <w:rFonts w:ascii="Arial" w:hAnsi="Arial" w:cs="Arial"/>
                                <w:sz w:val="36"/>
                                <w:szCs w:val="36"/>
                                <w:lang w:val="es-MX"/>
                              </w:rPr>
                              <w:t xml:space="preserve">Apoyo a la Reforma del Sistema de Salud </w:t>
                            </w:r>
                          </w:p>
                          <w:p w:rsidRPr="000E1EC6" w:rsidR="0050360B" w:rsidP="0050360B" w:rsidRDefault="00E96621" w14:paraId="3459E95D" w14:textId="69F4B075">
                            <w:pPr>
                              <w:spacing w:before="120" w:after="120"/>
                              <w:rPr>
                                <w:rFonts w:ascii="Arial" w:hAnsi="Arial" w:cs="Arial"/>
                                <w:bCs/>
                                <w:sz w:val="36"/>
                                <w:szCs w:val="36"/>
                                <w:lang w:val="es-ES_tradnl"/>
                              </w:rPr>
                            </w:pPr>
                            <w:r>
                              <w:rPr>
                                <w:rFonts w:ascii="Arial" w:hAnsi="Arial" w:cs="Arial"/>
                                <w:bCs/>
                                <w:sz w:val="36"/>
                                <w:szCs w:val="36"/>
                                <w:lang w:val="es-ES_tradnl"/>
                              </w:rPr>
                              <w:t>HO-L1182</w:t>
                            </w:r>
                          </w:p>
                          <w:p w:rsidRPr="0016327C" w:rsidR="0050360B" w:rsidP="0050360B" w:rsidRDefault="0050360B" w14:paraId="785A5C90" w14:textId="77777777">
                            <w:pPr>
                              <w:spacing w:before="120" w:after="120"/>
                              <w:rPr>
                                <w:rFonts w:ascii="Arial" w:hAnsi="Arial" w:cs="Arial"/>
                                <w:bCs/>
                                <w:sz w:val="40"/>
                                <w:lang w:val="es-ES_tradnl"/>
                              </w:rPr>
                            </w:pPr>
                          </w:p>
                          <w:p w:rsidRPr="000E1EC6" w:rsidR="0050360B" w:rsidP="0050360B" w:rsidRDefault="0050360B" w14:paraId="3D9E00F7" w14:textId="77777777">
                            <w:pPr>
                              <w:spacing w:before="120" w:after="120"/>
                              <w:rPr>
                                <w:rFonts w:ascii="Arial" w:hAnsi="Arial" w:cs="Arial"/>
                                <w:b/>
                                <w:bCs/>
                                <w:sz w:val="36"/>
                                <w:szCs w:val="36"/>
                                <w:lang w:val="es-ES_tradnl"/>
                              </w:rPr>
                            </w:pPr>
                            <w:r w:rsidRPr="000E1EC6">
                              <w:rPr>
                                <w:rFonts w:ascii="Arial" w:hAnsi="Arial" w:cs="Arial"/>
                                <w:b/>
                                <w:bCs/>
                                <w:sz w:val="36"/>
                                <w:szCs w:val="36"/>
                                <w:lang w:val="es-ES_tradnl"/>
                              </w:rPr>
                              <w:t>Plan de Seguimiento y 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057E5C2">
                <v:stroke joinstyle="miter"/>
                <v:path gradientshapeok="t" o:connecttype="rect"/>
              </v:shapetype>
              <v:shape id="Text Box 7" style="position:absolute;left:0;text-align:left;margin-left:-28.8pt;margin-top:51.35pt;width:264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fillcolor="navy"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">
                <v:textbox>
                  <w:txbxContent>
                    <w:p w:rsidRPr="0050360B" w:rsidR="0050360B" w:rsidP="0050360B" w:rsidRDefault="0050360B" w14:paraId="324C4E05" w14:textId="6D517B50">
                      <w:pPr>
                        <w:pStyle w:val="Newpage"/>
                        <w:jc w:val="left"/>
                        <w:rPr>
                          <w:rFonts w:ascii="Arial" w:hAnsi="Arial" w:cs="Arial"/>
                          <w:sz w:val="36"/>
                          <w:szCs w:val="36"/>
                          <w:lang w:val="es-MX"/>
                        </w:rPr>
                      </w:pPr>
                      <w:r w:rsidRPr="0050360B">
                        <w:rPr>
                          <w:rFonts w:ascii="Arial" w:hAnsi="Arial" w:cs="Arial"/>
                          <w:sz w:val="36"/>
                          <w:szCs w:val="36"/>
                          <w:lang w:val="es-MX"/>
                        </w:rPr>
                        <w:t xml:space="preserve">Programa de </w:t>
                      </w:r>
                      <w:r w:rsidR="00E96621">
                        <w:rPr>
                          <w:rFonts w:ascii="Arial" w:hAnsi="Arial" w:cs="Arial"/>
                          <w:sz w:val="36"/>
                          <w:szCs w:val="36"/>
                          <w:lang w:val="es-MX"/>
                        </w:rPr>
                        <w:t xml:space="preserve">Apoyo a la Reforma del Sistema de Salud </w:t>
                      </w:r>
                    </w:p>
                    <w:p w:rsidRPr="000E1EC6" w:rsidR="0050360B" w:rsidP="0050360B" w:rsidRDefault="00E96621" w14:paraId="3459E95D" w14:textId="69F4B075">
                      <w:pPr>
                        <w:spacing w:before="120" w:after="120"/>
                        <w:rPr>
                          <w:rFonts w:ascii="Arial" w:hAnsi="Arial" w:cs="Arial"/>
                          <w:bCs/>
                          <w:sz w:val="36"/>
                          <w:szCs w:val="36"/>
                          <w:lang w:val="es-ES_tradnl"/>
                        </w:rPr>
                      </w:pPr>
                      <w:r>
                        <w:rPr>
                          <w:rFonts w:ascii="Arial" w:hAnsi="Arial" w:cs="Arial"/>
                          <w:bCs/>
                          <w:sz w:val="36"/>
                          <w:szCs w:val="36"/>
                          <w:lang w:val="es-ES_tradnl"/>
                        </w:rPr>
                        <w:t>HO-L1182</w:t>
                      </w:r>
                    </w:p>
                    <w:p w:rsidRPr="0016327C" w:rsidR="0050360B" w:rsidP="0050360B" w:rsidRDefault="0050360B" w14:paraId="785A5C90" w14:textId="77777777">
                      <w:pPr>
                        <w:spacing w:before="120" w:after="120"/>
                        <w:rPr>
                          <w:rFonts w:ascii="Arial" w:hAnsi="Arial" w:cs="Arial"/>
                          <w:bCs/>
                          <w:sz w:val="40"/>
                          <w:lang w:val="es-ES_tradnl"/>
                        </w:rPr>
                      </w:pPr>
                    </w:p>
                    <w:p w:rsidRPr="000E1EC6" w:rsidR="0050360B" w:rsidP="0050360B" w:rsidRDefault="0050360B" w14:paraId="3D9E00F7" w14:textId="77777777">
                      <w:pPr>
                        <w:spacing w:before="120" w:after="120"/>
                        <w:rPr>
                          <w:rFonts w:ascii="Arial" w:hAnsi="Arial" w:cs="Arial"/>
                          <w:b/>
                          <w:bCs/>
                          <w:sz w:val="36"/>
                          <w:szCs w:val="36"/>
                          <w:lang w:val="es-ES_tradnl"/>
                        </w:rPr>
                      </w:pPr>
                      <w:r w:rsidRPr="000E1EC6">
                        <w:rPr>
                          <w:rFonts w:ascii="Arial" w:hAnsi="Arial" w:cs="Arial"/>
                          <w:b/>
                          <w:bCs/>
                          <w:sz w:val="36"/>
                          <w:szCs w:val="36"/>
                          <w:lang w:val="es-ES_tradnl"/>
                        </w:rPr>
                        <w:t>Plan de Seguimiento y Evaluación</w:t>
                      </w:r>
                    </w:p>
                  </w:txbxContent>
                </v:textbox>
                <w10:wrap type="square"/>
              </v:shape>
            </w:pict>
          </mc:Fallback>
        </mc:AlternateContent>
      </w:r>
    </w:p>
    <w:p w:rsidRPr="003930CD" w:rsidR="0050360B" w:rsidP="0050360B" w:rsidRDefault="0050360B" w14:paraId="7197D8EC" w14:textId="77777777">
      <w:pPr>
        <w:spacing w:before="120"/>
        <w:jc w:val="both"/>
        <w:rPr>
          <w:rFonts w:ascii="Arial" w:hAnsi="Arial" w:cs="Arial"/>
          <w:lang w:val="es-ES_tradnl"/>
        </w:rPr>
      </w:pPr>
    </w:p>
    <w:p w:rsidRPr="003930CD" w:rsidR="0050360B" w:rsidP="0050360B" w:rsidRDefault="0050360B" w14:paraId="6969C3BA" w14:textId="77777777">
      <w:pPr>
        <w:spacing w:before="120"/>
        <w:jc w:val="both"/>
        <w:rPr>
          <w:rFonts w:ascii="Arial" w:hAnsi="Arial" w:cs="Arial"/>
          <w:lang w:val="es-ES_tradnl"/>
        </w:rPr>
      </w:pPr>
    </w:p>
    <w:p w:rsidRPr="003930CD" w:rsidR="0050360B" w:rsidP="175FA130" w:rsidRDefault="4EAF959F" w14:paraId="1986A94A" w14:textId="00E802FE">
      <w:pPr>
        <w:spacing w:after="100" w:afterAutospacing="on"/>
        <w:ind w:left="-450"/>
        <w:rPr>
          <w:rFonts w:ascii="Arial" w:hAnsi="Arial" w:eastAsia="Arial" w:cs="Arial"/>
          <w:lang w:val="es-ES"/>
        </w:rPr>
      </w:pPr>
      <w:r w:rsidRPr="175FA130" w:rsidR="175FA130">
        <w:rPr>
          <w:rFonts w:ascii="Arial" w:hAnsi="Arial" w:eastAsia="Arial" w:cs="Arial"/>
          <w:lang w:val="es-ES"/>
        </w:rPr>
        <w:t xml:space="preserve">Documento preparado </w:t>
      </w:r>
      <w:r w:rsidRPr="175FA130" w:rsidR="175FA130">
        <w:rPr>
          <w:rFonts w:ascii="Arial" w:hAnsi="Arial" w:eastAsia="Arial" w:cs="Arial"/>
          <w:lang w:val="es-ES"/>
        </w:rPr>
        <w:t xml:space="preserve">por: Luis </w:t>
      </w:r>
      <w:proofErr w:type="spellStart"/>
      <w:r w:rsidRPr="175FA130" w:rsidR="175FA130">
        <w:rPr>
          <w:rFonts w:ascii="Arial" w:hAnsi="Arial" w:eastAsia="Arial" w:cs="Arial"/>
          <w:lang w:val="es-ES"/>
        </w:rPr>
        <w:t>Tejerina</w:t>
      </w:r>
      <w:proofErr w:type="spellEnd"/>
      <w:r w:rsidRPr="175FA130" w:rsidR="175FA130">
        <w:rPr>
          <w:rFonts w:ascii="Arial" w:hAnsi="Arial" w:eastAsia="Arial" w:cs="Arial"/>
          <w:lang w:val="es-ES"/>
        </w:rPr>
        <w:t xml:space="preserve"> (SPH/CHO);</w:t>
      </w:r>
      <w:r w:rsidRPr="175FA130" w:rsidR="175FA130">
        <w:rPr>
          <w:rFonts w:ascii="Arial" w:hAnsi="Arial" w:eastAsia="Arial" w:cs="Arial"/>
          <w:lang w:val="es-ES"/>
        </w:rPr>
        <w:t xml:space="preserve"> Leonardo </w:t>
      </w:r>
      <w:r w:rsidRPr="175FA130" w:rsidR="175FA130">
        <w:rPr>
          <w:rFonts w:ascii="Arial" w:hAnsi="Arial" w:eastAsia="Arial" w:cs="Arial"/>
          <w:lang w:val="es-ES"/>
        </w:rPr>
        <w:t>Pinzón (</w:t>
      </w:r>
      <w:r w:rsidRPr="175FA130" w:rsidR="175FA130">
        <w:rPr>
          <w:rFonts w:ascii="Arial" w:hAnsi="Arial" w:eastAsia="Arial" w:cs="Arial"/>
          <w:lang w:val="es-ES"/>
        </w:rPr>
        <w:t>SPH/CPN)</w:t>
      </w:r>
      <w:r w:rsidRPr="175FA130" w:rsidR="175FA130">
        <w:rPr>
          <w:rFonts w:ascii="Arial" w:hAnsi="Arial" w:eastAsia="Arial" w:cs="Arial"/>
          <w:lang w:val="es-ES"/>
        </w:rPr>
        <w:t>;</w:t>
      </w:r>
      <w:r w:rsidRPr="175FA130" w:rsidR="175FA130">
        <w:rPr>
          <w:rFonts w:ascii="Arial" w:hAnsi="Arial" w:eastAsia="Arial" w:cs="Arial"/>
          <w:lang w:val="es-ES"/>
        </w:rPr>
        <w:t xml:space="preserve"> y Matilde </w:t>
      </w:r>
      <w:proofErr w:type="spellStart"/>
      <w:r w:rsidRPr="175FA130" w:rsidR="175FA130">
        <w:rPr>
          <w:rFonts w:ascii="Arial" w:hAnsi="Arial" w:eastAsia="Arial" w:cs="Arial"/>
          <w:lang w:val="es-ES"/>
        </w:rPr>
        <w:t>Neret</w:t>
      </w:r>
      <w:proofErr w:type="spellEnd"/>
      <w:r w:rsidRPr="175FA130" w:rsidR="175FA130">
        <w:rPr>
          <w:rFonts w:ascii="Arial" w:hAnsi="Arial" w:eastAsia="Arial" w:cs="Arial"/>
          <w:lang w:val="es-ES"/>
        </w:rPr>
        <w:t xml:space="preserve"> (SCL/SPH).</w:t>
      </w:r>
    </w:p>
    <w:p w:rsidRPr="003930CD" w:rsidR="0050360B" w:rsidP="0050360B" w:rsidRDefault="0050360B" w14:paraId="5E1932E1" w14:textId="77777777">
      <w:pPr>
        <w:spacing w:after="100" w:afterAutospacing="1"/>
        <w:ind w:left="-450"/>
        <w:rPr>
          <w:rFonts w:ascii="Arial" w:hAnsi="Arial" w:cs="Arial"/>
          <w:lang w:val="es-ES_tradnl"/>
        </w:rPr>
      </w:pPr>
    </w:p>
    <w:p w:rsidRPr="003930CD" w:rsidR="0050360B" w:rsidP="175FA130" w:rsidRDefault="0050360B" w14:paraId="07C1C805" w14:textId="77777777" w14:noSpellErr="1">
      <w:pPr>
        <w:spacing w:after="100" w:afterAutospacing="on"/>
        <w:ind w:left="-450"/>
        <w:rPr>
          <w:rFonts w:ascii="Arial" w:hAnsi="Arial" w:eastAsia="Arial" w:cs="Arial"/>
          <w:lang w:val="es-ES"/>
        </w:rPr>
      </w:pPr>
      <w:r w:rsidRPr="175FA130">
        <w:rPr>
          <w:rFonts w:ascii="Arial" w:hAnsi="Arial" w:eastAsia="Arial" w:cs="Arial"/>
          <w:b w:val="1"/>
          <w:bCs w:val="1"/>
          <w:smallCaps/>
          <w:lang w:val="es-ES"/>
        </w:rPr>
        <w:t xml:space="preserve">Julio, 2016 </w:t>
      </w:r>
    </w:p>
    <w:p w:rsidRPr="003930CD" w:rsidR="0050360B" w:rsidP="0050360B" w:rsidRDefault="0050360B" w14:paraId="302318F8" w14:textId="77777777">
      <w:pPr>
        <w:rPr>
          <w:rFonts w:ascii="Arial" w:hAnsi="Arial" w:cs="Arial"/>
          <w:b/>
          <w:smallCaps/>
          <w:lang w:val="es-ES_tradnl"/>
        </w:rPr>
      </w:pPr>
    </w:p>
    <w:p w:rsidRPr="003930CD" w:rsidR="0050360B" w:rsidP="0050360B" w:rsidRDefault="0050360B" w14:paraId="4D81C1ED" w14:textId="77777777">
      <w:pPr>
        <w:rPr>
          <w:rFonts w:ascii="Arial" w:hAnsi="Arial" w:cs="Arial"/>
          <w:b/>
          <w:smallCaps/>
          <w:lang w:val="es-ES_tradnl"/>
        </w:rPr>
      </w:pPr>
      <w:r w:rsidRPr="003930CD">
        <w:rPr>
          <w:rFonts w:ascii="Arial" w:hAnsi="Arial" w:cs="Arial"/>
          <w:lang w:val="es-ES_tradnl"/>
        </w:rPr>
        <w:br w:type="page"/>
      </w:r>
    </w:p>
    <w:p w:rsidRPr="003930CD" w:rsidR="00B54624" w:rsidRDefault="00B54624" w14:paraId="7CD4582C" w14:textId="77777777">
      <w:pPr>
        <w:tabs>
          <w:tab w:val="left" w:pos="1440"/>
          <w:tab w:val="left" w:pos="3060"/>
        </w:tabs>
        <w:outlineLvl w:val="0"/>
        <w:rPr>
          <w:rFonts w:ascii="Arial" w:hAnsi="Arial" w:cs="Arial"/>
          <w:sz w:val="20"/>
          <w:lang w:val="es-ES_tradnl"/>
        </w:rPr>
        <w:sectPr w:rsidRPr="003930CD" w:rsidR="00B54624" w:rsidSect="006F314C">
          <w:headerReference w:type="even" r:id="rId9"/>
          <w:headerReference w:type="default" r:id="rId10"/>
          <w:footerReference w:type="even" r:id="rId11"/>
          <w:headerReference w:type="first" r:id="rId12"/>
          <w:type w:val="continuous"/>
          <w:pgSz w:w="12240" w:h="15840" w:orient="portrait" w:code="1"/>
          <w:pgMar w:top="1440" w:right="1800" w:bottom="1440" w:left="1800" w:header="706" w:footer="706" w:gutter="0"/>
          <w:pgNumType w:fmt="lowerRoman" w:start="1"/>
          <w:cols w:space="720"/>
          <w:formProt w:val="0"/>
          <w:titlePg/>
        </w:sectPr>
      </w:pPr>
    </w:p>
    <w:p w:rsidRPr="003930CD" w:rsidR="00B54624" w:rsidP="175FA130" w:rsidRDefault="00FA3B66" w14:paraId="79479CEC" w14:textId="77777777" w14:noSpellErr="1">
      <w:pPr>
        <w:pStyle w:val="Chapter"/>
        <w:tabs>
          <w:tab w:val="clear" w:pos="1440"/>
          <w:tab w:val="clear" w:pos="4900"/>
          <w:tab w:val="num" w:pos="0"/>
        </w:tabs>
        <w:spacing w:before="240"/>
        <w:ind w:left="0" w:firstLine="0"/>
        <w:outlineLvl w:val="0"/>
        <w:rPr>
          <w:rFonts w:ascii="Arial" w:hAnsi="Arial" w:eastAsia="Arial" w:cs="Arial"/>
          <w:sz w:val="22"/>
          <w:szCs w:val="22"/>
          <w:lang w:val="es-ES"/>
        </w:rPr>
      </w:pPr>
      <w:bookmarkStart w:name="ESSectionPages" w:id="0"/>
      <w:bookmarkStart w:name="_Toc418013970" w:id="1"/>
      <w:bookmarkEnd w:id="0"/>
      <w:r w:rsidRPr="175FA130">
        <w:rPr>
          <w:rFonts w:ascii="Arial" w:hAnsi="Arial" w:eastAsia="Arial" w:cs="Arial"/>
          <w:sz w:val="22"/>
          <w:szCs w:val="22"/>
          <w:lang w:val="es-ES"/>
        </w:rPr>
        <w:lastRenderedPageBreak/>
        <w:t>Introducción</w:t>
      </w:r>
      <w:bookmarkEnd w:id="1"/>
    </w:p>
    <w:p w:rsidRPr="003930CD" w:rsidR="00AD3FE1" w:rsidP="175FA130" w:rsidRDefault="003B1C48" w14:paraId="4B5BFD33" w14:textId="7F99B5F5" w14:noSpellErr="1">
      <w:pPr>
        <w:pStyle w:val="Paragraph"/>
        <w:numPr>
          <w:ilvl w:val="1"/>
          <w:numId w:val="15"/>
        </w:numPr>
        <w:tabs>
          <w:tab w:val="clear" w:pos="762"/>
          <w:tab w:val="num" w:pos="0"/>
        </w:tabs>
        <w:rPr>
          <w:rFonts w:ascii="Arial" w:hAnsi="Arial" w:eastAsia="Arial" w:cs="Arial"/>
          <w:sz w:val="22"/>
          <w:szCs w:val="22"/>
          <w:lang w:val="es-ES"/>
        </w:rPr>
      </w:pPr>
      <w:bookmarkStart w:name="_Toc450478044" w:id="2"/>
      <w:bookmarkStart w:name="_Toc451059696" w:id="3"/>
      <w:bookmarkStart w:name="_Toc451059760" w:id="4"/>
      <w:bookmarkStart w:name="_Toc451922468" w:id="5"/>
      <w:bookmarkStart w:name="_Toc456499459" w:id="6"/>
      <w:bookmarkStart w:name="_Toc456499553" w:id="7"/>
      <w:bookmarkStart w:name="_Toc456499748" w:id="8"/>
      <w:bookmarkStart w:name="_Toc456503316" w:id="9"/>
      <w:bookmarkStart w:name="_Toc456503686" w:id="10"/>
      <w:bookmarkStart w:name="_Toc456504238" w:id="11"/>
      <w:bookmarkStart w:name="_Toc456504326" w:id="12"/>
      <w:bookmarkStart w:name="_Toc456504420" w:id="13"/>
      <w:bookmarkStart w:name="_Toc456504507" w:id="14"/>
      <w:bookmarkStart w:name="_Toc82922282" w:id="15"/>
      <w:bookmarkStart w:name="_Toc82924005" w:id="16"/>
      <w:bookmarkStart w:name="_Toc82924484" w:id="17"/>
      <w:bookmarkStart w:name="_Toc95628371" w:id="18"/>
      <w:bookmarkStart w:name="_Toc95628558" w:id="19"/>
      <w:r w:rsidRPr="175FA130">
        <w:rPr>
          <w:rFonts w:ascii="Arial" w:hAnsi="Arial" w:eastAsia="Arial" w:cs="Arial"/>
          <w:sz w:val="22"/>
          <w:szCs w:val="22"/>
          <w:lang w:val="es-ES"/>
        </w:rPr>
        <w:t xml:space="preserve">Este documento describe los mecanismos de monitoreo y evaluación del </w:t>
      </w:r>
      <w:r w:rsidRPr="175FA130" w:rsidR="00F55B0D">
        <w:rPr>
          <w:rFonts w:ascii="Arial" w:hAnsi="Arial" w:eastAsia="Arial" w:cs="Arial"/>
          <w:sz w:val="22"/>
          <w:szCs w:val="22"/>
          <w:lang w:val="es-ES"/>
        </w:rPr>
        <w:t>Programa</w:t>
      </w:r>
      <w:r w:rsidRPr="175FA130" w:rsidR="00F306EB">
        <w:rPr>
          <w:rFonts w:ascii="Arial" w:hAnsi="Arial" w:eastAsia="Arial" w:cs="Arial"/>
          <w:sz w:val="22"/>
          <w:szCs w:val="22"/>
          <w:lang w:val="es-ES"/>
        </w:rPr>
        <w:t xml:space="preserve"> HO-L1182</w:t>
      </w:r>
      <w:r w:rsidRPr="175FA130">
        <w:rPr>
          <w:rFonts w:ascii="Arial" w:hAnsi="Arial" w:eastAsia="Arial" w:cs="Arial"/>
          <w:sz w:val="22"/>
          <w:szCs w:val="22"/>
          <w:lang w:val="es-ES"/>
        </w:rPr>
        <w:t xml:space="preserve">. </w:t>
      </w:r>
      <w:r w:rsidRPr="175FA130" w:rsidR="00F55B0D">
        <w:rPr>
          <w:rFonts w:ascii="Arial" w:hAnsi="Arial" w:eastAsia="Arial" w:cs="Arial"/>
          <w:sz w:val="22"/>
          <w:szCs w:val="22"/>
          <w:lang w:val="es-ES"/>
        </w:rPr>
        <w:t xml:space="preserve">El prestatario es la República del </w:t>
      </w:r>
      <w:r w:rsidRPr="175FA130" w:rsidR="00F306EB">
        <w:rPr>
          <w:rFonts w:ascii="Arial" w:hAnsi="Arial" w:eastAsia="Arial" w:cs="Arial"/>
          <w:sz w:val="22"/>
          <w:szCs w:val="22"/>
          <w:lang w:val="es-ES"/>
        </w:rPr>
        <w:t xml:space="preserve">Honduras </w:t>
      </w:r>
      <w:r w:rsidRPr="175FA130" w:rsidR="00F55B0D">
        <w:rPr>
          <w:rFonts w:ascii="Arial" w:hAnsi="Arial" w:eastAsia="Arial" w:cs="Arial"/>
          <w:sz w:val="22"/>
          <w:szCs w:val="22"/>
          <w:lang w:val="es-ES"/>
        </w:rPr>
        <w:t xml:space="preserve">el organismo ejecutor del programa será </w:t>
      </w:r>
      <w:r w:rsidRPr="175FA130" w:rsidR="005E542B">
        <w:rPr>
          <w:rFonts w:ascii="Arial" w:hAnsi="Arial" w:eastAsia="Arial" w:cs="Arial"/>
          <w:sz w:val="22"/>
          <w:szCs w:val="22"/>
          <w:lang w:val="es-ES"/>
        </w:rPr>
        <w:t>la Secretar</w:t>
      </w:r>
      <w:r w:rsidRPr="175FA130" w:rsidR="00BD6E98">
        <w:rPr>
          <w:rFonts w:ascii="Arial" w:hAnsi="Arial" w:eastAsia="Arial" w:cs="Arial"/>
          <w:sz w:val="22"/>
          <w:szCs w:val="22"/>
          <w:lang w:val="es-ES"/>
        </w:rPr>
        <w:t>í</w:t>
      </w:r>
      <w:r w:rsidRPr="175FA130" w:rsidR="005E542B">
        <w:rPr>
          <w:rFonts w:ascii="Arial" w:hAnsi="Arial" w:eastAsia="Arial" w:cs="Arial"/>
          <w:sz w:val="22"/>
          <w:szCs w:val="22"/>
          <w:lang w:val="es-ES"/>
        </w:rPr>
        <w:t>a de</w:t>
      </w:r>
      <w:r w:rsidRPr="175FA130" w:rsidR="00F8799D">
        <w:rPr>
          <w:rFonts w:ascii="Arial" w:hAnsi="Arial" w:eastAsia="Arial" w:cs="Arial"/>
          <w:sz w:val="22"/>
          <w:szCs w:val="22"/>
          <w:lang w:val="es-ES"/>
        </w:rPr>
        <w:t xml:space="preserve"> Finanzas</w:t>
      </w:r>
      <w:r w:rsidRPr="175FA130" w:rsidR="005E542B">
        <w:rPr>
          <w:rFonts w:ascii="Arial" w:hAnsi="Arial" w:eastAsia="Arial" w:cs="Arial"/>
          <w:sz w:val="22"/>
          <w:szCs w:val="22"/>
          <w:lang w:val="es-ES"/>
        </w:rPr>
        <w:t xml:space="preserve"> (SEFIN)</w:t>
      </w:r>
      <w:r w:rsidRPr="175FA130" w:rsidR="00F55B0D">
        <w:rPr>
          <w:rFonts w:ascii="Arial" w:hAnsi="Arial" w:eastAsia="Arial" w:cs="Arial"/>
          <w:sz w:val="22"/>
          <w:szCs w:val="22"/>
          <w:lang w:val="es-ES"/>
        </w:rPr>
        <w:t xml:space="preserve">, que será responsable de coordinar </w:t>
      </w:r>
      <w:r w:rsidRPr="175FA130" w:rsidR="00F8799D">
        <w:rPr>
          <w:rFonts w:ascii="Arial" w:hAnsi="Arial" w:eastAsia="Arial" w:cs="Arial"/>
          <w:sz w:val="22"/>
          <w:szCs w:val="22"/>
          <w:lang w:val="es-ES"/>
        </w:rPr>
        <w:t xml:space="preserve">con </w:t>
      </w:r>
      <w:r w:rsidRPr="175FA130" w:rsidR="006B6FF7">
        <w:rPr>
          <w:rFonts w:ascii="Arial" w:hAnsi="Arial" w:eastAsia="Arial" w:cs="Arial"/>
          <w:sz w:val="22"/>
          <w:szCs w:val="22"/>
          <w:lang w:val="es-ES"/>
        </w:rPr>
        <w:t>la Secretarí</w:t>
      </w:r>
      <w:r w:rsidRPr="175FA130" w:rsidR="00C96770">
        <w:rPr>
          <w:rFonts w:ascii="Arial" w:hAnsi="Arial" w:eastAsia="Arial" w:cs="Arial"/>
          <w:sz w:val="22"/>
          <w:szCs w:val="22"/>
          <w:lang w:val="es-ES"/>
        </w:rPr>
        <w:t>a de Salud</w:t>
      </w:r>
      <w:r w:rsidRPr="175FA130" w:rsidR="00C0542B">
        <w:rPr>
          <w:rFonts w:ascii="Arial" w:hAnsi="Arial" w:eastAsia="Arial" w:cs="Arial"/>
          <w:sz w:val="22"/>
          <w:szCs w:val="22"/>
          <w:lang w:val="es-ES"/>
        </w:rPr>
        <w:t xml:space="preserve"> (SESAL)</w:t>
      </w:r>
      <w:r w:rsidRPr="175FA130" w:rsidR="00C96770">
        <w:rPr>
          <w:rFonts w:ascii="Arial" w:hAnsi="Arial" w:eastAsia="Arial" w:cs="Arial"/>
          <w:sz w:val="22"/>
          <w:szCs w:val="22"/>
          <w:lang w:val="es-ES"/>
        </w:rPr>
        <w:t xml:space="preserve"> en</w:t>
      </w:r>
      <w:r w:rsidRPr="175FA130" w:rsidR="00F55B0D">
        <w:rPr>
          <w:rFonts w:ascii="Arial" w:hAnsi="Arial" w:eastAsia="Arial" w:cs="Arial"/>
          <w:sz w:val="22"/>
          <w:szCs w:val="22"/>
          <w:lang w:val="es-ES"/>
        </w:rPr>
        <w:t xml:space="preserve"> impulsar acciones para</w:t>
      </w:r>
      <w:r w:rsidRPr="175FA130" w:rsidR="00C96770">
        <w:rPr>
          <w:rFonts w:ascii="Arial" w:hAnsi="Arial" w:eastAsia="Arial" w:cs="Arial"/>
          <w:sz w:val="22"/>
          <w:szCs w:val="22"/>
          <w:lang w:val="es-ES"/>
        </w:rPr>
        <w:t xml:space="preserve"> la consecución d</w:t>
      </w:r>
      <w:r w:rsidRPr="175FA130" w:rsidR="00F55B0D">
        <w:rPr>
          <w:rFonts w:ascii="Arial" w:hAnsi="Arial" w:eastAsia="Arial" w:cs="Arial"/>
          <w:sz w:val="22"/>
          <w:szCs w:val="22"/>
          <w:lang w:val="es-ES"/>
        </w:rPr>
        <w:t>el logro de los objetivos</w:t>
      </w:r>
      <w:r w:rsidRPr="175FA130" w:rsidR="00F8799D">
        <w:rPr>
          <w:rFonts w:ascii="Arial" w:hAnsi="Arial" w:eastAsia="Arial" w:cs="Arial"/>
          <w:sz w:val="22"/>
          <w:szCs w:val="22"/>
          <w:lang w:val="es-ES"/>
        </w:rPr>
        <w:t xml:space="preserve"> y medidas</w:t>
      </w:r>
      <w:r w:rsidRPr="175FA130" w:rsidR="00F55B0D">
        <w:rPr>
          <w:rFonts w:ascii="Arial" w:hAnsi="Arial" w:eastAsia="Arial" w:cs="Arial"/>
          <w:sz w:val="22"/>
          <w:szCs w:val="22"/>
          <w:lang w:val="es-ES"/>
        </w:rPr>
        <w:t xml:space="preserve"> de política definidos, </w:t>
      </w:r>
      <w:r w:rsidRPr="175FA130" w:rsidR="005E542B">
        <w:rPr>
          <w:rFonts w:ascii="Arial" w:hAnsi="Arial" w:eastAsia="Arial" w:cs="Arial"/>
          <w:sz w:val="22"/>
          <w:szCs w:val="22"/>
          <w:lang w:val="es-ES"/>
        </w:rPr>
        <w:t>así como</w:t>
      </w:r>
      <w:r w:rsidRPr="175FA130" w:rsidR="00C96770">
        <w:rPr>
          <w:rFonts w:ascii="Arial" w:hAnsi="Arial" w:eastAsia="Arial" w:cs="Arial"/>
          <w:sz w:val="22"/>
          <w:szCs w:val="22"/>
          <w:lang w:val="es-ES"/>
        </w:rPr>
        <w:t xml:space="preserve"> elaborar y </w:t>
      </w:r>
      <w:r w:rsidRPr="175FA130" w:rsidR="00F55B0D">
        <w:rPr>
          <w:rFonts w:ascii="Arial" w:hAnsi="Arial" w:eastAsia="Arial" w:cs="Arial"/>
          <w:sz w:val="22"/>
          <w:szCs w:val="22"/>
          <w:lang w:val="es-ES"/>
        </w:rPr>
        <w:t>entregar informes y la evidencia del cumplimiento de las condiciones de política del programa</w:t>
      </w:r>
      <w:r w:rsidRPr="175FA130" w:rsidR="00D1495A">
        <w:rPr>
          <w:rFonts w:ascii="Arial" w:hAnsi="Arial" w:eastAsia="Arial" w:cs="Arial"/>
          <w:sz w:val="22"/>
          <w:szCs w:val="22"/>
          <w:lang w:val="es-ES"/>
        </w:rPr>
        <w:t>.</w:t>
      </w:r>
    </w:p>
    <w:p w:rsidRPr="003930CD" w:rsidR="00835911" w:rsidP="175FA130" w:rsidRDefault="4EAF959F" w14:paraId="230D63EC" w14:textId="2E4B56A1" w14:noSpellErr="1">
      <w:pPr>
        <w:pStyle w:val="Paragraph"/>
        <w:numPr>
          <w:ilvl w:val="1"/>
          <w:numId w:val="15"/>
        </w:numPr>
        <w:tabs>
          <w:tab w:val="clear" w:pos="762"/>
          <w:tab w:val="num" w:pos="0"/>
        </w:tabs>
        <w:rPr>
          <w:rFonts w:ascii="Arial" w:hAnsi="Arial" w:eastAsia="Arial" w:cs="Arial"/>
          <w:sz w:val="22"/>
          <w:szCs w:val="22"/>
          <w:lang w:val="es-ES"/>
        </w:rPr>
      </w:pPr>
      <w:r w:rsidRPr="175FA130" w:rsidR="175FA130">
        <w:rPr>
          <w:rFonts w:ascii="Arial" w:hAnsi="Arial" w:eastAsia="Arial" w:cs="Arial"/>
          <w:sz w:val="22"/>
          <w:szCs w:val="22"/>
          <w:lang w:val="es-ES"/>
        </w:rPr>
        <w:t xml:space="preserve">El objetivo de esta serie programática es apoyar al Gobierno de Honduras para mejorar la eficiencia del sistema nacional de salud y la calidad en la provisión de servicios. La primera operación apoyará la preparación y adopción de herramientas para el fortalecimiento del </w:t>
      </w:r>
      <w:r w:rsidRPr="175FA130" w:rsidR="175FA130">
        <w:rPr>
          <w:rFonts w:ascii="Arial" w:hAnsi="Arial" w:eastAsia="Arial" w:cs="Arial"/>
          <w:sz w:val="22"/>
          <w:szCs w:val="22"/>
          <w:lang w:val="es-ES"/>
        </w:rPr>
        <w:t>Modelo de Gestión Descentralizada (</w:t>
      </w:r>
      <w:r w:rsidRPr="175FA130" w:rsidR="175FA130">
        <w:rPr>
          <w:rFonts w:ascii="Arial" w:hAnsi="Arial" w:eastAsia="Arial" w:cs="Arial"/>
          <w:sz w:val="22"/>
          <w:szCs w:val="22"/>
          <w:lang w:val="es-ES"/>
        </w:rPr>
        <w:t>MGD</w:t>
      </w:r>
      <w:r w:rsidRPr="175FA130" w:rsidR="175FA130">
        <w:rPr>
          <w:rFonts w:ascii="Arial" w:hAnsi="Arial" w:eastAsia="Arial" w:cs="Arial"/>
          <w:sz w:val="22"/>
          <w:szCs w:val="22"/>
          <w:lang w:val="es-ES"/>
        </w:rPr>
        <w:t>)</w:t>
      </w:r>
      <w:r w:rsidRPr="175FA130" w:rsidR="175FA130">
        <w:rPr>
          <w:rFonts w:ascii="Arial" w:hAnsi="Arial" w:eastAsia="Arial" w:cs="Arial"/>
          <w:sz w:val="22"/>
          <w:szCs w:val="22"/>
          <w:lang w:val="es-ES"/>
        </w:rPr>
        <w:t xml:space="preserve">, así como de un marco legal y normativo para implementar la reforma de salud y cambiar el modelo de provisión y organización de servicios. La segunda operación apoyará la aprobación de la Ley del </w:t>
      </w:r>
      <w:r w:rsidRPr="175FA130" w:rsidR="175FA130">
        <w:rPr>
          <w:rFonts w:ascii="Arial" w:hAnsi="Arial" w:eastAsia="Arial" w:cs="Arial"/>
          <w:sz w:val="22"/>
          <w:szCs w:val="22"/>
          <w:lang w:val="es-ES"/>
        </w:rPr>
        <w:t>Sistema Nacional de Salud (</w:t>
      </w:r>
      <w:r w:rsidRPr="175FA130" w:rsidR="175FA130">
        <w:rPr>
          <w:rFonts w:ascii="Arial" w:hAnsi="Arial" w:eastAsia="Arial" w:cs="Arial"/>
          <w:sz w:val="22"/>
          <w:szCs w:val="22"/>
          <w:lang w:val="es-ES"/>
        </w:rPr>
        <w:t>SNS</w:t>
      </w:r>
      <w:r w:rsidRPr="175FA130" w:rsidR="175FA130">
        <w:rPr>
          <w:rFonts w:ascii="Arial" w:hAnsi="Arial" w:eastAsia="Arial" w:cs="Arial"/>
          <w:sz w:val="22"/>
          <w:szCs w:val="22"/>
          <w:lang w:val="es-ES"/>
        </w:rPr>
        <w:t>)</w:t>
      </w:r>
      <w:r w:rsidRPr="175FA130" w:rsidR="175FA130">
        <w:rPr>
          <w:rFonts w:ascii="Arial" w:hAnsi="Arial" w:eastAsia="Arial" w:cs="Arial"/>
          <w:sz w:val="22"/>
          <w:szCs w:val="22"/>
          <w:lang w:val="es-ES"/>
        </w:rPr>
        <w:t>, la conformación de las RIIS y la expansión del MGD.</w:t>
      </w:r>
    </w:p>
    <w:p w:rsidRPr="003930CD" w:rsidR="00835911" w:rsidP="175FA130" w:rsidRDefault="4EAF959F" w14:paraId="53BF18C5" w14:textId="57839848" w14:noSpellErr="1">
      <w:pPr>
        <w:pStyle w:val="Paragraph"/>
        <w:numPr>
          <w:ilvl w:val="1"/>
          <w:numId w:val="15"/>
        </w:numPr>
        <w:tabs>
          <w:tab w:val="clear" w:pos="762"/>
          <w:tab w:val="num" w:pos="0"/>
        </w:tabs>
        <w:rPr>
          <w:rFonts w:ascii="Arial" w:hAnsi="Arial" w:eastAsia="Arial" w:cs="Arial"/>
          <w:sz w:val="22"/>
          <w:szCs w:val="22"/>
          <w:lang w:val="es-ES"/>
        </w:rPr>
      </w:pPr>
      <w:r w:rsidRPr="175FA130" w:rsidR="175FA130">
        <w:rPr>
          <w:rFonts w:ascii="Arial" w:hAnsi="Arial" w:eastAsia="Arial" w:cs="Arial"/>
          <w:b w:val="1"/>
          <w:bCs w:val="1"/>
          <w:sz w:val="22"/>
          <w:szCs w:val="22"/>
          <w:lang w:val="es-ES"/>
        </w:rPr>
        <w:t>Componente 1</w:t>
      </w:r>
      <w:r w:rsidRPr="175FA130" w:rsidR="175FA130">
        <w:rPr>
          <w:rFonts w:ascii="Arial" w:hAnsi="Arial" w:eastAsia="Arial" w:cs="Arial"/>
          <w:b w:val="1"/>
          <w:bCs w:val="1"/>
          <w:sz w:val="22"/>
          <w:szCs w:val="22"/>
          <w:lang w:val="es-ES"/>
        </w:rPr>
        <w:t>:</w:t>
      </w:r>
      <w:r w:rsidRPr="175FA130" w:rsidR="175FA130">
        <w:rPr>
          <w:rFonts w:ascii="Arial" w:hAnsi="Arial" w:eastAsia="Arial" w:cs="Arial"/>
          <w:sz w:val="22"/>
          <w:szCs w:val="22"/>
          <w:lang w:val="es-ES"/>
        </w:rPr>
        <w:t xml:space="preserve"> </w:t>
      </w:r>
      <w:r w:rsidRPr="175FA130" w:rsidR="175FA130">
        <w:rPr>
          <w:rFonts w:ascii="Arial" w:hAnsi="Arial" w:eastAsia="Arial" w:cs="Arial"/>
          <w:b w:val="1"/>
          <w:bCs w:val="1"/>
          <w:sz w:val="22"/>
          <w:szCs w:val="22"/>
          <w:lang w:val="es-ES"/>
        </w:rPr>
        <w:t>Marco macroeconómico.</w:t>
      </w:r>
      <w:r w:rsidRPr="175FA130" w:rsidR="175FA130">
        <w:rPr>
          <w:rFonts w:ascii="Arial" w:hAnsi="Arial" w:eastAsia="Arial" w:cs="Arial"/>
          <w:sz w:val="22"/>
          <w:szCs w:val="22"/>
          <w:lang w:val="es-ES"/>
        </w:rPr>
        <w:t xml:space="preserve"> Este componente tiene como objetivo asegurar la existencia de un entorno macroeconómico sostenible que sea conducente para alcanzar los objetivos del programa.</w:t>
      </w:r>
    </w:p>
    <w:p w:rsidRPr="003930CD" w:rsidR="00835911" w:rsidP="175FA130" w:rsidRDefault="00835911" w14:paraId="652614B5" w14:textId="02C63343" w14:noSpellErr="1">
      <w:pPr>
        <w:pStyle w:val="Paragraph"/>
        <w:numPr>
          <w:numId w:val="0"/>
        </w:numPr>
        <w:ind w:left="762"/>
        <w:rPr>
          <w:rFonts w:ascii="Arial" w:hAnsi="Arial" w:eastAsia="Arial" w:cs="Arial"/>
          <w:sz w:val="22"/>
          <w:szCs w:val="22"/>
          <w:lang w:val="es-ES"/>
        </w:rPr>
      </w:pPr>
      <w:r w:rsidRPr="175FA130">
        <w:rPr>
          <w:rFonts w:ascii="Arial" w:hAnsi="Arial" w:eastAsia="Arial" w:cs="Arial"/>
          <w:b w:val="1"/>
          <w:bCs w:val="1"/>
          <w:spacing w:val="-2"/>
          <w:sz w:val="22"/>
          <w:szCs w:val="22"/>
          <w:lang w:val="es-ES"/>
        </w:rPr>
        <w:t xml:space="preserve">Componente 2: </w:t>
      </w:r>
      <w:r w:rsidRPr="175FA130" w:rsidR="00EC6553">
        <w:rPr>
          <w:rFonts w:ascii="Arial" w:hAnsi="Arial" w:eastAsia="Arial" w:cs="Arial"/>
          <w:b w:val="1"/>
          <w:bCs w:val="1"/>
          <w:spacing w:val="-2"/>
          <w:sz w:val="22"/>
          <w:szCs w:val="22"/>
          <w:lang w:val="es-ES"/>
        </w:rPr>
        <w:t>Desarrollo del marco legal, normativo y operativo del SNS</w:t>
      </w:r>
      <w:r w:rsidRPr="175FA130" w:rsidR="008C4A6B">
        <w:rPr>
          <w:rFonts w:ascii="Arial" w:hAnsi="Arial" w:eastAsia="Arial" w:cs="Arial"/>
          <w:b w:val="1"/>
          <w:bCs w:val="1"/>
          <w:spacing w:val="-2"/>
          <w:sz w:val="22"/>
          <w:szCs w:val="22"/>
          <w:lang w:val="es-ES"/>
        </w:rPr>
        <w:t>.</w:t>
      </w:r>
      <w:r w:rsidRPr="175FA130" w:rsidR="0033377F">
        <w:rPr>
          <w:rFonts w:ascii="Arial" w:hAnsi="Arial" w:eastAsia="Arial" w:cs="Arial"/>
          <w:spacing w:val="-2"/>
          <w:sz w:val="22"/>
          <w:szCs w:val="22"/>
          <w:lang w:val="es-ES"/>
        </w:rPr>
        <w:t xml:space="preserve"> Se </w:t>
      </w:r>
      <w:r w:rsidRPr="175FA130">
        <w:rPr>
          <w:rFonts w:ascii="Arial" w:hAnsi="Arial" w:eastAsia="Arial" w:cs="Arial"/>
          <w:spacing w:val="-2"/>
          <w:sz w:val="22"/>
          <w:szCs w:val="22"/>
          <w:lang w:val="es-ES"/>
        </w:rPr>
        <w:t xml:space="preserve">apoyará la elaboración de la ley del SNS, que establezca el marco jurídico para la reorganización del sistema en base a la separación de funciones y la sostenibilidad del MGD, incluyendo la contratación plurianual de los gestores. También se apoyará </w:t>
      </w:r>
      <w:r w:rsidRPr="175FA130">
        <w:rPr>
          <w:rFonts w:ascii="Arial" w:hAnsi="Arial" w:eastAsia="Arial" w:cs="Arial"/>
          <w:sz w:val="22"/>
          <w:szCs w:val="22"/>
          <w:lang w:val="es-ES"/>
        </w:rPr>
        <w:t xml:space="preserve">la actualización y aprobación del </w:t>
      </w:r>
      <w:r w:rsidRPr="175FA130" w:rsidR="00511135">
        <w:rPr>
          <w:rFonts w:ascii="Arial" w:hAnsi="Arial" w:eastAsia="Arial" w:cs="Arial"/>
          <w:sz w:val="22"/>
          <w:szCs w:val="22"/>
          <w:lang w:val="es-ES"/>
        </w:rPr>
        <w:t>Modelo Nacional de Salud (</w:t>
      </w:r>
      <w:r w:rsidRPr="175FA130">
        <w:rPr>
          <w:rFonts w:ascii="Arial" w:hAnsi="Arial" w:eastAsia="Arial" w:cs="Arial"/>
          <w:sz w:val="22"/>
          <w:szCs w:val="22"/>
          <w:lang w:val="es-ES"/>
        </w:rPr>
        <w:t>MNS</w:t>
      </w:r>
      <w:r w:rsidRPr="175FA130" w:rsidR="00511135">
        <w:rPr>
          <w:rFonts w:ascii="Arial" w:hAnsi="Arial" w:eastAsia="Arial" w:cs="Arial"/>
          <w:sz w:val="22"/>
          <w:szCs w:val="22"/>
          <w:lang w:val="es-ES"/>
        </w:rPr>
        <w:t>)</w:t>
      </w:r>
      <w:r w:rsidRPr="175FA130">
        <w:rPr>
          <w:rFonts w:ascii="Arial" w:hAnsi="Arial" w:eastAsia="Arial" w:cs="Arial"/>
          <w:sz w:val="22"/>
          <w:szCs w:val="22"/>
          <w:lang w:val="es-ES"/>
        </w:rPr>
        <w:t xml:space="preserve">, el cual debe de contener: (i) los criterios técnicos para la conformación de </w:t>
      </w:r>
      <w:r w:rsidRPr="175FA130" w:rsidR="00532806">
        <w:rPr>
          <w:rFonts w:ascii="Arial" w:hAnsi="Arial" w:eastAsia="Arial" w:cs="Arial"/>
          <w:sz w:val="22"/>
          <w:szCs w:val="22"/>
          <w:lang w:val="es-ES"/>
        </w:rPr>
        <w:t>las Redes Integradas de Servicios de Salud (</w:t>
      </w:r>
      <w:r w:rsidRPr="175FA130">
        <w:rPr>
          <w:rFonts w:ascii="Arial" w:hAnsi="Arial" w:eastAsia="Arial" w:cs="Arial"/>
          <w:sz w:val="22"/>
          <w:szCs w:val="22"/>
          <w:lang w:val="es-ES"/>
        </w:rPr>
        <w:t>RIIS</w:t>
      </w:r>
      <w:r w:rsidRPr="175FA130" w:rsidR="00532806">
        <w:rPr>
          <w:rFonts w:ascii="Arial" w:hAnsi="Arial" w:eastAsia="Arial" w:cs="Arial"/>
          <w:sz w:val="22"/>
          <w:szCs w:val="22"/>
          <w:lang w:val="es-ES"/>
        </w:rPr>
        <w:t>)</w:t>
      </w:r>
      <w:r w:rsidRPr="175FA130">
        <w:rPr>
          <w:rFonts w:ascii="Arial" w:hAnsi="Arial" w:eastAsia="Arial" w:cs="Arial"/>
          <w:sz w:val="22"/>
          <w:szCs w:val="22"/>
          <w:lang w:val="es-ES"/>
        </w:rPr>
        <w:t xml:space="preserve">; (ii) la tipificación y caracterización de los establecimientos de salud de primer y segundo nivel; y (iii) los criterios para la conformación de </w:t>
      </w:r>
      <w:r w:rsidRPr="175FA130" w:rsidR="00532806">
        <w:rPr>
          <w:rFonts w:ascii="Arial" w:hAnsi="Arial" w:eastAsia="Arial" w:cs="Arial"/>
          <w:sz w:val="22"/>
          <w:szCs w:val="22"/>
          <w:lang w:val="es-ES"/>
        </w:rPr>
        <w:t>Equipos de Salud Familiar (</w:t>
      </w:r>
      <w:r w:rsidRPr="175FA130">
        <w:rPr>
          <w:rFonts w:ascii="Arial" w:hAnsi="Arial" w:eastAsia="Arial" w:cs="Arial"/>
          <w:sz w:val="22"/>
          <w:szCs w:val="22"/>
          <w:lang w:val="es-ES"/>
        </w:rPr>
        <w:t>ESFAM</w:t>
      </w:r>
      <w:r w:rsidRPr="175FA130" w:rsidR="00532806">
        <w:rPr>
          <w:rFonts w:ascii="Arial" w:hAnsi="Arial" w:eastAsia="Arial" w:cs="Arial"/>
          <w:sz w:val="22"/>
          <w:szCs w:val="22"/>
          <w:lang w:val="es-ES"/>
        </w:rPr>
        <w:t>)</w:t>
      </w:r>
      <w:r w:rsidRPr="175FA130">
        <w:rPr>
          <w:rFonts w:ascii="Arial" w:hAnsi="Arial" w:eastAsia="Arial" w:cs="Arial"/>
          <w:sz w:val="22"/>
          <w:szCs w:val="22"/>
          <w:lang w:val="es-ES"/>
        </w:rPr>
        <w:t>. Por último este componente apoyará la aprobación de un marco normativo-regulatorio para la implementación de un sistema de garantía y mejora continua de ca</w:t>
      </w:r>
      <w:r w:rsidRPr="175FA130" w:rsidR="00EA76C8">
        <w:rPr>
          <w:rFonts w:ascii="Arial" w:hAnsi="Arial" w:eastAsia="Arial" w:cs="Arial"/>
          <w:sz w:val="22"/>
          <w:szCs w:val="22"/>
          <w:lang w:val="es-ES"/>
        </w:rPr>
        <w:t>lidad en los servicios de salud incluyendo</w:t>
      </w:r>
      <w:r w:rsidRPr="175FA130" w:rsidR="001F55B4">
        <w:rPr>
          <w:rFonts w:ascii="Arial" w:hAnsi="Arial" w:eastAsia="Arial" w:cs="Arial"/>
          <w:sz w:val="22"/>
          <w:szCs w:val="22"/>
          <w:lang w:val="es-ES"/>
        </w:rPr>
        <w:t xml:space="preserve">: </w:t>
      </w:r>
      <w:r w:rsidRPr="001F55B4" w:rsidR="004317DD">
        <w:rPr>
          <w:rFonts w:ascii="Arial" w:hAnsi="Arial" w:eastAsia="Arial" w:cs="Arial"/>
          <w:sz w:val="22"/>
          <w:szCs w:val="22"/>
        </w:rPr>
        <w:t>(i) Los lineamientos para avanzar en la formulación de las normas, guías y protocolos de atención; (ii) Los mecanismos e instrumentos de verificación o vigilancia de dicho marco normativo; (iii)</w:t>
      </w:r>
      <w:r w:rsidR="001B7DDC">
        <w:rPr>
          <w:rFonts w:ascii="Arial" w:hAnsi="Arial" w:eastAsia="Arial" w:cs="Arial"/>
          <w:sz w:val="22"/>
          <w:szCs w:val="22"/>
        </w:rPr>
        <w:t> </w:t>
      </w:r>
      <w:r w:rsidRPr="001F55B4" w:rsidR="004317DD">
        <w:rPr>
          <w:rFonts w:ascii="Arial" w:hAnsi="Arial" w:eastAsia="Arial" w:cs="Arial"/>
          <w:sz w:val="22"/>
          <w:szCs w:val="22"/>
        </w:rPr>
        <w:t>Los lineamientos para la implementación de programas de mejora continua de la calidad en los hospitales; y (iv) Los mecanismos de certificación y acreditación de procesos de atención y ES.</w:t>
      </w:r>
      <w:r w:rsidR="001F55B4">
        <w:rPr>
          <w:rFonts w:ascii="Arial" w:hAnsi="Arial" w:eastAsia="Arial" w:cs="Arial"/>
          <w:sz w:val="22"/>
          <w:szCs w:val="22"/>
        </w:rPr>
        <w:t xml:space="preserve"> </w:t>
      </w:r>
      <w:r w:rsidRPr="175FA130" w:rsidR="00532806">
        <w:rPr>
          <w:rFonts w:ascii="Arial" w:hAnsi="Arial" w:eastAsia="Arial" w:cs="Arial"/>
          <w:sz w:val="22"/>
          <w:szCs w:val="22"/>
          <w:lang w:val="es-ES"/>
        </w:rPr>
        <w:t xml:space="preserve"> A </w:t>
      </w:r>
      <w:r w:rsidRPr="175FA130" w:rsidR="00EA76C8">
        <w:rPr>
          <w:rFonts w:ascii="Arial" w:hAnsi="Arial" w:eastAsia="Arial" w:cs="Arial"/>
          <w:sz w:val="22"/>
          <w:szCs w:val="22"/>
          <w:lang w:val="es-ES"/>
        </w:rPr>
        <w:t xml:space="preserve">través de este componente también se definirá y aprobará el </w:t>
      </w:r>
      <w:r w:rsidRPr="175FA130" w:rsidR="00532806">
        <w:rPr>
          <w:rFonts w:ascii="Arial" w:hAnsi="Arial" w:eastAsia="Arial" w:cs="Arial"/>
          <w:sz w:val="22"/>
          <w:szCs w:val="22"/>
          <w:lang w:val="es-ES"/>
        </w:rPr>
        <w:t>Conjunto Garantizado de Prestaciones y Servicios de Salud (</w:t>
      </w:r>
      <w:r w:rsidRPr="175FA130" w:rsidR="00EA76C8">
        <w:rPr>
          <w:rFonts w:ascii="Arial" w:hAnsi="Arial" w:eastAsia="Arial" w:cs="Arial"/>
          <w:sz w:val="22"/>
          <w:szCs w:val="22"/>
          <w:lang w:val="es-ES"/>
        </w:rPr>
        <w:t>CGSS</w:t>
      </w:r>
      <w:r w:rsidRPr="175FA130" w:rsidR="00532806">
        <w:rPr>
          <w:rFonts w:ascii="Arial" w:hAnsi="Arial" w:eastAsia="Arial" w:cs="Arial"/>
          <w:sz w:val="22"/>
          <w:szCs w:val="22"/>
          <w:lang w:val="es-ES"/>
        </w:rPr>
        <w:t>)</w:t>
      </w:r>
      <w:r w:rsidRPr="175FA130" w:rsidR="00EA76C8">
        <w:rPr>
          <w:rFonts w:ascii="Arial" w:hAnsi="Arial" w:eastAsia="Arial" w:cs="Arial"/>
          <w:sz w:val="22"/>
          <w:szCs w:val="22"/>
          <w:lang w:val="es-ES"/>
        </w:rPr>
        <w:t xml:space="preserve">, como un elemento importante para la planificación, priorización y asignación de recursos en salud, que </w:t>
      </w:r>
      <w:r w:rsidRPr="175FA130" w:rsidR="00BD6E98">
        <w:rPr>
          <w:rFonts w:ascii="Arial" w:hAnsi="Arial" w:eastAsia="Arial" w:cs="Arial"/>
          <w:sz w:val="22"/>
          <w:szCs w:val="22"/>
          <w:lang w:val="es-ES"/>
        </w:rPr>
        <w:t>busque la equidad del sistema.</w:t>
      </w:r>
    </w:p>
    <w:p w:rsidRPr="003930CD" w:rsidR="00EA76C8" w:rsidP="175FA130" w:rsidRDefault="00835911" w14:paraId="29CEA3E6" w14:textId="77777777" w14:noSpellErr="1">
      <w:pPr>
        <w:pStyle w:val="Paragraph"/>
        <w:numPr>
          <w:ilvl w:val="1"/>
          <w:numId w:val="15"/>
        </w:numPr>
        <w:tabs>
          <w:tab w:val="clear" w:pos="762"/>
          <w:tab w:val="num" w:pos="0"/>
        </w:tabs>
        <w:rPr>
          <w:rFonts w:ascii="Arial" w:hAnsi="Arial" w:eastAsia="Arial" w:cs="Arial"/>
          <w:sz w:val="22"/>
          <w:szCs w:val="22"/>
          <w:lang w:val="es-ES"/>
        </w:rPr>
      </w:pPr>
      <w:r w:rsidRPr="175FA130">
        <w:rPr>
          <w:rFonts w:ascii="Arial" w:hAnsi="Arial" w:eastAsia="Arial" w:cs="Arial"/>
          <w:b w:val="1"/>
          <w:bCs w:val="1"/>
          <w:sz w:val="22"/>
          <w:szCs w:val="22"/>
          <w:lang w:val="es-ES"/>
        </w:rPr>
        <w:t>Componente 3: Gestión Descentralizada.</w:t>
      </w:r>
      <w:r w:rsidRPr="175FA130">
        <w:rPr>
          <w:rFonts w:ascii="Arial" w:hAnsi="Arial" w:eastAsia="Arial" w:cs="Arial"/>
          <w:sz w:val="22"/>
          <w:szCs w:val="22"/>
          <w:lang w:val="es-ES"/>
        </w:rPr>
        <w:t xml:space="preserve"> Este componente apoyará el fortalecimiento y expansión del MGD. Específicamente se apoyará </w:t>
      </w:r>
      <w:r w:rsidRPr="175FA130">
        <w:rPr>
          <w:rFonts w:ascii="Arial" w:hAnsi="Arial" w:eastAsia="Arial" w:cs="Arial"/>
          <w:spacing w:val="-2"/>
          <w:sz w:val="22"/>
          <w:szCs w:val="22"/>
          <w:lang w:val="es-ES"/>
        </w:rPr>
        <w:t>la elaboración de un plan estratégico, como instrumento conductor del país para el avance del MGD, que incluya la identificación de las redes</w:t>
      </w:r>
      <w:r w:rsidRPr="175FA130" w:rsidR="00EA76C8">
        <w:rPr>
          <w:rFonts w:ascii="Arial" w:hAnsi="Arial" w:eastAsia="Arial" w:cs="Arial"/>
          <w:spacing w:val="-2"/>
          <w:sz w:val="22"/>
          <w:szCs w:val="22"/>
          <w:lang w:val="es-ES"/>
        </w:rPr>
        <w:t xml:space="preserve"> y hospitales a descentralizar y </w:t>
      </w:r>
      <w:r w:rsidRPr="175FA130">
        <w:rPr>
          <w:rFonts w:ascii="Arial" w:hAnsi="Arial" w:eastAsia="Arial" w:cs="Arial"/>
          <w:spacing w:val="-2"/>
          <w:sz w:val="22"/>
          <w:szCs w:val="22"/>
          <w:lang w:val="es-ES"/>
        </w:rPr>
        <w:t xml:space="preserve">las brechas financieras para el aumento de cobertura del modelo. También apoyará la definición de un sistema de certificación de gestores que contenga criterios legales, técnicos, administrativos y financieros, para mejorar la capacidad de los gestores. </w:t>
      </w:r>
    </w:p>
    <w:p w:rsidRPr="003930CD" w:rsidR="00835911" w:rsidP="175FA130" w:rsidRDefault="00EA76C8" w14:paraId="00F5471D" w14:textId="20825F23" w14:noSpellErr="1">
      <w:pPr>
        <w:pStyle w:val="Paragraph"/>
        <w:rPr>
          <w:rFonts w:ascii="Arial" w:hAnsi="Arial" w:eastAsia="Arial" w:cs="Arial"/>
          <w:sz w:val="22"/>
          <w:szCs w:val="22"/>
          <w:lang w:val="es-ES"/>
        </w:rPr>
      </w:pPr>
      <w:r w:rsidRPr="175FA130">
        <w:rPr>
          <w:rFonts w:ascii="Arial" w:hAnsi="Arial" w:eastAsia="Arial" w:cs="Arial"/>
          <w:b w:val="1"/>
          <w:bCs w:val="1"/>
          <w:spacing w:val="-2"/>
          <w:sz w:val="22"/>
          <w:szCs w:val="22"/>
          <w:lang w:val="es-ES"/>
        </w:rPr>
        <w:t xml:space="preserve">Componente 4: </w:t>
      </w:r>
      <w:r w:rsidRPr="175FA130" w:rsidR="00EC6553">
        <w:rPr>
          <w:rFonts w:ascii="Arial" w:hAnsi="Arial" w:eastAsia="Arial" w:cs="Arial"/>
          <w:b w:val="1"/>
          <w:bCs w:val="1"/>
          <w:spacing w:val="-2"/>
          <w:sz w:val="22"/>
          <w:szCs w:val="22"/>
          <w:lang w:val="es-ES"/>
        </w:rPr>
        <w:t>Mejora en la Eficiencia del Gasto Público del Sistema de Salud.</w:t>
      </w:r>
      <w:r w:rsidRPr="175FA130">
        <w:rPr>
          <w:rFonts w:ascii="Arial" w:hAnsi="Arial" w:eastAsia="Arial" w:cs="Arial"/>
          <w:spacing w:val="-2"/>
          <w:sz w:val="22"/>
          <w:szCs w:val="22"/>
          <w:lang w:val="es-ES"/>
        </w:rPr>
        <w:t xml:space="preserve"> A través de este componente, </w:t>
      </w:r>
      <w:r w:rsidRPr="175FA130" w:rsidR="00835911">
        <w:rPr>
          <w:rFonts w:ascii="Arial" w:hAnsi="Arial" w:eastAsia="Arial" w:cs="Arial"/>
          <w:spacing w:val="-2"/>
          <w:sz w:val="22"/>
          <w:szCs w:val="22"/>
          <w:lang w:val="es-ES"/>
        </w:rPr>
        <w:t xml:space="preserve">e elaborará una propuesta de asignación per cápita del </w:t>
      </w:r>
      <w:r w:rsidRPr="175FA130" w:rsidR="00835911">
        <w:rPr>
          <w:rFonts w:ascii="Arial" w:hAnsi="Arial" w:eastAsia="Arial" w:cs="Arial"/>
          <w:spacing w:val="-2"/>
          <w:sz w:val="22"/>
          <w:szCs w:val="22"/>
          <w:lang w:val="es-ES"/>
        </w:rPr>
        <w:lastRenderedPageBreak/>
        <w:t xml:space="preserve">presupuesto para mejorar la eficiencia del gasto y facilitar la expansión del MGD al resto de la red. </w:t>
      </w:r>
      <w:r w:rsidRPr="175FA130">
        <w:rPr>
          <w:rFonts w:ascii="Arial" w:hAnsi="Arial" w:eastAsia="Arial" w:cs="Arial"/>
          <w:spacing w:val="-2"/>
          <w:sz w:val="22"/>
          <w:szCs w:val="22"/>
          <w:lang w:val="es-ES"/>
        </w:rPr>
        <w:t xml:space="preserve">También se apoyará la aprobación del sistema de gestión y control de </w:t>
      </w:r>
      <w:r w:rsidRPr="175FA130" w:rsidR="003930CD">
        <w:rPr>
          <w:rFonts w:ascii="Arial" w:hAnsi="Arial" w:eastAsia="Arial" w:cs="Arial"/>
          <w:spacing w:val="-2"/>
          <w:sz w:val="22"/>
          <w:szCs w:val="22"/>
          <w:lang w:val="es-ES"/>
        </w:rPr>
        <w:t>Recursos</w:t>
      </w:r>
      <w:r w:rsidRPr="175FA130" w:rsidR="001D1186">
        <w:rPr>
          <w:rFonts w:ascii="Arial" w:hAnsi="Arial" w:eastAsia="Arial" w:cs="Arial"/>
          <w:spacing w:val="-2"/>
          <w:sz w:val="22"/>
          <w:szCs w:val="22"/>
          <w:lang w:val="es-ES"/>
        </w:rPr>
        <w:t xml:space="preserve"> Humanos (</w:t>
      </w:r>
      <w:r w:rsidRPr="175FA130">
        <w:rPr>
          <w:rFonts w:ascii="Arial" w:hAnsi="Arial" w:eastAsia="Arial" w:cs="Arial"/>
          <w:spacing w:val="-2"/>
          <w:sz w:val="22"/>
          <w:szCs w:val="22"/>
          <w:lang w:val="es-ES"/>
        </w:rPr>
        <w:t>RRHH</w:t>
      </w:r>
      <w:r w:rsidRPr="175FA130" w:rsidR="001D1186">
        <w:rPr>
          <w:rFonts w:ascii="Arial" w:hAnsi="Arial" w:eastAsia="Arial" w:cs="Arial"/>
          <w:spacing w:val="-2"/>
          <w:sz w:val="22"/>
          <w:szCs w:val="22"/>
          <w:lang w:val="es-ES"/>
        </w:rPr>
        <w:t>)</w:t>
      </w:r>
      <w:r w:rsidRPr="175FA130">
        <w:rPr>
          <w:rFonts w:ascii="Arial" w:hAnsi="Arial" w:eastAsia="Arial" w:cs="Arial"/>
          <w:spacing w:val="-2"/>
          <w:sz w:val="22"/>
          <w:szCs w:val="22"/>
          <w:lang w:val="es-ES"/>
        </w:rPr>
        <w:t xml:space="preserve"> de la SESAL.</w:t>
      </w:r>
    </w:p>
    <w:p w:rsidRPr="003930CD" w:rsidR="00767FAF" w:rsidP="00532806" w:rsidRDefault="00767FAF" w14:paraId="3E0521B5" w14:textId="77777777">
      <w:pPr>
        <w:pStyle w:val="Chapter"/>
        <w:numPr>
          <w:ilvl w:val="0"/>
          <w:numId w:val="0"/>
        </w:numPr>
        <w:spacing w:after="120"/>
        <w:ind w:left="4536"/>
        <w:jc w:val="left"/>
        <w:rPr>
          <w:rFonts w:eastAsia="Arial"/>
          <w:lang w:val="es-ES_tradnl"/>
        </w:rPr>
      </w:pPr>
    </w:p>
    <w:p w:rsidRPr="003930CD" w:rsidR="00B54624" w:rsidP="175FA130" w:rsidRDefault="003C02C0" w14:paraId="5C2E9A1A" w14:textId="77777777" w14:noSpellErr="1">
      <w:pPr>
        <w:pStyle w:val="Chapter"/>
        <w:tabs>
          <w:tab w:val="clear" w:pos="1440"/>
          <w:tab w:val="clear" w:pos="4900"/>
          <w:tab w:val="num" w:pos="0"/>
        </w:tabs>
        <w:spacing w:before="120"/>
        <w:ind w:left="0" w:firstLine="0"/>
        <w:outlineLvl w:val="0"/>
        <w:rPr>
          <w:rFonts w:ascii="Arial" w:hAnsi="Arial" w:eastAsia="Arial" w:cs="Arial"/>
          <w:sz w:val="22"/>
          <w:szCs w:val="22"/>
          <w:lang w:val="es-ES"/>
        </w:rPr>
      </w:pPr>
      <w:bookmarkStart w:name="_Toc418013971" w:id="2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175FA130">
        <w:rPr>
          <w:rFonts w:ascii="Arial" w:hAnsi="Arial" w:eastAsia="Arial" w:cs="Arial"/>
          <w:sz w:val="22"/>
          <w:szCs w:val="22"/>
          <w:lang w:val="es-ES"/>
        </w:rPr>
        <w:t>Monitoreo</w:t>
      </w:r>
      <w:bookmarkEnd w:id="20"/>
    </w:p>
    <w:p w:rsidRPr="003930CD" w:rsidR="00ED7AD7" w:rsidP="175FA130" w:rsidRDefault="4EAF959F" w14:paraId="02DAB0D7" w14:textId="62AB3776" w14:noSpellErr="1">
      <w:pPr>
        <w:pStyle w:val="Paragraph"/>
        <w:numPr>
          <w:ilvl w:val="0"/>
          <w:numId w:val="40"/>
        </w:numPr>
        <w:ind w:hanging="673"/>
        <w:rPr>
          <w:rFonts w:ascii="Arial" w:hAnsi="Arial" w:eastAsia="Arial" w:cs="Arial"/>
          <w:sz w:val="22"/>
          <w:szCs w:val="22"/>
          <w:lang w:val="es-ES"/>
        </w:rPr>
      </w:pPr>
      <w:r w:rsidRPr="175FA130" w:rsidR="175FA130">
        <w:rPr>
          <w:rFonts w:ascii="Arial" w:hAnsi="Arial" w:eastAsia="Arial" w:cs="Arial"/>
          <w:sz w:val="22"/>
          <w:szCs w:val="22"/>
          <w:lang w:val="es-ES"/>
        </w:rPr>
        <w:t>Ind</w:t>
      </w:r>
      <w:r w:rsidRPr="175FA130" w:rsidR="175FA130">
        <w:rPr>
          <w:rFonts w:ascii="Arial" w:hAnsi="Arial" w:eastAsia="Arial" w:cs="Arial"/>
          <w:sz w:val="22"/>
          <w:szCs w:val="22"/>
          <w:lang w:val="es-ES"/>
        </w:rPr>
        <w:t>ic</w:t>
      </w:r>
      <w:r w:rsidRPr="175FA130" w:rsidR="175FA130">
        <w:rPr>
          <w:rFonts w:ascii="Arial" w:hAnsi="Arial" w:eastAsia="Arial" w:cs="Arial"/>
          <w:sz w:val="22"/>
          <w:szCs w:val="22"/>
          <w:lang w:val="es-ES"/>
        </w:rPr>
        <w:t>adores de producto</w:t>
      </w:r>
    </w:p>
    <w:p w:rsidRPr="003930CD" w:rsidR="00B148DC" w:rsidP="175FA130" w:rsidRDefault="4EAF959F" w14:paraId="1ABECFF8" w14:textId="77777777" w14:noSpellErr="1">
      <w:pPr>
        <w:pStyle w:val="Paragraph"/>
        <w:numPr>
          <w:ilvl w:val="1"/>
          <w:numId w:val="13"/>
        </w:numPr>
        <w:ind w:left="763"/>
        <w:rPr>
          <w:rFonts w:ascii="Arial" w:hAnsi="Arial" w:eastAsia="Arial" w:cs="Arial"/>
          <w:sz w:val="22"/>
          <w:szCs w:val="22"/>
          <w:lang w:val="es-ES"/>
        </w:rPr>
      </w:pPr>
      <w:r w:rsidRPr="175FA130" w:rsidR="175FA130">
        <w:rPr>
          <w:rFonts w:ascii="Arial" w:hAnsi="Arial" w:eastAsia="Arial" w:cs="Arial"/>
          <w:sz w:val="22"/>
          <w:szCs w:val="22"/>
          <w:lang w:val="es-ES"/>
        </w:rPr>
        <w:t>Los indicadores a los cuales se le dará seguimiento como parte de la verificación del cumplimiento de las acciones del programa son los contenidos en la Matriz de Políticas, incluidas en la propuesta de préstamo.</w:t>
      </w:r>
    </w:p>
    <w:p w:rsidRPr="003930CD" w:rsidR="00B148DC" w:rsidP="175FA130" w:rsidRDefault="4EAF959F" w14:paraId="253D28DA" w14:textId="5EAF79E6" w14:noSpellErr="1">
      <w:pPr>
        <w:pStyle w:val="Paragraph"/>
        <w:numPr>
          <w:ilvl w:val="1"/>
          <w:numId w:val="13"/>
        </w:numPr>
        <w:ind w:left="763"/>
        <w:rPr>
          <w:rFonts w:ascii="Arial" w:hAnsi="Arial" w:eastAsia="Arial" w:cs="Arial"/>
          <w:sz w:val="22"/>
          <w:szCs w:val="22"/>
          <w:lang w:val="es-ES"/>
        </w:rPr>
      </w:pPr>
      <w:r w:rsidRPr="175FA130" w:rsidR="175FA130">
        <w:rPr>
          <w:rFonts w:ascii="Arial" w:hAnsi="Arial" w:eastAsia="Arial" w:cs="Arial"/>
          <w:sz w:val="22"/>
          <w:szCs w:val="22"/>
          <w:lang w:val="es-ES"/>
        </w:rPr>
        <w:t>El cumplimiento de los indicadores de producto se comprobará con la información detallada en la Matriz de medios de verificación. Esta contiene todas las acciones a ser implementadas en el programa, las entidades responsables para lograr dichas acciones y la información específica que permitirá al Banco verificar su cumplimiento.</w:t>
      </w:r>
    </w:p>
    <w:p w:rsidRPr="003930CD" w:rsidR="005F1BCF" w:rsidP="175FA130" w:rsidRDefault="4EAF959F" w14:paraId="3654EFD0" w14:textId="45BE50AF" w14:noSpellErr="1">
      <w:pPr>
        <w:pStyle w:val="Paragraph"/>
        <w:numPr>
          <w:ilvl w:val="1"/>
          <w:numId w:val="13"/>
        </w:numPr>
        <w:ind w:left="763"/>
        <w:rPr>
          <w:rFonts w:ascii="Arial" w:hAnsi="Arial" w:eastAsia="Arial" w:cs="Arial"/>
          <w:sz w:val="22"/>
          <w:szCs w:val="22"/>
          <w:lang w:val="es-ES"/>
        </w:rPr>
      </w:pPr>
      <w:r w:rsidRPr="175FA130" w:rsidR="175FA130">
        <w:rPr>
          <w:rFonts w:ascii="Arial" w:hAnsi="Arial" w:eastAsia="Arial" w:cs="Arial"/>
          <w:sz w:val="22"/>
          <w:szCs w:val="22"/>
          <w:lang w:val="es-ES"/>
        </w:rPr>
        <w:t>El seguimiento a los resultados de los cambios de políticas impulsados, se llevará a cabo a través de la Dirección General de</w:t>
      </w:r>
      <w:r w:rsidRPr="175FA130" w:rsidR="175FA130">
        <w:rPr>
          <w:rFonts w:ascii="Arial" w:hAnsi="Arial" w:eastAsia="Arial" w:cs="Arial"/>
          <w:sz w:val="22"/>
          <w:szCs w:val="22"/>
          <w:lang w:val="es-ES"/>
        </w:rPr>
        <w:t xml:space="preserve"> Crédito Publico de la </w:t>
      </w:r>
      <w:r w:rsidRPr="175FA130" w:rsidR="175FA130">
        <w:rPr>
          <w:rFonts w:ascii="Arial" w:hAnsi="Arial" w:eastAsia="Arial" w:cs="Arial"/>
          <w:sz w:val="22"/>
          <w:szCs w:val="22"/>
          <w:lang w:val="es-ES"/>
        </w:rPr>
        <w:t>SEFIN</w:t>
      </w:r>
      <w:r w:rsidRPr="175FA130" w:rsidR="175FA130">
        <w:rPr>
          <w:rFonts w:ascii="Arial" w:hAnsi="Arial" w:eastAsia="Arial" w:cs="Arial"/>
          <w:sz w:val="22"/>
          <w:szCs w:val="22"/>
          <w:lang w:val="es-ES"/>
        </w:rPr>
        <w:t xml:space="preserve"> y la Unidad de Planificación y Evaluación de la gest</w:t>
      </w:r>
      <w:r w:rsidRPr="175FA130" w:rsidR="175FA130">
        <w:rPr>
          <w:rFonts w:ascii="Arial" w:hAnsi="Arial" w:eastAsia="Arial" w:cs="Arial"/>
          <w:sz w:val="22"/>
          <w:szCs w:val="22"/>
          <w:lang w:val="es-ES"/>
        </w:rPr>
        <w:t xml:space="preserve">ión de la </w:t>
      </w:r>
      <w:r w:rsidRPr="175FA130" w:rsidR="175FA130">
        <w:rPr>
          <w:rFonts w:ascii="Arial" w:hAnsi="Arial" w:eastAsia="Arial" w:cs="Arial"/>
          <w:sz w:val="22"/>
          <w:szCs w:val="22"/>
          <w:lang w:val="es-ES"/>
        </w:rPr>
        <w:t>SESAL</w:t>
      </w:r>
      <w:r w:rsidRPr="175FA130" w:rsidR="175FA130">
        <w:rPr>
          <w:rFonts w:ascii="Arial" w:hAnsi="Arial" w:eastAsia="Arial" w:cs="Arial"/>
          <w:sz w:val="22"/>
          <w:szCs w:val="22"/>
          <w:lang w:val="es-ES"/>
        </w:rPr>
        <w:t xml:space="preserve">. </w:t>
      </w:r>
      <w:r w:rsidRPr="175FA130" w:rsidR="175FA130">
        <w:rPr>
          <w:rFonts w:ascii="Arial" w:hAnsi="Arial" w:eastAsia="Arial" w:cs="Arial"/>
          <w:sz w:val="22"/>
          <w:szCs w:val="22"/>
          <w:lang w:val="es-ES"/>
        </w:rPr>
        <w:t>Por parte del Banco, los miembros de equipo estarán a c</w:t>
      </w:r>
      <w:r w:rsidRPr="175FA130" w:rsidR="175FA130">
        <w:rPr>
          <w:rFonts w:ascii="Arial" w:hAnsi="Arial" w:eastAsia="Arial" w:cs="Arial"/>
          <w:sz w:val="22"/>
          <w:szCs w:val="22"/>
          <w:lang w:val="es-ES"/>
        </w:rPr>
        <w:t>argo de realizar seguimiento al p</w:t>
      </w:r>
      <w:r w:rsidRPr="175FA130" w:rsidR="175FA130">
        <w:rPr>
          <w:rFonts w:ascii="Arial" w:hAnsi="Arial" w:eastAsia="Arial" w:cs="Arial"/>
          <w:sz w:val="22"/>
          <w:szCs w:val="22"/>
          <w:lang w:val="es-ES"/>
        </w:rPr>
        <w:t>rograma.</w:t>
      </w:r>
    </w:p>
    <w:p w:rsidRPr="003930CD" w:rsidR="00E838D4" w:rsidP="175FA130" w:rsidRDefault="4EAF959F" w14:paraId="7380D660" w14:textId="048C6394" w14:noSpellErr="1">
      <w:pPr>
        <w:pStyle w:val="Paragraph"/>
        <w:numPr>
          <w:ilvl w:val="1"/>
          <w:numId w:val="13"/>
        </w:numPr>
        <w:ind w:left="720"/>
        <w:rPr>
          <w:rFonts w:ascii="Arial" w:hAnsi="Arial" w:eastAsia="Arial" w:cs="Arial"/>
          <w:color w:val="000000" w:themeColor="text1" w:themeTint="FF" w:themeShade="FF"/>
          <w:sz w:val="22"/>
          <w:szCs w:val="22"/>
          <w:lang w:val="es-ES"/>
        </w:rPr>
      </w:pPr>
      <w:r w:rsidRPr="175FA130" w:rsidR="175FA130">
        <w:rPr>
          <w:rFonts w:ascii="Arial" w:hAnsi="Arial" w:eastAsia="Arial" w:cs="Arial"/>
          <w:sz w:val="22"/>
          <w:szCs w:val="22"/>
          <w:lang w:val="es-ES"/>
        </w:rPr>
        <w:t>Como parte del seguimiento de la operación se utilizará la Matriz de Resultados y</w:t>
      </w:r>
      <w:r w:rsidRPr="175FA130" w:rsidR="175FA130">
        <w:rPr>
          <w:rFonts w:ascii="Arial" w:hAnsi="Arial" w:eastAsia="Arial" w:cs="Arial"/>
          <w:color w:val="000000" w:themeColor="text1" w:themeTint="FF" w:themeShade="FF"/>
          <w:sz w:val="22"/>
          <w:szCs w:val="22"/>
          <w:lang w:val="es-ES"/>
        </w:rPr>
        <w:t xml:space="preserve"> la matriz de medios de verificación de la operación. La División de Protección Social y Salud (SCL/SPH), en colaboración con la Representación en Honduras (CID/CHO), llevará a cabo reuniones periódica</w:t>
      </w:r>
      <w:r w:rsidRPr="175FA130" w:rsidR="175FA130">
        <w:rPr>
          <w:rFonts w:ascii="Arial" w:hAnsi="Arial" w:eastAsia="Arial" w:cs="Arial"/>
          <w:color w:val="000000" w:themeColor="text1" w:themeTint="FF" w:themeShade="FF"/>
          <w:sz w:val="22"/>
          <w:szCs w:val="22"/>
          <w:lang w:val="es-ES"/>
        </w:rPr>
        <w:t>s con el equipo de trabajo del g</w:t>
      </w:r>
      <w:r w:rsidRPr="175FA130" w:rsidR="175FA130">
        <w:rPr>
          <w:rFonts w:ascii="Arial" w:hAnsi="Arial" w:eastAsia="Arial" w:cs="Arial"/>
          <w:color w:val="000000" w:themeColor="text1" w:themeTint="FF" w:themeShade="FF"/>
          <w:sz w:val="22"/>
          <w:szCs w:val="22"/>
          <w:lang w:val="es-ES"/>
        </w:rPr>
        <w:t>obierno para discutir necesidades que se deriven de estos informes. El cuadro I presenta los indicadores de producto de la operación.</w:t>
      </w:r>
    </w:p>
    <w:p w:rsidRPr="003930CD" w:rsidR="00151125" w:rsidP="175FA130" w:rsidRDefault="4EAF959F" w14:paraId="7C2E55C5" w14:textId="450A10EA" w14:noSpellErr="1">
      <w:pPr>
        <w:pStyle w:val="Paragraph"/>
        <w:numPr>
          <w:ilvl w:val="0"/>
          <w:numId w:val="40"/>
        </w:numPr>
        <w:ind w:hanging="673"/>
        <w:rPr>
          <w:rFonts w:ascii="Arial" w:hAnsi="Arial" w:eastAsia="Arial" w:cs="Arial"/>
          <w:sz w:val="22"/>
          <w:szCs w:val="22"/>
          <w:lang w:val="es-ES"/>
        </w:rPr>
      </w:pPr>
      <w:r w:rsidRPr="175FA130" w:rsidR="175FA130">
        <w:rPr>
          <w:rFonts w:ascii="Arial" w:hAnsi="Arial" w:eastAsia="Arial" w:cs="Arial"/>
          <w:sz w:val="22"/>
          <w:szCs w:val="22"/>
          <w:lang w:val="es-ES"/>
        </w:rPr>
        <w:t>Recopilación de datos</w:t>
      </w:r>
    </w:p>
    <w:p w:rsidRPr="003930CD" w:rsidR="0050360B" w:rsidP="175FA130" w:rsidRDefault="4EAF959F" w14:paraId="189D5803" w14:textId="2C072027" w14:noSpellErr="1">
      <w:pPr>
        <w:pStyle w:val="Paragraph"/>
        <w:numPr>
          <w:ilvl w:val="1"/>
          <w:numId w:val="13"/>
        </w:numPr>
        <w:ind w:left="720"/>
        <w:rPr>
          <w:rFonts w:ascii="Arial" w:hAnsi="Arial" w:eastAsia="Arial" w:cs="Arial"/>
          <w:sz w:val="22"/>
          <w:szCs w:val="22"/>
          <w:lang w:val="es-ES"/>
        </w:rPr>
      </w:pPr>
      <w:r w:rsidRPr="175FA130" w:rsidR="175FA130">
        <w:rPr>
          <w:rFonts w:ascii="Arial" w:hAnsi="Arial" w:eastAsia="Arial" w:cs="Arial"/>
          <w:sz w:val="22"/>
          <w:szCs w:val="22"/>
          <w:lang w:val="es-ES"/>
        </w:rPr>
        <w:t xml:space="preserve">En su carácter de </w:t>
      </w:r>
      <w:r w:rsidRPr="175FA130" w:rsidR="175FA130">
        <w:rPr>
          <w:rFonts w:ascii="Arial" w:hAnsi="Arial" w:eastAsia="Arial" w:cs="Arial"/>
          <w:sz w:val="22"/>
          <w:szCs w:val="22"/>
          <w:lang w:val="es-ES"/>
        </w:rPr>
        <w:t xml:space="preserve">organismo ejecutor, la </w:t>
      </w:r>
      <w:r w:rsidRPr="175FA130" w:rsidR="175FA130">
        <w:rPr>
          <w:rFonts w:ascii="Arial" w:hAnsi="Arial" w:eastAsia="Arial" w:cs="Arial"/>
          <w:sz w:val="22"/>
          <w:szCs w:val="22"/>
          <w:lang w:val="es-ES"/>
        </w:rPr>
        <w:t>SEFIN</w:t>
      </w:r>
      <w:r w:rsidRPr="175FA130" w:rsidR="175FA130">
        <w:rPr>
          <w:rFonts w:ascii="Arial" w:hAnsi="Arial" w:eastAsia="Arial" w:cs="Arial"/>
          <w:sz w:val="22"/>
          <w:szCs w:val="22"/>
          <w:lang w:val="es-ES"/>
        </w:rPr>
        <w:t xml:space="preserve"> designará un funcionario como responsable de, entre otras tareas: (i) mantener la comunicación oficial con el Banco y entregar informes y evidencia del cumplimiento de las condiciones de la operación, y todo informe que el Banco pueda requerir en los plazos y condiciones acordadas; (ii) impulsar las acciones tendientes al logro de los objetivos de política definidos en el programa, y en particular aquellas incluidas como mecanismos activadores para la segunda; y (iii) reunir, archivar y entregar al Banco toda la información, indicadores y parámetros que contribuyan a que el Banco pueda dar seguimiento, medir y evaluar los resultados del programa. E</w:t>
      </w:r>
      <w:r w:rsidRPr="175FA130" w:rsidR="175FA130">
        <w:rPr>
          <w:rFonts w:ascii="Arial" w:hAnsi="Arial" w:eastAsia="Arial" w:cs="Arial"/>
          <w:sz w:val="22"/>
          <w:szCs w:val="22"/>
          <w:lang w:val="es-ES"/>
        </w:rPr>
        <w:t>n el marco de sus funciones, la </w:t>
      </w:r>
      <w:r w:rsidRPr="175FA130" w:rsidR="175FA130">
        <w:rPr>
          <w:rFonts w:ascii="Arial" w:hAnsi="Arial" w:eastAsia="Arial" w:cs="Arial"/>
          <w:sz w:val="22"/>
          <w:szCs w:val="22"/>
          <w:lang w:val="es-ES"/>
        </w:rPr>
        <w:t>SEFIN coordinará la recepción de la evidencia de los compromisos que asumen las diversas instituciones de gobierno.</w:t>
      </w:r>
    </w:p>
    <w:p w:rsidRPr="003930CD" w:rsidR="00AC4B3E" w:rsidP="175FA130" w:rsidRDefault="4EAF959F" w14:paraId="67461EDD" w14:textId="4FAD3D05" w14:noSpellErr="1">
      <w:pPr>
        <w:pStyle w:val="Paragraph"/>
        <w:numPr>
          <w:ilvl w:val="1"/>
          <w:numId w:val="13"/>
        </w:numPr>
        <w:ind w:left="720"/>
        <w:rPr>
          <w:rFonts w:ascii="Arial" w:hAnsi="Arial" w:eastAsia="Arial" w:cs="Arial"/>
          <w:sz w:val="22"/>
          <w:szCs w:val="22"/>
          <w:lang w:val="es-ES"/>
        </w:rPr>
      </w:pPr>
      <w:r w:rsidRPr="175FA130" w:rsidR="175FA130">
        <w:rPr>
          <w:rFonts w:ascii="Arial" w:hAnsi="Arial" w:eastAsia="Arial" w:cs="Arial"/>
          <w:sz w:val="22"/>
          <w:szCs w:val="22"/>
          <w:lang w:val="es-ES"/>
        </w:rPr>
        <w:t>En el caso de los indicadores de productos al final de la serie programática, la Matriz de Resultados especifica los indicadores a los cuales se hará seguimiento y las fuentes de información para cada uno de ellos. La Tabla II.A resu</w:t>
      </w:r>
      <w:r w:rsidRPr="175FA130" w:rsidR="175FA130">
        <w:rPr>
          <w:rFonts w:ascii="Arial" w:hAnsi="Arial" w:eastAsia="Arial" w:cs="Arial"/>
          <w:sz w:val="22"/>
          <w:szCs w:val="22"/>
          <w:lang w:val="es-ES"/>
        </w:rPr>
        <w:t xml:space="preserve">me el monitoreo de condiciones </w:t>
      </w:r>
      <w:r w:rsidRPr="175FA130" w:rsidR="175FA130">
        <w:rPr>
          <w:rFonts w:ascii="Arial" w:hAnsi="Arial" w:eastAsia="Arial" w:cs="Arial"/>
          <w:sz w:val="22"/>
          <w:szCs w:val="22"/>
          <w:lang w:val="es-ES"/>
        </w:rPr>
        <w:t>para cada condición</w:t>
      </w:r>
      <w:r w:rsidRPr="175FA130" w:rsidR="175FA130">
        <w:rPr>
          <w:rFonts w:ascii="Arial" w:hAnsi="Arial" w:eastAsia="Arial" w:cs="Arial"/>
          <w:sz w:val="22"/>
          <w:szCs w:val="22"/>
          <w:lang w:val="es-ES"/>
        </w:rPr>
        <w:t xml:space="preserve"> y provee</w:t>
      </w:r>
      <w:r w:rsidRPr="175FA130" w:rsidR="175FA130">
        <w:rPr>
          <w:rFonts w:ascii="Arial" w:hAnsi="Arial" w:eastAsia="Arial" w:cs="Arial"/>
          <w:sz w:val="22"/>
          <w:szCs w:val="22"/>
          <w:lang w:val="es-ES"/>
        </w:rPr>
        <w:t xml:space="preserve"> de información sobre las fuentes de información y medios de verificación.</w:t>
      </w:r>
    </w:p>
    <w:p w:rsidRPr="003930CD" w:rsidR="00AC4B3E" w:rsidP="175FA130" w:rsidRDefault="4EAF959F" w14:paraId="081AF1D6" w14:textId="2928C976" w14:noSpellErr="1">
      <w:pPr>
        <w:pStyle w:val="Paragraph"/>
        <w:numPr>
          <w:ilvl w:val="1"/>
          <w:numId w:val="13"/>
        </w:numPr>
        <w:ind w:left="720"/>
        <w:rPr>
          <w:rFonts w:ascii="Arial" w:hAnsi="Arial" w:eastAsia="Arial" w:cs="Arial"/>
          <w:sz w:val="22"/>
          <w:szCs w:val="22"/>
          <w:lang w:val="es-ES"/>
        </w:rPr>
      </w:pPr>
      <w:r w:rsidRPr="175FA130" w:rsidR="175FA130">
        <w:rPr>
          <w:rFonts w:ascii="Arial" w:hAnsi="Arial" w:eastAsia="Arial" w:cs="Arial"/>
          <w:sz w:val="22"/>
          <w:szCs w:val="22"/>
          <w:lang w:val="es-ES"/>
        </w:rPr>
        <w:t xml:space="preserve">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Por parte del Banco, el equipo de SCL/SPH dará seguimiento mediante un plan que incluye: </w:t>
      </w:r>
      <w:r w:rsidRPr="175FA130" w:rsidR="175FA130">
        <w:rPr>
          <w:rFonts w:ascii="Arial" w:hAnsi="Arial" w:eastAsia="Arial" w:cs="Arial"/>
          <w:sz w:val="22"/>
          <w:szCs w:val="22"/>
          <w:lang w:val="es-ES"/>
        </w:rPr>
        <w:t>(i) </w:t>
      </w:r>
      <w:r w:rsidRPr="175FA130" w:rsidR="175FA130">
        <w:rPr>
          <w:rFonts w:ascii="Arial" w:hAnsi="Arial" w:eastAsia="Arial" w:cs="Arial"/>
          <w:sz w:val="22"/>
          <w:szCs w:val="22"/>
          <w:lang w:val="es-ES"/>
        </w:rPr>
        <w:t xml:space="preserve">monitoreo del cumplimiento de los compromisos; </w:t>
      </w:r>
      <w:r w:rsidRPr="175FA130" w:rsidR="175FA130">
        <w:rPr>
          <w:rFonts w:ascii="Arial" w:hAnsi="Arial" w:eastAsia="Arial" w:cs="Arial"/>
          <w:sz w:val="22"/>
          <w:szCs w:val="22"/>
          <w:lang w:val="es-ES"/>
        </w:rPr>
        <w:t>y (</w:t>
      </w:r>
      <w:r w:rsidRPr="175FA130" w:rsidR="175FA130">
        <w:rPr>
          <w:rFonts w:ascii="Arial" w:hAnsi="Arial" w:eastAsia="Arial" w:cs="Arial"/>
          <w:sz w:val="22"/>
          <w:szCs w:val="22"/>
          <w:lang w:val="es-ES"/>
        </w:rPr>
        <w:t xml:space="preserve">ii) misión de monitoreo y de potencial determinación planes alternativos que permitan garantizar el cumplimiento de los compromisos El cronograma de estas actividades con su respectivo costo y financiamiento se detallan la Tabla II.B. </w:t>
      </w:r>
    </w:p>
    <w:p w:rsidRPr="003930CD" w:rsidR="00AC4B3E" w:rsidP="00F64334" w:rsidRDefault="00AC4B3E" w14:paraId="1429D52D" w14:textId="77777777">
      <w:pPr>
        <w:pStyle w:val="Paragraph"/>
        <w:numPr>
          <w:ilvl w:val="1"/>
          <w:numId w:val="13"/>
        </w:numPr>
        <w:ind w:left="720"/>
        <w:rPr>
          <w:rFonts w:ascii="Arial" w:hAnsi="Arial" w:cs="Arial"/>
          <w:sz w:val="22"/>
          <w:szCs w:val="22"/>
          <w:lang w:val="es-ES_tradnl"/>
        </w:rPr>
        <w:sectPr w:rsidRPr="003930CD" w:rsidR="00AC4B3E" w:rsidSect="00D74094">
          <w:headerReference w:type="default" r:id="rId13"/>
          <w:type w:val="continuous"/>
          <w:pgSz w:w="12240" w:h="15840" w:orient="portrait" w:code="1"/>
          <w:pgMar w:top="1440" w:right="1800" w:bottom="1440" w:left="1440" w:header="706" w:footer="706" w:gutter="0"/>
          <w:cols w:space="720"/>
          <w:formProt w:val="0"/>
          <w:titlePg/>
          <w:docGrid w:linePitch="326"/>
        </w:sectPr>
      </w:pPr>
    </w:p>
    <w:tbl>
      <w:tblPr>
        <w:tblW w:w="12940" w:type="dxa"/>
        <w:tblLayout w:type="fixed"/>
        <w:tblCellMar>
          <w:left w:w="70" w:type="dxa"/>
          <w:right w:w="70" w:type="dxa"/>
        </w:tblCellMar>
        <w:tblLook w:val="04A0" w:firstRow="1" w:lastRow="0" w:firstColumn="1" w:lastColumn="0" w:noHBand="0" w:noVBand="1"/>
      </w:tblPr>
      <w:tblGrid>
        <w:gridCol w:w="4643"/>
        <w:gridCol w:w="1317"/>
        <w:gridCol w:w="1295"/>
        <w:gridCol w:w="3975"/>
        <w:gridCol w:w="1710"/>
      </w:tblGrid>
      <w:tr w:rsidRPr="000B08DE" w:rsidR="00F64334" w:rsidTr="175FA130" w14:paraId="5F6F8CA5" w14:textId="77777777">
        <w:trPr>
          <w:trHeight w:val="252"/>
          <w:tblHeader/>
        </w:trPr>
        <w:tc>
          <w:tcPr>
            <w:tcW w:w="12940" w:type="dxa"/>
            <w:gridSpan w:val="5"/>
            <w:tcBorders>
              <w:bottom w:val="single" w:color="auto" w:sz="4" w:space="0"/>
            </w:tcBorders>
            <w:shd w:val="clear" w:color="auto" w:fill="FFFFFF" w:themeFill="background1"/>
            <w:tcMar/>
            <w:vAlign w:val="center"/>
          </w:tcPr>
          <w:p w:rsidRPr="003930CD" w:rsidR="00F64334" w:rsidP="175FA130" w:rsidRDefault="00557DD1" w14:paraId="78AEA7FD" w14:textId="09E3BEF5" w14:noSpellErr="1">
            <w:pPr>
              <w:pStyle w:val="Paragraph"/>
              <w:numPr>
                <w:numId w:val="0"/>
              </w:numPr>
              <w:spacing w:before="0" w:after="0"/>
              <w:ind w:left="720"/>
              <w:jc w:val="center"/>
              <w:rPr>
                <w:rFonts w:ascii="Arial" w:hAnsi="Arial" w:eastAsia="Arial" w:cs="Arial"/>
                <w:b w:val="1"/>
                <w:bCs w:val="1"/>
                <w:sz w:val="20"/>
                <w:szCs w:val="20"/>
                <w:lang w:val="es-ES"/>
              </w:rPr>
            </w:pPr>
            <w:r w:rsidRPr="175FA130" w:rsidR="175FA130">
              <w:rPr>
                <w:rFonts w:ascii="Arial" w:hAnsi="Arial" w:eastAsia="Arial" w:cs="Arial"/>
                <w:b w:val="1"/>
                <w:bCs w:val="1"/>
                <w:sz w:val="20"/>
                <w:szCs w:val="20"/>
                <w:lang w:val="es-ES"/>
              </w:rPr>
              <w:t xml:space="preserve">Tabla II.B. </w:t>
            </w:r>
            <w:r w:rsidRPr="175FA130" w:rsidR="175FA130">
              <w:rPr>
                <w:rFonts w:ascii="Arial" w:hAnsi="Arial" w:eastAsia="Arial" w:cs="Arial"/>
                <w:b w:val="1"/>
                <w:bCs w:val="1"/>
                <w:sz w:val="20"/>
                <w:szCs w:val="20"/>
                <w:lang w:val="es-ES"/>
              </w:rPr>
              <w:t>Resumen monitoreo de condiciones, primera operación</w:t>
            </w:r>
          </w:p>
        </w:tc>
      </w:tr>
      <w:tr w:rsidRPr="003930CD" w:rsidR="00D763D3" w:rsidTr="175FA130" w14:paraId="02845C0C"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hideMark/>
          </w:tcPr>
          <w:p w:rsidRPr="003930CD" w:rsidR="00D763D3" w:rsidP="175FA130" w:rsidRDefault="4EAF959F" w14:paraId="4BE9A6B1" w14:textId="73254614"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Productos</w:t>
            </w:r>
          </w:p>
        </w:tc>
        <w:tc>
          <w:tcPr>
            <w:tcW w:w="1317" w:type="dxa"/>
            <w:tcBorders>
              <w:top w:val="single" w:color="auto" w:sz="4" w:space="0"/>
              <w:left w:val="nil"/>
              <w:bottom w:val="single" w:color="auto" w:sz="4" w:space="0"/>
              <w:right w:val="single" w:color="auto" w:sz="4" w:space="0"/>
            </w:tcBorders>
            <w:shd w:val="clear" w:color="auto" w:fill="B8CCE4" w:themeFill="accent1" w:themeFillTint="66"/>
            <w:tcMar/>
            <w:vAlign w:val="center"/>
            <w:hideMark/>
          </w:tcPr>
          <w:p w:rsidRPr="003930CD" w:rsidR="00D763D3" w:rsidP="175FA130" w:rsidRDefault="4EAF959F" w14:paraId="5DACB661"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Valor actual 2016</w:t>
            </w:r>
          </w:p>
        </w:tc>
        <w:tc>
          <w:tcPr>
            <w:tcW w:w="1295" w:type="dxa"/>
            <w:tcBorders>
              <w:top w:val="single" w:color="auto" w:sz="4" w:space="0"/>
              <w:left w:val="nil"/>
              <w:bottom w:val="single" w:color="auto" w:sz="4" w:space="0"/>
              <w:right w:val="single" w:color="auto" w:sz="4" w:space="0"/>
            </w:tcBorders>
            <w:shd w:val="clear" w:color="auto" w:fill="B8CCE4" w:themeFill="accent1" w:themeFillTint="66"/>
            <w:tcMar/>
            <w:vAlign w:val="center"/>
            <w:hideMark/>
          </w:tcPr>
          <w:p w:rsidRPr="003930CD" w:rsidR="00D763D3" w:rsidP="175FA130" w:rsidRDefault="4EAF959F" w14:paraId="45DD9E86"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Fin de proyecto</w:t>
            </w:r>
          </w:p>
        </w:tc>
        <w:tc>
          <w:tcPr>
            <w:tcW w:w="3975" w:type="dxa"/>
            <w:tcBorders>
              <w:top w:val="single" w:color="auto" w:sz="4" w:space="0"/>
              <w:left w:val="nil"/>
              <w:bottom w:val="single" w:color="auto" w:sz="4" w:space="0"/>
              <w:right w:val="single" w:color="auto" w:sz="4" w:space="0"/>
            </w:tcBorders>
            <w:shd w:val="clear" w:color="auto" w:fill="B8CCE4" w:themeFill="accent1" w:themeFillTint="66"/>
            <w:tcMar/>
            <w:vAlign w:val="center"/>
            <w:hideMark/>
          </w:tcPr>
          <w:p w:rsidRPr="003930CD" w:rsidR="00D763D3" w:rsidP="175FA130" w:rsidRDefault="4EAF959F" w14:paraId="62175B1C"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 xml:space="preserve">Fuente de verificación </w:t>
            </w:r>
          </w:p>
        </w:tc>
        <w:tc>
          <w:tcPr>
            <w:tcW w:w="1710" w:type="dxa"/>
            <w:tcBorders>
              <w:top w:val="single" w:color="auto" w:sz="4" w:space="0"/>
              <w:left w:val="nil"/>
              <w:bottom w:val="single" w:color="auto" w:sz="4" w:space="0"/>
              <w:right w:val="single" w:color="auto" w:sz="4" w:space="0"/>
            </w:tcBorders>
            <w:shd w:val="clear" w:color="auto" w:fill="B8CCE4" w:themeFill="accent1" w:themeFillTint="66"/>
            <w:tcMar/>
            <w:vAlign w:val="center"/>
            <w:hideMark/>
          </w:tcPr>
          <w:p w:rsidRPr="003930CD" w:rsidR="00D763D3" w:rsidP="175FA130" w:rsidRDefault="4EAF959F" w14:paraId="23FB80AE" w14:textId="33D15A50" w14:noSpellErr="1">
            <w:pPr>
              <w:jc w:val="center"/>
              <w:rPr>
                <w:rFonts w:ascii="Arial" w:hAnsi="Arial" w:eastAsia="Arial" w:cs="Arial"/>
                <w:b w:val="1"/>
                <w:bCs w:val="1"/>
                <w:color w:val="000000" w:themeColor="text1" w:themeTint="FF" w:themeShade="FF"/>
                <w:sz w:val="20"/>
                <w:szCs w:val="20"/>
                <w:lang w:val="es-ES" w:eastAsia="es-ES"/>
              </w:rPr>
            </w:pPr>
            <w:r w:rsidRPr="175FA130">
              <w:rPr>
                <w:rFonts w:ascii="Arial" w:hAnsi="Arial" w:eastAsia="Arial" w:cs="Arial"/>
                <w:b w:val="1"/>
                <w:bCs w:val="1"/>
                <w:color w:val="000000" w:themeColor="text1"/>
                <w:sz w:val="20"/>
                <w:szCs w:val="20"/>
                <w:lang w:val="es-ES" w:eastAsia="es-ES"/>
              </w:rPr>
              <w:t>Notas/</w:t>
            </w:r>
            <w:r w:rsidRPr="175FA130" w:rsidR="008C4A6B">
              <w:rPr>
                <w:rFonts w:ascii="Arial" w:hAnsi="Arial" w:eastAsia="Arial" w:cs="Arial"/>
                <w:b w:val="1"/>
                <w:bCs w:val="1"/>
                <w:color w:val="000000" w:themeColor="text1"/>
                <w:sz w:val="20"/>
                <w:szCs w:val="20"/>
                <w:lang w:val="es-ES" w:eastAsia="es-ES"/>
              </w:rPr>
              <w:t xml:space="preserve"> </w:t>
            </w:r>
            <w:r w:rsidRPr="175FA130" w:rsidR="00D763D3">
              <w:rPr>
                <w:rFonts w:ascii="Arial" w:hAnsi="Arial" w:eastAsia="Arial" w:cs="Arial"/>
                <w:b w:val="1"/>
                <w:bCs w:val="1"/>
                <w:color w:val="000000"/>
                <w:sz w:val="20"/>
                <w:szCs w:val="20"/>
                <w:lang w:val="es-ES" w:eastAsia="es-ES"/>
              </w:rPr>
              <w:t>observaciones</w:t>
            </w:r>
            <w:r w:rsidRPr="175FA130" w:rsidR="00D763D3">
              <w:rPr>
                <w:rStyle w:val="FootnoteReference"/>
                <w:rFonts w:ascii="Arial" w:hAnsi="Arial" w:eastAsia="Arial" w:cs="Arial"/>
                <w:b w:val="1"/>
                <w:bCs w:val="1"/>
                <w:color w:val="000000"/>
                <w:sz w:val="20"/>
                <w:szCs w:val="20"/>
                <w:lang w:val="es-ES" w:eastAsia="es-ES"/>
              </w:rPr>
              <w:footnoteReference w:id="1"/>
            </w:r>
          </w:p>
        </w:tc>
      </w:tr>
      <w:tr w:rsidRPr="003930CD" w:rsidR="00D763D3" w:rsidTr="175FA130" w14:paraId="6993DFE7" w14:textId="77777777">
        <w:trPr>
          <w:trHeight w:val="291"/>
          <w:tblHeader/>
        </w:trPr>
        <w:tc>
          <w:tcPr>
            <w:tcW w:w="12940" w:type="dxa"/>
            <w:gridSpan w:val="5"/>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3930CD" w:rsidR="00D763D3" w:rsidP="175FA130" w:rsidRDefault="4EAF959F" w14:paraId="2ACBDAC1" w14:textId="77777777"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sz w:val="20"/>
                <w:szCs w:val="20"/>
                <w:lang w:val="es-ES"/>
              </w:rPr>
              <w:t>Componente 1:  Marco Macroeconómico</w:t>
            </w:r>
          </w:p>
        </w:tc>
      </w:tr>
      <w:tr w:rsidRPr="003930CD" w:rsidR="00D763D3" w:rsidTr="175FA130" w14:paraId="3C6B0C01"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tcPr>
          <w:p w:rsidRPr="003930CD" w:rsidR="00D763D3" w:rsidP="175FA130" w:rsidRDefault="4EAF959F" w14:paraId="69017DD4" w14:textId="469802ED" w14:noSpellErr="1">
            <w:pPr>
              <w:jc w:val="both"/>
              <w:rPr>
                <w:rFonts w:ascii="Arial" w:hAnsi="Arial" w:eastAsia="Arial" w:cs="Arial"/>
                <w:sz w:val="20"/>
                <w:szCs w:val="20"/>
                <w:lang w:val="es-ES"/>
              </w:rPr>
            </w:pPr>
            <w:r w:rsidRPr="175FA130" w:rsidR="175FA130">
              <w:rPr>
                <w:rFonts w:ascii="Arial" w:hAnsi="Arial" w:eastAsia="Arial" w:cs="Arial"/>
                <w:sz w:val="20"/>
                <w:szCs w:val="20"/>
                <w:lang w:val="es-ES"/>
              </w:rPr>
              <w:t>Marco económico consistente con los objetivos del programa y con los lineamientos establecidos en la carta de política sectorial</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794510D8"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69A41EB6"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583B09DA"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 xml:space="preserve">Evaluación macroeconómica independiente </w:t>
            </w:r>
            <w:r w:rsidRPr="175FA130" w:rsidR="175FA130">
              <w:rPr>
                <w:rFonts w:ascii="Arial" w:hAnsi="Arial" w:eastAsia="Arial" w:cs="Arial"/>
                <w:color w:val="000000" w:themeColor="text1" w:themeTint="FF" w:themeShade="FF"/>
                <w:sz w:val="20"/>
                <w:szCs w:val="20"/>
                <w:lang w:val="es-ES" w:eastAsia="es-ES"/>
              </w:rPr>
              <w:t>IAMC</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50AA9D8D" w14:textId="77777777">
            <w:pPr>
              <w:jc w:val="center"/>
              <w:rPr>
                <w:rFonts w:ascii="Arial" w:hAnsi="Arial" w:cs="Arial"/>
                <w:b/>
                <w:bCs/>
                <w:color w:val="000000"/>
                <w:sz w:val="20"/>
                <w:lang w:val="es-ES_tradnl" w:eastAsia="es-ES"/>
              </w:rPr>
            </w:pPr>
          </w:p>
        </w:tc>
      </w:tr>
      <w:tr w:rsidRPr="000B08DE" w:rsidR="00D763D3" w:rsidTr="175FA130" w14:paraId="48F265D9" w14:textId="77777777">
        <w:trPr>
          <w:trHeight w:val="287"/>
          <w:tblHeader/>
        </w:trPr>
        <w:tc>
          <w:tcPr>
            <w:tcW w:w="12940" w:type="dxa"/>
            <w:gridSpan w:val="5"/>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3930CD" w:rsidR="00D763D3" w:rsidP="175FA130" w:rsidRDefault="4EAF959F" w14:paraId="71B85DC6" w14:textId="0F8BEBB8"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sz w:val="20"/>
                <w:szCs w:val="20"/>
                <w:lang w:val="es-ES"/>
              </w:rPr>
              <w:t xml:space="preserve">Componente 2: </w:t>
            </w:r>
            <w:r w:rsidRPr="175FA130" w:rsidR="175FA130">
              <w:rPr>
                <w:rFonts w:ascii="Arial" w:hAnsi="Arial" w:eastAsia="Arial" w:cs="Arial"/>
                <w:b w:val="1"/>
                <w:bCs w:val="1"/>
                <w:sz w:val="20"/>
                <w:szCs w:val="20"/>
                <w:lang w:val="es-ES"/>
              </w:rPr>
              <w:t>Desarrollo del marco legal, normativo y operativo del SNS</w:t>
            </w:r>
          </w:p>
        </w:tc>
      </w:tr>
      <w:tr w:rsidRPr="000B08DE" w:rsidR="00D763D3" w:rsidTr="175FA130" w14:paraId="71333BF6" w14:textId="77777777">
        <w:trPr>
          <w:trHeight w:val="1007"/>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tcPr>
          <w:p w:rsidRPr="003930CD" w:rsidR="00D763D3" w:rsidP="175FA130" w:rsidRDefault="001F55B4" w14:paraId="163A057C" w14:textId="4D303C97" w14:noSpellErr="1">
            <w:pPr>
              <w:jc w:val="both"/>
              <w:rPr>
                <w:rFonts w:ascii="Arial" w:hAnsi="Arial" w:eastAsia="Arial" w:cs="Arial"/>
                <w:sz w:val="20"/>
                <w:szCs w:val="20"/>
                <w:lang w:val="es-ES"/>
              </w:rPr>
            </w:pPr>
            <w:r w:rsidRPr="175FA130" w:rsidR="175FA130">
              <w:rPr>
                <w:rFonts w:ascii="Arial" w:hAnsi="Arial" w:eastAsia="Arial" w:cs="Arial"/>
                <w:sz w:val="20"/>
                <w:szCs w:val="20"/>
                <w:lang w:val="es-ES"/>
              </w:rPr>
              <w:t xml:space="preserve">Propuesta de </w:t>
            </w:r>
            <w:r w:rsidRPr="175FA130" w:rsidR="175FA130">
              <w:rPr>
                <w:rFonts w:ascii="Arial" w:hAnsi="Arial" w:eastAsia="Arial" w:cs="Arial"/>
                <w:sz w:val="20"/>
                <w:szCs w:val="20"/>
                <w:lang w:val="es-ES"/>
              </w:rPr>
              <w:t>Ley del Sistema Nacional de Salud presentado al Congreso Nacional</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4AF11CBF"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1EE895CB"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5BC74E62" w14:textId="469C7BDE"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Oficio del envío de la Ley del Sistema Nacional de Salud al Congreso Nacional por pa</w:t>
            </w:r>
            <w:r w:rsidRPr="175FA130" w:rsidR="175FA130">
              <w:rPr>
                <w:rFonts w:ascii="Arial" w:hAnsi="Arial" w:eastAsia="Arial" w:cs="Arial"/>
                <w:sz w:val="20"/>
                <w:szCs w:val="20"/>
                <w:lang w:val="es-ES"/>
              </w:rPr>
              <w:t>rte de la Presidencia de la Repú</w:t>
            </w:r>
            <w:r w:rsidRPr="175FA130" w:rsidR="175FA130">
              <w:rPr>
                <w:rFonts w:ascii="Arial" w:hAnsi="Arial" w:eastAsia="Arial" w:cs="Arial"/>
                <w:sz w:val="20"/>
                <w:szCs w:val="20"/>
                <w:lang w:val="es-ES"/>
              </w:rPr>
              <w:t xml:space="preserve">blica </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0816E3F1" w14:textId="77777777">
            <w:pPr>
              <w:jc w:val="center"/>
              <w:rPr>
                <w:rFonts w:ascii="Arial" w:hAnsi="Arial" w:cs="Arial"/>
                <w:b/>
                <w:bCs/>
                <w:color w:val="000000"/>
                <w:sz w:val="20"/>
                <w:lang w:val="es-ES_tradnl" w:eastAsia="es-ES"/>
              </w:rPr>
            </w:pPr>
          </w:p>
        </w:tc>
      </w:tr>
      <w:tr w:rsidRPr="000B08DE" w:rsidR="00D763D3" w:rsidTr="175FA130" w14:paraId="0291BF6F"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55903B09" w14:textId="2147ED86" w14:noSpellErr="1">
            <w:pPr>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 xml:space="preserve">Modelo Nacional de Salud </w:t>
            </w:r>
            <w:r w:rsidRPr="175FA130" w:rsidR="175FA130">
              <w:rPr>
                <w:rFonts w:ascii="Arial" w:hAnsi="Arial" w:eastAsia="Arial" w:cs="Arial"/>
                <w:sz w:val="20"/>
                <w:szCs w:val="20"/>
                <w:lang w:val="es-ES"/>
              </w:rPr>
              <w:t xml:space="preserve">(MNS) </w:t>
            </w:r>
            <w:r w:rsidRPr="175FA130" w:rsidR="175FA130">
              <w:rPr>
                <w:rFonts w:ascii="Arial" w:hAnsi="Arial" w:eastAsia="Arial" w:cs="Arial"/>
                <w:sz w:val="20"/>
                <w:szCs w:val="20"/>
                <w:lang w:val="es-ES"/>
              </w:rPr>
              <w:t>actualizado y aprobado</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1935AD0D"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3B3C8AF6"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1CABE4E6" w14:textId="12CD0E21"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 xml:space="preserve">Decreto Ejecutivo en Consejo de Ministros aprobando el </w:t>
            </w:r>
            <w:r w:rsidRPr="175FA130" w:rsidR="175FA130">
              <w:rPr>
                <w:rFonts w:ascii="Arial" w:hAnsi="Arial" w:eastAsia="Arial" w:cs="Arial"/>
                <w:sz w:val="20"/>
                <w:szCs w:val="20"/>
                <w:lang w:val="es-ES"/>
              </w:rPr>
              <w:t>MNS</w:t>
            </w:r>
            <w:r w:rsidRPr="175FA130" w:rsidR="175FA130">
              <w:rPr>
                <w:rFonts w:ascii="Arial" w:hAnsi="Arial" w:eastAsia="Arial" w:cs="Arial"/>
                <w:sz w:val="20"/>
                <w:szCs w:val="20"/>
                <w:lang w:val="es-ES"/>
              </w:rPr>
              <w:t>.</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097903C1" w14:textId="77777777">
            <w:pPr>
              <w:jc w:val="center"/>
              <w:rPr>
                <w:rFonts w:ascii="Arial" w:hAnsi="Arial" w:cs="Arial"/>
                <w:b/>
                <w:bCs/>
                <w:color w:val="000000"/>
                <w:sz w:val="20"/>
                <w:lang w:val="es-ES_tradnl" w:eastAsia="es-ES"/>
              </w:rPr>
            </w:pPr>
          </w:p>
        </w:tc>
      </w:tr>
      <w:tr w:rsidRPr="000B08DE" w:rsidR="00D763D3" w:rsidTr="175FA130" w14:paraId="1F36B75C"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2C69C145" w14:textId="21AB453C" w14:noSpellErr="1">
            <w:pPr>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Estrategia Nacional de Calidad aprobada</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70283388"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514DD37A"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31B6DEE4" w14:textId="77777777"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Acuerdo Ministerial de la SESAL aprobando la Estrategia Nacional de Calidad</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4F919610" w14:textId="77777777">
            <w:pPr>
              <w:jc w:val="center"/>
              <w:rPr>
                <w:rFonts w:ascii="Arial" w:hAnsi="Arial" w:cs="Arial"/>
                <w:b/>
                <w:bCs/>
                <w:color w:val="000000"/>
                <w:sz w:val="20"/>
                <w:lang w:val="es-ES_tradnl" w:eastAsia="es-ES"/>
              </w:rPr>
            </w:pPr>
          </w:p>
        </w:tc>
      </w:tr>
      <w:tr w:rsidRPr="000B08DE" w:rsidR="00CC7C3A" w:rsidTr="175FA130" w14:paraId="11E5ECA3"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CC7C3A" w:rsidP="175FA130" w:rsidRDefault="00CC7C3A" w14:paraId="3D6FFE4A" w14:textId="3CB3EA54" w14:noSpellErr="1">
            <w:pPr>
              <w:jc w:val="both"/>
              <w:rPr>
                <w:rFonts w:ascii="Arial" w:hAnsi="Arial" w:eastAsia="Arial" w:cs="Arial"/>
                <w:sz w:val="20"/>
                <w:szCs w:val="20"/>
                <w:lang w:val="es-ES"/>
              </w:rPr>
            </w:pPr>
            <w:r w:rsidRPr="175FA130" w:rsidR="175FA130">
              <w:rPr>
                <w:rFonts w:ascii="Arial" w:hAnsi="Arial" w:eastAsia="Arial" w:cs="Arial"/>
                <w:sz w:val="20"/>
                <w:szCs w:val="20"/>
                <w:lang w:val="es-ES"/>
              </w:rPr>
              <w:t>Conjunto Garantizado de Prestaciones de Salud (CGSS) definido y aprobado</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0C7B2CFC" w14:textId="5D316C6F">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6C7979B0" w14:textId="4C19C8F2">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0B3E5358" w14:textId="143ED7F7" w14:noSpellErr="1">
            <w:pPr>
              <w:rPr>
                <w:rFonts w:ascii="Arial" w:hAnsi="Arial" w:eastAsia="Arial" w:cs="Arial"/>
                <w:sz w:val="20"/>
                <w:szCs w:val="20"/>
                <w:lang w:val="es-ES"/>
              </w:rPr>
            </w:pPr>
            <w:r w:rsidRPr="175FA130" w:rsidR="175FA130">
              <w:rPr>
                <w:rFonts w:ascii="Arial" w:hAnsi="Arial" w:eastAsia="Arial" w:cs="Arial"/>
                <w:sz w:val="20"/>
                <w:szCs w:val="20"/>
                <w:lang w:val="es-ES"/>
              </w:rPr>
              <w:t>Acuerdo Ministerial de la SESAL aprobando el CGSS</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008C4A6B" w:rsidRDefault="00CC7C3A" w14:paraId="71101AED" w14:textId="77777777">
            <w:pPr>
              <w:jc w:val="center"/>
              <w:rPr>
                <w:rFonts w:ascii="Arial" w:hAnsi="Arial" w:cs="Arial"/>
                <w:b/>
                <w:bCs/>
                <w:color w:val="000000"/>
                <w:sz w:val="20"/>
                <w:lang w:val="es-ES_tradnl" w:eastAsia="es-ES"/>
              </w:rPr>
            </w:pPr>
          </w:p>
        </w:tc>
      </w:tr>
      <w:tr w:rsidRPr="000B08DE" w:rsidR="00CC7C3A" w:rsidTr="175FA130" w14:paraId="35619B58"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CC7C3A" w:rsidP="175FA130" w:rsidRDefault="00CC7C3A" w14:paraId="04988DA1" w14:textId="0182816A" w14:noSpellErr="1">
            <w:pPr>
              <w:jc w:val="both"/>
              <w:rPr>
                <w:rFonts w:ascii="Arial" w:hAnsi="Arial" w:eastAsia="Arial" w:cs="Arial"/>
                <w:sz w:val="20"/>
                <w:szCs w:val="20"/>
                <w:lang w:val="es-ES"/>
              </w:rPr>
            </w:pPr>
            <w:r w:rsidRPr="175FA130" w:rsidR="175FA130">
              <w:rPr>
                <w:rFonts w:ascii="Arial" w:hAnsi="Arial" w:eastAsia="Arial" w:cs="Arial"/>
                <w:sz w:val="20"/>
                <w:szCs w:val="20"/>
                <w:lang w:val="es-ES"/>
              </w:rPr>
              <w:t>Reglamentación conteniendo los estándares de habilitación de los establecimientos de salud en base a la nueva tipificación de establecimientos de salud aprobada.</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6B7E198D" w14:textId="0A6F1292">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5FA71BAD" w14:textId="622830B8">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175FA130" w:rsidRDefault="00CC7C3A" w14:paraId="28DD9371" w14:textId="2BD37501" w14:noSpellErr="1">
            <w:pPr>
              <w:rPr>
                <w:rFonts w:ascii="Arial" w:hAnsi="Arial" w:eastAsia="Arial" w:cs="Arial"/>
                <w:sz w:val="20"/>
                <w:szCs w:val="20"/>
                <w:lang w:val="es-ES"/>
              </w:rPr>
            </w:pPr>
            <w:r w:rsidRPr="175FA130" w:rsidR="175FA130">
              <w:rPr>
                <w:rFonts w:ascii="Arial" w:hAnsi="Arial" w:eastAsia="Arial" w:cs="Arial"/>
                <w:sz w:val="20"/>
                <w:szCs w:val="20"/>
                <w:lang w:val="es-ES"/>
              </w:rPr>
              <w:t>Acuerdo Ministerial de la SESAL aprobando la reglamentación de estándares de habilitación de establecimientos de salud</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CC7C3A" w:rsidP="008C4A6B" w:rsidRDefault="00CC7C3A" w14:paraId="576E167D" w14:textId="77777777">
            <w:pPr>
              <w:jc w:val="center"/>
              <w:rPr>
                <w:rFonts w:ascii="Arial" w:hAnsi="Arial" w:cs="Arial"/>
                <w:b/>
                <w:bCs/>
                <w:color w:val="000000"/>
                <w:sz w:val="20"/>
                <w:lang w:val="es-ES_tradnl" w:eastAsia="es-ES"/>
              </w:rPr>
            </w:pPr>
          </w:p>
        </w:tc>
      </w:tr>
      <w:tr w:rsidRPr="003930CD" w:rsidR="00D763D3" w:rsidTr="175FA130" w14:paraId="5552012E" w14:textId="77777777">
        <w:trPr>
          <w:trHeight w:val="332"/>
          <w:tblHeader/>
        </w:trPr>
        <w:tc>
          <w:tcPr>
            <w:tcW w:w="12940" w:type="dxa"/>
            <w:gridSpan w:val="5"/>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3930CD" w:rsidR="00D763D3" w:rsidP="175FA130" w:rsidRDefault="4EAF959F" w14:paraId="11250C35" w14:textId="77777777"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Componente 3: Gestión Descentralizada</w:t>
            </w:r>
          </w:p>
        </w:tc>
      </w:tr>
      <w:tr w:rsidRPr="000B08DE" w:rsidR="00D763D3" w:rsidTr="175FA130" w14:paraId="6910A282"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460416D4" w14:textId="77777777" w14:noSpellErr="1">
            <w:pPr>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Plan Estratégico para el fortalecimiento y expansión aprobado</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25ECAA0B"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03443879"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6B373094" w14:textId="77777777"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Acuerdo Ministerial de la SESAL aprobando el Plan Estratégico para el Fortalecimiento y Expansión del MGD</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3F4F8791" w14:textId="77777777">
            <w:pPr>
              <w:jc w:val="center"/>
              <w:rPr>
                <w:rFonts w:ascii="Arial" w:hAnsi="Arial" w:cs="Arial"/>
                <w:b/>
                <w:bCs/>
                <w:color w:val="000000"/>
                <w:sz w:val="20"/>
                <w:lang w:val="es-ES_tradnl" w:eastAsia="es-ES"/>
              </w:rPr>
            </w:pPr>
          </w:p>
        </w:tc>
      </w:tr>
      <w:tr w:rsidRPr="000B08DE" w:rsidR="00D763D3" w:rsidTr="175FA130" w14:paraId="3ADFE251"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3E375774" w14:textId="7D59E30D" w14:noSpellErr="1">
            <w:pPr>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 xml:space="preserve">Reglamentación para la certificación de Gestores </w:t>
            </w:r>
            <w:r w:rsidRPr="175FA130" w:rsidR="175FA130">
              <w:rPr>
                <w:rFonts w:ascii="Arial" w:hAnsi="Arial" w:eastAsia="Arial" w:cs="Arial"/>
                <w:sz w:val="20"/>
                <w:szCs w:val="20"/>
                <w:lang w:val="es-ES"/>
              </w:rPr>
              <w:t xml:space="preserve">que brindan servicios de salud </w:t>
            </w:r>
            <w:r w:rsidRPr="175FA130" w:rsidR="175FA130">
              <w:rPr>
                <w:rFonts w:ascii="Arial" w:hAnsi="Arial" w:eastAsia="Arial" w:cs="Arial"/>
                <w:sz w:val="20"/>
                <w:szCs w:val="20"/>
                <w:lang w:val="es-ES"/>
              </w:rPr>
              <w:t>de primer y segundo nivel aprobado</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6C22CB23"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0DD8014B"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32B64C39" w14:textId="77777777" w14:noSpellErr="1">
            <w:pP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Acuerdo Ministerial de la SESAL aprobando el reglamento de Certificación de Gestores</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16970678" w14:textId="77777777">
            <w:pPr>
              <w:jc w:val="center"/>
              <w:rPr>
                <w:rFonts w:ascii="Arial" w:hAnsi="Arial" w:cs="Arial"/>
                <w:b/>
                <w:bCs/>
                <w:color w:val="000000"/>
                <w:sz w:val="20"/>
                <w:lang w:val="es-ES_tradnl" w:eastAsia="es-ES"/>
              </w:rPr>
            </w:pPr>
          </w:p>
        </w:tc>
      </w:tr>
      <w:tr w:rsidRPr="000B08DE" w:rsidR="00D763D3" w:rsidTr="175FA130" w14:paraId="760FDFBE" w14:textId="77777777">
        <w:trPr>
          <w:trHeight w:val="278"/>
          <w:tblHeader/>
        </w:trPr>
        <w:tc>
          <w:tcPr>
            <w:tcW w:w="12940" w:type="dxa"/>
            <w:gridSpan w:val="5"/>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3930CD" w:rsidR="00D763D3" w:rsidP="175FA130" w:rsidRDefault="4EAF959F" w14:paraId="0A04D299" w14:textId="1CC57C07" w14:noSpellErr="1">
            <w:pPr>
              <w:keepNext/>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 xml:space="preserve">Componente 4: </w:t>
            </w:r>
            <w:r w:rsidRPr="175FA130" w:rsidR="175FA130">
              <w:rPr>
                <w:rFonts w:ascii="Arial" w:hAnsi="Arial" w:eastAsia="Arial" w:cs="Arial"/>
                <w:b w:val="1"/>
                <w:bCs w:val="1"/>
                <w:color w:val="000000" w:themeColor="text1" w:themeTint="FF" w:themeShade="FF"/>
                <w:sz w:val="20"/>
                <w:szCs w:val="20"/>
                <w:lang w:val="es-ES" w:eastAsia="es-ES"/>
              </w:rPr>
              <w:t>Mejora en la Eficiencia del Gasto Público del Sistema de Salud</w:t>
            </w:r>
          </w:p>
        </w:tc>
      </w:tr>
      <w:tr w:rsidRPr="000B08DE" w:rsidR="00D763D3" w:rsidTr="175FA130" w14:paraId="636F5A27"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5A0763A6" w14:textId="77777777" w14:noSpellErr="1">
            <w:pPr>
              <w:keepNext/>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Propuesta de los criterios asignación per cápita del presupuesto para la provisión de servicios de primer nivel elaborada</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6886B93C" w14:textId="77777777">
            <w:pPr>
              <w:keepNext/>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137D1C26" w14:textId="77777777">
            <w:pPr>
              <w:keepNext/>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006B6FF7" w14:paraId="3CE46F39" w14:textId="0ACA5C26" w14:noSpellErr="1">
            <w:pPr>
              <w:keepNext/>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Propuesta aprobada por Secretarí</w:t>
            </w:r>
            <w:r w:rsidRPr="175FA130" w:rsidR="175FA130">
              <w:rPr>
                <w:rFonts w:ascii="Arial" w:hAnsi="Arial" w:eastAsia="Arial" w:cs="Arial"/>
                <w:sz w:val="20"/>
                <w:szCs w:val="20"/>
                <w:lang w:val="es-ES"/>
              </w:rPr>
              <w:t>a de</w:t>
            </w:r>
            <w:r w:rsidRPr="175FA130" w:rsidR="175FA130">
              <w:rPr>
                <w:rFonts w:ascii="Arial" w:hAnsi="Arial" w:eastAsia="Arial" w:cs="Arial"/>
                <w:sz w:val="20"/>
                <w:szCs w:val="20"/>
                <w:lang w:val="es-ES"/>
              </w:rPr>
              <w:t xml:space="preserve"> Estado en el Despacho de Salud</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5167D7" w:rsidRDefault="00D763D3" w14:paraId="228BACC2" w14:textId="77777777">
            <w:pPr>
              <w:keepNext/>
              <w:jc w:val="center"/>
              <w:rPr>
                <w:rFonts w:ascii="Arial" w:hAnsi="Arial" w:cs="Arial"/>
                <w:b/>
                <w:bCs/>
                <w:color w:val="000000"/>
                <w:sz w:val="20"/>
                <w:lang w:val="es-ES_tradnl" w:eastAsia="es-ES"/>
              </w:rPr>
            </w:pPr>
          </w:p>
        </w:tc>
      </w:tr>
      <w:tr w:rsidRPr="000B08DE" w:rsidR="00D763D3" w:rsidTr="175FA130" w14:paraId="1A321096" w14:textId="77777777">
        <w:trPr>
          <w:trHeight w:val="579"/>
          <w:tblHeader/>
        </w:trPr>
        <w:tc>
          <w:tcPr>
            <w:tcW w:w="464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001F55B4" w14:paraId="41E2758A" w14:textId="42F13C0B" w14:noSpellErr="1">
            <w:pPr>
              <w:jc w:val="both"/>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sz w:val="20"/>
                <w:szCs w:val="20"/>
                <w:lang w:val="es-ES"/>
              </w:rPr>
              <w:t>Firma para el diseño del sistema de gestión y control de Recursos Humanos de la SESAL contratada</w:t>
            </w:r>
          </w:p>
        </w:tc>
        <w:tc>
          <w:tcPr>
            <w:tcW w:w="1317"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27C41423"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0</w:t>
            </w:r>
          </w:p>
        </w:tc>
        <w:tc>
          <w:tcPr>
            <w:tcW w:w="129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284556DC" w14:textId="77777777">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1</w:t>
            </w:r>
          </w:p>
        </w:tc>
        <w:tc>
          <w:tcPr>
            <w:tcW w:w="3975"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40A99EAD" w14:textId="2A32B8B1" w14:noSpellErr="1">
            <w:pPr>
              <w:jc w:val="both"/>
              <w:rPr>
                <w:rFonts w:ascii="Arial" w:hAnsi="Arial" w:eastAsia="Arial" w:cs="Arial"/>
                <w:sz w:val="20"/>
                <w:szCs w:val="20"/>
                <w:lang w:val="es-ES"/>
              </w:rPr>
            </w:pPr>
            <w:r w:rsidRPr="175FA130" w:rsidR="175FA130">
              <w:rPr>
                <w:rFonts w:ascii="Arial" w:hAnsi="Arial" w:eastAsia="Arial" w:cs="Arial"/>
                <w:sz w:val="20"/>
                <w:szCs w:val="20"/>
                <w:lang w:val="es-ES"/>
              </w:rPr>
              <w:t xml:space="preserve">Contrato con la firma para el diseño del sistema de gestión y control de </w:t>
            </w:r>
            <w:r w:rsidRPr="175FA130" w:rsidR="175FA130">
              <w:rPr>
                <w:rFonts w:ascii="Arial" w:hAnsi="Arial" w:eastAsia="Arial" w:cs="Arial"/>
                <w:sz w:val="20"/>
                <w:szCs w:val="20"/>
                <w:lang w:val="es-ES"/>
              </w:rPr>
              <w:t>RRHH</w:t>
            </w:r>
            <w:r w:rsidRPr="175FA130" w:rsidR="175FA130">
              <w:rPr>
                <w:rFonts w:ascii="Arial" w:hAnsi="Arial" w:eastAsia="Arial" w:cs="Arial"/>
                <w:sz w:val="20"/>
                <w:szCs w:val="20"/>
                <w:lang w:val="es-ES"/>
              </w:rPr>
              <w:t xml:space="preserve"> de la SESAL</w:t>
            </w:r>
          </w:p>
        </w:tc>
        <w:tc>
          <w:tcPr>
            <w:tcW w:w="171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008C4A6B" w:rsidRDefault="00D763D3" w14:paraId="46392AF7" w14:textId="77777777">
            <w:pPr>
              <w:jc w:val="center"/>
              <w:rPr>
                <w:rFonts w:ascii="Arial" w:hAnsi="Arial" w:cs="Arial"/>
                <w:b/>
                <w:bCs/>
                <w:color w:val="000000"/>
                <w:sz w:val="20"/>
                <w:lang w:val="es-ES_tradnl" w:eastAsia="es-ES"/>
              </w:rPr>
            </w:pPr>
          </w:p>
        </w:tc>
      </w:tr>
    </w:tbl>
    <w:p w:rsidRPr="003930CD" w:rsidR="00D763D3" w:rsidP="00D763D3" w:rsidRDefault="00D763D3" w14:paraId="0DB30F94" w14:textId="77777777">
      <w:pPr>
        <w:pStyle w:val="Subtitle"/>
        <w:rPr>
          <w:rFonts w:ascii="Arial" w:hAnsi="Arial" w:cs="Arial"/>
          <w:sz w:val="22"/>
          <w:szCs w:val="22"/>
          <w:lang w:val="es-ES_tradnl"/>
        </w:rPr>
      </w:pPr>
    </w:p>
    <w:p w:rsidRPr="003930CD" w:rsidR="003C28B2" w:rsidP="00D763D3" w:rsidRDefault="003C28B2" w14:paraId="62B3BC91" w14:textId="0A9E3A0A">
      <w:pPr>
        <w:pStyle w:val="Paragraph"/>
        <w:numPr>
          <w:ilvl w:val="0"/>
          <w:numId w:val="0"/>
        </w:numPr>
        <w:ind w:left="720"/>
        <w:jc w:val="center"/>
        <w:rPr>
          <w:rFonts w:ascii="Arial" w:hAnsi="Arial" w:cs="Arial"/>
          <w:sz w:val="20"/>
          <w:lang w:val="es-ES_tradnl"/>
        </w:rPr>
      </w:pPr>
    </w:p>
    <w:p w:rsidRPr="003930CD" w:rsidR="00151125" w:rsidP="002E659B" w:rsidRDefault="00151125" w14:paraId="245604B5" w14:textId="77777777">
      <w:pPr>
        <w:pStyle w:val="FirstHeading"/>
        <w:keepNext w:val="0"/>
        <w:numPr>
          <w:ilvl w:val="0"/>
          <w:numId w:val="0"/>
        </w:numPr>
        <w:rPr>
          <w:rFonts w:ascii="Arial" w:hAnsi="Arial" w:cs="Arial"/>
          <w:sz w:val="20"/>
          <w:lang w:val="es-ES_tradnl"/>
        </w:rPr>
        <w:sectPr w:rsidRPr="003930CD" w:rsidR="00151125" w:rsidSect="00151125">
          <w:pgSz w:w="15840" w:h="12240" w:orient="landscape" w:code="1"/>
          <w:pgMar w:top="1440" w:right="1440" w:bottom="1800" w:left="1440" w:header="706" w:footer="706" w:gutter="0"/>
          <w:cols w:space="720"/>
          <w:formProt w:val="0"/>
          <w:titlePg/>
          <w:docGrid w:linePitch="326"/>
        </w:sectPr>
      </w:pPr>
    </w:p>
    <w:p w:rsidRPr="003930CD" w:rsidR="000742F0" w:rsidP="175FA130" w:rsidRDefault="4EAF959F" w14:paraId="12FF5B2A" w14:textId="3D72DC1A" w14:noSpellErr="1">
      <w:pPr>
        <w:pStyle w:val="Paragraph"/>
        <w:numPr>
          <w:ilvl w:val="1"/>
          <w:numId w:val="13"/>
        </w:numPr>
        <w:ind w:left="763"/>
        <w:rPr>
          <w:rFonts w:ascii="Arial" w:hAnsi="Arial" w:eastAsia="Arial" w:cs="Arial"/>
          <w:color w:val="000000" w:themeColor="text1" w:themeTint="FF" w:themeShade="FF"/>
          <w:sz w:val="22"/>
          <w:szCs w:val="22"/>
          <w:lang w:val="es-ES"/>
        </w:rPr>
      </w:pPr>
      <w:r w:rsidRPr="175FA130" w:rsidR="175FA130">
        <w:rPr>
          <w:rFonts w:ascii="Arial" w:hAnsi="Arial" w:eastAsia="Arial" w:cs="Arial"/>
          <w:color w:val="000000" w:themeColor="text1" w:themeTint="FF" w:themeShade="FF"/>
          <w:sz w:val="22"/>
          <w:szCs w:val="22"/>
          <w:lang w:val="es-ES"/>
        </w:rPr>
        <w:t>Como en el caso de todos los préstamos programáticos (PBP, PBL), el presupuesto para las actividades de monitoreo está incluido por el pre</w:t>
      </w:r>
      <w:r w:rsidRPr="175FA130" w:rsidR="175FA130">
        <w:rPr>
          <w:rFonts w:ascii="Arial" w:hAnsi="Arial" w:eastAsia="Arial" w:cs="Arial"/>
          <w:color w:val="000000" w:themeColor="text1" w:themeTint="FF" w:themeShade="FF"/>
          <w:sz w:val="22"/>
          <w:szCs w:val="22"/>
          <w:lang w:val="es-ES"/>
        </w:rPr>
        <w:t xml:space="preserve">supuesto regular de la </w:t>
      </w:r>
      <w:r w:rsidRPr="175FA130" w:rsidR="175FA130">
        <w:rPr>
          <w:rFonts w:ascii="Arial" w:hAnsi="Arial" w:eastAsia="Arial" w:cs="Arial"/>
          <w:color w:val="000000" w:themeColor="text1" w:themeTint="FF" w:themeShade="FF"/>
          <w:sz w:val="22"/>
          <w:szCs w:val="22"/>
          <w:lang w:val="es-ES"/>
        </w:rPr>
        <w:t>SESAL</w:t>
      </w:r>
      <w:r w:rsidRPr="175FA130" w:rsidR="175FA130">
        <w:rPr>
          <w:rFonts w:ascii="Arial" w:hAnsi="Arial" w:eastAsia="Arial" w:cs="Arial"/>
          <w:color w:val="000000" w:themeColor="text1" w:themeTint="FF" w:themeShade="FF"/>
          <w:sz w:val="22"/>
          <w:szCs w:val="22"/>
          <w:lang w:val="es-ES"/>
        </w:rPr>
        <w:t xml:space="preserve"> y de parte del BID con presupuesto de supervisión de la operación. La información para dar seguimiento a los indicadores de la matriz de resultados es información que es generada en el país de forma rutinaria.</w:t>
      </w:r>
    </w:p>
    <w:p w:rsidRPr="003930CD" w:rsidR="000742F0" w:rsidP="175FA130" w:rsidRDefault="4EAF959F" w14:paraId="695911B4" w14:textId="0228FFB9" w14:noSpellErr="1">
      <w:pPr>
        <w:pStyle w:val="Paragraph"/>
        <w:numPr>
          <w:ilvl w:val="1"/>
          <w:numId w:val="13"/>
        </w:numPr>
        <w:ind w:left="763"/>
        <w:rPr>
          <w:rFonts w:ascii="Arial" w:hAnsi="Arial" w:eastAsia="Arial" w:cs="Arial"/>
          <w:color w:val="000000" w:themeColor="text1" w:themeTint="FF" w:themeShade="FF"/>
          <w:sz w:val="22"/>
          <w:szCs w:val="22"/>
          <w:lang w:val="es-ES"/>
        </w:rPr>
      </w:pPr>
      <w:r w:rsidRPr="175FA130" w:rsidR="175FA130">
        <w:rPr>
          <w:rFonts w:ascii="Arial" w:hAnsi="Arial" w:eastAsia="Arial" w:cs="Arial"/>
          <w:color w:val="000000" w:themeColor="text1" w:themeTint="FF" w:themeShade="FF"/>
          <w:sz w:val="22"/>
          <w:szCs w:val="22"/>
          <w:lang w:val="es-ES"/>
        </w:rPr>
        <w:t>Para el seguimiento del programa se utiliza la verificación de las medidas de política acordadas como condiciones, que aparecen como productos en la Matriz de Resultados. Las fuentes de información incluyen informació</w:t>
      </w:r>
      <w:r w:rsidRPr="175FA130" w:rsidR="175FA130">
        <w:rPr>
          <w:rFonts w:ascii="Arial" w:hAnsi="Arial" w:eastAsia="Arial" w:cs="Arial"/>
          <w:color w:val="000000" w:themeColor="text1" w:themeTint="FF" w:themeShade="FF"/>
          <w:sz w:val="22"/>
          <w:szCs w:val="22"/>
          <w:lang w:val="es-ES"/>
        </w:rPr>
        <w:t xml:space="preserve">n proporcionada por la </w:t>
      </w:r>
      <w:r w:rsidRPr="175FA130" w:rsidR="175FA130">
        <w:rPr>
          <w:rFonts w:ascii="Arial" w:hAnsi="Arial" w:eastAsia="Arial" w:cs="Arial"/>
          <w:color w:val="000000" w:themeColor="text1" w:themeTint="FF" w:themeShade="FF"/>
          <w:sz w:val="22"/>
          <w:szCs w:val="22"/>
          <w:lang w:val="es-ES"/>
        </w:rPr>
        <w:t>SESAL</w:t>
      </w:r>
      <w:r w:rsidRPr="175FA130" w:rsidR="175FA130">
        <w:rPr>
          <w:rFonts w:ascii="Arial" w:hAnsi="Arial" w:eastAsia="Arial" w:cs="Arial"/>
          <w:color w:val="000000" w:themeColor="text1" w:themeTint="FF" w:themeShade="FF"/>
          <w:sz w:val="22"/>
          <w:szCs w:val="22"/>
          <w:lang w:val="es-ES"/>
        </w:rPr>
        <w:t>.</w:t>
      </w:r>
    </w:p>
    <w:p w:rsidRPr="003930CD" w:rsidR="00ED7AD7" w:rsidP="175FA130" w:rsidRDefault="4EAF959F" w14:paraId="1909101E" w14:textId="77777777" w14:noSpellErr="1">
      <w:pPr>
        <w:pStyle w:val="Paragraph"/>
        <w:numPr>
          <w:ilvl w:val="1"/>
          <w:numId w:val="13"/>
        </w:numPr>
        <w:spacing w:after="240"/>
        <w:ind w:left="763"/>
        <w:rPr>
          <w:rFonts w:ascii="Arial" w:hAnsi="Arial" w:eastAsia="Arial" w:cs="Arial"/>
          <w:sz w:val="20"/>
          <w:szCs w:val="20"/>
          <w:lang w:val="es-ES"/>
        </w:rPr>
      </w:pPr>
      <w:r w:rsidRPr="175FA130" w:rsidR="175FA130">
        <w:rPr>
          <w:rFonts w:ascii="Arial" w:hAnsi="Arial" w:eastAsia="Arial" w:cs="Arial"/>
          <w:color w:val="000000" w:themeColor="text1" w:themeTint="FF" w:themeShade="FF"/>
          <w:sz w:val="22"/>
          <w:szCs w:val="22"/>
          <w:lang w:val="es-ES"/>
        </w:rPr>
        <w:t xml:space="preserve">El presupuesto indicativo para la supervisión del préstamo se detalla en la Tabla 1, y contempla tres misiones de administración durante la vida del proyecto y reuniones periódicas del equipo e proyecto en el país para el monitoreo de progreso en el cumplimiento de condiciones. </w:t>
      </w:r>
    </w:p>
    <w:p w:rsidRPr="003930CD" w:rsidR="005307A3" w:rsidP="175FA130" w:rsidRDefault="4EAF959F" w14:paraId="0BBC0DB1" w14:textId="77777777" w14:noSpellErr="1">
      <w:pPr>
        <w:pStyle w:val="Paragraph"/>
        <w:numPr>
          <w:numId w:val="0"/>
        </w:numPr>
        <w:spacing w:before="0" w:after="0"/>
        <w:ind w:left="450" w:firstLine="90"/>
        <w:jc w:val="center"/>
        <w:rPr>
          <w:rFonts w:ascii="Arial" w:hAnsi="Arial" w:eastAsia="Arial" w:cs="Arial"/>
          <w:b w:val="1"/>
          <w:bCs w:val="1"/>
          <w:sz w:val="20"/>
          <w:szCs w:val="20"/>
          <w:lang w:val="es-ES"/>
        </w:rPr>
      </w:pPr>
      <w:r w:rsidRPr="175FA130" w:rsidR="175FA130">
        <w:rPr>
          <w:rFonts w:ascii="Arial" w:hAnsi="Arial" w:eastAsia="Arial" w:cs="Arial"/>
          <w:b w:val="1"/>
          <w:bCs w:val="1"/>
          <w:sz w:val="20"/>
          <w:szCs w:val="20"/>
          <w:lang w:val="es-ES"/>
        </w:rPr>
        <w:t>Tabla II.B Cronograma y Costos para el monitoreo de cumplimiento de condiciones</w:t>
      </w:r>
    </w:p>
    <w:tbl>
      <w:tblPr>
        <w:tblW w:w="9576" w:type="dxa"/>
        <w:jc w:val="center"/>
        <w:tblLook w:val="04A0" w:firstRow="1" w:lastRow="0" w:firstColumn="1" w:lastColumn="0" w:noHBand="0" w:noVBand="1"/>
      </w:tblPr>
      <w:tblGrid>
        <w:gridCol w:w="1323"/>
        <w:gridCol w:w="267"/>
        <w:gridCol w:w="317"/>
        <w:gridCol w:w="367"/>
        <w:gridCol w:w="387"/>
        <w:gridCol w:w="280"/>
        <w:gridCol w:w="337"/>
        <w:gridCol w:w="648"/>
        <w:gridCol w:w="668"/>
        <w:gridCol w:w="267"/>
        <w:gridCol w:w="317"/>
        <w:gridCol w:w="367"/>
        <w:gridCol w:w="387"/>
        <w:gridCol w:w="1337"/>
        <w:gridCol w:w="767"/>
        <w:gridCol w:w="1540"/>
      </w:tblGrid>
      <w:tr w:rsidRPr="003930CD" w:rsidR="00F0001D" w:rsidTr="175FA130" w14:paraId="2B56FEAC" w14:textId="77777777">
        <w:trPr>
          <w:trHeight w:val="300"/>
          <w:jc w:val="center"/>
        </w:trPr>
        <w:tc>
          <w:tcPr>
            <w:tcW w:w="1326" w:type="dxa"/>
            <w:vMerge w:val="restart"/>
            <w:tcBorders>
              <w:top w:val="single" w:color="auto" w:sz="8" w:space="0"/>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3930CD" w:rsidR="00F0001D" w:rsidP="175FA130" w:rsidRDefault="00F0001D" w14:paraId="4865FB05" w14:textId="77777777" w14:noSpellErr="1">
            <w:pPr>
              <w:jc w:val="center"/>
              <w:rPr>
                <w:rFonts w:ascii="Arial" w:hAnsi="Arial" w:eastAsia="Arial" w:cs="Arial"/>
                <w:b w:val="1"/>
                <w:bCs w:val="1"/>
                <w:color w:val="000000" w:themeColor="text1" w:themeTint="FF" w:themeShade="FF"/>
                <w:sz w:val="18"/>
                <w:szCs w:val="18"/>
                <w:lang w:val="es-ES"/>
              </w:rPr>
            </w:pPr>
            <w:bookmarkStart w:name="_Toc418014003" w:id="21"/>
            <w:r w:rsidRPr="175FA130">
              <w:rPr>
                <w:rFonts w:ascii="Arial" w:hAnsi="Arial" w:eastAsia="Arial" w:cs="Arial"/>
                <w:b w:val="1"/>
                <w:bCs w:val="1"/>
                <w:color w:val="000000"/>
                <w:sz w:val="18"/>
                <w:szCs w:val="18"/>
                <w:lang w:val="es-ES"/>
              </w:rPr>
              <w:t>Actividades</w:t>
            </w:r>
          </w:p>
        </w:tc>
        <w:tc>
          <w:tcPr>
            <w:tcW w:w="1338" w:type="dxa"/>
            <w:gridSpan w:val="4"/>
            <w:vMerge w:val="restart"/>
            <w:tcBorders>
              <w:top w:val="single" w:color="auto" w:sz="8" w:space="0"/>
              <w:left w:val="single" w:color="auto" w:sz="8" w:space="0"/>
              <w:bottom w:val="nil"/>
              <w:right w:val="single" w:color="000000" w:themeColor="text1" w:sz="8" w:space="0"/>
            </w:tcBorders>
            <w:shd w:val="clear" w:color="auto" w:fill="95B3D7" w:themeFill="accent1" w:themeFillTint="99"/>
            <w:tcMar/>
            <w:vAlign w:val="center"/>
            <w:hideMark/>
          </w:tcPr>
          <w:p w:rsidRPr="003930CD" w:rsidR="00F0001D" w:rsidP="175FA130" w:rsidRDefault="00F0001D" w14:paraId="0B5BBFBE" w14:textId="77777777">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2017</w:t>
            </w:r>
          </w:p>
        </w:tc>
        <w:tc>
          <w:tcPr>
            <w:tcW w:w="1969" w:type="dxa"/>
            <w:gridSpan w:val="4"/>
            <w:vMerge w:val="restart"/>
            <w:tcBorders>
              <w:top w:val="single" w:color="auto" w:sz="8" w:space="0"/>
              <w:left w:val="single" w:color="auto" w:sz="8" w:space="0"/>
              <w:right w:val="single" w:color="auto" w:sz="8" w:space="0"/>
            </w:tcBorders>
            <w:shd w:val="clear" w:color="auto" w:fill="95B3D7" w:themeFill="accent1" w:themeFillTint="99"/>
            <w:tcMar/>
            <w:vAlign w:val="center"/>
            <w:hideMark/>
          </w:tcPr>
          <w:p w:rsidRPr="003930CD" w:rsidR="00F0001D" w:rsidP="175FA130" w:rsidRDefault="00F0001D" w14:paraId="1F928F83" w14:textId="6C169B68">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2018</w:t>
            </w:r>
          </w:p>
        </w:tc>
        <w:tc>
          <w:tcPr>
            <w:tcW w:w="1338" w:type="dxa"/>
            <w:gridSpan w:val="4"/>
            <w:vMerge w:val="restart"/>
            <w:tcBorders>
              <w:top w:val="single" w:color="auto" w:sz="8" w:space="0"/>
              <w:left w:val="single" w:color="auto" w:sz="8" w:space="0"/>
              <w:right w:val="single" w:color="auto" w:sz="8" w:space="0"/>
            </w:tcBorders>
            <w:shd w:val="clear" w:color="auto" w:fill="95B3D7" w:themeFill="accent1" w:themeFillTint="99"/>
            <w:tcMar/>
          </w:tcPr>
          <w:p w:rsidRPr="003930CD" w:rsidR="00F0001D" w:rsidP="175FA130" w:rsidRDefault="00F0001D" w14:paraId="65A14AC4" w14:textId="174DD289">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2019</w:t>
            </w:r>
          </w:p>
        </w:tc>
        <w:tc>
          <w:tcPr>
            <w:tcW w:w="1337" w:type="dxa"/>
            <w:vMerge w:val="restart"/>
            <w:tcBorders>
              <w:top w:val="single" w:color="auto" w:sz="8" w:space="0"/>
              <w:left w:val="single" w:color="auto" w:sz="8" w:space="0"/>
              <w:bottom w:val="single" w:color="000000" w:themeColor="text1" w:sz="8" w:space="0"/>
              <w:right w:val="single" w:color="auto" w:sz="8" w:space="0"/>
            </w:tcBorders>
            <w:shd w:val="clear" w:color="auto" w:fill="95B3D7" w:themeFill="accent1" w:themeFillTint="99"/>
            <w:noWrap/>
            <w:tcMar/>
            <w:vAlign w:val="center"/>
            <w:hideMark/>
          </w:tcPr>
          <w:p w:rsidRPr="003930CD" w:rsidR="00F0001D" w:rsidP="175FA130" w:rsidRDefault="00F0001D" w14:paraId="3EA5E7CB" w14:textId="47F6E44D" w14:noSpellErr="1">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Responsable</w:t>
            </w:r>
          </w:p>
        </w:tc>
        <w:tc>
          <w:tcPr>
            <w:tcW w:w="728" w:type="dxa"/>
            <w:tcBorders>
              <w:top w:val="single" w:color="auto" w:sz="8" w:space="0"/>
              <w:left w:val="nil"/>
              <w:bottom w:val="nil"/>
              <w:right w:val="nil"/>
            </w:tcBorders>
            <w:shd w:val="clear" w:color="auto" w:fill="95B3D7" w:themeFill="accent1" w:themeFillTint="99"/>
            <w:tcMar/>
            <w:vAlign w:val="center"/>
            <w:hideMark/>
          </w:tcPr>
          <w:p w:rsidRPr="003930CD" w:rsidR="00F0001D" w:rsidP="175FA130" w:rsidRDefault="00F0001D" w14:paraId="7DBA1EC0" w14:textId="77777777" w14:noSpellErr="1">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Costo</w:t>
            </w:r>
          </w:p>
        </w:tc>
        <w:tc>
          <w:tcPr>
            <w:tcW w:w="1540" w:type="dxa"/>
            <w:vMerge w:val="restart"/>
            <w:tcBorders>
              <w:top w:val="single" w:color="auto" w:sz="8" w:space="0"/>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3930CD" w:rsidR="00F0001D" w:rsidP="175FA130" w:rsidRDefault="00F0001D" w14:paraId="683A9AF1" w14:textId="77777777" w14:noSpellErr="1">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Fuente de Financiamiento</w:t>
            </w:r>
          </w:p>
        </w:tc>
      </w:tr>
      <w:tr w:rsidRPr="003930CD" w:rsidR="00F0001D" w:rsidTr="175FA130" w14:paraId="357B04C5" w14:textId="77777777">
        <w:trPr>
          <w:trHeight w:val="315"/>
          <w:jc w:val="center"/>
        </w:trPr>
        <w:tc>
          <w:tcPr>
            <w:tcW w:w="1326" w:type="dxa"/>
            <w:vMerge/>
            <w:tcBorders>
              <w:top w:val="single" w:color="auto" w:sz="8" w:space="0"/>
              <w:left w:val="single" w:color="auto" w:sz="8" w:space="0"/>
              <w:bottom w:val="single" w:color="000000" w:sz="8" w:space="0"/>
              <w:right w:val="single" w:color="auto" w:sz="8" w:space="0"/>
            </w:tcBorders>
            <w:vAlign w:val="center"/>
            <w:hideMark/>
          </w:tcPr>
          <w:p w:rsidRPr="003930CD" w:rsidR="00F0001D" w:rsidP="00EA35F3" w:rsidRDefault="00F0001D" w14:paraId="4374CE46" w14:textId="77777777">
            <w:pPr>
              <w:rPr>
                <w:rFonts w:ascii="Arial" w:hAnsi="Arial" w:cs="Arial"/>
                <w:b/>
                <w:bCs/>
                <w:color w:val="000000"/>
                <w:sz w:val="18"/>
                <w:szCs w:val="18"/>
                <w:lang w:val="es-ES_tradnl"/>
              </w:rPr>
            </w:pPr>
          </w:p>
        </w:tc>
        <w:tc>
          <w:tcPr>
            <w:tcW w:w="1338" w:type="dxa"/>
            <w:gridSpan w:val="4"/>
            <w:vMerge/>
            <w:tcBorders>
              <w:top w:val="single" w:color="auto" w:sz="8" w:space="0"/>
              <w:left w:val="single" w:color="auto" w:sz="8" w:space="0"/>
              <w:bottom w:val="single" w:color="auto" w:sz="8" w:space="0"/>
              <w:right w:val="single" w:color="000000" w:sz="8" w:space="0"/>
            </w:tcBorders>
            <w:vAlign w:val="center"/>
            <w:hideMark/>
          </w:tcPr>
          <w:p w:rsidRPr="003930CD" w:rsidR="00F0001D" w:rsidP="00EA35F3" w:rsidRDefault="00F0001D" w14:paraId="731A1956" w14:textId="77777777">
            <w:pPr>
              <w:rPr>
                <w:rFonts w:ascii="Arial" w:hAnsi="Arial" w:cs="Arial"/>
                <w:b/>
                <w:bCs/>
                <w:color w:val="000000"/>
                <w:sz w:val="18"/>
                <w:szCs w:val="18"/>
                <w:lang w:val="es-ES_tradnl"/>
              </w:rPr>
            </w:pPr>
          </w:p>
        </w:tc>
        <w:tc>
          <w:tcPr>
            <w:tcW w:w="1969" w:type="dxa"/>
            <w:gridSpan w:val="4"/>
            <w:vMerge/>
            <w:tcBorders>
              <w:left w:val="single" w:color="auto" w:sz="8" w:space="0"/>
              <w:bottom w:val="nil"/>
              <w:right w:val="single" w:color="auto" w:sz="8" w:space="0"/>
            </w:tcBorders>
            <w:vAlign w:val="center"/>
            <w:hideMark/>
          </w:tcPr>
          <w:p w:rsidRPr="003930CD" w:rsidR="00F0001D" w:rsidP="00EA35F3" w:rsidRDefault="00F0001D" w14:paraId="74EE595B" w14:textId="77777777">
            <w:pPr>
              <w:rPr>
                <w:rFonts w:ascii="Arial" w:hAnsi="Arial" w:cs="Arial"/>
                <w:b/>
                <w:bCs/>
                <w:color w:val="000000"/>
                <w:sz w:val="18"/>
                <w:szCs w:val="18"/>
                <w:lang w:val="es-ES_tradnl"/>
              </w:rPr>
            </w:pPr>
          </w:p>
        </w:tc>
        <w:tc>
          <w:tcPr>
            <w:tcW w:w="1338" w:type="dxa"/>
            <w:gridSpan w:val="4"/>
            <w:vMerge/>
            <w:tcBorders>
              <w:left w:val="single" w:color="auto" w:sz="8" w:space="0"/>
              <w:bottom w:val="single" w:color="000000" w:sz="8" w:space="0"/>
              <w:right w:val="single" w:color="auto" w:sz="8" w:space="0"/>
            </w:tcBorders>
          </w:tcPr>
          <w:p w:rsidRPr="003930CD" w:rsidR="00F0001D" w:rsidP="00EA35F3" w:rsidRDefault="00F0001D" w14:paraId="57649586" w14:textId="549861D7">
            <w:pPr>
              <w:rPr>
                <w:rFonts w:ascii="Arial" w:hAnsi="Arial" w:cs="Arial"/>
                <w:b/>
                <w:bCs/>
                <w:color w:val="000000"/>
                <w:sz w:val="18"/>
                <w:szCs w:val="18"/>
                <w:lang w:val="es-ES_tradnl"/>
              </w:rPr>
            </w:pPr>
          </w:p>
        </w:tc>
        <w:tc>
          <w:tcPr>
            <w:tcW w:w="1337" w:type="dxa"/>
            <w:vMerge/>
            <w:tcBorders>
              <w:top w:val="single" w:color="auto" w:sz="8" w:space="0"/>
              <w:left w:val="single" w:color="auto" w:sz="8" w:space="0"/>
              <w:bottom w:val="single" w:color="000000" w:sz="8" w:space="0"/>
              <w:right w:val="single" w:color="auto" w:sz="8" w:space="0"/>
            </w:tcBorders>
            <w:vAlign w:val="center"/>
            <w:hideMark/>
          </w:tcPr>
          <w:p w:rsidRPr="003930CD" w:rsidR="00F0001D" w:rsidP="00EA35F3" w:rsidRDefault="00F0001D" w14:paraId="131F0223" w14:textId="77BE3783">
            <w:pPr>
              <w:rPr>
                <w:rFonts w:ascii="Arial" w:hAnsi="Arial" w:cs="Arial"/>
                <w:b/>
                <w:bCs/>
                <w:color w:val="000000"/>
                <w:sz w:val="18"/>
                <w:szCs w:val="18"/>
                <w:lang w:val="es-ES_tradnl"/>
              </w:rPr>
            </w:pPr>
          </w:p>
        </w:tc>
        <w:tc>
          <w:tcPr>
            <w:tcW w:w="728" w:type="dxa"/>
            <w:tcBorders>
              <w:top w:val="nil"/>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3930CD" w:rsidR="00F0001D" w:rsidP="175FA130" w:rsidRDefault="00F0001D" w14:paraId="27A1B004" w14:textId="77777777" w14:noSpellErr="1">
            <w:pPr>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(US$)</w:t>
            </w:r>
          </w:p>
        </w:tc>
        <w:tc>
          <w:tcPr>
            <w:tcW w:w="1540" w:type="dxa"/>
            <w:vMerge/>
            <w:tcBorders>
              <w:top w:val="single" w:color="auto" w:sz="8" w:space="0"/>
              <w:left w:val="single" w:color="auto" w:sz="8" w:space="0"/>
              <w:bottom w:val="single" w:color="000000" w:sz="8" w:space="0"/>
              <w:right w:val="single" w:color="auto" w:sz="8" w:space="0"/>
            </w:tcBorders>
            <w:vAlign w:val="center"/>
            <w:hideMark/>
          </w:tcPr>
          <w:p w:rsidRPr="003930CD" w:rsidR="00F0001D" w:rsidP="00EA35F3" w:rsidRDefault="00F0001D" w14:paraId="00EA3EE2" w14:textId="77777777">
            <w:pPr>
              <w:rPr>
                <w:rFonts w:ascii="Arial" w:hAnsi="Arial" w:cs="Arial"/>
                <w:b/>
                <w:bCs/>
                <w:color w:val="000000"/>
                <w:sz w:val="18"/>
                <w:szCs w:val="18"/>
                <w:lang w:val="es-ES_tradnl"/>
              </w:rPr>
            </w:pPr>
          </w:p>
        </w:tc>
      </w:tr>
      <w:tr w:rsidRPr="003930CD" w:rsidR="003930CD" w:rsidTr="175FA130" w14:paraId="6993B1D8" w14:textId="77777777">
        <w:trPr>
          <w:trHeight w:val="315"/>
          <w:jc w:val="center"/>
        </w:trPr>
        <w:tc>
          <w:tcPr>
            <w:tcW w:w="1326" w:type="dxa"/>
            <w:vMerge/>
            <w:tcBorders>
              <w:top w:val="single" w:color="auto" w:sz="8" w:space="0"/>
              <w:left w:val="single" w:color="auto" w:sz="8" w:space="0"/>
              <w:bottom w:val="single" w:color="000000" w:sz="8" w:space="0"/>
              <w:right w:val="single" w:color="auto" w:sz="8" w:space="0"/>
            </w:tcBorders>
            <w:vAlign w:val="center"/>
            <w:hideMark/>
          </w:tcPr>
          <w:p w:rsidRPr="003930CD" w:rsidR="00F0001D" w:rsidP="00F0001D" w:rsidRDefault="00F0001D" w14:paraId="4B72DAE6" w14:textId="77777777">
            <w:pPr>
              <w:rPr>
                <w:rFonts w:ascii="Arial" w:hAnsi="Arial" w:cs="Arial"/>
                <w:b/>
                <w:bCs/>
                <w:color w:val="000000"/>
                <w:sz w:val="18"/>
                <w:szCs w:val="18"/>
                <w:lang w:val="es-ES_tradnl"/>
              </w:rPr>
            </w:pPr>
          </w:p>
        </w:tc>
        <w:tc>
          <w:tcPr>
            <w:tcW w:w="267" w:type="dxa"/>
            <w:tcBorders>
              <w:top w:val="single" w:color="auto" w:sz="8" w:space="0"/>
              <w:left w:val="nil"/>
              <w:bottom w:val="single" w:color="auto" w:sz="8" w:space="0"/>
              <w:right w:val="single" w:color="auto" w:sz="8" w:space="0"/>
            </w:tcBorders>
            <w:shd w:val="clear" w:color="auto" w:fill="95B3D7" w:themeFill="accent1" w:themeFillTint="99"/>
            <w:noWrap/>
            <w:tcMar/>
            <w:vAlign w:val="center"/>
            <w:hideMark/>
          </w:tcPr>
          <w:p w:rsidRPr="003930CD" w:rsidR="00F0001D" w:rsidP="175FA130" w:rsidRDefault="00F0001D" w14:paraId="10448CFD"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w:t>
            </w:r>
          </w:p>
        </w:tc>
        <w:tc>
          <w:tcPr>
            <w:tcW w:w="317" w:type="dxa"/>
            <w:tcBorders>
              <w:top w:val="single" w:color="auto" w:sz="8" w:space="0"/>
              <w:left w:val="nil"/>
              <w:bottom w:val="single" w:color="auto" w:sz="8" w:space="0"/>
              <w:right w:val="single" w:color="auto" w:sz="8" w:space="0"/>
            </w:tcBorders>
            <w:shd w:val="clear" w:color="auto" w:fill="95B3D7" w:themeFill="accent1" w:themeFillTint="99"/>
            <w:noWrap/>
            <w:tcMar/>
            <w:vAlign w:val="center"/>
            <w:hideMark/>
          </w:tcPr>
          <w:p w:rsidRPr="003930CD" w:rsidR="00F0001D" w:rsidP="175FA130" w:rsidRDefault="00F0001D" w14:paraId="30E17AD0"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II</w:t>
            </w:r>
          </w:p>
        </w:tc>
        <w:tc>
          <w:tcPr>
            <w:tcW w:w="367" w:type="dxa"/>
            <w:tcBorders>
              <w:top w:val="single" w:color="auto" w:sz="8" w:space="0"/>
              <w:left w:val="nil"/>
              <w:bottom w:val="single" w:color="auto" w:sz="8" w:space="0"/>
              <w:right w:val="single" w:color="auto" w:sz="8" w:space="0"/>
            </w:tcBorders>
            <w:shd w:val="clear" w:color="auto" w:fill="95B3D7" w:themeFill="accent1" w:themeFillTint="99"/>
            <w:noWrap/>
            <w:tcMar/>
            <w:vAlign w:val="center"/>
            <w:hideMark/>
          </w:tcPr>
          <w:p w:rsidRPr="003930CD" w:rsidR="00F0001D" w:rsidP="175FA130" w:rsidRDefault="00F0001D" w14:paraId="55313A2E" w14:textId="77777777" w14:noSpellErr="1">
            <w:pP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III</w:t>
            </w:r>
          </w:p>
        </w:tc>
        <w:tc>
          <w:tcPr>
            <w:tcW w:w="387" w:type="dxa"/>
            <w:tcBorders>
              <w:top w:val="single" w:color="auto" w:sz="8" w:space="0"/>
              <w:left w:val="nil"/>
              <w:bottom w:val="single" w:color="auto" w:sz="8" w:space="0"/>
              <w:right w:val="single" w:color="auto" w:sz="8" w:space="0"/>
            </w:tcBorders>
            <w:shd w:val="clear" w:color="auto" w:fill="95B3D7" w:themeFill="accent1" w:themeFillTint="99"/>
            <w:tcMar/>
            <w:vAlign w:val="center"/>
            <w:hideMark/>
          </w:tcPr>
          <w:p w:rsidRPr="003930CD" w:rsidR="00F0001D" w:rsidP="175FA130" w:rsidRDefault="00F0001D" w14:paraId="5C91CE87" w14:textId="4E410FB7"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IV</w:t>
            </w:r>
          </w:p>
        </w:tc>
        <w:tc>
          <w:tcPr>
            <w:tcW w:w="280" w:type="dxa"/>
            <w:tcBorders>
              <w:top w:val="single" w:color="auto" w:sz="8" w:space="0"/>
              <w:left w:val="nil"/>
              <w:bottom w:val="single" w:color="auto" w:sz="8" w:space="0"/>
              <w:right w:val="single" w:color="auto" w:sz="8" w:space="0"/>
            </w:tcBorders>
            <w:shd w:val="clear" w:color="auto" w:fill="95B3D7" w:themeFill="accent1" w:themeFillTint="99"/>
            <w:tcMar/>
            <w:vAlign w:val="center"/>
            <w:hideMark/>
          </w:tcPr>
          <w:p w:rsidRPr="003930CD" w:rsidR="00F0001D" w:rsidP="175FA130" w:rsidRDefault="00F0001D" w14:paraId="60ACE662" w14:textId="1116A83E"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w:t>
            </w:r>
          </w:p>
        </w:tc>
        <w:tc>
          <w:tcPr>
            <w:tcW w:w="337" w:type="dxa"/>
            <w:tcBorders>
              <w:top w:val="single" w:color="auto" w:sz="8" w:space="0"/>
              <w:left w:val="nil"/>
              <w:bottom w:val="single" w:color="auto" w:sz="8" w:space="0"/>
              <w:right w:val="single" w:color="auto" w:sz="8" w:space="0"/>
            </w:tcBorders>
            <w:shd w:val="clear" w:color="auto" w:fill="95B3D7" w:themeFill="accent1" w:themeFillTint="99"/>
            <w:tcMar/>
            <w:vAlign w:val="center"/>
            <w:hideMark/>
          </w:tcPr>
          <w:p w:rsidRPr="003930CD" w:rsidR="00F0001D" w:rsidP="175FA130" w:rsidRDefault="00F0001D" w14:paraId="640F3988" w14:textId="2D40FC8F"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II</w:t>
            </w:r>
          </w:p>
        </w:tc>
        <w:tc>
          <w:tcPr>
            <w:tcW w:w="666" w:type="dxa"/>
            <w:tcBorders>
              <w:top w:val="single" w:color="auto" w:sz="8" w:space="0"/>
              <w:left w:val="single" w:color="auto" w:sz="8" w:space="0"/>
              <w:bottom w:val="single" w:color="auto" w:sz="4" w:space="0"/>
              <w:right w:val="single" w:color="auto" w:sz="8" w:space="0"/>
            </w:tcBorders>
            <w:tcMar/>
            <w:vAlign w:val="center"/>
          </w:tcPr>
          <w:p w:rsidRPr="003930CD" w:rsidR="00F0001D" w:rsidP="175FA130" w:rsidRDefault="00F0001D" w14:paraId="59EA55B0" w14:textId="5BF4383D"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III</w:t>
            </w:r>
          </w:p>
        </w:tc>
        <w:tc>
          <w:tcPr>
            <w:tcW w:w="686" w:type="dxa"/>
            <w:tcBorders>
              <w:top w:val="single" w:color="auto" w:sz="8" w:space="0"/>
              <w:left w:val="single" w:color="auto" w:sz="8" w:space="0"/>
              <w:bottom w:val="single" w:color="auto" w:sz="4" w:space="0"/>
              <w:right w:val="single" w:color="auto" w:sz="8" w:space="0"/>
            </w:tcBorders>
            <w:tcMar/>
            <w:vAlign w:val="center"/>
          </w:tcPr>
          <w:p w:rsidRPr="003930CD" w:rsidR="00F0001D" w:rsidP="175FA130" w:rsidRDefault="00F0001D" w14:paraId="1602B1C3" w14:textId="431E6AAE"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IV</w:t>
            </w:r>
          </w:p>
        </w:tc>
        <w:tc>
          <w:tcPr>
            <w:tcW w:w="267" w:type="dxa"/>
            <w:tcBorders>
              <w:top w:val="single" w:color="auto" w:sz="8" w:space="0"/>
              <w:left w:val="single" w:color="auto" w:sz="8" w:space="0"/>
              <w:bottom w:val="single" w:color="auto" w:sz="4" w:space="0"/>
              <w:right w:val="single" w:color="auto" w:sz="8" w:space="0"/>
            </w:tcBorders>
            <w:tcMar/>
            <w:vAlign w:val="center"/>
          </w:tcPr>
          <w:p w:rsidRPr="003930CD" w:rsidR="00F0001D" w:rsidP="175FA130" w:rsidRDefault="00F0001D" w14:paraId="46018472" w14:textId="76E6F99B" w14:noSpellErr="1">
            <w:pP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w:t>
            </w:r>
          </w:p>
        </w:tc>
        <w:tc>
          <w:tcPr>
            <w:tcW w:w="317" w:type="dxa"/>
            <w:tcBorders>
              <w:top w:val="single" w:color="auto" w:sz="8" w:space="0"/>
              <w:left w:val="single" w:color="auto" w:sz="8" w:space="0"/>
              <w:bottom w:val="single" w:color="000000" w:themeColor="text1" w:sz="8" w:space="0"/>
              <w:right w:val="single" w:color="auto" w:sz="8" w:space="0"/>
            </w:tcBorders>
            <w:tcMar/>
            <w:vAlign w:val="center"/>
          </w:tcPr>
          <w:p w:rsidRPr="003930CD" w:rsidR="00F0001D" w:rsidP="175FA130" w:rsidRDefault="00F0001D" w14:paraId="6BEA5A67" w14:textId="60EE87A4" w14:noSpellErr="1">
            <w:pP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II</w:t>
            </w:r>
          </w:p>
        </w:tc>
        <w:tc>
          <w:tcPr>
            <w:tcW w:w="367" w:type="dxa"/>
            <w:tcBorders>
              <w:top w:val="single" w:color="auto" w:sz="8" w:space="0"/>
              <w:left w:val="single" w:color="auto" w:sz="8" w:space="0"/>
              <w:bottom w:val="single" w:color="000000" w:themeColor="text1" w:sz="8" w:space="0"/>
              <w:right w:val="single" w:color="auto" w:sz="8" w:space="0"/>
            </w:tcBorders>
            <w:tcMar/>
            <w:vAlign w:val="center"/>
          </w:tcPr>
          <w:p w:rsidRPr="003930CD" w:rsidR="00F0001D" w:rsidP="175FA130" w:rsidRDefault="00F0001D" w14:paraId="5160ACE3" w14:textId="39D68861" w14:noSpellErr="1">
            <w:pP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III</w:t>
            </w:r>
          </w:p>
        </w:tc>
        <w:tc>
          <w:tcPr>
            <w:tcW w:w="387" w:type="dxa"/>
            <w:tcBorders>
              <w:top w:val="single" w:color="auto" w:sz="8" w:space="0"/>
              <w:left w:val="single" w:color="auto" w:sz="8" w:space="0"/>
              <w:bottom w:val="single" w:color="000000" w:themeColor="text1" w:sz="8" w:space="0"/>
              <w:right w:val="single" w:color="auto" w:sz="8" w:space="0"/>
            </w:tcBorders>
            <w:tcMar/>
            <w:vAlign w:val="center"/>
          </w:tcPr>
          <w:p w:rsidRPr="003930CD" w:rsidR="00F0001D" w:rsidP="175FA130" w:rsidRDefault="00F0001D" w14:paraId="6562279B" w14:textId="763AB6FE" w14:noSpellErr="1">
            <w:pP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IV</w:t>
            </w:r>
          </w:p>
        </w:tc>
        <w:tc>
          <w:tcPr>
            <w:tcW w:w="1337" w:type="dxa"/>
            <w:tcBorders>
              <w:top w:val="single" w:color="auto" w:sz="8" w:space="0"/>
              <w:left w:val="single" w:color="auto" w:sz="8" w:space="0"/>
              <w:bottom w:val="single" w:color="000000" w:themeColor="text1" w:sz="8" w:space="0"/>
              <w:right w:val="single" w:color="auto" w:sz="8" w:space="0"/>
            </w:tcBorders>
            <w:tcMar/>
            <w:vAlign w:val="center"/>
            <w:hideMark/>
          </w:tcPr>
          <w:p w:rsidRPr="003930CD" w:rsidR="00F0001D" w:rsidP="00F0001D" w:rsidRDefault="00F0001D" w14:paraId="371F00E1" w14:textId="48C9161D">
            <w:pPr>
              <w:rPr>
                <w:rFonts w:ascii="Arial" w:hAnsi="Arial" w:cs="Arial"/>
                <w:b/>
                <w:bCs/>
                <w:color w:val="000000"/>
                <w:sz w:val="18"/>
                <w:szCs w:val="18"/>
                <w:lang w:val="es-ES_tradnl"/>
              </w:rPr>
            </w:pPr>
          </w:p>
        </w:tc>
        <w:tc>
          <w:tcPr>
            <w:tcW w:w="728" w:type="dxa"/>
            <w:tcBorders>
              <w:top w:val="nil"/>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3930CD" w:rsidR="00F0001D" w:rsidP="00F0001D" w:rsidRDefault="00F0001D" w14:paraId="3B7195D9" w14:textId="77777777">
            <w:pPr>
              <w:rPr>
                <w:rFonts w:ascii="Arial" w:hAnsi="Arial" w:cs="Arial"/>
                <w:b/>
                <w:bCs/>
                <w:color w:val="000000"/>
                <w:sz w:val="18"/>
                <w:szCs w:val="18"/>
                <w:lang w:val="es-ES_tradnl"/>
              </w:rPr>
            </w:pPr>
          </w:p>
        </w:tc>
        <w:tc>
          <w:tcPr>
            <w:tcW w:w="1540" w:type="dxa"/>
            <w:tcBorders>
              <w:top w:val="single" w:color="auto" w:sz="8" w:space="0"/>
              <w:left w:val="single" w:color="auto" w:sz="8" w:space="0"/>
              <w:bottom w:val="single" w:color="000000" w:themeColor="text1" w:sz="8" w:space="0"/>
              <w:right w:val="single" w:color="auto" w:sz="8" w:space="0"/>
            </w:tcBorders>
            <w:tcMar/>
            <w:vAlign w:val="center"/>
            <w:hideMark/>
          </w:tcPr>
          <w:p w:rsidRPr="003930CD" w:rsidR="00F0001D" w:rsidP="00F0001D" w:rsidRDefault="00F0001D" w14:paraId="0F8E8512" w14:textId="77777777">
            <w:pPr>
              <w:rPr>
                <w:rFonts w:ascii="Arial" w:hAnsi="Arial" w:cs="Arial"/>
                <w:b/>
                <w:bCs/>
                <w:color w:val="000000"/>
                <w:sz w:val="18"/>
                <w:szCs w:val="18"/>
                <w:lang w:val="es-ES_tradnl"/>
              </w:rPr>
            </w:pPr>
          </w:p>
        </w:tc>
      </w:tr>
      <w:tr w:rsidRPr="000B08DE" w:rsidR="00B0597D" w:rsidTr="175FA130" w14:paraId="51745715" w14:textId="77777777">
        <w:trPr>
          <w:trHeight w:val="960"/>
          <w:jc w:val="center"/>
        </w:trPr>
        <w:tc>
          <w:tcPr>
            <w:tcW w:w="1326" w:type="dxa"/>
            <w:tcBorders>
              <w:top w:val="nil"/>
              <w:left w:val="single" w:color="auto" w:sz="8" w:space="0"/>
              <w:bottom w:val="single" w:color="auto" w:sz="8" w:space="0"/>
              <w:right w:val="single" w:color="auto" w:sz="8" w:space="0"/>
            </w:tcBorders>
            <w:shd w:val="clear" w:color="auto" w:fill="auto"/>
            <w:tcMar/>
            <w:vAlign w:val="center"/>
            <w:hideMark/>
          </w:tcPr>
          <w:p w:rsidRPr="003930CD" w:rsidR="00F0001D" w:rsidP="175FA130" w:rsidRDefault="00F0001D" w14:paraId="621A8F0C"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xml:space="preserve">Misión(es) coordinación y monitoreo cumplimiento de los compromisos </w:t>
            </w:r>
          </w:p>
        </w:tc>
        <w:tc>
          <w:tcPr>
            <w:tcW w:w="26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2FEEA88F"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17" w:type="dxa"/>
            <w:tcBorders>
              <w:top w:val="nil"/>
              <w:left w:val="nil"/>
              <w:bottom w:val="single" w:color="auto" w:sz="8" w:space="0"/>
              <w:right w:val="single" w:color="auto" w:sz="8" w:space="0"/>
            </w:tcBorders>
            <w:shd w:val="clear" w:color="auto" w:fill="auto"/>
            <w:noWrap/>
            <w:tcMar/>
            <w:vAlign w:val="center"/>
            <w:hideMark/>
          </w:tcPr>
          <w:p w:rsidRPr="003930CD" w:rsidR="00F0001D" w:rsidP="175FA130" w:rsidRDefault="00F0001D" w14:paraId="71C550AF"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6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39B54881"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87" w:type="dxa"/>
            <w:tcBorders>
              <w:top w:val="nil"/>
              <w:left w:val="nil"/>
              <w:bottom w:val="single" w:color="auto" w:sz="8" w:space="0"/>
              <w:right w:val="single" w:color="auto" w:sz="8" w:space="0"/>
            </w:tcBorders>
            <w:shd w:val="clear" w:color="auto" w:fill="auto"/>
            <w:tcMar/>
            <w:vAlign w:val="center"/>
            <w:hideMark/>
          </w:tcPr>
          <w:p w:rsidRPr="003930CD" w:rsidR="00F0001D" w:rsidP="175FA130" w:rsidRDefault="00F0001D" w14:paraId="7AAB4B4F" w14:textId="77777777">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280"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18751CB9" w14:textId="3125CFF8">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37" w:type="dxa"/>
            <w:tcBorders>
              <w:top w:val="nil"/>
              <w:left w:val="nil"/>
              <w:bottom w:val="single" w:color="auto" w:sz="8" w:space="0"/>
              <w:right w:val="single" w:color="auto" w:sz="4" w:space="0"/>
            </w:tcBorders>
            <w:shd w:val="clear" w:color="auto" w:fill="auto"/>
            <w:tcMar/>
            <w:vAlign w:val="center"/>
            <w:hideMark/>
          </w:tcPr>
          <w:p w:rsidRPr="003930CD" w:rsidR="00F0001D" w:rsidP="175FA130" w:rsidRDefault="00F0001D" w14:paraId="5FDBA4F8" w14:textId="12A824A7">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666" w:type="dxa"/>
            <w:tcBorders>
              <w:top w:val="single" w:color="auto" w:sz="4" w:space="0"/>
              <w:left w:val="single" w:color="auto" w:sz="4" w:space="0"/>
              <w:bottom w:val="single" w:color="auto" w:sz="4" w:space="0"/>
              <w:right w:val="single" w:color="auto" w:sz="4" w:space="0"/>
            </w:tcBorders>
            <w:shd w:val="clear" w:color="auto" w:fill="00B050"/>
            <w:tcMar/>
            <w:vAlign w:val="center"/>
          </w:tcPr>
          <w:p w:rsidRPr="003930CD" w:rsidR="00F0001D" w:rsidP="175FA130" w:rsidRDefault="00F0001D" w14:paraId="4FF45216" w14:textId="4B946144">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686" w:type="dxa"/>
            <w:tcBorders>
              <w:top w:val="single" w:color="auto" w:sz="4" w:space="0"/>
              <w:left w:val="single" w:color="auto" w:sz="4" w:space="0"/>
              <w:bottom w:val="single" w:color="auto" w:sz="4" w:space="0"/>
              <w:right w:val="single" w:color="auto" w:sz="4" w:space="0"/>
            </w:tcBorders>
            <w:tcMar/>
            <w:vAlign w:val="center"/>
          </w:tcPr>
          <w:p w:rsidRPr="003930CD" w:rsidR="00F0001D" w:rsidP="175FA130" w:rsidRDefault="00F0001D" w14:paraId="07845A53" w14:textId="16644C0A">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267" w:type="dxa"/>
            <w:tcBorders>
              <w:top w:val="single" w:color="auto" w:sz="4" w:space="0"/>
              <w:left w:val="single" w:color="auto" w:sz="4" w:space="0"/>
              <w:bottom w:val="single" w:color="auto" w:sz="4" w:space="0"/>
              <w:right w:val="single" w:color="auto" w:sz="4" w:space="0"/>
            </w:tcBorders>
            <w:shd w:val="clear" w:color="auto" w:fill="00B050"/>
            <w:tcMar/>
          </w:tcPr>
          <w:p w:rsidRPr="003930CD" w:rsidR="00F0001D" w:rsidP="00F0001D" w:rsidRDefault="00F0001D" w14:paraId="7885213D" w14:textId="006A4276">
            <w:pPr>
              <w:jc w:val="center"/>
              <w:rPr>
                <w:rFonts w:ascii="Arial" w:hAnsi="Arial" w:eastAsia="Arial" w:cs="Arial"/>
                <w:color w:val="000000" w:themeColor="text1"/>
                <w:sz w:val="18"/>
                <w:szCs w:val="18"/>
                <w:lang w:val="es-ES_tradnl"/>
              </w:rPr>
            </w:pPr>
          </w:p>
        </w:tc>
        <w:tc>
          <w:tcPr>
            <w:tcW w:w="317" w:type="dxa"/>
            <w:tcBorders>
              <w:top w:val="nil"/>
              <w:left w:val="single" w:color="auto" w:sz="4" w:space="0"/>
              <w:bottom w:val="single" w:color="auto" w:sz="8" w:space="0"/>
              <w:right w:val="single" w:color="auto" w:sz="4" w:space="0"/>
            </w:tcBorders>
            <w:tcMar/>
          </w:tcPr>
          <w:p w:rsidRPr="003930CD" w:rsidR="00F0001D" w:rsidP="00F0001D" w:rsidRDefault="00F0001D" w14:paraId="0DE7D63E" w14:textId="77777777">
            <w:pPr>
              <w:jc w:val="center"/>
              <w:rPr>
                <w:rFonts w:ascii="Arial" w:hAnsi="Arial" w:eastAsia="Arial" w:cs="Arial"/>
                <w:color w:val="000000" w:themeColor="text1"/>
                <w:sz w:val="18"/>
                <w:szCs w:val="18"/>
                <w:lang w:val="es-ES_tradnl"/>
              </w:rPr>
            </w:pPr>
          </w:p>
        </w:tc>
        <w:tc>
          <w:tcPr>
            <w:tcW w:w="367" w:type="dxa"/>
            <w:tcBorders>
              <w:top w:val="nil"/>
              <w:left w:val="single" w:color="auto" w:sz="4" w:space="0"/>
              <w:bottom w:val="single" w:color="auto" w:sz="8" w:space="0"/>
              <w:right w:val="single" w:color="auto" w:sz="4" w:space="0"/>
            </w:tcBorders>
            <w:shd w:val="clear" w:color="auto" w:fill="00B050"/>
            <w:tcMar/>
          </w:tcPr>
          <w:p w:rsidRPr="003930CD" w:rsidR="00F0001D" w:rsidP="00F0001D" w:rsidRDefault="00F0001D" w14:paraId="0B0410D6" w14:textId="77777777">
            <w:pPr>
              <w:jc w:val="center"/>
              <w:rPr>
                <w:rFonts w:ascii="Arial" w:hAnsi="Arial" w:eastAsia="Arial" w:cs="Arial"/>
                <w:color w:val="000000" w:themeColor="text1"/>
                <w:sz w:val="18"/>
                <w:szCs w:val="18"/>
                <w:lang w:val="es-ES_tradnl"/>
              </w:rPr>
            </w:pPr>
          </w:p>
        </w:tc>
        <w:tc>
          <w:tcPr>
            <w:tcW w:w="387" w:type="dxa"/>
            <w:tcBorders>
              <w:top w:val="nil"/>
              <w:left w:val="single" w:color="auto" w:sz="4" w:space="0"/>
              <w:bottom w:val="single" w:color="auto" w:sz="8" w:space="0"/>
              <w:right w:val="single" w:color="auto" w:sz="4" w:space="0"/>
            </w:tcBorders>
            <w:tcMar/>
          </w:tcPr>
          <w:p w:rsidRPr="003930CD" w:rsidR="00F0001D" w:rsidP="00F0001D" w:rsidRDefault="00F0001D" w14:paraId="7F15030A" w14:textId="77777777">
            <w:pPr>
              <w:jc w:val="center"/>
              <w:rPr>
                <w:rFonts w:ascii="Arial" w:hAnsi="Arial" w:eastAsia="Arial" w:cs="Arial"/>
                <w:color w:val="000000" w:themeColor="text1"/>
                <w:sz w:val="18"/>
                <w:szCs w:val="18"/>
                <w:lang w:val="es-ES_tradnl"/>
              </w:rPr>
            </w:pPr>
          </w:p>
        </w:tc>
        <w:tc>
          <w:tcPr>
            <w:tcW w:w="1337" w:type="dxa"/>
            <w:tcBorders>
              <w:top w:val="nil"/>
              <w:left w:val="single" w:color="auto" w:sz="4" w:space="0"/>
              <w:bottom w:val="single" w:color="auto" w:sz="8" w:space="0"/>
              <w:right w:val="single" w:color="auto" w:sz="8" w:space="0"/>
            </w:tcBorders>
            <w:shd w:val="clear" w:color="auto" w:fill="auto"/>
            <w:noWrap/>
            <w:tcMar/>
            <w:vAlign w:val="center"/>
            <w:hideMark/>
          </w:tcPr>
          <w:p w:rsidRPr="003930CD" w:rsidR="00F0001D" w:rsidP="175FA130" w:rsidRDefault="00F0001D" w14:paraId="0854AE0A" w14:textId="019653AF"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BID</w:t>
            </w:r>
          </w:p>
        </w:tc>
        <w:tc>
          <w:tcPr>
            <w:tcW w:w="728" w:type="dxa"/>
            <w:tcBorders>
              <w:top w:val="nil"/>
              <w:left w:val="nil"/>
              <w:bottom w:val="single" w:color="auto" w:sz="8" w:space="0"/>
              <w:right w:val="single" w:color="auto" w:sz="8" w:space="0"/>
            </w:tcBorders>
            <w:shd w:val="clear" w:color="auto" w:fill="auto"/>
            <w:tcMar/>
            <w:vAlign w:val="center"/>
            <w:hideMark/>
          </w:tcPr>
          <w:p w:rsidRPr="003930CD" w:rsidR="00F0001D" w:rsidP="175FA130" w:rsidRDefault="00F0001D" w14:paraId="33A57759" w14:textId="38AA3435">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xml:space="preserve">15.000 </w:t>
            </w:r>
          </w:p>
        </w:tc>
        <w:tc>
          <w:tcPr>
            <w:tcW w:w="1540" w:type="dxa"/>
            <w:tcBorders>
              <w:top w:val="nil"/>
              <w:left w:val="nil"/>
              <w:bottom w:val="single" w:color="auto" w:sz="8" w:space="0"/>
              <w:right w:val="single" w:color="auto" w:sz="8" w:space="0"/>
            </w:tcBorders>
            <w:shd w:val="clear" w:color="auto" w:fill="auto"/>
            <w:tcMar/>
            <w:vAlign w:val="center"/>
            <w:hideMark/>
          </w:tcPr>
          <w:p w:rsidRPr="003930CD" w:rsidR="00F0001D" w:rsidP="175FA130" w:rsidRDefault="00F0001D" w14:paraId="6DE05045"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Presupuesto administrativo y plan de supervisión del Banco</w:t>
            </w:r>
          </w:p>
        </w:tc>
      </w:tr>
      <w:tr w:rsidRPr="000B08DE" w:rsidR="00B0597D" w:rsidTr="175FA130" w14:paraId="6B7AF743" w14:textId="77777777">
        <w:trPr>
          <w:trHeight w:val="720"/>
          <w:jc w:val="center"/>
        </w:trPr>
        <w:tc>
          <w:tcPr>
            <w:tcW w:w="1326" w:type="dxa"/>
            <w:tcBorders>
              <w:top w:val="nil"/>
              <w:left w:val="single" w:color="auto" w:sz="8" w:space="0"/>
              <w:bottom w:val="single" w:color="auto" w:sz="8" w:space="0"/>
              <w:right w:val="single" w:color="auto" w:sz="8" w:space="0"/>
            </w:tcBorders>
            <w:shd w:val="clear" w:color="auto" w:fill="auto"/>
            <w:tcMar/>
            <w:vAlign w:val="center"/>
            <w:hideMark/>
          </w:tcPr>
          <w:p w:rsidRPr="003930CD" w:rsidR="00F0001D" w:rsidP="175FA130" w:rsidRDefault="00F0001D" w14:paraId="773DAFBF" w14:textId="65301ED9"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Reuniones y seguimiento por el equipo de CHO/SPH para monitorear cumplimiento de medios de verificación</w:t>
            </w:r>
          </w:p>
        </w:tc>
        <w:tc>
          <w:tcPr>
            <w:tcW w:w="26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148C1A8A"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1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5DE2E630"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6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64A5B945"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87"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44C1733E" w14:textId="77777777">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280" w:type="dxa"/>
            <w:tcBorders>
              <w:top w:val="nil"/>
              <w:left w:val="nil"/>
              <w:bottom w:val="single" w:color="auto" w:sz="8" w:space="0"/>
              <w:right w:val="single" w:color="auto" w:sz="8" w:space="0"/>
            </w:tcBorders>
            <w:shd w:val="clear" w:color="auto" w:fill="00B050"/>
            <w:noWrap/>
            <w:tcMar/>
            <w:vAlign w:val="center"/>
            <w:hideMark/>
          </w:tcPr>
          <w:p w:rsidRPr="003930CD" w:rsidR="00F0001D" w:rsidP="175FA130" w:rsidRDefault="00F0001D" w14:paraId="4C6EEFEF" w14:textId="74A194CA">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337" w:type="dxa"/>
            <w:tcBorders>
              <w:top w:val="nil"/>
              <w:left w:val="nil"/>
              <w:bottom w:val="single" w:color="auto" w:sz="8" w:space="0"/>
              <w:right w:val="single" w:color="auto" w:sz="4" w:space="0"/>
            </w:tcBorders>
            <w:shd w:val="clear" w:color="auto" w:fill="00B050"/>
            <w:noWrap/>
            <w:tcMar/>
            <w:vAlign w:val="center"/>
            <w:hideMark/>
          </w:tcPr>
          <w:p w:rsidRPr="003930CD" w:rsidR="00F0001D" w:rsidP="175FA130" w:rsidRDefault="00F0001D" w14:paraId="56F77891" w14:textId="75D60AC8">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666" w:type="dxa"/>
            <w:tcBorders>
              <w:top w:val="single" w:color="auto" w:sz="4" w:space="0"/>
              <w:left w:val="single" w:color="auto" w:sz="4" w:space="0"/>
              <w:bottom w:val="single" w:color="auto" w:sz="4" w:space="0"/>
              <w:right w:val="single" w:color="auto" w:sz="4" w:space="0"/>
            </w:tcBorders>
            <w:shd w:val="clear" w:color="auto" w:fill="00B050"/>
            <w:tcMar/>
            <w:vAlign w:val="center"/>
          </w:tcPr>
          <w:p w:rsidRPr="003930CD" w:rsidR="00F0001D" w:rsidP="175FA130" w:rsidRDefault="00F0001D" w14:paraId="298D9F92" w14:textId="202DF314">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686" w:type="dxa"/>
            <w:tcBorders>
              <w:top w:val="single" w:color="auto" w:sz="4" w:space="0"/>
              <w:left w:val="single" w:color="auto" w:sz="4" w:space="0"/>
              <w:bottom w:val="single" w:color="auto" w:sz="4" w:space="0"/>
              <w:right w:val="single" w:color="auto" w:sz="4" w:space="0"/>
            </w:tcBorders>
            <w:shd w:val="clear" w:color="auto" w:fill="00B050"/>
            <w:tcMar/>
            <w:vAlign w:val="center"/>
          </w:tcPr>
          <w:p w:rsidRPr="003930CD" w:rsidR="00F0001D" w:rsidP="175FA130" w:rsidRDefault="00F0001D" w14:paraId="7128E66B" w14:textId="1DD2FE17">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w:t>
            </w:r>
          </w:p>
        </w:tc>
        <w:tc>
          <w:tcPr>
            <w:tcW w:w="267" w:type="dxa"/>
            <w:tcBorders>
              <w:top w:val="single" w:color="auto" w:sz="4" w:space="0"/>
              <w:left w:val="single" w:color="auto" w:sz="4" w:space="0"/>
              <w:bottom w:val="single" w:color="auto" w:sz="4" w:space="0"/>
              <w:right w:val="single" w:color="auto" w:sz="4" w:space="0"/>
            </w:tcBorders>
            <w:shd w:val="clear" w:color="auto" w:fill="00B050"/>
            <w:tcMar/>
          </w:tcPr>
          <w:p w:rsidRPr="003930CD" w:rsidR="00F0001D" w:rsidP="00F0001D" w:rsidRDefault="00F0001D" w14:paraId="4339ABC7" w14:textId="7B89D121">
            <w:pPr>
              <w:jc w:val="center"/>
              <w:rPr>
                <w:rFonts w:ascii="Arial" w:hAnsi="Arial" w:eastAsia="Arial" w:cs="Arial"/>
                <w:color w:val="000000" w:themeColor="text1"/>
                <w:sz w:val="18"/>
                <w:szCs w:val="18"/>
                <w:lang w:val="es-ES_tradnl"/>
              </w:rPr>
            </w:pPr>
          </w:p>
        </w:tc>
        <w:tc>
          <w:tcPr>
            <w:tcW w:w="317" w:type="dxa"/>
            <w:tcBorders>
              <w:top w:val="nil"/>
              <w:left w:val="single" w:color="auto" w:sz="4" w:space="0"/>
              <w:bottom w:val="single" w:color="auto" w:sz="8" w:space="0"/>
              <w:right w:val="single" w:color="auto" w:sz="4" w:space="0"/>
            </w:tcBorders>
            <w:shd w:val="clear" w:color="auto" w:fill="00B050"/>
            <w:tcMar/>
          </w:tcPr>
          <w:p w:rsidRPr="003930CD" w:rsidR="00F0001D" w:rsidP="00F0001D" w:rsidRDefault="00F0001D" w14:paraId="748F347D" w14:textId="77777777">
            <w:pPr>
              <w:jc w:val="center"/>
              <w:rPr>
                <w:rFonts w:ascii="Arial" w:hAnsi="Arial" w:eastAsia="Arial" w:cs="Arial"/>
                <w:color w:val="000000" w:themeColor="text1"/>
                <w:sz w:val="18"/>
                <w:szCs w:val="18"/>
                <w:lang w:val="es-ES_tradnl"/>
              </w:rPr>
            </w:pPr>
          </w:p>
        </w:tc>
        <w:tc>
          <w:tcPr>
            <w:tcW w:w="367" w:type="dxa"/>
            <w:tcBorders>
              <w:top w:val="nil"/>
              <w:left w:val="single" w:color="auto" w:sz="4" w:space="0"/>
              <w:bottom w:val="single" w:color="auto" w:sz="8" w:space="0"/>
              <w:right w:val="single" w:color="auto" w:sz="4" w:space="0"/>
            </w:tcBorders>
            <w:shd w:val="clear" w:color="auto" w:fill="00B050"/>
            <w:tcMar/>
          </w:tcPr>
          <w:p w:rsidRPr="003930CD" w:rsidR="00F0001D" w:rsidP="00F0001D" w:rsidRDefault="00F0001D" w14:paraId="34442647" w14:textId="77777777">
            <w:pPr>
              <w:jc w:val="center"/>
              <w:rPr>
                <w:rFonts w:ascii="Arial" w:hAnsi="Arial" w:eastAsia="Arial" w:cs="Arial"/>
                <w:color w:val="000000" w:themeColor="text1"/>
                <w:sz w:val="18"/>
                <w:szCs w:val="18"/>
                <w:lang w:val="es-ES_tradnl"/>
              </w:rPr>
            </w:pPr>
          </w:p>
        </w:tc>
        <w:tc>
          <w:tcPr>
            <w:tcW w:w="387" w:type="dxa"/>
            <w:tcBorders>
              <w:top w:val="nil"/>
              <w:left w:val="single" w:color="auto" w:sz="4" w:space="0"/>
              <w:bottom w:val="single" w:color="auto" w:sz="8" w:space="0"/>
              <w:right w:val="single" w:color="auto" w:sz="4" w:space="0"/>
            </w:tcBorders>
            <w:shd w:val="clear" w:color="auto" w:fill="00B050"/>
            <w:tcMar/>
          </w:tcPr>
          <w:p w:rsidRPr="003930CD" w:rsidR="00F0001D" w:rsidP="00F0001D" w:rsidRDefault="00F0001D" w14:paraId="1B720A84" w14:textId="77777777">
            <w:pPr>
              <w:jc w:val="center"/>
              <w:rPr>
                <w:rFonts w:ascii="Arial" w:hAnsi="Arial" w:eastAsia="Arial" w:cs="Arial"/>
                <w:color w:val="000000" w:themeColor="text1"/>
                <w:sz w:val="18"/>
                <w:szCs w:val="18"/>
                <w:lang w:val="es-ES_tradnl"/>
              </w:rPr>
            </w:pPr>
          </w:p>
        </w:tc>
        <w:tc>
          <w:tcPr>
            <w:tcW w:w="1337" w:type="dxa"/>
            <w:tcBorders>
              <w:top w:val="nil"/>
              <w:left w:val="single" w:color="auto" w:sz="4" w:space="0"/>
              <w:bottom w:val="single" w:color="auto" w:sz="8" w:space="0"/>
              <w:right w:val="single" w:color="auto" w:sz="8" w:space="0"/>
            </w:tcBorders>
            <w:shd w:val="clear" w:color="auto" w:fill="auto"/>
            <w:noWrap/>
            <w:tcMar/>
            <w:vAlign w:val="center"/>
            <w:hideMark/>
          </w:tcPr>
          <w:p w:rsidRPr="003930CD" w:rsidR="00F0001D" w:rsidP="175FA130" w:rsidRDefault="00F0001D" w14:paraId="6ED93D39" w14:textId="642285C0"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BID</w:t>
            </w:r>
          </w:p>
        </w:tc>
        <w:tc>
          <w:tcPr>
            <w:tcW w:w="728" w:type="dxa"/>
            <w:tcBorders>
              <w:top w:val="nil"/>
              <w:left w:val="nil"/>
              <w:bottom w:val="single" w:color="auto" w:sz="8" w:space="0"/>
              <w:right w:val="single" w:color="auto" w:sz="8" w:space="0"/>
            </w:tcBorders>
            <w:shd w:val="clear" w:color="auto" w:fill="auto"/>
            <w:tcMar/>
            <w:vAlign w:val="center"/>
            <w:hideMark/>
          </w:tcPr>
          <w:p w:rsidRPr="003930CD" w:rsidR="00F0001D" w:rsidP="175FA130" w:rsidRDefault="00F0001D" w14:paraId="1F0E98CA" w14:textId="77777777">
            <w:pPr>
              <w:jc w:val="right"/>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0</w:t>
            </w:r>
          </w:p>
        </w:tc>
        <w:tc>
          <w:tcPr>
            <w:tcW w:w="1540" w:type="dxa"/>
            <w:tcBorders>
              <w:top w:val="nil"/>
              <w:left w:val="nil"/>
              <w:bottom w:val="single" w:color="auto" w:sz="8" w:space="0"/>
              <w:right w:val="single" w:color="auto" w:sz="8" w:space="0"/>
            </w:tcBorders>
            <w:shd w:val="clear" w:color="auto" w:fill="auto"/>
            <w:tcMar/>
            <w:vAlign w:val="center"/>
            <w:hideMark/>
          </w:tcPr>
          <w:p w:rsidRPr="003930CD" w:rsidR="00F0001D" w:rsidP="175FA130" w:rsidRDefault="00F0001D" w14:paraId="0E083236"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xml:space="preserve">Cubierto por gasto operativo regular del Banco </w:t>
            </w:r>
          </w:p>
        </w:tc>
      </w:tr>
    </w:tbl>
    <w:p w:rsidRPr="003930CD" w:rsidR="00A010D5" w:rsidP="175FA130" w:rsidRDefault="4EAF959F" w14:paraId="676CC7A3" w14:textId="77777777" w14:noSpellErr="1">
      <w:pPr>
        <w:pStyle w:val="Chapter"/>
        <w:tabs>
          <w:tab w:val="clear" w:pos="1440"/>
          <w:tab w:val="clear" w:pos="4900"/>
          <w:tab w:val="num" w:pos="0"/>
        </w:tabs>
        <w:spacing w:before="240"/>
        <w:ind w:left="0" w:firstLine="0"/>
        <w:outlineLvl w:val="0"/>
        <w:rPr>
          <w:rFonts w:ascii="Arial" w:hAnsi="Arial" w:eastAsia="Arial" w:cs="Arial"/>
          <w:sz w:val="22"/>
          <w:szCs w:val="22"/>
          <w:lang w:val="es-ES"/>
        </w:rPr>
      </w:pPr>
      <w:r w:rsidRPr="175FA130" w:rsidR="175FA130">
        <w:rPr>
          <w:rFonts w:ascii="Arial" w:hAnsi="Arial" w:eastAsia="Arial" w:cs="Arial"/>
          <w:sz w:val="22"/>
          <w:szCs w:val="22"/>
          <w:lang w:val="es-ES"/>
        </w:rPr>
        <w:t>Evaluación</w:t>
      </w:r>
      <w:bookmarkEnd w:id="21"/>
    </w:p>
    <w:p w:rsidRPr="003930CD" w:rsidR="0004636C" w:rsidP="175FA130" w:rsidRDefault="4EAF959F" w14:paraId="5333B39F" w14:textId="45F49DF7" w14:noSpellErr="1">
      <w:pPr>
        <w:pStyle w:val="Paragraph"/>
        <w:numPr>
          <w:ilvl w:val="1"/>
          <w:numId w:val="31"/>
        </w:numPr>
        <w:tabs>
          <w:tab w:val="num" w:pos="720"/>
        </w:tabs>
        <w:rPr>
          <w:rFonts w:ascii="Arial" w:hAnsi="Arial" w:eastAsia="Arial" w:cs="Arial"/>
          <w:sz w:val="22"/>
          <w:szCs w:val="22"/>
          <w:lang w:val="es-ES"/>
        </w:rPr>
      </w:pPr>
      <w:r w:rsidRPr="175FA130" w:rsidR="175FA130">
        <w:rPr>
          <w:rFonts w:ascii="Arial" w:hAnsi="Arial" w:eastAsia="Arial" w:cs="Arial"/>
          <w:sz w:val="22"/>
          <w:szCs w:val="22"/>
          <w:lang w:val="es-ES"/>
        </w:rPr>
        <w:t xml:space="preserve">La evaluación de los resultados del proyecto se realizará como parte de la preparación del informe de finalización de la operación (PCR) </w:t>
      </w:r>
      <w:r w:rsidRPr="175FA130" w:rsidR="175FA130">
        <w:rPr>
          <w:rFonts w:ascii="Arial" w:hAnsi="Arial" w:eastAsia="Arial" w:cs="Arial"/>
          <w:sz w:val="22"/>
          <w:szCs w:val="22"/>
          <w:lang w:val="es-ES"/>
        </w:rPr>
        <w:t>que será preparado para las dos operaciones conjuntas 12 meses después de la finalización de la segunda operación (2019)</w:t>
      </w:r>
      <w:r w:rsidRPr="175FA130" w:rsidR="175FA130">
        <w:rPr>
          <w:rFonts w:ascii="Arial" w:hAnsi="Arial" w:eastAsia="Arial" w:cs="Arial"/>
          <w:sz w:val="22"/>
          <w:szCs w:val="22"/>
          <w:lang w:val="es-ES"/>
        </w:rPr>
        <w:t>,</w:t>
      </w:r>
      <w:r w:rsidRPr="175FA130" w:rsidR="175FA130">
        <w:rPr>
          <w:rFonts w:ascii="Arial" w:hAnsi="Arial" w:eastAsia="Arial" w:cs="Arial"/>
          <w:sz w:val="22"/>
          <w:szCs w:val="22"/>
          <w:lang w:val="es-ES"/>
        </w:rPr>
        <w:t xml:space="preserve"> </w:t>
      </w:r>
      <w:r w:rsidRPr="175FA130" w:rsidR="175FA130">
        <w:rPr>
          <w:rFonts w:ascii="Arial" w:hAnsi="Arial" w:eastAsia="Arial" w:cs="Arial"/>
          <w:sz w:val="22"/>
          <w:szCs w:val="22"/>
          <w:lang w:val="es-ES"/>
        </w:rPr>
        <w:t>y posteriormente a través de los informes de la Encuesta Nacional de Demografía y Salud de Honduras (ENDESA). Los indicadores de impacto y resultados pueden verse en la tabla III.A.</w:t>
      </w:r>
    </w:p>
    <w:p w:rsidRPr="003930CD" w:rsidR="005307A3" w:rsidP="175FA130" w:rsidRDefault="00330812" w14:paraId="017EBAD3" w14:textId="2567ACD7" w14:noSpellErr="1">
      <w:pPr>
        <w:pStyle w:val="Paragraph"/>
        <w:numPr>
          <w:numId w:val="0"/>
        </w:numPr>
        <w:tabs>
          <w:tab w:val="num" w:pos="4900"/>
        </w:tabs>
        <w:ind w:left="720"/>
        <w:rPr>
          <w:rFonts w:ascii="Arial" w:hAnsi="Arial" w:eastAsia="Arial" w:cs="Arial"/>
          <w:sz w:val="22"/>
          <w:szCs w:val="22"/>
          <w:lang w:val="es-ES"/>
        </w:rPr>
      </w:pPr>
      <w:r w:rsidRPr="175FA130" w:rsidR="175FA130">
        <w:rPr>
          <w:rFonts w:ascii="Arial" w:hAnsi="Arial" w:eastAsia="Arial" w:cs="Arial"/>
          <w:sz w:val="22"/>
          <w:szCs w:val="22"/>
          <w:lang w:val="es-ES"/>
        </w:rPr>
        <w:t>Indicadores de impacto</w:t>
      </w:r>
    </w:p>
    <w:p w:rsidRPr="003930CD" w:rsidR="00827D01" w:rsidP="175FA130" w:rsidRDefault="4EAF959F" w14:paraId="75D1DEE1" w14:textId="2F688F2C" w14:noSpellErr="1">
      <w:pPr>
        <w:pStyle w:val="Paragraph"/>
        <w:tabs>
          <w:tab w:val="num" w:pos="720"/>
        </w:tabs>
        <w:ind w:left="720"/>
        <w:rPr>
          <w:rFonts w:ascii="Arial" w:hAnsi="Arial" w:eastAsia="Arial" w:cs="Arial"/>
          <w:sz w:val="22"/>
          <w:szCs w:val="22"/>
          <w:lang w:val="es-ES"/>
        </w:rPr>
      </w:pPr>
      <w:r w:rsidRPr="175FA130" w:rsidR="175FA130">
        <w:rPr>
          <w:rFonts w:ascii="Arial" w:hAnsi="Arial" w:eastAsia="Arial" w:cs="Arial"/>
          <w:sz w:val="22"/>
          <w:szCs w:val="22"/>
          <w:lang w:val="es-ES"/>
        </w:rPr>
        <w:t xml:space="preserve">Los indicadores de impacto son mortalidad materna y mortalidad infantil. En el caso de mortalidad infantil el indicador se debe calcular de la ENDESA. La ENDESA es una encuesta de salud que se implementa cada </w:t>
      </w:r>
      <w:r w:rsidRPr="175FA130" w:rsidR="175FA130">
        <w:rPr>
          <w:rFonts w:ascii="Arial" w:hAnsi="Arial" w:eastAsia="Arial" w:cs="Arial"/>
          <w:sz w:val="22"/>
          <w:szCs w:val="22"/>
          <w:lang w:val="es-ES"/>
        </w:rPr>
        <w:t xml:space="preserve">cinco </w:t>
      </w:r>
      <w:r w:rsidRPr="175FA130" w:rsidR="175FA130">
        <w:rPr>
          <w:rFonts w:ascii="Arial" w:hAnsi="Arial" w:eastAsia="Arial" w:cs="Arial"/>
          <w:sz w:val="22"/>
          <w:szCs w:val="22"/>
          <w:lang w:val="es-ES"/>
        </w:rPr>
        <w:t xml:space="preserve">años, la última encuesta de este tipo se levantó en 2011/12, sin embargo, no se espera que la siguiente ENDESA se levante en el 2017. Dado que se espera que el impacto de la operación se haga efectivo al menos cinco años a partir del cumplimiento de condiciones los indicadores se levantaran de la encuesta ENDESA más cercana al año 2022. </w:t>
      </w:r>
    </w:p>
    <w:p w:rsidRPr="003930CD" w:rsidR="00827D01" w:rsidP="175FA130" w:rsidRDefault="4EAF959F" w14:paraId="0F6060B8" w14:textId="5137D953">
      <w:pPr>
        <w:pStyle w:val="Paragraph"/>
        <w:tabs>
          <w:tab w:val="num" w:pos="720"/>
        </w:tabs>
        <w:ind w:left="720"/>
        <w:rPr>
          <w:rFonts w:ascii="Arial" w:hAnsi="Arial" w:eastAsia="Arial" w:cs="Arial"/>
          <w:sz w:val="22"/>
          <w:szCs w:val="22"/>
          <w:lang w:val="es-ES"/>
        </w:rPr>
      </w:pPr>
      <w:r w:rsidRPr="175FA130" w:rsidR="175FA130">
        <w:rPr>
          <w:rFonts w:ascii="Arial" w:hAnsi="Arial" w:eastAsia="Arial" w:cs="Arial"/>
          <w:sz w:val="22"/>
          <w:szCs w:val="22"/>
          <w:lang w:val="es-ES"/>
        </w:rPr>
        <w:t>El indicador de mortalidad materna se calculará del estudio de Ramos. El método “RAMOS” por sus siglas en Ingles (</w:t>
      </w:r>
      <w:proofErr w:type="spellStart"/>
      <w:r w:rsidRPr="175FA130" w:rsidR="175FA130">
        <w:rPr>
          <w:rFonts w:ascii="Arial" w:hAnsi="Arial" w:eastAsia="Arial" w:cs="Arial"/>
          <w:sz w:val="22"/>
          <w:szCs w:val="22"/>
          <w:lang w:val="es-ES"/>
        </w:rPr>
        <w:t>Reproductive</w:t>
      </w:r>
      <w:proofErr w:type="spellEnd"/>
      <w:r w:rsidRPr="175FA130" w:rsidR="175FA130">
        <w:rPr>
          <w:rFonts w:ascii="Arial" w:hAnsi="Arial" w:eastAsia="Arial" w:cs="Arial"/>
          <w:sz w:val="22"/>
          <w:szCs w:val="22"/>
          <w:lang w:val="es-ES"/>
        </w:rPr>
        <w:t xml:space="preserve"> Age </w:t>
      </w:r>
      <w:proofErr w:type="spellStart"/>
      <w:r w:rsidRPr="175FA130" w:rsidR="175FA130">
        <w:rPr>
          <w:rFonts w:ascii="Arial" w:hAnsi="Arial" w:eastAsia="Arial" w:cs="Arial"/>
          <w:sz w:val="22"/>
          <w:szCs w:val="22"/>
          <w:lang w:val="es-ES"/>
        </w:rPr>
        <w:t>Mortality</w:t>
      </w:r>
      <w:proofErr w:type="spellEnd"/>
      <w:r w:rsidRPr="175FA130" w:rsidR="175FA130">
        <w:rPr>
          <w:rFonts w:ascii="Arial" w:hAnsi="Arial" w:eastAsia="Arial" w:cs="Arial"/>
          <w:sz w:val="22"/>
          <w:szCs w:val="22"/>
          <w:lang w:val="es-ES"/>
        </w:rPr>
        <w:t xml:space="preserve"> </w:t>
      </w:r>
      <w:proofErr w:type="spellStart"/>
      <w:r w:rsidRPr="175FA130" w:rsidR="175FA130">
        <w:rPr>
          <w:rFonts w:ascii="Arial" w:hAnsi="Arial" w:eastAsia="Arial" w:cs="Arial"/>
          <w:sz w:val="22"/>
          <w:szCs w:val="22"/>
          <w:lang w:val="es-ES"/>
        </w:rPr>
        <w:t>Survey</w:t>
      </w:r>
      <w:proofErr w:type="spellEnd"/>
      <w:r w:rsidRPr="175FA130" w:rsidR="175FA130">
        <w:rPr>
          <w:rFonts w:ascii="Arial" w:hAnsi="Arial" w:eastAsia="Arial" w:cs="Arial"/>
          <w:sz w:val="22"/>
          <w:szCs w:val="22"/>
          <w:lang w:val="es-ES"/>
        </w:rPr>
        <w:t xml:space="preserve">), es un tipo de estudio de todas las muertes de las mujeres en edad reproductiva (10 a 49 años) en el que se identifican las causas de cada muerte y los mecanismos que hubieran podido prevenirla. La </w:t>
      </w:r>
      <w:r w:rsidRPr="175FA130" w:rsidR="175FA130">
        <w:rPr>
          <w:rFonts w:ascii="Arial" w:hAnsi="Arial" w:eastAsia="Arial" w:cs="Arial"/>
          <w:sz w:val="22"/>
          <w:szCs w:val="22"/>
          <w:lang w:val="es-ES"/>
        </w:rPr>
        <w:t>SESAL</w:t>
      </w:r>
      <w:r w:rsidRPr="175FA130" w:rsidR="175FA130">
        <w:rPr>
          <w:rFonts w:ascii="Arial" w:hAnsi="Arial" w:eastAsia="Arial" w:cs="Arial"/>
          <w:sz w:val="22"/>
          <w:szCs w:val="22"/>
          <w:lang w:val="es-ES"/>
        </w:rPr>
        <w:t xml:space="preserve"> a través de la Dirección General de Vigilancia, el Programa de Atención Integral a la familia, personal a nivel de las regiones sanitarias y hospitalaria, con la ayuda financiera de la Agencia Española (AECID), Fondo de Población de las Naciones Unidas (UNFPA) y la cooperación técnica y financiera de la Organización Panamericana de la Salud (OPS/OMS) y Agencia de los Estados Unidos para el Desarrollo Internacional en Honduras (USAID), realizó la investigación a la que se le llamó “Actualización de la Razón de la mortalidad materna”, que  se obtiene a través de la realización de encuestas sobre mortalidad de mujeres en edad reproductiva, para generar evidencia científica que contribuya para la toma de decisiones en la mejora de la salud de la mujer. Los estudios de Ramos en honduras se han calculado en 1990, 1997 y 2010, se espera que el próximo estudio se calcule alrededor de 2020, con lo cual se capturarían os efectos de la operación.</w:t>
      </w:r>
    </w:p>
    <w:p w:rsidRPr="003930CD" w:rsidR="00827D01" w:rsidP="175FA130" w:rsidRDefault="4EAF959F" w14:paraId="7F6B1EF9" w14:textId="77777777" w14:noSpellErr="1">
      <w:pPr>
        <w:pStyle w:val="Paragraph"/>
        <w:tabs>
          <w:tab w:val="num" w:pos="720"/>
        </w:tabs>
        <w:ind w:left="720"/>
        <w:rPr>
          <w:rFonts w:ascii="Arial" w:hAnsi="Arial" w:eastAsia="Arial" w:cs="Arial"/>
          <w:sz w:val="22"/>
          <w:szCs w:val="22"/>
          <w:lang w:val="es-ES"/>
        </w:rPr>
      </w:pPr>
      <w:r w:rsidRPr="175FA130" w:rsidR="175FA130">
        <w:rPr>
          <w:rFonts w:ascii="Arial" w:hAnsi="Arial" w:eastAsia="Arial" w:cs="Arial"/>
          <w:sz w:val="22"/>
          <w:szCs w:val="22"/>
          <w:lang w:val="es-ES"/>
        </w:rPr>
        <w:t>Dado que los indicadores del proyecto se calculan nivel nacional y que se espera que los cambios de política resultantes de la operación tengan un impacto en todo el país no es posible la construcción de un grupo de control, por lo tanto no será posible calcular el impacto atribuible del proyecto en los indicadores mencionados.</w:t>
      </w:r>
    </w:p>
    <w:p w:rsidRPr="003930CD" w:rsidR="00827D01" w:rsidP="175FA130" w:rsidRDefault="4EAF959F" w14:paraId="4B903622" w14:textId="77777777" w14:noSpellErr="1">
      <w:pPr>
        <w:pStyle w:val="Paragraph"/>
        <w:numPr>
          <w:numId w:val="0"/>
        </w:numPr>
        <w:tabs>
          <w:tab w:val="num" w:pos="4900"/>
        </w:tabs>
        <w:ind w:left="720"/>
        <w:rPr>
          <w:rFonts w:ascii="Arial" w:hAnsi="Arial" w:eastAsia="Arial" w:cs="Arial"/>
          <w:sz w:val="22"/>
          <w:szCs w:val="22"/>
          <w:lang w:val="es-ES"/>
        </w:rPr>
      </w:pPr>
      <w:r w:rsidRPr="175FA130" w:rsidR="175FA130">
        <w:rPr>
          <w:rFonts w:ascii="Arial" w:hAnsi="Arial" w:eastAsia="Arial" w:cs="Arial"/>
          <w:sz w:val="22"/>
          <w:szCs w:val="22"/>
          <w:lang w:val="es-ES"/>
        </w:rPr>
        <w:t>Indicadores de resultados:</w:t>
      </w:r>
    </w:p>
    <w:p w:rsidRPr="003930CD" w:rsidR="00827D01" w:rsidP="175FA130" w:rsidRDefault="4EAF959F" w14:paraId="7679A3F8" w14:textId="77777777" w14:noSpellErr="1">
      <w:pPr>
        <w:pStyle w:val="Paragraph"/>
        <w:tabs>
          <w:tab w:val="num" w:pos="720"/>
        </w:tabs>
        <w:ind w:left="720"/>
        <w:rPr>
          <w:rFonts w:ascii="Arial" w:hAnsi="Arial" w:eastAsia="Arial" w:cs="Arial"/>
          <w:sz w:val="22"/>
          <w:szCs w:val="22"/>
          <w:lang w:val="es-ES"/>
        </w:rPr>
      </w:pPr>
      <w:r w:rsidRPr="175FA130" w:rsidR="175FA130">
        <w:rPr>
          <w:rFonts w:ascii="Arial" w:hAnsi="Arial" w:eastAsia="Arial" w:cs="Arial"/>
          <w:sz w:val="22"/>
          <w:szCs w:val="22"/>
          <w:lang w:val="es-ES"/>
        </w:rPr>
        <w:t>Los indicadores de resultados de la operación corresponden las mejoras institucionales que se espera lograr con el cumplimiento de las condiciones de política de la operación. Por consiguiente, se la información del logro de dichos indicadores debe ser generada por informes institucionales o sistemas administrativos de la SESAL. Para la verificación del cumplimiento de indicadores se contratará un consultor independiente que como parte de los insumos del PCR de la operación debe preparar un informe que construya todos los indicadores de resultado de la matriz.</w:t>
      </w:r>
    </w:p>
    <w:p w:rsidRPr="003930CD" w:rsidR="008D1816" w:rsidP="00F64334" w:rsidRDefault="008D1816" w14:paraId="33945755" w14:textId="77777777">
      <w:pPr>
        <w:pStyle w:val="Paragraph"/>
        <w:numPr>
          <w:ilvl w:val="0"/>
          <w:numId w:val="0"/>
        </w:numPr>
        <w:tabs>
          <w:tab w:val="num" w:pos="4900"/>
        </w:tabs>
        <w:ind w:left="720"/>
        <w:rPr>
          <w:rFonts w:ascii="Arial" w:hAnsi="Arial" w:cs="Arial"/>
          <w:sz w:val="22"/>
          <w:szCs w:val="22"/>
          <w:lang w:val="es-ES_tradnl"/>
        </w:rPr>
      </w:pPr>
    </w:p>
    <w:p w:rsidRPr="003930CD" w:rsidR="00032264" w:rsidRDefault="00032264" w14:paraId="0D63C1EF" w14:textId="77777777">
      <w:pPr>
        <w:rPr>
          <w:rFonts w:ascii="Arial" w:hAnsi="Arial" w:cs="Arial"/>
          <w:b/>
          <w:sz w:val="22"/>
          <w:szCs w:val="22"/>
          <w:lang w:val="es-ES_tradnl"/>
        </w:rPr>
      </w:pPr>
    </w:p>
    <w:p w:rsidRPr="003930CD" w:rsidR="00032264" w:rsidRDefault="00032264" w14:paraId="4713AB44" w14:textId="77777777">
      <w:pPr>
        <w:rPr>
          <w:rFonts w:ascii="Arial" w:hAnsi="Arial" w:cs="Arial"/>
          <w:b/>
          <w:sz w:val="22"/>
          <w:szCs w:val="22"/>
          <w:lang w:val="es-ES_tradnl"/>
        </w:rPr>
      </w:pPr>
    </w:p>
    <w:p w:rsidRPr="003930CD" w:rsidR="00CF3EED" w:rsidRDefault="00CF3EED" w14:paraId="578FAD16" w14:textId="77777777">
      <w:pPr>
        <w:rPr>
          <w:rFonts w:ascii="Arial" w:hAnsi="Arial" w:cs="Arial"/>
          <w:b/>
          <w:sz w:val="22"/>
          <w:szCs w:val="22"/>
          <w:lang w:val="es-ES_tradnl"/>
        </w:rPr>
      </w:pPr>
    </w:p>
    <w:p w:rsidRPr="003930CD" w:rsidR="00032264" w:rsidRDefault="00032264" w14:paraId="06F0DDA4" w14:textId="77777777">
      <w:pPr>
        <w:rPr>
          <w:rFonts w:ascii="Arial" w:hAnsi="Arial" w:cs="Arial"/>
          <w:b/>
          <w:sz w:val="22"/>
          <w:szCs w:val="22"/>
          <w:lang w:val="es-ES_tradnl"/>
        </w:rPr>
      </w:pPr>
    </w:p>
    <w:p w:rsidRPr="003930CD" w:rsidR="00CF3EED" w:rsidRDefault="00CF3EED" w14:paraId="3DF000C8" w14:textId="77777777">
      <w:pPr>
        <w:rPr>
          <w:rFonts w:ascii="Arial" w:hAnsi="Arial" w:cs="Arial"/>
          <w:b/>
          <w:sz w:val="22"/>
          <w:szCs w:val="22"/>
          <w:lang w:val="es-ES_tradnl"/>
        </w:rPr>
      </w:pPr>
    </w:p>
    <w:p w:rsidRPr="003930CD" w:rsidR="00CF3EED" w:rsidRDefault="00CF3EED" w14:paraId="3B5ABFB0" w14:textId="77777777">
      <w:pPr>
        <w:rPr>
          <w:rFonts w:ascii="Arial" w:hAnsi="Arial" w:cs="Arial"/>
          <w:b/>
          <w:sz w:val="22"/>
          <w:szCs w:val="22"/>
          <w:lang w:val="es-ES_tradnl"/>
        </w:rPr>
      </w:pPr>
    </w:p>
    <w:p w:rsidRPr="003930CD" w:rsidR="00CF3EED" w:rsidRDefault="00CF3EED" w14:paraId="3BE1ADDA" w14:textId="77777777">
      <w:pPr>
        <w:rPr>
          <w:rFonts w:ascii="Arial" w:hAnsi="Arial" w:cs="Arial"/>
          <w:b/>
          <w:sz w:val="22"/>
          <w:szCs w:val="22"/>
          <w:lang w:val="es-ES_tradnl"/>
        </w:rPr>
      </w:pPr>
    </w:p>
    <w:p w:rsidRPr="003930CD" w:rsidR="00CF3EED" w:rsidRDefault="00CF3EED" w14:paraId="6E0DCF0B" w14:textId="77777777">
      <w:pPr>
        <w:rPr>
          <w:rFonts w:ascii="Arial" w:hAnsi="Arial" w:cs="Arial"/>
          <w:b/>
          <w:sz w:val="22"/>
          <w:szCs w:val="22"/>
          <w:lang w:val="es-ES_tradnl"/>
        </w:rPr>
      </w:pPr>
    </w:p>
    <w:p w:rsidRPr="003930CD" w:rsidR="005307A3" w:rsidP="4EAF959F" w:rsidRDefault="005307A3" w14:paraId="7FDEFA02" w14:textId="4BAB7B71">
      <w:pPr>
        <w:rPr>
          <w:rFonts w:ascii="Arial" w:hAnsi="Arial" w:eastAsia="Arial" w:cs="Arial"/>
          <w:b/>
          <w:bCs/>
          <w:sz w:val="22"/>
          <w:szCs w:val="22"/>
          <w:lang w:val="es-ES_tradnl"/>
        </w:rPr>
      </w:pPr>
    </w:p>
    <w:p w:rsidRPr="003930CD" w:rsidR="005307A3" w:rsidRDefault="005307A3" w14:paraId="282A2620" w14:textId="77777777">
      <w:pPr>
        <w:rPr>
          <w:rFonts w:ascii="Arial" w:hAnsi="Arial" w:cs="Arial"/>
          <w:b/>
          <w:sz w:val="22"/>
          <w:szCs w:val="22"/>
          <w:lang w:val="es-ES_tradnl"/>
        </w:rPr>
      </w:pPr>
    </w:p>
    <w:p w:rsidRPr="003930CD" w:rsidR="005307A3" w:rsidRDefault="005307A3" w14:paraId="740555CA" w14:textId="77777777">
      <w:pPr>
        <w:rPr>
          <w:rFonts w:ascii="Arial" w:hAnsi="Arial" w:cs="Arial"/>
          <w:b/>
          <w:sz w:val="22"/>
          <w:szCs w:val="22"/>
          <w:lang w:val="es-ES_tradnl"/>
        </w:rPr>
      </w:pPr>
    </w:p>
    <w:p w:rsidRPr="003930CD" w:rsidR="005307A3" w:rsidRDefault="005307A3" w14:paraId="0BB9211E" w14:textId="77777777">
      <w:pPr>
        <w:rPr>
          <w:rFonts w:ascii="Arial" w:hAnsi="Arial" w:cs="Arial"/>
          <w:b/>
          <w:sz w:val="22"/>
          <w:szCs w:val="22"/>
          <w:lang w:val="es-ES_tradnl"/>
        </w:rPr>
      </w:pPr>
    </w:p>
    <w:p w:rsidRPr="003930CD" w:rsidR="005307A3" w:rsidRDefault="005307A3" w14:paraId="4DCC1384" w14:textId="77777777">
      <w:pPr>
        <w:rPr>
          <w:rFonts w:ascii="Arial" w:hAnsi="Arial" w:cs="Arial"/>
          <w:b/>
          <w:sz w:val="22"/>
          <w:szCs w:val="22"/>
          <w:lang w:val="es-ES_tradnl"/>
        </w:rPr>
        <w:sectPr w:rsidRPr="003930CD" w:rsidR="005307A3" w:rsidSect="006B6FF7">
          <w:headerReference w:type="default" r:id="rId14"/>
          <w:pgSz w:w="12240" w:h="15840" w:orient="portrait"/>
          <w:pgMar w:top="1440" w:right="1440" w:bottom="1440" w:left="1440" w:header="720" w:footer="720" w:gutter="0"/>
          <w:cols w:space="720"/>
          <w:docGrid w:linePitch="360"/>
        </w:sectPr>
      </w:pPr>
    </w:p>
    <w:tbl>
      <w:tblPr>
        <w:tblW w:w="12940" w:type="dxa"/>
        <w:tblLayout w:type="fixed"/>
        <w:tblCellMar>
          <w:left w:w="70" w:type="dxa"/>
          <w:right w:w="70" w:type="dxa"/>
        </w:tblCellMar>
        <w:tblLook w:val="04A0" w:firstRow="1" w:lastRow="0" w:firstColumn="1" w:lastColumn="0" w:noHBand="0" w:noVBand="1"/>
      </w:tblPr>
      <w:tblGrid>
        <w:gridCol w:w="2950"/>
        <w:gridCol w:w="1260"/>
        <w:gridCol w:w="1080"/>
        <w:gridCol w:w="1620"/>
        <w:gridCol w:w="1800"/>
        <w:gridCol w:w="4230"/>
      </w:tblGrid>
      <w:tr w:rsidRPr="000B08DE" w:rsidR="00330812" w:rsidTr="175FA130" w14:paraId="259B6EA6" w14:textId="77777777">
        <w:trPr>
          <w:trHeight w:val="360"/>
          <w:tblHeader/>
        </w:trPr>
        <w:tc>
          <w:tcPr>
            <w:tcW w:w="12940" w:type="dxa"/>
            <w:gridSpan w:val="6"/>
            <w:tcBorders>
              <w:bottom w:val="single" w:color="auto" w:sz="4" w:space="0"/>
            </w:tcBorders>
            <w:shd w:val="clear" w:color="auto" w:fill="auto"/>
            <w:tcMar/>
            <w:vAlign w:val="center"/>
          </w:tcPr>
          <w:p w:rsidRPr="003930CD" w:rsidR="00330812" w:rsidP="175FA130" w:rsidRDefault="00330812" w14:paraId="343D0FFF" w14:textId="0CAB6922"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sz w:val="22"/>
                <w:szCs w:val="22"/>
                <w:lang w:val="es-ES"/>
              </w:rPr>
              <w:t>Tabla III.A. Indicadores de impacto y Resultados</w:t>
            </w:r>
          </w:p>
        </w:tc>
      </w:tr>
      <w:tr w:rsidRPr="003930CD" w:rsidR="00D763D3" w:rsidTr="175FA130" w14:paraId="6116F58A" w14:textId="77777777">
        <w:trPr>
          <w:trHeight w:val="570"/>
          <w:tblHeader/>
        </w:trPr>
        <w:tc>
          <w:tcPr>
            <w:tcW w:w="2950" w:type="dxa"/>
            <w:tcBorders>
              <w:top w:val="single" w:color="auto" w:sz="4" w:space="0"/>
              <w:left w:val="single" w:color="auto" w:sz="4" w:space="0"/>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4FF234AE"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Impacto</w:t>
            </w:r>
          </w:p>
        </w:tc>
        <w:tc>
          <w:tcPr>
            <w:tcW w:w="1260" w:type="dxa"/>
            <w:tcBorders>
              <w:top w:val="single" w:color="auto" w:sz="4" w:space="0"/>
              <w:left w:val="nil"/>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19DBCAC2"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Unidad de medida</w:t>
            </w:r>
          </w:p>
        </w:tc>
        <w:tc>
          <w:tcPr>
            <w:tcW w:w="1080" w:type="dxa"/>
            <w:tcBorders>
              <w:top w:val="single" w:color="auto" w:sz="4" w:space="0"/>
              <w:left w:val="nil"/>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1FFE3C43"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Línea de Base</w:t>
            </w:r>
          </w:p>
        </w:tc>
        <w:tc>
          <w:tcPr>
            <w:tcW w:w="1620" w:type="dxa"/>
            <w:tcBorders>
              <w:top w:val="single" w:color="auto" w:sz="4" w:space="0"/>
              <w:left w:val="nil"/>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677727D2" w14:textId="6E302A79"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Fin de proyecto 2020</w:t>
            </w:r>
          </w:p>
        </w:tc>
        <w:tc>
          <w:tcPr>
            <w:tcW w:w="1800" w:type="dxa"/>
            <w:tcBorders>
              <w:top w:val="single" w:color="auto" w:sz="4" w:space="0"/>
              <w:left w:val="nil"/>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613F8A50"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 xml:space="preserve">Fuente de verificación </w:t>
            </w:r>
          </w:p>
        </w:tc>
        <w:tc>
          <w:tcPr>
            <w:tcW w:w="4230" w:type="dxa"/>
            <w:tcBorders>
              <w:top w:val="single" w:color="auto" w:sz="4" w:space="0"/>
              <w:left w:val="nil"/>
              <w:bottom w:val="single" w:color="auto" w:sz="4" w:space="0"/>
              <w:right w:val="single" w:color="auto" w:sz="4" w:space="0"/>
            </w:tcBorders>
            <w:shd w:val="clear" w:color="auto" w:fill="C6D9F1" w:themeFill="text2" w:themeFillTint="33"/>
            <w:tcMar/>
            <w:vAlign w:val="center"/>
            <w:hideMark/>
          </w:tcPr>
          <w:p w:rsidRPr="003930CD" w:rsidR="00D763D3" w:rsidP="175FA130" w:rsidRDefault="4EAF959F" w14:paraId="5DAA15E6" w14:textId="77777777" w14:noSpellErr="1">
            <w:pPr>
              <w:jc w:val="center"/>
              <w:rPr>
                <w:rFonts w:ascii="Arial" w:hAnsi="Arial" w:eastAsia="Arial" w:cs="Arial"/>
                <w:b w:val="1"/>
                <w:bCs w:val="1"/>
                <w:color w:val="000000" w:themeColor="text1" w:themeTint="FF" w:themeShade="FF"/>
                <w:sz w:val="20"/>
                <w:szCs w:val="20"/>
                <w:lang w:val="es-ES" w:eastAsia="es-ES"/>
              </w:rPr>
            </w:pPr>
            <w:r w:rsidRPr="175FA130" w:rsidR="175FA130">
              <w:rPr>
                <w:rFonts w:ascii="Arial" w:hAnsi="Arial" w:eastAsia="Arial" w:cs="Arial"/>
                <w:b w:val="1"/>
                <w:bCs w:val="1"/>
                <w:color w:val="000000" w:themeColor="text1" w:themeTint="FF" w:themeShade="FF"/>
                <w:sz w:val="20"/>
                <w:szCs w:val="20"/>
                <w:lang w:val="es-ES" w:eastAsia="es-ES"/>
              </w:rPr>
              <w:t>Notas/observaciones</w:t>
            </w:r>
          </w:p>
        </w:tc>
      </w:tr>
      <w:tr w:rsidRPr="000B08DE" w:rsidR="00D763D3" w:rsidTr="175FA130" w14:paraId="669AD030" w14:textId="77777777">
        <w:trPr>
          <w:trHeight w:val="300"/>
        </w:trPr>
        <w:tc>
          <w:tcPr>
            <w:tcW w:w="295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3930CD" w:rsidR="00D763D3" w:rsidP="175FA130" w:rsidRDefault="4EAF959F" w14:paraId="48D698EE" w14:textId="77777777"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sz w:val="20"/>
                <w:szCs w:val="20"/>
                <w:lang w:val="es-ES"/>
              </w:rPr>
              <w:t>Mortalidad materna</w:t>
            </w:r>
          </w:p>
        </w:tc>
        <w:tc>
          <w:tcPr>
            <w:tcW w:w="1260" w:type="dxa"/>
            <w:tcBorders>
              <w:top w:val="single" w:color="auto" w:sz="4" w:space="0"/>
              <w:left w:val="nil"/>
              <w:bottom w:val="single" w:color="auto" w:sz="4" w:space="0"/>
              <w:right w:val="single" w:color="auto" w:sz="4" w:space="0"/>
            </w:tcBorders>
            <w:shd w:val="clear" w:color="auto" w:fill="auto"/>
            <w:noWrap/>
            <w:tcMar/>
            <w:vAlign w:val="center"/>
          </w:tcPr>
          <w:p w:rsidRPr="003930CD" w:rsidR="00D763D3" w:rsidP="175FA130" w:rsidRDefault="4EAF959F" w14:paraId="6BB5CE95" w14:textId="77777777"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Razón</w:t>
            </w:r>
          </w:p>
        </w:tc>
        <w:tc>
          <w:tcPr>
            <w:tcW w:w="1080" w:type="dxa"/>
            <w:tcBorders>
              <w:top w:val="single" w:color="auto" w:sz="4" w:space="0"/>
              <w:left w:val="nil"/>
              <w:bottom w:val="single" w:color="auto" w:sz="4" w:space="0"/>
              <w:right w:val="single" w:color="auto" w:sz="4" w:space="0"/>
            </w:tcBorders>
            <w:shd w:val="clear" w:color="auto" w:fill="auto"/>
            <w:noWrap/>
            <w:tcMar/>
            <w:vAlign w:val="center"/>
          </w:tcPr>
          <w:p w:rsidRPr="003930CD" w:rsidR="00D763D3" w:rsidP="175FA130" w:rsidRDefault="4EAF959F" w14:paraId="38C30817" w14:textId="77777777">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73</w:t>
            </w:r>
          </w:p>
          <w:p w:rsidRPr="003930CD" w:rsidR="00D763D3" w:rsidP="175FA130" w:rsidRDefault="4EAF959F" w14:paraId="2D1A2BCE" w14:textId="77777777"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(2010)</w:t>
            </w:r>
          </w:p>
        </w:tc>
        <w:tc>
          <w:tcPr>
            <w:tcW w:w="1620" w:type="dxa"/>
            <w:tcBorders>
              <w:top w:val="single" w:color="auto" w:sz="4" w:space="0"/>
              <w:left w:val="nil"/>
              <w:bottom w:val="single" w:color="auto" w:sz="4" w:space="0"/>
              <w:right w:val="single" w:color="auto" w:sz="4" w:space="0"/>
            </w:tcBorders>
            <w:shd w:val="clear" w:color="auto" w:fill="auto"/>
            <w:noWrap/>
            <w:tcMar/>
            <w:vAlign w:val="center"/>
          </w:tcPr>
          <w:p w:rsidRPr="003930CD" w:rsidR="00D763D3" w:rsidP="175FA130" w:rsidRDefault="4EAF959F" w14:paraId="600F4252" w14:textId="59494FD8"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70</w:t>
            </w:r>
            <w:r w:rsidRPr="175FA130" w:rsidR="175FA130">
              <w:rPr>
                <w:rFonts w:ascii="Arial" w:hAnsi="Arial" w:eastAsia="Arial" w:cs="Arial"/>
                <w:color w:val="000000" w:themeColor="text1" w:themeTint="FF" w:themeShade="FF"/>
                <w:sz w:val="20"/>
                <w:szCs w:val="20"/>
                <w:lang w:val="es-ES" w:eastAsia="es-ES"/>
              </w:rPr>
              <w:t xml:space="preserve"> (2018)</w:t>
            </w:r>
          </w:p>
        </w:tc>
        <w:tc>
          <w:tcPr>
            <w:tcW w:w="1800" w:type="dxa"/>
            <w:tcBorders>
              <w:top w:val="single" w:color="auto" w:sz="4" w:space="0"/>
              <w:left w:val="nil"/>
              <w:bottom w:val="single" w:color="auto" w:sz="4" w:space="0"/>
              <w:right w:val="single" w:color="auto" w:sz="4" w:space="0"/>
            </w:tcBorders>
            <w:shd w:val="clear" w:color="auto" w:fill="auto"/>
            <w:noWrap/>
            <w:tcMar/>
            <w:vAlign w:val="center"/>
          </w:tcPr>
          <w:p w:rsidRPr="003930CD" w:rsidR="00D763D3" w:rsidP="175FA130" w:rsidRDefault="4EAF959F" w14:paraId="44701E61" w14:textId="77777777"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sz w:val="20"/>
                <w:szCs w:val="20"/>
                <w:lang w:val="es-ES"/>
              </w:rPr>
              <w:t>Estudio “RAMOS”</w:t>
            </w:r>
            <w:r w:rsidRPr="175FA130" w:rsidR="175FA130">
              <w:rPr>
                <w:rFonts w:ascii="Arial" w:hAnsi="Arial" w:eastAsia="Arial" w:cs="Arial"/>
                <w:color w:val="000000" w:themeColor="text1" w:themeTint="FF" w:themeShade="FF"/>
                <w:sz w:val="20"/>
                <w:szCs w:val="20"/>
                <w:lang w:val="es-ES" w:eastAsia="es-ES"/>
              </w:rPr>
              <w:t xml:space="preserve"> </w:t>
            </w:r>
          </w:p>
        </w:tc>
        <w:tc>
          <w:tcPr>
            <w:tcW w:w="4230" w:type="dxa"/>
            <w:tcBorders>
              <w:top w:val="single" w:color="auto" w:sz="4" w:space="0"/>
              <w:left w:val="nil"/>
              <w:bottom w:val="single" w:color="auto" w:sz="4" w:space="0"/>
              <w:right w:val="single" w:color="auto" w:sz="4" w:space="0"/>
            </w:tcBorders>
            <w:shd w:val="clear" w:color="auto" w:fill="auto"/>
            <w:tcMar/>
            <w:vAlign w:val="center"/>
          </w:tcPr>
          <w:p w:rsidRPr="003930CD" w:rsidR="00B0597D" w:rsidP="175FA130" w:rsidRDefault="4EAF959F" w14:paraId="4A08172A" w14:textId="6C88E888"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La meta se estableció basada en los compromisos para obtener los Objetivo de Desarrollo Sostenible, Honduras 20</w:t>
            </w:r>
            <w:r w:rsidRPr="175FA130" w:rsidR="175FA130">
              <w:rPr>
                <w:rFonts w:ascii="Arial" w:hAnsi="Arial" w:eastAsia="Arial" w:cs="Arial"/>
                <w:color w:val="000000" w:themeColor="text1" w:themeTint="FF" w:themeShade="FF"/>
                <w:sz w:val="20"/>
                <w:szCs w:val="20"/>
                <w:lang w:val="es-ES" w:eastAsia="es-ES"/>
              </w:rPr>
              <w:t>30. El denominador es el número de nacidos vivos en un año específico. El numerador es el número de muertes por causa del embarazo, parto y postparto.</w:t>
            </w:r>
          </w:p>
          <w:p w:rsidRPr="003930CD" w:rsidR="00D763D3" w:rsidP="175FA130" w:rsidRDefault="00B0597D" w14:paraId="1C4A39DF" w14:textId="336D7DDA"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La meta será medida a nivel nacional para los 12 meses previos a la implementación del estudio.</w:t>
            </w:r>
          </w:p>
        </w:tc>
      </w:tr>
      <w:tr w:rsidRPr="000B08DE" w:rsidR="00D763D3" w:rsidTr="175FA130" w14:paraId="6DE592B6" w14:textId="77777777">
        <w:trPr>
          <w:trHeight w:val="411"/>
        </w:trPr>
        <w:tc>
          <w:tcPr>
            <w:tcW w:w="295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930CD" w:rsidR="00D763D3" w:rsidP="175FA130" w:rsidRDefault="4EAF959F" w14:paraId="5C31B9C5" w14:textId="77777777"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sz w:val="20"/>
                <w:szCs w:val="20"/>
                <w:lang w:val="es-ES"/>
              </w:rPr>
              <w:t>Mortalidad infantil</w:t>
            </w:r>
          </w:p>
        </w:tc>
        <w:tc>
          <w:tcPr>
            <w:tcW w:w="126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7AB0AFD3" w14:textId="77777777"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Tasa</w:t>
            </w:r>
          </w:p>
        </w:tc>
        <w:tc>
          <w:tcPr>
            <w:tcW w:w="108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67563C1E" w14:textId="77777777">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24</w:t>
            </w:r>
          </w:p>
          <w:p w:rsidRPr="003930CD" w:rsidR="00D763D3" w:rsidP="175FA130" w:rsidRDefault="4EAF959F" w14:paraId="724D3E83" w14:textId="77777777" w14:noSpellErr="1">
            <w:pPr>
              <w:jc w:val="cente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(2012)</w:t>
            </w:r>
          </w:p>
        </w:tc>
        <w:tc>
          <w:tcPr>
            <w:tcW w:w="162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18640BD9" w14:textId="408EE34A" w14:noSpellErr="1">
            <w:pPr>
              <w:jc w:val="center"/>
              <w:rPr>
                <w:rFonts w:ascii="Arial" w:hAnsi="Arial" w:eastAsia="Arial" w:cs="Arial"/>
                <w:color w:val="000000" w:themeColor="text1" w:themeTint="FF" w:themeShade="FF"/>
                <w:sz w:val="20"/>
                <w:szCs w:val="20"/>
                <w:lang w:val="es-ES" w:eastAsia="es-ES"/>
              </w:rPr>
            </w:pPr>
            <w:r w:rsidRPr="175FA130">
              <w:rPr>
                <w:rFonts w:ascii="Arial" w:hAnsi="Arial" w:eastAsia="Arial" w:cs="Arial"/>
                <w:color w:val="000000" w:themeColor="text1"/>
                <w:sz w:val="20"/>
                <w:szCs w:val="20"/>
                <w:lang w:val="es-ES" w:eastAsia="es-ES"/>
              </w:rPr>
              <w:t>22</w:t>
            </w:r>
            <w:r w:rsidRPr="175FA130" w:rsidR="00B0597D">
              <w:rPr>
                <w:rStyle w:val="FootnoteReference"/>
                <w:rFonts w:ascii="Arial" w:hAnsi="Arial" w:eastAsia="Arial" w:cs="Arial"/>
                <w:color w:val="000000" w:themeColor="text1"/>
                <w:sz w:val="20"/>
                <w:szCs w:val="20"/>
                <w:lang w:val="es-ES" w:eastAsia="es-ES"/>
              </w:rPr>
              <w:footnoteReference w:id="2"/>
            </w:r>
            <w:r w:rsidRPr="175FA130" w:rsidR="00B0597D">
              <w:rPr>
                <w:rFonts w:ascii="Arial" w:hAnsi="Arial" w:eastAsia="Arial" w:cs="Arial"/>
                <w:color w:val="000000" w:themeColor="text1"/>
                <w:sz w:val="20"/>
                <w:szCs w:val="20"/>
                <w:lang w:val="es-ES" w:eastAsia="es-ES"/>
              </w:rPr>
              <w:t>(2022)</w:t>
            </w:r>
          </w:p>
        </w:tc>
        <w:tc>
          <w:tcPr>
            <w:tcW w:w="1800" w:type="dxa"/>
            <w:tcBorders>
              <w:top w:val="single" w:color="auto" w:sz="4" w:space="0"/>
              <w:left w:val="nil"/>
              <w:bottom w:val="single" w:color="auto" w:sz="4" w:space="0"/>
              <w:right w:val="single" w:color="auto" w:sz="4" w:space="0"/>
            </w:tcBorders>
            <w:shd w:val="clear" w:color="auto" w:fill="auto"/>
            <w:tcMar/>
            <w:vAlign w:val="center"/>
          </w:tcPr>
          <w:p w:rsidRPr="003930CD" w:rsidR="00D763D3" w:rsidP="175FA130" w:rsidRDefault="4EAF959F" w14:paraId="512738CE" w14:textId="77777777"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Encuesta de Demografía y Salud (ENDESA)</w:t>
            </w:r>
          </w:p>
        </w:tc>
        <w:tc>
          <w:tcPr>
            <w:tcW w:w="4230" w:type="dxa"/>
            <w:tcBorders>
              <w:top w:val="single" w:color="auto" w:sz="4" w:space="0"/>
              <w:left w:val="nil"/>
              <w:bottom w:val="single" w:color="auto" w:sz="4" w:space="0"/>
              <w:right w:val="single" w:color="auto" w:sz="4" w:space="0"/>
            </w:tcBorders>
            <w:shd w:val="clear" w:color="auto" w:fill="auto"/>
            <w:tcMar/>
            <w:vAlign w:val="center"/>
          </w:tcPr>
          <w:p w:rsidRPr="003930CD" w:rsidR="00B0597D" w:rsidP="175FA130" w:rsidRDefault="4EAF959F" w14:paraId="3E704488" w14:textId="45C1DF68"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 xml:space="preserve">La meta se estableció </w:t>
            </w:r>
            <w:r w:rsidRPr="175FA130" w:rsidR="175FA130">
              <w:rPr>
                <w:rFonts w:ascii="Arial" w:hAnsi="Arial" w:eastAsia="Arial" w:cs="Arial"/>
                <w:color w:val="000000" w:themeColor="text1" w:themeTint="FF" w:themeShade="FF"/>
                <w:sz w:val="20"/>
                <w:szCs w:val="20"/>
                <w:lang w:val="es-ES" w:eastAsia="es-ES"/>
              </w:rPr>
              <w:t>basada</w:t>
            </w:r>
            <w:r w:rsidRPr="175FA130" w:rsidR="175FA130">
              <w:rPr>
                <w:rFonts w:ascii="Arial" w:hAnsi="Arial" w:eastAsia="Arial" w:cs="Arial"/>
                <w:color w:val="000000" w:themeColor="text1" w:themeTint="FF" w:themeShade="FF"/>
                <w:sz w:val="20"/>
                <w:szCs w:val="20"/>
                <w:lang w:val="es-ES" w:eastAsia="es-ES"/>
              </w:rPr>
              <w:t xml:space="preserve"> en la tendencia histórica de reducción de MI incluido en proyección de la tasa MI 2013-2015, Instituto Nacional de Estadísticas</w:t>
            </w:r>
            <w:r w:rsidRPr="175FA130" w:rsidR="175FA130">
              <w:rPr>
                <w:rFonts w:ascii="Arial" w:hAnsi="Arial" w:eastAsia="Arial" w:cs="Arial"/>
                <w:color w:val="000000" w:themeColor="text1" w:themeTint="FF" w:themeShade="FF"/>
                <w:sz w:val="20"/>
                <w:szCs w:val="20"/>
                <w:lang w:val="es-ES" w:eastAsia="es-ES"/>
              </w:rPr>
              <w:t xml:space="preserve">. El denominador son nacidos vivos en un año específico. El numerador es el número de niños muertos menores de un año. </w:t>
            </w:r>
          </w:p>
          <w:p w:rsidRPr="003930CD" w:rsidR="00D763D3" w:rsidP="175FA130" w:rsidRDefault="00B0597D" w14:paraId="68BB20C8" w14:textId="7401EEA5" w14:noSpellErr="1">
            <w:pPr>
              <w:rPr>
                <w:rFonts w:ascii="Arial" w:hAnsi="Arial" w:eastAsia="Arial" w:cs="Arial"/>
                <w:color w:val="000000" w:themeColor="text1" w:themeTint="FF" w:themeShade="FF"/>
                <w:sz w:val="20"/>
                <w:szCs w:val="20"/>
                <w:lang w:val="es-ES" w:eastAsia="es-ES"/>
              </w:rPr>
            </w:pPr>
            <w:r w:rsidRPr="175FA130" w:rsidR="175FA130">
              <w:rPr>
                <w:rFonts w:ascii="Arial" w:hAnsi="Arial" w:eastAsia="Arial" w:cs="Arial"/>
                <w:color w:val="000000" w:themeColor="text1" w:themeTint="FF" w:themeShade="FF"/>
                <w:sz w:val="20"/>
                <w:szCs w:val="20"/>
                <w:lang w:val="es-ES" w:eastAsia="es-ES"/>
              </w:rPr>
              <w:t>La meta será medida a nivel nacional para los 12 meses previos a la implementación de la encuesta.</w:t>
            </w:r>
          </w:p>
        </w:tc>
      </w:tr>
    </w:tbl>
    <w:p w:rsidRPr="003930CD" w:rsidR="00D763D3" w:rsidP="003930CD" w:rsidRDefault="00D763D3" w14:paraId="1B3A4C33" w14:textId="77777777">
      <w:pPr>
        <w:jc w:val="center"/>
        <w:rPr>
          <w:rFonts w:ascii="Arial" w:hAnsi="Arial" w:cs="Arial"/>
          <w:b/>
          <w:lang w:val="es-ES_tradnl"/>
        </w:rPr>
      </w:pPr>
    </w:p>
    <w:tbl>
      <w:tblPr>
        <w:tblStyle w:val="TableGrid"/>
        <w:tblW w:w="12955" w:type="dxa"/>
        <w:tblLayout w:type="fixed"/>
        <w:tblLook w:val="04A0" w:firstRow="1" w:lastRow="0" w:firstColumn="1" w:lastColumn="0" w:noHBand="0" w:noVBand="1"/>
      </w:tblPr>
      <w:tblGrid>
        <w:gridCol w:w="2886"/>
        <w:gridCol w:w="1257"/>
        <w:gridCol w:w="1342"/>
        <w:gridCol w:w="1440"/>
        <w:gridCol w:w="1733"/>
        <w:gridCol w:w="4297"/>
      </w:tblGrid>
      <w:tr w:rsidRPr="003930CD" w:rsidR="00F64334" w:rsidTr="175FA130" w14:paraId="75F0C91B" w14:textId="77777777">
        <w:trPr>
          <w:cnfStyle w:val="100000000000" w:firstRow="1" w:lastRow="0" w:firstColumn="0" w:lastColumn="0" w:oddVBand="0" w:evenVBand="0" w:oddHBand="0" w:evenHBand="0" w:firstRowFirstColumn="0" w:firstRowLastColumn="0" w:lastRowFirstColumn="0" w:lastRowLastColumn="0"/>
          <w:trHeight w:val="440"/>
          <w:tblHeader/>
        </w:trPr>
        <w:tc>
          <w:tcPr>
            <w:cnfStyle w:val="000000000000" w:firstRow="0" w:lastRow="0" w:firstColumn="0" w:lastColumn="0" w:oddVBand="0" w:evenVBand="0" w:oddHBand="0" w:evenHBand="0" w:firstRowFirstColumn="0" w:firstRowLastColumn="0" w:lastRowFirstColumn="0" w:lastRowLastColumn="0"/>
            <w:tcW w:w="2886" w:type="dxa"/>
            <w:shd w:val="clear" w:color="auto" w:fill="C6D9F1" w:themeFill="text2" w:themeFillTint="33"/>
            <w:tcMar/>
            <w:vAlign w:val="center"/>
            <w:hideMark/>
          </w:tcPr>
          <w:p w:rsidRPr="003930CD" w:rsidR="00D763D3" w:rsidP="175FA130" w:rsidRDefault="4EAF959F" w14:paraId="6F98C88C" w14:textId="77777777"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Resultados</w:t>
            </w:r>
          </w:p>
        </w:tc>
        <w:tc>
          <w:tcPr>
            <w:cnfStyle w:val="000000000000" w:firstRow="0" w:lastRow="0" w:firstColumn="0" w:lastColumn="0" w:oddVBand="0" w:evenVBand="0" w:oddHBand="0" w:evenHBand="0" w:firstRowFirstColumn="0" w:firstRowLastColumn="0" w:lastRowFirstColumn="0" w:lastRowLastColumn="0"/>
            <w:tcW w:w="1257" w:type="dxa"/>
            <w:shd w:val="clear" w:color="auto" w:fill="C6D9F1" w:themeFill="text2" w:themeFillTint="33"/>
            <w:tcMar/>
            <w:vAlign w:val="center"/>
            <w:hideMark/>
          </w:tcPr>
          <w:p w:rsidRPr="003930CD" w:rsidR="00D763D3" w:rsidP="175FA130" w:rsidRDefault="4EAF959F" w14:paraId="535283E4" w14:textId="77777777"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Unidad de medida</w:t>
            </w:r>
          </w:p>
        </w:tc>
        <w:tc>
          <w:tcPr>
            <w:cnfStyle w:val="000000000000" w:firstRow="0" w:lastRow="0" w:firstColumn="0" w:lastColumn="0" w:oddVBand="0" w:evenVBand="0" w:oddHBand="0" w:evenHBand="0" w:firstRowFirstColumn="0" w:firstRowLastColumn="0" w:lastRowFirstColumn="0" w:lastRowLastColumn="0"/>
            <w:tcW w:w="1342" w:type="dxa"/>
            <w:shd w:val="clear" w:color="auto" w:fill="C6D9F1" w:themeFill="text2" w:themeFillTint="33"/>
            <w:tcMar/>
            <w:vAlign w:val="center"/>
            <w:hideMark/>
          </w:tcPr>
          <w:p w:rsidRPr="003930CD" w:rsidR="00D763D3" w:rsidP="175FA130" w:rsidRDefault="4EAF959F" w14:paraId="1F9AA45C" w14:textId="77777777"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Línea de Base (2016)</w:t>
            </w:r>
          </w:p>
        </w:tc>
        <w:tc>
          <w:tcPr>
            <w:cnfStyle w:val="000000000000" w:firstRow="0" w:lastRow="0" w:firstColumn="0" w:lastColumn="0" w:oddVBand="0" w:evenVBand="0" w:oddHBand="0" w:evenHBand="0" w:firstRowFirstColumn="0" w:firstRowLastColumn="0" w:lastRowFirstColumn="0" w:lastRowLastColumn="0"/>
            <w:tcW w:w="1440" w:type="dxa"/>
            <w:shd w:val="clear" w:color="auto" w:fill="C6D9F1" w:themeFill="text2" w:themeFillTint="33"/>
            <w:tcMar/>
            <w:vAlign w:val="center"/>
            <w:hideMark/>
          </w:tcPr>
          <w:p w:rsidRPr="003930CD" w:rsidR="00D763D3" w:rsidP="175FA130" w:rsidRDefault="4EAF959F" w14:paraId="0AA031CB" w14:textId="77777777"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Meta (2018)</w:t>
            </w:r>
          </w:p>
        </w:tc>
        <w:tc>
          <w:tcPr>
            <w:cnfStyle w:val="000000000000" w:firstRow="0" w:lastRow="0" w:firstColumn="0" w:lastColumn="0" w:oddVBand="0" w:evenVBand="0" w:oddHBand="0" w:evenHBand="0" w:firstRowFirstColumn="0" w:firstRowLastColumn="0" w:lastRowFirstColumn="0" w:lastRowLastColumn="0"/>
            <w:tcW w:w="1733" w:type="dxa"/>
            <w:shd w:val="clear" w:color="auto" w:fill="C6D9F1" w:themeFill="text2" w:themeFillTint="33"/>
            <w:tcMar/>
            <w:vAlign w:val="center"/>
            <w:hideMark/>
          </w:tcPr>
          <w:p w:rsidRPr="003930CD" w:rsidR="00D763D3" w:rsidP="175FA130" w:rsidRDefault="4EAF959F" w14:paraId="3EA30074" w14:textId="216D039C"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Fuente de verificación</w:t>
            </w:r>
          </w:p>
        </w:tc>
        <w:tc>
          <w:tcPr>
            <w:cnfStyle w:val="000000000000" w:firstRow="0" w:lastRow="0" w:firstColumn="0" w:lastColumn="0" w:oddVBand="0" w:evenVBand="0" w:oddHBand="0" w:evenHBand="0" w:firstRowFirstColumn="0" w:firstRowLastColumn="0" w:lastRowFirstColumn="0" w:lastRowLastColumn="0"/>
            <w:tcW w:w="4297" w:type="dxa"/>
            <w:shd w:val="clear" w:color="auto" w:fill="C6D9F1" w:themeFill="text2" w:themeFillTint="33"/>
            <w:tcMar/>
            <w:vAlign w:val="center"/>
            <w:hideMark/>
          </w:tcPr>
          <w:p w:rsidRPr="003930CD" w:rsidR="00D763D3" w:rsidP="175FA130" w:rsidRDefault="4EAF959F" w14:paraId="0E553577" w14:textId="77777777" w14:noSpellErr="1">
            <w:pPr>
              <w:jc w:val="center"/>
              <w:rPr>
                <w:rFonts w:ascii="Arial" w:hAnsi="Arial" w:eastAsia="Arial" w:cs="Arial"/>
                <w:b w:val="0"/>
                <w:bCs w:val="0"/>
                <w:sz w:val="20"/>
                <w:szCs w:val="20"/>
                <w:lang w:val="es-ES"/>
              </w:rPr>
            </w:pPr>
            <w:r w:rsidRPr="175FA130" w:rsidR="175FA130">
              <w:rPr>
                <w:rFonts w:ascii="Arial" w:hAnsi="Arial" w:eastAsia="Arial" w:cs="Arial"/>
                <w:sz w:val="20"/>
                <w:szCs w:val="20"/>
                <w:lang w:val="es-ES"/>
              </w:rPr>
              <w:t>Notas/observaciones</w:t>
            </w:r>
          </w:p>
        </w:tc>
      </w:tr>
      <w:tr w:rsidRPr="000B08DE" w:rsidR="00FB0836" w:rsidTr="175FA130" w14:paraId="675CEAE7" w14:textId="77777777">
        <w:trPr>
          <w:trHeight w:val="260"/>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D763D3" w:rsidP="175FA130" w:rsidRDefault="4EAF959F" w14:paraId="315FF776" w14:textId="3FB387A8"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sz w:val="20"/>
                <w:szCs w:val="20"/>
                <w:lang w:val="es-ES"/>
              </w:rPr>
              <w:t>Redes integradas de servicios de salud (RISS) conformadas</w:t>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D763D3" w:rsidP="175FA130" w:rsidRDefault="4EAF959F" w14:paraId="49A53E03" w14:textId="77777777"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D763D3" w:rsidP="175FA130" w:rsidRDefault="4EAF959F" w14:paraId="6348D241" w14:textId="77777777">
            <w:pPr>
              <w:jc w:val="center"/>
              <w:rPr>
                <w:rFonts w:ascii="Arial" w:hAnsi="Arial" w:eastAsia="Arial" w:cs="Arial"/>
                <w:color w:val="000000" w:themeColor="text1" w:themeTint="FF" w:themeShade="FF"/>
                <w:sz w:val="20"/>
                <w:szCs w:val="20"/>
                <w:highlight w:val="yellow"/>
                <w:lang w:val="es-ES"/>
              </w:rPr>
            </w:pPr>
            <w:r w:rsidRPr="175FA130" w:rsidR="175FA130">
              <w:rPr>
                <w:rFonts w:ascii="Arial" w:hAnsi="Arial" w:eastAsia="Arial" w:cs="Arial"/>
                <w:color w:val="000000" w:themeColor="text1" w:themeTint="FF" w:themeShade="FF"/>
                <w:sz w:val="20"/>
                <w:szCs w:val="20"/>
                <w:lang w:val="es-ES"/>
              </w:rPr>
              <w:t>0</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D763D3" w:rsidP="175FA130" w:rsidRDefault="4EAF959F" w14:paraId="7BB6E74B"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28</w:t>
            </w:r>
          </w:p>
        </w:tc>
        <w:tc>
          <w:tcPr>
            <w:cnfStyle w:val="000000000000" w:firstRow="0" w:lastRow="0" w:firstColumn="0" w:lastColumn="0" w:oddVBand="0" w:evenVBand="0" w:oddHBand="0" w:evenHBand="0" w:firstRowFirstColumn="0" w:firstRowLastColumn="0" w:lastRowFirstColumn="0" w:lastRowLastColumn="0"/>
            <w:tcW w:w="1733" w:type="dxa"/>
            <w:tcMar/>
          </w:tcPr>
          <w:p w:rsidRPr="003930CD" w:rsidR="00D763D3" w:rsidP="175FA130" w:rsidRDefault="4EAF959F" w14:paraId="32D426BA"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sz w:val="20"/>
                <w:szCs w:val="20"/>
                <w:lang w:val="es-ES"/>
              </w:rPr>
              <w:t>Actas de conformación de RISS (elaboradas por las Regiones Sanitarias) y aprobadas por el Departamento de Atención de Primer Nivel de la SESAL</w:t>
            </w:r>
          </w:p>
        </w:tc>
        <w:tc>
          <w:tcPr>
            <w:cnfStyle w:val="000000000000" w:firstRow="0" w:lastRow="0" w:firstColumn="0" w:lastColumn="0" w:oddVBand="0" w:evenVBand="0" w:oddHBand="0" w:evenHBand="0" w:firstRowFirstColumn="0" w:firstRowLastColumn="0" w:lastRowFirstColumn="0" w:lastRowLastColumn="0"/>
            <w:tcW w:w="4297" w:type="dxa"/>
            <w:tcMar/>
          </w:tcPr>
          <w:p w:rsidRPr="003930CD" w:rsidR="00D763D3" w:rsidP="175FA130" w:rsidRDefault="4EAF959F" w14:paraId="0FDE786D" w14:textId="084854B7" w14:noSpellErr="1">
            <w:pPr>
              <w:rPr>
                <w:rFonts w:ascii="Arial" w:hAnsi="Arial" w:eastAsia="Arial" w:cs="Arial"/>
                <w:sz w:val="20"/>
                <w:szCs w:val="20"/>
                <w:lang w:val="es-ES"/>
              </w:rPr>
            </w:pPr>
            <w:r w:rsidRPr="175FA130" w:rsidR="175FA130">
              <w:rPr>
                <w:rFonts w:ascii="Arial" w:hAnsi="Arial" w:eastAsia="Arial" w:cs="Arial"/>
                <w:sz w:val="20"/>
                <w:szCs w:val="20"/>
                <w:lang w:val="es-ES"/>
              </w:rPr>
              <w:t>De acuerdo a los criterios establecidos en el MNS, una RISS se considera conformada cuando: Los establecimientos de salud han sido tipificados y organizados por niveles de complejidad, tiene asignada un área geográfica y una población.</w:t>
            </w:r>
          </w:p>
          <w:p w:rsidRPr="004317DD" w:rsidR="00D763D3" w:rsidP="175FA130" w:rsidRDefault="4EAF959F" w14:paraId="64BEB2AE" w14:textId="77777777" w14:noSpellErr="1">
            <w:pPr>
              <w:rPr>
                <w:rFonts w:ascii="Arial" w:hAnsi="Arial" w:eastAsia="Arial" w:cs="Arial"/>
                <w:sz w:val="20"/>
                <w:szCs w:val="20"/>
                <w:lang w:val="pt-BR"/>
              </w:rPr>
            </w:pPr>
            <w:r w:rsidRPr="175FA130" w:rsidR="175FA130">
              <w:rPr>
                <w:rFonts w:ascii="Arial" w:hAnsi="Arial" w:eastAsia="Arial" w:cs="Arial"/>
                <w:sz w:val="20"/>
                <w:szCs w:val="20"/>
                <w:u w:val="single"/>
                <w:lang w:val="pt-BR"/>
              </w:rPr>
              <w:t>Numerador</w:t>
            </w:r>
            <w:r w:rsidRPr="175FA130" w:rsidR="175FA130">
              <w:rPr>
                <w:rFonts w:ascii="Arial" w:hAnsi="Arial" w:eastAsia="Arial" w:cs="Arial"/>
                <w:sz w:val="20"/>
                <w:szCs w:val="20"/>
                <w:lang w:val="pt-BR"/>
              </w:rPr>
              <w:t xml:space="preserve">: # de RISS conformadas </w:t>
            </w:r>
          </w:p>
          <w:p w:rsidRPr="004317DD" w:rsidR="00D763D3" w:rsidP="175FA130" w:rsidRDefault="4EAF959F" w14:paraId="02D9A930" w14:textId="77777777" w14:noSpellErr="1">
            <w:pPr>
              <w:rPr>
                <w:rFonts w:ascii="Arial" w:hAnsi="Arial" w:eastAsia="Arial" w:cs="Arial"/>
                <w:sz w:val="20"/>
                <w:szCs w:val="20"/>
                <w:lang w:val="pt-BR"/>
              </w:rPr>
            </w:pPr>
            <w:r w:rsidRPr="175FA130" w:rsidR="175FA130">
              <w:rPr>
                <w:rFonts w:ascii="Arial" w:hAnsi="Arial" w:eastAsia="Arial" w:cs="Arial"/>
                <w:sz w:val="20"/>
                <w:szCs w:val="20"/>
                <w:u w:val="single"/>
                <w:lang w:val="pt-BR"/>
              </w:rPr>
              <w:t>Denominador</w:t>
            </w:r>
            <w:r w:rsidRPr="175FA130" w:rsidR="175FA130">
              <w:rPr>
                <w:rFonts w:ascii="Arial" w:hAnsi="Arial" w:eastAsia="Arial" w:cs="Arial"/>
                <w:sz w:val="20"/>
                <w:szCs w:val="20"/>
                <w:lang w:val="pt-BR"/>
              </w:rPr>
              <w:t xml:space="preserve">: Total de RISS identificadas </w:t>
            </w:r>
          </w:p>
          <w:p w:rsidRPr="003930CD" w:rsidR="00D763D3" w:rsidP="175FA130" w:rsidRDefault="4EAF959F" w14:paraId="733C4018" w14:textId="77777777" w14:noSpellErr="1">
            <w:pPr>
              <w:rPr>
                <w:rFonts w:ascii="Arial" w:hAnsi="Arial" w:eastAsia="Arial" w:cs="Arial"/>
                <w:sz w:val="20"/>
                <w:szCs w:val="20"/>
                <w:lang w:val="es-ES"/>
              </w:rPr>
            </w:pPr>
            <w:r w:rsidRPr="175FA130" w:rsidR="175FA130">
              <w:rPr>
                <w:rFonts w:ascii="Arial" w:hAnsi="Arial" w:eastAsia="Arial" w:cs="Arial"/>
                <w:sz w:val="20"/>
                <w:szCs w:val="20"/>
                <w:lang w:val="es-ES"/>
              </w:rPr>
              <w:t xml:space="preserve">La meta se estableció identificando que se conformaría al menos una RISS por cada Región Sanitaria (existen 20 regiones y hay 69 RISS identificadas).  La meta considera </w:t>
            </w:r>
            <w:r w:rsidRPr="175FA130" w:rsidR="175FA130">
              <w:rPr>
                <w:rFonts w:ascii="Arial" w:hAnsi="Arial" w:eastAsia="Arial" w:cs="Arial"/>
                <w:sz w:val="20"/>
                <w:szCs w:val="20"/>
                <w:lang w:val="es-ES"/>
              </w:rPr>
              <w:t xml:space="preserve">contar con al menos 1 red conformada por región. </w:t>
            </w:r>
          </w:p>
          <w:p w:rsidRPr="003930CD" w:rsidR="00D763D3" w:rsidP="175FA130" w:rsidRDefault="4EAF959F" w14:paraId="1C4A3EEE" w14:textId="48F4CC10"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sz w:val="20"/>
                <w:szCs w:val="20"/>
                <w:lang w:val="es-ES"/>
              </w:rPr>
              <w:t>La SESAL proporcionará los criterios para la conformación de redes y contenido del plan de gestión de la red</w:t>
            </w:r>
            <w:r w:rsidRPr="175FA130" w:rsidR="175FA130">
              <w:rPr>
                <w:rFonts w:ascii="Arial" w:hAnsi="Arial" w:eastAsia="Arial" w:cs="Arial"/>
                <w:sz w:val="20"/>
                <w:szCs w:val="20"/>
                <w:lang w:val="es-ES"/>
              </w:rPr>
              <w:t>, que serán incluidas en el MNS a ser aprobados en la primera operación.</w:t>
            </w:r>
          </w:p>
        </w:tc>
      </w:tr>
      <w:tr w:rsidRPr="000B08DE" w:rsidR="00FB0836" w:rsidTr="175FA130" w14:paraId="286047B1"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D763D3" w:rsidP="175FA130" w:rsidRDefault="00B0597D" w14:paraId="72AC93D4" w14:textId="5853F81B" w14:noSpellErr="1">
            <w:pPr>
              <w:jc w:val="both"/>
              <w:rPr>
                <w:rFonts w:ascii="Arial" w:hAnsi="Arial" w:eastAsia="Arial" w:cs="Arial"/>
                <w:color w:val="000000" w:themeColor="text1" w:themeTint="FF" w:themeShade="FF"/>
                <w:sz w:val="20"/>
                <w:szCs w:val="20"/>
                <w:lang w:val="es-ES"/>
              </w:rPr>
            </w:pPr>
            <w:r w:rsidRPr="175FA130" w:rsidR="175FA130">
              <w:rPr>
                <w:rFonts w:ascii="Arial" w:hAnsi="Arial" w:eastAsia="Arial" w:cs="Arial"/>
                <w:sz w:val="20"/>
                <w:szCs w:val="20"/>
                <w:lang w:val="es-ES"/>
              </w:rPr>
              <w:t>Manejo de las complicaciones neo</w:t>
            </w:r>
            <w:r w:rsidRPr="175FA130" w:rsidR="175FA130">
              <w:rPr>
                <w:rFonts w:ascii="Arial" w:hAnsi="Arial" w:eastAsia="Arial" w:cs="Arial"/>
                <w:sz w:val="20"/>
                <w:szCs w:val="20"/>
                <w:lang w:val="es-ES"/>
              </w:rPr>
              <w:t>natales de acuerdo a las normas</w:t>
            </w:r>
            <w:r w:rsidRPr="175FA130" w:rsidR="175FA130">
              <w:rPr>
                <w:rFonts w:ascii="Arial" w:hAnsi="Arial" w:eastAsia="Arial" w:cs="Arial"/>
                <w:sz w:val="20"/>
                <w:szCs w:val="20"/>
                <w:lang w:val="es-ES"/>
              </w:rPr>
              <w:t xml:space="preserve"> en hospitales </w:t>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D763D3" w:rsidP="175FA130" w:rsidRDefault="4EAF959F" w14:paraId="61B02C24" w14:textId="04F74814"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D763D3" w:rsidP="175FA130" w:rsidRDefault="00B0597D" w14:paraId="3E9A524C" w14:textId="5F11A99F">
            <w:pPr>
              <w:jc w:val="center"/>
              <w:rPr>
                <w:rFonts w:ascii="Arial" w:hAnsi="Arial" w:eastAsia="Arial" w:cs="Arial"/>
                <w:color w:val="000000" w:themeColor="text1" w:themeTint="FF" w:themeShade="FF"/>
                <w:sz w:val="20"/>
                <w:szCs w:val="20"/>
                <w:lang w:val="es-ES"/>
              </w:rPr>
            </w:pPr>
            <w:r w:rsidRPr="175FA130">
              <w:rPr>
                <w:rFonts w:ascii="Arial" w:hAnsi="Arial" w:eastAsia="Arial" w:cs="Arial"/>
                <w:color w:val="000000" w:themeColor="text1"/>
                <w:sz w:val="20"/>
                <w:szCs w:val="20"/>
                <w:lang w:val="es-ES"/>
              </w:rPr>
              <w:t>6.9</w:t>
            </w:r>
            <w:r w:rsidRPr="175FA130">
              <w:rPr>
                <w:rStyle w:val="FootnoteReference"/>
                <w:rFonts w:ascii="Arial" w:hAnsi="Arial" w:eastAsia="Arial" w:cs="Arial"/>
                <w:color w:val="000000" w:themeColor="text1"/>
                <w:sz w:val="20"/>
                <w:szCs w:val="20"/>
                <w:lang w:val="es-ES"/>
              </w:rPr>
              <w:footnoteReference w:id="3"/>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D763D3" w:rsidP="175FA130" w:rsidRDefault="00B0597D" w14:paraId="4153F2B2" w14:textId="43A51E7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35</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D763D3" w:rsidP="175FA130" w:rsidRDefault="4EAF959F" w14:paraId="4C925C46"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Informe de verificación del Departamento de Segundo Nivel de la SESAL</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D763D3" w:rsidP="175FA130" w:rsidRDefault="4EAF959F" w14:paraId="25EAB974" w14:textId="308D9B2F"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Numerador:</w:t>
            </w:r>
            <w:r w:rsidRPr="175FA130" w:rsidR="175FA130">
              <w:rPr>
                <w:rFonts w:ascii="Arial" w:hAnsi="Arial" w:eastAsia="Arial" w:cs="Arial"/>
                <w:color w:val="000000" w:themeColor="text1" w:themeTint="FF" w:themeShade="FF"/>
                <w:sz w:val="20"/>
                <w:szCs w:val="20"/>
                <w:lang w:val="es-ES"/>
              </w:rPr>
              <w:t xml:space="preserve"> </w:t>
            </w:r>
            <w:r w:rsidRPr="175FA130" w:rsidR="175FA130">
              <w:rPr>
                <w:rFonts w:ascii="Arial" w:hAnsi="Arial" w:eastAsia="Arial" w:cs="Arial"/>
                <w:color w:val="000000" w:themeColor="text1" w:themeTint="FF" w:themeShade="FF"/>
                <w:sz w:val="20"/>
                <w:szCs w:val="20"/>
                <w:lang w:val="es-ES"/>
              </w:rPr>
              <w:t>complicaciones neonatales atendidas de acuerdo a normas en hospitales</w:t>
            </w:r>
          </w:p>
          <w:p w:rsidRPr="003930CD" w:rsidR="00D763D3" w:rsidP="175FA130" w:rsidRDefault="4EAF959F" w14:paraId="38D970AE" w14:textId="43873483"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Denominador:</w:t>
            </w:r>
            <w:r w:rsidRPr="175FA130" w:rsidR="175FA130">
              <w:rPr>
                <w:rFonts w:ascii="Arial" w:hAnsi="Arial" w:eastAsia="Arial" w:cs="Arial"/>
                <w:color w:val="000000" w:themeColor="text1" w:themeTint="FF" w:themeShade="FF"/>
                <w:sz w:val="20"/>
                <w:szCs w:val="20"/>
                <w:lang w:val="es-ES"/>
              </w:rPr>
              <w:t xml:space="preserve"> </w:t>
            </w:r>
            <w:r w:rsidRPr="175FA130" w:rsidR="175FA130">
              <w:rPr>
                <w:rFonts w:ascii="Arial" w:hAnsi="Arial" w:eastAsia="Arial" w:cs="Arial"/>
                <w:color w:val="000000" w:themeColor="text1" w:themeTint="FF" w:themeShade="FF"/>
                <w:sz w:val="20"/>
                <w:szCs w:val="20"/>
                <w:lang w:val="es-ES"/>
              </w:rPr>
              <w:t>total de complicaciones neonatales atendidas en hospitales</w:t>
            </w:r>
          </w:p>
          <w:p w:rsidRPr="003930CD" w:rsidR="00D763D3" w:rsidP="175FA130" w:rsidRDefault="4EAF959F" w14:paraId="7A22E962" w14:textId="020841AD"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Hay 24 hospitales (de los 29 a nivel nacional) que ofrecen servicios materno-neonatales. Si</w:t>
            </w:r>
            <w:r w:rsidRPr="175FA130" w:rsidR="175FA130">
              <w:rPr>
                <w:rFonts w:ascii="Arial" w:hAnsi="Arial" w:eastAsia="Arial" w:cs="Arial"/>
                <w:color w:val="000000" w:themeColor="text1" w:themeTint="FF" w:themeShade="FF"/>
                <w:sz w:val="20"/>
                <w:szCs w:val="20"/>
                <w:lang w:val="es-ES"/>
              </w:rPr>
              <w:t> </w:t>
            </w:r>
            <w:r w:rsidRPr="175FA130" w:rsidR="175FA130">
              <w:rPr>
                <w:rFonts w:ascii="Arial" w:hAnsi="Arial" w:eastAsia="Arial" w:cs="Arial"/>
                <w:color w:val="000000" w:themeColor="text1" w:themeTint="FF" w:themeShade="FF"/>
                <w:sz w:val="20"/>
                <w:szCs w:val="20"/>
                <w:lang w:val="es-ES"/>
              </w:rPr>
              <w:t xml:space="preserve">bien el hospital escuela ofrece servicios materno-neonatales, este se ha excluido. </w:t>
            </w:r>
          </w:p>
        </w:tc>
      </w:tr>
      <w:tr w:rsidRPr="000B08DE" w:rsidR="00FB0836" w:rsidTr="175FA130" w14:paraId="6050932C"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D763D3" w:rsidP="175FA130" w:rsidRDefault="00D763D3" w14:paraId="10AB2B25" w14:textId="798CDE4E" w14:noSpellErr="1">
            <w:pPr>
              <w:rPr>
                <w:rFonts w:ascii="Arial" w:hAnsi="Arial" w:eastAsia="Arial" w:cs="Arial"/>
                <w:color w:val="000000" w:themeColor="text1" w:themeTint="FF" w:themeShade="FF"/>
                <w:sz w:val="20"/>
                <w:szCs w:val="20"/>
                <w:lang w:val="es-ES"/>
              </w:rPr>
            </w:pPr>
            <w:r w:rsidRPr="175FA130">
              <w:rPr>
                <w:rFonts w:ascii="Arial" w:hAnsi="Arial" w:eastAsia="Arial" w:cs="Arial"/>
                <w:color w:val="000000"/>
                <w:sz w:val="20"/>
                <w:szCs w:val="20"/>
                <w:lang w:val="es-ES"/>
              </w:rPr>
              <w:t>Personas cubiertas con MGD de primer nivel de atención</w:t>
            </w:r>
            <w:r w:rsidRPr="175FA130">
              <w:rPr>
                <w:rStyle w:val="FootnoteReference"/>
                <w:rFonts w:ascii="Arial" w:hAnsi="Arial" w:eastAsia="Arial" w:cs="Arial"/>
                <w:color w:val="000000"/>
                <w:sz w:val="20"/>
                <w:szCs w:val="20"/>
                <w:lang w:val="es-ES"/>
              </w:rPr>
              <w:footnoteReference w:id="4"/>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D763D3" w:rsidP="175FA130" w:rsidRDefault="4EAF959F" w14:paraId="11A2D5C1" w14:textId="3263E901"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Personas</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D763D3" w:rsidP="175FA130" w:rsidRDefault="4EAF959F" w14:paraId="2EEF0024"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sz w:val="20"/>
                <w:szCs w:val="20"/>
                <w:lang w:val="es-ES"/>
              </w:rPr>
              <w:t>1,503,709</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D763D3" w:rsidP="175FA130" w:rsidRDefault="4EAF959F" w14:paraId="21E5334E" w14:textId="77777777">
            <w:pPr>
              <w:jc w:val="center"/>
              <w:rPr>
                <w:rFonts w:ascii="Arial" w:hAnsi="Arial" w:eastAsia="Arial" w:cs="Arial"/>
                <w:color w:val="000000" w:themeColor="text1" w:themeTint="FF" w:themeShade="FF"/>
                <w:sz w:val="20"/>
                <w:szCs w:val="20"/>
                <w:highlight w:val="yellow"/>
                <w:lang w:val="es-ES"/>
              </w:rPr>
            </w:pPr>
            <w:r w:rsidRPr="175FA130" w:rsidR="175FA130">
              <w:rPr>
                <w:rFonts w:ascii="Arial" w:hAnsi="Arial" w:eastAsia="Arial" w:cs="Arial"/>
                <w:color w:val="000000" w:themeColor="text1" w:themeTint="FF" w:themeShade="FF"/>
                <w:sz w:val="20"/>
                <w:szCs w:val="20"/>
                <w:lang w:val="es-ES"/>
              </w:rPr>
              <w:t>2,000,000</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D763D3" w:rsidP="175FA130" w:rsidRDefault="4EAF959F" w14:paraId="75F95554" w14:textId="01703278" w14:noSpellErr="1">
            <w:pPr>
              <w:rPr>
                <w:rFonts w:ascii="Arial" w:hAnsi="Arial" w:eastAsia="Arial" w:cs="Arial"/>
                <w:color w:val="000000" w:themeColor="text1" w:themeTint="FF" w:themeShade="FF"/>
                <w:sz w:val="20"/>
                <w:szCs w:val="20"/>
                <w:highlight w:val="yellow"/>
                <w:lang w:val="es-ES"/>
              </w:rPr>
            </w:pPr>
            <w:r w:rsidRPr="175FA130" w:rsidR="175FA130">
              <w:rPr>
                <w:rFonts w:ascii="Arial" w:hAnsi="Arial" w:eastAsia="Arial" w:cs="Arial"/>
                <w:color w:val="000000" w:themeColor="text1" w:themeTint="FF" w:themeShade="FF"/>
                <w:sz w:val="20"/>
                <w:szCs w:val="20"/>
                <w:lang w:val="es-ES"/>
              </w:rPr>
              <w:t>Informe de la Unidad de Gestión Descentralizada (UGD)</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D763D3" w:rsidP="175FA130" w:rsidRDefault="4EAF959F" w14:paraId="794B7EE8" w14:textId="5874C96B" w14:noSpellErr="1">
            <w:pPr>
              <w:rPr>
                <w:rFonts w:ascii="Arial" w:hAnsi="Arial" w:eastAsia="Arial" w:cs="Arial"/>
                <w:color w:val="000000" w:themeColor="text1" w:themeTint="FF" w:themeShade="FF"/>
                <w:sz w:val="20"/>
                <w:szCs w:val="20"/>
                <w:highlight w:val="yellow"/>
                <w:lang w:val="es-ES"/>
              </w:rPr>
            </w:pPr>
            <w:r w:rsidRPr="175FA130" w:rsidR="175FA130">
              <w:rPr>
                <w:rFonts w:ascii="Arial" w:hAnsi="Arial" w:eastAsia="Arial" w:cs="Arial"/>
                <w:color w:val="000000" w:themeColor="text1" w:themeTint="FF" w:themeShade="FF"/>
                <w:sz w:val="20"/>
                <w:szCs w:val="20"/>
                <w:lang w:val="es-ES"/>
              </w:rPr>
              <w:t xml:space="preserve">Informe utiliza como fuente primaria los convenios de Gestión firmados con gestores de primer nivel. Las personas cubiertas son la </w:t>
            </w:r>
            <w:r w:rsidRPr="175FA130" w:rsidR="175FA130">
              <w:rPr>
                <w:rFonts w:ascii="Arial" w:hAnsi="Arial" w:eastAsia="Arial" w:cs="Arial"/>
                <w:color w:val="000000" w:themeColor="text1" w:themeTint="FF" w:themeShade="FF"/>
                <w:sz w:val="20"/>
                <w:szCs w:val="20"/>
                <w:lang w:val="es-ES"/>
              </w:rPr>
              <w:t>población beneficiaria</w:t>
            </w:r>
            <w:r w:rsidRPr="175FA130" w:rsidR="175FA130">
              <w:rPr>
                <w:rFonts w:ascii="Arial" w:hAnsi="Arial" w:eastAsia="Arial" w:cs="Arial"/>
                <w:color w:val="000000" w:themeColor="text1" w:themeTint="FF" w:themeShade="FF"/>
                <w:sz w:val="20"/>
                <w:szCs w:val="20"/>
                <w:lang w:val="es-ES"/>
              </w:rPr>
              <w:t xml:space="preserve"> incluidas en los convenios.</w:t>
            </w:r>
          </w:p>
        </w:tc>
      </w:tr>
      <w:tr w:rsidRPr="000B08DE" w:rsidR="00FB0836" w:rsidTr="175FA130" w14:paraId="4A925CF4"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D763D3" w:rsidP="175FA130" w:rsidRDefault="4EAF959F" w14:paraId="0E2AF9CC" w14:textId="7827BD60" w14:noSpellErr="1">
            <w:pPr>
              <w:rPr>
                <w:rFonts w:ascii="Arial" w:hAnsi="Arial" w:eastAsia="Arial" w:cs="Arial"/>
                <w:color w:val="000000" w:themeColor="text1" w:themeTint="FF" w:themeShade="FF"/>
                <w:sz w:val="20"/>
                <w:szCs w:val="20"/>
                <w:lang w:val="es-ES"/>
              </w:rPr>
            </w:pPr>
            <w:r w:rsidRPr="175FA130">
              <w:rPr>
                <w:rFonts w:ascii="Arial" w:hAnsi="Arial" w:eastAsia="Arial" w:cs="Arial"/>
                <w:color w:val="000000" w:themeColor="text1"/>
                <w:sz w:val="20"/>
                <w:szCs w:val="20"/>
                <w:lang w:val="es-ES"/>
              </w:rPr>
              <w:t>Hospitales descentralizados</w:t>
            </w:r>
            <w:r w:rsidRPr="175FA130" w:rsidR="00B0597D">
              <w:rPr>
                <w:rStyle w:val="FootnoteReference"/>
                <w:rFonts w:ascii="Arial" w:hAnsi="Arial" w:eastAsia="Arial" w:cs="Arial"/>
                <w:color w:val="000000" w:themeColor="text1"/>
                <w:sz w:val="20"/>
                <w:szCs w:val="20"/>
                <w:lang w:val="es-ES"/>
              </w:rPr>
              <w:footnoteReference w:id="5"/>
            </w:r>
            <w:r w:rsidRPr="175FA130">
              <w:rPr>
                <w:rFonts w:ascii="Arial" w:hAnsi="Arial" w:eastAsia="Arial" w:cs="Arial"/>
                <w:color w:val="000000" w:themeColor="text1"/>
                <w:sz w:val="20"/>
                <w:szCs w:val="20"/>
                <w:lang w:val="es-ES"/>
              </w:rPr>
              <w:t xml:space="preserve"> </w:t>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D763D3" w:rsidP="175FA130" w:rsidRDefault="4EAF959F" w14:paraId="21BDAF6C" w14:textId="3DEE95D8"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D763D3" w:rsidP="175FA130" w:rsidRDefault="4EAF959F" w14:paraId="04FF9170"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20</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D763D3" w:rsidP="175FA130" w:rsidRDefault="4EAF959F" w14:paraId="5B7B28F0"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35</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D763D3" w:rsidP="175FA130" w:rsidRDefault="4EAF959F" w14:paraId="1EDE6252"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Informe de Convenios de UGD</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D763D3" w:rsidP="175FA130" w:rsidRDefault="4EAF959F" w14:paraId="546EA32D" w14:textId="58281C60" w14:noSpellErr="1">
            <w:pPr>
              <w:rPr>
                <w:rFonts w:ascii="Arial" w:hAnsi="Arial" w:eastAsia="Arial" w:cs="Arial"/>
                <w:color w:val="000000" w:themeColor="text1" w:themeTint="FF" w:themeShade="FF"/>
                <w:sz w:val="20"/>
                <w:szCs w:val="20"/>
                <w:u w:val="single"/>
                <w:lang w:val="es-ES"/>
              </w:rPr>
            </w:pPr>
            <w:r w:rsidRPr="175FA130" w:rsidR="175FA130">
              <w:rPr>
                <w:rFonts w:ascii="Arial" w:hAnsi="Arial" w:eastAsia="Arial" w:cs="Arial"/>
                <w:color w:val="000000" w:themeColor="text1" w:themeTint="FF" w:themeShade="FF"/>
                <w:sz w:val="20"/>
                <w:szCs w:val="20"/>
                <w:lang w:val="es-ES"/>
              </w:rPr>
              <w:t>Informe utiliza como fuente primaria los convenios de Gestión firmados con gestores hospitalarios y debe contar con el nombre y ubicación del hospital.</w:t>
            </w:r>
          </w:p>
          <w:p w:rsidRPr="003930CD" w:rsidR="00D763D3" w:rsidP="175FA130" w:rsidRDefault="4EAF959F" w14:paraId="3376E8D0" w14:textId="5F99859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Numerador</w:t>
            </w:r>
            <w:r w:rsidRPr="175FA130" w:rsidR="175FA130">
              <w:rPr>
                <w:rFonts w:ascii="Arial" w:hAnsi="Arial" w:eastAsia="Arial" w:cs="Arial"/>
                <w:color w:val="000000" w:themeColor="text1" w:themeTint="FF" w:themeShade="FF"/>
                <w:sz w:val="20"/>
                <w:szCs w:val="20"/>
                <w:lang w:val="es-ES"/>
              </w:rPr>
              <w:t>: Nú</w:t>
            </w:r>
            <w:r w:rsidRPr="175FA130" w:rsidR="175FA130">
              <w:rPr>
                <w:rFonts w:ascii="Arial" w:hAnsi="Arial" w:eastAsia="Arial" w:cs="Arial"/>
                <w:color w:val="000000" w:themeColor="text1" w:themeTint="FF" w:themeShade="FF"/>
                <w:sz w:val="20"/>
                <w:szCs w:val="20"/>
                <w:lang w:val="es-ES"/>
              </w:rPr>
              <w:t>mero de Hospitales descentralizados.</w:t>
            </w:r>
          </w:p>
          <w:p w:rsidRPr="003930CD" w:rsidR="00D763D3" w:rsidP="175FA130" w:rsidRDefault="4EAF959F" w14:paraId="73CE49E1"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Denominador</w:t>
            </w:r>
            <w:r w:rsidRPr="175FA130" w:rsidR="175FA130">
              <w:rPr>
                <w:rFonts w:ascii="Arial" w:hAnsi="Arial" w:eastAsia="Arial" w:cs="Arial"/>
                <w:color w:val="000000" w:themeColor="text1" w:themeTint="FF" w:themeShade="FF"/>
                <w:sz w:val="20"/>
                <w:szCs w:val="20"/>
                <w:lang w:val="es-ES"/>
              </w:rPr>
              <w:t>: Total de hospitales de la red pública nacional</w:t>
            </w:r>
          </w:p>
          <w:p w:rsidRPr="003930CD" w:rsidR="00D763D3" w:rsidP="175FA130" w:rsidRDefault="4EAF959F" w14:paraId="4BF5202B" w14:textId="7BD5C848"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 xml:space="preserve">La línea de base se calculó considerando que existen 6 de 28 hospitales descentralizados (no se incluye el Hospital Escuela). La meta considera que serán incluidos </w:t>
            </w:r>
            <w:r w:rsidRPr="175FA130" w:rsidR="175FA130">
              <w:rPr>
                <w:rFonts w:ascii="Arial" w:hAnsi="Arial" w:eastAsia="Arial" w:cs="Arial"/>
                <w:color w:val="000000" w:themeColor="text1" w:themeTint="FF" w:themeShade="FF"/>
                <w:sz w:val="20"/>
                <w:szCs w:val="20"/>
                <w:lang w:val="es-ES"/>
              </w:rPr>
              <w:t>cuatro</w:t>
            </w:r>
            <w:r w:rsidRPr="175FA130" w:rsidR="175FA130">
              <w:rPr>
                <w:rFonts w:ascii="Arial" w:hAnsi="Arial" w:eastAsia="Arial" w:cs="Arial"/>
                <w:color w:val="000000" w:themeColor="text1" w:themeTint="FF" w:themeShade="FF"/>
                <w:sz w:val="20"/>
                <w:szCs w:val="20"/>
                <w:lang w:val="es-ES"/>
              </w:rPr>
              <w:t xml:space="preserve"> hospitales adicionales (total de 10). Tentativamente se ha identificado que los nuevos hospitales serian: Hospital de </w:t>
            </w:r>
            <w:r w:rsidRPr="175FA130" w:rsidR="175FA130">
              <w:rPr>
                <w:rFonts w:ascii="Arial" w:hAnsi="Arial" w:eastAsia="Arial" w:cs="Arial"/>
                <w:color w:val="000000" w:themeColor="text1" w:themeTint="FF" w:themeShade="FF"/>
                <w:sz w:val="20"/>
                <w:szCs w:val="20"/>
                <w:lang w:val="es-ES"/>
              </w:rPr>
              <w:t>Occidente, Hospital del Sur, La Paz y Comayagua.</w:t>
            </w:r>
          </w:p>
          <w:p w:rsidRPr="003930CD" w:rsidR="00D763D3" w:rsidP="175FA130" w:rsidRDefault="4EAF959F" w14:paraId="15DFECF6"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 xml:space="preserve">Un hospital se considera descentralizado si cuenta con un convenio de gestión con una organización responsable de su administración. </w:t>
            </w:r>
          </w:p>
        </w:tc>
      </w:tr>
      <w:tr w:rsidRPr="000B08DE" w:rsidR="00FB0836" w:rsidTr="175FA130" w14:paraId="7429FE15"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D763D3" w:rsidP="175FA130" w:rsidRDefault="4EAF959F" w14:paraId="0FB948F7"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Gestores que brindan servicios de salud del primer nivel de atención certificados</w:t>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D763D3" w:rsidP="175FA130" w:rsidRDefault="4EAF959F" w14:paraId="36C4D360" w14:textId="48207EE7"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D763D3" w:rsidP="175FA130" w:rsidRDefault="4EAF959F" w14:paraId="37EDE9DC"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0</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D763D3" w:rsidP="175FA130" w:rsidRDefault="4EAF959F" w14:paraId="3D316A8C" w14:textId="21B14CE5">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26</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D763D3" w:rsidP="175FA130" w:rsidRDefault="4EAF959F" w14:paraId="2BD15D98"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Informe de UGD</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D763D3" w:rsidP="175FA130" w:rsidRDefault="4EAF959F" w14:paraId="1A0056CE" w14:textId="77777777" w14:noSpellErr="1">
            <w:pPr>
              <w:rPr>
                <w:rFonts w:ascii="Arial" w:hAnsi="Arial" w:eastAsia="Arial" w:cs="Arial"/>
                <w:color w:val="000000" w:themeColor="text1" w:themeTint="FF" w:themeShade="FF"/>
                <w:sz w:val="20"/>
                <w:szCs w:val="20"/>
                <w:u w:val="single"/>
                <w:lang w:val="es-ES"/>
              </w:rPr>
            </w:pPr>
            <w:r w:rsidRPr="175FA130" w:rsidR="175FA130">
              <w:rPr>
                <w:rFonts w:ascii="Arial" w:hAnsi="Arial" w:eastAsia="Arial" w:cs="Arial"/>
                <w:color w:val="000000" w:themeColor="text1" w:themeTint="FF" w:themeShade="FF"/>
                <w:sz w:val="20"/>
                <w:szCs w:val="20"/>
                <w:lang w:val="es-ES"/>
              </w:rPr>
              <w:t>Informe utiliza como fuente primaria certificados emitidos por la Unidad de Gestión Descentralizada.</w:t>
            </w:r>
          </w:p>
          <w:p w:rsidRPr="003930CD" w:rsidR="00D763D3" w:rsidP="175FA130" w:rsidRDefault="4EAF959F" w14:paraId="1A0ED45C" w14:textId="5F2AEDB8"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Numerador</w:t>
            </w:r>
            <w:r w:rsidRPr="175FA130" w:rsidR="175FA130">
              <w:rPr>
                <w:rFonts w:ascii="Arial" w:hAnsi="Arial" w:eastAsia="Arial" w:cs="Arial"/>
                <w:color w:val="000000" w:themeColor="text1" w:themeTint="FF" w:themeShade="FF"/>
                <w:sz w:val="20"/>
                <w:szCs w:val="20"/>
                <w:lang w:val="es-ES"/>
              </w:rPr>
              <w:t>: Nú</w:t>
            </w:r>
            <w:r w:rsidRPr="175FA130" w:rsidR="175FA130">
              <w:rPr>
                <w:rFonts w:ascii="Arial" w:hAnsi="Arial" w:eastAsia="Arial" w:cs="Arial"/>
                <w:color w:val="000000" w:themeColor="text1" w:themeTint="FF" w:themeShade="FF"/>
                <w:sz w:val="20"/>
                <w:szCs w:val="20"/>
                <w:lang w:val="es-ES"/>
              </w:rPr>
              <w:t>mero de gestores que brindan servicios en el primer nivel de atención que han sido certificados por la SESAL.</w:t>
            </w:r>
          </w:p>
          <w:p w:rsidRPr="003930CD" w:rsidR="00D763D3" w:rsidP="175FA130" w:rsidRDefault="4EAF959F" w14:paraId="45F597C0" w14:textId="4E638760"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Denominador</w:t>
            </w:r>
            <w:r w:rsidRPr="175FA130" w:rsidR="175FA130">
              <w:rPr>
                <w:rFonts w:ascii="Arial" w:hAnsi="Arial" w:eastAsia="Arial" w:cs="Arial"/>
                <w:color w:val="000000" w:themeColor="text1" w:themeTint="FF" w:themeShade="FF"/>
                <w:sz w:val="20"/>
                <w:szCs w:val="20"/>
                <w:lang w:val="es-ES"/>
              </w:rPr>
              <w:t>: Total de gestores descentralizados del primer nivel.</w:t>
            </w:r>
          </w:p>
          <w:p w:rsidRPr="003930CD" w:rsidR="00D763D3" w:rsidP="175FA130" w:rsidRDefault="4EAF959F" w14:paraId="79CB81C7"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 xml:space="preserve">Hay 38 gestores que brindan atención en el primer nivel. </w:t>
            </w:r>
          </w:p>
          <w:p w:rsidRPr="003930CD" w:rsidR="00D763D3" w:rsidP="175FA130" w:rsidRDefault="4EAF959F" w14:paraId="0F3EB81E" w14:textId="34848899"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La meta estima que 10 gestores del primer nivel estarán certificados para mejorar su capacidad.</w:t>
            </w:r>
          </w:p>
        </w:tc>
      </w:tr>
      <w:tr w:rsidRPr="000B08DE" w:rsidR="00CF3EED" w:rsidTr="175FA130" w14:paraId="143EC16F"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CF3EED" w:rsidP="175FA130" w:rsidRDefault="4EAF959F" w14:paraId="0A056BC3" w14:textId="35026618"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 xml:space="preserve">Presupuesto asignado a </w:t>
            </w:r>
            <w:r w:rsidRPr="175FA130" w:rsidR="175FA130">
              <w:rPr>
                <w:rFonts w:ascii="Arial" w:hAnsi="Arial" w:eastAsia="Arial" w:cs="Arial"/>
                <w:color w:val="000000" w:themeColor="text1" w:themeTint="FF" w:themeShade="FF"/>
                <w:sz w:val="20"/>
                <w:szCs w:val="20"/>
                <w:lang w:val="es-ES"/>
              </w:rPr>
              <w:t>las Regiones</w:t>
            </w:r>
            <w:r w:rsidRPr="175FA130" w:rsidR="175FA130">
              <w:rPr>
                <w:rFonts w:ascii="Arial" w:hAnsi="Arial" w:eastAsia="Arial" w:cs="Arial"/>
                <w:color w:val="000000" w:themeColor="text1" w:themeTint="FF" w:themeShade="FF"/>
                <w:sz w:val="20"/>
                <w:szCs w:val="20"/>
                <w:lang w:val="es-ES"/>
              </w:rPr>
              <w:t xml:space="preserve"> Departamentales en el componente de provisión del primer nivel</w:t>
            </w:r>
            <w:r w:rsidRPr="175FA130" w:rsidR="175FA130">
              <w:rPr>
                <w:rFonts w:ascii="Arial" w:hAnsi="Arial" w:eastAsia="Arial" w:cs="Arial"/>
                <w:color w:val="000000" w:themeColor="text1" w:themeTint="FF" w:themeShade="FF"/>
                <w:sz w:val="20"/>
                <w:szCs w:val="20"/>
                <w:lang w:val="es-ES"/>
              </w:rPr>
              <w:t>, en</w:t>
            </w:r>
            <w:r w:rsidRPr="175FA130" w:rsidR="175FA130">
              <w:rPr>
                <w:rFonts w:ascii="Arial" w:hAnsi="Arial" w:eastAsia="Arial" w:cs="Arial"/>
                <w:color w:val="000000" w:themeColor="text1" w:themeTint="FF" w:themeShade="FF"/>
                <w:sz w:val="20"/>
                <w:szCs w:val="20"/>
                <w:lang w:val="es-ES"/>
              </w:rPr>
              <w:t xml:space="preserve"> base a </w:t>
            </w:r>
            <w:r w:rsidRPr="175FA130" w:rsidR="175FA130">
              <w:rPr>
                <w:rFonts w:ascii="Arial" w:hAnsi="Arial" w:eastAsia="Arial" w:cs="Arial"/>
                <w:sz w:val="20"/>
                <w:szCs w:val="20"/>
                <w:lang w:val="es-ES"/>
              </w:rPr>
              <w:t>criterios de asignación</w:t>
            </w:r>
            <w:r w:rsidRPr="175FA130" w:rsidR="175FA130">
              <w:rPr>
                <w:rFonts w:ascii="Arial" w:hAnsi="Arial" w:eastAsia="Arial" w:cs="Arial"/>
                <w:color w:val="000000" w:themeColor="text1" w:themeTint="FF" w:themeShade="FF"/>
                <w:sz w:val="20"/>
                <w:szCs w:val="20"/>
                <w:lang w:val="es-ES"/>
              </w:rPr>
              <w:t xml:space="preserve"> </w:t>
            </w:r>
            <w:r w:rsidRPr="175FA130" w:rsidR="175FA130">
              <w:rPr>
                <w:rFonts w:ascii="Arial" w:hAnsi="Arial" w:eastAsia="Arial" w:cs="Arial"/>
                <w:color w:val="000000" w:themeColor="text1" w:themeTint="FF" w:themeShade="FF"/>
                <w:sz w:val="20"/>
                <w:szCs w:val="20"/>
                <w:lang w:val="es-ES"/>
              </w:rPr>
              <w:t>per cápita</w:t>
            </w: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CF3EED" w:rsidP="175FA130" w:rsidRDefault="4EAF959F" w14:paraId="0D03BC55" w14:textId="1D94DB1E"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CF3EED" w:rsidP="175FA130" w:rsidRDefault="4EAF959F" w14:paraId="635CCDF6" w14:textId="77777777">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0</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CF3EED" w:rsidP="175FA130" w:rsidRDefault="4EAF959F" w14:paraId="7A564256" w14:textId="72A6DC0C">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100</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CF3EED" w:rsidP="175FA130" w:rsidRDefault="4EAF959F" w14:paraId="5A3BD3A1"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Anteproyecto de Presupuesto de la SESAL del año 2019</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CF3EED" w:rsidP="175FA130" w:rsidRDefault="4EAF959F" w14:paraId="4432A107" w14:textId="77777777"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El anteproyecto de presupuesto del 2019 que incorpora la propuesta estará disponible en septiembre 2018.</w:t>
            </w:r>
          </w:p>
          <w:p w:rsidRPr="003930CD" w:rsidR="00CF3EED" w:rsidP="175FA130" w:rsidRDefault="4EAF959F" w14:paraId="0B429445" w14:textId="68E68D03"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 xml:space="preserve">Los criterios de asignación </w:t>
            </w:r>
            <w:r w:rsidRPr="175FA130" w:rsidR="175FA130">
              <w:rPr>
                <w:rFonts w:ascii="Arial" w:hAnsi="Arial" w:eastAsia="Arial" w:cs="Arial"/>
                <w:sz w:val="20"/>
                <w:szCs w:val="20"/>
                <w:lang w:val="es-ES"/>
              </w:rPr>
              <w:t>per cápita del presupuesto para la provisión de servicios de primer nivel se encontrarán en la propuesta de asignación presentada por la SESAL ante SEFIN.</w:t>
            </w:r>
          </w:p>
        </w:tc>
      </w:tr>
      <w:tr w:rsidRPr="000B08DE" w:rsidR="00CF3EED" w:rsidTr="175FA130" w14:paraId="23A1DB39" w14:textId="77777777">
        <w:trPr>
          <w:trHeight w:val="215"/>
        </w:trPr>
        <w:tc>
          <w:tcPr>
            <w:cnfStyle w:val="000000000000" w:firstRow="0" w:lastRow="0" w:firstColumn="0" w:lastColumn="0" w:oddVBand="0" w:evenVBand="0" w:oddHBand="0" w:evenHBand="0" w:firstRowFirstColumn="0" w:firstRowLastColumn="0" w:lastRowFirstColumn="0" w:lastRowLastColumn="0"/>
            <w:tcW w:w="2886" w:type="dxa"/>
            <w:tcMar/>
            <w:vAlign w:val="center"/>
          </w:tcPr>
          <w:p w:rsidRPr="003930CD" w:rsidR="00A326E2" w:rsidP="175FA130" w:rsidRDefault="00A326E2" w14:paraId="3518FC81" w14:textId="58676A92" w14:noSpellErr="1">
            <w:pPr>
              <w:rPr>
                <w:rFonts w:ascii="Arial" w:hAnsi="Arial" w:eastAsia="Arial" w:cs="Arial"/>
                <w:sz w:val="20"/>
                <w:szCs w:val="20"/>
                <w:lang w:val="es-ES"/>
              </w:rPr>
            </w:pPr>
            <w:r w:rsidRPr="175FA130">
              <w:rPr>
                <w:rFonts w:ascii="Arial" w:hAnsi="Arial" w:eastAsia="Arial" w:cs="Arial"/>
                <w:sz w:val="20"/>
                <w:szCs w:val="20"/>
                <w:lang w:val="es-ES"/>
              </w:rPr>
              <w:t>Reducido el pago injustificado</w:t>
            </w:r>
            <w:r w:rsidRPr="175FA130" w:rsidR="00B0597D">
              <w:rPr>
                <w:rStyle w:val="FootnoteReference"/>
                <w:rFonts w:ascii="Arial" w:hAnsi="Arial" w:eastAsia="Arial" w:cs="Arial"/>
                <w:sz w:val="20"/>
                <w:szCs w:val="20"/>
                <w:lang w:val="es-ES"/>
              </w:rPr>
              <w:footnoteReference w:id="6"/>
            </w:r>
            <w:r w:rsidRPr="175FA130">
              <w:rPr>
                <w:rFonts w:ascii="Arial" w:hAnsi="Arial" w:eastAsia="Arial" w:cs="Arial"/>
                <w:sz w:val="20"/>
                <w:szCs w:val="20"/>
                <w:lang w:val="es-ES"/>
              </w:rPr>
              <w:t xml:space="preserve"> a empleados del nivel central, regiones departamentales y de los servicios de salud de la SESAL</w:t>
            </w:r>
          </w:p>
          <w:p w:rsidRPr="003930CD" w:rsidR="00CF3EED" w:rsidP="008C4A6B" w:rsidRDefault="00CF3EED" w14:paraId="468F72CD" w14:textId="04ED48A3">
            <w:pPr>
              <w:rPr>
                <w:rFonts w:ascii="Arial" w:hAnsi="Arial" w:eastAsia="Arial" w:cs="Arial"/>
                <w:color w:val="000000" w:themeColor="text1"/>
                <w:sz w:val="20"/>
                <w:lang w:val="es-ES_tradnl"/>
              </w:rPr>
            </w:pPr>
          </w:p>
        </w:tc>
        <w:tc>
          <w:tcPr>
            <w:cnfStyle w:val="000000000000" w:firstRow="0" w:lastRow="0" w:firstColumn="0" w:lastColumn="0" w:oddVBand="0" w:evenVBand="0" w:oddHBand="0" w:evenHBand="0" w:firstRowFirstColumn="0" w:firstRowLastColumn="0" w:lastRowFirstColumn="0" w:lastRowLastColumn="0"/>
            <w:tcW w:w="1257" w:type="dxa"/>
            <w:tcMar/>
            <w:vAlign w:val="center"/>
          </w:tcPr>
          <w:p w:rsidRPr="003930CD" w:rsidR="00CF3EED" w:rsidP="175FA130" w:rsidRDefault="4EAF959F" w14:paraId="0833F426" w14:textId="0654A383"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w:t>
            </w:r>
          </w:p>
        </w:tc>
        <w:tc>
          <w:tcPr>
            <w:cnfStyle w:val="000000000000" w:firstRow="0" w:lastRow="0" w:firstColumn="0" w:lastColumn="0" w:oddVBand="0" w:evenVBand="0" w:oddHBand="0" w:evenHBand="0" w:firstRowFirstColumn="0" w:firstRowLastColumn="0" w:lastRowFirstColumn="0" w:lastRowLastColumn="0"/>
            <w:tcW w:w="1342" w:type="dxa"/>
            <w:tcMar/>
            <w:vAlign w:val="center"/>
          </w:tcPr>
          <w:p w:rsidRPr="003930CD" w:rsidR="00CF3EED" w:rsidP="175FA130" w:rsidRDefault="00A326E2" w14:paraId="4C2A08D5" w14:textId="1E0842B3">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21</w:t>
            </w:r>
          </w:p>
        </w:tc>
        <w:tc>
          <w:tcPr>
            <w:cnfStyle w:val="000000000000" w:firstRow="0" w:lastRow="0" w:firstColumn="0" w:lastColumn="0" w:oddVBand="0" w:evenVBand="0" w:oddHBand="0" w:evenHBand="0" w:firstRowFirstColumn="0" w:firstRowLastColumn="0" w:lastRowFirstColumn="0" w:lastRowLastColumn="0"/>
            <w:tcW w:w="1440" w:type="dxa"/>
            <w:tcMar/>
            <w:vAlign w:val="center"/>
          </w:tcPr>
          <w:p w:rsidRPr="003930CD" w:rsidR="00CF3EED" w:rsidP="175FA130" w:rsidRDefault="00A326E2" w14:paraId="03A1A19C" w14:textId="3DF38A52">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10</w:t>
            </w:r>
          </w:p>
        </w:tc>
        <w:tc>
          <w:tcPr>
            <w:cnfStyle w:val="000000000000" w:firstRow="0" w:lastRow="0" w:firstColumn="0" w:lastColumn="0" w:oddVBand="0" w:evenVBand="0" w:oddHBand="0" w:evenHBand="0" w:firstRowFirstColumn="0" w:firstRowLastColumn="0" w:lastRowFirstColumn="0" w:lastRowLastColumn="0"/>
            <w:tcW w:w="1733" w:type="dxa"/>
            <w:tcMar/>
            <w:vAlign w:val="center"/>
          </w:tcPr>
          <w:p w:rsidRPr="003930CD" w:rsidR="00CF3EED" w:rsidP="175FA130" w:rsidRDefault="003930CD" w14:paraId="6AC1830F" w14:textId="74063E97" w14:noSpellErr="1">
            <w:pPr>
              <w:jc w:val="cente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lang w:val="es-ES"/>
              </w:rPr>
              <w:t>Informe de Auditorí</w:t>
            </w:r>
            <w:r w:rsidRPr="175FA130" w:rsidR="175FA130">
              <w:rPr>
                <w:rFonts w:ascii="Arial" w:hAnsi="Arial" w:eastAsia="Arial" w:cs="Arial"/>
                <w:color w:val="000000" w:themeColor="text1" w:themeTint="FF" w:themeShade="FF"/>
                <w:sz w:val="20"/>
                <w:szCs w:val="20"/>
                <w:lang w:val="es-ES"/>
              </w:rPr>
              <w:t xml:space="preserve">a Externa de </w:t>
            </w:r>
            <w:r w:rsidRPr="175FA130" w:rsidR="175FA130">
              <w:rPr>
                <w:rFonts w:ascii="Arial" w:hAnsi="Arial" w:eastAsia="Arial" w:cs="Arial"/>
                <w:color w:val="000000" w:themeColor="text1" w:themeTint="FF" w:themeShade="FF"/>
                <w:sz w:val="20"/>
                <w:szCs w:val="20"/>
                <w:lang w:val="es-ES"/>
              </w:rPr>
              <w:t>RRHH</w:t>
            </w:r>
            <w:r w:rsidRPr="175FA130" w:rsidR="175FA130">
              <w:rPr>
                <w:rFonts w:ascii="Arial" w:hAnsi="Arial" w:eastAsia="Arial" w:cs="Arial"/>
                <w:color w:val="000000" w:themeColor="text1" w:themeTint="FF" w:themeShade="FF"/>
                <w:sz w:val="20"/>
                <w:szCs w:val="20"/>
                <w:lang w:val="es-ES"/>
              </w:rPr>
              <w:t xml:space="preserve"> de la SESAL</w:t>
            </w:r>
          </w:p>
        </w:tc>
        <w:tc>
          <w:tcPr>
            <w:cnfStyle w:val="000000000000" w:firstRow="0" w:lastRow="0" w:firstColumn="0" w:lastColumn="0" w:oddVBand="0" w:evenVBand="0" w:oddHBand="0" w:evenHBand="0" w:firstRowFirstColumn="0" w:firstRowLastColumn="0" w:lastRowFirstColumn="0" w:lastRowLastColumn="0"/>
            <w:tcW w:w="4297" w:type="dxa"/>
            <w:tcMar/>
            <w:vAlign w:val="center"/>
          </w:tcPr>
          <w:p w:rsidRPr="003930CD" w:rsidR="00A326E2" w:rsidP="175FA130" w:rsidRDefault="00A326E2" w14:paraId="3D869A14" w14:textId="349E0902" w14:noSpellErr="1">
            <w:pPr>
              <w:rPr>
                <w:rFonts w:ascii="Arial" w:hAnsi="Arial" w:eastAsia="Arial" w:cs="Arial"/>
                <w:color w:val="000000" w:themeColor="text1" w:themeTint="FF" w:themeShade="FF"/>
                <w:sz w:val="20"/>
                <w:szCs w:val="20"/>
                <w:u w:val="single"/>
                <w:lang w:val="es-ES"/>
              </w:rPr>
            </w:pPr>
            <w:r w:rsidRPr="175FA130">
              <w:rPr>
                <w:rFonts w:ascii="Arial" w:hAnsi="Arial" w:eastAsia="Arial" w:cs="Arial"/>
                <w:color w:val="000000" w:themeColor="text1"/>
                <w:sz w:val="20"/>
                <w:szCs w:val="20"/>
                <w:u w:val="single"/>
                <w:lang w:val="es-ES"/>
              </w:rPr>
              <w:t xml:space="preserve">Numerador:  </w:t>
            </w:r>
            <w:r w:rsidRPr="175FA130">
              <w:rPr>
                <w:rFonts w:ascii="Arial" w:hAnsi="Arial" w:eastAsia="Arial" w:cs="Arial"/>
                <w:color w:val="000000" w:themeColor="text1"/>
                <w:sz w:val="20"/>
                <w:szCs w:val="20"/>
                <w:lang w:val="es-ES"/>
              </w:rPr>
              <w:t>Número de empleados</w:t>
            </w:r>
            <w:r w:rsidRPr="175FA130">
              <w:rPr>
                <w:rFonts w:ascii="Arial" w:hAnsi="Arial" w:eastAsia="Arial" w:cs="Arial"/>
                <w:color w:val="000000" w:themeColor="text1"/>
                <w:sz w:val="20"/>
                <w:szCs w:val="20"/>
                <w:vertAlign w:val="superscript"/>
                <w:lang w:val="es-ES"/>
              </w:rPr>
              <w:footnoteReference w:id="7"/>
            </w:r>
            <w:r w:rsidRPr="175FA130">
              <w:rPr>
                <w:rFonts w:ascii="Arial" w:hAnsi="Arial" w:eastAsia="Arial" w:cs="Arial"/>
                <w:color w:val="000000" w:themeColor="text1"/>
                <w:sz w:val="20"/>
                <w:szCs w:val="20"/>
                <w:lang w:val="es-ES"/>
              </w:rPr>
              <w:t xml:space="preserve"> de la SESAL que reciben salarios </w:t>
            </w:r>
            <w:r w:rsidRPr="175FA130" w:rsidR="000B08DE">
              <w:rPr>
                <w:rFonts w:ascii="Arial" w:hAnsi="Arial" w:eastAsia="Arial" w:cs="Arial"/>
                <w:color w:val="000000" w:themeColor="text1"/>
                <w:sz w:val="20"/>
                <w:szCs w:val="20"/>
                <w:lang w:val="es-ES"/>
              </w:rPr>
              <w:t>o pagos de manera injustificada</w:t>
            </w:r>
            <w:r w:rsidRPr="175FA130">
              <w:rPr>
                <w:rFonts w:ascii="Arial" w:hAnsi="Arial" w:eastAsia="Arial" w:cs="Arial"/>
                <w:color w:val="000000" w:themeColor="text1"/>
                <w:sz w:val="20"/>
                <w:szCs w:val="20"/>
                <w:lang w:val="es-ES"/>
              </w:rPr>
              <w:t xml:space="preserve"> (nivel central, regiones sanitarias y </w:t>
            </w:r>
            <w:r w:rsidRPr="175FA130" w:rsidR="008C4A6B">
              <w:rPr>
                <w:rFonts w:ascii="Arial" w:hAnsi="Arial" w:eastAsia="Arial" w:cs="Arial"/>
                <w:color w:val="000000" w:themeColor="text1"/>
                <w:sz w:val="20"/>
                <w:szCs w:val="20"/>
                <w:lang w:val="es-ES"/>
              </w:rPr>
              <w:t>hospitales no descentralizados)</w:t>
            </w:r>
            <w:r w:rsidRPr="175FA130">
              <w:rPr>
                <w:rFonts w:ascii="Arial" w:hAnsi="Arial" w:eastAsia="Arial" w:cs="Arial"/>
                <w:color w:val="000000" w:themeColor="text1"/>
                <w:sz w:val="20"/>
                <w:szCs w:val="20"/>
                <w:u w:val="single"/>
                <w:lang w:val="es-ES"/>
              </w:rPr>
              <w:t xml:space="preserve"> </w:t>
            </w:r>
          </w:p>
          <w:p w:rsidRPr="003930CD" w:rsidR="00CF3EED" w:rsidP="175FA130" w:rsidRDefault="00A326E2" w14:paraId="1D9CCE44" w14:textId="7E619E24" w14:noSpellErr="1">
            <w:pPr>
              <w:rPr>
                <w:rFonts w:ascii="Arial" w:hAnsi="Arial" w:eastAsia="Arial" w:cs="Arial"/>
                <w:color w:val="000000" w:themeColor="text1" w:themeTint="FF" w:themeShade="FF"/>
                <w:sz w:val="20"/>
                <w:szCs w:val="20"/>
                <w:lang w:val="es-ES"/>
              </w:rPr>
            </w:pPr>
            <w:r w:rsidRPr="175FA130" w:rsidR="175FA130">
              <w:rPr>
                <w:rFonts w:ascii="Arial" w:hAnsi="Arial" w:eastAsia="Arial" w:cs="Arial"/>
                <w:color w:val="000000" w:themeColor="text1" w:themeTint="FF" w:themeShade="FF"/>
                <w:sz w:val="20"/>
                <w:szCs w:val="20"/>
                <w:u w:val="single"/>
                <w:lang w:val="es-ES"/>
              </w:rPr>
              <w:t xml:space="preserve">Denominador: </w:t>
            </w:r>
            <w:r w:rsidRPr="175FA130" w:rsidR="175FA130">
              <w:rPr>
                <w:rFonts w:ascii="Arial" w:hAnsi="Arial" w:eastAsia="Arial" w:cs="Arial"/>
                <w:color w:val="000000" w:themeColor="text1" w:themeTint="FF" w:themeShade="FF"/>
                <w:sz w:val="20"/>
                <w:szCs w:val="20"/>
                <w:lang w:val="es-ES"/>
              </w:rPr>
              <w:t>Total de empleados laborando para la SESAL (nivel central, regiones sanitarias y hospitales no descentralizados)</w:t>
            </w:r>
          </w:p>
        </w:tc>
      </w:tr>
    </w:tbl>
    <w:p w:rsidRPr="003930CD" w:rsidR="008F7735" w:rsidP="00330812" w:rsidRDefault="008F7735" w14:paraId="1857C745" w14:textId="4ADAD870">
      <w:pPr>
        <w:rPr>
          <w:rFonts w:ascii="Arial" w:hAnsi="Arial" w:cs="Arial"/>
          <w:b/>
          <w:sz w:val="16"/>
          <w:szCs w:val="16"/>
          <w:lang w:val="es-ES_tradnl"/>
        </w:rPr>
      </w:pPr>
    </w:p>
    <w:p w:rsidRPr="003930CD" w:rsidR="005307A3" w:rsidRDefault="005307A3" w14:paraId="7A8473A9" w14:textId="77777777">
      <w:pPr>
        <w:rPr>
          <w:rFonts w:ascii="Arial" w:hAnsi="Arial" w:cs="Arial"/>
          <w:b/>
          <w:sz w:val="22"/>
          <w:szCs w:val="22"/>
          <w:lang w:val="es-ES_tradnl"/>
        </w:rPr>
        <w:sectPr w:rsidRPr="003930CD" w:rsidR="005307A3" w:rsidSect="00330812">
          <w:pgSz w:w="15840" w:h="12240" w:orient="landscape"/>
          <w:pgMar w:top="1170" w:right="1440" w:bottom="1170" w:left="1440" w:header="720" w:footer="720" w:gutter="0"/>
          <w:cols w:space="720"/>
          <w:docGrid w:linePitch="360"/>
        </w:sectPr>
      </w:pPr>
    </w:p>
    <w:p w:rsidRPr="003930CD" w:rsidR="008D1816" w:rsidP="175FA130" w:rsidRDefault="4EAF959F" w14:paraId="50FE70D4" w14:textId="5B7537B8" w14:noSpellErr="1">
      <w:pPr>
        <w:pStyle w:val="FirstHeading"/>
        <w:numPr>
          <w:numId w:val="0"/>
        </w:numPr>
        <w:ind w:left="72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Planificación y presupu</w:t>
      </w:r>
      <w:r w:rsidRPr="175FA130" w:rsidR="175FA130">
        <w:rPr>
          <w:rFonts w:ascii="Arial" w:hAnsi="Arial" w:eastAsia="Arial" w:cs="Arial"/>
          <w:b w:val="0"/>
          <w:bCs w:val="0"/>
          <w:sz w:val="22"/>
          <w:szCs w:val="22"/>
          <w:lang w:val="es-ES"/>
        </w:rPr>
        <w:t>esto del programa de evaluación</w:t>
      </w:r>
    </w:p>
    <w:p w:rsidRPr="003930CD" w:rsidR="00A65A1C" w:rsidP="008D1816" w:rsidRDefault="00A65A1C" w14:paraId="4C3B44AA" w14:textId="77777777">
      <w:pPr>
        <w:pStyle w:val="FirstHeading"/>
        <w:numPr>
          <w:ilvl w:val="0"/>
          <w:numId w:val="0"/>
        </w:numPr>
        <w:rPr>
          <w:rFonts w:ascii="Arial" w:hAnsi="Arial" w:cs="Arial"/>
          <w:sz w:val="22"/>
          <w:lang w:val="es-ES_tradnl"/>
        </w:rPr>
      </w:pPr>
    </w:p>
    <w:p w:rsidRPr="003930CD" w:rsidR="008D1816" w:rsidP="175FA130" w:rsidRDefault="4EAF959F" w14:paraId="18C60AD2" w14:textId="62A7B302">
      <w:pPr>
        <w:pStyle w:val="Paragraph"/>
        <w:tabs>
          <w:tab w:val="num" w:pos="720"/>
        </w:tabs>
        <w:ind w:left="720"/>
        <w:rPr>
          <w:rFonts w:ascii="Arial" w:hAnsi="Arial" w:eastAsia="Arial" w:cs="Arial"/>
          <w:sz w:val="22"/>
          <w:szCs w:val="22"/>
          <w:lang w:val="es-ES"/>
        </w:rPr>
      </w:pPr>
      <w:r w:rsidRPr="175FA130" w:rsidR="175FA130">
        <w:rPr>
          <w:rFonts w:ascii="Arial" w:hAnsi="Arial" w:eastAsia="Arial" w:cs="Arial"/>
          <w:sz w:val="22"/>
          <w:szCs w:val="22"/>
          <w:lang w:val="es-ES"/>
        </w:rPr>
        <w:t>En la Tabla III.B, se presenta el plan de trabajo para la implementación del Plan de Evaluación. La evaluación planteada se realizará en el contexto de la preparación del PCR de la operación en 201</w:t>
      </w:r>
      <w:r w:rsidRPr="175FA130" w:rsidR="175FA130">
        <w:rPr>
          <w:rFonts w:ascii="Arial" w:hAnsi="Arial" w:eastAsia="Arial" w:cs="Arial"/>
          <w:sz w:val="22"/>
          <w:szCs w:val="22"/>
          <w:lang w:val="es-ES"/>
        </w:rPr>
        <w:t>9</w:t>
      </w:r>
      <w:r w:rsidRPr="175FA130" w:rsidR="175FA130">
        <w:rPr>
          <w:rFonts w:ascii="Arial" w:hAnsi="Arial" w:eastAsia="Arial" w:cs="Arial"/>
          <w:sz w:val="22"/>
          <w:szCs w:val="22"/>
          <w:lang w:val="es-ES"/>
        </w:rPr>
        <w:t xml:space="preserve">, y para tal efecto se contratará un consultor que será pagado con recursos transaccionales de SPH asignados a la preparación de </w:t>
      </w:r>
      <w:proofErr w:type="spellStart"/>
      <w:r w:rsidRPr="175FA130" w:rsidR="175FA130">
        <w:rPr>
          <w:rFonts w:ascii="Arial" w:hAnsi="Arial" w:eastAsia="Arial" w:cs="Arial"/>
          <w:sz w:val="22"/>
          <w:szCs w:val="22"/>
          <w:lang w:val="es-ES"/>
        </w:rPr>
        <w:t>PCRs</w:t>
      </w:r>
      <w:proofErr w:type="spellEnd"/>
      <w:r w:rsidRPr="175FA130" w:rsidR="175FA130">
        <w:rPr>
          <w:rFonts w:ascii="Arial" w:hAnsi="Arial" w:eastAsia="Arial" w:cs="Arial"/>
          <w:sz w:val="22"/>
          <w:szCs w:val="22"/>
          <w:lang w:val="es-ES"/>
        </w:rPr>
        <w:t xml:space="preserve">. Este consultor apoyará y coordinará con el personal de la SESAL y los especialistas del Banco para la </w:t>
      </w:r>
      <w:r w:rsidRPr="175FA130" w:rsidR="175FA130">
        <w:rPr>
          <w:rFonts w:ascii="Arial" w:hAnsi="Arial" w:eastAsia="Arial" w:cs="Arial"/>
          <w:sz w:val="22"/>
          <w:szCs w:val="22"/>
          <w:lang w:val="es-ES"/>
        </w:rPr>
        <w:t>preparación</w:t>
      </w:r>
      <w:r w:rsidRPr="175FA130" w:rsidR="175FA130">
        <w:rPr>
          <w:rFonts w:ascii="Arial" w:hAnsi="Arial" w:eastAsia="Arial" w:cs="Arial"/>
          <w:sz w:val="22"/>
          <w:szCs w:val="22"/>
          <w:lang w:val="es-ES"/>
        </w:rPr>
        <w:t xml:space="preserve"> de los insumos necesarios para dicho informe.</w:t>
      </w:r>
      <w:r w:rsidRPr="175FA130" w:rsidR="175FA130">
        <w:rPr>
          <w:rFonts w:ascii="Arial" w:hAnsi="Arial" w:eastAsia="Arial" w:cs="Arial"/>
          <w:sz w:val="22"/>
          <w:szCs w:val="22"/>
          <w:lang w:val="es-ES"/>
        </w:rPr>
        <w:t xml:space="preserve"> Se </w:t>
      </w:r>
      <w:r w:rsidRPr="175FA130" w:rsidR="175FA130">
        <w:rPr>
          <w:rFonts w:ascii="Arial" w:hAnsi="Arial" w:eastAsia="Arial" w:cs="Arial"/>
          <w:sz w:val="22"/>
          <w:szCs w:val="22"/>
          <w:lang w:val="es-ES"/>
        </w:rPr>
        <w:t>realizará</w:t>
      </w:r>
      <w:r w:rsidRPr="175FA130" w:rsidR="175FA130">
        <w:rPr>
          <w:rFonts w:ascii="Arial" w:hAnsi="Arial" w:eastAsia="Arial" w:cs="Arial"/>
          <w:sz w:val="22"/>
          <w:szCs w:val="22"/>
          <w:lang w:val="es-ES"/>
        </w:rPr>
        <w:t xml:space="preserve"> un PCR para las dos operaciones del préstamo programático en su conjunto.</w:t>
      </w:r>
    </w:p>
    <w:p w:rsidRPr="003930CD" w:rsidR="008D1816" w:rsidP="175FA130" w:rsidRDefault="4EAF959F" w14:paraId="0099E4B2" w14:textId="77777777" w14:noSpellErr="1">
      <w:pPr>
        <w:pStyle w:val="Paragraph"/>
        <w:numPr>
          <w:numId w:val="0"/>
        </w:numPr>
        <w:spacing w:before="0" w:after="0"/>
        <w:ind w:firstLine="720"/>
        <w:jc w:val="center"/>
        <w:rPr>
          <w:rFonts w:ascii="Arial" w:hAnsi="Arial" w:eastAsia="Arial" w:cs="Arial"/>
          <w:b w:val="1"/>
          <w:bCs w:val="1"/>
          <w:sz w:val="22"/>
          <w:szCs w:val="22"/>
          <w:lang w:val="es-ES"/>
        </w:rPr>
      </w:pPr>
      <w:r w:rsidRPr="175FA130" w:rsidR="175FA130">
        <w:rPr>
          <w:rFonts w:ascii="Arial" w:hAnsi="Arial" w:eastAsia="Arial" w:cs="Arial"/>
          <w:b w:val="1"/>
          <w:bCs w:val="1"/>
          <w:sz w:val="22"/>
          <w:szCs w:val="22"/>
          <w:lang w:val="es-ES"/>
        </w:rPr>
        <w:t>Tabla III.B</w:t>
      </w:r>
    </w:p>
    <w:p w:rsidRPr="003930CD" w:rsidR="008D1816" w:rsidP="175FA130" w:rsidRDefault="4EAF959F" w14:paraId="2AE7424E" w14:textId="77777777" w14:noSpellErr="1">
      <w:pPr>
        <w:pStyle w:val="Paragraph"/>
        <w:numPr>
          <w:numId w:val="0"/>
        </w:numPr>
        <w:spacing w:before="0" w:after="0"/>
        <w:ind w:firstLine="720"/>
        <w:jc w:val="center"/>
        <w:rPr>
          <w:rFonts w:ascii="Arial" w:hAnsi="Arial" w:eastAsia="Arial" w:cs="Arial"/>
          <w:b w:val="1"/>
          <w:bCs w:val="1"/>
          <w:sz w:val="22"/>
          <w:szCs w:val="22"/>
          <w:lang w:val="es-ES"/>
        </w:rPr>
      </w:pPr>
      <w:r w:rsidRPr="175FA130" w:rsidR="175FA130">
        <w:rPr>
          <w:rFonts w:ascii="Arial" w:hAnsi="Arial" w:eastAsia="Arial" w:cs="Arial"/>
          <w:b w:val="1"/>
          <w:bCs w:val="1"/>
          <w:sz w:val="22"/>
          <w:szCs w:val="22"/>
          <w:lang w:val="es-ES"/>
        </w:rPr>
        <w:t>Planificación y Presupuesto del Programa de Evaluación</w:t>
      </w:r>
    </w:p>
    <w:p w:rsidRPr="003930CD" w:rsidR="008D1816" w:rsidP="008D1816" w:rsidRDefault="008D1816" w14:paraId="04E76250" w14:textId="77777777">
      <w:pPr>
        <w:pStyle w:val="Paragraph"/>
        <w:numPr>
          <w:ilvl w:val="0"/>
          <w:numId w:val="0"/>
        </w:numPr>
        <w:spacing w:before="0" w:after="0"/>
        <w:ind w:firstLine="720"/>
        <w:jc w:val="center"/>
        <w:rPr>
          <w:rFonts w:ascii="Arial" w:hAnsi="Arial" w:cs="Arial"/>
          <w:b/>
          <w:sz w:val="22"/>
          <w:lang w:val="es-ES_tradnl"/>
        </w:rPr>
      </w:pPr>
    </w:p>
    <w:tbl>
      <w:tblPr>
        <w:tblW w:w="8724" w:type="dxa"/>
        <w:tblInd w:w="8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29"/>
        <w:gridCol w:w="367"/>
        <w:gridCol w:w="450"/>
        <w:gridCol w:w="360"/>
        <w:gridCol w:w="387"/>
        <w:gridCol w:w="1078"/>
        <w:gridCol w:w="3053"/>
      </w:tblGrid>
      <w:tr w:rsidRPr="003930CD" w:rsidR="008D1816" w:rsidTr="175FA130" w14:paraId="0C5E950B" w14:textId="77777777">
        <w:trPr>
          <w:trHeight w:val="300"/>
        </w:trPr>
        <w:tc>
          <w:tcPr>
            <w:tcW w:w="3029" w:type="dxa"/>
            <w:shd w:val="clear" w:color="auto" w:fill="8DB4E2"/>
            <w:noWrap/>
            <w:tcMar/>
            <w:vAlign w:val="bottom"/>
            <w:hideMark/>
          </w:tcPr>
          <w:p w:rsidRPr="003930CD" w:rsidR="008D1816" w:rsidP="175FA130" w:rsidRDefault="4EAF959F" w14:paraId="3BB349FA" w14:textId="77777777" w14:noSpellErr="1">
            <w:pPr>
              <w:spacing w:before="20" w:after="20"/>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Actividades</w:t>
            </w:r>
          </w:p>
        </w:tc>
        <w:tc>
          <w:tcPr>
            <w:tcW w:w="1564" w:type="dxa"/>
            <w:gridSpan w:val="4"/>
            <w:shd w:val="clear" w:color="auto" w:fill="8DB4E2"/>
            <w:noWrap/>
            <w:tcMar/>
            <w:vAlign w:val="bottom"/>
            <w:hideMark/>
          </w:tcPr>
          <w:p w:rsidRPr="003930CD" w:rsidR="008D1816" w:rsidP="175FA130" w:rsidRDefault="4EAF959F" w14:paraId="6829D2C6" w14:textId="1F2108F9">
            <w:pPr>
              <w:spacing w:before="20" w:after="20"/>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20</w:t>
            </w:r>
            <w:r w:rsidRPr="175FA130" w:rsidR="175FA130">
              <w:rPr>
                <w:rFonts w:ascii="Arial" w:hAnsi="Arial" w:eastAsia="Arial" w:cs="Arial"/>
                <w:b w:val="1"/>
                <w:bCs w:val="1"/>
                <w:color w:val="000000" w:themeColor="text1" w:themeTint="FF" w:themeShade="FF"/>
                <w:sz w:val="18"/>
                <w:szCs w:val="18"/>
                <w:lang w:val="es-ES"/>
              </w:rPr>
              <w:t>19</w:t>
            </w:r>
          </w:p>
        </w:tc>
        <w:tc>
          <w:tcPr>
            <w:tcW w:w="1078" w:type="dxa"/>
            <w:shd w:val="clear" w:color="auto" w:fill="8DB4E2"/>
            <w:noWrap/>
            <w:tcMar/>
            <w:vAlign w:val="bottom"/>
            <w:hideMark/>
          </w:tcPr>
          <w:p w:rsidRPr="003930CD" w:rsidR="008D1816" w:rsidP="175FA130" w:rsidRDefault="4EAF959F" w14:paraId="2787DB16" w14:textId="3111803E" w14:noSpellErr="1">
            <w:pPr>
              <w:spacing w:before="20" w:after="20"/>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Costo $</w:t>
            </w:r>
          </w:p>
        </w:tc>
        <w:tc>
          <w:tcPr>
            <w:tcW w:w="3053" w:type="dxa"/>
            <w:shd w:val="clear" w:color="auto" w:fill="8DB4E2"/>
            <w:noWrap/>
            <w:tcMar/>
            <w:vAlign w:val="bottom"/>
            <w:hideMark/>
          </w:tcPr>
          <w:p w:rsidRPr="003930CD" w:rsidR="008D1816" w:rsidP="175FA130" w:rsidRDefault="4EAF959F" w14:paraId="21EC96B6" w14:textId="77777777" w14:noSpellErr="1">
            <w:pPr>
              <w:spacing w:before="20" w:after="20"/>
              <w:jc w:val="center"/>
              <w:rPr>
                <w:rFonts w:ascii="Arial" w:hAnsi="Arial" w:eastAsia="Arial" w:cs="Arial"/>
                <w:b w:val="1"/>
                <w:bCs w:val="1"/>
                <w:color w:val="000000" w:themeColor="text1" w:themeTint="FF" w:themeShade="FF"/>
                <w:sz w:val="18"/>
                <w:szCs w:val="18"/>
                <w:lang w:val="es-ES"/>
              </w:rPr>
            </w:pPr>
            <w:r w:rsidRPr="175FA130" w:rsidR="175FA130">
              <w:rPr>
                <w:rFonts w:ascii="Arial" w:hAnsi="Arial" w:eastAsia="Arial" w:cs="Arial"/>
                <w:b w:val="1"/>
                <w:bCs w:val="1"/>
                <w:color w:val="000000" w:themeColor="text1" w:themeTint="FF" w:themeShade="FF"/>
                <w:sz w:val="18"/>
                <w:szCs w:val="18"/>
                <w:lang w:val="es-ES"/>
              </w:rPr>
              <w:t>Fuente financiamiento</w:t>
            </w:r>
          </w:p>
        </w:tc>
      </w:tr>
      <w:tr w:rsidRPr="000B08DE" w:rsidR="008D1816" w:rsidTr="175FA130" w14:paraId="4CD10190" w14:textId="77777777">
        <w:trPr>
          <w:trHeight w:val="773"/>
        </w:trPr>
        <w:tc>
          <w:tcPr>
            <w:tcW w:w="3029" w:type="dxa"/>
            <w:shd w:val="clear" w:color="auto" w:fill="FFFFFF" w:themeFill="background1"/>
            <w:tcMar/>
            <w:vAlign w:val="center"/>
            <w:hideMark/>
          </w:tcPr>
          <w:p w:rsidRPr="003930CD" w:rsidR="008D1816" w:rsidP="175FA130" w:rsidRDefault="4EAF959F" w14:paraId="23888111" w14:textId="05DF2A32"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 xml:space="preserve">Consultor para apoyar a la SESAL en el </w:t>
            </w:r>
            <w:r w:rsidRPr="175FA130" w:rsidR="175FA130">
              <w:rPr>
                <w:rFonts w:ascii="Arial" w:hAnsi="Arial" w:eastAsia="Arial" w:cs="Arial"/>
                <w:color w:val="000000" w:themeColor="text1" w:themeTint="FF" w:themeShade="FF"/>
                <w:sz w:val="18"/>
                <w:szCs w:val="18"/>
                <w:lang w:val="es-ES"/>
              </w:rPr>
              <w:t>análisis</w:t>
            </w:r>
            <w:r w:rsidRPr="175FA130" w:rsidR="175FA130">
              <w:rPr>
                <w:rFonts w:ascii="Arial" w:hAnsi="Arial" w:eastAsia="Arial" w:cs="Arial"/>
                <w:color w:val="000000" w:themeColor="text1" w:themeTint="FF" w:themeShade="FF"/>
                <w:sz w:val="18"/>
                <w:szCs w:val="18"/>
                <w:lang w:val="es-ES"/>
              </w:rPr>
              <w:t xml:space="preserve"> de datos y la redacción de informe de evaluación como parte el PCR.</w:t>
            </w:r>
          </w:p>
        </w:tc>
        <w:tc>
          <w:tcPr>
            <w:tcW w:w="367" w:type="dxa"/>
            <w:shd w:val="clear" w:color="auto" w:fill="FFFFFF" w:themeFill="background1"/>
            <w:noWrap/>
            <w:tcMar/>
            <w:vAlign w:val="center"/>
            <w:hideMark/>
          </w:tcPr>
          <w:p w:rsidRPr="003930CD" w:rsidR="008D1816" w:rsidP="175FA130" w:rsidRDefault="4EAF959F" w14:paraId="46CC3A40" w14:textId="77777777"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x</w:t>
            </w:r>
          </w:p>
        </w:tc>
        <w:tc>
          <w:tcPr>
            <w:tcW w:w="450" w:type="dxa"/>
            <w:shd w:val="clear" w:color="auto" w:fill="FFFFFF" w:themeFill="background1"/>
            <w:noWrap/>
            <w:tcMar/>
            <w:vAlign w:val="center"/>
            <w:hideMark/>
          </w:tcPr>
          <w:p w:rsidRPr="003930CD" w:rsidR="008D1816" w:rsidP="175FA130" w:rsidRDefault="4EAF959F" w14:paraId="23E37142" w14:textId="77777777"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x</w:t>
            </w:r>
          </w:p>
        </w:tc>
        <w:tc>
          <w:tcPr>
            <w:tcW w:w="360" w:type="dxa"/>
            <w:shd w:val="clear" w:color="auto" w:fill="FFFFFF" w:themeFill="background1"/>
            <w:noWrap/>
            <w:tcMar/>
            <w:vAlign w:val="center"/>
            <w:hideMark/>
          </w:tcPr>
          <w:p w:rsidRPr="003930CD" w:rsidR="008D1816" w:rsidP="001F1BFF" w:rsidRDefault="008D1816" w14:paraId="677CB9CE" w14:textId="39816AA4">
            <w:pPr>
              <w:jc w:val="center"/>
              <w:rPr>
                <w:rFonts w:ascii="Arial" w:hAnsi="Arial" w:cs="Arial"/>
                <w:color w:val="000000"/>
                <w:sz w:val="18"/>
                <w:szCs w:val="18"/>
                <w:lang w:val="es-ES_tradnl"/>
              </w:rPr>
            </w:pPr>
          </w:p>
        </w:tc>
        <w:tc>
          <w:tcPr>
            <w:tcW w:w="387" w:type="dxa"/>
            <w:shd w:val="clear" w:color="auto" w:fill="FFFFFF" w:themeFill="background1"/>
            <w:noWrap/>
            <w:tcMar/>
            <w:vAlign w:val="center"/>
            <w:hideMark/>
          </w:tcPr>
          <w:p w:rsidRPr="003930CD" w:rsidR="008D1816" w:rsidP="001F1BFF" w:rsidRDefault="008D1816" w14:paraId="36F102F5" w14:textId="77777777">
            <w:pPr>
              <w:jc w:val="center"/>
              <w:rPr>
                <w:rFonts w:ascii="Arial" w:hAnsi="Arial" w:cs="Arial"/>
                <w:color w:val="000000"/>
                <w:sz w:val="18"/>
                <w:szCs w:val="18"/>
                <w:lang w:val="es-ES_tradnl"/>
              </w:rPr>
            </w:pPr>
          </w:p>
        </w:tc>
        <w:tc>
          <w:tcPr>
            <w:tcW w:w="1078" w:type="dxa"/>
            <w:shd w:val="clear" w:color="auto" w:fill="FFFFFF" w:themeFill="background1"/>
            <w:noWrap/>
            <w:tcMar/>
            <w:vAlign w:val="center"/>
            <w:hideMark/>
          </w:tcPr>
          <w:p w:rsidRPr="003930CD" w:rsidR="008D1816" w:rsidP="175FA130" w:rsidRDefault="008C4A6B" w14:paraId="570B32CA" w14:textId="1A6251BA">
            <w:pPr>
              <w:jc w:val="right"/>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20.</w:t>
            </w:r>
            <w:r w:rsidRPr="175FA130" w:rsidR="175FA130">
              <w:rPr>
                <w:rFonts w:ascii="Arial" w:hAnsi="Arial" w:eastAsia="Arial" w:cs="Arial"/>
                <w:color w:val="000000" w:themeColor="text1" w:themeTint="FF" w:themeShade="FF"/>
                <w:sz w:val="18"/>
                <w:szCs w:val="18"/>
                <w:lang w:val="es-ES"/>
              </w:rPr>
              <w:t>000</w:t>
            </w:r>
          </w:p>
        </w:tc>
        <w:tc>
          <w:tcPr>
            <w:tcW w:w="3053" w:type="dxa"/>
            <w:shd w:val="clear" w:color="auto" w:fill="FFFFFF" w:themeFill="background1"/>
            <w:noWrap/>
            <w:tcMar/>
            <w:vAlign w:val="center"/>
            <w:hideMark/>
          </w:tcPr>
          <w:p w:rsidRPr="003930CD" w:rsidR="008D1816" w:rsidP="175FA130" w:rsidRDefault="4EAF959F" w14:paraId="63A85BA7"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Recursos transaccionales y de preparación del PCR</w:t>
            </w:r>
          </w:p>
        </w:tc>
      </w:tr>
      <w:tr w:rsidRPr="003930CD" w:rsidR="008D1816" w:rsidTr="175FA130" w14:paraId="26C038A2" w14:textId="77777777">
        <w:trPr>
          <w:trHeight w:val="620"/>
        </w:trPr>
        <w:tc>
          <w:tcPr>
            <w:tcW w:w="3029" w:type="dxa"/>
            <w:shd w:val="clear" w:color="auto" w:fill="FFFFFF" w:themeFill="background1"/>
            <w:tcMar/>
            <w:vAlign w:val="center"/>
            <w:hideMark/>
          </w:tcPr>
          <w:p w:rsidRPr="003930CD" w:rsidR="008D1816" w:rsidP="175FA130" w:rsidRDefault="4EAF959F" w14:paraId="0935E0BC" w14:textId="77777777"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Misión(es) de especialista de evaluación.</w:t>
            </w:r>
          </w:p>
        </w:tc>
        <w:tc>
          <w:tcPr>
            <w:tcW w:w="367" w:type="dxa"/>
            <w:shd w:val="clear" w:color="auto" w:fill="FFFFFF" w:themeFill="background1"/>
            <w:noWrap/>
            <w:tcMar/>
            <w:vAlign w:val="center"/>
            <w:hideMark/>
          </w:tcPr>
          <w:p w:rsidRPr="003930CD" w:rsidR="008D1816" w:rsidP="001F1BFF" w:rsidRDefault="008D1816" w14:paraId="72FB4397" w14:textId="34E4DBF0">
            <w:pPr>
              <w:jc w:val="center"/>
              <w:rPr>
                <w:rFonts w:ascii="Arial" w:hAnsi="Arial" w:cs="Arial"/>
                <w:color w:val="000000"/>
                <w:sz w:val="18"/>
                <w:szCs w:val="18"/>
                <w:lang w:val="es-ES_tradnl"/>
              </w:rPr>
            </w:pPr>
          </w:p>
        </w:tc>
        <w:tc>
          <w:tcPr>
            <w:tcW w:w="450" w:type="dxa"/>
            <w:shd w:val="clear" w:color="auto" w:fill="FFFFFF" w:themeFill="background1"/>
            <w:noWrap/>
            <w:tcMar/>
            <w:vAlign w:val="center"/>
            <w:hideMark/>
          </w:tcPr>
          <w:p w:rsidRPr="003930CD" w:rsidR="008D1816" w:rsidP="175FA130" w:rsidRDefault="4EAF959F" w14:paraId="2C5CFA02" w14:textId="33D5ECF1" w14:noSpellErr="1">
            <w:pPr>
              <w:jc w:val="cente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x</w:t>
            </w:r>
          </w:p>
        </w:tc>
        <w:tc>
          <w:tcPr>
            <w:tcW w:w="360" w:type="dxa"/>
            <w:shd w:val="clear" w:color="auto" w:fill="FFFFFF" w:themeFill="background1"/>
            <w:noWrap/>
            <w:tcMar/>
            <w:vAlign w:val="center"/>
            <w:hideMark/>
          </w:tcPr>
          <w:p w:rsidRPr="003930CD" w:rsidR="008D1816" w:rsidP="001F1BFF" w:rsidRDefault="008D1816" w14:paraId="05EFE5D6" w14:textId="4AD64F2B">
            <w:pPr>
              <w:jc w:val="center"/>
              <w:rPr>
                <w:rFonts w:ascii="Arial" w:hAnsi="Arial" w:cs="Arial"/>
                <w:color w:val="000000"/>
                <w:sz w:val="18"/>
                <w:szCs w:val="18"/>
                <w:lang w:val="es-ES_tradnl"/>
              </w:rPr>
            </w:pPr>
          </w:p>
        </w:tc>
        <w:tc>
          <w:tcPr>
            <w:tcW w:w="387" w:type="dxa"/>
            <w:shd w:val="clear" w:color="auto" w:fill="FFFFFF" w:themeFill="background1"/>
            <w:noWrap/>
            <w:tcMar/>
            <w:vAlign w:val="center"/>
          </w:tcPr>
          <w:p w:rsidRPr="003930CD" w:rsidR="008D1816" w:rsidP="001F1BFF" w:rsidRDefault="008D1816" w14:paraId="5F5104AD" w14:textId="77777777">
            <w:pPr>
              <w:jc w:val="center"/>
              <w:rPr>
                <w:rFonts w:ascii="Arial" w:hAnsi="Arial" w:cs="Arial"/>
                <w:color w:val="000000"/>
                <w:sz w:val="18"/>
                <w:szCs w:val="18"/>
                <w:lang w:val="es-ES_tradnl"/>
              </w:rPr>
            </w:pPr>
          </w:p>
        </w:tc>
        <w:tc>
          <w:tcPr>
            <w:tcW w:w="1078" w:type="dxa"/>
            <w:shd w:val="clear" w:color="auto" w:fill="FFFFFF" w:themeFill="background1"/>
            <w:noWrap/>
            <w:tcMar/>
            <w:vAlign w:val="center"/>
            <w:hideMark/>
          </w:tcPr>
          <w:p w:rsidRPr="003930CD" w:rsidR="008D1816" w:rsidP="175FA130" w:rsidRDefault="008C4A6B" w14:paraId="422D5B0E" w14:textId="736CE68F">
            <w:pPr>
              <w:jc w:val="right"/>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5.</w:t>
            </w:r>
            <w:r w:rsidRPr="175FA130" w:rsidR="175FA130">
              <w:rPr>
                <w:rFonts w:ascii="Arial" w:hAnsi="Arial" w:eastAsia="Arial" w:cs="Arial"/>
                <w:color w:val="000000" w:themeColor="text1" w:themeTint="FF" w:themeShade="FF"/>
                <w:sz w:val="18"/>
                <w:szCs w:val="18"/>
                <w:lang w:val="es-ES"/>
              </w:rPr>
              <w:t>000</w:t>
            </w:r>
          </w:p>
        </w:tc>
        <w:tc>
          <w:tcPr>
            <w:tcW w:w="3053" w:type="dxa"/>
            <w:shd w:val="clear" w:color="auto" w:fill="FFFFFF" w:themeFill="background1"/>
            <w:tcMar/>
            <w:vAlign w:val="center"/>
            <w:hideMark/>
          </w:tcPr>
          <w:p w:rsidRPr="003930CD" w:rsidR="008D1816" w:rsidP="175FA130" w:rsidRDefault="4EAF959F" w14:paraId="7FCE41D3" w14:textId="48279C34" w14:noSpellErr="1">
            <w:pPr>
              <w:rPr>
                <w:rFonts w:ascii="Arial" w:hAnsi="Arial" w:eastAsia="Arial" w:cs="Arial"/>
                <w:color w:val="000000" w:themeColor="text1" w:themeTint="FF" w:themeShade="FF"/>
                <w:sz w:val="18"/>
                <w:szCs w:val="18"/>
                <w:lang w:val="es-ES"/>
              </w:rPr>
            </w:pPr>
            <w:r w:rsidRPr="175FA130" w:rsidR="175FA130">
              <w:rPr>
                <w:rFonts w:ascii="Arial" w:hAnsi="Arial" w:eastAsia="Arial" w:cs="Arial"/>
                <w:color w:val="000000" w:themeColor="text1" w:themeTint="FF" w:themeShade="FF"/>
                <w:sz w:val="18"/>
                <w:szCs w:val="18"/>
                <w:lang w:val="es-ES"/>
              </w:rPr>
              <w:t>Recursos transaccionales SCL/SPH</w:t>
            </w:r>
          </w:p>
        </w:tc>
      </w:tr>
    </w:tbl>
    <w:p w:rsidRPr="00330812" w:rsidR="00F64334" w:rsidP="00F64334" w:rsidRDefault="00F64334" w14:paraId="38B38249" w14:textId="77777777">
      <w:pPr>
        <w:pStyle w:val="Chapter"/>
        <w:numPr>
          <w:ilvl w:val="0"/>
          <w:numId w:val="0"/>
        </w:numPr>
        <w:tabs>
          <w:tab w:val="clear" w:pos="1440"/>
        </w:tabs>
        <w:spacing w:before="240"/>
        <w:jc w:val="left"/>
        <w:outlineLvl w:val="0"/>
        <w:rPr>
          <w:rFonts w:ascii="Arial" w:hAnsi="Arial" w:cs="Arial"/>
          <w:sz w:val="22"/>
          <w:szCs w:val="22"/>
          <w:lang w:val="es-ES_tradnl"/>
        </w:rPr>
      </w:pPr>
    </w:p>
    <w:p w:rsidRPr="00330812" w:rsidR="00F64334" w:rsidP="00F64334" w:rsidRDefault="00F64334" w14:paraId="053008E4" w14:textId="77777777">
      <w:pPr>
        <w:rPr>
          <w:lang w:val="es-ES_tradnl"/>
        </w:rPr>
      </w:pPr>
      <w:r w:rsidRPr="00330812">
        <w:rPr>
          <w:lang w:val="es-ES_tradnl"/>
        </w:rPr>
        <w:br w:type="page"/>
      </w:r>
      <w:bookmarkStart w:name="_GoBack" w:id="22"/>
      <w:bookmarkEnd w:id="22"/>
    </w:p>
    <w:p w:rsidRPr="00330812" w:rsidR="00F64334" w:rsidP="00F64334" w:rsidRDefault="00F64334" w14:paraId="6A969989" w14:textId="599A07F4">
      <w:pPr>
        <w:pStyle w:val="Chapter"/>
        <w:numPr>
          <w:ilvl w:val="0"/>
          <w:numId w:val="0"/>
        </w:numPr>
        <w:tabs>
          <w:tab w:val="clear" w:pos="1440"/>
        </w:tabs>
        <w:spacing w:before="240"/>
        <w:jc w:val="left"/>
        <w:outlineLvl w:val="0"/>
        <w:rPr>
          <w:rFonts w:ascii="Arial" w:hAnsi="Arial" w:cs="Arial"/>
          <w:sz w:val="22"/>
          <w:szCs w:val="22"/>
          <w:lang w:val="es-ES_tradnl"/>
        </w:rPr>
      </w:pPr>
    </w:p>
    <w:p w:rsidRPr="00330812" w:rsidR="00EE42B1" w:rsidP="175FA130" w:rsidRDefault="4EAF959F" w14:paraId="374977CB" w14:textId="76F68699" w14:noSpellErr="1">
      <w:pPr>
        <w:pStyle w:val="Chapter"/>
        <w:tabs>
          <w:tab w:val="clear" w:pos="1440"/>
          <w:tab w:val="clear" w:pos="4900"/>
          <w:tab w:val="num" w:pos="0"/>
        </w:tabs>
        <w:spacing w:before="240"/>
        <w:ind w:left="0" w:firstLine="0"/>
        <w:jc w:val="left"/>
        <w:outlineLvl w:val="0"/>
        <w:rPr>
          <w:rFonts w:ascii="Arial" w:hAnsi="Arial" w:eastAsia="Arial" w:cs="Arial"/>
          <w:sz w:val="22"/>
          <w:szCs w:val="22"/>
          <w:lang w:val="es-ES"/>
        </w:rPr>
      </w:pPr>
      <w:r w:rsidRPr="175FA130" w:rsidR="175FA130">
        <w:rPr>
          <w:rFonts w:ascii="Arial" w:hAnsi="Arial" w:eastAsia="Arial" w:cs="Arial"/>
          <w:sz w:val="22"/>
          <w:szCs w:val="22"/>
          <w:lang w:val="es-ES"/>
        </w:rPr>
        <w:t>Referencias Bibliográficas</w:t>
      </w:r>
    </w:p>
    <w:p w:rsidRPr="00330812" w:rsidR="00437351" w:rsidP="175FA130" w:rsidRDefault="4EAF959F" w14:paraId="52610628" w14:textId="5297C3E6"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Actualización de la razón de mortali</w:t>
      </w:r>
      <w:r w:rsidRPr="175FA130" w:rsidR="175FA130">
        <w:rPr>
          <w:rFonts w:ascii="Arial" w:hAnsi="Arial" w:eastAsia="Arial" w:cs="Arial"/>
          <w:b w:val="0"/>
          <w:bCs w:val="0"/>
          <w:sz w:val="22"/>
          <w:szCs w:val="22"/>
          <w:lang w:val="es-ES"/>
        </w:rPr>
        <w:t>dad materna, año 2010. Secretarí</w:t>
      </w:r>
      <w:r w:rsidRPr="175FA130" w:rsidR="175FA130">
        <w:rPr>
          <w:rFonts w:ascii="Arial" w:hAnsi="Arial" w:eastAsia="Arial" w:cs="Arial"/>
          <w:b w:val="0"/>
          <w:bCs w:val="0"/>
          <w:sz w:val="22"/>
          <w:szCs w:val="22"/>
          <w:lang w:val="es-ES"/>
        </w:rPr>
        <w:t xml:space="preserve">a de Salud de Honduras.  Agosto 2013. </w:t>
      </w:r>
    </w:p>
    <w:p w:rsidRPr="00330812" w:rsidR="00437351" w:rsidP="175FA130" w:rsidRDefault="4EAF959F" w14:paraId="6F361C9F" w14:textId="1444E036"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Agenda 2030 para el Desarrollo Sostenible. Objetivos de desarrollo Sostenible. Organización de Naciones Unidas. Septiembre 2015.</w:t>
      </w:r>
    </w:p>
    <w:p w:rsidRPr="00330812" w:rsidR="00437351" w:rsidP="175FA130" w:rsidRDefault="4EAF959F" w14:paraId="09F4F5C7" w14:textId="6CCE2489"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Análisis y Descripción de Puestos de la Secretaría de Educación, Secretaría de Salud, Secretaría de Infraestructura y Servicios Públicos, Secretaría de Seguridad y S</w:t>
      </w:r>
      <w:r w:rsidRPr="175FA130" w:rsidR="175FA130">
        <w:rPr>
          <w:rFonts w:ascii="Arial" w:hAnsi="Arial" w:eastAsia="Arial" w:cs="Arial"/>
          <w:b w:val="0"/>
          <w:bCs w:val="0"/>
          <w:sz w:val="22"/>
          <w:szCs w:val="22"/>
          <w:lang w:val="es-ES"/>
        </w:rPr>
        <w:t>ecretaría de Finanzas. Secretarí</w:t>
      </w:r>
      <w:r w:rsidRPr="175FA130" w:rsidR="175FA130">
        <w:rPr>
          <w:rFonts w:ascii="Arial" w:hAnsi="Arial" w:eastAsia="Arial" w:cs="Arial"/>
          <w:b w:val="0"/>
          <w:bCs w:val="0"/>
          <w:sz w:val="22"/>
          <w:szCs w:val="22"/>
          <w:lang w:val="es-ES"/>
        </w:rPr>
        <w:t>a de Salud de Honduras- Compañía DELOITTE; Octubre de 2015.</w:t>
      </w:r>
    </w:p>
    <w:p w:rsidRPr="00330812" w:rsidR="00437351" w:rsidP="175FA130" w:rsidRDefault="4EAF959F" w14:paraId="15858A12" w14:textId="53DFC3AB"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Convenios de gestión de servicios de sa</w:t>
      </w:r>
      <w:r w:rsidRPr="175FA130" w:rsidR="175FA130">
        <w:rPr>
          <w:rFonts w:ascii="Arial" w:hAnsi="Arial" w:eastAsia="Arial" w:cs="Arial"/>
          <w:b w:val="0"/>
          <w:bCs w:val="0"/>
          <w:sz w:val="22"/>
          <w:szCs w:val="22"/>
          <w:lang w:val="es-ES"/>
        </w:rPr>
        <w:t>lud suscritos entre la Secretarí</w:t>
      </w:r>
      <w:r w:rsidRPr="175FA130" w:rsidR="175FA130">
        <w:rPr>
          <w:rFonts w:ascii="Arial" w:hAnsi="Arial" w:eastAsia="Arial" w:cs="Arial"/>
          <w:b w:val="0"/>
          <w:bCs w:val="0"/>
          <w:sz w:val="22"/>
          <w:szCs w:val="22"/>
          <w:lang w:val="es-ES"/>
        </w:rPr>
        <w:t xml:space="preserve">a de Salud </w:t>
      </w:r>
      <w:r w:rsidRPr="175FA130" w:rsidR="175FA130">
        <w:rPr>
          <w:rFonts w:ascii="Arial" w:hAnsi="Arial" w:eastAsia="Arial" w:cs="Arial"/>
          <w:b w:val="0"/>
          <w:bCs w:val="0"/>
          <w:sz w:val="22"/>
          <w:szCs w:val="22"/>
          <w:lang w:val="es-ES"/>
        </w:rPr>
        <w:t>y los</w:t>
      </w:r>
      <w:r w:rsidRPr="175FA130" w:rsidR="175FA130">
        <w:rPr>
          <w:rFonts w:ascii="Arial" w:hAnsi="Arial" w:eastAsia="Arial" w:cs="Arial"/>
          <w:b w:val="0"/>
          <w:bCs w:val="0"/>
          <w:sz w:val="22"/>
          <w:szCs w:val="22"/>
          <w:lang w:val="es-ES"/>
        </w:rPr>
        <w:t xml:space="preserve"> gestores de primer. Unidad de Gestión Descentralización.  </w:t>
      </w:r>
    </w:p>
    <w:p w:rsidRPr="00330812" w:rsidR="00437351" w:rsidP="175FA130" w:rsidRDefault="4EAF959F" w14:paraId="3F0E7F8C" w14:textId="77777777"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Encuesta Nacional de Demografía y Salud (ENDESA) Honduras, 2011-2012.</w:t>
      </w:r>
    </w:p>
    <w:p w:rsidRPr="00330812" w:rsidR="00437351" w:rsidP="175FA130" w:rsidRDefault="4EAF959F" w14:paraId="2A4001BE" w14:textId="39732AE5"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Mod</w:t>
      </w:r>
      <w:r w:rsidRPr="175FA130" w:rsidR="175FA130">
        <w:rPr>
          <w:rFonts w:ascii="Arial" w:hAnsi="Arial" w:eastAsia="Arial" w:cs="Arial"/>
          <w:b w:val="0"/>
          <w:bCs w:val="0"/>
          <w:sz w:val="22"/>
          <w:szCs w:val="22"/>
          <w:lang w:val="es-ES"/>
        </w:rPr>
        <w:t xml:space="preserve">elo Nacional de </w:t>
      </w:r>
      <w:r w:rsidRPr="175FA130" w:rsidR="175FA130">
        <w:rPr>
          <w:rFonts w:ascii="Arial" w:hAnsi="Arial" w:eastAsia="Arial" w:cs="Arial"/>
          <w:b w:val="0"/>
          <w:bCs w:val="0"/>
          <w:sz w:val="22"/>
          <w:szCs w:val="22"/>
          <w:lang w:val="es-ES"/>
        </w:rPr>
        <w:t>Salud. Secretaría</w:t>
      </w:r>
      <w:r w:rsidRPr="175FA130" w:rsidR="175FA130">
        <w:rPr>
          <w:rFonts w:ascii="Arial" w:hAnsi="Arial" w:eastAsia="Arial" w:cs="Arial"/>
          <w:b w:val="0"/>
          <w:bCs w:val="0"/>
          <w:sz w:val="22"/>
          <w:szCs w:val="22"/>
          <w:lang w:val="es-ES"/>
        </w:rPr>
        <w:t xml:space="preserve"> de Salud de Honduras Mayo 2013. </w:t>
      </w:r>
    </w:p>
    <w:p w:rsidRPr="00330812" w:rsidR="00437351" w:rsidP="175FA130" w:rsidRDefault="4EAF959F" w14:paraId="748F8E5E" w14:textId="24A81DFD"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Modelo de</w:t>
      </w:r>
      <w:r w:rsidRPr="175FA130" w:rsidR="175FA130">
        <w:rPr>
          <w:rFonts w:ascii="Arial" w:hAnsi="Arial" w:eastAsia="Arial" w:cs="Arial"/>
          <w:b w:val="0"/>
          <w:bCs w:val="0"/>
          <w:sz w:val="22"/>
          <w:szCs w:val="22"/>
          <w:lang w:val="es-ES"/>
        </w:rPr>
        <w:t xml:space="preserve"> Gestión Hospitalaria, Secretarí</w:t>
      </w:r>
      <w:r w:rsidRPr="175FA130" w:rsidR="175FA130">
        <w:rPr>
          <w:rFonts w:ascii="Arial" w:hAnsi="Arial" w:eastAsia="Arial" w:cs="Arial"/>
          <w:b w:val="0"/>
          <w:bCs w:val="0"/>
          <w:sz w:val="22"/>
          <w:szCs w:val="22"/>
          <w:lang w:val="es-ES"/>
        </w:rPr>
        <w:t xml:space="preserve">a de Salud. Septiembre 2012. </w:t>
      </w:r>
    </w:p>
    <w:p w:rsidRPr="00330812" w:rsidR="00437351" w:rsidP="175FA130" w:rsidRDefault="4EAF959F" w14:paraId="42559CC4" w14:textId="101132BC"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Plan nacional de salud 2014-20</w:t>
      </w:r>
      <w:r w:rsidRPr="175FA130" w:rsidR="175FA130">
        <w:rPr>
          <w:rFonts w:ascii="Arial" w:hAnsi="Arial" w:eastAsia="Arial" w:cs="Arial"/>
          <w:b w:val="0"/>
          <w:bCs w:val="0"/>
          <w:sz w:val="22"/>
          <w:szCs w:val="22"/>
          <w:lang w:val="es-ES"/>
        </w:rPr>
        <w:t>18. Honduras Secretarí</w:t>
      </w:r>
      <w:r w:rsidRPr="175FA130" w:rsidR="175FA130">
        <w:rPr>
          <w:rFonts w:ascii="Arial" w:hAnsi="Arial" w:eastAsia="Arial" w:cs="Arial"/>
          <w:b w:val="0"/>
          <w:bCs w:val="0"/>
          <w:sz w:val="22"/>
          <w:szCs w:val="22"/>
          <w:lang w:val="es-ES"/>
        </w:rPr>
        <w:t>a de Salud de Honduras. Junio.</w:t>
      </w:r>
    </w:p>
    <w:p w:rsidRPr="00330812" w:rsidR="00437351" w:rsidP="175FA130" w:rsidRDefault="4EAF959F" w14:paraId="696BE557" w14:textId="053D1CB9" w14:noSpellErr="1">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Política Nacional de Calidad. Sistema Nacional de Calidad en Salud.</w:t>
      </w:r>
    </w:p>
    <w:p w:rsidRPr="00330812" w:rsidR="00437351" w:rsidP="175FA130" w:rsidRDefault="4EAF959F" w14:paraId="6B4A2826" w14:textId="2CE0D3BC">
      <w:pPr>
        <w:pStyle w:val="FirstHeading"/>
        <w:numPr>
          <w:numId w:val="0"/>
        </w:numPr>
        <w:ind w:left="90"/>
        <w:rPr>
          <w:rFonts w:ascii="Arial" w:hAnsi="Arial" w:eastAsia="Arial" w:cs="Arial"/>
          <w:b w:val="0"/>
          <w:bCs w:val="0"/>
          <w:sz w:val="22"/>
          <w:szCs w:val="22"/>
          <w:lang w:val="es-ES"/>
        </w:rPr>
      </w:pPr>
      <w:r w:rsidRPr="175FA130" w:rsidR="175FA130">
        <w:rPr>
          <w:rFonts w:ascii="Arial" w:hAnsi="Arial" w:eastAsia="Arial" w:cs="Arial"/>
          <w:b w:val="0"/>
          <w:bCs w:val="0"/>
          <w:sz w:val="22"/>
          <w:szCs w:val="22"/>
          <w:lang w:val="es-ES"/>
        </w:rPr>
        <w:t>Verificación y validación de Nomina de Su</w:t>
      </w:r>
      <w:r w:rsidRPr="175FA130" w:rsidR="175FA130">
        <w:rPr>
          <w:rFonts w:ascii="Arial" w:hAnsi="Arial" w:eastAsia="Arial" w:cs="Arial"/>
          <w:b w:val="0"/>
          <w:bCs w:val="0"/>
          <w:sz w:val="22"/>
          <w:szCs w:val="22"/>
          <w:lang w:val="es-ES"/>
        </w:rPr>
        <w:t>eldos y Salarios de la Secretarí</w:t>
      </w:r>
      <w:r w:rsidRPr="175FA130" w:rsidR="175FA130">
        <w:rPr>
          <w:rFonts w:ascii="Arial" w:hAnsi="Arial" w:eastAsia="Arial" w:cs="Arial"/>
          <w:b w:val="0"/>
          <w:bCs w:val="0"/>
          <w:sz w:val="22"/>
          <w:szCs w:val="22"/>
          <w:lang w:val="es-ES"/>
        </w:rPr>
        <w:t>a de Salud Pública y la Dirección Ejecutiva de Ingresos. Se</w:t>
      </w:r>
      <w:r w:rsidRPr="175FA130" w:rsidR="175FA130">
        <w:rPr>
          <w:rFonts w:ascii="Arial" w:hAnsi="Arial" w:eastAsia="Arial" w:cs="Arial"/>
          <w:b w:val="0"/>
          <w:bCs w:val="0"/>
          <w:sz w:val="22"/>
          <w:szCs w:val="22"/>
          <w:lang w:val="es-ES"/>
        </w:rPr>
        <w:t>cretarí</w:t>
      </w:r>
      <w:r w:rsidRPr="175FA130" w:rsidR="175FA130">
        <w:rPr>
          <w:rFonts w:ascii="Arial" w:hAnsi="Arial" w:eastAsia="Arial" w:cs="Arial"/>
          <w:b w:val="0"/>
          <w:bCs w:val="0"/>
          <w:sz w:val="22"/>
          <w:szCs w:val="22"/>
          <w:lang w:val="es-ES"/>
        </w:rPr>
        <w:t xml:space="preserve">a de </w:t>
      </w:r>
      <w:r w:rsidRPr="175FA130" w:rsidR="175FA130">
        <w:rPr>
          <w:rFonts w:ascii="Arial" w:hAnsi="Arial" w:eastAsia="Arial" w:cs="Arial"/>
          <w:b w:val="0"/>
          <w:bCs w:val="0"/>
          <w:sz w:val="22"/>
          <w:szCs w:val="22"/>
          <w:lang w:val="es-ES"/>
        </w:rPr>
        <w:t>Salud Empresa</w:t>
      </w:r>
      <w:r w:rsidRPr="175FA130" w:rsidR="175FA130">
        <w:rPr>
          <w:rFonts w:ascii="Arial" w:hAnsi="Arial" w:eastAsia="Arial" w:cs="Arial"/>
          <w:b w:val="0"/>
          <w:bCs w:val="0"/>
          <w:sz w:val="22"/>
          <w:szCs w:val="22"/>
          <w:lang w:val="es-ES"/>
        </w:rPr>
        <w:t xml:space="preserve"> DLA </w:t>
      </w:r>
      <w:proofErr w:type="spellStart"/>
      <w:r w:rsidRPr="175FA130" w:rsidR="175FA130">
        <w:rPr>
          <w:rFonts w:ascii="Arial" w:hAnsi="Arial" w:eastAsia="Arial" w:cs="Arial"/>
          <w:b w:val="0"/>
          <w:bCs w:val="0"/>
          <w:sz w:val="22"/>
          <w:szCs w:val="22"/>
          <w:lang w:val="es-ES"/>
        </w:rPr>
        <w:t>Consulting</w:t>
      </w:r>
      <w:proofErr w:type="spellEnd"/>
      <w:r w:rsidRPr="175FA130" w:rsidR="175FA130">
        <w:rPr>
          <w:rFonts w:ascii="Arial" w:hAnsi="Arial" w:eastAsia="Arial" w:cs="Arial"/>
          <w:b w:val="0"/>
          <w:bCs w:val="0"/>
          <w:sz w:val="22"/>
          <w:szCs w:val="22"/>
          <w:lang w:val="es-ES"/>
        </w:rPr>
        <w:t>; en abril de 2015.</w:t>
      </w:r>
    </w:p>
    <w:p w:rsidRPr="00AB2BE4" w:rsidR="00F60339" w:rsidP="00F63450" w:rsidRDefault="00F60339" w14:paraId="16F32913" w14:textId="77777777">
      <w:pPr>
        <w:shd w:val="clear" w:color="auto" w:fill="FFFFFF"/>
        <w:spacing w:after="240"/>
        <w:ind w:left="720" w:hanging="720"/>
        <w:rPr>
          <w:rFonts w:ascii="Arial" w:hAnsi="Arial" w:cs="Arial"/>
          <w:sz w:val="22"/>
          <w:szCs w:val="22"/>
          <w:lang w:val="es-ES_tradnl"/>
        </w:rPr>
      </w:pPr>
    </w:p>
    <w:sectPr w:rsidRPr="00AB2BE4" w:rsidR="00F60339" w:rsidSect="003308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806" w:rsidRDefault="00E12806" w14:paraId="675E098F" w14:textId="77777777">
      <w:r>
        <w:separator/>
      </w:r>
    </w:p>
  </w:endnote>
  <w:endnote w:type="continuationSeparator" w:id="0">
    <w:p w:rsidR="00E12806" w:rsidRDefault="00E12806" w14:paraId="5B8B9D1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4A" w:rsidRDefault="00C26B4A" w14:paraId="193A9372" w14:textId="77777777">
    <w:pPr>
      <w:pStyle w:val="Footer"/>
      <w:framePr w:wrap="around" w:hAnchor="margin" w:vAnchor="text" w:xAlign="right" w:y="1"/>
      <w:rPr>
        <w:rStyle w:val="PageNumber"/>
      </w:rPr>
    </w:pPr>
  </w:p>
  <w:p w:rsidR="00C26B4A" w:rsidRDefault="00C26B4A" w14:paraId="77374624"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806" w:rsidRDefault="00E12806" w14:paraId="2FC42CE8" w14:textId="77777777">
      <w:r>
        <w:separator/>
      </w:r>
    </w:p>
  </w:footnote>
  <w:footnote w:type="continuationSeparator" w:id="0">
    <w:p w:rsidR="00E12806" w:rsidRDefault="00E12806" w14:paraId="3215D9D2" w14:textId="77777777">
      <w:r>
        <w:continuationSeparator/>
      </w:r>
    </w:p>
  </w:footnote>
  <w:footnote w:id="1">
    <w:p w:rsidRPr="004F60C6" w:rsidR="00D763D3" w:rsidP="175FA130" w:rsidRDefault="00D763D3" w14:paraId="29696660" w14:textId="0A0CAB77" w14:noSpellErr="1">
      <w:pPr>
        <w:pStyle w:val="FootnoteText"/>
        <w:tabs>
          <w:tab w:val="left" w:pos="450"/>
        </w:tabs>
        <w:jc w:val="both"/>
        <w:rPr>
          <w:rFonts w:ascii="Arial" w:hAnsi="Arial" w:eastAsia="Arial" w:cs="Arial"/>
          <w:sz w:val="18"/>
          <w:szCs w:val="18"/>
          <w:lang w:val="es-ES"/>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ES"/>
        </w:rPr>
        <w:t xml:space="preserve"> </w:t>
      </w:r>
      <w:r w:rsidR="001C0C06">
        <w:rPr>
          <w:rFonts w:ascii="Arial" w:hAnsi="Arial" w:cs="Arial"/>
          <w:sz w:val="18"/>
          <w:szCs w:val="18"/>
          <w:lang w:val="es-ES"/>
        </w:rPr>
        <w:tab/>
      </w:r>
      <w:r w:rsidRPr="175FA130">
        <w:rPr>
          <w:rFonts w:ascii="Arial" w:hAnsi="Arial" w:eastAsia="Arial" w:cs="Arial"/>
          <w:sz w:val="18"/>
          <w:szCs w:val="18"/>
          <w:lang w:val="es-ES"/>
        </w:rPr>
        <w:t>Las observaciones sobre el contenido mínimo para los productos se encuentra</w:t>
      </w:r>
      <w:r w:rsidRPr="175FA130" w:rsidR="001B7DDC">
        <w:rPr>
          <w:rFonts w:ascii="Arial" w:hAnsi="Arial" w:eastAsia="Arial" w:cs="Arial"/>
          <w:sz w:val="18"/>
          <w:szCs w:val="18"/>
          <w:lang w:val="es-ES"/>
        </w:rPr>
        <w:t>n</w:t>
      </w:r>
      <w:r w:rsidRPr="175FA130">
        <w:rPr>
          <w:rFonts w:ascii="Arial" w:hAnsi="Arial" w:eastAsia="Arial" w:cs="Arial"/>
          <w:sz w:val="18"/>
          <w:szCs w:val="18"/>
          <w:lang w:val="es-ES"/>
        </w:rPr>
        <w:t xml:space="preserve"> en </w:t>
      </w:r>
      <w:r w:rsidRPr="175FA130" w:rsidR="00511135">
        <w:rPr>
          <w:rFonts w:ascii="Arial" w:hAnsi="Arial" w:eastAsia="Arial" w:cs="Arial"/>
          <w:sz w:val="18"/>
          <w:szCs w:val="18"/>
          <w:lang w:val="es-ES"/>
        </w:rPr>
        <w:t>el enlace de</w:t>
      </w:r>
      <w:r w:rsidRPr="175FA130">
        <w:rPr>
          <w:rFonts w:ascii="Arial" w:hAnsi="Arial" w:eastAsia="Arial" w:cs="Arial"/>
          <w:sz w:val="18"/>
          <w:szCs w:val="18"/>
          <w:lang w:val="es-ES"/>
        </w:rPr>
        <w:t xml:space="preserve"> </w:t>
      </w:r>
      <w:r w:rsidRPr="175FA130">
        <w:rPr>
          <w:rFonts w:ascii="Arial" w:hAnsi="Arial" w:eastAsia="Arial" w:cs="Arial"/>
          <w:sz w:val="18"/>
          <w:szCs w:val="18"/>
          <w:lang w:val="es-ES"/>
        </w:rPr>
        <w:t>Medios de verificación</w:t>
      </w:r>
      <w:r w:rsidRPr="175FA130">
        <w:rPr>
          <w:rFonts w:ascii="Arial" w:hAnsi="Arial" w:eastAsia="Arial" w:cs="Arial"/>
          <w:sz w:val="18"/>
          <w:szCs w:val="18"/>
          <w:lang w:val="es-ES"/>
        </w:rPr>
        <w:t>.</w:t>
      </w:r>
    </w:p>
  </w:footnote>
  <w:footnote w:id="2">
    <w:p w:rsidRPr="003930CD" w:rsidR="00B0597D" w:rsidP="175FA130" w:rsidRDefault="00B0597D" w14:paraId="44B2573D" w14:textId="52C51639" w14:noSpellErr="1">
      <w:pPr>
        <w:pStyle w:val="FootnoteText"/>
        <w:tabs>
          <w:tab w:val="left" w:pos="450"/>
        </w:tabs>
        <w:ind w:left="450" w:hanging="450"/>
        <w:jc w:val="both"/>
        <w:rPr>
          <w:rFonts w:ascii="Arial" w:hAnsi="Arial" w:eastAsia="Arial" w:cs="Arial"/>
          <w:sz w:val="18"/>
          <w:szCs w:val="18"/>
          <w:lang w:val="es-HN"/>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HN"/>
        </w:rPr>
        <w:t xml:space="preserve"> </w:t>
      </w:r>
      <w:r w:rsidR="009D5230">
        <w:rPr>
          <w:rFonts w:ascii="Arial" w:hAnsi="Arial" w:cs="Arial"/>
          <w:sz w:val="18"/>
          <w:szCs w:val="18"/>
          <w:lang w:val="es-HN"/>
        </w:rPr>
        <w:tab/>
      </w:r>
      <w:r w:rsidRPr="175FA130">
        <w:rPr>
          <w:rFonts w:ascii="Arial" w:hAnsi="Arial" w:eastAsia="Arial" w:cs="Arial"/>
          <w:sz w:val="18"/>
          <w:szCs w:val="18"/>
          <w:lang w:val="es-ES"/>
        </w:rPr>
        <w:t>La</w:t>
      </w:r>
      <w:r w:rsidRPr="175FA130">
        <w:rPr>
          <w:rFonts w:ascii="Arial" w:hAnsi="Arial" w:eastAsia="Arial" w:cs="Arial"/>
          <w:sz w:val="18"/>
          <w:szCs w:val="18"/>
          <w:lang w:val="es-HN"/>
        </w:rPr>
        <w:t xml:space="preserve"> fuente de verificación para este indicador será la encuesta ENDESA a ser implementada en 2022. Los recursos para el levantamiento de dicha encuesta no se encuentran contemplados en una operación actualmente aprobada por el Banco y son responsabilidad del </w:t>
      </w:r>
      <w:r w:rsidRPr="175FA130" w:rsidR="009D5230">
        <w:rPr>
          <w:rFonts w:ascii="Arial" w:hAnsi="Arial" w:eastAsia="Arial" w:cs="Arial"/>
          <w:sz w:val="18"/>
          <w:szCs w:val="18"/>
          <w:lang w:val="es-HN"/>
        </w:rPr>
        <w:t>g</w:t>
      </w:r>
      <w:r w:rsidRPr="175FA130">
        <w:rPr>
          <w:rFonts w:ascii="Arial" w:hAnsi="Arial" w:eastAsia="Arial" w:cs="Arial"/>
          <w:sz w:val="18"/>
          <w:szCs w:val="18"/>
          <w:lang w:val="es-HN"/>
        </w:rPr>
        <w:t>obierno.</w:t>
      </w:r>
    </w:p>
  </w:footnote>
  <w:footnote w:id="3">
    <w:p w:rsidRPr="003930CD" w:rsidR="00B0597D" w:rsidP="175FA130" w:rsidRDefault="00B0597D" w14:paraId="4AB70DF7" w14:textId="5D10E5CB" w14:noSpellErr="1">
      <w:pPr>
        <w:pStyle w:val="FootnoteText"/>
        <w:tabs>
          <w:tab w:val="left" w:pos="450"/>
        </w:tabs>
        <w:jc w:val="both"/>
        <w:rPr>
          <w:rFonts w:ascii="Arial" w:hAnsi="Arial" w:eastAsia="Arial" w:cs="Arial"/>
          <w:sz w:val="18"/>
          <w:szCs w:val="18"/>
          <w:lang w:val="es-HN"/>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HN"/>
        </w:rPr>
        <w:t xml:space="preserve"> </w:t>
      </w:r>
      <w:r w:rsidR="009D5230">
        <w:rPr>
          <w:rFonts w:ascii="Arial" w:hAnsi="Arial" w:cs="Arial"/>
          <w:sz w:val="18"/>
          <w:szCs w:val="18"/>
          <w:lang w:val="es-HN"/>
        </w:rPr>
        <w:tab/>
      </w:r>
      <w:r w:rsidRPr="175FA130">
        <w:rPr>
          <w:rFonts w:ascii="Arial" w:hAnsi="Arial" w:eastAsia="Arial" w:cs="Arial"/>
          <w:sz w:val="18"/>
          <w:szCs w:val="18"/>
          <w:lang w:val="es-HN"/>
        </w:rPr>
        <w:t>Línea Base, Proyecto Salud Mesoamérica 2015. Mayo 2013</w:t>
      </w:r>
      <w:r w:rsidRPr="175FA130" w:rsidR="009D5230">
        <w:rPr>
          <w:rFonts w:ascii="Arial" w:hAnsi="Arial" w:eastAsia="Arial" w:cs="Arial"/>
          <w:sz w:val="18"/>
          <w:szCs w:val="18"/>
          <w:lang w:val="es-HN"/>
        </w:rPr>
        <w:t>.</w:t>
      </w:r>
    </w:p>
  </w:footnote>
  <w:footnote w:id="4">
    <w:p w:rsidRPr="004F60C6" w:rsidR="00D763D3" w:rsidP="175FA130" w:rsidRDefault="00D763D3" w14:paraId="38E81F5E" w14:textId="0BA73979" w14:noSpellErr="1">
      <w:pPr>
        <w:pStyle w:val="FootnoteText"/>
        <w:tabs>
          <w:tab w:val="left" w:pos="450"/>
        </w:tabs>
        <w:jc w:val="both"/>
        <w:rPr>
          <w:rFonts w:ascii="Arial" w:hAnsi="Arial" w:eastAsia="Arial" w:cs="Arial"/>
          <w:sz w:val="18"/>
          <w:szCs w:val="18"/>
          <w:lang w:val="es-ES"/>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ES"/>
        </w:rPr>
        <w:t xml:space="preserve"> </w:t>
      </w:r>
      <w:r w:rsidR="001C0C06">
        <w:rPr>
          <w:rFonts w:ascii="Arial" w:hAnsi="Arial" w:cs="Arial"/>
          <w:sz w:val="18"/>
          <w:szCs w:val="18"/>
          <w:lang w:val="es-ES"/>
        </w:rPr>
        <w:tab/>
      </w:r>
      <w:r w:rsidRPr="175FA130">
        <w:rPr>
          <w:rFonts w:ascii="Arial" w:hAnsi="Arial" w:eastAsia="Arial" w:cs="Arial"/>
          <w:sz w:val="18"/>
          <w:szCs w:val="18"/>
          <w:lang w:val="es-ES"/>
        </w:rPr>
        <w:t>Este indicador es consistente con el indicador del Marco de Resultados Corporativos del Banco (CRF) de “beneficiarios que reciben servicios de salud”</w:t>
      </w:r>
      <w:r w:rsidRPr="175FA130" w:rsidR="003930CD">
        <w:rPr>
          <w:rFonts w:ascii="Arial" w:hAnsi="Arial" w:eastAsia="Arial" w:cs="Arial"/>
          <w:sz w:val="18"/>
          <w:szCs w:val="18"/>
          <w:lang w:val="es-ES"/>
        </w:rPr>
        <w:t>.</w:t>
      </w:r>
    </w:p>
  </w:footnote>
  <w:footnote w:id="5">
    <w:p w:rsidRPr="003930CD" w:rsidR="00B0597D" w:rsidP="175FA130" w:rsidRDefault="00B0597D" w14:paraId="2799058F" w14:textId="545CEAC4" w14:noSpellErr="1">
      <w:pPr>
        <w:pStyle w:val="FootnoteText"/>
        <w:tabs>
          <w:tab w:val="left" w:pos="450"/>
        </w:tabs>
        <w:jc w:val="both"/>
        <w:rPr>
          <w:rFonts w:ascii="Arial" w:hAnsi="Arial" w:eastAsia="Arial" w:cs="Arial"/>
          <w:sz w:val="18"/>
          <w:szCs w:val="18"/>
          <w:lang w:val="es-ES"/>
        </w:rPr>
      </w:pPr>
      <w:r>
        <w:rPr>
          <w:rStyle w:val="FootnoteReference"/>
        </w:rPr>
        <w:footnoteRef/>
      </w:r>
      <w:r w:rsidRPr="003930CD">
        <w:rPr>
          <w:lang w:val="es-HN"/>
        </w:rPr>
        <w:t xml:space="preserve"> </w:t>
      </w:r>
      <w:r w:rsidR="009D5230">
        <w:rPr>
          <w:lang w:val="es-HN"/>
        </w:rPr>
        <w:tab/>
      </w:r>
      <w:r w:rsidRPr="175FA130">
        <w:rPr>
          <w:rFonts w:ascii="Arial" w:hAnsi="Arial" w:eastAsia="Arial" w:cs="Arial"/>
          <w:sz w:val="18"/>
          <w:szCs w:val="18"/>
          <w:lang w:val="es-ES"/>
        </w:rPr>
        <w:t>El indicador, busca medir el esfuerzo del país hacia la cobertura nacional con el MGD con altos estándares de calidad</w:t>
      </w:r>
      <w:r w:rsidRPr="175FA130" w:rsidR="003930CD">
        <w:rPr>
          <w:rFonts w:ascii="Arial" w:hAnsi="Arial" w:eastAsia="Arial" w:cs="Arial"/>
          <w:sz w:val="18"/>
          <w:szCs w:val="18"/>
          <w:lang w:val="es-ES"/>
        </w:rPr>
        <w:t>.</w:t>
      </w:r>
    </w:p>
  </w:footnote>
  <w:footnote w:id="6">
    <w:p w:rsidRPr="003930CD" w:rsidR="00B0597D" w:rsidP="175FA130" w:rsidRDefault="00B0597D" w14:paraId="12704DE4" w14:textId="5405319F" w14:noSpellErr="1">
      <w:pPr>
        <w:pStyle w:val="FootnoteText"/>
        <w:tabs>
          <w:tab w:val="left" w:pos="450"/>
        </w:tabs>
        <w:ind w:left="450" w:hanging="450"/>
        <w:jc w:val="both"/>
        <w:rPr>
          <w:rFonts w:ascii="Arial" w:hAnsi="Arial" w:eastAsia="Arial" w:cs="Arial"/>
          <w:sz w:val="18"/>
          <w:szCs w:val="18"/>
          <w:lang w:val="es-HN"/>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HN"/>
        </w:rPr>
        <w:t xml:space="preserve"> </w:t>
      </w:r>
      <w:r w:rsidR="009D5230">
        <w:rPr>
          <w:rFonts w:ascii="Arial" w:hAnsi="Arial" w:cs="Arial"/>
          <w:sz w:val="18"/>
          <w:szCs w:val="18"/>
          <w:lang w:val="es-HN"/>
        </w:rPr>
        <w:tab/>
      </w:r>
      <w:r w:rsidRPr="175FA130">
        <w:rPr>
          <w:rFonts w:ascii="Arial" w:hAnsi="Arial" w:eastAsia="Arial" w:cs="Arial"/>
          <w:sz w:val="18"/>
          <w:szCs w:val="18"/>
          <w:lang w:val="es-HN"/>
        </w:rPr>
        <w:t>Pagos injustificados, implica empleados que devengan un salario, en cualquier de las siguientes condiciones: No se encuentran en la unidad asignada en su contrato, sino que se encuentran funcionalmente en otras unidades. Poseen prolongados per</w:t>
      </w:r>
      <w:r w:rsidRPr="175FA130" w:rsidR="009D5230">
        <w:rPr>
          <w:rFonts w:ascii="Arial" w:hAnsi="Arial" w:eastAsia="Arial" w:cs="Arial"/>
          <w:sz w:val="18"/>
          <w:szCs w:val="18"/>
          <w:lang w:val="es-HN"/>
        </w:rPr>
        <w:t>í</w:t>
      </w:r>
      <w:r w:rsidRPr="175FA130">
        <w:rPr>
          <w:rFonts w:ascii="Arial" w:hAnsi="Arial" w:eastAsia="Arial" w:cs="Arial"/>
          <w:sz w:val="18"/>
          <w:szCs w:val="18"/>
          <w:lang w:val="es-HN"/>
        </w:rPr>
        <w:t xml:space="preserve">odos de incapacidad, </w:t>
      </w:r>
      <w:r w:rsidRPr="175FA130" w:rsidR="003930CD">
        <w:rPr>
          <w:rFonts w:ascii="Arial" w:hAnsi="Arial" w:eastAsia="Arial" w:cs="Arial"/>
          <w:sz w:val="18"/>
          <w:szCs w:val="18"/>
          <w:lang w:val="es-HN"/>
        </w:rPr>
        <w:t>renovadas continuamente. Tienen </w:t>
      </w:r>
      <w:r w:rsidRPr="175FA130">
        <w:rPr>
          <w:rFonts w:ascii="Arial" w:hAnsi="Arial" w:eastAsia="Arial" w:cs="Arial"/>
          <w:sz w:val="18"/>
          <w:szCs w:val="18"/>
          <w:lang w:val="es-HN"/>
        </w:rPr>
        <w:t>prolongadas ausencias y/o falta de asistencia a la unidad asignada, sin asistencia regular a laborar. Pago a Fallecidos entre otros.</w:t>
      </w:r>
    </w:p>
  </w:footnote>
  <w:footnote w:id="7">
    <w:p w:rsidRPr="004F60C6" w:rsidR="00A326E2" w:rsidP="175FA130" w:rsidRDefault="00A326E2" w14:paraId="602FDF0C" w14:textId="32598129" w14:noSpellErr="1">
      <w:pPr>
        <w:pStyle w:val="FootnoteText"/>
        <w:tabs>
          <w:tab w:val="left" w:pos="450"/>
        </w:tabs>
        <w:jc w:val="both"/>
        <w:rPr>
          <w:rFonts w:ascii="Arial" w:hAnsi="Arial" w:eastAsia="Arial" w:cs="Arial"/>
          <w:lang w:val="es-HN"/>
        </w:rPr>
      </w:pPr>
      <w:r w:rsidRPr="175FA130">
        <w:rPr>
          <w:rStyle w:val="FootnoteReference"/>
          <w:rFonts w:ascii="Arial" w:hAnsi="Arial" w:eastAsia="Arial" w:cs="Arial"/>
          <w:sz w:val="18"/>
          <w:szCs w:val="18"/>
        </w:rPr>
        <w:footnoteRef/>
      </w:r>
      <w:r w:rsidRPr="175FA130">
        <w:rPr>
          <w:rFonts w:ascii="Arial" w:hAnsi="Arial" w:eastAsia="Arial" w:cs="Arial"/>
          <w:sz w:val="18"/>
          <w:szCs w:val="18"/>
          <w:lang w:val="es-HN"/>
        </w:rPr>
        <w:t xml:space="preserve"> </w:t>
      </w:r>
      <w:r w:rsidRPr="003930CD" w:rsidR="001C0C06">
        <w:rPr>
          <w:rFonts w:ascii="Arial" w:hAnsi="Arial" w:cs="Arial"/>
          <w:sz w:val="18"/>
          <w:szCs w:val="18"/>
          <w:lang w:val="es-HN"/>
        </w:rPr>
        <w:tab/>
      </w:r>
      <w:r w:rsidRPr="175FA130">
        <w:rPr>
          <w:rFonts w:ascii="Arial" w:hAnsi="Arial" w:eastAsia="Arial" w:cs="Arial"/>
          <w:sz w:val="18"/>
          <w:szCs w:val="18"/>
          <w:lang w:val="es-HN"/>
        </w:rPr>
        <w:t>Incluye las diferentes modalidades de contratación de la SESAL: por acuerdo y por contratos.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eastAsia="Calibri" w:cs="Arial"/>
        <w:sz w:val="18"/>
        <w:szCs w:val="18"/>
        <w:lang w:val="es-CO"/>
      </w:rPr>
      <w:id w:val="-1667006091"/>
      <w:docPartObj>
        <w:docPartGallery w:val="Page Numbers (Top of Page)"/>
        <w:docPartUnique/>
      </w:docPartObj>
    </w:sdtPr>
    <w:sdtEndPr/>
    <w:sdtContent>
      <w:p w:rsidRPr="004F60C6" w:rsidR="00C26B4A" w:rsidP="175FA130" w:rsidRDefault="4EAF959F" w14:paraId="75DCA08F" w14:textId="77777777" w14:noSpellErr="1">
        <w:pPr>
          <w:tabs>
            <w:tab w:val="center" w:pos="4320"/>
            <w:tab w:val="right" w:pos="8640"/>
          </w:tabs>
          <w:rPr>
            <w:rFonts w:ascii="Arial,Arial,Calibri" w:hAnsi="Arial,Arial,Calibri" w:eastAsia="Arial,Arial,Calibri" w:cs="Arial,Arial,Calibri"/>
            <w:sz w:val="18"/>
            <w:szCs w:val="18"/>
            <w:lang w:val="es-CO"/>
          </w:rPr>
        </w:pPr>
        <w:r w:rsidRPr="175FA130" w:rsidR="175FA130">
          <w:rPr>
            <w:rFonts w:ascii="Arial,Arial,Calibri" w:hAnsi="Arial,Arial,Calibri" w:eastAsia="Arial,Arial,Calibri" w:cs="Arial,Arial,Calibri"/>
            <w:sz w:val="18"/>
            <w:szCs w:val="18"/>
            <w:lang w:val="es-CO"/>
          </w:rPr>
          <w:t>HO-L1182</w:t>
        </w:r>
      </w:p>
      <w:p w:rsidRPr="004F60C6" w:rsidR="00C26B4A" w:rsidP="175FA130" w:rsidRDefault="4EAF959F" w14:paraId="2C087713" w14:textId="3104FB90" w14:noSpellErr="1">
        <w:pPr>
          <w:tabs>
            <w:tab w:val="center" w:pos="4320"/>
            <w:tab w:val="right" w:pos="8640"/>
          </w:tabs>
          <w:rPr>
            <w:rFonts w:ascii="Arial,Arial,Calibri" w:hAnsi="Arial,Arial,Calibri" w:eastAsia="Arial,Arial,Calibri" w:cs="Arial,Arial,Calibri"/>
            <w:sz w:val="18"/>
            <w:szCs w:val="18"/>
            <w:lang w:val="es-CO"/>
          </w:rPr>
        </w:pPr>
        <w:r w:rsidRPr="175FA130" w:rsidR="175FA130">
          <w:rPr>
            <w:rFonts w:ascii="Arial,Arial,Calibri" w:hAnsi="Arial,Arial,Calibri" w:eastAsia="Arial,Arial,Calibri" w:cs="Arial,Arial,Calibri"/>
            <w:sz w:val="18"/>
            <w:szCs w:val="18"/>
            <w:lang w:val="es-CO"/>
          </w:rPr>
          <w:t>P</w:t>
        </w:r>
        <w:r w:rsidRPr="175FA130" w:rsidR="175FA130">
          <w:rPr>
            <w:rFonts w:ascii="Arial,Arial,Calibri" w:hAnsi="Arial,Arial,Calibri" w:eastAsia="Arial,Arial,Calibri" w:cs="Arial,Arial,Calibri"/>
            <w:noProof/>
            <w:sz w:val="18"/>
            <w:szCs w:val="18"/>
            <w:lang w:val="es-CO"/>
          </w:rPr>
          <w:t>á</w:t>
        </w:r>
        <w:r w:rsidRPr="175FA130" w:rsidR="175FA130">
          <w:rPr>
            <w:rFonts w:ascii="Arial,Arial,Calibri" w:hAnsi="Arial,Arial,Calibri" w:eastAsia="Arial,Arial,Calibri" w:cs="Arial,Arial,Calibri"/>
            <w:sz w:val="18"/>
            <w:szCs w:val="18"/>
            <w:lang w:val="es-CO"/>
          </w:rPr>
          <w:t xml:space="preserve">gina </w:t>
        </w:r>
        <w:r w:rsidRPr="175FA130">
          <w:rPr>
            <w:rFonts w:ascii="Arial,Arial,Calibri" w:hAnsi="Arial,Arial,Calibri" w:eastAsia="Arial,Arial,Calibri" w:cs="Arial,Arial,Calibri"/>
            <w:noProof/>
            <w:sz w:val="18"/>
            <w:szCs w:val="18"/>
            <w:lang w:val="es-CO"/>
          </w:rPr>
          <w:fldChar w:fldCharType="begin"/>
        </w:r>
        <w:r w:rsidRPr="175FA130">
          <w:rPr>
            <w:rFonts w:ascii="Arial,Arial,Calibri" w:hAnsi="Arial,Arial,Calibri" w:eastAsia="Arial,Arial,Calibri" w:cs="Arial,Arial,Calibri"/>
            <w:noProof/>
            <w:sz w:val="18"/>
            <w:szCs w:val="18"/>
            <w:lang w:val="es-CO"/>
          </w:rPr>
          <w:instrText xml:space="preserve"> PAGE </w:instrText>
        </w:r>
        <w:r w:rsidRPr="175FA130">
          <w:rPr>
            <w:rFonts w:ascii="Arial,Arial,Calibri" w:hAnsi="Arial,Arial,Calibri" w:eastAsia="Arial,Arial,Calibri" w:cs="Arial,Arial,Calibri"/>
            <w:noProof/>
            <w:sz w:val="18"/>
            <w:szCs w:val="18"/>
            <w:lang w:val="es-CO"/>
          </w:rPr>
          <w:fldChar w:fldCharType="separate"/>
        </w:r>
        <w:r w:rsidRPr="175FA130" w:rsidR="175FA130">
          <w:rPr>
            <w:rFonts w:ascii="Arial,Arial,Calibri" w:hAnsi="Arial,Arial,Calibri" w:eastAsia="Arial,Arial,Calibri" w:cs="Arial,Arial,Calibri"/>
            <w:noProof/>
            <w:sz w:val="18"/>
            <w:szCs w:val="18"/>
            <w:lang w:val="es-CO"/>
          </w:rPr>
          <w:t>12</w:t>
        </w:r>
        <w:r w:rsidRPr="175FA130">
          <w:rPr>
            <w:rFonts w:ascii="Arial,Arial,Calibri" w:hAnsi="Arial,Arial,Calibri" w:eastAsia="Arial,Arial,Calibri" w:cs="Arial,Arial,Calibri"/>
            <w:noProof/>
            <w:sz w:val="18"/>
            <w:szCs w:val="18"/>
            <w:lang w:val="es-CO"/>
          </w:rPr>
          <w:fldChar w:fldCharType="end"/>
        </w:r>
        <w:r w:rsidRPr="175FA130" w:rsidR="175FA130">
          <w:rPr>
            <w:rFonts w:ascii="Arial,Arial,Calibri" w:hAnsi="Arial,Arial,Calibri" w:eastAsia="Arial,Arial,Calibri" w:cs="Arial,Arial,Calibri"/>
            <w:sz w:val="18"/>
            <w:szCs w:val="18"/>
            <w:lang w:val="es-CO"/>
          </w:rPr>
          <w:t xml:space="preserve"> de </w:t>
        </w:r>
        <w:r w:rsidRPr="175FA130">
          <w:rPr>
            <w:rFonts w:ascii="Arial,Arial,Calibri" w:hAnsi="Arial,Arial,Calibri" w:eastAsia="Arial,Arial,Calibri" w:cs="Arial,Arial,Calibri"/>
            <w:noProof/>
            <w:sz w:val="18"/>
            <w:szCs w:val="18"/>
            <w:lang w:val="es-CO"/>
          </w:rPr>
          <w:fldChar w:fldCharType="begin"/>
        </w:r>
        <w:r w:rsidRPr="175FA130">
          <w:rPr>
            <w:rFonts w:ascii="Arial,Arial,Calibri" w:hAnsi="Arial,Arial,Calibri" w:eastAsia="Arial,Arial,Calibri" w:cs="Arial,Arial,Calibri"/>
            <w:noProof/>
            <w:sz w:val="18"/>
            <w:szCs w:val="18"/>
            <w:lang w:val="es-CO"/>
          </w:rPr>
          <w:instrText xml:space="preserve"> NUMPAGES  </w:instrText>
        </w:r>
        <w:r w:rsidRPr="175FA130">
          <w:rPr>
            <w:rFonts w:ascii="Arial,Arial,Calibri" w:hAnsi="Arial,Arial,Calibri" w:eastAsia="Arial,Arial,Calibri" w:cs="Arial,Arial,Calibri"/>
            <w:noProof/>
            <w:sz w:val="18"/>
            <w:szCs w:val="18"/>
            <w:lang w:val="es-CO"/>
          </w:rPr>
          <w:fldChar w:fldCharType="separate"/>
        </w:r>
        <w:r w:rsidRPr="175FA130" w:rsidR="175FA130">
          <w:rPr>
            <w:rFonts w:ascii="Arial,Arial,Calibri" w:hAnsi="Arial,Arial,Calibri" w:eastAsia="Arial,Arial,Calibri" w:cs="Arial,Arial,Calibri"/>
            <w:noProof/>
            <w:sz w:val="18"/>
            <w:szCs w:val="18"/>
            <w:lang w:val="es-CO"/>
          </w:rPr>
          <w:t>13</w:t>
        </w:r>
        <w:r w:rsidRPr="175FA130">
          <w:rPr>
            <w:rFonts w:ascii="Arial,Arial,Calibri" w:hAnsi="Arial,Arial,Calibri" w:eastAsia="Arial,Arial,Calibri" w:cs="Arial,Arial,Calibri"/>
            <w:noProof/>
            <w:sz w:val="18"/>
            <w:szCs w:val="18"/>
            <w:lang w:val="es-CO"/>
          </w:rPr>
          <w:fldChar w:fldCharType="end"/>
        </w:r>
      </w:p>
    </w:sdtContent>
  </w:sdt>
  <w:p w:rsidRPr="004F60C6" w:rsidR="00C26B4A" w:rsidRDefault="00C26B4A" w14:paraId="5BCCE7BF" w14:textId="77777777">
    <w:pPr>
      <w:pStyle w:val="Header"/>
      <w:ind w:right="360"/>
      <w:jc w:val="both"/>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4A" w:rsidRDefault="00C26B4A" w14:paraId="560165CD" w14:textId="77777777">
    <w:pPr>
      <w:pStyle w:val="Header"/>
      <w:jc w:val="center"/>
      <w:rPr>
        <w:snapToGrid w:val="0"/>
      </w:rPr>
    </w:pPr>
    <w:r w:rsidRPr="4EAF959F">
      <w:rPr/>
      <w:t xml:space="preserve">- </w:t>
    </w:r>
    <w:r w:rsidRPr="4EAF959F">
      <w:rPr>
        <w:noProof/>
        <w:snapToGrid w:val="0"/>
      </w:rPr>
      <w:fldChar w:fldCharType="begin"/>
    </w:r>
    <w:r>
      <w:rPr>
        <w:snapToGrid w:val="0"/>
      </w:rPr>
      <w:instrText xml:space="preserve"> PAGE </w:instrText>
    </w:r>
    <w:r w:rsidRPr="4EAF959F">
      <w:rPr>
        <w:snapToGrid w:val="0"/>
      </w:rPr>
      <w:fldChar w:fldCharType="separate"/>
    </w:r>
    <w:r>
      <w:rPr>
        <w:noProof/>
        <w:snapToGrid w:val="0"/>
      </w:rPr>
      <w:t>ii</w:t>
    </w:r>
    <w:r w:rsidRPr="4EAF959F">
      <w:rPr>
        <w:noProof/>
        <w:snapToGrid w:val="0"/>
      </w:rPr>
      <w:fldChar w:fldCharType="end"/>
    </w:r>
    <w:r w:rsidRPr="4EAF959F">
      <w:rPr/>
      <w:t xml:space="preserve"> - </w:t>
    </w:r>
  </w:p>
  <w:p w:rsidR="00C26B4A" w:rsidRDefault="00C26B4A" w14:paraId="0EAB4018" w14:textId="77777777">
    <w:pPr>
      <w:pStyle w:val="Header"/>
      <w:jc w:val="center"/>
    </w:pPr>
  </w:p>
  <w:p w:rsidR="00C26B4A" w:rsidRDefault="00C26B4A" w14:paraId="5AC68B4B" w14:textId="777777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477648756"/>
      <w:docPartObj>
        <w:docPartGallery w:val="Page Numbers (Top of Page)"/>
        <w:docPartUnique/>
      </w:docPartObj>
    </w:sdtPr>
    <w:sdtEndPr/>
    <w:sdtContent>
      <w:p w:rsidRPr="006B6FF7" w:rsidR="006B6FF7" w:rsidP="175FA130" w:rsidRDefault="001D1186" w14:paraId="65099151" w14:textId="7CD4C092" w14:noSpellErr="1">
        <w:pPr>
          <w:pStyle w:val="Header"/>
          <w:jc w:val="right"/>
          <w:rPr>
            <w:rFonts w:ascii="Arial" w:hAnsi="Arial" w:eastAsia="Arial" w:cs="Arial"/>
            <w:sz w:val="20"/>
            <w:szCs w:val="20"/>
          </w:rPr>
        </w:pPr>
        <w:r w:rsidRPr="175FA130" w:rsidR="175FA130">
          <w:rPr>
            <w:rFonts w:ascii="Arial" w:hAnsi="Arial" w:eastAsia="Arial" w:cs="Arial"/>
            <w:sz w:val="20"/>
            <w:szCs w:val="20"/>
          </w:rPr>
          <w:t>Página</w:t>
        </w:r>
        <w:r w:rsidRPr="175FA130" w:rsidR="175FA130">
          <w:rPr>
            <w:rFonts w:ascii="Arial" w:hAnsi="Arial" w:eastAsia="Arial" w:cs="Arial"/>
            <w:sz w:val="20"/>
            <w:szCs w:val="20"/>
          </w:rPr>
          <w:t xml:space="preserve">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PAGE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5</w:t>
        </w:r>
        <w:r w:rsidRPr="175FA130">
          <w:rPr>
            <w:rFonts w:ascii="Arial" w:hAnsi="Arial" w:eastAsia="Arial" w:cs="Arial"/>
            <w:noProof/>
            <w:sz w:val="20"/>
            <w:szCs w:val="20"/>
          </w:rPr>
          <w:fldChar w:fldCharType="end"/>
        </w:r>
        <w:r w:rsidRPr="175FA130" w:rsidR="175FA130">
          <w:rPr>
            <w:rFonts w:ascii="Arial" w:hAnsi="Arial" w:eastAsia="Arial" w:cs="Arial"/>
            <w:sz w:val="20"/>
            <w:szCs w:val="20"/>
          </w:rPr>
          <w:t xml:space="preserve"> </w:t>
        </w:r>
        <w:r w:rsidRPr="175FA130" w:rsidR="175FA130">
          <w:rPr>
            <w:rFonts w:ascii="Arial" w:hAnsi="Arial" w:eastAsia="Arial" w:cs="Arial"/>
            <w:sz w:val="20"/>
            <w:szCs w:val="20"/>
          </w:rPr>
          <w:t>de</w:t>
        </w:r>
        <w:r w:rsidRPr="175FA130" w:rsidR="175FA130">
          <w:rPr>
            <w:rFonts w:ascii="Arial" w:hAnsi="Arial" w:eastAsia="Arial" w:cs="Arial"/>
            <w:sz w:val="20"/>
            <w:szCs w:val="20"/>
          </w:rPr>
          <w:t xml:space="preserve">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NUMPAGES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13</w:t>
        </w:r>
        <w:r w:rsidRPr="175FA130">
          <w:rPr>
            <w:rFonts w:ascii="Arial" w:hAnsi="Arial" w:eastAsia="Arial" w:cs="Arial"/>
            <w:noProof/>
            <w:sz w:val="20"/>
            <w:szCs w:val="20"/>
          </w:rPr>
          <w:fldChar w:fldCharType="end"/>
        </w:r>
      </w:p>
    </w:sdtContent>
  </w:sdt>
  <w:p w:rsidR="00C26B4A" w:rsidRDefault="00C26B4A" w14:paraId="0A47BAC2" w14:textId="77777777">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307136724"/>
      <w:docPartObj>
        <w:docPartGallery w:val="Page Numbers (Top of Page)"/>
        <w:docPartUnique/>
      </w:docPartObj>
    </w:sdtPr>
    <w:sdtEndPr/>
    <w:sdtContent>
      <w:p w:rsidRPr="006B6FF7" w:rsidR="006B6FF7" w:rsidP="175FA130" w:rsidRDefault="001D1186" w14:paraId="3C773098" w14:textId="44DB2126" w14:noSpellErr="1">
        <w:pPr>
          <w:pStyle w:val="Header"/>
          <w:jc w:val="right"/>
          <w:rPr>
            <w:rFonts w:ascii="Arial" w:hAnsi="Arial" w:eastAsia="Arial" w:cs="Arial"/>
            <w:sz w:val="20"/>
            <w:szCs w:val="20"/>
          </w:rPr>
        </w:pPr>
        <w:r w:rsidRPr="175FA130" w:rsidR="175FA130">
          <w:rPr>
            <w:rFonts w:ascii="Arial" w:hAnsi="Arial" w:eastAsia="Arial" w:cs="Arial"/>
            <w:sz w:val="20"/>
            <w:szCs w:val="20"/>
          </w:rPr>
          <w:t>Página</w:t>
        </w:r>
        <w:r w:rsidRPr="175FA130" w:rsidR="175FA130">
          <w:rPr>
            <w:rFonts w:ascii="Arial" w:hAnsi="Arial" w:eastAsia="Arial" w:cs="Arial"/>
            <w:sz w:val="20"/>
            <w:szCs w:val="20"/>
          </w:rPr>
          <w:t xml:space="preserve">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PAGE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3</w:t>
        </w:r>
        <w:r w:rsidRPr="175FA130">
          <w:rPr>
            <w:rFonts w:ascii="Arial" w:hAnsi="Arial" w:eastAsia="Arial" w:cs="Arial"/>
            <w:noProof/>
            <w:sz w:val="20"/>
            <w:szCs w:val="20"/>
          </w:rPr>
          <w:fldChar w:fldCharType="end"/>
        </w:r>
        <w:r w:rsidRPr="175FA130" w:rsidR="175FA130">
          <w:rPr>
            <w:rFonts w:ascii="Arial" w:hAnsi="Arial" w:eastAsia="Arial" w:cs="Arial"/>
            <w:sz w:val="20"/>
            <w:szCs w:val="20"/>
          </w:rPr>
          <w:t xml:space="preserve"> </w:t>
        </w:r>
        <w:r w:rsidRPr="175FA130" w:rsidR="175FA130">
          <w:rPr>
            <w:rFonts w:ascii="Arial" w:hAnsi="Arial" w:eastAsia="Arial" w:cs="Arial"/>
            <w:sz w:val="20"/>
            <w:szCs w:val="20"/>
          </w:rPr>
          <w:t>de</w:t>
        </w:r>
        <w:r w:rsidRPr="175FA130" w:rsidR="175FA130">
          <w:rPr>
            <w:rFonts w:ascii="Arial" w:hAnsi="Arial" w:eastAsia="Arial" w:cs="Arial"/>
            <w:sz w:val="20"/>
            <w:szCs w:val="20"/>
          </w:rPr>
          <w:t xml:space="preserve">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NUMPAGES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13</w:t>
        </w:r>
        <w:r w:rsidRPr="175FA130">
          <w:rPr>
            <w:rFonts w:ascii="Arial" w:hAnsi="Arial" w:eastAsia="Arial" w:cs="Arial"/>
            <w:noProof/>
            <w:sz w:val="20"/>
            <w:szCs w:val="20"/>
          </w:rPr>
          <w:fldChar w:fldCharType="end"/>
        </w:r>
      </w:p>
    </w:sdtContent>
  </w:sdt>
  <w:p w:rsidR="00C26B4A" w:rsidRDefault="00C26B4A" w14:paraId="30DFC8DF" w14:textId="77777777">
    <w:pPr>
      <w:pStyle w:val="Header"/>
      <w:ind w:right="360"/>
      <w:rP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484434950"/>
      <w:docPartObj>
        <w:docPartGallery w:val="Page Numbers (Top of Page)"/>
        <w:docPartUnique/>
      </w:docPartObj>
    </w:sdtPr>
    <w:sdtEndPr/>
    <w:sdtContent>
      <w:p w:rsidRPr="00330812" w:rsidR="00330812" w:rsidP="175FA130" w:rsidRDefault="00330812" w14:paraId="1769D984" w14:textId="6DF918E2" w14:noSpellErr="1">
        <w:pPr>
          <w:pStyle w:val="Header"/>
          <w:jc w:val="right"/>
          <w:rPr>
            <w:rFonts w:ascii="Arial" w:hAnsi="Arial" w:eastAsia="Arial" w:cs="Arial"/>
            <w:sz w:val="20"/>
            <w:szCs w:val="20"/>
          </w:rPr>
        </w:pPr>
        <w:r w:rsidRPr="175FA130" w:rsidR="175FA130">
          <w:rPr>
            <w:rFonts w:ascii="Arial" w:hAnsi="Arial" w:eastAsia="Arial" w:cs="Arial"/>
            <w:sz w:val="20"/>
            <w:szCs w:val="20"/>
          </w:rPr>
          <w:t xml:space="preserve">Página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PAGE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13</w:t>
        </w:r>
        <w:r w:rsidRPr="175FA130">
          <w:rPr>
            <w:rFonts w:ascii="Arial" w:hAnsi="Arial" w:eastAsia="Arial" w:cs="Arial"/>
            <w:noProof/>
            <w:sz w:val="20"/>
            <w:szCs w:val="20"/>
          </w:rPr>
          <w:fldChar w:fldCharType="end"/>
        </w:r>
        <w:r w:rsidRPr="175FA130" w:rsidR="175FA130">
          <w:rPr>
            <w:rFonts w:ascii="Arial" w:hAnsi="Arial" w:eastAsia="Arial" w:cs="Arial"/>
            <w:sz w:val="20"/>
            <w:szCs w:val="20"/>
          </w:rPr>
          <w:t xml:space="preserve"> de </w:t>
        </w:r>
        <w:r w:rsidRPr="175FA130">
          <w:rPr>
            <w:rFonts w:ascii="Arial" w:hAnsi="Arial" w:eastAsia="Arial" w:cs="Arial"/>
            <w:noProof/>
            <w:sz w:val="20"/>
            <w:szCs w:val="20"/>
          </w:rPr>
          <w:fldChar w:fldCharType="begin"/>
        </w:r>
        <w:r w:rsidRPr="175FA130">
          <w:rPr>
            <w:rFonts w:ascii="Arial" w:hAnsi="Arial" w:eastAsia="Arial" w:cs="Arial"/>
            <w:noProof/>
            <w:sz w:val="20"/>
            <w:szCs w:val="20"/>
          </w:rPr>
          <w:instrText xml:space="preserve"> NUMPAGES  </w:instrText>
        </w:r>
        <w:r w:rsidRPr="175FA130">
          <w:rPr>
            <w:rFonts w:ascii="Arial" w:hAnsi="Arial" w:eastAsia="Arial" w:cs="Arial"/>
            <w:noProof/>
            <w:sz w:val="20"/>
            <w:szCs w:val="20"/>
          </w:rPr>
          <w:fldChar w:fldCharType="separate"/>
        </w:r>
        <w:r w:rsidRPr="175FA130" w:rsidR="175FA130">
          <w:rPr>
            <w:rFonts w:ascii="Arial" w:hAnsi="Arial" w:eastAsia="Arial" w:cs="Arial"/>
            <w:noProof/>
            <w:sz w:val="20"/>
            <w:szCs w:val="20"/>
          </w:rPr>
          <w:t>13</w:t>
        </w:r>
        <w:r w:rsidRPr="175FA130">
          <w:rPr>
            <w:rFonts w:ascii="Arial" w:hAnsi="Arial" w:eastAsia="Arial" w:cs="Arial"/>
            <w:noProof/>
            <w:sz w:val="20"/>
            <w:szCs w:val="20"/>
          </w:rPr>
          <w:fldChar w:fldCharType="end"/>
        </w:r>
      </w:p>
    </w:sdtContent>
  </w:sdt>
  <w:p w:rsidRPr="00330812" w:rsidR="00C26B4A" w:rsidP="00A247FA" w:rsidRDefault="00C26B4A" w14:paraId="68277BFA" w14:textId="77777777">
    <w:pPr>
      <w:pStyle w:val="Header"/>
      <w:tabs>
        <w:tab w:val="clear" w:pos="4320"/>
        <w:tab w:val="center" w:pos="5760"/>
      </w:tabs>
      <w:ind w:right="360"/>
      <w:jc w:val="center"/>
      <w:rPr>
        <w:snapToGrid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D1F65DF2"/>
    <w:lvl w:ilvl="0">
      <w:start w:val="1"/>
      <w:numFmt w:val="upperRoman"/>
      <w:pStyle w:val="Chapter"/>
      <w:lvlText w:val="%1."/>
      <w:lvlJc w:val="center"/>
      <w:pPr>
        <w:tabs>
          <w:tab w:val="num" w:pos="4900"/>
        </w:tabs>
        <w:ind w:left="4252" w:firstLine="288"/>
      </w:pPr>
      <w:rPr>
        <w:rFonts w:hint="default" w:ascii="Arial" w:hAnsi="Arial" w:eastAsia="Times New Roman" w:cs="Arial"/>
        <w:b/>
        <w:i w:val="0"/>
        <w:sz w:val="22"/>
        <w:szCs w:val="22"/>
      </w:rPr>
    </w:lvl>
    <w:lvl w:ilvl="1">
      <w:start w:val="4"/>
      <w:numFmt w:val="decimal"/>
      <w:pStyle w:val="Paragraph"/>
      <w:isLgl/>
      <w:lvlText w:val="%1.%2"/>
      <w:lvlJc w:val="left"/>
      <w:pPr>
        <w:tabs>
          <w:tab w:val="num" w:pos="762"/>
        </w:tabs>
        <w:ind w:left="762" w:hanging="720"/>
      </w:pPr>
      <w:rPr>
        <w:rFonts w:hint="default" w:ascii="Arial" w:hAnsi="Arial" w:cs="Arial"/>
        <w:b w:val="0"/>
        <w:sz w:val="22"/>
        <w:szCs w:val="22"/>
      </w:rPr>
    </w:lvl>
    <w:lvl w:ilvl="2">
      <w:start w:val="1"/>
      <w:numFmt w:val="bullet"/>
      <w:pStyle w:val="subpar"/>
      <w:lvlText w:val=""/>
      <w:lvlJc w:val="left"/>
      <w:pPr>
        <w:tabs>
          <w:tab w:val="num" w:pos="1104"/>
        </w:tabs>
        <w:ind w:left="1104" w:hanging="432"/>
      </w:pPr>
      <w:rPr>
        <w:rFonts w:hint="default" w:ascii="Symbol" w:hAnsi="Symbol"/>
      </w:rPr>
    </w:lvl>
    <w:lvl w:ilvl="3">
      <w:start w:val="1"/>
      <w:numFmt w:val="lowerRoman"/>
      <w:pStyle w:val="SubSubPar"/>
      <w:lvlText w:val="%4."/>
      <w:lvlJc w:val="right"/>
      <w:pPr>
        <w:tabs>
          <w:tab w:val="num" w:pos="1446"/>
        </w:tabs>
        <w:ind w:left="1446" w:hanging="288"/>
      </w:pPr>
      <w:rPr>
        <w:rFonts w:hint="default"/>
      </w:rPr>
    </w:lvl>
    <w:lvl w:ilvl="4">
      <w:start w:val="1"/>
      <w:numFmt w:val="none"/>
      <w:lvlText w:val=""/>
      <w:lvlJc w:val="left"/>
      <w:pPr>
        <w:tabs>
          <w:tab w:val="num" w:pos="3102"/>
        </w:tabs>
        <w:ind w:left="2742" w:firstLine="0"/>
      </w:pPr>
      <w:rPr>
        <w:rFonts w:hint="default"/>
      </w:rPr>
    </w:lvl>
    <w:lvl w:ilvl="5">
      <w:start w:val="1"/>
      <w:numFmt w:val="none"/>
      <w:lvlText w:val=""/>
      <w:lvlJc w:val="left"/>
      <w:pPr>
        <w:tabs>
          <w:tab w:val="num" w:pos="3822"/>
        </w:tabs>
        <w:ind w:left="3462" w:firstLine="0"/>
      </w:pPr>
      <w:rPr>
        <w:rFonts w:hint="default"/>
      </w:rPr>
    </w:lvl>
    <w:lvl w:ilvl="6">
      <w:start w:val="1"/>
      <w:numFmt w:val="none"/>
      <w:lvlText w:val=""/>
      <w:lvlJc w:val="left"/>
      <w:pPr>
        <w:tabs>
          <w:tab w:val="num" w:pos="4542"/>
        </w:tabs>
        <w:ind w:left="4182" w:firstLine="0"/>
      </w:pPr>
      <w:rPr>
        <w:rFonts w:hint="default"/>
      </w:rPr>
    </w:lvl>
    <w:lvl w:ilvl="7">
      <w:start w:val="1"/>
      <w:numFmt w:val="none"/>
      <w:lvlText w:val=""/>
      <w:lvlJc w:val="left"/>
      <w:pPr>
        <w:tabs>
          <w:tab w:val="num" w:pos="5262"/>
        </w:tabs>
        <w:ind w:left="4902" w:firstLine="0"/>
      </w:pPr>
      <w:rPr>
        <w:rFonts w:hint="default"/>
      </w:rPr>
    </w:lvl>
    <w:lvl w:ilvl="8">
      <w:start w:val="1"/>
      <w:numFmt w:val="none"/>
      <w:lvlText w:val=""/>
      <w:lvlJc w:val="left"/>
      <w:pPr>
        <w:tabs>
          <w:tab w:val="num" w:pos="5982"/>
        </w:tabs>
        <w:ind w:left="5622" w:firstLine="0"/>
      </w:pPr>
      <w:rPr>
        <w:rFonts w:hint="default"/>
      </w:rPr>
    </w:lvl>
  </w:abstractNum>
  <w:abstractNum w:abstractNumId="1" w15:restartNumberingAfterBreak="0">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34B07556"/>
    <w:multiLevelType w:val="multilevel"/>
    <w:tmpl w:val="99643E1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359B4991"/>
    <w:multiLevelType w:val="multilevel"/>
    <w:tmpl w:val="DC2C0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hint="default" w:ascii="Arial" w:hAnsi="Arial" w:cs="Arial"/>
        <w:b w:val="0"/>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hint="default" w:ascii="Times New Roman" w:hAnsi="Times New Roman"/>
        <w:b w:val="0"/>
        <w:i w:val="0"/>
        <w:sz w:val="24"/>
      </w:rPr>
    </w:lvl>
  </w:abstractNum>
  <w:abstractNum w:abstractNumId="5" w15:restartNumberingAfterBreak="0">
    <w:nsid w:val="38F308DD"/>
    <w:multiLevelType w:val="hybridMultilevel"/>
    <w:tmpl w:val="5A26EF96"/>
    <w:lvl w:ilvl="0" w:tplc="04090015">
      <w:start w:val="1"/>
      <w:numFmt w:val="upperLetter"/>
      <w:lvlText w:val="%1."/>
      <w:lvlJc w:val="left"/>
      <w:pPr>
        <w:ind w:left="1483" w:hanging="360"/>
      </w:pPr>
    </w:lvl>
    <w:lvl w:ilvl="1" w:tplc="04090019" w:tentative="1">
      <w:start w:val="1"/>
      <w:numFmt w:val="lowerLetter"/>
      <w:lvlText w:val="%2."/>
      <w:lvlJc w:val="left"/>
      <w:pPr>
        <w:ind w:left="2203" w:hanging="360"/>
      </w:pPr>
    </w:lvl>
    <w:lvl w:ilvl="2" w:tplc="0409001B" w:tentative="1">
      <w:start w:val="1"/>
      <w:numFmt w:val="lowerRoman"/>
      <w:lvlText w:val="%3."/>
      <w:lvlJc w:val="right"/>
      <w:pPr>
        <w:ind w:left="2923" w:hanging="180"/>
      </w:pPr>
    </w:lvl>
    <w:lvl w:ilvl="3" w:tplc="0409000F" w:tentative="1">
      <w:start w:val="1"/>
      <w:numFmt w:val="decimal"/>
      <w:lvlText w:val="%4."/>
      <w:lvlJc w:val="left"/>
      <w:pPr>
        <w:ind w:left="3643" w:hanging="360"/>
      </w:pPr>
    </w:lvl>
    <w:lvl w:ilvl="4" w:tplc="04090019" w:tentative="1">
      <w:start w:val="1"/>
      <w:numFmt w:val="lowerLetter"/>
      <w:lvlText w:val="%5."/>
      <w:lvlJc w:val="left"/>
      <w:pPr>
        <w:ind w:left="4363" w:hanging="360"/>
      </w:pPr>
    </w:lvl>
    <w:lvl w:ilvl="5" w:tplc="0409001B" w:tentative="1">
      <w:start w:val="1"/>
      <w:numFmt w:val="lowerRoman"/>
      <w:lvlText w:val="%6."/>
      <w:lvlJc w:val="right"/>
      <w:pPr>
        <w:ind w:left="5083" w:hanging="180"/>
      </w:pPr>
    </w:lvl>
    <w:lvl w:ilvl="6" w:tplc="0409000F" w:tentative="1">
      <w:start w:val="1"/>
      <w:numFmt w:val="decimal"/>
      <w:lvlText w:val="%7."/>
      <w:lvlJc w:val="left"/>
      <w:pPr>
        <w:ind w:left="5803" w:hanging="360"/>
      </w:pPr>
    </w:lvl>
    <w:lvl w:ilvl="7" w:tplc="04090019" w:tentative="1">
      <w:start w:val="1"/>
      <w:numFmt w:val="lowerLetter"/>
      <w:lvlText w:val="%8."/>
      <w:lvlJc w:val="left"/>
      <w:pPr>
        <w:ind w:left="6523" w:hanging="360"/>
      </w:pPr>
    </w:lvl>
    <w:lvl w:ilvl="8" w:tplc="0409001B" w:tentative="1">
      <w:start w:val="1"/>
      <w:numFmt w:val="lowerRoman"/>
      <w:lvlText w:val="%9."/>
      <w:lvlJc w:val="right"/>
      <w:pPr>
        <w:ind w:left="7243" w:hanging="180"/>
      </w:pPr>
    </w:lvl>
  </w:abstractNum>
  <w:abstractNum w:abstractNumId="6" w15:restartNumberingAfterBreak="0">
    <w:nsid w:val="43252B6C"/>
    <w:multiLevelType w:val="hybridMultilevel"/>
    <w:tmpl w:val="17D8FD1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15:restartNumberingAfterBreak="0">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9" w15:restartNumberingAfterBreak="0">
    <w:nsid w:val="725C0CAA"/>
    <w:multiLevelType w:val="multilevel"/>
    <w:tmpl w:val="895E5BA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0" w15:restartNumberingAfterBreak="0">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15:restartNumberingAfterBreak="0">
    <w:nsid w:val="7E7534C2"/>
    <w:multiLevelType w:val="hybridMultilevel"/>
    <w:tmpl w:val="7DA23972"/>
    <w:lvl w:ilvl="0" w:tplc="04090001">
      <w:start w:val="1"/>
      <w:numFmt w:val="bullet"/>
      <w:lvlText w:val=""/>
      <w:lvlJc w:val="left"/>
      <w:pPr>
        <w:ind w:left="810" w:hanging="360"/>
      </w:pPr>
      <w:rPr>
        <w:rFonts w:hint="default" w:ascii="Symbol" w:hAnsi="Symbol"/>
      </w:rPr>
    </w:lvl>
    <w:lvl w:ilvl="1" w:tplc="04090003" w:tentative="1">
      <w:start w:val="1"/>
      <w:numFmt w:val="bullet"/>
      <w:lvlText w:val="o"/>
      <w:lvlJc w:val="left"/>
      <w:pPr>
        <w:ind w:left="1530" w:hanging="360"/>
      </w:pPr>
      <w:rPr>
        <w:rFonts w:hint="default" w:ascii="Courier New" w:hAnsi="Courier New" w:cs="Courier New"/>
      </w:rPr>
    </w:lvl>
    <w:lvl w:ilvl="2" w:tplc="04090005" w:tentative="1">
      <w:start w:val="1"/>
      <w:numFmt w:val="bullet"/>
      <w:lvlText w:val=""/>
      <w:lvlJc w:val="left"/>
      <w:pPr>
        <w:ind w:left="2250" w:hanging="360"/>
      </w:pPr>
      <w:rPr>
        <w:rFonts w:hint="default" w:ascii="Wingdings" w:hAnsi="Wingdings"/>
      </w:rPr>
    </w:lvl>
    <w:lvl w:ilvl="3" w:tplc="04090001" w:tentative="1">
      <w:start w:val="1"/>
      <w:numFmt w:val="bullet"/>
      <w:lvlText w:val=""/>
      <w:lvlJc w:val="left"/>
      <w:pPr>
        <w:ind w:left="2970" w:hanging="360"/>
      </w:pPr>
      <w:rPr>
        <w:rFonts w:hint="default" w:ascii="Symbol" w:hAnsi="Symbol"/>
      </w:rPr>
    </w:lvl>
    <w:lvl w:ilvl="4" w:tplc="04090003" w:tentative="1">
      <w:start w:val="1"/>
      <w:numFmt w:val="bullet"/>
      <w:lvlText w:val="o"/>
      <w:lvlJc w:val="left"/>
      <w:pPr>
        <w:ind w:left="3690" w:hanging="360"/>
      </w:pPr>
      <w:rPr>
        <w:rFonts w:hint="default" w:ascii="Courier New" w:hAnsi="Courier New" w:cs="Courier New"/>
      </w:rPr>
    </w:lvl>
    <w:lvl w:ilvl="5" w:tplc="04090005" w:tentative="1">
      <w:start w:val="1"/>
      <w:numFmt w:val="bullet"/>
      <w:lvlText w:val=""/>
      <w:lvlJc w:val="left"/>
      <w:pPr>
        <w:ind w:left="4410" w:hanging="360"/>
      </w:pPr>
      <w:rPr>
        <w:rFonts w:hint="default" w:ascii="Wingdings" w:hAnsi="Wingdings"/>
      </w:rPr>
    </w:lvl>
    <w:lvl w:ilvl="6" w:tplc="04090001" w:tentative="1">
      <w:start w:val="1"/>
      <w:numFmt w:val="bullet"/>
      <w:lvlText w:val=""/>
      <w:lvlJc w:val="left"/>
      <w:pPr>
        <w:ind w:left="5130" w:hanging="360"/>
      </w:pPr>
      <w:rPr>
        <w:rFonts w:hint="default" w:ascii="Symbol" w:hAnsi="Symbol"/>
      </w:rPr>
    </w:lvl>
    <w:lvl w:ilvl="7" w:tplc="04090003" w:tentative="1">
      <w:start w:val="1"/>
      <w:numFmt w:val="bullet"/>
      <w:lvlText w:val="o"/>
      <w:lvlJc w:val="left"/>
      <w:pPr>
        <w:ind w:left="5850" w:hanging="360"/>
      </w:pPr>
      <w:rPr>
        <w:rFonts w:hint="default" w:ascii="Courier New" w:hAnsi="Courier New" w:cs="Courier New"/>
      </w:rPr>
    </w:lvl>
    <w:lvl w:ilvl="8" w:tplc="04090005" w:tentative="1">
      <w:start w:val="1"/>
      <w:numFmt w:val="bullet"/>
      <w:lvlText w:val=""/>
      <w:lvlJc w:val="left"/>
      <w:pPr>
        <w:ind w:left="6570" w:hanging="360"/>
      </w:pPr>
      <w:rPr>
        <w:rFonts w:hint="default" w:ascii="Wingdings" w:hAnsi="Wingdings"/>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
  </w:num>
  <w:num w:numId="11">
    <w:abstractNumId w:val="4"/>
  </w:num>
  <w:num w:numId="12">
    <w:abstractNumId w:val="0"/>
  </w:num>
  <w:num w:numId="1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0"/>
  </w:num>
  <w:num w:numId="19">
    <w:abstractNumId w:val="7"/>
  </w:num>
  <w:num w:numId="20">
    <w:abstractNumId w:val="0"/>
  </w:num>
  <w:num w:numId="21">
    <w:abstractNumId w:val="0"/>
  </w:num>
  <w:num w:numId="22">
    <w:abstractNumId w:val="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0"/>
  </w:num>
  <w:num w:numId="26">
    <w:abstractNumId w:val="9"/>
  </w:num>
  <w:num w:numId="27">
    <w:abstractNumId w:val="0"/>
  </w:num>
  <w:num w:numId="28">
    <w:abstractNumId w:val="6"/>
  </w:num>
  <w:num w:numId="29">
    <w:abstractNumId w:val="0"/>
  </w:num>
  <w:num w:numId="30">
    <w:abstractNumId w:val="0"/>
  </w:num>
  <w:num w:numId="3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1"/>
  </w:num>
  <w:num w:numId="35">
    <w:abstractNumId w:val="1"/>
  </w:num>
  <w:num w:numId="36">
    <w:abstractNumId w:val="11"/>
  </w:num>
  <w:num w:numId="37">
    <w:abstractNumId w:val="0"/>
  </w:num>
  <w:num w:numId="38">
    <w:abstractNumId w:val="0"/>
  </w:num>
  <w:num w:numId="39">
    <w:abstractNumId w:val="0"/>
  </w:num>
  <w:num w:numId="40">
    <w:abstractNumId w:val="5"/>
  </w:num>
  <w:num w:numId="41">
    <w:abstractNumId w:val="0"/>
  </w:num>
  <w:num w:numId="42">
    <w:abstractNumId w:val="0"/>
  </w:num>
  <w:num w:numId="43">
    <w:abstractNumId w:val="0"/>
  </w:num>
  <w:num w:numId="4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lang="en-US" w:vendorID="64" w:dllVersion="5" w:nlCheck="1" w:checkStyle="1" w:appName="MSWord"/>
  <w:activeWritingStyle w:lang="en-US" w:vendorID="64" w:dllVersion="6" w:nlCheck="1" w:checkStyle="0" w:appName="MSWord"/>
  <w:activeWritingStyle w:lang="es-ES" w:vendorID="64" w:dllVersion="6" w:nlCheck="1" w:checkStyle="0" w:appName="MSWord"/>
  <w:activeWritingStyle w:lang="es-ES_tradnl" w:vendorID="64" w:dllVersion="6" w:nlCheck="1" w:checkStyle="0" w:appName="MSWord"/>
  <w:activeWritingStyle w:lang="fr-FR" w:vendorID="64" w:dllVersion="6" w:nlCheck="1" w:checkStyle="1" w:appName="MSWord"/>
  <w:activeWritingStyle w:lang="es-AR" w:vendorID="64" w:dllVersion="6" w:nlCheck="1" w:checkStyle="0" w:appName="MSWord"/>
  <w:activeWritingStyle w:lang="es-MX" w:vendorID="64" w:dllVersion="6" w:nlCheck="1" w:checkStyle="0" w:appName="MSWord"/>
  <w:activeWritingStyle w:lang="es-HN" w:vendorID="64" w:dllVersion="6" w:nlCheck="1" w:checkStyle="0" w:appName="MSWord"/>
  <w:activeWritingStyle w:lang="es-CL" w:vendorID="64" w:dllVersion="6" w:nlCheck="1" w:checkStyle="1" w:appName="MSWord"/>
  <w:activeWritingStyle w:lang="en-GB" w:vendorID="64" w:dllVersion="6" w:nlCheck="1" w:checkStyle="1" w:appName="MSWord"/>
  <w:activeWritingStyle w:lang="es-EC" w:vendorID="64" w:dllVersion="6" w:nlCheck="1" w:checkStyle="1" w:appName="MSWord"/>
  <w:activeWritingStyle w:lang="pt-BR" w:vendorID="64" w:dllVersion="6" w:nlCheck="1" w:checkStyle="0" w:appName="MSWord"/>
  <w:activeWritingStyle w:lang="es-CO" w:vendorID="64" w:dllVersion="6" w:nlCheck="1" w:checkStyle="0" w:appName="MSWord"/>
  <w:activeWritingStyle w:lang="es-DO" w:vendorID="64" w:dllVersion="6" w:nlCheck="1" w:checkStyle="0" w:appName="MSWord"/>
  <w:activeWritingStyle w:lang="es-ES_tradnl" w:vendorID="64" w:dllVersion="0" w:nlCheck="1" w:checkStyle="0" w:appName="MSWord"/>
  <w:activeWritingStyle w:lang="pt-BR" w:vendorID="64" w:dllVersion="0" w:nlCheck="1" w:checkStyle="0" w:appName="MSWord"/>
  <w:activeWritingStyle w:lang="es-MX" w:vendorID="64" w:dllVersion="0" w:nlCheck="1" w:checkStyle="0" w:appName="MSWord"/>
  <w:activeWritingStyle w:lang="es-CO" w:vendorID="64" w:dllVersion="0" w:nlCheck="1" w:checkStyle="0" w:appName="MSWord"/>
  <w:activeWritingStyle w:lang="en-US" w:vendorID="64" w:dllVersion="0" w:nlCheck="1" w:checkStyle="0" w:appName="MSWord"/>
  <w:activeWritingStyle w:lang="es-ES" w:vendorID="64" w:dllVersion="0" w:nlCheck="1" w:checkStyle="0" w:appName="MSWord"/>
  <w:activeWritingStyle w:lang="es-HN" w:vendorID="64" w:dllVersion="0" w:nlCheck="1" w:checkStyle="0"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FPR"/>
    <w:docVar w:name="LANG" w:val="SP"/>
  </w:docVars>
  <w:rsids>
    <w:rsidRoot w:val="00B54624"/>
    <w:rsid w:val="00000EF1"/>
    <w:rsid w:val="00002059"/>
    <w:rsid w:val="00003D97"/>
    <w:rsid w:val="000059E5"/>
    <w:rsid w:val="0000627E"/>
    <w:rsid w:val="000146B5"/>
    <w:rsid w:val="00014829"/>
    <w:rsid w:val="00014C9D"/>
    <w:rsid w:val="00016335"/>
    <w:rsid w:val="00016354"/>
    <w:rsid w:val="00017C1A"/>
    <w:rsid w:val="00021DE7"/>
    <w:rsid w:val="000227B9"/>
    <w:rsid w:val="00024C54"/>
    <w:rsid w:val="000264D8"/>
    <w:rsid w:val="000267B7"/>
    <w:rsid w:val="00026C4C"/>
    <w:rsid w:val="0003080D"/>
    <w:rsid w:val="00032264"/>
    <w:rsid w:val="00032C38"/>
    <w:rsid w:val="000359C3"/>
    <w:rsid w:val="0003663D"/>
    <w:rsid w:val="00036AAE"/>
    <w:rsid w:val="000415A4"/>
    <w:rsid w:val="00043539"/>
    <w:rsid w:val="00045B95"/>
    <w:rsid w:val="00045FF8"/>
    <w:rsid w:val="0004636C"/>
    <w:rsid w:val="000464AC"/>
    <w:rsid w:val="00050632"/>
    <w:rsid w:val="00050747"/>
    <w:rsid w:val="00051906"/>
    <w:rsid w:val="00056BBE"/>
    <w:rsid w:val="000575CC"/>
    <w:rsid w:val="0006457C"/>
    <w:rsid w:val="00067170"/>
    <w:rsid w:val="0007019A"/>
    <w:rsid w:val="00070C17"/>
    <w:rsid w:val="00071595"/>
    <w:rsid w:val="000733E1"/>
    <w:rsid w:val="000742F0"/>
    <w:rsid w:val="00077297"/>
    <w:rsid w:val="00083A28"/>
    <w:rsid w:val="0008548D"/>
    <w:rsid w:val="00085814"/>
    <w:rsid w:val="000908EC"/>
    <w:rsid w:val="0009099C"/>
    <w:rsid w:val="000925A4"/>
    <w:rsid w:val="0009494C"/>
    <w:rsid w:val="00097218"/>
    <w:rsid w:val="000A0CEE"/>
    <w:rsid w:val="000A2814"/>
    <w:rsid w:val="000A29B1"/>
    <w:rsid w:val="000A2C41"/>
    <w:rsid w:val="000A5456"/>
    <w:rsid w:val="000A6014"/>
    <w:rsid w:val="000A713A"/>
    <w:rsid w:val="000B08DE"/>
    <w:rsid w:val="000B2088"/>
    <w:rsid w:val="000B3569"/>
    <w:rsid w:val="000B6258"/>
    <w:rsid w:val="000B7A65"/>
    <w:rsid w:val="000C06B4"/>
    <w:rsid w:val="000C0740"/>
    <w:rsid w:val="000C461A"/>
    <w:rsid w:val="000C4B6C"/>
    <w:rsid w:val="000C620F"/>
    <w:rsid w:val="000C6AA7"/>
    <w:rsid w:val="000C7855"/>
    <w:rsid w:val="000D1280"/>
    <w:rsid w:val="000D3134"/>
    <w:rsid w:val="000D31AD"/>
    <w:rsid w:val="000D4D6B"/>
    <w:rsid w:val="000D6160"/>
    <w:rsid w:val="000D625E"/>
    <w:rsid w:val="000E0020"/>
    <w:rsid w:val="000E0DF3"/>
    <w:rsid w:val="000E56A8"/>
    <w:rsid w:val="000E6813"/>
    <w:rsid w:val="000F0D6C"/>
    <w:rsid w:val="000F21E9"/>
    <w:rsid w:val="000F444B"/>
    <w:rsid w:val="000F4F98"/>
    <w:rsid w:val="000F5146"/>
    <w:rsid w:val="000F5DE9"/>
    <w:rsid w:val="000F5F0C"/>
    <w:rsid w:val="000F6E86"/>
    <w:rsid w:val="0010302E"/>
    <w:rsid w:val="001041A6"/>
    <w:rsid w:val="00107885"/>
    <w:rsid w:val="00107A3E"/>
    <w:rsid w:val="0011332E"/>
    <w:rsid w:val="00115AC1"/>
    <w:rsid w:val="0011639E"/>
    <w:rsid w:val="00117550"/>
    <w:rsid w:val="00121CE8"/>
    <w:rsid w:val="00123F79"/>
    <w:rsid w:val="0012497D"/>
    <w:rsid w:val="00125F5A"/>
    <w:rsid w:val="00131667"/>
    <w:rsid w:val="00132803"/>
    <w:rsid w:val="00133579"/>
    <w:rsid w:val="00133EFA"/>
    <w:rsid w:val="0013518E"/>
    <w:rsid w:val="001366E1"/>
    <w:rsid w:val="00136EC6"/>
    <w:rsid w:val="00136FCC"/>
    <w:rsid w:val="0013775C"/>
    <w:rsid w:val="00141F75"/>
    <w:rsid w:val="00142CBC"/>
    <w:rsid w:val="00142DCC"/>
    <w:rsid w:val="00143134"/>
    <w:rsid w:val="00145B3B"/>
    <w:rsid w:val="00146248"/>
    <w:rsid w:val="0014683D"/>
    <w:rsid w:val="00147031"/>
    <w:rsid w:val="00150FCB"/>
    <w:rsid w:val="00151125"/>
    <w:rsid w:val="001531C0"/>
    <w:rsid w:val="00153C60"/>
    <w:rsid w:val="00155439"/>
    <w:rsid w:val="00156CE9"/>
    <w:rsid w:val="00160BED"/>
    <w:rsid w:val="0016218C"/>
    <w:rsid w:val="001653DF"/>
    <w:rsid w:val="00165A56"/>
    <w:rsid w:val="00166C81"/>
    <w:rsid w:val="001678F2"/>
    <w:rsid w:val="00173986"/>
    <w:rsid w:val="0017399E"/>
    <w:rsid w:val="00173F88"/>
    <w:rsid w:val="001743E1"/>
    <w:rsid w:val="00175773"/>
    <w:rsid w:val="001779DA"/>
    <w:rsid w:val="0018135B"/>
    <w:rsid w:val="00181D5C"/>
    <w:rsid w:val="00185556"/>
    <w:rsid w:val="00191B0B"/>
    <w:rsid w:val="001924D3"/>
    <w:rsid w:val="001932EC"/>
    <w:rsid w:val="001933DB"/>
    <w:rsid w:val="00193B4B"/>
    <w:rsid w:val="00197EE6"/>
    <w:rsid w:val="001A0D80"/>
    <w:rsid w:val="001A0FFB"/>
    <w:rsid w:val="001A3C40"/>
    <w:rsid w:val="001A5237"/>
    <w:rsid w:val="001A5A4E"/>
    <w:rsid w:val="001A6E6B"/>
    <w:rsid w:val="001A7F3D"/>
    <w:rsid w:val="001B2057"/>
    <w:rsid w:val="001B4E0F"/>
    <w:rsid w:val="001B73D9"/>
    <w:rsid w:val="001B7DDC"/>
    <w:rsid w:val="001C0C06"/>
    <w:rsid w:val="001C0DF7"/>
    <w:rsid w:val="001C2260"/>
    <w:rsid w:val="001C2B35"/>
    <w:rsid w:val="001C33FE"/>
    <w:rsid w:val="001C5D94"/>
    <w:rsid w:val="001C61FB"/>
    <w:rsid w:val="001C6785"/>
    <w:rsid w:val="001C6CC0"/>
    <w:rsid w:val="001C77A1"/>
    <w:rsid w:val="001D1186"/>
    <w:rsid w:val="001D5C01"/>
    <w:rsid w:val="001D79A5"/>
    <w:rsid w:val="001E04F4"/>
    <w:rsid w:val="001E1112"/>
    <w:rsid w:val="001E137D"/>
    <w:rsid w:val="001E2631"/>
    <w:rsid w:val="001E2DA4"/>
    <w:rsid w:val="001E4CAD"/>
    <w:rsid w:val="001E58C4"/>
    <w:rsid w:val="001E76FB"/>
    <w:rsid w:val="001F1BFF"/>
    <w:rsid w:val="001F27C0"/>
    <w:rsid w:val="001F29F8"/>
    <w:rsid w:val="001F4587"/>
    <w:rsid w:val="001F55B4"/>
    <w:rsid w:val="001F59D2"/>
    <w:rsid w:val="001F646A"/>
    <w:rsid w:val="00200D74"/>
    <w:rsid w:val="00201A0F"/>
    <w:rsid w:val="0020214F"/>
    <w:rsid w:val="00206132"/>
    <w:rsid w:val="00206493"/>
    <w:rsid w:val="0020752B"/>
    <w:rsid w:val="0021299D"/>
    <w:rsid w:val="002138AD"/>
    <w:rsid w:val="00215B98"/>
    <w:rsid w:val="00215D2B"/>
    <w:rsid w:val="00222957"/>
    <w:rsid w:val="00222EDF"/>
    <w:rsid w:val="00223431"/>
    <w:rsid w:val="00223C61"/>
    <w:rsid w:val="00224248"/>
    <w:rsid w:val="00224527"/>
    <w:rsid w:val="0022632F"/>
    <w:rsid w:val="00227A8A"/>
    <w:rsid w:val="002303FF"/>
    <w:rsid w:val="0023151E"/>
    <w:rsid w:val="00231833"/>
    <w:rsid w:val="00232079"/>
    <w:rsid w:val="00232842"/>
    <w:rsid w:val="00232A6B"/>
    <w:rsid w:val="00233824"/>
    <w:rsid w:val="00234E0E"/>
    <w:rsid w:val="00235733"/>
    <w:rsid w:val="00236141"/>
    <w:rsid w:val="00236C5E"/>
    <w:rsid w:val="00236EEA"/>
    <w:rsid w:val="002429A8"/>
    <w:rsid w:val="0024335C"/>
    <w:rsid w:val="00243813"/>
    <w:rsid w:val="00244FAF"/>
    <w:rsid w:val="00250E90"/>
    <w:rsid w:val="00253561"/>
    <w:rsid w:val="00255FA3"/>
    <w:rsid w:val="00256306"/>
    <w:rsid w:val="00256764"/>
    <w:rsid w:val="002606E4"/>
    <w:rsid w:val="0026397D"/>
    <w:rsid w:val="002642B3"/>
    <w:rsid w:val="00266275"/>
    <w:rsid w:val="00270D68"/>
    <w:rsid w:val="00273A2B"/>
    <w:rsid w:val="00274255"/>
    <w:rsid w:val="00276EF4"/>
    <w:rsid w:val="00276F42"/>
    <w:rsid w:val="002779BC"/>
    <w:rsid w:val="00280159"/>
    <w:rsid w:val="00282139"/>
    <w:rsid w:val="00282498"/>
    <w:rsid w:val="002831CA"/>
    <w:rsid w:val="00284298"/>
    <w:rsid w:val="00284F25"/>
    <w:rsid w:val="00284FA3"/>
    <w:rsid w:val="0028596D"/>
    <w:rsid w:val="002872DD"/>
    <w:rsid w:val="00287C9B"/>
    <w:rsid w:val="00290018"/>
    <w:rsid w:val="00290F92"/>
    <w:rsid w:val="00293607"/>
    <w:rsid w:val="00294F61"/>
    <w:rsid w:val="00295109"/>
    <w:rsid w:val="002A0489"/>
    <w:rsid w:val="002A0BF0"/>
    <w:rsid w:val="002A21E9"/>
    <w:rsid w:val="002A3716"/>
    <w:rsid w:val="002A5136"/>
    <w:rsid w:val="002A62F6"/>
    <w:rsid w:val="002A69B6"/>
    <w:rsid w:val="002B14C1"/>
    <w:rsid w:val="002B492C"/>
    <w:rsid w:val="002B568C"/>
    <w:rsid w:val="002C29F8"/>
    <w:rsid w:val="002C3C61"/>
    <w:rsid w:val="002C41AE"/>
    <w:rsid w:val="002C4D4D"/>
    <w:rsid w:val="002C569F"/>
    <w:rsid w:val="002C5B31"/>
    <w:rsid w:val="002C5B63"/>
    <w:rsid w:val="002C6498"/>
    <w:rsid w:val="002C7FBE"/>
    <w:rsid w:val="002D017D"/>
    <w:rsid w:val="002D4675"/>
    <w:rsid w:val="002D60D4"/>
    <w:rsid w:val="002D6F58"/>
    <w:rsid w:val="002E3CC8"/>
    <w:rsid w:val="002E4D31"/>
    <w:rsid w:val="002E62F8"/>
    <w:rsid w:val="002E659B"/>
    <w:rsid w:val="002F07FB"/>
    <w:rsid w:val="002F0C75"/>
    <w:rsid w:val="002F183F"/>
    <w:rsid w:val="002F193F"/>
    <w:rsid w:val="002F2C51"/>
    <w:rsid w:val="002F31FB"/>
    <w:rsid w:val="002F4DF0"/>
    <w:rsid w:val="002F5CE1"/>
    <w:rsid w:val="002F6C19"/>
    <w:rsid w:val="002F6CF2"/>
    <w:rsid w:val="003000AE"/>
    <w:rsid w:val="0030070D"/>
    <w:rsid w:val="00300B33"/>
    <w:rsid w:val="003017E9"/>
    <w:rsid w:val="0030323F"/>
    <w:rsid w:val="00305C65"/>
    <w:rsid w:val="00306997"/>
    <w:rsid w:val="00306B82"/>
    <w:rsid w:val="00306D54"/>
    <w:rsid w:val="00307070"/>
    <w:rsid w:val="00307A35"/>
    <w:rsid w:val="003118CE"/>
    <w:rsid w:val="003128C5"/>
    <w:rsid w:val="00314439"/>
    <w:rsid w:val="00320F70"/>
    <w:rsid w:val="003227BA"/>
    <w:rsid w:val="00322E4A"/>
    <w:rsid w:val="00326B39"/>
    <w:rsid w:val="00330812"/>
    <w:rsid w:val="00332799"/>
    <w:rsid w:val="0033377F"/>
    <w:rsid w:val="003402FA"/>
    <w:rsid w:val="003410E0"/>
    <w:rsid w:val="00341F72"/>
    <w:rsid w:val="0034420F"/>
    <w:rsid w:val="00345DAE"/>
    <w:rsid w:val="00346ACB"/>
    <w:rsid w:val="00346B60"/>
    <w:rsid w:val="003478F6"/>
    <w:rsid w:val="0035182F"/>
    <w:rsid w:val="003518BF"/>
    <w:rsid w:val="00354195"/>
    <w:rsid w:val="0035428D"/>
    <w:rsid w:val="00354D21"/>
    <w:rsid w:val="0035520A"/>
    <w:rsid w:val="003559C5"/>
    <w:rsid w:val="00357745"/>
    <w:rsid w:val="00360367"/>
    <w:rsid w:val="00361F6D"/>
    <w:rsid w:val="003646FB"/>
    <w:rsid w:val="0036569F"/>
    <w:rsid w:val="00372E5E"/>
    <w:rsid w:val="00373D77"/>
    <w:rsid w:val="00373DB8"/>
    <w:rsid w:val="0037435C"/>
    <w:rsid w:val="00375628"/>
    <w:rsid w:val="00376279"/>
    <w:rsid w:val="00377F36"/>
    <w:rsid w:val="00380889"/>
    <w:rsid w:val="00380D69"/>
    <w:rsid w:val="00381C3B"/>
    <w:rsid w:val="003838DA"/>
    <w:rsid w:val="0038434E"/>
    <w:rsid w:val="003856F5"/>
    <w:rsid w:val="00387B7C"/>
    <w:rsid w:val="00390C79"/>
    <w:rsid w:val="00391D07"/>
    <w:rsid w:val="003930CD"/>
    <w:rsid w:val="003931B0"/>
    <w:rsid w:val="0039320B"/>
    <w:rsid w:val="0039426E"/>
    <w:rsid w:val="003962D4"/>
    <w:rsid w:val="003A0A70"/>
    <w:rsid w:val="003A331D"/>
    <w:rsid w:val="003A5B80"/>
    <w:rsid w:val="003A6258"/>
    <w:rsid w:val="003B0F14"/>
    <w:rsid w:val="003B1C48"/>
    <w:rsid w:val="003B2B3F"/>
    <w:rsid w:val="003B2DE9"/>
    <w:rsid w:val="003B3E32"/>
    <w:rsid w:val="003B74ED"/>
    <w:rsid w:val="003B79FC"/>
    <w:rsid w:val="003C02C0"/>
    <w:rsid w:val="003C0D17"/>
    <w:rsid w:val="003C28B2"/>
    <w:rsid w:val="003C2B92"/>
    <w:rsid w:val="003C3922"/>
    <w:rsid w:val="003C63B1"/>
    <w:rsid w:val="003C6D4A"/>
    <w:rsid w:val="003C6DD1"/>
    <w:rsid w:val="003C72F4"/>
    <w:rsid w:val="003C7AE6"/>
    <w:rsid w:val="003D086B"/>
    <w:rsid w:val="003D1656"/>
    <w:rsid w:val="003D33BA"/>
    <w:rsid w:val="003D6670"/>
    <w:rsid w:val="003D6F4C"/>
    <w:rsid w:val="003D728A"/>
    <w:rsid w:val="003E1711"/>
    <w:rsid w:val="003E1C60"/>
    <w:rsid w:val="003E241B"/>
    <w:rsid w:val="003E5F06"/>
    <w:rsid w:val="003E7147"/>
    <w:rsid w:val="003E784B"/>
    <w:rsid w:val="003F0322"/>
    <w:rsid w:val="003F1C70"/>
    <w:rsid w:val="003F28D6"/>
    <w:rsid w:val="003F29FD"/>
    <w:rsid w:val="003F58CA"/>
    <w:rsid w:val="00403748"/>
    <w:rsid w:val="00405063"/>
    <w:rsid w:val="00405A66"/>
    <w:rsid w:val="00405BC3"/>
    <w:rsid w:val="00405DB4"/>
    <w:rsid w:val="00406667"/>
    <w:rsid w:val="004108B5"/>
    <w:rsid w:val="00411630"/>
    <w:rsid w:val="00411663"/>
    <w:rsid w:val="004135F9"/>
    <w:rsid w:val="00413F64"/>
    <w:rsid w:val="00414A13"/>
    <w:rsid w:val="00415356"/>
    <w:rsid w:val="004166B3"/>
    <w:rsid w:val="00417B0C"/>
    <w:rsid w:val="004200DE"/>
    <w:rsid w:val="004208BC"/>
    <w:rsid w:val="0042101B"/>
    <w:rsid w:val="004228D7"/>
    <w:rsid w:val="00422B90"/>
    <w:rsid w:val="00423412"/>
    <w:rsid w:val="00430043"/>
    <w:rsid w:val="004317DD"/>
    <w:rsid w:val="00431E32"/>
    <w:rsid w:val="004336EE"/>
    <w:rsid w:val="00434B50"/>
    <w:rsid w:val="00435B23"/>
    <w:rsid w:val="00436EBE"/>
    <w:rsid w:val="00437351"/>
    <w:rsid w:val="0043784A"/>
    <w:rsid w:val="00437898"/>
    <w:rsid w:val="00443E40"/>
    <w:rsid w:val="004461C3"/>
    <w:rsid w:val="00447470"/>
    <w:rsid w:val="00447B2F"/>
    <w:rsid w:val="004523DF"/>
    <w:rsid w:val="00452432"/>
    <w:rsid w:val="004529B6"/>
    <w:rsid w:val="0045300C"/>
    <w:rsid w:val="00453EFF"/>
    <w:rsid w:val="00455D51"/>
    <w:rsid w:val="00461DE1"/>
    <w:rsid w:val="00461FA4"/>
    <w:rsid w:val="00463BBA"/>
    <w:rsid w:val="004723F1"/>
    <w:rsid w:val="004746B4"/>
    <w:rsid w:val="004754B9"/>
    <w:rsid w:val="00475C06"/>
    <w:rsid w:val="0047701E"/>
    <w:rsid w:val="00481DD7"/>
    <w:rsid w:val="00484856"/>
    <w:rsid w:val="00487111"/>
    <w:rsid w:val="004940E3"/>
    <w:rsid w:val="00495960"/>
    <w:rsid w:val="004A13EA"/>
    <w:rsid w:val="004A4BE2"/>
    <w:rsid w:val="004A51C2"/>
    <w:rsid w:val="004A7266"/>
    <w:rsid w:val="004A7700"/>
    <w:rsid w:val="004B4330"/>
    <w:rsid w:val="004B4A27"/>
    <w:rsid w:val="004B61DB"/>
    <w:rsid w:val="004B67EF"/>
    <w:rsid w:val="004C1518"/>
    <w:rsid w:val="004C1A6E"/>
    <w:rsid w:val="004C2C3B"/>
    <w:rsid w:val="004C4051"/>
    <w:rsid w:val="004D0447"/>
    <w:rsid w:val="004D0CE2"/>
    <w:rsid w:val="004D1A55"/>
    <w:rsid w:val="004D1B23"/>
    <w:rsid w:val="004D302C"/>
    <w:rsid w:val="004D657F"/>
    <w:rsid w:val="004D7DF7"/>
    <w:rsid w:val="004E2738"/>
    <w:rsid w:val="004E387A"/>
    <w:rsid w:val="004E413F"/>
    <w:rsid w:val="004E4358"/>
    <w:rsid w:val="004E5578"/>
    <w:rsid w:val="004E5B84"/>
    <w:rsid w:val="004E7DE0"/>
    <w:rsid w:val="004F44F0"/>
    <w:rsid w:val="004F46E1"/>
    <w:rsid w:val="004F60C6"/>
    <w:rsid w:val="004F753B"/>
    <w:rsid w:val="00500B0C"/>
    <w:rsid w:val="0050360B"/>
    <w:rsid w:val="00503677"/>
    <w:rsid w:val="00503A79"/>
    <w:rsid w:val="005051B5"/>
    <w:rsid w:val="00506912"/>
    <w:rsid w:val="00511135"/>
    <w:rsid w:val="00512617"/>
    <w:rsid w:val="0051277E"/>
    <w:rsid w:val="005167D7"/>
    <w:rsid w:val="00517DCF"/>
    <w:rsid w:val="00521DEA"/>
    <w:rsid w:val="00522C5E"/>
    <w:rsid w:val="005267E0"/>
    <w:rsid w:val="005307A3"/>
    <w:rsid w:val="005316A3"/>
    <w:rsid w:val="00532607"/>
    <w:rsid w:val="00532806"/>
    <w:rsid w:val="005330DC"/>
    <w:rsid w:val="0053561C"/>
    <w:rsid w:val="00536E28"/>
    <w:rsid w:val="00537776"/>
    <w:rsid w:val="0054488D"/>
    <w:rsid w:val="00545A19"/>
    <w:rsid w:val="00550A54"/>
    <w:rsid w:val="005515D3"/>
    <w:rsid w:val="005563FB"/>
    <w:rsid w:val="005564C0"/>
    <w:rsid w:val="0055687C"/>
    <w:rsid w:val="005575D7"/>
    <w:rsid w:val="00557DD1"/>
    <w:rsid w:val="00563C43"/>
    <w:rsid w:val="00563E2E"/>
    <w:rsid w:val="0056410A"/>
    <w:rsid w:val="00564B6B"/>
    <w:rsid w:val="00567143"/>
    <w:rsid w:val="00570996"/>
    <w:rsid w:val="005755EC"/>
    <w:rsid w:val="0057635C"/>
    <w:rsid w:val="00581041"/>
    <w:rsid w:val="00582428"/>
    <w:rsid w:val="00587794"/>
    <w:rsid w:val="00590ACD"/>
    <w:rsid w:val="00595A1C"/>
    <w:rsid w:val="00595E55"/>
    <w:rsid w:val="005A0F61"/>
    <w:rsid w:val="005A17B7"/>
    <w:rsid w:val="005A30FC"/>
    <w:rsid w:val="005A35B1"/>
    <w:rsid w:val="005B0151"/>
    <w:rsid w:val="005B01B4"/>
    <w:rsid w:val="005B2EC0"/>
    <w:rsid w:val="005B3E9B"/>
    <w:rsid w:val="005B42C3"/>
    <w:rsid w:val="005B4FE3"/>
    <w:rsid w:val="005C249B"/>
    <w:rsid w:val="005C2BA9"/>
    <w:rsid w:val="005C3FFD"/>
    <w:rsid w:val="005C41D2"/>
    <w:rsid w:val="005C6852"/>
    <w:rsid w:val="005C763D"/>
    <w:rsid w:val="005D1778"/>
    <w:rsid w:val="005D3271"/>
    <w:rsid w:val="005E3333"/>
    <w:rsid w:val="005E542B"/>
    <w:rsid w:val="005E65C4"/>
    <w:rsid w:val="005F15AD"/>
    <w:rsid w:val="005F1BCF"/>
    <w:rsid w:val="005F2E86"/>
    <w:rsid w:val="005F31CF"/>
    <w:rsid w:val="005F3682"/>
    <w:rsid w:val="005F386E"/>
    <w:rsid w:val="005F5DF8"/>
    <w:rsid w:val="005F6863"/>
    <w:rsid w:val="005F6FDA"/>
    <w:rsid w:val="00601796"/>
    <w:rsid w:val="006035E3"/>
    <w:rsid w:val="0060468D"/>
    <w:rsid w:val="006048BA"/>
    <w:rsid w:val="00607EAB"/>
    <w:rsid w:val="00612F21"/>
    <w:rsid w:val="00614BEB"/>
    <w:rsid w:val="00614C6E"/>
    <w:rsid w:val="00616705"/>
    <w:rsid w:val="00617A20"/>
    <w:rsid w:val="00617DCA"/>
    <w:rsid w:val="00620085"/>
    <w:rsid w:val="00620AF0"/>
    <w:rsid w:val="00620B5F"/>
    <w:rsid w:val="00621805"/>
    <w:rsid w:val="00621B82"/>
    <w:rsid w:val="00623B39"/>
    <w:rsid w:val="00624090"/>
    <w:rsid w:val="00626FC9"/>
    <w:rsid w:val="00627E3F"/>
    <w:rsid w:val="006322DC"/>
    <w:rsid w:val="00632E0C"/>
    <w:rsid w:val="006342E4"/>
    <w:rsid w:val="0063486E"/>
    <w:rsid w:val="0063512F"/>
    <w:rsid w:val="0063516D"/>
    <w:rsid w:val="00635A64"/>
    <w:rsid w:val="00635EDB"/>
    <w:rsid w:val="00637980"/>
    <w:rsid w:val="00637D03"/>
    <w:rsid w:val="00645433"/>
    <w:rsid w:val="00646073"/>
    <w:rsid w:val="0064648B"/>
    <w:rsid w:val="00647CE6"/>
    <w:rsid w:val="0065023F"/>
    <w:rsid w:val="00652D88"/>
    <w:rsid w:val="006536DC"/>
    <w:rsid w:val="00654942"/>
    <w:rsid w:val="006558D9"/>
    <w:rsid w:val="0065596B"/>
    <w:rsid w:val="00656C8D"/>
    <w:rsid w:val="00657703"/>
    <w:rsid w:val="0065793F"/>
    <w:rsid w:val="0065799A"/>
    <w:rsid w:val="00657AB6"/>
    <w:rsid w:val="00660165"/>
    <w:rsid w:val="0066122E"/>
    <w:rsid w:val="00661E9D"/>
    <w:rsid w:val="006622EE"/>
    <w:rsid w:val="00662E45"/>
    <w:rsid w:val="006646A2"/>
    <w:rsid w:val="00670878"/>
    <w:rsid w:val="006708C4"/>
    <w:rsid w:val="00671E8E"/>
    <w:rsid w:val="0067252E"/>
    <w:rsid w:val="006733EE"/>
    <w:rsid w:val="006736FE"/>
    <w:rsid w:val="00676E8D"/>
    <w:rsid w:val="00680304"/>
    <w:rsid w:val="006803F1"/>
    <w:rsid w:val="00680B9A"/>
    <w:rsid w:val="00683151"/>
    <w:rsid w:val="00683725"/>
    <w:rsid w:val="0068405C"/>
    <w:rsid w:val="0068476E"/>
    <w:rsid w:val="006861C3"/>
    <w:rsid w:val="006868E6"/>
    <w:rsid w:val="00686AD9"/>
    <w:rsid w:val="00687B76"/>
    <w:rsid w:val="00692BBB"/>
    <w:rsid w:val="00696851"/>
    <w:rsid w:val="006975EB"/>
    <w:rsid w:val="00697A17"/>
    <w:rsid w:val="006A14D4"/>
    <w:rsid w:val="006A1A7E"/>
    <w:rsid w:val="006A4467"/>
    <w:rsid w:val="006B062B"/>
    <w:rsid w:val="006B2AA6"/>
    <w:rsid w:val="006B4937"/>
    <w:rsid w:val="006B4F7C"/>
    <w:rsid w:val="006B5DBE"/>
    <w:rsid w:val="006B6DAB"/>
    <w:rsid w:val="006B6FF7"/>
    <w:rsid w:val="006C0C57"/>
    <w:rsid w:val="006C4FDB"/>
    <w:rsid w:val="006C55DF"/>
    <w:rsid w:val="006C5CD3"/>
    <w:rsid w:val="006C6FB2"/>
    <w:rsid w:val="006C7688"/>
    <w:rsid w:val="006D0AE6"/>
    <w:rsid w:val="006D0FFE"/>
    <w:rsid w:val="006D1AF5"/>
    <w:rsid w:val="006D23CB"/>
    <w:rsid w:val="006D3C3E"/>
    <w:rsid w:val="006D3D3D"/>
    <w:rsid w:val="006D58E4"/>
    <w:rsid w:val="006D7E49"/>
    <w:rsid w:val="006E1424"/>
    <w:rsid w:val="006E3313"/>
    <w:rsid w:val="006E35FE"/>
    <w:rsid w:val="006E400B"/>
    <w:rsid w:val="006F1C17"/>
    <w:rsid w:val="006F314C"/>
    <w:rsid w:val="006F3B69"/>
    <w:rsid w:val="006F4BD4"/>
    <w:rsid w:val="006F4E25"/>
    <w:rsid w:val="006F509E"/>
    <w:rsid w:val="006F546F"/>
    <w:rsid w:val="006F7A5D"/>
    <w:rsid w:val="007008B4"/>
    <w:rsid w:val="00701A61"/>
    <w:rsid w:val="00704ABC"/>
    <w:rsid w:val="00704E07"/>
    <w:rsid w:val="00705346"/>
    <w:rsid w:val="00707DA6"/>
    <w:rsid w:val="00713179"/>
    <w:rsid w:val="007133C7"/>
    <w:rsid w:val="00714177"/>
    <w:rsid w:val="0071534A"/>
    <w:rsid w:val="00716323"/>
    <w:rsid w:val="00717089"/>
    <w:rsid w:val="007174C8"/>
    <w:rsid w:val="00717BE6"/>
    <w:rsid w:val="007208BD"/>
    <w:rsid w:val="00722235"/>
    <w:rsid w:val="007242D8"/>
    <w:rsid w:val="00725E2B"/>
    <w:rsid w:val="007270B6"/>
    <w:rsid w:val="00730CFA"/>
    <w:rsid w:val="00731A7E"/>
    <w:rsid w:val="00732CEB"/>
    <w:rsid w:val="007337F5"/>
    <w:rsid w:val="0073531C"/>
    <w:rsid w:val="007359B8"/>
    <w:rsid w:val="0074093B"/>
    <w:rsid w:val="007450FA"/>
    <w:rsid w:val="00751114"/>
    <w:rsid w:val="007515B6"/>
    <w:rsid w:val="00751F6B"/>
    <w:rsid w:val="0075315B"/>
    <w:rsid w:val="00753D76"/>
    <w:rsid w:val="007542F5"/>
    <w:rsid w:val="0075573E"/>
    <w:rsid w:val="0076469B"/>
    <w:rsid w:val="00764C8D"/>
    <w:rsid w:val="00766108"/>
    <w:rsid w:val="007666AD"/>
    <w:rsid w:val="00766AB9"/>
    <w:rsid w:val="00767B40"/>
    <w:rsid w:val="00767BDD"/>
    <w:rsid w:val="00767FAF"/>
    <w:rsid w:val="007708D1"/>
    <w:rsid w:val="0077681D"/>
    <w:rsid w:val="007769D8"/>
    <w:rsid w:val="00780A6A"/>
    <w:rsid w:val="007816FF"/>
    <w:rsid w:val="0078324E"/>
    <w:rsid w:val="00783DAB"/>
    <w:rsid w:val="00784FE8"/>
    <w:rsid w:val="0078512D"/>
    <w:rsid w:val="00787DC3"/>
    <w:rsid w:val="007907A2"/>
    <w:rsid w:val="00792B4E"/>
    <w:rsid w:val="00793F42"/>
    <w:rsid w:val="00793FCB"/>
    <w:rsid w:val="0079532B"/>
    <w:rsid w:val="00797DFB"/>
    <w:rsid w:val="007A0016"/>
    <w:rsid w:val="007A2766"/>
    <w:rsid w:val="007A34F6"/>
    <w:rsid w:val="007A5B7A"/>
    <w:rsid w:val="007A68AF"/>
    <w:rsid w:val="007A6FE3"/>
    <w:rsid w:val="007B0E46"/>
    <w:rsid w:val="007B1461"/>
    <w:rsid w:val="007B1B8E"/>
    <w:rsid w:val="007B21D2"/>
    <w:rsid w:val="007B31B3"/>
    <w:rsid w:val="007B360A"/>
    <w:rsid w:val="007B4397"/>
    <w:rsid w:val="007B5F59"/>
    <w:rsid w:val="007C0014"/>
    <w:rsid w:val="007C0096"/>
    <w:rsid w:val="007C13FF"/>
    <w:rsid w:val="007C216B"/>
    <w:rsid w:val="007C7D0E"/>
    <w:rsid w:val="007C7E71"/>
    <w:rsid w:val="007D1872"/>
    <w:rsid w:val="007D2321"/>
    <w:rsid w:val="007D6E48"/>
    <w:rsid w:val="007D78C6"/>
    <w:rsid w:val="007E212D"/>
    <w:rsid w:val="007E23BB"/>
    <w:rsid w:val="007E280B"/>
    <w:rsid w:val="007E2924"/>
    <w:rsid w:val="007E38AA"/>
    <w:rsid w:val="007E717F"/>
    <w:rsid w:val="007F0929"/>
    <w:rsid w:val="007F0A5C"/>
    <w:rsid w:val="007F1DD8"/>
    <w:rsid w:val="007F23E5"/>
    <w:rsid w:val="007F75A1"/>
    <w:rsid w:val="007F7D54"/>
    <w:rsid w:val="00802A60"/>
    <w:rsid w:val="00803F46"/>
    <w:rsid w:val="00804BF7"/>
    <w:rsid w:val="008070F3"/>
    <w:rsid w:val="00807BCF"/>
    <w:rsid w:val="00814B60"/>
    <w:rsid w:val="00816189"/>
    <w:rsid w:val="00816229"/>
    <w:rsid w:val="0082066A"/>
    <w:rsid w:val="00822297"/>
    <w:rsid w:val="00822E3B"/>
    <w:rsid w:val="0082387C"/>
    <w:rsid w:val="00823F2A"/>
    <w:rsid w:val="00824AC2"/>
    <w:rsid w:val="00824C75"/>
    <w:rsid w:val="0082532F"/>
    <w:rsid w:val="00826B9C"/>
    <w:rsid w:val="00827D01"/>
    <w:rsid w:val="00830836"/>
    <w:rsid w:val="00834624"/>
    <w:rsid w:val="00834F60"/>
    <w:rsid w:val="00834FAC"/>
    <w:rsid w:val="00835911"/>
    <w:rsid w:val="0083659D"/>
    <w:rsid w:val="0084187F"/>
    <w:rsid w:val="00841A28"/>
    <w:rsid w:val="008467AC"/>
    <w:rsid w:val="008474E6"/>
    <w:rsid w:val="00851384"/>
    <w:rsid w:val="008514C2"/>
    <w:rsid w:val="00852BFB"/>
    <w:rsid w:val="008536AF"/>
    <w:rsid w:val="008542F7"/>
    <w:rsid w:val="0085552D"/>
    <w:rsid w:val="008568DE"/>
    <w:rsid w:val="00856925"/>
    <w:rsid w:val="00857AF9"/>
    <w:rsid w:val="00860E98"/>
    <w:rsid w:val="00861ABC"/>
    <w:rsid w:val="008658FB"/>
    <w:rsid w:val="008672E2"/>
    <w:rsid w:val="0087130D"/>
    <w:rsid w:val="00876176"/>
    <w:rsid w:val="008779A7"/>
    <w:rsid w:val="0088378F"/>
    <w:rsid w:val="0088403F"/>
    <w:rsid w:val="00886223"/>
    <w:rsid w:val="00886952"/>
    <w:rsid w:val="00886DDB"/>
    <w:rsid w:val="00886FC0"/>
    <w:rsid w:val="0089097F"/>
    <w:rsid w:val="008909EF"/>
    <w:rsid w:val="00890BF2"/>
    <w:rsid w:val="00891D55"/>
    <w:rsid w:val="008927DF"/>
    <w:rsid w:val="008932BF"/>
    <w:rsid w:val="00895D01"/>
    <w:rsid w:val="0089688D"/>
    <w:rsid w:val="008A289C"/>
    <w:rsid w:val="008A582E"/>
    <w:rsid w:val="008B2DD5"/>
    <w:rsid w:val="008B2E8E"/>
    <w:rsid w:val="008B2F54"/>
    <w:rsid w:val="008B6803"/>
    <w:rsid w:val="008C4929"/>
    <w:rsid w:val="008C4A6B"/>
    <w:rsid w:val="008C52F3"/>
    <w:rsid w:val="008C61FE"/>
    <w:rsid w:val="008C69D9"/>
    <w:rsid w:val="008C6B16"/>
    <w:rsid w:val="008D033E"/>
    <w:rsid w:val="008D1816"/>
    <w:rsid w:val="008D1DB3"/>
    <w:rsid w:val="008D2F6A"/>
    <w:rsid w:val="008D3A5C"/>
    <w:rsid w:val="008D4FCD"/>
    <w:rsid w:val="008D5946"/>
    <w:rsid w:val="008D6A8D"/>
    <w:rsid w:val="008D716F"/>
    <w:rsid w:val="008D720D"/>
    <w:rsid w:val="008E3CEC"/>
    <w:rsid w:val="008F14F2"/>
    <w:rsid w:val="008F1ECF"/>
    <w:rsid w:val="008F2EA6"/>
    <w:rsid w:val="008F5ECB"/>
    <w:rsid w:val="008F72B4"/>
    <w:rsid w:val="008F7735"/>
    <w:rsid w:val="009040E6"/>
    <w:rsid w:val="00904BE3"/>
    <w:rsid w:val="00904BF5"/>
    <w:rsid w:val="00906504"/>
    <w:rsid w:val="00913E31"/>
    <w:rsid w:val="0091596E"/>
    <w:rsid w:val="00915BC8"/>
    <w:rsid w:val="0092021F"/>
    <w:rsid w:val="00921076"/>
    <w:rsid w:val="009228D9"/>
    <w:rsid w:val="009260AA"/>
    <w:rsid w:val="0092695A"/>
    <w:rsid w:val="00926E1D"/>
    <w:rsid w:val="00930AF3"/>
    <w:rsid w:val="00930BD4"/>
    <w:rsid w:val="00930E40"/>
    <w:rsid w:val="00932E09"/>
    <w:rsid w:val="009357B9"/>
    <w:rsid w:val="00935E84"/>
    <w:rsid w:val="009379FD"/>
    <w:rsid w:val="009409DB"/>
    <w:rsid w:val="00941E60"/>
    <w:rsid w:val="00941F10"/>
    <w:rsid w:val="00942983"/>
    <w:rsid w:val="00942D2E"/>
    <w:rsid w:val="009436B0"/>
    <w:rsid w:val="00944C9B"/>
    <w:rsid w:val="0095205A"/>
    <w:rsid w:val="00953040"/>
    <w:rsid w:val="0095627A"/>
    <w:rsid w:val="0095664B"/>
    <w:rsid w:val="0096403A"/>
    <w:rsid w:val="00965D86"/>
    <w:rsid w:val="009661D9"/>
    <w:rsid w:val="00966704"/>
    <w:rsid w:val="00970082"/>
    <w:rsid w:val="009722FB"/>
    <w:rsid w:val="009724DB"/>
    <w:rsid w:val="00972B11"/>
    <w:rsid w:val="00974900"/>
    <w:rsid w:val="0098008E"/>
    <w:rsid w:val="009812F4"/>
    <w:rsid w:val="00981AD7"/>
    <w:rsid w:val="00981B11"/>
    <w:rsid w:val="00984D00"/>
    <w:rsid w:val="00984EB4"/>
    <w:rsid w:val="00986629"/>
    <w:rsid w:val="0098684C"/>
    <w:rsid w:val="00990914"/>
    <w:rsid w:val="00990F76"/>
    <w:rsid w:val="009914FF"/>
    <w:rsid w:val="0099160D"/>
    <w:rsid w:val="00991CC0"/>
    <w:rsid w:val="00991FE5"/>
    <w:rsid w:val="009932F0"/>
    <w:rsid w:val="00994FC8"/>
    <w:rsid w:val="009954DB"/>
    <w:rsid w:val="00996CDC"/>
    <w:rsid w:val="00997DB2"/>
    <w:rsid w:val="009A0D6C"/>
    <w:rsid w:val="009A1086"/>
    <w:rsid w:val="009A3E64"/>
    <w:rsid w:val="009A4EF1"/>
    <w:rsid w:val="009A714F"/>
    <w:rsid w:val="009B1C03"/>
    <w:rsid w:val="009B30CD"/>
    <w:rsid w:val="009B3F52"/>
    <w:rsid w:val="009B6C51"/>
    <w:rsid w:val="009B7BCB"/>
    <w:rsid w:val="009C335E"/>
    <w:rsid w:val="009C4927"/>
    <w:rsid w:val="009C5337"/>
    <w:rsid w:val="009D0189"/>
    <w:rsid w:val="009D1822"/>
    <w:rsid w:val="009D1C38"/>
    <w:rsid w:val="009D2E05"/>
    <w:rsid w:val="009D5230"/>
    <w:rsid w:val="009D6426"/>
    <w:rsid w:val="009D7656"/>
    <w:rsid w:val="009E2ED5"/>
    <w:rsid w:val="009E3896"/>
    <w:rsid w:val="009E5C8F"/>
    <w:rsid w:val="009F0B97"/>
    <w:rsid w:val="009F1AF4"/>
    <w:rsid w:val="009F50CC"/>
    <w:rsid w:val="009F562A"/>
    <w:rsid w:val="009F748C"/>
    <w:rsid w:val="00A010D5"/>
    <w:rsid w:val="00A02914"/>
    <w:rsid w:val="00A03006"/>
    <w:rsid w:val="00A048F7"/>
    <w:rsid w:val="00A05D9F"/>
    <w:rsid w:val="00A07029"/>
    <w:rsid w:val="00A07FC2"/>
    <w:rsid w:val="00A100B9"/>
    <w:rsid w:val="00A12A09"/>
    <w:rsid w:val="00A14AC5"/>
    <w:rsid w:val="00A213A7"/>
    <w:rsid w:val="00A21B69"/>
    <w:rsid w:val="00A2282B"/>
    <w:rsid w:val="00A22EFD"/>
    <w:rsid w:val="00A23B65"/>
    <w:rsid w:val="00A247FA"/>
    <w:rsid w:val="00A26244"/>
    <w:rsid w:val="00A31C0B"/>
    <w:rsid w:val="00A326E2"/>
    <w:rsid w:val="00A36681"/>
    <w:rsid w:val="00A37AA2"/>
    <w:rsid w:val="00A37FE2"/>
    <w:rsid w:val="00A4060A"/>
    <w:rsid w:val="00A41104"/>
    <w:rsid w:val="00A4621A"/>
    <w:rsid w:val="00A5168D"/>
    <w:rsid w:val="00A518CE"/>
    <w:rsid w:val="00A5393F"/>
    <w:rsid w:val="00A53D2A"/>
    <w:rsid w:val="00A5564D"/>
    <w:rsid w:val="00A5683E"/>
    <w:rsid w:val="00A56DD3"/>
    <w:rsid w:val="00A6093F"/>
    <w:rsid w:val="00A631EC"/>
    <w:rsid w:val="00A63655"/>
    <w:rsid w:val="00A65A1C"/>
    <w:rsid w:val="00A666BC"/>
    <w:rsid w:val="00A7052F"/>
    <w:rsid w:val="00A7596A"/>
    <w:rsid w:val="00A75FE3"/>
    <w:rsid w:val="00A77DFC"/>
    <w:rsid w:val="00A825CB"/>
    <w:rsid w:val="00A85546"/>
    <w:rsid w:val="00A85645"/>
    <w:rsid w:val="00A87F7A"/>
    <w:rsid w:val="00A90BE7"/>
    <w:rsid w:val="00A92544"/>
    <w:rsid w:val="00A935BB"/>
    <w:rsid w:val="00A94E01"/>
    <w:rsid w:val="00A962B3"/>
    <w:rsid w:val="00AA467C"/>
    <w:rsid w:val="00AA4B6B"/>
    <w:rsid w:val="00AA6201"/>
    <w:rsid w:val="00AB15B1"/>
    <w:rsid w:val="00AB1935"/>
    <w:rsid w:val="00AB2A81"/>
    <w:rsid w:val="00AB2BE4"/>
    <w:rsid w:val="00AB491F"/>
    <w:rsid w:val="00AB58E0"/>
    <w:rsid w:val="00AB63BB"/>
    <w:rsid w:val="00AB6DBA"/>
    <w:rsid w:val="00AB7777"/>
    <w:rsid w:val="00AC1994"/>
    <w:rsid w:val="00AC1D5B"/>
    <w:rsid w:val="00AC1D78"/>
    <w:rsid w:val="00AC4B3E"/>
    <w:rsid w:val="00AC5707"/>
    <w:rsid w:val="00AD274B"/>
    <w:rsid w:val="00AD2B8C"/>
    <w:rsid w:val="00AD3701"/>
    <w:rsid w:val="00AD3BC5"/>
    <w:rsid w:val="00AD3FE1"/>
    <w:rsid w:val="00AD404A"/>
    <w:rsid w:val="00AE0F56"/>
    <w:rsid w:val="00AE16B2"/>
    <w:rsid w:val="00AE1EA4"/>
    <w:rsid w:val="00AE4507"/>
    <w:rsid w:val="00AE523E"/>
    <w:rsid w:val="00AE5E47"/>
    <w:rsid w:val="00AE61CF"/>
    <w:rsid w:val="00AE7122"/>
    <w:rsid w:val="00AF33DE"/>
    <w:rsid w:val="00AF3985"/>
    <w:rsid w:val="00AF5C32"/>
    <w:rsid w:val="00AF6671"/>
    <w:rsid w:val="00B00156"/>
    <w:rsid w:val="00B00532"/>
    <w:rsid w:val="00B01231"/>
    <w:rsid w:val="00B03B7A"/>
    <w:rsid w:val="00B043D9"/>
    <w:rsid w:val="00B04B51"/>
    <w:rsid w:val="00B0597D"/>
    <w:rsid w:val="00B07229"/>
    <w:rsid w:val="00B12E53"/>
    <w:rsid w:val="00B148DC"/>
    <w:rsid w:val="00B1503B"/>
    <w:rsid w:val="00B157D9"/>
    <w:rsid w:val="00B20854"/>
    <w:rsid w:val="00B21AB8"/>
    <w:rsid w:val="00B24BC8"/>
    <w:rsid w:val="00B31887"/>
    <w:rsid w:val="00B31BB5"/>
    <w:rsid w:val="00B32988"/>
    <w:rsid w:val="00B33526"/>
    <w:rsid w:val="00B33CCD"/>
    <w:rsid w:val="00B34E6A"/>
    <w:rsid w:val="00B369D8"/>
    <w:rsid w:val="00B37574"/>
    <w:rsid w:val="00B405D4"/>
    <w:rsid w:val="00B40897"/>
    <w:rsid w:val="00B421B5"/>
    <w:rsid w:val="00B43FBD"/>
    <w:rsid w:val="00B44316"/>
    <w:rsid w:val="00B52BD7"/>
    <w:rsid w:val="00B54624"/>
    <w:rsid w:val="00B55B9A"/>
    <w:rsid w:val="00B61611"/>
    <w:rsid w:val="00B61827"/>
    <w:rsid w:val="00B61ECC"/>
    <w:rsid w:val="00B62160"/>
    <w:rsid w:val="00B621E9"/>
    <w:rsid w:val="00B6352A"/>
    <w:rsid w:val="00B63B0A"/>
    <w:rsid w:val="00B64203"/>
    <w:rsid w:val="00B66AA3"/>
    <w:rsid w:val="00B7303D"/>
    <w:rsid w:val="00B740DF"/>
    <w:rsid w:val="00B74C3D"/>
    <w:rsid w:val="00B75533"/>
    <w:rsid w:val="00B8049B"/>
    <w:rsid w:val="00B86902"/>
    <w:rsid w:val="00B87BF9"/>
    <w:rsid w:val="00B90C99"/>
    <w:rsid w:val="00B90DA2"/>
    <w:rsid w:val="00B910A8"/>
    <w:rsid w:val="00B92C59"/>
    <w:rsid w:val="00B97200"/>
    <w:rsid w:val="00B9770C"/>
    <w:rsid w:val="00B97D8F"/>
    <w:rsid w:val="00BA1C58"/>
    <w:rsid w:val="00BA1E7A"/>
    <w:rsid w:val="00BA214A"/>
    <w:rsid w:val="00BA22A5"/>
    <w:rsid w:val="00BA3BFF"/>
    <w:rsid w:val="00BA55AB"/>
    <w:rsid w:val="00BA6537"/>
    <w:rsid w:val="00BA65D8"/>
    <w:rsid w:val="00BA66BF"/>
    <w:rsid w:val="00BA6D8F"/>
    <w:rsid w:val="00BB2C43"/>
    <w:rsid w:val="00BB6403"/>
    <w:rsid w:val="00BB6E26"/>
    <w:rsid w:val="00BC013E"/>
    <w:rsid w:val="00BC0E6E"/>
    <w:rsid w:val="00BC0FD6"/>
    <w:rsid w:val="00BC32A9"/>
    <w:rsid w:val="00BC47D6"/>
    <w:rsid w:val="00BC4865"/>
    <w:rsid w:val="00BC4AD6"/>
    <w:rsid w:val="00BC6171"/>
    <w:rsid w:val="00BC6AD0"/>
    <w:rsid w:val="00BC7BB8"/>
    <w:rsid w:val="00BD09D3"/>
    <w:rsid w:val="00BD0F17"/>
    <w:rsid w:val="00BD15E5"/>
    <w:rsid w:val="00BD5905"/>
    <w:rsid w:val="00BD6E98"/>
    <w:rsid w:val="00BE05D4"/>
    <w:rsid w:val="00BE1DA9"/>
    <w:rsid w:val="00BE37BE"/>
    <w:rsid w:val="00BE6F0A"/>
    <w:rsid w:val="00BF1382"/>
    <w:rsid w:val="00BF4AEA"/>
    <w:rsid w:val="00BF5091"/>
    <w:rsid w:val="00BF6B44"/>
    <w:rsid w:val="00C0272C"/>
    <w:rsid w:val="00C039EE"/>
    <w:rsid w:val="00C0542B"/>
    <w:rsid w:val="00C062FB"/>
    <w:rsid w:val="00C07F14"/>
    <w:rsid w:val="00C12A7D"/>
    <w:rsid w:val="00C141B4"/>
    <w:rsid w:val="00C16836"/>
    <w:rsid w:val="00C20859"/>
    <w:rsid w:val="00C20B70"/>
    <w:rsid w:val="00C2207C"/>
    <w:rsid w:val="00C224A3"/>
    <w:rsid w:val="00C23BDD"/>
    <w:rsid w:val="00C26039"/>
    <w:rsid w:val="00C26B4A"/>
    <w:rsid w:val="00C27AA3"/>
    <w:rsid w:val="00C30467"/>
    <w:rsid w:val="00C3069A"/>
    <w:rsid w:val="00C31144"/>
    <w:rsid w:val="00C31A5F"/>
    <w:rsid w:val="00C34552"/>
    <w:rsid w:val="00C374D0"/>
    <w:rsid w:val="00C3781D"/>
    <w:rsid w:val="00C402B1"/>
    <w:rsid w:val="00C40AFB"/>
    <w:rsid w:val="00C436BE"/>
    <w:rsid w:val="00C437C4"/>
    <w:rsid w:val="00C463A8"/>
    <w:rsid w:val="00C47F01"/>
    <w:rsid w:val="00C527FD"/>
    <w:rsid w:val="00C56DD9"/>
    <w:rsid w:val="00C60A8B"/>
    <w:rsid w:val="00C60ACE"/>
    <w:rsid w:val="00C6112D"/>
    <w:rsid w:val="00C61816"/>
    <w:rsid w:val="00C62E37"/>
    <w:rsid w:val="00C633EF"/>
    <w:rsid w:val="00C648FF"/>
    <w:rsid w:val="00C70A5C"/>
    <w:rsid w:val="00C73976"/>
    <w:rsid w:val="00C76EF7"/>
    <w:rsid w:val="00C7720B"/>
    <w:rsid w:val="00C77808"/>
    <w:rsid w:val="00C8164B"/>
    <w:rsid w:val="00C835B5"/>
    <w:rsid w:val="00C850B6"/>
    <w:rsid w:val="00C85B3A"/>
    <w:rsid w:val="00C85E24"/>
    <w:rsid w:val="00C86872"/>
    <w:rsid w:val="00C9046F"/>
    <w:rsid w:val="00C9170B"/>
    <w:rsid w:val="00C927E8"/>
    <w:rsid w:val="00C95551"/>
    <w:rsid w:val="00C962A6"/>
    <w:rsid w:val="00C9673D"/>
    <w:rsid w:val="00C96770"/>
    <w:rsid w:val="00C97CD6"/>
    <w:rsid w:val="00CA0122"/>
    <w:rsid w:val="00CA0BAB"/>
    <w:rsid w:val="00CA14DE"/>
    <w:rsid w:val="00CA1900"/>
    <w:rsid w:val="00CA21C8"/>
    <w:rsid w:val="00CA384B"/>
    <w:rsid w:val="00CA5893"/>
    <w:rsid w:val="00CA6E98"/>
    <w:rsid w:val="00CB0A82"/>
    <w:rsid w:val="00CB1EB7"/>
    <w:rsid w:val="00CB28B8"/>
    <w:rsid w:val="00CB38A2"/>
    <w:rsid w:val="00CC0726"/>
    <w:rsid w:val="00CC0F9A"/>
    <w:rsid w:val="00CC2B35"/>
    <w:rsid w:val="00CC4B1C"/>
    <w:rsid w:val="00CC5A95"/>
    <w:rsid w:val="00CC7C3A"/>
    <w:rsid w:val="00CD10E3"/>
    <w:rsid w:val="00CD10E7"/>
    <w:rsid w:val="00CD1BA3"/>
    <w:rsid w:val="00CD4916"/>
    <w:rsid w:val="00CD726E"/>
    <w:rsid w:val="00CE0193"/>
    <w:rsid w:val="00CE0F23"/>
    <w:rsid w:val="00CE19DC"/>
    <w:rsid w:val="00CE305A"/>
    <w:rsid w:val="00CE3CF6"/>
    <w:rsid w:val="00CE594A"/>
    <w:rsid w:val="00CF0C57"/>
    <w:rsid w:val="00CF2279"/>
    <w:rsid w:val="00CF292B"/>
    <w:rsid w:val="00CF3EED"/>
    <w:rsid w:val="00D02C2E"/>
    <w:rsid w:val="00D0364F"/>
    <w:rsid w:val="00D05802"/>
    <w:rsid w:val="00D0702E"/>
    <w:rsid w:val="00D10371"/>
    <w:rsid w:val="00D109EC"/>
    <w:rsid w:val="00D13E84"/>
    <w:rsid w:val="00D1495A"/>
    <w:rsid w:val="00D221A6"/>
    <w:rsid w:val="00D2518F"/>
    <w:rsid w:val="00D255AB"/>
    <w:rsid w:val="00D305E6"/>
    <w:rsid w:val="00D30D5A"/>
    <w:rsid w:val="00D34D64"/>
    <w:rsid w:val="00D353FB"/>
    <w:rsid w:val="00D378AF"/>
    <w:rsid w:val="00D41A9E"/>
    <w:rsid w:val="00D43183"/>
    <w:rsid w:val="00D44793"/>
    <w:rsid w:val="00D45308"/>
    <w:rsid w:val="00D47724"/>
    <w:rsid w:val="00D53C7B"/>
    <w:rsid w:val="00D547A6"/>
    <w:rsid w:val="00D54910"/>
    <w:rsid w:val="00D57E23"/>
    <w:rsid w:val="00D62053"/>
    <w:rsid w:val="00D64041"/>
    <w:rsid w:val="00D64DA4"/>
    <w:rsid w:val="00D64FA9"/>
    <w:rsid w:val="00D72015"/>
    <w:rsid w:val="00D73CD7"/>
    <w:rsid w:val="00D74094"/>
    <w:rsid w:val="00D7577B"/>
    <w:rsid w:val="00D763D3"/>
    <w:rsid w:val="00D81FA8"/>
    <w:rsid w:val="00D82CE4"/>
    <w:rsid w:val="00D84C22"/>
    <w:rsid w:val="00D8564E"/>
    <w:rsid w:val="00D86128"/>
    <w:rsid w:val="00D91A4C"/>
    <w:rsid w:val="00D91D93"/>
    <w:rsid w:val="00D927BE"/>
    <w:rsid w:val="00D92E02"/>
    <w:rsid w:val="00D92F0A"/>
    <w:rsid w:val="00D93FB1"/>
    <w:rsid w:val="00D963BD"/>
    <w:rsid w:val="00D9640B"/>
    <w:rsid w:val="00D97032"/>
    <w:rsid w:val="00D97868"/>
    <w:rsid w:val="00DA198F"/>
    <w:rsid w:val="00DA2BE1"/>
    <w:rsid w:val="00DA59D0"/>
    <w:rsid w:val="00DA753C"/>
    <w:rsid w:val="00DB004B"/>
    <w:rsid w:val="00DC0550"/>
    <w:rsid w:val="00DC7D8D"/>
    <w:rsid w:val="00DD189C"/>
    <w:rsid w:val="00DD3920"/>
    <w:rsid w:val="00DD41A3"/>
    <w:rsid w:val="00DD7C7F"/>
    <w:rsid w:val="00DE3E7F"/>
    <w:rsid w:val="00DE44E7"/>
    <w:rsid w:val="00DE6235"/>
    <w:rsid w:val="00DE65A2"/>
    <w:rsid w:val="00DE75E1"/>
    <w:rsid w:val="00DF1CD3"/>
    <w:rsid w:val="00DF3A07"/>
    <w:rsid w:val="00DF5E17"/>
    <w:rsid w:val="00E05623"/>
    <w:rsid w:val="00E06457"/>
    <w:rsid w:val="00E10E4F"/>
    <w:rsid w:val="00E12780"/>
    <w:rsid w:val="00E12806"/>
    <w:rsid w:val="00E12B4E"/>
    <w:rsid w:val="00E14378"/>
    <w:rsid w:val="00E147B4"/>
    <w:rsid w:val="00E1724F"/>
    <w:rsid w:val="00E26143"/>
    <w:rsid w:val="00E26758"/>
    <w:rsid w:val="00E26783"/>
    <w:rsid w:val="00E27CAF"/>
    <w:rsid w:val="00E300EA"/>
    <w:rsid w:val="00E30C9F"/>
    <w:rsid w:val="00E30E9A"/>
    <w:rsid w:val="00E32087"/>
    <w:rsid w:val="00E32D4C"/>
    <w:rsid w:val="00E331E4"/>
    <w:rsid w:val="00E343C5"/>
    <w:rsid w:val="00E400C7"/>
    <w:rsid w:val="00E408F9"/>
    <w:rsid w:val="00E458EB"/>
    <w:rsid w:val="00E45E9B"/>
    <w:rsid w:val="00E5251C"/>
    <w:rsid w:val="00E53C3F"/>
    <w:rsid w:val="00E54093"/>
    <w:rsid w:val="00E55DD3"/>
    <w:rsid w:val="00E635E9"/>
    <w:rsid w:val="00E63ADA"/>
    <w:rsid w:val="00E6478A"/>
    <w:rsid w:val="00E64EF7"/>
    <w:rsid w:val="00E65A45"/>
    <w:rsid w:val="00E66C09"/>
    <w:rsid w:val="00E66FFE"/>
    <w:rsid w:val="00E67D57"/>
    <w:rsid w:val="00E70CED"/>
    <w:rsid w:val="00E71A2B"/>
    <w:rsid w:val="00E72A61"/>
    <w:rsid w:val="00E73CD8"/>
    <w:rsid w:val="00E74B62"/>
    <w:rsid w:val="00E75B49"/>
    <w:rsid w:val="00E75F97"/>
    <w:rsid w:val="00E77448"/>
    <w:rsid w:val="00E80452"/>
    <w:rsid w:val="00E81972"/>
    <w:rsid w:val="00E8248E"/>
    <w:rsid w:val="00E82A10"/>
    <w:rsid w:val="00E8331D"/>
    <w:rsid w:val="00E838D4"/>
    <w:rsid w:val="00E83962"/>
    <w:rsid w:val="00E84432"/>
    <w:rsid w:val="00E84EB0"/>
    <w:rsid w:val="00E85901"/>
    <w:rsid w:val="00E8620B"/>
    <w:rsid w:val="00E87944"/>
    <w:rsid w:val="00E87E67"/>
    <w:rsid w:val="00E87F69"/>
    <w:rsid w:val="00E9318F"/>
    <w:rsid w:val="00E93C1B"/>
    <w:rsid w:val="00E942A6"/>
    <w:rsid w:val="00E96621"/>
    <w:rsid w:val="00E967CC"/>
    <w:rsid w:val="00E967F1"/>
    <w:rsid w:val="00E97EEE"/>
    <w:rsid w:val="00EA2B7E"/>
    <w:rsid w:val="00EA35F3"/>
    <w:rsid w:val="00EA4AC3"/>
    <w:rsid w:val="00EA5898"/>
    <w:rsid w:val="00EA76C8"/>
    <w:rsid w:val="00EB0D7D"/>
    <w:rsid w:val="00EB3A5B"/>
    <w:rsid w:val="00EB3F20"/>
    <w:rsid w:val="00EB4412"/>
    <w:rsid w:val="00EB4808"/>
    <w:rsid w:val="00EB5390"/>
    <w:rsid w:val="00EB6110"/>
    <w:rsid w:val="00EB6456"/>
    <w:rsid w:val="00EB7667"/>
    <w:rsid w:val="00EB7C7D"/>
    <w:rsid w:val="00EC0E65"/>
    <w:rsid w:val="00EC4168"/>
    <w:rsid w:val="00EC4228"/>
    <w:rsid w:val="00EC5B95"/>
    <w:rsid w:val="00EC6553"/>
    <w:rsid w:val="00EC69DE"/>
    <w:rsid w:val="00EC6C25"/>
    <w:rsid w:val="00ED2146"/>
    <w:rsid w:val="00ED2D73"/>
    <w:rsid w:val="00ED2EF7"/>
    <w:rsid w:val="00ED4766"/>
    <w:rsid w:val="00ED4F7D"/>
    <w:rsid w:val="00ED4FB3"/>
    <w:rsid w:val="00ED77EB"/>
    <w:rsid w:val="00ED799F"/>
    <w:rsid w:val="00ED7AD7"/>
    <w:rsid w:val="00EE1BDF"/>
    <w:rsid w:val="00EE2523"/>
    <w:rsid w:val="00EE4146"/>
    <w:rsid w:val="00EE42B1"/>
    <w:rsid w:val="00EE533D"/>
    <w:rsid w:val="00EE7EBE"/>
    <w:rsid w:val="00EE7F0B"/>
    <w:rsid w:val="00EF0A73"/>
    <w:rsid w:val="00EF1D94"/>
    <w:rsid w:val="00EF29A5"/>
    <w:rsid w:val="00EF6639"/>
    <w:rsid w:val="00EF6A1F"/>
    <w:rsid w:val="00F0001D"/>
    <w:rsid w:val="00F001AF"/>
    <w:rsid w:val="00F0142E"/>
    <w:rsid w:val="00F01E4C"/>
    <w:rsid w:val="00F03A8D"/>
    <w:rsid w:val="00F04AC3"/>
    <w:rsid w:val="00F05472"/>
    <w:rsid w:val="00F070DA"/>
    <w:rsid w:val="00F111EE"/>
    <w:rsid w:val="00F11A3A"/>
    <w:rsid w:val="00F12630"/>
    <w:rsid w:val="00F15A8C"/>
    <w:rsid w:val="00F170D3"/>
    <w:rsid w:val="00F175E1"/>
    <w:rsid w:val="00F209E4"/>
    <w:rsid w:val="00F224AF"/>
    <w:rsid w:val="00F23041"/>
    <w:rsid w:val="00F232C2"/>
    <w:rsid w:val="00F25E5C"/>
    <w:rsid w:val="00F267F9"/>
    <w:rsid w:val="00F30275"/>
    <w:rsid w:val="00F305EC"/>
    <w:rsid w:val="00F306EB"/>
    <w:rsid w:val="00F322B6"/>
    <w:rsid w:val="00F36664"/>
    <w:rsid w:val="00F3727B"/>
    <w:rsid w:val="00F4092A"/>
    <w:rsid w:val="00F41920"/>
    <w:rsid w:val="00F41C1E"/>
    <w:rsid w:val="00F42BC9"/>
    <w:rsid w:val="00F45562"/>
    <w:rsid w:val="00F47833"/>
    <w:rsid w:val="00F507F4"/>
    <w:rsid w:val="00F50ECA"/>
    <w:rsid w:val="00F55B0D"/>
    <w:rsid w:val="00F57431"/>
    <w:rsid w:val="00F57680"/>
    <w:rsid w:val="00F57EEC"/>
    <w:rsid w:val="00F57F81"/>
    <w:rsid w:val="00F60339"/>
    <w:rsid w:val="00F605B8"/>
    <w:rsid w:val="00F63450"/>
    <w:rsid w:val="00F63B8D"/>
    <w:rsid w:val="00F64334"/>
    <w:rsid w:val="00F6754C"/>
    <w:rsid w:val="00F723AE"/>
    <w:rsid w:val="00F74445"/>
    <w:rsid w:val="00F756BA"/>
    <w:rsid w:val="00F81EFA"/>
    <w:rsid w:val="00F856DE"/>
    <w:rsid w:val="00F85939"/>
    <w:rsid w:val="00F8799D"/>
    <w:rsid w:val="00F94733"/>
    <w:rsid w:val="00F963BB"/>
    <w:rsid w:val="00F9678E"/>
    <w:rsid w:val="00FA139C"/>
    <w:rsid w:val="00FA2D58"/>
    <w:rsid w:val="00FA3195"/>
    <w:rsid w:val="00FA3403"/>
    <w:rsid w:val="00FA3B66"/>
    <w:rsid w:val="00FA5651"/>
    <w:rsid w:val="00FA6E4F"/>
    <w:rsid w:val="00FB0836"/>
    <w:rsid w:val="00FB28DE"/>
    <w:rsid w:val="00FB2903"/>
    <w:rsid w:val="00FB51BE"/>
    <w:rsid w:val="00FB63DC"/>
    <w:rsid w:val="00FB74E4"/>
    <w:rsid w:val="00FB7AC0"/>
    <w:rsid w:val="00FB7E81"/>
    <w:rsid w:val="00FC0B09"/>
    <w:rsid w:val="00FC2B51"/>
    <w:rsid w:val="00FC3567"/>
    <w:rsid w:val="00FC37A2"/>
    <w:rsid w:val="00FC397E"/>
    <w:rsid w:val="00FC4879"/>
    <w:rsid w:val="00FC606D"/>
    <w:rsid w:val="00FD0109"/>
    <w:rsid w:val="00FD5B4E"/>
    <w:rsid w:val="00FD6589"/>
    <w:rsid w:val="00FE016F"/>
    <w:rsid w:val="00FE2010"/>
    <w:rsid w:val="00FE2630"/>
    <w:rsid w:val="00FE2C66"/>
    <w:rsid w:val="00FE36E4"/>
    <w:rsid w:val="00FE5A09"/>
    <w:rsid w:val="00FE6944"/>
    <w:rsid w:val="00FF47BE"/>
    <w:rsid w:val="00FF4B6F"/>
    <w:rsid w:val="00FF5D8F"/>
    <w:rsid w:val="00FF6628"/>
    <w:rsid w:val="00FF7AC2"/>
    <w:rsid w:val="175FA130"/>
    <w:rsid w:val="4EAF9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A353DC"/>
  <w15:docId w15:val="{ACBA0539-7908-4697-8448-A0628B50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atentStyles>
  <w:style w:type="paragraph" w:styleId="Normal" w:default="1">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uiPriority w:val="9"/>
    <w:qFormat/>
    <w:rsid w:val="00A77DFC"/>
    <w:pPr>
      <w:numPr>
        <w:ilvl w:val="4"/>
        <w:numId w:val="5"/>
      </w:numPr>
      <w:spacing w:before="240" w:after="60"/>
      <w:outlineLvl w:val="4"/>
    </w:pPr>
    <w:rPr>
      <w:sz w:val="22"/>
    </w:rPr>
  </w:style>
  <w:style w:type="paragraph" w:styleId="Heading6">
    <w:name w:val="heading 6"/>
    <w:basedOn w:val="Normal"/>
    <w:next w:val="Normal"/>
    <w:uiPriority w:val="9"/>
    <w:qFormat/>
    <w:rsid w:val="00A77DFC"/>
    <w:pPr>
      <w:numPr>
        <w:ilvl w:val="5"/>
        <w:numId w:val="6"/>
      </w:numPr>
      <w:spacing w:before="240" w:after="60"/>
      <w:outlineLvl w:val="5"/>
    </w:pPr>
    <w:rPr>
      <w:i/>
      <w:sz w:val="22"/>
    </w:rPr>
  </w:style>
  <w:style w:type="paragraph" w:styleId="Heading7">
    <w:name w:val="heading 7"/>
    <w:basedOn w:val="Normal"/>
    <w:next w:val="Normal"/>
    <w:uiPriority w:val="9"/>
    <w:qFormat/>
    <w:rsid w:val="00A77DFC"/>
    <w:pPr>
      <w:numPr>
        <w:ilvl w:val="6"/>
        <w:numId w:val="7"/>
      </w:numPr>
      <w:spacing w:before="240" w:after="60"/>
      <w:outlineLvl w:val="6"/>
    </w:pPr>
    <w:rPr>
      <w:rFonts w:ascii="Arial" w:hAnsi="Arial"/>
    </w:rPr>
  </w:style>
  <w:style w:type="paragraph" w:styleId="Heading8">
    <w:name w:val="heading 8"/>
    <w:basedOn w:val="Normal"/>
    <w:next w:val="Normal"/>
    <w:uiPriority w:val="9"/>
    <w:qFormat/>
    <w:rsid w:val="00A77DFC"/>
    <w:pPr>
      <w:numPr>
        <w:ilvl w:val="7"/>
        <w:numId w:val="8"/>
      </w:numPr>
      <w:spacing w:before="240" w:after="60"/>
      <w:outlineLvl w:val="7"/>
    </w:pPr>
    <w:rPr>
      <w:rFonts w:ascii="Arial" w:hAnsi="Arial"/>
      <w:i/>
    </w:rPr>
  </w:style>
  <w:style w:type="paragraph" w:styleId="Heading9">
    <w:name w:val="heading 9"/>
    <w:basedOn w:val="Normal"/>
    <w:next w:val="Normal"/>
    <w:uiPriority w:val="9"/>
    <w:qFormat/>
    <w:rsid w:val="00A77DFC"/>
    <w:pPr>
      <w:numPr>
        <w:ilvl w:val="8"/>
        <w:numId w:val="9"/>
      </w:numPr>
      <w:spacing w:before="240" w:after="6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nnex" w:customStyle="1">
    <w:name w:val="Annex"/>
    <w:basedOn w:val="Normal"/>
    <w:rsid w:val="00A77DFC"/>
    <w:rPr>
      <w:caps/>
      <w:lang w:val="es-ES_tradnl"/>
    </w:rPr>
  </w:style>
  <w:style w:type="paragraph" w:styleId="ABBR" w:customStyle="1">
    <w:name w:val="ABBR"/>
    <w:basedOn w:val="Annex"/>
    <w:rsid w:val="00A77DFC"/>
  </w:style>
  <w:style w:type="paragraph" w:styleId="AbbrDesc" w:customStyle="1">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styleId="Chapter" w:customStyle="1">
    <w:name w:val="Chapter"/>
    <w:basedOn w:val="Normal"/>
    <w:next w:val="Normal"/>
    <w:rsid w:val="00A77DFC"/>
    <w:pPr>
      <w:numPr>
        <w:numId w:val="12"/>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styleId="FirstHeading" w:customStyle="1">
    <w:name w:val="FirstHeading"/>
    <w:basedOn w:val="Normal"/>
    <w:link w:val="FirstHeadingChar"/>
    <w:uiPriority w:val="99"/>
    <w:rsid w:val="00A77DFC"/>
    <w:pPr>
      <w:keepNext/>
      <w:numPr>
        <w:numId w:val="10"/>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styleId="MasterSourceText" w:customStyle="1">
    <w:name w:val="Master_SourceText"/>
    <w:basedOn w:val="Normal"/>
    <w:rsid w:val="00A77DFC"/>
    <w:pPr>
      <w:tabs>
        <w:tab w:val="left" w:pos="1440"/>
      </w:tabs>
      <w:ind w:left="1440" w:hanging="720"/>
      <w:jc w:val="both"/>
    </w:pPr>
    <w:rPr>
      <w:sz w:val="20"/>
      <w:lang w:val="es-ES_tradnl"/>
    </w:rPr>
  </w:style>
  <w:style w:type="paragraph" w:styleId="Newpage" w:customStyle="1">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styleId="Paragraph" w:customStyle="1">
    <w:name w:val="Paragraph"/>
    <w:aliases w:val="paragraph,p,PARAGRAPH,PG,pa,at"/>
    <w:basedOn w:val="BodyTextIndent"/>
    <w:link w:val="ParagraphChar"/>
    <w:qFormat/>
    <w:rsid w:val="00A77DFC"/>
    <w:pPr>
      <w:numPr>
        <w:ilvl w:val="1"/>
        <w:numId w:val="12"/>
      </w:numPr>
      <w:spacing w:before="120"/>
      <w:jc w:val="both"/>
      <w:outlineLvl w:val="1"/>
    </w:pPr>
    <w:rPr>
      <w:lang w:val="es-ES"/>
    </w:rPr>
  </w:style>
  <w:style w:type="paragraph" w:styleId="RegheadTab" w:customStyle="1">
    <w:name w:val="RegheadTab"/>
    <w:basedOn w:val="FirstHeading"/>
    <w:rsid w:val="00A77DFC"/>
    <w:pPr>
      <w:numPr>
        <w:numId w:val="0"/>
      </w:numPr>
      <w:tabs>
        <w:tab w:val="num" w:pos="504"/>
      </w:tabs>
      <w:spacing w:after="0"/>
      <w:ind w:left="504" w:hanging="504"/>
      <w:jc w:val="center"/>
    </w:pPr>
  </w:style>
  <w:style w:type="paragraph" w:styleId="SecHeading" w:customStyle="1">
    <w:name w:val="SecHeading"/>
    <w:basedOn w:val="Normal"/>
    <w:next w:val="Paragraph"/>
    <w:uiPriority w:val="99"/>
    <w:rsid w:val="00A77DFC"/>
    <w:pPr>
      <w:keepNext/>
      <w:numPr>
        <w:ilvl w:val="1"/>
        <w:numId w:val="10"/>
      </w:numPr>
      <w:spacing w:before="120" w:after="120"/>
    </w:pPr>
    <w:rPr>
      <w:b/>
      <w:lang w:val="es-ES_tradnl"/>
    </w:rPr>
  </w:style>
  <w:style w:type="paragraph" w:styleId="SubHeading1" w:customStyle="1">
    <w:name w:val="SubHeading1"/>
    <w:basedOn w:val="SecHeading"/>
    <w:uiPriority w:val="99"/>
    <w:rsid w:val="00A77DFC"/>
    <w:pPr>
      <w:numPr>
        <w:ilvl w:val="2"/>
      </w:numPr>
    </w:pPr>
  </w:style>
  <w:style w:type="paragraph" w:styleId="Subheading2" w:customStyle="1">
    <w:name w:val="Subheading2"/>
    <w:basedOn w:val="SecHeading"/>
    <w:uiPriority w:val="99"/>
    <w:rsid w:val="00A77DFC"/>
    <w:pPr>
      <w:numPr>
        <w:ilvl w:val="3"/>
      </w:numPr>
    </w:pPr>
  </w:style>
  <w:style w:type="paragraph" w:styleId="subpar" w:customStyle="1">
    <w:name w:val="subpar"/>
    <w:basedOn w:val="BodyTextIndent3"/>
    <w:link w:val="subparChar"/>
    <w:rsid w:val="00A77DFC"/>
    <w:pPr>
      <w:numPr>
        <w:ilvl w:val="2"/>
        <w:numId w:val="12"/>
      </w:numPr>
      <w:spacing w:before="120"/>
      <w:jc w:val="both"/>
      <w:outlineLvl w:val="2"/>
    </w:pPr>
    <w:rPr>
      <w:sz w:val="24"/>
      <w:lang w:val="es-ES_tradnl"/>
    </w:rPr>
  </w:style>
  <w:style w:type="paragraph" w:styleId="SubSubPar" w:customStyle="1">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Fußnotenzeichen DISS,Footnote Referencefra,FC,BVI fnr,Знак сноски 1,titulo 2,Footnote Reference.SES,Ref. de nota al pie.,Style 24,pie pddes"/>
    <w:uiPriority w:val="99"/>
    <w:qFormat/>
    <w:rsid w:val="004D302C"/>
    <w:rPr>
      <w:vertAlign w:val="superscript"/>
    </w:rPr>
  </w:style>
  <w:style w:type="character" w:styleId="gt-icon-text1" w:customStyle="1">
    <w:name w:val="gt-icon-text1"/>
    <w:basedOn w:val="DefaultParagraphFont"/>
    <w:rsid w:val="00FA3B66"/>
  </w:style>
  <w:style w:type="paragraph" w:styleId="AutoNumpara" w:customStyle="1">
    <w:name w:val="AutoNumpara"/>
    <w:basedOn w:val="BodyTextIndent"/>
    <w:rsid w:val="00FA3B66"/>
    <w:pPr>
      <w:tabs>
        <w:tab w:val="num" w:pos="720"/>
      </w:tabs>
      <w:spacing w:before="120"/>
      <w:ind w:left="720" w:hanging="720"/>
      <w:jc w:val="both"/>
    </w:pPr>
    <w:rPr>
      <w:noProof/>
      <w:spacing w:val="-2"/>
      <w:lang w:val="es-ES_tradnl"/>
    </w:rPr>
  </w:style>
  <w:style w:type="paragraph" w:styleId="RomanParagraph" w:customStyle="1">
    <w:name w:val="RomanParagraph"/>
    <w:rsid w:val="00FA3B66"/>
    <w:pPr>
      <w:numPr>
        <w:numId w:val="11"/>
      </w:numPr>
      <w:spacing w:before="120" w:after="120"/>
      <w:jc w:val="both"/>
    </w:pPr>
    <w:rPr>
      <w:noProof/>
      <w:sz w:val="24"/>
    </w:rPr>
  </w:style>
  <w:style w:type="paragraph" w:styleId="Regtable" w:customStyle="1">
    <w:name w:val="Regtable"/>
    <w:basedOn w:val="Normal"/>
    <w:link w:val="RegtableChar"/>
    <w:rsid w:val="00FA3B66"/>
    <w:pPr>
      <w:keepLines/>
      <w:framePr w:wrap="around" w:hAnchor="text" w:vAnchor="text" w:y="1"/>
      <w:spacing w:before="20" w:after="20"/>
    </w:pPr>
    <w:rPr>
      <w:noProof/>
      <w:spacing w:val="-3"/>
      <w:lang w:val="es-ES_tradnl"/>
    </w:rPr>
  </w:style>
  <w:style w:type="character" w:styleId="RegtableChar" w:customStyle="1">
    <w:name w:val="Regtable Char"/>
    <w:link w:val="Regtable"/>
    <w:rsid w:val="00FA3B66"/>
    <w:rPr>
      <w:noProof/>
      <w:spacing w:val="-3"/>
      <w:sz w:val="24"/>
      <w:lang w:val="es-ES_tradnl"/>
    </w:rPr>
  </w:style>
  <w:style w:type="paragraph" w:styleId="TableTitle" w:customStyle="1">
    <w:name w:val="TableTitle"/>
    <w:basedOn w:val="Normal"/>
    <w:link w:val="TableTitleChar"/>
    <w:rsid w:val="00FA3B66"/>
    <w:pPr>
      <w:keepNext/>
      <w:framePr w:wrap="around" w:hAnchor="text" w:vAnchor="text" w:y="1"/>
      <w:spacing w:before="20" w:after="20"/>
      <w:jc w:val="center"/>
    </w:pPr>
    <w:rPr>
      <w:rFonts w:ascii="Times New Roman Bold" w:hAnsi="Times New Roman Bold"/>
      <w:b/>
      <w:spacing w:val="-3"/>
      <w:sz w:val="20"/>
      <w:lang w:val="es-ES"/>
    </w:rPr>
  </w:style>
  <w:style w:type="character" w:styleId="TableTitleChar" w:customStyle="1">
    <w:name w:val="TableTitle Char"/>
    <w:link w:val="TableTitle"/>
    <w:rsid w:val="00FA3B66"/>
    <w:rPr>
      <w:rFonts w:ascii="Times New Roman Bold" w:hAnsi="Times New Roman Bold"/>
      <w:b/>
      <w:spacing w:val="-3"/>
      <w:lang w:val="es-ES"/>
    </w:rPr>
  </w:style>
  <w:style w:type="character" w:styleId="subparChar" w:customStyle="1">
    <w:name w:val="subpar Char"/>
    <w:link w:val="subpar"/>
    <w:rsid w:val="00617A20"/>
    <w:rPr>
      <w:sz w:val="24"/>
      <w:lang w:val="es-ES_tradnl"/>
    </w:rPr>
  </w:style>
  <w:style w:type="character" w:styleId="ColorfulList-Accent1Char" w:customStyle="1">
    <w:name w:val="Colorful List - Accent 1 Char"/>
    <w:link w:val="ColorfulList-Accent1"/>
    <w:uiPriority w:val="34"/>
    <w:rsid w:val="00617A20"/>
    <w:rPr>
      <w:sz w:val="22"/>
      <w:szCs w:val="22"/>
    </w:rPr>
  </w:style>
  <w:style w:type="paragraph" w:styleId="ListParagraph">
    <w:name w:val="List Paragraph"/>
    <w:basedOn w:val="Normal"/>
    <w:link w:val="ListParagraphChar"/>
    <w:uiPriority w:val="34"/>
    <w:qFormat/>
    <w:rsid w:val="00617A20"/>
    <w:pPr>
      <w:spacing w:after="200" w:line="276" w:lineRule="auto"/>
      <w:ind w:left="720"/>
      <w:contextualSpacing/>
    </w:pPr>
    <w:rPr>
      <w:rFonts w:ascii="Calibri" w:hAnsi="Calibri" w:eastAsia="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color="FFFFFF" w:sz="12" w:space="0"/>
        </w:tcBorders>
        <w:shd w:val="clear" w:color="auto" w:fill="9E3A38"/>
      </w:tcPr>
    </w:tblStylePr>
    <w:tblStylePr w:type="lastRow">
      <w:tblPr/>
      <w:tcPr>
        <w:tcBorders>
          <w:top w:val="single" w:color="000000" w:sz="12" w:space="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HeaderChar" w:customStyle="1">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styleId="BalloonTextChar" w:customStyle="1">
    <w:name w:val="Balloon Text Char"/>
    <w:link w:val="BalloonText"/>
    <w:rsid w:val="00C8164B"/>
    <w:rPr>
      <w:rFonts w:ascii="Tahoma" w:hAnsi="Tahoma" w:cs="Tahoma"/>
      <w:sz w:val="16"/>
      <w:szCs w:val="16"/>
    </w:rPr>
  </w:style>
  <w:style w:type="character" w:styleId="CommentReference">
    <w:name w:val="annotation reference"/>
    <w:uiPriority w:val="99"/>
    <w:rsid w:val="006F509E"/>
    <w:rPr>
      <w:sz w:val="16"/>
      <w:szCs w:val="16"/>
    </w:rPr>
  </w:style>
  <w:style w:type="paragraph" w:styleId="CommentText">
    <w:name w:val="annotation text"/>
    <w:basedOn w:val="Normal"/>
    <w:link w:val="CommentTextChar"/>
    <w:uiPriority w:val="99"/>
    <w:rsid w:val="006F509E"/>
    <w:rPr>
      <w:sz w:val="20"/>
    </w:rPr>
  </w:style>
  <w:style w:type="character" w:styleId="CommentTextChar" w:customStyle="1">
    <w:name w:val="Comment Text Char"/>
    <w:basedOn w:val="DefaultParagraphFont"/>
    <w:link w:val="CommentText"/>
    <w:uiPriority w:val="99"/>
    <w:rsid w:val="006F509E"/>
  </w:style>
  <w:style w:type="paragraph" w:styleId="CommentSubject">
    <w:name w:val="annotation subject"/>
    <w:basedOn w:val="CommentText"/>
    <w:next w:val="CommentText"/>
    <w:link w:val="CommentSubjectChar"/>
    <w:rsid w:val="006F509E"/>
    <w:rPr>
      <w:b/>
      <w:bCs/>
    </w:rPr>
  </w:style>
  <w:style w:type="character" w:styleId="CommentSubjectChar" w:customStyle="1">
    <w:name w:val="Comment Subject Char"/>
    <w:link w:val="CommentSubject"/>
    <w:rsid w:val="006F509E"/>
    <w:rPr>
      <w:b/>
      <w:bCs/>
    </w:rPr>
  </w:style>
  <w:style w:type="character" w:styleId="ParagraphChar" w:customStyle="1">
    <w:name w:val="Paragraph Char"/>
    <w:link w:val="Paragraph"/>
    <w:rsid w:val="00861ABC"/>
    <w:rPr>
      <w:sz w:val="24"/>
      <w:lang w:val="es-ES"/>
    </w:rPr>
  </w:style>
  <w:style w:type="character" w:styleId="ParagraphCar" w:customStyle="1">
    <w:name w:val="Paragraph Car"/>
    <w:rsid w:val="00A90BE7"/>
    <w:rPr>
      <w:rFonts w:ascii="Times New Roman" w:hAnsi="Times New Roman" w:eastAsia="Times New Roman" w:cs="Times New Roman"/>
      <w:sz w:val="24"/>
      <w:szCs w:val="20"/>
    </w:rPr>
  </w:style>
  <w:style w:type="character" w:styleId="FootnoteTextChar" w:customStyle="1">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uiPriority w:val="99"/>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styleId="WWOutlineListStyle" w:customStyle="1">
    <w:name w:val="WW_OutlineListStyle"/>
    <w:basedOn w:val="NoList"/>
    <w:rsid w:val="0082532F"/>
    <w:pPr>
      <w:numPr>
        <w:numId w:val="14"/>
      </w:numPr>
    </w:pPr>
  </w:style>
  <w:style w:type="character" w:styleId="PlaceholderText">
    <w:name w:val="Placeholder Text"/>
    <w:basedOn w:val="DefaultParagraphFont"/>
    <w:uiPriority w:val="99"/>
    <w:semiHidden/>
    <w:rsid w:val="005515D3"/>
    <w:rPr>
      <w:color w:val="808080"/>
    </w:rPr>
  </w:style>
  <w:style w:type="character" w:styleId="addmd" w:customStyle="1">
    <w:name w:val="addmd"/>
    <w:basedOn w:val="DefaultParagraphFont"/>
    <w:rsid w:val="0085552D"/>
  </w:style>
  <w:style w:type="character" w:styleId="apple-converted-space" w:customStyle="1">
    <w:name w:val="apple-converted-space"/>
    <w:basedOn w:val="DefaultParagraphFont"/>
    <w:rsid w:val="0085552D"/>
  </w:style>
  <w:style w:type="character" w:styleId="grame" w:customStyle="1">
    <w:name w:val="grame"/>
    <w:basedOn w:val="DefaultParagraphFont"/>
    <w:rsid w:val="00E12780"/>
  </w:style>
  <w:style w:type="character" w:styleId="ListParagraphChar" w:customStyle="1">
    <w:name w:val="List Paragraph Char"/>
    <w:basedOn w:val="DefaultParagraphFont"/>
    <w:link w:val="ListParagraph"/>
    <w:uiPriority w:val="34"/>
    <w:rsid w:val="003478F6"/>
    <w:rPr>
      <w:rFonts w:ascii="Calibri" w:hAnsi="Calibri" w:eastAsia="Calibri"/>
      <w:sz w:val="22"/>
      <w:szCs w:val="22"/>
    </w:rPr>
  </w:style>
  <w:style w:type="table" w:styleId="TableGrid">
    <w:name w:val="Table Grid"/>
    <w:basedOn w:val="TableList4"/>
    <w:uiPriority w:val="59"/>
    <w:rsid w:val="003478F6"/>
    <w:rPr>
      <w:rFonts w:asciiTheme="minorHAnsi" w:hAnsiTheme="minorHAnsi" w:eastAsiaTheme="minorEastAsia"/>
      <w:lang w:val="es-ES" w:eastAsia="es-ES"/>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shd w:val="clear" w:color="auto" w:fill="auto"/>
    </w:tcPr>
    <w:tblStylePr w:type="firstRow">
      <w:rPr>
        <w:rFonts w:asciiTheme="minorHAnsi" w:hAnsiTheme="minorHAnsi"/>
        <w:b/>
        <w:bCs/>
        <w:color w:val="000000" w:themeColor="text1"/>
        <w:sz w:val="20"/>
      </w:rPr>
      <w:tblPr/>
      <w:tcPr>
        <w:tcBorders>
          <w:bottom w:val="single" w:color="000000" w:sz="12" w:space="0"/>
          <w:tl2br w:val="none" w:color="auto" w:sz="0" w:space="0"/>
          <w:tr2bl w:val="none" w:color="auto" w:sz="0" w:space="0"/>
        </w:tcBorders>
        <w:shd w:val="clear" w:color="auto" w:fill="C2D69B" w:themeFill="accent3" w:themeFillTint="99"/>
      </w:tcPr>
    </w:tblStylePr>
    <w:tblStylePr w:type="lastRow">
      <w:rPr>
        <w:b/>
      </w:rPr>
      <w:tblPr/>
      <w:tcPr>
        <w:shd w:val="clear" w:color="auto" w:fill="D9D9D9" w:themeFill="background1" w:themeFillShade="D9"/>
      </w:tcPr>
    </w:tblStylePr>
  </w:style>
  <w:style w:type="paragraph" w:styleId="Caption">
    <w:name w:val="caption"/>
    <w:basedOn w:val="Normal"/>
    <w:next w:val="Normal"/>
    <w:uiPriority w:val="35"/>
    <w:unhideWhenUsed/>
    <w:qFormat/>
    <w:rsid w:val="003478F6"/>
    <w:pPr>
      <w:spacing w:after="200"/>
    </w:pPr>
    <w:rPr>
      <w:rFonts w:asciiTheme="minorHAnsi" w:hAnsiTheme="minorHAnsi" w:eastAsiaTheme="minorEastAsia" w:cstheme="minorBidi"/>
      <w:b/>
      <w:bCs/>
      <w:color w:val="4F81BD" w:themeColor="accent1"/>
      <w:sz w:val="18"/>
      <w:szCs w:val="18"/>
      <w:lang w:val="es-CL" w:eastAsia="es-CL"/>
    </w:rPr>
  </w:style>
  <w:style w:type="table" w:styleId="TableList4">
    <w:name w:val="Table List 4"/>
    <w:basedOn w:val="TableNormal"/>
    <w:rsid w:val="003478F6"/>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paragraph" w:styleId="Revision">
    <w:name w:val="Revision"/>
    <w:hidden/>
    <w:uiPriority w:val="99"/>
    <w:semiHidden/>
    <w:rsid w:val="006708C4"/>
    <w:rPr>
      <w:sz w:val="24"/>
    </w:rPr>
  </w:style>
  <w:style w:type="character" w:styleId="FirstHeadingChar" w:customStyle="1">
    <w:name w:val="FirstHeading Char"/>
    <w:basedOn w:val="DefaultParagraphFont"/>
    <w:link w:val="FirstHeading"/>
    <w:rsid w:val="003B1C48"/>
    <w:rPr>
      <w:b/>
      <w:sz w:val="24"/>
      <w:lang w:val="es-ES"/>
    </w:rPr>
  </w:style>
  <w:style w:type="character" w:styleId="highlight" w:customStyle="1">
    <w:name w:val="highlight"/>
    <w:basedOn w:val="DefaultParagraphFont"/>
    <w:rsid w:val="00BC47D6"/>
  </w:style>
  <w:style w:type="paragraph" w:styleId="Subtitle">
    <w:name w:val="Subtitle"/>
    <w:basedOn w:val="Normal"/>
    <w:next w:val="Normal"/>
    <w:link w:val="SubtitleChar"/>
    <w:uiPriority w:val="11"/>
    <w:qFormat/>
    <w:rsid w:val="00D763D3"/>
    <w:pPr>
      <w:numPr>
        <w:ilvl w:val="1"/>
      </w:numPr>
      <w:spacing w:after="200" w:line="276" w:lineRule="auto"/>
    </w:pPr>
    <w:rPr>
      <w:rFonts w:asciiTheme="majorHAnsi" w:hAnsiTheme="majorHAnsi" w:eastAsiaTheme="majorEastAsia" w:cstheme="majorBidi"/>
      <w:i/>
      <w:iCs/>
      <w:color w:val="4F81BD" w:themeColor="accent1"/>
      <w:spacing w:val="15"/>
      <w:szCs w:val="24"/>
    </w:rPr>
  </w:style>
  <w:style w:type="character" w:styleId="SubtitleChar" w:customStyle="1">
    <w:name w:val="Subtitle Char"/>
    <w:basedOn w:val="DefaultParagraphFont"/>
    <w:link w:val="Subtitle"/>
    <w:uiPriority w:val="11"/>
    <w:rsid w:val="00D763D3"/>
    <w:rPr>
      <w:rFonts w:asciiTheme="majorHAnsi" w:hAnsiTheme="majorHAnsi" w:eastAsiaTheme="majorEastAsia"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14925">
      <w:bodyDiv w:val="1"/>
      <w:marLeft w:val="0"/>
      <w:marRight w:val="0"/>
      <w:marTop w:val="0"/>
      <w:marBottom w:val="0"/>
      <w:divBdr>
        <w:top w:val="none" w:sz="0" w:space="0" w:color="auto"/>
        <w:left w:val="none" w:sz="0" w:space="0" w:color="auto"/>
        <w:bottom w:val="none" w:sz="0" w:space="0" w:color="auto"/>
        <w:right w:val="none" w:sz="0" w:space="0" w:color="auto"/>
      </w:divBdr>
    </w:div>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34926394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587924868">
      <w:bodyDiv w:val="1"/>
      <w:marLeft w:val="0"/>
      <w:marRight w:val="0"/>
      <w:marTop w:val="0"/>
      <w:marBottom w:val="0"/>
      <w:divBdr>
        <w:top w:val="none" w:sz="0" w:space="0" w:color="auto"/>
        <w:left w:val="none" w:sz="0" w:space="0" w:color="auto"/>
        <w:bottom w:val="none" w:sz="0" w:space="0" w:color="auto"/>
        <w:right w:val="none" w:sz="0" w:space="0" w:color="auto"/>
      </w:divBdr>
    </w:div>
    <w:div w:id="652608613">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063063604">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403137361">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611349861">
      <w:bodyDiv w:val="1"/>
      <w:marLeft w:val="0"/>
      <w:marRight w:val="0"/>
      <w:marTop w:val="0"/>
      <w:marBottom w:val="0"/>
      <w:divBdr>
        <w:top w:val="none" w:sz="0" w:space="0" w:color="auto"/>
        <w:left w:val="none" w:sz="0" w:space="0" w:color="auto"/>
        <w:bottom w:val="none" w:sz="0" w:space="0" w:color="auto"/>
        <w:right w:val="none" w:sz="0" w:space="0" w:color="auto"/>
      </w:divBdr>
    </w:div>
    <w:div w:id="1756122839">
      <w:bodyDiv w:val="1"/>
      <w:marLeft w:val="0"/>
      <w:marRight w:val="0"/>
      <w:marTop w:val="0"/>
      <w:marBottom w:val="0"/>
      <w:divBdr>
        <w:top w:val="none" w:sz="0" w:space="0" w:color="auto"/>
        <w:left w:val="none" w:sz="0" w:space="0" w:color="auto"/>
        <w:bottom w:val="none" w:sz="0" w:space="0" w:color="auto"/>
        <w:right w:val="none" w:sz="0" w:space="0" w:color="auto"/>
      </w:divBdr>
    </w:div>
    <w:div w:id="1785495027">
      <w:bodyDiv w:val="1"/>
      <w:marLeft w:val="0"/>
      <w:marRight w:val="0"/>
      <w:marTop w:val="0"/>
      <w:marBottom w:val="0"/>
      <w:divBdr>
        <w:top w:val="none" w:sz="0" w:space="0" w:color="auto"/>
        <w:left w:val="none" w:sz="0" w:space="0" w:color="auto"/>
        <w:bottom w:val="none" w:sz="0" w:space="0" w:color="auto"/>
        <w:right w:val="none" w:sz="0" w:space="0" w:color="auto"/>
      </w:divBdr>
    </w:div>
    <w:div w:id="1794131395">
      <w:bodyDiv w:val="1"/>
      <w:marLeft w:val="0"/>
      <w:marRight w:val="0"/>
      <w:marTop w:val="0"/>
      <w:marBottom w:val="0"/>
      <w:divBdr>
        <w:top w:val="none" w:sz="0" w:space="0" w:color="auto"/>
        <w:left w:val="none" w:sz="0" w:space="0" w:color="auto"/>
        <w:bottom w:val="none" w:sz="0" w:space="0" w:color="auto"/>
        <w:right w:val="none" w:sz="0" w:space="0" w:color="auto"/>
      </w:divBdr>
      <w:divsChild>
        <w:div w:id="1730837265">
          <w:marLeft w:val="547"/>
          <w:marRight w:val="0"/>
          <w:marTop w:val="0"/>
          <w:marBottom w:val="0"/>
          <w:divBdr>
            <w:top w:val="none" w:sz="0" w:space="0" w:color="auto"/>
            <w:left w:val="none" w:sz="0" w:space="0" w:color="auto"/>
            <w:bottom w:val="none" w:sz="0" w:space="0" w:color="auto"/>
            <w:right w:val="none" w:sz="0" w:space="0" w:color="auto"/>
          </w:divBdr>
        </w:div>
      </w:divsChild>
    </w:div>
    <w:div w:id="1843428925">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eader" Target="header3.xml"/><Relationship Id="R55aa02781ee14c2a" Type="http://schemas.openxmlformats.org/officeDocument/2006/relationships/glossaryDocument" Target="/word/glossary/document.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d5e498d-fc19-41aa-a10e-b09197f0ff38}"/>
      </w:docPartPr>
      <w:docPartBody>
        <w:p w14:paraId="175FA13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b:Source>
    <b:Tag>Sch04</b:Tag>
    <b:SourceType>Book</b:SourceType>
    <b:Guid>{2D6BB83B-D35C-4973-926E-9D709C0EBFD5}</b:Guid>
    <b:Author>
      <b:Author>
        <b:NameList>
          <b:Person>
            <b:Last>Schoeni</b:Last>
            <b:First>R</b:First>
          </b:Person>
        </b:NameList>
      </b:Author>
    </b:Author>
    <b:Title>Lecture Notes. Program Evaluation. Master of Public Administration. Gerald R. Ford </b:Title>
    <b:Year>2004</b:Year>
    <b:City>University of Michigan</b:City>
    <b:RefOrder>5</b:RefOrder>
  </b:Source>
</b:Sourc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D85A62497CC2E468798E33104927A79" ma:contentTypeVersion="21" ma:contentTypeDescription="The base project type from which other project content types inherit their information." ma:contentTypeScope="" ma:versionID="6f417df26b2fd070ca4d2f31d558757e">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7C2052523FD65499B8F2B5F558B1B0A" ma:contentTypeVersion="21" ma:contentTypeDescription="A content type to manage public (operations) IDB documents" ma:contentTypeScope="" ma:versionID="c82d8aa1c4656d4c2196815ae20deebc">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Key_x0020_Document xmlns="cdc7663a-08f0-4737-9e8c-148ce897a09c">false</Key_x0020_Document>
    <Division_x0020_or_x0020_Unit xmlns="cdc7663a-08f0-4737-9e8c-148ce897a09c">SCL/SPH</Division_x0020_or_x0020_Unit>
    <_dlc_DocId xmlns="cdc7663a-08f0-4737-9e8c-148ce897a09c">EZSHARE-637762839-17</_dlc_DocId>
    <Document_x0020_Author xmlns="cdc7663a-08f0-4737-9e8c-148ce897a09c">Guerra, Martha M.</Document_x0020_Author>
    <TaxCatchAll xmlns="cdc7663a-08f0-4737-9e8c-148ce897a09c">
      <Value>26</Value>
      <Value>25</Value>
      <Value>3</Value>
      <Value>37</Value>
      <Value>36</Value>
    </TaxCatchAll>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Operation_x0020_Type xmlns="cdc7663a-08f0-4737-9e8c-148ce897a09c">LON</Operation_x0020_Type>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HO-L1182</Project_x0020_Number>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usiness_x0020_Area xmlns="cdc7663a-08f0-4737-9e8c-148ce897a09c">Life Cycle</Business_x0020_Area>
    <Access_x0020_to_x0020_Information_x00a0_Policy xmlns="cdc7663a-08f0-4737-9e8c-148ce897a09c">Public</Access_x0020_to_x0020_Information_x00a0_Policy>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SYSTEM STRENGTHENING</TermName>
          <TermId xmlns="http://schemas.microsoft.com/office/infopath/2007/PartnerControls">98be7628-374e-4ecf-a12c-bb48b439037b</TermId>
        </TermInfo>
      </Terms>
    </b2ec7cfb18674cb8803df6b262e8b107>
    <_dlc_DocIdUrl xmlns="cdc7663a-08f0-4737-9e8c-148ce897a09c">
      <Url>https://idbg.sharepoint.com/teams/EZ-HO-LON/HO-L1182/_layouts/15/DocIdRedir.aspx?ID=EZSHARE-637762839-17</Url>
      <Description>EZSHARE-637762839-17</Description>
    </_dlc_DocIdUrl>
    <Document_x0020_Language_x0020_IDB xmlns="cdc7663a-08f0-4737-9e8c-148ce897a09c">English</Document_x0020_Language_x0020_IDB>
    <Phase xmlns="cdc7663a-08f0-4737-9e8c-148ce897a09c">ACTIVE</Phase>
    <SISCOR_x0020_Number xmlns="cdc7663a-08f0-4737-9e8c-148ce897a09c" xsi:nil="true"/>
    <IDBDocs_x0020_Number xmlns="cdc7663a-08f0-4737-9e8c-148ce897a09c" xsi:nil="true"/>
    <Other_x0020_Author xmlns="cdc7663a-08f0-4737-9e8c-148ce897a09c" xsi:nil="true"/>
    <Migration_x0020_Info xmlns="cdc7663a-08f0-4737-9e8c-148ce897a09c" xsi:nil="true"/>
    <Approval_x0020_Number xmlns="cdc7663a-08f0-4737-9e8c-148ce897a09c" xsi:nil="true"/>
    <Project_x0020_Document_x0020_Type xmlns="cdc7663a-08f0-4737-9e8c-148ce897a09c" xsi:nil="true"/>
    <Package_x0020_Code xmlns="cdc7663a-08f0-4737-9e8c-148ce897a09c" xsi:nil="true"/>
    <Identifier xmlns="cdc7663a-08f0-4737-9e8c-148ce897a09c" xsi:nil="true"/>
    <Record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1BE20D2-9609-4DB4-B9E4-EAA5FF52569B}">
  <ds:schemaRefs>
    <ds:schemaRef ds:uri="http://schemas.openxmlformats.org/officeDocument/2006/bibliography"/>
  </ds:schemaRefs>
</ds:datastoreItem>
</file>

<file path=customXml/itemProps2.xml><?xml version="1.0" encoding="utf-8"?>
<ds:datastoreItem xmlns:ds="http://schemas.openxmlformats.org/officeDocument/2006/customXml" ds:itemID="{1FD5DA74-0CB7-4F34-8BEB-88D8FAA00F7B}"/>
</file>

<file path=customXml/itemProps3.xml><?xml version="1.0" encoding="utf-8"?>
<ds:datastoreItem xmlns:ds="http://schemas.openxmlformats.org/officeDocument/2006/customXml" ds:itemID="{AC32B318-9651-4076-A1D7-BED9E1ED2A64}"/>
</file>

<file path=customXml/itemProps4.xml><?xml version="1.0" encoding="utf-8"?>
<ds:datastoreItem xmlns:ds="http://schemas.openxmlformats.org/officeDocument/2006/customXml" ds:itemID="{9FBE4B55-E839-4561-8494-E87DE6DA2959}"/>
</file>

<file path=customXml/itemProps5.xml><?xml version="1.0" encoding="utf-8"?>
<ds:datastoreItem xmlns:ds="http://schemas.openxmlformats.org/officeDocument/2006/customXml" ds:itemID="{F008CB16-4861-4A44-A089-70C1E81EB8E9}"/>
</file>

<file path=customXml/itemProps6.xml><?xml version="1.0" encoding="utf-8"?>
<ds:datastoreItem xmlns:ds="http://schemas.openxmlformats.org/officeDocument/2006/customXml" ds:itemID="{CCF766B9-B378-47C9-975D-5BCF8466E736}"/>
</file>

<file path=customXml/itemProps7.xml><?xml version="1.0" encoding="utf-8"?>
<ds:datastoreItem xmlns:ds="http://schemas.openxmlformats.org/officeDocument/2006/customXml" ds:itemID="{4C848987-1AF5-436F-BC5C-FC6623F870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INVsp.dot</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CLAUDIACOX</dc:creator>
  <cp:lastModifiedBy>Guerra, Martha M.</cp:lastModifiedBy>
  <cp:revision>3</cp:revision>
  <cp:lastPrinted>2017-03-14T20:11:00Z</cp:lastPrinted>
  <dcterms:created xsi:type="dcterms:W3CDTF">2017-03-14T20:20:00Z</dcterms:created>
  <dcterms:modified xsi:type="dcterms:W3CDTF">2017-03-17T15:45:02Z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ub-Sector">
    <vt:lpwstr>37;#HEALTH SYSTEM STRENGTHENING|98be7628-374e-4ecf-a12c-bb48b439037b</vt:lpwstr>
  </property>
  <property fmtid="{D5CDD505-2E9C-101B-9397-08002B2CF9AE}" pid="6" name="Series Operations IDB">
    <vt:lpwstr/>
  </property>
  <property fmtid="{D5CDD505-2E9C-101B-9397-08002B2CF9AE}" pid="7" name="Country">
    <vt:lpwstr>26;#Honduras|0dd9f989-602d-4742-8212-5c1b8b0b74d5</vt:lpwstr>
  </property>
  <property fmtid="{D5CDD505-2E9C-101B-9397-08002B2CF9AE}" pid="8" name="Fund IDB">
    <vt:lpwstr>25;#BLD|60acb4c1-0ef3-40ba-9d70-f741cd9e6c23</vt:lpwstr>
  </property>
  <property fmtid="{D5CDD505-2E9C-101B-9397-08002B2CF9AE}" pid="9" name="_dlc_DocIdItemGuid">
    <vt:lpwstr>9605e3f9-a13b-4950-b331-67396e478a23</vt:lpwstr>
  </property>
  <property fmtid="{D5CDD505-2E9C-101B-9397-08002B2CF9AE}" pid="10" name="Sector IDB">
    <vt:lpwstr>36;#HEALTH|e15154b4-8fa2-4f19-a924-5a9b44dc8218</vt:lpwstr>
  </property>
  <property fmtid="{D5CDD505-2E9C-101B-9397-08002B2CF9AE}" pid="11" name="Function Operations IDB">
    <vt:lpwstr>3;#Monitoring and Reporting|df3c2aa1-d63e-41aa-b1f5-bb15dee691ca</vt:lpwstr>
  </property>
  <property fmtid="{D5CDD505-2E9C-101B-9397-08002B2CF9AE}" pid="12" name="Disclosure Activity">
    <vt:lpwstr>Loan Proposal</vt:lpwstr>
  </property>
  <property fmtid="{D5CDD505-2E9C-101B-9397-08002B2CF9AE}" pid="13" name="ContentTypeId">
    <vt:lpwstr>0x0101001A458A224826124E8B45B1D613300CFC0087C2052523FD65499B8F2B5F558B1B0A</vt:lpwstr>
  </property>
</Properties>
</file>