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51779" w14:textId="261E71D9" w:rsidR="002F72FC" w:rsidRPr="0045382E" w:rsidRDefault="0045382E">
      <w:pPr>
        <w:spacing w:before="200" w:after="200"/>
        <w:jc w:val="center"/>
        <w:rPr>
          <w:lang w:val="es-ES_tradnl"/>
        </w:rPr>
      </w:pPr>
      <w:r>
        <w:rPr>
          <w:rFonts w:ascii="Arial" w:hAnsi="Arial" w:cs="Arial"/>
          <w:b/>
          <w:lang w:val="es-ES_tradnl"/>
        </w:rPr>
        <w:t xml:space="preserve">Abstracto </w:t>
      </w:r>
      <w:r w:rsidRPr="0045382E">
        <w:rPr>
          <w:rFonts w:ascii="Arial" w:hAnsi="Arial" w:cs="Arial"/>
          <w:b/>
          <w:lang w:val="es-ES_tradnl"/>
        </w:rPr>
        <w:t>de Cooperaci</w:t>
      </w:r>
      <w:r>
        <w:rPr>
          <w:rFonts w:ascii="Arial" w:hAnsi="Arial" w:cs="Arial"/>
          <w:b/>
          <w:lang w:val="es-ES_tradnl"/>
        </w:rPr>
        <w:t>ón Técnica</w:t>
      </w:r>
      <w:r w:rsidR="00294805">
        <w:rPr>
          <w:rFonts w:ascii="Arial" w:hAnsi="Arial" w:cs="Arial"/>
          <w:b/>
          <w:lang w:val="es-ES_tradnl"/>
        </w:rPr>
        <w:t xml:space="preserve"> (CT)</w:t>
      </w:r>
    </w:p>
    <w:p w14:paraId="6C226DB9" w14:textId="687DAF13" w:rsidR="002F72FC" w:rsidRPr="0045382E" w:rsidRDefault="00CF12A4" w:rsidP="0045382E">
      <w:pPr>
        <w:spacing w:before="240" w:after="120"/>
        <w:ind w:left="579" w:hanging="579"/>
        <w:rPr>
          <w:lang w:val="es-ES_tradnl"/>
        </w:rPr>
      </w:pPr>
      <w:r w:rsidRPr="0045382E">
        <w:rPr>
          <w:rFonts w:ascii="Arial" w:hAnsi="Arial" w:cs="Arial"/>
          <w:b/>
          <w:lang w:val="es-ES_tradnl"/>
        </w:rPr>
        <w:t>I.</w:t>
      </w:r>
      <w:r w:rsidRPr="0045382E">
        <w:rPr>
          <w:rFonts w:ascii="Arial" w:hAnsi="Arial" w:cs="Arial"/>
          <w:b/>
          <w:lang w:val="es-ES_tradnl"/>
        </w:rPr>
        <w:tab/>
      </w:r>
      <w:r w:rsidR="0045382E" w:rsidRPr="0045382E">
        <w:rPr>
          <w:rFonts w:ascii="Arial" w:hAnsi="Arial" w:cs="Arial"/>
          <w:b/>
          <w:lang w:val="es-ES_tradnl"/>
        </w:rPr>
        <w:t xml:space="preserve">Información </w:t>
      </w:r>
      <w:r w:rsidRPr="0045382E">
        <w:rPr>
          <w:rFonts w:ascii="Arial" w:hAnsi="Arial" w:cs="Arial"/>
          <w:b/>
          <w:lang w:val="es-ES_tradnl"/>
        </w:rPr>
        <w:t>B</w:t>
      </w:r>
      <w:r w:rsidR="0045382E" w:rsidRPr="0045382E">
        <w:rPr>
          <w:rFonts w:ascii="Arial" w:hAnsi="Arial" w:cs="Arial"/>
          <w:b/>
          <w:lang w:val="es-ES_tradnl"/>
        </w:rPr>
        <w:t>á</w:t>
      </w:r>
      <w:r w:rsidRPr="0045382E">
        <w:rPr>
          <w:rFonts w:ascii="Arial" w:hAnsi="Arial" w:cs="Arial"/>
          <w:b/>
          <w:lang w:val="es-ES_tradnl"/>
        </w:rPr>
        <w:t>sic</w:t>
      </w:r>
      <w:r w:rsidR="0045382E" w:rsidRPr="0045382E">
        <w:rPr>
          <w:rFonts w:ascii="Arial" w:hAnsi="Arial" w:cs="Arial"/>
          <w:b/>
          <w:lang w:val="es-ES_tradnl"/>
        </w:rPr>
        <w:t>a</w:t>
      </w:r>
      <w:r w:rsidRPr="0045382E">
        <w:rPr>
          <w:rFonts w:ascii="Arial" w:hAnsi="Arial" w:cs="Arial"/>
          <w:b/>
          <w:lang w:val="es-ES_tradnl"/>
        </w:rPr>
        <w:t xml:space="preserve"> </w:t>
      </w:r>
      <w:r w:rsidR="0045382E" w:rsidRPr="0045382E">
        <w:rPr>
          <w:rFonts w:ascii="Arial" w:hAnsi="Arial" w:cs="Arial"/>
          <w:b/>
          <w:lang w:val="es-ES_tradnl"/>
        </w:rPr>
        <w:t xml:space="preserve">del </w:t>
      </w:r>
      <w:r w:rsidRPr="0045382E">
        <w:rPr>
          <w:rFonts w:ascii="Arial" w:hAnsi="Arial" w:cs="Arial"/>
          <w:b/>
          <w:lang w:val="es-ES_tradnl"/>
        </w:rPr>
        <w:t>Pro</w:t>
      </w:r>
      <w:r w:rsidR="0045382E" w:rsidRPr="0045382E">
        <w:rPr>
          <w:rFonts w:ascii="Arial" w:hAnsi="Arial" w:cs="Arial"/>
          <w:b/>
          <w:lang w:val="es-ES_tradnl"/>
        </w:rPr>
        <w:t>y</w:t>
      </w:r>
      <w:r w:rsidRPr="0045382E">
        <w:rPr>
          <w:rFonts w:ascii="Arial" w:hAnsi="Arial" w:cs="Arial"/>
          <w:b/>
          <w:lang w:val="es-ES_tradnl"/>
        </w:rPr>
        <w:t>ect</w:t>
      </w:r>
      <w:r w:rsidR="0045382E" w:rsidRPr="0045382E">
        <w:rPr>
          <w:rFonts w:ascii="Arial" w:hAnsi="Arial" w:cs="Arial"/>
          <w:b/>
          <w:lang w:val="es-ES_tradnl"/>
        </w:rPr>
        <w: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992"/>
        <w:gridCol w:w="5028"/>
      </w:tblGrid>
      <w:tr w:rsidR="00B00546" w14:paraId="52042BB5" w14:textId="77777777">
        <w:trPr>
          <w:jc w:val="center"/>
        </w:trPr>
        <w:tc>
          <w:tcPr>
            <w:tcW w:w="5250" w:type="dxa"/>
          </w:tcPr>
          <w:p w14:paraId="7FD83A34" w14:textId="7D98C3FF"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r w:rsidR="00294805">
              <w:rPr>
                <w:rFonts w:ascii="Arial" w:hAnsi="Arial" w:cs="Arial"/>
                <w:sz w:val="18"/>
                <w:szCs w:val="18"/>
              </w:rPr>
              <w:t>País</w:t>
            </w:r>
            <w:r w:rsidR="00294805">
              <w:rPr>
                <w:rFonts w:ascii="Arial" w:hAnsi="Arial" w:cs="Arial"/>
                <w:sz w:val="18"/>
                <w:szCs w:val="18"/>
              </w:rPr>
              <w:t>/</w:t>
            </w:r>
            <w:proofErr w:type="spellStart"/>
            <w:r w:rsidR="00294805">
              <w:rPr>
                <w:rFonts w:ascii="Arial" w:hAnsi="Arial" w:cs="Arial"/>
                <w:sz w:val="18"/>
                <w:szCs w:val="18"/>
              </w:rPr>
              <w:t>Regi</w:t>
            </w:r>
            <w:r w:rsidR="00294805">
              <w:rPr>
                <w:rFonts w:ascii="Arial" w:hAnsi="Arial" w:cs="Arial"/>
                <w:sz w:val="18"/>
                <w:szCs w:val="18"/>
              </w:rPr>
              <w:t>ó</w:t>
            </w:r>
            <w:r w:rsidR="00294805">
              <w:rPr>
                <w:rFonts w:ascii="Arial" w:hAnsi="Arial" w:cs="Arial"/>
                <w:sz w:val="18"/>
                <w:szCs w:val="18"/>
              </w:rPr>
              <w:t>n</w:t>
            </w:r>
            <w:proofErr w:type="spellEnd"/>
            <w:r>
              <w:rPr>
                <w:rFonts w:ascii="Arial" w:hAnsi="Arial" w:cs="Arial"/>
                <w:sz w:val="18"/>
                <w:szCs w:val="18"/>
              </w:rPr>
              <w:t>:</w:t>
            </w:r>
          </w:p>
        </w:tc>
        <w:tc>
          <w:tcPr>
            <w:tcW w:w="6750" w:type="dxa"/>
          </w:tcPr>
          <w:p w14:paraId="253DE197" w14:textId="77777777" w:rsidR="002F72FC" w:rsidRDefault="00CF12A4">
            <w:pPr>
              <w:spacing w:before="40" w:after="40"/>
            </w:pPr>
            <w:r>
              <w:rPr>
                <w:rFonts w:ascii="Arial" w:hAnsi="Arial" w:cs="Arial"/>
                <w:sz w:val="18"/>
                <w:szCs w:val="18"/>
              </w:rPr>
              <w:t>GUATEMALA/CID - Isthmus &amp; DR</w:t>
            </w:r>
          </w:p>
        </w:tc>
      </w:tr>
      <w:tr w:rsidR="00B00546" w:rsidRPr="0045382E" w14:paraId="6BC941A2" w14:textId="77777777">
        <w:trPr>
          <w:jc w:val="center"/>
        </w:trPr>
        <w:tc>
          <w:tcPr>
            <w:tcW w:w="5250" w:type="dxa"/>
          </w:tcPr>
          <w:p w14:paraId="050D8E08" w14:textId="467EAD04"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sidR="00294805">
              <w:rPr>
                <w:rFonts w:ascii="Arial" w:hAnsi="Arial" w:cs="Arial"/>
                <w:sz w:val="18"/>
                <w:szCs w:val="18"/>
              </w:rPr>
              <w:t>Nombre</w:t>
            </w:r>
            <w:proofErr w:type="spellEnd"/>
            <w:r w:rsidR="00294805">
              <w:rPr>
                <w:rFonts w:ascii="Arial" w:hAnsi="Arial" w:cs="Arial"/>
                <w:sz w:val="18"/>
                <w:szCs w:val="18"/>
              </w:rPr>
              <w:t xml:space="preserve"> de la </w:t>
            </w:r>
            <w:r>
              <w:rPr>
                <w:rFonts w:ascii="Arial" w:hAnsi="Arial" w:cs="Arial"/>
                <w:sz w:val="18"/>
                <w:szCs w:val="18"/>
              </w:rPr>
              <w:t>TC</w:t>
            </w:r>
            <w:r>
              <w:rPr>
                <w:rFonts w:ascii="Arial" w:hAnsi="Arial" w:cs="Arial"/>
                <w:sz w:val="18"/>
                <w:szCs w:val="18"/>
              </w:rPr>
              <w:t>:</w:t>
            </w:r>
          </w:p>
        </w:tc>
        <w:tc>
          <w:tcPr>
            <w:tcW w:w="6750" w:type="dxa"/>
          </w:tcPr>
          <w:p w14:paraId="740E831F" w14:textId="1FC24964" w:rsidR="002F72FC" w:rsidRPr="0045382E" w:rsidRDefault="0045382E">
            <w:pPr>
              <w:spacing w:before="40" w:after="40"/>
              <w:rPr>
                <w:lang w:val="es-ES_tradnl"/>
              </w:rPr>
            </w:pPr>
            <w:r w:rsidRPr="0045382E">
              <w:rPr>
                <w:rFonts w:ascii="Arial" w:hAnsi="Arial" w:cs="Arial"/>
                <w:sz w:val="18"/>
                <w:szCs w:val="18"/>
                <w:lang w:val="es-ES_tradnl"/>
              </w:rPr>
              <w:t xml:space="preserve">Programa </w:t>
            </w:r>
            <w:r>
              <w:rPr>
                <w:rFonts w:ascii="Arial" w:hAnsi="Arial" w:cs="Arial"/>
                <w:sz w:val="18"/>
                <w:szCs w:val="18"/>
                <w:lang w:val="es-ES_tradnl"/>
              </w:rPr>
              <w:t>d</w:t>
            </w:r>
            <w:r w:rsidRPr="0045382E">
              <w:rPr>
                <w:rFonts w:ascii="Arial" w:hAnsi="Arial" w:cs="Arial"/>
                <w:sz w:val="18"/>
                <w:szCs w:val="18"/>
                <w:lang w:val="es-ES_tradnl"/>
              </w:rPr>
              <w:t xml:space="preserve">e Educación </w:t>
            </w:r>
            <w:r>
              <w:rPr>
                <w:rFonts w:ascii="Arial" w:hAnsi="Arial" w:cs="Arial"/>
                <w:sz w:val="18"/>
                <w:szCs w:val="18"/>
                <w:lang w:val="es-ES_tradnl"/>
              </w:rPr>
              <w:t>y</w:t>
            </w:r>
            <w:r w:rsidRPr="0045382E">
              <w:rPr>
                <w:rFonts w:ascii="Arial" w:hAnsi="Arial" w:cs="Arial"/>
                <w:sz w:val="18"/>
                <w:szCs w:val="18"/>
                <w:lang w:val="es-ES_tradnl"/>
              </w:rPr>
              <w:t xml:space="preserve"> Empleo </w:t>
            </w:r>
            <w:r>
              <w:rPr>
                <w:rFonts w:ascii="Arial" w:hAnsi="Arial" w:cs="Arial"/>
                <w:sz w:val="18"/>
                <w:szCs w:val="18"/>
                <w:lang w:val="es-ES_tradnl"/>
              </w:rPr>
              <w:t>en</w:t>
            </w:r>
            <w:r w:rsidRPr="0045382E">
              <w:rPr>
                <w:rFonts w:ascii="Arial" w:hAnsi="Arial" w:cs="Arial"/>
                <w:sz w:val="18"/>
                <w:szCs w:val="18"/>
                <w:lang w:val="es-ES_tradnl"/>
              </w:rPr>
              <w:t xml:space="preserve"> Línea </w:t>
            </w:r>
            <w:r>
              <w:rPr>
                <w:rFonts w:ascii="Arial" w:hAnsi="Arial" w:cs="Arial"/>
                <w:sz w:val="18"/>
                <w:szCs w:val="18"/>
                <w:lang w:val="es-ES_tradnl"/>
              </w:rPr>
              <w:t>p</w:t>
            </w:r>
            <w:r w:rsidRPr="0045382E">
              <w:rPr>
                <w:rFonts w:ascii="Arial" w:hAnsi="Arial" w:cs="Arial"/>
                <w:sz w:val="18"/>
                <w:szCs w:val="18"/>
                <w:lang w:val="es-ES_tradnl"/>
              </w:rPr>
              <w:t xml:space="preserve">ara Reducir </w:t>
            </w:r>
            <w:r>
              <w:rPr>
                <w:rFonts w:ascii="Arial" w:hAnsi="Arial" w:cs="Arial"/>
                <w:sz w:val="18"/>
                <w:szCs w:val="18"/>
                <w:lang w:val="es-ES_tradnl"/>
              </w:rPr>
              <w:t>l</w:t>
            </w:r>
            <w:r w:rsidRPr="0045382E">
              <w:rPr>
                <w:rFonts w:ascii="Arial" w:hAnsi="Arial" w:cs="Arial"/>
                <w:sz w:val="18"/>
                <w:szCs w:val="18"/>
                <w:lang w:val="es-ES_tradnl"/>
              </w:rPr>
              <w:t xml:space="preserve">a Brecha </w:t>
            </w:r>
            <w:r>
              <w:rPr>
                <w:rFonts w:ascii="Arial" w:hAnsi="Arial" w:cs="Arial"/>
                <w:sz w:val="18"/>
                <w:szCs w:val="18"/>
                <w:lang w:val="es-ES_tradnl"/>
              </w:rPr>
              <w:t>d</w:t>
            </w:r>
            <w:r w:rsidRPr="0045382E">
              <w:rPr>
                <w:rFonts w:ascii="Arial" w:hAnsi="Arial" w:cs="Arial"/>
                <w:sz w:val="18"/>
                <w:szCs w:val="18"/>
                <w:lang w:val="es-ES_tradnl"/>
              </w:rPr>
              <w:t xml:space="preserve">e Desempleo </w:t>
            </w:r>
            <w:r>
              <w:rPr>
                <w:rFonts w:ascii="Arial" w:hAnsi="Arial" w:cs="Arial"/>
                <w:sz w:val="18"/>
                <w:szCs w:val="18"/>
                <w:lang w:val="es-ES_tradnl"/>
              </w:rPr>
              <w:t>y</w:t>
            </w:r>
            <w:r w:rsidRPr="0045382E">
              <w:rPr>
                <w:rFonts w:ascii="Arial" w:hAnsi="Arial" w:cs="Arial"/>
                <w:sz w:val="18"/>
                <w:szCs w:val="18"/>
                <w:lang w:val="es-ES_tradnl"/>
              </w:rPr>
              <w:t xml:space="preserve"> Empoderar Económicamente </w:t>
            </w:r>
            <w:r>
              <w:rPr>
                <w:rFonts w:ascii="Arial" w:hAnsi="Arial" w:cs="Arial"/>
                <w:sz w:val="18"/>
                <w:szCs w:val="18"/>
                <w:lang w:val="es-ES_tradnl"/>
              </w:rPr>
              <w:t xml:space="preserve">a las </w:t>
            </w:r>
            <w:r w:rsidRPr="0045382E">
              <w:rPr>
                <w:rFonts w:ascii="Arial" w:hAnsi="Arial" w:cs="Arial"/>
                <w:sz w:val="18"/>
                <w:szCs w:val="18"/>
                <w:lang w:val="es-ES_tradnl"/>
              </w:rPr>
              <w:t xml:space="preserve">Mujeres </w:t>
            </w:r>
            <w:r>
              <w:rPr>
                <w:rFonts w:ascii="Arial" w:hAnsi="Arial" w:cs="Arial"/>
                <w:sz w:val="18"/>
                <w:szCs w:val="18"/>
                <w:lang w:val="es-ES_tradnl"/>
              </w:rPr>
              <w:t>en</w:t>
            </w:r>
            <w:r w:rsidRPr="0045382E">
              <w:rPr>
                <w:rFonts w:ascii="Arial" w:hAnsi="Arial" w:cs="Arial"/>
                <w:sz w:val="18"/>
                <w:szCs w:val="18"/>
                <w:lang w:val="es-ES_tradnl"/>
              </w:rPr>
              <w:t xml:space="preserve"> Guatemala</w:t>
            </w:r>
          </w:p>
        </w:tc>
      </w:tr>
      <w:tr w:rsidR="00B00546" w14:paraId="7601DFC8" w14:textId="77777777">
        <w:trPr>
          <w:jc w:val="center"/>
        </w:trPr>
        <w:tc>
          <w:tcPr>
            <w:tcW w:w="5250" w:type="dxa"/>
          </w:tcPr>
          <w:p w14:paraId="22E7C9FB" w14:textId="418DBA86"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sidR="00294805">
              <w:rPr>
                <w:rFonts w:ascii="Arial" w:hAnsi="Arial" w:cs="Arial"/>
                <w:sz w:val="18"/>
                <w:szCs w:val="18"/>
              </w:rPr>
              <w:t>Número</w:t>
            </w:r>
            <w:proofErr w:type="spellEnd"/>
            <w:r w:rsidR="00294805">
              <w:rPr>
                <w:rFonts w:ascii="Arial" w:hAnsi="Arial" w:cs="Arial"/>
                <w:sz w:val="18"/>
                <w:szCs w:val="18"/>
              </w:rPr>
              <w:t xml:space="preserve"> de la </w:t>
            </w:r>
            <w:r>
              <w:rPr>
                <w:rFonts w:ascii="Arial" w:hAnsi="Arial" w:cs="Arial"/>
                <w:sz w:val="18"/>
                <w:szCs w:val="18"/>
              </w:rPr>
              <w:t>TC</w:t>
            </w:r>
            <w:r>
              <w:rPr>
                <w:rFonts w:ascii="Arial" w:hAnsi="Arial" w:cs="Arial"/>
                <w:sz w:val="18"/>
                <w:szCs w:val="18"/>
              </w:rPr>
              <w:t>:</w:t>
            </w:r>
          </w:p>
        </w:tc>
        <w:tc>
          <w:tcPr>
            <w:tcW w:w="6750" w:type="dxa"/>
          </w:tcPr>
          <w:p w14:paraId="313C6BD7" w14:textId="77777777" w:rsidR="002F72FC" w:rsidRDefault="00CF12A4">
            <w:pPr>
              <w:spacing w:before="40" w:after="40"/>
            </w:pPr>
            <w:r>
              <w:rPr>
                <w:rFonts w:ascii="Arial" w:hAnsi="Arial" w:cs="Arial"/>
                <w:sz w:val="18"/>
                <w:szCs w:val="18"/>
              </w:rPr>
              <w:t>GU-T1303</w:t>
            </w:r>
          </w:p>
        </w:tc>
      </w:tr>
      <w:tr w:rsidR="00B00546" w14:paraId="24A921C4" w14:textId="77777777">
        <w:trPr>
          <w:jc w:val="center"/>
        </w:trPr>
        <w:tc>
          <w:tcPr>
            <w:tcW w:w="5250" w:type="dxa"/>
          </w:tcPr>
          <w:p w14:paraId="40F30334" w14:textId="5E223FB2"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r w:rsidR="00294805">
              <w:rPr>
                <w:rFonts w:ascii="Arial" w:hAnsi="Arial" w:cs="Arial"/>
                <w:sz w:val="18"/>
                <w:szCs w:val="18"/>
              </w:rPr>
              <w:t xml:space="preserve">Jefe de </w:t>
            </w:r>
            <w:proofErr w:type="spellStart"/>
            <w:r w:rsidR="00294805">
              <w:rPr>
                <w:rFonts w:ascii="Arial" w:hAnsi="Arial" w:cs="Arial"/>
                <w:sz w:val="18"/>
                <w:szCs w:val="18"/>
              </w:rPr>
              <w:t>equipo</w:t>
            </w:r>
            <w:proofErr w:type="spellEnd"/>
            <w:r w:rsidR="00294805">
              <w:rPr>
                <w:rFonts w:ascii="Arial" w:hAnsi="Arial" w:cs="Arial"/>
                <w:sz w:val="18"/>
                <w:szCs w:val="18"/>
              </w:rPr>
              <w:t xml:space="preserve"> </w:t>
            </w:r>
            <w:r>
              <w:rPr>
                <w:rFonts w:ascii="Arial" w:hAnsi="Arial" w:cs="Arial"/>
                <w:sz w:val="18"/>
                <w:szCs w:val="18"/>
              </w:rPr>
              <w:t>/</w:t>
            </w:r>
            <w:proofErr w:type="spellStart"/>
            <w:r>
              <w:rPr>
                <w:rFonts w:ascii="Arial" w:hAnsi="Arial" w:cs="Arial"/>
                <w:sz w:val="18"/>
                <w:szCs w:val="18"/>
              </w:rPr>
              <w:t>M</w:t>
            </w:r>
            <w:r w:rsidR="00294805">
              <w:rPr>
                <w:rFonts w:ascii="Arial" w:hAnsi="Arial" w:cs="Arial"/>
                <w:sz w:val="18"/>
                <w:szCs w:val="18"/>
              </w:rPr>
              <w:t>iembros</w:t>
            </w:r>
            <w:proofErr w:type="spellEnd"/>
            <w:r>
              <w:rPr>
                <w:rFonts w:ascii="Arial" w:hAnsi="Arial" w:cs="Arial"/>
                <w:sz w:val="18"/>
                <w:szCs w:val="18"/>
              </w:rPr>
              <w:t>:</w:t>
            </w:r>
          </w:p>
        </w:tc>
        <w:tc>
          <w:tcPr>
            <w:tcW w:w="6750" w:type="dxa"/>
          </w:tcPr>
          <w:p w14:paraId="45CEABFF" w14:textId="5D23CAD2" w:rsidR="002F72FC" w:rsidRDefault="00125B60" w:rsidP="00125B60">
            <w:pPr>
              <w:spacing w:before="40" w:after="40"/>
              <w:jc w:val="both"/>
            </w:pPr>
            <w:r>
              <w:rPr>
                <w:rFonts w:ascii="Arial" w:hAnsi="Arial" w:cs="Arial"/>
                <w:sz w:val="18"/>
                <w:szCs w:val="18"/>
              </w:rPr>
              <w:t xml:space="preserve">Yyannu Cruz, </w:t>
            </w:r>
            <w:r w:rsidR="00CF12A4">
              <w:rPr>
                <w:rFonts w:ascii="Arial" w:hAnsi="Arial" w:cs="Arial"/>
                <w:sz w:val="18"/>
                <w:szCs w:val="18"/>
              </w:rPr>
              <w:t>(SCL/LMK)</w:t>
            </w:r>
            <w:r w:rsidR="0045382E">
              <w:rPr>
                <w:rFonts w:ascii="Arial" w:hAnsi="Arial" w:cs="Arial"/>
                <w:sz w:val="18"/>
                <w:szCs w:val="18"/>
              </w:rPr>
              <w:t>,</w:t>
            </w:r>
            <w:r w:rsidR="00CF12A4">
              <w:rPr>
                <w:rFonts w:ascii="Arial" w:hAnsi="Arial" w:cs="Arial"/>
                <w:sz w:val="18"/>
                <w:szCs w:val="18"/>
              </w:rPr>
              <w:t xml:space="preserve"> </w:t>
            </w:r>
            <w:proofErr w:type="spellStart"/>
            <w:r w:rsidR="0045382E">
              <w:rPr>
                <w:rFonts w:ascii="Arial" w:hAnsi="Arial" w:cs="Arial"/>
                <w:sz w:val="18"/>
                <w:szCs w:val="18"/>
              </w:rPr>
              <w:t>jefa</w:t>
            </w:r>
            <w:proofErr w:type="spellEnd"/>
            <w:r w:rsidR="0045382E">
              <w:rPr>
                <w:rFonts w:ascii="Arial" w:hAnsi="Arial" w:cs="Arial"/>
                <w:sz w:val="18"/>
                <w:szCs w:val="18"/>
              </w:rPr>
              <w:t xml:space="preserve"> de </w:t>
            </w:r>
            <w:proofErr w:type="spellStart"/>
            <w:r w:rsidR="0045382E">
              <w:rPr>
                <w:rFonts w:ascii="Arial" w:hAnsi="Arial" w:cs="Arial"/>
                <w:sz w:val="18"/>
                <w:szCs w:val="18"/>
              </w:rPr>
              <w:t>equipo</w:t>
            </w:r>
            <w:proofErr w:type="spellEnd"/>
            <w:r w:rsidR="00CF12A4">
              <w:rPr>
                <w:rFonts w:ascii="Arial" w:hAnsi="Arial" w:cs="Arial"/>
                <w:sz w:val="18"/>
                <w:szCs w:val="18"/>
              </w:rPr>
              <w:t xml:space="preserve">; </w:t>
            </w:r>
            <w:r>
              <w:rPr>
                <w:rFonts w:ascii="Arial" w:hAnsi="Arial" w:cs="Arial"/>
                <w:sz w:val="18"/>
                <w:szCs w:val="18"/>
              </w:rPr>
              <w:t>Mingi Kang</w:t>
            </w:r>
            <w:r w:rsidR="00CF12A4">
              <w:rPr>
                <w:rFonts w:ascii="Arial" w:hAnsi="Arial" w:cs="Arial"/>
                <w:sz w:val="18"/>
                <w:szCs w:val="18"/>
              </w:rPr>
              <w:t xml:space="preserve"> (SCL/SCL); </w:t>
            </w:r>
            <w:r>
              <w:rPr>
                <w:rFonts w:ascii="Arial" w:hAnsi="Arial" w:cs="Arial"/>
                <w:sz w:val="18"/>
                <w:szCs w:val="18"/>
              </w:rPr>
              <w:t xml:space="preserve">César </w:t>
            </w:r>
            <w:proofErr w:type="spellStart"/>
            <w:r>
              <w:rPr>
                <w:rFonts w:ascii="Arial" w:hAnsi="Arial" w:cs="Arial"/>
                <w:sz w:val="18"/>
                <w:szCs w:val="18"/>
              </w:rPr>
              <w:t>Buenadicha</w:t>
            </w:r>
            <w:proofErr w:type="spellEnd"/>
            <w:r w:rsidR="00CF12A4">
              <w:rPr>
                <w:rFonts w:ascii="Arial" w:hAnsi="Arial" w:cs="Arial"/>
                <w:sz w:val="18"/>
                <w:szCs w:val="18"/>
              </w:rPr>
              <w:t xml:space="preserve"> (MIF/MSM);</w:t>
            </w:r>
            <w:r>
              <w:rPr>
                <w:rFonts w:ascii="Arial" w:hAnsi="Arial" w:cs="Arial"/>
                <w:sz w:val="18"/>
                <w:szCs w:val="18"/>
              </w:rPr>
              <w:t xml:space="preserve"> Ethel Muhlstein</w:t>
            </w:r>
            <w:r w:rsidR="00CF12A4">
              <w:rPr>
                <w:rFonts w:ascii="Arial" w:hAnsi="Arial" w:cs="Arial"/>
                <w:sz w:val="18"/>
                <w:szCs w:val="18"/>
              </w:rPr>
              <w:t xml:space="preserve"> (SCL/LMK); </w:t>
            </w:r>
            <w:r>
              <w:rPr>
                <w:rFonts w:ascii="Arial" w:hAnsi="Arial" w:cs="Arial"/>
                <w:sz w:val="18"/>
                <w:szCs w:val="18"/>
              </w:rPr>
              <w:t>y Mónica Lugo</w:t>
            </w:r>
            <w:r w:rsidR="00CF12A4">
              <w:rPr>
                <w:rFonts w:ascii="Arial" w:hAnsi="Arial" w:cs="Arial"/>
                <w:sz w:val="18"/>
                <w:szCs w:val="18"/>
              </w:rPr>
              <w:t xml:space="preserve"> (LEG/SGO)</w:t>
            </w:r>
            <w:r>
              <w:rPr>
                <w:rFonts w:ascii="Arial" w:hAnsi="Arial" w:cs="Arial"/>
                <w:sz w:val="18"/>
                <w:szCs w:val="18"/>
              </w:rPr>
              <w:t>.</w:t>
            </w:r>
          </w:p>
        </w:tc>
      </w:tr>
      <w:tr w:rsidR="00B00546" w14:paraId="389323E1" w14:textId="77777777">
        <w:trPr>
          <w:jc w:val="center"/>
        </w:trPr>
        <w:tc>
          <w:tcPr>
            <w:tcW w:w="5250" w:type="dxa"/>
          </w:tcPr>
          <w:p w14:paraId="078124AA" w14:textId="45C60B11" w:rsidR="002F72FC" w:rsidRPr="00294805" w:rsidRDefault="00CF12A4">
            <w:pPr>
              <w:spacing w:before="40" w:after="40"/>
              <w:ind w:left="115" w:hanging="115"/>
              <w:rPr>
                <w:lang w:val="es-ES_tradnl"/>
              </w:rPr>
            </w:pPr>
            <w:r w:rsidRPr="00294805">
              <w:rPr>
                <w:rFonts w:ascii="Arial" w:hAnsi="Arial" w:cs="Arial"/>
                <w:sz w:val="18"/>
                <w:szCs w:val="18"/>
                <w:lang w:val="es-ES_tradnl"/>
              </w:rPr>
              <w:t>▪</w:t>
            </w:r>
            <w:r w:rsidRPr="00294805">
              <w:rPr>
                <w:rFonts w:ascii="Arial" w:hAnsi="Arial" w:cs="Arial"/>
                <w:sz w:val="18"/>
                <w:szCs w:val="18"/>
                <w:lang w:val="es-ES_tradnl"/>
              </w:rPr>
              <w:t xml:space="preserve"> </w:t>
            </w:r>
            <w:r w:rsidR="00294805" w:rsidRPr="00A523B2">
              <w:rPr>
                <w:rFonts w:ascii="Arial" w:hAnsi="Arial" w:cs="Arial"/>
                <w:sz w:val="18"/>
                <w:szCs w:val="18"/>
                <w:lang w:val="es-ES"/>
              </w:rPr>
              <w:t>Indicar si es: Apoyo Operativo, Apoyo al Cliente, o Investigación y Difusión</w:t>
            </w:r>
            <w:r w:rsidR="00294805">
              <w:rPr>
                <w:rFonts w:ascii="Arial" w:hAnsi="Arial" w:cs="Arial"/>
                <w:sz w:val="18"/>
                <w:szCs w:val="18"/>
                <w:lang w:val="es-ES"/>
              </w:rPr>
              <w:t>:</w:t>
            </w:r>
          </w:p>
        </w:tc>
        <w:tc>
          <w:tcPr>
            <w:tcW w:w="6750" w:type="dxa"/>
          </w:tcPr>
          <w:p w14:paraId="006833AD" w14:textId="0AA6263D" w:rsidR="002F72FC" w:rsidRDefault="00294805">
            <w:pPr>
              <w:spacing w:before="40" w:after="40"/>
            </w:pPr>
            <w:proofErr w:type="spellStart"/>
            <w:r>
              <w:rPr>
                <w:rFonts w:ascii="Arial" w:hAnsi="Arial" w:cs="Arial"/>
                <w:sz w:val="18"/>
                <w:szCs w:val="18"/>
              </w:rPr>
              <w:t>Investigación</w:t>
            </w:r>
            <w:proofErr w:type="spellEnd"/>
            <w:r>
              <w:rPr>
                <w:rFonts w:ascii="Arial" w:hAnsi="Arial" w:cs="Arial"/>
                <w:sz w:val="18"/>
                <w:szCs w:val="18"/>
              </w:rPr>
              <w:t xml:space="preserve"> y </w:t>
            </w:r>
            <w:proofErr w:type="spellStart"/>
            <w:r>
              <w:rPr>
                <w:rFonts w:ascii="Arial" w:hAnsi="Arial" w:cs="Arial"/>
                <w:sz w:val="18"/>
                <w:szCs w:val="18"/>
              </w:rPr>
              <w:t>Difusión</w:t>
            </w:r>
            <w:proofErr w:type="spellEnd"/>
          </w:p>
        </w:tc>
      </w:tr>
      <w:tr w:rsidR="00B00546" w14:paraId="1FA05624" w14:textId="77777777">
        <w:trPr>
          <w:jc w:val="center"/>
        </w:trPr>
        <w:tc>
          <w:tcPr>
            <w:tcW w:w="5250" w:type="dxa"/>
          </w:tcPr>
          <w:p w14:paraId="7FD432C5" w14:textId="0EACBBBB" w:rsidR="002F72FC" w:rsidRPr="00294805" w:rsidRDefault="00CF12A4">
            <w:pPr>
              <w:spacing w:before="40" w:after="40"/>
              <w:ind w:left="115" w:hanging="115"/>
              <w:rPr>
                <w:lang w:val="es-ES_tradnl"/>
              </w:rPr>
            </w:pPr>
            <w:r w:rsidRPr="00294805">
              <w:rPr>
                <w:rFonts w:ascii="Arial" w:hAnsi="Arial" w:cs="Arial"/>
                <w:sz w:val="18"/>
                <w:szCs w:val="18"/>
                <w:lang w:val="es-ES_tradnl"/>
              </w:rPr>
              <w:t>▪</w:t>
            </w:r>
            <w:r w:rsidRPr="00294805">
              <w:rPr>
                <w:rFonts w:ascii="Arial" w:hAnsi="Arial" w:cs="Arial"/>
                <w:sz w:val="18"/>
                <w:szCs w:val="18"/>
                <w:lang w:val="es-ES_tradnl"/>
              </w:rPr>
              <w:t xml:space="preserve"> </w:t>
            </w:r>
            <w:r w:rsidR="00294805" w:rsidRPr="00294805">
              <w:rPr>
                <w:rFonts w:ascii="Arial" w:hAnsi="Arial" w:cs="Arial"/>
                <w:sz w:val="18"/>
                <w:szCs w:val="18"/>
                <w:lang w:val="es-ES_tradnl"/>
              </w:rPr>
              <w:t xml:space="preserve">Nombre y número de la operación apoyada por la </w:t>
            </w:r>
            <w:r w:rsidR="00294805">
              <w:rPr>
                <w:rFonts w:ascii="Arial" w:hAnsi="Arial" w:cs="Arial"/>
                <w:sz w:val="18"/>
                <w:szCs w:val="18"/>
                <w:lang w:val="es-ES_tradnl"/>
              </w:rPr>
              <w:t>CT</w:t>
            </w:r>
            <w:r w:rsidRPr="00294805">
              <w:rPr>
                <w:rFonts w:ascii="Arial" w:hAnsi="Arial" w:cs="Arial"/>
                <w:sz w:val="18"/>
                <w:szCs w:val="18"/>
                <w:lang w:val="es-ES_tradnl"/>
              </w:rPr>
              <w:t>:</w:t>
            </w:r>
          </w:p>
        </w:tc>
        <w:tc>
          <w:tcPr>
            <w:tcW w:w="6750" w:type="dxa"/>
          </w:tcPr>
          <w:p w14:paraId="0AACBB76" w14:textId="77777777" w:rsidR="002F72FC" w:rsidRDefault="00CF12A4">
            <w:pPr>
              <w:spacing w:before="40" w:after="40"/>
            </w:pPr>
            <w:r>
              <w:rPr>
                <w:rFonts w:ascii="Arial" w:hAnsi="Arial" w:cs="Arial"/>
                <w:sz w:val="18"/>
                <w:szCs w:val="18"/>
              </w:rPr>
              <w:t>N/A</w:t>
            </w:r>
          </w:p>
        </w:tc>
      </w:tr>
      <w:tr w:rsidR="00B00546" w14:paraId="32779F4C" w14:textId="77777777">
        <w:trPr>
          <w:jc w:val="center"/>
        </w:trPr>
        <w:tc>
          <w:tcPr>
            <w:tcW w:w="5250" w:type="dxa"/>
          </w:tcPr>
          <w:p w14:paraId="6515665D" w14:textId="7F71E340" w:rsidR="002F72FC" w:rsidRPr="00294805" w:rsidRDefault="00CF12A4">
            <w:pPr>
              <w:spacing w:before="40" w:after="40"/>
              <w:ind w:left="115" w:hanging="115"/>
              <w:rPr>
                <w:lang w:val="es-ES_tradnl"/>
              </w:rPr>
            </w:pPr>
            <w:r w:rsidRPr="00294805">
              <w:rPr>
                <w:rFonts w:ascii="Arial" w:hAnsi="Arial" w:cs="Arial"/>
                <w:sz w:val="18"/>
                <w:szCs w:val="18"/>
                <w:lang w:val="es-ES_tradnl"/>
              </w:rPr>
              <w:t>▪</w:t>
            </w:r>
            <w:r w:rsidRPr="00294805">
              <w:rPr>
                <w:rFonts w:ascii="Arial" w:hAnsi="Arial" w:cs="Arial"/>
                <w:sz w:val="18"/>
                <w:szCs w:val="18"/>
                <w:lang w:val="es-ES_tradnl"/>
              </w:rPr>
              <w:t xml:space="preserve"> </w:t>
            </w:r>
            <w:r w:rsidR="00294805" w:rsidRPr="00294805">
              <w:rPr>
                <w:rFonts w:ascii="Arial" w:hAnsi="Arial" w:cs="Arial"/>
                <w:sz w:val="18"/>
                <w:szCs w:val="18"/>
                <w:lang w:val="es-ES_tradnl"/>
              </w:rPr>
              <w:t>Fecha del Abstracto de CT</w:t>
            </w:r>
            <w:r w:rsidRPr="00294805">
              <w:rPr>
                <w:rFonts w:ascii="Arial" w:hAnsi="Arial" w:cs="Arial"/>
                <w:sz w:val="18"/>
                <w:szCs w:val="18"/>
                <w:lang w:val="es-ES_tradnl"/>
              </w:rPr>
              <w:t>:</w:t>
            </w:r>
          </w:p>
        </w:tc>
        <w:tc>
          <w:tcPr>
            <w:tcW w:w="6750" w:type="dxa"/>
          </w:tcPr>
          <w:p w14:paraId="0104DBF9" w14:textId="77777777" w:rsidR="002F72FC" w:rsidRDefault="00CF12A4">
            <w:pPr>
              <w:spacing w:before="40" w:after="40"/>
            </w:pPr>
            <w:r>
              <w:rPr>
                <w:rFonts w:ascii="Arial" w:hAnsi="Arial" w:cs="Arial"/>
                <w:sz w:val="18"/>
                <w:szCs w:val="18"/>
              </w:rPr>
              <w:t>12 Apr 2019</w:t>
            </w:r>
          </w:p>
        </w:tc>
      </w:tr>
      <w:tr w:rsidR="00B00546" w14:paraId="2E33BFE0" w14:textId="77777777">
        <w:trPr>
          <w:jc w:val="center"/>
        </w:trPr>
        <w:tc>
          <w:tcPr>
            <w:tcW w:w="5250" w:type="dxa"/>
          </w:tcPr>
          <w:p w14:paraId="3226F729" w14:textId="551885D0"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w:t>
            </w:r>
            <w:r w:rsidR="00294805">
              <w:rPr>
                <w:rFonts w:ascii="Arial" w:hAnsi="Arial" w:cs="Arial"/>
                <w:sz w:val="18"/>
                <w:szCs w:val="18"/>
              </w:rPr>
              <w:t>io</w:t>
            </w:r>
            <w:proofErr w:type="spellEnd"/>
            <w:r>
              <w:rPr>
                <w:rFonts w:ascii="Arial" w:hAnsi="Arial" w:cs="Arial"/>
                <w:sz w:val="18"/>
                <w:szCs w:val="18"/>
              </w:rPr>
              <w:t>:</w:t>
            </w:r>
          </w:p>
        </w:tc>
        <w:tc>
          <w:tcPr>
            <w:tcW w:w="6750" w:type="dxa"/>
          </w:tcPr>
          <w:p w14:paraId="1BE4A8FD" w14:textId="77777777" w:rsidR="002F72FC" w:rsidRDefault="00CF12A4">
            <w:pPr>
              <w:spacing w:before="40" w:after="40"/>
            </w:pPr>
            <w:r>
              <w:rPr>
                <w:rFonts w:ascii="Arial" w:hAnsi="Arial" w:cs="Arial"/>
                <w:sz w:val="18"/>
                <w:szCs w:val="18"/>
              </w:rPr>
              <w:t>Guatemala</w:t>
            </w:r>
          </w:p>
        </w:tc>
      </w:tr>
      <w:tr w:rsidR="00B00546" w:rsidRPr="00B00546" w14:paraId="58DE8E36" w14:textId="77777777">
        <w:trPr>
          <w:jc w:val="center"/>
        </w:trPr>
        <w:tc>
          <w:tcPr>
            <w:tcW w:w="5250" w:type="dxa"/>
          </w:tcPr>
          <w:p w14:paraId="1254BAEC" w14:textId="227D06FE"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sidR="00B00546">
              <w:rPr>
                <w:rFonts w:ascii="Arial" w:hAnsi="Arial" w:cs="Arial"/>
                <w:sz w:val="18"/>
                <w:szCs w:val="18"/>
              </w:rPr>
              <w:t>Agencia</w:t>
            </w:r>
            <w:proofErr w:type="spellEnd"/>
            <w:r w:rsidR="00B00546">
              <w:rPr>
                <w:rFonts w:ascii="Arial" w:hAnsi="Arial" w:cs="Arial"/>
                <w:sz w:val="18"/>
                <w:szCs w:val="18"/>
              </w:rPr>
              <w:t xml:space="preserve"> </w:t>
            </w:r>
            <w:proofErr w:type="spellStart"/>
            <w:r w:rsidR="00B00546">
              <w:rPr>
                <w:rFonts w:ascii="Arial" w:hAnsi="Arial" w:cs="Arial"/>
                <w:sz w:val="18"/>
                <w:szCs w:val="18"/>
              </w:rPr>
              <w:t>ejecutora</w:t>
            </w:r>
            <w:proofErr w:type="spellEnd"/>
            <w:r>
              <w:rPr>
                <w:rFonts w:ascii="Arial" w:hAnsi="Arial" w:cs="Arial"/>
                <w:sz w:val="18"/>
                <w:szCs w:val="18"/>
              </w:rPr>
              <w:t>:</w:t>
            </w:r>
          </w:p>
        </w:tc>
        <w:tc>
          <w:tcPr>
            <w:tcW w:w="6750" w:type="dxa"/>
          </w:tcPr>
          <w:p w14:paraId="5793B6F4" w14:textId="2599801B" w:rsidR="002F72FC" w:rsidRPr="00B00546" w:rsidRDefault="00B00546">
            <w:pPr>
              <w:spacing w:before="40" w:after="40"/>
              <w:rPr>
                <w:lang w:val="es-ES_tradnl"/>
              </w:rPr>
            </w:pPr>
            <w:r w:rsidRPr="00B00546">
              <w:rPr>
                <w:rFonts w:ascii="Arial" w:hAnsi="Arial" w:cs="Arial"/>
                <w:sz w:val="18"/>
                <w:szCs w:val="18"/>
                <w:lang w:val="es-ES_tradnl"/>
              </w:rPr>
              <w:t>Banco Interamericano de Desarrollo, Sector Social</w:t>
            </w:r>
            <w:r w:rsidR="00125B60" w:rsidRPr="00B00546">
              <w:rPr>
                <w:rFonts w:ascii="Arial" w:hAnsi="Arial" w:cs="Arial"/>
                <w:sz w:val="18"/>
                <w:szCs w:val="18"/>
                <w:lang w:val="es-ES_tradnl"/>
              </w:rPr>
              <w:t xml:space="preserve">, </w:t>
            </w:r>
            <w:r w:rsidRPr="00B00546">
              <w:rPr>
                <w:rFonts w:ascii="Arial" w:hAnsi="Arial" w:cs="Arial"/>
                <w:sz w:val="18"/>
                <w:szCs w:val="18"/>
                <w:lang w:val="es-ES_tradnl"/>
              </w:rPr>
              <w:t>D</w:t>
            </w:r>
            <w:r>
              <w:rPr>
                <w:rFonts w:ascii="Arial" w:hAnsi="Arial" w:cs="Arial"/>
                <w:sz w:val="18"/>
                <w:szCs w:val="18"/>
                <w:lang w:val="es-ES_tradnl"/>
              </w:rPr>
              <w:t xml:space="preserve">ivisión de Mercados Laborales </w:t>
            </w:r>
            <w:r w:rsidR="00125B60" w:rsidRPr="00B00546">
              <w:rPr>
                <w:rFonts w:ascii="Arial" w:hAnsi="Arial" w:cs="Arial"/>
                <w:sz w:val="18"/>
                <w:szCs w:val="18"/>
                <w:lang w:val="es-ES_tradnl"/>
              </w:rPr>
              <w:t>(SCL/LMK)</w:t>
            </w:r>
          </w:p>
        </w:tc>
      </w:tr>
      <w:tr w:rsidR="00B00546" w14:paraId="33B1C0A5" w14:textId="77777777">
        <w:trPr>
          <w:jc w:val="center"/>
        </w:trPr>
        <w:tc>
          <w:tcPr>
            <w:tcW w:w="5250" w:type="dxa"/>
          </w:tcPr>
          <w:p w14:paraId="6D028E6C" w14:textId="7043EC07"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sidR="00B00546">
              <w:rPr>
                <w:rFonts w:ascii="Arial" w:hAnsi="Arial" w:cs="Arial"/>
                <w:sz w:val="18"/>
                <w:szCs w:val="18"/>
              </w:rPr>
              <w:t>Financiamiento</w:t>
            </w:r>
            <w:proofErr w:type="spellEnd"/>
            <w:r w:rsidR="00B00546">
              <w:rPr>
                <w:rFonts w:ascii="Arial" w:hAnsi="Arial" w:cs="Arial"/>
                <w:sz w:val="18"/>
                <w:szCs w:val="18"/>
              </w:rPr>
              <w:t xml:space="preserve"> </w:t>
            </w:r>
            <w:proofErr w:type="spellStart"/>
            <w:r w:rsidR="00B00546">
              <w:rPr>
                <w:rFonts w:ascii="Arial" w:hAnsi="Arial" w:cs="Arial"/>
                <w:sz w:val="18"/>
                <w:szCs w:val="18"/>
              </w:rPr>
              <w:t>Solicitado</w:t>
            </w:r>
            <w:proofErr w:type="spellEnd"/>
            <w:r w:rsidR="00B00546">
              <w:rPr>
                <w:rFonts w:ascii="Arial" w:hAnsi="Arial" w:cs="Arial"/>
                <w:sz w:val="18"/>
                <w:szCs w:val="18"/>
              </w:rPr>
              <w:t xml:space="preserve"> del BID</w:t>
            </w:r>
            <w:r>
              <w:rPr>
                <w:rFonts w:ascii="Arial" w:hAnsi="Arial" w:cs="Arial"/>
                <w:sz w:val="18"/>
                <w:szCs w:val="18"/>
              </w:rPr>
              <w:t>:</w:t>
            </w:r>
          </w:p>
        </w:tc>
        <w:tc>
          <w:tcPr>
            <w:tcW w:w="6750" w:type="dxa"/>
          </w:tcPr>
          <w:p w14:paraId="161EB927" w14:textId="2B6F994C" w:rsidR="002F72FC" w:rsidRDefault="00CF12A4">
            <w:pPr>
              <w:bidi/>
              <w:spacing w:before="40" w:after="40"/>
            </w:pPr>
            <w:r>
              <w:rPr>
                <w:rFonts w:ascii="Arial" w:hAnsi="Arial" w:cs="Arial"/>
                <w:sz w:val="18"/>
                <w:szCs w:val="18"/>
              </w:rPr>
              <w:t>$ 250,000</w:t>
            </w:r>
          </w:p>
        </w:tc>
      </w:tr>
      <w:tr w:rsidR="00B00546" w14:paraId="3B25E6D3" w14:textId="77777777">
        <w:trPr>
          <w:jc w:val="center"/>
        </w:trPr>
        <w:tc>
          <w:tcPr>
            <w:tcW w:w="5250" w:type="dxa"/>
          </w:tcPr>
          <w:p w14:paraId="45384B9D" w14:textId="5539EB09"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sidR="00B00546">
              <w:rPr>
                <w:rFonts w:ascii="Arial" w:hAnsi="Arial" w:cs="Arial"/>
                <w:sz w:val="18"/>
                <w:szCs w:val="18"/>
              </w:rPr>
              <w:t>Contrapartida</w:t>
            </w:r>
            <w:proofErr w:type="spellEnd"/>
            <w:r w:rsidR="00B00546">
              <w:rPr>
                <w:rFonts w:ascii="Arial" w:hAnsi="Arial" w:cs="Arial"/>
                <w:sz w:val="18"/>
                <w:szCs w:val="18"/>
              </w:rPr>
              <w:t xml:space="preserve"> </w:t>
            </w:r>
            <w:r>
              <w:rPr>
                <w:rFonts w:ascii="Arial" w:hAnsi="Arial" w:cs="Arial"/>
                <w:sz w:val="18"/>
                <w:szCs w:val="18"/>
              </w:rPr>
              <w:t>Local</w:t>
            </w:r>
            <w:r>
              <w:rPr>
                <w:rFonts w:ascii="Arial" w:hAnsi="Arial" w:cs="Arial"/>
                <w:sz w:val="18"/>
                <w:szCs w:val="18"/>
              </w:rPr>
              <w:t>:</w:t>
            </w:r>
          </w:p>
        </w:tc>
        <w:tc>
          <w:tcPr>
            <w:tcW w:w="6750" w:type="dxa"/>
          </w:tcPr>
          <w:p w14:paraId="1BB99F6D" w14:textId="0A136371" w:rsidR="002F72FC" w:rsidRDefault="00CF12A4">
            <w:pPr>
              <w:bidi/>
              <w:spacing w:before="40" w:after="40"/>
            </w:pPr>
            <w:r>
              <w:rPr>
                <w:rFonts w:ascii="Arial" w:hAnsi="Arial" w:cs="Arial"/>
                <w:sz w:val="18"/>
                <w:szCs w:val="18"/>
              </w:rPr>
              <w:t>$ 0</w:t>
            </w:r>
          </w:p>
        </w:tc>
      </w:tr>
      <w:tr w:rsidR="00B00546" w14:paraId="366DE85C" w14:textId="77777777">
        <w:trPr>
          <w:jc w:val="center"/>
        </w:trPr>
        <w:tc>
          <w:tcPr>
            <w:tcW w:w="5250" w:type="dxa"/>
          </w:tcPr>
          <w:p w14:paraId="3814F868" w14:textId="7BDA5964" w:rsidR="002F72FC" w:rsidRPr="00B00546" w:rsidRDefault="00CF12A4">
            <w:pPr>
              <w:spacing w:before="40" w:after="40"/>
              <w:ind w:left="115" w:hanging="115"/>
              <w:rPr>
                <w:lang w:val="es-ES_tradnl"/>
              </w:rPr>
            </w:pPr>
            <w:r w:rsidRPr="00B00546">
              <w:rPr>
                <w:rFonts w:ascii="Arial" w:hAnsi="Arial" w:cs="Arial"/>
                <w:sz w:val="18"/>
                <w:szCs w:val="18"/>
                <w:lang w:val="es-ES_tradnl"/>
              </w:rPr>
              <w:t>▪</w:t>
            </w:r>
            <w:r w:rsidRPr="00B00546">
              <w:rPr>
                <w:rFonts w:ascii="Arial" w:hAnsi="Arial" w:cs="Arial"/>
                <w:sz w:val="18"/>
                <w:szCs w:val="18"/>
                <w:lang w:val="es-ES_tradnl"/>
              </w:rPr>
              <w:t xml:space="preserve"> </w:t>
            </w:r>
            <w:r w:rsidR="00B00546" w:rsidRPr="00B00546">
              <w:rPr>
                <w:rFonts w:ascii="Arial" w:hAnsi="Arial" w:cs="Arial"/>
                <w:sz w:val="18"/>
                <w:szCs w:val="18"/>
                <w:lang w:val="es-ES_tradnl"/>
              </w:rPr>
              <w:t>Períodos de ejecución y dese</w:t>
            </w:r>
            <w:r w:rsidR="00B00546">
              <w:rPr>
                <w:rFonts w:ascii="Arial" w:hAnsi="Arial" w:cs="Arial"/>
                <w:sz w:val="18"/>
                <w:szCs w:val="18"/>
                <w:lang w:val="es-ES_tradnl"/>
              </w:rPr>
              <w:t>mbolso</w:t>
            </w:r>
            <w:r w:rsidRPr="00B00546">
              <w:rPr>
                <w:rFonts w:ascii="Arial" w:hAnsi="Arial" w:cs="Arial"/>
                <w:sz w:val="18"/>
                <w:szCs w:val="18"/>
                <w:lang w:val="es-ES_tradnl"/>
              </w:rPr>
              <w:t>:</w:t>
            </w:r>
          </w:p>
        </w:tc>
        <w:tc>
          <w:tcPr>
            <w:tcW w:w="6750" w:type="dxa"/>
          </w:tcPr>
          <w:p w14:paraId="178A79C3" w14:textId="364FF7F6" w:rsidR="002F72FC" w:rsidRDefault="00CF12A4">
            <w:pPr>
              <w:bidi/>
              <w:spacing w:before="40" w:after="40"/>
            </w:pPr>
            <w:r>
              <w:rPr>
                <w:rFonts w:ascii="Arial" w:hAnsi="Arial" w:cs="Arial"/>
                <w:sz w:val="18"/>
                <w:szCs w:val="18"/>
              </w:rPr>
              <w:t xml:space="preserve">18 </w:t>
            </w:r>
            <w:proofErr w:type="spellStart"/>
            <w:r>
              <w:rPr>
                <w:rFonts w:ascii="Arial" w:hAnsi="Arial" w:cs="Arial"/>
                <w:sz w:val="18"/>
                <w:szCs w:val="18"/>
              </w:rPr>
              <w:t>m</w:t>
            </w:r>
            <w:r w:rsidR="00B00546">
              <w:rPr>
                <w:rFonts w:ascii="Arial" w:hAnsi="Arial" w:cs="Arial"/>
                <w:sz w:val="18"/>
                <w:szCs w:val="18"/>
              </w:rPr>
              <w:t>eses</w:t>
            </w:r>
            <w:proofErr w:type="spellEnd"/>
          </w:p>
        </w:tc>
      </w:tr>
      <w:tr w:rsidR="00B00546" w:rsidRPr="00B00546" w14:paraId="76225D3D" w14:textId="77777777">
        <w:trPr>
          <w:jc w:val="center"/>
        </w:trPr>
        <w:tc>
          <w:tcPr>
            <w:tcW w:w="5250" w:type="dxa"/>
          </w:tcPr>
          <w:p w14:paraId="3177E5F1" w14:textId="54146C55" w:rsidR="002F72FC" w:rsidRDefault="00CF12A4">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w:t>
            </w:r>
            <w:r w:rsidR="00B00546">
              <w:rPr>
                <w:rFonts w:ascii="Arial" w:hAnsi="Arial" w:cs="Arial"/>
                <w:sz w:val="18"/>
                <w:szCs w:val="18"/>
              </w:rPr>
              <w:t>ipos</w:t>
            </w:r>
            <w:proofErr w:type="spellEnd"/>
            <w:r w:rsidR="00B00546">
              <w:rPr>
                <w:rFonts w:ascii="Arial" w:hAnsi="Arial" w:cs="Arial"/>
                <w:sz w:val="18"/>
                <w:szCs w:val="18"/>
              </w:rPr>
              <w:t xml:space="preserve"> de </w:t>
            </w:r>
            <w:proofErr w:type="spellStart"/>
            <w:r w:rsidR="00B00546">
              <w:rPr>
                <w:rFonts w:ascii="Arial" w:hAnsi="Arial" w:cs="Arial"/>
                <w:sz w:val="18"/>
                <w:szCs w:val="18"/>
              </w:rPr>
              <w:t>consultores</w:t>
            </w:r>
            <w:proofErr w:type="spellEnd"/>
            <w:r w:rsidR="00B00546">
              <w:rPr>
                <w:rFonts w:ascii="Arial" w:hAnsi="Arial" w:cs="Arial"/>
                <w:sz w:val="18"/>
                <w:szCs w:val="18"/>
              </w:rPr>
              <w:t>:</w:t>
            </w:r>
          </w:p>
        </w:tc>
        <w:tc>
          <w:tcPr>
            <w:tcW w:w="6750" w:type="dxa"/>
          </w:tcPr>
          <w:p w14:paraId="5FBD2431" w14:textId="4045FBA5" w:rsidR="002F72FC" w:rsidRPr="00B00546" w:rsidRDefault="00B00546">
            <w:pPr>
              <w:spacing w:before="40" w:after="40"/>
              <w:rPr>
                <w:lang w:val="es-ES_tradnl"/>
              </w:rPr>
            </w:pPr>
            <w:r w:rsidRPr="00B00546">
              <w:rPr>
                <w:rFonts w:ascii="Arial" w:hAnsi="Arial" w:cs="Arial"/>
                <w:sz w:val="18"/>
                <w:szCs w:val="18"/>
                <w:lang w:val="es-ES_tradnl"/>
              </w:rPr>
              <w:t>Consultores individuales y firmas consultoras</w:t>
            </w:r>
          </w:p>
        </w:tc>
      </w:tr>
      <w:tr w:rsidR="00B00546" w14:paraId="1056478C" w14:textId="77777777">
        <w:trPr>
          <w:jc w:val="center"/>
        </w:trPr>
        <w:tc>
          <w:tcPr>
            <w:tcW w:w="5250" w:type="dxa"/>
          </w:tcPr>
          <w:p w14:paraId="1F5FED84" w14:textId="136C6F84" w:rsidR="002F72FC" w:rsidRDefault="00CF12A4">
            <w:pPr>
              <w:spacing w:before="40" w:after="40"/>
              <w:ind w:left="115" w:hanging="115"/>
            </w:pPr>
            <w:r>
              <w:rPr>
                <w:rFonts w:ascii="Arial" w:hAnsi="Arial" w:cs="Arial"/>
                <w:sz w:val="18"/>
                <w:szCs w:val="18"/>
              </w:rPr>
              <w:t>▪</w:t>
            </w:r>
            <w:r w:rsidR="00B00546">
              <w:rPr>
                <w:rFonts w:ascii="Arial" w:hAnsi="Arial" w:cs="Arial"/>
                <w:sz w:val="18"/>
                <w:szCs w:val="18"/>
              </w:rPr>
              <w:t xml:space="preserve"> Unidad de </w:t>
            </w:r>
            <w:proofErr w:type="spellStart"/>
            <w:r w:rsidR="00B00546">
              <w:rPr>
                <w:rFonts w:ascii="Arial" w:hAnsi="Arial" w:cs="Arial"/>
                <w:sz w:val="18"/>
                <w:szCs w:val="18"/>
              </w:rPr>
              <w:t>Preparación</w:t>
            </w:r>
            <w:proofErr w:type="spellEnd"/>
            <w:r>
              <w:rPr>
                <w:rFonts w:ascii="Arial" w:hAnsi="Arial" w:cs="Arial"/>
                <w:sz w:val="18"/>
                <w:szCs w:val="18"/>
              </w:rPr>
              <w:t>:</w:t>
            </w:r>
          </w:p>
        </w:tc>
        <w:tc>
          <w:tcPr>
            <w:tcW w:w="6750" w:type="dxa"/>
          </w:tcPr>
          <w:p w14:paraId="3E279A46" w14:textId="6C687410" w:rsidR="002F72FC" w:rsidRDefault="00B00546">
            <w:pPr>
              <w:spacing w:before="40" w:after="40"/>
            </w:pPr>
            <w:r>
              <w:rPr>
                <w:rFonts w:ascii="Arial" w:hAnsi="Arial" w:cs="Arial"/>
                <w:sz w:val="18"/>
                <w:szCs w:val="18"/>
              </w:rPr>
              <w:t xml:space="preserve">División de </w:t>
            </w:r>
            <w:proofErr w:type="spellStart"/>
            <w:r>
              <w:rPr>
                <w:rFonts w:ascii="Arial" w:hAnsi="Arial" w:cs="Arial"/>
                <w:sz w:val="18"/>
                <w:szCs w:val="18"/>
              </w:rPr>
              <w:t>Mercados</w:t>
            </w:r>
            <w:proofErr w:type="spellEnd"/>
            <w:r>
              <w:rPr>
                <w:rFonts w:ascii="Arial" w:hAnsi="Arial" w:cs="Arial"/>
                <w:sz w:val="18"/>
                <w:szCs w:val="18"/>
              </w:rPr>
              <w:t xml:space="preserve"> </w:t>
            </w:r>
            <w:proofErr w:type="spellStart"/>
            <w:r>
              <w:rPr>
                <w:rFonts w:ascii="Arial" w:hAnsi="Arial" w:cs="Arial"/>
                <w:sz w:val="18"/>
                <w:szCs w:val="18"/>
              </w:rPr>
              <w:t>Laborales</w:t>
            </w:r>
            <w:proofErr w:type="spellEnd"/>
          </w:p>
        </w:tc>
      </w:tr>
      <w:tr w:rsidR="00B00546" w14:paraId="651E5D48" w14:textId="77777777">
        <w:trPr>
          <w:jc w:val="center"/>
        </w:trPr>
        <w:tc>
          <w:tcPr>
            <w:tcW w:w="5250" w:type="dxa"/>
          </w:tcPr>
          <w:p w14:paraId="590390B6" w14:textId="12820EC0" w:rsidR="002F72FC" w:rsidRPr="00B00546" w:rsidRDefault="00CF12A4">
            <w:pPr>
              <w:spacing w:before="40" w:after="40"/>
              <w:ind w:left="115" w:hanging="115"/>
              <w:rPr>
                <w:lang w:val="es-ES_tradnl"/>
              </w:rPr>
            </w:pPr>
            <w:r w:rsidRPr="00B00546">
              <w:rPr>
                <w:rFonts w:ascii="Arial" w:hAnsi="Arial" w:cs="Arial"/>
                <w:sz w:val="18"/>
                <w:szCs w:val="18"/>
                <w:lang w:val="es-ES_tradnl"/>
              </w:rPr>
              <w:t>▪</w:t>
            </w:r>
            <w:r w:rsidRPr="00B00546">
              <w:rPr>
                <w:rFonts w:ascii="Arial" w:hAnsi="Arial" w:cs="Arial"/>
                <w:sz w:val="18"/>
                <w:szCs w:val="18"/>
                <w:lang w:val="es-ES_tradnl"/>
              </w:rPr>
              <w:t xml:space="preserve"> Uni</w:t>
            </w:r>
            <w:r w:rsidR="00B00546" w:rsidRPr="00B00546">
              <w:rPr>
                <w:rFonts w:ascii="Arial" w:hAnsi="Arial" w:cs="Arial"/>
                <w:sz w:val="18"/>
                <w:szCs w:val="18"/>
                <w:lang w:val="es-ES_tradnl"/>
              </w:rPr>
              <w:t>dad Responsable de Desembolso (UDR)</w:t>
            </w:r>
            <w:r w:rsidRPr="00B00546">
              <w:rPr>
                <w:rFonts w:ascii="Arial" w:hAnsi="Arial" w:cs="Arial"/>
                <w:sz w:val="18"/>
                <w:szCs w:val="18"/>
                <w:lang w:val="es-ES_tradnl"/>
              </w:rPr>
              <w:t>:</w:t>
            </w:r>
          </w:p>
        </w:tc>
        <w:tc>
          <w:tcPr>
            <w:tcW w:w="6750" w:type="dxa"/>
          </w:tcPr>
          <w:p w14:paraId="78D38190" w14:textId="505344B4" w:rsidR="002F72FC" w:rsidRDefault="00B00546">
            <w:pPr>
              <w:spacing w:before="40" w:after="40"/>
            </w:pPr>
            <w:r>
              <w:rPr>
                <w:rFonts w:ascii="Arial" w:hAnsi="Arial" w:cs="Arial"/>
                <w:sz w:val="18"/>
                <w:szCs w:val="18"/>
              </w:rPr>
              <w:t xml:space="preserve">División de </w:t>
            </w:r>
            <w:proofErr w:type="spellStart"/>
            <w:r>
              <w:rPr>
                <w:rFonts w:ascii="Arial" w:hAnsi="Arial" w:cs="Arial"/>
                <w:sz w:val="18"/>
                <w:szCs w:val="18"/>
              </w:rPr>
              <w:t>Mercados</w:t>
            </w:r>
            <w:proofErr w:type="spellEnd"/>
            <w:r>
              <w:rPr>
                <w:rFonts w:ascii="Arial" w:hAnsi="Arial" w:cs="Arial"/>
                <w:sz w:val="18"/>
                <w:szCs w:val="18"/>
              </w:rPr>
              <w:t xml:space="preserve"> </w:t>
            </w:r>
            <w:proofErr w:type="spellStart"/>
            <w:r>
              <w:rPr>
                <w:rFonts w:ascii="Arial" w:hAnsi="Arial" w:cs="Arial"/>
                <w:sz w:val="18"/>
                <w:szCs w:val="18"/>
              </w:rPr>
              <w:t>Laborales</w:t>
            </w:r>
            <w:proofErr w:type="spellEnd"/>
          </w:p>
        </w:tc>
      </w:tr>
      <w:tr w:rsidR="00B00546" w14:paraId="4C0A6652" w14:textId="77777777">
        <w:trPr>
          <w:jc w:val="center"/>
        </w:trPr>
        <w:tc>
          <w:tcPr>
            <w:tcW w:w="5250" w:type="dxa"/>
          </w:tcPr>
          <w:p w14:paraId="5614BB31" w14:textId="56BE6BF3" w:rsidR="00125B60" w:rsidRPr="00B00546" w:rsidRDefault="00CF12A4">
            <w:pPr>
              <w:spacing w:before="40" w:after="40"/>
              <w:rPr>
                <w:rFonts w:ascii="Arial" w:hAnsi="Arial" w:cs="Arial"/>
                <w:sz w:val="18"/>
                <w:szCs w:val="18"/>
                <w:lang w:val="es-ES_tradnl"/>
              </w:rPr>
            </w:pPr>
            <w:r w:rsidRPr="00B00546">
              <w:rPr>
                <w:rFonts w:ascii="Arial" w:hAnsi="Arial" w:cs="Arial"/>
                <w:sz w:val="18"/>
                <w:szCs w:val="18"/>
                <w:lang w:val="es-ES_tradnl"/>
              </w:rPr>
              <w:t>▪</w:t>
            </w:r>
            <w:r w:rsidRPr="00B00546">
              <w:rPr>
                <w:rFonts w:ascii="Arial" w:hAnsi="Arial" w:cs="Arial"/>
                <w:sz w:val="18"/>
                <w:szCs w:val="18"/>
                <w:lang w:val="es-ES_tradnl"/>
              </w:rPr>
              <w:t xml:space="preserve"> </w:t>
            </w:r>
            <w:r w:rsidR="00B00546" w:rsidRPr="00B00546">
              <w:rPr>
                <w:rFonts w:ascii="Arial" w:hAnsi="Arial" w:cs="Arial"/>
                <w:sz w:val="18"/>
                <w:szCs w:val="18"/>
                <w:lang w:val="es-ES_tradnl"/>
              </w:rPr>
              <w:t>C</w:t>
            </w:r>
            <w:r w:rsidRPr="00B00546">
              <w:rPr>
                <w:rFonts w:ascii="Arial" w:hAnsi="Arial" w:cs="Arial"/>
                <w:sz w:val="18"/>
                <w:szCs w:val="18"/>
                <w:lang w:val="es-ES_tradnl"/>
              </w:rPr>
              <w:t>T</w:t>
            </w:r>
            <w:r w:rsidR="00B00546" w:rsidRPr="00B00546">
              <w:rPr>
                <w:rFonts w:ascii="Arial" w:hAnsi="Arial" w:cs="Arial"/>
                <w:sz w:val="18"/>
                <w:szCs w:val="18"/>
                <w:lang w:val="es-ES_tradnl"/>
              </w:rPr>
              <w:t xml:space="preserve"> incluida en la Estrategia de País</w:t>
            </w:r>
            <w:r w:rsidRPr="00B00546">
              <w:rPr>
                <w:rFonts w:ascii="Arial" w:hAnsi="Arial" w:cs="Arial"/>
                <w:sz w:val="18"/>
                <w:szCs w:val="18"/>
                <w:lang w:val="es-ES_tradnl"/>
              </w:rPr>
              <w:t>:</w:t>
            </w:r>
          </w:p>
          <w:p w14:paraId="58ED899E" w14:textId="6ED20BC4" w:rsidR="002F72FC" w:rsidRDefault="00CF12A4">
            <w:pPr>
              <w:spacing w:before="40" w:after="40"/>
            </w:pPr>
            <w:r>
              <w:rPr>
                <w:rFonts w:ascii="Arial" w:hAnsi="Arial" w:cs="Arial"/>
                <w:sz w:val="18"/>
                <w:szCs w:val="18"/>
              </w:rPr>
              <w:t>▪</w:t>
            </w:r>
            <w:r>
              <w:rPr>
                <w:rFonts w:ascii="Arial" w:hAnsi="Arial" w:cs="Arial"/>
                <w:sz w:val="18"/>
                <w:szCs w:val="18"/>
              </w:rPr>
              <w:t xml:space="preserve"> </w:t>
            </w:r>
            <w:r w:rsidR="00B00546">
              <w:rPr>
                <w:rFonts w:ascii="Arial" w:hAnsi="Arial" w:cs="Arial"/>
                <w:sz w:val="18"/>
                <w:szCs w:val="18"/>
              </w:rPr>
              <w:t>C</w:t>
            </w:r>
            <w:r>
              <w:rPr>
                <w:rFonts w:ascii="Arial" w:hAnsi="Arial" w:cs="Arial"/>
                <w:sz w:val="18"/>
                <w:szCs w:val="18"/>
              </w:rPr>
              <w:t>T</w:t>
            </w:r>
            <w:r>
              <w:rPr>
                <w:rFonts w:ascii="Arial" w:hAnsi="Arial" w:cs="Arial"/>
                <w:sz w:val="18"/>
                <w:szCs w:val="18"/>
              </w:rPr>
              <w:t xml:space="preserve"> </w:t>
            </w:r>
            <w:proofErr w:type="spellStart"/>
            <w:r>
              <w:rPr>
                <w:rFonts w:ascii="Arial" w:hAnsi="Arial" w:cs="Arial"/>
                <w:sz w:val="18"/>
                <w:szCs w:val="18"/>
              </w:rPr>
              <w:t>inclu</w:t>
            </w:r>
            <w:r w:rsidR="00B00546">
              <w:rPr>
                <w:rFonts w:ascii="Arial" w:hAnsi="Arial" w:cs="Arial"/>
                <w:sz w:val="18"/>
                <w:szCs w:val="18"/>
              </w:rPr>
              <w:t>ida</w:t>
            </w:r>
            <w:proofErr w:type="spellEnd"/>
            <w:r w:rsidR="00B00546">
              <w:rPr>
                <w:rFonts w:ascii="Arial" w:hAnsi="Arial" w:cs="Arial"/>
                <w:sz w:val="18"/>
                <w:szCs w:val="18"/>
              </w:rPr>
              <w:t xml:space="preserve"> </w:t>
            </w:r>
            <w:proofErr w:type="spellStart"/>
            <w:r w:rsidR="00B00546">
              <w:rPr>
                <w:rFonts w:ascii="Arial" w:hAnsi="Arial" w:cs="Arial"/>
                <w:sz w:val="18"/>
                <w:szCs w:val="18"/>
              </w:rPr>
              <w:t>en</w:t>
            </w:r>
            <w:proofErr w:type="spellEnd"/>
            <w:r w:rsidR="00B00546">
              <w:rPr>
                <w:rFonts w:ascii="Arial" w:hAnsi="Arial" w:cs="Arial"/>
                <w:sz w:val="18"/>
                <w:szCs w:val="18"/>
              </w:rPr>
              <w:t xml:space="preserve"> </w:t>
            </w:r>
            <w:r>
              <w:rPr>
                <w:rFonts w:ascii="Arial" w:hAnsi="Arial" w:cs="Arial"/>
                <w:sz w:val="18"/>
                <w:szCs w:val="18"/>
              </w:rPr>
              <w:t>CPD</w:t>
            </w:r>
            <w:r>
              <w:rPr>
                <w:rFonts w:ascii="Arial" w:hAnsi="Arial" w:cs="Arial"/>
                <w:sz w:val="18"/>
                <w:szCs w:val="18"/>
              </w:rPr>
              <w:t>:</w:t>
            </w:r>
          </w:p>
        </w:tc>
        <w:tc>
          <w:tcPr>
            <w:tcW w:w="6750" w:type="dxa"/>
          </w:tcPr>
          <w:p w14:paraId="43D6F204" w14:textId="77777777" w:rsidR="00125B60" w:rsidRDefault="00CF12A4">
            <w:pPr>
              <w:spacing w:before="40" w:after="40"/>
              <w:rPr>
                <w:rFonts w:ascii="Arial" w:hAnsi="Arial" w:cs="Arial"/>
                <w:sz w:val="18"/>
                <w:szCs w:val="18"/>
              </w:rPr>
            </w:pPr>
            <w:r>
              <w:rPr>
                <w:rFonts w:ascii="Arial" w:hAnsi="Arial" w:cs="Arial"/>
                <w:sz w:val="18"/>
                <w:szCs w:val="18"/>
              </w:rPr>
              <w:t>No</w:t>
            </w:r>
            <w:r w:rsidR="00125B60">
              <w:rPr>
                <w:rFonts w:ascii="Arial" w:hAnsi="Arial" w:cs="Arial"/>
                <w:sz w:val="18"/>
                <w:szCs w:val="18"/>
              </w:rPr>
              <w:t>.</w:t>
            </w:r>
          </w:p>
          <w:p w14:paraId="2BC552E8" w14:textId="257F9132" w:rsidR="002F72FC" w:rsidRDefault="00CF12A4">
            <w:pPr>
              <w:spacing w:before="40" w:after="40"/>
            </w:pPr>
            <w:r>
              <w:rPr>
                <w:rFonts w:ascii="Arial" w:hAnsi="Arial" w:cs="Arial"/>
                <w:sz w:val="18"/>
                <w:szCs w:val="18"/>
              </w:rPr>
              <w:t>No</w:t>
            </w:r>
            <w:r w:rsidR="00B00546">
              <w:rPr>
                <w:rFonts w:ascii="Arial" w:hAnsi="Arial" w:cs="Arial"/>
                <w:sz w:val="18"/>
                <w:szCs w:val="18"/>
              </w:rPr>
              <w:t>.</w:t>
            </w:r>
          </w:p>
        </w:tc>
      </w:tr>
      <w:tr w:rsidR="00B00546" w:rsidRPr="00B00546" w14:paraId="6A1EF756" w14:textId="77777777">
        <w:trPr>
          <w:jc w:val="center"/>
        </w:trPr>
        <w:tc>
          <w:tcPr>
            <w:tcW w:w="5250" w:type="dxa"/>
          </w:tcPr>
          <w:p w14:paraId="4604420A" w14:textId="1B7CA375" w:rsidR="002F72FC" w:rsidRPr="00B00546" w:rsidRDefault="00CF12A4">
            <w:pPr>
              <w:spacing w:before="40" w:after="40"/>
              <w:ind w:left="115" w:hanging="115"/>
              <w:rPr>
                <w:lang w:val="es-ES_tradnl"/>
              </w:rPr>
            </w:pPr>
            <w:r w:rsidRPr="00B00546">
              <w:rPr>
                <w:rFonts w:ascii="Arial" w:hAnsi="Arial" w:cs="Arial"/>
                <w:sz w:val="18"/>
                <w:szCs w:val="18"/>
                <w:lang w:val="es-ES_tradnl"/>
              </w:rPr>
              <w:t>▪</w:t>
            </w:r>
            <w:r w:rsidRPr="00B00546">
              <w:rPr>
                <w:rFonts w:ascii="Arial" w:hAnsi="Arial" w:cs="Arial"/>
                <w:sz w:val="18"/>
                <w:szCs w:val="18"/>
                <w:lang w:val="es-ES_tradnl"/>
              </w:rPr>
              <w:t xml:space="preserve"> Ali</w:t>
            </w:r>
            <w:r w:rsidR="00B00546" w:rsidRPr="00B00546">
              <w:rPr>
                <w:rFonts w:ascii="Arial" w:hAnsi="Arial" w:cs="Arial"/>
                <w:sz w:val="18"/>
                <w:szCs w:val="18"/>
                <w:lang w:val="es-ES_tradnl"/>
              </w:rPr>
              <w:t xml:space="preserve">neación a la Actualización de la Estrategia Institucional </w:t>
            </w:r>
            <w:r w:rsidRPr="00B00546">
              <w:rPr>
                <w:rFonts w:ascii="Arial" w:hAnsi="Arial" w:cs="Arial"/>
                <w:sz w:val="18"/>
                <w:szCs w:val="18"/>
                <w:lang w:val="es-ES_tradnl"/>
              </w:rPr>
              <w:t>2010-2020:</w:t>
            </w:r>
          </w:p>
        </w:tc>
        <w:tc>
          <w:tcPr>
            <w:tcW w:w="6750" w:type="dxa"/>
          </w:tcPr>
          <w:p w14:paraId="2C6642D7" w14:textId="2A40737F" w:rsidR="002F72FC" w:rsidRPr="00B00546" w:rsidRDefault="00B00546">
            <w:pPr>
              <w:spacing w:before="40" w:after="40"/>
              <w:rPr>
                <w:lang w:val="es-ES_tradnl"/>
              </w:rPr>
            </w:pPr>
            <w:r w:rsidRPr="00B00546">
              <w:rPr>
                <w:rFonts w:ascii="Arial" w:hAnsi="Arial" w:cs="Arial"/>
                <w:sz w:val="18"/>
                <w:szCs w:val="18"/>
                <w:lang w:val="es-ES_tradnl"/>
              </w:rPr>
              <w:t>Inclusión social e igualdad;</w:t>
            </w:r>
            <w:r w:rsidR="00125B60" w:rsidRPr="00B00546">
              <w:rPr>
                <w:rFonts w:ascii="Arial" w:hAnsi="Arial" w:cs="Arial"/>
                <w:sz w:val="18"/>
                <w:szCs w:val="18"/>
                <w:lang w:val="es-ES_tradnl"/>
              </w:rPr>
              <w:t xml:space="preserve"> </w:t>
            </w:r>
            <w:r w:rsidRPr="00B00546">
              <w:rPr>
                <w:rFonts w:ascii="Arial" w:hAnsi="Arial" w:cs="Arial"/>
                <w:sz w:val="18"/>
                <w:szCs w:val="18"/>
                <w:lang w:val="es-ES_tradnl"/>
              </w:rPr>
              <w:t>e igualdad de género.</w:t>
            </w:r>
          </w:p>
        </w:tc>
      </w:tr>
    </w:tbl>
    <w:p w14:paraId="41039827" w14:textId="5455E0DC" w:rsidR="002F72FC" w:rsidRPr="00B00546" w:rsidRDefault="00CF12A4" w:rsidP="00125B60">
      <w:pPr>
        <w:spacing w:before="240" w:after="120"/>
        <w:ind w:left="579" w:hanging="579"/>
        <w:rPr>
          <w:lang w:val="es-ES_tradnl"/>
        </w:rPr>
      </w:pPr>
      <w:r w:rsidRPr="00B00546">
        <w:rPr>
          <w:rFonts w:ascii="Arial" w:hAnsi="Arial" w:cs="Arial"/>
          <w:b/>
          <w:lang w:val="es-ES_tradnl"/>
        </w:rPr>
        <w:t>II.</w:t>
      </w:r>
      <w:r w:rsidRPr="00B00546">
        <w:rPr>
          <w:rFonts w:ascii="Arial" w:hAnsi="Arial" w:cs="Arial"/>
          <w:b/>
          <w:lang w:val="es-ES_tradnl"/>
        </w:rPr>
        <w:tab/>
      </w:r>
      <w:proofErr w:type="spellStart"/>
      <w:r w:rsidRPr="00B00546">
        <w:rPr>
          <w:rFonts w:ascii="Arial" w:hAnsi="Arial" w:cs="Arial"/>
          <w:b/>
          <w:lang w:val="es-ES_tradnl"/>
        </w:rPr>
        <w:t>Objectiv</w:t>
      </w:r>
      <w:r w:rsidR="00B00546" w:rsidRPr="00B00546">
        <w:rPr>
          <w:rFonts w:ascii="Arial" w:hAnsi="Arial" w:cs="Arial"/>
          <w:b/>
          <w:lang w:val="es-ES_tradnl"/>
        </w:rPr>
        <w:t>o</w:t>
      </w:r>
      <w:proofErr w:type="spellEnd"/>
      <w:r w:rsidR="00B00546" w:rsidRPr="00B00546">
        <w:rPr>
          <w:rFonts w:ascii="Arial" w:hAnsi="Arial" w:cs="Arial"/>
          <w:b/>
          <w:lang w:val="es-ES_tradnl"/>
        </w:rPr>
        <w:t xml:space="preserve"> y </w:t>
      </w:r>
      <w:r w:rsidRPr="00B00546">
        <w:rPr>
          <w:rFonts w:ascii="Arial" w:hAnsi="Arial" w:cs="Arial"/>
          <w:b/>
          <w:lang w:val="es-ES_tradnl"/>
        </w:rPr>
        <w:t>Justifica</w:t>
      </w:r>
      <w:r w:rsidR="00B00546" w:rsidRPr="00B00546">
        <w:rPr>
          <w:rFonts w:ascii="Arial" w:hAnsi="Arial" w:cs="Arial"/>
          <w:b/>
          <w:lang w:val="es-ES_tradnl"/>
        </w:rPr>
        <w:t>ción</w:t>
      </w:r>
    </w:p>
    <w:p w14:paraId="41F0D7F3" w14:textId="3D2113A8" w:rsidR="002F72FC" w:rsidRPr="00B00546" w:rsidRDefault="00CF12A4">
      <w:pPr>
        <w:spacing w:before="120" w:after="120"/>
        <w:ind w:left="579" w:hanging="579"/>
        <w:jc w:val="both"/>
        <w:rPr>
          <w:lang w:val="es-ES_tradnl"/>
        </w:rPr>
      </w:pPr>
      <w:r w:rsidRPr="00B00546">
        <w:rPr>
          <w:rFonts w:ascii="Arial" w:hAnsi="Arial" w:cs="Arial"/>
          <w:lang w:val="es-ES_tradnl"/>
        </w:rPr>
        <w:t>2.1</w:t>
      </w:r>
      <w:r w:rsidRPr="00B00546">
        <w:rPr>
          <w:rFonts w:ascii="Arial" w:hAnsi="Arial" w:cs="Arial"/>
          <w:lang w:val="es-ES_tradnl"/>
        </w:rPr>
        <w:tab/>
      </w:r>
      <w:r w:rsidR="00B00546" w:rsidRPr="00B00546">
        <w:rPr>
          <w:rFonts w:ascii="Arial" w:hAnsi="Arial" w:cs="Arial"/>
          <w:lang w:val="es-ES_tradnl"/>
        </w:rPr>
        <w:t>El objetivo general de esta cooperación técnica es utilizar un piloto para estudiar el potencial impacto positivo que puede generar el entrenamiento en línea para la empleabilidad y corroborar o no la hipótesis de que el empleo flexible, realizable desde el hogar, impulsado por una plataforma tecnológica puede aportar un ingreso económico a las mujeres que actualmente quedan fuera del mercado laboral por su rigidez. La meta será finalizar el primer año de implementación con un estudio de base y un análisis de impacto que determine la potencialidad de esta iniciativa para generar empleo y mejorar la calidad de vida de las mujeres que participen. Como objetivo específico se planea testear de modelo de plataformas online para la generación de oportunidades de empleo y educación online para mejorar la inclusión laboral de las mujeres para lograr: (i) un análisis de la situación en Guatemala que identifique la viabilidad de la exportación de servicios a través de la Nube; (ii) una plataforma de concepto online en funcionamiento que permita el acceso a cursos online y con distintas funciones para conectar a las mujeres registradas con oportunidades de trabajo; y (</w:t>
      </w:r>
      <w:proofErr w:type="spellStart"/>
      <w:r w:rsidR="00B00546" w:rsidRPr="00B00546">
        <w:rPr>
          <w:rFonts w:ascii="Arial" w:hAnsi="Arial" w:cs="Arial"/>
          <w:lang w:val="es-ES_tradnl"/>
        </w:rPr>
        <w:t>iii</w:t>
      </w:r>
      <w:proofErr w:type="spellEnd"/>
      <w:r w:rsidR="00B00546" w:rsidRPr="00B00546">
        <w:rPr>
          <w:rFonts w:ascii="Arial" w:hAnsi="Arial" w:cs="Arial"/>
          <w:lang w:val="es-ES_tradnl"/>
        </w:rPr>
        <w:t>)</w:t>
      </w:r>
      <w:r w:rsidR="00B00546">
        <w:rPr>
          <w:rFonts w:ascii="Arial" w:hAnsi="Arial" w:cs="Arial"/>
          <w:lang w:val="es-ES_tradnl"/>
        </w:rPr>
        <w:t> </w:t>
      </w:r>
      <w:r w:rsidR="00B00546" w:rsidRPr="00B00546">
        <w:rPr>
          <w:rFonts w:ascii="Arial" w:hAnsi="Arial" w:cs="Arial"/>
          <w:lang w:val="es-ES_tradnl"/>
        </w:rPr>
        <w:t>un análisis de resultados para identificar lecciones aprendidas, así como su difusión para que otros países de la región conozcan esta experiencia y puedan considerar realizar iniciativas similares.</w:t>
      </w:r>
    </w:p>
    <w:p w14:paraId="4F995F91" w14:textId="0A813E70" w:rsidR="002F72FC" w:rsidRPr="00125B60" w:rsidRDefault="00CF12A4">
      <w:pPr>
        <w:spacing w:before="120" w:after="120"/>
        <w:ind w:left="579" w:hanging="579"/>
        <w:jc w:val="both"/>
        <w:rPr>
          <w:lang w:val="es-ES_tradnl"/>
        </w:rPr>
      </w:pPr>
      <w:r w:rsidRPr="00125B60">
        <w:rPr>
          <w:rFonts w:ascii="Arial" w:hAnsi="Arial" w:cs="Arial"/>
          <w:lang w:val="es-ES_tradnl"/>
        </w:rPr>
        <w:t>2.2</w:t>
      </w:r>
      <w:r w:rsidRPr="00125B60">
        <w:rPr>
          <w:rFonts w:ascii="Arial" w:hAnsi="Arial" w:cs="Arial"/>
          <w:lang w:val="es-ES_tradnl"/>
        </w:rPr>
        <w:tab/>
        <w:t>En</w:t>
      </w:r>
      <w:r w:rsidRPr="00125B60">
        <w:rPr>
          <w:rFonts w:ascii="Arial" w:hAnsi="Arial" w:cs="Arial"/>
          <w:lang w:val="es-ES_tradnl"/>
        </w:rPr>
        <w:t xml:space="preserve"> el marco de diseñar iniciativas para resolver estos problemas en la oferta de talento y la demanda de talento que afecta particularmente a las mujeres, muchos estudios han demostrado que la flexibilidad es el factor número 1 que mantendría a las mujeres </w:t>
      </w:r>
      <w:r w:rsidRPr="00125B60">
        <w:rPr>
          <w:rFonts w:ascii="Arial" w:hAnsi="Arial" w:cs="Arial"/>
          <w:lang w:val="es-ES_tradnl"/>
        </w:rPr>
        <w:lastRenderedPageBreak/>
        <w:t>p</w:t>
      </w:r>
      <w:r w:rsidRPr="00125B60">
        <w:rPr>
          <w:rFonts w:ascii="Arial" w:hAnsi="Arial" w:cs="Arial"/>
          <w:lang w:val="es-ES_tradnl"/>
        </w:rPr>
        <w:t xml:space="preserve">rofesionales en el trabajo </w:t>
      </w:r>
      <w:r w:rsidRPr="00125B60">
        <w:rPr>
          <w:rFonts w:ascii="Arial" w:hAnsi="Arial" w:cs="Arial"/>
          <w:lang w:val="es-ES_tradnl"/>
        </w:rPr>
        <w:t xml:space="preserve">y que </w:t>
      </w:r>
      <w:proofErr w:type="spellStart"/>
      <w:r w:rsidRPr="00125B60">
        <w:rPr>
          <w:rFonts w:ascii="Arial" w:hAnsi="Arial" w:cs="Arial"/>
          <w:lang w:val="es-ES_tradnl"/>
        </w:rPr>
        <w:t>freelancing</w:t>
      </w:r>
      <w:proofErr w:type="spellEnd"/>
      <w:r w:rsidRPr="00125B60">
        <w:rPr>
          <w:rFonts w:ascii="Arial" w:hAnsi="Arial" w:cs="Arial"/>
          <w:lang w:val="es-ES_tradnl"/>
        </w:rPr>
        <w:t xml:space="preserve"> es una opción flexible y satisfactoria para los profesionales de hoy en día (</w:t>
      </w:r>
      <w:proofErr w:type="spellStart"/>
      <w:r w:rsidRPr="00125B60">
        <w:rPr>
          <w:rFonts w:ascii="Arial" w:hAnsi="Arial" w:cs="Arial"/>
          <w:lang w:val="es-ES_tradnl"/>
        </w:rPr>
        <w:t>McKinsey&amp;Co</w:t>
      </w:r>
      <w:proofErr w:type="spellEnd"/>
      <w:r w:rsidRPr="00125B60">
        <w:rPr>
          <w:rFonts w:ascii="Arial" w:hAnsi="Arial" w:cs="Arial"/>
          <w:lang w:val="es-ES_tradnl"/>
        </w:rPr>
        <w:t xml:space="preserve">. Global </w:t>
      </w:r>
      <w:proofErr w:type="spellStart"/>
      <w:r w:rsidRPr="00125B60">
        <w:rPr>
          <w:rFonts w:ascii="Arial" w:hAnsi="Arial" w:cs="Arial"/>
          <w:lang w:val="es-ES_tradnl"/>
        </w:rPr>
        <w:t>Institute</w:t>
      </w:r>
      <w:proofErr w:type="spellEnd"/>
      <w:r w:rsidRPr="00125B60">
        <w:rPr>
          <w:rFonts w:ascii="Arial" w:hAnsi="Arial" w:cs="Arial"/>
          <w:lang w:val="es-ES_tradnl"/>
        </w:rPr>
        <w:t>). Se puede considerar como una opción viable cuando se considera que Guatemala está entre los países de</w:t>
      </w:r>
      <w:r w:rsidRPr="00125B60">
        <w:rPr>
          <w:rFonts w:ascii="Arial" w:hAnsi="Arial" w:cs="Arial"/>
          <w:lang w:val="es-ES_tradnl"/>
        </w:rPr>
        <w:t xml:space="preserve"> la región con mayor cantidad de usuarios de Internet, con 7,2</w:t>
      </w:r>
      <w:r w:rsidR="00125B60">
        <w:rPr>
          <w:rFonts w:ascii="Arial" w:hAnsi="Arial" w:cs="Arial"/>
          <w:lang w:val="es-ES_tradnl"/>
        </w:rPr>
        <w:t> </w:t>
      </w:r>
      <w:r w:rsidRPr="00125B60">
        <w:rPr>
          <w:rFonts w:ascii="Arial" w:hAnsi="Arial" w:cs="Arial"/>
          <w:lang w:val="es-ES_tradnl"/>
        </w:rPr>
        <w:t>millones, lo cual representa un 42% de penetración. La tasa de desempleo en Guatemala creció en 2017 en relación con el año anterior, según la Organización Internacional del Trabajo (OIT). Guat</w:t>
      </w:r>
      <w:r w:rsidRPr="00125B60">
        <w:rPr>
          <w:rFonts w:ascii="Arial" w:hAnsi="Arial" w:cs="Arial"/>
          <w:lang w:val="es-ES_tradnl"/>
        </w:rPr>
        <w:t xml:space="preserve">emala figura entre los nueve países en donde el aumento de desocupación fue más acentuado para las mujeres, ya que subió a 4,2%; el de hombres se mantuvo en 2,6%. Por otra parte, Guatemala cuenta con la población más </w:t>
      </w:r>
      <w:proofErr w:type="spellStart"/>
      <w:r w:rsidRPr="00125B60">
        <w:rPr>
          <w:rFonts w:ascii="Arial" w:hAnsi="Arial" w:cs="Arial"/>
          <w:lang w:val="es-ES_tradnl"/>
        </w:rPr>
        <w:t>jóven</w:t>
      </w:r>
      <w:proofErr w:type="spellEnd"/>
      <w:r w:rsidRPr="00125B60">
        <w:rPr>
          <w:rFonts w:ascii="Arial" w:hAnsi="Arial" w:cs="Arial"/>
          <w:lang w:val="es-ES_tradnl"/>
        </w:rPr>
        <w:t xml:space="preserve"> de América Latina; 33% tienen ent</w:t>
      </w:r>
      <w:r w:rsidRPr="00125B60">
        <w:rPr>
          <w:rFonts w:ascii="Arial" w:hAnsi="Arial" w:cs="Arial"/>
          <w:lang w:val="es-ES_tradnl"/>
        </w:rPr>
        <w:t>re 25 y 54 años (Instituto Nacional de Estadística de Guatemala). Actualmente en Guatemala, aproximadamente el 68% de las mujeres jóvenes de 16 a 25 años se encuentran inactivas, de 26 a 50 años es un 50% (IDIES), lo que demuestra la existencia de dificult</w:t>
      </w:r>
      <w:r w:rsidRPr="00125B60">
        <w:rPr>
          <w:rFonts w:ascii="Arial" w:hAnsi="Arial" w:cs="Arial"/>
          <w:lang w:val="es-ES_tradnl"/>
        </w:rPr>
        <w:t>ades en el mercado laboral tradicional para incorporar a las mujeres a través de oportunidades laborales flexibles que les permitan seguir trabajando a la vez que se ocupan de sus familias.</w:t>
      </w:r>
    </w:p>
    <w:p w14:paraId="49F412CB" w14:textId="709FDCB5" w:rsidR="002F72FC" w:rsidRPr="00B00546" w:rsidRDefault="00CF12A4">
      <w:pPr>
        <w:spacing w:before="120" w:after="120"/>
        <w:ind w:left="579" w:hanging="579"/>
        <w:rPr>
          <w:lang w:val="es-ES_tradnl"/>
        </w:rPr>
      </w:pPr>
      <w:r w:rsidRPr="00B00546">
        <w:rPr>
          <w:rFonts w:ascii="Arial" w:hAnsi="Arial" w:cs="Arial"/>
          <w:b/>
          <w:lang w:val="es-ES_tradnl"/>
        </w:rPr>
        <w:t>III.</w:t>
      </w:r>
      <w:r w:rsidRPr="00B00546">
        <w:rPr>
          <w:rFonts w:ascii="Arial" w:hAnsi="Arial" w:cs="Arial"/>
          <w:b/>
          <w:lang w:val="es-ES_tradnl"/>
        </w:rPr>
        <w:tab/>
      </w:r>
      <w:r w:rsidR="00B00546" w:rsidRPr="00A523B2">
        <w:rPr>
          <w:rFonts w:ascii="Arial" w:hAnsi="Arial" w:cs="Arial"/>
          <w:b/>
          <w:lang w:val="es-ES"/>
        </w:rPr>
        <w:t>Descripción de las actividades y resultados</w:t>
      </w:r>
    </w:p>
    <w:p w14:paraId="3381DCC6" w14:textId="7D865D7F" w:rsidR="002F72FC" w:rsidRPr="00125B60" w:rsidRDefault="00CF12A4">
      <w:pPr>
        <w:spacing w:before="120" w:after="120"/>
        <w:ind w:left="579" w:hanging="579"/>
        <w:jc w:val="both"/>
        <w:rPr>
          <w:lang w:val="es-ES_tradnl"/>
        </w:rPr>
      </w:pPr>
      <w:r w:rsidRPr="00125B60">
        <w:rPr>
          <w:rFonts w:ascii="Arial" w:hAnsi="Arial" w:cs="Arial"/>
          <w:lang w:val="es-ES_tradnl"/>
        </w:rPr>
        <w:t>3.1</w:t>
      </w:r>
      <w:r w:rsidRPr="00125B60">
        <w:rPr>
          <w:rFonts w:ascii="Arial" w:hAnsi="Arial" w:cs="Arial"/>
          <w:lang w:val="es-ES_tradnl"/>
        </w:rPr>
        <w:tab/>
      </w:r>
      <w:r w:rsidR="00125B60">
        <w:rPr>
          <w:rFonts w:ascii="Arial" w:hAnsi="Arial" w:cs="Arial"/>
          <w:lang w:val="es-ES_tradnl"/>
        </w:rPr>
        <w:t xml:space="preserve">La cooperación técnica </w:t>
      </w:r>
      <w:r w:rsidR="0045382E">
        <w:rPr>
          <w:rFonts w:ascii="Arial" w:hAnsi="Arial" w:cs="Arial"/>
          <w:lang w:val="es-ES_tradnl"/>
        </w:rPr>
        <w:t xml:space="preserve">financiará: </w:t>
      </w:r>
      <w:r w:rsidRPr="00125B60">
        <w:rPr>
          <w:rFonts w:ascii="Arial" w:hAnsi="Arial" w:cs="Arial"/>
          <w:lang w:val="es-ES_tradnl"/>
        </w:rPr>
        <w:t xml:space="preserve">(i) </w:t>
      </w:r>
      <w:r w:rsidR="0045382E">
        <w:rPr>
          <w:rFonts w:ascii="Arial" w:hAnsi="Arial" w:cs="Arial"/>
          <w:lang w:val="es-ES_tradnl"/>
        </w:rPr>
        <w:t>u</w:t>
      </w:r>
      <w:r w:rsidRPr="00125B60">
        <w:rPr>
          <w:rFonts w:ascii="Arial" w:hAnsi="Arial" w:cs="Arial"/>
          <w:lang w:val="es-ES_tradnl"/>
        </w:rPr>
        <w:t xml:space="preserve">n análisis de </w:t>
      </w:r>
      <w:r w:rsidRPr="00125B60">
        <w:rPr>
          <w:rFonts w:ascii="Arial" w:hAnsi="Arial" w:cs="Arial"/>
          <w:lang w:val="es-ES_tradnl"/>
        </w:rPr>
        <w:t>situación y línea de base</w:t>
      </w:r>
      <w:r w:rsidR="00125B60">
        <w:rPr>
          <w:rFonts w:ascii="Arial" w:hAnsi="Arial" w:cs="Arial"/>
          <w:lang w:val="es-ES_tradnl"/>
        </w:rPr>
        <w:t xml:space="preserve">; </w:t>
      </w:r>
      <w:r w:rsidRPr="00125B60">
        <w:rPr>
          <w:rFonts w:ascii="Arial" w:hAnsi="Arial" w:cs="Arial"/>
          <w:lang w:val="es-ES_tradnl"/>
        </w:rPr>
        <w:t>(ii)</w:t>
      </w:r>
      <w:r w:rsidR="0045382E">
        <w:rPr>
          <w:rFonts w:ascii="Arial" w:hAnsi="Arial" w:cs="Arial"/>
          <w:lang w:val="es-ES_tradnl"/>
        </w:rPr>
        <w:t> </w:t>
      </w:r>
      <w:r w:rsidR="00125B60">
        <w:rPr>
          <w:rFonts w:ascii="Arial" w:hAnsi="Arial" w:cs="Arial"/>
          <w:lang w:val="es-ES_tradnl"/>
        </w:rPr>
        <w:t>u</w:t>
      </w:r>
      <w:r w:rsidRPr="00125B60">
        <w:rPr>
          <w:rFonts w:ascii="Arial" w:hAnsi="Arial" w:cs="Arial"/>
          <w:lang w:val="es-ES_tradnl"/>
        </w:rPr>
        <w:t>na plataforma tecnológica que brinde acceso a cursos online y cuente con funcionalidades que permitan conectar con oportunidades de empleo</w:t>
      </w:r>
      <w:r w:rsidR="00125B60">
        <w:rPr>
          <w:rFonts w:ascii="Arial" w:hAnsi="Arial" w:cs="Arial"/>
          <w:lang w:val="es-ES_tradnl"/>
        </w:rPr>
        <w:t xml:space="preserve">; y </w:t>
      </w:r>
      <w:r w:rsidRPr="00125B60">
        <w:rPr>
          <w:rFonts w:ascii="Arial" w:hAnsi="Arial" w:cs="Arial"/>
          <w:lang w:val="es-ES_tradnl"/>
        </w:rPr>
        <w:t>(</w:t>
      </w:r>
      <w:proofErr w:type="spellStart"/>
      <w:r w:rsidRPr="00125B60">
        <w:rPr>
          <w:rFonts w:ascii="Arial" w:hAnsi="Arial" w:cs="Arial"/>
          <w:lang w:val="es-ES_tradnl"/>
        </w:rPr>
        <w:t>iii</w:t>
      </w:r>
      <w:proofErr w:type="spellEnd"/>
      <w:r w:rsidRPr="00125B60">
        <w:rPr>
          <w:rFonts w:ascii="Arial" w:hAnsi="Arial" w:cs="Arial"/>
          <w:lang w:val="es-ES_tradnl"/>
        </w:rPr>
        <w:t>)</w:t>
      </w:r>
      <w:r w:rsidR="0045382E">
        <w:rPr>
          <w:rFonts w:ascii="Arial" w:hAnsi="Arial" w:cs="Arial"/>
          <w:lang w:val="es-ES_tradnl"/>
        </w:rPr>
        <w:t> </w:t>
      </w:r>
      <w:r w:rsidR="00125B60">
        <w:rPr>
          <w:rFonts w:ascii="Arial" w:hAnsi="Arial" w:cs="Arial"/>
          <w:lang w:val="es-ES_tradnl"/>
        </w:rPr>
        <w:t>u</w:t>
      </w:r>
      <w:r w:rsidRPr="00125B60">
        <w:rPr>
          <w:rFonts w:ascii="Arial" w:hAnsi="Arial" w:cs="Arial"/>
          <w:lang w:val="es-ES_tradnl"/>
        </w:rPr>
        <w:t>n documento que recoja lecciones aprendidas y recomendaciones sobre cómo desa</w:t>
      </w:r>
      <w:r w:rsidRPr="00125B60">
        <w:rPr>
          <w:rFonts w:ascii="Arial" w:hAnsi="Arial" w:cs="Arial"/>
          <w:lang w:val="es-ES_tradnl"/>
        </w:rPr>
        <w:t xml:space="preserve">rrollar una plataforma de educación y empleo online para la inclusión de mujeres al mercado laboral. </w:t>
      </w:r>
    </w:p>
    <w:p w14:paraId="17FF6868" w14:textId="1E0B4F6A" w:rsidR="002F72FC" w:rsidRPr="00125B60" w:rsidRDefault="00CF12A4">
      <w:pPr>
        <w:spacing w:before="120" w:after="120"/>
        <w:ind w:left="579" w:hanging="579"/>
        <w:jc w:val="both"/>
        <w:rPr>
          <w:lang w:val="es-ES_tradnl"/>
        </w:rPr>
      </w:pPr>
      <w:r w:rsidRPr="00125B60">
        <w:rPr>
          <w:rFonts w:ascii="Arial" w:hAnsi="Arial" w:cs="Arial"/>
          <w:lang w:val="es-ES_tradnl"/>
        </w:rPr>
        <w:t>3.2</w:t>
      </w:r>
      <w:r w:rsidRPr="00125B60">
        <w:rPr>
          <w:rFonts w:ascii="Arial" w:hAnsi="Arial" w:cs="Arial"/>
          <w:lang w:val="es-ES_tradnl"/>
        </w:rPr>
        <w:tab/>
        <w:t>Los resultados de este proyecto se diseminarán a través de</w:t>
      </w:r>
      <w:r w:rsidR="0045382E">
        <w:rPr>
          <w:rFonts w:ascii="Arial" w:hAnsi="Arial" w:cs="Arial"/>
          <w:lang w:val="es-ES_tradnl"/>
        </w:rPr>
        <w:t>l</w:t>
      </w:r>
      <w:r w:rsidRPr="00125B60">
        <w:rPr>
          <w:rFonts w:ascii="Arial" w:hAnsi="Arial" w:cs="Arial"/>
          <w:lang w:val="es-ES_tradnl"/>
        </w:rPr>
        <w:t xml:space="preserve"> </w:t>
      </w:r>
      <w:r w:rsidRPr="00125B60">
        <w:rPr>
          <w:rFonts w:ascii="Arial" w:hAnsi="Arial" w:cs="Arial"/>
          <w:lang w:val="es-ES_tradnl"/>
        </w:rPr>
        <w:t>BID</w:t>
      </w:r>
      <w:r w:rsidR="0045382E">
        <w:rPr>
          <w:rFonts w:ascii="Arial" w:hAnsi="Arial" w:cs="Arial"/>
          <w:lang w:val="es-ES_tradnl"/>
        </w:rPr>
        <w:t>,</w:t>
      </w:r>
      <w:r w:rsidRPr="00125B60">
        <w:rPr>
          <w:rFonts w:ascii="Arial" w:hAnsi="Arial" w:cs="Arial"/>
          <w:lang w:val="es-ES_tradnl"/>
        </w:rPr>
        <w:t xml:space="preserve"> en alianza con el sector público de Guatemala.</w:t>
      </w:r>
    </w:p>
    <w:p w14:paraId="3C551468" w14:textId="16CC5BDB" w:rsidR="002F72FC" w:rsidRPr="00125B60" w:rsidRDefault="00CF12A4">
      <w:pPr>
        <w:spacing w:before="120" w:after="120"/>
        <w:ind w:left="579" w:hanging="579"/>
        <w:jc w:val="both"/>
        <w:rPr>
          <w:lang w:val="es-ES_tradnl"/>
        </w:rPr>
      </w:pPr>
      <w:r w:rsidRPr="00125B60">
        <w:rPr>
          <w:rFonts w:ascii="Arial" w:hAnsi="Arial" w:cs="Arial"/>
          <w:lang w:val="es-ES_tradnl"/>
        </w:rPr>
        <w:t>3.3</w:t>
      </w:r>
      <w:r w:rsidRPr="00125B60">
        <w:rPr>
          <w:rFonts w:ascii="Arial" w:hAnsi="Arial" w:cs="Arial"/>
          <w:lang w:val="es-ES_tradnl"/>
        </w:rPr>
        <w:tab/>
      </w:r>
      <w:r w:rsidRPr="00125B60">
        <w:rPr>
          <w:rFonts w:ascii="Arial" w:hAnsi="Arial" w:cs="Arial"/>
          <w:b/>
          <w:lang w:val="es-ES_tradnl"/>
        </w:rPr>
        <w:t>Component</w:t>
      </w:r>
      <w:r w:rsidR="0045382E">
        <w:rPr>
          <w:rFonts w:ascii="Arial" w:hAnsi="Arial" w:cs="Arial"/>
          <w:b/>
          <w:lang w:val="es-ES_tradnl"/>
        </w:rPr>
        <w:t>e</w:t>
      </w:r>
      <w:r w:rsidRPr="00125B60">
        <w:rPr>
          <w:rFonts w:ascii="Arial" w:hAnsi="Arial" w:cs="Arial"/>
          <w:b/>
          <w:lang w:val="es-ES_tradnl"/>
        </w:rPr>
        <w:t xml:space="preserve"> I: A</w:t>
      </w:r>
      <w:r w:rsidRPr="00125B60">
        <w:rPr>
          <w:rFonts w:ascii="Arial" w:hAnsi="Arial" w:cs="Arial"/>
          <w:b/>
          <w:lang w:val="es-ES_tradnl"/>
        </w:rPr>
        <w:t>nálisis de situación para Guatemala</w:t>
      </w:r>
      <w:r w:rsidRPr="00B00546">
        <w:rPr>
          <w:rFonts w:ascii="Arial" w:hAnsi="Arial" w:cs="Arial"/>
          <w:lang w:val="es-ES_tradnl"/>
        </w:rPr>
        <w:t>.</w:t>
      </w:r>
      <w:r w:rsidRPr="00125B60">
        <w:rPr>
          <w:rFonts w:ascii="Arial" w:hAnsi="Arial" w:cs="Arial"/>
          <w:b/>
          <w:lang w:val="es-ES_tradnl"/>
        </w:rPr>
        <w:t xml:space="preserve"> </w:t>
      </w:r>
      <w:r w:rsidRPr="00125B60">
        <w:rPr>
          <w:rFonts w:ascii="Arial" w:hAnsi="Arial" w:cs="Arial"/>
          <w:lang w:val="es-ES_tradnl"/>
        </w:rPr>
        <w:t>Se realizará un estudio inicial que permitirá mapear qué oportunidades reales existen teniendo en cuenta el perfil de las profesionales guatemaltecas en términos de conocimientos y competencias y analizar qué industrias</w:t>
      </w:r>
      <w:r w:rsidRPr="00125B60">
        <w:rPr>
          <w:rFonts w:ascii="Arial" w:hAnsi="Arial" w:cs="Arial"/>
          <w:lang w:val="es-ES_tradnl"/>
        </w:rPr>
        <w:t xml:space="preserve"> (nacionales o del extranjero) serían las más factibles de absorber esta oferta. </w:t>
      </w:r>
    </w:p>
    <w:p w14:paraId="26FC9D38" w14:textId="17B5D165" w:rsidR="002F72FC" w:rsidRPr="00125B60" w:rsidRDefault="00CF12A4">
      <w:pPr>
        <w:spacing w:before="120" w:after="120"/>
        <w:ind w:left="579" w:hanging="579"/>
        <w:jc w:val="both"/>
        <w:rPr>
          <w:lang w:val="es-ES_tradnl"/>
        </w:rPr>
      </w:pPr>
      <w:r w:rsidRPr="00125B60">
        <w:rPr>
          <w:rFonts w:ascii="Arial" w:hAnsi="Arial" w:cs="Arial"/>
          <w:lang w:val="es-ES_tradnl"/>
        </w:rPr>
        <w:t>3.4</w:t>
      </w:r>
      <w:r w:rsidRPr="00125B60">
        <w:rPr>
          <w:rFonts w:ascii="Arial" w:hAnsi="Arial" w:cs="Arial"/>
          <w:lang w:val="es-ES_tradnl"/>
        </w:rPr>
        <w:tab/>
      </w:r>
      <w:r w:rsidRPr="00125B60">
        <w:rPr>
          <w:rFonts w:ascii="Arial" w:hAnsi="Arial" w:cs="Arial"/>
          <w:b/>
          <w:lang w:val="es-ES_tradnl"/>
        </w:rPr>
        <w:t>Component</w:t>
      </w:r>
      <w:r w:rsidR="0045382E">
        <w:rPr>
          <w:rFonts w:ascii="Arial" w:hAnsi="Arial" w:cs="Arial"/>
          <w:b/>
          <w:lang w:val="es-ES_tradnl"/>
        </w:rPr>
        <w:t>e</w:t>
      </w:r>
      <w:r w:rsidRPr="00125B60">
        <w:rPr>
          <w:rFonts w:ascii="Arial" w:hAnsi="Arial" w:cs="Arial"/>
          <w:b/>
          <w:lang w:val="es-ES_tradnl"/>
        </w:rPr>
        <w:t xml:space="preserve"> II: Prueba de concepto o prototipo de plataforma de capacitación y generación de empleo </w:t>
      </w:r>
      <w:r w:rsidR="00B00546">
        <w:rPr>
          <w:rFonts w:ascii="Arial" w:hAnsi="Arial" w:cs="Arial"/>
          <w:b/>
          <w:lang w:val="es-ES_tradnl"/>
        </w:rPr>
        <w:t>en línea</w:t>
      </w:r>
      <w:r w:rsidRPr="00B00546">
        <w:rPr>
          <w:rFonts w:ascii="Arial" w:hAnsi="Arial" w:cs="Arial"/>
          <w:lang w:val="es-ES_tradnl"/>
        </w:rPr>
        <w:t>.</w:t>
      </w:r>
      <w:r w:rsidRPr="00125B60">
        <w:rPr>
          <w:rFonts w:ascii="Arial" w:hAnsi="Arial" w:cs="Arial"/>
          <w:b/>
          <w:lang w:val="es-ES_tradnl"/>
        </w:rPr>
        <w:t xml:space="preserve"> </w:t>
      </w:r>
      <w:r w:rsidRPr="00125B60">
        <w:rPr>
          <w:rFonts w:ascii="Arial" w:hAnsi="Arial" w:cs="Arial"/>
          <w:lang w:val="es-ES_tradnl"/>
        </w:rPr>
        <w:t xml:space="preserve">Se desarrollará una plataforma online que permita </w:t>
      </w:r>
      <w:r w:rsidR="0045382E">
        <w:rPr>
          <w:rFonts w:ascii="Arial" w:hAnsi="Arial" w:cs="Arial"/>
          <w:lang w:val="es-ES_tradnl"/>
        </w:rPr>
        <w:t>e</w:t>
      </w:r>
      <w:r w:rsidRPr="00125B60">
        <w:rPr>
          <w:rFonts w:ascii="Arial" w:hAnsi="Arial" w:cs="Arial"/>
          <w:lang w:val="es-ES_tradnl"/>
        </w:rPr>
        <w:t>l</w:t>
      </w:r>
      <w:r w:rsidRPr="00125B60">
        <w:rPr>
          <w:rFonts w:ascii="Arial" w:hAnsi="Arial" w:cs="Arial"/>
          <w:lang w:val="es-ES_tradnl"/>
        </w:rPr>
        <w:t xml:space="preserve"> registr</w:t>
      </w:r>
      <w:r w:rsidR="0045382E">
        <w:rPr>
          <w:rFonts w:ascii="Arial" w:hAnsi="Arial" w:cs="Arial"/>
          <w:lang w:val="es-ES_tradnl"/>
        </w:rPr>
        <w:t>o</w:t>
      </w:r>
      <w:r w:rsidRPr="00125B60">
        <w:rPr>
          <w:rFonts w:ascii="Arial" w:hAnsi="Arial" w:cs="Arial"/>
          <w:lang w:val="es-ES_tradnl"/>
        </w:rPr>
        <w:t xml:space="preserve"> de profesionales guatemaltecas interesadas en mejorar sus habilidades y trabajar en forma remota, así como de empresas interesadas en contratar trabajadoras bajo demanda. Durante esta etapa se apoyará el proceso de </w:t>
      </w:r>
      <w:r w:rsidR="009A2DB9">
        <w:rPr>
          <w:rFonts w:ascii="Arial" w:hAnsi="Arial" w:cs="Arial"/>
          <w:lang w:val="es-ES_tradnl"/>
        </w:rPr>
        <w:t>“</w:t>
      </w:r>
      <w:proofErr w:type="spellStart"/>
      <w:r w:rsidR="009A2DB9">
        <w:rPr>
          <w:rFonts w:ascii="Arial" w:hAnsi="Arial" w:cs="Arial"/>
          <w:lang w:val="es-ES_tradnl"/>
        </w:rPr>
        <w:t>onboarding</w:t>
      </w:r>
      <w:proofErr w:type="spellEnd"/>
      <w:r w:rsidR="009A2DB9">
        <w:rPr>
          <w:rFonts w:ascii="Arial" w:hAnsi="Arial" w:cs="Arial"/>
          <w:lang w:val="es-ES_tradnl"/>
        </w:rPr>
        <w:t>”</w:t>
      </w:r>
      <w:r w:rsidRPr="00125B60">
        <w:rPr>
          <w:rFonts w:ascii="Arial" w:hAnsi="Arial" w:cs="Arial"/>
          <w:lang w:val="es-ES_tradnl"/>
        </w:rPr>
        <w:t xml:space="preserve"> de las profesionales, y se </w:t>
      </w:r>
      <w:r w:rsidRPr="00125B60">
        <w:rPr>
          <w:rFonts w:ascii="Arial" w:hAnsi="Arial" w:cs="Arial"/>
          <w:lang w:val="es-ES_tradnl"/>
        </w:rPr>
        <w:t>realizarán algunas capacitaciones. Asimismo, se espera que se concreten algunas contrataciones.</w:t>
      </w:r>
    </w:p>
    <w:p w14:paraId="4428331A" w14:textId="724AD4EE" w:rsidR="002F72FC" w:rsidRPr="00125B60" w:rsidRDefault="00CF12A4">
      <w:pPr>
        <w:spacing w:before="120" w:after="120"/>
        <w:ind w:left="579" w:hanging="579"/>
        <w:jc w:val="both"/>
        <w:rPr>
          <w:lang w:val="es-ES_tradnl"/>
        </w:rPr>
      </w:pPr>
      <w:r w:rsidRPr="00125B60">
        <w:rPr>
          <w:rFonts w:ascii="Arial" w:hAnsi="Arial" w:cs="Arial"/>
          <w:lang w:val="es-ES_tradnl"/>
        </w:rPr>
        <w:t>3.5</w:t>
      </w:r>
      <w:r w:rsidRPr="00125B60">
        <w:rPr>
          <w:rFonts w:ascii="Arial" w:hAnsi="Arial" w:cs="Arial"/>
          <w:lang w:val="es-ES_tradnl"/>
        </w:rPr>
        <w:tab/>
      </w:r>
      <w:r w:rsidRPr="00125B60">
        <w:rPr>
          <w:rFonts w:ascii="Arial" w:hAnsi="Arial" w:cs="Arial"/>
          <w:b/>
          <w:lang w:val="es-ES_tradnl"/>
        </w:rPr>
        <w:t>Component</w:t>
      </w:r>
      <w:r w:rsidR="0045382E">
        <w:rPr>
          <w:rFonts w:ascii="Arial" w:hAnsi="Arial" w:cs="Arial"/>
          <w:b/>
          <w:lang w:val="es-ES_tradnl"/>
        </w:rPr>
        <w:t>e</w:t>
      </w:r>
      <w:r w:rsidRPr="00125B60">
        <w:rPr>
          <w:rFonts w:ascii="Arial" w:hAnsi="Arial" w:cs="Arial"/>
          <w:b/>
          <w:lang w:val="es-ES_tradnl"/>
        </w:rPr>
        <w:t xml:space="preserve"> III: Identificación de </w:t>
      </w:r>
      <w:r w:rsidR="009A2DB9">
        <w:rPr>
          <w:rFonts w:ascii="Arial" w:hAnsi="Arial" w:cs="Arial"/>
          <w:b/>
          <w:lang w:val="es-ES_tradnl"/>
        </w:rPr>
        <w:t>l</w:t>
      </w:r>
      <w:r w:rsidRPr="00125B60">
        <w:rPr>
          <w:rFonts w:ascii="Arial" w:hAnsi="Arial" w:cs="Arial"/>
          <w:b/>
          <w:lang w:val="es-ES_tradnl"/>
        </w:rPr>
        <w:t xml:space="preserve">ecciones </w:t>
      </w:r>
      <w:r w:rsidR="009A2DB9">
        <w:rPr>
          <w:rFonts w:ascii="Arial" w:hAnsi="Arial" w:cs="Arial"/>
          <w:b/>
          <w:lang w:val="es-ES_tradnl"/>
        </w:rPr>
        <w:t>a</w:t>
      </w:r>
      <w:r w:rsidRPr="00125B60">
        <w:rPr>
          <w:rFonts w:ascii="Arial" w:hAnsi="Arial" w:cs="Arial"/>
          <w:b/>
          <w:lang w:val="es-ES_tradnl"/>
        </w:rPr>
        <w:t>prendidas</w:t>
      </w:r>
      <w:r w:rsidRPr="00B00546">
        <w:rPr>
          <w:rFonts w:ascii="Arial" w:hAnsi="Arial" w:cs="Arial"/>
          <w:lang w:val="es-ES_tradnl"/>
        </w:rPr>
        <w:t>.</w:t>
      </w:r>
      <w:r w:rsidRPr="00125B60">
        <w:rPr>
          <w:rFonts w:ascii="Arial" w:hAnsi="Arial" w:cs="Arial"/>
          <w:b/>
          <w:lang w:val="es-ES_tradnl"/>
        </w:rPr>
        <w:t xml:space="preserve"> </w:t>
      </w:r>
      <w:r w:rsidRPr="00125B60">
        <w:rPr>
          <w:rFonts w:ascii="Arial" w:hAnsi="Arial" w:cs="Arial"/>
          <w:lang w:val="es-ES_tradnl"/>
        </w:rPr>
        <w:t>Se realizará una evaluación de los resultados preliminares logrados a través de este proyecto, para g</w:t>
      </w:r>
      <w:r w:rsidRPr="00125B60">
        <w:rPr>
          <w:rFonts w:ascii="Arial" w:hAnsi="Arial" w:cs="Arial"/>
          <w:lang w:val="es-ES_tradnl"/>
        </w:rPr>
        <w:t>enerar recomendaciones para otros países que quieren realizar experiencias similares. A partir de esta información, se organizará un proceso de difusión a los demás países de la región que estén interesados en replicar esta experiencia.</w:t>
      </w:r>
    </w:p>
    <w:p w14:paraId="553D4A68" w14:textId="5C150F89" w:rsidR="002F72FC" w:rsidRPr="00125B60" w:rsidRDefault="00CF12A4">
      <w:pPr>
        <w:spacing w:before="120" w:after="120"/>
        <w:ind w:left="579" w:hanging="579"/>
        <w:jc w:val="both"/>
        <w:rPr>
          <w:lang w:val="es-ES_tradnl"/>
        </w:rPr>
      </w:pPr>
      <w:r w:rsidRPr="00125B60">
        <w:rPr>
          <w:rFonts w:ascii="Arial" w:hAnsi="Arial" w:cs="Arial"/>
          <w:lang w:val="es-ES_tradnl"/>
        </w:rPr>
        <w:t>3.6</w:t>
      </w:r>
      <w:r w:rsidRPr="00125B60">
        <w:rPr>
          <w:rFonts w:ascii="Arial" w:hAnsi="Arial" w:cs="Arial"/>
          <w:lang w:val="es-ES_tradnl"/>
        </w:rPr>
        <w:tab/>
      </w:r>
      <w:r w:rsidRPr="00125B60">
        <w:rPr>
          <w:rFonts w:ascii="Arial" w:hAnsi="Arial" w:cs="Arial"/>
          <w:b/>
          <w:lang w:val="es-ES_tradnl"/>
        </w:rPr>
        <w:t>Component</w:t>
      </w:r>
      <w:r w:rsidR="0045382E">
        <w:rPr>
          <w:rFonts w:ascii="Arial" w:hAnsi="Arial" w:cs="Arial"/>
          <w:b/>
          <w:lang w:val="es-ES_tradnl"/>
        </w:rPr>
        <w:t>e</w:t>
      </w:r>
      <w:r w:rsidRPr="00125B60">
        <w:rPr>
          <w:rFonts w:ascii="Arial" w:hAnsi="Arial" w:cs="Arial"/>
          <w:b/>
          <w:lang w:val="es-ES_tradnl"/>
        </w:rPr>
        <w:t xml:space="preserve"> IV: C</w:t>
      </w:r>
      <w:r w:rsidRPr="00125B60">
        <w:rPr>
          <w:rFonts w:ascii="Arial" w:hAnsi="Arial" w:cs="Arial"/>
          <w:b/>
          <w:lang w:val="es-ES_tradnl"/>
        </w:rPr>
        <w:t>omunicación, diseminación de resultados e imprevistos</w:t>
      </w:r>
      <w:r w:rsidRPr="009A2DB9">
        <w:rPr>
          <w:rFonts w:ascii="Arial" w:hAnsi="Arial" w:cs="Arial"/>
          <w:lang w:val="es-ES_tradnl"/>
        </w:rPr>
        <w:t xml:space="preserve">. </w:t>
      </w:r>
      <w:r w:rsidRPr="00125B60">
        <w:rPr>
          <w:rFonts w:ascii="Arial" w:hAnsi="Arial" w:cs="Arial"/>
          <w:lang w:val="es-ES_tradnl"/>
        </w:rPr>
        <w:t xml:space="preserve">Este componente cubrirá los costos relacionados con el análisis de datos, así como el costo de las actividades de difusión. </w:t>
      </w:r>
    </w:p>
    <w:p w14:paraId="2B5C4914" w14:textId="2FAA6495" w:rsidR="002F72FC" w:rsidRPr="009A2DB9" w:rsidRDefault="00CF12A4" w:rsidP="009A2DB9">
      <w:pPr>
        <w:keepNext/>
        <w:spacing w:before="360" w:after="240"/>
        <w:ind w:left="579" w:hanging="579"/>
        <w:rPr>
          <w:lang w:val="es-ES_tradnl"/>
        </w:rPr>
      </w:pPr>
      <w:r w:rsidRPr="009A2DB9">
        <w:rPr>
          <w:rFonts w:ascii="Arial" w:hAnsi="Arial" w:cs="Arial"/>
          <w:b/>
          <w:lang w:val="es-ES_tradnl"/>
        </w:rPr>
        <w:t>IV.</w:t>
      </w:r>
      <w:r w:rsidRPr="009A2DB9">
        <w:rPr>
          <w:rFonts w:ascii="Arial" w:hAnsi="Arial" w:cs="Arial"/>
          <w:b/>
          <w:lang w:val="es-ES_tradnl"/>
        </w:rPr>
        <w:tab/>
      </w:r>
      <w:r w:rsidR="009A2DB9" w:rsidRPr="009A2DB9">
        <w:rPr>
          <w:rFonts w:ascii="Arial" w:hAnsi="Arial" w:cs="Arial"/>
          <w:b/>
          <w:lang w:val="es-ES_tradnl"/>
        </w:rPr>
        <w:t>Presupuesto estimado (US$)</w:t>
      </w:r>
    </w:p>
    <w:tbl>
      <w:tblPr>
        <w:tblStyle w:val="TableGrid"/>
        <w:tblW w:w="9140" w:type="dxa"/>
        <w:tblLook w:val="04A0" w:firstRow="1" w:lastRow="0" w:firstColumn="1" w:lastColumn="0" w:noHBand="0" w:noVBand="1"/>
      </w:tblPr>
      <w:tblGrid>
        <w:gridCol w:w="3685"/>
        <w:gridCol w:w="1945"/>
        <w:gridCol w:w="1710"/>
        <w:gridCol w:w="1800"/>
      </w:tblGrid>
      <w:tr w:rsidR="002F72FC" w14:paraId="131272F3" w14:textId="77777777" w:rsidTr="009A2DB9">
        <w:trPr>
          <w:tblHeader/>
        </w:trPr>
        <w:tc>
          <w:tcPr>
            <w:tcW w:w="3685" w:type="dxa"/>
            <w:shd w:val="clear" w:color="auto" w:fill="D9E2F3" w:themeFill="accent1" w:themeFillTint="33"/>
            <w:vAlign w:val="center"/>
          </w:tcPr>
          <w:p w14:paraId="6ED8DE2D" w14:textId="77777777" w:rsidR="002F72FC" w:rsidRDefault="00CF12A4" w:rsidP="0045382E">
            <w:pPr>
              <w:keepNext/>
              <w:spacing w:before="40" w:after="40"/>
              <w:jc w:val="center"/>
            </w:pPr>
            <w:r>
              <w:rPr>
                <w:rFonts w:ascii="Arial" w:hAnsi="Arial" w:cs="Arial"/>
                <w:b/>
                <w:sz w:val="18"/>
                <w:szCs w:val="18"/>
              </w:rPr>
              <w:t>Activity/Component</w:t>
            </w:r>
          </w:p>
        </w:tc>
        <w:tc>
          <w:tcPr>
            <w:tcW w:w="1945" w:type="dxa"/>
            <w:shd w:val="clear" w:color="auto" w:fill="D9E2F3" w:themeFill="accent1" w:themeFillTint="33"/>
          </w:tcPr>
          <w:p w14:paraId="10D05498" w14:textId="77777777" w:rsidR="002F72FC" w:rsidRDefault="00CF12A4" w:rsidP="0045382E">
            <w:pPr>
              <w:keepNext/>
              <w:spacing w:before="40" w:after="40"/>
              <w:jc w:val="center"/>
            </w:pPr>
            <w:r>
              <w:rPr>
                <w:rFonts w:ascii="Arial" w:hAnsi="Arial" w:cs="Arial"/>
                <w:b/>
                <w:sz w:val="18"/>
                <w:szCs w:val="18"/>
              </w:rPr>
              <w:t>IDB/Fund Funding</w:t>
            </w:r>
          </w:p>
        </w:tc>
        <w:tc>
          <w:tcPr>
            <w:tcW w:w="1710" w:type="dxa"/>
            <w:shd w:val="clear" w:color="auto" w:fill="D9E2F3" w:themeFill="accent1" w:themeFillTint="33"/>
          </w:tcPr>
          <w:p w14:paraId="234A0298" w14:textId="77777777" w:rsidR="002F72FC" w:rsidRDefault="00CF12A4" w:rsidP="0045382E">
            <w:pPr>
              <w:keepNext/>
              <w:spacing w:before="40" w:after="40"/>
              <w:jc w:val="center"/>
            </w:pPr>
            <w:r>
              <w:rPr>
                <w:rFonts w:ascii="Arial" w:hAnsi="Arial" w:cs="Arial"/>
                <w:b/>
                <w:sz w:val="18"/>
                <w:szCs w:val="18"/>
              </w:rPr>
              <w:t>Counterpar</w:t>
            </w:r>
            <w:r>
              <w:rPr>
                <w:rFonts w:ascii="Arial" w:hAnsi="Arial" w:cs="Arial"/>
                <w:b/>
                <w:sz w:val="18"/>
                <w:szCs w:val="18"/>
              </w:rPr>
              <w:t>t Funding</w:t>
            </w:r>
          </w:p>
        </w:tc>
        <w:tc>
          <w:tcPr>
            <w:tcW w:w="1800" w:type="dxa"/>
            <w:shd w:val="clear" w:color="auto" w:fill="D9E2F3" w:themeFill="accent1" w:themeFillTint="33"/>
          </w:tcPr>
          <w:p w14:paraId="69523D9C" w14:textId="77777777" w:rsidR="002F72FC" w:rsidRDefault="00CF12A4" w:rsidP="0045382E">
            <w:pPr>
              <w:keepNext/>
              <w:spacing w:before="40" w:after="40"/>
              <w:jc w:val="center"/>
            </w:pPr>
            <w:r>
              <w:rPr>
                <w:rFonts w:ascii="Arial" w:hAnsi="Arial" w:cs="Arial"/>
                <w:b/>
                <w:sz w:val="18"/>
                <w:szCs w:val="18"/>
              </w:rPr>
              <w:t>Total Funding</w:t>
            </w:r>
          </w:p>
        </w:tc>
      </w:tr>
      <w:tr w:rsidR="002F72FC" w14:paraId="2ECFDFC0" w14:textId="77777777" w:rsidTr="009A2DB9">
        <w:tc>
          <w:tcPr>
            <w:tcW w:w="3685" w:type="dxa"/>
            <w:vAlign w:val="center"/>
          </w:tcPr>
          <w:p w14:paraId="45D08F9F" w14:textId="77777777" w:rsidR="002F72FC" w:rsidRPr="00125B60" w:rsidRDefault="00CF12A4" w:rsidP="0045382E">
            <w:pPr>
              <w:keepNext/>
              <w:spacing w:before="40" w:after="40"/>
              <w:rPr>
                <w:lang w:val="es-ES_tradnl"/>
              </w:rPr>
            </w:pPr>
            <w:r w:rsidRPr="00125B60">
              <w:rPr>
                <w:rFonts w:ascii="Arial" w:hAnsi="Arial" w:cs="Arial"/>
                <w:sz w:val="18"/>
                <w:szCs w:val="18"/>
                <w:lang w:val="es-ES_tradnl"/>
              </w:rPr>
              <w:t>Análisis de situación para Guatemala</w:t>
            </w:r>
          </w:p>
        </w:tc>
        <w:tc>
          <w:tcPr>
            <w:tcW w:w="1945" w:type="dxa"/>
            <w:vAlign w:val="center"/>
          </w:tcPr>
          <w:p w14:paraId="6D229B34" w14:textId="2ADE027C" w:rsidR="002F72FC" w:rsidRDefault="00CF12A4" w:rsidP="009A2DB9">
            <w:pPr>
              <w:keepNext/>
              <w:spacing w:before="40" w:after="40"/>
              <w:ind w:right="483"/>
              <w:jc w:val="right"/>
            </w:pPr>
            <w:r>
              <w:rPr>
                <w:rFonts w:ascii="Arial" w:hAnsi="Arial" w:cs="Arial"/>
                <w:sz w:val="18"/>
                <w:szCs w:val="18"/>
              </w:rPr>
              <w:t>50,000</w:t>
            </w:r>
          </w:p>
        </w:tc>
        <w:tc>
          <w:tcPr>
            <w:tcW w:w="1710" w:type="dxa"/>
            <w:vAlign w:val="center"/>
          </w:tcPr>
          <w:p w14:paraId="63A90EED" w14:textId="505E4214" w:rsidR="002F72FC" w:rsidRDefault="00CF12A4" w:rsidP="009A2DB9">
            <w:pPr>
              <w:keepNext/>
              <w:spacing w:before="40" w:after="40"/>
              <w:jc w:val="center"/>
            </w:pPr>
            <w:r>
              <w:rPr>
                <w:rFonts w:ascii="Arial" w:hAnsi="Arial" w:cs="Arial"/>
                <w:sz w:val="18"/>
                <w:szCs w:val="18"/>
              </w:rPr>
              <w:t>0</w:t>
            </w:r>
          </w:p>
        </w:tc>
        <w:tc>
          <w:tcPr>
            <w:tcW w:w="1800" w:type="dxa"/>
            <w:vAlign w:val="center"/>
          </w:tcPr>
          <w:p w14:paraId="67AE8FCF" w14:textId="22121256" w:rsidR="002F72FC" w:rsidRDefault="00CF12A4" w:rsidP="009A2DB9">
            <w:pPr>
              <w:keepNext/>
              <w:spacing w:before="40" w:after="40"/>
              <w:ind w:right="483"/>
              <w:jc w:val="right"/>
            </w:pPr>
            <w:r>
              <w:rPr>
                <w:rFonts w:ascii="Arial" w:hAnsi="Arial" w:cs="Arial"/>
                <w:sz w:val="18"/>
                <w:szCs w:val="18"/>
              </w:rPr>
              <w:t>50,000</w:t>
            </w:r>
          </w:p>
        </w:tc>
      </w:tr>
      <w:tr w:rsidR="002F72FC" w14:paraId="5FE69424" w14:textId="77777777" w:rsidTr="009A2DB9">
        <w:tc>
          <w:tcPr>
            <w:tcW w:w="3685" w:type="dxa"/>
            <w:vAlign w:val="center"/>
          </w:tcPr>
          <w:p w14:paraId="77C7A3A3" w14:textId="77777777" w:rsidR="002F72FC" w:rsidRPr="00125B60" w:rsidRDefault="00CF12A4" w:rsidP="0045382E">
            <w:pPr>
              <w:keepNext/>
              <w:spacing w:before="40" w:after="40"/>
              <w:rPr>
                <w:lang w:val="es-ES_tradnl"/>
              </w:rPr>
            </w:pPr>
            <w:r w:rsidRPr="00125B60">
              <w:rPr>
                <w:rFonts w:ascii="Arial" w:hAnsi="Arial" w:cs="Arial"/>
                <w:sz w:val="18"/>
                <w:szCs w:val="18"/>
                <w:lang w:val="es-ES_tradnl"/>
              </w:rPr>
              <w:t xml:space="preserve">Prueba de concepto o prototipo de plataforma de capacitación y generación de empleo online </w:t>
            </w:r>
          </w:p>
        </w:tc>
        <w:tc>
          <w:tcPr>
            <w:tcW w:w="1945" w:type="dxa"/>
            <w:vAlign w:val="center"/>
          </w:tcPr>
          <w:p w14:paraId="40DD8AB8" w14:textId="2A562511" w:rsidR="002F72FC" w:rsidRDefault="00CF12A4" w:rsidP="009A2DB9">
            <w:pPr>
              <w:keepNext/>
              <w:spacing w:before="40" w:after="40"/>
              <w:ind w:right="483"/>
              <w:jc w:val="right"/>
            </w:pPr>
            <w:r>
              <w:rPr>
                <w:rFonts w:ascii="Arial" w:hAnsi="Arial" w:cs="Arial"/>
                <w:sz w:val="18"/>
                <w:szCs w:val="18"/>
              </w:rPr>
              <w:t>170,000</w:t>
            </w:r>
          </w:p>
        </w:tc>
        <w:tc>
          <w:tcPr>
            <w:tcW w:w="1710" w:type="dxa"/>
            <w:vAlign w:val="center"/>
          </w:tcPr>
          <w:p w14:paraId="0E1F7AE8" w14:textId="4B19C70A" w:rsidR="002F72FC" w:rsidRDefault="00CF12A4" w:rsidP="009A2DB9">
            <w:pPr>
              <w:keepNext/>
              <w:spacing w:before="40" w:after="40"/>
              <w:jc w:val="center"/>
            </w:pPr>
            <w:r>
              <w:rPr>
                <w:rFonts w:ascii="Arial" w:hAnsi="Arial" w:cs="Arial"/>
                <w:sz w:val="18"/>
                <w:szCs w:val="18"/>
              </w:rPr>
              <w:t>0</w:t>
            </w:r>
          </w:p>
        </w:tc>
        <w:tc>
          <w:tcPr>
            <w:tcW w:w="1800" w:type="dxa"/>
            <w:vAlign w:val="center"/>
          </w:tcPr>
          <w:p w14:paraId="68BAC363" w14:textId="45D8BD04" w:rsidR="002F72FC" w:rsidRDefault="00CF12A4" w:rsidP="009A2DB9">
            <w:pPr>
              <w:keepNext/>
              <w:spacing w:before="40" w:after="40"/>
              <w:ind w:right="483"/>
              <w:jc w:val="right"/>
            </w:pPr>
            <w:r>
              <w:rPr>
                <w:rFonts w:ascii="Arial" w:hAnsi="Arial" w:cs="Arial"/>
                <w:sz w:val="18"/>
                <w:szCs w:val="18"/>
              </w:rPr>
              <w:t>170,000</w:t>
            </w:r>
          </w:p>
        </w:tc>
      </w:tr>
      <w:tr w:rsidR="002F72FC" w14:paraId="35E48F10" w14:textId="77777777" w:rsidTr="009A2DB9">
        <w:tc>
          <w:tcPr>
            <w:tcW w:w="3685" w:type="dxa"/>
            <w:vAlign w:val="center"/>
          </w:tcPr>
          <w:p w14:paraId="2BCE077D" w14:textId="258C2B99" w:rsidR="002F72FC" w:rsidRDefault="00CF12A4">
            <w:pPr>
              <w:spacing w:before="40" w:after="40"/>
            </w:pPr>
            <w:proofErr w:type="spellStart"/>
            <w:r>
              <w:rPr>
                <w:rFonts w:ascii="Arial" w:hAnsi="Arial" w:cs="Arial"/>
                <w:sz w:val="18"/>
                <w:szCs w:val="18"/>
              </w:rPr>
              <w:t>Identificación</w:t>
            </w:r>
            <w:proofErr w:type="spellEnd"/>
            <w:r>
              <w:rPr>
                <w:rFonts w:ascii="Arial" w:hAnsi="Arial" w:cs="Arial"/>
                <w:sz w:val="18"/>
                <w:szCs w:val="18"/>
              </w:rPr>
              <w:t xml:space="preserve"> de </w:t>
            </w:r>
            <w:proofErr w:type="spellStart"/>
            <w:r w:rsidR="009A2DB9">
              <w:rPr>
                <w:rFonts w:ascii="Arial" w:hAnsi="Arial" w:cs="Arial"/>
                <w:sz w:val="18"/>
                <w:szCs w:val="18"/>
              </w:rPr>
              <w:t>l</w:t>
            </w:r>
            <w:r>
              <w:rPr>
                <w:rFonts w:ascii="Arial" w:hAnsi="Arial" w:cs="Arial"/>
                <w:sz w:val="18"/>
                <w:szCs w:val="18"/>
              </w:rPr>
              <w:t>ecciones</w:t>
            </w:r>
            <w:proofErr w:type="spellEnd"/>
            <w:r>
              <w:rPr>
                <w:rFonts w:ascii="Arial" w:hAnsi="Arial" w:cs="Arial"/>
                <w:sz w:val="18"/>
                <w:szCs w:val="18"/>
              </w:rPr>
              <w:t xml:space="preserve"> </w:t>
            </w:r>
            <w:r w:rsidR="009A2DB9">
              <w:rPr>
                <w:rFonts w:ascii="Arial" w:hAnsi="Arial" w:cs="Arial"/>
                <w:sz w:val="18"/>
                <w:szCs w:val="18"/>
              </w:rPr>
              <w:t>a</w:t>
            </w:r>
            <w:bookmarkStart w:id="0" w:name="_GoBack"/>
            <w:bookmarkEnd w:id="0"/>
            <w:r>
              <w:rPr>
                <w:rFonts w:ascii="Arial" w:hAnsi="Arial" w:cs="Arial"/>
                <w:sz w:val="18"/>
                <w:szCs w:val="18"/>
              </w:rPr>
              <w:t>prendidas</w:t>
            </w:r>
          </w:p>
        </w:tc>
        <w:tc>
          <w:tcPr>
            <w:tcW w:w="1945" w:type="dxa"/>
            <w:vAlign w:val="center"/>
          </w:tcPr>
          <w:p w14:paraId="1A021B28" w14:textId="26D81301" w:rsidR="002F72FC" w:rsidRDefault="00CF12A4" w:rsidP="009A2DB9">
            <w:pPr>
              <w:spacing w:before="40" w:after="40"/>
              <w:ind w:right="483"/>
              <w:jc w:val="right"/>
            </w:pPr>
            <w:r>
              <w:rPr>
                <w:rFonts w:ascii="Arial" w:hAnsi="Arial" w:cs="Arial"/>
                <w:sz w:val="18"/>
                <w:szCs w:val="18"/>
              </w:rPr>
              <w:t>20,000</w:t>
            </w:r>
          </w:p>
        </w:tc>
        <w:tc>
          <w:tcPr>
            <w:tcW w:w="1710" w:type="dxa"/>
            <w:vAlign w:val="center"/>
          </w:tcPr>
          <w:p w14:paraId="5DD891B7" w14:textId="36F5B94E" w:rsidR="002F72FC" w:rsidRDefault="00CF12A4" w:rsidP="009A2DB9">
            <w:pPr>
              <w:spacing w:before="40" w:after="40"/>
              <w:jc w:val="center"/>
            </w:pPr>
            <w:r>
              <w:rPr>
                <w:rFonts w:ascii="Arial" w:hAnsi="Arial" w:cs="Arial"/>
                <w:sz w:val="18"/>
                <w:szCs w:val="18"/>
              </w:rPr>
              <w:t>0</w:t>
            </w:r>
          </w:p>
        </w:tc>
        <w:tc>
          <w:tcPr>
            <w:tcW w:w="1800" w:type="dxa"/>
            <w:vAlign w:val="center"/>
          </w:tcPr>
          <w:p w14:paraId="585AFE8F" w14:textId="4A5DCAF4" w:rsidR="002F72FC" w:rsidRDefault="00CF12A4" w:rsidP="009A2DB9">
            <w:pPr>
              <w:spacing w:before="40" w:after="40"/>
              <w:ind w:right="483"/>
              <w:jc w:val="right"/>
            </w:pPr>
            <w:r>
              <w:rPr>
                <w:rFonts w:ascii="Arial" w:hAnsi="Arial" w:cs="Arial"/>
                <w:sz w:val="18"/>
                <w:szCs w:val="18"/>
              </w:rPr>
              <w:t>20,000</w:t>
            </w:r>
          </w:p>
        </w:tc>
      </w:tr>
      <w:tr w:rsidR="002F72FC" w14:paraId="122CE25F" w14:textId="77777777" w:rsidTr="009A2DB9">
        <w:tc>
          <w:tcPr>
            <w:tcW w:w="3685" w:type="dxa"/>
            <w:vAlign w:val="center"/>
          </w:tcPr>
          <w:p w14:paraId="1C512DDC" w14:textId="77777777" w:rsidR="002F72FC" w:rsidRPr="00125B60" w:rsidRDefault="00CF12A4">
            <w:pPr>
              <w:spacing w:before="40" w:after="40"/>
              <w:rPr>
                <w:lang w:val="es-ES_tradnl"/>
              </w:rPr>
            </w:pPr>
            <w:r w:rsidRPr="00125B60">
              <w:rPr>
                <w:rFonts w:ascii="Arial" w:hAnsi="Arial" w:cs="Arial"/>
                <w:sz w:val="18"/>
                <w:szCs w:val="18"/>
                <w:lang w:val="es-ES_tradnl"/>
              </w:rPr>
              <w:t xml:space="preserve">Comunicación, diseminación de resultados e imprevistos </w:t>
            </w:r>
          </w:p>
        </w:tc>
        <w:tc>
          <w:tcPr>
            <w:tcW w:w="1945" w:type="dxa"/>
            <w:vAlign w:val="center"/>
          </w:tcPr>
          <w:p w14:paraId="71590A9D" w14:textId="0B3FD852" w:rsidR="002F72FC" w:rsidRDefault="00CF12A4" w:rsidP="009A2DB9">
            <w:pPr>
              <w:spacing w:before="40" w:after="40"/>
              <w:ind w:right="483"/>
              <w:jc w:val="right"/>
            </w:pPr>
            <w:r>
              <w:rPr>
                <w:rFonts w:ascii="Arial" w:hAnsi="Arial" w:cs="Arial"/>
                <w:sz w:val="18"/>
                <w:szCs w:val="18"/>
              </w:rPr>
              <w:t>1</w:t>
            </w:r>
            <w:r>
              <w:rPr>
                <w:rFonts w:ascii="Arial" w:hAnsi="Arial" w:cs="Arial"/>
                <w:sz w:val="18"/>
                <w:szCs w:val="18"/>
              </w:rPr>
              <w:t>0,000</w:t>
            </w:r>
          </w:p>
        </w:tc>
        <w:tc>
          <w:tcPr>
            <w:tcW w:w="1710" w:type="dxa"/>
            <w:vAlign w:val="center"/>
          </w:tcPr>
          <w:p w14:paraId="7FF923FD" w14:textId="0BD2A3AE" w:rsidR="002F72FC" w:rsidRDefault="00CF12A4" w:rsidP="009A2DB9">
            <w:pPr>
              <w:spacing w:before="40" w:after="40"/>
              <w:jc w:val="center"/>
            </w:pPr>
            <w:r>
              <w:rPr>
                <w:rFonts w:ascii="Arial" w:hAnsi="Arial" w:cs="Arial"/>
                <w:sz w:val="18"/>
                <w:szCs w:val="18"/>
              </w:rPr>
              <w:t>0</w:t>
            </w:r>
          </w:p>
        </w:tc>
        <w:tc>
          <w:tcPr>
            <w:tcW w:w="1800" w:type="dxa"/>
            <w:vAlign w:val="center"/>
          </w:tcPr>
          <w:p w14:paraId="13E6A3F6" w14:textId="2B5A87EC" w:rsidR="002F72FC" w:rsidRDefault="00CF12A4" w:rsidP="009A2DB9">
            <w:pPr>
              <w:spacing w:before="40" w:after="40"/>
              <w:ind w:right="483"/>
              <w:jc w:val="right"/>
            </w:pPr>
            <w:r>
              <w:rPr>
                <w:rFonts w:ascii="Arial" w:hAnsi="Arial" w:cs="Arial"/>
                <w:sz w:val="18"/>
                <w:szCs w:val="18"/>
              </w:rPr>
              <w:t>10,000</w:t>
            </w:r>
          </w:p>
        </w:tc>
      </w:tr>
      <w:tr w:rsidR="009A2DB9" w14:paraId="4057F4C8" w14:textId="77777777" w:rsidTr="009A2DB9">
        <w:tc>
          <w:tcPr>
            <w:tcW w:w="3685" w:type="dxa"/>
            <w:vAlign w:val="center"/>
          </w:tcPr>
          <w:p w14:paraId="085F0831" w14:textId="1BC85951" w:rsidR="009A2DB9" w:rsidRPr="009A2DB9" w:rsidRDefault="009A2DB9">
            <w:pPr>
              <w:spacing w:before="40" w:after="40"/>
              <w:rPr>
                <w:rFonts w:ascii="Arial" w:hAnsi="Arial" w:cs="Arial"/>
                <w:b/>
                <w:sz w:val="18"/>
                <w:szCs w:val="18"/>
                <w:lang w:val="es-ES_tradnl"/>
              </w:rPr>
            </w:pPr>
            <w:r w:rsidRPr="009A2DB9">
              <w:rPr>
                <w:rFonts w:ascii="Arial" w:hAnsi="Arial" w:cs="Arial"/>
                <w:b/>
                <w:sz w:val="18"/>
                <w:szCs w:val="18"/>
                <w:lang w:val="es-ES_tradnl"/>
              </w:rPr>
              <w:t>Total</w:t>
            </w:r>
          </w:p>
        </w:tc>
        <w:tc>
          <w:tcPr>
            <w:tcW w:w="1945" w:type="dxa"/>
            <w:vAlign w:val="center"/>
          </w:tcPr>
          <w:p w14:paraId="40C9EDA8" w14:textId="5BC5FD1B" w:rsidR="009A2DB9" w:rsidRPr="009A2DB9" w:rsidRDefault="009A2DB9" w:rsidP="009A2DB9">
            <w:pPr>
              <w:spacing w:before="40" w:after="40"/>
              <w:ind w:right="483"/>
              <w:jc w:val="right"/>
              <w:rPr>
                <w:rFonts w:ascii="Arial" w:hAnsi="Arial" w:cs="Arial"/>
                <w:b/>
                <w:sz w:val="18"/>
                <w:szCs w:val="18"/>
              </w:rPr>
            </w:pPr>
            <w:r w:rsidRPr="009A2DB9">
              <w:rPr>
                <w:rFonts w:ascii="Arial" w:hAnsi="Arial" w:cs="Arial"/>
                <w:b/>
                <w:sz w:val="18"/>
                <w:szCs w:val="18"/>
              </w:rPr>
              <w:t>250,000</w:t>
            </w:r>
          </w:p>
        </w:tc>
        <w:tc>
          <w:tcPr>
            <w:tcW w:w="1710" w:type="dxa"/>
            <w:vAlign w:val="center"/>
          </w:tcPr>
          <w:p w14:paraId="1DAF262B" w14:textId="558BE892" w:rsidR="009A2DB9" w:rsidRPr="009A2DB9" w:rsidRDefault="009A2DB9" w:rsidP="009A2DB9">
            <w:pPr>
              <w:spacing w:before="40" w:after="40"/>
              <w:jc w:val="center"/>
              <w:rPr>
                <w:rFonts w:ascii="Arial" w:hAnsi="Arial" w:cs="Arial"/>
                <w:b/>
                <w:sz w:val="18"/>
                <w:szCs w:val="18"/>
              </w:rPr>
            </w:pPr>
            <w:r w:rsidRPr="009A2DB9">
              <w:rPr>
                <w:rFonts w:ascii="Arial" w:hAnsi="Arial" w:cs="Arial"/>
                <w:b/>
                <w:sz w:val="18"/>
                <w:szCs w:val="18"/>
              </w:rPr>
              <w:t>0</w:t>
            </w:r>
          </w:p>
        </w:tc>
        <w:tc>
          <w:tcPr>
            <w:tcW w:w="1800" w:type="dxa"/>
            <w:vAlign w:val="center"/>
          </w:tcPr>
          <w:p w14:paraId="6357F4D1" w14:textId="65FDE9C9" w:rsidR="009A2DB9" w:rsidRPr="009A2DB9" w:rsidRDefault="009A2DB9" w:rsidP="009A2DB9">
            <w:pPr>
              <w:spacing w:before="40" w:after="40"/>
              <w:ind w:right="483"/>
              <w:jc w:val="right"/>
              <w:rPr>
                <w:rFonts w:ascii="Arial" w:hAnsi="Arial" w:cs="Arial"/>
                <w:b/>
                <w:sz w:val="18"/>
                <w:szCs w:val="18"/>
              </w:rPr>
            </w:pPr>
            <w:r w:rsidRPr="009A2DB9">
              <w:rPr>
                <w:rFonts w:ascii="Arial" w:hAnsi="Arial" w:cs="Arial"/>
                <w:b/>
                <w:sz w:val="18"/>
                <w:szCs w:val="18"/>
              </w:rPr>
              <w:t>250,000</w:t>
            </w:r>
          </w:p>
        </w:tc>
      </w:tr>
    </w:tbl>
    <w:p w14:paraId="5EF50D5C" w14:textId="612319BF" w:rsidR="002F72FC" w:rsidRPr="009A2DB9" w:rsidRDefault="00CF12A4" w:rsidP="009A2DB9">
      <w:pPr>
        <w:spacing w:before="360" w:after="120"/>
        <w:ind w:left="579" w:hanging="579"/>
        <w:rPr>
          <w:lang w:val="es-ES_tradnl"/>
        </w:rPr>
      </w:pPr>
      <w:r w:rsidRPr="009A2DB9">
        <w:rPr>
          <w:rFonts w:ascii="Arial" w:hAnsi="Arial" w:cs="Arial"/>
          <w:b/>
          <w:lang w:val="es-ES_tradnl"/>
        </w:rPr>
        <w:t>V.</w:t>
      </w:r>
      <w:r w:rsidRPr="009A2DB9">
        <w:rPr>
          <w:rFonts w:ascii="Arial" w:hAnsi="Arial" w:cs="Arial"/>
          <w:b/>
          <w:lang w:val="es-ES_tradnl"/>
        </w:rPr>
        <w:tab/>
      </w:r>
      <w:r w:rsidR="009A2DB9">
        <w:rPr>
          <w:rFonts w:ascii="Arial" w:hAnsi="Arial" w:cs="Arial"/>
          <w:b/>
          <w:lang w:val="es-ES_tradnl"/>
        </w:rPr>
        <w:t>A</w:t>
      </w:r>
      <w:r w:rsidR="009A2DB9" w:rsidRPr="009A2DB9">
        <w:rPr>
          <w:rFonts w:ascii="Arial" w:hAnsi="Arial" w:cs="Arial"/>
          <w:b/>
          <w:lang w:val="es-ES_tradnl"/>
        </w:rPr>
        <w:t xml:space="preserve">gencia </w:t>
      </w:r>
      <w:r w:rsidR="009A2DB9">
        <w:rPr>
          <w:rFonts w:ascii="Arial" w:hAnsi="Arial" w:cs="Arial"/>
          <w:b/>
          <w:lang w:val="es-ES_tradnl"/>
        </w:rPr>
        <w:t>e</w:t>
      </w:r>
      <w:r w:rsidR="009A2DB9" w:rsidRPr="009A2DB9">
        <w:rPr>
          <w:rFonts w:ascii="Arial" w:hAnsi="Arial" w:cs="Arial"/>
          <w:b/>
          <w:lang w:val="es-ES_tradnl"/>
        </w:rPr>
        <w:t xml:space="preserve">jecutora y </w:t>
      </w:r>
      <w:r w:rsidR="009A2DB9">
        <w:rPr>
          <w:rFonts w:ascii="Arial" w:hAnsi="Arial" w:cs="Arial"/>
          <w:b/>
          <w:lang w:val="es-ES_tradnl"/>
        </w:rPr>
        <w:t>e</w:t>
      </w:r>
      <w:r w:rsidR="009A2DB9" w:rsidRPr="009A2DB9">
        <w:rPr>
          <w:rFonts w:ascii="Arial" w:hAnsi="Arial" w:cs="Arial"/>
          <w:b/>
          <w:lang w:val="es-ES_tradnl"/>
        </w:rPr>
        <w:t xml:space="preserve">structura de </w:t>
      </w:r>
      <w:r w:rsidR="009A2DB9">
        <w:rPr>
          <w:rFonts w:ascii="Arial" w:hAnsi="Arial" w:cs="Arial"/>
          <w:b/>
          <w:lang w:val="es-ES_tradnl"/>
        </w:rPr>
        <w:t>e</w:t>
      </w:r>
      <w:r w:rsidR="009A2DB9" w:rsidRPr="009A2DB9">
        <w:rPr>
          <w:rFonts w:ascii="Arial" w:hAnsi="Arial" w:cs="Arial"/>
          <w:b/>
          <w:lang w:val="es-ES_tradnl"/>
        </w:rPr>
        <w:t>jecución</w:t>
      </w:r>
    </w:p>
    <w:p w14:paraId="7A0E5AC2" w14:textId="3CA6D20A" w:rsidR="002F72FC" w:rsidRPr="00125B60" w:rsidRDefault="00CF12A4">
      <w:pPr>
        <w:spacing w:before="200" w:after="200"/>
        <w:ind w:left="579" w:hanging="579"/>
        <w:jc w:val="both"/>
        <w:rPr>
          <w:lang w:val="es-ES_tradnl"/>
        </w:rPr>
      </w:pPr>
      <w:r w:rsidRPr="00125B60">
        <w:rPr>
          <w:rFonts w:ascii="Arial" w:hAnsi="Arial" w:cs="Arial"/>
          <w:lang w:val="es-ES_tradnl"/>
        </w:rPr>
        <w:t>5.1</w:t>
      </w:r>
      <w:r w:rsidRPr="00125B60">
        <w:rPr>
          <w:rFonts w:ascii="Arial" w:hAnsi="Arial" w:cs="Arial"/>
          <w:lang w:val="es-ES_tradnl"/>
        </w:rPr>
        <w:tab/>
        <w:t xml:space="preserve">La Agencia Ejecutora será el Banco Interamericano de Desarrollo (BID), a través del Sector Social y la División de Mercados Laborales (SCL/LMK), de conformidad con los </w:t>
      </w:r>
      <w:r w:rsidRPr="00125B60">
        <w:rPr>
          <w:rFonts w:ascii="Arial" w:hAnsi="Arial" w:cs="Arial"/>
          <w:lang w:val="es-ES_tradnl"/>
        </w:rPr>
        <w:t>lineamientos y requisitos establecidos en la Política de Cooperación Técnica (GN</w:t>
      </w:r>
      <w:r w:rsidR="0045382E">
        <w:rPr>
          <w:rFonts w:ascii="Arial" w:hAnsi="Arial" w:cs="Arial"/>
          <w:lang w:val="es-ES_tradnl"/>
        </w:rPr>
        <w:noBreakHyphen/>
      </w:r>
      <w:r w:rsidRPr="00125B60">
        <w:rPr>
          <w:rFonts w:ascii="Arial" w:hAnsi="Arial" w:cs="Arial"/>
          <w:lang w:val="es-ES_tradnl"/>
        </w:rPr>
        <w:t>2470</w:t>
      </w:r>
      <w:r w:rsidR="009A2DB9">
        <w:rPr>
          <w:rFonts w:ascii="Arial" w:hAnsi="Arial" w:cs="Arial"/>
          <w:lang w:val="es-ES_tradnl"/>
        </w:rPr>
        <w:noBreakHyphen/>
      </w:r>
      <w:r w:rsidRPr="00125B60">
        <w:rPr>
          <w:rFonts w:ascii="Arial" w:hAnsi="Arial" w:cs="Arial"/>
          <w:lang w:val="es-ES_tradnl"/>
        </w:rPr>
        <w:t>2) y en las Guías Operativas de CT (GN-2629-1).</w:t>
      </w:r>
    </w:p>
    <w:p w14:paraId="73289CAC" w14:textId="77777777" w:rsidR="0045382E" w:rsidRDefault="00CF12A4">
      <w:pPr>
        <w:spacing w:before="200" w:after="200"/>
        <w:ind w:left="579" w:hanging="579"/>
        <w:jc w:val="both"/>
        <w:rPr>
          <w:rFonts w:ascii="Arial" w:hAnsi="Arial" w:cs="Arial"/>
          <w:lang w:val="es-ES_tradnl"/>
        </w:rPr>
      </w:pPr>
      <w:r w:rsidRPr="00125B60">
        <w:rPr>
          <w:rFonts w:ascii="Arial" w:hAnsi="Arial" w:cs="Arial"/>
          <w:lang w:val="es-ES_tradnl"/>
        </w:rPr>
        <w:t>5.2</w:t>
      </w:r>
      <w:r w:rsidRPr="00125B60">
        <w:rPr>
          <w:rFonts w:ascii="Arial" w:hAnsi="Arial" w:cs="Arial"/>
          <w:lang w:val="es-ES_tradnl"/>
        </w:rPr>
        <w:tab/>
        <w:t>Est</w:t>
      </w:r>
      <w:r w:rsidR="0045382E">
        <w:rPr>
          <w:rFonts w:ascii="Arial" w:hAnsi="Arial" w:cs="Arial"/>
          <w:lang w:val="es-ES_tradnl"/>
        </w:rPr>
        <w:t>o</w:t>
      </w:r>
      <w:r w:rsidRPr="00125B60">
        <w:rPr>
          <w:rFonts w:ascii="Arial" w:hAnsi="Arial" w:cs="Arial"/>
          <w:lang w:val="es-ES_tradnl"/>
        </w:rPr>
        <w:t xml:space="preserve"> </w:t>
      </w:r>
      <w:r w:rsidRPr="00125B60">
        <w:rPr>
          <w:rFonts w:ascii="Arial" w:hAnsi="Arial" w:cs="Arial"/>
          <w:lang w:val="es-ES_tradnl"/>
        </w:rPr>
        <w:t xml:space="preserve">se debe a la naturaleza del proyecto y a la experiencia y capacidad que tiene el Banco en </w:t>
      </w:r>
      <w:r w:rsidRPr="00125B60">
        <w:rPr>
          <w:rFonts w:ascii="Arial" w:hAnsi="Arial" w:cs="Arial"/>
          <w:lang w:val="es-ES_tradnl"/>
        </w:rPr>
        <w:t xml:space="preserve">ejecutar este tipo de proyectos y su capacidad para contratar consultorías internacionales de alto nivel, con un valor agregado, además de las mayores opciones que tiene el Banco para usar herramientas para transferir lecciones aprendidas de otros países, </w:t>
      </w:r>
      <w:r w:rsidRPr="00125B60">
        <w:rPr>
          <w:rFonts w:ascii="Arial" w:hAnsi="Arial" w:cs="Arial"/>
          <w:lang w:val="es-ES_tradnl"/>
        </w:rPr>
        <w:t>así como organizar actividades para promover la transferencia de mejores prácticas de dentro y fuera de la región. El Banco supervisará los servicios de consultoría y el beneficiario podrá brindar insumos técnicos a los informes de los consultores. La titu</w:t>
      </w:r>
      <w:r w:rsidRPr="00125B60">
        <w:rPr>
          <w:rFonts w:ascii="Arial" w:hAnsi="Arial" w:cs="Arial"/>
          <w:lang w:val="es-ES_tradnl"/>
        </w:rPr>
        <w:t xml:space="preserve">laridad de los derechos de propiedad intelectual resultantes de la ejecución de la CT pertenece al Banco; sin embargo, se otorgará una licencia de uso de los productos a los gobiernos beneficiarios. </w:t>
      </w:r>
    </w:p>
    <w:p w14:paraId="13BCCA9A" w14:textId="77996BA0" w:rsidR="002F72FC" w:rsidRPr="00125B60" w:rsidRDefault="0045382E">
      <w:pPr>
        <w:spacing w:before="200" w:after="200"/>
        <w:ind w:left="579" w:hanging="579"/>
        <w:jc w:val="both"/>
        <w:rPr>
          <w:lang w:val="es-ES_tradnl"/>
        </w:rPr>
      </w:pPr>
      <w:r>
        <w:rPr>
          <w:rFonts w:ascii="Arial" w:hAnsi="Arial" w:cs="Arial"/>
          <w:lang w:val="es-ES_tradnl"/>
        </w:rPr>
        <w:t>5.3</w:t>
      </w:r>
      <w:r>
        <w:rPr>
          <w:rFonts w:ascii="Arial" w:hAnsi="Arial" w:cs="Arial"/>
          <w:lang w:val="es-ES_tradnl"/>
        </w:rPr>
        <w:tab/>
      </w:r>
      <w:r w:rsidRPr="0045382E">
        <w:rPr>
          <w:rFonts w:ascii="Arial" w:hAnsi="Arial" w:cs="Arial"/>
          <w:b/>
          <w:lang w:val="es-ES_tradnl"/>
        </w:rPr>
        <w:t>Adquisiciones</w:t>
      </w:r>
      <w:r>
        <w:rPr>
          <w:rFonts w:ascii="Arial" w:hAnsi="Arial" w:cs="Arial"/>
          <w:lang w:val="es-ES_tradnl"/>
        </w:rPr>
        <w:t xml:space="preserve">. </w:t>
      </w:r>
      <w:r w:rsidR="00CF12A4" w:rsidRPr="00125B60">
        <w:rPr>
          <w:rFonts w:ascii="Arial" w:hAnsi="Arial" w:cs="Arial"/>
          <w:lang w:val="es-ES_tradnl"/>
        </w:rPr>
        <w:t xml:space="preserve">Las actividades a ejecutar bajo esta operación </w:t>
      </w:r>
      <w:r w:rsidR="00CF12A4" w:rsidRPr="00125B60">
        <w:rPr>
          <w:rFonts w:ascii="Arial" w:hAnsi="Arial" w:cs="Arial"/>
          <w:lang w:val="es-ES_tradnl"/>
        </w:rPr>
        <w:t>y serán ejecutadas de acuerdo con los métodos de adquisiciones establecidos del Banco, a saber: (a)</w:t>
      </w:r>
      <w:r>
        <w:rPr>
          <w:rFonts w:ascii="Arial" w:hAnsi="Arial" w:cs="Arial"/>
          <w:lang w:val="es-ES_tradnl"/>
        </w:rPr>
        <w:t> </w:t>
      </w:r>
      <w:r w:rsidR="00CF12A4" w:rsidRPr="00125B60">
        <w:rPr>
          <w:rFonts w:ascii="Arial" w:hAnsi="Arial" w:cs="Arial"/>
          <w:lang w:val="es-ES_tradnl"/>
        </w:rPr>
        <w:t>Contratación de consultores individuales, según lo establecido en las normas AM</w:t>
      </w:r>
      <w:r>
        <w:rPr>
          <w:rFonts w:ascii="Arial" w:hAnsi="Arial" w:cs="Arial"/>
          <w:lang w:val="es-ES_tradnl"/>
        </w:rPr>
        <w:noBreakHyphen/>
      </w:r>
      <w:r w:rsidR="00CF12A4" w:rsidRPr="00125B60">
        <w:rPr>
          <w:rFonts w:ascii="Arial" w:hAnsi="Arial" w:cs="Arial"/>
          <w:lang w:val="es-ES_tradnl"/>
        </w:rPr>
        <w:t>650; (b) Contratación de firmas</w:t>
      </w:r>
      <w:r w:rsidR="00CF12A4" w:rsidRPr="00125B60">
        <w:rPr>
          <w:rFonts w:ascii="Arial" w:hAnsi="Arial" w:cs="Arial"/>
          <w:lang w:val="es-ES_tradnl"/>
        </w:rPr>
        <w:t xml:space="preserve"> consultoras para servicios de naturaleza intelectual según la GN-2765-1 y sus guías operativas asociadas (OP-1155-4) y (c)</w:t>
      </w:r>
      <w:r w:rsidRPr="0045382E">
        <w:rPr>
          <w:rFonts w:ascii="Arial" w:hAnsi="Arial" w:cs="Arial"/>
          <w:lang w:val="es-ES_tradnl"/>
        </w:rPr>
        <w:t> </w:t>
      </w:r>
      <w:r w:rsidR="00CF12A4" w:rsidRPr="00125B60">
        <w:rPr>
          <w:rFonts w:ascii="Arial" w:hAnsi="Arial" w:cs="Arial"/>
          <w:lang w:val="es-ES_tradnl"/>
        </w:rPr>
        <w:t>Contratación de servicios logísticos y otros servicios distintos a consultoría, de acuerdo a la política GN-2303-20.</w:t>
      </w:r>
    </w:p>
    <w:p w14:paraId="4CB52ED1" w14:textId="4FB99297" w:rsidR="002F72FC" w:rsidRPr="00125B60" w:rsidRDefault="00CF12A4">
      <w:pPr>
        <w:spacing w:before="120" w:after="120"/>
        <w:ind w:left="579" w:hanging="579"/>
        <w:rPr>
          <w:lang w:val="es-ES_tradnl"/>
        </w:rPr>
      </w:pPr>
      <w:r w:rsidRPr="00125B60">
        <w:rPr>
          <w:rFonts w:ascii="Arial" w:hAnsi="Arial" w:cs="Arial"/>
          <w:b/>
          <w:lang w:val="es-ES_tradnl"/>
        </w:rPr>
        <w:t>VI.</w:t>
      </w:r>
      <w:r w:rsidRPr="00125B60">
        <w:rPr>
          <w:rFonts w:ascii="Arial" w:hAnsi="Arial" w:cs="Arial"/>
          <w:b/>
          <w:lang w:val="es-ES_tradnl"/>
        </w:rPr>
        <w:tab/>
      </w:r>
      <w:r w:rsidR="009A2DB9">
        <w:rPr>
          <w:rFonts w:ascii="Arial" w:hAnsi="Arial" w:cs="Arial"/>
          <w:b/>
          <w:lang w:val="es-ES_tradnl"/>
        </w:rPr>
        <w:t>Riesgos importantes</w:t>
      </w:r>
    </w:p>
    <w:p w14:paraId="5DD1DC98" w14:textId="3A72A259" w:rsidR="002F72FC" w:rsidRPr="00125B60" w:rsidRDefault="00CF12A4">
      <w:pPr>
        <w:spacing w:before="200" w:after="200"/>
        <w:ind w:left="579" w:hanging="579"/>
        <w:jc w:val="both"/>
        <w:rPr>
          <w:lang w:val="es-ES_tradnl"/>
        </w:rPr>
      </w:pPr>
      <w:r w:rsidRPr="00125B60">
        <w:rPr>
          <w:rFonts w:ascii="Arial" w:hAnsi="Arial" w:cs="Arial"/>
          <w:lang w:val="es-ES_tradnl"/>
        </w:rPr>
        <w:t>6.1</w:t>
      </w:r>
      <w:r w:rsidRPr="00125B60">
        <w:rPr>
          <w:rFonts w:ascii="Arial" w:hAnsi="Arial" w:cs="Arial"/>
          <w:lang w:val="es-ES_tradnl"/>
        </w:rPr>
        <w:tab/>
        <w:t>El equipo de esta operación no ha identificado riesgos sustanciales a nivel de rendición de cuentas, administración pública, macroeconómico, o fiduciario. El trabajo</w:t>
      </w:r>
      <w:r w:rsidR="009A2DB9">
        <w:rPr>
          <w:rFonts w:ascii="Arial" w:hAnsi="Arial" w:cs="Arial"/>
          <w:lang w:val="es-ES_tradnl"/>
        </w:rPr>
        <w:t xml:space="preserve"> </w:t>
      </w:r>
      <w:r w:rsidRPr="00125B60">
        <w:rPr>
          <w:rFonts w:ascii="Arial" w:hAnsi="Arial" w:cs="Arial"/>
          <w:lang w:val="es-ES_tradnl"/>
        </w:rPr>
        <w:t>actual existente y el interés específico mostrado por Guatemala, minimiz</w:t>
      </w:r>
      <w:r w:rsidRPr="00125B60">
        <w:rPr>
          <w:rFonts w:ascii="Arial" w:hAnsi="Arial" w:cs="Arial"/>
          <w:lang w:val="es-ES_tradnl"/>
        </w:rPr>
        <w:t>a el riesgo de que no exista demanda de los servicios resultantes de la CT. Dado que habrá un</w:t>
      </w:r>
      <w:r w:rsidR="009A2DB9">
        <w:rPr>
          <w:rFonts w:ascii="Arial" w:hAnsi="Arial" w:cs="Arial"/>
          <w:lang w:val="es-ES_tradnl"/>
        </w:rPr>
        <w:t xml:space="preserve"> </w:t>
      </w:r>
      <w:r w:rsidRPr="00125B60">
        <w:rPr>
          <w:rFonts w:ascii="Arial" w:hAnsi="Arial" w:cs="Arial"/>
          <w:lang w:val="es-ES_tradnl"/>
        </w:rPr>
        <w:t>nuevo gobierno a partir del 16 de junio de 2019, se realizarán las consultas oportunas con las nuevas autoridades para validar que se mantiene el interés en la pr</w:t>
      </w:r>
      <w:r w:rsidRPr="00125B60">
        <w:rPr>
          <w:rFonts w:ascii="Arial" w:hAnsi="Arial" w:cs="Arial"/>
          <w:lang w:val="es-ES_tradnl"/>
        </w:rPr>
        <w:t>opuesta.</w:t>
      </w:r>
    </w:p>
    <w:p w14:paraId="570896CC" w14:textId="5CB1FA1D" w:rsidR="002F72FC" w:rsidRPr="009A2DB9" w:rsidRDefault="00CF12A4">
      <w:pPr>
        <w:spacing w:before="120" w:after="120"/>
        <w:ind w:left="579" w:hanging="579"/>
        <w:rPr>
          <w:lang w:val="es-ES_tradnl"/>
        </w:rPr>
      </w:pPr>
      <w:r w:rsidRPr="009A2DB9">
        <w:rPr>
          <w:rFonts w:ascii="Arial" w:hAnsi="Arial" w:cs="Arial"/>
          <w:b/>
          <w:lang w:val="es-ES_tradnl"/>
        </w:rPr>
        <w:t>VII.</w:t>
      </w:r>
      <w:r w:rsidRPr="009A2DB9">
        <w:rPr>
          <w:rFonts w:ascii="Arial" w:hAnsi="Arial" w:cs="Arial"/>
          <w:b/>
          <w:lang w:val="es-ES_tradnl"/>
        </w:rPr>
        <w:tab/>
      </w:r>
      <w:r w:rsidR="009A2DB9" w:rsidRPr="009A2DB9">
        <w:rPr>
          <w:rFonts w:ascii="Arial" w:hAnsi="Arial" w:cs="Arial"/>
          <w:b/>
          <w:lang w:val="es-ES_tradnl"/>
        </w:rPr>
        <w:t>Salvaguardias ambientales</w:t>
      </w:r>
    </w:p>
    <w:p w14:paraId="7F8DF94E" w14:textId="37D96E25" w:rsidR="002F72FC" w:rsidRPr="009A2DB9" w:rsidRDefault="00CF12A4">
      <w:pPr>
        <w:spacing w:before="240" w:after="120"/>
        <w:ind w:left="579" w:hanging="579"/>
        <w:jc w:val="both"/>
        <w:rPr>
          <w:lang w:val="es-ES_tradnl"/>
        </w:rPr>
      </w:pPr>
      <w:r w:rsidRPr="009A2DB9">
        <w:rPr>
          <w:rFonts w:ascii="Arial" w:hAnsi="Arial" w:cs="Arial"/>
          <w:lang w:val="es-ES_tradnl"/>
        </w:rPr>
        <w:t>7.1</w:t>
      </w:r>
      <w:r w:rsidRPr="009A2DB9">
        <w:rPr>
          <w:rFonts w:ascii="Arial" w:hAnsi="Arial" w:cs="Arial"/>
          <w:lang w:val="es-ES_tradnl"/>
        </w:rPr>
        <w:tab/>
      </w:r>
      <w:r w:rsidR="009A2DB9" w:rsidRPr="009A2DB9">
        <w:rPr>
          <w:rFonts w:ascii="Arial" w:hAnsi="Arial" w:cs="Arial"/>
          <w:lang w:val="es-ES_tradnl"/>
        </w:rPr>
        <w:t xml:space="preserve">La clasificación de ESG de esta </w:t>
      </w:r>
      <w:r w:rsidR="009A2DB9">
        <w:rPr>
          <w:rFonts w:ascii="Arial" w:hAnsi="Arial" w:cs="Arial"/>
          <w:lang w:val="es-ES_tradnl"/>
        </w:rPr>
        <w:t xml:space="preserve">operación es </w:t>
      </w:r>
      <w:r w:rsidRPr="009A2DB9">
        <w:rPr>
          <w:rFonts w:ascii="Arial" w:hAnsi="Arial" w:cs="Arial"/>
          <w:lang w:val="es-ES_tradnl"/>
        </w:rPr>
        <w:t>"</w:t>
      </w:r>
      <w:r w:rsidR="0045382E" w:rsidRPr="009A2DB9">
        <w:rPr>
          <w:rFonts w:ascii="Arial" w:hAnsi="Arial" w:cs="Arial"/>
          <w:lang w:val="es-ES_tradnl"/>
        </w:rPr>
        <w:t>C</w:t>
      </w:r>
      <w:r w:rsidRPr="009A2DB9">
        <w:rPr>
          <w:rFonts w:ascii="Arial" w:hAnsi="Arial" w:cs="Arial"/>
          <w:lang w:val="es-ES_tradnl"/>
        </w:rPr>
        <w:t>".</w:t>
      </w:r>
    </w:p>
    <w:sectPr w:rsidR="002F72FC" w:rsidRPr="009A2DB9"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59008" w14:textId="77777777" w:rsidR="00CF12A4" w:rsidRDefault="00CF12A4">
      <w:r>
        <w:separator/>
      </w:r>
    </w:p>
  </w:endnote>
  <w:endnote w:type="continuationSeparator" w:id="0">
    <w:p w14:paraId="48DC4C2A" w14:textId="77777777" w:rsidR="00CF12A4" w:rsidRDefault="00CF1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542B6" w14:textId="77777777" w:rsidR="009D472B" w:rsidRDefault="00CF12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AA6FD" w14:textId="77777777" w:rsidR="009D472B" w:rsidRDefault="00CF12A4"/>
  <w:p w14:paraId="28E50743" w14:textId="77777777" w:rsidR="002F72FC" w:rsidRDefault="00CF12A4">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853EE" w14:textId="77777777" w:rsidR="009D472B" w:rsidRDefault="00CF12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AD35C" w14:textId="77777777" w:rsidR="00CF12A4" w:rsidRDefault="00CF12A4">
      <w:r>
        <w:separator/>
      </w:r>
    </w:p>
  </w:footnote>
  <w:footnote w:type="continuationSeparator" w:id="0">
    <w:p w14:paraId="319380EA" w14:textId="77777777" w:rsidR="00CF12A4" w:rsidRDefault="00CF1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25B60"/>
    <w:rsid w:val="001915A3"/>
    <w:rsid w:val="00217F62"/>
    <w:rsid w:val="00294805"/>
    <w:rsid w:val="002F72FC"/>
    <w:rsid w:val="0045382E"/>
    <w:rsid w:val="009A2DB9"/>
    <w:rsid w:val="00A906D8"/>
    <w:rsid w:val="00AB5A74"/>
    <w:rsid w:val="00B00546"/>
    <w:rsid w:val="00CF12A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0FE93"/>
  <w15:docId w15:val="{D8318678-48D1-447C-A365-42B0DAE1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C05D82849DCB479186C02062FF6E84" ma:contentTypeVersion="1513" ma:contentTypeDescription="A content type to manage public (operations) IDB documents" ma:contentTypeScope="" ma:versionID="01b30d58dbc8ac4dc926d3268d93f347">
  <xsd:schema xmlns:xsd="http://www.w3.org/2001/XMLSchema" xmlns:xs="http://www.w3.org/2001/XMLSchema" xmlns:p="http://schemas.microsoft.com/office/2006/metadata/properties" xmlns:ns2="cdc7663a-08f0-4737-9e8c-148ce897a09c" targetNamespace="http://schemas.microsoft.com/office/2006/metadata/properties" ma:root="true" ma:fieldsID="86902fe59b720ae609f3a9c8d8a67c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Cruz Aguayo, Yyannu</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GENDER EQUALITY ＆ WOMEN'S EMPOWERMENT</TermName>
          <TermId xmlns="http://schemas.microsoft.com/office/infopath/2007/PartnerControls">f715ad4c-c890-4d3e-a783-2ca5da1f8d08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47</Value>
      <Value>30</Value>
      <Value>75</Value>
      <Value>38</Value>
      <Value>92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GU-T1303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EZSHARE-642377236-3</_dlc_DocId>
    <_dlc_DocIdUrl xmlns="cdc7663a-08f0-4737-9e8c-148ce897a09c">
      <Url>https://idbg.sharepoint.com/teams/EZ-GU-TCP/GU-T1303/_layouts/15/DocIdRedir.aspx?ID=EZSHARE-642377236-3</Url>
      <Description>EZSHARE-642377236-3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4DE1CF3-67B8-4EF0-BA85-10DF88D2487D}"/>
</file>

<file path=customXml/itemProps2.xml><?xml version="1.0" encoding="utf-8"?>
<ds:datastoreItem xmlns:ds="http://schemas.openxmlformats.org/officeDocument/2006/customXml" ds:itemID="{734F8DB3-F624-4D6C-ADBA-502F2F2FEA25}"/>
</file>

<file path=customXml/itemProps3.xml><?xml version="1.0" encoding="utf-8"?>
<ds:datastoreItem xmlns:ds="http://schemas.openxmlformats.org/officeDocument/2006/customXml" ds:itemID="{2BA82E8D-C710-4010-A142-D4DB42CC9555}"/>
</file>

<file path=customXml/itemProps4.xml><?xml version="1.0" encoding="utf-8"?>
<ds:datastoreItem xmlns:ds="http://schemas.openxmlformats.org/officeDocument/2006/customXml" ds:itemID="{F9D27C92-1A85-4637-A19F-12461E0A817D}"/>
</file>

<file path=customXml/itemProps5.xml><?xml version="1.0" encoding="utf-8"?>
<ds:datastoreItem xmlns:ds="http://schemas.openxmlformats.org/officeDocument/2006/customXml" ds:itemID="{9D0ED427-BFAC-4DB4-88C9-7193CCAC2FDD}"/>
</file>

<file path=customXml/itemProps6.xml><?xml version="1.0" encoding="utf-8"?>
<ds:datastoreItem xmlns:ds="http://schemas.openxmlformats.org/officeDocument/2006/customXml" ds:itemID="{CAC54AB2-855C-4429-A7BD-16803058934B}"/>
</file>

<file path=customXml/itemProps7.xml><?xml version="1.0" encoding="utf-8"?>
<ds:datastoreItem xmlns:ds="http://schemas.openxmlformats.org/officeDocument/2006/customXml" ds:itemID="{530C4DCD-B20E-4EA2-9403-6157DEEBF8E4}"/>
</file>

<file path=docProps/app.xml><?xml version="1.0" encoding="utf-8"?>
<Properties xmlns="http://schemas.openxmlformats.org/officeDocument/2006/extended-properties" xmlns:vt="http://schemas.openxmlformats.org/officeDocument/2006/docPropsVTypes">
  <Template>Normal.dotm</Template>
  <TotalTime>0</TotalTime>
  <Pages>3</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Ethel Muhlstein</cp:lastModifiedBy>
  <cp:revision>2</cp:revision>
  <dcterms:created xsi:type="dcterms:W3CDTF">2019-05-29T22:36:00Z</dcterms:created>
  <dcterms:modified xsi:type="dcterms:W3CDTF">2019-05-29T22:36:00Z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47;#TC Abstract|7d12d2c9-3b07-4a95-a4b4-99c2881b0472</vt:lpwstr>
  </property>
  <property fmtid="{D5CDD505-2E9C-101B-9397-08002B2CF9AE}" pid="6" name="Sub-Sector">
    <vt:lpwstr>75;#GENDER EQUALITY ＆ WOMEN'S EMPOWERMENT|f715ad4c-c890-4d3e-a783-2ca5da1f8d08</vt:lpwstr>
  </property>
  <property fmtid="{D5CDD505-2E9C-101B-9397-08002B2CF9AE}" pid="7" name="Fund IDB">
    <vt:lpwstr>92;#SOC|3086ce3f-38db-462a-ad79-6fb1ca9264c8</vt:lpwstr>
  </property>
  <property fmtid="{D5CDD505-2E9C-101B-9397-08002B2CF9AE}" pid="8" name="Country">
    <vt:lpwstr>30;#Guatemala|f4a7ece3-5197-4ac8-b0c6-9e241da9714f</vt:lpwstr>
  </property>
  <property fmtid="{D5CDD505-2E9C-101B-9397-08002B2CF9AE}" pid="9" name="Sector IDB">
    <vt:lpwstr>38;#SOCIAL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986f9f34-1bee-47c8-9966-595c5ebf72dc</vt:lpwstr>
  </property>
  <property fmtid="{D5CDD505-2E9C-101B-9397-08002B2CF9AE}" pid="12" name="ContentTypeId">
    <vt:lpwstr>0x0101001A458A224826124E8B45B1D613300CFC0048C05D82849DCB479186C02062FF6E84</vt:lpwstr>
  </property>
</Properties>
</file>