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A1" w:rsidRDefault="00FE75A1" w:rsidP="00FE75A1">
      <w:pPr>
        <w:jc w:val="center"/>
        <w:rPr>
          <w:rFonts w:ascii="Times New Roman" w:hAnsi="Times New Roman" w:cs="Times New Roman"/>
          <w:b/>
          <w:bCs/>
          <w:sz w:val="24"/>
          <w:szCs w:val="16"/>
        </w:rPr>
      </w:pPr>
    </w:p>
    <w:p w:rsidR="00FE75A1" w:rsidRDefault="00FE75A1" w:rsidP="00FE75A1">
      <w:pPr>
        <w:jc w:val="center"/>
        <w:rPr>
          <w:rFonts w:ascii="Times New Roman" w:hAnsi="Times New Roman" w:cs="Times New Roman"/>
          <w:b/>
          <w:bCs/>
          <w:sz w:val="24"/>
          <w:szCs w:val="16"/>
        </w:rPr>
      </w:pPr>
      <w:r>
        <w:rPr>
          <w:rFonts w:ascii="Times New Roman" w:hAnsi="Times New Roman" w:cs="Times New Roman"/>
          <w:b/>
          <w:bCs/>
          <w:sz w:val="24"/>
          <w:szCs w:val="16"/>
        </w:rPr>
        <w:t xml:space="preserve">Project:  </w:t>
      </w:r>
      <w:smartTag w:uri="urn:schemas-microsoft-com:office:smarttags" w:element="country-region">
        <w:smartTag w:uri="urn:schemas-microsoft-com:office:smarttags" w:element="place">
          <w:r>
            <w:rPr>
              <w:rFonts w:ascii="Times New Roman" w:hAnsi="Times New Roman" w:cs="Times New Roman"/>
              <w:b/>
              <w:sz w:val="24"/>
              <w:szCs w:val="16"/>
            </w:rPr>
            <w:t>Barbados</w:t>
          </w:r>
        </w:smartTag>
      </w:smartTag>
      <w:r>
        <w:rPr>
          <w:rFonts w:ascii="Times New Roman" w:hAnsi="Times New Roman" w:cs="Times New Roman"/>
          <w:b/>
          <w:sz w:val="24"/>
          <w:szCs w:val="16"/>
        </w:rPr>
        <w:t xml:space="preserve"> Competitiveness Program</w:t>
      </w:r>
    </w:p>
    <w:p w:rsidR="00FE75A1" w:rsidRDefault="00FE75A1" w:rsidP="00FE75A1">
      <w:pPr>
        <w:jc w:val="center"/>
        <w:rPr>
          <w:rFonts w:ascii="Times New Roman" w:hAnsi="Times New Roman" w:cs="Times New Roman"/>
          <w:b/>
          <w:bCs/>
          <w:sz w:val="24"/>
          <w:szCs w:val="16"/>
        </w:rPr>
      </w:pPr>
      <w:r>
        <w:rPr>
          <w:rFonts w:ascii="Times New Roman" w:hAnsi="Times New Roman" w:cs="Times New Roman"/>
          <w:b/>
          <w:bCs/>
          <w:sz w:val="24"/>
          <w:szCs w:val="16"/>
        </w:rPr>
        <w:t>Project number:  BA-L1007 and Loan Contract number:  2278/OC-BA</w:t>
      </w:r>
    </w:p>
    <w:p w:rsidR="00FE75A1" w:rsidRDefault="00FE75A1" w:rsidP="00FE75A1">
      <w:pPr>
        <w:jc w:val="center"/>
        <w:rPr>
          <w:rFonts w:ascii="Times New Roman" w:hAnsi="Times New Roman" w:cs="Times New Roman"/>
          <w:b/>
          <w:sz w:val="24"/>
          <w:szCs w:val="16"/>
        </w:rPr>
      </w:pPr>
      <w:r>
        <w:rPr>
          <w:rFonts w:ascii="Times New Roman" w:hAnsi="Times New Roman" w:cs="Times New Roman"/>
          <w:b/>
          <w:bCs/>
          <w:sz w:val="24"/>
          <w:szCs w:val="16"/>
        </w:rPr>
        <w:t xml:space="preserve">Period included in this Procurement Plan:  From:  </w:t>
      </w:r>
      <w:r>
        <w:rPr>
          <w:rFonts w:ascii="Times New Roman" w:hAnsi="Times New Roman" w:cs="Times New Roman"/>
          <w:b/>
          <w:sz w:val="24"/>
          <w:szCs w:val="16"/>
        </w:rPr>
        <w:t>January 2010</w:t>
      </w:r>
      <w:r>
        <w:rPr>
          <w:rFonts w:ascii="Times New Roman" w:hAnsi="Times New Roman" w:cs="Times New Roman"/>
          <w:sz w:val="24"/>
          <w:szCs w:val="16"/>
        </w:rPr>
        <w:t xml:space="preserve"> </w:t>
      </w:r>
      <w:r>
        <w:rPr>
          <w:rFonts w:ascii="Times New Roman" w:hAnsi="Times New Roman" w:cs="Times New Roman"/>
          <w:b/>
          <w:bCs/>
          <w:sz w:val="24"/>
          <w:szCs w:val="16"/>
        </w:rPr>
        <w:t>until</w:t>
      </w:r>
      <w:r>
        <w:rPr>
          <w:rFonts w:ascii="Times New Roman" w:hAnsi="Times New Roman" w:cs="Times New Roman"/>
          <w:sz w:val="24"/>
          <w:szCs w:val="16"/>
        </w:rPr>
        <w:t xml:space="preserve"> </w:t>
      </w:r>
      <w:r>
        <w:rPr>
          <w:rFonts w:ascii="Times New Roman" w:hAnsi="Times New Roman" w:cs="Times New Roman"/>
          <w:b/>
          <w:sz w:val="24"/>
          <w:szCs w:val="16"/>
        </w:rPr>
        <w:t>June 2011</w:t>
      </w:r>
    </w:p>
    <w:p w:rsidR="00FE75A1" w:rsidRDefault="00FE75A1" w:rsidP="00FE75A1">
      <w:pPr>
        <w:jc w:val="center"/>
        <w:rPr>
          <w:rFonts w:ascii="Times New Roman" w:hAnsi="Times New Roman" w:cs="Times New Roman"/>
          <w:b/>
          <w:sz w:val="24"/>
          <w:szCs w:val="16"/>
        </w:rPr>
      </w:pPr>
    </w:p>
    <w:p w:rsidR="00FE75A1" w:rsidRPr="009E438D" w:rsidRDefault="00FE75A1" w:rsidP="00FE75A1">
      <w:pPr>
        <w:pStyle w:val="PlainText"/>
        <w:jc w:val="both"/>
        <w:rPr>
          <w:rFonts w:ascii="Times New Roman" w:hAnsi="Times New Roman" w:cs="Times New Roman"/>
          <w:b/>
          <w:u w:val="single"/>
        </w:rPr>
      </w:pPr>
      <w:r w:rsidRPr="009E438D">
        <w:rPr>
          <w:rFonts w:ascii="Times New Roman" w:hAnsi="Times New Roman" w:cs="Times New Roman"/>
          <w:b/>
          <w:u w:val="single"/>
        </w:rPr>
        <w:t>Please note that the Executing Agency within the Ministry responsible for th</w:t>
      </w:r>
      <w:r w:rsidR="009E438D">
        <w:rPr>
          <w:rFonts w:ascii="Times New Roman" w:hAnsi="Times New Roman" w:cs="Times New Roman"/>
          <w:b/>
          <w:u w:val="single"/>
        </w:rPr>
        <w:t>is</w:t>
      </w:r>
      <w:r w:rsidRPr="009E438D">
        <w:rPr>
          <w:rFonts w:ascii="Times New Roman" w:hAnsi="Times New Roman" w:cs="Times New Roman"/>
          <w:b/>
          <w:u w:val="single"/>
        </w:rPr>
        <w:t xml:space="preserve"> project has not yet been created. The Procurement Plan information will be updated within the thirty days of the creation of the Executing Agency.</w:t>
      </w:r>
    </w:p>
    <w:p w:rsidR="00FE75A1" w:rsidRDefault="00FE75A1" w:rsidP="00FE75A1">
      <w:pPr>
        <w:jc w:val="both"/>
        <w:rPr>
          <w:rFonts w:ascii="Times New Roman" w:hAnsi="Times New Roman" w:cs="Times New Roman"/>
          <w:b/>
          <w:sz w:val="24"/>
          <w:szCs w:val="16"/>
        </w:rPr>
      </w:pPr>
    </w:p>
    <w:p w:rsidR="00FE75A1" w:rsidRDefault="00FE75A1" w:rsidP="00FE75A1">
      <w:pPr>
        <w:jc w:val="center"/>
        <w:rPr>
          <w:rFonts w:ascii="Times New Roman" w:hAnsi="Times New Roman" w:cs="Times New Roman"/>
          <w:b/>
          <w:sz w:val="24"/>
          <w:szCs w:val="16"/>
        </w:rPr>
      </w:pPr>
    </w:p>
    <w:tbl>
      <w:tblPr>
        <w:tblW w:w="11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5"/>
        <w:gridCol w:w="1543"/>
        <w:gridCol w:w="7"/>
        <w:gridCol w:w="936"/>
        <w:gridCol w:w="22"/>
        <w:gridCol w:w="1138"/>
        <w:gridCol w:w="741"/>
        <w:gridCol w:w="644"/>
        <w:gridCol w:w="10"/>
        <w:gridCol w:w="656"/>
        <w:gridCol w:w="45"/>
        <w:gridCol w:w="704"/>
        <w:gridCol w:w="7"/>
        <w:gridCol w:w="1145"/>
        <w:gridCol w:w="12"/>
        <w:gridCol w:w="1044"/>
        <w:gridCol w:w="12"/>
        <w:gridCol w:w="924"/>
        <w:gridCol w:w="1595"/>
      </w:tblGrid>
      <w:tr w:rsidR="00FE75A1" w:rsidTr="00FE75A1">
        <w:trPr>
          <w:cantSplit/>
          <w:trHeight w:val="58"/>
          <w:tblHeader/>
          <w:jc w:val="center"/>
        </w:trPr>
        <w:tc>
          <w:tcPr>
            <w:tcW w:w="545" w:type="dxa"/>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Ref. No.</w:t>
            </w:r>
            <w:r>
              <w:rPr>
                <w:rStyle w:val="FootnoteReference"/>
                <w:rFonts w:ascii="Times New Roman" w:hAnsi="Times New Roman" w:cs="Times New Roman"/>
                <w:b/>
                <w:bCs/>
                <w:sz w:val="16"/>
                <w:szCs w:val="16"/>
              </w:rPr>
              <w:footnoteReference w:id="1"/>
            </w:r>
          </w:p>
          <w:p w:rsidR="00FE75A1" w:rsidRDefault="00FE75A1">
            <w:pPr>
              <w:jc w:val="center"/>
              <w:rPr>
                <w:rFonts w:ascii="Times New Roman" w:hAnsi="Times New Roman" w:cs="Times New Roman"/>
                <w:b/>
                <w:bCs/>
                <w:sz w:val="16"/>
                <w:szCs w:val="16"/>
              </w:rPr>
            </w:pPr>
          </w:p>
        </w:tc>
        <w:tc>
          <w:tcPr>
            <w:tcW w:w="1550" w:type="dxa"/>
            <w:gridSpan w:val="2"/>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 xml:space="preserve">Description and type </w:t>
            </w: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of  the procurement  contract</w:t>
            </w:r>
          </w:p>
        </w:tc>
        <w:tc>
          <w:tcPr>
            <w:tcW w:w="936" w:type="dxa"/>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Estimated Contract Cost (US$000)</w:t>
            </w:r>
          </w:p>
        </w:tc>
        <w:tc>
          <w:tcPr>
            <w:tcW w:w="1160" w:type="dxa"/>
            <w:gridSpan w:val="2"/>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 xml:space="preserve">Procurement method </w:t>
            </w:r>
            <w:r>
              <w:rPr>
                <w:rStyle w:val="FootnoteReference"/>
                <w:rFonts w:ascii="Times New Roman" w:hAnsi="Times New Roman" w:cs="Times New Roman"/>
                <w:b/>
                <w:bCs/>
                <w:sz w:val="16"/>
                <w:szCs w:val="16"/>
              </w:rPr>
              <w:footnoteReference w:id="2"/>
            </w:r>
          </w:p>
        </w:tc>
        <w:tc>
          <w:tcPr>
            <w:tcW w:w="741" w:type="dxa"/>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lang w:val="fr-FR"/>
              </w:rPr>
            </w:pPr>
          </w:p>
          <w:p w:rsidR="00FE75A1" w:rsidRDefault="00FE75A1">
            <w:pPr>
              <w:jc w:val="center"/>
              <w:rPr>
                <w:rFonts w:ascii="Times New Roman" w:hAnsi="Times New Roman" w:cs="Times New Roman"/>
                <w:b/>
                <w:bCs/>
                <w:sz w:val="16"/>
                <w:szCs w:val="16"/>
                <w:lang w:val="fr-FR"/>
              </w:rPr>
            </w:pPr>
            <w:r>
              <w:rPr>
                <w:rFonts w:ascii="Times New Roman" w:hAnsi="Times New Roman" w:cs="Times New Roman"/>
                <w:b/>
                <w:bCs/>
                <w:sz w:val="16"/>
                <w:szCs w:val="16"/>
                <w:lang w:val="fr-FR"/>
              </w:rPr>
              <w:t>Review (ex-ante</w:t>
            </w:r>
          </w:p>
          <w:p w:rsidR="00FE75A1" w:rsidRDefault="00FE75A1">
            <w:pPr>
              <w:jc w:val="center"/>
              <w:rPr>
                <w:rFonts w:ascii="Times New Roman" w:hAnsi="Times New Roman" w:cs="Times New Roman"/>
                <w:b/>
                <w:bCs/>
                <w:sz w:val="16"/>
                <w:szCs w:val="16"/>
                <w:lang w:val="fr-FR"/>
              </w:rPr>
            </w:pPr>
            <w:r>
              <w:rPr>
                <w:rFonts w:ascii="Times New Roman" w:hAnsi="Times New Roman" w:cs="Times New Roman"/>
                <w:b/>
                <w:bCs/>
                <w:sz w:val="16"/>
                <w:szCs w:val="16"/>
                <w:lang w:val="fr-FR"/>
              </w:rPr>
              <w:t>or</w:t>
            </w:r>
          </w:p>
          <w:p w:rsidR="00FE75A1" w:rsidRDefault="00FE75A1">
            <w:pPr>
              <w:jc w:val="center"/>
              <w:rPr>
                <w:rFonts w:ascii="Times New Roman" w:hAnsi="Times New Roman" w:cs="Times New Roman"/>
                <w:b/>
                <w:bCs/>
                <w:sz w:val="16"/>
                <w:szCs w:val="16"/>
                <w:lang w:val="fr-FR"/>
              </w:rPr>
            </w:pPr>
            <w:r>
              <w:rPr>
                <w:rFonts w:ascii="Times New Roman" w:hAnsi="Times New Roman" w:cs="Times New Roman"/>
                <w:b/>
                <w:bCs/>
                <w:sz w:val="16"/>
                <w:szCs w:val="16"/>
                <w:lang w:val="fr-FR"/>
              </w:rPr>
              <w:t xml:space="preserve"> ex-post)</w:t>
            </w:r>
          </w:p>
        </w:tc>
        <w:tc>
          <w:tcPr>
            <w:tcW w:w="1310"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lang w:val="fr-FR"/>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Source of financing</w:t>
            </w: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and percentage</w:t>
            </w:r>
          </w:p>
          <w:p w:rsidR="00FE75A1" w:rsidRDefault="00FE75A1">
            <w:pPr>
              <w:jc w:val="center"/>
              <w:rPr>
                <w:rFonts w:ascii="Times New Roman" w:hAnsi="Times New Roman" w:cs="Times New Roman"/>
                <w:b/>
                <w:bCs/>
                <w:sz w:val="16"/>
                <w:szCs w:val="16"/>
              </w:rPr>
            </w:pPr>
          </w:p>
        </w:tc>
        <w:tc>
          <w:tcPr>
            <w:tcW w:w="756" w:type="dxa"/>
            <w:gridSpan w:val="3"/>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 xml:space="preserve">Pre-qualifi-cation </w:t>
            </w:r>
            <w:r>
              <w:rPr>
                <w:rStyle w:val="FootnoteReference"/>
                <w:rFonts w:ascii="Times New Roman" w:hAnsi="Times New Roman" w:cs="Times New Roman"/>
                <w:b/>
                <w:bCs/>
                <w:sz w:val="16"/>
                <w:szCs w:val="16"/>
              </w:rPr>
              <w:footnoteReference w:id="3"/>
            </w:r>
          </w:p>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(Yes/No)</w:t>
            </w:r>
          </w:p>
        </w:tc>
        <w:tc>
          <w:tcPr>
            <w:tcW w:w="2201"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Estimated dates</w:t>
            </w:r>
          </w:p>
        </w:tc>
        <w:tc>
          <w:tcPr>
            <w:tcW w:w="936" w:type="dxa"/>
            <w:gridSpan w:val="2"/>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 xml:space="preserve">Status </w:t>
            </w:r>
            <w:r>
              <w:rPr>
                <w:rStyle w:val="FootnoteReference"/>
                <w:rFonts w:ascii="Times New Roman" w:hAnsi="Times New Roman" w:cs="Times New Roman"/>
                <w:b/>
                <w:bCs/>
                <w:sz w:val="16"/>
                <w:szCs w:val="16"/>
              </w:rPr>
              <w:footnoteReference w:id="4"/>
            </w:r>
            <w:r>
              <w:rPr>
                <w:rFonts w:ascii="Times New Roman" w:hAnsi="Times New Roman" w:cs="Times New Roman"/>
                <w:b/>
                <w:bCs/>
                <w:sz w:val="16"/>
                <w:szCs w:val="16"/>
              </w:rPr>
              <w:t xml:space="preserve"> (pending, in process, awarded, cancelled)</w:t>
            </w:r>
          </w:p>
        </w:tc>
        <w:tc>
          <w:tcPr>
            <w:tcW w:w="1595" w:type="dxa"/>
            <w:vMerge w:val="restart"/>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Comments</w:t>
            </w:r>
          </w:p>
        </w:tc>
      </w:tr>
      <w:tr w:rsidR="00FE75A1" w:rsidTr="00FE75A1">
        <w:trPr>
          <w:cantSplit/>
          <w:trHeight w:val="576"/>
          <w:tblHeader/>
          <w:jc w:val="center"/>
        </w:trPr>
        <w:tc>
          <w:tcPr>
            <w:tcW w:w="545" w:type="dxa"/>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1550" w:type="dxa"/>
            <w:gridSpan w:val="2"/>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1160" w:type="dxa"/>
            <w:gridSpan w:val="2"/>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lang w:val="fr-FR"/>
              </w:rPr>
            </w:pP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b/>
                <w:bCs/>
                <w:sz w:val="16"/>
                <w:szCs w:val="16"/>
              </w:rPr>
            </w:pP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IDB</w:t>
            </w: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spacing w:before="120"/>
              <w:jc w:val="center"/>
              <w:rPr>
                <w:rFonts w:ascii="Times New Roman" w:hAnsi="Times New Roman" w:cs="Times New Roman"/>
                <w:b/>
                <w:bCs/>
                <w:sz w:val="16"/>
                <w:szCs w:val="16"/>
              </w:rPr>
            </w:pPr>
            <w:r>
              <w:rPr>
                <w:rFonts w:ascii="Times New Roman" w:hAnsi="Times New Roman" w:cs="Times New Roman"/>
                <w:b/>
                <w:bCs/>
                <w:sz w:val="16"/>
                <w:szCs w:val="16"/>
              </w:rPr>
              <w:t>Local/ Other</w:t>
            </w:r>
          </w:p>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w:t>
            </w:r>
          </w:p>
        </w:tc>
        <w:tc>
          <w:tcPr>
            <w:tcW w:w="756" w:type="dxa"/>
            <w:gridSpan w:val="3"/>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Publication of specific procurement notice</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Completion of contract</w:t>
            </w:r>
          </w:p>
        </w:tc>
        <w:tc>
          <w:tcPr>
            <w:tcW w:w="936" w:type="dxa"/>
            <w:gridSpan w:val="2"/>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FE75A1" w:rsidRDefault="00FE75A1">
            <w:pPr>
              <w:rPr>
                <w:rFonts w:ascii="Times New Roman" w:hAnsi="Times New Roman" w:cs="Times New Roman"/>
                <w:b/>
                <w:bCs/>
                <w:sz w:val="16"/>
                <w:szCs w:val="16"/>
              </w:rPr>
            </w:pPr>
          </w:p>
        </w:tc>
      </w:tr>
      <w:tr w:rsidR="00FE75A1" w:rsidTr="00FE75A1">
        <w:trPr>
          <w:cantSplit/>
          <w:trHeight w:val="273"/>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shd w:val="clear" w:color="auto" w:fill="E0E0E0"/>
            <w:hideMark/>
          </w:tcPr>
          <w:p w:rsidR="00FE75A1" w:rsidRDefault="00FE75A1">
            <w:pPr>
              <w:jc w:val="center"/>
              <w:rPr>
                <w:rFonts w:ascii="Times New Roman" w:hAnsi="Times New Roman" w:cs="Times New Roman"/>
                <w:b/>
                <w:bCs/>
                <w:sz w:val="16"/>
                <w:szCs w:val="16"/>
              </w:rPr>
            </w:pPr>
            <w:r>
              <w:rPr>
                <w:rFonts w:ascii="Times New Roman" w:hAnsi="Times New Roman" w:cs="Times New Roman"/>
                <w:b/>
                <w:bCs/>
                <w:sz w:val="16"/>
                <w:szCs w:val="16"/>
              </w:rPr>
              <w:t>GOODS</w:t>
            </w:r>
          </w:p>
        </w:tc>
      </w:tr>
      <w:tr w:rsidR="00FE75A1" w:rsidTr="00FE75A1">
        <w:trPr>
          <w:cantSplit/>
          <w:trHeight w:val="34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b/>
                <w:bCs/>
                <w:sz w:val="16"/>
                <w:szCs w:val="16"/>
              </w:rPr>
              <w:t>Component 3.1:  Trade Logistics and Facilitation</w:t>
            </w: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jc w:val="both"/>
              <w:rPr>
                <w:rFonts w:ascii="Times New Roman" w:hAnsi="Times New Roman" w:cs="Times New Roman"/>
                <w:sz w:val="16"/>
                <w:szCs w:val="16"/>
              </w:rPr>
            </w:pPr>
          </w:p>
          <w:p w:rsidR="00FE75A1" w:rsidRDefault="00FE75A1">
            <w:pPr>
              <w:rPr>
                <w:rFonts w:ascii="Times New Roman" w:hAnsi="Times New Roman" w:cs="Times New Roman"/>
                <w:sz w:val="16"/>
                <w:szCs w:val="16"/>
              </w:rPr>
            </w:pPr>
            <w:r>
              <w:rPr>
                <w:rFonts w:ascii="Times New Roman" w:hAnsi="Times New Roman" w:cs="Times New Roman"/>
                <w:sz w:val="16"/>
                <w:szCs w:val="16"/>
              </w:rPr>
              <w:t>Document Management System and IT upgrade of all other trade related agencies to connect to the Electronic Single Window.</w:t>
            </w:r>
          </w:p>
          <w:p w:rsidR="00FE75A1" w:rsidRDefault="00FE75A1">
            <w:pPr>
              <w:ind w:left="720"/>
              <w:rPr>
                <w:rFonts w:ascii="Times New Roman" w:hAnsi="Times New Roman" w:cs="Times New Roman"/>
                <w:sz w:val="16"/>
                <w:szCs w:val="16"/>
              </w:rPr>
            </w:pP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600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highlight w:val="yellow"/>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Yes</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2</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48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Software upgrade for Asycuda and BPI.</w:t>
            </w: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750</w:t>
            </w:r>
          </w:p>
        </w:tc>
        <w:tc>
          <w:tcPr>
            <w:tcW w:w="1160"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ICB</w:t>
            </w:r>
          </w:p>
        </w:tc>
        <w:tc>
          <w:tcPr>
            <w:tcW w:w="741"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highlight w:val="yellow"/>
              </w:rPr>
            </w:pPr>
          </w:p>
        </w:tc>
        <w:tc>
          <w:tcPr>
            <w:tcW w:w="756"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Yes</w:t>
            </w:r>
          </w:p>
        </w:tc>
        <w:tc>
          <w:tcPr>
            <w:tcW w:w="1145"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8441DA" w:rsidP="008441DA">
            <w:pPr>
              <w:jc w:val="center"/>
              <w:rPr>
                <w:rFonts w:ascii="Times New Roman" w:hAnsi="Times New Roman" w:cs="Times New Roman"/>
                <w:sz w:val="16"/>
                <w:szCs w:val="16"/>
              </w:rPr>
            </w:pPr>
            <w:r>
              <w:rPr>
                <w:rFonts w:ascii="Times New Roman" w:hAnsi="Times New Roman" w:cs="Times New Roman"/>
                <w:sz w:val="16"/>
                <w:szCs w:val="16"/>
              </w:rPr>
              <w:t>1Q</w:t>
            </w:r>
            <w:r w:rsidR="00FE75A1">
              <w:rPr>
                <w:rFonts w:ascii="Times New Roman" w:hAnsi="Times New Roman" w:cs="Times New Roman"/>
                <w:sz w:val="16"/>
                <w:szCs w:val="16"/>
              </w:rPr>
              <w:t xml:space="preserve"> 201</w:t>
            </w:r>
            <w:r>
              <w:rPr>
                <w:rFonts w:ascii="Times New Roman" w:hAnsi="Times New Roman" w:cs="Times New Roman"/>
                <w:sz w:val="16"/>
                <w:szCs w:val="16"/>
              </w:rPr>
              <w:t>4</w:t>
            </w:r>
          </w:p>
        </w:tc>
        <w:tc>
          <w:tcPr>
            <w:tcW w:w="93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48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p w:rsidR="00FE75A1" w:rsidRDefault="00FE75A1">
            <w:pPr>
              <w:pStyle w:val="Heading3"/>
              <w:widowControl/>
              <w:rPr>
                <w:rFonts w:eastAsiaTheme="minorEastAsia"/>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Implementation of Electronic Single Window.</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3,000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highlight w:val="yellow"/>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Yes</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rsidP="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273"/>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jc w:val="both"/>
              <w:rPr>
                <w:rFonts w:ascii="Times New Roman" w:hAnsi="Times New Roman" w:cs="Times New Roman"/>
                <w:sz w:val="16"/>
                <w:szCs w:val="16"/>
              </w:rPr>
            </w:pPr>
            <w:r>
              <w:rPr>
                <w:rFonts w:ascii="Times New Roman" w:hAnsi="Times New Roman" w:cs="Times New Roman"/>
                <w:b/>
                <w:sz w:val="16"/>
                <w:szCs w:val="16"/>
              </w:rPr>
              <w:t>Component 4:  Strengthening the Social Partnership to develop consensus on competitiveness issues</w:t>
            </w:r>
          </w:p>
        </w:tc>
      </w:tr>
      <w:tr w:rsidR="00FE75A1" w:rsidTr="00FE75A1">
        <w:trPr>
          <w:cantSplit/>
          <w:trHeight w:val="48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Cs/>
                <w:sz w:val="16"/>
                <w:szCs w:val="16"/>
                <w:lang w:val="en-029"/>
              </w:rPr>
            </w:pPr>
            <w:r>
              <w:rPr>
                <w:rFonts w:ascii="Times New Roman" w:hAnsi="Times New Roman" w:cs="Times New Roman"/>
                <w:bCs/>
                <w:sz w:val="16"/>
                <w:szCs w:val="16"/>
                <w:lang w:val="en-029"/>
              </w:rPr>
              <w:t>Set up of the Technical Unit (Equipment, Hardware, Software, Furniture).</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40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Ex-post</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lang w:val="en-029"/>
              </w:rPr>
            </w:pPr>
            <w:r>
              <w:rPr>
                <w:rFonts w:ascii="Times New Roman" w:hAnsi="Times New Roman" w:cs="Times New Roman"/>
                <w:sz w:val="16"/>
                <w:szCs w:val="16"/>
                <w:lang w:val="en-029"/>
              </w:rPr>
              <w:t>1</w:t>
            </w:r>
            <w:r w:rsidR="00FE75A1">
              <w:rPr>
                <w:rFonts w:ascii="Times New Roman" w:hAnsi="Times New Roman" w:cs="Times New Roman"/>
                <w:sz w:val="16"/>
                <w:szCs w:val="16"/>
                <w:lang w:val="en-029"/>
              </w:rPr>
              <w:t>Q 201</w:t>
            </w:r>
            <w:r>
              <w:rPr>
                <w:rFonts w:ascii="Times New Roman" w:hAnsi="Times New Roman" w:cs="Times New Roman"/>
                <w:sz w:val="16"/>
                <w:szCs w:val="16"/>
                <w:lang w:val="en-029"/>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lang w:val="en-029"/>
              </w:rPr>
            </w:pPr>
            <w:r>
              <w:rPr>
                <w:rFonts w:ascii="Times New Roman" w:hAnsi="Times New Roman" w:cs="Times New Roman"/>
                <w:sz w:val="16"/>
                <w:szCs w:val="16"/>
                <w:lang w:val="en-029"/>
              </w:rPr>
              <w:t>4</w:t>
            </w:r>
            <w:r w:rsidR="00FE75A1">
              <w:rPr>
                <w:rFonts w:ascii="Times New Roman" w:hAnsi="Times New Roman" w:cs="Times New Roman"/>
                <w:sz w:val="16"/>
                <w:szCs w:val="16"/>
                <w:lang w:val="en-029"/>
              </w:rPr>
              <w:t>Q 201</w:t>
            </w:r>
            <w:r>
              <w:rPr>
                <w:rFonts w:ascii="Times New Roman" w:hAnsi="Times New Roman" w:cs="Times New Roman"/>
                <w:sz w:val="16"/>
                <w:szCs w:val="16"/>
                <w:lang w:val="en-029"/>
              </w:rPr>
              <w:t>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21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jc w:val="both"/>
              <w:rPr>
                <w:rFonts w:ascii="Times New Roman" w:hAnsi="Times New Roman" w:cs="Times New Roman"/>
                <w:sz w:val="16"/>
                <w:szCs w:val="16"/>
              </w:rPr>
            </w:pPr>
            <w:r>
              <w:rPr>
                <w:rFonts w:ascii="Times New Roman" w:hAnsi="Times New Roman" w:cs="Times New Roman"/>
                <w:b/>
                <w:bCs/>
                <w:sz w:val="16"/>
                <w:szCs w:val="16"/>
                <w:lang w:val="en-029"/>
              </w:rPr>
              <w:t>Program Administration</w:t>
            </w:r>
          </w:p>
        </w:tc>
      </w:tr>
      <w:tr w:rsidR="00FE75A1" w:rsidTr="00FE75A1">
        <w:trPr>
          <w:cantSplit/>
          <w:trHeight w:val="48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Cs/>
                <w:sz w:val="16"/>
                <w:szCs w:val="16"/>
                <w:lang w:val="en-029"/>
              </w:rPr>
            </w:pPr>
            <w:r>
              <w:rPr>
                <w:rFonts w:ascii="Times New Roman" w:hAnsi="Times New Roman" w:cs="Times New Roman"/>
                <w:bCs/>
                <w:sz w:val="16"/>
                <w:szCs w:val="16"/>
                <w:lang w:val="en-029"/>
              </w:rPr>
              <w:t xml:space="preserve">Hardware, software and equipment for the Project Coordination Unit. </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60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Ex-post</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lang w:val="en-029"/>
              </w:rPr>
            </w:pPr>
            <w:r>
              <w:rPr>
                <w:rFonts w:ascii="Times New Roman" w:hAnsi="Times New Roman" w:cs="Times New Roman"/>
                <w:sz w:val="16"/>
                <w:szCs w:val="16"/>
                <w:lang w:val="en-029"/>
              </w:rPr>
              <w:t>3</w:t>
            </w:r>
            <w:r w:rsidR="00FE75A1">
              <w:rPr>
                <w:rFonts w:ascii="Times New Roman" w:hAnsi="Times New Roman" w:cs="Times New Roman"/>
                <w:sz w:val="16"/>
                <w:szCs w:val="16"/>
                <w:lang w:val="en-029"/>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lang w:val="en-029"/>
              </w:rPr>
            </w:pPr>
            <w:r>
              <w:rPr>
                <w:rFonts w:ascii="Times New Roman" w:hAnsi="Times New Roman" w:cs="Times New Roman"/>
                <w:sz w:val="16"/>
                <w:szCs w:val="16"/>
                <w:lang w:val="en-029"/>
              </w:rPr>
              <w:t>4</w:t>
            </w:r>
            <w:r w:rsidR="00FE75A1">
              <w:rPr>
                <w:rFonts w:ascii="Times New Roman" w:hAnsi="Times New Roman" w:cs="Times New Roman"/>
                <w:sz w:val="16"/>
                <w:szCs w:val="16"/>
                <w:lang w:val="en-029"/>
              </w:rPr>
              <w:t>Q 2010</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34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shd w:val="clear" w:color="auto" w:fill="E0E0E0"/>
            <w:vAlign w:val="center"/>
            <w:hideMark/>
          </w:tcPr>
          <w:p w:rsidR="00FE75A1" w:rsidRDefault="00FE75A1">
            <w:pPr>
              <w:jc w:val="center"/>
              <w:rPr>
                <w:rFonts w:ascii="Times New Roman" w:hAnsi="Times New Roman" w:cs="Times New Roman"/>
                <w:sz w:val="16"/>
                <w:szCs w:val="16"/>
              </w:rPr>
            </w:pPr>
            <w:r>
              <w:rPr>
                <w:rFonts w:ascii="Times New Roman" w:hAnsi="Times New Roman" w:cs="Times New Roman"/>
                <w:b/>
                <w:bCs/>
                <w:sz w:val="16"/>
                <w:szCs w:val="16"/>
              </w:rPr>
              <w:t>CONSULTING SERVICES</w:t>
            </w: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pStyle w:val="BodyText2"/>
              <w:rPr>
                <w:sz w:val="16"/>
                <w:szCs w:val="16"/>
                <w:lang w:val="en-US"/>
              </w:rPr>
            </w:pPr>
            <w:r>
              <w:rPr>
                <w:sz w:val="16"/>
                <w:szCs w:val="16"/>
                <w:lang w:val="en-US"/>
              </w:rPr>
              <w:t>Component 1:  Ensuring a coherent framework for business development: incentives and regulations</w:t>
            </w: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Input-Output matrix construction and Supply and Use Table updating. (consulting firm or specialized agency).</w:t>
            </w:r>
          </w:p>
        </w:tc>
        <w:tc>
          <w:tcPr>
            <w:tcW w:w="965"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175</w:t>
            </w: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4</w:t>
            </w:r>
            <w:r w:rsidR="00FE75A1">
              <w:rPr>
                <w:b w:val="0"/>
                <w:sz w:val="16"/>
                <w:szCs w:val="16"/>
                <w:lang w:val="en-US"/>
              </w:rPr>
              <w:t>Q 2010</w:t>
            </w:r>
          </w:p>
        </w:tc>
        <w:tc>
          <w:tcPr>
            <w:tcW w:w="1056" w:type="dxa"/>
            <w:gridSpan w:val="2"/>
            <w:tcBorders>
              <w:top w:val="single" w:sz="4" w:space="0" w:color="auto"/>
              <w:left w:val="single" w:sz="4" w:space="0" w:color="auto"/>
              <w:bottom w:val="single" w:sz="4" w:space="0" w:color="auto"/>
              <w:right w:val="single" w:sz="4" w:space="0" w:color="auto"/>
            </w:tcBorders>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2011</w:t>
            </w:r>
          </w:p>
          <w:p w:rsidR="00FE75A1" w:rsidRDefault="00FE75A1">
            <w:pPr>
              <w:pStyle w:val="BodyText2"/>
              <w:jc w:val="center"/>
              <w:rPr>
                <w:b w:val="0"/>
                <w:sz w:val="16"/>
                <w:szCs w:val="16"/>
                <w:lang w:val="en-US"/>
              </w:rPr>
            </w:pPr>
          </w:p>
        </w:tc>
        <w:tc>
          <w:tcPr>
            <w:tcW w:w="92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A specialized agency/organization may be contracted rather than a firm.</w:t>
            </w: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Construction of CGE model and training (individual consultant(s)).</w:t>
            </w:r>
          </w:p>
        </w:tc>
        <w:tc>
          <w:tcPr>
            <w:tcW w:w="965"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150</w:t>
            </w: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4</w:t>
            </w:r>
            <w:r w:rsidR="00FE75A1">
              <w:rPr>
                <w:b w:val="0"/>
                <w:sz w:val="16"/>
                <w:szCs w:val="16"/>
                <w:lang w:val="en-US"/>
              </w:rPr>
              <w:t>Q 2011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2Q 201</w:t>
            </w:r>
            <w:r w:rsidR="008441DA">
              <w:rPr>
                <w:b w:val="0"/>
                <w:sz w:val="16"/>
                <w:szCs w:val="16"/>
                <w:lang w:val="en-US"/>
              </w:rPr>
              <w:t>4</w:t>
            </w:r>
          </w:p>
        </w:tc>
        <w:tc>
          <w:tcPr>
            <w:tcW w:w="924" w:type="dxa"/>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This activity will start once the I/O Matrix is completed</w:t>
            </w: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Revenue implications of tax incentives, analysis, report and training (individual consultant(s)).</w:t>
            </w:r>
          </w:p>
        </w:tc>
        <w:tc>
          <w:tcPr>
            <w:tcW w:w="965"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200</w:t>
            </w: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4</w:t>
            </w:r>
            <w:r w:rsidR="00FE75A1">
              <w:rPr>
                <w:b w:val="0"/>
                <w:sz w:val="16"/>
                <w:szCs w:val="16"/>
                <w:lang w:val="en-US"/>
              </w:rPr>
              <w:t>Q 201</w:t>
            </w:r>
            <w:r>
              <w:rPr>
                <w:b w:val="0"/>
                <w:sz w:val="16"/>
                <w:szCs w:val="16"/>
                <w:lang w:val="en-US"/>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4</w:t>
            </w:r>
            <w:r w:rsidR="00FE75A1">
              <w:rPr>
                <w:b w:val="0"/>
                <w:sz w:val="16"/>
                <w:szCs w:val="16"/>
                <w:lang w:val="en-US"/>
              </w:rPr>
              <w:t>Q 201</w:t>
            </w:r>
            <w:r>
              <w:rPr>
                <w:b w:val="0"/>
                <w:sz w:val="16"/>
                <w:szCs w:val="16"/>
                <w:lang w:val="en-US"/>
              </w:rPr>
              <w:t>2</w:t>
            </w:r>
          </w:p>
        </w:tc>
        <w:tc>
          <w:tcPr>
            <w:tcW w:w="924" w:type="dxa"/>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pStyle w:val="BodyText2"/>
              <w:rPr>
                <w:b w:val="0"/>
                <w:sz w:val="16"/>
                <w:szCs w:val="16"/>
                <w:lang w:val="en-US"/>
              </w:rPr>
            </w:pP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Analysis of requirements for institutional strengthening of Town and Country Development  Planning Office (TCDPO)</w:t>
            </w:r>
          </w:p>
          <w:p w:rsidR="00FE75A1" w:rsidRDefault="00FE75A1">
            <w:pPr>
              <w:pStyle w:val="BodyText2"/>
              <w:rPr>
                <w:b w:val="0"/>
                <w:sz w:val="16"/>
                <w:szCs w:val="16"/>
                <w:lang w:val="en-US"/>
              </w:rPr>
            </w:pPr>
            <w:r>
              <w:rPr>
                <w:b w:val="0"/>
                <w:sz w:val="16"/>
                <w:szCs w:val="16"/>
                <w:lang w:val="en-US"/>
              </w:rPr>
              <w:t>(individual consultant).</w:t>
            </w:r>
          </w:p>
        </w:tc>
        <w:tc>
          <w:tcPr>
            <w:tcW w:w="965"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60</w:t>
            </w: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3Q 2009</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1Q 2010</w:t>
            </w:r>
          </w:p>
        </w:tc>
        <w:tc>
          <w:tcPr>
            <w:tcW w:w="92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In process</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rPr>
                <w:b w:val="0"/>
                <w:sz w:val="16"/>
                <w:szCs w:val="16"/>
                <w:lang w:val="en-US"/>
              </w:rPr>
            </w:pPr>
            <w:r>
              <w:rPr>
                <w:b w:val="0"/>
                <w:sz w:val="16"/>
                <w:szCs w:val="16"/>
                <w:lang w:val="en-US"/>
              </w:rPr>
              <w:t>This activity is being financed with resources of the Bank’s Country Office in Barbados, therefore this activity is not included in the BCP budget</w:t>
            </w: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Design and execution of institutional strengthening of TCDPO &amp; collaborating agencies (consulting firm).</w:t>
            </w:r>
          </w:p>
        </w:tc>
        <w:tc>
          <w:tcPr>
            <w:tcW w:w="965" w:type="dxa"/>
            <w:gridSpan w:val="3"/>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450</w:t>
            </w: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2</w:t>
            </w:r>
            <w:r w:rsidR="00FE75A1">
              <w:rPr>
                <w:b w:val="0"/>
                <w:sz w:val="16"/>
                <w:szCs w:val="16"/>
                <w:lang w:val="en-US"/>
              </w:rPr>
              <w:t>Q 201</w:t>
            </w:r>
            <w:r>
              <w:rPr>
                <w:b w:val="0"/>
                <w:sz w:val="16"/>
                <w:szCs w:val="16"/>
                <w:lang w:val="en-US"/>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2Q  201</w:t>
            </w:r>
            <w:r w:rsidR="008441DA">
              <w:rPr>
                <w:b w:val="0"/>
                <w:sz w:val="16"/>
                <w:szCs w:val="16"/>
                <w:lang w:val="en-US"/>
              </w:rPr>
              <w:t>2</w:t>
            </w:r>
          </w:p>
        </w:tc>
        <w:tc>
          <w:tcPr>
            <w:tcW w:w="924" w:type="dxa"/>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pStyle w:val="BodyText2"/>
              <w:rPr>
                <w:b w:val="0"/>
                <w:sz w:val="16"/>
                <w:szCs w:val="16"/>
                <w:lang w:val="en-US"/>
              </w:rPr>
            </w:pP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43"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Rationalization of development funds (consulting firm).</w:t>
            </w:r>
          </w:p>
        </w:tc>
        <w:tc>
          <w:tcPr>
            <w:tcW w:w="965" w:type="dxa"/>
            <w:gridSpan w:val="3"/>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r>
              <w:rPr>
                <w:b w:val="0"/>
                <w:sz w:val="16"/>
                <w:szCs w:val="16"/>
                <w:lang w:val="en-US"/>
              </w:rPr>
              <w:t>175</w:t>
            </w:r>
          </w:p>
          <w:p w:rsidR="00FE75A1" w:rsidRDefault="00FE75A1">
            <w:pPr>
              <w:pStyle w:val="BodyText2"/>
              <w:jc w:val="center"/>
              <w:rPr>
                <w:b w:val="0"/>
                <w:sz w:val="16"/>
                <w:szCs w:val="16"/>
                <w:lang w:val="en-US"/>
              </w:rPr>
            </w:pPr>
          </w:p>
        </w:tc>
        <w:tc>
          <w:tcPr>
            <w:tcW w:w="1138"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Ex-ante</w:t>
            </w:r>
          </w:p>
        </w:tc>
        <w:tc>
          <w:tcPr>
            <w:tcW w:w="654" w:type="dxa"/>
            <w:gridSpan w:val="2"/>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100</w:t>
            </w:r>
          </w:p>
        </w:tc>
        <w:tc>
          <w:tcPr>
            <w:tcW w:w="701" w:type="dxa"/>
            <w:gridSpan w:val="2"/>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704" w:type="dxa"/>
            <w:tcBorders>
              <w:top w:val="single" w:sz="4" w:space="0" w:color="auto"/>
              <w:left w:val="single" w:sz="4" w:space="0" w:color="auto"/>
              <w:bottom w:val="single" w:sz="4" w:space="0" w:color="auto"/>
              <w:right w:val="single" w:sz="4" w:space="0" w:color="auto"/>
            </w:tcBorders>
            <w:hideMark/>
          </w:tcPr>
          <w:p w:rsidR="00FE75A1" w:rsidRDefault="00FE75A1">
            <w:pPr>
              <w:pStyle w:val="BodyText2"/>
              <w:jc w:val="center"/>
              <w:rPr>
                <w:b w:val="0"/>
                <w:sz w:val="16"/>
                <w:szCs w:val="16"/>
                <w:lang w:val="en-US"/>
              </w:rPr>
            </w:pPr>
            <w:r>
              <w:rPr>
                <w:b w:val="0"/>
                <w:sz w:val="16"/>
                <w:szCs w:val="16"/>
                <w:lang w:val="en-US"/>
              </w:rPr>
              <w:t>No</w:t>
            </w:r>
          </w:p>
        </w:tc>
        <w:tc>
          <w:tcPr>
            <w:tcW w:w="1164" w:type="dxa"/>
            <w:gridSpan w:val="3"/>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4</w:t>
            </w:r>
            <w:r w:rsidR="00FE75A1">
              <w:rPr>
                <w:b w:val="0"/>
                <w:sz w:val="16"/>
                <w:szCs w:val="16"/>
                <w:lang w:val="en-US"/>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pStyle w:val="BodyText2"/>
              <w:jc w:val="center"/>
              <w:rPr>
                <w:b w:val="0"/>
                <w:sz w:val="16"/>
                <w:szCs w:val="16"/>
                <w:lang w:val="en-US"/>
              </w:rPr>
            </w:pPr>
            <w:r>
              <w:rPr>
                <w:b w:val="0"/>
                <w:sz w:val="16"/>
                <w:szCs w:val="16"/>
                <w:lang w:val="en-US"/>
              </w:rPr>
              <w:t>3</w:t>
            </w:r>
            <w:r w:rsidR="00FE75A1">
              <w:rPr>
                <w:b w:val="0"/>
                <w:sz w:val="16"/>
                <w:szCs w:val="16"/>
                <w:lang w:val="en-US"/>
              </w:rPr>
              <w:t>Q 201</w:t>
            </w:r>
            <w:r>
              <w:rPr>
                <w:b w:val="0"/>
                <w:sz w:val="16"/>
                <w:szCs w:val="16"/>
                <w:lang w:val="en-US"/>
              </w:rPr>
              <w:t>2</w:t>
            </w:r>
          </w:p>
        </w:tc>
        <w:tc>
          <w:tcPr>
            <w:tcW w:w="924" w:type="dxa"/>
            <w:tcBorders>
              <w:top w:val="single" w:sz="4" w:space="0" w:color="auto"/>
              <w:left w:val="single" w:sz="4" w:space="0" w:color="auto"/>
              <w:bottom w:val="single" w:sz="4" w:space="0" w:color="auto"/>
              <w:right w:val="single" w:sz="4" w:space="0" w:color="auto"/>
            </w:tcBorders>
          </w:tcPr>
          <w:p w:rsidR="00FE75A1" w:rsidRDefault="00FE75A1">
            <w:pPr>
              <w:pStyle w:val="BodyText2"/>
              <w:jc w:val="center"/>
              <w:rPr>
                <w:b w:val="0"/>
                <w:sz w:val="16"/>
                <w:szCs w:val="16"/>
                <w:lang w:val="en-US"/>
              </w:rPr>
            </w:pP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pStyle w:val="BodyText2"/>
              <w:rPr>
                <w:b w:val="0"/>
                <w:sz w:val="16"/>
                <w:szCs w:val="16"/>
                <w:lang w:val="en-US"/>
              </w:rPr>
            </w:pPr>
          </w:p>
        </w:tc>
      </w:tr>
      <w:tr w:rsidR="00FE75A1" w:rsidTr="00FE75A1">
        <w:trPr>
          <w:cantSplit/>
          <w:trHeight w:val="228"/>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p w:rsidR="00FE75A1" w:rsidRDefault="00FE75A1">
            <w:pPr>
              <w:pStyle w:val="Heading3"/>
              <w:widowControl/>
              <w:rPr>
                <w:rFonts w:eastAsiaTheme="minorEastAsia"/>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tcPr>
          <w:p w:rsidR="00FE75A1" w:rsidRDefault="00FE75A1">
            <w:pPr>
              <w:pStyle w:val="BodyText2"/>
              <w:rPr>
                <w:bCs w:val="0"/>
                <w:sz w:val="16"/>
                <w:szCs w:val="16"/>
                <w:lang w:val="en-US"/>
              </w:rPr>
            </w:pPr>
            <w:r>
              <w:rPr>
                <w:sz w:val="16"/>
                <w:szCs w:val="16"/>
                <w:lang w:val="en-US"/>
              </w:rPr>
              <w:t>Component 2: Ensuring a coherent BDS architecture for business development</w:t>
            </w:r>
          </w:p>
          <w:p w:rsidR="00FE75A1" w:rsidRDefault="00FE75A1">
            <w:pPr>
              <w:rPr>
                <w:rFonts w:ascii="Times New Roman" w:hAnsi="Times New Roman" w:cs="Times New Roman"/>
                <w:sz w:val="16"/>
                <w:szCs w:val="16"/>
              </w:rPr>
            </w:pPr>
          </w:p>
        </w:tc>
      </w:tr>
      <w:tr w:rsidR="00FE75A1" w:rsidTr="00FE75A1">
        <w:trPr>
          <w:cantSplit/>
          <w:trHeight w:val="57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r>
              <w:rPr>
                <w:rFonts w:ascii="Times New Roman" w:hAnsi="Times New Roman" w:cs="Times New Roman"/>
                <w:sz w:val="16"/>
                <w:szCs w:val="16"/>
              </w:rPr>
              <w:t>Evaluation of the current BDS system and blueprint for reform - Consulting Firm</w:t>
            </w:r>
          </w:p>
          <w:p w:rsidR="00FE75A1" w:rsidRDefault="00FE75A1">
            <w:pPr>
              <w:pStyle w:val="BodyText2"/>
              <w:rPr>
                <w:b w:val="0"/>
                <w:sz w:val="16"/>
                <w:szCs w:val="16"/>
                <w:lang w:val="en-US"/>
              </w:rPr>
            </w:pP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200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QCBS</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4Q 201</w:t>
            </w:r>
            <w:r w:rsidR="008441DA">
              <w:rPr>
                <w:rFonts w:ascii="Times New Roman" w:hAnsi="Times New Roman" w:cs="Times New Roman"/>
                <w:sz w:val="16"/>
                <w:szCs w:val="16"/>
              </w:rPr>
              <w:t>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highlight w:val="yellow"/>
              </w:rPr>
            </w:pPr>
            <w:r>
              <w:rPr>
                <w:rFonts w:ascii="Times New Roman" w:hAnsi="Times New Roman" w:cs="Times New Roman"/>
                <w:sz w:val="16"/>
                <w:szCs w:val="16"/>
              </w:rPr>
              <w:t>The contract should be processed shortly after first disbursement</w:t>
            </w:r>
          </w:p>
        </w:tc>
      </w:tr>
      <w:tr w:rsidR="00FE75A1" w:rsidTr="00FE75A1">
        <w:trPr>
          <w:cantSplit/>
          <w:trHeight w:val="732"/>
          <w:jc w:val="center"/>
        </w:trPr>
        <w:tc>
          <w:tcPr>
            <w:tcW w:w="54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lastRenderedPageBreak/>
              <w:t xml:space="preserve"> </w:t>
            </w: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highlight w:val="magenta"/>
                <w:lang w:val="en-GB"/>
              </w:rPr>
            </w:pPr>
            <w:r>
              <w:rPr>
                <w:rFonts w:ascii="Times New Roman" w:hAnsi="Times New Roman" w:cs="Times New Roman"/>
                <w:sz w:val="16"/>
                <w:szCs w:val="16"/>
                <w:lang w:val="en-GB"/>
              </w:rPr>
              <w:t xml:space="preserve">Implementation of New BDS Architecture (Consulting firms). </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QCBS</w:t>
            </w:r>
          </w:p>
        </w:tc>
        <w:tc>
          <w:tcPr>
            <w:tcW w:w="741"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Ex-post</w:t>
            </w:r>
          </w:p>
          <w:p w:rsidR="00FE75A1" w:rsidRDefault="00FE75A1">
            <w:pPr>
              <w:jc w:val="center"/>
              <w:rPr>
                <w:rFonts w:ascii="Times New Roman" w:hAnsi="Times New Roman" w:cs="Times New Roman"/>
                <w:sz w:val="16"/>
                <w:szCs w:val="16"/>
              </w:rPr>
            </w:pP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4Q 201</w:t>
            </w:r>
            <w:r w:rsidR="008441DA">
              <w:rPr>
                <w:rFonts w:ascii="Times New Roman" w:hAnsi="Times New Roman" w:cs="Times New Roman"/>
                <w:sz w:val="16"/>
                <w:szCs w:val="16"/>
              </w:rPr>
              <w:t>2</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4Q 201</w:t>
            </w:r>
            <w:r w:rsidR="008441DA">
              <w:rPr>
                <w:rFonts w:ascii="Times New Roman" w:hAnsi="Times New Roman" w:cs="Times New Roman"/>
                <w:sz w:val="16"/>
                <w:szCs w:val="16"/>
              </w:rPr>
              <w:t>3</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These contracts will include services for institutional strengthening, , improved M&amp;E, strategy development, &amp; staff training</w:t>
            </w:r>
          </w:p>
          <w:p w:rsidR="00FE75A1" w:rsidRDefault="00FE75A1">
            <w:pPr>
              <w:rPr>
                <w:rFonts w:ascii="Times New Roman" w:hAnsi="Times New Roman" w:cs="Times New Roman"/>
                <w:sz w:val="16"/>
                <w:szCs w:val="16"/>
              </w:rPr>
            </w:pPr>
            <w:r>
              <w:rPr>
                <w:rFonts w:ascii="Times New Roman" w:hAnsi="Times New Roman" w:cs="Times New Roman"/>
                <w:sz w:val="16"/>
                <w:szCs w:val="16"/>
              </w:rPr>
              <w:t xml:space="preserve">Only contracts above $200K will be reviewed ex-ante. </w:t>
            </w:r>
          </w:p>
        </w:tc>
      </w:tr>
      <w:tr w:rsidR="00FE75A1" w:rsidTr="00FE75A1">
        <w:trPr>
          <w:cantSplit/>
          <w:trHeight w:val="534"/>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highlight w:val="cyan"/>
                <w:lang w:val="en-GB"/>
              </w:rPr>
            </w:pPr>
            <w:r>
              <w:rPr>
                <w:rFonts w:ascii="Times New Roman" w:hAnsi="Times New Roman" w:cs="Times New Roman"/>
                <w:sz w:val="16"/>
                <w:szCs w:val="16"/>
                <w:lang w:val="en-GB"/>
              </w:rPr>
              <w:t>Design and set up of Pilot cluster implementation unit  (Individual consultants).</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60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NICQ/IICC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Ex-post</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sidR="00391AF7">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4Q 201</w:t>
            </w:r>
            <w:r w:rsidR="008441DA">
              <w:rPr>
                <w:rFonts w:ascii="Times New Roman" w:hAnsi="Times New Roman" w:cs="Times New Roman"/>
                <w:sz w:val="16"/>
                <w:szCs w:val="16"/>
              </w:rPr>
              <w:t>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534"/>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lang w:val="en-GB"/>
              </w:rPr>
            </w:pPr>
            <w:r>
              <w:rPr>
                <w:rFonts w:ascii="Times New Roman" w:hAnsi="Times New Roman" w:cs="Times New Roman"/>
                <w:sz w:val="16"/>
                <w:szCs w:val="16"/>
                <w:lang w:val="en-GB"/>
              </w:rPr>
              <w:t>Cluster selection</w:t>
            </w:r>
          </w:p>
          <w:p w:rsidR="00FE75A1" w:rsidRDefault="00FE75A1">
            <w:pPr>
              <w:rPr>
                <w:rFonts w:ascii="Times New Roman" w:hAnsi="Times New Roman" w:cs="Times New Roman"/>
                <w:sz w:val="16"/>
                <w:szCs w:val="16"/>
                <w:lang w:val="en-GB"/>
              </w:rPr>
            </w:pPr>
            <w:r>
              <w:rPr>
                <w:rFonts w:ascii="Times New Roman" w:hAnsi="Times New Roman" w:cs="Times New Roman"/>
                <w:sz w:val="16"/>
                <w:szCs w:val="16"/>
                <w:lang w:val="en-GB"/>
              </w:rPr>
              <w:t>(Consulting firm).</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Cs/>
                <w:sz w:val="16"/>
                <w:szCs w:val="16"/>
              </w:rPr>
            </w:pPr>
            <w:r>
              <w:rPr>
                <w:rFonts w:ascii="Times New Roman" w:hAnsi="Times New Roman" w:cs="Times New Roman"/>
                <w:bCs/>
                <w:sz w:val="16"/>
                <w:szCs w:val="16"/>
              </w:rPr>
              <w:t>QCBS</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Ex-post</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1Q 201</w:t>
            </w:r>
            <w:r w:rsidR="008441DA">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3Q 201</w:t>
            </w:r>
            <w:r w:rsidR="008441DA">
              <w:rPr>
                <w:rFonts w:ascii="Times New Roman" w:hAnsi="Times New Roman" w:cs="Times New Roman"/>
                <w:sz w:val="16"/>
                <w:szCs w:val="16"/>
              </w:rPr>
              <w:t>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534"/>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lang w:val="en-GB"/>
              </w:rPr>
            </w:pPr>
            <w:r>
              <w:rPr>
                <w:rFonts w:ascii="Times New Roman" w:hAnsi="Times New Roman" w:cs="Times New Roman"/>
                <w:sz w:val="16"/>
                <w:szCs w:val="16"/>
                <w:lang w:val="en-GB"/>
              </w:rPr>
              <w:t>Cluster support, including strategic plan.</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GB"/>
              </w:rPr>
            </w:pPr>
            <w:r>
              <w:rPr>
                <w:rFonts w:ascii="Times New Roman" w:hAnsi="Times New Roman" w:cs="Times New Roman"/>
                <w:sz w:val="16"/>
                <w:szCs w:val="16"/>
                <w:lang w:val="en-GB"/>
              </w:rPr>
              <w:t>420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bCs/>
                <w:sz w:val="16"/>
                <w:szCs w:val="16"/>
              </w:rPr>
            </w:pPr>
            <w:r>
              <w:rPr>
                <w:rFonts w:ascii="Times New Roman" w:hAnsi="Times New Roman" w:cs="Times New Roman"/>
                <w:bCs/>
                <w:sz w:val="16"/>
                <w:szCs w:val="16"/>
              </w:rPr>
              <w:t>FBS</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Ex-post</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n/a</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4Q 201</w:t>
            </w:r>
            <w:r w:rsidR="008441DA">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4Q 201</w:t>
            </w:r>
            <w:r w:rsidR="008441DA">
              <w:rPr>
                <w:rFonts w:ascii="Times New Roman" w:hAnsi="Times New Roman" w:cs="Times New Roman"/>
                <w:sz w:val="16"/>
                <w:szCs w:val="16"/>
              </w:rPr>
              <w:t>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Only contracts above $200K will be reviewed ex-ante</w:t>
            </w:r>
          </w:p>
        </w:tc>
      </w:tr>
      <w:tr w:rsidR="00FE75A1" w:rsidTr="00FE75A1">
        <w:trPr>
          <w:cantSplit/>
          <w:trHeight w:val="237"/>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b/>
                <w:bCs/>
                <w:sz w:val="16"/>
                <w:szCs w:val="16"/>
              </w:rPr>
              <w:t>Component 3.1:  Trade Logistics and Facilitation</w:t>
            </w:r>
          </w:p>
        </w:tc>
      </w:tr>
      <w:tr w:rsidR="00FE75A1" w:rsidTr="00FE75A1">
        <w:trPr>
          <w:cantSplit/>
          <w:trHeight w:val="426"/>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r>
              <w:rPr>
                <w:rFonts w:ascii="Times New Roman" w:hAnsi="Times New Roman" w:cs="Times New Roman"/>
                <w:sz w:val="16"/>
                <w:szCs w:val="16"/>
              </w:rPr>
              <w:t>Conceptual design of the Cargo</w:t>
            </w:r>
            <w:r>
              <w:rPr>
                <w:rFonts w:ascii="Times New Roman" w:hAnsi="Times New Roman" w:cs="Times New Roman"/>
                <w:sz w:val="16"/>
                <w:szCs w:val="16"/>
              </w:rPr>
              <w:br/>
              <w:t>Examination Facility.</w:t>
            </w:r>
          </w:p>
          <w:p w:rsidR="00FE75A1" w:rsidRDefault="00FE75A1">
            <w:pPr>
              <w:rPr>
                <w:rFonts w:ascii="Times New Roman" w:hAnsi="Times New Roman" w:cs="Times New Roman"/>
                <w:sz w:val="16"/>
                <w:szCs w:val="16"/>
              </w:rPr>
            </w:pP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225</w:t>
            </w:r>
          </w:p>
          <w:p w:rsidR="00FE75A1" w:rsidRDefault="00FE75A1">
            <w:pPr>
              <w:jc w:val="center"/>
              <w:rPr>
                <w:rFonts w:ascii="Times New Roman" w:hAnsi="Times New Roman" w:cs="Times New Roman"/>
                <w:sz w:val="16"/>
                <w:szCs w:val="16"/>
                <w:highlight w:val="yellow"/>
              </w:rPr>
            </w:pP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highlight w:val="yellow"/>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2</w:t>
            </w:r>
            <w:r w:rsidR="00FE75A1">
              <w:rPr>
                <w:rFonts w:ascii="Times New Roman" w:hAnsi="Times New Roman" w:cs="Times New Roman"/>
                <w:sz w:val="16"/>
                <w:szCs w:val="16"/>
              </w:rPr>
              <w:t>Q 201</w:t>
            </w:r>
            <w:r>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2</w:t>
            </w:r>
            <w:r w:rsidR="00FE75A1">
              <w:rPr>
                <w:rFonts w:ascii="Times New Roman" w:hAnsi="Times New Roman" w:cs="Times New Roman"/>
                <w:sz w:val="16"/>
                <w:szCs w:val="16"/>
              </w:rPr>
              <w:t>Q 201</w:t>
            </w:r>
            <w:r>
              <w:rPr>
                <w:rFonts w:ascii="Times New Roman" w:hAnsi="Times New Roman" w:cs="Times New Roman"/>
                <w:sz w:val="16"/>
                <w:szCs w:val="16"/>
              </w:rPr>
              <w:t>2</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57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r>
              <w:rPr>
                <w:rFonts w:ascii="Times New Roman" w:hAnsi="Times New Roman" w:cs="Times New Roman"/>
                <w:sz w:val="16"/>
                <w:szCs w:val="16"/>
              </w:rPr>
              <w:t>Produce Technical Tender Documents for ESW and Hardware/Software for all agencies.</w:t>
            </w:r>
          </w:p>
          <w:p w:rsidR="00FE75A1" w:rsidRDefault="00FE75A1">
            <w:pPr>
              <w:rPr>
                <w:rFonts w:ascii="Times New Roman" w:hAnsi="Times New Roman" w:cs="Times New Roman"/>
                <w:sz w:val="16"/>
                <w:szCs w:val="16"/>
              </w:rPr>
            </w:pP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150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highlight w:val="yellow"/>
              </w:rPr>
            </w:pPr>
            <w:r>
              <w:rPr>
                <w:rFonts w:ascii="Times New Roman" w:hAnsi="Times New Roman" w:cs="Times New Roman"/>
                <w:sz w:val="16"/>
                <w:szCs w:val="16"/>
              </w:rPr>
              <w:t>ICB</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highlight w:val="yellow"/>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2</w:t>
            </w:r>
            <w:r w:rsidR="00FE75A1">
              <w:rPr>
                <w:rFonts w:ascii="Times New Roman" w:hAnsi="Times New Roman" w:cs="Times New Roman"/>
                <w:sz w:val="16"/>
                <w:szCs w:val="16"/>
              </w:rPr>
              <w:t>Q 201</w:t>
            </w:r>
            <w:r>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8441D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2</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30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b/>
                <w:bCs/>
                <w:sz w:val="16"/>
                <w:szCs w:val="16"/>
              </w:rPr>
              <w:t>Component 3.2:  Transportation Sector Improvements</w:t>
            </w:r>
          </w:p>
        </w:tc>
      </w:tr>
      <w:tr w:rsidR="00FE75A1" w:rsidTr="00FE75A1">
        <w:trPr>
          <w:cantSplit/>
          <w:trHeight w:val="75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r>
              <w:rPr>
                <w:rFonts w:ascii="Times New Roman" w:hAnsi="Times New Roman" w:cs="Times New Roman"/>
                <w:b/>
                <w:bCs/>
                <w:sz w:val="16"/>
                <w:szCs w:val="16"/>
                <w:u w:val="single"/>
              </w:rPr>
              <w:t>Overall sector study</w:t>
            </w:r>
            <w:r>
              <w:rPr>
                <w:rFonts w:ascii="Times New Roman" w:hAnsi="Times New Roman" w:cs="Times New Roman"/>
                <w:bCs/>
                <w:sz w:val="16"/>
                <w:szCs w:val="16"/>
              </w:rPr>
              <w:t xml:space="preserve">: </w:t>
            </w:r>
            <w:r>
              <w:rPr>
                <w:rFonts w:ascii="Times New Roman" w:hAnsi="Times New Roman" w:cs="Times New Roman"/>
                <w:sz w:val="16"/>
                <w:szCs w:val="16"/>
              </w:rPr>
              <w:t>Technical assistance to develop a transport sector strategy document.</w:t>
            </w:r>
          </w:p>
          <w:p w:rsidR="00FE75A1" w:rsidRDefault="00FE75A1">
            <w:pPr>
              <w:pStyle w:val="BodyText2"/>
              <w:rPr>
                <w:bCs w:val="0"/>
                <w:sz w:val="16"/>
                <w:szCs w:val="16"/>
                <w:lang w:val="en-US"/>
              </w:rPr>
            </w:pP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300</w:t>
            </w:r>
          </w:p>
        </w:tc>
        <w:tc>
          <w:tcPr>
            <w:tcW w:w="1160"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NICQ/IICQ</w:t>
            </w:r>
          </w:p>
        </w:tc>
        <w:tc>
          <w:tcPr>
            <w:tcW w:w="741"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pStyle w:val="Textodebalo"/>
              <w:jc w:val="center"/>
              <w:rPr>
                <w:rFonts w:ascii="Times New Roman" w:hAnsi="Times New Roman" w:cs="Times New Roman"/>
              </w:rPr>
            </w:pPr>
          </w:p>
        </w:tc>
        <w:tc>
          <w:tcPr>
            <w:tcW w:w="756"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2010</w:t>
            </w:r>
          </w:p>
        </w:tc>
        <w:tc>
          <w:tcPr>
            <w:tcW w:w="105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w:t>
            </w:r>
            <w:r>
              <w:rPr>
                <w:rFonts w:ascii="Times New Roman" w:hAnsi="Times New Roman" w:cs="Times New Roman"/>
                <w:sz w:val="16"/>
                <w:szCs w:val="16"/>
              </w:rPr>
              <w:t>2</w:t>
            </w:r>
          </w:p>
        </w:tc>
        <w:tc>
          <w:tcPr>
            <w:tcW w:w="93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102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Cs/>
                <w:sz w:val="16"/>
                <w:szCs w:val="16"/>
                <w:u w:val="single"/>
              </w:rPr>
            </w:pPr>
            <w:r>
              <w:rPr>
                <w:rFonts w:ascii="Times New Roman" w:hAnsi="Times New Roman" w:cs="Times New Roman"/>
                <w:bCs/>
                <w:sz w:val="16"/>
                <w:szCs w:val="16"/>
                <w:u w:val="single"/>
              </w:rPr>
              <w:t xml:space="preserve">Road Infrastructure analysis </w:t>
            </w:r>
          </w:p>
          <w:p w:rsidR="00FE75A1" w:rsidRDefault="00FE75A1">
            <w:pPr>
              <w:rPr>
                <w:rFonts w:ascii="Times New Roman" w:hAnsi="Times New Roman" w:cs="Times New Roman"/>
                <w:b/>
                <w:bCs/>
                <w:sz w:val="16"/>
                <w:szCs w:val="16"/>
              </w:rPr>
            </w:pPr>
            <w:r>
              <w:rPr>
                <w:rFonts w:ascii="Times New Roman" w:hAnsi="Times New Roman" w:cs="Times New Roman"/>
                <w:sz w:val="16"/>
                <w:szCs w:val="16"/>
              </w:rPr>
              <w:t>Technical assistance to analyze the medium to long-term plan with respect to major highways, and secondary, feeder and link roads, considering the possibilities of extending, widening, upgrading and improving them.</w:t>
            </w: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1160"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QCBS</w:t>
            </w:r>
          </w:p>
        </w:tc>
        <w:tc>
          <w:tcPr>
            <w:tcW w:w="741"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Ex-post</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tc>
        <w:tc>
          <w:tcPr>
            <w:tcW w:w="756"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w:t>
            </w:r>
            <w:r>
              <w:rPr>
                <w:rFonts w:ascii="Times New Roman" w:hAnsi="Times New Roman" w:cs="Times New Roman"/>
                <w:sz w:val="16"/>
                <w:szCs w:val="16"/>
              </w:rPr>
              <w:t>2</w:t>
            </w:r>
          </w:p>
        </w:tc>
        <w:tc>
          <w:tcPr>
            <w:tcW w:w="105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2013</w:t>
            </w:r>
          </w:p>
        </w:tc>
        <w:tc>
          <w:tcPr>
            <w:tcW w:w="93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Least Cost Selection may be considered.</w:t>
            </w:r>
          </w:p>
        </w:tc>
      </w:tr>
      <w:tr w:rsidR="00FE75A1" w:rsidTr="00FE75A1">
        <w:trPr>
          <w:cantSplit/>
          <w:trHeight w:val="327"/>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
                <w:bCs/>
                <w:sz w:val="16"/>
                <w:szCs w:val="16"/>
              </w:rPr>
            </w:pPr>
            <w:r>
              <w:rPr>
                <w:rFonts w:ascii="Times New Roman" w:hAnsi="Times New Roman" w:cs="Times New Roman"/>
                <w:b/>
                <w:bCs/>
                <w:sz w:val="16"/>
                <w:szCs w:val="16"/>
              </w:rPr>
              <w:t>Component 3.3: Enhanced Access to Infrastructure through Public Private Partnerships</w:t>
            </w: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
                <w:bCs/>
                <w:sz w:val="16"/>
                <w:szCs w:val="16"/>
              </w:rPr>
            </w:pPr>
            <w:r>
              <w:rPr>
                <w:rFonts w:ascii="Times New Roman" w:hAnsi="Times New Roman" w:cs="Times New Roman"/>
                <w:bCs/>
                <w:sz w:val="16"/>
                <w:szCs w:val="16"/>
              </w:rPr>
              <w:t>Consultancy services for the selection of a pilot project and hands on training for the design of the legal, technical and financial scheme for PPP project.</w:t>
            </w: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745</w:t>
            </w:r>
          </w:p>
        </w:tc>
        <w:tc>
          <w:tcPr>
            <w:tcW w:w="1160"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QCBS-ICB</w:t>
            </w:r>
          </w:p>
        </w:tc>
        <w:tc>
          <w:tcPr>
            <w:tcW w:w="741"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tc>
        <w:tc>
          <w:tcPr>
            <w:tcW w:w="756" w:type="dxa"/>
            <w:gridSpan w:val="3"/>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1Q 201</w:t>
            </w:r>
            <w:r w:rsidR="0077063A">
              <w:rPr>
                <w:rFonts w:ascii="Times New Roman" w:hAnsi="Times New Roman" w:cs="Times New Roman"/>
                <w:sz w:val="16"/>
                <w:szCs w:val="16"/>
              </w:rPr>
              <w:t>1</w:t>
            </w:r>
          </w:p>
        </w:tc>
        <w:tc>
          <w:tcPr>
            <w:tcW w:w="105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4Q 201</w:t>
            </w:r>
            <w:r w:rsidR="0077063A">
              <w:rPr>
                <w:rFonts w:ascii="Times New Roman" w:hAnsi="Times New Roman" w:cs="Times New Roman"/>
                <w:sz w:val="16"/>
                <w:szCs w:val="16"/>
              </w:rPr>
              <w:t>2</w:t>
            </w:r>
          </w:p>
        </w:tc>
        <w:tc>
          <w:tcPr>
            <w:tcW w:w="93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34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keepNext/>
              <w:keepLines/>
              <w:rPr>
                <w:rFonts w:ascii="Times New Roman" w:hAnsi="Times New Roman" w:cs="Times New Roman"/>
                <w:sz w:val="16"/>
                <w:szCs w:val="16"/>
              </w:rPr>
            </w:pPr>
            <w:r>
              <w:rPr>
                <w:rFonts w:ascii="Times New Roman" w:hAnsi="Times New Roman" w:cs="Times New Roman"/>
                <w:b/>
                <w:bCs/>
                <w:sz w:val="16"/>
                <w:szCs w:val="16"/>
              </w:rPr>
              <w:t xml:space="preserve">Component 4: </w:t>
            </w:r>
            <w:r>
              <w:rPr>
                <w:rFonts w:ascii="Times New Roman" w:hAnsi="Times New Roman" w:cs="Times New Roman"/>
                <w:color w:val="000000"/>
                <w:sz w:val="16"/>
                <w:szCs w:val="16"/>
              </w:rPr>
              <w:t xml:space="preserve">Design and strengthening of the Commission on Competitiveness and establishment of its Technical Unit. </w:t>
            </w: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keepNext/>
              <w:keepLines/>
              <w:rPr>
                <w:rFonts w:ascii="Times New Roman" w:hAnsi="Times New Roman" w:cs="Times New Roman"/>
                <w:bCs/>
                <w:sz w:val="16"/>
                <w:szCs w:val="16"/>
                <w:lang w:val="en-029"/>
              </w:rPr>
            </w:pPr>
            <w:r>
              <w:rPr>
                <w:rFonts w:ascii="Times New Roman" w:hAnsi="Times New Roman" w:cs="Times New Roman"/>
                <w:bCs/>
                <w:sz w:val="16"/>
                <w:szCs w:val="16"/>
                <w:lang w:val="en-029"/>
              </w:rPr>
              <w:t>Design and strengthening of Competntiveness Technical Unit (individual consultancies).</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140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IICC/NICC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Ex-post</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keepNext/>
              <w:keepLines/>
              <w:jc w:val="center"/>
              <w:rPr>
                <w:rFonts w:ascii="Times New Roman" w:hAnsi="Times New Roman" w:cs="Times New Roman"/>
                <w:sz w:val="16"/>
                <w:szCs w:val="16"/>
                <w:lang w:val="en-029"/>
              </w:rPr>
            </w:pP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keepNext/>
              <w:keepLines/>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1Q 201</w:t>
            </w:r>
            <w:r w:rsidR="0077063A">
              <w:rPr>
                <w:rFonts w:ascii="Times New Roman" w:hAnsi="Times New Roman" w:cs="Times New Roman"/>
                <w:sz w:val="16"/>
                <w:szCs w:val="16"/>
                <w:lang w:val="en-029"/>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4Q 201</w:t>
            </w:r>
            <w:r w:rsidR="0077063A">
              <w:rPr>
                <w:rFonts w:ascii="Times New Roman" w:hAnsi="Times New Roman" w:cs="Times New Roman"/>
                <w:sz w:val="16"/>
                <w:szCs w:val="16"/>
                <w:lang w:val="en-029"/>
              </w:rPr>
              <w:t>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keepNext/>
              <w:keepLines/>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This includes Assessment and design of Technical Unit, Set up, training, study tours for TU.</w:t>
            </w:r>
          </w:p>
        </w:tc>
      </w:tr>
      <w:tr w:rsidR="00FE75A1" w:rsidTr="00FE75A1">
        <w:trPr>
          <w:cantSplit/>
          <w:trHeight w:val="75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Cs/>
                <w:sz w:val="16"/>
                <w:szCs w:val="16"/>
                <w:lang w:val="en-029"/>
              </w:rPr>
            </w:pPr>
            <w:r>
              <w:rPr>
                <w:rFonts w:ascii="Times New Roman" w:hAnsi="Times New Roman" w:cs="Times New Roman"/>
                <w:bCs/>
                <w:sz w:val="16"/>
                <w:szCs w:val="16"/>
                <w:lang w:val="en-029"/>
              </w:rPr>
              <w:t>Core staff remuneration for</w:t>
            </w:r>
            <w:r>
              <w:rPr>
                <w:rFonts w:ascii="Times New Roman" w:hAnsi="Times New Roman" w:cs="Times New Roman"/>
                <w:b/>
                <w:bCs/>
                <w:sz w:val="16"/>
                <w:szCs w:val="16"/>
                <w:lang w:val="en-029"/>
              </w:rPr>
              <w:t xml:space="preserve"> </w:t>
            </w:r>
            <w:r>
              <w:rPr>
                <w:rFonts w:ascii="Times New Roman" w:hAnsi="Times New Roman" w:cs="Times New Roman"/>
                <w:bCs/>
                <w:sz w:val="16"/>
                <w:szCs w:val="16"/>
                <w:lang w:val="en-029"/>
              </w:rPr>
              <w:t>Technical Unit  (consultancy - individual).</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360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Ex-post</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2Q 201</w:t>
            </w:r>
            <w:r w:rsidR="0077063A">
              <w:rPr>
                <w:rFonts w:ascii="Times New Roman" w:hAnsi="Times New Roman" w:cs="Times New Roman"/>
                <w:sz w:val="16"/>
                <w:szCs w:val="16"/>
                <w:lang w:val="en-029"/>
              </w:rPr>
              <w:t>1</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3Q 201</w:t>
            </w:r>
            <w:r w:rsidR="0077063A">
              <w:rPr>
                <w:rFonts w:ascii="Times New Roman" w:hAnsi="Times New Roman" w:cs="Times New Roman"/>
                <w:sz w:val="16"/>
                <w:szCs w:val="16"/>
                <w:lang w:val="en-029"/>
              </w:rPr>
              <w:t>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This item will include a number of contracts, none of them above $200K.</w:t>
            </w:r>
          </w:p>
        </w:tc>
      </w:tr>
      <w:tr w:rsidR="00FE75A1" w:rsidTr="00FE75A1">
        <w:trPr>
          <w:cantSplit/>
          <w:trHeight w:val="75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bCs/>
                <w:sz w:val="16"/>
                <w:szCs w:val="16"/>
                <w:lang w:val="en-029"/>
              </w:rPr>
            </w:pPr>
            <w:r>
              <w:rPr>
                <w:rFonts w:ascii="Times New Roman" w:hAnsi="Times New Roman" w:cs="Times New Roman"/>
                <w:sz w:val="16"/>
                <w:szCs w:val="16"/>
              </w:rPr>
              <w:t xml:space="preserve">National Competitiveness Strategy </w:t>
            </w:r>
            <w:r>
              <w:rPr>
                <w:rFonts w:ascii="Times New Roman" w:hAnsi="Times New Roman" w:cs="Times New Roman"/>
                <w:bCs/>
                <w:sz w:val="16"/>
                <w:szCs w:val="16"/>
                <w:lang w:val="en-029"/>
              </w:rPr>
              <w:t>(consultancy - firm).</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300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QCBS</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Ex-ante</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lang w:val="en-029"/>
              </w:rPr>
            </w:pPr>
            <w:r>
              <w:rPr>
                <w:rFonts w:ascii="Times New Roman" w:hAnsi="Times New Roman" w:cs="Times New Roman"/>
                <w:sz w:val="16"/>
                <w:szCs w:val="16"/>
                <w:lang w:val="en-029"/>
              </w:rPr>
              <w:t>4</w:t>
            </w:r>
            <w:r w:rsidR="00FE75A1">
              <w:rPr>
                <w:rFonts w:ascii="Times New Roman" w:hAnsi="Times New Roman" w:cs="Times New Roman"/>
                <w:sz w:val="16"/>
                <w:szCs w:val="16"/>
                <w:lang w:val="en-029"/>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4Q  2011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759"/>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Cs/>
                <w:sz w:val="16"/>
                <w:szCs w:val="16"/>
                <w:lang w:val="en-029"/>
              </w:rPr>
            </w:pPr>
            <w:r>
              <w:rPr>
                <w:rFonts w:ascii="Times New Roman" w:hAnsi="Times New Roman" w:cs="Times New Roman"/>
                <w:bCs/>
                <w:sz w:val="16"/>
                <w:szCs w:val="16"/>
                <w:lang w:val="en-029"/>
              </w:rPr>
              <w:t>Consultation Process  and communication strategy (consultant – individual).</w:t>
            </w:r>
          </w:p>
          <w:p w:rsidR="00FE75A1" w:rsidRDefault="00FE75A1">
            <w:pPr>
              <w:rPr>
                <w:rFonts w:ascii="Times New Roman" w:hAnsi="Times New Roman" w:cs="Times New Roman"/>
                <w:bCs/>
                <w:sz w:val="16"/>
                <w:szCs w:val="16"/>
                <w:lang w:val="en-029"/>
              </w:rPr>
            </w:pP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30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IICC/NICC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Ex-post</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lang w:val="en-029"/>
              </w:rPr>
            </w:pPr>
            <w:r>
              <w:rPr>
                <w:rFonts w:ascii="Times New Roman" w:hAnsi="Times New Roman" w:cs="Times New Roman"/>
                <w:sz w:val="16"/>
                <w:szCs w:val="16"/>
                <w:lang w:val="en-029"/>
              </w:rPr>
              <w:t>4</w:t>
            </w:r>
            <w:r w:rsidR="00FE75A1">
              <w:rPr>
                <w:rFonts w:ascii="Times New Roman" w:hAnsi="Times New Roman" w:cs="Times New Roman"/>
                <w:sz w:val="16"/>
                <w:szCs w:val="16"/>
                <w:lang w:val="en-029"/>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4Q  201</w:t>
            </w:r>
            <w:r w:rsidR="00391AF7">
              <w:rPr>
                <w:rFonts w:ascii="Times New Roman" w:hAnsi="Times New Roman" w:cs="Times New Roman"/>
                <w:sz w:val="16"/>
                <w:szCs w:val="16"/>
                <w:lang w:val="en-029"/>
              </w:rPr>
              <w:t>1</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300"/>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1185" w:type="dxa"/>
            <w:gridSpan w:val="18"/>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b/>
                <w:bCs/>
                <w:sz w:val="16"/>
                <w:szCs w:val="16"/>
                <w:lang w:val="en-029"/>
              </w:rPr>
              <w:t>Program Administration</w:t>
            </w:r>
          </w:p>
        </w:tc>
      </w:tr>
      <w:tr w:rsidR="00FE75A1" w:rsidTr="00FE75A1">
        <w:trPr>
          <w:cantSplit/>
          <w:trHeight w:val="97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Selection &amp; contracting of Project Coordination Unit: Project Coordinator, Deputy Coordinator, Senior Accountant, and Clerk/typist.</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1,320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n/a</w:t>
            </w:r>
          </w:p>
        </w:tc>
        <w:tc>
          <w:tcPr>
            <w:tcW w:w="644"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lang w:val="en-029"/>
              </w:rPr>
            </w:pPr>
          </w:p>
        </w:tc>
        <w:tc>
          <w:tcPr>
            <w:tcW w:w="66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100</w:t>
            </w: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lang w:val="en-029"/>
              </w:rPr>
            </w:pPr>
            <w:r>
              <w:rPr>
                <w:rFonts w:ascii="Times New Roman" w:hAnsi="Times New Roman" w:cs="Times New Roman"/>
                <w:sz w:val="16"/>
                <w:szCs w:val="16"/>
                <w:lang w:val="en-029"/>
              </w:rPr>
              <w:t>3</w:t>
            </w:r>
            <w:r w:rsidR="00FE75A1">
              <w:rPr>
                <w:rFonts w:ascii="Times New Roman" w:hAnsi="Times New Roman" w:cs="Times New Roman"/>
                <w:sz w:val="16"/>
                <w:szCs w:val="16"/>
                <w:lang w:val="en-029"/>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391AF7">
            <w:pPr>
              <w:jc w:val="center"/>
              <w:rPr>
                <w:rFonts w:ascii="Times New Roman" w:hAnsi="Times New Roman" w:cs="Times New Roman"/>
                <w:sz w:val="16"/>
                <w:szCs w:val="16"/>
                <w:lang w:val="en-029"/>
              </w:rPr>
            </w:pPr>
            <w:r>
              <w:rPr>
                <w:rFonts w:ascii="Times New Roman" w:hAnsi="Times New Roman" w:cs="Times New Roman"/>
                <w:sz w:val="16"/>
                <w:szCs w:val="16"/>
                <w:lang w:val="en-029"/>
              </w:rPr>
              <w:t>4</w:t>
            </w:r>
            <w:r w:rsidR="00FE75A1">
              <w:rPr>
                <w:rFonts w:ascii="Times New Roman" w:hAnsi="Times New Roman" w:cs="Times New Roman"/>
                <w:sz w:val="16"/>
                <w:szCs w:val="16"/>
                <w:lang w:val="en-029"/>
              </w:rPr>
              <w:t>Q 2014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lang w:val="en-029"/>
              </w:rPr>
            </w:pPr>
            <w:r>
              <w:rPr>
                <w:rFonts w:ascii="Times New Roman" w:hAnsi="Times New Roman" w:cs="Times New Roman"/>
                <w:sz w:val="16"/>
                <w:szCs w:val="16"/>
                <w:lang w:val="en-029"/>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Selection and contracting of a Procurement Specialist,Coordinatr for Trade Logistics and Facilitation activities (individual consultants).</w:t>
            </w: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300</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NICC/IICC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3</w:t>
            </w:r>
            <w:r w:rsidR="00FE75A1">
              <w:rPr>
                <w:rFonts w:ascii="Times New Roman" w:hAnsi="Times New Roman" w:cs="Times New Roman"/>
                <w:sz w:val="16"/>
                <w:szCs w:val="16"/>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1</w:t>
            </w:r>
            <w:r w:rsidR="00FE75A1">
              <w:rPr>
                <w:rFonts w:ascii="Times New Roman" w:hAnsi="Times New Roman" w:cs="Times New Roman"/>
                <w:sz w:val="16"/>
                <w:szCs w:val="16"/>
              </w:rPr>
              <w:t>Q 201</w:t>
            </w:r>
            <w:r>
              <w:rPr>
                <w:rFonts w:ascii="Times New Roman" w:hAnsi="Times New Roman" w:cs="Times New Roman"/>
                <w:sz w:val="16"/>
                <w:szCs w:val="16"/>
              </w:rPr>
              <w:t>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r>
              <w:rPr>
                <w:rFonts w:ascii="Times New Roman" w:hAnsi="Times New Roman" w:cs="Times New Roman"/>
                <w:sz w:val="16"/>
                <w:szCs w:val="16"/>
              </w:rPr>
              <w:t>M&amp;E capacity strengthening and support.</w:t>
            </w:r>
          </w:p>
          <w:p w:rsidR="00FE75A1" w:rsidRDefault="00FE75A1">
            <w:pPr>
              <w:rPr>
                <w:rFonts w:ascii="Times New Roman" w:hAnsi="Times New Roman" w:cs="Times New Roman"/>
                <w:bCs/>
                <w:sz w:val="16"/>
                <w:szCs w:val="16"/>
              </w:rPr>
            </w:pPr>
          </w:p>
        </w:tc>
        <w:tc>
          <w:tcPr>
            <w:tcW w:w="936"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355</w:t>
            </w: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NICC/IICC</w:t>
            </w:r>
          </w:p>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QCBS</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3</w:t>
            </w:r>
            <w:r w:rsidR="00FE75A1">
              <w:rPr>
                <w:rFonts w:ascii="Times New Roman" w:hAnsi="Times New Roman" w:cs="Times New Roman"/>
                <w:sz w:val="16"/>
                <w:szCs w:val="16"/>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2013</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These contracts cover an M&amp;E specialist, mid-term and final evaluations, and cost-benefit and cost effectiveness analysis. Contracts for the latter two activities may be let to firms.</w:t>
            </w:r>
          </w:p>
        </w:tc>
      </w:tr>
      <w:tr w:rsidR="00FE75A1" w:rsidTr="00FE75A1">
        <w:trPr>
          <w:cantSplit/>
          <w:trHeight w:val="885"/>
          <w:jc w:val="center"/>
        </w:trPr>
        <w:tc>
          <w:tcPr>
            <w:tcW w:w="54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b/>
                <w:bCs/>
                <w:sz w:val="16"/>
                <w:szCs w:val="16"/>
              </w:rPr>
            </w:pPr>
          </w:p>
        </w:tc>
        <w:tc>
          <w:tcPr>
            <w:tcW w:w="1550" w:type="dxa"/>
            <w:gridSpan w:val="2"/>
            <w:tcBorders>
              <w:top w:val="single" w:sz="4" w:space="0" w:color="auto"/>
              <w:left w:val="single" w:sz="4" w:space="0" w:color="auto"/>
              <w:bottom w:val="single" w:sz="4" w:space="0" w:color="auto"/>
              <w:right w:val="single" w:sz="4" w:space="0" w:color="auto"/>
            </w:tcBorders>
            <w:hideMark/>
          </w:tcPr>
          <w:p w:rsidR="00FE75A1" w:rsidRDefault="00FE75A1">
            <w:pPr>
              <w:rPr>
                <w:rFonts w:ascii="Times New Roman" w:hAnsi="Times New Roman" w:cs="Times New Roman"/>
                <w:sz w:val="16"/>
                <w:szCs w:val="16"/>
              </w:rPr>
            </w:pPr>
            <w:r>
              <w:rPr>
                <w:rFonts w:ascii="Times New Roman" w:hAnsi="Times New Roman" w:cs="Times New Roman"/>
                <w:sz w:val="16"/>
                <w:szCs w:val="16"/>
              </w:rPr>
              <w:t>Selection of external auditors and execution of annual audits of the Program.</w:t>
            </w:r>
          </w:p>
          <w:p w:rsidR="00FE75A1" w:rsidRDefault="00FE75A1">
            <w:pPr>
              <w:rPr>
                <w:rFonts w:ascii="Times New Roman" w:hAnsi="Times New Roman" w:cs="Times New Roman"/>
                <w:sz w:val="16"/>
                <w:szCs w:val="16"/>
              </w:rPr>
            </w:pPr>
            <w:r>
              <w:rPr>
                <w:rFonts w:ascii="Times New Roman" w:hAnsi="Times New Roman" w:cs="Times New Roman"/>
                <w:sz w:val="16"/>
                <w:szCs w:val="16"/>
              </w:rPr>
              <w:t xml:space="preserve"> </w:t>
            </w:r>
          </w:p>
        </w:tc>
        <w:tc>
          <w:tcPr>
            <w:tcW w:w="936" w:type="dxa"/>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75</w:t>
            </w:r>
          </w:p>
          <w:p w:rsidR="00FE75A1" w:rsidRDefault="00FE75A1">
            <w:pPr>
              <w:jc w:val="center"/>
              <w:rPr>
                <w:rFonts w:ascii="Times New Roman" w:hAnsi="Times New Roman" w:cs="Times New Roman"/>
                <w:sz w:val="16"/>
                <w:szCs w:val="16"/>
              </w:rPr>
            </w:pPr>
          </w:p>
          <w:p w:rsidR="00FE75A1" w:rsidRDefault="00FE75A1">
            <w:pPr>
              <w:jc w:val="center"/>
              <w:rPr>
                <w:rFonts w:ascii="Times New Roman" w:hAnsi="Times New Roman" w:cs="Times New Roman"/>
                <w:sz w:val="16"/>
                <w:szCs w:val="16"/>
              </w:rPr>
            </w:pPr>
          </w:p>
        </w:tc>
        <w:tc>
          <w:tcPr>
            <w:tcW w:w="1160"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NICC</w:t>
            </w:r>
          </w:p>
        </w:tc>
        <w:tc>
          <w:tcPr>
            <w:tcW w:w="741"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Ex-ante</w:t>
            </w:r>
          </w:p>
        </w:tc>
        <w:tc>
          <w:tcPr>
            <w:tcW w:w="644" w:type="dxa"/>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100</w:t>
            </w:r>
          </w:p>
        </w:tc>
        <w:tc>
          <w:tcPr>
            <w:tcW w:w="666" w:type="dxa"/>
            <w:gridSpan w:val="2"/>
            <w:tcBorders>
              <w:top w:val="single" w:sz="4" w:space="0" w:color="auto"/>
              <w:left w:val="single" w:sz="4" w:space="0" w:color="auto"/>
              <w:bottom w:val="single" w:sz="4" w:space="0" w:color="auto"/>
              <w:right w:val="single" w:sz="4" w:space="0" w:color="auto"/>
            </w:tcBorders>
          </w:tcPr>
          <w:p w:rsidR="00FE75A1" w:rsidRDefault="00FE75A1">
            <w:pPr>
              <w:jc w:val="center"/>
              <w:rPr>
                <w:rFonts w:ascii="Times New Roman" w:hAnsi="Times New Roman" w:cs="Times New Roman"/>
                <w:sz w:val="16"/>
                <w:szCs w:val="16"/>
              </w:rPr>
            </w:pPr>
          </w:p>
        </w:tc>
        <w:tc>
          <w:tcPr>
            <w:tcW w:w="756" w:type="dxa"/>
            <w:gridSpan w:val="3"/>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No</w:t>
            </w:r>
          </w:p>
        </w:tc>
        <w:tc>
          <w:tcPr>
            <w:tcW w:w="1145" w:type="dxa"/>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3</w:t>
            </w:r>
            <w:r w:rsidR="00FE75A1">
              <w:rPr>
                <w:rFonts w:ascii="Times New Roman" w:hAnsi="Times New Roman" w:cs="Times New Roman"/>
                <w:sz w:val="16"/>
                <w:szCs w:val="16"/>
              </w:rPr>
              <w:t>Q 2010</w:t>
            </w:r>
          </w:p>
        </w:tc>
        <w:tc>
          <w:tcPr>
            <w:tcW w:w="1056" w:type="dxa"/>
            <w:gridSpan w:val="2"/>
            <w:tcBorders>
              <w:top w:val="single" w:sz="4" w:space="0" w:color="auto"/>
              <w:left w:val="single" w:sz="4" w:space="0" w:color="auto"/>
              <w:bottom w:val="single" w:sz="4" w:space="0" w:color="auto"/>
              <w:right w:val="single" w:sz="4" w:space="0" w:color="auto"/>
            </w:tcBorders>
            <w:hideMark/>
          </w:tcPr>
          <w:p w:rsidR="00FE75A1" w:rsidRDefault="0077063A">
            <w:pPr>
              <w:jc w:val="center"/>
              <w:rPr>
                <w:rFonts w:ascii="Times New Roman" w:hAnsi="Times New Roman" w:cs="Times New Roman"/>
                <w:sz w:val="16"/>
                <w:szCs w:val="16"/>
              </w:rPr>
            </w:pPr>
            <w:r>
              <w:rPr>
                <w:rFonts w:ascii="Times New Roman" w:hAnsi="Times New Roman" w:cs="Times New Roman"/>
                <w:sz w:val="16"/>
                <w:szCs w:val="16"/>
              </w:rPr>
              <w:t>4</w:t>
            </w:r>
            <w:r w:rsidR="00FE75A1">
              <w:rPr>
                <w:rFonts w:ascii="Times New Roman" w:hAnsi="Times New Roman" w:cs="Times New Roman"/>
                <w:sz w:val="16"/>
                <w:szCs w:val="16"/>
              </w:rPr>
              <w:t>Q 2014</w:t>
            </w:r>
          </w:p>
        </w:tc>
        <w:tc>
          <w:tcPr>
            <w:tcW w:w="936" w:type="dxa"/>
            <w:gridSpan w:val="2"/>
            <w:tcBorders>
              <w:top w:val="single" w:sz="4" w:space="0" w:color="auto"/>
              <w:left w:val="single" w:sz="4" w:space="0" w:color="auto"/>
              <w:bottom w:val="single" w:sz="4" w:space="0" w:color="auto"/>
              <w:right w:val="single" w:sz="4" w:space="0" w:color="auto"/>
            </w:tcBorders>
            <w:hideMark/>
          </w:tcPr>
          <w:p w:rsidR="00FE75A1" w:rsidRDefault="00FE75A1">
            <w:pPr>
              <w:jc w:val="center"/>
              <w:rPr>
                <w:rFonts w:ascii="Times New Roman" w:hAnsi="Times New Roman" w:cs="Times New Roman"/>
                <w:sz w:val="16"/>
                <w:szCs w:val="16"/>
              </w:rPr>
            </w:pPr>
            <w:r>
              <w:rPr>
                <w:rFonts w:ascii="Times New Roman" w:hAnsi="Times New Roman" w:cs="Times New Roman"/>
                <w:sz w:val="16"/>
                <w:szCs w:val="16"/>
              </w:rPr>
              <w:t>Pending</w:t>
            </w:r>
          </w:p>
        </w:tc>
        <w:tc>
          <w:tcPr>
            <w:tcW w:w="1595" w:type="dxa"/>
            <w:tcBorders>
              <w:top w:val="single" w:sz="4" w:space="0" w:color="auto"/>
              <w:left w:val="single" w:sz="4" w:space="0" w:color="auto"/>
              <w:bottom w:val="single" w:sz="4" w:space="0" w:color="auto"/>
              <w:right w:val="single" w:sz="4" w:space="0" w:color="auto"/>
            </w:tcBorders>
          </w:tcPr>
          <w:p w:rsidR="00FE75A1" w:rsidRDefault="00FE75A1">
            <w:pPr>
              <w:rPr>
                <w:rFonts w:ascii="Times New Roman" w:hAnsi="Times New Roman" w:cs="Times New Roman"/>
                <w:sz w:val="16"/>
                <w:szCs w:val="16"/>
              </w:rPr>
            </w:pPr>
          </w:p>
        </w:tc>
      </w:tr>
    </w:tbl>
    <w:p w:rsidR="00481BB5" w:rsidRDefault="00481BB5"/>
    <w:sectPr w:rsidR="00481BB5" w:rsidSect="00FE75A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A1" w:rsidRDefault="00FE75A1" w:rsidP="00FE75A1">
      <w:r>
        <w:separator/>
      </w:r>
    </w:p>
  </w:endnote>
  <w:endnote w:type="continuationSeparator" w:id="0">
    <w:p w:rsidR="00FE75A1" w:rsidRDefault="00FE75A1" w:rsidP="00FE75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A1" w:rsidRDefault="00FE75A1" w:rsidP="00FE75A1">
      <w:r>
        <w:separator/>
      </w:r>
    </w:p>
  </w:footnote>
  <w:footnote w:type="continuationSeparator" w:id="0">
    <w:p w:rsidR="00FE75A1" w:rsidRDefault="00FE75A1" w:rsidP="00FE75A1">
      <w:r>
        <w:continuationSeparator/>
      </w:r>
    </w:p>
  </w:footnote>
  <w:footnote w:id="1">
    <w:p w:rsidR="00FE75A1" w:rsidRDefault="00FE75A1" w:rsidP="00FE75A1">
      <w:pPr>
        <w:pStyle w:val="FootnoteText"/>
        <w:spacing w:before="60" w:after="60"/>
        <w:ind w:left="357" w:hanging="357"/>
        <w:jc w:val="both"/>
      </w:pPr>
      <w:r>
        <w:rPr>
          <w:rStyle w:val="FootnoteReference"/>
        </w:rPr>
        <w:footnoteRef/>
      </w:r>
      <w:r>
        <w:t xml:space="preserve"> </w:t>
      </w:r>
      <w:r>
        <w:tab/>
        <w:t>If a number of similar individual contracts were to be executed in different places or at different times, these can be grouped together under a single heading, with an explanation in the comments column indicating the average individual contract amount and the period during which they would be executed. For example, an education project that includes school construction might include an item “school construction” for a total of US$20 million, and an explanation in the comments column such as: “This encompasses some 200 contracts for school construction averaging US$100,000 each, to be awarded individually by participating municipal governments over a three-year period between January 2006 and December 2008.”</w:t>
      </w:r>
    </w:p>
  </w:footnote>
  <w:footnote w:id="2">
    <w:p w:rsidR="00FE75A1" w:rsidRDefault="00FE75A1" w:rsidP="00FE75A1">
      <w:pPr>
        <w:pStyle w:val="FootnoteText"/>
        <w:spacing w:before="60" w:after="60"/>
        <w:ind w:left="357" w:hanging="357"/>
        <w:jc w:val="both"/>
      </w:pPr>
      <w:r>
        <w:rPr>
          <w:rStyle w:val="FootnoteReference"/>
        </w:rPr>
        <w:footnoteRef/>
      </w:r>
      <w:r>
        <w:t xml:space="preserve"> </w:t>
      </w:r>
      <w:r>
        <w:tab/>
      </w:r>
      <w:r>
        <w:rPr>
          <w:b/>
          <w:bCs/>
          <w:u w:val="single"/>
        </w:rPr>
        <w:t>Goods and Works</w:t>
      </w:r>
      <w:r>
        <w:t xml:space="preserve">: </w:t>
      </w:r>
      <w:r>
        <w:rPr>
          <w:b/>
          <w:bCs/>
        </w:rPr>
        <w:t>ICB</w:t>
      </w:r>
      <w:r>
        <w:t xml:space="preserve">: International competitive bidding; </w:t>
      </w:r>
      <w:r>
        <w:rPr>
          <w:b/>
          <w:bCs/>
        </w:rPr>
        <w:t>LIB</w:t>
      </w:r>
      <w:r>
        <w:t xml:space="preserve">: limited international bidding; </w:t>
      </w:r>
      <w:r>
        <w:rPr>
          <w:b/>
          <w:bCs/>
        </w:rPr>
        <w:t>NCB</w:t>
      </w:r>
      <w:r>
        <w:t xml:space="preserve">: national competitive bidding; </w:t>
      </w:r>
      <w:r>
        <w:rPr>
          <w:b/>
          <w:bCs/>
        </w:rPr>
        <w:t>PC</w:t>
      </w:r>
      <w:r>
        <w:t xml:space="preserve">: price comparison; </w:t>
      </w:r>
      <w:r>
        <w:rPr>
          <w:b/>
          <w:bCs/>
        </w:rPr>
        <w:t>DC</w:t>
      </w:r>
      <w:r>
        <w:t xml:space="preserve">: direct contracting; </w:t>
      </w:r>
      <w:r>
        <w:rPr>
          <w:b/>
          <w:bCs/>
        </w:rPr>
        <w:t>FA</w:t>
      </w:r>
      <w:r>
        <w:t xml:space="preserve">: force account; </w:t>
      </w:r>
      <w:r>
        <w:rPr>
          <w:b/>
          <w:bCs/>
        </w:rPr>
        <w:t>PSA</w:t>
      </w:r>
      <w:r>
        <w:t xml:space="preserve">: Procurement through Specialized Agencies; </w:t>
      </w:r>
      <w:r>
        <w:rPr>
          <w:b/>
          <w:bCs/>
        </w:rPr>
        <w:t>PA:</w:t>
      </w:r>
      <w:r>
        <w:t xml:space="preserve"> Procurement Agents; </w:t>
      </w:r>
      <w:r>
        <w:rPr>
          <w:b/>
          <w:bCs/>
        </w:rPr>
        <w:t>IA:</w:t>
      </w:r>
      <w:r>
        <w:t xml:space="preserve"> Inspection Agents; </w:t>
      </w:r>
      <w:r>
        <w:rPr>
          <w:b/>
          <w:bCs/>
        </w:rPr>
        <w:t>PLFI</w:t>
      </w:r>
      <w:r>
        <w:t xml:space="preserve">: Procurement in Loans to Financial Intermediaries; </w:t>
      </w:r>
      <w:r>
        <w:rPr>
          <w:b/>
          <w:bCs/>
        </w:rPr>
        <w:t>BOO/BOT/BOOT:</w:t>
      </w:r>
      <w:r>
        <w:t xml:space="preserve"> Build, Own, Operate/Build, Operate, Transfer/Build, Own, Operate, Transfer; </w:t>
      </w:r>
      <w:r>
        <w:rPr>
          <w:b/>
          <w:bCs/>
        </w:rPr>
        <w:t>PBP</w:t>
      </w:r>
      <w:r>
        <w:t xml:space="preserve">: Performance-Based Procurement; </w:t>
      </w:r>
      <w:r>
        <w:rPr>
          <w:b/>
          <w:bCs/>
        </w:rPr>
        <w:t>PLGB: </w:t>
      </w:r>
      <w:r>
        <w:t xml:space="preserve">Procurement under Loans Guaranteed by the Bank; </w:t>
      </w:r>
      <w:r>
        <w:rPr>
          <w:b/>
          <w:bCs/>
        </w:rPr>
        <w:t>PCP</w:t>
      </w:r>
      <w:r>
        <w:t xml:space="preserve">: Community participation procurement.  </w:t>
      </w:r>
      <w:r>
        <w:rPr>
          <w:b/>
          <w:bCs/>
          <w:u w:val="single"/>
        </w:rPr>
        <w:t>Consulting Firms</w:t>
      </w:r>
      <w:r>
        <w:rPr>
          <w:u w:val="single"/>
        </w:rPr>
        <w:t>:</w:t>
      </w:r>
      <w:r>
        <w:t xml:space="preserve"> </w:t>
      </w:r>
      <w:r>
        <w:rPr>
          <w:b/>
          <w:bCs/>
        </w:rPr>
        <w:t>QCBS</w:t>
      </w:r>
      <w:r>
        <w:t xml:space="preserve">: Quality- and Cost-Based Selection </w:t>
      </w:r>
      <w:r>
        <w:rPr>
          <w:b/>
          <w:bCs/>
        </w:rPr>
        <w:t>QBS</w:t>
      </w:r>
      <w:r>
        <w:t xml:space="preserve">: Quality-Based Selection </w:t>
      </w:r>
      <w:r>
        <w:rPr>
          <w:b/>
          <w:bCs/>
        </w:rPr>
        <w:t>FBS</w:t>
      </w:r>
      <w:r>
        <w:t xml:space="preserve">: Selection under a Fixed Budget; </w:t>
      </w:r>
      <w:r>
        <w:rPr>
          <w:b/>
          <w:bCs/>
        </w:rPr>
        <w:t>LCS</w:t>
      </w:r>
      <w:r>
        <w:t xml:space="preserve">: Least-Cost Selection; </w:t>
      </w:r>
      <w:r>
        <w:rPr>
          <w:b/>
          <w:bCs/>
        </w:rPr>
        <w:t>CQS</w:t>
      </w:r>
      <w:r>
        <w:t xml:space="preserve">: Selection based on the Consultants’ Qualifications; </w:t>
      </w:r>
      <w:r>
        <w:rPr>
          <w:b/>
          <w:bCs/>
        </w:rPr>
        <w:t>SSS:</w:t>
      </w:r>
      <w:r>
        <w:t xml:space="preserve"> Single-Source Selection.  </w:t>
      </w:r>
      <w:r>
        <w:rPr>
          <w:b/>
          <w:bCs/>
          <w:u w:val="single"/>
        </w:rPr>
        <w:t>Individual Consultants</w:t>
      </w:r>
      <w:r>
        <w:t xml:space="preserve">: </w:t>
      </w:r>
      <w:r>
        <w:rPr>
          <w:b/>
          <w:bCs/>
        </w:rPr>
        <w:t>NICQ</w:t>
      </w:r>
      <w:r>
        <w:t xml:space="preserve">: National Individual Consultant selection based on Qualifications; </w:t>
      </w:r>
      <w:r>
        <w:rPr>
          <w:b/>
          <w:bCs/>
        </w:rPr>
        <w:t>IICC</w:t>
      </w:r>
      <w:r>
        <w:t xml:space="preserve">: International Individual Consultant selection based on Qualifications </w:t>
      </w:r>
    </w:p>
  </w:footnote>
  <w:footnote w:id="3">
    <w:p w:rsidR="00FE75A1" w:rsidRDefault="00FE75A1" w:rsidP="00FE75A1">
      <w:pPr>
        <w:pStyle w:val="FootnoteText"/>
        <w:spacing w:before="60" w:after="60"/>
        <w:ind w:left="357" w:hanging="357"/>
        <w:jc w:val="both"/>
      </w:pPr>
      <w:r>
        <w:rPr>
          <w:rStyle w:val="FootnoteReference"/>
        </w:rPr>
        <w:footnoteRef/>
      </w:r>
      <w:r>
        <w:t xml:space="preserve"> </w:t>
      </w:r>
      <w:r>
        <w:tab/>
        <w:t>In the case of new Policies it applies only for Goods and Works.  In the case Old Procurement Policies it applies for Goods, Works and Consulting Services.</w:t>
      </w:r>
    </w:p>
  </w:footnote>
  <w:footnote w:id="4">
    <w:p w:rsidR="00FE75A1" w:rsidRDefault="00FE75A1" w:rsidP="00FE75A1">
      <w:pPr>
        <w:pStyle w:val="FootnoteText"/>
        <w:spacing w:before="60" w:after="60"/>
        <w:ind w:left="357" w:hanging="357"/>
        <w:jc w:val="both"/>
      </w:pPr>
      <w:r>
        <w:rPr>
          <w:rStyle w:val="FootnoteReference"/>
        </w:rPr>
        <w:footnoteRef/>
      </w:r>
      <w:r>
        <w:t xml:space="preserve"> </w:t>
      </w:r>
      <w:r>
        <w:tab/>
        <w:t xml:space="preserve">This column “Status” should be used for retroactive procurement and for procurement plan updates.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FE75A1"/>
    <w:rsid w:val="0007363F"/>
    <w:rsid w:val="00366FC4"/>
    <w:rsid w:val="00391AF7"/>
    <w:rsid w:val="003E0BF6"/>
    <w:rsid w:val="00481BB5"/>
    <w:rsid w:val="0077063A"/>
    <w:rsid w:val="008441DA"/>
    <w:rsid w:val="0090544D"/>
    <w:rsid w:val="009E438D"/>
    <w:rsid w:val="00FE7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A1"/>
    <w:pPr>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FE75A1"/>
    <w:pPr>
      <w:keepNext/>
      <w:outlineLvl w:val="0"/>
    </w:pPr>
    <w:rPr>
      <w:rFonts w:ascii="Times New Roman" w:hAnsi="Times New Roman" w:cs="Times New Roman"/>
      <w:b/>
      <w:bCs/>
      <w:sz w:val="24"/>
      <w:szCs w:val="24"/>
      <w:lang w:val="es-ES"/>
    </w:rPr>
  </w:style>
  <w:style w:type="paragraph" w:styleId="Heading3">
    <w:name w:val="heading 3"/>
    <w:basedOn w:val="Normal"/>
    <w:next w:val="Normal"/>
    <w:link w:val="Heading3Char"/>
    <w:unhideWhenUsed/>
    <w:qFormat/>
    <w:rsid w:val="00FE75A1"/>
    <w:pPr>
      <w:keepNext/>
      <w:widowControl w:val="0"/>
      <w:outlineLvl w:val="2"/>
    </w:pPr>
    <w:rPr>
      <w:rFonts w:ascii="Times New Roman" w:hAnsi="Times New Roman" w:cs="Times New Roman"/>
      <w:b/>
      <w:bCs/>
    </w:rPr>
  </w:style>
  <w:style w:type="paragraph" w:styleId="Heading5">
    <w:name w:val="heading 5"/>
    <w:basedOn w:val="Normal"/>
    <w:next w:val="Normal"/>
    <w:link w:val="Heading5Char"/>
    <w:semiHidden/>
    <w:unhideWhenUsed/>
    <w:qFormat/>
    <w:rsid w:val="00FE75A1"/>
    <w:pPr>
      <w:keepNext/>
      <w:widowControl w:val="0"/>
      <w:ind w:left="720"/>
      <w:outlineLvl w:val="4"/>
    </w:pPr>
    <w:rPr>
      <w:b/>
      <w:b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5A1"/>
    <w:rPr>
      <w:rFonts w:ascii="Times New Roman" w:eastAsia="Times New Roman" w:hAnsi="Times New Roman" w:cs="Times New Roman"/>
      <w:b/>
      <w:bCs/>
      <w:sz w:val="24"/>
      <w:szCs w:val="24"/>
      <w:lang w:val="es-ES"/>
    </w:rPr>
  </w:style>
  <w:style w:type="character" w:customStyle="1" w:styleId="Heading3Char">
    <w:name w:val="Heading 3 Char"/>
    <w:basedOn w:val="DefaultParagraphFont"/>
    <w:link w:val="Heading3"/>
    <w:rsid w:val="00FE75A1"/>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semiHidden/>
    <w:rsid w:val="00FE75A1"/>
    <w:rPr>
      <w:rFonts w:ascii="Arial" w:eastAsia="Times New Roman" w:hAnsi="Arial" w:cs="Arial"/>
      <w:b/>
      <w:bCs/>
      <w:u w:val="single"/>
    </w:rPr>
  </w:style>
  <w:style w:type="paragraph" w:styleId="FootnoteText">
    <w:name w:val="footnote text"/>
    <w:basedOn w:val="Normal"/>
    <w:link w:val="FootnoteTextChar"/>
    <w:semiHidden/>
    <w:unhideWhenUsed/>
    <w:rsid w:val="00FE75A1"/>
    <w:rPr>
      <w:rFonts w:ascii="Times New Roman" w:hAnsi="Times New Roman" w:cs="Times New Roman"/>
    </w:rPr>
  </w:style>
  <w:style w:type="character" w:customStyle="1" w:styleId="FootnoteTextChar">
    <w:name w:val="Footnote Text Char"/>
    <w:basedOn w:val="DefaultParagraphFont"/>
    <w:link w:val="FootnoteText"/>
    <w:semiHidden/>
    <w:rsid w:val="00FE75A1"/>
    <w:rPr>
      <w:rFonts w:ascii="Times New Roman" w:eastAsia="Times New Roman" w:hAnsi="Times New Roman" w:cs="Times New Roman"/>
      <w:sz w:val="20"/>
      <w:szCs w:val="20"/>
    </w:rPr>
  </w:style>
  <w:style w:type="paragraph" w:styleId="BodyText2">
    <w:name w:val="Body Text 2"/>
    <w:basedOn w:val="Normal"/>
    <w:link w:val="BodyText2Char"/>
    <w:unhideWhenUsed/>
    <w:rsid w:val="00FE75A1"/>
    <w:rPr>
      <w:rFonts w:ascii="Times New Roman" w:hAnsi="Times New Roman" w:cs="Times New Roman"/>
      <w:b/>
      <w:bCs/>
      <w:lang w:val="es-ES"/>
    </w:rPr>
  </w:style>
  <w:style w:type="character" w:customStyle="1" w:styleId="BodyText2Char">
    <w:name w:val="Body Text 2 Char"/>
    <w:basedOn w:val="DefaultParagraphFont"/>
    <w:link w:val="BodyText2"/>
    <w:rsid w:val="00FE75A1"/>
    <w:rPr>
      <w:rFonts w:ascii="Times New Roman" w:eastAsia="Times New Roman" w:hAnsi="Times New Roman" w:cs="Times New Roman"/>
      <w:b/>
      <w:bCs/>
      <w:sz w:val="20"/>
      <w:szCs w:val="20"/>
      <w:lang w:val="es-ES"/>
    </w:rPr>
  </w:style>
  <w:style w:type="paragraph" w:customStyle="1" w:styleId="Textodebalo">
    <w:name w:val="Texto de balão"/>
    <w:basedOn w:val="Normal"/>
    <w:semiHidden/>
    <w:rsid w:val="00FE75A1"/>
    <w:rPr>
      <w:rFonts w:ascii="Tahoma" w:hAnsi="Tahoma" w:cs="Tahoma"/>
      <w:sz w:val="16"/>
      <w:szCs w:val="16"/>
    </w:rPr>
  </w:style>
  <w:style w:type="character" w:styleId="FootnoteReference">
    <w:name w:val="footnote reference"/>
    <w:basedOn w:val="DefaultParagraphFont"/>
    <w:semiHidden/>
    <w:unhideWhenUsed/>
    <w:rsid w:val="00FE75A1"/>
    <w:rPr>
      <w:vertAlign w:val="superscript"/>
    </w:rPr>
  </w:style>
  <w:style w:type="paragraph" w:styleId="PlainText">
    <w:name w:val="Plain Text"/>
    <w:basedOn w:val="Normal"/>
    <w:link w:val="PlainTextChar"/>
    <w:uiPriority w:val="99"/>
    <w:semiHidden/>
    <w:unhideWhenUsed/>
    <w:rsid w:val="00FE75A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E75A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873687616">
      <w:bodyDiv w:val="1"/>
      <w:marLeft w:val="0"/>
      <w:marRight w:val="0"/>
      <w:marTop w:val="0"/>
      <w:marBottom w:val="0"/>
      <w:divBdr>
        <w:top w:val="none" w:sz="0" w:space="0" w:color="auto"/>
        <w:left w:val="none" w:sz="0" w:space="0" w:color="auto"/>
        <w:bottom w:val="none" w:sz="0" w:space="0" w:color="auto"/>
        <w:right w:val="none" w:sz="0" w:space="0" w:color="auto"/>
      </w:divBdr>
    </w:div>
    <w:div w:id="211558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35221396</IDBDocs_x0020_Number>
    <TaxCatchAll xmlns="9c571b2f-e523-4ab2-ba2e-09e151a03ef4">
      <Value>40</Value>
      <Value>17</Value>
      <Value>7</Value>
    </TaxCatchAll>
    <Phase xmlns="9c571b2f-e523-4ab2-ba2e-09e151a03ef4" xsi:nil="true"/>
    <SISCOR_x0020_Number xmlns="9c571b2f-e523-4ab2-ba2e-09e151a03ef4" xsi:nil="true"/>
    <Division_x0020_or_x0020_Unit xmlns="9c571b2f-e523-4ab2-ba2e-09e151a03ef4">PDP/PFM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Procurement Plan</TermName>
          <TermId xmlns="http://schemas.microsoft.com/office/infopath/2007/PartnerControls">0b294293-aea6-4ed7-abc7-7c44a738bcef</TermId>
        </TermInfo>
      </Terms>
    </o5138a91267540169645e33d09c9ddc6>
    <Approval_x0020_Number xmlns="9c571b2f-e523-4ab2-ba2e-09e151a03ef4" xsi:nil="true"/>
    <Document_x0020_Author xmlns="9c571b2f-e523-4ab2-ba2e-09e151a03ef4">Sanchez-Pena, Luz E.</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fd0e48b6a66848a9885f717e5bbf40c4>
    <Project_x0020_Number xmlns="9c571b2f-e523-4ab2-ba2e-09e151a03ef4">BA-L1007</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j8b96605ee2f4c4e988849e658583fee>
    <Migration_x0020_Info xmlns="9c571b2f-e523-4ab2-ba2e-09e151a03ef4">&lt;Data&gt;&lt;APPLICATION&gt;MS WORD&lt;/APPLICATION&gt;&lt;STAGE_CODE&gt;PA&lt;/STAGE_CODE&gt;&lt;USER_STAGE&gt;Procurement Plan&lt;/USER_STAGE&gt;&lt;PD_OBJ_TYPE&gt;0&lt;/PD_OBJ_TYPE&gt;&lt;MAKERECORD&gt;N&lt;/MAKERECORD&gt;&lt;/Data&gt;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FULL DOC</Identifier>
    <Disclosure_x0020_Activity xmlns="9c571b2f-e523-4ab2-ba2e-09e151a03ef4">Procurement Plan</Disclosure_x0020_Activity>
    <Webtopic xmlns="9c571b2f-e523-4ab2-ba2e-09e151a03ef4">Generic</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0A40C8C9C745C4A8C92E823F1C48D00" ma:contentTypeVersion="0" ma:contentTypeDescription="A content type to manage public (operations) IDB documents" ma:contentTypeScope="" ma:versionID="0a1a4185e0984b26f857f96bd140483c">
  <xsd:schema xmlns:xsd="http://www.w3.org/2001/XMLSchema" xmlns:xs="http://www.w3.org/2001/XMLSchema" xmlns:p="http://schemas.microsoft.com/office/2006/metadata/properties" xmlns:ns2="9c571b2f-e523-4ab2-ba2e-09e151a03ef4" targetNamespace="http://schemas.microsoft.com/office/2006/metadata/properties" ma:root="true" ma:fieldsID="61ddcbed0206354030a807c5a7467cc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3940e97-2b25-46af-b7f4-38e90c140045}" ma:internalName="TaxCatchAll" ma:showField="CatchAllData" ma:web="92fc7b07-91ee-4478-879f-0d58805a024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3940e97-2b25-46af-b7f4-38e90c140045}" ma:internalName="TaxCatchAllLabel" ma:readOnly="true" ma:showField="CatchAllDataLabel" ma:web="92fc7b07-91ee-4478-879f-0d58805a024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E946C281-7C2A-494C-BCAF-277D6A2DAF3C}"/>
</file>

<file path=customXml/itemProps2.xml><?xml version="1.0" encoding="utf-8"?>
<ds:datastoreItem xmlns:ds="http://schemas.openxmlformats.org/officeDocument/2006/customXml" ds:itemID="{D5ADAF05-DADA-422D-82D0-85B4A55D716E}"/>
</file>

<file path=customXml/itemProps3.xml><?xml version="1.0" encoding="utf-8"?>
<ds:datastoreItem xmlns:ds="http://schemas.openxmlformats.org/officeDocument/2006/customXml" ds:itemID="{2AF8AB77-11C2-4348-B0CE-9B2BD27428A7}"/>
</file>

<file path=customXml/itemProps4.xml><?xml version="1.0" encoding="utf-8"?>
<ds:datastoreItem xmlns:ds="http://schemas.openxmlformats.org/officeDocument/2006/customXml" ds:itemID="{105A8499-4912-4986-8305-0CF1DC9FEB10}"/>
</file>

<file path=customXml/itemProps5.xml><?xml version="1.0" encoding="utf-8"?>
<ds:datastoreItem xmlns:ds="http://schemas.openxmlformats.org/officeDocument/2006/customXml" ds:itemID="{1B58267C-48E1-467E-A432-2D94F85865B7}"/>
</file>

<file path=docProps/app.xml><?xml version="1.0" encoding="utf-8"?>
<Properties xmlns="http://schemas.openxmlformats.org/officeDocument/2006/extended-properties" xmlns:vt="http://schemas.openxmlformats.org/officeDocument/2006/docPropsVTypes">
  <Template>Normal.dotm</Template>
  <TotalTime>2</TotalTime>
  <Pages>7</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Barbados Competititveness Program</dc:title>
  <dc:subject/>
  <dc:creator>janettea</dc:creator>
  <cp:keywords/>
  <dc:description/>
  <cp:lastModifiedBy>luzsp</cp:lastModifiedBy>
  <cp:revision>2</cp:revision>
  <dcterms:created xsi:type="dcterms:W3CDTF">2010-06-18T21:50:00Z</dcterms:created>
  <dcterms:modified xsi:type="dcterms:W3CDTF">2010-06-18T21:50:00Z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0x01010046CF21643EE8D14686A648AA6DAD089200F0A40C8C9C745C4A8C92E823F1C48D00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40;#Procurement Plan|0b294293-aea6-4ed7-abc7-7c44a738bcef</vt:lpwstr>
  </property>
  <property fmtid="{D5CDD505-2E9C-101B-9397-08002B2CF9AE}" pid="8" name="Country">
    <vt:lpwstr>17;#Barbados|2e62bac6-7007-4d9a-9183-df33585926ed</vt:lpwstr>
  </property>
  <property fmtid="{D5CDD505-2E9C-101B-9397-08002B2CF9AE}" pid="9" name="Fund IDB">
    <vt:lpwstr/>
  </property>
  <property fmtid="{D5CDD505-2E9C-101B-9397-08002B2CF9AE}" pid="10" name="Series_x0020_Operations_x0020_IDB">
    <vt:lpwstr>40;#Procurement Plan|0b294293-aea6-4ed7-abc7-7c44a738bcef</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7;#Goods and Services|5bfebf1b-9f1f-4411-b1dd-4c19b807b799</vt:lpwstr>
  </property>
  <property fmtid="{D5CDD505-2E9C-101B-9397-08002B2CF9AE}" pid="15" name="Sub-Sector">
    <vt:lpwstr/>
  </property>
</Properties>
</file>