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BB2" w:rsidRPr="00826D62" w:rsidRDefault="00FC056A" w:rsidP="004C7BB2">
      <w:pPr>
        <w:pStyle w:val="SubSubPar"/>
        <w:numPr>
          <w:ilvl w:val="0"/>
          <w:numId w:val="0"/>
        </w:numPr>
        <w:jc w:val="center"/>
        <w:rPr>
          <w:rFonts w:ascii="Arial" w:hAnsi="Arial" w:cs="Arial"/>
          <w:smallCaps/>
          <w:sz w:val="22"/>
          <w:szCs w:val="22"/>
          <w:lang w:val="es-ES_tradnl"/>
        </w:rPr>
      </w:pPr>
      <w:r w:rsidRPr="00826D62">
        <w:rPr>
          <w:rFonts w:ascii="Arial" w:hAnsi="Arial" w:cs="Arial"/>
          <w:smallCaps/>
          <w:sz w:val="22"/>
          <w:szCs w:val="22"/>
          <w:lang w:val="es-ES_tradnl"/>
        </w:rPr>
        <w:t>Documento del Banco Interamericano de Desarrollo</w:t>
      </w:r>
    </w:p>
    <w:p w:rsidR="004C7BB2" w:rsidRPr="00826D62" w:rsidRDefault="004C7BB2" w:rsidP="004C7BB2">
      <w:pPr>
        <w:tabs>
          <w:tab w:val="left" w:pos="1440"/>
          <w:tab w:val="left" w:pos="3060"/>
        </w:tabs>
        <w:spacing w:before="120" w:after="120" w:line="240" w:lineRule="auto"/>
        <w:jc w:val="center"/>
        <w:rPr>
          <w:rFonts w:ascii="Arial" w:hAnsi="Arial" w:cs="Arial"/>
          <w:b/>
          <w:smallCaps/>
          <w:sz w:val="24"/>
          <w:szCs w:val="24"/>
        </w:rPr>
      </w:pPr>
    </w:p>
    <w:p w:rsidR="004C7BB2" w:rsidRPr="00826D62" w:rsidRDefault="004C7BB2" w:rsidP="004C7BB2">
      <w:pPr>
        <w:tabs>
          <w:tab w:val="left" w:pos="1440"/>
          <w:tab w:val="left" w:pos="3060"/>
        </w:tabs>
        <w:spacing w:before="120" w:after="120" w:line="240" w:lineRule="auto"/>
        <w:jc w:val="center"/>
        <w:rPr>
          <w:rFonts w:ascii="Arial" w:hAnsi="Arial" w:cs="Arial"/>
          <w:b/>
          <w:smallCaps/>
          <w:sz w:val="24"/>
          <w:szCs w:val="24"/>
        </w:rPr>
      </w:pPr>
    </w:p>
    <w:p w:rsidR="004C7BB2" w:rsidRDefault="004C7BB2" w:rsidP="004C7BB2">
      <w:pPr>
        <w:tabs>
          <w:tab w:val="left" w:pos="1440"/>
          <w:tab w:val="left" w:pos="3060"/>
        </w:tabs>
        <w:spacing w:before="120" w:after="120" w:line="240" w:lineRule="auto"/>
        <w:jc w:val="center"/>
        <w:rPr>
          <w:rFonts w:ascii="Arial" w:hAnsi="Arial" w:cs="Arial"/>
          <w:b/>
          <w:smallCaps/>
          <w:sz w:val="24"/>
          <w:szCs w:val="24"/>
        </w:rPr>
      </w:pPr>
    </w:p>
    <w:p w:rsidR="00FC056A" w:rsidRDefault="00FC056A" w:rsidP="004C7BB2">
      <w:pPr>
        <w:tabs>
          <w:tab w:val="left" w:pos="1440"/>
          <w:tab w:val="left" w:pos="3060"/>
        </w:tabs>
        <w:spacing w:before="120" w:after="120" w:line="240" w:lineRule="auto"/>
        <w:jc w:val="center"/>
        <w:rPr>
          <w:rFonts w:ascii="Arial" w:hAnsi="Arial" w:cs="Arial"/>
          <w:b/>
          <w:smallCaps/>
          <w:sz w:val="24"/>
          <w:szCs w:val="24"/>
        </w:rPr>
      </w:pPr>
    </w:p>
    <w:p w:rsidR="00FC056A" w:rsidRDefault="00FC056A" w:rsidP="004C7BB2">
      <w:pPr>
        <w:tabs>
          <w:tab w:val="left" w:pos="1440"/>
          <w:tab w:val="left" w:pos="3060"/>
        </w:tabs>
        <w:spacing w:before="120" w:after="120" w:line="240" w:lineRule="auto"/>
        <w:jc w:val="center"/>
        <w:rPr>
          <w:rFonts w:ascii="Arial" w:hAnsi="Arial" w:cs="Arial"/>
          <w:b/>
          <w:smallCaps/>
          <w:sz w:val="24"/>
          <w:szCs w:val="24"/>
        </w:rPr>
      </w:pPr>
    </w:p>
    <w:p w:rsidR="00FC056A" w:rsidRDefault="00FC056A" w:rsidP="004C7BB2">
      <w:pPr>
        <w:tabs>
          <w:tab w:val="left" w:pos="1440"/>
          <w:tab w:val="left" w:pos="3060"/>
        </w:tabs>
        <w:spacing w:before="120" w:after="120" w:line="240" w:lineRule="auto"/>
        <w:jc w:val="center"/>
        <w:rPr>
          <w:rFonts w:ascii="Arial" w:hAnsi="Arial" w:cs="Arial"/>
          <w:b/>
          <w:smallCaps/>
          <w:sz w:val="24"/>
          <w:szCs w:val="24"/>
        </w:rPr>
      </w:pPr>
    </w:p>
    <w:p w:rsidR="00FC056A" w:rsidRDefault="00FC056A" w:rsidP="004C7BB2">
      <w:pPr>
        <w:tabs>
          <w:tab w:val="left" w:pos="1440"/>
          <w:tab w:val="left" w:pos="3060"/>
        </w:tabs>
        <w:spacing w:before="120" w:after="120" w:line="240" w:lineRule="auto"/>
        <w:jc w:val="center"/>
        <w:rPr>
          <w:rFonts w:ascii="Arial" w:hAnsi="Arial" w:cs="Arial"/>
          <w:b/>
          <w:smallCaps/>
          <w:sz w:val="24"/>
          <w:szCs w:val="24"/>
        </w:rPr>
      </w:pPr>
    </w:p>
    <w:p w:rsidR="00FC056A" w:rsidRDefault="00FC056A" w:rsidP="004C7BB2">
      <w:pPr>
        <w:tabs>
          <w:tab w:val="left" w:pos="1440"/>
          <w:tab w:val="left" w:pos="3060"/>
        </w:tabs>
        <w:spacing w:before="120" w:after="120" w:line="240" w:lineRule="auto"/>
        <w:jc w:val="center"/>
        <w:rPr>
          <w:rFonts w:ascii="Arial" w:hAnsi="Arial" w:cs="Arial"/>
          <w:b/>
          <w:smallCaps/>
          <w:sz w:val="24"/>
          <w:szCs w:val="24"/>
        </w:rPr>
      </w:pPr>
    </w:p>
    <w:p w:rsidR="00FC056A" w:rsidRPr="00826D62" w:rsidRDefault="00FC056A" w:rsidP="004C7BB2">
      <w:pPr>
        <w:tabs>
          <w:tab w:val="left" w:pos="1440"/>
          <w:tab w:val="left" w:pos="3060"/>
        </w:tabs>
        <w:spacing w:before="120" w:after="120" w:line="240" w:lineRule="auto"/>
        <w:jc w:val="center"/>
        <w:rPr>
          <w:rFonts w:ascii="Arial" w:hAnsi="Arial" w:cs="Arial"/>
          <w:b/>
          <w:smallCaps/>
          <w:sz w:val="24"/>
          <w:szCs w:val="24"/>
        </w:rPr>
      </w:pPr>
    </w:p>
    <w:p w:rsidR="004C7BB2" w:rsidRPr="00826D62" w:rsidRDefault="004C7BB2" w:rsidP="004C7BB2">
      <w:pPr>
        <w:tabs>
          <w:tab w:val="left" w:pos="1440"/>
          <w:tab w:val="left" w:pos="3060"/>
        </w:tabs>
        <w:spacing w:before="120" w:after="120" w:line="240" w:lineRule="auto"/>
        <w:jc w:val="center"/>
        <w:rPr>
          <w:rFonts w:ascii="Arial" w:hAnsi="Arial" w:cs="Arial"/>
          <w:b/>
          <w:smallCaps/>
          <w:sz w:val="24"/>
          <w:szCs w:val="24"/>
        </w:rPr>
      </w:pPr>
    </w:p>
    <w:p w:rsidR="004C7BB2" w:rsidRPr="00826D62" w:rsidRDefault="00FC056A" w:rsidP="004C7BB2">
      <w:pPr>
        <w:tabs>
          <w:tab w:val="left" w:pos="1440"/>
          <w:tab w:val="left" w:pos="3060"/>
        </w:tabs>
        <w:spacing w:before="120" w:after="120" w:line="240" w:lineRule="auto"/>
        <w:jc w:val="center"/>
        <w:rPr>
          <w:rFonts w:ascii="Arial" w:hAnsi="Arial" w:cs="Arial"/>
          <w:b/>
          <w:caps/>
          <w:smallCaps/>
          <w:sz w:val="24"/>
          <w:szCs w:val="24"/>
        </w:rPr>
      </w:pPr>
      <w:r w:rsidRPr="00826D62">
        <w:rPr>
          <w:rFonts w:ascii="Arial" w:hAnsi="Arial" w:cs="Arial"/>
          <w:b/>
          <w:smallCaps/>
          <w:sz w:val="24"/>
          <w:szCs w:val="24"/>
        </w:rPr>
        <w:t>Honduras</w:t>
      </w:r>
    </w:p>
    <w:p w:rsidR="004C7BB2" w:rsidRPr="00826D62" w:rsidRDefault="004C7BB2" w:rsidP="004C7BB2">
      <w:pPr>
        <w:spacing w:before="120" w:after="120" w:line="240" w:lineRule="auto"/>
        <w:rPr>
          <w:rFonts w:ascii="Arial" w:hAnsi="Arial" w:cs="Arial"/>
          <w:sz w:val="24"/>
          <w:szCs w:val="24"/>
        </w:rPr>
      </w:pPr>
    </w:p>
    <w:p w:rsidR="004C7BB2" w:rsidRPr="00826D62" w:rsidRDefault="004C7BB2" w:rsidP="004C7BB2">
      <w:pPr>
        <w:spacing w:before="120" w:after="120" w:line="240" w:lineRule="auto"/>
        <w:rPr>
          <w:rFonts w:ascii="Arial" w:hAnsi="Arial" w:cs="Arial"/>
          <w:sz w:val="24"/>
          <w:szCs w:val="24"/>
        </w:rPr>
      </w:pPr>
    </w:p>
    <w:p w:rsidR="004C7BB2" w:rsidRPr="00826D62" w:rsidRDefault="004C7BB2" w:rsidP="004C7BB2">
      <w:pPr>
        <w:spacing w:before="120" w:after="120" w:line="240" w:lineRule="auto"/>
        <w:rPr>
          <w:rFonts w:ascii="Arial" w:hAnsi="Arial" w:cs="Arial"/>
          <w:sz w:val="24"/>
          <w:szCs w:val="24"/>
        </w:rPr>
      </w:pPr>
    </w:p>
    <w:p w:rsidR="004C7BB2" w:rsidRPr="00826D62" w:rsidRDefault="004C7BB2" w:rsidP="004C7BB2">
      <w:pPr>
        <w:spacing w:before="120" w:after="120" w:line="240" w:lineRule="auto"/>
        <w:jc w:val="center"/>
        <w:rPr>
          <w:rFonts w:ascii="Arial" w:hAnsi="Arial" w:cs="Arial"/>
          <w:b/>
          <w:smallCaps/>
          <w:sz w:val="28"/>
          <w:szCs w:val="28"/>
        </w:rPr>
      </w:pPr>
      <w:r w:rsidRPr="00826D62">
        <w:rPr>
          <w:rFonts w:ascii="Arial" w:hAnsi="Arial" w:cs="Arial"/>
          <w:b/>
          <w:smallCaps/>
          <w:sz w:val="28"/>
          <w:szCs w:val="28"/>
        </w:rPr>
        <w:t>Fortalecimiento Institucional y Operativo de la Administración Tributaria</w:t>
      </w:r>
    </w:p>
    <w:p w:rsidR="004C7BB2" w:rsidRPr="00826D62" w:rsidRDefault="00FC056A" w:rsidP="004C7BB2">
      <w:pPr>
        <w:spacing w:before="120" w:after="120" w:line="240" w:lineRule="auto"/>
        <w:jc w:val="center"/>
        <w:rPr>
          <w:rFonts w:ascii="Arial" w:hAnsi="Arial" w:cs="Arial"/>
          <w:b/>
        </w:rPr>
      </w:pPr>
      <w:r w:rsidRPr="00826D62">
        <w:rPr>
          <w:rFonts w:ascii="Arial" w:hAnsi="Arial" w:cs="Arial"/>
          <w:b/>
        </w:rPr>
        <w:t>(</w:t>
      </w:r>
      <w:r w:rsidR="004C7BB2" w:rsidRPr="00826D62">
        <w:rPr>
          <w:rFonts w:ascii="Arial" w:hAnsi="Arial" w:cs="Arial"/>
          <w:b/>
        </w:rPr>
        <w:t>HO-L1108</w:t>
      </w:r>
      <w:r w:rsidRPr="00826D62">
        <w:rPr>
          <w:rFonts w:ascii="Arial" w:hAnsi="Arial" w:cs="Arial"/>
          <w:b/>
        </w:rPr>
        <w:t>)</w:t>
      </w:r>
    </w:p>
    <w:p w:rsidR="004C7BB2" w:rsidRPr="00826D62" w:rsidRDefault="004C7BB2" w:rsidP="004C7BB2">
      <w:pPr>
        <w:tabs>
          <w:tab w:val="left" w:pos="5336"/>
        </w:tabs>
        <w:spacing w:before="120" w:after="120" w:line="240" w:lineRule="auto"/>
        <w:rPr>
          <w:rFonts w:ascii="Arial" w:hAnsi="Arial" w:cs="Arial"/>
          <w:b/>
          <w:sz w:val="24"/>
          <w:szCs w:val="24"/>
        </w:rPr>
      </w:pPr>
      <w:r w:rsidRPr="00826D62">
        <w:rPr>
          <w:rFonts w:ascii="Arial" w:hAnsi="Arial" w:cs="Arial"/>
          <w:b/>
          <w:sz w:val="24"/>
          <w:szCs w:val="24"/>
        </w:rPr>
        <w:tab/>
      </w:r>
    </w:p>
    <w:p w:rsidR="004C7BB2" w:rsidRPr="00826D62" w:rsidRDefault="004C7BB2" w:rsidP="004C7BB2">
      <w:pPr>
        <w:tabs>
          <w:tab w:val="left" w:pos="5336"/>
        </w:tabs>
        <w:spacing w:before="120" w:after="120" w:line="240" w:lineRule="auto"/>
        <w:rPr>
          <w:rFonts w:ascii="Arial" w:hAnsi="Arial" w:cs="Arial"/>
          <w:b/>
          <w:sz w:val="24"/>
          <w:szCs w:val="24"/>
        </w:rPr>
      </w:pPr>
    </w:p>
    <w:p w:rsidR="004C7BB2" w:rsidRPr="00826D62" w:rsidRDefault="004C7BB2" w:rsidP="004C7BB2">
      <w:pPr>
        <w:tabs>
          <w:tab w:val="left" w:pos="5336"/>
        </w:tabs>
        <w:spacing w:before="120" w:after="120" w:line="240" w:lineRule="auto"/>
        <w:rPr>
          <w:rFonts w:ascii="Arial" w:hAnsi="Arial" w:cs="Arial"/>
          <w:b/>
          <w:sz w:val="24"/>
          <w:szCs w:val="24"/>
        </w:rPr>
      </w:pPr>
    </w:p>
    <w:p w:rsidR="004C7BB2" w:rsidRPr="00826D62" w:rsidRDefault="00FC056A" w:rsidP="004C7BB2">
      <w:pPr>
        <w:tabs>
          <w:tab w:val="left" w:pos="1440"/>
          <w:tab w:val="left" w:pos="3060"/>
        </w:tabs>
        <w:spacing w:before="120" w:after="120" w:line="240" w:lineRule="auto"/>
        <w:jc w:val="center"/>
        <w:rPr>
          <w:rFonts w:ascii="Arial" w:hAnsi="Arial" w:cs="Arial"/>
          <w:b/>
          <w:smallCaps/>
          <w:sz w:val="24"/>
          <w:szCs w:val="24"/>
        </w:rPr>
      </w:pPr>
      <w:r w:rsidRPr="00826D62">
        <w:rPr>
          <w:rFonts w:ascii="Arial" w:hAnsi="Arial" w:cs="Arial"/>
          <w:b/>
          <w:smallCaps/>
          <w:sz w:val="24"/>
          <w:szCs w:val="24"/>
        </w:rPr>
        <w:t>Evaluación Financiera</w:t>
      </w:r>
    </w:p>
    <w:p w:rsidR="004C7BB2" w:rsidRPr="00826D62" w:rsidRDefault="004C7BB2" w:rsidP="004C7BB2">
      <w:pPr>
        <w:spacing w:before="120" w:after="120" w:line="240" w:lineRule="auto"/>
        <w:rPr>
          <w:rFonts w:ascii="Arial" w:hAnsi="Arial" w:cs="Arial"/>
          <w:sz w:val="24"/>
          <w:szCs w:val="24"/>
        </w:rPr>
      </w:pPr>
    </w:p>
    <w:p w:rsidR="004C7BB2" w:rsidRPr="00826D62" w:rsidRDefault="004C7BB2" w:rsidP="004C7BB2">
      <w:pPr>
        <w:spacing w:before="120" w:after="120" w:line="240" w:lineRule="auto"/>
        <w:rPr>
          <w:rFonts w:ascii="Arial" w:hAnsi="Arial" w:cs="Arial"/>
          <w:sz w:val="24"/>
          <w:szCs w:val="24"/>
        </w:rPr>
      </w:pPr>
    </w:p>
    <w:p w:rsidR="004C7BB2" w:rsidRPr="00826D62" w:rsidRDefault="004C7BB2" w:rsidP="004C7BB2">
      <w:pPr>
        <w:spacing w:before="120" w:after="120" w:line="240" w:lineRule="auto"/>
        <w:rPr>
          <w:rFonts w:ascii="Arial" w:hAnsi="Arial" w:cs="Arial"/>
          <w:sz w:val="24"/>
          <w:szCs w:val="24"/>
        </w:rPr>
      </w:pPr>
    </w:p>
    <w:p w:rsidR="004C7BB2" w:rsidRPr="00826D62" w:rsidRDefault="004C7BB2" w:rsidP="004C7BB2">
      <w:pPr>
        <w:spacing w:before="120" w:after="120" w:line="240" w:lineRule="auto"/>
        <w:rPr>
          <w:rFonts w:ascii="Arial" w:hAnsi="Arial" w:cs="Arial"/>
          <w:sz w:val="24"/>
          <w:szCs w:val="24"/>
        </w:rPr>
      </w:pPr>
    </w:p>
    <w:p w:rsidR="004C7BB2" w:rsidRPr="00826D62" w:rsidRDefault="004C7BB2" w:rsidP="004C7BB2">
      <w:pPr>
        <w:spacing w:before="120" w:after="120" w:line="240" w:lineRule="auto"/>
        <w:rPr>
          <w:rFonts w:ascii="Arial" w:hAnsi="Arial" w:cs="Arial"/>
          <w:sz w:val="24"/>
          <w:szCs w:val="24"/>
        </w:rPr>
      </w:pPr>
    </w:p>
    <w:p w:rsidR="004C7BB2" w:rsidRPr="00826D62" w:rsidRDefault="004C7BB2">
      <w:pPr>
        <w:rPr>
          <w:rFonts w:ascii="Arial" w:hAnsi="Arial" w:cs="Arial"/>
          <w:b/>
          <w:smallCaps/>
          <w:sz w:val="24"/>
          <w:szCs w:val="24"/>
        </w:rPr>
      </w:pPr>
    </w:p>
    <w:tbl>
      <w:tblPr>
        <w:tblStyle w:val="TableGrid"/>
        <w:tblpPr w:leftFromText="180" w:rightFromText="180" w:vertAnchor="text" w:horzAnchor="margin" w:tblpX="288" w:tblpY="718"/>
        <w:tblW w:w="0" w:type="auto"/>
        <w:tblLook w:val="04A0" w:firstRow="1" w:lastRow="0" w:firstColumn="1" w:lastColumn="0" w:noHBand="0" w:noVBand="1"/>
      </w:tblPr>
      <w:tblGrid>
        <w:gridCol w:w="8280"/>
      </w:tblGrid>
      <w:tr w:rsidR="00444261" w:rsidRPr="00826D62" w:rsidTr="00444261">
        <w:tc>
          <w:tcPr>
            <w:tcW w:w="8280" w:type="dxa"/>
            <w:tcBorders>
              <w:top w:val="single" w:sz="4" w:space="0" w:color="auto"/>
              <w:left w:val="single" w:sz="4" w:space="0" w:color="auto"/>
              <w:bottom w:val="single" w:sz="4" w:space="0" w:color="auto"/>
              <w:right w:val="single" w:sz="4" w:space="0" w:color="auto"/>
            </w:tcBorders>
            <w:hideMark/>
          </w:tcPr>
          <w:p w:rsidR="00444261" w:rsidRPr="00826D62" w:rsidRDefault="00444261" w:rsidP="00444261">
            <w:pPr>
              <w:spacing w:before="120" w:after="120"/>
              <w:jc w:val="both"/>
              <w:rPr>
                <w:rFonts w:ascii="Arial" w:hAnsi="Arial" w:cs="Arial"/>
                <w:color w:val="000000"/>
                <w:sz w:val="20"/>
                <w:szCs w:val="20"/>
              </w:rPr>
            </w:pPr>
            <w:r w:rsidRPr="00826D62">
              <w:rPr>
                <w:rFonts w:ascii="Arial" w:hAnsi="Arial" w:cs="Arial"/>
                <w:color w:val="000000"/>
                <w:sz w:val="20"/>
                <w:szCs w:val="20"/>
              </w:rPr>
              <w:t>Este documento fue preparado por Marcio Cracel</w:t>
            </w:r>
            <w:bookmarkStart w:id="0" w:name="_GoBack"/>
            <w:bookmarkEnd w:id="0"/>
            <w:r w:rsidRPr="00826D62">
              <w:rPr>
                <w:rFonts w:ascii="Arial" w:hAnsi="Arial" w:cs="Arial"/>
                <w:color w:val="000000"/>
                <w:sz w:val="20"/>
                <w:szCs w:val="20"/>
              </w:rPr>
              <w:t xml:space="preserve"> y Ana Calvo (Consultores). </w:t>
            </w:r>
          </w:p>
        </w:tc>
      </w:tr>
    </w:tbl>
    <w:p w:rsidR="004C7BB2" w:rsidRPr="00826D62" w:rsidRDefault="004C7BB2">
      <w:pPr>
        <w:rPr>
          <w:rFonts w:ascii="Arial" w:hAnsi="Arial" w:cs="Arial"/>
          <w:b/>
          <w:smallCaps/>
          <w:sz w:val="24"/>
          <w:szCs w:val="24"/>
        </w:rPr>
      </w:pPr>
    </w:p>
    <w:p w:rsidR="004C7BB2" w:rsidRPr="00826D62" w:rsidRDefault="00FC056A" w:rsidP="002B0DD4">
      <w:pPr>
        <w:pStyle w:val="Chapter"/>
        <w:rPr>
          <w:rFonts w:ascii="Arial" w:hAnsi="Arial" w:cs="Arial"/>
        </w:rPr>
      </w:pPr>
      <w:r w:rsidRPr="00826D62">
        <w:rPr>
          <w:rFonts w:ascii="Arial" w:hAnsi="Arial" w:cs="Arial"/>
        </w:rPr>
        <w:lastRenderedPageBreak/>
        <w:t>Resumen Ejecutivo</w:t>
      </w:r>
    </w:p>
    <w:p w:rsidR="004C7BB2" w:rsidRPr="00826D62" w:rsidRDefault="004C7BB2" w:rsidP="004C7BB2">
      <w:pPr>
        <w:pStyle w:val="Paragraph"/>
        <w:numPr>
          <w:ilvl w:val="1"/>
          <w:numId w:val="31"/>
        </w:numPr>
        <w:tabs>
          <w:tab w:val="num" w:pos="720"/>
        </w:tabs>
        <w:ind w:left="720" w:hanging="720"/>
        <w:rPr>
          <w:rFonts w:ascii="Arial" w:hAnsi="Arial" w:cs="Arial"/>
          <w:sz w:val="22"/>
          <w:szCs w:val="22"/>
          <w:lang w:val="es-ES_tradnl"/>
        </w:rPr>
      </w:pPr>
      <w:r w:rsidRPr="00826D62">
        <w:rPr>
          <w:rFonts w:ascii="Arial" w:hAnsi="Arial" w:cs="Arial"/>
          <w:sz w:val="22"/>
          <w:szCs w:val="22"/>
          <w:lang w:val="es-ES_tradnl"/>
        </w:rPr>
        <w:t xml:space="preserve">El objetivo de este estudio es demonstrar el beneficio financiero generado a partir de un conjunto de acciones que promuevan el fortalecimiento institucional de la administración tributaria y aduanera del gobierno de Honduras. </w:t>
      </w:r>
    </w:p>
    <w:tbl>
      <w:tblPr>
        <w:tblStyle w:val="TableGrid"/>
        <w:tblW w:w="0" w:type="auto"/>
        <w:tblInd w:w="720" w:type="dxa"/>
        <w:tblLook w:val="04A0" w:firstRow="1" w:lastRow="0" w:firstColumn="1" w:lastColumn="0" w:noHBand="0" w:noVBand="1"/>
      </w:tblPr>
      <w:tblGrid>
        <w:gridCol w:w="8136"/>
      </w:tblGrid>
      <w:tr w:rsidR="002B0DD4" w:rsidRPr="00826D62" w:rsidTr="002B0DD4">
        <w:tc>
          <w:tcPr>
            <w:tcW w:w="9576" w:type="dxa"/>
          </w:tcPr>
          <w:p w:rsidR="002B0DD4" w:rsidRPr="00826D62" w:rsidRDefault="002B0DD4" w:rsidP="00646EBF">
            <w:pPr>
              <w:pStyle w:val="Paragraph"/>
              <w:numPr>
                <w:ilvl w:val="0"/>
                <w:numId w:val="0"/>
              </w:numPr>
              <w:rPr>
                <w:rFonts w:ascii="Arial" w:hAnsi="Arial" w:cs="Arial"/>
                <w:b/>
                <w:i/>
                <w:sz w:val="22"/>
                <w:szCs w:val="22"/>
                <w:lang w:val="es-ES_tradnl"/>
              </w:rPr>
            </w:pPr>
            <w:r w:rsidRPr="00826D62">
              <w:rPr>
                <w:rFonts w:ascii="Arial" w:hAnsi="Arial" w:cs="Arial"/>
                <w:b/>
                <w:i/>
                <w:sz w:val="22"/>
                <w:szCs w:val="22"/>
                <w:lang w:val="es-ES_tradnl"/>
              </w:rPr>
              <w:t xml:space="preserve">Supuesto – </w:t>
            </w:r>
            <w:r w:rsidRPr="00826D62">
              <w:rPr>
                <w:rFonts w:ascii="Arial" w:hAnsi="Arial" w:cs="Arial"/>
                <w:i/>
                <w:sz w:val="22"/>
                <w:szCs w:val="22"/>
                <w:lang w:val="es-ES_tradnl"/>
              </w:rPr>
              <w:t>Se genera un aumento en la presión fiscal (relación entre la recaudación tributaria y el PIB) de aproximadamente 1</w:t>
            </w:r>
            <w:r w:rsidR="00646EBF" w:rsidRPr="00826D62">
              <w:rPr>
                <w:rFonts w:ascii="Arial" w:hAnsi="Arial" w:cs="Arial"/>
                <w:i/>
                <w:sz w:val="22"/>
                <w:szCs w:val="22"/>
                <w:lang w:val="es-ES_tradnl"/>
              </w:rPr>
              <w:t xml:space="preserve"> punto (de 16.1 en 2015 a 17.1 en 2019)</w:t>
            </w:r>
            <w:r w:rsidRPr="00826D62">
              <w:rPr>
                <w:rFonts w:ascii="Arial" w:hAnsi="Arial" w:cs="Arial"/>
                <w:i/>
                <w:sz w:val="22"/>
                <w:szCs w:val="22"/>
                <w:lang w:val="es-ES_tradnl"/>
              </w:rPr>
              <w:t xml:space="preserve">, a partir de la mejora de los indicadores de gestión de la Administración Tributaria hondureña referente a los 3 ejes principales de la modernización, entre los cuales destacan: (i) el aumento de 12.2% a 36.95% en la relación entre el número de </w:t>
            </w:r>
            <w:r w:rsidR="00B650EA" w:rsidRPr="00826D62">
              <w:rPr>
                <w:rFonts w:ascii="Arial" w:hAnsi="Arial" w:cs="Arial"/>
                <w:i/>
                <w:sz w:val="22"/>
                <w:szCs w:val="22"/>
                <w:lang w:val="es-ES_tradnl"/>
              </w:rPr>
              <w:t>RTN Activos y el número de RTN registrad</w:t>
            </w:r>
            <w:r w:rsidRPr="00826D62">
              <w:rPr>
                <w:rFonts w:ascii="Arial" w:hAnsi="Arial" w:cs="Arial"/>
                <w:i/>
                <w:sz w:val="22"/>
                <w:szCs w:val="22"/>
                <w:lang w:val="es-ES_tradnl"/>
              </w:rPr>
              <w:t xml:space="preserve">os: (ii) el aumento de 1.9% a 12.3% en la relación entre número de facturas recibidas anualmente y el número de RTN </w:t>
            </w:r>
            <w:r w:rsidR="00B650EA" w:rsidRPr="00826D62">
              <w:rPr>
                <w:rFonts w:ascii="Arial" w:hAnsi="Arial" w:cs="Arial"/>
                <w:i/>
                <w:sz w:val="22"/>
                <w:szCs w:val="22"/>
                <w:lang w:val="es-ES_tradnl"/>
              </w:rPr>
              <w:t>registrados</w:t>
            </w:r>
            <w:r w:rsidRPr="00826D62">
              <w:rPr>
                <w:rFonts w:ascii="Arial" w:hAnsi="Arial" w:cs="Arial"/>
                <w:i/>
                <w:sz w:val="22"/>
                <w:szCs w:val="22"/>
                <w:lang w:val="es-ES_tradnl"/>
              </w:rPr>
              <w:t xml:space="preserve">; (iii) el aumento de 6.99% a 21.72% en la relación entre el número de declaraciones recibidas anualmente y el número de RTN </w:t>
            </w:r>
            <w:r w:rsidR="00B650EA" w:rsidRPr="00826D62">
              <w:rPr>
                <w:rFonts w:ascii="Arial" w:hAnsi="Arial" w:cs="Arial"/>
                <w:i/>
                <w:sz w:val="22"/>
                <w:szCs w:val="22"/>
                <w:lang w:val="es-ES_tradnl"/>
              </w:rPr>
              <w:t>registrados</w:t>
            </w:r>
            <w:r w:rsidRPr="00826D62">
              <w:rPr>
                <w:rFonts w:ascii="Arial" w:hAnsi="Arial" w:cs="Arial"/>
                <w:i/>
                <w:sz w:val="22"/>
                <w:szCs w:val="22"/>
                <w:lang w:val="es-ES_tradnl"/>
              </w:rPr>
              <w:t>. Esto será posible a través de la implantación de nuevos procedimientos tributarios de acuerdo con estándares modernos, lo que generará información de calidad para el nuevo sistema integrado de administración financiera</w:t>
            </w:r>
            <w:r w:rsidR="00F41ACE" w:rsidRPr="00826D62">
              <w:rPr>
                <w:rFonts w:ascii="Arial" w:hAnsi="Arial" w:cs="Arial"/>
                <w:i/>
                <w:sz w:val="22"/>
                <w:szCs w:val="22"/>
                <w:lang w:val="es-ES_tradnl"/>
              </w:rPr>
              <w:t xml:space="preserve"> y para el sistema existente de Aduanas</w:t>
            </w:r>
            <w:r w:rsidRPr="00826D62">
              <w:rPr>
                <w:rFonts w:ascii="Arial" w:hAnsi="Arial" w:cs="Arial"/>
                <w:i/>
                <w:sz w:val="22"/>
                <w:szCs w:val="22"/>
                <w:lang w:val="es-ES_tradnl"/>
              </w:rPr>
              <w:t xml:space="preserve">, posibilitando cruces de información inteligentes (utilizando análisis de riesgo) para la selección y fiscalización de </w:t>
            </w:r>
            <w:r w:rsidR="00F41ACE" w:rsidRPr="00826D62">
              <w:rPr>
                <w:rFonts w:ascii="Arial" w:hAnsi="Arial" w:cs="Arial"/>
                <w:i/>
                <w:sz w:val="22"/>
                <w:szCs w:val="22"/>
                <w:lang w:val="es-ES_tradnl"/>
              </w:rPr>
              <w:t>contribuyentes, tanto para rentas interna como para de Aduanas.</w:t>
            </w:r>
            <w:r w:rsidRPr="00826D62">
              <w:rPr>
                <w:rFonts w:ascii="Arial" w:hAnsi="Arial" w:cs="Arial"/>
                <w:i/>
                <w:sz w:val="22"/>
                <w:szCs w:val="22"/>
                <w:lang w:val="es-ES_tradnl"/>
              </w:rPr>
              <w:t xml:space="preserve"> Todo esto será complementado y fortalecido</w:t>
            </w:r>
            <w:r w:rsidR="00F41ACE" w:rsidRPr="00826D62">
              <w:rPr>
                <w:rFonts w:ascii="Arial" w:hAnsi="Arial" w:cs="Arial"/>
                <w:i/>
                <w:sz w:val="22"/>
                <w:szCs w:val="22"/>
                <w:lang w:val="es-ES_tradnl"/>
              </w:rPr>
              <w:t xml:space="preserve"> del personal de Rentas Internas y Aduanas</w:t>
            </w:r>
            <w:r w:rsidRPr="00826D62">
              <w:rPr>
                <w:rFonts w:ascii="Arial" w:hAnsi="Arial" w:cs="Arial"/>
                <w:i/>
                <w:sz w:val="22"/>
                <w:szCs w:val="22"/>
                <w:lang w:val="es-ES_tradnl"/>
              </w:rPr>
              <w:t>, a través de la contratación de recursos humanos cualificados e íntegros para ejercer las funciones requeridas por una organización moderna, equitativa y transparente</w:t>
            </w:r>
            <w:r w:rsidR="00F41ACE" w:rsidRPr="00826D62">
              <w:rPr>
                <w:rFonts w:ascii="Arial" w:hAnsi="Arial" w:cs="Arial"/>
                <w:i/>
                <w:sz w:val="22"/>
                <w:szCs w:val="22"/>
                <w:lang w:val="es-ES_tradnl"/>
              </w:rPr>
              <w:t>.</w:t>
            </w:r>
          </w:p>
        </w:tc>
      </w:tr>
    </w:tbl>
    <w:p w:rsidR="002B0DD4" w:rsidRPr="00826D62" w:rsidRDefault="00BF4550" w:rsidP="004C7BB2">
      <w:pPr>
        <w:pStyle w:val="Paragraph"/>
        <w:numPr>
          <w:ilvl w:val="1"/>
          <w:numId w:val="31"/>
        </w:numPr>
        <w:tabs>
          <w:tab w:val="num" w:pos="720"/>
        </w:tabs>
        <w:ind w:left="720" w:hanging="720"/>
        <w:rPr>
          <w:rFonts w:ascii="Arial" w:hAnsi="Arial" w:cs="Arial"/>
          <w:sz w:val="22"/>
          <w:szCs w:val="22"/>
          <w:lang w:val="es-ES_tradnl"/>
        </w:rPr>
      </w:pPr>
      <w:r w:rsidRPr="00826D62">
        <w:rPr>
          <w:rFonts w:ascii="Arial" w:hAnsi="Arial" w:cs="Arial"/>
          <w:sz w:val="22"/>
          <w:szCs w:val="22"/>
          <w:lang w:val="es-ES_tradnl"/>
        </w:rPr>
        <w:t xml:space="preserve">Se </w:t>
      </w:r>
      <w:r w:rsidR="002B0DD4" w:rsidRPr="00826D62">
        <w:rPr>
          <w:rFonts w:ascii="Arial" w:hAnsi="Arial" w:cs="Arial"/>
          <w:sz w:val="22"/>
          <w:szCs w:val="22"/>
          <w:lang w:val="es-ES_tradnl"/>
        </w:rPr>
        <w:t>realizó un análisis comparativo entre los costos y beneficios financieros del programa</w:t>
      </w:r>
      <w:r w:rsidR="002B0DD4" w:rsidRPr="00826D62">
        <w:rPr>
          <w:rStyle w:val="FootnoteReference"/>
          <w:rFonts w:ascii="Arial" w:hAnsi="Arial" w:cs="Arial"/>
          <w:sz w:val="22"/>
          <w:szCs w:val="22"/>
          <w:lang w:val="es-ES_tradnl"/>
        </w:rPr>
        <w:footnoteReference w:id="1"/>
      </w:r>
      <w:r w:rsidR="002B0DD4" w:rsidRPr="00826D62">
        <w:rPr>
          <w:rFonts w:ascii="Arial" w:hAnsi="Arial" w:cs="Arial"/>
          <w:sz w:val="22"/>
          <w:szCs w:val="22"/>
          <w:lang w:val="es-ES_tradnl"/>
        </w:rPr>
        <w:t xml:space="preserve"> considerando el aumento real de la recaudación tributaria, como resultado de: (i) aumento de la relación de los </w:t>
      </w:r>
      <w:r w:rsidR="00FC056A" w:rsidRPr="00826D62">
        <w:rPr>
          <w:rFonts w:ascii="Arial" w:hAnsi="Arial" w:cs="Arial"/>
          <w:sz w:val="22"/>
          <w:szCs w:val="22"/>
          <w:lang w:val="es-ES_tradnl"/>
        </w:rPr>
        <w:t>Registro Tributarios Nacionales (</w:t>
      </w:r>
      <w:r w:rsidR="002B0DD4" w:rsidRPr="00826D62">
        <w:rPr>
          <w:rFonts w:ascii="Arial" w:hAnsi="Arial" w:cs="Arial"/>
          <w:sz w:val="22"/>
          <w:szCs w:val="22"/>
          <w:lang w:val="es-ES_tradnl"/>
        </w:rPr>
        <w:t>RTN</w:t>
      </w:r>
      <w:r w:rsidR="00FC056A" w:rsidRPr="00826D62">
        <w:rPr>
          <w:rFonts w:ascii="Arial" w:hAnsi="Arial" w:cs="Arial"/>
          <w:sz w:val="22"/>
          <w:szCs w:val="22"/>
          <w:lang w:val="es-ES_tradnl"/>
        </w:rPr>
        <w:t>)</w:t>
      </w:r>
      <w:r w:rsidR="002B0DD4" w:rsidRPr="00826D62">
        <w:rPr>
          <w:rFonts w:ascii="Arial" w:hAnsi="Arial" w:cs="Arial"/>
          <w:sz w:val="22"/>
          <w:szCs w:val="22"/>
          <w:lang w:val="es-ES_tradnl"/>
        </w:rPr>
        <w:t xml:space="preserve"> activos en relación a los RTN </w:t>
      </w:r>
      <w:r w:rsidR="00B650EA" w:rsidRPr="00826D62">
        <w:rPr>
          <w:rFonts w:ascii="Arial" w:hAnsi="Arial" w:cs="Arial"/>
          <w:sz w:val="22"/>
          <w:szCs w:val="22"/>
          <w:lang w:val="es-ES_tradnl"/>
        </w:rPr>
        <w:t>registrados</w:t>
      </w:r>
      <w:r w:rsidR="002B0DD4" w:rsidRPr="00826D62">
        <w:rPr>
          <w:rFonts w:ascii="Arial" w:hAnsi="Arial" w:cs="Arial"/>
          <w:sz w:val="22"/>
          <w:szCs w:val="22"/>
          <w:lang w:val="es-ES_tradnl"/>
        </w:rPr>
        <w:t xml:space="preserve">; (ii) aumento de la relación entre las </w:t>
      </w:r>
      <w:r w:rsidR="002B0DD4" w:rsidRPr="00826D62">
        <w:rPr>
          <w:rFonts w:ascii="Arial" w:hAnsi="Arial" w:cs="Arial"/>
          <w:sz w:val="22"/>
          <w:szCs w:val="22"/>
        </w:rPr>
        <w:t>facturas</w:t>
      </w:r>
      <w:r w:rsidR="002B0DD4" w:rsidRPr="00826D62">
        <w:rPr>
          <w:rFonts w:ascii="Arial" w:hAnsi="Arial" w:cs="Arial"/>
          <w:sz w:val="22"/>
          <w:szCs w:val="22"/>
          <w:lang w:val="es-ES_tradnl"/>
        </w:rPr>
        <w:t xml:space="preserve"> emitidas por los contribuyentes y </w:t>
      </w:r>
      <w:r w:rsidR="00B650EA" w:rsidRPr="00826D62">
        <w:rPr>
          <w:rFonts w:ascii="Arial" w:hAnsi="Arial" w:cs="Arial"/>
          <w:sz w:val="22"/>
          <w:szCs w:val="22"/>
          <w:lang w:val="es-ES_tradnl"/>
        </w:rPr>
        <w:t>número de</w:t>
      </w:r>
      <w:r w:rsidR="002B0DD4" w:rsidRPr="00826D62">
        <w:rPr>
          <w:rFonts w:ascii="Arial" w:hAnsi="Arial" w:cs="Arial"/>
          <w:sz w:val="22"/>
          <w:szCs w:val="22"/>
          <w:lang w:val="es-ES_tradnl"/>
        </w:rPr>
        <w:t xml:space="preserve"> RTN </w:t>
      </w:r>
      <w:r w:rsidR="00B650EA" w:rsidRPr="00826D62">
        <w:rPr>
          <w:rFonts w:ascii="Arial" w:hAnsi="Arial" w:cs="Arial"/>
          <w:sz w:val="22"/>
          <w:szCs w:val="22"/>
          <w:lang w:val="es-ES_tradnl"/>
        </w:rPr>
        <w:t>registrados</w:t>
      </w:r>
      <w:r w:rsidR="002B0DD4" w:rsidRPr="00826D62">
        <w:rPr>
          <w:rFonts w:ascii="Arial" w:hAnsi="Arial" w:cs="Arial"/>
          <w:sz w:val="22"/>
          <w:szCs w:val="22"/>
          <w:lang w:val="es-ES_tradnl"/>
        </w:rPr>
        <w:t>; y (iii)</w:t>
      </w:r>
      <w:r w:rsidR="00FC056A" w:rsidRPr="00826D62">
        <w:rPr>
          <w:rFonts w:ascii="Arial" w:hAnsi="Arial" w:cs="Arial"/>
          <w:sz w:val="22"/>
          <w:szCs w:val="22"/>
          <w:lang w:val="es-ES_tradnl"/>
        </w:rPr>
        <w:t> </w:t>
      </w:r>
      <w:r w:rsidR="002B0DD4" w:rsidRPr="00826D62">
        <w:rPr>
          <w:rFonts w:ascii="Arial" w:hAnsi="Arial" w:cs="Arial"/>
          <w:sz w:val="22"/>
          <w:szCs w:val="22"/>
          <w:lang w:val="es-ES_tradnl"/>
        </w:rPr>
        <w:t xml:space="preserve">el aumento de la relación entre las declaraciones presentadas por los contribuyentes y </w:t>
      </w:r>
      <w:r w:rsidR="00B650EA" w:rsidRPr="00826D62">
        <w:rPr>
          <w:rFonts w:ascii="Arial" w:hAnsi="Arial" w:cs="Arial"/>
          <w:sz w:val="22"/>
          <w:szCs w:val="22"/>
          <w:lang w:val="es-ES_tradnl"/>
        </w:rPr>
        <w:t>número de RTN registrados</w:t>
      </w:r>
      <w:r w:rsidR="002B0DD4" w:rsidRPr="00826D62">
        <w:rPr>
          <w:rFonts w:ascii="Arial" w:hAnsi="Arial" w:cs="Arial"/>
          <w:sz w:val="22"/>
          <w:szCs w:val="22"/>
          <w:lang w:val="es-ES_tradnl"/>
        </w:rPr>
        <w:t xml:space="preserve">. </w:t>
      </w:r>
    </w:p>
    <w:p w:rsidR="002B0DD4" w:rsidRPr="00826D62" w:rsidRDefault="002B0DD4" w:rsidP="004C7BB2">
      <w:pPr>
        <w:pStyle w:val="Paragraph"/>
        <w:numPr>
          <w:ilvl w:val="1"/>
          <w:numId w:val="31"/>
        </w:numPr>
        <w:tabs>
          <w:tab w:val="num" w:pos="720"/>
        </w:tabs>
        <w:ind w:left="720" w:hanging="720"/>
        <w:rPr>
          <w:rFonts w:ascii="Arial" w:hAnsi="Arial" w:cs="Arial"/>
          <w:sz w:val="22"/>
          <w:szCs w:val="22"/>
          <w:lang w:val="es-ES_tradnl"/>
        </w:rPr>
      </w:pPr>
      <w:r w:rsidRPr="00826D62">
        <w:rPr>
          <w:rFonts w:ascii="Arial" w:hAnsi="Arial" w:cs="Arial"/>
          <w:sz w:val="22"/>
          <w:szCs w:val="22"/>
          <w:lang w:val="es-ES_tradnl"/>
        </w:rPr>
        <w:t xml:space="preserve">El cálculo del impacto de estos 3 resultados en la recaudación tributaria, tomó como base los resultados obtenidos por Ecuador en una operación similar a </w:t>
      </w:r>
      <w:r w:rsidR="009F5A35" w:rsidRPr="00826D62">
        <w:rPr>
          <w:rFonts w:ascii="Arial" w:hAnsi="Arial" w:cs="Arial"/>
          <w:sz w:val="22"/>
          <w:szCs w:val="22"/>
          <w:lang w:val="es-ES_tradnl"/>
        </w:rPr>
        <w:t>la presente</w:t>
      </w:r>
      <w:r w:rsidR="00BF4550" w:rsidRPr="00826D62">
        <w:rPr>
          <w:rFonts w:ascii="Arial" w:hAnsi="Arial" w:cs="Arial"/>
          <w:sz w:val="22"/>
          <w:szCs w:val="22"/>
          <w:lang w:val="es-ES_tradnl"/>
        </w:rPr>
        <w:t xml:space="preserve"> en Honduras</w:t>
      </w:r>
      <w:r w:rsidRPr="00826D62">
        <w:rPr>
          <w:rFonts w:ascii="Arial" w:hAnsi="Arial" w:cs="Arial"/>
          <w:sz w:val="22"/>
          <w:szCs w:val="22"/>
          <w:lang w:val="es-ES_tradnl"/>
        </w:rPr>
        <w:t>, la cual fue realizada en el periodo de 1998-2004 y evaluada por La Oficina de Evaluación del Banco (OVE) en 200</w:t>
      </w:r>
      <w:r w:rsidR="009F5A35" w:rsidRPr="00826D62">
        <w:rPr>
          <w:rFonts w:ascii="Arial" w:hAnsi="Arial" w:cs="Arial"/>
          <w:sz w:val="22"/>
          <w:szCs w:val="22"/>
          <w:lang w:val="es-ES_tradnl"/>
        </w:rPr>
        <w:t>7</w:t>
      </w:r>
      <w:r w:rsidRPr="00826D62">
        <w:rPr>
          <w:rFonts w:ascii="Arial" w:hAnsi="Arial" w:cs="Arial"/>
          <w:sz w:val="22"/>
          <w:szCs w:val="22"/>
          <w:lang w:val="es-ES_tradnl"/>
        </w:rPr>
        <w:t xml:space="preserve">. El impacto producido por la operación de Ecuador generó para cada 100.000 RTN activos incrementados un aumento </w:t>
      </w:r>
      <w:r w:rsidR="00A86C69" w:rsidRPr="00826D62">
        <w:rPr>
          <w:rFonts w:ascii="Arial" w:hAnsi="Arial" w:cs="Arial"/>
          <w:sz w:val="22"/>
          <w:szCs w:val="22"/>
          <w:lang w:val="es-ES_tradnl"/>
        </w:rPr>
        <w:t xml:space="preserve">medio </w:t>
      </w:r>
      <w:r w:rsidR="00646EBF" w:rsidRPr="00826D62">
        <w:rPr>
          <w:rFonts w:ascii="Arial" w:hAnsi="Arial" w:cs="Arial"/>
          <w:sz w:val="22"/>
          <w:szCs w:val="22"/>
          <w:lang w:val="es-ES_tradnl"/>
        </w:rPr>
        <w:t xml:space="preserve">anual </w:t>
      </w:r>
      <w:r w:rsidRPr="00826D62">
        <w:rPr>
          <w:rFonts w:ascii="Arial" w:hAnsi="Arial" w:cs="Arial"/>
          <w:sz w:val="22"/>
          <w:szCs w:val="22"/>
          <w:lang w:val="es-ES_tradnl"/>
        </w:rPr>
        <w:t xml:space="preserve">en la </w:t>
      </w:r>
      <w:r w:rsidR="00646EBF" w:rsidRPr="00826D62">
        <w:rPr>
          <w:rFonts w:ascii="Arial" w:hAnsi="Arial" w:cs="Arial"/>
          <w:sz w:val="22"/>
          <w:szCs w:val="22"/>
          <w:lang w:val="es-ES_tradnl"/>
        </w:rPr>
        <w:t>presión tributaria de aproximadamente 7%</w:t>
      </w:r>
      <w:r w:rsidRPr="00826D62">
        <w:rPr>
          <w:rFonts w:ascii="Arial" w:hAnsi="Arial" w:cs="Arial"/>
          <w:sz w:val="22"/>
          <w:szCs w:val="22"/>
          <w:lang w:val="es-ES_tradnl"/>
        </w:rPr>
        <w:t xml:space="preserve">. De forma bastante conservadora el equipo de proyecto utilizó </w:t>
      </w:r>
      <w:r w:rsidR="00646EBF" w:rsidRPr="00826D62">
        <w:rPr>
          <w:rFonts w:ascii="Arial" w:hAnsi="Arial" w:cs="Arial"/>
          <w:sz w:val="22"/>
          <w:szCs w:val="22"/>
          <w:lang w:val="es-ES_tradnl"/>
        </w:rPr>
        <w:t xml:space="preserve">un aumento </w:t>
      </w:r>
      <w:r w:rsidR="00A86C69" w:rsidRPr="00826D62">
        <w:rPr>
          <w:rFonts w:ascii="Arial" w:hAnsi="Arial" w:cs="Arial"/>
          <w:sz w:val="22"/>
          <w:szCs w:val="22"/>
          <w:lang w:val="es-ES_tradnl"/>
        </w:rPr>
        <w:t xml:space="preserve">medio </w:t>
      </w:r>
      <w:r w:rsidR="00646EBF" w:rsidRPr="00826D62">
        <w:rPr>
          <w:rFonts w:ascii="Arial" w:hAnsi="Arial" w:cs="Arial"/>
          <w:sz w:val="22"/>
          <w:szCs w:val="22"/>
          <w:lang w:val="es-ES_tradnl"/>
        </w:rPr>
        <w:t xml:space="preserve">anual </w:t>
      </w:r>
      <w:r w:rsidR="00A86C69" w:rsidRPr="00826D62">
        <w:rPr>
          <w:rFonts w:ascii="Arial" w:hAnsi="Arial" w:cs="Arial"/>
          <w:sz w:val="22"/>
          <w:szCs w:val="22"/>
          <w:lang w:val="es-ES_tradnl"/>
        </w:rPr>
        <w:t>en</w:t>
      </w:r>
      <w:r w:rsidR="00646EBF" w:rsidRPr="00826D62">
        <w:rPr>
          <w:rFonts w:ascii="Arial" w:hAnsi="Arial" w:cs="Arial"/>
          <w:sz w:val="22"/>
          <w:szCs w:val="22"/>
          <w:lang w:val="es-ES_tradnl"/>
        </w:rPr>
        <w:t xml:space="preserve"> la presión tributaria</w:t>
      </w:r>
      <w:r w:rsidR="00A86C69" w:rsidRPr="00826D62">
        <w:rPr>
          <w:rFonts w:ascii="Arial" w:hAnsi="Arial" w:cs="Arial"/>
          <w:sz w:val="22"/>
          <w:szCs w:val="22"/>
          <w:lang w:val="es-ES_tradnl"/>
        </w:rPr>
        <w:t xml:space="preserve"> de Honduras</w:t>
      </w:r>
      <w:r w:rsidR="00646EBF" w:rsidRPr="00826D62">
        <w:rPr>
          <w:rFonts w:ascii="Arial" w:hAnsi="Arial" w:cs="Arial"/>
          <w:sz w:val="22"/>
          <w:szCs w:val="22"/>
          <w:lang w:val="es-ES_tradnl"/>
        </w:rPr>
        <w:t xml:space="preserve"> de aproximadamente 2%, </w:t>
      </w:r>
      <w:r w:rsidRPr="00826D62">
        <w:rPr>
          <w:rFonts w:ascii="Arial" w:hAnsi="Arial" w:cs="Arial"/>
          <w:sz w:val="22"/>
          <w:szCs w:val="22"/>
          <w:lang w:val="es-ES_tradnl"/>
        </w:rPr>
        <w:t xml:space="preserve">con la finalidad de eliminar otros efectos, no claramente identificables, que podrían </w:t>
      </w:r>
      <w:r w:rsidR="009F5A35" w:rsidRPr="00826D62">
        <w:rPr>
          <w:rFonts w:ascii="Arial" w:hAnsi="Arial" w:cs="Arial"/>
          <w:sz w:val="22"/>
          <w:szCs w:val="22"/>
          <w:lang w:val="es-ES_tradnl"/>
        </w:rPr>
        <w:t xml:space="preserve">haber </w:t>
      </w:r>
      <w:r w:rsidRPr="00826D62">
        <w:rPr>
          <w:rFonts w:ascii="Arial" w:hAnsi="Arial" w:cs="Arial"/>
          <w:sz w:val="22"/>
          <w:szCs w:val="22"/>
          <w:lang w:val="es-ES_tradnl"/>
        </w:rPr>
        <w:t xml:space="preserve">contribuido </w:t>
      </w:r>
      <w:r w:rsidR="009F5A35" w:rsidRPr="00826D62">
        <w:rPr>
          <w:rFonts w:ascii="Arial" w:hAnsi="Arial" w:cs="Arial"/>
          <w:sz w:val="22"/>
          <w:szCs w:val="22"/>
          <w:lang w:val="es-ES_tradnl"/>
        </w:rPr>
        <w:t>indirectamente en</w:t>
      </w:r>
      <w:r w:rsidRPr="00826D62">
        <w:rPr>
          <w:rFonts w:ascii="Arial" w:hAnsi="Arial" w:cs="Arial"/>
          <w:sz w:val="22"/>
          <w:szCs w:val="22"/>
          <w:lang w:val="es-ES_tradnl"/>
        </w:rPr>
        <w:t xml:space="preserve"> el aumento de la recaudación de Ecuador. </w:t>
      </w:r>
    </w:p>
    <w:p w:rsidR="002B0DD4" w:rsidRDefault="002B0DD4" w:rsidP="004C7BB2">
      <w:pPr>
        <w:pStyle w:val="Paragraph"/>
        <w:numPr>
          <w:ilvl w:val="1"/>
          <w:numId w:val="31"/>
        </w:numPr>
        <w:tabs>
          <w:tab w:val="num" w:pos="720"/>
        </w:tabs>
        <w:ind w:left="720" w:hanging="720"/>
        <w:rPr>
          <w:rFonts w:ascii="Arial" w:hAnsi="Arial" w:cs="Arial"/>
          <w:sz w:val="22"/>
          <w:szCs w:val="22"/>
          <w:lang w:val="es-ES_tradnl"/>
        </w:rPr>
      </w:pPr>
      <w:r w:rsidRPr="00826D62">
        <w:rPr>
          <w:rFonts w:ascii="Arial" w:hAnsi="Arial" w:cs="Arial"/>
          <w:sz w:val="22"/>
          <w:szCs w:val="22"/>
          <w:lang w:val="es-ES_tradnl"/>
        </w:rPr>
        <w:lastRenderedPageBreak/>
        <w:t xml:space="preserve">Utilizando una tasa de descuento de 12%, en un periodo de </w:t>
      </w:r>
      <w:r w:rsidR="002A16AD" w:rsidRPr="00826D62">
        <w:rPr>
          <w:rFonts w:ascii="Arial" w:hAnsi="Arial" w:cs="Arial"/>
          <w:sz w:val="22"/>
          <w:szCs w:val="22"/>
          <w:lang w:val="es-ES_tradnl"/>
        </w:rPr>
        <w:t xml:space="preserve">5 </w:t>
      </w:r>
      <w:r w:rsidRPr="00826D62">
        <w:rPr>
          <w:rFonts w:ascii="Arial" w:hAnsi="Arial" w:cs="Arial"/>
          <w:sz w:val="22"/>
          <w:szCs w:val="22"/>
          <w:lang w:val="es-ES_tradnl"/>
        </w:rPr>
        <w:t>años, al final de 201</w:t>
      </w:r>
      <w:r w:rsidR="009F5A35" w:rsidRPr="00826D62">
        <w:rPr>
          <w:rFonts w:ascii="Arial" w:hAnsi="Arial" w:cs="Arial"/>
          <w:sz w:val="22"/>
          <w:szCs w:val="22"/>
          <w:lang w:val="es-ES_tradnl"/>
        </w:rPr>
        <w:t>9</w:t>
      </w:r>
      <w:r w:rsidRPr="00826D62">
        <w:rPr>
          <w:rFonts w:ascii="Arial" w:hAnsi="Arial" w:cs="Arial"/>
          <w:sz w:val="22"/>
          <w:szCs w:val="22"/>
          <w:lang w:val="es-ES_tradnl"/>
        </w:rPr>
        <w:t xml:space="preserve"> se estima que el proyecto generará una Tasa Interna de Retorno (TIR) de </w:t>
      </w:r>
      <w:r w:rsidR="002A16AD" w:rsidRPr="00826D62">
        <w:rPr>
          <w:rFonts w:ascii="Arial" w:hAnsi="Arial" w:cs="Arial"/>
          <w:sz w:val="22"/>
          <w:szCs w:val="22"/>
          <w:lang w:val="es-ES_tradnl"/>
        </w:rPr>
        <w:t>117</w:t>
      </w:r>
      <w:r w:rsidRPr="00826D62">
        <w:rPr>
          <w:rFonts w:ascii="Arial" w:hAnsi="Arial" w:cs="Arial"/>
          <w:sz w:val="22"/>
          <w:szCs w:val="22"/>
          <w:lang w:val="es-ES_tradnl"/>
        </w:rPr>
        <w:t>%, con un Valor Presente Neto (VPN) de US$</w:t>
      </w:r>
      <w:r w:rsidR="002A16AD" w:rsidRPr="00826D62">
        <w:rPr>
          <w:rFonts w:ascii="Arial" w:hAnsi="Arial" w:cs="Arial"/>
          <w:sz w:val="22"/>
          <w:szCs w:val="22"/>
          <w:lang w:val="es-ES_tradnl"/>
        </w:rPr>
        <w:t>124,1</w:t>
      </w:r>
      <w:r w:rsidRPr="00826D62">
        <w:rPr>
          <w:rFonts w:ascii="Arial" w:hAnsi="Arial" w:cs="Arial"/>
          <w:sz w:val="22"/>
          <w:szCs w:val="22"/>
          <w:lang w:val="es-ES_tradnl"/>
        </w:rPr>
        <w:t xml:space="preserve"> millones. Este aumento de la </w:t>
      </w:r>
      <w:r w:rsidR="00A86C69" w:rsidRPr="00826D62">
        <w:rPr>
          <w:rFonts w:ascii="Arial" w:hAnsi="Arial" w:cs="Arial"/>
          <w:sz w:val="22"/>
          <w:szCs w:val="22"/>
          <w:lang w:val="es-ES_tradnl"/>
        </w:rPr>
        <w:t xml:space="preserve">presión </w:t>
      </w:r>
      <w:r w:rsidRPr="00826D62">
        <w:rPr>
          <w:rFonts w:ascii="Arial" w:hAnsi="Arial" w:cs="Arial"/>
          <w:sz w:val="22"/>
          <w:szCs w:val="22"/>
          <w:lang w:val="es-ES_tradnl"/>
        </w:rPr>
        <w:t>tributaria es compatible con las metas acordadas entre el Gobierno de Ecuador y el</w:t>
      </w:r>
      <w:r w:rsidR="009F5A35" w:rsidRPr="00826D62">
        <w:rPr>
          <w:rFonts w:ascii="Arial" w:hAnsi="Arial" w:cs="Arial"/>
          <w:sz w:val="22"/>
          <w:szCs w:val="22"/>
          <w:lang w:val="es-ES_tradnl"/>
        </w:rPr>
        <w:t xml:space="preserve"> </w:t>
      </w:r>
      <w:r w:rsidR="003440AE" w:rsidRPr="00826D62">
        <w:rPr>
          <w:rFonts w:ascii="Arial" w:hAnsi="Arial" w:cs="Arial"/>
          <w:sz w:val="22"/>
          <w:szCs w:val="22"/>
          <w:lang w:val="es-ES_tradnl"/>
        </w:rPr>
        <w:t xml:space="preserve">Acuerdo </w:t>
      </w:r>
      <w:r w:rsidR="009B31BB" w:rsidRPr="00826D62">
        <w:rPr>
          <w:rFonts w:ascii="Arial" w:hAnsi="Arial" w:cs="Arial"/>
          <w:i/>
          <w:sz w:val="22"/>
          <w:szCs w:val="22"/>
          <w:lang w:val="es-ES_tradnl"/>
        </w:rPr>
        <w:t>S</w:t>
      </w:r>
      <w:r w:rsidRPr="00826D62">
        <w:rPr>
          <w:rFonts w:ascii="Arial" w:hAnsi="Arial" w:cs="Arial"/>
          <w:i/>
          <w:sz w:val="22"/>
          <w:szCs w:val="22"/>
          <w:lang w:val="es-ES_tradnl"/>
        </w:rPr>
        <w:t>tand</w:t>
      </w:r>
      <w:r w:rsidR="009B31BB" w:rsidRPr="00826D62">
        <w:rPr>
          <w:rFonts w:ascii="Arial" w:hAnsi="Arial" w:cs="Arial"/>
          <w:i/>
          <w:sz w:val="22"/>
          <w:szCs w:val="22"/>
          <w:lang w:val="es-ES_tradnl"/>
        </w:rPr>
        <w:t>-</w:t>
      </w:r>
      <w:r w:rsidRPr="00826D62">
        <w:rPr>
          <w:rFonts w:ascii="Arial" w:hAnsi="Arial" w:cs="Arial"/>
          <w:i/>
          <w:sz w:val="22"/>
          <w:szCs w:val="22"/>
          <w:lang w:val="es-ES_tradnl"/>
        </w:rPr>
        <w:t>by</w:t>
      </w:r>
      <w:r w:rsidRPr="00826D62">
        <w:rPr>
          <w:rFonts w:ascii="Arial" w:hAnsi="Arial" w:cs="Arial"/>
          <w:sz w:val="22"/>
          <w:szCs w:val="22"/>
          <w:lang w:val="es-ES_tradnl"/>
        </w:rPr>
        <w:t xml:space="preserve"> con el Fondo Monetario Internacional.</w:t>
      </w:r>
    </w:p>
    <w:p w:rsidR="00E73D9D" w:rsidRPr="00826D62" w:rsidRDefault="004C7BB2" w:rsidP="00826D62">
      <w:pPr>
        <w:pStyle w:val="Paragraph"/>
        <w:numPr>
          <w:ilvl w:val="1"/>
          <w:numId w:val="31"/>
        </w:numPr>
        <w:tabs>
          <w:tab w:val="num" w:pos="720"/>
        </w:tabs>
        <w:ind w:left="720" w:hanging="720"/>
        <w:rPr>
          <w:rFonts w:ascii="Arial" w:hAnsi="Arial" w:cs="Arial"/>
          <w:sz w:val="22"/>
          <w:szCs w:val="22"/>
          <w:lang w:val="es-ES_tradnl"/>
        </w:rPr>
      </w:pPr>
      <w:r w:rsidRPr="00826D62">
        <w:rPr>
          <w:rFonts w:ascii="Arial" w:hAnsi="Arial" w:cs="Arial"/>
          <w:sz w:val="22"/>
          <w:szCs w:val="22"/>
          <w:lang w:val="es-ES_tradnl"/>
        </w:rPr>
        <w:t>En vista de l</w:t>
      </w:r>
      <w:r w:rsidR="009F5A35" w:rsidRPr="00826D62">
        <w:rPr>
          <w:rFonts w:ascii="Arial" w:hAnsi="Arial" w:cs="Arial"/>
          <w:sz w:val="22"/>
          <w:szCs w:val="22"/>
          <w:lang w:val="es-ES_tradnl"/>
        </w:rPr>
        <w:t>os resultados de la</w:t>
      </w:r>
      <w:r w:rsidRPr="00826D62">
        <w:rPr>
          <w:rFonts w:ascii="Arial" w:hAnsi="Arial" w:cs="Arial"/>
          <w:sz w:val="22"/>
          <w:szCs w:val="22"/>
          <w:lang w:val="es-ES_tradnl"/>
        </w:rPr>
        <w:t xml:space="preserve"> evaluación financiera realizada, se recomienda el apoyo financiero y técnico del BID mediante </w:t>
      </w:r>
      <w:r w:rsidR="002B0DD4" w:rsidRPr="00826D62">
        <w:rPr>
          <w:rFonts w:ascii="Arial" w:hAnsi="Arial" w:cs="Arial"/>
          <w:sz w:val="22"/>
          <w:szCs w:val="22"/>
          <w:lang w:val="es-ES_tradnl"/>
        </w:rPr>
        <w:t xml:space="preserve">el </w:t>
      </w:r>
      <w:r w:rsidRPr="00826D62">
        <w:rPr>
          <w:rFonts w:ascii="Arial" w:hAnsi="Arial" w:cs="Arial"/>
          <w:sz w:val="22"/>
          <w:szCs w:val="22"/>
          <w:lang w:val="es-ES_tradnl"/>
        </w:rPr>
        <w:t xml:space="preserve">Programa </w:t>
      </w:r>
      <w:r w:rsidR="002B0DD4" w:rsidRPr="00826D62">
        <w:rPr>
          <w:rFonts w:ascii="Arial" w:hAnsi="Arial" w:cs="Arial"/>
          <w:sz w:val="22"/>
          <w:szCs w:val="22"/>
          <w:lang w:val="es-ES_tradnl"/>
        </w:rPr>
        <w:t>Fortalecimiento Institucional y Operativo de la Administración Tributaria (HO-L1108).</w:t>
      </w:r>
    </w:p>
    <w:p w:rsidR="00D842D4" w:rsidRPr="00826D62" w:rsidRDefault="00A53507" w:rsidP="00DD3E31">
      <w:pPr>
        <w:pStyle w:val="Chapter"/>
        <w:rPr>
          <w:rFonts w:ascii="Arial" w:hAnsi="Arial" w:cs="Arial"/>
        </w:rPr>
      </w:pPr>
      <w:r w:rsidRPr="00826D62">
        <w:rPr>
          <w:rFonts w:ascii="Arial" w:hAnsi="Arial" w:cs="Arial"/>
        </w:rPr>
        <w:t>Introducción</w:t>
      </w:r>
    </w:p>
    <w:p w:rsidR="00037DB1" w:rsidRPr="00826D62" w:rsidRDefault="00A53507" w:rsidP="00826D62">
      <w:pPr>
        <w:pStyle w:val="Paragraph"/>
        <w:numPr>
          <w:ilvl w:val="0"/>
          <w:numId w:val="19"/>
        </w:numPr>
        <w:ind w:hanging="720"/>
        <w:rPr>
          <w:rFonts w:ascii="Arial" w:hAnsi="Arial" w:cs="Arial"/>
          <w:smallCaps/>
        </w:rPr>
      </w:pPr>
      <w:r w:rsidRPr="00826D62">
        <w:rPr>
          <w:rFonts w:ascii="Arial" w:hAnsi="Arial" w:cs="Arial"/>
          <w:b/>
          <w:smallCaps/>
          <w:color w:val="000000"/>
          <w:lang w:val="es-ES_tradnl"/>
        </w:rPr>
        <w:t>Contexto</w:t>
      </w:r>
    </w:p>
    <w:p w:rsidR="00FB1123" w:rsidRPr="00826D62" w:rsidRDefault="00FB1123" w:rsidP="00826D62">
      <w:pPr>
        <w:pStyle w:val="Paragraph"/>
        <w:ind w:left="720" w:hanging="720"/>
        <w:rPr>
          <w:rFonts w:ascii="Arial" w:hAnsi="Arial" w:cs="Arial"/>
          <w:color w:val="000000"/>
          <w:sz w:val="22"/>
          <w:szCs w:val="22"/>
          <w:lang w:val="es-ES_tradnl"/>
        </w:rPr>
      </w:pPr>
      <w:r w:rsidRPr="00826D62">
        <w:rPr>
          <w:rFonts w:ascii="Arial" w:hAnsi="Arial" w:cs="Arial"/>
          <w:color w:val="000000"/>
          <w:sz w:val="22"/>
          <w:szCs w:val="22"/>
          <w:lang w:val="es-ES_tradnl"/>
        </w:rPr>
        <w:t xml:space="preserve">La crisis </w:t>
      </w:r>
      <w:r w:rsidR="00B650EA" w:rsidRPr="00826D62">
        <w:rPr>
          <w:rFonts w:ascii="Arial" w:hAnsi="Arial" w:cs="Arial"/>
          <w:sz w:val="22"/>
          <w:szCs w:val="22"/>
        </w:rPr>
        <w:t xml:space="preserve">financiera internacional de 2008-09 afectó el desempeño económico y el dinamismo comercial de Honduras. Como consecuencia, en el periodo 2010-14 </w:t>
      </w:r>
      <w:r w:rsidR="00B650EA" w:rsidRPr="00826D62">
        <w:rPr>
          <w:rFonts w:ascii="Arial" w:eastAsia="Calibri" w:hAnsi="Arial" w:cs="Arial"/>
          <w:sz w:val="22"/>
          <w:szCs w:val="22"/>
        </w:rPr>
        <w:t>la economía se desaceleró (un crecimiento anual de 3,5% en promedio) con relación al periodo 2004-07 (6,3% en promedio). Las cuentas externas continuaron débiles, pero presentan una evolución favorable reciente con la reducción del déficit de la cuenta corriente de 9,5% del Producto Interno Bruto (PIB) en 2013 a 7,4% del PIB en 2014. La inflación se mantuvo bajo control (5,8% en 2014,</w:t>
      </w:r>
      <w:r w:rsidR="00B650EA" w:rsidRPr="00826D62">
        <w:rPr>
          <w:rFonts w:ascii="Arial" w:hAnsi="Arial" w:cs="Arial"/>
          <w:sz w:val="22"/>
          <w:szCs w:val="22"/>
        </w:rPr>
        <w:t xml:space="preserve"> dentro del rango establecido por el Banco </w:t>
      </w:r>
      <w:r w:rsidRPr="00826D62">
        <w:rPr>
          <w:rFonts w:ascii="Arial" w:hAnsi="Arial" w:cs="Arial"/>
          <w:color w:val="000000"/>
          <w:sz w:val="22"/>
          <w:szCs w:val="22"/>
          <w:lang w:val="es-ES_tradnl"/>
        </w:rPr>
        <w:t>Central).</w:t>
      </w:r>
    </w:p>
    <w:p w:rsidR="00584D26" w:rsidRPr="00826D62" w:rsidRDefault="00FB1123" w:rsidP="00826D62">
      <w:pPr>
        <w:pStyle w:val="Paragraph"/>
        <w:ind w:left="720" w:hanging="720"/>
        <w:rPr>
          <w:rFonts w:ascii="Arial" w:hAnsi="Arial" w:cs="Arial"/>
          <w:sz w:val="22"/>
          <w:szCs w:val="22"/>
        </w:rPr>
      </w:pPr>
      <w:r w:rsidRPr="00826D62">
        <w:rPr>
          <w:rFonts w:ascii="Arial" w:hAnsi="Arial" w:cs="Arial"/>
          <w:color w:val="000000"/>
          <w:sz w:val="22"/>
          <w:szCs w:val="22"/>
          <w:lang w:val="es-ES_tradnl"/>
        </w:rPr>
        <w:t xml:space="preserve">La </w:t>
      </w:r>
      <w:r w:rsidR="00D20333" w:rsidRPr="00826D62">
        <w:rPr>
          <w:rFonts w:ascii="Arial" w:hAnsi="Arial" w:cs="Arial"/>
          <w:sz w:val="22"/>
          <w:szCs w:val="22"/>
          <w:lang w:val="es-ES_tradnl"/>
        </w:rPr>
        <w:t>desaceleración del crecimiento económico</w:t>
      </w:r>
      <w:r w:rsidR="00D20333" w:rsidRPr="00826D62">
        <w:rPr>
          <w:rFonts w:ascii="Arial" w:hAnsi="Arial" w:cs="Arial"/>
          <w:sz w:val="22"/>
          <w:szCs w:val="22"/>
        </w:rPr>
        <w:t xml:space="preserve">, los eventos políticos y debilidades en la gestión de la política fiscal presionaron el desempeño de las finanzas públicas. </w:t>
      </w:r>
      <w:r w:rsidR="00D20333" w:rsidRPr="00826D62">
        <w:rPr>
          <w:rFonts w:ascii="Arial" w:eastAsia="Calibri" w:hAnsi="Arial" w:cs="Arial"/>
          <w:sz w:val="22"/>
          <w:szCs w:val="22"/>
          <w:lang w:val="es-ES_tradnl"/>
        </w:rPr>
        <w:t xml:space="preserve">El déficit fiscal del </w:t>
      </w:r>
      <w:r w:rsidR="00D20333" w:rsidRPr="00826D62">
        <w:rPr>
          <w:rFonts w:ascii="Arial" w:hAnsi="Arial" w:cs="Arial"/>
          <w:sz w:val="22"/>
          <w:szCs w:val="22"/>
        </w:rPr>
        <w:t>gobierno</w:t>
      </w:r>
      <w:r w:rsidR="00D20333" w:rsidRPr="00826D62">
        <w:rPr>
          <w:rFonts w:ascii="Arial" w:eastAsia="Calibri" w:hAnsi="Arial" w:cs="Arial"/>
          <w:sz w:val="22"/>
          <w:szCs w:val="22"/>
          <w:lang w:val="es-ES_tradnl"/>
        </w:rPr>
        <w:t xml:space="preserve"> central pasó de 2,9% del PIB en 2007 a 7,9% del PIB en 2013</w:t>
      </w:r>
      <w:r w:rsidR="00D20333" w:rsidRPr="00826D62">
        <w:rPr>
          <w:rFonts w:ascii="Arial" w:eastAsia="Calibri" w:hAnsi="Arial" w:cs="Arial"/>
          <w:sz w:val="22"/>
          <w:szCs w:val="22"/>
          <w:vertAlign w:val="superscript"/>
          <w:lang w:val="en-US"/>
        </w:rPr>
        <w:footnoteReference w:id="2"/>
      </w:r>
      <w:r w:rsidR="00D20333" w:rsidRPr="00826D62">
        <w:rPr>
          <w:rFonts w:ascii="Arial" w:eastAsia="Calibri" w:hAnsi="Arial" w:cs="Arial"/>
          <w:sz w:val="22"/>
          <w:szCs w:val="22"/>
          <w:lang w:val="es-ES_tradnl"/>
        </w:rPr>
        <w:t xml:space="preserve">. Las mayores necesidades de financiamiento llevaron a un fuerte crecimiento de la deuda pública, pasando de 19,3% del PIB en 2007 a 43,3% del PIB en 2013. Los gastos totales aumentaron de 22% del PIB en 2007 a 24,9% del PIB en 2013. Sin embargo, en el periodo 2009-2013 los ingresos tributarios no superaron el 15,3% del PIB, por debajo del nivel recaudado en el país previo a la crisis internacional (16,4% en 2007) y del nivel promedio en América Latina (16,4% del PIB </w:t>
      </w:r>
      <w:r w:rsidRPr="00826D62">
        <w:rPr>
          <w:rFonts w:ascii="Arial" w:hAnsi="Arial" w:cs="Arial"/>
          <w:color w:val="000000"/>
          <w:sz w:val="22"/>
          <w:szCs w:val="22"/>
          <w:lang w:val="es-ES_tradnl"/>
        </w:rPr>
        <w:t>en 2013)</w:t>
      </w:r>
      <w:r w:rsidR="00C74A78" w:rsidRPr="00826D62">
        <w:rPr>
          <w:rFonts w:ascii="Arial" w:hAnsi="Arial" w:cs="Arial"/>
          <w:sz w:val="22"/>
          <w:szCs w:val="22"/>
        </w:rPr>
        <w:t>.</w:t>
      </w:r>
      <w:r w:rsidR="00D23A8D" w:rsidRPr="00826D62">
        <w:rPr>
          <w:rFonts w:ascii="Arial" w:hAnsi="Arial" w:cs="Arial"/>
          <w:sz w:val="22"/>
          <w:szCs w:val="22"/>
        </w:rPr>
        <w:t xml:space="preserve"> </w:t>
      </w:r>
    </w:p>
    <w:p w:rsidR="00D842D4" w:rsidRPr="00826D62" w:rsidRDefault="00424570" w:rsidP="00826D62">
      <w:pPr>
        <w:pStyle w:val="Paragraph"/>
        <w:ind w:left="720" w:hanging="720"/>
        <w:rPr>
          <w:rFonts w:ascii="Arial" w:hAnsi="Arial" w:cs="Arial"/>
          <w:color w:val="000000"/>
          <w:sz w:val="22"/>
          <w:szCs w:val="22"/>
          <w:lang w:val="es-ES_tradnl"/>
        </w:rPr>
      </w:pPr>
      <w:r w:rsidRPr="00826D62">
        <w:rPr>
          <w:rFonts w:ascii="Arial" w:hAnsi="Arial" w:cs="Arial"/>
          <w:color w:val="000000"/>
          <w:sz w:val="22"/>
          <w:szCs w:val="22"/>
          <w:lang w:val="es-ES_tradnl"/>
        </w:rPr>
        <w:t xml:space="preserve">Honduras </w:t>
      </w:r>
      <w:r w:rsidR="00D842D4" w:rsidRPr="00826D62">
        <w:rPr>
          <w:rFonts w:ascii="Arial" w:hAnsi="Arial" w:cs="Arial"/>
          <w:color w:val="000000"/>
          <w:sz w:val="22"/>
          <w:szCs w:val="22"/>
          <w:lang w:val="es-ES_tradnl"/>
        </w:rPr>
        <w:t>enfrent</w:t>
      </w:r>
      <w:r w:rsidR="00AF166A" w:rsidRPr="00826D62">
        <w:rPr>
          <w:rFonts w:ascii="Arial" w:hAnsi="Arial" w:cs="Arial"/>
          <w:color w:val="000000"/>
          <w:sz w:val="22"/>
          <w:szCs w:val="22"/>
          <w:lang w:val="es-ES_tradnl"/>
        </w:rPr>
        <w:t>a</w:t>
      </w:r>
      <w:r w:rsidR="00D842D4" w:rsidRPr="00826D62">
        <w:rPr>
          <w:rFonts w:ascii="Arial" w:hAnsi="Arial" w:cs="Arial"/>
          <w:color w:val="000000"/>
          <w:sz w:val="22"/>
          <w:szCs w:val="22"/>
          <w:lang w:val="es-ES_tradnl"/>
        </w:rPr>
        <w:t xml:space="preserve"> des</w:t>
      </w:r>
      <w:r w:rsidR="009F5A35" w:rsidRPr="00826D62">
        <w:rPr>
          <w:rFonts w:ascii="Arial" w:hAnsi="Arial" w:cs="Arial"/>
          <w:color w:val="000000"/>
          <w:sz w:val="22"/>
          <w:szCs w:val="22"/>
          <w:lang w:val="es-ES_tradnl"/>
        </w:rPr>
        <w:t>afíos</w:t>
      </w:r>
      <w:r w:rsidR="00D842D4" w:rsidRPr="00826D62">
        <w:rPr>
          <w:rFonts w:ascii="Arial" w:hAnsi="Arial" w:cs="Arial"/>
          <w:color w:val="000000"/>
          <w:sz w:val="22"/>
          <w:szCs w:val="22"/>
          <w:lang w:val="es-ES_tradnl"/>
        </w:rPr>
        <w:t xml:space="preserve"> socioeconómicos. El país presenta un Índice de Desarrollo Humano (IDH) de 0,617, posición 129 de la clasificación de mundial de IDH, siendo uno de los países con IDH más bajo de Latinoamérica, después de Haití y Nicaragua. La media de Latinoamérica es de 0,719. A</w:t>
      </w:r>
      <w:r w:rsidRPr="00826D62">
        <w:rPr>
          <w:rFonts w:ascii="Arial" w:hAnsi="Arial" w:cs="Arial"/>
          <w:color w:val="000000"/>
          <w:sz w:val="22"/>
          <w:szCs w:val="22"/>
          <w:lang w:val="es-ES_tradnl"/>
        </w:rPr>
        <w:t>demás</w:t>
      </w:r>
      <w:r w:rsidR="00D842D4" w:rsidRPr="00826D62">
        <w:rPr>
          <w:rFonts w:ascii="Arial" w:hAnsi="Arial" w:cs="Arial"/>
          <w:color w:val="000000"/>
          <w:sz w:val="22"/>
          <w:szCs w:val="22"/>
          <w:lang w:val="es-ES_tradnl"/>
        </w:rPr>
        <w:t>, el país presenta altos niveles de desigualdad si se compara con el promedio de Latinoamérica. El coeficiente de desigualdad de Gini es de 0,57 (2013), mientras que el promedio de la región es de</w:t>
      </w:r>
      <w:r w:rsidR="00FC056A" w:rsidRPr="00826D62">
        <w:rPr>
          <w:rFonts w:ascii="Arial" w:hAnsi="Arial" w:cs="Arial"/>
          <w:color w:val="000000"/>
          <w:sz w:val="22"/>
          <w:szCs w:val="22"/>
          <w:lang w:val="es-ES_tradnl"/>
        </w:rPr>
        <w:t xml:space="preserve"> </w:t>
      </w:r>
      <w:r w:rsidR="00D842D4" w:rsidRPr="00826D62">
        <w:rPr>
          <w:rFonts w:ascii="Arial" w:hAnsi="Arial" w:cs="Arial"/>
          <w:color w:val="000000"/>
          <w:sz w:val="22"/>
          <w:szCs w:val="22"/>
          <w:lang w:val="es-ES_tradnl"/>
        </w:rPr>
        <w:t>0.52. El 64,5% de la población del país se ubica por debajo de la línea de pobreza, habiendo aumentado los niveles en los últimos años en más de 5 puntos porcentuales, (58,8% en 2009)</w:t>
      </w:r>
      <w:r w:rsidR="00AF166A" w:rsidRPr="00826D62">
        <w:rPr>
          <w:rFonts w:ascii="Arial" w:hAnsi="Arial" w:cs="Arial"/>
          <w:color w:val="000000"/>
          <w:sz w:val="22"/>
          <w:szCs w:val="22"/>
          <w:lang w:val="es-ES_tradnl"/>
        </w:rPr>
        <w:t>, mientras que el 42,6% de la población vive</w:t>
      </w:r>
      <w:r w:rsidR="00D842D4" w:rsidRPr="00826D62">
        <w:rPr>
          <w:rFonts w:ascii="Arial" w:hAnsi="Arial" w:cs="Arial"/>
          <w:color w:val="000000"/>
          <w:sz w:val="22"/>
          <w:szCs w:val="22"/>
          <w:lang w:val="es-ES_tradnl"/>
        </w:rPr>
        <w:t xml:space="preserve"> en extrema pobreza</w:t>
      </w:r>
      <w:r w:rsidR="00D842D4" w:rsidRPr="00826D62">
        <w:rPr>
          <w:rFonts w:ascii="Arial" w:hAnsi="Arial" w:cs="Arial"/>
          <w:color w:val="000000"/>
          <w:sz w:val="22"/>
          <w:szCs w:val="22"/>
          <w:vertAlign w:val="superscript"/>
          <w:lang w:val="es-ES_tradnl"/>
        </w:rPr>
        <w:footnoteReference w:id="3"/>
      </w:r>
      <w:r w:rsidR="00D842D4" w:rsidRPr="00826D62">
        <w:rPr>
          <w:rFonts w:ascii="Arial" w:hAnsi="Arial" w:cs="Arial"/>
          <w:color w:val="000000"/>
          <w:sz w:val="22"/>
          <w:szCs w:val="22"/>
          <w:lang w:val="es-ES_tradnl"/>
        </w:rPr>
        <w:t>.</w:t>
      </w:r>
    </w:p>
    <w:p w:rsidR="00D842D4" w:rsidRPr="00826D62" w:rsidRDefault="009F5A35" w:rsidP="00826D62">
      <w:pPr>
        <w:pStyle w:val="Paragraph"/>
        <w:ind w:left="720" w:hanging="720"/>
        <w:rPr>
          <w:rFonts w:ascii="Arial" w:hAnsi="Arial" w:cs="Arial"/>
          <w:sz w:val="22"/>
          <w:szCs w:val="22"/>
        </w:rPr>
      </w:pPr>
      <w:r w:rsidRPr="00826D62">
        <w:rPr>
          <w:rFonts w:ascii="Arial" w:hAnsi="Arial" w:cs="Arial"/>
          <w:sz w:val="22"/>
          <w:szCs w:val="22"/>
        </w:rPr>
        <w:t xml:space="preserve">Bajo el Acuerdo </w:t>
      </w:r>
      <w:r w:rsidRPr="00826D62">
        <w:rPr>
          <w:rFonts w:ascii="Arial" w:hAnsi="Arial" w:cs="Arial"/>
          <w:sz w:val="22"/>
          <w:szCs w:val="22"/>
          <w:lang w:val="es-ES_tradnl"/>
        </w:rPr>
        <w:t xml:space="preserve">Stand-by con el </w:t>
      </w:r>
      <w:r w:rsidRPr="00826D62">
        <w:rPr>
          <w:rFonts w:ascii="Arial" w:hAnsi="Arial" w:cs="Arial"/>
          <w:sz w:val="22"/>
          <w:szCs w:val="22"/>
        </w:rPr>
        <w:t xml:space="preserve">Fondo Monetario Internacional (FMI), </w:t>
      </w:r>
      <w:r w:rsidR="001F49D6" w:rsidRPr="00826D62">
        <w:rPr>
          <w:rFonts w:ascii="Arial" w:hAnsi="Arial" w:cs="Arial"/>
          <w:sz w:val="22"/>
          <w:szCs w:val="22"/>
        </w:rPr>
        <w:t>e</w:t>
      </w:r>
      <w:r w:rsidR="009022DD" w:rsidRPr="00826D62">
        <w:rPr>
          <w:rFonts w:ascii="Arial" w:hAnsi="Arial" w:cs="Arial"/>
          <w:sz w:val="22"/>
          <w:szCs w:val="22"/>
        </w:rPr>
        <w:t xml:space="preserve">l Gobierno </w:t>
      </w:r>
      <w:r w:rsidR="00EE36AC" w:rsidRPr="00826D62">
        <w:rPr>
          <w:rFonts w:ascii="Arial" w:hAnsi="Arial" w:cs="Arial"/>
          <w:sz w:val="22"/>
          <w:szCs w:val="22"/>
        </w:rPr>
        <w:t xml:space="preserve">de </w:t>
      </w:r>
      <w:r w:rsidR="009022DD" w:rsidRPr="00826D62">
        <w:rPr>
          <w:rFonts w:ascii="Arial" w:hAnsi="Arial" w:cs="Arial"/>
          <w:sz w:val="22"/>
          <w:szCs w:val="22"/>
        </w:rPr>
        <w:t>Hondu</w:t>
      </w:r>
      <w:r w:rsidR="00EE36AC" w:rsidRPr="00826D62">
        <w:rPr>
          <w:rFonts w:ascii="Arial" w:hAnsi="Arial" w:cs="Arial"/>
          <w:sz w:val="22"/>
          <w:szCs w:val="22"/>
        </w:rPr>
        <w:t>ras</w:t>
      </w:r>
      <w:r w:rsidR="00424570" w:rsidRPr="00826D62">
        <w:rPr>
          <w:rFonts w:ascii="Arial" w:hAnsi="Arial" w:cs="Arial"/>
          <w:sz w:val="22"/>
          <w:szCs w:val="22"/>
        </w:rPr>
        <w:t xml:space="preserve"> </w:t>
      </w:r>
      <w:r w:rsidR="001016AF" w:rsidRPr="00826D62">
        <w:rPr>
          <w:rFonts w:ascii="Arial" w:hAnsi="Arial" w:cs="Arial"/>
          <w:sz w:val="22"/>
          <w:szCs w:val="22"/>
        </w:rPr>
        <w:t>se compromet</w:t>
      </w:r>
      <w:r w:rsidR="00EE36AC" w:rsidRPr="00826D62">
        <w:rPr>
          <w:rFonts w:ascii="Arial" w:hAnsi="Arial" w:cs="Arial"/>
          <w:sz w:val="22"/>
          <w:szCs w:val="22"/>
        </w:rPr>
        <w:t>e</w:t>
      </w:r>
      <w:r w:rsidR="001016AF" w:rsidRPr="00826D62">
        <w:rPr>
          <w:rFonts w:ascii="Arial" w:hAnsi="Arial" w:cs="Arial"/>
          <w:sz w:val="22"/>
          <w:szCs w:val="22"/>
        </w:rPr>
        <w:t xml:space="preserve"> a implementar </w:t>
      </w:r>
      <w:r w:rsidR="004142B7" w:rsidRPr="00826D62">
        <w:rPr>
          <w:rFonts w:ascii="Arial" w:hAnsi="Arial" w:cs="Arial"/>
          <w:sz w:val="22"/>
          <w:szCs w:val="22"/>
        </w:rPr>
        <w:t>medidas dirigidas</w:t>
      </w:r>
      <w:r w:rsidR="00D9535F" w:rsidRPr="00826D62">
        <w:rPr>
          <w:rFonts w:ascii="Arial" w:hAnsi="Arial" w:cs="Arial"/>
          <w:sz w:val="22"/>
          <w:szCs w:val="22"/>
        </w:rPr>
        <w:t xml:space="preserve"> </w:t>
      </w:r>
      <w:r w:rsidR="001016AF" w:rsidRPr="00826D62">
        <w:rPr>
          <w:rFonts w:ascii="Arial" w:hAnsi="Arial" w:cs="Arial"/>
          <w:sz w:val="22"/>
          <w:szCs w:val="22"/>
        </w:rPr>
        <w:t xml:space="preserve">a incrementar la presión </w:t>
      </w:r>
      <w:r w:rsidR="00D9535F" w:rsidRPr="00826D62">
        <w:rPr>
          <w:rFonts w:ascii="Arial" w:hAnsi="Arial" w:cs="Arial"/>
          <w:sz w:val="22"/>
          <w:szCs w:val="22"/>
        </w:rPr>
        <w:t xml:space="preserve">fiscal a unos 17,1 % del PIB, </w:t>
      </w:r>
      <w:r w:rsidR="001016AF" w:rsidRPr="00826D62">
        <w:rPr>
          <w:rFonts w:ascii="Arial" w:hAnsi="Arial" w:cs="Arial"/>
          <w:sz w:val="22"/>
          <w:szCs w:val="22"/>
        </w:rPr>
        <w:t xml:space="preserve">así como </w:t>
      </w:r>
      <w:r w:rsidRPr="00826D62">
        <w:rPr>
          <w:rFonts w:ascii="Arial" w:hAnsi="Arial" w:cs="Arial"/>
          <w:sz w:val="22"/>
          <w:szCs w:val="22"/>
        </w:rPr>
        <w:t>a</w:t>
      </w:r>
      <w:r w:rsidR="001016AF" w:rsidRPr="00826D62">
        <w:rPr>
          <w:rFonts w:ascii="Arial" w:hAnsi="Arial" w:cs="Arial"/>
          <w:sz w:val="22"/>
          <w:szCs w:val="22"/>
        </w:rPr>
        <w:t xml:space="preserve"> </w:t>
      </w:r>
      <w:r w:rsidR="00D9684F" w:rsidRPr="00826D62">
        <w:rPr>
          <w:rFonts w:ascii="Arial" w:hAnsi="Arial" w:cs="Arial"/>
          <w:sz w:val="22"/>
          <w:szCs w:val="22"/>
        </w:rPr>
        <w:t>mejor</w:t>
      </w:r>
      <w:r w:rsidR="00D9535F" w:rsidRPr="00826D62">
        <w:rPr>
          <w:rFonts w:ascii="Arial" w:hAnsi="Arial" w:cs="Arial"/>
          <w:sz w:val="22"/>
          <w:szCs w:val="22"/>
        </w:rPr>
        <w:t xml:space="preserve"> </w:t>
      </w:r>
      <w:r w:rsidR="00D9684F" w:rsidRPr="00826D62">
        <w:rPr>
          <w:rFonts w:ascii="Arial" w:hAnsi="Arial" w:cs="Arial"/>
          <w:sz w:val="22"/>
          <w:szCs w:val="22"/>
        </w:rPr>
        <w:t>la calidad del</w:t>
      </w:r>
      <w:r w:rsidR="001016AF" w:rsidRPr="00826D62">
        <w:rPr>
          <w:rFonts w:ascii="Arial" w:hAnsi="Arial" w:cs="Arial"/>
          <w:sz w:val="22"/>
          <w:szCs w:val="22"/>
        </w:rPr>
        <w:t xml:space="preserve"> gasto público. Esto posibilitaría </w:t>
      </w:r>
      <w:r w:rsidR="00015CC7" w:rsidRPr="00826D62">
        <w:rPr>
          <w:rFonts w:ascii="Arial" w:hAnsi="Arial" w:cs="Arial"/>
          <w:sz w:val="22"/>
          <w:szCs w:val="22"/>
        </w:rPr>
        <w:t xml:space="preserve">la apertura de espacio fiscal necesario para </w:t>
      </w:r>
      <w:r w:rsidR="001016AF" w:rsidRPr="00826D62">
        <w:rPr>
          <w:rFonts w:ascii="Arial" w:hAnsi="Arial" w:cs="Arial"/>
          <w:sz w:val="22"/>
          <w:szCs w:val="22"/>
        </w:rPr>
        <w:t xml:space="preserve">mayor </w:t>
      </w:r>
      <w:r w:rsidR="00D842D4" w:rsidRPr="00826D62">
        <w:rPr>
          <w:rFonts w:ascii="Arial" w:hAnsi="Arial" w:cs="Arial"/>
          <w:color w:val="000000"/>
          <w:sz w:val="22"/>
          <w:szCs w:val="22"/>
        </w:rPr>
        <w:t>inversión en programas sociales dirigidos a la población vulnerable.</w:t>
      </w:r>
    </w:p>
    <w:p w:rsidR="00D842D4" w:rsidRPr="00826D62" w:rsidRDefault="009F5A35" w:rsidP="00826D62">
      <w:pPr>
        <w:pStyle w:val="Paragraph"/>
        <w:ind w:left="720" w:hanging="720"/>
        <w:rPr>
          <w:rFonts w:ascii="Arial" w:hAnsi="Arial" w:cs="Arial"/>
          <w:sz w:val="22"/>
          <w:szCs w:val="22"/>
        </w:rPr>
      </w:pPr>
      <w:r w:rsidRPr="00826D62">
        <w:rPr>
          <w:rFonts w:ascii="Arial" w:hAnsi="Arial" w:cs="Arial"/>
          <w:color w:val="000000"/>
          <w:sz w:val="22"/>
          <w:szCs w:val="22"/>
          <w:lang w:val="es-ES_tradnl"/>
        </w:rPr>
        <w:lastRenderedPageBreak/>
        <w:t>E</w:t>
      </w:r>
      <w:r w:rsidR="00D842D4" w:rsidRPr="00826D62">
        <w:rPr>
          <w:rFonts w:ascii="Arial" w:hAnsi="Arial" w:cs="Arial"/>
          <w:color w:val="000000"/>
          <w:sz w:val="22"/>
          <w:szCs w:val="22"/>
          <w:lang w:val="es-ES_tradnl"/>
        </w:rPr>
        <w:t>l</w:t>
      </w:r>
      <w:r w:rsidR="00D842D4" w:rsidRPr="00826D62">
        <w:rPr>
          <w:rFonts w:ascii="Arial" w:hAnsi="Arial" w:cs="Arial"/>
          <w:color w:val="000000"/>
          <w:sz w:val="22"/>
          <w:szCs w:val="22"/>
        </w:rPr>
        <w:t xml:space="preserve"> </w:t>
      </w:r>
      <w:r w:rsidRPr="00826D62">
        <w:rPr>
          <w:rFonts w:ascii="Arial" w:hAnsi="Arial" w:cs="Arial"/>
          <w:color w:val="000000"/>
          <w:sz w:val="22"/>
          <w:szCs w:val="22"/>
        </w:rPr>
        <w:t>G</w:t>
      </w:r>
      <w:r w:rsidR="00D842D4" w:rsidRPr="00826D62">
        <w:rPr>
          <w:rFonts w:ascii="Arial" w:hAnsi="Arial" w:cs="Arial"/>
          <w:color w:val="000000"/>
          <w:sz w:val="22"/>
          <w:szCs w:val="22"/>
        </w:rPr>
        <w:t>obierno de Honduras solicitó al Banco el apoyo en</w:t>
      </w:r>
      <w:r w:rsidR="00FC056A" w:rsidRPr="00826D62">
        <w:rPr>
          <w:rFonts w:ascii="Arial" w:hAnsi="Arial" w:cs="Arial"/>
          <w:color w:val="000000"/>
          <w:sz w:val="22"/>
          <w:szCs w:val="22"/>
        </w:rPr>
        <w:t xml:space="preserve"> </w:t>
      </w:r>
      <w:r w:rsidRPr="00826D62">
        <w:rPr>
          <w:rFonts w:ascii="Arial" w:hAnsi="Arial" w:cs="Arial"/>
          <w:color w:val="000000"/>
          <w:sz w:val="22"/>
          <w:szCs w:val="22"/>
        </w:rPr>
        <w:t>la reforma de la administración tributaria</w:t>
      </w:r>
      <w:r w:rsidR="00FC056A" w:rsidRPr="00826D62">
        <w:rPr>
          <w:rFonts w:ascii="Arial" w:hAnsi="Arial" w:cs="Arial"/>
          <w:color w:val="000000"/>
          <w:sz w:val="22"/>
          <w:szCs w:val="22"/>
        </w:rPr>
        <w:t xml:space="preserve"> </w:t>
      </w:r>
      <w:r w:rsidR="003440AE" w:rsidRPr="00826D62">
        <w:rPr>
          <w:rFonts w:ascii="Arial" w:hAnsi="Arial" w:cs="Arial"/>
          <w:color w:val="000000"/>
          <w:sz w:val="22"/>
          <w:szCs w:val="22"/>
        </w:rPr>
        <w:t xml:space="preserve">mediante </w:t>
      </w:r>
      <w:r w:rsidR="00D842D4" w:rsidRPr="00826D62">
        <w:rPr>
          <w:rFonts w:ascii="Arial" w:hAnsi="Arial" w:cs="Arial"/>
          <w:color w:val="000000"/>
          <w:sz w:val="22"/>
          <w:szCs w:val="22"/>
        </w:rPr>
        <w:t xml:space="preserve">una operación de </w:t>
      </w:r>
      <w:r w:rsidR="003440AE" w:rsidRPr="00826D62">
        <w:rPr>
          <w:rFonts w:ascii="Arial" w:hAnsi="Arial" w:cs="Arial"/>
          <w:color w:val="000000"/>
          <w:sz w:val="22"/>
          <w:szCs w:val="22"/>
        </w:rPr>
        <w:t>fortalecimiento</w:t>
      </w:r>
      <w:r w:rsidR="00FC056A" w:rsidRPr="00826D62">
        <w:rPr>
          <w:rFonts w:ascii="Arial" w:hAnsi="Arial" w:cs="Arial"/>
          <w:color w:val="000000"/>
          <w:sz w:val="22"/>
          <w:szCs w:val="22"/>
        </w:rPr>
        <w:t xml:space="preserve"> </w:t>
      </w:r>
      <w:r w:rsidR="00D842D4" w:rsidRPr="00826D62">
        <w:rPr>
          <w:rFonts w:ascii="Arial" w:hAnsi="Arial" w:cs="Arial"/>
          <w:color w:val="000000"/>
          <w:sz w:val="22"/>
          <w:szCs w:val="22"/>
        </w:rPr>
        <w:t>de la gestión de la Administración Tributaria</w:t>
      </w:r>
      <w:r w:rsidR="00DD3E31" w:rsidRPr="00826D62">
        <w:rPr>
          <w:rFonts w:ascii="Arial" w:hAnsi="Arial" w:cs="Arial"/>
          <w:color w:val="000000"/>
          <w:sz w:val="22"/>
          <w:szCs w:val="22"/>
        </w:rPr>
        <w:t xml:space="preserve"> (AT)</w:t>
      </w:r>
      <w:r w:rsidR="00D842D4" w:rsidRPr="00826D62">
        <w:rPr>
          <w:rFonts w:ascii="Arial" w:hAnsi="Arial" w:cs="Arial"/>
          <w:color w:val="000000"/>
          <w:sz w:val="22"/>
          <w:szCs w:val="22"/>
        </w:rPr>
        <w:t xml:space="preserve"> y Aduanera para que el país pueda aumentar sus niveles de recaudación</w:t>
      </w:r>
      <w:r w:rsidR="00015CC7" w:rsidRPr="00826D62">
        <w:rPr>
          <w:rFonts w:ascii="Arial" w:hAnsi="Arial" w:cs="Arial"/>
          <w:color w:val="000000"/>
          <w:sz w:val="22"/>
          <w:szCs w:val="22"/>
        </w:rPr>
        <w:t xml:space="preserve"> tributaria</w:t>
      </w:r>
      <w:r w:rsidR="00D842D4" w:rsidRPr="00826D62">
        <w:rPr>
          <w:rFonts w:ascii="Arial" w:hAnsi="Arial" w:cs="Arial"/>
          <w:color w:val="000000"/>
          <w:sz w:val="22"/>
          <w:szCs w:val="22"/>
        </w:rPr>
        <w:t xml:space="preserve"> y con ello disminuir el déficit fiscal</w:t>
      </w:r>
      <w:r w:rsidRPr="00826D62">
        <w:rPr>
          <w:rFonts w:ascii="Arial" w:hAnsi="Arial" w:cs="Arial"/>
          <w:color w:val="000000"/>
          <w:sz w:val="22"/>
          <w:szCs w:val="22"/>
        </w:rPr>
        <w:t xml:space="preserve"> y acomodar gasto prioritario</w:t>
      </w:r>
      <w:r w:rsidR="00D842D4" w:rsidRPr="00826D62">
        <w:rPr>
          <w:rFonts w:ascii="Arial" w:hAnsi="Arial" w:cs="Arial"/>
          <w:color w:val="000000"/>
          <w:sz w:val="22"/>
          <w:szCs w:val="22"/>
        </w:rPr>
        <w:t>.</w:t>
      </w:r>
    </w:p>
    <w:p w:rsidR="00037DB1" w:rsidRPr="00826D62" w:rsidRDefault="00A53507" w:rsidP="00826D62">
      <w:pPr>
        <w:pStyle w:val="Paragraph"/>
        <w:keepNext/>
        <w:numPr>
          <w:ilvl w:val="0"/>
          <w:numId w:val="19"/>
        </w:numPr>
        <w:ind w:hanging="720"/>
        <w:rPr>
          <w:rFonts w:ascii="Arial" w:hAnsi="Arial" w:cs="Arial"/>
          <w:b/>
          <w:smallCaps/>
          <w:sz w:val="22"/>
          <w:szCs w:val="22"/>
        </w:rPr>
      </w:pPr>
      <w:r w:rsidRPr="00826D62">
        <w:rPr>
          <w:rFonts w:ascii="Arial" w:hAnsi="Arial" w:cs="Arial"/>
          <w:b/>
          <w:smallCaps/>
          <w:color w:val="000000"/>
          <w:sz w:val="22"/>
          <w:szCs w:val="22"/>
        </w:rPr>
        <w:t>Principales Problemas</w:t>
      </w:r>
    </w:p>
    <w:p w:rsidR="00877E55" w:rsidRPr="00826D62" w:rsidRDefault="00A4010C" w:rsidP="00826D62">
      <w:pPr>
        <w:pStyle w:val="Paragraph"/>
        <w:keepNext/>
        <w:ind w:left="720" w:hanging="720"/>
        <w:rPr>
          <w:rFonts w:ascii="Arial" w:hAnsi="Arial" w:cs="Arial"/>
          <w:sz w:val="22"/>
          <w:szCs w:val="22"/>
        </w:rPr>
      </w:pPr>
      <w:r w:rsidRPr="00826D62">
        <w:rPr>
          <w:rFonts w:ascii="Arial" w:hAnsi="Arial" w:cs="Arial"/>
          <w:sz w:val="22"/>
          <w:szCs w:val="22"/>
        </w:rPr>
        <w:t>En base al</w:t>
      </w:r>
      <w:r w:rsidR="00584D26" w:rsidRPr="00826D62">
        <w:rPr>
          <w:rFonts w:ascii="Arial" w:hAnsi="Arial" w:cs="Arial"/>
          <w:sz w:val="22"/>
          <w:szCs w:val="22"/>
        </w:rPr>
        <w:t xml:space="preserve"> contexto presentado, el problema </w:t>
      </w:r>
      <w:r w:rsidR="003440AE" w:rsidRPr="00826D62">
        <w:rPr>
          <w:rFonts w:ascii="Arial" w:hAnsi="Arial" w:cs="Arial"/>
          <w:sz w:val="22"/>
          <w:szCs w:val="22"/>
        </w:rPr>
        <w:t>central</w:t>
      </w:r>
      <w:r w:rsidR="0024217F" w:rsidRPr="00826D62">
        <w:rPr>
          <w:rFonts w:ascii="Arial" w:hAnsi="Arial" w:cs="Arial"/>
          <w:sz w:val="22"/>
          <w:szCs w:val="22"/>
        </w:rPr>
        <w:t xml:space="preserve"> es mejorar los niveles de recaudación tributaria con miras a generar el espacio fiscal necesario para financiar el gasto prioritario</w:t>
      </w:r>
      <w:r w:rsidR="0022201D" w:rsidRPr="00826D62">
        <w:rPr>
          <w:rFonts w:ascii="Arial" w:hAnsi="Arial" w:cs="Arial"/>
          <w:sz w:val="22"/>
          <w:szCs w:val="22"/>
        </w:rPr>
        <w:t>.</w:t>
      </w:r>
      <w:r w:rsidR="00584D26" w:rsidRPr="00826D62">
        <w:rPr>
          <w:rFonts w:ascii="Arial" w:hAnsi="Arial" w:cs="Arial"/>
          <w:sz w:val="22"/>
          <w:szCs w:val="22"/>
        </w:rPr>
        <w:t xml:space="preserve"> </w:t>
      </w:r>
    </w:p>
    <w:p w:rsidR="00877E55" w:rsidRPr="00826D62" w:rsidRDefault="00584D26" w:rsidP="00826D62">
      <w:pPr>
        <w:pStyle w:val="Paragraph"/>
        <w:keepNext/>
        <w:ind w:left="720" w:hanging="720"/>
        <w:rPr>
          <w:rFonts w:ascii="Arial" w:hAnsi="Arial" w:cs="Arial"/>
          <w:sz w:val="22"/>
          <w:szCs w:val="22"/>
        </w:rPr>
      </w:pPr>
      <w:r w:rsidRPr="00826D62">
        <w:rPr>
          <w:rFonts w:ascii="Arial" w:hAnsi="Arial" w:cs="Arial"/>
          <w:sz w:val="22"/>
          <w:szCs w:val="22"/>
        </w:rPr>
        <w:t>Los problema</w:t>
      </w:r>
      <w:r w:rsidR="0022201D" w:rsidRPr="00826D62">
        <w:rPr>
          <w:rFonts w:ascii="Arial" w:hAnsi="Arial" w:cs="Arial"/>
          <w:sz w:val="22"/>
          <w:szCs w:val="22"/>
        </w:rPr>
        <w:t>s</w:t>
      </w:r>
      <w:r w:rsidRPr="00826D62">
        <w:rPr>
          <w:rFonts w:ascii="Arial" w:hAnsi="Arial" w:cs="Arial"/>
          <w:sz w:val="22"/>
          <w:szCs w:val="22"/>
        </w:rPr>
        <w:t xml:space="preserve"> específicos </w:t>
      </w:r>
      <w:r w:rsidR="0022201D" w:rsidRPr="00826D62">
        <w:rPr>
          <w:rFonts w:ascii="Arial" w:hAnsi="Arial" w:cs="Arial"/>
          <w:sz w:val="22"/>
          <w:szCs w:val="22"/>
        </w:rPr>
        <w:t>que contribuyen directamente al agravamiento del</w:t>
      </w:r>
      <w:r w:rsidR="00FC056A" w:rsidRPr="00826D62">
        <w:rPr>
          <w:rFonts w:ascii="Arial" w:hAnsi="Arial" w:cs="Arial"/>
          <w:sz w:val="22"/>
          <w:szCs w:val="22"/>
        </w:rPr>
        <w:t xml:space="preserve"> </w:t>
      </w:r>
      <w:r w:rsidR="00785F41" w:rsidRPr="00826D62">
        <w:rPr>
          <w:rFonts w:ascii="Arial" w:hAnsi="Arial" w:cs="Arial"/>
          <w:sz w:val="22"/>
          <w:szCs w:val="22"/>
        </w:rPr>
        <w:t xml:space="preserve">problema </w:t>
      </w:r>
      <w:r w:rsidRPr="00826D62">
        <w:rPr>
          <w:rFonts w:ascii="Arial" w:hAnsi="Arial" w:cs="Arial"/>
          <w:sz w:val="22"/>
          <w:szCs w:val="22"/>
        </w:rPr>
        <w:t xml:space="preserve">principal son: (i) </w:t>
      </w:r>
      <w:r w:rsidR="00D20333" w:rsidRPr="00826D62">
        <w:rPr>
          <w:rFonts w:ascii="Arial" w:hAnsi="Arial" w:cs="Arial"/>
          <w:sz w:val="22"/>
          <w:szCs w:val="22"/>
        </w:rPr>
        <w:t>procesos tributarios ineficaces para llevar a cabo una gestión de la administración tributaria de acuerdo con el marco legal hondureño; (ii) debilidad en la generación de información confiable y oportuna para fiscalizar y cobrar a los contribuyentes de manera eficaz; y (iii) baja profesionalización del talento humano para llevar a cabo el mandato institucional de la administración tributaria.</w:t>
      </w:r>
      <w:r w:rsidR="00785F41" w:rsidRPr="00826D62">
        <w:rPr>
          <w:rFonts w:ascii="Arial" w:hAnsi="Arial" w:cs="Arial"/>
          <w:sz w:val="22"/>
          <w:szCs w:val="22"/>
        </w:rPr>
        <w:t xml:space="preserve"> </w:t>
      </w:r>
    </w:p>
    <w:p w:rsidR="00037DB1" w:rsidRPr="00826D62" w:rsidRDefault="00A53507" w:rsidP="00826D62">
      <w:pPr>
        <w:pStyle w:val="Paragraph"/>
        <w:keepNext/>
        <w:numPr>
          <w:ilvl w:val="0"/>
          <w:numId w:val="19"/>
        </w:numPr>
        <w:ind w:hanging="720"/>
        <w:rPr>
          <w:rFonts w:ascii="Arial" w:hAnsi="Arial" w:cs="Arial"/>
          <w:b/>
          <w:smallCaps/>
          <w:color w:val="000000"/>
          <w:sz w:val="22"/>
          <w:szCs w:val="22"/>
        </w:rPr>
      </w:pPr>
      <w:r w:rsidRPr="00826D62">
        <w:rPr>
          <w:rFonts w:ascii="Arial" w:hAnsi="Arial" w:cs="Arial"/>
          <w:b/>
          <w:smallCaps/>
          <w:color w:val="000000"/>
          <w:sz w:val="22"/>
          <w:szCs w:val="22"/>
        </w:rPr>
        <w:t xml:space="preserve">Principales Actividades para Solucionar los Problemas </w:t>
      </w:r>
    </w:p>
    <w:p w:rsidR="00877E55" w:rsidRPr="00826D62" w:rsidRDefault="00D70397" w:rsidP="00826D62">
      <w:pPr>
        <w:pStyle w:val="Paragraph"/>
        <w:keepNext/>
        <w:ind w:left="720" w:hanging="720"/>
        <w:rPr>
          <w:rFonts w:ascii="Arial" w:hAnsi="Arial" w:cs="Arial"/>
          <w:sz w:val="22"/>
          <w:szCs w:val="22"/>
        </w:rPr>
      </w:pPr>
      <w:r w:rsidRPr="00826D62">
        <w:rPr>
          <w:rFonts w:ascii="Arial" w:hAnsi="Arial" w:cs="Arial"/>
          <w:sz w:val="22"/>
          <w:szCs w:val="22"/>
        </w:rPr>
        <w:t>Reingeniería de los procesos de la administración tributaria.</w:t>
      </w:r>
      <w:r w:rsidR="00F47D74" w:rsidRPr="00826D62">
        <w:rPr>
          <w:rFonts w:ascii="Arial" w:hAnsi="Arial" w:cs="Arial"/>
          <w:sz w:val="22"/>
          <w:szCs w:val="22"/>
        </w:rPr>
        <w:t xml:space="preserve"> </w:t>
      </w:r>
      <w:r w:rsidRPr="00826D62">
        <w:rPr>
          <w:rFonts w:ascii="Arial" w:hAnsi="Arial" w:cs="Arial"/>
          <w:sz w:val="22"/>
          <w:szCs w:val="22"/>
        </w:rPr>
        <w:t>El objetivo es hacer los procesos tributarios más eficaces para llevar a cabo</w:t>
      </w:r>
      <w:r w:rsidR="00FC056A" w:rsidRPr="00826D62">
        <w:rPr>
          <w:rFonts w:ascii="Arial" w:hAnsi="Arial" w:cs="Arial"/>
          <w:sz w:val="22"/>
          <w:szCs w:val="22"/>
        </w:rPr>
        <w:t xml:space="preserve"> </w:t>
      </w:r>
      <w:r w:rsidRPr="00826D62">
        <w:rPr>
          <w:rFonts w:ascii="Arial" w:hAnsi="Arial" w:cs="Arial"/>
          <w:sz w:val="22"/>
          <w:szCs w:val="22"/>
        </w:rPr>
        <w:t xml:space="preserve">una gestión de la </w:t>
      </w:r>
      <w:r w:rsidR="004B6345" w:rsidRPr="00826D62">
        <w:rPr>
          <w:rFonts w:ascii="Arial" w:hAnsi="Arial" w:cs="Arial"/>
          <w:sz w:val="22"/>
          <w:szCs w:val="22"/>
        </w:rPr>
        <w:t xml:space="preserve">administración tributaria </w:t>
      </w:r>
      <w:r w:rsidRPr="00826D62">
        <w:rPr>
          <w:rFonts w:ascii="Arial" w:hAnsi="Arial" w:cs="Arial"/>
          <w:sz w:val="22"/>
          <w:szCs w:val="22"/>
        </w:rPr>
        <w:t xml:space="preserve">de acuerdo con los principios </w:t>
      </w:r>
      <w:r w:rsidR="00FB1123" w:rsidRPr="00826D62">
        <w:rPr>
          <w:rFonts w:ascii="Arial" w:hAnsi="Arial" w:cs="Arial"/>
          <w:sz w:val="22"/>
          <w:szCs w:val="22"/>
        </w:rPr>
        <w:t xml:space="preserve">del marco legal </w:t>
      </w:r>
      <w:r w:rsidR="00C93A55" w:rsidRPr="00826D62">
        <w:rPr>
          <w:rFonts w:ascii="Arial" w:hAnsi="Arial" w:cs="Arial"/>
          <w:sz w:val="22"/>
          <w:szCs w:val="22"/>
        </w:rPr>
        <w:t>h</w:t>
      </w:r>
      <w:r w:rsidRPr="00826D62">
        <w:rPr>
          <w:rFonts w:ascii="Arial" w:hAnsi="Arial" w:cs="Arial"/>
          <w:sz w:val="22"/>
          <w:szCs w:val="22"/>
        </w:rPr>
        <w:t>ondureño</w:t>
      </w:r>
      <w:r w:rsidR="00FB1123" w:rsidRPr="00826D62">
        <w:rPr>
          <w:rFonts w:ascii="Arial" w:hAnsi="Arial" w:cs="Arial"/>
          <w:sz w:val="22"/>
          <w:szCs w:val="22"/>
        </w:rPr>
        <w:t>, contemplando las siguientes actividades:</w:t>
      </w:r>
    </w:p>
    <w:p w:rsidR="00877E55" w:rsidRPr="00826D62" w:rsidRDefault="00877E55" w:rsidP="00877E55">
      <w:pPr>
        <w:pStyle w:val="Paragraph"/>
        <w:numPr>
          <w:ilvl w:val="0"/>
          <w:numId w:val="23"/>
        </w:numPr>
        <w:rPr>
          <w:rFonts w:ascii="Arial" w:hAnsi="Arial" w:cs="Arial"/>
          <w:sz w:val="22"/>
          <w:szCs w:val="22"/>
        </w:rPr>
      </w:pPr>
      <w:r w:rsidRPr="00826D62">
        <w:rPr>
          <w:rFonts w:ascii="Arial" w:hAnsi="Arial" w:cs="Arial"/>
          <w:sz w:val="22"/>
          <w:szCs w:val="22"/>
        </w:rPr>
        <w:t xml:space="preserve">La revisión del modelo actual y desarrollo del nuevo modelo de </w:t>
      </w:r>
      <w:r w:rsidR="00855CC0" w:rsidRPr="00826D62">
        <w:rPr>
          <w:rFonts w:ascii="Arial" w:hAnsi="Arial" w:cs="Arial"/>
          <w:sz w:val="22"/>
          <w:szCs w:val="22"/>
        </w:rPr>
        <w:t>organización y gestión</w:t>
      </w:r>
      <w:r w:rsidRPr="00826D62">
        <w:rPr>
          <w:rFonts w:ascii="Arial" w:hAnsi="Arial" w:cs="Arial"/>
          <w:sz w:val="22"/>
          <w:szCs w:val="22"/>
        </w:rPr>
        <w:t xml:space="preserve"> de rentas internas (inscripción</w:t>
      </w:r>
      <w:r w:rsidR="00C03711" w:rsidRPr="00826D62">
        <w:rPr>
          <w:rFonts w:ascii="Arial" w:hAnsi="Arial" w:cs="Arial"/>
          <w:sz w:val="22"/>
          <w:szCs w:val="22"/>
        </w:rPr>
        <w:t xml:space="preserve">, </w:t>
      </w:r>
      <w:r w:rsidRPr="00826D62">
        <w:rPr>
          <w:rFonts w:ascii="Arial" w:hAnsi="Arial" w:cs="Arial"/>
          <w:sz w:val="22"/>
          <w:szCs w:val="22"/>
        </w:rPr>
        <w:t>declaración, facturación, fiscalización, cobranza), incluyendo la preparación de los manuales de procedimientos correspondientes y el entrenamiento del personal del SAR en los nuevos procedimientos.</w:t>
      </w:r>
    </w:p>
    <w:p w:rsidR="00F47D74" w:rsidRPr="00826D62" w:rsidRDefault="00877E55" w:rsidP="00C03711">
      <w:pPr>
        <w:pStyle w:val="Paragraph"/>
        <w:numPr>
          <w:ilvl w:val="0"/>
          <w:numId w:val="23"/>
        </w:numPr>
        <w:rPr>
          <w:rFonts w:ascii="Arial" w:hAnsi="Arial" w:cs="Arial"/>
          <w:sz w:val="22"/>
          <w:szCs w:val="22"/>
        </w:rPr>
      </w:pPr>
      <w:r w:rsidRPr="00826D62">
        <w:rPr>
          <w:rFonts w:ascii="Arial" w:hAnsi="Arial" w:cs="Arial"/>
          <w:sz w:val="22"/>
          <w:szCs w:val="22"/>
        </w:rPr>
        <w:t>El desarrol</w:t>
      </w:r>
      <w:r w:rsidR="00855CC0" w:rsidRPr="00826D62">
        <w:rPr>
          <w:rFonts w:ascii="Arial" w:hAnsi="Arial" w:cs="Arial"/>
          <w:sz w:val="22"/>
          <w:szCs w:val="22"/>
        </w:rPr>
        <w:t>lo de las reglas de organización y gestión</w:t>
      </w:r>
      <w:r w:rsidR="00855CC0" w:rsidRPr="00826D62">
        <w:rPr>
          <w:rStyle w:val="FootnoteReference"/>
          <w:rFonts w:ascii="Arial" w:hAnsi="Arial" w:cs="Arial"/>
          <w:sz w:val="22"/>
          <w:szCs w:val="22"/>
        </w:rPr>
        <w:t xml:space="preserve"> </w:t>
      </w:r>
      <w:r w:rsidRPr="00826D62">
        <w:rPr>
          <w:rStyle w:val="FootnoteReference"/>
          <w:rFonts w:ascii="Arial" w:hAnsi="Arial" w:cs="Arial"/>
          <w:sz w:val="22"/>
          <w:szCs w:val="22"/>
        </w:rPr>
        <w:footnoteReference w:id="4"/>
      </w:r>
      <w:r w:rsidRPr="00826D62">
        <w:rPr>
          <w:rFonts w:ascii="Arial" w:hAnsi="Arial" w:cs="Arial"/>
          <w:sz w:val="22"/>
          <w:szCs w:val="22"/>
        </w:rPr>
        <w:t xml:space="preserve"> correspondiente a los nuevos procedimientos (inscripción, declaración, facturación, fiscalización, cobranza), el cual será el insumo para el desarrollo o compra de un sistema integrado de administración tributaria.</w:t>
      </w:r>
    </w:p>
    <w:p w:rsidR="00855CC0" w:rsidRPr="00826D62" w:rsidRDefault="00855CC0" w:rsidP="00855CC0">
      <w:pPr>
        <w:pStyle w:val="subpar"/>
        <w:numPr>
          <w:ilvl w:val="0"/>
          <w:numId w:val="23"/>
        </w:numPr>
        <w:rPr>
          <w:rFonts w:ascii="Arial" w:hAnsi="Arial" w:cs="Arial"/>
          <w:sz w:val="22"/>
          <w:szCs w:val="22"/>
        </w:rPr>
      </w:pPr>
      <w:r w:rsidRPr="00826D62">
        <w:rPr>
          <w:rFonts w:ascii="Arial" w:hAnsi="Arial" w:cs="Arial"/>
          <w:sz w:val="22"/>
          <w:szCs w:val="22"/>
        </w:rPr>
        <w:t>El fortalecimiento de la Unidad de Organización y Métodos (UOM), incluyendo la contratación de una consultoría especializada para apoyar y capacitar el personal de la UOM en temas relacionados con rentas internas y planificación.</w:t>
      </w:r>
    </w:p>
    <w:p w:rsidR="00502A1C" w:rsidRPr="00826D62" w:rsidRDefault="00502A1C" w:rsidP="00826D62">
      <w:pPr>
        <w:pStyle w:val="Paragraph"/>
        <w:tabs>
          <w:tab w:val="clear" w:pos="1296"/>
        </w:tabs>
        <w:ind w:left="720" w:hanging="720"/>
        <w:rPr>
          <w:rFonts w:ascii="Arial" w:hAnsi="Arial" w:cs="Arial"/>
          <w:b/>
          <w:sz w:val="22"/>
          <w:szCs w:val="22"/>
        </w:rPr>
      </w:pPr>
      <w:r w:rsidRPr="00826D62">
        <w:rPr>
          <w:rFonts w:ascii="Arial" w:hAnsi="Arial" w:cs="Arial"/>
          <w:sz w:val="22"/>
          <w:szCs w:val="22"/>
        </w:rPr>
        <w:t>Modernización de los sistemas y de la infraestructura tecnológica</w:t>
      </w:r>
      <w:r w:rsidR="00FC056A" w:rsidRPr="00826D62">
        <w:rPr>
          <w:rFonts w:ascii="Arial" w:hAnsi="Arial" w:cs="Arial"/>
          <w:sz w:val="22"/>
          <w:szCs w:val="22"/>
        </w:rPr>
        <w:t xml:space="preserve"> </w:t>
      </w:r>
      <w:r w:rsidRPr="00826D62">
        <w:rPr>
          <w:rFonts w:ascii="Arial" w:hAnsi="Arial" w:cs="Arial"/>
          <w:sz w:val="22"/>
          <w:szCs w:val="22"/>
        </w:rPr>
        <w:t xml:space="preserve">y </w:t>
      </w:r>
      <w:r w:rsidR="00644A83" w:rsidRPr="00826D62">
        <w:rPr>
          <w:rFonts w:ascii="Arial" w:hAnsi="Arial" w:cs="Arial"/>
          <w:sz w:val="22"/>
          <w:szCs w:val="22"/>
        </w:rPr>
        <w:t>f</w:t>
      </w:r>
      <w:r w:rsidRPr="00826D62">
        <w:rPr>
          <w:rFonts w:ascii="Arial" w:hAnsi="Arial" w:cs="Arial"/>
          <w:sz w:val="22"/>
          <w:szCs w:val="22"/>
        </w:rPr>
        <w:t>ísica del SAR.</w:t>
      </w:r>
      <w:r w:rsidRPr="00826D62">
        <w:rPr>
          <w:rFonts w:ascii="Arial" w:hAnsi="Arial" w:cs="Arial"/>
          <w:b/>
          <w:sz w:val="22"/>
          <w:szCs w:val="22"/>
        </w:rPr>
        <w:t xml:space="preserve"> </w:t>
      </w:r>
      <w:r w:rsidRPr="00826D62">
        <w:rPr>
          <w:rFonts w:ascii="Arial" w:hAnsi="Arial" w:cs="Arial"/>
          <w:sz w:val="22"/>
          <w:szCs w:val="22"/>
        </w:rPr>
        <w:t xml:space="preserve">El objetivo </w:t>
      </w:r>
      <w:r w:rsidR="00C03711" w:rsidRPr="00826D62">
        <w:rPr>
          <w:rFonts w:ascii="Arial" w:hAnsi="Arial" w:cs="Arial"/>
          <w:sz w:val="22"/>
          <w:szCs w:val="22"/>
        </w:rPr>
        <w:t>es</w:t>
      </w:r>
      <w:r w:rsidRPr="00826D62">
        <w:rPr>
          <w:rFonts w:ascii="Arial" w:hAnsi="Arial" w:cs="Arial"/>
          <w:sz w:val="22"/>
          <w:szCs w:val="22"/>
        </w:rPr>
        <w:t xml:space="preserve"> fiscalizar y cobrar a los contribuyentes de manera eficiente</w:t>
      </w:r>
      <w:r w:rsidR="00FB1123" w:rsidRPr="00826D62">
        <w:rPr>
          <w:rFonts w:ascii="Arial" w:hAnsi="Arial" w:cs="Arial"/>
          <w:sz w:val="22"/>
          <w:szCs w:val="22"/>
        </w:rPr>
        <w:t>, contemplando las siguientes actividades:</w:t>
      </w:r>
    </w:p>
    <w:p w:rsidR="00502A1C" w:rsidRPr="00826D62" w:rsidRDefault="004969DE" w:rsidP="00FC15CE">
      <w:pPr>
        <w:pStyle w:val="Paragraph"/>
        <w:numPr>
          <w:ilvl w:val="0"/>
          <w:numId w:val="24"/>
        </w:numPr>
        <w:rPr>
          <w:rFonts w:ascii="Arial" w:hAnsi="Arial" w:cs="Arial"/>
          <w:sz w:val="22"/>
          <w:szCs w:val="22"/>
        </w:rPr>
      </w:pPr>
      <w:r w:rsidRPr="00826D62">
        <w:rPr>
          <w:rFonts w:ascii="Arial" w:hAnsi="Arial" w:cs="Arial"/>
          <w:sz w:val="22"/>
          <w:szCs w:val="22"/>
        </w:rPr>
        <w:lastRenderedPageBreak/>
        <w:t xml:space="preserve">La </w:t>
      </w:r>
      <w:r w:rsidR="00644A83" w:rsidRPr="00826D62">
        <w:rPr>
          <w:rFonts w:ascii="Arial" w:hAnsi="Arial" w:cs="Arial"/>
          <w:sz w:val="22"/>
          <w:szCs w:val="22"/>
        </w:rPr>
        <w:t>i</w:t>
      </w:r>
      <w:r w:rsidRPr="00826D62">
        <w:rPr>
          <w:rFonts w:ascii="Arial" w:hAnsi="Arial" w:cs="Arial"/>
          <w:sz w:val="22"/>
          <w:szCs w:val="22"/>
        </w:rPr>
        <w:t>mplantación de un nuevo sistema integrado de administración tributaria</w:t>
      </w:r>
      <w:r w:rsidR="00D24F82" w:rsidRPr="00826D62">
        <w:rPr>
          <w:rFonts w:ascii="Arial" w:hAnsi="Arial" w:cs="Arial"/>
          <w:sz w:val="22"/>
          <w:szCs w:val="22"/>
        </w:rPr>
        <w:t xml:space="preserve">, en sustitución </w:t>
      </w:r>
      <w:r w:rsidR="00473207" w:rsidRPr="00826D62">
        <w:rPr>
          <w:rFonts w:ascii="Arial" w:hAnsi="Arial" w:cs="Arial"/>
          <w:sz w:val="22"/>
          <w:szCs w:val="22"/>
        </w:rPr>
        <w:t xml:space="preserve">de </w:t>
      </w:r>
      <w:r w:rsidR="00D24F82" w:rsidRPr="00826D62">
        <w:rPr>
          <w:rFonts w:ascii="Arial" w:hAnsi="Arial" w:cs="Arial"/>
          <w:sz w:val="22"/>
          <w:szCs w:val="22"/>
        </w:rPr>
        <w:t>las diversas aplicaciones no integradas existente</w:t>
      </w:r>
      <w:r w:rsidR="00473207" w:rsidRPr="00826D62">
        <w:rPr>
          <w:rFonts w:ascii="Arial" w:hAnsi="Arial" w:cs="Arial"/>
          <w:sz w:val="22"/>
          <w:szCs w:val="22"/>
        </w:rPr>
        <w:t>s</w:t>
      </w:r>
      <w:r w:rsidRPr="00826D62">
        <w:rPr>
          <w:rFonts w:ascii="Arial" w:hAnsi="Arial" w:cs="Arial"/>
          <w:sz w:val="22"/>
          <w:szCs w:val="22"/>
        </w:rPr>
        <w:t>, el cual podrá ser</w:t>
      </w:r>
      <w:r w:rsidR="00CB7354" w:rsidRPr="00826D62">
        <w:rPr>
          <w:rFonts w:ascii="Arial" w:hAnsi="Arial" w:cs="Arial"/>
          <w:sz w:val="22"/>
          <w:szCs w:val="22"/>
        </w:rPr>
        <w:t xml:space="preserve"> llevado a cabo a través de</w:t>
      </w:r>
      <w:r w:rsidRPr="00826D62">
        <w:rPr>
          <w:rFonts w:ascii="Arial" w:hAnsi="Arial" w:cs="Arial"/>
          <w:sz w:val="22"/>
          <w:szCs w:val="22"/>
        </w:rPr>
        <w:t xml:space="preserve"> un desarrollo h</w:t>
      </w:r>
      <w:r w:rsidR="00473207" w:rsidRPr="00826D62">
        <w:rPr>
          <w:rFonts w:ascii="Arial" w:hAnsi="Arial" w:cs="Arial"/>
          <w:sz w:val="22"/>
          <w:szCs w:val="22"/>
        </w:rPr>
        <w:t>í</w:t>
      </w:r>
      <w:r w:rsidRPr="00826D62">
        <w:rPr>
          <w:rFonts w:ascii="Arial" w:hAnsi="Arial" w:cs="Arial"/>
          <w:sz w:val="22"/>
          <w:szCs w:val="22"/>
        </w:rPr>
        <w:t>brido (aprovecha</w:t>
      </w:r>
      <w:r w:rsidR="00473207" w:rsidRPr="00826D62">
        <w:rPr>
          <w:rFonts w:ascii="Arial" w:hAnsi="Arial" w:cs="Arial"/>
          <w:sz w:val="22"/>
          <w:szCs w:val="22"/>
        </w:rPr>
        <w:t>ndo</w:t>
      </w:r>
      <w:r w:rsidRPr="00826D62">
        <w:rPr>
          <w:rFonts w:ascii="Arial" w:hAnsi="Arial" w:cs="Arial"/>
          <w:sz w:val="22"/>
          <w:szCs w:val="22"/>
        </w:rPr>
        <w:t xml:space="preserve"> un sistema existente en el mercado que se pueda customizar </w:t>
      </w:r>
      <w:r w:rsidRPr="00826D62">
        <w:rPr>
          <w:rFonts w:ascii="Arial" w:hAnsi="Arial" w:cs="Arial"/>
          <w:i/>
          <w:sz w:val="22"/>
          <w:szCs w:val="22"/>
        </w:rPr>
        <w:t>in-house</w:t>
      </w:r>
      <w:r w:rsidRPr="00826D62">
        <w:rPr>
          <w:rFonts w:ascii="Arial" w:hAnsi="Arial" w:cs="Arial"/>
          <w:sz w:val="22"/>
          <w:szCs w:val="22"/>
        </w:rPr>
        <w:t xml:space="preserve"> con </w:t>
      </w:r>
      <w:r w:rsidR="00473207" w:rsidRPr="00826D62">
        <w:rPr>
          <w:rFonts w:ascii="Arial" w:hAnsi="Arial" w:cs="Arial"/>
          <w:sz w:val="22"/>
          <w:szCs w:val="22"/>
        </w:rPr>
        <w:t xml:space="preserve">el </w:t>
      </w:r>
      <w:r w:rsidRPr="00826D62">
        <w:rPr>
          <w:rFonts w:ascii="Arial" w:hAnsi="Arial" w:cs="Arial"/>
          <w:sz w:val="22"/>
          <w:szCs w:val="22"/>
        </w:rPr>
        <w:t>apoyo de los propietarios del sistema), o la compra de un paquete (</w:t>
      </w:r>
      <w:r w:rsidRPr="00826D62">
        <w:rPr>
          <w:rFonts w:ascii="Arial" w:hAnsi="Arial" w:cs="Arial"/>
          <w:i/>
          <w:sz w:val="22"/>
          <w:szCs w:val="22"/>
        </w:rPr>
        <w:t>off-the-self</w:t>
      </w:r>
      <w:r w:rsidRPr="00826D62">
        <w:rPr>
          <w:rFonts w:ascii="Arial" w:hAnsi="Arial" w:cs="Arial"/>
          <w:sz w:val="22"/>
          <w:szCs w:val="22"/>
        </w:rPr>
        <w:t>) altamente parametrizable (90%), que permita la transferencia de tecnología al personal del SAR.</w:t>
      </w:r>
    </w:p>
    <w:p w:rsidR="004969DE" w:rsidRPr="00826D62" w:rsidRDefault="004969DE" w:rsidP="00FC15CE">
      <w:pPr>
        <w:pStyle w:val="Paragraph"/>
        <w:numPr>
          <w:ilvl w:val="0"/>
          <w:numId w:val="24"/>
        </w:numPr>
        <w:rPr>
          <w:rFonts w:ascii="Arial" w:hAnsi="Arial" w:cs="Arial"/>
          <w:sz w:val="22"/>
          <w:szCs w:val="22"/>
        </w:rPr>
      </w:pPr>
      <w:r w:rsidRPr="00826D62">
        <w:rPr>
          <w:rFonts w:ascii="Arial" w:hAnsi="Arial" w:cs="Arial"/>
          <w:sz w:val="22"/>
          <w:szCs w:val="22"/>
        </w:rPr>
        <w:t>La actualización de la infraestructura tecnológica de software de base, hardware y telecomunicación</w:t>
      </w:r>
      <w:r w:rsidR="00D24F82" w:rsidRPr="00826D62">
        <w:rPr>
          <w:rFonts w:ascii="Arial" w:hAnsi="Arial" w:cs="Arial"/>
          <w:sz w:val="22"/>
          <w:szCs w:val="22"/>
        </w:rPr>
        <w:t xml:space="preserve">, incluyendo la estandarización de las bases de datos, aumento de la capacidad de almacenamiento y velocidad de </w:t>
      </w:r>
      <w:r w:rsidR="00C575D0" w:rsidRPr="00826D62">
        <w:rPr>
          <w:rFonts w:ascii="Arial" w:hAnsi="Arial" w:cs="Arial"/>
          <w:sz w:val="22"/>
          <w:szCs w:val="22"/>
        </w:rPr>
        <w:t>telecomunicación</w:t>
      </w:r>
      <w:r w:rsidR="00D24F82" w:rsidRPr="00826D62">
        <w:rPr>
          <w:rFonts w:ascii="Arial" w:hAnsi="Arial" w:cs="Arial"/>
          <w:sz w:val="22"/>
          <w:szCs w:val="22"/>
        </w:rPr>
        <w:t>, así como mejora el nivel de seguridad y acceso a la información del SAR.</w:t>
      </w:r>
    </w:p>
    <w:p w:rsidR="00D24F82" w:rsidRPr="00826D62" w:rsidRDefault="00D24F82" w:rsidP="00FC15CE">
      <w:pPr>
        <w:pStyle w:val="Paragraph"/>
        <w:numPr>
          <w:ilvl w:val="0"/>
          <w:numId w:val="24"/>
        </w:numPr>
        <w:rPr>
          <w:rFonts w:ascii="Arial" w:hAnsi="Arial" w:cs="Arial"/>
          <w:sz w:val="22"/>
          <w:szCs w:val="22"/>
        </w:rPr>
      </w:pPr>
      <w:r w:rsidRPr="00826D62">
        <w:rPr>
          <w:rFonts w:ascii="Arial" w:hAnsi="Arial" w:cs="Arial"/>
          <w:sz w:val="22"/>
          <w:szCs w:val="22"/>
        </w:rPr>
        <w:t xml:space="preserve">La implantación de un programa de capacitación permanente para el personal de TI, incluyendo análisis de sistemas, programación, gestión de telecomunicación y bases de datos, seguridad y planificación en TI. </w:t>
      </w:r>
    </w:p>
    <w:p w:rsidR="00C575D0" w:rsidRPr="00826D62" w:rsidRDefault="00C575D0" w:rsidP="00826D62">
      <w:pPr>
        <w:pStyle w:val="Paragraph"/>
        <w:ind w:left="720" w:hanging="720"/>
        <w:rPr>
          <w:rFonts w:ascii="Arial" w:hAnsi="Arial" w:cs="Arial"/>
          <w:b/>
          <w:sz w:val="22"/>
          <w:szCs w:val="22"/>
        </w:rPr>
      </w:pPr>
      <w:r w:rsidRPr="00826D62">
        <w:rPr>
          <w:rFonts w:ascii="Arial" w:hAnsi="Arial" w:cs="Arial"/>
          <w:sz w:val="22"/>
          <w:szCs w:val="22"/>
        </w:rPr>
        <w:t>Fortalecimiento del talento humano del SAR</w:t>
      </w:r>
      <w:r w:rsidR="00C03711" w:rsidRPr="00826D62">
        <w:rPr>
          <w:rFonts w:ascii="Arial" w:hAnsi="Arial" w:cs="Arial"/>
          <w:b/>
          <w:sz w:val="22"/>
          <w:szCs w:val="22"/>
        </w:rPr>
        <w:t xml:space="preserve">. </w:t>
      </w:r>
      <w:r w:rsidRPr="00826D62">
        <w:rPr>
          <w:rFonts w:ascii="Arial" w:hAnsi="Arial" w:cs="Arial"/>
          <w:sz w:val="22"/>
          <w:szCs w:val="22"/>
        </w:rPr>
        <w:t>El objetivo es mejorar la calidad profesional del talento humano del SAR para llevar a cabo el mandato institucional de la administración tributaria de forma eficaz</w:t>
      </w:r>
      <w:r w:rsidR="00C03711" w:rsidRPr="00826D62">
        <w:rPr>
          <w:rFonts w:ascii="Arial" w:hAnsi="Arial" w:cs="Arial"/>
          <w:sz w:val="22"/>
          <w:szCs w:val="22"/>
        </w:rPr>
        <w:t>, contemplando las siguientes actividades:</w:t>
      </w:r>
      <w:r w:rsidRPr="00826D62">
        <w:rPr>
          <w:rFonts w:ascii="Arial" w:hAnsi="Arial" w:cs="Arial"/>
          <w:sz w:val="22"/>
          <w:szCs w:val="22"/>
        </w:rPr>
        <w:t xml:space="preserve"> </w:t>
      </w:r>
    </w:p>
    <w:p w:rsidR="00891B93" w:rsidRPr="00826D62" w:rsidRDefault="00015CC7" w:rsidP="00FC15CE">
      <w:pPr>
        <w:pStyle w:val="Paragraph"/>
        <w:numPr>
          <w:ilvl w:val="0"/>
          <w:numId w:val="25"/>
        </w:numPr>
        <w:rPr>
          <w:rFonts w:ascii="Arial" w:hAnsi="Arial" w:cs="Arial"/>
          <w:sz w:val="22"/>
          <w:szCs w:val="22"/>
        </w:rPr>
      </w:pPr>
      <w:r w:rsidRPr="00826D62">
        <w:rPr>
          <w:rFonts w:ascii="Arial" w:hAnsi="Arial" w:cs="Arial"/>
          <w:sz w:val="22"/>
          <w:szCs w:val="22"/>
        </w:rPr>
        <w:t>El d</w:t>
      </w:r>
      <w:r w:rsidR="00C575D0" w:rsidRPr="00826D62">
        <w:rPr>
          <w:rFonts w:ascii="Arial" w:hAnsi="Arial" w:cs="Arial"/>
          <w:sz w:val="22"/>
          <w:szCs w:val="22"/>
        </w:rPr>
        <w:t xml:space="preserve">esarrollo </w:t>
      </w:r>
      <w:r w:rsidR="00891B93" w:rsidRPr="00826D62">
        <w:rPr>
          <w:rFonts w:ascii="Arial" w:hAnsi="Arial" w:cs="Arial"/>
          <w:sz w:val="22"/>
          <w:szCs w:val="22"/>
        </w:rPr>
        <w:t xml:space="preserve">e implantación </w:t>
      </w:r>
      <w:r w:rsidR="00C575D0" w:rsidRPr="00826D62">
        <w:rPr>
          <w:rFonts w:ascii="Arial" w:hAnsi="Arial" w:cs="Arial"/>
          <w:sz w:val="22"/>
          <w:szCs w:val="22"/>
        </w:rPr>
        <w:t>de una nueva política de recursos humanos</w:t>
      </w:r>
      <w:r w:rsidR="00891B93" w:rsidRPr="00826D62">
        <w:rPr>
          <w:rFonts w:ascii="Arial" w:hAnsi="Arial" w:cs="Arial"/>
          <w:sz w:val="22"/>
          <w:szCs w:val="22"/>
        </w:rPr>
        <w:t xml:space="preserve"> (RH)</w:t>
      </w:r>
      <w:r w:rsidR="00C575D0" w:rsidRPr="00826D62">
        <w:rPr>
          <w:rFonts w:ascii="Arial" w:hAnsi="Arial" w:cs="Arial"/>
          <w:sz w:val="22"/>
          <w:szCs w:val="22"/>
        </w:rPr>
        <w:t>, incluyendo: la carrera tributaria</w:t>
      </w:r>
      <w:r w:rsidR="00891B93" w:rsidRPr="00826D62">
        <w:rPr>
          <w:rFonts w:ascii="Arial" w:hAnsi="Arial" w:cs="Arial"/>
          <w:sz w:val="22"/>
          <w:szCs w:val="22"/>
        </w:rPr>
        <w:t xml:space="preserve"> y sus respectivos perfiles</w:t>
      </w:r>
      <w:r w:rsidR="00C575D0" w:rsidRPr="00826D62">
        <w:rPr>
          <w:rFonts w:ascii="Arial" w:hAnsi="Arial" w:cs="Arial"/>
          <w:sz w:val="22"/>
          <w:szCs w:val="22"/>
        </w:rPr>
        <w:t xml:space="preserve">, los regímenes laborales, la escala salarial, </w:t>
      </w:r>
      <w:r w:rsidR="00891B93" w:rsidRPr="00826D62">
        <w:rPr>
          <w:rFonts w:ascii="Arial" w:hAnsi="Arial" w:cs="Arial"/>
          <w:sz w:val="22"/>
          <w:szCs w:val="22"/>
        </w:rPr>
        <w:t xml:space="preserve">y los procedimientos de </w:t>
      </w:r>
      <w:r w:rsidR="00C575D0" w:rsidRPr="00826D62">
        <w:rPr>
          <w:rFonts w:ascii="Arial" w:hAnsi="Arial" w:cs="Arial"/>
          <w:sz w:val="22"/>
          <w:szCs w:val="22"/>
        </w:rPr>
        <w:t>evaluación d</w:t>
      </w:r>
      <w:r w:rsidR="00891B93" w:rsidRPr="00826D62">
        <w:rPr>
          <w:rFonts w:ascii="Arial" w:hAnsi="Arial" w:cs="Arial"/>
          <w:sz w:val="22"/>
          <w:szCs w:val="22"/>
        </w:rPr>
        <w:t>e desempeño y promoción. También será desarrollado e implantado un nuevo código de ética compatible con los estándares de la nueva organización.</w:t>
      </w:r>
    </w:p>
    <w:p w:rsidR="00891B93" w:rsidRPr="00826D62" w:rsidRDefault="00015CC7" w:rsidP="00FC15CE">
      <w:pPr>
        <w:pStyle w:val="Paragraph"/>
        <w:numPr>
          <w:ilvl w:val="0"/>
          <w:numId w:val="25"/>
        </w:numPr>
        <w:rPr>
          <w:rFonts w:ascii="Arial" w:hAnsi="Arial" w:cs="Arial"/>
          <w:sz w:val="22"/>
          <w:szCs w:val="22"/>
        </w:rPr>
      </w:pPr>
      <w:r w:rsidRPr="00826D62">
        <w:rPr>
          <w:rFonts w:ascii="Arial" w:hAnsi="Arial" w:cs="Arial"/>
          <w:sz w:val="22"/>
          <w:szCs w:val="22"/>
        </w:rPr>
        <w:t>El p</w:t>
      </w:r>
      <w:r w:rsidR="00891B93" w:rsidRPr="00826D62">
        <w:rPr>
          <w:rFonts w:ascii="Arial" w:hAnsi="Arial" w:cs="Arial"/>
          <w:sz w:val="22"/>
          <w:szCs w:val="22"/>
        </w:rPr>
        <w:t>roc</w:t>
      </w:r>
      <w:r w:rsidR="003076AF" w:rsidRPr="00826D62">
        <w:rPr>
          <w:rFonts w:ascii="Arial" w:hAnsi="Arial" w:cs="Arial"/>
          <w:sz w:val="22"/>
          <w:szCs w:val="22"/>
        </w:rPr>
        <w:t>eso</w:t>
      </w:r>
      <w:r w:rsidR="00891B93" w:rsidRPr="00826D62">
        <w:rPr>
          <w:rFonts w:ascii="Arial" w:hAnsi="Arial" w:cs="Arial"/>
          <w:sz w:val="22"/>
          <w:szCs w:val="22"/>
        </w:rPr>
        <w:t xml:space="preserve"> de selección y contratación</w:t>
      </w:r>
      <w:r w:rsidR="003076AF" w:rsidRPr="00826D62">
        <w:rPr>
          <w:rFonts w:ascii="Arial" w:hAnsi="Arial" w:cs="Arial"/>
          <w:sz w:val="22"/>
          <w:szCs w:val="22"/>
        </w:rPr>
        <w:t xml:space="preserve"> de los nuevos funcionarios del SAR, incluyendo </w:t>
      </w:r>
      <w:r w:rsidR="00891B93" w:rsidRPr="00826D62">
        <w:rPr>
          <w:rFonts w:ascii="Arial" w:hAnsi="Arial" w:cs="Arial"/>
          <w:sz w:val="22"/>
          <w:szCs w:val="22"/>
        </w:rPr>
        <w:t xml:space="preserve">700 </w:t>
      </w:r>
      <w:r w:rsidR="003076AF" w:rsidRPr="00826D62">
        <w:rPr>
          <w:rFonts w:ascii="Arial" w:hAnsi="Arial" w:cs="Arial"/>
          <w:sz w:val="22"/>
          <w:szCs w:val="22"/>
        </w:rPr>
        <w:t>plazas</w:t>
      </w:r>
      <w:r w:rsidR="00891B93" w:rsidRPr="00826D62">
        <w:rPr>
          <w:rFonts w:ascii="Arial" w:hAnsi="Arial" w:cs="Arial"/>
          <w:sz w:val="22"/>
          <w:szCs w:val="22"/>
        </w:rPr>
        <w:t xml:space="preserve"> para Rentas Internas y 800 </w:t>
      </w:r>
      <w:r w:rsidR="003076AF" w:rsidRPr="00826D62">
        <w:rPr>
          <w:rFonts w:ascii="Arial" w:hAnsi="Arial" w:cs="Arial"/>
          <w:sz w:val="22"/>
          <w:szCs w:val="22"/>
        </w:rPr>
        <w:t>plazas</w:t>
      </w:r>
      <w:r w:rsidR="00891B93" w:rsidRPr="00826D62">
        <w:rPr>
          <w:rFonts w:ascii="Arial" w:hAnsi="Arial" w:cs="Arial"/>
          <w:sz w:val="22"/>
          <w:szCs w:val="22"/>
        </w:rPr>
        <w:t xml:space="preserve"> para </w:t>
      </w:r>
      <w:r w:rsidR="00855CC0" w:rsidRPr="00826D62">
        <w:rPr>
          <w:rFonts w:ascii="Arial" w:hAnsi="Arial" w:cs="Arial"/>
          <w:sz w:val="22"/>
          <w:szCs w:val="22"/>
        </w:rPr>
        <w:t>a</w:t>
      </w:r>
      <w:r w:rsidR="00891B93" w:rsidRPr="00826D62">
        <w:rPr>
          <w:rFonts w:ascii="Arial" w:hAnsi="Arial" w:cs="Arial"/>
          <w:sz w:val="22"/>
          <w:szCs w:val="22"/>
        </w:rPr>
        <w:t>duanas, a través de una firma especializada en tema</w:t>
      </w:r>
      <w:r w:rsidR="003076AF" w:rsidRPr="00826D62">
        <w:rPr>
          <w:rFonts w:ascii="Arial" w:hAnsi="Arial" w:cs="Arial"/>
          <w:sz w:val="22"/>
          <w:szCs w:val="22"/>
        </w:rPr>
        <w:t>s</w:t>
      </w:r>
      <w:r w:rsidR="00891B93" w:rsidRPr="00826D62">
        <w:rPr>
          <w:rFonts w:ascii="Arial" w:hAnsi="Arial" w:cs="Arial"/>
          <w:sz w:val="22"/>
          <w:szCs w:val="22"/>
        </w:rPr>
        <w:t xml:space="preserve"> de contratación e identificación de talentos en el mercado laboral de acuerdo con los nuevos perfiles contemplados en la nueva política de RH.</w:t>
      </w:r>
    </w:p>
    <w:p w:rsidR="003076AF" w:rsidRPr="00826D62" w:rsidRDefault="00015CC7" w:rsidP="00FC15CE">
      <w:pPr>
        <w:pStyle w:val="Paragraph"/>
        <w:numPr>
          <w:ilvl w:val="0"/>
          <w:numId w:val="25"/>
        </w:numPr>
        <w:rPr>
          <w:rFonts w:ascii="Arial" w:hAnsi="Arial" w:cs="Arial"/>
          <w:sz w:val="22"/>
          <w:szCs w:val="22"/>
        </w:rPr>
      </w:pPr>
      <w:r w:rsidRPr="00826D62">
        <w:rPr>
          <w:rFonts w:ascii="Arial" w:hAnsi="Arial" w:cs="Arial"/>
          <w:sz w:val="22"/>
          <w:szCs w:val="22"/>
        </w:rPr>
        <w:t>El proceso de desvinculación e indemnización del personal de la DEI</w:t>
      </w:r>
      <w:r w:rsidRPr="00826D62">
        <w:rPr>
          <w:rFonts w:ascii="Arial" w:hAnsi="Arial" w:cs="Arial"/>
          <w:sz w:val="22"/>
          <w:szCs w:val="22"/>
          <w:vertAlign w:val="superscript"/>
        </w:rPr>
        <w:footnoteReference w:id="5"/>
      </w:r>
      <w:r w:rsidRPr="00826D62">
        <w:rPr>
          <w:rFonts w:ascii="Arial" w:hAnsi="Arial" w:cs="Arial"/>
          <w:sz w:val="22"/>
          <w:szCs w:val="22"/>
        </w:rPr>
        <w:t>. También se financiará una consultoría especializada para brindar la opción al personal desvinculado</w:t>
      </w:r>
      <w:r w:rsidR="00FC056A" w:rsidRPr="00826D62">
        <w:rPr>
          <w:rFonts w:ascii="Arial" w:hAnsi="Arial" w:cs="Arial"/>
          <w:sz w:val="22"/>
          <w:szCs w:val="22"/>
        </w:rPr>
        <w:t xml:space="preserve"> </w:t>
      </w:r>
      <w:r w:rsidRPr="00826D62">
        <w:rPr>
          <w:rFonts w:ascii="Arial" w:hAnsi="Arial" w:cs="Arial"/>
          <w:sz w:val="22"/>
          <w:szCs w:val="22"/>
        </w:rPr>
        <w:t>de capacitación y orientación general para que puedan reintegrarse en el mercado laboral (</w:t>
      </w:r>
      <w:r w:rsidRPr="00826D62">
        <w:rPr>
          <w:rFonts w:ascii="Arial" w:hAnsi="Arial" w:cs="Arial"/>
          <w:i/>
          <w:sz w:val="22"/>
          <w:szCs w:val="22"/>
        </w:rPr>
        <w:t>Out-Placement</w:t>
      </w:r>
      <w:r w:rsidRPr="00826D62">
        <w:rPr>
          <w:rFonts w:ascii="Arial" w:hAnsi="Arial" w:cs="Arial"/>
          <w:sz w:val="22"/>
          <w:szCs w:val="22"/>
        </w:rPr>
        <w:t>)</w:t>
      </w:r>
      <w:r w:rsidR="00F311D7" w:rsidRPr="00826D62">
        <w:rPr>
          <w:rFonts w:ascii="Arial" w:hAnsi="Arial" w:cs="Arial"/>
          <w:sz w:val="22"/>
          <w:szCs w:val="22"/>
        </w:rPr>
        <w:t>.</w:t>
      </w:r>
    </w:p>
    <w:p w:rsidR="00F311D7" w:rsidRPr="00826D62" w:rsidRDefault="00015CC7" w:rsidP="00FC15CE">
      <w:pPr>
        <w:pStyle w:val="Paragraph"/>
        <w:numPr>
          <w:ilvl w:val="0"/>
          <w:numId w:val="25"/>
        </w:numPr>
        <w:rPr>
          <w:rFonts w:ascii="Arial" w:hAnsi="Arial" w:cs="Arial"/>
          <w:sz w:val="22"/>
          <w:szCs w:val="22"/>
        </w:rPr>
      </w:pPr>
      <w:r w:rsidRPr="00826D62">
        <w:rPr>
          <w:rFonts w:ascii="Arial" w:hAnsi="Arial" w:cs="Arial"/>
          <w:sz w:val="22"/>
          <w:szCs w:val="22"/>
        </w:rPr>
        <w:t>La implantación de un sistema de gestión del cambio (</w:t>
      </w:r>
      <w:r w:rsidRPr="00826D62">
        <w:rPr>
          <w:rFonts w:ascii="Arial" w:hAnsi="Arial" w:cs="Arial"/>
          <w:i/>
          <w:sz w:val="22"/>
          <w:szCs w:val="22"/>
        </w:rPr>
        <w:t>Change Management</w:t>
      </w:r>
      <w:r w:rsidRPr="00826D62">
        <w:rPr>
          <w:rFonts w:ascii="Arial" w:hAnsi="Arial" w:cs="Arial"/>
          <w:sz w:val="22"/>
          <w:szCs w:val="22"/>
        </w:rPr>
        <w:t>) y de una campaña de información para la opinión pública interna y externa del SAR, buscando minimizar los riesgos de reacción al cambio por parte del personal involucrado y del público en general</w:t>
      </w:r>
      <w:r w:rsidR="00F311D7" w:rsidRPr="00826D62">
        <w:rPr>
          <w:rFonts w:ascii="Arial" w:hAnsi="Arial" w:cs="Arial"/>
          <w:sz w:val="22"/>
          <w:szCs w:val="22"/>
        </w:rPr>
        <w:t>.</w:t>
      </w:r>
    </w:p>
    <w:p w:rsidR="00F311D7" w:rsidRPr="00826D62" w:rsidRDefault="00015CC7" w:rsidP="00FC15CE">
      <w:pPr>
        <w:pStyle w:val="Paragraph"/>
        <w:numPr>
          <w:ilvl w:val="0"/>
          <w:numId w:val="25"/>
        </w:numPr>
        <w:rPr>
          <w:rFonts w:ascii="Arial" w:hAnsi="Arial" w:cs="Arial"/>
          <w:sz w:val="22"/>
          <w:szCs w:val="22"/>
        </w:rPr>
      </w:pPr>
      <w:r w:rsidRPr="00826D62">
        <w:rPr>
          <w:rFonts w:ascii="Arial" w:hAnsi="Arial" w:cs="Arial"/>
          <w:sz w:val="22"/>
          <w:szCs w:val="22"/>
        </w:rPr>
        <w:t>El diseño y la implantación de un programa permanente de capacitación para todo el personal del SAR</w:t>
      </w:r>
      <w:r w:rsidR="00F311D7" w:rsidRPr="00826D62">
        <w:rPr>
          <w:rFonts w:ascii="Arial" w:hAnsi="Arial" w:cs="Arial"/>
          <w:sz w:val="22"/>
          <w:szCs w:val="22"/>
        </w:rPr>
        <w:t>.</w:t>
      </w:r>
    </w:p>
    <w:p w:rsidR="009B31BB" w:rsidRPr="00826D62" w:rsidRDefault="009B31BB" w:rsidP="009B31BB">
      <w:pPr>
        <w:pStyle w:val="Paragraph"/>
        <w:numPr>
          <w:ilvl w:val="0"/>
          <w:numId w:val="0"/>
        </w:numPr>
        <w:ind w:left="1440"/>
        <w:rPr>
          <w:rFonts w:ascii="Arial" w:hAnsi="Arial" w:cs="Arial"/>
          <w:sz w:val="22"/>
          <w:szCs w:val="22"/>
        </w:rPr>
      </w:pPr>
    </w:p>
    <w:p w:rsidR="008D2EE3" w:rsidRPr="00826D62" w:rsidRDefault="00CD4234">
      <w:pPr>
        <w:pStyle w:val="Chapter"/>
        <w:rPr>
          <w:rFonts w:ascii="Arial" w:hAnsi="Arial" w:cs="Arial"/>
        </w:rPr>
      </w:pPr>
      <w:r w:rsidRPr="00826D62">
        <w:rPr>
          <w:rFonts w:ascii="Arial" w:hAnsi="Arial" w:cs="Arial"/>
        </w:rPr>
        <w:lastRenderedPageBreak/>
        <w:t>Metodología</w:t>
      </w:r>
      <w:r w:rsidR="00B03F20" w:rsidRPr="00826D62">
        <w:rPr>
          <w:rFonts w:ascii="Arial" w:hAnsi="Arial" w:cs="Arial"/>
        </w:rPr>
        <w:t xml:space="preserve">, </w:t>
      </w:r>
      <w:r w:rsidR="00EC45B4" w:rsidRPr="00826D62">
        <w:rPr>
          <w:rFonts w:ascii="Arial" w:hAnsi="Arial" w:cs="Arial"/>
        </w:rPr>
        <w:t xml:space="preserve">supuesto y cálculo de los beneficios </w:t>
      </w:r>
    </w:p>
    <w:p w:rsidR="00CD4234" w:rsidRPr="00826D62" w:rsidRDefault="00A53507" w:rsidP="00826D62">
      <w:pPr>
        <w:pStyle w:val="ListParagraph"/>
        <w:keepNext/>
        <w:numPr>
          <w:ilvl w:val="0"/>
          <w:numId w:val="3"/>
        </w:numPr>
        <w:spacing w:before="120" w:after="120" w:line="240" w:lineRule="auto"/>
        <w:ind w:hanging="720"/>
        <w:jc w:val="both"/>
        <w:rPr>
          <w:rFonts w:ascii="Arial" w:hAnsi="Arial" w:cs="Arial"/>
          <w:b/>
          <w:smallCaps/>
        </w:rPr>
      </w:pPr>
      <w:r w:rsidRPr="00826D62">
        <w:rPr>
          <w:rFonts w:ascii="Arial" w:hAnsi="Arial" w:cs="Arial"/>
          <w:b/>
          <w:smallCaps/>
        </w:rPr>
        <w:t>Metodología</w:t>
      </w:r>
    </w:p>
    <w:p w:rsidR="00CD4234" w:rsidRPr="00826D62" w:rsidRDefault="00CD4234" w:rsidP="00826D62">
      <w:pPr>
        <w:pStyle w:val="Paragraph"/>
        <w:keepNext/>
        <w:tabs>
          <w:tab w:val="clear" w:pos="1296"/>
        </w:tabs>
        <w:ind w:left="720" w:hanging="720"/>
        <w:rPr>
          <w:rFonts w:ascii="Arial" w:hAnsi="Arial" w:cs="Arial"/>
          <w:sz w:val="22"/>
          <w:szCs w:val="22"/>
        </w:rPr>
      </w:pPr>
      <w:r w:rsidRPr="00826D62">
        <w:rPr>
          <w:rFonts w:ascii="Arial" w:hAnsi="Arial" w:cs="Arial"/>
          <w:sz w:val="22"/>
          <w:szCs w:val="22"/>
        </w:rPr>
        <w:t xml:space="preserve">La metodología utilizada para estimar los beneficios Financieros </w:t>
      </w:r>
      <w:r w:rsidR="00712B87" w:rsidRPr="00826D62">
        <w:rPr>
          <w:rFonts w:ascii="Arial" w:hAnsi="Arial" w:cs="Arial"/>
          <w:sz w:val="22"/>
          <w:szCs w:val="22"/>
        </w:rPr>
        <w:t xml:space="preserve">de la presente </w:t>
      </w:r>
      <w:r w:rsidR="00712B87" w:rsidRPr="00826D62">
        <w:rPr>
          <w:rFonts w:ascii="Arial" w:hAnsi="Arial" w:cs="Arial"/>
          <w:color w:val="000000"/>
          <w:sz w:val="22"/>
          <w:szCs w:val="22"/>
        </w:rPr>
        <w:t>operación</w:t>
      </w:r>
      <w:r w:rsidRPr="00826D62">
        <w:rPr>
          <w:rFonts w:ascii="Arial" w:hAnsi="Arial" w:cs="Arial"/>
          <w:sz w:val="22"/>
          <w:szCs w:val="22"/>
        </w:rPr>
        <w:t xml:space="preserve">, </w:t>
      </w:r>
      <w:r w:rsidR="00D95258" w:rsidRPr="00826D62">
        <w:rPr>
          <w:rFonts w:ascii="Arial" w:hAnsi="Arial" w:cs="Arial"/>
          <w:sz w:val="22"/>
          <w:szCs w:val="22"/>
        </w:rPr>
        <w:t>se basó en</w:t>
      </w:r>
      <w:r w:rsidR="00712B87" w:rsidRPr="00826D62">
        <w:rPr>
          <w:rFonts w:ascii="Arial" w:hAnsi="Arial" w:cs="Arial"/>
          <w:sz w:val="22"/>
          <w:szCs w:val="22"/>
        </w:rPr>
        <w:t xml:space="preserve"> la estrategia y en los</w:t>
      </w:r>
      <w:r w:rsidRPr="00826D62">
        <w:rPr>
          <w:rFonts w:ascii="Arial" w:hAnsi="Arial" w:cs="Arial"/>
          <w:sz w:val="22"/>
          <w:szCs w:val="22"/>
        </w:rPr>
        <w:t xml:space="preserve"> resultados </w:t>
      </w:r>
      <w:r w:rsidR="007150A6" w:rsidRPr="00826D62">
        <w:rPr>
          <w:rFonts w:ascii="Arial" w:hAnsi="Arial" w:cs="Arial"/>
          <w:sz w:val="22"/>
          <w:szCs w:val="22"/>
        </w:rPr>
        <w:t xml:space="preserve">exitosos </w:t>
      </w:r>
      <w:r w:rsidR="00900647" w:rsidRPr="00826D62">
        <w:rPr>
          <w:rFonts w:ascii="Arial" w:hAnsi="Arial" w:cs="Arial"/>
          <w:sz w:val="22"/>
          <w:szCs w:val="22"/>
        </w:rPr>
        <w:t xml:space="preserve">obtenidos </w:t>
      </w:r>
      <w:r w:rsidR="00C60BB5" w:rsidRPr="00826D62">
        <w:rPr>
          <w:rFonts w:ascii="Arial" w:hAnsi="Arial" w:cs="Arial"/>
          <w:sz w:val="22"/>
          <w:szCs w:val="22"/>
        </w:rPr>
        <w:t xml:space="preserve">de </w:t>
      </w:r>
      <w:r w:rsidR="00712B87" w:rsidRPr="00826D62">
        <w:rPr>
          <w:rFonts w:ascii="Arial" w:hAnsi="Arial" w:cs="Arial"/>
          <w:sz w:val="22"/>
          <w:szCs w:val="22"/>
        </w:rPr>
        <w:t>la modernización d</w:t>
      </w:r>
      <w:r w:rsidR="00EC45B4" w:rsidRPr="00826D62">
        <w:rPr>
          <w:rFonts w:ascii="Arial" w:hAnsi="Arial" w:cs="Arial"/>
          <w:sz w:val="22"/>
          <w:szCs w:val="22"/>
        </w:rPr>
        <w:t>e la Administración Tributaria e</w:t>
      </w:r>
      <w:r w:rsidR="00712B87" w:rsidRPr="00826D62">
        <w:rPr>
          <w:rFonts w:ascii="Arial" w:hAnsi="Arial" w:cs="Arial"/>
          <w:sz w:val="22"/>
          <w:szCs w:val="22"/>
        </w:rPr>
        <w:t>cuatoriana en el periodo de 1990-2004, la cual contó con el apoyo del Ba</w:t>
      </w:r>
      <w:r w:rsidR="00EC45B4" w:rsidRPr="00826D62">
        <w:rPr>
          <w:rFonts w:ascii="Arial" w:hAnsi="Arial" w:cs="Arial"/>
          <w:sz w:val="22"/>
          <w:szCs w:val="22"/>
        </w:rPr>
        <w:t xml:space="preserve">nco, y cuyos resultados fueron </w:t>
      </w:r>
      <w:r w:rsidRPr="00826D62">
        <w:rPr>
          <w:rFonts w:ascii="Arial" w:hAnsi="Arial" w:cs="Arial"/>
          <w:sz w:val="22"/>
          <w:szCs w:val="22"/>
        </w:rPr>
        <w:t>evaluados por la Oficina de Evaluación y Supervisión (OVE) del Banco en Noviembre de 2007</w:t>
      </w:r>
      <w:r w:rsidR="009710C0" w:rsidRPr="00826D62">
        <w:rPr>
          <w:rFonts w:ascii="Arial" w:hAnsi="Arial" w:cs="Arial"/>
          <w:sz w:val="22"/>
          <w:szCs w:val="22"/>
        </w:rPr>
        <w:t>. Estas operaciones contaron con el apoyo del CIAT, el cual actuó como agencia especializada para su implementa</w:t>
      </w:r>
      <w:r w:rsidR="0070399D">
        <w:rPr>
          <w:rFonts w:ascii="Arial" w:hAnsi="Arial" w:cs="Arial"/>
          <w:sz w:val="22"/>
          <w:szCs w:val="22"/>
        </w:rPr>
        <w:t>ción</w:t>
      </w:r>
      <w:r w:rsidR="009710C0" w:rsidRPr="00826D62">
        <w:rPr>
          <w:rFonts w:ascii="Arial" w:hAnsi="Arial" w:cs="Arial"/>
          <w:sz w:val="22"/>
          <w:szCs w:val="22"/>
        </w:rPr>
        <w:t xml:space="preserve"> </w:t>
      </w:r>
      <w:r w:rsidR="0070399D">
        <w:rPr>
          <w:rFonts w:ascii="Arial" w:hAnsi="Arial" w:cs="Arial"/>
          <w:sz w:val="22"/>
          <w:szCs w:val="22"/>
        </w:rPr>
        <w:t>(</w:t>
      </w:r>
      <w:hyperlink r:id="rId9" w:history="1">
        <w:r w:rsidR="0070399D" w:rsidRPr="0070399D">
          <w:rPr>
            <w:rStyle w:val="Hyperlink"/>
            <w:rFonts w:ascii="Arial" w:hAnsi="Arial" w:cs="Arial"/>
            <w:sz w:val="22"/>
            <w:szCs w:val="22"/>
          </w:rPr>
          <w:t>ver Modernización de la Administración Tributaria Ecuatoriana-O</w:t>
        </w:r>
        <w:r w:rsidR="009710C0" w:rsidRPr="0070399D">
          <w:rPr>
            <w:rStyle w:val="Hyperlink"/>
            <w:rFonts w:ascii="Arial" w:hAnsi="Arial" w:cs="Arial"/>
            <w:sz w:val="22"/>
            <w:szCs w:val="22"/>
          </w:rPr>
          <w:t>VE</w:t>
        </w:r>
      </w:hyperlink>
      <w:r w:rsidRPr="0070399D">
        <w:rPr>
          <w:rFonts w:ascii="Arial" w:hAnsi="Arial" w:cs="Arial"/>
          <w:sz w:val="22"/>
          <w:szCs w:val="22"/>
        </w:rPr>
        <w:t>).</w:t>
      </w:r>
      <w:r w:rsidR="00712B87" w:rsidRPr="00826D62">
        <w:rPr>
          <w:rFonts w:ascii="Arial" w:hAnsi="Arial" w:cs="Arial"/>
          <w:sz w:val="22"/>
          <w:szCs w:val="22"/>
        </w:rPr>
        <w:t xml:space="preserve"> </w:t>
      </w:r>
    </w:p>
    <w:p w:rsidR="006A0FF1" w:rsidRPr="00826D62" w:rsidRDefault="00B148CC" w:rsidP="00826D62">
      <w:pPr>
        <w:pStyle w:val="Paragraph"/>
        <w:tabs>
          <w:tab w:val="clear" w:pos="1296"/>
        </w:tabs>
        <w:ind w:left="720" w:hanging="720"/>
        <w:rPr>
          <w:rFonts w:ascii="Arial" w:hAnsi="Arial" w:cs="Arial"/>
          <w:b/>
          <w:sz w:val="22"/>
          <w:szCs w:val="22"/>
        </w:rPr>
      </w:pPr>
      <w:r w:rsidRPr="00826D62">
        <w:rPr>
          <w:rFonts w:ascii="Arial" w:hAnsi="Arial" w:cs="Arial"/>
          <w:b/>
          <w:sz w:val="22"/>
          <w:szCs w:val="22"/>
        </w:rPr>
        <w:t>Síntesis</w:t>
      </w:r>
      <w:r w:rsidR="006A0FF1" w:rsidRPr="00826D62">
        <w:rPr>
          <w:rFonts w:ascii="Arial" w:hAnsi="Arial" w:cs="Arial"/>
          <w:b/>
          <w:sz w:val="22"/>
          <w:szCs w:val="22"/>
        </w:rPr>
        <w:t xml:space="preserve"> de la modernización </w:t>
      </w:r>
      <w:r w:rsidR="003440AE" w:rsidRPr="00826D62">
        <w:rPr>
          <w:rFonts w:ascii="Arial" w:hAnsi="Arial" w:cs="Arial"/>
          <w:b/>
          <w:sz w:val="22"/>
          <w:szCs w:val="22"/>
        </w:rPr>
        <w:t>e</w:t>
      </w:r>
      <w:r w:rsidR="006A0FF1" w:rsidRPr="00826D62">
        <w:rPr>
          <w:rFonts w:ascii="Arial" w:hAnsi="Arial" w:cs="Arial"/>
          <w:b/>
          <w:sz w:val="22"/>
          <w:szCs w:val="22"/>
        </w:rPr>
        <w:t>cuatoriana</w:t>
      </w:r>
    </w:p>
    <w:tbl>
      <w:tblPr>
        <w:tblStyle w:val="TableGrid"/>
        <w:tblW w:w="7920" w:type="dxa"/>
        <w:tblInd w:w="828" w:type="dxa"/>
        <w:tblLook w:val="04A0" w:firstRow="1" w:lastRow="0" w:firstColumn="1" w:lastColumn="0" w:noHBand="0" w:noVBand="1"/>
      </w:tblPr>
      <w:tblGrid>
        <w:gridCol w:w="4860"/>
        <w:gridCol w:w="1350"/>
        <w:gridCol w:w="1710"/>
      </w:tblGrid>
      <w:tr w:rsidR="00884162" w:rsidRPr="00826D62" w:rsidTr="00826D62">
        <w:trPr>
          <w:trHeight w:val="197"/>
        </w:trPr>
        <w:tc>
          <w:tcPr>
            <w:tcW w:w="7920" w:type="dxa"/>
            <w:gridSpan w:val="3"/>
            <w:shd w:val="clear" w:color="auto" w:fill="BFBFBF" w:themeFill="background1" w:themeFillShade="BF"/>
            <w:vAlign w:val="bottom"/>
          </w:tcPr>
          <w:p w:rsidR="00884162" w:rsidRPr="00826D62" w:rsidRDefault="006B324D" w:rsidP="00884162">
            <w:pPr>
              <w:widowControl w:val="0"/>
              <w:autoSpaceDE w:val="0"/>
              <w:autoSpaceDN w:val="0"/>
              <w:adjustRightInd w:val="0"/>
              <w:spacing w:line="196" w:lineRule="exact"/>
              <w:jc w:val="center"/>
              <w:rPr>
                <w:rFonts w:ascii="Arial" w:hAnsi="Arial" w:cs="Arial"/>
                <w:b/>
                <w:color w:val="000000"/>
                <w:sz w:val="20"/>
                <w:szCs w:val="20"/>
                <w:lang w:val="es-ES"/>
              </w:rPr>
            </w:pPr>
            <w:r w:rsidRPr="00826D62">
              <w:rPr>
                <w:rFonts w:ascii="Arial" w:hAnsi="Arial" w:cs="Arial"/>
                <w:b/>
                <w:color w:val="000000"/>
                <w:sz w:val="20"/>
                <w:szCs w:val="20"/>
                <w:lang w:val="es-ES"/>
              </w:rPr>
              <w:t>Cuadro 1</w:t>
            </w:r>
            <w:r w:rsidR="00884162" w:rsidRPr="00826D62">
              <w:rPr>
                <w:rFonts w:ascii="Arial" w:hAnsi="Arial" w:cs="Arial"/>
                <w:b/>
                <w:color w:val="000000"/>
                <w:sz w:val="20"/>
                <w:szCs w:val="20"/>
                <w:lang w:val="es-ES"/>
              </w:rPr>
              <w:t xml:space="preserve"> -</w:t>
            </w:r>
            <w:r w:rsidR="00FC056A">
              <w:rPr>
                <w:rFonts w:ascii="Arial" w:hAnsi="Arial" w:cs="Arial"/>
                <w:b/>
                <w:color w:val="000000"/>
                <w:sz w:val="20"/>
                <w:szCs w:val="20"/>
                <w:lang w:val="es-ES"/>
              </w:rPr>
              <w:t xml:space="preserve"> </w:t>
            </w:r>
            <w:r w:rsidR="00884162" w:rsidRPr="00826D62">
              <w:rPr>
                <w:rFonts w:ascii="Arial" w:hAnsi="Arial" w:cs="Arial"/>
                <w:b/>
                <w:color w:val="000000"/>
                <w:sz w:val="20"/>
                <w:szCs w:val="20"/>
                <w:lang w:val="es-ES"/>
              </w:rPr>
              <w:t>Apoyo del Banco en la Modernización de la Administración Tributaria Ecuatoriana</w:t>
            </w:r>
          </w:p>
        </w:tc>
      </w:tr>
      <w:tr w:rsidR="00884162" w:rsidRPr="00826D62" w:rsidTr="00826D62">
        <w:trPr>
          <w:trHeight w:val="197"/>
        </w:trPr>
        <w:tc>
          <w:tcPr>
            <w:tcW w:w="4860" w:type="dxa"/>
            <w:shd w:val="clear" w:color="auto" w:fill="BFBFBF" w:themeFill="background1" w:themeFillShade="BF"/>
            <w:vAlign w:val="bottom"/>
          </w:tcPr>
          <w:p w:rsidR="00884162" w:rsidRPr="00826D62" w:rsidRDefault="00884162" w:rsidP="00884162">
            <w:pPr>
              <w:widowControl w:val="0"/>
              <w:autoSpaceDE w:val="0"/>
              <w:autoSpaceDN w:val="0"/>
              <w:adjustRightInd w:val="0"/>
              <w:spacing w:line="196" w:lineRule="exact"/>
              <w:jc w:val="center"/>
              <w:rPr>
                <w:rFonts w:ascii="Arial" w:hAnsi="Arial" w:cs="Arial"/>
                <w:b/>
                <w:color w:val="000000"/>
                <w:sz w:val="20"/>
                <w:szCs w:val="20"/>
                <w:lang w:val="es-ES"/>
              </w:rPr>
            </w:pPr>
            <w:r w:rsidRPr="00826D62">
              <w:rPr>
                <w:rFonts w:ascii="Arial" w:hAnsi="Arial" w:cs="Arial"/>
                <w:b/>
                <w:color w:val="000000"/>
                <w:sz w:val="20"/>
                <w:szCs w:val="20"/>
                <w:lang w:val="es-ES"/>
              </w:rPr>
              <w:t>Operación</w:t>
            </w:r>
          </w:p>
        </w:tc>
        <w:tc>
          <w:tcPr>
            <w:tcW w:w="1350" w:type="dxa"/>
            <w:shd w:val="clear" w:color="auto" w:fill="BFBFBF" w:themeFill="background1" w:themeFillShade="BF"/>
            <w:vAlign w:val="bottom"/>
          </w:tcPr>
          <w:p w:rsidR="00884162" w:rsidRPr="00826D62" w:rsidRDefault="00884162" w:rsidP="00884162">
            <w:pPr>
              <w:widowControl w:val="0"/>
              <w:autoSpaceDE w:val="0"/>
              <w:autoSpaceDN w:val="0"/>
              <w:adjustRightInd w:val="0"/>
              <w:spacing w:line="196" w:lineRule="exact"/>
              <w:ind w:left="20"/>
              <w:jc w:val="center"/>
              <w:rPr>
                <w:rFonts w:ascii="Arial" w:hAnsi="Arial" w:cs="Arial"/>
                <w:b/>
                <w:color w:val="000000"/>
                <w:sz w:val="20"/>
                <w:szCs w:val="20"/>
                <w:lang w:val="es-ES"/>
              </w:rPr>
            </w:pPr>
            <w:r w:rsidRPr="00826D62">
              <w:rPr>
                <w:rFonts w:ascii="Arial" w:hAnsi="Arial" w:cs="Arial"/>
                <w:b/>
                <w:color w:val="000000"/>
                <w:sz w:val="20"/>
                <w:szCs w:val="20"/>
                <w:lang w:val="es-ES"/>
              </w:rPr>
              <w:t>Periodo</w:t>
            </w:r>
          </w:p>
        </w:tc>
        <w:tc>
          <w:tcPr>
            <w:tcW w:w="1710" w:type="dxa"/>
            <w:shd w:val="clear" w:color="auto" w:fill="BFBFBF" w:themeFill="background1" w:themeFillShade="BF"/>
            <w:vAlign w:val="bottom"/>
          </w:tcPr>
          <w:p w:rsidR="00884162" w:rsidRPr="00826D62" w:rsidRDefault="00884162" w:rsidP="00884162">
            <w:pPr>
              <w:widowControl w:val="0"/>
              <w:autoSpaceDE w:val="0"/>
              <w:autoSpaceDN w:val="0"/>
              <w:adjustRightInd w:val="0"/>
              <w:spacing w:line="196" w:lineRule="exact"/>
              <w:jc w:val="center"/>
              <w:rPr>
                <w:rFonts w:ascii="Arial" w:hAnsi="Arial" w:cs="Arial"/>
                <w:b/>
                <w:color w:val="000000"/>
                <w:sz w:val="20"/>
                <w:szCs w:val="20"/>
                <w:lang w:val="es-ES"/>
              </w:rPr>
            </w:pPr>
            <w:r w:rsidRPr="00826D62">
              <w:rPr>
                <w:rFonts w:ascii="Arial" w:hAnsi="Arial" w:cs="Arial"/>
                <w:b/>
                <w:color w:val="000000"/>
                <w:sz w:val="20"/>
                <w:szCs w:val="20"/>
                <w:lang w:val="es-ES"/>
              </w:rPr>
              <w:t>Monto</w:t>
            </w:r>
          </w:p>
        </w:tc>
      </w:tr>
      <w:tr w:rsidR="00884162" w:rsidRPr="00826D62" w:rsidTr="00826D62">
        <w:trPr>
          <w:trHeight w:val="197"/>
        </w:trPr>
        <w:tc>
          <w:tcPr>
            <w:tcW w:w="4860" w:type="dxa"/>
            <w:vAlign w:val="bottom"/>
          </w:tcPr>
          <w:p w:rsidR="00884162" w:rsidRPr="00826D62" w:rsidRDefault="00884162" w:rsidP="00B45E34">
            <w:pPr>
              <w:pStyle w:val="ListParagraph"/>
              <w:widowControl w:val="0"/>
              <w:numPr>
                <w:ilvl w:val="0"/>
                <w:numId w:val="2"/>
              </w:numPr>
              <w:autoSpaceDE w:val="0"/>
              <w:autoSpaceDN w:val="0"/>
              <w:adjustRightInd w:val="0"/>
              <w:spacing w:line="196" w:lineRule="exact"/>
              <w:ind w:left="162" w:hanging="270"/>
              <w:rPr>
                <w:rFonts w:ascii="Arial" w:hAnsi="Arial" w:cs="Arial"/>
                <w:sz w:val="20"/>
                <w:szCs w:val="20"/>
                <w:lang w:val="es-ES"/>
              </w:rPr>
            </w:pPr>
            <w:r w:rsidRPr="00826D62">
              <w:rPr>
                <w:rFonts w:ascii="Arial" w:hAnsi="Arial" w:cs="Arial"/>
                <w:color w:val="000000"/>
                <w:sz w:val="20"/>
                <w:szCs w:val="20"/>
                <w:lang w:val="es-ES"/>
              </w:rPr>
              <w:t>Convenio</w:t>
            </w:r>
            <w:r w:rsidR="00FC056A">
              <w:rPr>
                <w:rFonts w:ascii="Arial" w:hAnsi="Arial" w:cs="Arial"/>
                <w:color w:val="000000"/>
                <w:sz w:val="20"/>
                <w:szCs w:val="20"/>
                <w:lang w:val="es-ES"/>
              </w:rPr>
              <w:t xml:space="preserve"> </w:t>
            </w:r>
            <w:r w:rsidRPr="00826D62">
              <w:rPr>
                <w:rFonts w:ascii="Arial" w:hAnsi="Arial" w:cs="Arial"/>
                <w:color w:val="000000"/>
                <w:sz w:val="20"/>
                <w:szCs w:val="20"/>
                <w:lang w:val="es-ES"/>
              </w:rPr>
              <w:t>de</w:t>
            </w:r>
            <w:r w:rsidR="00FC056A">
              <w:rPr>
                <w:rFonts w:ascii="Arial" w:hAnsi="Arial" w:cs="Arial"/>
                <w:color w:val="000000"/>
                <w:sz w:val="20"/>
                <w:szCs w:val="20"/>
                <w:lang w:val="es-ES"/>
              </w:rPr>
              <w:t xml:space="preserve"> </w:t>
            </w:r>
            <w:r w:rsidRPr="00826D62">
              <w:rPr>
                <w:rFonts w:ascii="Arial" w:hAnsi="Arial" w:cs="Arial"/>
                <w:color w:val="000000"/>
                <w:sz w:val="20"/>
                <w:szCs w:val="20"/>
                <w:lang w:val="es-ES"/>
              </w:rPr>
              <w:t>Cooperación</w:t>
            </w:r>
            <w:r w:rsidR="00FC056A">
              <w:rPr>
                <w:rFonts w:ascii="Arial" w:hAnsi="Arial" w:cs="Arial"/>
                <w:color w:val="000000"/>
                <w:sz w:val="20"/>
                <w:szCs w:val="20"/>
                <w:lang w:val="es-ES"/>
              </w:rPr>
              <w:t xml:space="preserve"> </w:t>
            </w:r>
            <w:r w:rsidRPr="00826D62">
              <w:rPr>
                <w:rFonts w:ascii="Arial" w:hAnsi="Arial" w:cs="Arial"/>
                <w:color w:val="000000"/>
                <w:sz w:val="20"/>
                <w:szCs w:val="20"/>
                <w:lang w:val="es-ES"/>
              </w:rPr>
              <w:t>Técnica Reembolsable (TC8902034, ATN/SF-3361-EC)</w:t>
            </w:r>
          </w:p>
        </w:tc>
        <w:tc>
          <w:tcPr>
            <w:tcW w:w="1350" w:type="dxa"/>
            <w:vAlign w:val="center"/>
          </w:tcPr>
          <w:p w:rsidR="00884162" w:rsidRPr="00826D62" w:rsidRDefault="00884162" w:rsidP="00826D62">
            <w:pPr>
              <w:widowControl w:val="0"/>
              <w:autoSpaceDE w:val="0"/>
              <w:autoSpaceDN w:val="0"/>
              <w:adjustRightInd w:val="0"/>
              <w:spacing w:line="196" w:lineRule="exact"/>
              <w:ind w:left="20"/>
              <w:rPr>
                <w:rFonts w:ascii="Arial" w:hAnsi="Arial" w:cs="Arial"/>
                <w:sz w:val="20"/>
                <w:szCs w:val="20"/>
                <w:lang w:val="es-ES"/>
              </w:rPr>
            </w:pPr>
            <w:r w:rsidRPr="00826D62">
              <w:rPr>
                <w:rFonts w:ascii="Arial" w:hAnsi="Arial" w:cs="Arial"/>
                <w:color w:val="000000"/>
                <w:sz w:val="20"/>
                <w:szCs w:val="20"/>
                <w:lang w:val="es-ES"/>
              </w:rPr>
              <w:t>1990 - 1992</w:t>
            </w:r>
          </w:p>
        </w:tc>
        <w:tc>
          <w:tcPr>
            <w:tcW w:w="1710" w:type="dxa"/>
            <w:vAlign w:val="center"/>
          </w:tcPr>
          <w:p w:rsidR="00884162" w:rsidRPr="00826D62" w:rsidRDefault="00884162" w:rsidP="00826D62">
            <w:pPr>
              <w:widowControl w:val="0"/>
              <w:autoSpaceDE w:val="0"/>
              <w:autoSpaceDN w:val="0"/>
              <w:adjustRightInd w:val="0"/>
              <w:spacing w:line="196" w:lineRule="exact"/>
              <w:jc w:val="right"/>
              <w:rPr>
                <w:rFonts w:ascii="Arial" w:hAnsi="Arial" w:cs="Arial"/>
                <w:sz w:val="20"/>
                <w:szCs w:val="20"/>
                <w:lang w:val="es-ES"/>
              </w:rPr>
            </w:pPr>
            <w:r w:rsidRPr="00826D62">
              <w:rPr>
                <w:rFonts w:ascii="Arial" w:hAnsi="Arial" w:cs="Arial"/>
                <w:color w:val="000000"/>
                <w:sz w:val="20"/>
                <w:szCs w:val="20"/>
                <w:lang w:val="es-ES"/>
              </w:rPr>
              <w:t>2.395.000</w:t>
            </w:r>
          </w:p>
        </w:tc>
      </w:tr>
      <w:tr w:rsidR="00884162" w:rsidRPr="00826D62" w:rsidTr="00826D62">
        <w:trPr>
          <w:trHeight w:val="197"/>
        </w:trPr>
        <w:tc>
          <w:tcPr>
            <w:tcW w:w="4860" w:type="dxa"/>
            <w:vAlign w:val="bottom"/>
          </w:tcPr>
          <w:p w:rsidR="00884162" w:rsidRPr="00826D62" w:rsidRDefault="00884162" w:rsidP="00B45E34">
            <w:pPr>
              <w:pStyle w:val="ListParagraph"/>
              <w:widowControl w:val="0"/>
              <w:numPr>
                <w:ilvl w:val="0"/>
                <w:numId w:val="2"/>
              </w:numPr>
              <w:autoSpaceDE w:val="0"/>
              <w:autoSpaceDN w:val="0"/>
              <w:adjustRightInd w:val="0"/>
              <w:spacing w:line="196" w:lineRule="exact"/>
              <w:ind w:left="162" w:hanging="270"/>
              <w:rPr>
                <w:rFonts w:ascii="Arial" w:hAnsi="Arial" w:cs="Arial"/>
                <w:color w:val="000000"/>
                <w:sz w:val="20"/>
                <w:szCs w:val="20"/>
                <w:lang w:val="pt-BR"/>
              </w:rPr>
            </w:pPr>
            <w:r w:rsidRPr="00826D62">
              <w:rPr>
                <w:rFonts w:ascii="Arial" w:hAnsi="Arial" w:cs="Arial"/>
                <w:color w:val="000000"/>
                <w:sz w:val="20"/>
                <w:szCs w:val="20"/>
                <w:lang w:val="pt-BR"/>
              </w:rPr>
              <w:t>Convenio de Préstamo 904/SF-EC.</w:t>
            </w:r>
          </w:p>
        </w:tc>
        <w:tc>
          <w:tcPr>
            <w:tcW w:w="1350" w:type="dxa"/>
            <w:vAlign w:val="bottom"/>
          </w:tcPr>
          <w:p w:rsidR="00884162" w:rsidRPr="00826D62" w:rsidRDefault="00884162" w:rsidP="00884162">
            <w:pPr>
              <w:widowControl w:val="0"/>
              <w:autoSpaceDE w:val="0"/>
              <w:autoSpaceDN w:val="0"/>
              <w:adjustRightInd w:val="0"/>
              <w:spacing w:line="196" w:lineRule="exact"/>
              <w:ind w:left="20"/>
              <w:rPr>
                <w:rFonts w:ascii="Arial" w:hAnsi="Arial" w:cs="Arial"/>
                <w:color w:val="000000"/>
                <w:sz w:val="20"/>
                <w:szCs w:val="20"/>
                <w:lang w:val="es-ES"/>
              </w:rPr>
            </w:pPr>
            <w:r w:rsidRPr="00826D62">
              <w:rPr>
                <w:rFonts w:ascii="Arial" w:hAnsi="Arial" w:cs="Arial"/>
                <w:color w:val="000000"/>
                <w:sz w:val="20"/>
                <w:szCs w:val="20"/>
                <w:lang w:val="es-ES"/>
              </w:rPr>
              <w:t>1995 - 1996</w:t>
            </w:r>
          </w:p>
        </w:tc>
        <w:tc>
          <w:tcPr>
            <w:tcW w:w="1710" w:type="dxa"/>
            <w:vAlign w:val="bottom"/>
          </w:tcPr>
          <w:p w:rsidR="00884162" w:rsidRPr="00826D62" w:rsidRDefault="00884162" w:rsidP="00884162">
            <w:pPr>
              <w:widowControl w:val="0"/>
              <w:autoSpaceDE w:val="0"/>
              <w:autoSpaceDN w:val="0"/>
              <w:adjustRightInd w:val="0"/>
              <w:spacing w:line="196" w:lineRule="exact"/>
              <w:ind w:left="20"/>
              <w:jc w:val="right"/>
              <w:rPr>
                <w:rFonts w:ascii="Arial" w:hAnsi="Arial" w:cs="Arial"/>
                <w:color w:val="000000"/>
                <w:sz w:val="20"/>
                <w:szCs w:val="20"/>
                <w:lang w:val="es-ES"/>
              </w:rPr>
            </w:pPr>
            <w:r w:rsidRPr="00826D62">
              <w:rPr>
                <w:rFonts w:ascii="Arial" w:hAnsi="Arial" w:cs="Arial"/>
                <w:color w:val="000000"/>
                <w:sz w:val="20"/>
                <w:szCs w:val="20"/>
                <w:lang w:val="es-ES"/>
              </w:rPr>
              <w:t>4.300.000</w:t>
            </w:r>
          </w:p>
        </w:tc>
      </w:tr>
      <w:tr w:rsidR="00884162" w:rsidRPr="00826D62" w:rsidTr="00826D62">
        <w:trPr>
          <w:trHeight w:val="197"/>
        </w:trPr>
        <w:tc>
          <w:tcPr>
            <w:tcW w:w="4860" w:type="dxa"/>
            <w:vAlign w:val="bottom"/>
          </w:tcPr>
          <w:p w:rsidR="00884162" w:rsidRPr="00826D62" w:rsidRDefault="00884162" w:rsidP="00B45E34">
            <w:pPr>
              <w:pStyle w:val="ListParagraph"/>
              <w:widowControl w:val="0"/>
              <w:numPr>
                <w:ilvl w:val="0"/>
                <w:numId w:val="2"/>
              </w:numPr>
              <w:autoSpaceDE w:val="0"/>
              <w:autoSpaceDN w:val="0"/>
              <w:adjustRightInd w:val="0"/>
              <w:spacing w:line="196" w:lineRule="exact"/>
              <w:ind w:left="162" w:hanging="270"/>
              <w:rPr>
                <w:rFonts w:ascii="Arial" w:hAnsi="Arial" w:cs="Arial"/>
                <w:color w:val="000000"/>
                <w:sz w:val="20"/>
                <w:szCs w:val="20"/>
                <w:lang w:val="es-ES"/>
              </w:rPr>
            </w:pPr>
            <w:r w:rsidRPr="00826D62">
              <w:rPr>
                <w:rFonts w:ascii="Arial" w:hAnsi="Arial" w:cs="Arial"/>
                <w:color w:val="000000"/>
                <w:sz w:val="20"/>
                <w:szCs w:val="20"/>
                <w:lang w:val="es-ES"/>
              </w:rPr>
              <w:t>Cooperación</w:t>
            </w:r>
            <w:r w:rsidR="00FC056A">
              <w:rPr>
                <w:rFonts w:ascii="Arial" w:hAnsi="Arial" w:cs="Arial"/>
                <w:color w:val="000000"/>
                <w:sz w:val="20"/>
                <w:szCs w:val="20"/>
                <w:lang w:val="es-ES"/>
              </w:rPr>
              <w:t xml:space="preserve"> </w:t>
            </w:r>
            <w:r w:rsidRPr="00826D62">
              <w:rPr>
                <w:rFonts w:ascii="Arial" w:hAnsi="Arial" w:cs="Arial"/>
                <w:color w:val="000000"/>
                <w:sz w:val="20"/>
                <w:szCs w:val="20"/>
                <w:lang w:val="es-ES"/>
              </w:rPr>
              <w:t>Técnica</w:t>
            </w:r>
            <w:r w:rsidR="00FC056A">
              <w:rPr>
                <w:rFonts w:ascii="Arial" w:hAnsi="Arial" w:cs="Arial"/>
                <w:color w:val="000000"/>
                <w:sz w:val="20"/>
                <w:szCs w:val="20"/>
                <w:lang w:val="es-ES"/>
              </w:rPr>
              <w:t xml:space="preserve"> </w:t>
            </w:r>
            <w:r w:rsidRPr="00826D62">
              <w:rPr>
                <w:rFonts w:ascii="Arial" w:hAnsi="Arial" w:cs="Arial"/>
                <w:color w:val="000000"/>
                <w:sz w:val="20"/>
                <w:szCs w:val="20"/>
                <w:lang w:val="es-ES"/>
              </w:rPr>
              <w:t>Reembolsable 1062/OC-EC.</w:t>
            </w:r>
          </w:p>
        </w:tc>
        <w:tc>
          <w:tcPr>
            <w:tcW w:w="1350" w:type="dxa"/>
          </w:tcPr>
          <w:p w:rsidR="00884162" w:rsidRPr="00826D62" w:rsidRDefault="00884162" w:rsidP="00884162">
            <w:pPr>
              <w:widowControl w:val="0"/>
              <w:autoSpaceDE w:val="0"/>
              <w:autoSpaceDN w:val="0"/>
              <w:adjustRightInd w:val="0"/>
              <w:spacing w:line="196" w:lineRule="exact"/>
              <w:ind w:left="20"/>
              <w:rPr>
                <w:rFonts w:ascii="Arial" w:hAnsi="Arial" w:cs="Arial"/>
                <w:color w:val="000000"/>
                <w:sz w:val="20"/>
                <w:szCs w:val="20"/>
                <w:lang w:val="es-ES"/>
              </w:rPr>
            </w:pPr>
            <w:r w:rsidRPr="00826D62">
              <w:rPr>
                <w:rFonts w:ascii="Arial" w:hAnsi="Arial" w:cs="Arial"/>
                <w:color w:val="000000"/>
                <w:sz w:val="20"/>
                <w:szCs w:val="20"/>
                <w:lang w:val="es-ES"/>
              </w:rPr>
              <w:t>1998 - 2004</w:t>
            </w:r>
          </w:p>
        </w:tc>
        <w:tc>
          <w:tcPr>
            <w:tcW w:w="1710" w:type="dxa"/>
            <w:vAlign w:val="bottom"/>
          </w:tcPr>
          <w:p w:rsidR="00884162" w:rsidRPr="00826D62" w:rsidRDefault="00884162" w:rsidP="00884162">
            <w:pPr>
              <w:widowControl w:val="0"/>
              <w:autoSpaceDE w:val="0"/>
              <w:autoSpaceDN w:val="0"/>
              <w:adjustRightInd w:val="0"/>
              <w:spacing w:line="196" w:lineRule="exact"/>
              <w:ind w:left="20"/>
              <w:jc w:val="right"/>
              <w:rPr>
                <w:rFonts w:ascii="Arial" w:hAnsi="Arial" w:cs="Arial"/>
                <w:color w:val="000000"/>
                <w:sz w:val="20"/>
                <w:szCs w:val="20"/>
                <w:lang w:val="es-ES"/>
              </w:rPr>
            </w:pPr>
            <w:r w:rsidRPr="00826D62">
              <w:rPr>
                <w:rFonts w:ascii="Arial" w:hAnsi="Arial" w:cs="Arial"/>
                <w:color w:val="000000"/>
                <w:sz w:val="20"/>
                <w:szCs w:val="20"/>
                <w:lang w:val="es-ES"/>
              </w:rPr>
              <w:t>23.090.000</w:t>
            </w:r>
          </w:p>
        </w:tc>
      </w:tr>
      <w:tr w:rsidR="00884162" w:rsidRPr="00826D62" w:rsidTr="00826D62">
        <w:trPr>
          <w:trHeight w:val="197"/>
        </w:trPr>
        <w:tc>
          <w:tcPr>
            <w:tcW w:w="4860" w:type="dxa"/>
            <w:shd w:val="clear" w:color="auto" w:fill="A6A6A6" w:themeFill="background1" w:themeFillShade="A6"/>
            <w:vAlign w:val="bottom"/>
          </w:tcPr>
          <w:p w:rsidR="00884162" w:rsidRPr="00826D62" w:rsidRDefault="00884162" w:rsidP="00884162">
            <w:pPr>
              <w:widowControl w:val="0"/>
              <w:autoSpaceDE w:val="0"/>
              <w:autoSpaceDN w:val="0"/>
              <w:adjustRightInd w:val="0"/>
              <w:spacing w:line="196" w:lineRule="exact"/>
              <w:ind w:left="20"/>
              <w:rPr>
                <w:rFonts w:ascii="Arial" w:hAnsi="Arial" w:cs="Arial"/>
                <w:b/>
                <w:color w:val="000000"/>
                <w:sz w:val="20"/>
                <w:szCs w:val="20"/>
                <w:lang w:val="es-ES"/>
              </w:rPr>
            </w:pPr>
            <w:r w:rsidRPr="00826D62">
              <w:rPr>
                <w:rFonts w:ascii="Arial" w:hAnsi="Arial" w:cs="Arial"/>
                <w:b/>
                <w:color w:val="000000"/>
                <w:sz w:val="20"/>
                <w:szCs w:val="20"/>
                <w:lang w:val="es-ES"/>
              </w:rPr>
              <w:t>Total</w:t>
            </w:r>
          </w:p>
        </w:tc>
        <w:tc>
          <w:tcPr>
            <w:tcW w:w="1350" w:type="dxa"/>
            <w:shd w:val="clear" w:color="auto" w:fill="A6A6A6" w:themeFill="background1" w:themeFillShade="A6"/>
          </w:tcPr>
          <w:p w:rsidR="00884162" w:rsidRPr="00826D62" w:rsidRDefault="00884162" w:rsidP="00884162">
            <w:pPr>
              <w:widowControl w:val="0"/>
              <w:autoSpaceDE w:val="0"/>
              <w:autoSpaceDN w:val="0"/>
              <w:adjustRightInd w:val="0"/>
              <w:spacing w:line="196" w:lineRule="exact"/>
              <w:ind w:left="20"/>
              <w:rPr>
                <w:rFonts w:ascii="Arial" w:hAnsi="Arial" w:cs="Arial"/>
                <w:b/>
                <w:color w:val="000000"/>
                <w:sz w:val="20"/>
                <w:szCs w:val="20"/>
                <w:lang w:val="es-ES"/>
              </w:rPr>
            </w:pPr>
          </w:p>
        </w:tc>
        <w:tc>
          <w:tcPr>
            <w:tcW w:w="1710" w:type="dxa"/>
            <w:shd w:val="clear" w:color="auto" w:fill="A6A6A6" w:themeFill="background1" w:themeFillShade="A6"/>
            <w:vAlign w:val="bottom"/>
          </w:tcPr>
          <w:p w:rsidR="00884162" w:rsidRPr="00826D62" w:rsidRDefault="00884162" w:rsidP="00884162">
            <w:pPr>
              <w:widowControl w:val="0"/>
              <w:autoSpaceDE w:val="0"/>
              <w:autoSpaceDN w:val="0"/>
              <w:adjustRightInd w:val="0"/>
              <w:spacing w:line="196" w:lineRule="exact"/>
              <w:ind w:left="20"/>
              <w:jc w:val="right"/>
              <w:rPr>
                <w:rFonts w:ascii="Arial" w:hAnsi="Arial" w:cs="Arial"/>
                <w:b/>
                <w:color w:val="000000"/>
                <w:sz w:val="20"/>
                <w:szCs w:val="20"/>
                <w:lang w:val="es-ES"/>
              </w:rPr>
            </w:pPr>
            <w:r w:rsidRPr="00826D62">
              <w:rPr>
                <w:rFonts w:ascii="Arial" w:hAnsi="Arial" w:cs="Arial"/>
                <w:b/>
                <w:color w:val="000000"/>
                <w:sz w:val="20"/>
                <w:szCs w:val="20"/>
                <w:lang w:val="es-ES"/>
              </w:rPr>
              <w:t>30.135.000</w:t>
            </w:r>
          </w:p>
        </w:tc>
      </w:tr>
    </w:tbl>
    <w:p w:rsidR="00D95258" w:rsidRPr="00826D62" w:rsidRDefault="00B45E34" w:rsidP="00826D62">
      <w:pPr>
        <w:pStyle w:val="Paragraph"/>
        <w:tabs>
          <w:tab w:val="clear" w:pos="1296"/>
        </w:tabs>
        <w:spacing w:before="240"/>
        <w:ind w:left="720" w:hanging="720"/>
        <w:rPr>
          <w:rFonts w:ascii="Arial" w:hAnsi="Arial" w:cs="Arial"/>
          <w:b/>
          <w:sz w:val="22"/>
          <w:szCs w:val="22"/>
        </w:rPr>
      </w:pPr>
      <w:r w:rsidRPr="00826D62">
        <w:rPr>
          <w:rFonts w:ascii="Arial" w:hAnsi="Arial" w:cs="Arial"/>
          <w:b/>
          <w:sz w:val="22"/>
          <w:szCs w:val="22"/>
        </w:rPr>
        <w:t xml:space="preserve">Los principales productos implementados por estas </w:t>
      </w:r>
      <w:r w:rsidR="006A0FF1" w:rsidRPr="00826D62">
        <w:rPr>
          <w:rFonts w:ascii="Arial" w:hAnsi="Arial" w:cs="Arial"/>
          <w:b/>
          <w:sz w:val="22"/>
          <w:szCs w:val="22"/>
        </w:rPr>
        <w:t xml:space="preserve">3 </w:t>
      </w:r>
      <w:r w:rsidRPr="00826D62">
        <w:rPr>
          <w:rFonts w:ascii="Arial" w:hAnsi="Arial" w:cs="Arial"/>
          <w:b/>
          <w:sz w:val="22"/>
          <w:szCs w:val="22"/>
        </w:rPr>
        <w:t xml:space="preserve">operaciones </w:t>
      </w:r>
      <w:r w:rsidR="005B224F" w:rsidRPr="00826D62">
        <w:rPr>
          <w:rFonts w:ascii="Arial" w:hAnsi="Arial" w:cs="Arial"/>
          <w:b/>
          <w:sz w:val="22"/>
          <w:szCs w:val="22"/>
        </w:rPr>
        <w:t>en Ecuador en el periodo 199</w:t>
      </w:r>
      <w:r w:rsidR="003440AE" w:rsidRPr="00826D62">
        <w:rPr>
          <w:rFonts w:ascii="Arial" w:hAnsi="Arial" w:cs="Arial"/>
          <w:b/>
          <w:sz w:val="22"/>
          <w:szCs w:val="22"/>
        </w:rPr>
        <w:t>0</w:t>
      </w:r>
      <w:r w:rsidR="00B03F20" w:rsidRPr="00826D62">
        <w:rPr>
          <w:rFonts w:ascii="Arial" w:hAnsi="Arial" w:cs="Arial"/>
          <w:b/>
          <w:sz w:val="22"/>
          <w:szCs w:val="22"/>
        </w:rPr>
        <w:t xml:space="preserve">-2004 </w:t>
      </w:r>
      <w:r w:rsidRPr="00826D62">
        <w:rPr>
          <w:rFonts w:ascii="Arial" w:hAnsi="Arial" w:cs="Arial"/>
          <w:b/>
          <w:sz w:val="22"/>
          <w:szCs w:val="22"/>
        </w:rPr>
        <w:t>fueron</w:t>
      </w:r>
      <w:r w:rsidR="00FA3270" w:rsidRPr="00826D62">
        <w:rPr>
          <w:rFonts w:ascii="Arial" w:hAnsi="Arial" w:cs="Arial"/>
          <w:b/>
          <w:sz w:val="22"/>
          <w:szCs w:val="22"/>
        </w:rPr>
        <w:t>:</w:t>
      </w:r>
    </w:p>
    <w:p w:rsidR="00D95258" w:rsidRPr="00826D62" w:rsidRDefault="00065192" w:rsidP="00826D62">
      <w:pPr>
        <w:pStyle w:val="ListParagraph"/>
        <w:numPr>
          <w:ilvl w:val="0"/>
          <w:numId w:val="1"/>
        </w:numPr>
        <w:spacing w:before="120" w:after="120" w:line="240" w:lineRule="auto"/>
        <w:ind w:left="1440"/>
        <w:jc w:val="both"/>
        <w:rPr>
          <w:rFonts w:ascii="Arial" w:hAnsi="Arial" w:cs="Arial"/>
          <w:color w:val="000000"/>
          <w:lang w:val="es-ES"/>
        </w:rPr>
      </w:pPr>
      <w:r w:rsidRPr="00826D62">
        <w:rPr>
          <w:rFonts w:ascii="Arial" w:hAnsi="Arial" w:cs="Arial"/>
          <w:color w:val="000000"/>
          <w:lang w:val="es-ES"/>
        </w:rPr>
        <w:t>Convenio</w:t>
      </w:r>
      <w:r w:rsidR="00FC056A" w:rsidRPr="00826D62">
        <w:rPr>
          <w:rFonts w:ascii="Arial" w:hAnsi="Arial" w:cs="Arial"/>
          <w:color w:val="000000"/>
          <w:lang w:val="es-ES"/>
        </w:rPr>
        <w:t xml:space="preserve"> </w:t>
      </w:r>
      <w:r w:rsidRPr="00826D62">
        <w:rPr>
          <w:rFonts w:ascii="Arial" w:hAnsi="Arial" w:cs="Arial"/>
          <w:color w:val="000000"/>
          <w:lang w:val="es-ES"/>
        </w:rPr>
        <w:t>de</w:t>
      </w:r>
      <w:r w:rsidR="00FC056A" w:rsidRPr="00826D62">
        <w:rPr>
          <w:rFonts w:ascii="Arial" w:hAnsi="Arial" w:cs="Arial"/>
          <w:color w:val="000000"/>
          <w:lang w:val="es-ES"/>
        </w:rPr>
        <w:t xml:space="preserve"> </w:t>
      </w:r>
      <w:r w:rsidRPr="00826D62">
        <w:rPr>
          <w:rFonts w:ascii="Arial" w:hAnsi="Arial" w:cs="Arial"/>
          <w:color w:val="000000"/>
          <w:lang w:val="es-ES"/>
        </w:rPr>
        <w:t>Cooperación</w:t>
      </w:r>
      <w:r w:rsidR="00FC056A" w:rsidRPr="00826D62">
        <w:rPr>
          <w:rFonts w:ascii="Arial" w:hAnsi="Arial" w:cs="Arial"/>
          <w:color w:val="000000"/>
          <w:lang w:val="es-ES"/>
        </w:rPr>
        <w:t xml:space="preserve"> </w:t>
      </w:r>
      <w:r w:rsidRPr="00826D62">
        <w:rPr>
          <w:rFonts w:ascii="Arial" w:hAnsi="Arial" w:cs="Arial"/>
          <w:color w:val="000000"/>
          <w:lang w:val="es-ES"/>
        </w:rPr>
        <w:t xml:space="preserve">Técnica Reembolsable (TC8902034, ATN/SF-3361-EC): </w:t>
      </w:r>
      <w:r w:rsidR="00B45E34" w:rsidRPr="00826D62">
        <w:rPr>
          <w:rFonts w:ascii="Arial" w:hAnsi="Arial" w:cs="Arial"/>
          <w:color w:val="000000"/>
          <w:lang w:val="es-ES"/>
        </w:rPr>
        <w:t>D</w:t>
      </w:r>
      <w:r w:rsidR="00D95258" w:rsidRPr="00826D62">
        <w:rPr>
          <w:rFonts w:ascii="Arial" w:hAnsi="Arial" w:cs="Arial"/>
          <w:color w:val="000000"/>
          <w:lang w:val="es-ES"/>
        </w:rPr>
        <w:t>esarrollo de la normativa para operacionalizar</w:t>
      </w:r>
      <w:r w:rsidR="00B45E34" w:rsidRPr="00826D62">
        <w:rPr>
          <w:rFonts w:ascii="Arial" w:hAnsi="Arial" w:cs="Arial"/>
          <w:color w:val="000000"/>
          <w:lang w:val="es-ES"/>
        </w:rPr>
        <w:t xml:space="preserve"> la reforma;</w:t>
      </w:r>
      <w:r w:rsidR="00D95258" w:rsidRPr="00826D62">
        <w:rPr>
          <w:rFonts w:ascii="Arial" w:hAnsi="Arial" w:cs="Arial"/>
          <w:color w:val="000000"/>
          <w:lang w:val="es-ES"/>
        </w:rPr>
        <w:t xml:space="preserve"> la conceptualización del siste</w:t>
      </w:r>
      <w:r w:rsidR="00B45E34" w:rsidRPr="00826D62">
        <w:rPr>
          <w:rFonts w:ascii="Arial" w:hAnsi="Arial" w:cs="Arial"/>
          <w:color w:val="000000"/>
          <w:lang w:val="es-ES"/>
        </w:rPr>
        <w:t>ma de administración tributaria;</w:t>
      </w:r>
      <w:r w:rsidR="00D95258" w:rsidRPr="00826D62">
        <w:rPr>
          <w:rFonts w:ascii="Arial" w:hAnsi="Arial" w:cs="Arial"/>
          <w:color w:val="000000"/>
          <w:lang w:val="es-ES"/>
        </w:rPr>
        <w:t xml:space="preserve"> el diseño de un sistema computarizado de información tributaria y la implantació</w:t>
      </w:r>
      <w:r w:rsidR="00B45E34" w:rsidRPr="00826D62">
        <w:rPr>
          <w:rFonts w:ascii="Arial" w:hAnsi="Arial" w:cs="Arial"/>
          <w:color w:val="000000"/>
          <w:lang w:val="es-ES"/>
        </w:rPr>
        <w:t>n de algunos de sus subsistemas;</w:t>
      </w:r>
      <w:r w:rsidR="00D95258" w:rsidRPr="00826D62">
        <w:rPr>
          <w:rFonts w:ascii="Arial" w:hAnsi="Arial" w:cs="Arial"/>
          <w:color w:val="000000"/>
          <w:lang w:val="es-ES"/>
        </w:rPr>
        <w:t xml:space="preserve"> la recaudación por red bancaria</w:t>
      </w:r>
      <w:r w:rsidR="00B45E34" w:rsidRPr="00826D62">
        <w:rPr>
          <w:rFonts w:ascii="Arial" w:hAnsi="Arial" w:cs="Arial"/>
          <w:color w:val="000000"/>
          <w:lang w:val="es-ES"/>
        </w:rPr>
        <w:t>;</w:t>
      </w:r>
      <w:r w:rsidR="00D95258" w:rsidRPr="00826D62">
        <w:rPr>
          <w:rFonts w:ascii="Arial" w:hAnsi="Arial" w:cs="Arial"/>
          <w:color w:val="000000"/>
          <w:lang w:val="es-ES"/>
        </w:rPr>
        <w:t xml:space="preserve"> y la cap</w:t>
      </w:r>
      <w:r w:rsidR="00200515" w:rsidRPr="00826D62">
        <w:rPr>
          <w:rFonts w:ascii="Arial" w:hAnsi="Arial" w:cs="Arial"/>
          <w:color w:val="000000"/>
          <w:lang w:val="es-ES"/>
        </w:rPr>
        <w:t>acitación del personal de la Dirección General de Recaudación (DGR)</w:t>
      </w:r>
      <w:r w:rsidR="00D95258" w:rsidRPr="00826D62">
        <w:rPr>
          <w:rFonts w:ascii="Arial" w:hAnsi="Arial" w:cs="Arial"/>
          <w:color w:val="000000"/>
          <w:lang w:val="es-ES"/>
        </w:rPr>
        <w:t>.</w:t>
      </w:r>
    </w:p>
    <w:p w:rsidR="00FA3270" w:rsidRPr="00826D62" w:rsidRDefault="00065192" w:rsidP="00826D62">
      <w:pPr>
        <w:pStyle w:val="ListParagraph"/>
        <w:numPr>
          <w:ilvl w:val="0"/>
          <w:numId w:val="1"/>
        </w:numPr>
        <w:spacing w:before="120" w:after="120" w:line="240" w:lineRule="auto"/>
        <w:ind w:left="1440"/>
        <w:contextualSpacing w:val="0"/>
        <w:jc w:val="both"/>
        <w:rPr>
          <w:rFonts w:ascii="Arial" w:hAnsi="Arial" w:cs="Arial"/>
          <w:color w:val="000000"/>
          <w:lang w:val="es-ES"/>
        </w:rPr>
      </w:pPr>
      <w:r w:rsidRPr="00826D62">
        <w:rPr>
          <w:rFonts w:ascii="Arial" w:hAnsi="Arial" w:cs="Arial"/>
          <w:color w:val="000000"/>
          <w:lang w:val="es-ES"/>
        </w:rPr>
        <w:t xml:space="preserve">Convenio de Préstamo N° 904/SF-EC: </w:t>
      </w:r>
      <w:r w:rsidR="00B45E34" w:rsidRPr="00826D62">
        <w:rPr>
          <w:rFonts w:ascii="Arial" w:hAnsi="Arial" w:cs="Arial"/>
          <w:color w:val="000000"/>
          <w:lang w:val="es-ES"/>
        </w:rPr>
        <w:t>L</w:t>
      </w:r>
      <w:r w:rsidR="00200515" w:rsidRPr="00826D62">
        <w:rPr>
          <w:rFonts w:ascii="Arial" w:hAnsi="Arial" w:cs="Arial"/>
          <w:color w:val="000000"/>
          <w:lang w:val="es-ES"/>
        </w:rPr>
        <w:t>a desconcentración del manejo de los recursos humanos, financieros y</w:t>
      </w:r>
      <w:r w:rsidR="00B45E34" w:rsidRPr="00826D62">
        <w:rPr>
          <w:rFonts w:ascii="Arial" w:hAnsi="Arial" w:cs="Arial"/>
          <w:color w:val="000000"/>
          <w:lang w:val="es-ES"/>
        </w:rPr>
        <w:t xml:space="preserve"> de control de bienes de la DGR;</w:t>
      </w:r>
      <w:r w:rsidR="00200515" w:rsidRPr="00826D62">
        <w:rPr>
          <w:rFonts w:ascii="Arial" w:hAnsi="Arial" w:cs="Arial"/>
          <w:color w:val="000000"/>
          <w:lang w:val="es-ES"/>
        </w:rPr>
        <w:t xml:space="preserve"> el diseño y desarrollo de sistemas para la elaboración, ejecución y evaluación</w:t>
      </w:r>
      <w:r w:rsidR="00B45E34" w:rsidRPr="00826D62">
        <w:rPr>
          <w:rFonts w:ascii="Arial" w:hAnsi="Arial" w:cs="Arial"/>
          <w:color w:val="000000"/>
          <w:lang w:val="es-ES"/>
        </w:rPr>
        <w:t xml:space="preserve"> de los planes de fiscalización;</w:t>
      </w:r>
      <w:r w:rsidR="00200515" w:rsidRPr="00826D62">
        <w:rPr>
          <w:rFonts w:ascii="Arial" w:hAnsi="Arial" w:cs="Arial"/>
          <w:color w:val="000000"/>
          <w:lang w:val="es-ES"/>
        </w:rPr>
        <w:t xml:space="preserve"> la consolidación del proceso de recaudación po</w:t>
      </w:r>
      <w:r w:rsidR="00B45E34" w:rsidRPr="00826D62">
        <w:rPr>
          <w:rFonts w:ascii="Arial" w:hAnsi="Arial" w:cs="Arial"/>
          <w:color w:val="000000"/>
          <w:lang w:val="es-ES"/>
        </w:rPr>
        <w:t>r intermedio de la red bancaria;</w:t>
      </w:r>
      <w:r w:rsidR="00200515" w:rsidRPr="00826D62">
        <w:rPr>
          <w:rFonts w:ascii="Arial" w:hAnsi="Arial" w:cs="Arial"/>
          <w:color w:val="000000"/>
          <w:lang w:val="es-ES"/>
        </w:rPr>
        <w:t xml:space="preserve"> la organización, equipamiento y puesta en marcha de una unidad de cómputo independi</w:t>
      </w:r>
      <w:r w:rsidR="00B45E34" w:rsidRPr="00826D62">
        <w:rPr>
          <w:rFonts w:ascii="Arial" w:hAnsi="Arial" w:cs="Arial"/>
          <w:color w:val="000000"/>
          <w:lang w:val="es-ES"/>
        </w:rPr>
        <w:t>ente del Ministerio de Finanzas;</w:t>
      </w:r>
      <w:r w:rsidR="00200515" w:rsidRPr="00826D62">
        <w:rPr>
          <w:rFonts w:ascii="Arial" w:hAnsi="Arial" w:cs="Arial"/>
          <w:color w:val="000000"/>
          <w:lang w:val="es-ES"/>
        </w:rPr>
        <w:t xml:space="preserve"> y la implantación de la estrategia de Contribuyentes Especiales.</w:t>
      </w:r>
    </w:p>
    <w:p w:rsidR="00200515" w:rsidRPr="00826D62" w:rsidRDefault="00444BFC" w:rsidP="00826D62">
      <w:pPr>
        <w:pStyle w:val="ListParagraph"/>
        <w:numPr>
          <w:ilvl w:val="0"/>
          <w:numId w:val="1"/>
        </w:numPr>
        <w:spacing w:before="120" w:after="120" w:line="240" w:lineRule="auto"/>
        <w:ind w:left="1440"/>
        <w:contextualSpacing w:val="0"/>
        <w:jc w:val="both"/>
        <w:rPr>
          <w:rFonts w:ascii="Arial" w:hAnsi="Arial" w:cs="Arial"/>
          <w:color w:val="000000"/>
          <w:lang w:val="es-ES"/>
        </w:rPr>
      </w:pPr>
      <w:r w:rsidRPr="00826D62">
        <w:rPr>
          <w:rFonts w:ascii="Arial" w:hAnsi="Arial" w:cs="Arial"/>
          <w:color w:val="000000"/>
          <w:lang w:val="es-ES"/>
        </w:rPr>
        <w:t>Cooperación</w:t>
      </w:r>
      <w:r w:rsidR="00FC056A" w:rsidRPr="00826D62">
        <w:rPr>
          <w:rFonts w:ascii="Arial" w:hAnsi="Arial" w:cs="Arial"/>
          <w:color w:val="000000"/>
          <w:lang w:val="es-ES"/>
        </w:rPr>
        <w:t xml:space="preserve"> </w:t>
      </w:r>
      <w:r w:rsidRPr="00826D62">
        <w:rPr>
          <w:rFonts w:ascii="Arial" w:hAnsi="Arial" w:cs="Arial"/>
          <w:color w:val="000000"/>
          <w:lang w:val="es-ES"/>
        </w:rPr>
        <w:t>Técnica</w:t>
      </w:r>
      <w:r w:rsidR="00FC056A" w:rsidRPr="00826D62">
        <w:rPr>
          <w:rFonts w:ascii="Arial" w:hAnsi="Arial" w:cs="Arial"/>
          <w:color w:val="000000"/>
          <w:lang w:val="es-ES"/>
        </w:rPr>
        <w:t xml:space="preserve"> </w:t>
      </w:r>
      <w:r w:rsidRPr="00826D62">
        <w:rPr>
          <w:rFonts w:ascii="Arial" w:hAnsi="Arial" w:cs="Arial"/>
          <w:color w:val="000000"/>
          <w:lang w:val="es-ES"/>
        </w:rPr>
        <w:t xml:space="preserve">Reembolsable 1062/OC-EC: </w:t>
      </w:r>
      <w:r w:rsidR="00EC45B4" w:rsidRPr="00826D62">
        <w:rPr>
          <w:rFonts w:ascii="Arial" w:hAnsi="Arial" w:cs="Arial"/>
          <w:color w:val="000000"/>
          <w:lang w:val="es-ES"/>
        </w:rPr>
        <w:t>La n</w:t>
      </w:r>
      <w:r w:rsidR="00B45E34" w:rsidRPr="00826D62">
        <w:rPr>
          <w:rFonts w:ascii="Arial" w:hAnsi="Arial" w:cs="Arial"/>
          <w:color w:val="000000"/>
          <w:lang w:val="es-ES"/>
        </w:rPr>
        <w:t xml:space="preserve">ueva estructura organizacional del Servicio de </w:t>
      </w:r>
      <w:r w:rsidR="003440AE" w:rsidRPr="00826D62">
        <w:rPr>
          <w:rFonts w:ascii="Arial" w:hAnsi="Arial" w:cs="Arial"/>
          <w:color w:val="000000"/>
          <w:lang w:val="es-ES"/>
        </w:rPr>
        <w:t>R</w:t>
      </w:r>
      <w:r w:rsidR="00B45E34" w:rsidRPr="00826D62">
        <w:rPr>
          <w:rFonts w:ascii="Arial" w:hAnsi="Arial" w:cs="Arial"/>
          <w:color w:val="000000"/>
          <w:lang w:val="es-ES"/>
        </w:rPr>
        <w:t>entas Internas</w:t>
      </w:r>
      <w:r w:rsidR="00EC45B4" w:rsidRPr="00826D62">
        <w:rPr>
          <w:rFonts w:ascii="Arial" w:hAnsi="Arial" w:cs="Arial"/>
          <w:color w:val="000000"/>
          <w:lang w:val="es-ES"/>
        </w:rPr>
        <w:t xml:space="preserve"> </w:t>
      </w:r>
      <w:r w:rsidR="00B45E34" w:rsidRPr="00826D62">
        <w:rPr>
          <w:rFonts w:ascii="Arial" w:hAnsi="Arial" w:cs="Arial"/>
          <w:color w:val="000000"/>
          <w:lang w:val="es-ES"/>
        </w:rPr>
        <w:t xml:space="preserve">(SRI); la </w:t>
      </w:r>
      <w:r w:rsidR="007A32D8" w:rsidRPr="00826D62">
        <w:rPr>
          <w:rFonts w:ascii="Arial" w:hAnsi="Arial" w:cs="Arial"/>
          <w:color w:val="000000"/>
          <w:lang w:val="es-ES"/>
        </w:rPr>
        <w:t>implantación</w:t>
      </w:r>
      <w:r w:rsidR="00B45E34" w:rsidRPr="00826D62">
        <w:rPr>
          <w:rFonts w:ascii="Arial" w:hAnsi="Arial" w:cs="Arial"/>
          <w:color w:val="000000"/>
          <w:lang w:val="es-ES"/>
        </w:rPr>
        <w:t xml:space="preserve"> de </w:t>
      </w:r>
      <w:r w:rsidR="007A32D8" w:rsidRPr="00826D62">
        <w:rPr>
          <w:rFonts w:ascii="Arial" w:hAnsi="Arial" w:cs="Arial"/>
          <w:color w:val="000000"/>
          <w:lang w:val="es-ES"/>
        </w:rPr>
        <w:t>una nueva política de recursos humanos</w:t>
      </w:r>
      <w:r w:rsidR="00B45E34" w:rsidRPr="00826D62">
        <w:rPr>
          <w:rFonts w:ascii="Arial" w:hAnsi="Arial" w:cs="Arial"/>
          <w:color w:val="000000"/>
          <w:lang w:val="es-ES"/>
        </w:rPr>
        <w:t xml:space="preserve">; </w:t>
      </w:r>
      <w:r w:rsidR="007A32D8" w:rsidRPr="00826D62">
        <w:rPr>
          <w:rFonts w:ascii="Arial" w:hAnsi="Arial" w:cs="Arial"/>
          <w:color w:val="000000"/>
          <w:lang w:val="es-ES"/>
        </w:rPr>
        <w:t>la i</w:t>
      </w:r>
      <w:r w:rsidR="00B45E34" w:rsidRPr="00826D62">
        <w:rPr>
          <w:rFonts w:ascii="Arial" w:hAnsi="Arial" w:cs="Arial"/>
          <w:color w:val="000000"/>
          <w:lang w:val="es-ES"/>
        </w:rPr>
        <w:t>nstitucionalización de un proceso de selecc</w:t>
      </w:r>
      <w:r w:rsidR="007A32D8" w:rsidRPr="00826D62">
        <w:rPr>
          <w:rFonts w:ascii="Arial" w:hAnsi="Arial" w:cs="Arial"/>
          <w:color w:val="000000"/>
          <w:lang w:val="es-ES"/>
        </w:rPr>
        <w:t>ión para el ingreso de personal con un r</w:t>
      </w:r>
      <w:r w:rsidR="00B45E34" w:rsidRPr="00826D62">
        <w:rPr>
          <w:rFonts w:ascii="Arial" w:hAnsi="Arial" w:cs="Arial"/>
          <w:color w:val="000000"/>
          <w:lang w:val="es-ES"/>
        </w:rPr>
        <w:t>ég</w:t>
      </w:r>
      <w:r w:rsidR="007A32D8" w:rsidRPr="00826D62">
        <w:rPr>
          <w:rFonts w:ascii="Arial" w:hAnsi="Arial" w:cs="Arial"/>
          <w:color w:val="000000"/>
          <w:lang w:val="es-ES"/>
        </w:rPr>
        <w:t>imen especial de remuneraciones; la r</w:t>
      </w:r>
      <w:r w:rsidR="00B45E34" w:rsidRPr="00826D62">
        <w:rPr>
          <w:rFonts w:ascii="Arial" w:hAnsi="Arial" w:cs="Arial"/>
          <w:color w:val="000000"/>
          <w:lang w:val="es-ES"/>
        </w:rPr>
        <w:t>edefinición e informatización de los procesos tributarios</w:t>
      </w:r>
      <w:r w:rsidR="007A32D8" w:rsidRPr="00826D62">
        <w:rPr>
          <w:rFonts w:ascii="Arial" w:hAnsi="Arial" w:cs="Arial"/>
          <w:color w:val="000000"/>
          <w:lang w:val="es-ES"/>
        </w:rPr>
        <w:t>; el p</w:t>
      </w:r>
      <w:r w:rsidR="00B45E34" w:rsidRPr="00826D62">
        <w:rPr>
          <w:rFonts w:ascii="Arial" w:hAnsi="Arial" w:cs="Arial"/>
          <w:color w:val="000000"/>
          <w:lang w:val="es-ES"/>
        </w:rPr>
        <w:t>erfeccionamiento y aplicación de los sistemas de informació</w:t>
      </w:r>
      <w:r w:rsidR="007A32D8" w:rsidRPr="00826D62">
        <w:rPr>
          <w:rFonts w:ascii="Arial" w:hAnsi="Arial" w:cs="Arial"/>
          <w:color w:val="000000"/>
          <w:lang w:val="es-ES"/>
        </w:rPr>
        <w:t>n con tecnología avanzada; la i</w:t>
      </w:r>
      <w:r w:rsidR="00B45E34" w:rsidRPr="00826D62">
        <w:rPr>
          <w:rFonts w:ascii="Arial" w:hAnsi="Arial" w:cs="Arial"/>
          <w:color w:val="000000"/>
          <w:lang w:val="es-ES"/>
        </w:rPr>
        <w:t>ntroducción de mejoras en la legislación para facilitar las actuaciones de la Administración e impulso a la expedición de</w:t>
      </w:r>
      <w:r w:rsidR="003440AE" w:rsidRPr="00826D62">
        <w:rPr>
          <w:rFonts w:ascii="Arial" w:hAnsi="Arial" w:cs="Arial"/>
          <w:color w:val="000000"/>
          <w:lang w:val="es-ES"/>
        </w:rPr>
        <w:t xml:space="preserve">l </w:t>
      </w:r>
      <w:r w:rsidR="00B45E34" w:rsidRPr="00826D62">
        <w:rPr>
          <w:rFonts w:ascii="Arial" w:hAnsi="Arial" w:cs="Arial"/>
          <w:color w:val="000000"/>
          <w:lang w:val="es-ES"/>
        </w:rPr>
        <w:t>proy</w:t>
      </w:r>
      <w:r w:rsidR="007A32D8" w:rsidRPr="00826D62">
        <w:rPr>
          <w:rFonts w:ascii="Arial" w:hAnsi="Arial" w:cs="Arial"/>
          <w:color w:val="000000"/>
          <w:lang w:val="es-ES"/>
        </w:rPr>
        <w:t>ecto de</w:t>
      </w:r>
      <w:r w:rsidR="00EC45B4" w:rsidRPr="00826D62">
        <w:rPr>
          <w:rFonts w:ascii="Arial" w:hAnsi="Arial" w:cs="Arial"/>
          <w:color w:val="000000"/>
          <w:lang w:val="es-ES"/>
        </w:rPr>
        <w:t>l</w:t>
      </w:r>
      <w:r w:rsidR="007A32D8" w:rsidRPr="00826D62">
        <w:rPr>
          <w:rFonts w:ascii="Arial" w:hAnsi="Arial" w:cs="Arial"/>
          <w:color w:val="000000"/>
          <w:lang w:val="es-ES"/>
        </w:rPr>
        <w:t xml:space="preserve"> nuevo Código Tributario; y el d</w:t>
      </w:r>
      <w:r w:rsidR="00B45E34" w:rsidRPr="00826D62">
        <w:rPr>
          <w:rFonts w:ascii="Arial" w:hAnsi="Arial" w:cs="Arial"/>
          <w:color w:val="000000"/>
          <w:lang w:val="es-ES"/>
        </w:rPr>
        <w:t>iseño de un régimen impositivo simplificado para pequeños contribuyentes (RISE).</w:t>
      </w:r>
    </w:p>
    <w:p w:rsidR="007A32D8" w:rsidRPr="00826D62" w:rsidRDefault="007A32D8" w:rsidP="00826D62">
      <w:pPr>
        <w:pStyle w:val="Paragraph"/>
        <w:tabs>
          <w:tab w:val="clear" w:pos="1296"/>
        </w:tabs>
        <w:ind w:left="720" w:hanging="720"/>
        <w:rPr>
          <w:rFonts w:ascii="Arial" w:hAnsi="Arial" w:cs="Arial"/>
          <w:b/>
          <w:sz w:val="22"/>
          <w:szCs w:val="22"/>
        </w:rPr>
      </w:pPr>
      <w:r w:rsidRPr="00826D62">
        <w:rPr>
          <w:rFonts w:ascii="Arial" w:hAnsi="Arial" w:cs="Arial"/>
          <w:b/>
          <w:sz w:val="22"/>
          <w:szCs w:val="22"/>
        </w:rPr>
        <w:lastRenderedPageBreak/>
        <w:t>Al Final de</w:t>
      </w:r>
      <w:r w:rsidR="00B03F20" w:rsidRPr="00826D62">
        <w:rPr>
          <w:rFonts w:ascii="Arial" w:hAnsi="Arial" w:cs="Arial"/>
          <w:b/>
          <w:sz w:val="22"/>
          <w:szCs w:val="22"/>
        </w:rPr>
        <w:t>l año</w:t>
      </w:r>
      <w:r w:rsidRPr="00826D62">
        <w:rPr>
          <w:rFonts w:ascii="Arial" w:hAnsi="Arial" w:cs="Arial"/>
          <w:b/>
          <w:sz w:val="22"/>
          <w:szCs w:val="22"/>
        </w:rPr>
        <w:t xml:space="preserve"> 2006 los principales resultados alcanzados </w:t>
      </w:r>
      <w:r w:rsidR="007150A6" w:rsidRPr="00826D62">
        <w:rPr>
          <w:rFonts w:ascii="Arial" w:hAnsi="Arial" w:cs="Arial"/>
          <w:b/>
          <w:sz w:val="22"/>
          <w:szCs w:val="22"/>
        </w:rPr>
        <w:t xml:space="preserve">por Ecuador </w:t>
      </w:r>
      <w:r w:rsidRPr="00826D62">
        <w:rPr>
          <w:rFonts w:ascii="Arial" w:hAnsi="Arial" w:cs="Arial"/>
          <w:b/>
          <w:sz w:val="22"/>
          <w:szCs w:val="22"/>
        </w:rPr>
        <w:t>fueron:</w:t>
      </w:r>
    </w:p>
    <w:p w:rsidR="007A32D8" w:rsidRPr="00826D62" w:rsidRDefault="007A32D8" w:rsidP="00826D62">
      <w:pPr>
        <w:pStyle w:val="subpar"/>
        <w:tabs>
          <w:tab w:val="clear" w:pos="1152"/>
        </w:tabs>
        <w:ind w:left="1440" w:hanging="360"/>
        <w:rPr>
          <w:rFonts w:ascii="Arial" w:hAnsi="Arial" w:cs="Arial"/>
          <w:sz w:val="22"/>
          <w:szCs w:val="22"/>
        </w:rPr>
      </w:pPr>
      <w:r w:rsidRPr="00826D62">
        <w:rPr>
          <w:rFonts w:ascii="Arial" w:hAnsi="Arial" w:cs="Arial"/>
          <w:sz w:val="22"/>
          <w:szCs w:val="22"/>
        </w:rPr>
        <w:t>Increment</w:t>
      </w:r>
      <w:r w:rsidR="00EC45B4" w:rsidRPr="00826D62">
        <w:rPr>
          <w:rFonts w:ascii="Arial" w:hAnsi="Arial" w:cs="Arial"/>
          <w:sz w:val="22"/>
          <w:szCs w:val="22"/>
        </w:rPr>
        <w:t xml:space="preserve">o de la presión tributaria de </w:t>
      </w:r>
      <w:r w:rsidR="00314D44" w:rsidRPr="00826D62">
        <w:rPr>
          <w:rFonts w:ascii="Arial" w:hAnsi="Arial" w:cs="Arial"/>
          <w:sz w:val="22"/>
          <w:szCs w:val="22"/>
        </w:rPr>
        <w:t>6,2</w:t>
      </w:r>
      <w:r w:rsidR="00EC45B4" w:rsidRPr="00826D62">
        <w:rPr>
          <w:rFonts w:ascii="Arial" w:hAnsi="Arial" w:cs="Arial"/>
          <w:sz w:val="22"/>
          <w:szCs w:val="22"/>
        </w:rPr>
        <w:t>% del PIB en 199</w:t>
      </w:r>
      <w:r w:rsidR="00314D44" w:rsidRPr="00826D62">
        <w:rPr>
          <w:rFonts w:ascii="Arial" w:hAnsi="Arial" w:cs="Arial"/>
          <w:sz w:val="22"/>
          <w:szCs w:val="22"/>
        </w:rPr>
        <w:t xml:space="preserve">8 </w:t>
      </w:r>
      <w:r w:rsidR="00EC45B4" w:rsidRPr="00826D62">
        <w:rPr>
          <w:rFonts w:ascii="Arial" w:hAnsi="Arial" w:cs="Arial"/>
          <w:sz w:val="22"/>
          <w:szCs w:val="22"/>
        </w:rPr>
        <w:t>a 10,</w:t>
      </w:r>
      <w:r w:rsidRPr="00826D62">
        <w:rPr>
          <w:rFonts w:ascii="Arial" w:hAnsi="Arial" w:cs="Arial"/>
          <w:sz w:val="22"/>
          <w:szCs w:val="22"/>
        </w:rPr>
        <w:t>9% del PIB en 2006 (</w:t>
      </w:r>
      <w:r w:rsidR="00314D44" w:rsidRPr="00826D62">
        <w:rPr>
          <w:rFonts w:ascii="Arial" w:hAnsi="Arial" w:cs="Arial"/>
          <w:sz w:val="22"/>
          <w:szCs w:val="22"/>
        </w:rPr>
        <w:t xml:space="preserve">4,7 </w:t>
      </w:r>
      <w:r w:rsidR="006A0FF1" w:rsidRPr="00826D62">
        <w:rPr>
          <w:rFonts w:ascii="Arial" w:hAnsi="Arial" w:cs="Arial"/>
          <w:sz w:val="22"/>
          <w:szCs w:val="22"/>
        </w:rPr>
        <w:t>puntos del P</w:t>
      </w:r>
      <w:r w:rsidR="00EC45B4" w:rsidRPr="00826D62">
        <w:rPr>
          <w:rFonts w:ascii="Arial" w:hAnsi="Arial" w:cs="Arial"/>
          <w:sz w:val="22"/>
          <w:szCs w:val="22"/>
        </w:rPr>
        <w:t>IB</w:t>
      </w:r>
      <w:r w:rsidR="006A0FF1" w:rsidRPr="00826D62">
        <w:rPr>
          <w:rFonts w:ascii="Arial" w:hAnsi="Arial" w:cs="Arial"/>
          <w:sz w:val="22"/>
          <w:szCs w:val="22"/>
        </w:rPr>
        <w:t>).</w:t>
      </w:r>
    </w:p>
    <w:p w:rsidR="007A32D8" w:rsidRPr="00826D62" w:rsidRDefault="007A32D8" w:rsidP="007A32D8">
      <w:pPr>
        <w:spacing w:before="120" w:after="120" w:line="240" w:lineRule="auto"/>
        <w:jc w:val="both"/>
        <w:rPr>
          <w:rFonts w:ascii="Arial" w:hAnsi="Arial" w:cs="Arial"/>
          <w:color w:val="000000"/>
          <w:sz w:val="24"/>
          <w:szCs w:val="24"/>
          <w:lang w:val="es-ES"/>
        </w:rPr>
      </w:pPr>
      <w:r w:rsidRPr="00826D62">
        <w:rPr>
          <w:rFonts w:ascii="Arial" w:hAnsi="Arial" w:cs="Arial"/>
          <w:noProof/>
          <w:lang w:val="en-US"/>
        </w:rPr>
        <w:drawing>
          <wp:inline distT="0" distB="0" distL="0" distR="0" wp14:anchorId="0570A63D" wp14:editId="4DA61766">
            <wp:extent cx="5943600" cy="324675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246755"/>
                    </a:xfrm>
                    <a:prstGeom prst="rect">
                      <a:avLst/>
                    </a:prstGeom>
                  </pic:spPr>
                </pic:pic>
              </a:graphicData>
            </a:graphic>
          </wp:inline>
        </w:drawing>
      </w:r>
    </w:p>
    <w:p w:rsidR="007A32D8" w:rsidRPr="00826D62" w:rsidRDefault="007A32D8" w:rsidP="007A32D8">
      <w:pPr>
        <w:pStyle w:val="ListParagraph"/>
        <w:spacing w:before="120" w:after="120" w:line="240" w:lineRule="auto"/>
        <w:contextualSpacing w:val="0"/>
        <w:jc w:val="both"/>
        <w:rPr>
          <w:rFonts w:ascii="Arial" w:hAnsi="Arial" w:cs="Arial"/>
          <w:color w:val="000000"/>
          <w:sz w:val="24"/>
          <w:szCs w:val="24"/>
          <w:lang w:val="es-ES"/>
        </w:rPr>
      </w:pPr>
    </w:p>
    <w:p w:rsidR="007A32D8" w:rsidRPr="00826D62" w:rsidRDefault="007A32D8" w:rsidP="00826D62">
      <w:pPr>
        <w:pStyle w:val="subpar"/>
        <w:tabs>
          <w:tab w:val="clear" w:pos="1152"/>
        </w:tabs>
        <w:ind w:left="1440" w:hanging="360"/>
        <w:rPr>
          <w:rFonts w:ascii="Arial" w:hAnsi="Arial" w:cs="Arial"/>
        </w:rPr>
      </w:pPr>
      <w:r w:rsidRPr="00826D62">
        <w:rPr>
          <w:rFonts w:ascii="Arial" w:hAnsi="Arial" w:cs="Arial"/>
        </w:rPr>
        <w:t xml:space="preserve">El número de inscripciones en el Registro Único de Contribuyentes (RUC) creció de </w:t>
      </w:r>
      <w:r w:rsidR="00314D44" w:rsidRPr="00826D62">
        <w:rPr>
          <w:rFonts w:ascii="Arial" w:hAnsi="Arial" w:cs="Arial"/>
        </w:rPr>
        <w:t>69.675</w:t>
      </w:r>
      <w:r w:rsidRPr="00826D62">
        <w:rPr>
          <w:rFonts w:ascii="Arial" w:hAnsi="Arial" w:cs="Arial"/>
        </w:rPr>
        <w:t xml:space="preserve"> en 199</w:t>
      </w:r>
      <w:r w:rsidR="00314D44" w:rsidRPr="00826D62">
        <w:rPr>
          <w:rFonts w:ascii="Arial" w:hAnsi="Arial" w:cs="Arial"/>
        </w:rPr>
        <w:t>8</w:t>
      </w:r>
      <w:r w:rsidRPr="00826D62">
        <w:rPr>
          <w:rFonts w:ascii="Arial" w:hAnsi="Arial" w:cs="Arial"/>
        </w:rPr>
        <w:t xml:space="preserve"> a 143.728 en 2009 (</w:t>
      </w:r>
      <w:r w:rsidR="00314D44" w:rsidRPr="00826D62">
        <w:rPr>
          <w:rFonts w:ascii="Arial" w:hAnsi="Arial" w:cs="Arial"/>
        </w:rPr>
        <w:t>2</w:t>
      </w:r>
      <w:r w:rsidR="006A0FF1" w:rsidRPr="00826D62">
        <w:rPr>
          <w:rFonts w:ascii="Arial" w:hAnsi="Arial" w:cs="Arial"/>
        </w:rPr>
        <w:t xml:space="preserve"> veces).</w:t>
      </w:r>
    </w:p>
    <w:p w:rsidR="00302B35" w:rsidRPr="00826D62" w:rsidRDefault="006A0FF1" w:rsidP="00527041">
      <w:pPr>
        <w:spacing w:before="120" w:after="120" w:line="240" w:lineRule="auto"/>
        <w:ind w:left="270" w:hanging="270"/>
        <w:jc w:val="both"/>
        <w:rPr>
          <w:rFonts w:ascii="Arial" w:hAnsi="Arial" w:cs="Arial"/>
          <w:color w:val="000000"/>
          <w:sz w:val="24"/>
          <w:szCs w:val="24"/>
          <w:lang w:val="es-ES"/>
        </w:rPr>
      </w:pPr>
      <w:r w:rsidRPr="00826D62">
        <w:rPr>
          <w:rFonts w:ascii="Arial" w:hAnsi="Arial" w:cs="Arial"/>
          <w:noProof/>
          <w:lang w:val="en-US"/>
        </w:rPr>
        <w:drawing>
          <wp:inline distT="0" distB="0" distL="0" distR="0" wp14:anchorId="6737F48C" wp14:editId="68AD9013">
            <wp:extent cx="5943600" cy="27622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2762250"/>
                    </a:xfrm>
                    <a:prstGeom prst="rect">
                      <a:avLst/>
                    </a:prstGeom>
                  </pic:spPr>
                </pic:pic>
              </a:graphicData>
            </a:graphic>
          </wp:inline>
        </w:drawing>
      </w:r>
    </w:p>
    <w:p w:rsidR="006A0FF1" w:rsidRPr="00826D62" w:rsidRDefault="006A0FF1" w:rsidP="00826D62">
      <w:pPr>
        <w:pStyle w:val="subpar"/>
        <w:tabs>
          <w:tab w:val="clear" w:pos="1152"/>
        </w:tabs>
        <w:ind w:left="1440" w:hanging="360"/>
        <w:rPr>
          <w:rFonts w:ascii="Arial" w:hAnsi="Arial" w:cs="Arial"/>
          <w:sz w:val="22"/>
          <w:szCs w:val="22"/>
        </w:rPr>
      </w:pPr>
      <w:r w:rsidRPr="00826D62">
        <w:rPr>
          <w:rFonts w:ascii="Arial" w:hAnsi="Arial" w:cs="Arial"/>
          <w:sz w:val="22"/>
          <w:szCs w:val="22"/>
        </w:rPr>
        <w:t xml:space="preserve">El </w:t>
      </w:r>
      <w:r w:rsidR="00EC45B4" w:rsidRPr="00826D62">
        <w:rPr>
          <w:rFonts w:ascii="Arial" w:hAnsi="Arial" w:cs="Arial"/>
          <w:sz w:val="22"/>
          <w:szCs w:val="22"/>
        </w:rPr>
        <w:t>n</w:t>
      </w:r>
      <w:r w:rsidRPr="00826D62">
        <w:rPr>
          <w:rFonts w:ascii="Arial" w:hAnsi="Arial" w:cs="Arial"/>
          <w:sz w:val="22"/>
          <w:szCs w:val="22"/>
        </w:rPr>
        <w:t xml:space="preserve">úmero de declaraciones creció de </w:t>
      </w:r>
      <w:r w:rsidR="00314D44" w:rsidRPr="00826D62">
        <w:rPr>
          <w:rFonts w:ascii="Arial" w:hAnsi="Arial" w:cs="Arial"/>
          <w:sz w:val="22"/>
          <w:szCs w:val="22"/>
        </w:rPr>
        <w:t>1.233.053</w:t>
      </w:r>
      <w:r w:rsidRPr="00826D62">
        <w:rPr>
          <w:rFonts w:ascii="Arial" w:hAnsi="Arial" w:cs="Arial"/>
          <w:sz w:val="22"/>
          <w:szCs w:val="22"/>
        </w:rPr>
        <w:t xml:space="preserve"> en 199</w:t>
      </w:r>
      <w:r w:rsidR="00314D44" w:rsidRPr="00826D62">
        <w:rPr>
          <w:rFonts w:ascii="Arial" w:hAnsi="Arial" w:cs="Arial"/>
          <w:sz w:val="22"/>
          <w:szCs w:val="22"/>
        </w:rPr>
        <w:t>8</w:t>
      </w:r>
      <w:r w:rsidRPr="00826D62">
        <w:rPr>
          <w:rFonts w:ascii="Arial" w:hAnsi="Arial" w:cs="Arial"/>
          <w:sz w:val="22"/>
          <w:szCs w:val="22"/>
        </w:rPr>
        <w:t xml:space="preserve"> a 8.822.240 en 2006 (</w:t>
      </w:r>
      <w:r w:rsidR="00314D44" w:rsidRPr="00826D62">
        <w:rPr>
          <w:rFonts w:ascii="Arial" w:hAnsi="Arial" w:cs="Arial"/>
          <w:sz w:val="22"/>
          <w:szCs w:val="22"/>
        </w:rPr>
        <w:t>7,1</w:t>
      </w:r>
      <w:r w:rsidRPr="00826D62">
        <w:rPr>
          <w:rFonts w:ascii="Arial" w:hAnsi="Arial" w:cs="Arial"/>
          <w:sz w:val="22"/>
          <w:szCs w:val="22"/>
        </w:rPr>
        <w:t xml:space="preserve"> veces).</w:t>
      </w:r>
    </w:p>
    <w:p w:rsidR="00332E00" w:rsidRPr="00826D62" w:rsidRDefault="00332E00" w:rsidP="00332E00">
      <w:pPr>
        <w:pStyle w:val="ListParagraph"/>
        <w:spacing w:before="120" w:after="120" w:line="240" w:lineRule="auto"/>
        <w:ind w:left="0"/>
        <w:jc w:val="both"/>
        <w:rPr>
          <w:rFonts w:ascii="Arial" w:hAnsi="Arial" w:cs="Arial"/>
          <w:color w:val="000000"/>
          <w:sz w:val="24"/>
          <w:szCs w:val="24"/>
          <w:lang w:val="es-ES"/>
        </w:rPr>
      </w:pPr>
      <w:r w:rsidRPr="00826D62">
        <w:rPr>
          <w:rFonts w:ascii="Arial" w:hAnsi="Arial" w:cs="Arial"/>
          <w:noProof/>
          <w:lang w:val="en-US"/>
        </w:rPr>
        <w:lastRenderedPageBreak/>
        <w:drawing>
          <wp:inline distT="0" distB="0" distL="0" distR="0" wp14:anchorId="2DAAA810" wp14:editId="06FE3692">
            <wp:extent cx="5943600" cy="2850515"/>
            <wp:effectExtent l="0" t="0" r="0" b="698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2850515"/>
                    </a:xfrm>
                    <a:prstGeom prst="rect">
                      <a:avLst/>
                    </a:prstGeom>
                  </pic:spPr>
                </pic:pic>
              </a:graphicData>
            </a:graphic>
          </wp:inline>
        </w:drawing>
      </w:r>
    </w:p>
    <w:p w:rsidR="00B03F20" w:rsidRPr="00826D62" w:rsidRDefault="006A0FF1" w:rsidP="00826D62">
      <w:pPr>
        <w:pStyle w:val="subpar"/>
        <w:tabs>
          <w:tab w:val="clear" w:pos="1152"/>
        </w:tabs>
        <w:ind w:left="1440" w:hanging="360"/>
        <w:rPr>
          <w:rFonts w:ascii="Arial" w:hAnsi="Arial" w:cs="Arial"/>
          <w:sz w:val="22"/>
          <w:szCs w:val="22"/>
        </w:rPr>
      </w:pPr>
      <w:r w:rsidRPr="00826D62">
        <w:rPr>
          <w:rFonts w:ascii="Arial" w:hAnsi="Arial" w:cs="Arial"/>
          <w:sz w:val="22"/>
          <w:szCs w:val="22"/>
        </w:rPr>
        <w:t xml:space="preserve">Es importante </w:t>
      </w:r>
      <w:r w:rsidR="00B03F20" w:rsidRPr="00826D62">
        <w:rPr>
          <w:rFonts w:ascii="Arial" w:hAnsi="Arial" w:cs="Arial"/>
          <w:sz w:val="22"/>
          <w:szCs w:val="22"/>
        </w:rPr>
        <w:t>resaltar</w:t>
      </w:r>
      <w:r w:rsidRPr="00826D62">
        <w:rPr>
          <w:rFonts w:ascii="Arial" w:hAnsi="Arial" w:cs="Arial"/>
          <w:sz w:val="22"/>
          <w:szCs w:val="22"/>
        </w:rPr>
        <w:t xml:space="preserve"> que los ingresos petroleros no tuvieron </w:t>
      </w:r>
      <w:r w:rsidR="00B03F20" w:rsidRPr="00826D62">
        <w:rPr>
          <w:rFonts w:ascii="Arial" w:hAnsi="Arial" w:cs="Arial"/>
          <w:sz w:val="22"/>
          <w:szCs w:val="22"/>
        </w:rPr>
        <w:t>un impacto significativo en el aumento de los ingresos corrientes en el periodo de 199</w:t>
      </w:r>
      <w:r w:rsidR="00314D44" w:rsidRPr="00826D62">
        <w:rPr>
          <w:rFonts w:ascii="Arial" w:hAnsi="Arial" w:cs="Arial"/>
          <w:sz w:val="22"/>
          <w:szCs w:val="22"/>
        </w:rPr>
        <w:t>8</w:t>
      </w:r>
      <w:r w:rsidR="00B03F20" w:rsidRPr="00826D62">
        <w:rPr>
          <w:rFonts w:ascii="Arial" w:hAnsi="Arial" w:cs="Arial"/>
          <w:sz w:val="22"/>
          <w:szCs w:val="22"/>
        </w:rPr>
        <w:t xml:space="preserve"> - 2006 conforme presentado en el gráfico a continuación</w:t>
      </w:r>
      <w:r w:rsidR="004572F4" w:rsidRPr="00826D62">
        <w:rPr>
          <w:rStyle w:val="FootnoteReference"/>
          <w:rFonts w:ascii="Arial" w:hAnsi="Arial" w:cs="Arial"/>
          <w:sz w:val="22"/>
          <w:szCs w:val="22"/>
        </w:rPr>
        <w:footnoteReference w:id="6"/>
      </w:r>
      <w:r w:rsidR="00B03F20" w:rsidRPr="00826D62">
        <w:rPr>
          <w:rFonts w:ascii="Arial" w:hAnsi="Arial" w:cs="Arial"/>
          <w:sz w:val="22"/>
          <w:szCs w:val="22"/>
        </w:rPr>
        <w:t>:</w:t>
      </w:r>
    </w:p>
    <w:p w:rsidR="00B03F20" w:rsidRPr="00826D62" w:rsidRDefault="00B03F20" w:rsidP="00826D62">
      <w:pPr>
        <w:pStyle w:val="Paragraph"/>
        <w:tabs>
          <w:tab w:val="clear" w:pos="1296"/>
        </w:tabs>
        <w:ind w:left="720" w:hanging="720"/>
        <w:rPr>
          <w:rFonts w:ascii="Arial" w:hAnsi="Arial" w:cs="Arial"/>
          <w:b/>
          <w:sz w:val="22"/>
          <w:szCs w:val="22"/>
        </w:rPr>
      </w:pPr>
      <w:r w:rsidRPr="00826D62">
        <w:rPr>
          <w:rFonts w:ascii="Arial" w:hAnsi="Arial" w:cs="Arial"/>
          <w:noProof/>
          <w:lang w:val="en-US"/>
        </w:rPr>
        <w:drawing>
          <wp:inline distT="0" distB="0" distL="0" distR="0" wp14:anchorId="5CF39B9C" wp14:editId="08A58C10">
            <wp:extent cx="5943600" cy="3272790"/>
            <wp:effectExtent l="0" t="0" r="0" b="381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3272790"/>
                    </a:xfrm>
                    <a:prstGeom prst="rect">
                      <a:avLst/>
                    </a:prstGeom>
                  </pic:spPr>
                </pic:pic>
              </a:graphicData>
            </a:graphic>
          </wp:inline>
        </w:drawing>
      </w:r>
      <w:r w:rsidR="006A0FF1" w:rsidRPr="00826D62">
        <w:rPr>
          <w:rFonts w:ascii="Arial" w:hAnsi="Arial" w:cs="Arial"/>
          <w:color w:val="000000"/>
        </w:rPr>
        <w:t xml:space="preserve"> </w:t>
      </w:r>
      <w:r w:rsidRPr="00826D62">
        <w:rPr>
          <w:rFonts w:ascii="Arial" w:hAnsi="Arial" w:cs="Arial"/>
          <w:b/>
          <w:sz w:val="22"/>
          <w:szCs w:val="22"/>
        </w:rPr>
        <w:t xml:space="preserve">La </w:t>
      </w:r>
      <w:r w:rsidR="00EC45B4" w:rsidRPr="00826D62">
        <w:rPr>
          <w:rFonts w:ascii="Arial" w:hAnsi="Arial" w:cs="Arial"/>
          <w:b/>
          <w:sz w:val="22"/>
          <w:szCs w:val="22"/>
        </w:rPr>
        <w:t xml:space="preserve">estrategia de la modernización </w:t>
      </w:r>
      <w:r w:rsidR="00314D44" w:rsidRPr="00826D62">
        <w:rPr>
          <w:rFonts w:ascii="Arial" w:hAnsi="Arial" w:cs="Arial"/>
          <w:b/>
          <w:sz w:val="22"/>
          <w:szCs w:val="22"/>
        </w:rPr>
        <w:t>E</w:t>
      </w:r>
      <w:r w:rsidRPr="00826D62">
        <w:rPr>
          <w:rFonts w:ascii="Arial" w:hAnsi="Arial" w:cs="Arial"/>
          <w:b/>
          <w:sz w:val="22"/>
          <w:szCs w:val="22"/>
        </w:rPr>
        <w:t>cuatoriana</w:t>
      </w:r>
      <w:r w:rsidR="00332E00" w:rsidRPr="00826D62">
        <w:rPr>
          <w:rFonts w:ascii="Arial" w:hAnsi="Arial" w:cs="Arial"/>
          <w:b/>
          <w:sz w:val="22"/>
          <w:szCs w:val="22"/>
        </w:rPr>
        <w:t xml:space="preserve"> para </w:t>
      </w:r>
      <w:r w:rsidR="00900647" w:rsidRPr="00826D62">
        <w:rPr>
          <w:rFonts w:ascii="Arial" w:hAnsi="Arial" w:cs="Arial"/>
          <w:b/>
          <w:sz w:val="22"/>
          <w:szCs w:val="22"/>
        </w:rPr>
        <w:t xml:space="preserve">incrementar </w:t>
      </w:r>
      <w:r w:rsidR="00EC45B4" w:rsidRPr="00826D62">
        <w:rPr>
          <w:rFonts w:ascii="Arial" w:hAnsi="Arial" w:cs="Arial"/>
          <w:b/>
          <w:sz w:val="22"/>
          <w:szCs w:val="22"/>
        </w:rPr>
        <w:t>la presión f</w:t>
      </w:r>
      <w:r w:rsidR="00332E00" w:rsidRPr="00826D62">
        <w:rPr>
          <w:rFonts w:ascii="Arial" w:hAnsi="Arial" w:cs="Arial"/>
          <w:b/>
          <w:sz w:val="22"/>
          <w:szCs w:val="22"/>
        </w:rPr>
        <w:t xml:space="preserve">iscal estuvo basada en 5 </w:t>
      </w:r>
      <w:r w:rsidR="00EA7244" w:rsidRPr="00826D62">
        <w:rPr>
          <w:rFonts w:ascii="Arial" w:hAnsi="Arial" w:cs="Arial"/>
          <w:b/>
          <w:sz w:val="22"/>
          <w:szCs w:val="22"/>
        </w:rPr>
        <w:t>ejes</w:t>
      </w:r>
      <w:r w:rsidR="00EC45B4" w:rsidRPr="00826D62">
        <w:rPr>
          <w:rFonts w:ascii="Arial" w:hAnsi="Arial" w:cs="Arial"/>
          <w:b/>
          <w:sz w:val="22"/>
          <w:szCs w:val="22"/>
        </w:rPr>
        <w:t xml:space="preserve"> principales</w:t>
      </w:r>
      <w:r w:rsidRPr="00826D62">
        <w:rPr>
          <w:rFonts w:ascii="Arial" w:hAnsi="Arial" w:cs="Arial"/>
          <w:b/>
          <w:sz w:val="22"/>
          <w:szCs w:val="22"/>
        </w:rPr>
        <w:t xml:space="preserve">. </w:t>
      </w:r>
    </w:p>
    <w:p w:rsidR="00B03F20" w:rsidRPr="00826D62" w:rsidRDefault="00332E00" w:rsidP="00826D62">
      <w:pPr>
        <w:pStyle w:val="ListParagraph"/>
        <w:numPr>
          <w:ilvl w:val="0"/>
          <w:numId w:val="4"/>
        </w:numPr>
        <w:spacing w:before="120" w:after="120" w:line="240" w:lineRule="auto"/>
        <w:ind w:left="1440"/>
        <w:jc w:val="both"/>
        <w:rPr>
          <w:rFonts w:ascii="Arial" w:hAnsi="Arial" w:cs="Arial"/>
          <w:color w:val="000000"/>
          <w:lang w:val="es-ES"/>
        </w:rPr>
      </w:pPr>
      <w:r w:rsidRPr="00826D62">
        <w:rPr>
          <w:rFonts w:ascii="Arial" w:hAnsi="Arial" w:cs="Arial"/>
          <w:color w:val="000000"/>
          <w:lang w:val="es-ES"/>
        </w:rPr>
        <w:t>Aumentar la base impositiva (número de RUC</w:t>
      </w:r>
      <w:r w:rsidR="00900647" w:rsidRPr="00826D62">
        <w:rPr>
          <w:rFonts w:ascii="Arial" w:hAnsi="Arial" w:cs="Arial"/>
          <w:color w:val="000000"/>
          <w:lang w:val="es-ES"/>
        </w:rPr>
        <w:t xml:space="preserve"> Activos</w:t>
      </w:r>
      <w:r w:rsidRPr="00826D62">
        <w:rPr>
          <w:rFonts w:ascii="Arial" w:hAnsi="Arial" w:cs="Arial"/>
          <w:color w:val="000000"/>
          <w:lang w:val="es-ES"/>
        </w:rPr>
        <w:t xml:space="preserve"> / </w:t>
      </w:r>
      <w:r w:rsidR="00EC45B4" w:rsidRPr="00826D62">
        <w:rPr>
          <w:rFonts w:ascii="Arial" w:hAnsi="Arial" w:cs="Arial"/>
          <w:color w:val="000000"/>
          <w:lang w:val="es-ES"/>
        </w:rPr>
        <w:t>Total de RUC inscri</w:t>
      </w:r>
      <w:r w:rsidR="00900647" w:rsidRPr="00826D62">
        <w:rPr>
          <w:rFonts w:ascii="Arial" w:hAnsi="Arial" w:cs="Arial"/>
          <w:color w:val="000000"/>
          <w:lang w:val="es-ES"/>
        </w:rPr>
        <w:t>tos</w:t>
      </w:r>
      <w:r w:rsidRPr="00826D62">
        <w:rPr>
          <w:rFonts w:ascii="Arial" w:hAnsi="Arial" w:cs="Arial"/>
          <w:color w:val="000000"/>
          <w:lang w:val="es-ES"/>
        </w:rPr>
        <w:t>).</w:t>
      </w:r>
    </w:p>
    <w:p w:rsidR="00332E00" w:rsidRPr="00826D62" w:rsidRDefault="00332E00" w:rsidP="00826D62">
      <w:pPr>
        <w:pStyle w:val="ListParagraph"/>
        <w:numPr>
          <w:ilvl w:val="0"/>
          <w:numId w:val="4"/>
        </w:numPr>
        <w:spacing w:before="120" w:after="120" w:line="240" w:lineRule="auto"/>
        <w:ind w:left="1440"/>
        <w:jc w:val="both"/>
        <w:rPr>
          <w:rFonts w:ascii="Arial" w:hAnsi="Arial" w:cs="Arial"/>
          <w:color w:val="000000"/>
          <w:lang w:val="es-ES"/>
        </w:rPr>
      </w:pPr>
      <w:r w:rsidRPr="00826D62">
        <w:rPr>
          <w:rFonts w:ascii="Arial" w:hAnsi="Arial" w:cs="Arial"/>
          <w:color w:val="000000"/>
          <w:lang w:val="es-ES"/>
        </w:rPr>
        <w:t xml:space="preserve">Aumentar la relación entre los contribuyentes </w:t>
      </w:r>
      <w:r w:rsidR="00EC45B4" w:rsidRPr="00826D62">
        <w:rPr>
          <w:rFonts w:ascii="Arial" w:hAnsi="Arial" w:cs="Arial"/>
          <w:color w:val="000000"/>
          <w:lang w:val="es-ES"/>
        </w:rPr>
        <w:t>inscritos</w:t>
      </w:r>
      <w:r w:rsidRPr="00826D62">
        <w:rPr>
          <w:rFonts w:ascii="Arial" w:hAnsi="Arial" w:cs="Arial"/>
          <w:color w:val="000000"/>
          <w:lang w:val="es-ES"/>
        </w:rPr>
        <w:t xml:space="preserve"> y las declaraciones presentadas.</w:t>
      </w:r>
    </w:p>
    <w:p w:rsidR="00332E00" w:rsidRPr="00826D62" w:rsidRDefault="00332E00" w:rsidP="00826D62">
      <w:pPr>
        <w:pStyle w:val="ListParagraph"/>
        <w:numPr>
          <w:ilvl w:val="0"/>
          <w:numId w:val="4"/>
        </w:numPr>
        <w:spacing w:before="120" w:after="120" w:line="240" w:lineRule="auto"/>
        <w:ind w:left="1440"/>
        <w:jc w:val="both"/>
        <w:rPr>
          <w:rFonts w:ascii="Arial" w:hAnsi="Arial" w:cs="Arial"/>
          <w:color w:val="000000"/>
          <w:lang w:val="es-ES"/>
        </w:rPr>
      </w:pPr>
      <w:r w:rsidRPr="00826D62">
        <w:rPr>
          <w:rFonts w:ascii="Arial" w:hAnsi="Arial" w:cs="Arial"/>
          <w:color w:val="000000"/>
          <w:lang w:val="es-ES"/>
        </w:rPr>
        <w:lastRenderedPageBreak/>
        <w:t xml:space="preserve">Aumentar la relación entre los contribuyentes </w:t>
      </w:r>
      <w:r w:rsidR="00EC45B4" w:rsidRPr="00826D62">
        <w:rPr>
          <w:rFonts w:ascii="Arial" w:hAnsi="Arial" w:cs="Arial"/>
          <w:color w:val="000000"/>
          <w:lang w:val="es-ES"/>
        </w:rPr>
        <w:t>inscritos</w:t>
      </w:r>
      <w:r w:rsidRPr="00826D62">
        <w:rPr>
          <w:rFonts w:ascii="Arial" w:hAnsi="Arial" w:cs="Arial"/>
          <w:color w:val="000000"/>
          <w:lang w:val="es-ES"/>
        </w:rPr>
        <w:t xml:space="preserve"> y las facturas presentadas.</w:t>
      </w:r>
    </w:p>
    <w:p w:rsidR="00555755" w:rsidRPr="00826D62" w:rsidRDefault="00555755" w:rsidP="00826D62">
      <w:pPr>
        <w:pStyle w:val="ListParagraph"/>
        <w:numPr>
          <w:ilvl w:val="0"/>
          <w:numId w:val="4"/>
        </w:numPr>
        <w:spacing w:before="120" w:after="120" w:line="240" w:lineRule="auto"/>
        <w:ind w:left="1440"/>
        <w:jc w:val="both"/>
        <w:rPr>
          <w:rFonts w:ascii="Arial" w:hAnsi="Arial" w:cs="Arial"/>
          <w:color w:val="000000"/>
          <w:lang w:val="es-ES"/>
        </w:rPr>
      </w:pPr>
      <w:r w:rsidRPr="00826D62">
        <w:rPr>
          <w:rFonts w:ascii="Arial" w:hAnsi="Arial" w:cs="Arial"/>
          <w:color w:val="000000"/>
          <w:lang w:val="es-ES"/>
        </w:rPr>
        <w:t>Mejorar la fiscalización a partir de contar con la información a ser pro</w:t>
      </w:r>
      <w:r w:rsidR="00CC6A1E" w:rsidRPr="00826D62">
        <w:rPr>
          <w:rFonts w:ascii="Arial" w:hAnsi="Arial" w:cs="Arial"/>
          <w:color w:val="000000"/>
          <w:lang w:val="es-ES"/>
        </w:rPr>
        <w:t>vista</w:t>
      </w:r>
      <w:r w:rsidRPr="00826D62">
        <w:rPr>
          <w:rFonts w:ascii="Arial" w:hAnsi="Arial" w:cs="Arial"/>
          <w:color w:val="000000"/>
          <w:lang w:val="es-ES"/>
        </w:rPr>
        <w:t xml:space="preserve"> por los 3 </w:t>
      </w:r>
      <w:r w:rsidR="00900647" w:rsidRPr="00826D62">
        <w:rPr>
          <w:rFonts w:ascii="Arial" w:hAnsi="Arial" w:cs="Arial"/>
          <w:color w:val="000000"/>
          <w:lang w:val="es-ES"/>
        </w:rPr>
        <w:t>ejes</w:t>
      </w:r>
      <w:r w:rsidR="00CC6A1E" w:rsidRPr="00826D62">
        <w:rPr>
          <w:rFonts w:ascii="Arial" w:hAnsi="Arial" w:cs="Arial"/>
          <w:color w:val="000000"/>
          <w:lang w:val="es-ES"/>
        </w:rPr>
        <w:t xml:space="preserve"> anteriores.</w:t>
      </w:r>
    </w:p>
    <w:p w:rsidR="00555755" w:rsidRPr="00826D62" w:rsidRDefault="00555755" w:rsidP="00826D62">
      <w:pPr>
        <w:pStyle w:val="ListParagraph"/>
        <w:numPr>
          <w:ilvl w:val="0"/>
          <w:numId w:val="4"/>
        </w:numPr>
        <w:spacing w:before="120" w:after="120" w:line="240" w:lineRule="auto"/>
        <w:ind w:left="1440"/>
        <w:jc w:val="both"/>
        <w:rPr>
          <w:rFonts w:ascii="Arial" w:hAnsi="Arial" w:cs="Arial"/>
          <w:color w:val="000000"/>
          <w:lang w:val="es-ES"/>
        </w:rPr>
      </w:pPr>
      <w:r w:rsidRPr="00826D62">
        <w:rPr>
          <w:rFonts w:ascii="Arial" w:hAnsi="Arial" w:cs="Arial"/>
          <w:color w:val="000000"/>
          <w:lang w:val="es-ES"/>
        </w:rPr>
        <w:t>Mejorar de forma radical la calidad de</w:t>
      </w:r>
      <w:r w:rsidR="0091062F" w:rsidRPr="00826D62">
        <w:rPr>
          <w:rFonts w:ascii="Arial" w:hAnsi="Arial" w:cs="Arial"/>
          <w:color w:val="000000"/>
          <w:lang w:val="es-ES"/>
        </w:rPr>
        <w:t xml:space="preserve"> los recursos humanos con la su</w:t>
      </w:r>
      <w:r w:rsidRPr="00826D62">
        <w:rPr>
          <w:rFonts w:ascii="Arial" w:hAnsi="Arial" w:cs="Arial"/>
          <w:color w:val="000000"/>
          <w:lang w:val="es-ES"/>
        </w:rPr>
        <w:t>stitución de la DGR por la S</w:t>
      </w:r>
      <w:r w:rsidR="00900647" w:rsidRPr="00826D62">
        <w:rPr>
          <w:rFonts w:ascii="Arial" w:hAnsi="Arial" w:cs="Arial"/>
          <w:color w:val="000000"/>
          <w:lang w:val="es-ES"/>
        </w:rPr>
        <w:t>RI</w:t>
      </w:r>
      <w:r w:rsidRPr="00826D62">
        <w:rPr>
          <w:rFonts w:ascii="Arial" w:hAnsi="Arial" w:cs="Arial"/>
          <w:color w:val="000000"/>
          <w:lang w:val="es-ES"/>
        </w:rPr>
        <w:t>, incluyendo la totalidad de su personal.</w:t>
      </w:r>
    </w:p>
    <w:p w:rsidR="00555755" w:rsidRPr="00826D62" w:rsidRDefault="00555755" w:rsidP="00826D62">
      <w:pPr>
        <w:pStyle w:val="Paragraph"/>
        <w:tabs>
          <w:tab w:val="clear" w:pos="1296"/>
        </w:tabs>
        <w:ind w:left="720" w:hanging="720"/>
        <w:rPr>
          <w:rFonts w:ascii="Arial" w:hAnsi="Arial" w:cs="Arial"/>
          <w:b/>
          <w:sz w:val="22"/>
          <w:szCs w:val="22"/>
        </w:rPr>
      </w:pPr>
      <w:r w:rsidRPr="00826D62">
        <w:rPr>
          <w:rFonts w:ascii="Arial" w:hAnsi="Arial" w:cs="Arial"/>
          <w:sz w:val="22"/>
          <w:szCs w:val="22"/>
        </w:rPr>
        <w:t xml:space="preserve">La </w:t>
      </w:r>
      <w:r w:rsidR="00FA6E1C" w:rsidRPr="00826D62">
        <w:rPr>
          <w:rFonts w:ascii="Arial" w:hAnsi="Arial" w:cs="Arial"/>
          <w:sz w:val="22"/>
          <w:szCs w:val="22"/>
        </w:rPr>
        <w:t>estrategia</w:t>
      </w:r>
      <w:r w:rsidR="0091062F" w:rsidRPr="00826D62">
        <w:rPr>
          <w:rFonts w:ascii="Arial" w:hAnsi="Arial" w:cs="Arial"/>
          <w:sz w:val="22"/>
          <w:szCs w:val="22"/>
        </w:rPr>
        <w:t xml:space="preserve"> de la modernización h</w:t>
      </w:r>
      <w:r w:rsidRPr="00826D62">
        <w:rPr>
          <w:rFonts w:ascii="Arial" w:hAnsi="Arial" w:cs="Arial"/>
          <w:sz w:val="22"/>
          <w:szCs w:val="22"/>
        </w:rPr>
        <w:t xml:space="preserve">ondureña para </w:t>
      </w:r>
      <w:r w:rsidR="00232319" w:rsidRPr="00826D62">
        <w:rPr>
          <w:rFonts w:ascii="Arial" w:hAnsi="Arial" w:cs="Arial"/>
          <w:sz w:val="22"/>
          <w:szCs w:val="22"/>
        </w:rPr>
        <w:t xml:space="preserve">fortalecer la administración tributaria y con ello </w:t>
      </w:r>
      <w:r w:rsidR="00C03711" w:rsidRPr="00826D62">
        <w:rPr>
          <w:rFonts w:ascii="Arial" w:hAnsi="Arial" w:cs="Arial"/>
          <w:sz w:val="22"/>
          <w:szCs w:val="22"/>
        </w:rPr>
        <w:t xml:space="preserve">aumentar </w:t>
      </w:r>
      <w:r w:rsidRPr="00826D62">
        <w:rPr>
          <w:rFonts w:ascii="Arial" w:hAnsi="Arial" w:cs="Arial"/>
          <w:sz w:val="22"/>
          <w:szCs w:val="22"/>
        </w:rPr>
        <w:t xml:space="preserve">la </w:t>
      </w:r>
      <w:r w:rsidR="0091062F" w:rsidRPr="00826D62">
        <w:rPr>
          <w:rFonts w:ascii="Arial" w:hAnsi="Arial" w:cs="Arial"/>
          <w:sz w:val="22"/>
          <w:szCs w:val="22"/>
        </w:rPr>
        <w:t xml:space="preserve">presión fiscal </w:t>
      </w:r>
      <w:r w:rsidRPr="00826D62">
        <w:rPr>
          <w:rFonts w:ascii="Arial" w:hAnsi="Arial" w:cs="Arial"/>
          <w:sz w:val="22"/>
          <w:szCs w:val="22"/>
        </w:rPr>
        <w:t xml:space="preserve">es </w:t>
      </w:r>
      <w:r w:rsidR="00314D44" w:rsidRPr="00826D62">
        <w:rPr>
          <w:rFonts w:ascii="Arial" w:hAnsi="Arial" w:cs="Arial"/>
          <w:sz w:val="22"/>
          <w:szCs w:val="22"/>
        </w:rPr>
        <w:t>extrema</w:t>
      </w:r>
      <w:r w:rsidR="00A1301E" w:rsidRPr="00826D62">
        <w:rPr>
          <w:rFonts w:ascii="Arial" w:hAnsi="Arial" w:cs="Arial"/>
          <w:sz w:val="22"/>
          <w:szCs w:val="22"/>
        </w:rPr>
        <w:t>da</w:t>
      </w:r>
      <w:r w:rsidR="00314D44" w:rsidRPr="00826D62">
        <w:rPr>
          <w:rFonts w:ascii="Arial" w:hAnsi="Arial" w:cs="Arial"/>
          <w:sz w:val="22"/>
          <w:szCs w:val="22"/>
        </w:rPr>
        <w:t xml:space="preserve">mente </w:t>
      </w:r>
      <w:r w:rsidR="00232319" w:rsidRPr="00826D62">
        <w:rPr>
          <w:rFonts w:ascii="Arial" w:hAnsi="Arial" w:cs="Arial"/>
          <w:sz w:val="22"/>
          <w:szCs w:val="22"/>
        </w:rPr>
        <w:t>similar a</w:t>
      </w:r>
      <w:r w:rsidRPr="00826D62">
        <w:rPr>
          <w:rFonts w:ascii="Arial" w:hAnsi="Arial" w:cs="Arial"/>
          <w:sz w:val="22"/>
          <w:szCs w:val="22"/>
        </w:rPr>
        <w:t xml:space="preserve"> </w:t>
      </w:r>
      <w:r w:rsidR="0091062F" w:rsidRPr="00826D62">
        <w:rPr>
          <w:rFonts w:ascii="Arial" w:hAnsi="Arial" w:cs="Arial"/>
          <w:sz w:val="22"/>
          <w:szCs w:val="22"/>
        </w:rPr>
        <w:t xml:space="preserve">la </w:t>
      </w:r>
      <w:r w:rsidR="00232319" w:rsidRPr="00826D62">
        <w:rPr>
          <w:rFonts w:ascii="Arial" w:hAnsi="Arial" w:cs="Arial"/>
          <w:sz w:val="22"/>
          <w:szCs w:val="22"/>
        </w:rPr>
        <w:t>que fue implementada</w:t>
      </w:r>
      <w:r w:rsidRPr="00826D62">
        <w:rPr>
          <w:rFonts w:ascii="Arial" w:hAnsi="Arial" w:cs="Arial"/>
          <w:sz w:val="22"/>
          <w:szCs w:val="22"/>
        </w:rPr>
        <w:t xml:space="preserve"> </w:t>
      </w:r>
      <w:r w:rsidR="00900647" w:rsidRPr="00826D62">
        <w:rPr>
          <w:rFonts w:ascii="Arial" w:hAnsi="Arial" w:cs="Arial"/>
          <w:sz w:val="22"/>
          <w:szCs w:val="22"/>
        </w:rPr>
        <w:t xml:space="preserve">en </w:t>
      </w:r>
      <w:r w:rsidRPr="00826D62">
        <w:rPr>
          <w:rFonts w:ascii="Arial" w:hAnsi="Arial" w:cs="Arial"/>
          <w:sz w:val="22"/>
          <w:szCs w:val="22"/>
        </w:rPr>
        <w:t>Ecuador</w:t>
      </w:r>
      <w:r w:rsidR="00232319" w:rsidRPr="00826D62">
        <w:rPr>
          <w:rFonts w:ascii="Arial" w:hAnsi="Arial" w:cs="Arial"/>
          <w:sz w:val="22"/>
          <w:szCs w:val="22"/>
        </w:rPr>
        <w:t>.</w:t>
      </w:r>
      <w:r w:rsidRPr="00826D62">
        <w:rPr>
          <w:rFonts w:ascii="Arial" w:hAnsi="Arial" w:cs="Arial"/>
          <w:sz w:val="22"/>
          <w:szCs w:val="22"/>
        </w:rPr>
        <w:t xml:space="preserve"> </w:t>
      </w:r>
      <w:r w:rsidR="00232319" w:rsidRPr="00826D62">
        <w:rPr>
          <w:rFonts w:ascii="Arial" w:hAnsi="Arial" w:cs="Arial"/>
          <w:sz w:val="22"/>
          <w:szCs w:val="22"/>
        </w:rPr>
        <w:t>E</w:t>
      </w:r>
      <w:r w:rsidRPr="00826D62">
        <w:rPr>
          <w:rFonts w:ascii="Arial" w:hAnsi="Arial" w:cs="Arial"/>
          <w:sz w:val="22"/>
          <w:szCs w:val="22"/>
        </w:rPr>
        <w:t xml:space="preserve">n vista </w:t>
      </w:r>
      <w:r w:rsidR="0091062F" w:rsidRPr="00826D62">
        <w:rPr>
          <w:rFonts w:ascii="Arial" w:hAnsi="Arial" w:cs="Arial"/>
          <w:sz w:val="22"/>
          <w:szCs w:val="22"/>
        </w:rPr>
        <w:t xml:space="preserve">de </w:t>
      </w:r>
      <w:r w:rsidRPr="00826D62">
        <w:rPr>
          <w:rFonts w:ascii="Arial" w:hAnsi="Arial" w:cs="Arial"/>
          <w:sz w:val="22"/>
          <w:szCs w:val="22"/>
        </w:rPr>
        <w:t xml:space="preserve">que esta última </w:t>
      </w:r>
      <w:r w:rsidR="0091062F" w:rsidRPr="00826D62">
        <w:rPr>
          <w:rFonts w:ascii="Arial" w:hAnsi="Arial" w:cs="Arial"/>
          <w:sz w:val="22"/>
          <w:szCs w:val="22"/>
        </w:rPr>
        <w:t>fue</w:t>
      </w:r>
      <w:r w:rsidRPr="00826D62">
        <w:rPr>
          <w:rFonts w:ascii="Arial" w:hAnsi="Arial" w:cs="Arial"/>
          <w:sz w:val="22"/>
          <w:szCs w:val="22"/>
        </w:rPr>
        <w:t xml:space="preserve"> exitosa, </w:t>
      </w:r>
      <w:r w:rsidR="0091062F" w:rsidRPr="00826D62">
        <w:rPr>
          <w:rFonts w:ascii="Arial" w:hAnsi="Arial" w:cs="Arial"/>
          <w:sz w:val="22"/>
          <w:szCs w:val="22"/>
        </w:rPr>
        <w:t>según</w:t>
      </w:r>
      <w:r w:rsidRPr="00826D62">
        <w:rPr>
          <w:rFonts w:ascii="Arial" w:hAnsi="Arial" w:cs="Arial"/>
          <w:sz w:val="22"/>
          <w:szCs w:val="22"/>
        </w:rPr>
        <w:t xml:space="preserve"> la información prov</w:t>
      </w:r>
      <w:r w:rsidR="0091062F" w:rsidRPr="00826D62">
        <w:rPr>
          <w:rFonts w:ascii="Arial" w:hAnsi="Arial" w:cs="Arial"/>
          <w:sz w:val="22"/>
          <w:szCs w:val="22"/>
        </w:rPr>
        <w:t>ista</w:t>
      </w:r>
      <w:r w:rsidRPr="00826D62">
        <w:rPr>
          <w:rFonts w:ascii="Arial" w:hAnsi="Arial" w:cs="Arial"/>
          <w:sz w:val="22"/>
          <w:szCs w:val="22"/>
        </w:rPr>
        <w:t xml:space="preserve"> en el informe de evaluación de OVE.</w:t>
      </w:r>
    </w:p>
    <w:p w:rsidR="00555755" w:rsidRPr="00826D62" w:rsidRDefault="00045260" w:rsidP="00826D62">
      <w:pPr>
        <w:pStyle w:val="Paragraph"/>
        <w:numPr>
          <w:ilvl w:val="0"/>
          <w:numId w:val="0"/>
        </w:numPr>
        <w:ind w:left="720"/>
        <w:rPr>
          <w:rFonts w:ascii="Arial" w:hAnsi="Arial" w:cs="Arial"/>
          <w:b/>
          <w:sz w:val="22"/>
          <w:szCs w:val="22"/>
        </w:rPr>
      </w:pPr>
      <w:r w:rsidRPr="00826D62">
        <w:rPr>
          <w:rFonts w:ascii="Arial" w:hAnsi="Arial" w:cs="Arial"/>
          <w:b/>
          <w:sz w:val="22"/>
          <w:szCs w:val="22"/>
        </w:rPr>
        <w:t>Por qué</w:t>
      </w:r>
      <w:r w:rsidR="00555755" w:rsidRPr="00826D62">
        <w:rPr>
          <w:rFonts w:ascii="Arial" w:hAnsi="Arial" w:cs="Arial"/>
          <w:b/>
          <w:sz w:val="22"/>
          <w:szCs w:val="22"/>
        </w:rPr>
        <w:t xml:space="preserve"> la estrategia de Ecuador p</w:t>
      </w:r>
      <w:r w:rsidRPr="00826D62">
        <w:rPr>
          <w:rFonts w:ascii="Arial" w:hAnsi="Arial" w:cs="Arial"/>
          <w:b/>
          <w:sz w:val="22"/>
          <w:szCs w:val="22"/>
        </w:rPr>
        <w:t>uede ser replicada</w:t>
      </w:r>
      <w:r w:rsidR="00555755" w:rsidRPr="00826D62">
        <w:rPr>
          <w:rFonts w:ascii="Arial" w:hAnsi="Arial" w:cs="Arial"/>
          <w:b/>
          <w:sz w:val="22"/>
          <w:szCs w:val="22"/>
        </w:rPr>
        <w:t xml:space="preserve"> con éxito en Honduras? </w:t>
      </w:r>
    </w:p>
    <w:p w:rsidR="00555755" w:rsidRPr="00826D62" w:rsidRDefault="00314D44" w:rsidP="00826D62">
      <w:pPr>
        <w:pStyle w:val="Paragraph"/>
        <w:tabs>
          <w:tab w:val="clear" w:pos="1296"/>
        </w:tabs>
        <w:ind w:left="720" w:hanging="720"/>
        <w:rPr>
          <w:rFonts w:ascii="Arial" w:hAnsi="Arial" w:cs="Arial"/>
          <w:color w:val="000000"/>
          <w:sz w:val="22"/>
          <w:szCs w:val="22"/>
        </w:rPr>
      </w:pPr>
      <w:r w:rsidRPr="00826D62">
        <w:rPr>
          <w:rFonts w:ascii="Arial" w:hAnsi="Arial" w:cs="Arial"/>
          <w:color w:val="000000"/>
          <w:sz w:val="22"/>
          <w:szCs w:val="22"/>
        </w:rPr>
        <w:t>El cuadro 2</w:t>
      </w:r>
      <w:r w:rsidR="004E0C02" w:rsidRPr="00826D62">
        <w:rPr>
          <w:rFonts w:ascii="Arial" w:hAnsi="Arial" w:cs="Arial"/>
          <w:color w:val="000000"/>
          <w:sz w:val="22"/>
          <w:szCs w:val="22"/>
        </w:rPr>
        <w:t xml:space="preserve"> a </w:t>
      </w:r>
      <w:r w:rsidR="007150A6" w:rsidRPr="00826D62">
        <w:rPr>
          <w:rFonts w:ascii="Arial" w:hAnsi="Arial" w:cs="Arial"/>
          <w:color w:val="000000"/>
          <w:sz w:val="22"/>
          <w:szCs w:val="22"/>
        </w:rPr>
        <w:t xml:space="preserve">continuación provee una serie de indicadores e información </w:t>
      </w:r>
      <w:r w:rsidR="004E0C02" w:rsidRPr="00826D62">
        <w:rPr>
          <w:rFonts w:ascii="Arial" w:hAnsi="Arial" w:cs="Arial"/>
          <w:color w:val="000000"/>
          <w:sz w:val="22"/>
          <w:szCs w:val="22"/>
        </w:rPr>
        <w:t xml:space="preserve">comparativa </w:t>
      </w:r>
      <w:r w:rsidR="007150A6" w:rsidRPr="00826D62">
        <w:rPr>
          <w:rFonts w:ascii="Arial" w:hAnsi="Arial" w:cs="Arial"/>
          <w:color w:val="000000"/>
          <w:sz w:val="22"/>
          <w:szCs w:val="22"/>
        </w:rPr>
        <w:t xml:space="preserve">de los </w:t>
      </w:r>
      <w:r w:rsidR="004E0C02" w:rsidRPr="00826D62">
        <w:rPr>
          <w:rFonts w:ascii="Arial" w:hAnsi="Arial" w:cs="Arial"/>
          <w:color w:val="000000"/>
          <w:sz w:val="22"/>
          <w:szCs w:val="22"/>
        </w:rPr>
        <w:t>dos</w:t>
      </w:r>
      <w:r w:rsidR="007150A6" w:rsidRPr="00826D62">
        <w:rPr>
          <w:rFonts w:ascii="Arial" w:hAnsi="Arial" w:cs="Arial"/>
          <w:color w:val="000000"/>
          <w:sz w:val="22"/>
          <w:szCs w:val="22"/>
        </w:rPr>
        <w:t xml:space="preserve"> países, por la cual se </w:t>
      </w:r>
      <w:r w:rsidR="007150A6" w:rsidRPr="00826D62">
        <w:rPr>
          <w:rFonts w:ascii="Arial" w:hAnsi="Arial" w:cs="Arial"/>
          <w:sz w:val="22"/>
          <w:szCs w:val="22"/>
        </w:rPr>
        <w:t>puede</w:t>
      </w:r>
      <w:r w:rsidR="007150A6" w:rsidRPr="00826D62">
        <w:rPr>
          <w:rFonts w:ascii="Arial" w:hAnsi="Arial" w:cs="Arial"/>
          <w:color w:val="000000"/>
          <w:sz w:val="22"/>
          <w:szCs w:val="22"/>
        </w:rPr>
        <w:t xml:space="preserve"> comprobar la similitud de Ecuador en 1998 y Honduras 2014</w:t>
      </w:r>
      <w:r w:rsidR="004E0C02" w:rsidRPr="00826D62">
        <w:rPr>
          <w:rFonts w:ascii="Arial" w:hAnsi="Arial" w:cs="Arial"/>
          <w:color w:val="000000"/>
          <w:sz w:val="22"/>
          <w:szCs w:val="22"/>
        </w:rPr>
        <w:t>. Con ello se pretende mostrar que el modelo e</w:t>
      </w:r>
      <w:r w:rsidR="007150A6" w:rsidRPr="00826D62">
        <w:rPr>
          <w:rFonts w:ascii="Arial" w:hAnsi="Arial" w:cs="Arial"/>
          <w:color w:val="000000"/>
          <w:sz w:val="22"/>
          <w:szCs w:val="22"/>
        </w:rPr>
        <w:t>cuatoriano</w:t>
      </w:r>
      <w:r w:rsidR="00232319" w:rsidRPr="00826D62">
        <w:rPr>
          <w:rFonts w:ascii="Arial" w:hAnsi="Arial" w:cs="Arial"/>
          <w:color w:val="000000"/>
          <w:sz w:val="22"/>
          <w:szCs w:val="22"/>
        </w:rPr>
        <w:t>, adaptado al contexto hondureño,</w:t>
      </w:r>
      <w:r w:rsidR="007150A6" w:rsidRPr="00826D62">
        <w:rPr>
          <w:rFonts w:ascii="Arial" w:hAnsi="Arial" w:cs="Arial"/>
          <w:color w:val="000000"/>
          <w:sz w:val="22"/>
          <w:szCs w:val="22"/>
        </w:rPr>
        <w:t xml:space="preserve"> tiene una</w:t>
      </w:r>
      <w:r w:rsidR="00FC056A" w:rsidRPr="00826D62">
        <w:rPr>
          <w:rFonts w:ascii="Arial" w:hAnsi="Arial" w:cs="Arial"/>
          <w:color w:val="000000"/>
          <w:sz w:val="22"/>
          <w:szCs w:val="22"/>
        </w:rPr>
        <w:t xml:space="preserve"> </w:t>
      </w:r>
      <w:r w:rsidR="00232319" w:rsidRPr="00826D62">
        <w:rPr>
          <w:rFonts w:ascii="Arial" w:hAnsi="Arial" w:cs="Arial"/>
          <w:color w:val="000000"/>
          <w:sz w:val="22"/>
          <w:szCs w:val="22"/>
        </w:rPr>
        <w:t xml:space="preserve">buena posibilidad </w:t>
      </w:r>
      <w:r w:rsidR="007150A6" w:rsidRPr="00826D62">
        <w:rPr>
          <w:rFonts w:ascii="Arial" w:hAnsi="Arial" w:cs="Arial"/>
          <w:color w:val="000000"/>
          <w:sz w:val="22"/>
          <w:szCs w:val="22"/>
        </w:rPr>
        <w:t>de generar los resultados esper</w:t>
      </w:r>
      <w:r w:rsidR="004E0C02" w:rsidRPr="00826D62">
        <w:rPr>
          <w:rFonts w:ascii="Arial" w:hAnsi="Arial" w:cs="Arial"/>
          <w:color w:val="000000"/>
          <w:sz w:val="22"/>
          <w:szCs w:val="22"/>
        </w:rPr>
        <w:t>ados por las autoridades h</w:t>
      </w:r>
      <w:r w:rsidR="007150A6" w:rsidRPr="00826D62">
        <w:rPr>
          <w:rFonts w:ascii="Arial" w:hAnsi="Arial" w:cs="Arial"/>
          <w:color w:val="000000"/>
          <w:sz w:val="22"/>
          <w:szCs w:val="22"/>
        </w:rPr>
        <w:t>ondureñas.</w:t>
      </w:r>
      <w:r w:rsidR="00FA3E53" w:rsidRPr="00826D62">
        <w:rPr>
          <w:rFonts w:ascii="Arial" w:hAnsi="Arial" w:cs="Arial"/>
          <w:color w:val="000000"/>
          <w:sz w:val="22"/>
          <w:szCs w:val="22"/>
        </w:rPr>
        <w:t xml:space="preserve"> </w:t>
      </w:r>
    </w:p>
    <w:p w:rsidR="007150A6" w:rsidRPr="00826D62" w:rsidRDefault="006B324D" w:rsidP="00826D62">
      <w:pPr>
        <w:spacing w:before="120" w:after="40"/>
        <w:jc w:val="center"/>
        <w:rPr>
          <w:rFonts w:ascii="Arial" w:hAnsi="Arial" w:cs="Arial"/>
          <w:b/>
          <w:sz w:val="20"/>
          <w:szCs w:val="20"/>
        </w:rPr>
      </w:pPr>
      <w:r w:rsidRPr="00826D62">
        <w:rPr>
          <w:rFonts w:ascii="Arial" w:hAnsi="Arial" w:cs="Arial"/>
          <w:b/>
          <w:sz w:val="20"/>
          <w:szCs w:val="20"/>
        </w:rPr>
        <w:t>Cuadro 2</w:t>
      </w:r>
      <w:r w:rsidR="007150A6" w:rsidRPr="00826D62">
        <w:rPr>
          <w:rFonts w:ascii="Arial" w:hAnsi="Arial" w:cs="Arial"/>
          <w:b/>
          <w:sz w:val="20"/>
          <w:szCs w:val="20"/>
        </w:rPr>
        <w:t xml:space="preserve"> </w:t>
      </w:r>
      <w:r w:rsidR="002A65EA" w:rsidRPr="00826D62">
        <w:rPr>
          <w:rFonts w:ascii="Arial" w:hAnsi="Arial" w:cs="Arial"/>
          <w:b/>
          <w:sz w:val="20"/>
          <w:szCs w:val="20"/>
        </w:rPr>
        <w:t>–</w:t>
      </w:r>
      <w:r w:rsidR="007150A6" w:rsidRPr="00826D62">
        <w:rPr>
          <w:rFonts w:ascii="Arial" w:hAnsi="Arial" w:cs="Arial"/>
          <w:b/>
          <w:sz w:val="20"/>
          <w:szCs w:val="20"/>
        </w:rPr>
        <w:t xml:space="preserve"> </w:t>
      </w:r>
      <w:r w:rsidR="002A65EA" w:rsidRPr="00826D62">
        <w:rPr>
          <w:rFonts w:ascii="Arial" w:hAnsi="Arial" w:cs="Arial"/>
          <w:b/>
          <w:sz w:val="20"/>
          <w:szCs w:val="20"/>
        </w:rPr>
        <w:t>Comparativa entre Ecuador antes de la r</w:t>
      </w:r>
      <w:r w:rsidR="007150A6" w:rsidRPr="00826D62">
        <w:rPr>
          <w:rFonts w:ascii="Arial" w:hAnsi="Arial" w:cs="Arial"/>
          <w:b/>
          <w:sz w:val="20"/>
          <w:szCs w:val="20"/>
        </w:rPr>
        <w:t xml:space="preserve">eforma y Honduras </w:t>
      </w:r>
      <w:r w:rsidR="002A65EA" w:rsidRPr="00826D62">
        <w:rPr>
          <w:rFonts w:ascii="Arial" w:hAnsi="Arial" w:cs="Arial"/>
          <w:b/>
          <w:sz w:val="20"/>
          <w:szCs w:val="20"/>
        </w:rPr>
        <w:t>en la actualidad</w:t>
      </w:r>
    </w:p>
    <w:tbl>
      <w:tblPr>
        <w:tblStyle w:val="TableGrid"/>
        <w:tblW w:w="9288" w:type="dxa"/>
        <w:tblLook w:val="04A0" w:firstRow="1" w:lastRow="0" w:firstColumn="1" w:lastColumn="0" w:noHBand="0" w:noVBand="1"/>
      </w:tblPr>
      <w:tblGrid>
        <w:gridCol w:w="1818"/>
        <w:gridCol w:w="3735"/>
        <w:gridCol w:w="3735"/>
      </w:tblGrid>
      <w:tr w:rsidR="007150A6" w:rsidRPr="00826D62" w:rsidTr="00826D62">
        <w:tc>
          <w:tcPr>
            <w:tcW w:w="1818" w:type="dxa"/>
            <w:shd w:val="clear" w:color="auto" w:fill="BFBFBF" w:themeFill="background1" w:themeFillShade="BF"/>
          </w:tcPr>
          <w:p w:rsidR="007150A6" w:rsidRPr="00826D62" w:rsidRDefault="007150A6" w:rsidP="009022DD">
            <w:pPr>
              <w:jc w:val="center"/>
              <w:rPr>
                <w:rFonts w:ascii="Arial" w:hAnsi="Arial" w:cs="Arial"/>
                <w:b/>
                <w:sz w:val="20"/>
                <w:szCs w:val="20"/>
              </w:rPr>
            </w:pPr>
            <w:r w:rsidRPr="00826D62">
              <w:rPr>
                <w:rFonts w:ascii="Arial" w:hAnsi="Arial" w:cs="Arial"/>
                <w:b/>
                <w:sz w:val="20"/>
                <w:szCs w:val="20"/>
              </w:rPr>
              <w:t>Características</w:t>
            </w:r>
          </w:p>
        </w:tc>
        <w:tc>
          <w:tcPr>
            <w:tcW w:w="3735" w:type="dxa"/>
            <w:shd w:val="clear" w:color="auto" w:fill="BFBFBF" w:themeFill="background1" w:themeFillShade="BF"/>
          </w:tcPr>
          <w:p w:rsidR="007150A6" w:rsidRPr="00826D62" w:rsidRDefault="007150A6" w:rsidP="00EA7244">
            <w:pPr>
              <w:jc w:val="center"/>
              <w:rPr>
                <w:rFonts w:ascii="Arial" w:hAnsi="Arial" w:cs="Arial"/>
                <w:b/>
                <w:sz w:val="20"/>
                <w:szCs w:val="20"/>
              </w:rPr>
            </w:pPr>
            <w:r w:rsidRPr="00826D62">
              <w:rPr>
                <w:rFonts w:ascii="Arial" w:hAnsi="Arial" w:cs="Arial"/>
                <w:b/>
                <w:sz w:val="20"/>
                <w:szCs w:val="20"/>
              </w:rPr>
              <w:t xml:space="preserve">Ecuador </w:t>
            </w:r>
            <w:r w:rsidR="00EA7244" w:rsidRPr="00826D62">
              <w:rPr>
                <w:rFonts w:ascii="Arial" w:hAnsi="Arial" w:cs="Arial"/>
                <w:b/>
                <w:sz w:val="20"/>
                <w:szCs w:val="20"/>
              </w:rPr>
              <w:t>1998</w:t>
            </w:r>
          </w:p>
        </w:tc>
        <w:tc>
          <w:tcPr>
            <w:tcW w:w="3735" w:type="dxa"/>
            <w:shd w:val="clear" w:color="auto" w:fill="BFBFBF" w:themeFill="background1" w:themeFillShade="BF"/>
          </w:tcPr>
          <w:p w:rsidR="007150A6" w:rsidRPr="00826D62" w:rsidRDefault="007150A6" w:rsidP="009022DD">
            <w:pPr>
              <w:jc w:val="center"/>
              <w:rPr>
                <w:rFonts w:ascii="Arial" w:hAnsi="Arial" w:cs="Arial"/>
                <w:b/>
                <w:sz w:val="20"/>
                <w:szCs w:val="20"/>
              </w:rPr>
            </w:pPr>
            <w:r w:rsidRPr="00826D62">
              <w:rPr>
                <w:rFonts w:ascii="Arial" w:hAnsi="Arial" w:cs="Arial"/>
                <w:b/>
                <w:sz w:val="20"/>
                <w:szCs w:val="20"/>
              </w:rPr>
              <w:t>Honduras 2014</w:t>
            </w:r>
          </w:p>
        </w:tc>
      </w:tr>
      <w:tr w:rsidR="007150A6" w:rsidRPr="00826D62" w:rsidTr="00826D62">
        <w:trPr>
          <w:trHeight w:val="1304"/>
        </w:trPr>
        <w:tc>
          <w:tcPr>
            <w:tcW w:w="1818" w:type="dxa"/>
          </w:tcPr>
          <w:p w:rsidR="007150A6" w:rsidRPr="00826D62" w:rsidRDefault="007150A6" w:rsidP="009022DD">
            <w:pPr>
              <w:rPr>
                <w:rFonts w:ascii="Arial" w:hAnsi="Arial" w:cs="Arial"/>
                <w:b/>
                <w:sz w:val="20"/>
                <w:szCs w:val="20"/>
              </w:rPr>
            </w:pPr>
            <w:r w:rsidRPr="00826D62">
              <w:rPr>
                <w:rFonts w:ascii="Arial" w:hAnsi="Arial" w:cs="Arial"/>
                <w:b/>
                <w:sz w:val="20"/>
                <w:szCs w:val="20"/>
              </w:rPr>
              <w:t>Estructura de Impuestos y % recaudación</w:t>
            </w:r>
            <w:r w:rsidR="00FC056A">
              <w:rPr>
                <w:rFonts w:ascii="Arial" w:hAnsi="Arial" w:cs="Arial"/>
                <w:b/>
                <w:sz w:val="20"/>
                <w:szCs w:val="20"/>
              </w:rPr>
              <w:t xml:space="preserve"> </w:t>
            </w:r>
            <w:r w:rsidRPr="00826D62">
              <w:rPr>
                <w:rFonts w:ascii="Arial" w:hAnsi="Arial" w:cs="Arial"/>
                <w:b/>
                <w:sz w:val="20"/>
                <w:szCs w:val="20"/>
              </w:rPr>
              <w:t>/ PIB</w:t>
            </w:r>
          </w:p>
        </w:tc>
        <w:tc>
          <w:tcPr>
            <w:tcW w:w="3735" w:type="dxa"/>
          </w:tcPr>
          <w:p w:rsidR="007150A6" w:rsidRPr="00826D62" w:rsidRDefault="007150A6" w:rsidP="009022DD">
            <w:pPr>
              <w:pStyle w:val="ListParagraph"/>
              <w:ind w:left="342"/>
              <w:jc w:val="center"/>
              <w:rPr>
                <w:rFonts w:ascii="Arial" w:hAnsi="Arial" w:cs="Arial"/>
                <w:b/>
                <w:sz w:val="20"/>
                <w:szCs w:val="20"/>
              </w:rPr>
            </w:pPr>
            <w:r w:rsidRPr="00826D62">
              <w:rPr>
                <w:rFonts w:ascii="Arial" w:hAnsi="Arial" w:cs="Arial"/>
                <w:b/>
                <w:sz w:val="20"/>
                <w:szCs w:val="20"/>
              </w:rPr>
              <w:t>Dirección General de Rentas (DGR)</w:t>
            </w:r>
          </w:p>
          <w:p w:rsidR="007150A6" w:rsidRPr="00826D62" w:rsidRDefault="007150A6" w:rsidP="00FC15CE">
            <w:pPr>
              <w:pStyle w:val="ListParagraph"/>
              <w:numPr>
                <w:ilvl w:val="0"/>
                <w:numId w:val="5"/>
              </w:numPr>
              <w:ind w:left="342"/>
              <w:jc w:val="both"/>
              <w:rPr>
                <w:rFonts w:ascii="Arial" w:hAnsi="Arial" w:cs="Arial"/>
                <w:sz w:val="20"/>
                <w:szCs w:val="20"/>
              </w:rPr>
            </w:pPr>
            <w:r w:rsidRPr="00826D62">
              <w:rPr>
                <w:rFonts w:ascii="Arial" w:hAnsi="Arial" w:cs="Arial"/>
                <w:sz w:val="20"/>
                <w:szCs w:val="20"/>
              </w:rPr>
              <w:t>Ingresos Corrientes Totales (15.6)</w:t>
            </w:r>
          </w:p>
          <w:p w:rsidR="007150A6" w:rsidRPr="00826D62" w:rsidRDefault="007150A6" w:rsidP="00FC15CE">
            <w:pPr>
              <w:pStyle w:val="ListParagraph"/>
              <w:numPr>
                <w:ilvl w:val="0"/>
                <w:numId w:val="5"/>
              </w:numPr>
              <w:ind w:left="342"/>
              <w:jc w:val="both"/>
              <w:rPr>
                <w:rFonts w:ascii="Arial" w:hAnsi="Arial" w:cs="Arial"/>
                <w:sz w:val="20"/>
                <w:szCs w:val="20"/>
              </w:rPr>
            </w:pPr>
            <w:r w:rsidRPr="00826D62">
              <w:rPr>
                <w:rFonts w:ascii="Arial" w:hAnsi="Arial" w:cs="Arial"/>
                <w:sz w:val="20"/>
                <w:szCs w:val="20"/>
              </w:rPr>
              <w:t>Ingresos Administrados por la DGR</w:t>
            </w:r>
          </w:p>
          <w:p w:rsidR="007150A6" w:rsidRPr="00826D62" w:rsidRDefault="007150A6" w:rsidP="00FC15CE">
            <w:pPr>
              <w:pStyle w:val="ListParagraph"/>
              <w:numPr>
                <w:ilvl w:val="0"/>
                <w:numId w:val="5"/>
              </w:numPr>
              <w:ind w:left="342"/>
              <w:jc w:val="both"/>
              <w:rPr>
                <w:rFonts w:ascii="Arial" w:hAnsi="Arial" w:cs="Arial"/>
                <w:sz w:val="20"/>
                <w:szCs w:val="20"/>
              </w:rPr>
            </w:pPr>
            <w:r w:rsidRPr="00826D62">
              <w:rPr>
                <w:rFonts w:ascii="Arial" w:hAnsi="Arial" w:cs="Arial"/>
                <w:sz w:val="20"/>
                <w:szCs w:val="20"/>
              </w:rPr>
              <w:t>Impuesto al Valor Agregado – IVA</w:t>
            </w:r>
          </w:p>
          <w:p w:rsidR="007150A6" w:rsidRPr="00826D62" w:rsidRDefault="007150A6" w:rsidP="00FC15CE">
            <w:pPr>
              <w:pStyle w:val="ListParagraph"/>
              <w:numPr>
                <w:ilvl w:val="0"/>
                <w:numId w:val="5"/>
              </w:numPr>
              <w:ind w:left="342"/>
              <w:jc w:val="both"/>
              <w:rPr>
                <w:rFonts w:ascii="Arial" w:hAnsi="Arial" w:cs="Arial"/>
                <w:sz w:val="20"/>
                <w:szCs w:val="20"/>
              </w:rPr>
            </w:pPr>
            <w:r w:rsidRPr="00826D62">
              <w:rPr>
                <w:rFonts w:ascii="Arial" w:hAnsi="Arial" w:cs="Arial"/>
                <w:sz w:val="20"/>
                <w:szCs w:val="20"/>
              </w:rPr>
              <w:t xml:space="preserve">Impuesto a la Renta – IR </w:t>
            </w:r>
          </w:p>
          <w:p w:rsidR="007150A6" w:rsidRPr="00826D62" w:rsidRDefault="007150A6" w:rsidP="004572F4">
            <w:pPr>
              <w:pStyle w:val="ListParagraph"/>
              <w:numPr>
                <w:ilvl w:val="0"/>
                <w:numId w:val="5"/>
              </w:numPr>
              <w:ind w:left="342"/>
              <w:jc w:val="both"/>
              <w:rPr>
                <w:rFonts w:ascii="Arial" w:hAnsi="Arial" w:cs="Arial"/>
                <w:sz w:val="20"/>
                <w:szCs w:val="20"/>
              </w:rPr>
            </w:pPr>
            <w:r w:rsidRPr="00826D62">
              <w:rPr>
                <w:rFonts w:ascii="Arial" w:hAnsi="Arial" w:cs="Arial"/>
                <w:sz w:val="20"/>
                <w:szCs w:val="20"/>
              </w:rPr>
              <w:t xml:space="preserve">Otro Ingresos </w:t>
            </w:r>
          </w:p>
        </w:tc>
        <w:tc>
          <w:tcPr>
            <w:tcW w:w="3735" w:type="dxa"/>
          </w:tcPr>
          <w:p w:rsidR="007150A6" w:rsidRPr="00826D62" w:rsidRDefault="007150A6" w:rsidP="009022DD">
            <w:pPr>
              <w:pStyle w:val="ListParagraph"/>
              <w:ind w:left="342"/>
              <w:jc w:val="center"/>
              <w:rPr>
                <w:rFonts w:ascii="Arial" w:hAnsi="Arial" w:cs="Arial"/>
                <w:b/>
                <w:sz w:val="20"/>
                <w:szCs w:val="20"/>
              </w:rPr>
            </w:pPr>
            <w:r w:rsidRPr="00826D62">
              <w:rPr>
                <w:rFonts w:ascii="Arial" w:hAnsi="Arial" w:cs="Arial"/>
                <w:b/>
                <w:sz w:val="20"/>
                <w:szCs w:val="20"/>
              </w:rPr>
              <w:t>Dirección Ejecutiva de Ingresos (DEI)</w:t>
            </w:r>
          </w:p>
          <w:p w:rsidR="007150A6" w:rsidRPr="00826D62" w:rsidRDefault="007150A6" w:rsidP="00FC15CE">
            <w:pPr>
              <w:pStyle w:val="ListParagraph"/>
              <w:numPr>
                <w:ilvl w:val="0"/>
                <w:numId w:val="8"/>
              </w:numPr>
              <w:ind w:left="342"/>
              <w:jc w:val="both"/>
              <w:rPr>
                <w:rFonts w:ascii="Arial" w:hAnsi="Arial" w:cs="Arial"/>
                <w:sz w:val="20"/>
                <w:szCs w:val="20"/>
              </w:rPr>
            </w:pPr>
            <w:r w:rsidRPr="00826D62">
              <w:rPr>
                <w:rFonts w:ascii="Arial" w:hAnsi="Arial" w:cs="Arial"/>
                <w:sz w:val="20"/>
                <w:szCs w:val="20"/>
              </w:rPr>
              <w:t>I</w:t>
            </w:r>
            <w:r w:rsidR="003D0D2F" w:rsidRPr="00826D62">
              <w:rPr>
                <w:rFonts w:ascii="Arial" w:hAnsi="Arial" w:cs="Arial"/>
                <w:sz w:val="20"/>
                <w:szCs w:val="20"/>
              </w:rPr>
              <w:t>ngresos Corrientes Totales (18.7</w:t>
            </w:r>
            <w:r w:rsidRPr="00826D62">
              <w:rPr>
                <w:rFonts w:ascii="Arial" w:hAnsi="Arial" w:cs="Arial"/>
                <w:sz w:val="20"/>
                <w:szCs w:val="20"/>
              </w:rPr>
              <w:t>)</w:t>
            </w:r>
          </w:p>
          <w:p w:rsidR="007150A6" w:rsidRPr="00826D62" w:rsidRDefault="007150A6" w:rsidP="00FC15CE">
            <w:pPr>
              <w:pStyle w:val="ListParagraph"/>
              <w:numPr>
                <w:ilvl w:val="0"/>
                <w:numId w:val="8"/>
              </w:numPr>
              <w:ind w:left="342"/>
              <w:jc w:val="both"/>
              <w:rPr>
                <w:rFonts w:ascii="Arial" w:hAnsi="Arial" w:cs="Arial"/>
                <w:sz w:val="20"/>
                <w:szCs w:val="20"/>
              </w:rPr>
            </w:pPr>
            <w:r w:rsidRPr="00826D62">
              <w:rPr>
                <w:rFonts w:ascii="Arial" w:hAnsi="Arial" w:cs="Arial"/>
                <w:sz w:val="20"/>
                <w:szCs w:val="20"/>
              </w:rPr>
              <w:t xml:space="preserve">Ingresos Administrados por la DEI </w:t>
            </w:r>
          </w:p>
          <w:p w:rsidR="007150A6" w:rsidRPr="00826D62" w:rsidRDefault="007150A6" w:rsidP="00FC15CE">
            <w:pPr>
              <w:pStyle w:val="ListParagraph"/>
              <w:numPr>
                <w:ilvl w:val="0"/>
                <w:numId w:val="8"/>
              </w:numPr>
              <w:ind w:left="342"/>
              <w:jc w:val="both"/>
              <w:rPr>
                <w:rFonts w:ascii="Arial" w:hAnsi="Arial" w:cs="Arial"/>
                <w:sz w:val="20"/>
                <w:szCs w:val="20"/>
              </w:rPr>
            </w:pPr>
            <w:r w:rsidRPr="00826D62">
              <w:rPr>
                <w:rFonts w:ascii="Arial" w:hAnsi="Arial" w:cs="Arial"/>
                <w:sz w:val="20"/>
                <w:szCs w:val="20"/>
              </w:rPr>
              <w:t>Impuesto al Valor Agregado – IVA</w:t>
            </w:r>
          </w:p>
          <w:p w:rsidR="007150A6" w:rsidRPr="00826D62" w:rsidRDefault="007150A6" w:rsidP="00FC15CE">
            <w:pPr>
              <w:pStyle w:val="ListParagraph"/>
              <w:numPr>
                <w:ilvl w:val="0"/>
                <w:numId w:val="8"/>
              </w:numPr>
              <w:ind w:left="342"/>
              <w:jc w:val="both"/>
              <w:rPr>
                <w:rFonts w:ascii="Arial" w:hAnsi="Arial" w:cs="Arial"/>
                <w:sz w:val="20"/>
                <w:szCs w:val="20"/>
              </w:rPr>
            </w:pPr>
            <w:r w:rsidRPr="00826D62">
              <w:rPr>
                <w:rFonts w:ascii="Arial" w:hAnsi="Arial" w:cs="Arial"/>
                <w:sz w:val="20"/>
                <w:szCs w:val="20"/>
              </w:rPr>
              <w:t xml:space="preserve">Impuesto a la Renta – IR </w:t>
            </w:r>
          </w:p>
          <w:p w:rsidR="007150A6" w:rsidRPr="00826D62" w:rsidRDefault="003D0D2F" w:rsidP="00FC15CE">
            <w:pPr>
              <w:pStyle w:val="ListParagraph"/>
              <w:numPr>
                <w:ilvl w:val="0"/>
                <w:numId w:val="8"/>
              </w:numPr>
              <w:ind w:left="342"/>
              <w:jc w:val="both"/>
              <w:rPr>
                <w:rFonts w:ascii="Arial" w:hAnsi="Arial" w:cs="Arial"/>
                <w:sz w:val="20"/>
                <w:szCs w:val="20"/>
              </w:rPr>
            </w:pPr>
            <w:r w:rsidRPr="00826D62">
              <w:rPr>
                <w:rFonts w:ascii="Arial" w:hAnsi="Arial" w:cs="Arial"/>
                <w:sz w:val="20"/>
                <w:szCs w:val="20"/>
              </w:rPr>
              <w:t xml:space="preserve">Otro Ingresos </w:t>
            </w:r>
          </w:p>
        </w:tc>
      </w:tr>
      <w:tr w:rsidR="00CF6F09" w:rsidRPr="00826D62" w:rsidTr="00826D62">
        <w:tc>
          <w:tcPr>
            <w:tcW w:w="1818" w:type="dxa"/>
          </w:tcPr>
          <w:p w:rsidR="00CF6F09" w:rsidRPr="00826D62" w:rsidRDefault="00CF6F09" w:rsidP="009022DD">
            <w:pPr>
              <w:rPr>
                <w:rFonts w:ascii="Arial" w:hAnsi="Arial" w:cs="Arial"/>
                <w:b/>
                <w:sz w:val="20"/>
                <w:szCs w:val="20"/>
              </w:rPr>
            </w:pPr>
            <w:r w:rsidRPr="00826D62">
              <w:rPr>
                <w:rFonts w:ascii="Arial" w:hAnsi="Arial" w:cs="Arial"/>
                <w:b/>
                <w:sz w:val="20"/>
                <w:szCs w:val="20"/>
              </w:rPr>
              <w:t>Problemática común a las dos administración Tributarias</w:t>
            </w:r>
          </w:p>
        </w:tc>
        <w:tc>
          <w:tcPr>
            <w:tcW w:w="7470" w:type="dxa"/>
            <w:gridSpan w:val="2"/>
          </w:tcPr>
          <w:p w:rsidR="00CF6F09" w:rsidRPr="00826D62" w:rsidRDefault="00CF6F09" w:rsidP="00FC15CE">
            <w:pPr>
              <w:pStyle w:val="ListParagraph"/>
              <w:numPr>
                <w:ilvl w:val="0"/>
                <w:numId w:val="9"/>
              </w:numPr>
              <w:ind w:left="342" w:hanging="342"/>
              <w:jc w:val="both"/>
              <w:rPr>
                <w:rFonts w:ascii="Arial" w:hAnsi="Arial" w:cs="Arial"/>
                <w:sz w:val="20"/>
                <w:szCs w:val="20"/>
              </w:rPr>
            </w:pPr>
            <w:r w:rsidRPr="00826D62">
              <w:rPr>
                <w:rFonts w:ascii="Arial" w:hAnsi="Arial" w:cs="Arial"/>
                <w:sz w:val="20"/>
                <w:szCs w:val="20"/>
              </w:rPr>
              <w:t>Estructura organizacional inadecuada para implementar una administración moderna</w:t>
            </w:r>
            <w:r w:rsidR="005A7EA2" w:rsidRPr="00826D62">
              <w:rPr>
                <w:rFonts w:ascii="Arial" w:hAnsi="Arial" w:cs="Arial"/>
                <w:sz w:val="20"/>
                <w:szCs w:val="20"/>
              </w:rPr>
              <w:t>.</w:t>
            </w:r>
          </w:p>
          <w:p w:rsidR="00CF6F09" w:rsidRPr="00826D62" w:rsidRDefault="00386B83" w:rsidP="00FC15CE">
            <w:pPr>
              <w:pStyle w:val="ListParagraph"/>
              <w:numPr>
                <w:ilvl w:val="0"/>
                <w:numId w:val="9"/>
              </w:numPr>
              <w:ind w:left="342" w:hanging="342"/>
              <w:jc w:val="both"/>
              <w:rPr>
                <w:rFonts w:ascii="Arial" w:hAnsi="Arial" w:cs="Arial"/>
                <w:sz w:val="20"/>
                <w:szCs w:val="20"/>
              </w:rPr>
            </w:pPr>
            <w:r w:rsidRPr="00826D62">
              <w:rPr>
                <w:rFonts w:ascii="Arial" w:hAnsi="Arial" w:cs="Arial"/>
                <w:sz w:val="20"/>
                <w:szCs w:val="20"/>
              </w:rPr>
              <w:t>Procesos tributarios ineficaces para llevar a cabo</w:t>
            </w:r>
            <w:r w:rsidR="00FC056A">
              <w:rPr>
                <w:rFonts w:ascii="Arial" w:hAnsi="Arial" w:cs="Arial"/>
                <w:sz w:val="20"/>
                <w:szCs w:val="20"/>
              </w:rPr>
              <w:t xml:space="preserve"> </w:t>
            </w:r>
            <w:r w:rsidRPr="00826D62">
              <w:rPr>
                <w:rFonts w:ascii="Arial" w:hAnsi="Arial" w:cs="Arial"/>
                <w:sz w:val="20"/>
                <w:szCs w:val="20"/>
              </w:rPr>
              <w:t>una gestión de la Administración Tributaria de acuerdo con los principios constitucionales (ver indicadores de gestión).</w:t>
            </w:r>
          </w:p>
          <w:p w:rsidR="00386B83" w:rsidRPr="00826D62" w:rsidRDefault="00386B83" w:rsidP="00FC15CE">
            <w:pPr>
              <w:pStyle w:val="ListParagraph"/>
              <w:numPr>
                <w:ilvl w:val="0"/>
                <w:numId w:val="9"/>
              </w:numPr>
              <w:ind w:left="342" w:hanging="342"/>
              <w:jc w:val="both"/>
              <w:rPr>
                <w:rFonts w:ascii="Arial" w:hAnsi="Arial" w:cs="Arial"/>
                <w:sz w:val="20"/>
                <w:szCs w:val="20"/>
              </w:rPr>
            </w:pPr>
            <w:r w:rsidRPr="00826D62">
              <w:rPr>
                <w:rFonts w:ascii="Arial" w:hAnsi="Arial" w:cs="Arial"/>
                <w:sz w:val="20"/>
                <w:szCs w:val="20"/>
              </w:rPr>
              <w:t>Debilidad en la gestión de información para fiscalizar y cobrar a los contribuyentes de manera eficiente y equitativa</w:t>
            </w:r>
            <w:r w:rsidR="005A7EA2" w:rsidRPr="00826D62">
              <w:rPr>
                <w:rFonts w:ascii="Arial" w:hAnsi="Arial" w:cs="Arial"/>
                <w:sz w:val="20"/>
                <w:szCs w:val="20"/>
              </w:rPr>
              <w:t>.</w:t>
            </w:r>
          </w:p>
          <w:p w:rsidR="00386B83" w:rsidRPr="00826D62" w:rsidRDefault="00386B83" w:rsidP="00FC15CE">
            <w:pPr>
              <w:pStyle w:val="ListParagraph"/>
              <w:numPr>
                <w:ilvl w:val="0"/>
                <w:numId w:val="9"/>
              </w:numPr>
              <w:ind w:left="342" w:hanging="342"/>
              <w:jc w:val="both"/>
              <w:rPr>
                <w:rFonts w:ascii="Arial" w:hAnsi="Arial" w:cs="Arial"/>
                <w:sz w:val="20"/>
                <w:szCs w:val="20"/>
              </w:rPr>
            </w:pPr>
            <w:r w:rsidRPr="00826D62">
              <w:rPr>
                <w:rFonts w:ascii="Arial" w:hAnsi="Arial" w:cs="Arial"/>
                <w:sz w:val="20"/>
                <w:szCs w:val="20"/>
              </w:rPr>
              <w:t xml:space="preserve">Baja profesionalización del talento humano para llevar a cabo el mandato institucional de la </w:t>
            </w:r>
            <w:r w:rsidR="005A7EA2" w:rsidRPr="00826D62">
              <w:rPr>
                <w:rFonts w:ascii="Arial" w:hAnsi="Arial" w:cs="Arial"/>
                <w:sz w:val="20"/>
                <w:szCs w:val="20"/>
              </w:rPr>
              <w:t>Administración Tributaria.</w:t>
            </w:r>
          </w:p>
        </w:tc>
      </w:tr>
      <w:tr w:rsidR="00386B83" w:rsidRPr="00826D62" w:rsidTr="00826D62">
        <w:tc>
          <w:tcPr>
            <w:tcW w:w="1818" w:type="dxa"/>
          </w:tcPr>
          <w:p w:rsidR="00386B83" w:rsidRPr="00826D62" w:rsidRDefault="00386B83" w:rsidP="009022DD">
            <w:pPr>
              <w:rPr>
                <w:rFonts w:ascii="Arial" w:hAnsi="Arial" w:cs="Arial"/>
                <w:b/>
                <w:sz w:val="20"/>
                <w:szCs w:val="20"/>
              </w:rPr>
            </w:pPr>
            <w:r w:rsidRPr="00826D62">
              <w:rPr>
                <w:rFonts w:ascii="Arial" w:hAnsi="Arial" w:cs="Arial"/>
                <w:b/>
                <w:sz w:val="20"/>
                <w:szCs w:val="20"/>
              </w:rPr>
              <w:t xml:space="preserve">Indicadores de </w:t>
            </w:r>
            <w:r w:rsidR="00955CB6" w:rsidRPr="00826D62">
              <w:rPr>
                <w:rFonts w:ascii="Arial" w:hAnsi="Arial" w:cs="Arial"/>
                <w:b/>
                <w:sz w:val="20"/>
                <w:szCs w:val="20"/>
              </w:rPr>
              <w:t>gestión</w:t>
            </w:r>
          </w:p>
        </w:tc>
        <w:tc>
          <w:tcPr>
            <w:tcW w:w="3735" w:type="dxa"/>
          </w:tcPr>
          <w:p w:rsidR="00386B83" w:rsidRPr="00826D62" w:rsidRDefault="00EA7244" w:rsidP="00FC15CE">
            <w:pPr>
              <w:pStyle w:val="ListParagraph"/>
              <w:numPr>
                <w:ilvl w:val="0"/>
                <w:numId w:val="10"/>
              </w:numPr>
              <w:tabs>
                <w:tab w:val="left" w:pos="342"/>
              </w:tabs>
              <w:ind w:left="342" w:hanging="342"/>
              <w:rPr>
                <w:rFonts w:ascii="Arial" w:hAnsi="Arial" w:cs="Arial"/>
                <w:sz w:val="20"/>
                <w:szCs w:val="20"/>
              </w:rPr>
            </w:pPr>
            <w:r w:rsidRPr="00826D62">
              <w:rPr>
                <w:rFonts w:ascii="Arial" w:hAnsi="Arial" w:cs="Arial"/>
                <w:sz w:val="20"/>
                <w:szCs w:val="20"/>
              </w:rPr>
              <w:t>Ratio RUC Activos / Inscripciones RUC (28.6%)</w:t>
            </w:r>
          </w:p>
          <w:p w:rsidR="00EA7244" w:rsidRPr="00826D62" w:rsidRDefault="00EA7244" w:rsidP="00FC15CE">
            <w:pPr>
              <w:pStyle w:val="ListParagraph"/>
              <w:numPr>
                <w:ilvl w:val="0"/>
                <w:numId w:val="10"/>
              </w:numPr>
              <w:tabs>
                <w:tab w:val="left" w:pos="342"/>
              </w:tabs>
              <w:ind w:left="342" w:hanging="342"/>
              <w:rPr>
                <w:rFonts w:ascii="Arial" w:hAnsi="Arial" w:cs="Arial"/>
                <w:sz w:val="20"/>
                <w:szCs w:val="20"/>
              </w:rPr>
            </w:pPr>
            <w:r w:rsidRPr="00826D62">
              <w:rPr>
                <w:rFonts w:ascii="Arial" w:hAnsi="Arial" w:cs="Arial"/>
                <w:sz w:val="20"/>
                <w:szCs w:val="20"/>
              </w:rPr>
              <w:t>Ratio RUC</w:t>
            </w:r>
            <w:r w:rsidR="005A7EA2" w:rsidRPr="00826D62">
              <w:rPr>
                <w:rFonts w:ascii="Arial" w:hAnsi="Arial" w:cs="Arial"/>
                <w:sz w:val="20"/>
                <w:szCs w:val="20"/>
              </w:rPr>
              <w:t xml:space="preserve"> Activos </w:t>
            </w:r>
            <w:r w:rsidRPr="00826D62">
              <w:rPr>
                <w:rFonts w:ascii="Arial" w:hAnsi="Arial" w:cs="Arial"/>
                <w:sz w:val="20"/>
                <w:szCs w:val="20"/>
              </w:rPr>
              <w:t>/</w:t>
            </w:r>
            <w:r w:rsidR="005A7EA2" w:rsidRPr="00826D62">
              <w:rPr>
                <w:rFonts w:ascii="Arial" w:hAnsi="Arial" w:cs="Arial"/>
                <w:sz w:val="20"/>
                <w:szCs w:val="20"/>
              </w:rPr>
              <w:t xml:space="preserve"> </w:t>
            </w:r>
            <w:r w:rsidRPr="00826D62">
              <w:rPr>
                <w:rFonts w:ascii="Arial" w:hAnsi="Arial" w:cs="Arial"/>
                <w:sz w:val="20"/>
                <w:szCs w:val="20"/>
              </w:rPr>
              <w:t>PEA (4.5%)</w:t>
            </w:r>
          </w:p>
          <w:p w:rsidR="00EA7244" w:rsidRPr="00826D62" w:rsidRDefault="00EA7244" w:rsidP="00FC15CE">
            <w:pPr>
              <w:pStyle w:val="ListParagraph"/>
              <w:numPr>
                <w:ilvl w:val="0"/>
                <w:numId w:val="10"/>
              </w:numPr>
              <w:tabs>
                <w:tab w:val="left" w:pos="342"/>
              </w:tabs>
              <w:ind w:left="342" w:hanging="342"/>
              <w:rPr>
                <w:rFonts w:ascii="Arial" w:hAnsi="Arial" w:cs="Arial"/>
                <w:sz w:val="20"/>
                <w:szCs w:val="20"/>
              </w:rPr>
            </w:pPr>
            <w:r w:rsidRPr="00826D62">
              <w:rPr>
                <w:rFonts w:ascii="Arial" w:hAnsi="Arial" w:cs="Arial"/>
                <w:sz w:val="20"/>
                <w:szCs w:val="20"/>
              </w:rPr>
              <w:t>Ratio</w:t>
            </w:r>
            <w:r w:rsidR="00FC056A">
              <w:rPr>
                <w:rFonts w:ascii="Arial" w:hAnsi="Arial" w:cs="Arial"/>
                <w:sz w:val="20"/>
                <w:szCs w:val="20"/>
              </w:rPr>
              <w:t xml:space="preserve"> </w:t>
            </w:r>
            <w:r w:rsidRPr="00826D62">
              <w:rPr>
                <w:rFonts w:ascii="Arial" w:hAnsi="Arial" w:cs="Arial"/>
                <w:sz w:val="20"/>
                <w:szCs w:val="20"/>
              </w:rPr>
              <w:t>Factura/</w:t>
            </w:r>
            <w:r w:rsidR="00E639F4" w:rsidRPr="00826D62">
              <w:rPr>
                <w:rFonts w:ascii="Arial" w:hAnsi="Arial" w:cs="Arial"/>
                <w:sz w:val="20"/>
                <w:szCs w:val="20"/>
              </w:rPr>
              <w:t xml:space="preserve"> Inscripciones RUC </w:t>
            </w:r>
            <w:r w:rsidRPr="00826D62">
              <w:rPr>
                <w:rFonts w:ascii="Arial" w:hAnsi="Arial" w:cs="Arial"/>
                <w:sz w:val="20"/>
                <w:szCs w:val="20"/>
              </w:rPr>
              <w:t>(21.6%)</w:t>
            </w:r>
          </w:p>
          <w:p w:rsidR="00EA7244" w:rsidRPr="00826D62" w:rsidRDefault="00EA7244" w:rsidP="00FC15CE">
            <w:pPr>
              <w:pStyle w:val="ListParagraph"/>
              <w:numPr>
                <w:ilvl w:val="0"/>
                <w:numId w:val="10"/>
              </w:numPr>
              <w:tabs>
                <w:tab w:val="left" w:pos="342"/>
              </w:tabs>
              <w:ind w:left="342" w:hanging="342"/>
              <w:rPr>
                <w:rFonts w:ascii="Arial" w:hAnsi="Arial" w:cs="Arial"/>
                <w:sz w:val="20"/>
                <w:szCs w:val="20"/>
              </w:rPr>
            </w:pPr>
            <w:r w:rsidRPr="00826D62">
              <w:rPr>
                <w:rFonts w:ascii="Arial" w:hAnsi="Arial" w:cs="Arial"/>
                <w:sz w:val="20"/>
                <w:szCs w:val="20"/>
              </w:rPr>
              <w:t xml:space="preserve">Ratio Declaraciones / </w:t>
            </w:r>
            <w:r w:rsidR="00E639F4" w:rsidRPr="00826D62">
              <w:rPr>
                <w:rFonts w:ascii="Arial" w:hAnsi="Arial" w:cs="Arial"/>
                <w:sz w:val="20"/>
                <w:szCs w:val="20"/>
              </w:rPr>
              <w:t xml:space="preserve">Inscripciones RUC </w:t>
            </w:r>
            <w:r w:rsidRPr="00826D62">
              <w:rPr>
                <w:rFonts w:ascii="Arial" w:hAnsi="Arial" w:cs="Arial"/>
                <w:sz w:val="20"/>
                <w:szCs w:val="20"/>
              </w:rPr>
              <w:t>(22.0%)</w:t>
            </w:r>
          </w:p>
        </w:tc>
        <w:tc>
          <w:tcPr>
            <w:tcW w:w="3735" w:type="dxa"/>
          </w:tcPr>
          <w:p w:rsidR="00EA7244" w:rsidRPr="00826D62" w:rsidRDefault="00EA7244" w:rsidP="00FC15CE">
            <w:pPr>
              <w:pStyle w:val="ListParagraph"/>
              <w:numPr>
                <w:ilvl w:val="0"/>
                <w:numId w:val="11"/>
              </w:numPr>
              <w:tabs>
                <w:tab w:val="left" w:pos="342"/>
              </w:tabs>
              <w:ind w:left="342" w:hanging="342"/>
              <w:rPr>
                <w:rFonts w:ascii="Arial" w:hAnsi="Arial" w:cs="Arial"/>
                <w:sz w:val="20"/>
                <w:szCs w:val="20"/>
              </w:rPr>
            </w:pPr>
            <w:r w:rsidRPr="00826D62">
              <w:rPr>
                <w:rFonts w:ascii="Arial" w:hAnsi="Arial" w:cs="Arial"/>
                <w:sz w:val="20"/>
                <w:szCs w:val="20"/>
              </w:rPr>
              <w:t>Ratio RUC Activos / Inscripciones RUC (12.2%)</w:t>
            </w:r>
          </w:p>
          <w:p w:rsidR="00EA7244" w:rsidRPr="00826D62" w:rsidRDefault="00EA7244" w:rsidP="00FC15CE">
            <w:pPr>
              <w:pStyle w:val="ListParagraph"/>
              <w:numPr>
                <w:ilvl w:val="0"/>
                <w:numId w:val="11"/>
              </w:numPr>
              <w:tabs>
                <w:tab w:val="left" w:pos="342"/>
              </w:tabs>
              <w:ind w:left="342" w:hanging="342"/>
              <w:rPr>
                <w:rFonts w:ascii="Arial" w:hAnsi="Arial" w:cs="Arial"/>
                <w:sz w:val="20"/>
                <w:szCs w:val="20"/>
              </w:rPr>
            </w:pPr>
            <w:r w:rsidRPr="00826D62">
              <w:rPr>
                <w:rFonts w:ascii="Arial" w:hAnsi="Arial" w:cs="Arial"/>
                <w:sz w:val="20"/>
                <w:szCs w:val="20"/>
              </w:rPr>
              <w:t>Ratio RUC</w:t>
            </w:r>
            <w:r w:rsidR="005A7EA2" w:rsidRPr="00826D62">
              <w:rPr>
                <w:rFonts w:ascii="Arial" w:hAnsi="Arial" w:cs="Arial"/>
                <w:sz w:val="20"/>
                <w:szCs w:val="20"/>
              </w:rPr>
              <w:t xml:space="preserve"> Activos </w:t>
            </w:r>
            <w:r w:rsidRPr="00826D62">
              <w:rPr>
                <w:rFonts w:ascii="Arial" w:hAnsi="Arial" w:cs="Arial"/>
                <w:sz w:val="20"/>
                <w:szCs w:val="20"/>
              </w:rPr>
              <w:t>/</w:t>
            </w:r>
            <w:r w:rsidR="005A7EA2" w:rsidRPr="00826D62">
              <w:rPr>
                <w:rFonts w:ascii="Arial" w:hAnsi="Arial" w:cs="Arial"/>
                <w:sz w:val="20"/>
                <w:szCs w:val="20"/>
              </w:rPr>
              <w:t xml:space="preserve"> </w:t>
            </w:r>
            <w:r w:rsidRPr="00826D62">
              <w:rPr>
                <w:rFonts w:ascii="Arial" w:hAnsi="Arial" w:cs="Arial"/>
                <w:sz w:val="20"/>
                <w:szCs w:val="20"/>
              </w:rPr>
              <w:t>PEA (2.7%)</w:t>
            </w:r>
          </w:p>
          <w:p w:rsidR="00EA7244" w:rsidRPr="00826D62" w:rsidRDefault="00EA7244" w:rsidP="00FC15CE">
            <w:pPr>
              <w:pStyle w:val="ListParagraph"/>
              <w:numPr>
                <w:ilvl w:val="0"/>
                <w:numId w:val="11"/>
              </w:numPr>
              <w:tabs>
                <w:tab w:val="left" w:pos="342"/>
              </w:tabs>
              <w:ind w:left="342" w:hanging="342"/>
              <w:rPr>
                <w:rFonts w:ascii="Arial" w:hAnsi="Arial" w:cs="Arial"/>
                <w:sz w:val="20"/>
                <w:szCs w:val="20"/>
              </w:rPr>
            </w:pPr>
            <w:r w:rsidRPr="00826D62">
              <w:rPr>
                <w:rFonts w:ascii="Arial" w:hAnsi="Arial" w:cs="Arial"/>
                <w:sz w:val="20"/>
                <w:szCs w:val="20"/>
              </w:rPr>
              <w:t>Ratio</w:t>
            </w:r>
            <w:r w:rsidR="00FC056A">
              <w:rPr>
                <w:rFonts w:ascii="Arial" w:hAnsi="Arial" w:cs="Arial"/>
                <w:sz w:val="20"/>
                <w:szCs w:val="20"/>
              </w:rPr>
              <w:t xml:space="preserve"> </w:t>
            </w:r>
            <w:r w:rsidRPr="00826D62">
              <w:rPr>
                <w:rFonts w:ascii="Arial" w:hAnsi="Arial" w:cs="Arial"/>
                <w:sz w:val="20"/>
                <w:szCs w:val="20"/>
              </w:rPr>
              <w:t>Factura</w:t>
            </w:r>
            <w:r w:rsidR="00E639F4" w:rsidRPr="00826D62">
              <w:rPr>
                <w:rFonts w:ascii="Arial" w:hAnsi="Arial" w:cs="Arial"/>
                <w:sz w:val="20"/>
                <w:szCs w:val="20"/>
              </w:rPr>
              <w:t xml:space="preserve"> </w:t>
            </w:r>
            <w:r w:rsidRPr="00826D62">
              <w:rPr>
                <w:rFonts w:ascii="Arial" w:hAnsi="Arial" w:cs="Arial"/>
                <w:sz w:val="20"/>
                <w:szCs w:val="20"/>
              </w:rPr>
              <w:t>/</w:t>
            </w:r>
            <w:r w:rsidR="00E639F4" w:rsidRPr="00826D62">
              <w:rPr>
                <w:rFonts w:ascii="Arial" w:hAnsi="Arial" w:cs="Arial"/>
                <w:sz w:val="20"/>
                <w:szCs w:val="20"/>
              </w:rPr>
              <w:t xml:space="preserve"> Inscripciones RUC </w:t>
            </w:r>
            <w:r w:rsidRPr="00826D62">
              <w:rPr>
                <w:rFonts w:ascii="Arial" w:hAnsi="Arial" w:cs="Arial"/>
                <w:sz w:val="20"/>
                <w:szCs w:val="20"/>
              </w:rPr>
              <w:t>(1.9%</w:t>
            </w:r>
            <w:r w:rsidR="00E639F4" w:rsidRPr="00826D62">
              <w:rPr>
                <w:rFonts w:ascii="Arial" w:hAnsi="Arial" w:cs="Arial"/>
                <w:sz w:val="20"/>
                <w:szCs w:val="20"/>
              </w:rPr>
              <w:t>)</w:t>
            </w:r>
          </w:p>
          <w:p w:rsidR="00386B83" w:rsidRPr="00826D62" w:rsidRDefault="00EA7244" w:rsidP="00FC15CE">
            <w:pPr>
              <w:pStyle w:val="ListParagraph"/>
              <w:numPr>
                <w:ilvl w:val="0"/>
                <w:numId w:val="11"/>
              </w:numPr>
              <w:tabs>
                <w:tab w:val="left" w:pos="342"/>
              </w:tabs>
              <w:ind w:left="342" w:hanging="342"/>
              <w:rPr>
                <w:rFonts w:ascii="Arial" w:hAnsi="Arial" w:cs="Arial"/>
                <w:sz w:val="20"/>
                <w:szCs w:val="20"/>
              </w:rPr>
            </w:pPr>
            <w:r w:rsidRPr="00826D62">
              <w:rPr>
                <w:rFonts w:ascii="Arial" w:hAnsi="Arial" w:cs="Arial"/>
                <w:sz w:val="20"/>
                <w:szCs w:val="20"/>
              </w:rPr>
              <w:t xml:space="preserve">Ratio Declaraciones / </w:t>
            </w:r>
            <w:r w:rsidR="00E639F4" w:rsidRPr="00826D62">
              <w:rPr>
                <w:rFonts w:ascii="Arial" w:hAnsi="Arial" w:cs="Arial"/>
                <w:sz w:val="20"/>
                <w:szCs w:val="20"/>
              </w:rPr>
              <w:t xml:space="preserve">Inscripciones RUC </w:t>
            </w:r>
            <w:r w:rsidRPr="00826D62">
              <w:rPr>
                <w:rFonts w:ascii="Arial" w:hAnsi="Arial" w:cs="Arial"/>
                <w:sz w:val="20"/>
                <w:szCs w:val="20"/>
              </w:rPr>
              <w:t>(6.99%)</w:t>
            </w:r>
          </w:p>
        </w:tc>
      </w:tr>
      <w:tr w:rsidR="007150A6" w:rsidRPr="00826D62" w:rsidTr="00826D62">
        <w:tc>
          <w:tcPr>
            <w:tcW w:w="1818" w:type="dxa"/>
          </w:tcPr>
          <w:p w:rsidR="007150A6" w:rsidRPr="00826D62" w:rsidRDefault="00FA3E53" w:rsidP="009022DD">
            <w:pPr>
              <w:rPr>
                <w:rFonts w:ascii="Arial" w:hAnsi="Arial" w:cs="Arial"/>
                <w:b/>
                <w:sz w:val="20"/>
                <w:szCs w:val="20"/>
              </w:rPr>
            </w:pPr>
            <w:r w:rsidRPr="00826D62">
              <w:rPr>
                <w:rFonts w:ascii="Arial" w:hAnsi="Arial" w:cs="Arial"/>
                <w:b/>
                <w:sz w:val="20"/>
                <w:szCs w:val="20"/>
              </w:rPr>
              <w:t xml:space="preserve">Los </w:t>
            </w:r>
            <w:r w:rsidR="00955CB6" w:rsidRPr="00826D62">
              <w:rPr>
                <w:rFonts w:ascii="Arial" w:hAnsi="Arial" w:cs="Arial"/>
                <w:b/>
                <w:sz w:val="20"/>
                <w:szCs w:val="20"/>
              </w:rPr>
              <w:t>programas de modernización</w:t>
            </w:r>
          </w:p>
        </w:tc>
        <w:tc>
          <w:tcPr>
            <w:tcW w:w="3735" w:type="dxa"/>
          </w:tcPr>
          <w:p w:rsidR="007150A6" w:rsidRPr="00826D62" w:rsidRDefault="007150A6" w:rsidP="00FC15CE">
            <w:pPr>
              <w:pStyle w:val="ListParagraph"/>
              <w:numPr>
                <w:ilvl w:val="0"/>
                <w:numId w:val="6"/>
              </w:numPr>
              <w:autoSpaceDE w:val="0"/>
              <w:autoSpaceDN w:val="0"/>
              <w:adjustRightInd w:val="0"/>
              <w:ind w:left="342" w:hanging="342"/>
              <w:jc w:val="both"/>
              <w:rPr>
                <w:rFonts w:ascii="Arial" w:hAnsi="Arial" w:cs="Arial"/>
                <w:sz w:val="20"/>
                <w:szCs w:val="20"/>
              </w:rPr>
            </w:pPr>
            <w:r w:rsidRPr="00826D62">
              <w:rPr>
                <w:rFonts w:ascii="Arial" w:hAnsi="Arial" w:cs="Arial"/>
                <w:sz w:val="20"/>
                <w:szCs w:val="20"/>
              </w:rPr>
              <w:t>Nueva estructura organizacional implantada.</w:t>
            </w:r>
          </w:p>
          <w:p w:rsidR="007150A6" w:rsidRPr="00826D62" w:rsidRDefault="007150A6" w:rsidP="00FC15CE">
            <w:pPr>
              <w:pStyle w:val="ListParagraph"/>
              <w:numPr>
                <w:ilvl w:val="0"/>
                <w:numId w:val="6"/>
              </w:numPr>
              <w:autoSpaceDE w:val="0"/>
              <w:autoSpaceDN w:val="0"/>
              <w:adjustRightInd w:val="0"/>
              <w:ind w:left="342" w:hanging="342"/>
              <w:jc w:val="both"/>
              <w:rPr>
                <w:rFonts w:ascii="Arial" w:hAnsi="Arial" w:cs="Arial"/>
                <w:sz w:val="20"/>
                <w:szCs w:val="20"/>
              </w:rPr>
            </w:pPr>
            <w:r w:rsidRPr="00826D62">
              <w:rPr>
                <w:rFonts w:ascii="Arial" w:hAnsi="Arial" w:cs="Arial"/>
                <w:sz w:val="20"/>
                <w:szCs w:val="20"/>
              </w:rPr>
              <w:t>Implantación de la nue</w:t>
            </w:r>
            <w:r w:rsidR="00FA3E53" w:rsidRPr="00826D62">
              <w:rPr>
                <w:rFonts w:ascii="Arial" w:hAnsi="Arial" w:cs="Arial"/>
                <w:sz w:val="20"/>
                <w:szCs w:val="20"/>
              </w:rPr>
              <w:t>va política de recursos humanos, incluyendo el régimen especial de remuneraciones.</w:t>
            </w:r>
          </w:p>
          <w:p w:rsidR="007150A6" w:rsidRPr="00826D62" w:rsidRDefault="007150A6" w:rsidP="00FC15CE">
            <w:pPr>
              <w:pStyle w:val="ListParagraph"/>
              <w:numPr>
                <w:ilvl w:val="0"/>
                <w:numId w:val="6"/>
              </w:numPr>
              <w:autoSpaceDE w:val="0"/>
              <w:autoSpaceDN w:val="0"/>
              <w:adjustRightInd w:val="0"/>
              <w:ind w:left="342" w:hanging="342"/>
              <w:jc w:val="both"/>
              <w:rPr>
                <w:rFonts w:ascii="Arial" w:hAnsi="Arial" w:cs="Arial"/>
                <w:sz w:val="20"/>
                <w:szCs w:val="20"/>
              </w:rPr>
            </w:pPr>
            <w:r w:rsidRPr="00826D62">
              <w:rPr>
                <w:rFonts w:ascii="Arial" w:hAnsi="Arial" w:cs="Arial"/>
                <w:sz w:val="20"/>
                <w:szCs w:val="20"/>
              </w:rPr>
              <w:t>Institucionalización de un proceso de selección de personal.</w:t>
            </w:r>
          </w:p>
          <w:p w:rsidR="007150A6" w:rsidRPr="00826D62" w:rsidRDefault="007150A6" w:rsidP="00FC15CE">
            <w:pPr>
              <w:pStyle w:val="ListParagraph"/>
              <w:numPr>
                <w:ilvl w:val="0"/>
                <w:numId w:val="6"/>
              </w:numPr>
              <w:autoSpaceDE w:val="0"/>
              <w:autoSpaceDN w:val="0"/>
              <w:adjustRightInd w:val="0"/>
              <w:ind w:left="342" w:hanging="342"/>
              <w:jc w:val="both"/>
              <w:rPr>
                <w:rFonts w:ascii="Arial" w:hAnsi="Arial" w:cs="Arial"/>
                <w:sz w:val="20"/>
                <w:szCs w:val="20"/>
              </w:rPr>
            </w:pPr>
            <w:r w:rsidRPr="00826D62">
              <w:rPr>
                <w:rFonts w:ascii="Arial" w:hAnsi="Arial" w:cs="Arial"/>
                <w:sz w:val="20"/>
                <w:szCs w:val="20"/>
              </w:rPr>
              <w:t>Redefinición e informatización de los procesos tributarios.</w:t>
            </w:r>
          </w:p>
          <w:p w:rsidR="007150A6" w:rsidRPr="00826D62" w:rsidRDefault="007150A6" w:rsidP="00FC15CE">
            <w:pPr>
              <w:pStyle w:val="ListParagraph"/>
              <w:numPr>
                <w:ilvl w:val="0"/>
                <w:numId w:val="6"/>
              </w:numPr>
              <w:autoSpaceDE w:val="0"/>
              <w:autoSpaceDN w:val="0"/>
              <w:adjustRightInd w:val="0"/>
              <w:ind w:left="342" w:hanging="342"/>
              <w:jc w:val="both"/>
              <w:rPr>
                <w:rFonts w:ascii="Arial" w:hAnsi="Arial" w:cs="Arial"/>
                <w:sz w:val="20"/>
                <w:szCs w:val="20"/>
              </w:rPr>
            </w:pPr>
            <w:r w:rsidRPr="00826D62">
              <w:rPr>
                <w:rFonts w:ascii="Arial" w:hAnsi="Arial" w:cs="Arial"/>
                <w:sz w:val="20"/>
                <w:szCs w:val="20"/>
              </w:rPr>
              <w:lastRenderedPageBreak/>
              <w:t>Perfeccionamiento y aplicación de los sistemas de información con tecnología avanzada.</w:t>
            </w:r>
          </w:p>
          <w:p w:rsidR="007150A6" w:rsidRPr="00826D62" w:rsidRDefault="007150A6" w:rsidP="00FC15CE">
            <w:pPr>
              <w:pStyle w:val="ListParagraph"/>
              <w:numPr>
                <w:ilvl w:val="0"/>
                <w:numId w:val="6"/>
              </w:numPr>
              <w:autoSpaceDE w:val="0"/>
              <w:autoSpaceDN w:val="0"/>
              <w:adjustRightInd w:val="0"/>
              <w:ind w:left="342" w:hanging="342"/>
              <w:jc w:val="both"/>
              <w:rPr>
                <w:rFonts w:ascii="Arial" w:hAnsi="Arial" w:cs="Arial"/>
                <w:sz w:val="20"/>
                <w:szCs w:val="20"/>
              </w:rPr>
            </w:pPr>
            <w:r w:rsidRPr="00826D62">
              <w:rPr>
                <w:rFonts w:ascii="Arial" w:hAnsi="Arial" w:cs="Arial"/>
                <w:sz w:val="20"/>
                <w:szCs w:val="20"/>
              </w:rPr>
              <w:t>Introducción de mejoras en la legislación para facilitar las actuaciones de la Administración e impulso</w:t>
            </w:r>
            <w:r w:rsidR="00F71874" w:rsidRPr="00826D62">
              <w:rPr>
                <w:rFonts w:ascii="Arial" w:hAnsi="Arial" w:cs="Arial"/>
                <w:sz w:val="20"/>
                <w:szCs w:val="20"/>
              </w:rPr>
              <w:t xml:space="preserve"> a la expedición de proyecto del </w:t>
            </w:r>
            <w:r w:rsidRPr="00826D62">
              <w:rPr>
                <w:rFonts w:ascii="Arial" w:hAnsi="Arial" w:cs="Arial"/>
                <w:sz w:val="20"/>
                <w:szCs w:val="20"/>
              </w:rPr>
              <w:t>nuevo Código Tributario.</w:t>
            </w:r>
          </w:p>
          <w:p w:rsidR="00FA3E53" w:rsidRPr="00826D62" w:rsidRDefault="007150A6" w:rsidP="00FC15CE">
            <w:pPr>
              <w:pStyle w:val="ListParagraph"/>
              <w:numPr>
                <w:ilvl w:val="0"/>
                <w:numId w:val="6"/>
              </w:numPr>
              <w:autoSpaceDE w:val="0"/>
              <w:autoSpaceDN w:val="0"/>
              <w:adjustRightInd w:val="0"/>
              <w:ind w:left="342" w:hanging="342"/>
              <w:jc w:val="both"/>
              <w:rPr>
                <w:rFonts w:ascii="Arial" w:hAnsi="Arial" w:cs="Arial"/>
                <w:sz w:val="20"/>
                <w:szCs w:val="20"/>
              </w:rPr>
            </w:pPr>
            <w:r w:rsidRPr="00826D62">
              <w:rPr>
                <w:rFonts w:ascii="Arial" w:hAnsi="Arial" w:cs="Arial"/>
                <w:sz w:val="20"/>
                <w:szCs w:val="20"/>
              </w:rPr>
              <w:t>Diseño de un régimen impositivo simplificado para pequeños contribuyentes (RISE).</w:t>
            </w:r>
          </w:p>
        </w:tc>
        <w:tc>
          <w:tcPr>
            <w:tcW w:w="3735" w:type="dxa"/>
          </w:tcPr>
          <w:p w:rsidR="007150A6" w:rsidRPr="00826D62" w:rsidRDefault="00955CB6" w:rsidP="00FC15CE">
            <w:pPr>
              <w:pStyle w:val="ListParagraph"/>
              <w:numPr>
                <w:ilvl w:val="0"/>
                <w:numId w:val="7"/>
              </w:numPr>
              <w:autoSpaceDE w:val="0"/>
              <w:autoSpaceDN w:val="0"/>
              <w:adjustRightInd w:val="0"/>
              <w:ind w:left="342"/>
              <w:jc w:val="both"/>
              <w:rPr>
                <w:rFonts w:ascii="Arial" w:hAnsi="Arial" w:cs="Arial"/>
                <w:sz w:val="20"/>
                <w:szCs w:val="20"/>
              </w:rPr>
            </w:pPr>
            <w:r w:rsidRPr="00826D62">
              <w:rPr>
                <w:rFonts w:ascii="Arial" w:hAnsi="Arial" w:cs="Arial"/>
                <w:sz w:val="20"/>
                <w:szCs w:val="20"/>
              </w:rPr>
              <w:lastRenderedPageBreak/>
              <w:t>Nueva</w:t>
            </w:r>
            <w:r w:rsidR="007150A6" w:rsidRPr="00826D62">
              <w:rPr>
                <w:rFonts w:ascii="Arial" w:hAnsi="Arial" w:cs="Arial"/>
                <w:sz w:val="20"/>
                <w:szCs w:val="20"/>
              </w:rPr>
              <w:t xml:space="preserve"> estructura organizacional implantada.</w:t>
            </w:r>
          </w:p>
          <w:p w:rsidR="007150A6" w:rsidRPr="00826D62" w:rsidRDefault="00F71874" w:rsidP="00FC15CE">
            <w:pPr>
              <w:pStyle w:val="ListParagraph"/>
              <w:numPr>
                <w:ilvl w:val="0"/>
                <w:numId w:val="7"/>
              </w:numPr>
              <w:autoSpaceDE w:val="0"/>
              <w:autoSpaceDN w:val="0"/>
              <w:adjustRightInd w:val="0"/>
              <w:ind w:left="342"/>
              <w:jc w:val="both"/>
              <w:rPr>
                <w:rFonts w:ascii="Arial" w:hAnsi="Arial" w:cs="Arial"/>
                <w:sz w:val="20"/>
                <w:szCs w:val="20"/>
              </w:rPr>
            </w:pPr>
            <w:r w:rsidRPr="00826D62">
              <w:rPr>
                <w:rFonts w:ascii="Arial" w:hAnsi="Arial" w:cs="Arial"/>
                <w:sz w:val="20"/>
                <w:szCs w:val="20"/>
              </w:rPr>
              <w:t>P</w:t>
            </w:r>
            <w:r w:rsidR="007150A6" w:rsidRPr="00826D62">
              <w:rPr>
                <w:rFonts w:ascii="Arial" w:hAnsi="Arial" w:cs="Arial"/>
                <w:sz w:val="20"/>
                <w:szCs w:val="20"/>
              </w:rPr>
              <w:t>reparación e implantación de la nueva política de recursos humanos, contemplando el régimen especial de remuneraciones.</w:t>
            </w:r>
          </w:p>
          <w:p w:rsidR="007150A6" w:rsidRPr="00826D62" w:rsidRDefault="00FA3E53" w:rsidP="00FC15CE">
            <w:pPr>
              <w:pStyle w:val="ListParagraph"/>
              <w:numPr>
                <w:ilvl w:val="0"/>
                <w:numId w:val="7"/>
              </w:numPr>
              <w:autoSpaceDE w:val="0"/>
              <w:autoSpaceDN w:val="0"/>
              <w:adjustRightInd w:val="0"/>
              <w:ind w:left="342"/>
              <w:jc w:val="both"/>
              <w:rPr>
                <w:rFonts w:ascii="Arial" w:hAnsi="Arial" w:cs="Arial"/>
                <w:sz w:val="20"/>
                <w:szCs w:val="20"/>
              </w:rPr>
            </w:pPr>
            <w:r w:rsidRPr="00826D62">
              <w:rPr>
                <w:rFonts w:ascii="Arial" w:hAnsi="Arial" w:cs="Arial"/>
                <w:sz w:val="20"/>
                <w:szCs w:val="20"/>
              </w:rPr>
              <w:t>Implantación e institucionalización del</w:t>
            </w:r>
            <w:r w:rsidR="00FC056A">
              <w:rPr>
                <w:rFonts w:ascii="Arial" w:hAnsi="Arial" w:cs="Arial"/>
                <w:sz w:val="20"/>
                <w:szCs w:val="20"/>
              </w:rPr>
              <w:t xml:space="preserve"> </w:t>
            </w:r>
            <w:r w:rsidR="007150A6" w:rsidRPr="00826D62">
              <w:rPr>
                <w:rFonts w:ascii="Arial" w:hAnsi="Arial" w:cs="Arial"/>
                <w:sz w:val="20"/>
                <w:szCs w:val="20"/>
              </w:rPr>
              <w:t xml:space="preserve">proceso de selección y contratación de nuevos </w:t>
            </w:r>
            <w:r w:rsidR="007150A6" w:rsidRPr="00826D62">
              <w:rPr>
                <w:rFonts w:ascii="Arial" w:hAnsi="Arial" w:cs="Arial"/>
                <w:sz w:val="20"/>
                <w:szCs w:val="20"/>
              </w:rPr>
              <w:lastRenderedPageBreak/>
              <w:t>funcionarios</w:t>
            </w:r>
            <w:r w:rsidRPr="00826D62">
              <w:rPr>
                <w:rFonts w:ascii="Arial" w:hAnsi="Arial" w:cs="Arial"/>
                <w:sz w:val="20"/>
                <w:szCs w:val="20"/>
              </w:rPr>
              <w:t>.</w:t>
            </w:r>
          </w:p>
          <w:p w:rsidR="007150A6" w:rsidRPr="00826D62" w:rsidRDefault="007150A6" w:rsidP="00FC15CE">
            <w:pPr>
              <w:pStyle w:val="ListParagraph"/>
              <w:numPr>
                <w:ilvl w:val="0"/>
                <w:numId w:val="7"/>
              </w:numPr>
              <w:autoSpaceDE w:val="0"/>
              <w:autoSpaceDN w:val="0"/>
              <w:adjustRightInd w:val="0"/>
              <w:ind w:left="342"/>
              <w:jc w:val="both"/>
              <w:rPr>
                <w:rFonts w:ascii="Arial" w:hAnsi="Arial" w:cs="Arial"/>
                <w:sz w:val="20"/>
                <w:szCs w:val="20"/>
              </w:rPr>
            </w:pPr>
            <w:r w:rsidRPr="00826D62">
              <w:rPr>
                <w:rFonts w:ascii="Arial" w:hAnsi="Arial" w:cs="Arial"/>
                <w:sz w:val="20"/>
                <w:szCs w:val="20"/>
              </w:rPr>
              <w:t>Desarr</w:t>
            </w:r>
            <w:r w:rsidR="00F71874" w:rsidRPr="00826D62">
              <w:rPr>
                <w:rFonts w:ascii="Arial" w:hAnsi="Arial" w:cs="Arial"/>
                <w:sz w:val="20"/>
                <w:szCs w:val="20"/>
              </w:rPr>
              <w:t>ollo de las reglas de negocio (r</w:t>
            </w:r>
            <w:r w:rsidRPr="00826D62">
              <w:rPr>
                <w:rFonts w:ascii="Arial" w:hAnsi="Arial" w:cs="Arial"/>
                <w:sz w:val="20"/>
                <w:szCs w:val="20"/>
              </w:rPr>
              <w:t>egistro, gestión de declaraciones, cuenta corriente, contabilidad, cobro, fiscalización, auditoria</w:t>
            </w:r>
            <w:r w:rsidR="00F71874" w:rsidRPr="00826D62">
              <w:rPr>
                <w:rFonts w:ascii="Arial" w:hAnsi="Arial" w:cs="Arial"/>
                <w:sz w:val="20"/>
                <w:szCs w:val="20"/>
              </w:rPr>
              <w:t xml:space="preserve">, contencioso-administrativo, </w:t>
            </w:r>
            <w:r w:rsidRPr="00826D62">
              <w:rPr>
                <w:rFonts w:ascii="Arial" w:hAnsi="Arial" w:cs="Arial"/>
                <w:sz w:val="20"/>
                <w:szCs w:val="20"/>
              </w:rPr>
              <w:t>rie</w:t>
            </w:r>
            <w:r w:rsidR="00F71874" w:rsidRPr="00826D62">
              <w:rPr>
                <w:rFonts w:ascii="Arial" w:hAnsi="Arial" w:cs="Arial"/>
                <w:sz w:val="20"/>
                <w:szCs w:val="20"/>
              </w:rPr>
              <w:t>sgo, recaudación, inteligencia)</w:t>
            </w:r>
            <w:r w:rsidRPr="00826D62">
              <w:rPr>
                <w:rFonts w:ascii="Arial" w:hAnsi="Arial" w:cs="Arial"/>
                <w:sz w:val="20"/>
                <w:szCs w:val="20"/>
              </w:rPr>
              <w:t xml:space="preserve"> para pequeños, medianos y grandes contribuyentes.</w:t>
            </w:r>
          </w:p>
          <w:p w:rsidR="007150A6" w:rsidRPr="00826D62" w:rsidRDefault="007150A6" w:rsidP="00FC15CE">
            <w:pPr>
              <w:pStyle w:val="ListParagraph"/>
              <w:numPr>
                <w:ilvl w:val="0"/>
                <w:numId w:val="7"/>
              </w:numPr>
              <w:autoSpaceDE w:val="0"/>
              <w:autoSpaceDN w:val="0"/>
              <w:adjustRightInd w:val="0"/>
              <w:ind w:left="342"/>
              <w:jc w:val="both"/>
              <w:rPr>
                <w:rFonts w:ascii="Arial" w:hAnsi="Arial" w:cs="Arial"/>
                <w:sz w:val="20"/>
                <w:szCs w:val="20"/>
              </w:rPr>
            </w:pPr>
            <w:r w:rsidRPr="00826D62">
              <w:rPr>
                <w:rFonts w:ascii="Arial" w:hAnsi="Arial" w:cs="Arial"/>
                <w:sz w:val="20"/>
                <w:szCs w:val="20"/>
              </w:rPr>
              <w:t>Especificación, desarrollo e implantación</w:t>
            </w:r>
            <w:r w:rsidR="00FC056A">
              <w:rPr>
                <w:rFonts w:ascii="Arial" w:hAnsi="Arial" w:cs="Arial"/>
                <w:sz w:val="20"/>
                <w:szCs w:val="20"/>
              </w:rPr>
              <w:t xml:space="preserve"> </w:t>
            </w:r>
            <w:r w:rsidRPr="00826D62">
              <w:rPr>
                <w:rFonts w:ascii="Arial" w:hAnsi="Arial" w:cs="Arial"/>
                <w:sz w:val="20"/>
                <w:szCs w:val="20"/>
              </w:rPr>
              <w:t>del nuevo Sistema Integrado de Administración Tributaria, incluyendo las interfaces con otros sistemas (bancos, gobierno, otras aduanas de la región), y la migración de datos.</w:t>
            </w:r>
          </w:p>
          <w:p w:rsidR="007150A6" w:rsidRPr="00826D62" w:rsidRDefault="007150A6" w:rsidP="00FC15CE">
            <w:pPr>
              <w:pStyle w:val="ListParagraph"/>
              <w:numPr>
                <w:ilvl w:val="0"/>
                <w:numId w:val="7"/>
              </w:numPr>
              <w:autoSpaceDE w:val="0"/>
              <w:autoSpaceDN w:val="0"/>
              <w:adjustRightInd w:val="0"/>
              <w:ind w:left="342"/>
              <w:jc w:val="both"/>
              <w:rPr>
                <w:rFonts w:ascii="Arial" w:hAnsi="Arial" w:cs="Arial"/>
                <w:sz w:val="20"/>
                <w:szCs w:val="20"/>
              </w:rPr>
            </w:pPr>
            <w:r w:rsidRPr="00826D62">
              <w:rPr>
                <w:rFonts w:ascii="Arial" w:hAnsi="Arial" w:cs="Arial"/>
                <w:sz w:val="20"/>
                <w:szCs w:val="20"/>
              </w:rPr>
              <w:t xml:space="preserve">Desarrollo del </w:t>
            </w:r>
            <w:r w:rsidR="00343590" w:rsidRPr="00826D62">
              <w:rPr>
                <w:rFonts w:ascii="Arial" w:hAnsi="Arial" w:cs="Arial"/>
                <w:sz w:val="20"/>
                <w:szCs w:val="20"/>
              </w:rPr>
              <w:t xml:space="preserve">nuevo marco legal </w:t>
            </w:r>
            <w:r w:rsidRPr="00826D62">
              <w:rPr>
                <w:rFonts w:ascii="Arial" w:hAnsi="Arial" w:cs="Arial"/>
                <w:sz w:val="20"/>
                <w:szCs w:val="20"/>
              </w:rPr>
              <w:t>de SAR.</w:t>
            </w:r>
          </w:p>
          <w:p w:rsidR="007150A6" w:rsidRPr="00826D62" w:rsidRDefault="007150A6" w:rsidP="00FC15CE">
            <w:pPr>
              <w:pStyle w:val="ListParagraph"/>
              <w:numPr>
                <w:ilvl w:val="0"/>
                <w:numId w:val="7"/>
              </w:numPr>
              <w:autoSpaceDE w:val="0"/>
              <w:autoSpaceDN w:val="0"/>
              <w:adjustRightInd w:val="0"/>
              <w:ind w:left="342"/>
              <w:jc w:val="both"/>
              <w:rPr>
                <w:rFonts w:ascii="Arial" w:hAnsi="Arial" w:cs="Arial"/>
                <w:sz w:val="20"/>
                <w:szCs w:val="20"/>
              </w:rPr>
            </w:pPr>
            <w:r w:rsidRPr="00826D62">
              <w:rPr>
                <w:rFonts w:ascii="Arial" w:hAnsi="Arial" w:cs="Arial"/>
                <w:sz w:val="20"/>
                <w:szCs w:val="20"/>
              </w:rPr>
              <w:t>Fortalecimiento de la Unidad de Organización y Métodos</w:t>
            </w:r>
            <w:r w:rsidR="00FA3E53" w:rsidRPr="00826D62">
              <w:rPr>
                <w:rFonts w:ascii="Arial" w:hAnsi="Arial" w:cs="Arial"/>
                <w:sz w:val="20"/>
                <w:szCs w:val="20"/>
              </w:rPr>
              <w:t>, incluyendo un tratamiento especial para los pequeños y medianos contribuyentes</w:t>
            </w:r>
            <w:r w:rsidR="00A8139D" w:rsidRPr="00826D62">
              <w:rPr>
                <w:rFonts w:ascii="Arial" w:hAnsi="Arial" w:cs="Arial"/>
                <w:sz w:val="20"/>
                <w:szCs w:val="20"/>
              </w:rPr>
              <w:t>.</w:t>
            </w:r>
          </w:p>
          <w:p w:rsidR="007150A6" w:rsidRPr="00826D62" w:rsidRDefault="005B1C47" w:rsidP="00FC15CE">
            <w:pPr>
              <w:pStyle w:val="ListParagraph"/>
              <w:numPr>
                <w:ilvl w:val="0"/>
                <w:numId w:val="7"/>
              </w:numPr>
              <w:autoSpaceDE w:val="0"/>
              <w:autoSpaceDN w:val="0"/>
              <w:adjustRightInd w:val="0"/>
              <w:ind w:left="342"/>
              <w:jc w:val="both"/>
              <w:rPr>
                <w:rFonts w:ascii="Arial" w:hAnsi="Arial" w:cs="Arial"/>
                <w:sz w:val="20"/>
                <w:szCs w:val="20"/>
              </w:rPr>
            </w:pPr>
            <w:r w:rsidRPr="00826D62">
              <w:rPr>
                <w:rFonts w:ascii="Arial" w:hAnsi="Arial" w:cs="Arial"/>
                <w:sz w:val="20"/>
                <w:szCs w:val="20"/>
              </w:rPr>
              <w:t>P</w:t>
            </w:r>
            <w:r w:rsidR="007150A6" w:rsidRPr="00826D62">
              <w:rPr>
                <w:rFonts w:ascii="Arial" w:hAnsi="Arial" w:cs="Arial"/>
                <w:sz w:val="20"/>
                <w:szCs w:val="20"/>
              </w:rPr>
              <w:t>reparación de un plan integral contemplando la estrategia de cambio</w:t>
            </w:r>
            <w:r w:rsidR="00FC056A">
              <w:rPr>
                <w:rFonts w:ascii="Arial" w:hAnsi="Arial" w:cs="Arial"/>
                <w:sz w:val="20"/>
                <w:szCs w:val="20"/>
              </w:rPr>
              <w:t xml:space="preserve"> </w:t>
            </w:r>
            <w:r w:rsidR="007150A6" w:rsidRPr="00826D62">
              <w:rPr>
                <w:rFonts w:ascii="Arial" w:hAnsi="Arial" w:cs="Arial"/>
                <w:sz w:val="20"/>
                <w:szCs w:val="20"/>
              </w:rPr>
              <w:t>para la creación</w:t>
            </w:r>
            <w:r w:rsidR="00FC056A">
              <w:rPr>
                <w:rFonts w:ascii="Arial" w:hAnsi="Arial" w:cs="Arial"/>
                <w:sz w:val="20"/>
                <w:szCs w:val="20"/>
              </w:rPr>
              <w:t xml:space="preserve"> </w:t>
            </w:r>
            <w:r w:rsidR="007150A6" w:rsidRPr="00826D62">
              <w:rPr>
                <w:rFonts w:ascii="Arial" w:hAnsi="Arial" w:cs="Arial"/>
                <w:sz w:val="20"/>
                <w:szCs w:val="20"/>
              </w:rPr>
              <w:t>del SAR.</w:t>
            </w:r>
          </w:p>
          <w:p w:rsidR="007150A6" w:rsidRPr="00826D62" w:rsidRDefault="007150A6" w:rsidP="00FC15CE">
            <w:pPr>
              <w:pStyle w:val="ListParagraph"/>
              <w:numPr>
                <w:ilvl w:val="0"/>
                <w:numId w:val="7"/>
              </w:numPr>
              <w:autoSpaceDE w:val="0"/>
              <w:autoSpaceDN w:val="0"/>
              <w:adjustRightInd w:val="0"/>
              <w:ind w:left="342"/>
              <w:jc w:val="both"/>
              <w:rPr>
                <w:rFonts w:ascii="Arial" w:hAnsi="Arial" w:cs="Arial"/>
                <w:sz w:val="20"/>
                <w:szCs w:val="20"/>
              </w:rPr>
            </w:pPr>
            <w:r w:rsidRPr="00826D62">
              <w:rPr>
                <w:rFonts w:ascii="Arial" w:hAnsi="Arial" w:cs="Arial"/>
                <w:sz w:val="20"/>
                <w:szCs w:val="20"/>
              </w:rPr>
              <w:t xml:space="preserve">Diseño e implantación de un </w:t>
            </w:r>
            <w:r w:rsidR="00A8139D" w:rsidRPr="00826D62">
              <w:rPr>
                <w:rFonts w:ascii="Arial" w:hAnsi="Arial" w:cs="Arial"/>
                <w:sz w:val="20"/>
                <w:szCs w:val="20"/>
              </w:rPr>
              <w:t>programa de capacitación permanente</w:t>
            </w:r>
            <w:r w:rsidRPr="00826D62">
              <w:rPr>
                <w:rFonts w:ascii="Arial" w:hAnsi="Arial" w:cs="Arial"/>
                <w:sz w:val="20"/>
                <w:szCs w:val="20"/>
              </w:rPr>
              <w:t>.</w:t>
            </w:r>
          </w:p>
          <w:p w:rsidR="007150A6" w:rsidRPr="00826D62" w:rsidRDefault="007150A6" w:rsidP="00FC15CE">
            <w:pPr>
              <w:pStyle w:val="ListParagraph"/>
              <w:numPr>
                <w:ilvl w:val="0"/>
                <w:numId w:val="7"/>
              </w:numPr>
              <w:autoSpaceDE w:val="0"/>
              <w:autoSpaceDN w:val="0"/>
              <w:adjustRightInd w:val="0"/>
              <w:ind w:left="342"/>
              <w:jc w:val="both"/>
              <w:rPr>
                <w:rFonts w:ascii="Arial" w:hAnsi="Arial" w:cs="Arial"/>
                <w:sz w:val="20"/>
                <w:szCs w:val="20"/>
              </w:rPr>
            </w:pPr>
            <w:r w:rsidRPr="00826D62">
              <w:rPr>
                <w:rFonts w:ascii="Arial" w:hAnsi="Arial" w:cs="Arial"/>
                <w:sz w:val="20"/>
                <w:szCs w:val="20"/>
              </w:rPr>
              <w:t xml:space="preserve">Desarrollo e implantación de una </w:t>
            </w:r>
            <w:r w:rsidR="00A8139D" w:rsidRPr="00826D62">
              <w:rPr>
                <w:rFonts w:ascii="Arial" w:hAnsi="Arial" w:cs="Arial"/>
                <w:sz w:val="20"/>
                <w:szCs w:val="20"/>
              </w:rPr>
              <w:t>c</w:t>
            </w:r>
            <w:r w:rsidRPr="00826D62">
              <w:rPr>
                <w:rFonts w:ascii="Arial" w:hAnsi="Arial" w:cs="Arial"/>
                <w:sz w:val="20"/>
                <w:szCs w:val="20"/>
              </w:rPr>
              <w:t>ampaña de difusión para la sociedad.</w:t>
            </w:r>
          </w:p>
        </w:tc>
      </w:tr>
    </w:tbl>
    <w:p w:rsidR="00555755" w:rsidRPr="00826D62" w:rsidRDefault="00555755" w:rsidP="00555755">
      <w:pPr>
        <w:spacing w:before="120" w:after="120" w:line="240" w:lineRule="auto"/>
        <w:jc w:val="both"/>
        <w:rPr>
          <w:rFonts w:ascii="Arial" w:hAnsi="Arial" w:cs="Arial"/>
          <w:color w:val="000000"/>
          <w:sz w:val="24"/>
          <w:szCs w:val="24"/>
          <w:lang w:val="es-ES"/>
        </w:rPr>
      </w:pPr>
    </w:p>
    <w:p w:rsidR="00555755" w:rsidRPr="00826D62" w:rsidRDefault="00DA7E1E" w:rsidP="00826D62">
      <w:pPr>
        <w:pStyle w:val="ListParagraph"/>
        <w:keepNext/>
        <w:numPr>
          <w:ilvl w:val="0"/>
          <w:numId w:val="3"/>
        </w:numPr>
        <w:spacing w:before="120" w:after="120" w:line="240" w:lineRule="auto"/>
        <w:ind w:hanging="720"/>
        <w:jc w:val="both"/>
        <w:rPr>
          <w:rFonts w:ascii="Arial" w:hAnsi="Arial" w:cs="Arial"/>
          <w:b/>
          <w:smallCaps/>
          <w:sz w:val="24"/>
          <w:szCs w:val="24"/>
        </w:rPr>
      </w:pPr>
      <w:r w:rsidRPr="00826D62">
        <w:rPr>
          <w:rFonts w:ascii="Arial" w:hAnsi="Arial" w:cs="Arial"/>
          <w:b/>
          <w:smallCaps/>
          <w:sz w:val="24"/>
          <w:szCs w:val="24"/>
        </w:rPr>
        <w:lastRenderedPageBreak/>
        <w:t>Supuesto</w:t>
      </w:r>
    </w:p>
    <w:tbl>
      <w:tblPr>
        <w:tblStyle w:val="TableGrid"/>
        <w:tblW w:w="0" w:type="auto"/>
        <w:tblInd w:w="828" w:type="dxa"/>
        <w:tblLook w:val="04A0" w:firstRow="1" w:lastRow="0" w:firstColumn="1" w:lastColumn="0" w:noHBand="0" w:noVBand="1"/>
      </w:tblPr>
      <w:tblGrid>
        <w:gridCol w:w="8028"/>
      </w:tblGrid>
      <w:tr w:rsidR="00ED3979" w:rsidRPr="00826D62" w:rsidTr="00826D62">
        <w:tc>
          <w:tcPr>
            <w:tcW w:w="8028" w:type="dxa"/>
          </w:tcPr>
          <w:p w:rsidR="00ED3979" w:rsidRPr="00826D62" w:rsidRDefault="00646EBF" w:rsidP="00932EEF">
            <w:pPr>
              <w:keepNext/>
              <w:spacing w:before="120" w:after="120"/>
              <w:jc w:val="both"/>
              <w:rPr>
                <w:rFonts w:ascii="Arial" w:hAnsi="Arial" w:cs="Arial"/>
                <w:b/>
                <w:i/>
                <w:sz w:val="24"/>
                <w:szCs w:val="24"/>
              </w:rPr>
            </w:pPr>
            <w:r w:rsidRPr="00826D62">
              <w:rPr>
                <w:rFonts w:ascii="Arial" w:hAnsi="Arial" w:cs="Arial"/>
                <w:b/>
                <w:i/>
              </w:rPr>
              <w:t xml:space="preserve">Supuesto – </w:t>
            </w:r>
            <w:r w:rsidRPr="00826D62">
              <w:rPr>
                <w:rFonts w:ascii="Arial" w:hAnsi="Arial" w:cs="Arial"/>
                <w:i/>
              </w:rPr>
              <w:t>Se genera un aumento en la presión fiscal (relación entre la recaudación tributaria y el PIB) de aproximadamente 1 punto (de 16.1 en 2015 a 17.1 en 2019), a partir de la mejora de los indicadores de gestión de la Administración Tributaria hondureña referente a los 3 ejes principales de la modernización, entre los cuales destacan: (i) el aumento de 12.2% a 36.95% en la relación entre el número de RTN Activos y el número de RTN registrados: (ii) el aumento de 1.9% a 12.3% en la relación entre número de facturas recibidas anualmente y el número de RTN registrados; (iii) el aumento de 6.99% a 21.72% en la relación entre el número de declaraciones recibidas anualmente y el número de RTN registrados. Esto será posible a través de la implantación de nuevos procedimientos tributarios de acuerdo con estándares modernos, lo que generará información de calidad para el nuevo sistema integrado de administración financiera y para el sistema existente de Aduanas, posibilitando cruces de información inteligentes (utilizando análisis de riesgo) para la selección y fiscalización de contribuyentes, tanto para rentas interna como para de Aduanas. Todo esto será complementado y fortalecido del personal de Rentas Internas y Aduanas, a través de la contratación de recursos humanos cualificados e íntegros para ejercer las funciones requeridas por una organización moderna, equitativa y transparente</w:t>
            </w:r>
            <w:r w:rsidRPr="00826D62">
              <w:rPr>
                <w:rFonts w:ascii="Arial" w:hAnsi="Arial" w:cs="Arial"/>
                <w:i/>
                <w:sz w:val="24"/>
                <w:szCs w:val="24"/>
              </w:rPr>
              <w:t>.</w:t>
            </w:r>
          </w:p>
        </w:tc>
      </w:tr>
    </w:tbl>
    <w:p w:rsidR="00CD4234" w:rsidRPr="00826D62" w:rsidRDefault="00CD4234" w:rsidP="00826D62">
      <w:pPr>
        <w:spacing w:after="0" w:line="240" w:lineRule="auto"/>
        <w:jc w:val="both"/>
        <w:rPr>
          <w:rFonts w:ascii="Arial" w:hAnsi="Arial" w:cs="Arial"/>
          <w:b/>
        </w:rPr>
      </w:pPr>
    </w:p>
    <w:p w:rsidR="00477BA0" w:rsidRPr="00826D62" w:rsidRDefault="00DA7E1E" w:rsidP="00826D62">
      <w:pPr>
        <w:pStyle w:val="ListParagraph"/>
        <w:numPr>
          <w:ilvl w:val="0"/>
          <w:numId w:val="3"/>
        </w:numPr>
        <w:spacing w:after="120" w:line="240" w:lineRule="auto"/>
        <w:ind w:hanging="720"/>
        <w:jc w:val="both"/>
        <w:rPr>
          <w:rFonts w:ascii="Arial" w:hAnsi="Arial" w:cs="Arial"/>
          <w:b/>
          <w:smallCaps/>
        </w:rPr>
      </w:pPr>
      <w:r w:rsidRPr="00826D62">
        <w:rPr>
          <w:rFonts w:ascii="Arial" w:hAnsi="Arial" w:cs="Arial"/>
          <w:b/>
          <w:smallCaps/>
        </w:rPr>
        <w:t>Cálculo De Beneficio</w:t>
      </w:r>
    </w:p>
    <w:p w:rsidR="004B2D6D" w:rsidRPr="00826D62" w:rsidRDefault="004B2D6D" w:rsidP="00826D62">
      <w:pPr>
        <w:pStyle w:val="Paragraph"/>
        <w:tabs>
          <w:tab w:val="clear" w:pos="1296"/>
        </w:tabs>
        <w:ind w:left="720" w:hanging="720"/>
        <w:rPr>
          <w:rFonts w:ascii="Arial" w:hAnsi="Arial" w:cs="Arial"/>
          <w:b/>
          <w:sz w:val="22"/>
          <w:szCs w:val="22"/>
        </w:rPr>
      </w:pPr>
      <w:r w:rsidRPr="00826D62">
        <w:rPr>
          <w:rFonts w:ascii="Arial" w:hAnsi="Arial" w:cs="Arial"/>
          <w:b/>
          <w:sz w:val="22"/>
          <w:szCs w:val="22"/>
        </w:rPr>
        <w:t>Parámetros generales;</w:t>
      </w:r>
    </w:p>
    <w:p w:rsidR="004B2D6D" w:rsidRPr="00826D62" w:rsidRDefault="004B2D6D" w:rsidP="00826D62">
      <w:pPr>
        <w:pStyle w:val="ListParagraph"/>
        <w:numPr>
          <w:ilvl w:val="0"/>
          <w:numId w:val="12"/>
        </w:numPr>
        <w:spacing w:before="120" w:after="120" w:line="240" w:lineRule="auto"/>
        <w:ind w:left="1440"/>
        <w:jc w:val="both"/>
        <w:rPr>
          <w:rFonts w:ascii="Arial" w:hAnsi="Arial" w:cs="Arial"/>
        </w:rPr>
      </w:pPr>
      <w:r w:rsidRPr="00826D62">
        <w:rPr>
          <w:rFonts w:ascii="Arial" w:hAnsi="Arial" w:cs="Arial"/>
        </w:rPr>
        <w:t>La tasa de descuento aplicada para el cálculo del Valor Presente Neto (VPN) fue de 12%</w:t>
      </w:r>
      <w:r w:rsidR="00B310B4" w:rsidRPr="00826D62">
        <w:rPr>
          <w:rFonts w:ascii="Arial" w:hAnsi="Arial" w:cs="Arial"/>
        </w:rPr>
        <w:t>.</w:t>
      </w:r>
    </w:p>
    <w:p w:rsidR="004B2D6D" w:rsidRPr="00826D62" w:rsidRDefault="004B2D6D" w:rsidP="00826D62">
      <w:pPr>
        <w:pStyle w:val="ListParagraph"/>
        <w:numPr>
          <w:ilvl w:val="0"/>
          <w:numId w:val="12"/>
        </w:numPr>
        <w:spacing w:before="120" w:after="120" w:line="240" w:lineRule="auto"/>
        <w:ind w:left="1440"/>
        <w:jc w:val="both"/>
        <w:rPr>
          <w:rFonts w:ascii="Arial" w:hAnsi="Arial" w:cs="Arial"/>
        </w:rPr>
      </w:pPr>
      <w:r w:rsidRPr="00826D62">
        <w:rPr>
          <w:rFonts w:ascii="Arial" w:hAnsi="Arial" w:cs="Arial"/>
        </w:rPr>
        <w:t>Las estimaciones para Honduras consideraron el PIB presentado en el Artículo IV de 2014</w:t>
      </w:r>
      <w:r w:rsidR="00FC056A" w:rsidRPr="00826D62">
        <w:rPr>
          <w:rFonts w:ascii="Arial" w:hAnsi="Arial" w:cs="Arial"/>
        </w:rPr>
        <w:t xml:space="preserve"> </w:t>
      </w:r>
      <w:r w:rsidRPr="00826D62">
        <w:rPr>
          <w:rFonts w:ascii="Arial" w:hAnsi="Arial" w:cs="Arial"/>
        </w:rPr>
        <w:t>del Fondo Monetario Internacional (FMI).</w:t>
      </w:r>
    </w:p>
    <w:p w:rsidR="004B2D6D" w:rsidRPr="00826D62" w:rsidRDefault="004B2D6D" w:rsidP="00826D62">
      <w:pPr>
        <w:pStyle w:val="ListParagraph"/>
        <w:numPr>
          <w:ilvl w:val="0"/>
          <w:numId w:val="12"/>
        </w:numPr>
        <w:spacing w:before="120" w:after="120" w:line="240" w:lineRule="auto"/>
        <w:ind w:left="1440"/>
        <w:jc w:val="both"/>
        <w:rPr>
          <w:rFonts w:ascii="Arial" w:hAnsi="Arial" w:cs="Arial"/>
        </w:rPr>
      </w:pPr>
      <w:r w:rsidRPr="00826D62">
        <w:rPr>
          <w:rFonts w:ascii="Arial" w:hAnsi="Arial" w:cs="Arial"/>
        </w:rPr>
        <w:t xml:space="preserve">La tasa de cambio para la conversión </w:t>
      </w:r>
      <w:r w:rsidR="00932EEF" w:rsidRPr="00826D62">
        <w:rPr>
          <w:rFonts w:ascii="Arial" w:hAnsi="Arial" w:cs="Arial"/>
        </w:rPr>
        <w:t xml:space="preserve">de dólares a </w:t>
      </w:r>
      <w:r w:rsidR="006A510D" w:rsidRPr="00826D62">
        <w:rPr>
          <w:rFonts w:ascii="Arial" w:hAnsi="Arial" w:cs="Arial"/>
        </w:rPr>
        <w:t xml:space="preserve">lempiras </w:t>
      </w:r>
      <w:r w:rsidRPr="00826D62">
        <w:rPr>
          <w:rFonts w:ascii="Arial" w:hAnsi="Arial" w:cs="Arial"/>
        </w:rPr>
        <w:t>fue basada en la serie histórica del Banco Central de Honduras.</w:t>
      </w:r>
      <w:r w:rsidR="00826907" w:rsidRPr="00826D62">
        <w:rPr>
          <w:rFonts w:ascii="Arial" w:hAnsi="Arial" w:cs="Arial"/>
        </w:rPr>
        <w:t xml:space="preserve"> (Banco Central de Honduras,</w:t>
      </w:r>
      <w:r w:rsidR="00FC056A" w:rsidRPr="00826D62">
        <w:rPr>
          <w:rFonts w:ascii="Arial" w:hAnsi="Arial" w:cs="Arial"/>
        </w:rPr>
        <w:t xml:space="preserve"> </w:t>
      </w:r>
      <w:r w:rsidR="00826907" w:rsidRPr="00826D62">
        <w:rPr>
          <w:rFonts w:ascii="Arial" w:hAnsi="Arial" w:cs="Arial"/>
        </w:rPr>
        <w:t>http://www.bch.hn/tipo_de_cambiom.php)</w:t>
      </w:r>
    </w:p>
    <w:p w:rsidR="004B2D6D" w:rsidRPr="00826D62" w:rsidRDefault="004B2D6D" w:rsidP="00826D62">
      <w:pPr>
        <w:pStyle w:val="ListParagraph"/>
        <w:numPr>
          <w:ilvl w:val="0"/>
          <w:numId w:val="12"/>
        </w:numPr>
        <w:spacing w:before="120" w:after="120" w:line="240" w:lineRule="auto"/>
        <w:ind w:left="1440"/>
        <w:jc w:val="both"/>
        <w:rPr>
          <w:rFonts w:ascii="Arial" w:hAnsi="Arial" w:cs="Arial"/>
        </w:rPr>
      </w:pPr>
      <w:r w:rsidRPr="00826D62">
        <w:rPr>
          <w:rFonts w:ascii="Arial" w:hAnsi="Arial" w:cs="Arial"/>
        </w:rPr>
        <w:t xml:space="preserve">El cálculo de la Tasa Interna de </w:t>
      </w:r>
      <w:r w:rsidR="00B310B4" w:rsidRPr="00826D62">
        <w:rPr>
          <w:rFonts w:ascii="Arial" w:hAnsi="Arial" w:cs="Arial"/>
        </w:rPr>
        <w:t>R</w:t>
      </w:r>
      <w:r w:rsidRPr="00826D62">
        <w:rPr>
          <w:rFonts w:ascii="Arial" w:hAnsi="Arial" w:cs="Arial"/>
        </w:rPr>
        <w:t xml:space="preserve">etorno </w:t>
      </w:r>
      <w:r w:rsidR="00B310B4" w:rsidRPr="00826D62">
        <w:rPr>
          <w:rFonts w:ascii="Arial" w:hAnsi="Arial" w:cs="Arial"/>
        </w:rPr>
        <w:t xml:space="preserve">(TIR) </w:t>
      </w:r>
      <w:r w:rsidRPr="00826D62">
        <w:rPr>
          <w:rFonts w:ascii="Arial" w:hAnsi="Arial" w:cs="Arial"/>
        </w:rPr>
        <w:t xml:space="preserve">consideró un periodo de </w:t>
      </w:r>
      <w:r w:rsidR="002A16AD" w:rsidRPr="00826D62">
        <w:rPr>
          <w:rFonts w:ascii="Arial" w:hAnsi="Arial" w:cs="Arial"/>
        </w:rPr>
        <w:t xml:space="preserve">5 </w:t>
      </w:r>
      <w:r w:rsidRPr="00826D62">
        <w:rPr>
          <w:rFonts w:ascii="Arial" w:hAnsi="Arial" w:cs="Arial"/>
        </w:rPr>
        <w:t>años (2015-20</w:t>
      </w:r>
      <w:r w:rsidR="002A16AD" w:rsidRPr="00826D62">
        <w:rPr>
          <w:rFonts w:ascii="Arial" w:hAnsi="Arial" w:cs="Arial"/>
        </w:rPr>
        <w:t>19</w:t>
      </w:r>
      <w:r w:rsidRPr="00826D62">
        <w:rPr>
          <w:rFonts w:ascii="Arial" w:hAnsi="Arial" w:cs="Arial"/>
        </w:rPr>
        <w:t>).</w:t>
      </w:r>
    </w:p>
    <w:p w:rsidR="002D66EF" w:rsidRPr="00826D62" w:rsidRDefault="002D66EF" w:rsidP="00826D62">
      <w:pPr>
        <w:pStyle w:val="ListParagraph"/>
        <w:numPr>
          <w:ilvl w:val="0"/>
          <w:numId w:val="12"/>
        </w:numPr>
        <w:spacing w:before="120" w:after="120" w:line="240" w:lineRule="auto"/>
        <w:ind w:left="1440"/>
        <w:jc w:val="both"/>
        <w:rPr>
          <w:rFonts w:ascii="Arial" w:hAnsi="Arial" w:cs="Arial"/>
        </w:rPr>
      </w:pPr>
      <w:r w:rsidRPr="00826D62">
        <w:rPr>
          <w:rFonts w:ascii="Arial" w:hAnsi="Arial" w:cs="Arial"/>
        </w:rPr>
        <w:t>El cálculo de</w:t>
      </w:r>
      <w:r w:rsidR="006D2F59" w:rsidRPr="00826D62">
        <w:rPr>
          <w:rFonts w:ascii="Arial" w:hAnsi="Arial" w:cs="Arial"/>
        </w:rPr>
        <w:t>l</w:t>
      </w:r>
      <w:r w:rsidRPr="00826D62">
        <w:rPr>
          <w:rFonts w:ascii="Arial" w:hAnsi="Arial" w:cs="Arial"/>
        </w:rPr>
        <w:t xml:space="preserve"> beneficio se basó mayormente en estimar la relación entre el aumento de los </w:t>
      </w:r>
      <w:r w:rsidR="00DA7E1E">
        <w:rPr>
          <w:rFonts w:ascii="Arial" w:hAnsi="Arial" w:cs="Arial"/>
        </w:rPr>
        <w:t xml:space="preserve"> RUC</w:t>
      </w:r>
      <w:r w:rsidRPr="00826D62">
        <w:rPr>
          <w:rFonts w:ascii="Arial" w:hAnsi="Arial" w:cs="Arial"/>
        </w:rPr>
        <w:t xml:space="preserve"> activos en relación al aumento de la presión fiscal en Ecuador, y aplicar de forma conservadora este % sobre el aumento </w:t>
      </w:r>
      <w:r w:rsidR="00314D44" w:rsidRPr="00826D62">
        <w:rPr>
          <w:rFonts w:ascii="Arial" w:hAnsi="Arial" w:cs="Arial"/>
        </w:rPr>
        <w:t>de la presión fiscal</w:t>
      </w:r>
      <w:r w:rsidR="00B310B4" w:rsidRPr="00826D62">
        <w:rPr>
          <w:rFonts w:ascii="Arial" w:hAnsi="Arial" w:cs="Arial"/>
        </w:rPr>
        <w:t xml:space="preserve"> en Honduras</w:t>
      </w:r>
      <w:r w:rsidRPr="00826D62">
        <w:rPr>
          <w:rFonts w:ascii="Arial" w:hAnsi="Arial" w:cs="Arial"/>
        </w:rPr>
        <w:t>.</w:t>
      </w:r>
    </w:p>
    <w:p w:rsidR="00C43E03" w:rsidRPr="00826D62" w:rsidRDefault="002D66EF" w:rsidP="00826D62">
      <w:pPr>
        <w:pStyle w:val="ListParagraph"/>
        <w:numPr>
          <w:ilvl w:val="0"/>
          <w:numId w:val="12"/>
        </w:numPr>
        <w:spacing w:before="120" w:after="120" w:line="240" w:lineRule="auto"/>
        <w:ind w:left="1440"/>
        <w:jc w:val="both"/>
        <w:rPr>
          <w:rFonts w:ascii="Arial" w:hAnsi="Arial" w:cs="Arial"/>
        </w:rPr>
      </w:pPr>
      <w:r w:rsidRPr="00826D62">
        <w:rPr>
          <w:rFonts w:ascii="Arial" w:hAnsi="Arial" w:cs="Arial"/>
        </w:rPr>
        <w:t xml:space="preserve">La estimación </w:t>
      </w:r>
      <w:r w:rsidR="00B310B4" w:rsidRPr="00826D62">
        <w:rPr>
          <w:rFonts w:ascii="Arial" w:hAnsi="Arial" w:cs="Arial"/>
        </w:rPr>
        <w:t xml:space="preserve">siguió la meta establecida en el </w:t>
      </w:r>
      <w:r w:rsidR="00932EEF" w:rsidRPr="00826D62">
        <w:rPr>
          <w:rFonts w:ascii="Arial" w:hAnsi="Arial" w:cs="Arial"/>
        </w:rPr>
        <w:t>S</w:t>
      </w:r>
      <w:r w:rsidR="006A510D" w:rsidRPr="00826D62">
        <w:rPr>
          <w:rFonts w:ascii="Arial" w:hAnsi="Arial" w:cs="Arial"/>
        </w:rPr>
        <w:t>t</w:t>
      </w:r>
      <w:r w:rsidR="00B310B4" w:rsidRPr="00826D62">
        <w:rPr>
          <w:rFonts w:ascii="Arial" w:hAnsi="Arial" w:cs="Arial"/>
        </w:rPr>
        <w:t>and</w:t>
      </w:r>
      <w:r w:rsidR="006A510D" w:rsidRPr="00826D62">
        <w:rPr>
          <w:rFonts w:ascii="Arial" w:hAnsi="Arial" w:cs="Arial"/>
        </w:rPr>
        <w:t>-</w:t>
      </w:r>
      <w:r w:rsidR="00B310B4" w:rsidRPr="00826D62">
        <w:rPr>
          <w:rFonts w:ascii="Arial" w:hAnsi="Arial" w:cs="Arial"/>
        </w:rPr>
        <w:t>by del FMI, 17</w:t>
      </w:r>
      <w:r w:rsidR="00825CCF" w:rsidRPr="00826D62">
        <w:rPr>
          <w:rFonts w:ascii="Arial" w:hAnsi="Arial" w:cs="Arial"/>
        </w:rPr>
        <w:t>,1</w:t>
      </w:r>
      <w:r w:rsidR="00B310B4" w:rsidRPr="00826D62">
        <w:rPr>
          <w:rFonts w:ascii="Arial" w:hAnsi="Arial" w:cs="Arial"/>
        </w:rPr>
        <w:t xml:space="preserve">% de presión fiscal, con </w:t>
      </w:r>
      <w:r w:rsidRPr="00826D62">
        <w:rPr>
          <w:rFonts w:ascii="Arial" w:hAnsi="Arial" w:cs="Arial"/>
        </w:rPr>
        <w:t xml:space="preserve">el Gobierno de Honduras. </w:t>
      </w:r>
      <w:r w:rsidR="00B310B4" w:rsidRPr="00826D62">
        <w:rPr>
          <w:rFonts w:ascii="Arial" w:hAnsi="Arial" w:cs="Arial"/>
        </w:rPr>
        <w:t xml:space="preserve">En </w:t>
      </w:r>
      <w:r w:rsidRPr="00826D62">
        <w:rPr>
          <w:rFonts w:ascii="Arial" w:hAnsi="Arial" w:cs="Arial"/>
        </w:rPr>
        <w:t xml:space="preserve">base </w:t>
      </w:r>
      <w:r w:rsidR="00B310B4" w:rsidRPr="00826D62">
        <w:rPr>
          <w:rFonts w:ascii="Arial" w:hAnsi="Arial" w:cs="Arial"/>
        </w:rPr>
        <w:t>a</w:t>
      </w:r>
      <w:r w:rsidRPr="00826D62">
        <w:rPr>
          <w:rFonts w:ascii="Arial" w:hAnsi="Arial" w:cs="Arial"/>
        </w:rPr>
        <w:t xml:space="preserve"> esta meta, el modelo desarrollado calcula los aumento</w:t>
      </w:r>
      <w:r w:rsidR="00C43E03" w:rsidRPr="00826D62">
        <w:rPr>
          <w:rFonts w:ascii="Arial" w:hAnsi="Arial" w:cs="Arial"/>
        </w:rPr>
        <w:t>s</w:t>
      </w:r>
      <w:r w:rsidRPr="00826D62">
        <w:rPr>
          <w:rFonts w:ascii="Arial" w:hAnsi="Arial" w:cs="Arial"/>
        </w:rPr>
        <w:t xml:space="preserve"> a ser alcanzados en los indicadores de los 3 ejes principales de</w:t>
      </w:r>
      <w:r w:rsidR="0079275F" w:rsidRPr="00826D62">
        <w:rPr>
          <w:rFonts w:ascii="Arial" w:hAnsi="Arial" w:cs="Arial"/>
        </w:rPr>
        <w:t>l programa de</w:t>
      </w:r>
      <w:r w:rsidRPr="00826D62">
        <w:rPr>
          <w:rFonts w:ascii="Arial" w:hAnsi="Arial" w:cs="Arial"/>
        </w:rPr>
        <w:t xml:space="preserve"> modernización</w:t>
      </w:r>
      <w:r w:rsidR="00C43E03" w:rsidRPr="00826D62">
        <w:rPr>
          <w:rFonts w:ascii="Arial" w:hAnsi="Arial" w:cs="Arial"/>
        </w:rPr>
        <w:t xml:space="preserve"> y compara estos resultados a los alcanzados por Ecuador.</w:t>
      </w:r>
      <w:r w:rsidRPr="00826D62">
        <w:rPr>
          <w:rFonts w:ascii="Arial" w:hAnsi="Arial" w:cs="Arial"/>
        </w:rPr>
        <w:t xml:space="preserve"> </w:t>
      </w:r>
    </w:p>
    <w:p w:rsidR="00C43E03" w:rsidRPr="00826D62" w:rsidRDefault="00C43E03" w:rsidP="00826D62">
      <w:pPr>
        <w:pStyle w:val="Paragraph"/>
        <w:tabs>
          <w:tab w:val="clear" w:pos="1296"/>
        </w:tabs>
        <w:ind w:left="720" w:hanging="720"/>
        <w:rPr>
          <w:rFonts w:ascii="Arial" w:hAnsi="Arial" w:cs="Arial"/>
          <w:b/>
          <w:sz w:val="22"/>
          <w:szCs w:val="22"/>
        </w:rPr>
      </w:pPr>
      <w:r w:rsidRPr="00826D62">
        <w:rPr>
          <w:rFonts w:ascii="Arial" w:hAnsi="Arial" w:cs="Arial"/>
          <w:b/>
          <w:sz w:val="22"/>
          <w:szCs w:val="22"/>
        </w:rPr>
        <w:t xml:space="preserve">Paso 1: Presentación de la proyección de Honduras en 2019 sin proyecto: </w:t>
      </w:r>
    </w:p>
    <w:p w:rsidR="00C43E03" w:rsidRPr="00826D62" w:rsidRDefault="00735D6D" w:rsidP="00323803">
      <w:pPr>
        <w:pStyle w:val="Paragraph"/>
        <w:numPr>
          <w:ilvl w:val="0"/>
          <w:numId w:val="0"/>
        </w:numPr>
        <w:ind w:left="360"/>
        <w:rPr>
          <w:rFonts w:ascii="Arial" w:hAnsi="Arial" w:cs="Arial"/>
        </w:rPr>
      </w:pPr>
      <w:r w:rsidRPr="00826D62">
        <w:rPr>
          <w:rFonts w:ascii="Arial" w:hAnsi="Arial" w:cs="Arial"/>
          <w:noProof/>
          <w:lang w:val="en-US"/>
        </w:rPr>
        <w:lastRenderedPageBreak/>
        <w:drawing>
          <wp:inline distT="0" distB="0" distL="0" distR="0" wp14:anchorId="08040A63" wp14:editId="1E0F1D22">
            <wp:extent cx="5943600" cy="4228466"/>
            <wp:effectExtent l="0" t="0" r="0" b="63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228466"/>
                    </a:xfrm>
                    <a:prstGeom prst="rect">
                      <a:avLst/>
                    </a:prstGeom>
                    <a:noFill/>
                    <a:ln>
                      <a:noFill/>
                    </a:ln>
                  </pic:spPr>
                </pic:pic>
              </a:graphicData>
            </a:graphic>
          </wp:inline>
        </w:drawing>
      </w:r>
    </w:p>
    <w:p w:rsidR="00C43E03" w:rsidRPr="00826D62" w:rsidRDefault="00DA7E1E" w:rsidP="00826D62">
      <w:pPr>
        <w:spacing w:before="120" w:after="120" w:line="240" w:lineRule="auto"/>
        <w:ind w:left="720" w:hanging="720"/>
        <w:jc w:val="both"/>
        <w:rPr>
          <w:rFonts w:ascii="Arial" w:hAnsi="Arial" w:cs="Arial"/>
        </w:rPr>
      </w:pPr>
      <w:r>
        <w:rPr>
          <w:rFonts w:ascii="Arial" w:hAnsi="Arial" w:cs="Arial"/>
        </w:rPr>
        <w:t>3.10</w:t>
      </w:r>
      <w:r>
        <w:rPr>
          <w:rFonts w:ascii="Arial" w:hAnsi="Arial" w:cs="Arial"/>
        </w:rPr>
        <w:tab/>
      </w:r>
      <w:r w:rsidR="00C43E03" w:rsidRPr="00826D62">
        <w:rPr>
          <w:rFonts w:ascii="Arial" w:hAnsi="Arial" w:cs="Arial"/>
        </w:rPr>
        <w:t>Consideraciones:</w:t>
      </w:r>
    </w:p>
    <w:p w:rsidR="008248FF" w:rsidRPr="00826D62" w:rsidRDefault="008248FF" w:rsidP="00826D62">
      <w:pPr>
        <w:pStyle w:val="ListParagraph"/>
        <w:numPr>
          <w:ilvl w:val="0"/>
          <w:numId w:val="17"/>
        </w:numPr>
        <w:spacing w:before="120" w:after="120" w:line="240" w:lineRule="auto"/>
        <w:ind w:left="1440"/>
        <w:contextualSpacing w:val="0"/>
        <w:jc w:val="both"/>
        <w:rPr>
          <w:rFonts w:ascii="Arial" w:hAnsi="Arial" w:cs="Arial"/>
        </w:rPr>
      </w:pPr>
      <w:r w:rsidRPr="00826D62">
        <w:rPr>
          <w:rFonts w:ascii="Arial" w:hAnsi="Arial" w:cs="Arial"/>
        </w:rPr>
        <w:t>Los indicadores varían de acuerdo con la variación</w:t>
      </w:r>
      <w:r w:rsidR="006D2F59" w:rsidRPr="00826D62">
        <w:rPr>
          <w:rFonts w:ascii="Arial" w:hAnsi="Arial" w:cs="Arial"/>
        </w:rPr>
        <w:t xml:space="preserve"> del PIB</w:t>
      </w:r>
      <w:r w:rsidRPr="00826D62">
        <w:rPr>
          <w:rFonts w:ascii="Arial" w:hAnsi="Arial" w:cs="Arial"/>
        </w:rPr>
        <w:t xml:space="preserve"> estimado por el FMI.</w:t>
      </w:r>
    </w:p>
    <w:p w:rsidR="00C43E03" w:rsidRPr="00826D62" w:rsidRDefault="002C2664" w:rsidP="00826D62">
      <w:pPr>
        <w:pStyle w:val="ListParagraph"/>
        <w:numPr>
          <w:ilvl w:val="0"/>
          <w:numId w:val="17"/>
        </w:numPr>
        <w:spacing w:before="120" w:after="120" w:line="240" w:lineRule="auto"/>
        <w:ind w:left="1440"/>
        <w:contextualSpacing w:val="0"/>
        <w:jc w:val="both"/>
        <w:rPr>
          <w:rFonts w:ascii="Arial" w:hAnsi="Arial" w:cs="Arial"/>
        </w:rPr>
      </w:pPr>
      <w:r w:rsidRPr="00826D62">
        <w:rPr>
          <w:rFonts w:ascii="Arial" w:hAnsi="Arial" w:cs="Arial"/>
        </w:rPr>
        <w:t xml:space="preserve">La presión fiscal </w:t>
      </w:r>
      <w:r w:rsidR="006D2F59" w:rsidRPr="00826D62">
        <w:rPr>
          <w:rFonts w:ascii="Arial" w:hAnsi="Arial" w:cs="Arial"/>
        </w:rPr>
        <w:t xml:space="preserve">en 2019 </w:t>
      </w:r>
      <w:r w:rsidRPr="00826D62">
        <w:rPr>
          <w:rFonts w:ascii="Arial" w:hAnsi="Arial" w:cs="Arial"/>
        </w:rPr>
        <w:t>sería de 16,</w:t>
      </w:r>
      <w:r w:rsidR="00C43E03" w:rsidRPr="00826D62">
        <w:rPr>
          <w:rFonts w:ascii="Arial" w:hAnsi="Arial" w:cs="Arial"/>
        </w:rPr>
        <w:t>2%</w:t>
      </w:r>
      <w:r w:rsidR="00932EEF" w:rsidRPr="00826D62">
        <w:rPr>
          <w:rFonts w:ascii="Arial" w:hAnsi="Arial" w:cs="Arial"/>
        </w:rPr>
        <w:t>,</w:t>
      </w:r>
      <w:r w:rsidR="00C43E03" w:rsidRPr="00826D62">
        <w:rPr>
          <w:rFonts w:ascii="Arial" w:hAnsi="Arial" w:cs="Arial"/>
        </w:rPr>
        <w:t xml:space="preserve"> por debajo de la meta acordada</w:t>
      </w:r>
      <w:r w:rsidRPr="00826D62">
        <w:rPr>
          <w:rFonts w:ascii="Arial" w:hAnsi="Arial" w:cs="Arial"/>
        </w:rPr>
        <w:t xml:space="preserve"> con el FMI de 17,</w:t>
      </w:r>
      <w:r w:rsidR="00C43E03" w:rsidRPr="00826D62">
        <w:rPr>
          <w:rFonts w:ascii="Arial" w:hAnsi="Arial" w:cs="Arial"/>
        </w:rPr>
        <w:t>1%</w:t>
      </w:r>
      <w:r w:rsidR="00825CCF" w:rsidRPr="00826D62">
        <w:rPr>
          <w:rFonts w:ascii="Arial" w:hAnsi="Arial" w:cs="Arial"/>
        </w:rPr>
        <w:t>.</w:t>
      </w:r>
    </w:p>
    <w:p w:rsidR="00C43E03" w:rsidRPr="00826D62" w:rsidRDefault="00C43E03" w:rsidP="00826D62">
      <w:pPr>
        <w:pStyle w:val="ListParagraph"/>
        <w:numPr>
          <w:ilvl w:val="0"/>
          <w:numId w:val="17"/>
        </w:numPr>
        <w:spacing w:before="120" w:after="120" w:line="240" w:lineRule="auto"/>
        <w:ind w:left="1440"/>
        <w:contextualSpacing w:val="0"/>
        <w:jc w:val="both"/>
        <w:rPr>
          <w:rFonts w:ascii="Arial" w:hAnsi="Arial" w:cs="Arial"/>
        </w:rPr>
      </w:pPr>
      <w:r w:rsidRPr="00826D62">
        <w:rPr>
          <w:rFonts w:ascii="Arial" w:hAnsi="Arial" w:cs="Arial"/>
        </w:rPr>
        <w:t xml:space="preserve">El eje 1 - Relación </w:t>
      </w:r>
      <w:r w:rsidR="00FC056A" w:rsidRPr="00826D62">
        <w:rPr>
          <w:rFonts w:ascii="Arial" w:hAnsi="Arial" w:cs="Arial"/>
        </w:rPr>
        <w:t>RTN</w:t>
      </w:r>
      <w:r w:rsidRPr="00826D62">
        <w:rPr>
          <w:rFonts w:ascii="Arial" w:hAnsi="Arial" w:cs="Arial"/>
        </w:rPr>
        <w:t xml:space="preserve"> activos / Total de </w:t>
      </w:r>
      <w:r w:rsidR="00FC056A" w:rsidRPr="00826D62">
        <w:rPr>
          <w:rFonts w:ascii="Arial" w:hAnsi="Arial" w:cs="Arial"/>
        </w:rPr>
        <w:t>RTN</w:t>
      </w:r>
      <w:r w:rsidRPr="00826D62">
        <w:rPr>
          <w:rFonts w:ascii="Arial" w:hAnsi="Arial" w:cs="Arial"/>
        </w:rPr>
        <w:t xml:space="preserve"> </w:t>
      </w:r>
      <w:r w:rsidR="006A510D" w:rsidRPr="00826D62">
        <w:rPr>
          <w:rFonts w:ascii="Arial" w:hAnsi="Arial" w:cs="Arial"/>
        </w:rPr>
        <w:t>registrad</w:t>
      </w:r>
      <w:r w:rsidR="00825CCF" w:rsidRPr="00826D62">
        <w:rPr>
          <w:rFonts w:ascii="Arial" w:hAnsi="Arial" w:cs="Arial"/>
        </w:rPr>
        <w:t xml:space="preserve">os </w:t>
      </w:r>
      <w:r w:rsidR="008248FF" w:rsidRPr="00826D62">
        <w:rPr>
          <w:rFonts w:ascii="Arial" w:hAnsi="Arial" w:cs="Arial"/>
        </w:rPr>
        <w:t>no presentaría progreso.</w:t>
      </w:r>
    </w:p>
    <w:p w:rsidR="008248FF" w:rsidRPr="00826D62" w:rsidRDefault="00C43E03" w:rsidP="00826D62">
      <w:pPr>
        <w:pStyle w:val="ListParagraph"/>
        <w:numPr>
          <w:ilvl w:val="0"/>
          <w:numId w:val="17"/>
        </w:numPr>
        <w:spacing w:before="120" w:after="120" w:line="240" w:lineRule="auto"/>
        <w:ind w:left="1440"/>
        <w:contextualSpacing w:val="0"/>
        <w:jc w:val="both"/>
        <w:rPr>
          <w:rFonts w:ascii="Arial" w:hAnsi="Arial" w:cs="Arial"/>
        </w:rPr>
      </w:pPr>
      <w:r w:rsidRPr="00826D62">
        <w:rPr>
          <w:rFonts w:ascii="Arial" w:hAnsi="Arial" w:cs="Arial"/>
        </w:rPr>
        <w:t>El eje 2 -</w:t>
      </w:r>
      <w:r w:rsidR="00FC056A" w:rsidRPr="00826D62">
        <w:rPr>
          <w:rFonts w:ascii="Arial" w:hAnsi="Arial" w:cs="Arial"/>
        </w:rPr>
        <w:t xml:space="preserve"> </w:t>
      </w:r>
      <w:r w:rsidRPr="00826D62">
        <w:rPr>
          <w:rFonts w:ascii="Arial" w:hAnsi="Arial" w:cs="Arial"/>
        </w:rPr>
        <w:t xml:space="preserve">Relación de </w:t>
      </w:r>
      <w:r w:rsidR="008248FF" w:rsidRPr="00826D62">
        <w:rPr>
          <w:rFonts w:ascii="Arial" w:hAnsi="Arial" w:cs="Arial"/>
        </w:rPr>
        <w:t xml:space="preserve">Facturas / Total de </w:t>
      </w:r>
      <w:r w:rsidR="00FC056A" w:rsidRPr="00826D62">
        <w:rPr>
          <w:rFonts w:ascii="Arial" w:hAnsi="Arial" w:cs="Arial"/>
        </w:rPr>
        <w:t>RTN</w:t>
      </w:r>
      <w:r w:rsidR="008248FF" w:rsidRPr="00826D62">
        <w:rPr>
          <w:rFonts w:ascii="Arial" w:hAnsi="Arial" w:cs="Arial"/>
        </w:rPr>
        <w:t xml:space="preserve"> </w:t>
      </w:r>
      <w:r w:rsidR="006A510D" w:rsidRPr="00826D62">
        <w:rPr>
          <w:rFonts w:ascii="Arial" w:hAnsi="Arial" w:cs="Arial"/>
        </w:rPr>
        <w:t>registrados</w:t>
      </w:r>
      <w:r w:rsidR="008248FF" w:rsidRPr="00826D62">
        <w:rPr>
          <w:rFonts w:ascii="Arial" w:hAnsi="Arial" w:cs="Arial"/>
        </w:rPr>
        <w:t xml:space="preserve"> no presentaría progreso.</w:t>
      </w:r>
    </w:p>
    <w:p w:rsidR="008248FF" w:rsidRPr="00826D62" w:rsidRDefault="008248FF" w:rsidP="00826D62">
      <w:pPr>
        <w:pStyle w:val="ListParagraph"/>
        <w:numPr>
          <w:ilvl w:val="0"/>
          <w:numId w:val="17"/>
        </w:numPr>
        <w:spacing w:before="120" w:after="120" w:line="240" w:lineRule="auto"/>
        <w:ind w:left="1440"/>
        <w:contextualSpacing w:val="0"/>
        <w:jc w:val="both"/>
        <w:rPr>
          <w:rFonts w:ascii="Arial" w:hAnsi="Arial" w:cs="Arial"/>
        </w:rPr>
      </w:pPr>
      <w:r w:rsidRPr="00826D62">
        <w:rPr>
          <w:rFonts w:ascii="Arial" w:hAnsi="Arial" w:cs="Arial"/>
        </w:rPr>
        <w:t xml:space="preserve">El eje 3 – Relación Declaraciones / Total de </w:t>
      </w:r>
      <w:r w:rsidR="00FC056A" w:rsidRPr="00826D62">
        <w:rPr>
          <w:rFonts w:ascii="Arial" w:hAnsi="Arial" w:cs="Arial"/>
        </w:rPr>
        <w:t>RTN</w:t>
      </w:r>
      <w:r w:rsidRPr="00826D62">
        <w:rPr>
          <w:rFonts w:ascii="Arial" w:hAnsi="Arial" w:cs="Arial"/>
        </w:rPr>
        <w:t xml:space="preserve"> </w:t>
      </w:r>
      <w:r w:rsidR="006A510D" w:rsidRPr="00826D62">
        <w:rPr>
          <w:rFonts w:ascii="Arial" w:hAnsi="Arial" w:cs="Arial"/>
        </w:rPr>
        <w:t>registrados</w:t>
      </w:r>
      <w:r w:rsidRPr="00826D62">
        <w:rPr>
          <w:rFonts w:ascii="Arial" w:hAnsi="Arial" w:cs="Arial"/>
        </w:rPr>
        <w:t xml:space="preserve"> no presentaría progreso.</w:t>
      </w:r>
    </w:p>
    <w:p w:rsidR="00C43E03" w:rsidRPr="00826D62" w:rsidRDefault="008248FF" w:rsidP="00826D62">
      <w:pPr>
        <w:pStyle w:val="ListParagraph"/>
        <w:numPr>
          <w:ilvl w:val="0"/>
          <w:numId w:val="17"/>
        </w:numPr>
        <w:spacing w:before="120" w:after="120" w:line="240" w:lineRule="auto"/>
        <w:ind w:left="1440"/>
        <w:contextualSpacing w:val="0"/>
        <w:jc w:val="both"/>
        <w:rPr>
          <w:rFonts w:ascii="Arial" w:hAnsi="Arial" w:cs="Arial"/>
        </w:rPr>
      </w:pPr>
      <w:r w:rsidRPr="00826D62">
        <w:rPr>
          <w:rFonts w:ascii="Arial" w:hAnsi="Arial" w:cs="Arial"/>
        </w:rPr>
        <w:t xml:space="preserve"> </w:t>
      </w:r>
      <w:r w:rsidR="002C2664" w:rsidRPr="00826D62">
        <w:rPr>
          <w:rFonts w:ascii="Arial" w:hAnsi="Arial" w:cs="Arial"/>
        </w:rPr>
        <w:t xml:space="preserve">El déficit fiscal </w:t>
      </w:r>
      <w:r w:rsidR="006D2F59" w:rsidRPr="00826D62">
        <w:rPr>
          <w:rFonts w:ascii="Arial" w:hAnsi="Arial" w:cs="Arial"/>
        </w:rPr>
        <w:t xml:space="preserve">en el </w:t>
      </w:r>
      <w:r w:rsidR="002C2664" w:rsidRPr="00826D62">
        <w:rPr>
          <w:rFonts w:ascii="Arial" w:hAnsi="Arial" w:cs="Arial"/>
        </w:rPr>
        <w:t xml:space="preserve">caso </w:t>
      </w:r>
      <w:r w:rsidR="006D2F59" w:rsidRPr="00826D62">
        <w:rPr>
          <w:rFonts w:ascii="Arial" w:hAnsi="Arial" w:cs="Arial"/>
        </w:rPr>
        <w:t xml:space="preserve">de que </w:t>
      </w:r>
      <w:r w:rsidR="002C2664" w:rsidRPr="00826D62">
        <w:rPr>
          <w:rFonts w:ascii="Arial" w:hAnsi="Arial" w:cs="Arial"/>
        </w:rPr>
        <w:t xml:space="preserve">los gastos se mantuvieran en los mismos niveles </w:t>
      </w:r>
      <w:r w:rsidR="00825CCF" w:rsidRPr="00826D62">
        <w:rPr>
          <w:rFonts w:ascii="Arial" w:hAnsi="Arial" w:cs="Arial"/>
        </w:rPr>
        <w:t>permanecería alrededor de 5,22%</w:t>
      </w:r>
      <w:r w:rsidR="008019DC" w:rsidRPr="00826D62">
        <w:rPr>
          <w:rFonts w:ascii="Arial" w:hAnsi="Arial" w:cs="Arial"/>
        </w:rPr>
        <w:t xml:space="preserve"> del PIB</w:t>
      </w:r>
      <w:r w:rsidR="00825CCF" w:rsidRPr="00826D62">
        <w:rPr>
          <w:rFonts w:ascii="Arial" w:hAnsi="Arial" w:cs="Arial"/>
        </w:rPr>
        <w:t>.</w:t>
      </w:r>
    </w:p>
    <w:p w:rsidR="00477BA0" w:rsidRPr="00826D62" w:rsidRDefault="002C2664" w:rsidP="00826D62">
      <w:pPr>
        <w:pStyle w:val="Paragraph"/>
        <w:numPr>
          <w:ilvl w:val="1"/>
          <w:numId w:val="2"/>
        </w:numPr>
        <w:ind w:left="720" w:hanging="680"/>
        <w:rPr>
          <w:rFonts w:ascii="Arial" w:hAnsi="Arial" w:cs="Arial"/>
          <w:sz w:val="22"/>
          <w:szCs w:val="22"/>
        </w:rPr>
      </w:pPr>
      <w:r w:rsidRPr="00826D62">
        <w:rPr>
          <w:rFonts w:ascii="Arial" w:hAnsi="Arial" w:cs="Arial"/>
          <w:b/>
          <w:sz w:val="22"/>
          <w:szCs w:val="22"/>
        </w:rPr>
        <w:t>Paso 2</w:t>
      </w:r>
      <w:r w:rsidR="00477BA0" w:rsidRPr="00826D62">
        <w:rPr>
          <w:rFonts w:ascii="Arial" w:hAnsi="Arial" w:cs="Arial"/>
          <w:b/>
          <w:sz w:val="22"/>
          <w:szCs w:val="22"/>
        </w:rPr>
        <w:t>: Cálculo de</w:t>
      </w:r>
      <w:r w:rsidR="00825CCF" w:rsidRPr="00826D62">
        <w:rPr>
          <w:rFonts w:ascii="Arial" w:hAnsi="Arial" w:cs="Arial"/>
          <w:b/>
          <w:sz w:val="22"/>
          <w:szCs w:val="22"/>
        </w:rPr>
        <w:t>l</w:t>
      </w:r>
      <w:r w:rsidR="00477BA0" w:rsidRPr="00826D62">
        <w:rPr>
          <w:rFonts w:ascii="Arial" w:hAnsi="Arial" w:cs="Arial"/>
          <w:b/>
          <w:sz w:val="22"/>
          <w:szCs w:val="22"/>
        </w:rPr>
        <w:t xml:space="preserve"> </w:t>
      </w:r>
      <w:r w:rsidR="00825CCF" w:rsidRPr="00826D62">
        <w:rPr>
          <w:rFonts w:ascii="Arial" w:hAnsi="Arial" w:cs="Arial"/>
          <w:b/>
          <w:sz w:val="22"/>
          <w:szCs w:val="22"/>
        </w:rPr>
        <w:t>incremento</w:t>
      </w:r>
      <w:r w:rsidR="00477BA0" w:rsidRPr="00826D62">
        <w:rPr>
          <w:rFonts w:ascii="Arial" w:hAnsi="Arial" w:cs="Arial"/>
          <w:b/>
          <w:sz w:val="22"/>
          <w:szCs w:val="22"/>
        </w:rPr>
        <w:t xml:space="preserve"> de</w:t>
      </w:r>
      <w:r w:rsidR="00C43E03" w:rsidRPr="00826D62">
        <w:rPr>
          <w:rFonts w:ascii="Arial" w:hAnsi="Arial" w:cs="Arial"/>
          <w:b/>
          <w:sz w:val="22"/>
          <w:szCs w:val="22"/>
        </w:rPr>
        <w:t xml:space="preserve"> la</w:t>
      </w:r>
      <w:r w:rsidR="00477BA0" w:rsidRPr="00826D62">
        <w:rPr>
          <w:rFonts w:ascii="Arial" w:hAnsi="Arial" w:cs="Arial"/>
          <w:b/>
          <w:sz w:val="22"/>
          <w:szCs w:val="22"/>
        </w:rPr>
        <w:t xml:space="preserve"> relación entre el número de RTN Ac</w:t>
      </w:r>
      <w:r w:rsidR="00825CCF" w:rsidRPr="00826D62">
        <w:rPr>
          <w:rFonts w:ascii="Arial" w:hAnsi="Arial" w:cs="Arial"/>
          <w:b/>
          <w:sz w:val="22"/>
          <w:szCs w:val="22"/>
        </w:rPr>
        <w:t>tivos y el número de RTN inscri</w:t>
      </w:r>
      <w:r w:rsidR="00477BA0" w:rsidRPr="00826D62">
        <w:rPr>
          <w:rFonts w:ascii="Arial" w:hAnsi="Arial" w:cs="Arial"/>
          <w:b/>
          <w:sz w:val="22"/>
          <w:szCs w:val="22"/>
        </w:rPr>
        <w:t xml:space="preserve">tos en Ecuador en relación al aumento </w:t>
      </w:r>
      <w:r w:rsidR="00825CCF" w:rsidRPr="00826D62">
        <w:rPr>
          <w:rFonts w:ascii="Arial" w:hAnsi="Arial" w:cs="Arial"/>
          <w:b/>
          <w:sz w:val="22"/>
          <w:szCs w:val="22"/>
        </w:rPr>
        <w:t>en</w:t>
      </w:r>
      <w:r w:rsidR="00477BA0" w:rsidRPr="00826D62">
        <w:rPr>
          <w:rFonts w:ascii="Arial" w:hAnsi="Arial" w:cs="Arial"/>
          <w:b/>
          <w:sz w:val="22"/>
          <w:szCs w:val="22"/>
        </w:rPr>
        <w:t xml:space="preserve"> la presión fiscal. </w:t>
      </w:r>
    </w:p>
    <w:p w:rsidR="00C823DE" w:rsidRPr="00826D62" w:rsidRDefault="00323803" w:rsidP="00477BA0">
      <w:pPr>
        <w:spacing w:before="120" w:after="120" w:line="240" w:lineRule="auto"/>
        <w:jc w:val="both"/>
        <w:rPr>
          <w:rFonts w:ascii="Arial" w:hAnsi="Arial" w:cs="Arial"/>
          <w:sz w:val="24"/>
          <w:szCs w:val="24"/>
        </w:rPr>
      </w:pPr>
      <w:r w:rsidRPr="00826D62">
        <w:rPr>
          <w:rFonts w:ascii="Arial" w:hAnsi="Arial" w:cs="Arial"/>
          <w:noProof/>
          <w:lang w:val="en-US"/>
        </w:rPr>
        <w:lastRenderedPageBreak/>
        <w:drawing>
          <wp:inline distT="0" distB="0" distL="0" distR="0" wp14:anchorId="07830029" wp14:editId="47A9DA65">
            <wp:extent cx="6122822" cy="3979469"/>
            <wp:effectExtent l="0" t="0" r="0" b="254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9261" cy="3977155"/>
                    </a:xfrm>
                    <a:prstGeom prst="rect">
                      <a:avLst/>
                    </a:prstGeom>
                    <a:noFill/>
                    <a:ln>
                      <a:noFill/>
                    </a:ln>
                  </pic:spPr>
                </pic:pic>
              </a:graphicData>
            </a:graphic>
          </wp:inline>
        </w:drawing>
      </w:r>
    </w:p>
    <w:p w:rsidR="00C23CE8" w:rsidRPr="00826D62" w:rsidRDefault="00C23CE8" w:rsidP="00477BA0">
      <w:pPr>
        <w:spacing w:before="120" w:after="120" w:line="240" w:lineRule="auto"/>
        <w:jc w:val="both"/>
        <w:rPr>
          <w:rFonts w:ascii="Arial" w:hAnsi="Arial" w:cs="Arial"/>
          <w:b/>
        </w:rPr>
      </w:pPr>
    </w:p>
    <w:p w:rsidR="003C252C" w:rsidRPr="00826D62" w:rsidRDefault="00527041" w:rsidP="00826D62">
      <w:pPr>
        <w:pStyle w:val="Paragraph"/>
        <w:numPr>
          <w:ilvl w:val="1"/>
          <w:numId w:val="2"/>
        </w:numPr>
        <w:ind w:left="720" w:hanging="680"/>
        <w:rPr>
          <w:rFonts w:ascii="Arial" w:hAnsi="Arial" w:cs="Arial"/>
          <w:sz w:val="22"/>
          <w:szCs w:val="22"/>
        </w:rPr>
      </w:pPr>
      <w:r w:rsidRPr="00826D62">
        <w:rPr>
          <w:rFonts w:ascii="Arial" w:hAnsi="Arial" w:cs="Arial"/>
          <w:b/>
          <w:sz w:val="22"/>
          <w:szCs w:val="22"/>
        </w:rPr>
        <w:t xml:space="preserve">Paso 3 - </w:t>
      </w:r>
      <w:r w:rsidR="00022472" w:rsidRPr="00826D62">
        <w:rPr>
          <w:rFonts w:ascii="Arial" w:hAnsi="Arial" w:cs="Arial"/>
          <w:b/>
          <w:sz w:val="22"/>
          <w:szCs w:val="22"/>
        </w:rPr>
        <w:t>Cá</w:t>
      </w:r>
      <w:r w:rsidR="003C252C" w:rsidRPr="00826D62">
        <w:rPr>
          <w:rFonts w:ascii="Arial" w:hAnsi="Arial" w:cs="Arial"/>
          <w:b/>
          <w:sz w:val="22"/>
          <w:szCs w:val="22"/>
        </w:rPr>
        <w:t>lculo de</w:t>
      </w:r>
      <w:r w:rsidR="00A44037" w:rsidRPr="00826D62">
        <w:rPr>
          <w:rFonts w:ascii="Arial" w:hAnsi="Arial" w:cs="Arial"/>
          <w:b/>
          <w:sz w:val="22"/>
          <w:szCs w:val="22"/>
        </w:rPr>
        <w:t>l</w:t>
      </w:r>
      <w:r w:rsidR="003C252C" w:rsidRPr="00826D62">
        <w:rPr>
          <w:rFonts w:ascii="Arial" w:hAnsi="Arial" w:cs="Arial"/>
          <w:b/>
          <w:sz w:val="22"/>
          <w:szCs w:val="22"/>
        </w:rPr>
        <w:t xml:space="preserve"> impacto del aumento del RUC activo</w:t>
      </w:r>
      <w:r w:rsidR="00022472" w:rsidRPr="00826D62">
        <w:rPr>
          <w:rFonts w:ascii="Arial" w:hAnsi="Arial" w:cs="Arial"/>
          <w:b/>
          <w:sz w:val="22"/>
          <w:szCs w:val="22"/>
        </w:rPr>
        <w:t>s</w:t>
      </w:r>
      <w:r w:rsidR="003C252C" w:rsidRPr="00826D62">
        <w:rPr>
          <w:rFonts w:ascii="Arial" w:hAnsi="Arial" w:cs="Arial"/>
          <w:b/>
          <w:sz w:val="22"/>
          <w:szCs w:val="22"/>
        </w:rPr>
        <w:t xml:space="preserve"> en la presión fiscal en Ecuador</w:t>
      </w:r>
      <w:r w:rsidR="004B2D6D" w:rsidRPr="00826D62">
        <w:rPr>
          <w:rFonts w:ascii="Arial" w:hAnsi="Arial" w:cs="Arial"/>
          <w:b/>
          <w:sz w:val="22"/>
          <w:szCs w:val="22"/>
        </w:rPr>
        <w:t xml:space="preserve"> en relación a 100.000 RUC</w:t>
      </w:r>
      <w:r w:rsidR="00A44037" w:rsidRPr="00826D62">
        <w:rPr>
          <w:rFonts w:ascii="Arial" w:hAnsi="Arial" w:cs="Arial"/>
          <w:b/>
          <w:sz w:val="22"/>
          <w:szCs w:val="22"/>
        </w:rPr>
        <w:t xml:space="preserve"> adicionales.</w:t>
      </w:r>
    </w:p>
    <w:p w:rsidR="00C23CE8" w:rsidRPr="00826D62" w:rsidRDefault="00C23CE8" w:rsidP="00826D62">
      <w:pPr>
        <w:spacing w:before="120" w:after="120" w:line="240" w:lineRule="auto"/>
        <w:ind w:left="630"/>
        <w:jc w:val="both"/>
        <w:rPr>
          <w:rFonts w:ascii="Arial" w:hAnsi="Arial" w:cs="Arial"/>
          <w:b/>
        </w:rPr>
      </w:pPr>
      <w:r w:rsidRPr="00826D62">
        <w:rPr>
          <w:rFonts w:ascii="Arial" w:hAnsi="Arial" w:cs="Arial"/>
          <w:b/>
        </w:rPr>
        <w:t>Variables intermedias:</w:t>
      </w:r>
    </w:p>
    <w:p w:rsidR="00C23CE8" w:rsidRPr="00826D62" w:rsidRDefault="00C23CE8" w:rsidP="00826D62">
      <w:pPr>
        <w:pStyle w:val="ListParagraph"/>
        <w:numPr>
          <w:ilvl w:val="0"/>
          <w:numId w:val="15"/>
        </w:numPr>
        <w:spacing w:before="120" w:after="120" w:line="240" w:lineRule="auto"/>
        <w:ind w:left="1440"/>
        <w:contextualSpacing w:val="0"/>
        <w:jc w:val="both"/>
        <w:rPr>
          <w:rFonts w:ascii="Arial" w:hAnsi="Arial" w:cs="Arial"/>
        </w:rPr>
      </w:pPr>
      <w:r w:rsidRPr="00826D62">
        <w:rPr>
          <w:rFonts w:ascii="Arial" w:hAnsi="Arial" w:cs="Arial"/>
        </w:rPr>
        <w:t xml:space="preserve">Aumento de los </w:t>
      </w:r>
      <w:r w:rsidR="00DA7E1E">
        <w:rPr>
          <w:rFonts w:ascii="Arial" w:hAnsi="Arial" w:cs="Arial"/>
        </w:rPr>
        <w:t xml:space="preserve"> RUC</w:t>
      </w:r>
      <w:r w:rsidRPr="00826D62">
        <w:rPr>
          <w:rFonts w:ascii="Arial" w:hAnsi="Arial" w:cs="Arial"/>
        </w:rPr>
        <w:t xml:space="preserve"> activos </w:t>
      </w:r>
      <w:r w:rsidR="00707D03" w:rsidRPr="00826D62">
        <w:rPr>
          <w:rFonts w:ascii="Arial" w:hAnsi="Arial" w:cs="Arial"/>
        </w:rPr>
        <w:t>(</w:t>
      </w:r>
      <w:r w:rsidRPr="00826D62">
        <w:rPr>
          <w:rFonts w:ascii="Arial" w:hAnsi="Arial" w:cs="Arial"/>
        </w:rPr>
        <w:t>1998-2006</w:t>
      </w:r>
      <w:r w:rsidR="00707D03" w:rsidRPr="00826D62">
        <w:rPr>
          <w:rFonts w:ascii="Arial" w:hAnsi="Arial" w:cs="Arial"/>
        </w:rPr>
        <w:t>)</w:t>
      </w:r>
      <w:r w:rsidRPr="00826D62">
        <w:rPr>
          <w:rFonts w:ascii="Arial" w:hAnsi="Arial" w:cs="Arial"/>
        </w:rPr>
        <w:t xml:space="preserve"> = 944.600 </w:t>
      </w:r>
      <w:r w:rsidR="003C252C" w:rsidRPr="00826D62">
        <w:rPr>
          <w:rFonts w:ascii="Arial" w:hAnsi="Arial" w:cs="Arial"/>
        </w:rPr>
        <w:t>–</w:t>
      </w:r>
      <w:r w:rsidRPr="00826D62">
        <w:rPr>
          <w:rFonts w:ascii="Arial" w:hAnsi="Arial" w:cs="Arial"/>
        </w:rPr>
        <w:t xml:space="preserve"> </w:t>
      </w:r>
      <w:r w:rsidR="003C252C" w:rsidRPr="00826D62">
        <w:rPr>
          <w:rFonts w:ascii="Arial" w:hAnsi="Arial" w:cs="Arial"/>
        </w:rPr>
        <w:t>234.094 = 710.505</w:t>
      </w:r>
    </w:p>
    <w:p w:rsidR="003C252C" w:rsidRPr="00826D62" w:rsidRDefault="003C252C" w:rsidP="00826D62">
      <w:pPr>
        <w:pStyle w:val="ListParagraph"/>
        <w:numPr>
          <w:ilvl w:val="0"/>
          <w:numId w:val="15"/>
        </w:numPr>
        <w:spacing w:before="120" w:after="120" w:line="240" w:lineRule="auto"/>
        <w:ind w:left="1440"/>
        <w:contextualSpacing w:val="0"/>
        <w:jc w:val="both"/>
        <w:rPr>
          <w:rFonts w:ascii="Arial" w:hAnsi="Arial" w:cs="Arial"/>
        </w:rPr>
      </w:pPr>
      <w:r w:rsidRPr="00826D62">
        <w:rPr>
          <w:rFonts w:ascii="Arial" w:hAnsi="Arial" w:cs="Arial"/>
        </w:rPr>
        <w:t xml:space="preserve">Aumento de la presión fiscal </w:t>
      </w:r>
      <w:r w:rsidR="00707D03" w:rsidRPr="00826D62">
        <w:rPr>
          <w:rFonts w:ascii="Arial" w:hAnsi="Arial" w:cs="Arial"/>
        </w:rPr>
        <w:t>(</w:t>
      </w:r>
      <w:r w:rsidRPr="00826D62">
        <w:rPr>
          <w:rFonts w:ascii="Arial" w:hAnsi="Arial" w:cs="Arial"/>
        </w:rPr>
        <w:t>1998-2006</w:t>
      </w:r>
      <w:r w:rsidR="00707D03" w:rsidRPr="00826D62">
        <w:rPr>
          <w:rFonts w:ascii="Arial" w:hAnsi="Arial" w:cs="Arial"/>
        </w:rPr>
        <w:t>)</w:t>
      </w:r>
      <w:r w:rsidRPr="00826D62">
        <w:rPr>
          <w:rFonts w:ascii="Arial" w:hAnsi="Arial" w:cs="Arial"/>
        </w:rPr>
        <w:t xml:space="preserve"> = 10,9% - 6,2% = 4,7%</w:t>
      </w:r>
    </w:p>
    <w:p w:rsidR="003C252C" w:rsidRPr="00826D62" w:rsidRDefault="00707D03" w:rsidP="00826D62">
      <w:pPr>
        <w:pStyle w:val="ListParagraph"/>
        <w:numPr>
          <w:ilvl w:val="0"/>
          <w:numId w:val="15"/>
        </w:numPr>
        <w:spacing w:before="120" w:after="120" w:line="240" w:lineRule="auto"/>
        <w:ind w:left="1440"/>
        <w:contextualSpacing w:val="0"/>
        <w:jc w:val="both"/>
        <w:rPr>
          <w:rFonts w:ascii="Arial" w:hAnsi="Arial" w:cs="Arial"/>
        </w:rPr>
      </w:pPr>
      <w:r w:rsidRPr="00826D62">
        <w:rPr>
          <w:rFonts w:ascii="Arial" w:hAnsi="Arial" w:cs="Arial"/>
        </w:rPr>
        <w:t xml:space="preserve">Cada </w:t>
      </w:r>
      <w:r w:rsidR="003C252C" w:rsidRPr="00826D62">
        <w:rPr>
          <w:rFonts w:ascii="Arial" w:hAnsi="Arial" w:cs="Arial"/>
        </w:rPr>
        <w:t xml:space="preserve">100.000 </w:t>
      </w:r>
      <w:r w:rsidR="00DA7E1E">
        <w:rPr>
          <w:rFonts w:ascii="Arial" w:hAnsi="Arial" w:cs="Arial"/>
        </w:rPr>
        <w:t xml:space="preserve"> RUC</w:t>
      </w:r>
      <w:r w:rsidR="00FC056A" w:rsidRPr="00826D62">
        <w:rPr>
          <w:rFonts w:ascii="Arial" w:hAnsi="Arial" w:cs="Arial"/>
        </w:rPr>
        <w:t xml:space="preserve"> </w:t>
      </w:r>
      <w:r w:rsidRPr="00826D62">
        <w:rPr>
          <w:rFonts w:ascii="Arial" w:hAnsi="Arial" w:cs="Arial"/>
        </w:rPr>
        <w:t>(1998-2006)</w:t>
      </w:r>
      <w:r w:rsidR="00FC056A" w:rsidRPr="00826D62">
        <w:rPr>
          <w:rFonts w:ascii="Arial" w:hAnsi="Arial" w:cs="Arial"/>
        </w:rPr>
        <w:t xml:space="preserve"> </w:t>
      </w:r>
      <w:r w:rsidR="003C252C" w:rsidRPr="00826D62">
        <w:rPr>
          <w:rFonts w:ascii="Arial" w:hAnsi="Arial" w:cs="Arial"/>
        </w:rPr>
        <w:t>= 100.000 * 4.7 /710.505</w:t>
      </w:r>
      <w:r w:rsidR="00655F3F" w:rsidRPr="00826D62">
        <w:rPr>
          <w:rFonts w:ascii="Arial" w:hAnsi="Arial" w:cs="Arial"/>
        </w:rPr>
        <w:t>*100</w:t>
      </w:r>
      <w:r w:rsidR="003C252C" w:rsidRPr="00826D62">
        <w:rPr>
          <w:rFonts w:ascii="Arial" w:hAnsi="Arial" w:cs="Arial"/>
        </w:rPr>
        <w:t xml:space="preserve"> = 67%</w:t>
      </w:r>
    </w:p>
    <w:p w:rsidR="003C252C" w:rsidRPr="00826D62" w:rsidRDefault="003C252C" w:rsidP="00826D62">
      <w:pPr>
        <w:pStyle w:val="ListParagraph"/>
        <w:numPr>
          <w:ilvl w:val="0"/>
          <w:numId w:val="15"/>
        </w:numPr>
        <w:spacing w:before="120" w:after="120" w:line="240" w:lineRule="auto"/>
        <w:ind w:left="1440"/>
        <w:contextualSpacing w:val="0"/>
        <w:jc w:val="both"/>
        <w:rPr>
          <w:rFonts w:ascii="Arial" w:hAnsi="Arial" w:cs="Arial"/>
        </w:rPr>
      </w:pPr>
      <w:r w:rsidRPr="00826D62">
        <w:rPr>
          <w:rFonts w:ascii="Arial" w:hAnsi="Arial" w:cs="Arial"/>
        </w:rPr>
        <w:t xml:space="preserve">El aumento </w:t>
      </w:r>
      <w:r w:rsidR="00646EBF" w:rsidRPr="00826D62">
        <w:rPr>
          <w:rFonts w:ascii="Arial" w:hAnsi="Arial" w:cs="Arial"/>
        </w:rPr>
        <w:t>anual de la presión fiscal</w:t>
      </w:r>
      <w:r w:rsidR="00707D03" w:rsidRPr="00826D62">
        <w:rPr>
          <w:rFonts w:ascii="Arial" w:hAnsi="Arial" w:cs="Arial"/>
        </w:rPr>
        <w:t xml:space="preserve"> para cada 100.000 </w:t>
      </w:r>
      <w:r w:rsidR="00DA7E1E">
        <w:rPr>
          <w:rFonts w:ascii="Arial" w:hAnsi="Arial" w:cs="Arial"/>
        </w:rPr>
        <w:t xml:space="preserve"> RUC</w:t>
      </w:r>
      <w:r w:rsidRPr="00826D62">
        <w:rPr>
          <w:rFonts w:ascii="Arial" w:hAnsi="Arial" w:cs="Arial"/>
        </w:rPr>
        <w:t xml:space="preserve"> = 67% / 9</w:t>
      </w:r>
      <w:r w:rsidR="00052B3E">
        <w:rPr>
          <w:rFonts w:ascii="Arial" w:hAnsi="Arial" w:cs="Arial"/>
        </w:rPr>
        <w:t> </w:t>
      </w:r>
      <w:r w:rsidRPr="00826D62">
        <w:rPr>
          <w:rFonts w:ascii="Arial" w:hAnsi="Arial" w:cs="Arial"/>
        </w:rPr>
        <w:t>años = 7</w:t>
      </w:r>
      <w:r w:rsidR="00323803" w:rsidRPr="00826D62">
        <w:rPr>
          <w:rFonts w:ascii="Arial" w:hAnsi="Arial" w:cs="Arial"/>
        </w:rPr>
        <w:t>,42</w:t>
      </w:r>
      <w:r w:rsidRPr="00826D62">
        <w:rPr>
          <w:rFonts w:ascii="Arial" w:hAnsi="Arial" w:cs="Arial"/>
        </w:rPr>
        <w:t xml:space="preserve"> %</w:t>
      </w:r>
      <w:r w:rsidR="008019DC" w:rsidRPr="00826D62">
        <w:rPr>
          <w:rFonts w:ascii="Arial" w:hAnsi="Arial" w:cs="Arial"/>
        </w:rPr>
        <w:t xml:space="preserve"> </w:t>
      </w:r>
    </w:p>
    <w:p w:rsidR="003C252C" w:rsidRPr="00826D62" w:rsidRDefault="003C252C" w:rsidP="00826D62">
      <w:pPr>
        <w:pStyle w:val="ListParagraph"/>
        <w:numPr>
          <w:ilvl w:val="0"/>
          <w:numId w:val="15"/>
        </w:numPr>
        <w:spacing w:before="120" w:after="120" w:line="240" w:lineRule="auto"/>
        <w:ind w:left="1440"/>
        <w:contextualSpacing w:val="0"/>
        <w:jc w:val="both"/>
        <w:rPr>
          <w:rFonts w:ascii="Arial" w:hAnsi="Arial" w:cs="Arial"/>
        </w:rPr>
      </w:pPr>
      <w:r w:rsidRPr="00826D62">
        <w:rPr>
          <w:rFonts w:ascii="Arial" w:hAnsi="Arial" w:cs="Arial"/>
        </w:rPr>
        <w:t xml:space="preserve">Este % será la base para calcular el beneficio generado por </w:t>
      </w:r>
      <w:r w:rsidR="006D2F59" w:rsidRPr="00826D62">
        <w:rPr>
          <w:rFonts w:ascii="Arial" w:hAnsi="Arial" w:cs="Arial"/>
        </w:rPr>
        <w:t>el proyecto de</w:t>
      </w:r>
      <w:r w:rsidRPr="00826D62">
        <w:rPr>
          <w:rFonts w:ascii="Arial" w:hAnsi="Arial" w:cs="Arial"/>
        </w:rPr>
        <w:t xml:space="preserve"> modernización </w:t>
      </w:r>
      <w:r w:rsidR="006D2F59" w:rsidRPr="00826D62">
        <w:rPr>
          <w:rFonts w:ascii="Arial" w:hAnsi="Arial" w:cs="Arial"/>
        </w:rPr>
        <w:t xml:space="preserve">de la Agencia Tributaria </w:t>
      </w:r>
      <w:r w:rsidRPr="00826D62">
        <w:rPr>
          <w:rFonts w:ascii="Arial" w:hAnsi="Arial" w:cs="Arial"/>
        </w:rPr>
        <w:t>en Honduras.</w:t>
      </w:r>
    </w:p>
    <w:p w:rsidR="003C252C" w:rsidRPr="00826D62" w:rsidRDefault="00527041" w:rsidP="00826D62">
      <w:pPr>
        <w:pStyle w:val="Paragraph"/>
        <w:numPr>
          <w:ilvl w:val="1"/>
          <w:numId w:val="2"/>
        </w:numPr>
        <w:ind w:left="720" w:hanging="720"/>
        <w:rPr>
          <w:rFonts w:ascii="Arial" w:hAnsi="Arial" w:cs="Arial"/>
          <w:sz w:val="22"/>
          <w:szCs w:val="22"/>
        </w:rPr>
      </w:pPr>
      <w:r w:rsidRPr="00826D62">
        <w:rPr>
          <w:rFonts w:ascii="Arial" w:hAnsi="Arial" w:cs="Arial"/>
          <w:b/>
          <w:sz w:val="22"/>
          <w:szCs w:val="22"/>
        </w:rPr>
        <w:t>Paso 4</w:t>
      </w:r>
      <w:r w:rsidR="004B2D6D" w:rsidRPr="00826D62">
        <w:rPr>
          <w:rFonts w:ascii="Arial" w:hAnsi="Arial" w:cs="Arial"/>
          <w:b/>
          <w:sz w:val="22"/>
          <w:szCs w:val="22"/>
        </w:rPr>
        <w:t xml:space="preserve">: Aplicación </w:t>
      </w:r>
      <w:r w:rsidR="002C2664" w:rsidRPr="00826D62">
        <w:rPr>
          <w:rFonts w:ascii="Arial" w:hAnsi="Arial" w:cs="Arial"/>
          <w:b/>
          <w:sz w:val="22"/>
          <w:szCs w:val="22"/>
        </w:rPr>
        <w:t xml:space="preserve">del </w:t>
      </w:r>
      <w:r w:rsidR="00323803" w:rsidRPr="00826D62">
        <w:rPr>
          <w:rFonts w:ascii="Arial" w:hAnsi="Arial" w:cs="Arial"/>
          <w:b/>
          <w:sz w:val="22"/>
          <w:szCs w:val="22"/>
        </w:rPr>
        <w:t xml:space="preserve">% </w:t>
      </w:r>
      <w:r w:rsidR="002C2664" w:rsidRPr="00826D62">
        <w:rPr>
          <w:rFonts w:ascii="Arial" w:hAnsi="Arial" w:cs="Arial"/>
          <w:b/>
          <w:sz w:val="22"/>
          <w:szCs w:val="22"/>
        </w:rPr>
        <w:t xml:space="preserve">de aumento de la variación del RTN activo </w:t>
      </w:r>
      <w:r w:rsidR="006D2F59" w:rsidRPr="00826D62">
        <w:rPr>
          <w:rFonts w:ascii="Arial" w:hAnsi="Arial" w:cs="Arial"/>
          <w:b/>
          <w:sz w:val="22"/>
          <w:szCs w:val="22"/>
        </w:rPr>
        <w:t xml:space="preserve">de Honduras </w:t>
      </w:r>
      <w:r w:rsidR="002C2664" w:rsidRPr="00826D62">
        <w:rPr>
          <w:rFonts w:ascii="Arial" w:hAnsi="Arial" w:cs="Arial"/>
          <w:b/>
          <w:sz w:val="22"/>
          <w:szCs w:val="22"/>
        </w:rPr>
        <w:t>en relación a la presión fiscal.</w:t>
      </w:r>
    </w:p>
    <w:p w:rsidR="002C2664" w:rsidRPr="00826D62" w:rsidRDefault="00BB5027" w:rsidP="00612D8F">
      <w:pPr>
        <w:spacing w:before="120" w:after="120" w:line="240" w:lineRule="auto"/>
        <w:jc w:val="both"/>
        <w:rPr>
          <w:rFonts w:ascii="Arial" w:hAnsi="Arial" w:cs="Arial"/>
          <w:b/>
          <w:sz w:val="24"/>
          <w:szCs w:val="24"/>
        </w:rPr>
      </w:pPr>
      <w:r w:rsidRPr="00826D62">
        <w:rPr>
          <w:rFonts w:ascii="Arial" w:hAnsi="Arial" w:cs="Arial"/>
          <w:noProof/>
          <w:lang w:val="en-US"/>
        </w:rPr>
        <w:lastRenderedPageBreak/>
        <w:drawing>
          <wp:inline distT="0" distB="0" distL="0" distR="0" wp14:anchorId="20B403DF" wp14:editId="350538C9">
            <wp:extent cx="5943600" cy="4502386"/>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502386"/>
                    </a:xfrm>
                    <a:prstGeom prst="rect">
                      <a:avLst/>
                    </a:prstGeom>
                    <a:noFill/>
                    <a:ln>
                      <a:noFill/>
                    </a:ln>
                  </pic:spPr>
                </pic:pic>
              </a:graphicData>
            </a:graphic>
          </wp:inline>
        </w:drawing>
      </w:r>
    </w:p>
    <w:p w:rsidR="002C2664" w:rsidRPr="00826D62" w:rsidRDefault="00DA7E1E" w:rsidP="00826D62">
      <w:pPr>
        <w:spacing w:before="120" w:after="120" w:line="240" w:lineRule="auto"/>
        <w:ind w:left="720" w:hanging="720"/>
        <w:jc w:val="both"/>
        <w:rPr>
          <w:rFonts w:ascii="Arial" w:hAnsi="Arial" w:cs="Arial"/>
        </w:rPr>
      </w:pPr>
      <w:r>
        <w:rPr>
          <w:rFonts w:ascii="Arial" w:hAnsi="Arial" w:cs="Arial"/>
        </w:rPr>
        <w:t>3.14</w:t>
      </w:r>
      <w:r>
        <w:rPr>
          <w:rFonts w:ascii="Arial" w:hAnsi="Arial" w:cs="Arial"/>
        </w:rPr>
        <w:tab/>
      </w:r>
      <w:r w:rsidR="00022472" w:rsidRPr="00826D62">
        <w:rPr>
          <w:rFonts w:ascii="Arial" w:hAnsi="Arial" w:cs="Arial"/>
          <w:b/>
        </w:rPr>
        <w:t>Cá</w:t>
      </w:r>
      <w:r w:rsidR="002C2664" w:rsidRPr="00826D62">
        <w:rPr>
          <w:rFonts w:ascii="Arial" w:hAnsi="Arial" w:cs="Arial"/>
          <w:b/>
        </w:rPr>
        <w:t xml:space="preserve">lculo de la aplicación del factor de aumento del RTN en relación a </w:t>
      </w:r>
      <w:r w:rsidR="00022472" w:rsidRPr="00826D62">
        <w:rPr>
          <w:rFonts w:ascii="Arial" w:hAnsi="Arial" w:cs="Arial"/>
          <w:b/>
        </w:rPr>
        <w:t xml:space="preserve">la </w:t>
      </w:r>
      <w:r w:rsidR="002C2664" w:rsidRPr="00826D62">
        <w:rPr>
          <w:rFonts w:ascii="Arial" w:hAnsi="Arial" w:cs="Arial"/>
          <w:b/>
        </w:rPr>
        <w:t>presión fiscal:</w:t>
      </w:r>
    </w:p>
    <w:p w:rsidR="00A87E0B" w:rsidRPr="00826D62" w:rsidRDefault="00A87E0B" w:rsidP="00826D62">
      <w:pPr>
        <w:pStyle w:val="ListParagraph"/>
        <w:numPr>
          <w:ilvl w:val="0"/>
          <w:numId w:val="18"/>
        </w:numPr>
        <w:spacing w:before="120" w:after="120" w:line="240" w:lineRule="auto"/>
        <w:ind w:left="1440"/>
        <w:contextualSpacing w:val="0"/>
        <w:jc w:val="both"/>
        <w:rPr>
          <w:rFonts w:ascii="Arial" w:hAnsi="Arial" w:cs="Arial"/>
        </w:rPr>
      </w:pPr>
      <w:r w:rsidRPr="00826D62">
        <w:rPr>
          <w:rFonts w:ascii="Arial" w:hAnsi="Arial" w:cs="Arial"/>
        </w:rPr>
        <w:t>De forma conservadora</w:t>
      </w:r>
      <w:r w:rsidR="00BF4ED8" w:rsidRPr="00826D62">
        <w:rPr>
          <w:rFonts w:ascii="Arial" w:hAnsi="Arial" w:cs="Arial"/>
        </w:rPr>
        <w:t>,</w:t>
      </w:r>
      <w:r w:rsidRPr="00826D62">
        <w:rPr>
          <w:rFonts w:ascii="Arial" w:hAnsi="Arial" w:cs="Arial"/>
        </w:rPr>
        <w:t xml:space="preserve"> el </w:t>
      </w:r>
      <w:r w:rsidR="00323803" w:rsidRPr="00826D62">
        <w:rPr>
          <w:rFonts w:ascii="Arial" w:hAnsi="Arial" w:cs="Arial"/>
        </w:rPr>
        <w:t xml:space="preserve">% </w:t>
      </w:r>
      <w:r w:rsidRPr="00826D62">
        <w:rPr>
          <w:rFonts w:ascii="Arial" w:hAnsi="Arial" w:cs="Arial"/>
        </w:rPr>
        <w:t xml:space="preserve">de aumento utilizado </w:t>
      </w:r>
      <w:r w:rsidR="00707D03" w:rsidRPr="00826D62">
        <w:rPr>
          <w:rFonts w:ascii="Arial" w:hAnsi="Arial" w:cs="Arial"/>
        </w:rPr>
        <w:t xml:space="preserve">en la presión fiscal </w:t>
      </w:r>
      <w:r w:rsidRPr="00826D62">
        <w:rPr>
          <w:rFonts w:ascii="Arial" w:hAnsi="Arial" w:cs="Arial"/>
        </w:rPr>
        <w:t xml:space="preserve">fue de </w:t>
      </w:r>
      <w:r w:rsidR="00707D03" w:rsidRPr="00826D62">
        <w:rPr>
          <w:rFonts w:ascii="Arial" w:hAnsi="Arial" w:cs="Arial"/>
        </w:rPr>
        <w:t>2%</w:t>
      </w:r>
      <w:r w:rsidR="00612D8F" w:rsidRPr="00826D62">
        <w:rPr>
          <w:rFonts w:ascii="Arial" w:hAnsi="Arial" w:cs="Arial"/>
        </w:rPr>
        <w:t xml:space="preserve"> para un </w:t>
      </w:r>
      <w:r w:rsidR="00BF4ED8" w:rsidRPr="00826D62">
        <w:rPr>
          <w:rFonts w:ascii="Arial" w:hAnsi="Arial" w:cs="Arial"/>
        </w:rPr>
        <w:t>increment</w:t>
      </w:r>
      <w:r w:rsidR="00612D8F" w:rsidRPr="00826D62">
        <w:rPr>
          <w:rFonts w:ascii="Arial" w:hAnsi="Arial" w:cs="Arial"/>
        </w:rPr>
        <w:t xml:space="preserve">o de 100.000 </w:t>
      </w:r>
      <w:r w:rsidR="00FC056A" w:rsidRPr="00826D62">
        <w:rPr>
          <w:rFonts w:ascii="Arial" w:hAnsi="Arial" w:cs="Arial"/>
        </w:rPr>
        <w:t>RTN</w:t>
      </w:r>
      <w:r w:rsidR="00612D8F" w:rsidRPr="00826D62">
        <w:rPr>
          <w:rFonts w:ascii="Arial" w:hAnsi="Arial" w:cs="Arial"/>
        </w:rPr>
        <w:t xml:space="preserve"> activos</w:t>
      </w:r>
      <w:r w:rsidRPr="00826D62">
        <w:rPr>
          <w:rFonts w:ascii="Arial" w:hAnsi="Arial" w:cs="Arial"/>
        </w:rPr>
        <w:t xml:space="preserve">, </w:t>
      </w:r>
      <w:r w:rsidR="00BF4ED8" w:rsidRPr="00826D62">
        <w:rPr>
          <w:rFonts w:ascii="Arial" w:hAnsi="Arial" w:cs="Arial"/>
        </w:rPr>
        <w:t xml:space="preserve">que es </w:t>
      </w:r>
      <w:r w:rsidRPr="00826D62">
        <w:rPr>
          <w:rFonts w:ascii="Arial" w:hAnsi="Arial" w:cs="Arial"/>
        </w:rPr>
        <w:t xml:space="preserve">¼ </w:t>
      </w:r>
      <w:r w:rsidR="00C0433F" w:rsidRPr="00826D62">
        <w:rPr>
          <w:rFonts w:ascii="Arial" w:hAnsi="Arial" w:cs="Arial"/>
        </w:rPr>
        <w:t>de los 7,42% presentados</w:t>
      </w:r>
      <w:r w:rsidRPr="00826D62">
        <w:rPr>
          <w:rFonts w:ascii="Arial" w:hAnsi="Arial" w:cs="Arial"/>
        </w:rPr>
        <w:t xml:space="preserve"> </w:t>
      </w:r>
      <w:r w:rsidR="00BF4ED8" w:rsidRPr="00826D62">
        <w:rPr>
          <w:rFonts w:ascii="Arial" w:hAnsi="Arial" w:cs="Arial"/>
        </w:rPr>
        <w:t xml:space="preserve">en Ecuador. Esta decisión está basada </w:t>
      </w:r>
      <w:r w:rsidRPr="00826D62">
        <w:rPr>
          <w:rFonts w:ascii="Arial" w:hAnsi="Arial" w:cs="Arial"/>
        </w:rPr>
        <w:t xml:space="preserve">en </w:t>
      </w:r>
      <w:r w:rsidR="00BF4ED8" w:rsidRPr="00826D62">
        <w:rPr>
          <w:rFonts w:ascii="Arial" w:hAnsi="Arial" w:cs="Arial"/>
        </w:rPr>
        <w:t>la</w:t>
      </w:r>
      <w:r w:rsidR="008019DC" w:rsidRPr="00826D62">
        <w:rPr>
          <w:rFonts w:ascii="Arial" w:hAnsi="Arial" w:cs="Arial"/>
        </w:rPr>
        <w:t>s limitaciones</w:t>
      </w:r>
      <w:r w:rsidR="00BF4ED8" w:rsidRPr="00826D62">
        <w:rPr>
          <w:rFonts w:ascii="Arial" w:hAnsi="Arial" w:cs="Arial"/>
        </w:rPr>
        <w:t xml:space="preserve"> </w:t>
      </w:r>
      <w:r w:rsidR="00707D03" w:rsidRPr="00826D62">
        <w:rPr>
          <w:rFonts w:ascii="Arial" w:hAnsi="Arial" w:cs="Arial"/>
        </w:rPr>
        <w:t xml:space="preserve">para </w:t>
      </w:r>
      <w:r w:rsidR="00BF4ED8" w:rsidRPr="00826D62">
        <w:rPr>
          <w:rFonts w:ascii="Arial" w:hAnsi="Arial" w:cs="Arial"/>
        </w:rPr>
        <w:t xml:space="preserve">estimar </w:t>
      </w:r>
      <w:r w:rsidRPr="00826D62">
        <w:rPr>
          <w:rFonts w:ascii="Arial" w:hAnsi="Arial" w:cs="Arial"/>
        </w:rPr>
        <w:t>todos los factores que influ</w:t>
      </w:r>
      <w:r w:rsidR="008019DC" w:rsidRPr="00826D62">
        <w:rPr>
          <w:rFonts w:ascii="Arial" w:hAnsi="Arial" w:cs="Arial"/>
        </w:rPr>
        <w:t>yeron</w:t>
      </w:r>
      <w:r w:rsidRPr="00826D62">
        <w:rPr>
          <w:rFonts w:ascii="Arial" w:hAnsi="Arial" w:cs="Arial"/>
        </w:rPr>
        <w:t xml:space="preserve"> </w:t>
      </w:r>
      <w:r w:rsidR="008019DC" w:rsidRPr="00826D62">
        <w:rPr>
          <w:rFonts w:ascii="Arial" w:hAnsi="Arial" w:cs="Arial"/>
        </w:rPr>
        <w:t xml:space="preserve">en </w:t>
      </w:r>
      <w:r w:rsidRPr="00826D62">
        <w:rPr>
          <w:rFonts w:ascii="Arial" w:hAnsi="Arial" w:cs="Arial"/>
        </w:rPr>
        <w:t xml:space="preserve">los resultados de la mejora de la gestión de </w:t>
      </w:r>
      <w:r w:rsidR="008019DC" w:rsidRPr="00826D62">
        <w:rPr>
          <w:rFonts w:ascii="Arial" w:hAnsi="Arial" w:cs="Arial"/>
        </w:rPr>
        <w:t xml:space="preserve">la administración tributaria de </w:t>
      </w:r>
      <w:r w:rsidRPr="00826D62">
        <w:rPr>
          <w:rFonts w:ascii="Arial" w:hAnsi="Arial" w:cs="Arial"/>
        </w:rPr>
        <w:t>Ecuador</w:t>
      </w:r>
      <w:r w:rsidR="00BF4ED8" w:rsidRPr="00826D62">
        <w:rPr>
          <w:rFonts w:ascii="Arial" w:hAnsi="Arial" w:cs="Arial"/>
        </w:rPr>
        <w:t>. Por</w:t>
      </w:r>
      <w:r w:rsidRPr="00826D62">
        <w:rPr>
          <w:rFonts w:ascii="Arial" w:hAnsi="Arial" w:cs="Arial"/>
        </w:rPr>
        <w:t xml:space="preserve"> lo tanto</w:t>
      </w:r>
      <w:r w:rsidR="00BF4ED8" w:rsidRPr="00826D62">
        <w:rPr>
          <w:rFonts w:ascii="Arial" w:hAnsi="Arial" w:cs="Arial"/>
        </w:rPr>
        <w:t>,</w:t>
      </w:r>
      <w:r w:rsidRPr="00826D62">
        <w:rPr>
          <w:rFonts w:ascii="Arial" w:hAnsi="Arial" w:cs="Arial"/>
        </w:rPr>
        <w:t xml:space="preserve"> se utilizó un factor de aumento </w:t>
      </w:r>
      <w:r w:rsidR="00BF4ED8" w:rsidRPr="00826D62">
        <w:rPr>
          <w:rFonts w:ascii="Arial" w:hAnsi="Arial" w:cs="Arial"/>
        </w:rPr>
        <w:t xml:space="preserve">menor del </w:t>
      </w:r>
      <w:r w:rsidRPr="00826D62">
        <w:rPr>
          <w:rFonts w:ascii="Arial" w:hAnsi="Arial" w:cs="Arial"/>
        </w:rPr>
        <w:t xml:space="preserve">que </w:t>
      </w:r>
      <w:r w:rsidR="008019DC" w:rsidRPr="00826D62">
        <w:rPr>
          <w:rFonts w:ascii="Arial" w:hAnsi="Arial" w:cs="Arial"/>
        </w:rPr>
        <w:t xml:space="preserve">potencialmente </w:t>
      </w:r>
      <w:r w:rsidRPr="00826D62">
        <w:rPr>
          <w:rFonts w:ascii="Arial" w:hAnsi="Arial" w:cs="Arial"/>
        </w:rPr>
        <w:t>se podría alcanzar.</w:t>
      </w:r>
    </w:p>
    <w:p w:rsidR="00C708AE" w:rsidRPr="00826D62" w:rsidRDefault="00F901E0" w:rsidP="00826D62">
      <w:pPr>
        <w:pStyle w:val="ListParagraph"/>
        <w:numPr>
          <w:ilvl w:val="0"/>
          <w:numId w:val="18"/>
        </w:numPr>
        <w:spacing w:before="120" w:after="120" w:line="240" w:lineRule="auto"/>
        <w:ind w:left="1440"/>
        <w:contextualSpacing w:val="0"/>
        <w:jc w:val="both"/>
        <w:rPr>
          <w:rFonts w:ascii="Arial" w:hAnsi="Arial" w:cs="Arial"/>
        </w:rPr>
      </w:pPr>
      <w:r w:rsidRPr="00826D62">
        <w:rPr>
          <w:rFonts w:ascii="Arial" w:hAnsi="Arial" w:cs="Arial"/>
        </w:rPr>
        <w:t>E</w:t>
      </w:r>
      <w:r w:rsidR="00C708AE" w:rsidRPr="00826D62">
        <w:rPr>
          <w:rFonts w:ascii="Arial" w:hAnsi="Arial" w:cs="Arial"/>
        </w:rPr>
        <w:t>je 1 - Los RTN act</w:t>
      </w:r>
      <w:r w:rsidR="002C38A5" w:rsidRPr="00826D62">
        <w:rPr>
          <w:rFonts w:ascii="Arial" w:hAnsi="Arial" w:cs="Arial"/>
        </w:rPr>
        <w:t>ivos para el periodo 2017-2</w:t>
      </w:r>
      <w:r w:rsidR="00C708AE" w:rsidRPr="00826D62">
        <w:rPr>
          <w:rFonts w:ascii="Arial" w:hAnsi="Arial" w:cs="Arial"/>
        </w:rPr>
        <w:t xml:space="preserve">019 </w:t>
      </w:r>
      <w:r w:rsidRPr="00826D62">
        <w:rPr>
          <w:rFonts w:ascii="Arial" w:hAnsi="Arial" w:cs="Arial"/>
        </w:rPr>
        <w:t xml:space="preserve">son estimados con el objetivo de que la </w:t>
      </w:r>
      <w:r w:rsidR="002C38A5" w:rsidRPr="00826D62">
        <w:rPr>
          <w:rFonts w:ascii="Arial" w:hAnsi="Arial" w:cs="Arial"/>
        </w:rPr>
        <w:t xml:space="preserve">presión fiscal alcance </w:t>
      </w:r>
      <w:r w:rsidR="00C708AE" w:rsidRPr="00826D62">
        <w:rPr>
          <w:rFonts w:ascii="Arial" w:hAnsi="Arial" w:cs="Arial"/>
        </w:rPr>
        <w:t>17,1%</w:t>
      </w:r>
      <w:r w:rsidRPr="00826D62">
        <w:rPr>
          <w:rFonts w:ascii="Arial" w:hAnsi="Arial" w:cs="Arial"/>
        </w:rPr>
        <w:t xml:space="preserve"> en el año 2019, meta estimada por el FMI</w:t>
      </w:r>
      <w:r w:rsidR="00C708AE" w:rsidRPr="00826D62">
        <w:rPr>
          <w:rFonts w:ascii="Arial" w:hAnsi="Arial" w:cs="Arial"/>
        </w:rPr>
        <w:t xml:space="preserve">. </w:t>
      </w:r>
      <w:r w:rsidR="002C38A5" w:rsidRPr="00826D62">
        <w:rPr>
          <w:rFonts w:ascii="Arial" w:hAnsi="Arial" w:cs="Arial"/>
        </w:rPr>
        <w:t>Las cuantías de RTN activos 2017-2019 son, 270.000, 380.000 y 500.000 respectivamente. L</w:t>
      </w:r>
      <w:r w:rsidR="00C708AE" w:rsidRPr="00826D62">
        <w:rPr>
          <w:rFonts w:ascii="Arial" w:hAnsi="Arial" w:cs="Arial"/>
        </w:rPr>
        <w:t>os valores del RTN activo</w:t>
      </w:r>
      <w:r w:rsidR="002C38A5" w:rsidRPr="00826D62">
        <w:rPr>
          <w:rFonts w:ascii="Arial" w:hAnsi="Arial" w:cs="Arial"/>
        </w:rPr>
        <w:t>s</w:t>
      </w:r>
      <w:r w:rsidR="00C708AE" w:rsidRPr="00826D62">
        <w:rPr>
          <w:rFonts w:ascii="Arial" w:hAnsi="Arial" w:cs="Arial"/>
        </w:rPr>
        <w:t xml:space="preserve"> representan la variable de ajuste para que </w:t>
      </w:r>
      <w:r w:rsidR="002C38A5" w:rsidRPr="00826D62">
        <w:rPr>
          <w:rFonts w:ascii="Arial" w:hAnsi="Arial" w:cs="Arial"/>
        </w:rPr>
        <w:t xml:space="preserve">se </w:t>
      </w:r>
      <w:r w:rsidR="00C708AE" w:rsidRPr="00826D62">
        <w:rPr>
          <w:rFonts w:ascii="Arial" w:hAnsi="Arial" w:cs="Arial"/>
        </w:rPr>
        <w:t>alcance una presión fi</w:t>
      </w:r>
      <w:r w:rsidR="00137301" w:rsidRPr="00826D62">
        <w:rPr>
          <w:rFonts w:ascii="Arial" w:hAnsi="Arial" w:cs="Arial"/>
        </w:rPr>
        <w:t>scal de 17,1%</w:t>
      </w:r>
      <w:r w:rsidR="002C38A5" w:rsidRPr="00826D62">
        <w:rPr>
          <w:rFonts w:ascii="Arial" w:hAnsi="Arial" w:cs="Arial"/>
        </w:rPr>
        <w:t xml:space="preserve"> en 2019. Asimismo,</w:t>
      </w:r>
      <w:r w:rsidR="00C708AE" w:rsidRPr="00826D62">
        <w:rPr>
          <w:rFonts w:ascii="Arial" w:hAnsi="Arial" w:cs="Arial"/>
        </w:rPr>
        <w:t xml:space="preserve"> todos los demás ejes e indicadores son recalculados a partir de la variación de los valores del RTN activo en el periodo mencionado. </w:t>
      </w:r>
    </w:p>
    <w:p w:rsidR="00C708AE" w:rsidRPr="00826D62" w:rsidRDefault="000A0C46" w:rsidP="00826D62">
      <w:pPr>
        <w:pStyle w:val="ListParagraph"/>
        <w:numPr>
          <w:ilvl w:val="0"/>
          <w:numId w:val="18"/>
        </w:numPr>
        <w:spacing w:before="120" w:after="120" w:line="240" w:lineRule="auto"/>
        <w:ind w:left="1440"/>
        <w:contextualSpacing w:val="0"/>
        <w:jc w:val="both"/>
        <w:rPr>
          <w:rFonts w:ascii="Arial" w:hAnsi="Arial" w:cs="Arial"/>
        </w:rPr>
      </w:pPr>
      <w:r w:rsidRPr="00826D62">
        <w:rPr>
          <w:rFonts w:ascii="Arial" w:hAnsi="Arial" w:cs="Arial"/>
        </w:rPr>
        <w:t>A</w:t>
      </w:r>
      <w:r w:rsidR="00A87E0B" w:rsidRPr="00826D62">
        <w:rPr>
          <w:rFonts w:ascii="Arial" w:hAnsi="Arial" w:cs="Arial"/>
        </w:rPr>
        <w:t xml:space="preserve"> partir de 2017,</w:t>
      </w:r>
      <w:r w:rsidR="008019DC" w:rsidRPr="00826D62">
        <w:rPr>
          <w:rStyle w:val="FootnoteReference"/>
          <w:rFonts w:ascii="Arial" w:hAnsi="Arial" w:cs="Arial"/>
        </w:rPr>
        <w:footnoteReference w:id="7"/>
      </w:r>
      <w:r w:rsidR="00A87E0B" w:rsidRPr="00826D62">
        <w:rPr>
          <w:rFonts w:ascii="Arial" w:hAnsi="Arial" w:cs="Arial"/>
        </w:rPr>
        <w:t xml:space="preserve"> año en que el proyecto emp</w:t>
      </w:r>
      <w:r w:rsidR="008019DC" w:rsidRPr="00826D62">
        <w:rPr>
          <w:rFonts w:ascii="Arial" w:hAnsi="Arial" w:cs="Arial"/>
        </w:rPr>
        <w:t>ezaría</w:t>
      </w:r>
      <w:r w:rsidR="00A87E0B" w:rsidRPr="00826D62">
        <w:rPr>
          <w:rFonts w:ascii="Arial" w:hAnsi="Arial" w:cs="Arial"/>
        </w:rPr>
        <w:t xml:space="preserve"> a ge</w:t>
      </w:r>
      <w:r w:rsidRPr="00826D62">
        <w:rPr>
          <w:rFonts w:ascii="Arial" w:hAnsi="Arial" w:cs="Arial"/>
        </w:rPr>
        <w:t xml:space="preserve">nerar resultados, se aplica </w:t>
      </w:r>
      <w:r w:rsidR="008019DC" w:rsidRPr="00826D62">
        <w:rPr>
          <w:rFonts w:ascii="Arial" w:hAnsi="Arial" w:cs="Arial"/>
        </w:rPr>
        <w:t xml:space="preserve">la variación del PIB </w:t>
      </w:r>
      <w:r w:rsidRPr="00826D62">
        <w:rPr>
          <w:rFonts w:ascii="Arial" w:hAnsi="Arial" w:cs="Arial"/>
        </w:rPr>
        <w:t>al t</w:t>
      </w:r>
      <w:r w:rsidR="00A87E0B" w:rsidRPr="00826D62">
        <w:rPr>
          <w:rFonts w:ascii="Arial" w:hAnsi="Arial" w:cs="Arial"/>
        </w:rPr>
        <w:t>otal de la recaudación</w:t>
      </w:r>
      <w:r w:rsidR="00323803" w:rsidRPr="00826D62">
        <w:rPr>
          <w:rFonts w:ascii="Arial" w:hAnsi="Arial" w:cs="Arial"/>
        </w:rPr>
        <w:t>,</w:t>
      </w:r>
      <w:r w:rsidR="00A87E0B" w:rsidRPr="00826D62">
        <w:rPr>
          <w:rFonts w:ascii="Arial" w:hAnsi="Arial" w:cs="Arial"/>
        </w:rPr>
        <w:t xml:space="preserve"> </w:t>
      </w:r>
      <w:r w:rsidRPr="00826D62">
        <w:rPr>
          <w:rFonts w:ascii="Arial" w:hAnsi="Arial" w:cs="Arial"/>
        </w:rPr>
        <w:lastRenderedPageBreak/>
        <w:t xml:space="preserve">incrementado por </w:t>
      </w:r>
      <w:r w:rsidR="00A87E0B" w:rsidRPr="00826D62">
        <w:rPr>
          <w:rFonts w:ascii="Arial" w:hAnsi="Arial" w:cs="Arial"/>
        </w:rPr>
        <w:t>el factor de aumento</w:t>
      </w:r>
      <w:r w:rsidR="00C708AE" w:rsidRPr="00826D62">
        <w:rPr>
          <w:rFonts w:ascii="Arial" w:hAnsi="Arial" w:cs="Arial"/>
        </w:rPr>
        <w:t xml:space="preserve"> correspondiente a la variación anual del RTN activo.</w:t>
      </w:r>
    </w:p>
    <w:p w:rsidR="00C708AE" w:rsidRPr="00826D62" w:rsidRDefault="00C708AE" w:rsidP="00826D62">
      <w:pPr>
        <w:pStyle w:val="ListParagraph"/>
        <w:numPr>
          <w:ilvl w:val="1"/>
          <w:numId w:val="16"/>
        </w:numPr>
        <w:spacing w:before="120" w:after="120" w:line="240" w:lineRule="auto"/>
        <w:ind w:left="1800"/>
        <w:contextualSpacing w:val="0"/>
        <w:jc w:val="both"/>
        <w:rPr>
          <w:rFonts w:ascii="Arial" w:hAnsi="Arial" w:cs="Arial"/>
        </w:rPr>
      </w:pPr>
      <w:r w:rsidRPr="00826D62">
        <w:rPr>
          <w:rFonts w:ascii="Arial" w:hAnsi="Arial" w:cs="Arial"/>
        </w:rPr>
        <w:t xml:space="preserve">Recaudación de 2016 *(variación del PIB </w:t>
      </w:r>
      <w:r w:rsidR="004E0A2D" w:rsidRPr="00826D62">
        <w:rPr>
          <w:rFonts w:ascii="Arial" w:hAnsi="Arial" w:cs="Arial"/>
        </w:rPr>
        <w:t xml:space="preserve">2017 </w:t>
      </w:r>
      <w:r w:rsidRPr="00826D62">
        <w:rPr>
          <w:rFonts w:ascii="Arial" w:hAnsi="Arial" w:cs="Arial"/>
        </w:rPr>
        <w:t>+ ((aumento del RTN /100.000 * factor de aumento)) =</w:t>
      </w:r>
      <w:r w:rsidR="00FC056A" w:rsidRPr="00826D62">
        <w:rPr>
          <w:rFonts w:ascii="Arial" w:hAnsi="Arial" w:cs="Arial"/>
        </w:rPr>
        <w:t xml:space="preserve"> </w:t>
      </w:r>
      <w:r w:rsidR="00A87E0B" w:rsidRPr="00826D62">
        <w:rPr>
          <w:rFonts w:ascii="Arial" w:hAnsi="Arial" w:cs="Arial"/>
        </w:rPr>
        <w:t>78.000 * (1,09 +</w:t>
      </w:r>
      <w:r w:rsidRPr="00826D62">
        <w:rPr>
          <w:rFonts w:ascii="Arial" w:hAnsi="Arial" w:cs="Arial"/>
        </w:rPr>
        <w:t xml:space="preserve"> ((270.000-150.000)/100,000 *</w:t>
      </w:r>
      <w:r w:rsidR="00A87E0B" w:rsidRPr="00826D62">
        <w:rPr>
          <w:rFonts w:ascii="Arial" w:hAnsi="Arial" w:cs="Arial"/>
        </w:rPr>
        <w:t xml:space="preserve"> </w:t>
      </w:r>
      <w:r w:rsidR="00655F3F" w:rsidRPr="00826D62">
        <w:rPr>
          <w:rFonts w:ascii="Arial" w:hAnsi="Arial" w:cs="Arial"/>
        </w:rPr>
        <w:t>2/100</w:t>
      </w:r>
      <w:r w:rsidR="00A87E0B" w:rsidRPr="00826D62">
        <w:rPr>
          <w:rFonts w:ascii="Arial" w:hAnsi="Arial" w:cs="Arial"/>
        </w:rPr>
        <w:t>)</w:t>
      </w:r>
      <w:r w:rsidRPr="00826D62">
        <w:rPr>
          <w:rFonts w:ascii="Arial" w:hAnsi="Arial" w:cs="Arial"/>
        </w:rPr>
        <w:t>)</w:t>
      </w:r>
      <w:r w:rsidR="00A87E0B" w:rsidRPr="00826D62">
        <w:rPr>
          <w:rFonts w:ascii="Arial" w:hAnsi="Arial" w:cs="Arial"/>
        </w:rPr>
        <w:t xml:space="preserve"> = 86.411. </w:t>
      </w:r>
    </w:p>
    <w:p w:rsidR="00A87E0B" w:rsidRPr="00826D62" w:rsidRDefault="00A87E0B" w:rsidP="00826D62">
      <w:pPr>
        <w:pStyle w:val="ListParagraph"/>
        <w:numPr>
          <w:ilvl w:val="1"/>
          <w:numId w:val="16"/>
        </w:numPr>
        <w:spacing w:before="120" w:after="120" w:line="240" w:lineRule="auto"/>
        <w:ind w:left="1800"/>
        <w:contextualSpacing w:val="0"/>
        <w:jc w:val="both"/>
        <w:rPr>
          <w:rFonts w:ascii="Arial" w:hAnsi="Arial" w:cs="Arial"/>
        </w:rPr>
      </w:pPr>
      <w:r w:rsidRPr="00826D62">
        <w:rPr>
          <w:rFonts w:ascii="Arial" w:hAnsi="Arial" w:cs="Arial"/>
        </w:rPr>
        <w:t>El mismo cálculo es aplicado hasta 2019.</w:t>
      </w:r>
      <w:r w:rsidR="00DB28E5" w:rsidRPr="00826D62">
        <w:rPr>
          <w:rFonts w:ascii="Arial" w:hAnsi="Arial" w:cs="Arial"/>
        </w:rPr>
        <w:t xml:space="preserve"> </w:t>
      </w:r>
      <w:r w:rsidR="004E0A2D" w:rsidRPr="00826D62">
        <w:rPr>
          <w:rFonts w:ascii="Arial" w:hAnsi="Arial" w:cs="Arial"/>
        </w:rPr>
        <w:t>Nótese</w:t>
      </w:r>
      <w:r w:rsidR="00DB28E5" w:rsidRPr="00826D62">
        <w:rPr>
          <w:rFonts w:ascii="Arial" w:hAnsi="Arial" w:cs="Arial"/>
        </w:rPr>
        <w:t xml:space="preserve"> que el factor de aumento </w:t>
      </w:r>
      <w:r w:rsidR="00655F3F" w:rsidRPr="00826D62">
        <w:rPr>
          <w:rFonts w:ascii="Arial" w:hAnsi="Arial" w:cs="Arial"/>
        </w:rPr>
        <w:t>2%</w:t>
      </w:r>
      <w:r w:rsidR="00612D8F" w:rsidRPr="00826D62">
        <w:rPr>
          <w:rFonts w:ascii="Arial" w:hAnsi="Arial" w:cs="Arial"/>
        </w:rPr>
        <w:t xml:space="preserve"> es para un aumento de 100.000 </w:t>
      </w:r>
      <w:r w:rsidR="00FC056A" w:rsidRPr="00826D62">
        <w:rPr>
          <w:rFonts w:ascii="Arial" w:hAnsi="Arial" w:cs="Arial"/>
        </w:rPr>
        <w:t>RTN</w:t>
      </w:r>
      <w:r w:rsidR="00612D8F" w:rsidRPr="00826D62">
        <w:rPr>
          <w:rFonts w:ascii="Arial" w:hAnsi="Arial" w:cs="Arial"/>
        </w:rPr>
        <w:t xml:space="preserve"> activos</w:t>
      </w:r>
      <w:r w:rsidR="004E0A2D" w:rsidRPr="00826D62">
        <w:rPr>
          <w:rFonts w:ascii="Arial" w:hAnsi="Arial" w:cs="Arial"/>
        </w:rPr>
        <w:t xml:space="preserve"> en la simulación.</w:t>
      </w:r>
      <w:r w:rsidR="00612D8F" w:rsidRPr="00826D62">
        <w:rPr>
          <w:rFonts w:ascii="Arial" w:hAnsi="Arial" w:cs="Arial"/>
        </w:rPr>
        <w:t xml:space="preserve"> </w:t>
      </w:r>
    </w:p>
    <w:p w:rsidR="00612D8F" w:rsidRPr="00826D62" w:rsidRDefault="00D06AFD" w:rsidP="00826D62">
      <w:pPr>
        <w:pStyle w:val="ListParagraph"/>
        <w:numPr>
          <w:ilvl w:val="0"/>
          <w:numId w:val="18"/>
        </w:numPr>
        <w:spacing w:before="120" w:after="120" w:line="240" w:lineRule="auto"/>
        <w:ind w:left="1440"/>
        <w:contextualSpacing w:val="0"/>
        <w:jc w:val="both"/>
        <w:rPr>
          <w:rFonts w:ascii="Arial" w:hAnsi="Arial" w:cs="Arial"/>
        </w:rPr>
      </w:pPr>
      <w:r w:rsidRPr="00826D62">
        <w:rPr>
          <w:rFonts w:ascii="Arial" w:hAnsi="Arial" w:cs="Arial"/>
        </w:rPr>
        <w:t>E</w:t>
      </w:r>
      <w:r w:rsidR="00612D8F" w:rsidRPr="00826D62">
        <w:rPr>
          <w:rFonts w:ascii="Arial" w:hAnsi="Arial" w:cs="Arial"/>
        </w:rPr>
        <w:t xml:space="preserve">je 2 </w:t>
      </w:r>
      <w:r w:rsidR="00C708AE" w:rsidRPr="00826D62">
        <w:rPr>
          <w:rFonts w:ascii="Arial" w:hAnsi="Arial" w:cs="Arial"/>
        </w:rPr>
        <w:t>–</w:t>
      </w:r>
      <w:r w:rsidR="00612D8F" w:rsidRPr="00826D62">
        <w:rPr>
          <w:rFonts w:ascii="Arial" w:hAnsi="Arial" w:cs="Arial"/>
        </w:rPr>
        <w:t xml:space="preserve"> </w:t>
      </w:r>
      <w:r w:rsidR="00C7759A" w:rsidRPr="00826D62">
        <w:rPr>
          <w:rFonts w:ascii="Arial" w:hAnsi="Arial" w:cs="Arial"/>
        </w:rPr>
        <w:t xml:space="preserve">Ratio Factura / RTN </w:t>
      </w:r>
      <w:r w:rsidR="008802F5" w:rsidRPr="00826D62">
        <w:rPr>
          <w:rFonts w:ascii="Arial" w:hAnsi="Arial" w:cs="Arial"/>
        </w:rPr>
        <w:t>inscritos</w:t>
      </w:r>
      <w:r w:rsidR="00C7759A" w:rsidRPr="00826D62">
        <w:rPr>
          <w:rFonts w:ascii="Arial" w:hAnsi="Arial" w:cs="Arial"/>
        </w:rPr>
        <w:t xml:space="preserve"> en 2017 = Total de facturas / RTN </w:t>
      </w:r>
      <w:r w:rsidR="008802F5" w:rsidRPr="00826D62">
        <w:rPr>
          <w:rFonts w:ascii="Arial" w:hAnsi="Arial" w:cs="Arial"/>
        </w:rPr>
        <w:t>inscritos</w:t>
      </w:r>
      <w:r w:rsidR="00C7759A" w:rsidRPr="00826D62">
        <w:rPr>
          <w:rFonts w:ascii="Arial" w:hAnsi="Arial" w:cs="Arial"/>
        </w:rPr>
        <w:t xml:space="preserve"> = 55.503/ </w:t>
      </w:r>
      <w:r w:rsidR="00891AC5" w:rsidRPr="00826D62">
        <w:rPr>
          <w:rFonts w:ascii="Arial" w:hAnsi="Arial" w:cs="Arial"/>
        </w:rPr>
        <w:t>1.151.487</w:t>
      </w:r>
      <w:r w:rsidR="00C7759A" w:rsidRPr="00826D62">
        <w:rPr>
          <w:rFonts w:ascii="Arial" w:hAnsi="Arial" w:cs="Arial"/>
        </w:rPr>
        <w:t xml:space="preserve"> = 4,8%. Este mismo cálculo </w:t>
      </w:r>
      <w:r w:rsidR="00891AC5" w:rsidRPr="00826D62">
        <w:rPr>
          <w:rFonts w:ascii="Arial" w:hAnsi="Arial" w:cs="Arial"/>
        </w:rPr>
        <w:t>se</w:t>
      </w:r>
      <w:r w:rsidR="00C7759A" w:rsidRPr="00826D62">
        <w:rPr>
          <w:rFonts w:ascii="Arial" w:hAnsi="Arial" w:cs="Arial"/>
        </w:rPr>
        <w:t xml:space="preserve"> aplica </w:t>
      </w:r>
      <w:r w:rsidR="00891AC5" w:rsidRPr="00826D62">
        <w:rPr>
          <w:rFonts w:ascii="Arial" w:hAnsi="Arial" w:cs="Arial"/>
        </w:rPr>
        <w:t>al resto de</w:t>
      </w:r>
      <w:r w:rsidR="00C7759A" w:rsidRPr="00826D62">
        <w:rPr>
          <w:rFonts w:ascii="Arial" w:hAnsi="Arial" w:cs="Arial"/>
        </w:rPr>
        <w:t xml:space="preserve"> años. La variació</w:t>
      </w:r>
      <w:r w:rsidR="00891AC5" w:rsidRPr="00826D62">
        <w:rPr>
          <w:rFonts w:ascii="Arial" w:hAnsi="Arial" w:cs="Arial"/>
        </w:rPr>
        <w:t>n de la cantidad de facturas sig</w:t>
      </w:r>
      <w:r w:rsidR="00C7759A" w:rsidRPr="00826D62">
        <w:rPr>
          <w:rFonts w:ascii="Arial" w:hAnsi="Arial" w:cs="Arial"/>
        </w:rPr>
        <w:t xml:space="preserve">ue el mismo % del aumento de los </w:t>
      </w:r>
      <w:r w:rsidR="00FC056A" w:rsidRPr="00826D62">
        <w:rPr>
          <w:rFonts w:ascii="Arial" w:hAnsi="Arial" w:cs="Arial"/>
        </w:rPr>
        <w:t>RTN</w:t>
      </w:r>
      <w:r w:rsidR="00C7759A" w:rsidRPr="00826D62">
        <w:rPr>
          <w:rFonts w:ascii="Arial" w:hAnsi="Arial" w:cs="Arial"/>
        </w:rPr>
        <w:t xml:space="preserve"> activos.</w:t>
      </w:r>
    </w:p>
    <w:p w:rsidR="00C7759A" w:rsidRPr="00826D62" w:rsidRDefault="00C7759A" w:rsidP="00826D62">
      <w:pPr>
        <w:pStyle w:val="ListParagraph"/>
        <w:numPr>
          <w:ilvl w:val="0"/>
          <w:numId w:val="18"/>
        </w:numPr>
        <w:spacing w:before="120" w:after="120" w:line="240" w:lineRule="auto"/>
        <w:ind w:left="1440"/>
        <w:contextualSpacing w:val="0"/>
        <w:jc w:val="both"/>
        <w:rPr>
          <w:rFonts w:ascii="Arial" w:hAnsi="Arial" w:cs="Arial"/>
        </w:rPr>
      </w:pPr>
      <w:r w:rsidRPr="00826D62">
        <w:rPr>
          <w:rFonts w:ascii="Arial" w:hAnsi="Arial" w:cs="Arial"/>
        </w:rPr>
        <w:t xml:space="preserve">Eje 3 – Ratio declaraciones / RTN </w:t>
      </w:r>
      <w:r w:rsidR="008802F5" w:rsidRPr="00826D62">
        <w:rPr>
          <w:rFonts w:ascii="Arial" w:hAnsi="Arial" w:cs="Arial"/>
        </w:rPr>
        <w:t>inscritos</w:t>
      </w:r>
      <w:r w:rsidRPr="00826D62">
        <w:rPr>
          <w:rFonts w:ascii="Arial" w:hAnsi="Arial" w:cs="Arial"/>
        </w:rPr>
        <w:t xml:space="preserve"> en 2017 = Total de declaraciones / RTN activo = 158.730 / </w:t>
      </w:r>
      <w:r w:rsidR="00891AC5" w:rsidRPr="00826D62">
        <w:rPr>
          <w:rFonts w:ascii="Arial" w:hAnsi="Arial" w:cs="Arial"/>
        </w:rPr>
        <w:t xml:space="preserve">1.151.487 </w:t>
      </w:r>
      <w:r w:rsidRPr="00826D62">
        <w:rPr>
          <w:rFonts w:ascii="Arial" w:hAnsi="Arial" w:cs="Arial"/>
        </w:rPr>
        <w:t xml:space="preserve">= 13,78%. Este mismo cálculo </w:t>
      </w:r>
      <w:r w:rsidR="00891AC5" w:rsidRPr="00826D62">
        <w:rPr>
          <w:rFonts w:ascii="Arial" w:hAnsi="Arial" w:cs="Arial"/>
        </w:rPr>
        <w:t>se aplica al resto de años</w:t>
      </w:r>
      <w:r w:rsidRPr="00826D62">
        <w:rPr>
          <w:rFonts w:ascii="Arial" w:hAnsi="Arial" w:cs="Arial"/>
        </w:rPr>
        <w:t xml:space="preserve">. La variación de </w:t>
      </w:r>
      <w:r w:rsidR="004F1132" w:rsidRPr="00826D62">
        <w:rPr>
          <w:rFonts w:ascii="Arial" w:hAnsi="Arial" w:cs="Arial"/>
        </w:rPr>
        <w:t>la cantidad de declaraciones sig</w:t>
      </w:r>
      <w:r w:rsidRPr="00826D62">
        <w:rPr>
          <w:rFonts w:ascii="Arial" w:hAnsi="Arial" w:cs="Arial"/>
        </w:rPr>
        <w:t xml:space="preserve">ue el mismo % del aumento de los </w:t>
      </w:r>
      <w:r w:rsidR="00FC056A" w:rsidRPr="00826D62">
        <w:rPr>
          <w:rFonts w:ascii="Arial" w:hAnsi="Arial" w:cs="Arial"/>
        </w:rPr>
        <w:t>RTN</w:t>
      </w:r>
      <w:r w:rsidRPr="00826D62">
        <w:rPr>
          <w:rFonts w:ascii="Arial" w:hAnsi="Arial" w:cs="Arial"/>
        </w:rPr>
        <w:t xml:space="preserve"> activos.</w:t>
      </w:r>
    </w:p>
    <w:p w:rsidR="00C7759A" w:rsidRPr="00826D62" w:rsidRDefault="004F1132" w:rsidP="00826D62">
      <w:pPr>
        <w:pStyle w:val="ListParagraph"/>
        <w:numPr>
          <w:ilvl w:val="0"/>
          <w:numId w:val="18"/>
        </w:numPr>
        <w:spacing w:before="120" w:after="120" w:line="240" w:lineRule="auto"/>
        <w:ind w:left="1440"/>
        <w:contextualSpacing w:val="0"/>
        <w:jc w:val="both"/>
        <w:rPr>
          <w:rFonts w:ascii="Arial" w:hAnsi="Arial" w:cs="Arial"/>
        </w:rPr>
      </w:pPr>
      <w:r w:rsidRPr="00826D62">
        <w:rPr>
          <w:rFonts w:ascii="Arial" w:hAnsi="Arial" w:cs="Arial"/>
        </w:rPr>
        <w:t>El déficit f</w:t>
      </w:r>
      <w:r w:rsidR="00447269" w:rsidRPr="00826D62">
        <w:rPr>
          <w:rFonts w:ascii="Arial" w:hAnsi="Arial" w:cs="Arial"/>
        </w:rPr>
        <w:t xml:space="preserve">iscal </w:t>
      </w:r>
      <w:r w:rsidR="00C7759A" w:rsidRPr="00826D62">
        <w:rPr>
          <w:rFonts w:ascii="Arial" w:hAnsi="Arial" w:cs="Arial"/>
        </w:rPr>
        <w:t xml:space="preserve">es la diferencia entre los </w:t>
      </w:r>
      <w:r w:rsidR="00447269" w:rsidRPr="00826D62">
        <w:rPr>
          <w:rFonts w:ascii="Arial" w:hAnsi="Arial" w:cs="Arial"/>
        </w:rPr>
        <w:t>ingresos totales y los gastos totales</w:t>
      </w:r>
      <w:r w:rsidR="00C7759A" w:rsidRPr="00826D62">
        <w:rPr>
          <w:rFonts w:ascii="Arial" w:hAnsi="Arial" w:cs="Arial"/>
        </w:rPr>
        <w:t xml:space="preserve">. A los ingresos totales, a partir de 2017, </w:t>
      </w:r>
      <w:r w:rsidR="00447269" w:rsidRPr="00826D62">
        <w:rPr>
          <w:rFonts w:ascii="Arial" w:hAnsi="Arial" w:cs="Arial"/>
        </w:rPr>
        <w:t>se le aplica</w:t>
      </w:r>
      <w:r w:rsidR="00C7759A" w:rsidRPr="00826D62">
        <w:rPr>
          <w:rFonts w:ascii="Arial" w:hAnsi="Arial" w:cs="Arial"/>
        </w:rPr>
        <w:t xml:space="preserve"> la misma variación de la</w:t>
      </w:r>
      <w:r w:rsidR="00447269" w:rsidRPr="00826D62">
        <w:rPr>
          <w:rFonts w:ascii="Arial" w:hAnsi="Arial" w:cs="Arial"/>
        </w:rPr>
        <w:t xml:space="preserve"> recaudación tributaria (descrito en el </w:t>
      </w:r>
      <w:r w:rsidR="00735D6D" w:rsidRPr="00826D62">
        <w:rPr>
          <w:rFonts w:ascii="Arial" w:hAnsi="Arial" w:cs="Arial"/>
        </w:rPr>
        <w:t>ítem c.)</w:t>
      </w:r>
      <w:r w:rsidR="00C7759A" w:rsidRPr="00826D62">
        <w:rPr>
          <w:rFonts w:ascii="Arial" w:hAnsi="Arial" w:cs="Arial"/>
        </w:rPr>
        <w:t xml:space="preserve"> al ajuste del PIB = 82.702 * 1.09 +</w:t>
      </w:r>
      <w:r w:rsidR="00FC056A" w:rsidRPr="00826D62">
        <w:rPr>
          <w:rFonts w:ascii="Arial" w:hAnsi="Arial" w:cs="Arial"/>
        </w:rPr>
        <w:t xml:space="preserve"> </w:t>
      </w:r>
      <w:r w:rsidR="00CB4539" w:rsidRPr="00826D62">
        <w:rPr>
          <w:rFonts w:ascii="Arial" w:hAnsi="Arial" w:cs="Arial"/>
        </w:rPr>
        <w:t>(86.411 – (78.00</w:t>
      </w:r>
      <w:r w:rsidR="00DB28E5" w:rsidRPr="00826D62">
        <w:rPr>
          <w:rFonts w:ascii="Arial" w:hAnsi="Arial" w:cs="Arial"/>
        </w:rPr>
        <w:t>0</w:t>
      </w:r>
      <w:r w:rsidR="00CB4539" w:rsidRPr="00826D62">
        <w:rPr>
          <w:rFonts w:ascii="Arial" w:hAnsi="Arial" w:cs="Arial"/>
        </w:rPr>
        <w:t>*1,09)) = 93.357.</w:t>
      </w:r>
    </w:p>
    <w:tbl>
      <w:tblPr>
        <w:tblStyle w:val="TableGrid"/>
        <w:tblW w:w="9373" w:type="dxa"/>
        <w:tblInd w:w="720" w:type="dxa"/>
        <w:tblLook w:val="04A0" w:firstRow="1" w:lastRow="0" w:firstColumn="1" w:lastColumn="0" w:noHBand="0" w:noVBand="1"/>
      </w:tblPr>
      <w:tblGrid>
        <w:gridCol w:w="3258"/>
        <w:gridCol w:w="3033"/>
        <w:gridCol w:w="3082"/>
      </w:tblGrid>
      <w:tr w:rsidR="00CB4539" w:rsidRPr="00826D62" w:rsidTr="00CB4539">
        <w:tc>
          <w:tcPr>
            <w:tcW w:w="9373" w:type="dxa"/>
            <w:gridSpan w:val="3"/>
            <w:shd w:val="clear" w:color="auto" w:fill="A6A6A6" w:themeFill="background1" w:themeFillShade="A6"/>
          </w:tcPr>
          <w:p w:rsidR="00CB4539" w:rsidRPr="00826D62" w:rsidRDefault="006B324D" w:rsidP="00CB4539">
            <w:pPr>
              <w:jc w:val="center"/>
              <w:rPr>
                <w:rFonts w:ascii="Arial" w:hAnsi="Arial" w:cs="Arial"/>
                <w:b/>
                <w:sz w:val="20"/>
                <w:szCs w:val="20"/>
              </w:rPr>
            </w:pPr>
            <w:r w:rsidRPr="00826D62">
              <w:rPr>
                <w:rFonts w:ascii="Arial" w:hAnsi="Arial" w:cs="Arial"/>
                <w:b/>
                <w:sz w:val="20"/>
                <w:szCs w:val="20"/>
              </w:rPr>
              <w:t xml:space="preserve">Cuadro </w:t>
            </w:r>
            <w:r w:rsidR="0088322A" w:rsidRPr="00826D62">
              <w:rPr>
                <w:rFonts w:ascii="Arial" w:hAnsi="Arial" w:cs="Arial"/>
                <w:b/>
                <w:sz w:val="20"/>
                <w:szCs w:val="20"/>
              </w:rPr>
              <w:t>6</w:t>
            </w:r>
            <w:r w:rsidR="00C40030" w:rsidRPr="00826D62">
              <w:rPr>
                <w:rFonts w:ascii="Arial" w:hAnsi="Arial" w:cs="Arial"/>
                <w:b/>
                <w:sz w:val="20"/>
                <w:szCs w:val="20"/>
              </w:rPr>
              <w:t xml:space="preserve"> - </w:t>
            </w:r>
            <w:r w:rsidR="00CB4539" w:rsidRPr="00826D62">
              <w:rPr>
                <w:rFonts w:ascii="Arial" w:hAnsi="Arial" w:cs="Arial"/>
                <w:b/>
                <w:sz w:val="20"/>
                <w:szCs w:val="20"/>
              </w:rPr>
              <w:t>Comparación resultados de Ecuador en 2006 y Honduras en 2019</w:t>
            </w:r>
          </w:p>
        </w:tc>
      </w:tr>
      <w:tr w:rsidR="00CB4539" w:rsidRPr="00826D62" w:rsidTr="00CB4539">
        <w:tc>
          <w:tcPr>
            <w:tcW w:w="3258" w:type="dxa"/>
            <w:shd w:val="clear" w:color="auto" w:fill="A6A6A6" w:themeFill="background1" w:themeFillShade="A6"/>
          </w:tcPr>
          <w:p w:rsidR="00CB4539" w:rsidRPr="00826D62" w:rsidRDefault="00CB4539" w:rsidP="00CB4539">
            <w:pPr>
              <w:jc w:val="center"/>
              <w:rPr>
                <w:rFonts w:ascii="Arial" w:hAnsi="Arial" w:cs="Arial"/>
                <w:b/>
                <w:sz w:val="20"/>
                <w:szCs w:val="20"/>
              </w:rPr>
            </w:pPr>
            <w:r w:rsidRPr="00826D62">
              <w:rPr>
                <w:rFonts w:ascii="Arial" w:hAnsi="Arial" w:cs="Arial"/>
                <w:b/>
                <w:sz w:val="20"/>
                <w:szCs w:val="20"/>
              </w:rPr>
              <w:t>Indicadores</w:t>
            </w:r>
          </w:p>
        </w:tc>
        <w:tc>
          <w:tcPr>
            <w:tcW w:w="3033" w:type="dxa"/>
            <w:shd w:val="clear" w:color="auto" w:fill="A6A6A6" w:themeFill="background1" w:themeFillShade="A6"/>
          </w:tcPr>
          <w:p w:rsidR="00CB4539" w:rsidRPr="00826D62" w:rsidRDefault="00CB4539" w:rsidP="00CB4539">
            <w:pPr>
              <w:jc w:val="center"/>
              <w:rPr>
                <w:rFonts w:ascii="Arial" w:hAnsi="Arial" w:cs="Arial"/>
                <w:b/>
                <w:sz w:val="20"/>
                <w:szCs w:val="20"/>
              </w:rPr>
            </w:pPr>
            <w:r w:rsidRPr="00826D62">
              <w:rPr>
                <w:rFonts w:ascii="Arial" w:hAnsi="Arial" w:cs="Arial"/>
                <w:b/>
                <w:sz w:val="20"/>
                <w:szCs w:val="20"/>
              </w:rPr>
              <w:t>Ecuador</w:t>
            </w:r>
            <w:r w:rsidR="00FC056A">
              <w:rPr>
                <w:rFonts w:ascii="Arial" w:hAnsi="Arial" w:cs="Arial"/>
                <w:b/>
                <w:sz w:val="20"/>
                <w:szCs w:val="20"/>
              </w:rPr>
              <w:t xml:space="preserve"> </w:t>
            </w:r>
            <w:r w:rsidRPr="00826D62">
              <w:rPr>
                <w:rFonts w:ascii="Arial" w:hAnsi="Arial" w:cs="Arial"/>
                <w:b/>
                <w:sz w:val="20"/>
                <w:szCs w:val="20"/>
              </w:rPr>
              <w:t>1998 - 2006</w:t>
            </w:r>
          </w:p>
        </w:tc>
        <w:tc>
          <w:tcPr>
            <w:tcW w:w="3082" w:type="dxa"/>
            <w:shd w:val="clear" w:color="auto" w:fill="A6A6A6" w:themeFill="background1" w:themeFillShade="A6"/>
          </w:tcPr>
          <w:p w:rsidR="00CB4539" w:rsidRPr="00826D62" w:rsidRDefault="00CB4539" w:rsidP="00CB4539">
            <w:pPr>
              <w:jc w:val="center"/>
              <w:rPr>
                <w:rFonts w:ascii="Arial" w:hAnsi="Arial" w:cs="Arial"/>
                <w:b/>
                <w:sz w:val="20"/>
                <w:szCs w:val="20"/>
              </w:rPr>
            </w:pPr>
            <w:r w:rsidRPr="00826D62">
              <w:rPr>
                <w:rFonts w:ascii="Arial" w:hAnsi="Arial" w:cs="Arial"/>
                <w:b/>
                <w:sz w:val="20"/>
                <w:szCs w:val="20"/>
              </w:rPr>
              <w:t>Honduras 2015 - 2019</w:t>
            </w:r>
          </w:p>
        </w:tc>
      </w:tr>
      <w:tr w:rsidR="00CB4539" w:rsidRPr="00826D62" w:rsidTr="00CB4539">
        <w:tc>
          <w:tcPr>
            <w:tcW w:w="3258" w:type="dxa"/>
          </w:tcPr>
          <w:p w:rsidR="00CB4539" w:rsidRPr="00826D62" w:rsidRDefault="006E66E7" w:rsidP="00CB4539">
            <w:pPr>
              <w:rPr>
                <w:rFonts w:ascii="Arial" w:hAnsi="Arial" w:cs="Arial"/>
                <w:b/>
                <w:sz w:val="20"/>
                <w:szCs w:val="20"/>
              </w:rPr>
            </w:pPr>
            <w:r w:rsidRPr="00826D62">
              <w:rPr>
                <w:rFonts w:ascii="Arial" w:hAnsi="Arial" w:cs="Arial"/>
                <w:b/>
                <w:sz w:val="20"/>
                <w:szCs w:val="20"/>
              </w:rPr>
              <w:t>Variación p</w:t>
            </w:r>
            <w:r w:rsidR="00CB4539" w:rsidRPr="00826D62">
              <w:rPr>
                <w:rFonts w:ascii="Arial" w:hAnsi="Arial" w:cs="Arial"/>
                <w:b/>
                <w:sz w:val="20"/>
                <w:szCs w:val="20"/>
              </w:rPr>
              <w:t>resión fiscal</w:t>
            </w:r>
          </w:p>
        </w:tc>
        <w:tc>
          <w:tcPr>
            <w:tcW w:w="3033" w:type="dxa"/>
          </w:tcPr>
          <w:p w:rsidR="00CB4539" w:rsidRPr="00826D62" w:rsidRDefault="00EE1FDE" w:rsidP="00A1301E">
            <w:pPr>
              <w:rPr>
                <w:rFonts w:ascii="Arial" w:hAnsi="Arial" w:cs="Arial"/>
                <w:sz w:val="20"/>
                <w:szCs w:val="20"/>
              </w:rPr>
            </w:pPr>
            <w:r w:rsidRPr="00826D62">
              <w:rPr>
                <w:rFonts w:ascii="Arial" w:hAnsi="Arial" w:cs="Arial"/>
                <w:sz w:val="20"/>
                <w:szCs w:val="20"/>
              </w:rPr>
              <w:t>6,2% a 10,9%</w:t>
            </w:r>
            <w:r w:rsidR="00FC056A">
              <w:rPr>
                <w:rFonts w:ascii="Arial" w:hAnsi="Arial" w:cs="Arial"/>
                <w:sz w:val="20"/>
                <w:szCs w:val="20"/>
              </w:rPr>
              <w:t xml:space="preserve"> </w:t>
            </w:r>
            <w:r w:rsidR="00655F3F" w:rsidRPr="00826D62">
              <w:rPr>
                <w:rFonts w:ascii="Arial" w:hAnsi="Arial" w:cs="Arial"/>
                <w:sz w:val="20"/>
                <w:szCs w:val="20"/>
              </w:rPr>
              <w:t>= 4.7%</w:t>
            </w:r>
          </w:p>
        </w:tc>
        <w:tc>
          <w:tcPr>
            <w:tcW w:w="3082" w:type="dxa"/>
          </w:tcPr>
          <w:p w:rsidR="00CB4539" w:rsidRPr="00826D62" w:rsidRDefault="00EE1FDE" w:rsidP="00A1301E">
            <w:pPr>
              <w:rPr>
                <w:rFonts w:ascii="Arial" w:hAnsi="Arial" w:cs="Arial"/>
                <w:sz w:val="20"/>
                <w:szCs w:val="20"/>
              </w:rPr>
            </w:pPr>
            <w:r w:rsidRPr="00826D62">
              <w:rPr>
                <w:rFonts w:ascii="Arial" w:hAnsi="Arial" w:cs="Arial"/>
                <w:sz w:val="20"/>
                <w:szCs w:val="20"/>
              </w:rPr>
              <w:t>16,1% a 17,1%</w:t>
            </w:r>
            <w:r w:rsidR="00FC056A">
              <w:rPr>
                <w:rFonts w:ascii="Arial" w:hAnsi="Arial" w:cs="Arial"/>
                <w:sz w:val="20"/>
                <w:szCs w:val="20"/>
              </w:rPr>
              <w:t xml:space="preserve"> </w:t>
            </w:r>
            <w:r w:rsidR="00655F3F" w:rsidRPr="00826D62">
              <w:rPr>
                <w:rFonts w:ascii="Arial" w:hAnsi="Arial" w:cs="Arial"/>
                <w:sz w:val="20"/>
                <w:szCs w:val="20"/>
              </w:rPr>
              <w:t>= 1%</w:t>
            </w:r>
          </w:p>
        </w:tc>
      </w:tr>
      <w:tr w:rsidR="00CB4539" w:rsidRPr="00826D62" w:rsidTr="00CB4539">
        <w:tc>
          <w:tcPr>
            <w:tcW w:w="3258" w:type="dxa"/>
          </w:tcPr>
          <w:p w:rsidR="00CB4539" w:rsidRPr="00826D62" w:rsidRDefault="00CB4539" w:rsidP="00CB4539">
            <w:pPr>
              <w:rPr>
                <w:rFonts w:ascii="Arial" w:hAnsi="Arial" w:cs="Arial"/>
                <w:b/>
                <w:sz w:val="20"/>
                <w:szCs w:val="20"/>
              </w:rPr>
            </w:pPr>
            <w:r w:rsidRPr="00826D62">
              <w:rPr>
                <w:rFonts w:ascii="Arial" w:hAnsi="Arial" w:cs="Arial"/>
                <w:b/>
                <w:sz w:val="20"/>
                <w:szCs w:val="20"/>
              </w:rPr>
              <w:t>Eje 1 – RTN Activo / RTN Total</w:t>
            </w:r>
          </w:p>
        </w:tc>
        <w:tc>
          <w:tcPr>
            <w:tcW w:w="3033" w:type="dxa"/>
          </w:tcPr>
          <w:p w:rsidR="00CB4539" w:rsidRPr="00826D62" w:rsidRDefault="00C40030" w:rsidP="00A1301E">
            <w:pPr>
              <w:rPr>
                <w:rFonts w:ascii="Arial" w:hAnsi="Arial" w:cs="Arial"/>
                <w:sz w:val="20"/>
                <w:szCs w:val="20"/>
              </w:rPr>
            </w:pPr>
            <w:r w:rsidRPr="00826D62">
              <w:rPr>
                <w:rFonts w:ascii="Arial" w:hAnsi="Arial" w:cs="Arial"/>
                <w:sz w:val="20"/>
                <w:szCs w:val="20"/>
              </w:rPr>
              <w:t>37,18% a 81,68%</w:t>
            </w:r>
            <w:r w:rsidR="00655F3F" w:rsidRPr="00826D62">
              <w:rPr>
                <w:rFonts w:ascii="Arial" w:hAnsi="Arial" w:cs="Arial"/>
                <w:sz w:val="20"/>
                <w:szCs w:val="20"/>
              </w:rPr>
              <w:t xml:space="preserve"> = 44.5</w:t>
            </w:r>
          </w:p>
        </w:tc>
        <w:tc>
          <w:tcPr>
            <w:tcW w:w="3082" w:type="dxa"/>
          </w:tcPr>
          <w:p w:rsidR="00CB4539" w:rsidRPr="00826D62" w:rsidRDefault="00C40030" w:rsidP="00A1301E">
            <w:pPr>
              <w:rPr>
                <w:rFonts w:ascii="Arial" w:hAnsi="Arial" w:cs="Arial"/>
                <w:sz w:val="20"/>
                <w:szCs w:val="20"/>
              </w:rPr>
            </w:pPr>
            <w:r w:rsidRPr="00826D62">
              <w:rPr>
                <w:rFonts w:ascii="Arial" w:hAnsi="Arial" w:cs="Arial"/>
                <w:sz w:val="20"/>
                <w:szCs w:val="20"/>
              </w:rPr>
              <w:t>11,99% a 36,95%</w:t>
            </w:r>
            <w:r w:rsidR="00735D6D" w:rsidRPr="00826D62">
              <w:rPr>
                <w:rFonts w:ascii="Arial" w:hAnsi="Arial" w:cs="Arial"/>
                <w:sz w:val="20"/>
                <w:szCs w:val="20"/>
              </w:rPr>
              <w:t xml:space="preserve"> =</w:t>
            </w:r>
            <w:r w:rsidR="00FC056A">
              <w:rPr>
                <w:rFonts w:ascii="Arial" w:hAnsi="Arial" w:cs="Arial"/>
                <w:sz w:val="20"/>
                <w:szCs w:val="20"/>
              </w:rPr>
              <w:t xml:space="preserve"> </w:t>
            </w:r>
            <w:r w:rsidR="00735D6D" w:rsidRPr="00826D62">
              <w:rPr>
                <w:rFonts w:ascii="Arial" w:hAnsi="Arial" w:cs="Arial"/>
                <w:sz w:val="20"/>
                <w:szCs w:val="20"/>
              </w:rPr>
              <w:t>25%</w:t>
            </w:r>
          </w:p>
        </w:tc>
      </w:tr>
      <w:tr w:rsidR="00CB4539" w:rsidRPr="00826D62" w:rsidTr="00CB4539">
        <w:tc>
          <w:tcPr>
            <w:tcW w:w="3258" w:type="dxa"/>
          </w:tcPr>
          <w:p w:rsidR="00CB4539" w:rsidRPr="00826D62" w:rsidRDefault="00CB4539" w:rsidP="00CB4539">
            <w:pPr>
              <w:rPr>
                <w:rFonts w:ascii="Arial" w:hAnsi="Arial" w:cs="Arial"/>
                <w:b/>
                <w:sz w:val="20"/>
                <w:szCs w:val="20"/>
              </w:rPr>
            </w:pPr>
            <w:r w:rsidRPr="00826D62">
              <w:rPr>
                <w:rFonts w:ascii="Arial" w:hAnsi="Arial" w:cs="Arial"/>
                <w:b/>
                <w:sz w:val="20"/>
                <w:szCs w:val="20"/>
              </w:rPr>
              <w:t>Eje 2 – Facturas / RTN Activo</w:t>
            </w:r>
          </w:p>
        </w:tc>
        <w:tc>
          <w:tcPr>
            <w:tcW w:w="3033" w:type="dxa"/>
          </w:tcPr>
          <w:p w:rsidR="00CB4539" w:rsidRPr="00826D62" w:rsidRDefault="006E66E7" w:rsidP="00A1301E">
            <w:pPr>
              <w:rPr>
                <w:rFonts w:ascii="Arial" w:hAnsi="Arial" w:cs="Arial"/>
                <w:sz w:val="20"/>
                <w:szCs w:val="20"/>
              </w:rPr>
            </w:pPr>
            <w:r w:rsidRPr="00826D62">
              <w:rPr>
                <w:rFonts w:ascii="Arial" w:hAnsi="Arial" w:cs="Arial"/>
                <w:sz w:val="20"/>
                <w:szCs w:val="20"/>
              </w:rPr>
              <w:t>19,4% a 21,6</w:t>
            </w:r>
            <w:r w:rsidR="00C40030" w:rsidRPr="00826D62">
              <w:rPr>
                <w:rFonts w:ascii="Arial" w:hAnsi="Arial" w:cs="Arial"/>
                <w:sz w:val="20"/>
                <w:szCs w:val="20"/>
              </w:rPr>
              <w:t>%</w:t>
            </w:r>
            <w:r w:rsidR="00655F3F" w:rsidRPr="00826D62">
              <w:rPr>
                <w:rFonts w:ascii="Arial" w:hAnsi="Arial" w:cs="Arial"/>
                <w:sz w:val="20"/>
                <w:szCs w:val="20"/>
              </w:rPr>
              <w:t xml:space="preserve"> = 2.2</w:t>
            </w:r>
          </w:p>
        </w:tc>
        <w:tc>
          <w:tcPr>
            <w:tcW w:w="3082" w:type="dxa"/>
          </w:tcPr>
          <w:p w:rsidR="00CB4539" w:rsidRPr="00826D62" w:rsidRDefault="00C40030" w:rsidP="00A1301E">
            <w:pPr>
              <w:rPr>
                <w:rFonts w:ascii="Arial" w:hAnsi="Arial" w:cs="Arial"/>
                <w:sz w:val="20"/>
                <w:szCs w:val="20"/>
              </w:rPr>
            </w:pPr>
            <w:r w:rsidRPr="00826D62">
              <w:rPr>
                <w:rFonts w:ascii="Arial" w:hAnsi="Arial" w:cs="Arial"/>
                <w:sz w:val="20"/>
                <w:szCs w:val="20"/>
              </w:rPr>
              <w:t>1,9% a 12,3</w:t>
            </w:r>
            <w:r w:rsidR="00735D6D" w:rsidRPr="00826D62">
              <w:rPr>
                <w:rFonts w:ascii="Arial" w:hAnsi="Arial" w:cs="Arial"/>
                <w:sz w:val="20"/>
                <w:szCs w:val="20"/>
              </w:rPr>
              <w:t xml:space="preserve"> = 10.4%</w:t>
            </w:r>
          </w:p>
        </w:tc>
      </w:tr>
      <w:tr w:rsidR="00CB4539" w:rsidRPr="00826D62" w:rsidTr="00CB4539">
        <w:tc>
          <w:tcPr>
            <w:tcW w:w="3258" w:type="dxa"/>
          </w:tcPr>
          <w:p w:rsidR="00CB4539" w:rsidRPr="00826D62" w:rsidRDefault="00CB4539" w:rsidP="00CB4539">
            <w:pPr>
              <w:rPr>
                <w:rFonts w:ascii="Arial" w:hAnsi="Arial" w:cs="Arial"/>
                <w:b/>
                <w:sz w:val="20"/>
                <w:szCs w:val="20"/>
              </w:rPr>
            </w:pPr>
            <w:r w:rsidRPr="00826D62">
              <w:rPr>
                <w:rFonts w:ascii="Arial" w:hAnsi="Arial" w:cs="Arial"/>
                <w:b/>
                <w:sz w:val="20"/>
                <w:szCs w:val="20"/>
              </w:rPr>
              <w:t>Eje 3 – Declaraciones / RTN Activo</w:t>
            </w:r>
          </w:p>
        </w:tc>
        <w:tc>
          <w:tcPr>
            <w:tcW w:w="3033" w:type="dxa"/>
          </w:tcPr>
          <w:p w:rsidR="00CB4539" w:rsidRPr="00826D62" w:rsidRDefault="006E66E7" w:rsidP="00A1301E">
            <w:pPr>
              <w:rPr>
                <w:rFonts w:ascii="Arial" w:hAnsi="Arial" w:cs="Arial"/>
                <w:sz w:val="20"/>
                <w:szCs w:val="20"/>
              </w:rPr>
            </w:pPr>
            <w:r w:rsidRPr="00826D62">
              <w:rPr>
                <w:rFonts w:ascii="Arial" w:hAnsi="Arial" w:cs="Arial"/>
                <w:sz w:val="20"/>
                <w:szCs w:val="20"/>
              </w:rPr>
              <w:t>23,01% a 65</w:t>
            </w:r>
            <w:r w:rsidR="00C40030" w:rsidRPr="00826D62">
              <w:rPr>
                <w:rFonts w:ascii="Arial" w:hAnsi="Arial" w:cs="Arial"/>
                <w:sz w:val="20"/>
                <w:szCs w:val="20"/>
              </w:rPr>
              <w:t>%</w:t>
            </w:r>
            <w:r w:rsidR="00FC056A">
              <w:rPr>
                <w:rFonts w:ascii="Arial" w:hAnsi="Arial" w:cs="Arial"/>
                <w:sz w:val="20"/>
                <w:szCs w:val="20"/>
              </w:rPr>
              <w:t xml:space="preserve"> </w:t>
            </w:r>
            <w:r w:rsidR="00655F3F" w:rsidRPr="00826D62">
              <w:rPr>
                <w:rFonts w:ascii="Arial" w:hAnsi="Arial" w:cs="Arial"/>
                <w:sz w:val="20"/>
                <w:szCs w:val="20"/>
              </w:rPr>
              <w:t>= 41.99</w:t>
            </w:r>
          </w:p>
        </w:tc>
        <w:tc>
          <w:tcPr>
            <w:tcW w:w="3082" w:type="dxa"/>
          </w:tcPr>
          <w:p w:rsidR="00CB4539" w:rsidRPr="00826D62" w:rsidRDefault="00C40030" w:rsidP="00A1301E">
            <w:pPr>
              <w:rPr>
                <w:rFonts w:ascii="Arial" w:hAnsi="Arial" w:cs="Arial"/>
                <w:sz w:val="20"/>
                <w:szCs w:val="20"/>
              </w:rPr>
            </w:pPr>
            <w:r w:rsidRPr="00826D62">
              <w:rPr>
                <w:rFonts w:ascii="Arial" w:hAnsi="Arial" w:cs="Arial"/>
                <w:sz w:val="20"/>
                <w:szCs w:val="20"/>
              </w:rPr>
              <w:t>6,99% a 21,72</w:t>
            </w:r>
            <w:r w:rsidR="00735D6D" w:rsidRPr="00826D62">
              <w:rPr>
                <w:rFonts w:ascii="Arial" w:hAnsi="Arial" w:cs="Arial"/>
                <w:sz w:val="20"/>
                <w:szCs w:val="20"/>
              </w:rPr>
              <w:t xml:space="preserve"> = 14.73%</w:t>
            </w:r>
          </w:p>
        </w:tc>
      </w:tr>
      <w:tr w:rsidR="00CB4539" w:rsidRPr="00826D62" w:rsidTr="00CB4539">
        <w:tc>
          <w:tcPr>
            <w:tcW w:w="3258" w:type="dxa"/>
          </w:tcPr>
          <w:p w:rsidR="00CB4539" w:rsidRPr="00826D62" w:rsidRDefault="00CB4539" w:rsidP="00CB4539">
            <w:pPr>
              <w:rPr>
                <w:rFonts w:ascii="Arial" w:hAnsi="Arial" w:cs="Arial"/>
                <w:b/>
                <w:sz w:val="20"/>
                <w:szCs w:val="20"/>
              </w:rPr>
            </w:pPr>
            <w:r w:rsidRPr="00826D62">
              <w:rPr>
                <w:rFonts w:ascii="Arial" w:hAnsi="Arial" w:cs="Arial"/>
                <w:b/>
                <w:sz w:val="20"/>
                <w:szCs w:val="20"/>
              </w:rPr>
              <w:t>Déficit Fiscal</w:t>
            </w:r>
          </w:p>
        </w:tc>
        <w:tc>
          <w:tcPr>
            <w:tcW w:w="3033" w:type="dxa"/>
          </w:tcPr>
          <w:p w:rsidR="00CB4539" w:rsidRPr="00826D62" w:rsidRDefault="006E66E7" w:rsidP="00A1301E">
            <w:pPr>
              <w:rPr>
                <w:rFonts w:ascii="Arial" w:hAnsi="Arial" w:cs="Arial"/>
                <w:sz w:val="20"/>
                <w:szCs w:val="20"/>
              </w:rPr>
            </w:pPr>
            <w:r w:rsidRPr="00826D62">
              <w:rPr>
                <w:rFonts w:ascii="Arial" w:hAnsi="Arial" w:cs="Arial"/>
                <w:sz w:val="20"/>
                <w:szCs w:val="20"/>
              </w:rPr>
              <w:t xml:space="preserve">-0,05 </w:t>
            </w:r>
            <w:r w:rsidR="00735D6D" w:rsidRPr="00826D62">
              <w:rPr>
                <w:rFonts w:ascii="Arial" w:hAnsi="Arial" w:cs="Arial"/>
                <w:sz w:val="20"/>
                <w:szCs w:val="20"/>
              </w:rPr>
              <w:t>a</w:t>
            </w:r>
            <w:r w:rsidRPr="00826D62">
              <w:rPr>
                <w:rFonts w:ascii="Arial" w:hAnsi="Arial" w:cs="Arial"/>
                <w:sz w:val="20"/>
                <w:szCs w:val="20"/>
              </w:rPr>
              <w:t xml:space="preserve"> 0,0</w:t>
            </w:r>
            <w:r w:rsidR="00C40030" w:rsidRPr="00826D62">
              <w:rPr>
                <w:rFonts w:ascii="Arial" w:hAnsi="Arial" w:cs="Arial"/>
                <w:sz w:val="20"/>
                <w:szCs w:val="20"/>
              </w:rPr>
              <w:t>4</w:t>
            </w:r>
            <w:r w:rsidR="00655F3F" w:rsidRPr="00826D62">
              <w:rPr>
                <w:rFonts w:ascii="Arial" w:hAnsi="Arial" w:cs="Arial"/>
                <w:sz w:val="20"/>
                <w:szCs w:val="20"/>
              </w:rPr>
              <w:t xml:space="preserve"> </w:t>
            </w:r>
            <w:r w:rsidR="006A3144" w:rsidRPr="00826D62">
              <w:rPr>
                <w:rFonts w:ascii="Arial" w:hAnsi="Arial" w:cs="Arial"/>
                <w:sz w:val="20"/>
                <w:szCs w:val="20"/>
              </w:rPr>
              <w:t>=</w:t>
            </w:r>
            <w:r w:rsidR="00FC056A">
              <w:rPr>
                <w:rFonts w:ascii="Arial" w:hAnsi="Arial" w:cs="Arial"/>
                <w:sz w:val="20"/>
                <w:szCs w:val="20"/>
              </w:rPr>
              <w:t xml:space="preserve"> </w:t>
            </w:r>
            <w:r w:rsidR="00735D6D" w:rsidRPr="00826D62">
              <w:rPr>
                <w:rFonts w:ascii="Arial" w:hAnsi="Arial" w:cs="Arial"/>
                <w:sz w:val="20"/>
                <w:szCs w:val="20"/>
              </w:rPr>
              <w:t xml:space="preserve">- </w:t>
            </w:r>
            <w:r w:rsidR="006A3144" w:rsidRPr="00826D62">
              <w:rPr>
                <w:rFonts w:ascii="Arial" w:hAnsi="Arial" w:cs="Arial"/>
                <w:sz w:val="20"/>
                <w:szCs w:val="20"/>
              </w:rPr>
              <w:t>0.09</w:t>
            </w:r>
          </w:p>
        </w:tc>
        <w:tc>
          <w:tcPr>
            <w:tcW w:w="3082" w:type="dxa"/>
          </w:tcPr>
          <w:p w:rsidR="00CB4539" w:rsidRPr="00826D62" w:rsidRDefault="00C40030" w:rsidP="00A1301E">
            <w:pPr>
              <w:rPr>
                <w:rFonts w:ascii="Arial" w:hAnsi="Arial" w:cs="Arial"/>
                <w:sz w:val="20"/>
                <w:szCs w:val="20"/>
              </w:rPr>
            </w:pPr>
            <w:r w:rsidRPr="00826D62">
              <w:rPr>
                <w:rFonts w:ascii="Arial" w:hAnsi="Arial" w:cs="Arial"/>
                <w:sz w:val="20"/>
                <w:szCs w:val="20"/>
              </w:rPr>
              <w:t>-5,22% a -3,17</w:t>
            </w:r>
            <w:r w:rsidR="00735D6D" w:rsidRPr="00826D62">
              <w:rPr>
                <w:rFonts w:ascii="Arial" w:hAnsi="Arial" w:cs="Arial"/>
                <w:sz w:val="20"/>
                <w:szCs w:val="20"/>
              </w:rPr>
              <w:t xml:space="preserve"> = -2.05</w:t>
            </w:r>
          </w:p>
        </w:tc>
      </w:tr>
    </w:tbl>
    <w:p w:rsidR="00CB4539" w:rsidRDefault="00323803" w:rsidP="00826D62">
      <w:pPr>
        <w:pStyle w:val="Paragraph"/>
        <w:numPr>
          <w:ilvl w:val="1"/>
          <w:numId w:val="50"/>
        </w:numPr>
        <w:ind w:left="720" w:hanging="720"/>
        <w:rPr>
          <w:rFonts w:ascii="Arial" w:hAnsi="Arial" w:cs="Arial"/>
          <w:sz w:val="22"/>
          <w:szCs w:val="22"/>
        </w:rPr>
      </w:pPr>
      <w:r w:rsidRPr="00826D62">
        <w:rPr>
          <w:rFonts w:ascii="Arial" w:hAnsi="Arial" w:cs="Arial"/>
          <w:sz w:val="22"/>
          <w:szCs w:val="22"/>
        </w:rPr>
        <w:t>El cuadro</w:t>
      </w:r>
      <w:r w:rsidR="00BE7C83" w:rsidRPr="00826D62">
        <w:rPr>
          <w:rFonts w:ascii="Arial" w:hAnsi="Arial" w:cs="Arial"/>
          <w:sz w:val="22"/>
          <w:szCs w:val="22"/>
        </w:rPr>
        <w:t xml:space="preserve"> anterior </w:t>
      </w:r>
      <w:r w:rsidR="00C40030" w:rsidRPr="00826D62">
        <w:rPr>
          <w:rFonts w:ascii="Arial" w:hAnsi="Arial" w:cs="Arial"/>
          <w:sz w:val="22"/>
          <w:szCs w:val="22"/>
        </w:rPr>
        <w:t>muestra que la meta a alcanza</w:t>
      </w:r>
      <w:r w:rsidR="00BE7C83" w:rsidRPr="00826D62">
        <w:rPr>
          <w:rFonts w:ascii="Arial" w:hAnsi="Arial" w:cs="Arial"/>
          <w:sz w:val="22"/>
          <w:szCs w:val="22"/>
        </w:rPr>
        <w:t>r</w:t>
      </w:r>
      <w:r w:rsidR="00C40030" w:rsidRPr="00826D62">
        <w:rPr>
          <w:rFonts w:ascii="Arial" w:hAnsi="Arial" w:cs="Arial"/>
          <w:sz w:val="22"/>
          <w:szCs w:val="22"/>
        </w:rPr>
        <w:t xml:space="preserve"> por Honduras</w:t>
      </w:r>
      <w:r w:rsidR="00BE7C83" w:rsidRPr="00826D62">
        <w:rPr>
          <w:rFonts w:ascii="Arial" w:hAnsi="Arial" w:cs="Arial"/>
          <w:sz w:val="22"/>
          <w:szCs w:val="22"/>
        </w:rPr>
        <w:t>,</w:t>
      </w:r>
      <w:r w:rsidR="00C40030" w:rsidRPr="00826D62">
        <w:rPr>
          <w:rFonts w:ascii="Arial" w:hAnsi="Arial" w:cs="Arial"/>
          <w:sz w:val="22"/>
          <w:szCs w:val="22"/>
        </w:rPr>
        <w:t xml:space="preserve"> aument</w:t>
      </w:r>
      <w:r w:rsidR="00735D6D" w:rsidRPr="00826D62">
        <w:rPr>
          <w:rFonts w:ascii="Arial" w:hAnsi="Arial" w:cs="Arial"/>
          <w:sz w:val="22"/>
          <w:szCs w:val="22"/>
        </w:rPr>
        <w:t>o</w:t>
      </w:r>
      <w:r w:rsidR="00C40030" w:rsidRPr="00826D62">
        <w:rPr>
          <w:rFonts w:ascii="Arial" w:hAnsi="Arial" w:cs="Arial"/>
          <w:sz w:val="22"/>
          <w:szCs w:val="22"/>
        </w:rPr>
        <w:t xml:space="preserve"> de la presión fiscal</w:t>
      </w:r>
      <w:r w:rsidR="00BE7C83" w:rsidRPr="00826D62">
        <w:rPr>
          <w:rFonts w:ascii="Arial" w:hAnsi="Arial" w:cs="Arial"/>
          <w:sz w:val="22"/>
          <w:szCs w:val="22"/>
        </w:rPr>
        <w:t xml:space="preserve"> en 1%</w:t>
      </w:r>
      <w:r w:rsidRPr="00826D62">
        <w:rPr>
          <w:rFonts w:ascii="Arial" w:hAnsi="Arial" w:cs="Arial"/>
          <w:sz w:val="22"/>
          <w:szCs w:val="22"/>
        </w:rPr>
        <w:t xml:space="preserve"> (2015-2019)</w:t>
      </w:r>
      <w:r w:rsidR="00BE7C83" w:rsidRPr="00826D62">
        <w:rPr>
          <w:rFonts w:ascii="Arial" w:hAnsi="Arial" w:cs="Arial"/>
          <w:sz w:val="22"/>
          <w:szCs w:val="22"/>
        </w:rPr>
        <w:t>,</w:t>
      </w:r>
      <w:r w:rsidR="00C40030" w:rsidRPr="00826D62">
        <w:rPr>
          <w:rFonts w:ascii="Arial" w:hAnsi="Arial" w:cs="Arial"/>
          <w:sz w:val="22"/>
          <w:szCs w:val="22"/>
        </w:rPr>
        <w:t xml:space="preserve"> </w:t>
      </w:r>
      <w:r w:rsidR="00BE7C83" w:rsidRPr="00826D62">
        <w:rPr>
          <w:rFonts w:ascii="Arial" w:hAnsi="Arial" w:cs="Arial"/>
          <w:sz w:val="22"/>
          <w:szCs w:val="22"/>
        </w:rPr>
        <w:t>es</w:t>
      </w:r>
      <w:r w:rsidR="00C40030" w:rsidRPr="00826D62">
        <w:rPr>
          <w:rFonts w:ascii="Arial" w:hAnsi="Arial" w:cs="Arial"/>
          <w:sz w:val="22"/>
          <w:szCs w:val="22"/>
        </w:rPr>
        <w:t xml:space="preserve"> factible </w:t>
      </w:r>
      <w:r w:rsidR="008A325D" w:rsidRPr="00826D62">
        <w:rPr>
          <w:rFonts w:ascii="Arial" w:hAnsi="Arial" w:cs="Arial"/>
          <w:sz w:val="22"/>
          <w:szCs w:val="22"/>
        </w:rPr>
        <w:t xml:space="preserve">y </w:t>
      </w:r>
      <w:r w:rsidR="00BE7C83" w:rsidRPr="00826D62">
        <w:rPr>
          <w:rFonts w:ascii="Arial" w:hAnsi="Arial" w:cs="Arial"/>
          <w:sz w:val="22"/>
          <w:szCs w:val="22"/>
        </w:rPr>
        <w:t xml:space="preserve">está </w:t>
      </w:r>
      <w:r w:rsidR="00E5461B" w:rsidRPr="00826D62">
        <w:rPr>
          <w:rFonts w:ascii="Arial" w:hAnsi="Arial" w:cs="Arial"/>
          <w:sz w:val="22"/>
          <w:szCs w:val="22"/>
        </w:rPr>
        <w:t xml:space="preserve">muy </w:t>
      </w:r>
      <w:r w:rsidR="00BE7C83" w:rsidRPr="00826D62">
        <w:rPr>
          <w:rFonts w:ascii="Arial" w:hAnsi="Arial" w:cs="Arial"/>
          <w:sz w:val="22"/>
          <w:szCs w:val="22"/>
        </w:rPr>
        <w:t>por debajo</w:t>
      </w:r>
      <w:r w:rsidR="008A325D" w:rsidRPr="00826D62">
        <w:rPr>
          <w:rFonts w:ascii="Arial" w:hAnsi="Arial" w:cs="Arial"/>
          <w:sz w:val="22"/>
          <w:szCs w:val="22"/>
        </w:rPr>
        <w:t xml:space="preserve"> de la meta</w:t>
      </w:r>
      <w:r w:rsidR="00BE7C83" w:rsidRPr="00826D62">
        <w:rPr>
          <w:rFonts w:ascii="Arial" w:hAnsi="Arial" w:cs="Arial"/>
          <w:sz w:val="22"/>
          <w:szCs w:val="22"/>
        </w:rPr>
        <w:t xml:space="preserve"> alcanzada</w:t>
      </w:r>
      <w:r w:rsidR="008A325D" w:rsidRPr="00826D62">
        <w:rPr>
          <w:rFonts w:ascii="Arial" w:hAnsi="Arial" w:cs="Arial"/>
          <w:sz w:val="22"/>
          <w:szCs w:val="22"/>
        </w:rPr>
        <w:t xml:space="preserve"> por Ecuador, </w:t>
      </w:r>
      <w:r w:rsidR="00E5461B" w:rsidRPr="00826D62">
        <w:rPr>
          <w:rFonts w:ascii="Arial" w:hAnsi="Arial" w:cs="Arial"/>
          <w:sz w:val="22"/>
          <w:szCs w:val="22"/>
        </w:rPr>
        <w:t>bajo supuestos conservadores. Esto significa que</w:t>
      </w:r>
      <w:r w:rsidR="00FC056A" w:rsidRPr="00826D62">
        <w:rPr>
          <w:rFonts w:ascii="Arial" w:hAnsi="Arial" w:cs="Arial"/>
          <w:sz w:val="22"/>
          <w:szCs w:val="22"/>
        </w:rPr>
        <w:t xml:space="preserve"> </w:t>
      </w:r>
      <w:r w:rsidR="00E5461B" w:rsidRPr="00826D62">
        <w:rPr>
          <w:rFonts w:ascii="Arial" w:hAnsi="Arial" w:cs="Arial"/>
          <w:sz w:val="22"/>
          <w:szCs w:val="22"/>
        </w:rPr>
        <w:t>podría haber mayores ganancias del fortalecimiento de la administración tributaria</w:t>
      </w:r>
      <w:r w:rsidR="006A510D" w:rsidRPr="00826D62">
        <w:rPr>
          <w:rFonts w:ascii="Arial" w:hAnsi="Arial" w:cs="Arial"/>
          <w:sz w:val="22"/>
          <w:szCs w:val="22"/>
        </w:rPr>
        <w:t xml:space="preserve"> </w:t>
      </w:r>
      <w:r w:rsidR="00E5461B" w:rsidRPr="00826D62">
        <w:rPr>
          <w:rFonts w:ascii="Arial" w:hAnsi="Arial" w:cs="Arial"/>
          <w:sz w:val="22"/>
          <w:szCs w:val="22"/>
        </w:rPr>
        <w:t>en</w:t>
      </w:r>
      <w:r w:rsidR="008A325D" w:rsidRPr="00826D62">
        <w:rPr>
          <w:rFonts w:ascii="Arial" w:hAnsi="Arial" w:cs="Arial"/>
          <w:sz w:val="22"/>
          <w:szCs w:val="22"/>
        </w:rPr>
        <w:t xml:space="preserve"> Honduras</w:t>
      </w:r>
      <w:r w:rsidR="006C555C" w:rsidRPr="00826D62">
        <w:rPr>
          <w:rFonts w:ascii="Arial" w:hAnsi="Arial" w:cs="Arial"/>
          <w:sz w:val="22"/>
          <w:szCs w:val="22"/>
        </w:rPr>
        <w:t>, si todos los resultados prev</w:t>
      </w:r>
      <w:r w:rsidR="006A510D" w:rsidRPr="00826D62">
        <w:rPr>
          <w:rFonts w:ascii="Arial" w:hAnsi="Arial" w:cs="Arial"/>
          <w:sz w:val="22"/>
          <w:szCs w:val="22"/>
        </w:rPr>
        <w:t>istos de la reforma se lograrán</w:t>
      </w:r>
      <w:r w:rsidR="008A325D" w:rsidRPr="00826D62">
        <w:rPr>
          <w:rFonts w:ascii="Arial" w:hAnsi="Arial" w:cs="Arial"/>
          <w:sz w:val="22"/>
          <w:szCs w:val="22"/>
        </w:rPr>
        <w:t>.</w:t>
      </w:r>
    </w:p>
    <w:p w:rsidR="008A325D" w:rsidRPr="00826D62" w:rsidRDefault="00FC3891" w:rsidP="00826D62">
      <w:pPr>
        <w:pStyle w:val="Paragraph"/>
        <w:numPr>
          <w:ilvl w:val="1"/>
          <w:numId w:val="50"/>
        </w:numPr>
        <w:ind w:left="720" w:hanging="680"/>
        <w:rPr>
          <w:rFonts w:ascii="Arial" w:hAnsi="Arial" w:cs="Arial"/>
          <w:sz w:val="22"/>
          <w:szCs w:val="22"/>
        </w:rPr>
      </w:pPr>
      <w:r w:rsidRPr="00826D62">
        <w:rPr>
          <w:rFonts w:ascii="Arial" w:hAnsi="Arial" w:cs="Arial"/>
          <w:b/>
          <w:sz w:val="22"/>
          <w:szCs w:val="22"/>
        </w:rPr>
        <w:t>Conclusión:</w:t>
      </w:r>
      <w:r w:rsidRPr="00826D62">
        <w:rPr>
          <w:rFonts w:ascii="Arial" w:hAnsi="Arial" w:cs="Arial"/>
          <w:sz w:val="22"/>
          <w:szCs w:val="22"/>
        </w:rPr>
        <w:t xml:space="preserve"> Con el alcance de </w:t>
      </w:r>
      <w:r w:rsidR="00BE7C83" w:rsidRPr="00826D62">
        <w:rPr>
          <w:rFonts w:ascii="Arial" w:hAnsi="Arial" w:cs="Arial"/>
          <w:sz w:val="22"/>
          <w:szCs w:val="22"/>
        </w:rPr>
        <w:t xml:space="preserve">los indicadores de los ejes 1,2 y </w:t>
      </w:r>
      <w:r w:rsidRPr="00826D62">
        <w:rPr>
          <w:rFonts w:ascii="Arial" w:hAnsi="Arial" w:cs="Arial"/>
          <w:sz w:val="22"/>
          <w:szCs w:val="22"/>
        </w:rPr>
        <w:t>3</w:t>
      </w:r>
      <w:r w:rsidR="00BE7C83" w:rsidRPr="00826D62">
        <w:rPr>
          <w:rFonts w:ascii="Arial" w:hAnsi="Arial" w:cs="Arial"/>
          <w:sz w:val="22"/>
          <w:szCs w:val="22"/>
        </w:rPr>
        <w:t>,</w:t>
      </w:r>
      <w:r w:rsidR="00F30F4E" w:rsidRPr="00826D62">
        <w:rPr>
          <w:rFonts w:ascii="Arial" w:hAnsi="Arial" w:cs="Arial"/>
          <w:sz w:val="22"/>
          <w:szCs w:val="22"/>
        </w:rPr>
        <w:t xml:space="preserve"> conforme estimados en </w:t>
      </w:r>
      <w:r w:rsidR="00323803" w:rsidRPr="00826D62">
        <w:rPr>
          <w:rFonts w:ascii="Arial" w:hAnsi="Arial" w:cs="Arial"/>
          <w:sz w:val="22"/>
          <w:szCs w:val="22"/>
        </w:rPr>
        <w:t>el Cuadro 5</w:t>
      </w:r>
      <w:r w:rsidRPr="00826D62">
        <w:rPr>
          <w:rFonts w:ascii="Arial" w:hAnsi="Arial" w:cs="Arial"/>
          <w:sz w:val="22"/>
          <w:szCs w:val="22"/>
        </w:rPr>
        <w:t xml:space="preserve">, el Programa estará generando un </w:t>
      </w:r>
      <w:r w:rsidR="00F30F4E" w:rsidRPr="00826D62">
        <w:rPr>
          <w:rFonts w:ascii="Arial" w:hAnsi="Arial" w:cs="Arial"/>
          <w:sz w:val="22"/>
          <w:szCs w:val="22"/>
        </w:rPr>
        <w:t>beneficio</w:t>
      </w:r>
      <w:r w:rsidRPr="00826D62">
        <w:rPr>
          <w:rFonts w:ascii="Arial" w:hAnsi="Arial" w:cs="Arial"/>
          <w:sz w:val="22"/>
          <w:szCs w:val="22"/>
        </w:rPr>
        <w:t xml:space="preserve"> financiero </w:t>
      </w:r>
      <w:r w:rsidR="0053297B" w:rsidRPr="00826D62">
        <w:rPr>
          <w:rFonts w:ascii="Arial" w:hAnsi="Arial" w:cs="Arial"/>
          <w:sz w:val="22"/>
          <w:szCs w:val="22"/>
        </w:rPr>
        <w:t>US$</w:t>
      </w:r>
      <w:r w:rsidR="00BB5027" w:rsidRPr="00826D62">
        <w:rPr>
          <w:rFonts w:ascii="Arial" w:hAnsi="Arial" w:cs="Arial"/>
          <w:sz w:val="22"/>
          <w:szCs w:val="22"/>
        </w:rPr>
        <w:t>77,87</w:t>
      </w:r>
      <w:r w:rsidR="00F30F4E" w:rsidRPr="00826D62">
        <w:rPr>
          <w:rFonts w:ascii="Arial" w:hAnsi="Arial" w:cs="Arial"/>
          <w:sz w:val="22"/>
          <w:szCs w:val="22"/>
        </w:rPr>
        <w:t xml:space="preserve"> millones</w:t>
      </w:r>
      <w:r w:rsidR="00E5461B" w:rsidRPr="00826D62">
        <w:rPr>
          <w:rFonts w:ascii="Arial" w:hAnsi="Arial" w:cs="Arial"/>
          <w:sz w:val="22"/>
          <w:szCs w:val="22"/>
        </w:rPr>
        <w:t xml:space="preserve"> </w:t>
      </w:r>
      <w:r w:rsidR="00E15F9C" w:rsidRPr="00826D62">
        <w:rPr>
          <w:rFonts w:ascii="Arial" w:hAnsi="Arial" w:cs="Arial"/>
          <w:sz w:val="22"/>
          <w:szCs w:val="22"/>
        </w:rPr>
        <w:t xml:space="preserve">en 2017, US$ </w:t>
      </w:r>
      <w:r w:rsidR="00BB5027" w:rsidRPr="00826D62">
        <w:rPr>
          <w:rFonts w:ascii="Arial" w:hAnsi="Arial" w:cs="Arial"/>
          <w:sz w:val="22"/>
          <w:szCs w:val="22"/>
        </w:rPr>
        <w:t>75,49</w:t>
      </w:r>
      <w:r w:rsidR="00E15F9C" w:rsidRPr="00826D62">
        <w:rPr>
          <w:rFonts w:ascii="Arial" w:hAnsi="Arial" w:cs="Arial"/>
          <w:sz w:val="22"/>
          <w:szCs w:val="22"/>
        </w:rPr>
        <w:t xml:space="preserve"> millones en 2018, y US$ </w:t>
      </w:r>
      <w:r w:rsidR="00BB5027" w:rsidRPr="00826D62">
        <w:rPr>
          <w:rFonts w:ascii="Arial" w:hAnsi="Arial" w:cs="Arial"/>
          <w:sz w:val="22"/>
          <w:szCs w:val="22"/>
        </w:rPr>
        <w:t>86,80</w:t>
      </w:r>
      <w:r w:rsidR="00E15F9C" w:rsidRPr="00826D62">
        <w:rPr>
          <w:rFonts w:ascii="Arial" w:hAnsi="Arial" w:cs="Arial"/>
          <w:sz w:val="22"/>
          <w:szCs w:val="22"/>
        </w:rPr>
        <w:t xml:space="preserve"> millones en 2019</w:t>
      </w:r>
      <w:r w:rsidR="00F30F4E" w:rsidRPr="00826D62">
        <w:rPr>
          <w:rFonts w:ascii="Arial" w:hAnsi="Arial" w:cs="Arial"/>
          <w:sz w:val="22"/>
          <w:szCs w:val="22"/>
        </w:rPr>
        <w:t>.</w:t>
      </w:r>
      <w:r w:rsidR="00CE5528" w:rsidRPr="00826D62">
        <w:rPr>
          <w:rFonts w:ascii="Arial" w:hAnsi="Arial" w:cs="Arial"/>
          <w:sz w:val="22"/>
          <w:szCs w:val="22"/>
        </w:rPr>
        <w:t xml:space="preserve"> Las estimaciones fueron </w:t>
      </w:r>
      <w:r w:rsidR="001609CB" w:rsidRPr="00826D62">
        <w:rPr>
          <w:rFonts w:ascii="Arial" w:hAnsi="Arial" w:cs="Arial"/>
          <w:sz w:val="22"/>
          <w:szCs w:val="22"/>
        </w:rPr>
        <w:t xml:space="preserve">realizadas </w:t>
      </w:r>
      <w:r w:rsidR="00CE5528" w:rsidRPr="00826D62">
        <w:rPr>
          <w:rFonts w:ascii="Arial" w:hAnsi="Arial" w:cs="Arial"/>
          <w:sz w:val="22"/>
          <w:szCs w:val="22"/>
        </w:rPr>
        <w:t>en Lempiras en valores nominales, convertid</w:t>
      </w:r>
      <w:r w:rsidR="001609CB" w:rsidRPr="00826D62">
        <w:rPr>
          <w:rFonts w:ascii="Arial" w:hAnsi="Arial" w:cs="Arial"/>
          <w:sz w:val="22"/>
          <w:szCs w:val="22"/>
        </w:rPr>
        <w:t>o</w:t>
      </w:r>
      <w:r w:rsidR="00CE5528" w:rsidRPr="00826D62">
        <w:rPr>
          <w:rFonts w:ascii="Arial" w:hAnsi="Arial" w:cs="Arial"/>
          <w:sz w:val="22"/>
          <w:szCs w:val="22"/>
        </w:rPr>
        <w:t xml:space="preserve">s a valores reales </w:t>
      </w:r>
      <w:r w:rsidR="001609CB" w:rsidRPr="00826D62">
        <w:rPr>
          <w:rFonts w:ascii="Arial" w:hAnsi="Arial" w:cs="Arial"/>
          <w:sz w:val="22"/>
          <w:szCs w:val="22"/>
        </w:rPr>
        <w:t>en base al promedio</w:t>
      </w:r>
      <w:r w:rsidR="00CE5528" w:rsidRPr="00826D62">
        <w:rPr>
          <w:rFonts w:ascii="Arial" w:hAnsi="Arial" w:cs="Arial"/>
          <w:sz w:val="22"/>
          <w:szCs w:val="22"/>
        </w:rPr>
        <w:t xml:space="preserve"> de la serie histórica </w:t>
      </w:r>
      <w:r w:rsidR="00034A64" w:rsidRPr="00826D62">
        <w:rPr>
          <w:rFonts w:ascii="Arial" w:hAnsi="Arial" w:cs="Arial"/>
          <w:sz w:val="22"/>
          <w:szCs w:val="22"/>
        </w:rPr>
        <w:t xml:space="preserve">de Precios al Consumidor </w:t>
      </w:r>
      <w:r w:rsidR="00CE5528" w:rsidRPr="00826D62">
        <w:rPr>
          <w:rFonts w:ascii="Arial" w:hAnsi="Arial" w:cs="Arial"/>
          <w:sz w:val="22"/>
          <w:szCs w:val="22"/>
        </w:rPr>
        <w:t>(</w:t>
      </w:r>
      <w:hyperlink r:id="rId17" w:history="1">
        <w:r w:rsidR="00034A64" w:rsidRPr="00826D62">
          <w:rPr>
            <w:rStyle w:val="Hyperlink"/>
            <w:rFonts w:ascii="Arial" w:hAnsi="Arial" w:cs="Arial"/>
            <w:sz w:val="22"/>
            <w:szCs w:val="22"/>
          </w:rPr>
          <w:t>Banco Central de Honduras - Gobierno de la Rep</w:t>
        </w:r>
        <w:r w:rsidR="001609CB" w:rsidRPr="00826D62">
          <w:rPr>
            <w:rStyle w:val="Hyperlink"/>
            <w:rFonts w:ascii="Arial" w:hAnsi="Arial" w:cs="Arial"/>
            <w:sz w:val="22"/>
            <w:szCs w:val="22"/>
          </w:rPr>
          <w:t>ú</w:t>
        </w:r>
        <w:r w:rsidR="00034A64" w:rsidRPr="00826D62">
          <w:rPr>
            <w:rStyle w:val="Hyperlink"/>
            <w:rFonts w:ascii="Arial" w:hAnsi="Arial" w:cs="Arial"/>
            <w:sz w:val="22"/>
            <w:szCs w:val="22"/>
          </w:rPr>
          <w:t>blica de Honduras</w:t>
        </w:r>
      </w:hyperlink>
      <w:r w:rsidR="00034A64" w:rsidRPr="00826D62">
        <w:rPr>
          <w:rFonts w:ascii="Arial" w:hAnsi="Arial" w:cs="Arial"/>
          <w:sz w:val="22"/>
          <w:szCs w:val="22"/>
        </w:rPr>
        <w:t>)</w:t>
      </w:r>
      <w:r w:rsidR="00CE5528" w:rsidRPr="00826D62">
        <w:rPr>
          <w:rFonts w:ascii="Arial" w:hAnsi="Arial" w:cs="Arial"/>
          <w:sz w:val="22"/>
          <w:szCs w:val="22"/>
        </w:rPr>
        <w:t xml:space="preserve"> y</w:t>
      </w:r>
      <w:r w:rsidR="001609CB" w:rsidRPr="00826D62">
        <w:rPr>
          <w:rFonts w:ascii="Arial" w:hAnsi="Arial" w:cs="Arial"/>
          <w:sz w:val="22"/>
          <w:szCs w:val="22"/>
        </w:rPr>
        <w:t>,</w:t>
      </w:r>
      <w:r w:rsidR="00CE5528" w:rsidRPr="00826D62">
        <w:rPr>
          <w:rFonts w:ascii="Arial" w:hAnsi="Arial" w:cs="Arial"/>
          <w:sz w:val="22"/>
          <w:szCs w:val="22"/>
        </w:rPr>
        <w:t xml:space="preserve"> </w:t>
      </w:r>
      <w:r w:rsidR="00034A64" w:rsidRPr="00826D62">
        <w:rPr>
          <w:rFonts w:ascii="Arial" w:hAnsi="Arial" w:cs="Arial"/>
          <w:sz w:val="22"/>
          <w:szCs w:val="22"/>
        </w:rPr>
        <w:t>finalmente</w:t>
      </w:r>
      <w:r w:rsidR="001609CB" w:rsidRPr="00826D62">
        <w:rPr>
          <w:rFonts w:ascii="Arial" w:hAnsi="Arial" w:cs="Arial"/>
          <w:sz w:val="22"/>
          <w:szCs w:val="22"/>
        </w:rPr>
        <w:t>,</w:t>
      </w:r>
      <w:r w:rsidR="00034A64" w:rsidRPr="00826D62">
        <w:rPr>
          <w:rFonts w:ascii="Arial" w:hAnsi="Arial" w:cs="Arial"/>
          <w:sz w:val="22"/>
          <w:szCs w:val="22"/>
        </w:rPr>
        <w:t xml:space="preserve"> </w:t>
      </w:r>
      <w:r w:rsidR="00CE5528" w:rsidRPr="00826D62">
        <w:rPr>
          <w:rFonts w:ascii="Arial" w:hAnsi="Arial" w:cs="Arial"/>
          <w:sz w:val="22"/>
          <w:szCs w:val="22"/>
        </w:rPr>
        <w:t>convertidos a dólares</w:t>
      </w:r>
      <w:r w:rsidR="00005D6F" w:rsidRPr="00826D62">
        <w:rPr>
          <w:rFonts w:ascii="Arial" w:hAnsi="Arial" w:cs="Arial"/>
          <w:sz w:val="22"/>
          <w:szCs w:val="22"/>
        </w:rPr>
        <w:t>.</w:t>
      </w:r>
    </w:p>
    <w:p w:rsidR="004B4229" w:rsidRPr="00826D62" w:rsidRDefault="004B4229" w:rsidP="00826D62">
      <w:pPr>
        <w:pStyle w:val="Paragraph"/>
        <w:numPr>
          <w:ilvl w:val="1"/>
          <w:numId w:val="50"/>
        </w:numPr>
        <w:ind w:left="720" w:hanging="680"/>
        <w:rPr>
          <w:rFonts w:ascii="Arial" w:hAnsi="Arial" w:cs="Arial"/>
          <w:sz w:val="22"/>
          <w:szCs w:val="22"/>
          <w:lang w:val="es-ES_tradnl"/>
        </w:rPr>
      </w:pPr>
      <w:r w:rsidRPr="00826D62">
        <w:rPr>
          <w:rFonts w:ascii="Arial" w:hAnsi="Arial" w:cs="Arial"/>
          <w:b/>
          <w:sz w:val="22"/>
          <w:szCs w:val="22"/>
          <w:lang w:val="es-ES_tradnl"/>
        </w:rPr>
        <w:t xml:space="preserve">Paso 5: Calculo de la Tasa Interna de Retorno (TIR) y del Valor Presente Neto (VPN). </w:t>
      </w:r>
      <w:bookmarkStart w:id="1" w:name="_Toc326336431"/>
      <w:bookmarkStart w:id="2" w:name="_Toc326339958"/>
      <w:r w:rsidRPr="00826D62">
        <w:rPr>
          <w:rFonts w:ascii="Arial" w:hAnsi="Arial" w:cs="Arial"/>
          <w:sz w:val="22"/>
          <w:szCs w:val="22"/>
          <w:lang w:val="es-ES_tradnl"/>
        </w:rPr>
        <w:t>El equipo de programa realizó un análisis comparativo entre los costos y beneficios financieros del programa</w:t>
      </w:r>
      <w:r w:rsidRPr="00826D62">
        <w:rPr>
          <w:rStyle w:val="FootnoteReference"/>
          <w:rFonts w:ascii="Arial" w:hAnsi="Arial" w:cs="Arial"/>
          <w:sz w:val="22"/>
          <w:szCs w:val="22"/>
          <w:lang w:val="es-ES_tradnl"/>
        </w:rPr>
        <w:footnoteReference w:id="8"/>
      </w:r>
      <w:r w:rsidRPr="00826D62">
        <w:rPr>
          <w:rFonts w:ascii="Arial" w:hAnsi="Arial" w:cs="Arial"/>
          <w:sz w:val="22"/>
          <w:szCs w:val="22"/>
          <w:lang w:val="es-ES_tradnl"/>
        </w:rPr>
        <w:t xml:space="preserve"> considerando el aumento real de la </w:t>
      </w:r>
      <w:r w:rsidRPr="00826D62">
        <w:rPr>
          <w:rFonts w:ascii="Arial" w:hAnsi="Arial" w:cs="Arial"/>
          <w:sz w:val="22"/>
          <w:szCs w:val="22"/>
          <w:lang w:val="es-ES_tradnl"/>
        </w:rPr>
        <w:lastRenderedPageBreak/>
        <w:t xml:space="preserve">recaudación tributaria, como resultado de: (i) aumento de la relación de los </w:t>
      </w:r>
      <w:r w:rsidR="00FC056A" w:rsidRPr="00826D62">
        <w:rPr>
          <w:rFonts w:ascii="Arial" w:hAnsi="Arial" w:cs="Arial"/>
          <w:sz w:val="22"/>
          <w:szCs w:val="22"/>
          <w:lang w:val="es-ES_tradnl"/>
        </w:rPr>
        <w:t>RTN</w:t>
      </w:r>
      <w:r w:rsidRPr="00826D62">
        <w:rPr>
          <w:rFonts w:ascii="Arial" w:hAnsi="Arial" w:cs="Arial"/>
          <w:sz w:val="22"/>
          <w:szCs w:val="22"/>
          <w:lang w:val="es-ES_tradnl"/>
        </w:rPr>
        <w:t xml:space="preserve"> activos en relación a los </w:t>
      </w:r>
      <w:r w:rsidR="00FC056A" w:rsidRPr="00826D62">
        <w:rPr>
          <w:rFonts w:ascii="Arial" w:hAnsi="Arial" w:cs="Arial"/>
          <w:sz w:val="22"/>
          <w:szCs w:val="22"/>
          <w:lang w:val="es-ES_tradnl"/>
        </w:rPr>
        <w:t>RTN</w:t>
      </w:r>
      <w:r w:rsidRPr="00826D62">
        <w:rPr>
          <w:rFonts w:ascii="Arial" w:hAnsi="Arial" w:cs="Arial"/>
          <w:sz w:val="22"/>
          <w:szCs w:val="22"/>
          <w:lang w:val="es-ES_tradnl"/>
        </w:rPr>
        <w:t xml:space="preserve"> </w:t>
      </w:r>
      <w:r w:rsidR="00F922CC" w:rsidRPr="00826D62">
        <w:rPr>
          <w:rFonts w:ascii="Arial" w:hAnsi="Arial" w:cs="Arial"/>
          <w:sz w:val="22"/>
          <w:szCs w:val="22"/>
          <w:lang w:val="es-ES_tradnl"/>
        </w:rPr>
        <w:t>registrados</w:t>
      </w:r>
      <w:r w:rsidRPr="00826D62">
        <w:rPr>
          <w:rFonts w:ascii="Arial" w:hAnsi="Arial" w:cs="Arial"/>
          <w:sz w:val="22"/>
          <w:szCs w:val="22"/>
          <w:lang w:val="es-ES_tradnl"/>
        </w:rPr>
        <w:t xml:space="preserve">; (ii) aumento de la relación entre las </w:t>
      </w:r>
      <w:r w:rsidRPr="00826D62">
        <w:rPr>
          <w:rFonts w:ascii="Arial" w:hAnsi="Arial" w:cs="Arial"/>
          <w:sz w:val="22"/>
          <w:szCs w:val="22"/>
        </w:rPr>
        <w:t>facturas</w:t>
      </w:r>
      <w:r w:rsidRPr="00826D62">
        <w:rPr>
          <w:rFonts w:ascii="Arial" w:hAnsi="Arial" w:cs="Arial"/>
          <w:sz w:val="22"/>
          <w:szCs w:val="22"/>
          <w:lang w:val="es-ES_tradnl"/>
        </w:rPr>
        <w:t xml:space="preserve"> emitidas por los contribuyentes y </w:t>
      </w:r>
      <w:r w:rsidR="00F922CC" w:rsidRPr="00826D62">
        <w:rPr>
          <w:rFonts w:ascii="Arial" w:hAnsi="Arial" w:cs="Arial"/>
          <w:sz w:val="22"/>
          <w:szCs w:val="22"/>
          <w:lang w:val="es-ES_tradnl"/>
        </w:rPr>
        <w:t xml:space="preserve">los </w:t>
      </w:r>
      <w:r w:rsidR="00FC056A" w:rsidRPr="00826D62">
        <w:rPr>
          <w:rFonts w:ascii="Arial" w:hAnsi="Arial" w:cs="Arial"/>
          <w:sz w:val="22"/>
          <w:szCs w:val="22"/>
          <w:lang w:val="es-ES_tradnl"/>
        </w:rPr>
        <w:t>RTN</w:t>
      </w:r>
      <w:r w:rsidR="00F922CC" w:rsidRPr="00826D62">
        <w:rPr>
          <w:rFonts w:ascii="Arial" w:hAnsi="Arial" w:cs="Arial"/>
          <w:sz w:val="22"/>
          <w:szCs w:val="22"/>
          <w:lang w:val="es-ES_tradnl"/>
        </w:rPr>
        <w:t xml:space="preserve"> registrados</w:t>
      </w:r>
      <w:r w:rsidRPr="00826D62">
        <w:rPr>
          <w:rFonts w:ascii="Arial" w:hAnsi="Arial" w:cs="Arial"/>
          <w:sz w:val="22"/>
          <w:szCs w:val="22"/>
          <w:lang w:val="es-ES_tradnl"/>
        </w:rPr>
        <w:t xml:space="preserve">; y (iii) el aumento de la relación entre las declaraciones presentadas por los contribuyentes y </w:t>
      </w:r>
      <w:r w:rsidR="00F922CC" w:rsidRPr="00826D62">
        <w:rPr>
          <w:rFonts w:ascii="Arial" w:hAnsi="Arial" w:cs="Arial"/>
          <w:sz w:val="22"/>
          <w:szCs w:val="22"/>
          <w:lang w:val="es-ES_tradnl"/>
        </w:rPr>
        <w:t xml:space="preserve">los </w:t>
      </w:r>
      <w:r w:rsidR="00FC056A" w:rsidRPr="00826D62">
        <w:rPr>
          <w:rFonts w:ascii="Arial" w:hAnsi="Arial" w:cs="Arial"/>
          <w:sz w:val="22"/>
          <w:szCs w:val="22"/>
          <w:lang w:val="es-ES_tradnl"/>
        </w:rPr>
        <w:t>RTN</w:t>
      </w:r>
      <w:r w:rsidR="00F922CC" w:rsidRPr="00826D62">
        <w:rPr>
          <w:rFonts w:ascii="Arial" w:hAnsi="Arial" w:cs="Arial"/>
          <w:sz w:val="22"/>
          <w:szCs w:val="22"/>
          <w:lang w:val="es-ES_tradnl"/>
        </w:rPr>
        <w:t xml:space="preserve"> registrados</w:t>
      </w:r>
      <w:r w:rsidRPr="00826D62">
        <w:rPr>
          <w:rFonts w:ascii="Arial" w:hAnsi="Arial" w:cs="Arial"/>
          <w:sz w:val="22"/>
          <w:szCs w:val="22"/>
          <w:lang w:val="es-ES_tradnl"/>
        </w:rPr>
        <w:t xml:space="preserve">. El cálculo del impacto de estos 3 resultados en la recaudación tributaria, tomó como base los resultados obtenidos por Ecuador en una operación muy similar a esta, la cual fue realizada en el periodo de 1998-2004 y evaluada por La Oficina de Evaluación del Banco (OVE) en 2006. El impacto producido por la operación de Ecuador generó para cada 100.000 </w:t>
      </w:r>
      <w:r w:rsidR="00FC056A" w:rsidRPr="00826D62">
        <w:rPr>
          <w:rFonts w:ascii="Arial" w:hAnsi="Arial" w:cs="Arial"/>
          <w:sz w:val="22"/>
          <w:szCs w:val="22"/>
          <w:lang w:val="es-ES_tradnl"/>
        </w:rPr>
        <w:t>RTN</w:t>
      </w:r>
      <w:r w:rsidRPr="00826D62">
        <w:rPr>
          <w:rFonts w:ascii="Arial" w:hAnsi="Arial" w:cs="Arial"/>
          <w:sz w:val="22"/>
          <w:szCs w:val="22"/>
          <w:lang w:val="es-ES_tradnl"/>
        </w:rPr>
        <w:t xml:space="preserve"> activos incrementados un aumento </w:t>
      </w:r>
      <w:r w:rsidR="00E15F9C" w:rsidRPr="00826D62">
        <w:rPr>
          <w:rFonts w:ascii="Arial" w:hAnsi="Arial" w:cs="Arial"/>
          <w:sz w:val="22"/>
          <w:szCs w:val="22"/>
          <w:lang w:val="es-ES_tradnl"/>
        </w:rPr>
        <w:t>medio anual (1998-2006) en la presión fiscal</w:t>
      </w:r>
      <w:r w:rsidRPr="00826D62">
        <w:rPr>
          <w:rFonts w:ascii="Arial" w:hAnsi="Arial" w:cs="Arial"/>
          <w:sz w:val="22"/>
          <w:szCs w:val="22"/>
          <w:lang w:val="es-ES_tradnl"/>
        </w:rPr>
        <w:t xml:space="preserve"> de aproximadamente % del PIB. De forma conservadora el equipo de proyecto utilizó </w:t>
      </w:r>
      <w:r w:rsidR="00E15F9C" w:rsidRPr="00826D62">
        <w:rPr>
          <w:rFonts w:ascii="Arial" w:hAnsi="Arial" w:cs="Arial"/>
          <w:sz w:val="22"/>
          <w:szCs w:val="22"/>
          <w:lang w:val="es-ES_tradnl"/>
        </w:rPr>
        <w:t xml:space="preserve">un aumento </w:t>
      </w:r>
      <w:r w:rsidR="0088322A" w:rsidRPr="00826D62">
        <w:rPr>
          <w:rFonts w:ascii="Arial" w:hAnsi="Arial" w:cs="Arial"/>
          <w:sz w:val="22"/>
          <w:szCs w:val="22"/>
          <w:lang w:val="es-ES_tradnl"/>
        </w:rPr>
        <w:t xml:space="preserve">medio </w:t>
      </w:r>
      <w:r w:rsidR="00E15F9C" w:rsidRPr="00826D62">
        <w:rPr>
          <w:rFonts w:ascii="Arial" w:hAnsi="Arial" w:cs="Arial"/>
          <w:sz w:val="22"/>
          <w:szCs w:val="22"/>
          <w:lang w:val="es-ES_tradnl"/>
        </w:rPr>
        <w:t>anual en la presión fiscal</w:t>
      </w:r>
      <w:r w:rsidRPr="00826D62">
        <w:rPr>
          <w:rFonts w:ascii="Arial" w:hAnsi="Arial" w:cs="Arial"/>
          <w:sz w:val="22"/>
          <w:szCs w:val="22"/>
          <w:lang w:val="es-ES_tradnl"/>
        </w:rPr>
        <w:t xml:space="preserve"> de 2% con la finalidad de eliminar otros efectos, no claramente identificables, que podrían tener indirectamente contribuido para el aumento de la recaudación de Ecuador. Utilizando una tasa de descuento de 12%, en un periodo de </w:t>
      </w:r>
      <w:r w:rsidR="002A16AD" w:rsidRPr="00826D62">
        <w:rPr>
          <w:rFonts w:ascii="Arial" w:hAnsi="Arial" w:cs="Arial"/>
          <w:sz w:val="22"/>
          <w:szCs w:val="22"/>
          <w:lang w:val="es-ES_tradnl"/>
        </w:rPr>
        <w:t xml:space="preserve">5 </w:t>
      </w:r>
      <w:r w:rsidRPr="00826D62">
        <w:rPr>
          <w:rFonts w:ascii="Arial" w:hAnsi="Arial" w:cs="Arial"/>
          <w:sz w:val="22"/>
          <w:szCs w:val="22"/>
          <w:lang w:val="es-ES_tradnl"/>
        </w:rPr>
        <w:t>años, al final de 201</w:t>
      </w:r>
      <w:r w:rsidR="00005D6F" w:rsidRPr="00826D62">
        <w:rPr>
          <w:rFonts w:ascii="Arial" w:hAnsi="Arial" w:cs="Arial"/>
          <w:sz w:val="22"/>
          <w:szCs w:val="22"/>
          <w:lang w:val="es-ES_tradnl"/>
        </w:rPr>
        <w:t>9</w:t>
      </w:r>
      <w:r w:rsidRPr="00826D62">
        <w:rPr>
          <w:rFonts w:ascii="Arial" w:hAnsi="Arial" w:cs="Arial"/>
          <w:sz w:val="22"/>
          <w:szCs w:val="22"/>
          <w:lang w:val="es-ES_tradnl"/>
        </w:rPr>
        <w:t xml:space="preserve"> se estima que el proyecto generará una Tasa Interna de Retorno (TIR) de </w:t>
      </w:r>
      <w:r w:rsidR="002A16AD" w:rsidRPr="00826D62">
        <w:rPr>
          <w:rFonts w:ascii="Arial" w:hAnsi="Arial" w:cs="Arial"/>
          <w:sz w:val="22"/>
          <w:szCs w:val="22"/>
          <w:lang w:val="es-ES_tradnl"/>
        </w:rPr>
        <w:t>117</w:t>
      </w:r>
      <w:r w:rsidRPr="00826D62">
        <w:rPr>
          <w:rFonts w:ascii="Arial" w:hAnsi="Arial" w:cs="Arial"/>
          <w:sz w:val="22"/>
          <w:szCs w:val="22"/>
          <w:lang w:val="es-ES_tradnl"/>
        </w:rPr>
        <w:t>%, con un Valor Presente Neto (VPN) de US$</w:t>
      </w:r>
      <w:r w:rsidR="002A16AD" w:rsidRPr="00826D62">
        <w:rPr>
          <w:rFonts w:ascii="Arial" w:hAnsi="Arial" w:cs="Arial"/>
          <w:sz w:val="22"/>
          <w:szCs w:val="22"/>
          <w:lang w:val="es-ES_tradnl"/>
        </w:rPr>
        <w:t>124,1</w:t>
      </w:r>
      <w:r w:rsidRPr="00826D62">
        <w:rPr>
          <w:rFonts w:ascii="Arial" w:hAnsi="Arial" w:cs="Arial"/>
          <w:sz w:val="22"/>
          <w:szCs w:val="22"/>
          <w:lang w:val="es-ES_tradnl"/>
        </w:rPr>
        <w:t xml:space="preserve"> millones. Este aumento de la recaudación tributaria es compatible con las metas acordadas entre el Gobierno de Ecuador y el </w:t>
      </w:r>
      <w:r w:rsidR="00F922CC" w:rsidRPr="00826D62">
        <w:rPr>
          <w:rFonts w:ascii="Arial" w:hAnsi="Arial" w:cs="Arial"/>
          <w:i/>
          <w:sz w:val="22"/>
          <w:szCs w:val="22"/>
          <w:lang w:val="es-ES_tradnl"/>
        </w:rPr>
        <w:t>S</w:t>
      </w:r>
      <w:r w:rsidRPr="00826D62">
        <w:rPr>
          <w:rFonts w:ascii="Arial" w:hAnsi="Arial" w:cs="Arial"/>
          <w:i/>
          <w:sz w:val="22"/>
          <w:szCs w:val="22"/>
          <w:lang w:val="es-ES_tradnl"/>
        </w:rPr>
        <w:t>tand</w:t>
      </w:r>
      <w:r w:rsidR="00F922CC" w:rsidRPr="00826D62">
        <w:rPr>
          <w:rFonts w:ascii="Arial" w:hAnsi="Arial" w:cs="Arial"/>
          <w:i/>
          <w:sz w:val="22"/>
          <w:szCs w:val="22"/>
          <w:lang w:val="es-ES_tradnl"/>
        </w:rPr>
        <w:t>-</w:t>
      </w:r>
      <w:r w:rsidRPr="00826D62">
        <w:rPr>
          <w:rFonts w:ascii="Arial" w:hAnsi="Arial" w:cs="Arial"/>
          <w:i/>
          <w:sz w:val="22"/>
          <w:szCs w:val="22"/>
          <w:lang w:val="es-ES_tradnl"/>
        </w:rPr>
        <w:t>by</w:t>
      </w:r>
      <w:r w:rsidRPr="00826D62">
        <w:rPr>
          <w:rFonts w:ascii="Arial" w:hAnsi="Arial" w:cs="Arial"/>
          <w:sz w:val="22"/>
          <w:szCs w:val="22"/>
          <w:lang w:val="es-ES_tradnl"/>
        </w:rPr>
        <w:t xml:space="preserve"> con el Fondo Monetario Internacional.</w:t>
      </w:r>
    </w:p>
    <w:bookmarkEnd w:id="1"/>
    <w:bookmarkEnd w:id="2"/>
    <w:p w:rsidR="00D26286" w:rsidRPr="00826D62" w:rsidRDefault="00BB5027" w:rsidP="00005D6F">
      <w:pPr>
        <w:pStyle w:val="Paragraph"/>
        <w:numPr>
          <w:ilvl w:val="0"/>
          <w:numId w:val="0"/>
        </w:numPr>
        <w:ind w:left="90"/>
        <w:rPr>
          <w:rFonts w:ascii="Arial" w:hAnsi="Arial" w:cs="Arial"/>
        </w:rPr>
      </w:pPr>
      <w:r w:rsidRPr="00826D62">
        <w:rPr>
          <w:rFonts w:ascii="Arial" w:hAnsi="Arial" w:cs="Arial"/>
          <w:noProof/>
          <w:lang w:val="en-US"/>
        </w:rPr>
        <w:drawing>
          <wp:inline distT="0" distB="0" distL="0" distR="0" wp14:anchorId="1001AF3A" wp14:editId="2BABF97F">
            <wp:extent cx="5943600" cy="2072244"/>
            <wp:effectExtent l="0" t="0" r="0" b="4445"/>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072244"/>
                    </a:xfrm>
                    <a:prstGeom prst="rect">
                      <a:avLst/>
                    </a:prstGeom>
                    <a:noFill/>
                    <a:ln>
                      <a:noFill/>
                    </a:ln>
                  </pic:spPr>
                </pic:pic>
              </a:graphicData>
            </a:graphic>
          </wp:inline>
        </w:drawing>
      </w:r>
    </w:p>
    <w:p w:rsidR="003E5FE6" w:rsidRPr="00826D62" w:rsidRDefault="003E5FE6" w:rsidP="00826D62">
      <w:pPr>
        <w:pStyle w:val="Paragraph"/>
        <w:numPr>
          <w:ilvl w:val="1"/>
          <w:numId w:val="50"/>
        </w:numPr>
        <w:ind w:left="720" w:hanging="720"/>
        <w:rPr>
          <w:rFonts w:ascii="Arial" w:hAnsi="Arial" w:cs="Arial"/>
          <w:sz w:val="22"/>
          <w:szCs w:val="22"/>
        </w:rPr>
      </w:pPr>
      <w:r w:rsidRPr="00826D62">
        <w:rPr>
          <w:rFonts w:ascii="Arial" w:hAnsi="Arial" w:cs="Arial"/>
          <w:b/>
          <w:sz w:val="22"/>
          <w:szCs w:val="22"/>
          <w:lang w:val="es-ES_tradnl"/>
        </w:rPr>
        <w:t xml:space="preserve">Paso 5: Análisis de </w:t>
      </w:r>
      <w:r w:rsidRPr="00826D62">
        <w:rPr>
          <w:rFonts w:ascii="Arial" w:hAnsi="Arial" w:cs="Arial"/>
          <w:b/>
          <w:sz w:val="22"/>
          <w:szCs w:val="22"/>
        </w:rPr>
        <w:t>Sensibilidad</w:t>
      </w:r>
      <w:r w:rsidR="00443731" w:rsidRPr="00826D62">
        <w:rPr>
          <w:rFonts w:ascii="Arial" w:hAnsi="Arial" w:cs="Arial"/>
          <w:b/>
          <w:sz w:val="22"/>
          <w:szCs w:val="22"/>
          <w:lang w:val="es-ES_tradnl"/>
        </w:rPr>
        <w:t xml:space="preserve">. </w:t>
      </w:r>
      <w:r w:rsidR="00443731" w:rsidRPr="00826D62">
        <w:rPr>
          <w:rFonts w:ascii="Arial" w:hAnsi="Arial" w:cs="Arial"/>
          <w:sz w:val="22"/>
          <w:szCs w:val="22"/>
          <w:lang w:val="es-ES_tradnl"/>
        </w:rPr>
        <w:t xml:space="preserve">Tres </w:t>
      </w:r>
      <w:r w:rsidR="00C64AA1" w:rsidRPr="00826D62">
        <w:rPr>
          <w:rFonts w:ascii="Arial" w:hAnsi="Arial" w:cs="Arial"/>
          <w:sz w:val="22"/>
          <w:szCs w:val="22"/>
          <w:lang w:val="es-ES_tradnl"/>
        </w:rPr>
        <w:t>escenarios</w:t>
      </w:r>
      <w:r w:rsidR="00443731" w:rsidRPr="00826D62">
        <w:rPr>
          <w:rFonts w:ascii="Arial" w:hAnsi="Arial" w:cs="Arial"/>
          <w:sz w:val="22"/>
          <w:szCs w:val="22"/>
          <w:lang w:val="es-ES_tradnl"/>
        </w:rPr>
        <w:t xml:space="preserve"> son llevados en consideración: </w:t>
      </w:r>
      <w:r w:rsidR="00C64AA1" w:rsidRPr="00826D62">
        <w:rPr>
          <w:rFonts w:ascii="Arial" w:hAnsi="Arial" w:cs="Arial"/>
          <w:sz w:val="22"/>
          <w:szCs w:val="22"/>
        </w:rPr>
        <w:t>(i</w:t>
      </w:r>
      <w:r w:rsidR="00443731" w:rsidRPr="00826D62">
        <w:rPr>
          <w:rFonts w:ascii="Arial" w:hAnsi="Arial" w:cs="Arial"/>
          <w:sz w:val="22"/>
          <w:szCs w:val="22"/>
        </w:rPr>
        <w:t xml:space="preserve">) Debido a retrasos en la selección y contratación del personal de Rentas Interna y Aduanas, el beneficio de Programa se posterga de un año; </w:t>
      </w:r>
      <w:r w:rsidR="00C64AA1" w:rsidRPr="00826D62">
        <w:rPr>
          <w:rFonts w:ascii="Arial" w:hAnsi="Arial" w:cs="Arial"/>
          <w:sz w:val="22"/>
          <w:szCs w:val="22"/>
        </w:rPr>
        <w:t>(ii) Debido a la rápida valorización del dólar en el escenario mundial, con la recuperación de la economía de USA, ocurre una desvalorización de las Lempiras en relación a la moneda Estadunidense</w:t>
      </w:r>
      <w:r w:rsidR="00052B3E">
        <w:rPr>
          <w:rFonts w:ascii="Arial" w:hAnsi="Arial" w:cs="Arial"/>
          <w:sz w:val="22"/>
          <w:szCs w:val="22"/>
        </w:rPr>
        <w:t>;</w:t>
      </w:r>
      <w:r w:rsidR="00C64AA1" w:rsidRPr="00826D62">
        <w:rPr>
          <w:rFonts w:ascii="Arial" w:hAnsi="Arial" w:cs="Arial"/>
          <w:sz w:val="22"/>
          <w:szCs w:val="22"/>
        </w:rPr>
        <w:t xml:space="preserve"> </w:t>
      </w:r>
      <w:r w:rsidR="00443731" w:rsidRPr="00826D62">
        <w:rPr>
          <w:rFonts w:ascii="Arial" w:hAnsi="Arial" w:cs="Arial"/>
          <w:sz w:val="22"/>
          <w:szCs w:val="22"/>
        </w:rPr>
        <w:t>y (iii) Ocurrencia de los dos escenarios anteriores.</w:t>
      </w:r>
    </w:p>
    <w:tbl>
      <w:tblPr>
        <w:tblStyle w:val="TableGrid"/>
        <w:tblW w:w="10238" w:type="dxa"/>
        <w:tblInd w:w="-162" w:type="dxa"/>
        <w:tblLook w:val="04A0" w:firstRow="1" w:lastRow="0" w:firstColumn="1" w:lastColumn="0" w:noHBand="0" w:noVBand="1"/>
      </w:tblPr>
      <w:tblGrid>
        <w:gridCol w:w="2160"/>
        <w:gridCol w:w="1991"/>
        <w:gridCol w:w="2160"/>
        <w:gridCol w:w="2160"/>
        <w:gridCol w:w="1767"/>
      </w:tblGrid>
      <w:tr w:rsidR="003E5FE6" w:rsidRPr="00826D62" w:rsidTr="003E5FE6">
        <w:tc>
          <w:tcPr>
            <w:tcW w:w="10238" w:type="dxa"/>
            <w:gridSpan w:val="5"/>
            <w:shd w:val="clear" w:color="auto" w:fill="D9D9D9" w:themeFill="background1" w:themeFillShade="D9"/>
          </w:tcPr>
          <w:p w:rsidR="003E5FE6" w:rsidRPr="00826D62" w:rsidRDefault="006B324D" w:rsidP="003E5FE6">
            <w:pPr>
              <w:jc w:val="center"/>
              <w:rPr>
                <w:rFonts w:ascii="Arial" w:hAnsi="Arial" w:cs="Arial"/>
                <w:b/>
                <w:sz w:val="20"/>
                <w:szCs w:val="20"/>
              </w:rPr>
            </w:pPr>
            <w:r w:rsidRPr="00826D62">
              <w:rPr>
                <w:rFonts w:ascii="Arial" w:hAnsi="Arial" w:cs="Arial"/>
                <w:b/>
                <w:sz w:val="20"/>
                <w:szCs w:val="20"/>
              </w:rPr>
              <w:t xml:space="preserve">Cuadro </w:t>
            </w:r>
            <w:r w:rsidR="0088322A" w:rsidRPr="00826D62">
              <w:rPr>
                <w:rFonts w:ascii="Arial" w:hAnsi="Arial" w:cs="Arial"/>
                <w:b/>
                <w:sz w:val="20"/>
                <w:szCs w:val="20"/>
              </w:rPr>
              <w:t>7</w:t>
            </w:r>
            <w:r w:rsidRPr="00826D62">
              <w:rPr>
                <w:rFonts w:ascii="Arial" w:hAnsi="Arial" w:cs="Arial"/>
                <w:b/>
                <w:sz w:val="20"/>
                <w:szCs w:val="20"/>
              </w:rPr>
              <w:t xml:space="preserve"> - </w:t>
            </w:r>
            <w:r w:rsidR="003E5FE6" w:rsidRPr="00826D62">
              <w:rPr>
                <w:rFonts w:ascii="Arial" w:hAnsi="Arial" w:cs="Arial"/>
                <w:b/>
                <w:sz w:val="20"/>
                <w:szCs w:val="20"/>
              </w:rPr>
              <w:t>Análisis de Sensibilidad</w:t>
            </w:r>
          </w:p>
        </w:tc>
      </w:tr>
      <w:tr w:rsidR="003E5FE6" w:rsidRPr="00826D62" w:rsidTr="003E5FE6">
        <w:tc>
          <w:tcPr>
            <w:tcW w:w="2160" w:type="dxa"/>
            <w:shd w:val="clear" w:color="auto" w:fill="D9D9D9" w:themeFill="background1" w:themeFillShade="D9"/>
          </w:tcPr>
          <w:p w:rsidR="003E5FE6" w:rsidRPr="00826D62" w:rsidRDefault="003E5FE6" w:rsidP="003E5FE6">
            <w:pPr>
              <w:jc w:val="center"/>
              <w:rPr>
                <w:rFonts w:ascii="Arial" w:hAnsi="Arial" w:cs="Arial"/>
                <w:b/>
                <w:sz w:val="20"/>
                <w:szCs w:val="20"/>
              </w:rPr>
            </w:pPr>
            <w:r w:rsidRPr="00826D62">
              <w:rPr>
                <w:rFonts w:ascii="Arial" w:hAnsi="Arial" w:cs="Arial"/>
                <w:b/>
                <w:sz w:val="20"/>
                <w:szCs w:val="20"/>
              </w:rPr>
              <w:t>Escenarios</w:t>
            </w:r>
          </w:p>
        </w:tc>
        <w:tc>
          <w:tcPr>
            <w:tcW w:w="1991" w:type="dxa"/>
            <w:shd w:val="clear" w:color="auto" w:fill="D9D9D9" w:themeFill="background1" w:themeFillShade="D9"/>
          </w:tcPr>
          <w:p w:rsidR="003E5FE6" w:rsidRPr="00826D62" w:rsidRDefault="003E5FE6" w:rsidP="003E5FE6">
            <w:pPr>
              <w:jc w:val="center"/>
              <w:rPr>
                <w:rFonts w:ascii="Arial" w:hAnsi="Arial" w:cs="Arial"/>
                <w:b/>
                <w:sz w:val="20"/>
                <w:szCs w:val="20"/>
              </w:rPr>
            </w:pPr>
            <w:r w:rsidRPr="00826D62">
              <w:rPr>
                <w:rFonts w:ascii="Arial" w:hAnsi="Arial" w:cs="Arial"/>
                <w:b/>
                <w:sz w:val="20"/>
                <w:szCs w:val="20"/>
              </w:rPr>
              <w:t>Base</w:t>
            </w:r>
          </w:p>
        </w:tc>
        <w:tc>
          <w:tcPr>
            <w:tcW w:w="2160" w:type="dxa"/>
            <w:shd w:val="clear" w:color="auto" w:fill="D9D9D9" w:themeFill="background1" w:themeFillShade="D9"/>
          </w:tcPr>
          <w:p w:rsidR="003E5FE6" w:rsidRPr="00826D62" w:rsidRDefault="003E5FE6" w:rsidP="003E5FE6">
            <w:pPr>
              <w:jc w:val="center"/>
              <w:rPr>
                <w:rFonts w:ascii="Arial" w:hAnsi="Arial" w:cs="Arial"/>
                <w:b/>
                <w:sz w:val="20"/>
                <w:szCs w:val="20"/>
              </w:rPr>
            </w:pPr>
            <w:r w:rsidRPr="00826D62">
              <w:rPr>
                <w:rFonts w:ascii="Arial" w:hAnsi="Arial" w:cs="Arial"/>
                <w:b/>
                <w:sz w:val="20"/>
                <w:szCs w:val="20"/>
              </w:rPr>
              <w:t>Sensibilidad 1</w:t>
            </w:r>
          </w:p>
        </w:tc>
        <w:tc>
          <w:tcPr>
            <w:tcW w:w="2160" w:type="dxa"/>
            <w:shd w:val="clear" w:color="auto" w:fill="D9D9D9" w:themeFill="background1" w:themeFillShade="D9"/>
          </w:tcPr>
          <w:p w:rsidR="003E5FE6" w:rsidRPr="00826D62" w:rsidRDefault="003E5FE6" w:rsidP="003E5FE6">
            <w:pPr>
              <w:jc w:val="center"/>
              <w:rPr>
                <w:rFonts w:ascii="Arial" w:hAnsi="Arial" w:cs="Arial"/>
                <w:b/>
                <w:sz w:val="20"/>
                <w:szCs w:val="20"/>
              </w:rPr>
            </w:pPr>
            <w:r w:rsidRPr="00826D62">
              <w:rPr>
                <w:rFonts w:ascii="Arial" w:hAnsi="Arial" w:cs="Arial"/>
                <w:b/>
                <w:sz w:val="20"/>
                <w:szCs w:val="20"/>
              </w:rPr>
              <w:t>Sensibilidad 2</w:t>
            </w:r>
          </w:p>
        </w:tc>
        <w:tc>
          <w:tcPr>
            <w:tcW w:w="1767" w:type="dxa"/>
            <w:shd w:val="clear" w:color="auto" w:fill="D9D9D9" w:themeFill="background1" w:themeFillShade="D9"/>
          </w:tcPr>
          <w:p w:rsidR="003E5FE6" w:rsidRPr="00826D62" w:rsidRDefault="003E5FE6" w:rsidP="003E5FE6">
            <w:pPr>
              <w:jc w:val="center"/>
              <w:rPr>
                <w:rFonts w:ascii="Arial" w:hAnsi="Arial" w:cs="Arial"/>
                <w:b/>
                <w:sz w:val="20"/>
                <w:szCs w:val="20"/>
              </w:rPr>
            </w:pPr>
            <w:r w:rsidRPr="00826D62">
              <w:rPr>
                <w:rFonts w:ascii="Arial" w:hAnsi="Arial" w:cs="Arial"/>
                <w:b/>
                <w:sz w:val="20"/>
                <w:szCs w:val="20"/>
              </w:rPr>
              <w:t>Sensibilidad 3</w:t>
            </w:r>
          </w:p>
        </w:tc>
      </w:tr>
      <w:tr w:rsidR="003E5FE6" w:rsidRPr="00826D62" w:rsidTr="00443731">
        <w:tc>
          <w:tcPr>
            <w:tcW w:w="2160" w:type="dxa"/>
            <w:vAlign w:val="center"/>
          </w:tcPr>
          <w:p w:rsidR="003E5FE6" w:rsidRPr="00826D62" w:rsidRDefault="003E5FE6" w:rsidP="00443731">
            <w:pPr>
              <w:jc w:val="center"/>
              <w:rPr>
                <w:rFonts w:ascii="Arial" w:hAnsi="Arial" w:cs="Arial"/>
                <w:b/>
                <w:sz w:val="20"/>
                <w:szCs w:val="20"/>
              </w:rPr>
            </w:pPr>
            <w:r w:rsidRPr="00826D62">
              <w:rPr>
                <w:rFonts w:ascii="Arial" w:hAnsi="Arial" w:cs="Arial"/>
                <w:b/>
                <w:sz w:val="20"/>
                <w:szCs w:val="20"/>
              </w:rPr>
              <w:t>Descripción</w:t>
            </w:r>
          </w:p>
        </w:tc>
        <w:tc>
          <w:tcPr>
            <w:tcW w:w="1991" w:type="dxa"/>
          </w:tcPr>
          <w:p w:rsidR="003E5FE6" w:rsidRPr="00826D62" w:rsidRDefault="00443731" w:rsidP="003E5FE6">
            <w:pPr>
              <w:rPr>
                <w:rFonts w:ascii="Arial" w:hAnsi="Arial" w:cs="Arial"/>
                <w:sz w:val="20"/>
                <w:szCs w:val="20"/>
              </w:rPr>
            </w:pPr>
            <w:r w:rsidRPr="00826D62">
              <w:rPr>
                <w:rFonts w:ascii="Arial" w:hAnsi="Arial" w:cs="Arial"/>
                <w:sz w:val="20"/>
                <w:szCs w:val="20"/>
              </w:rPr>
              <w:t>Todas las condiciones se mantienen inalteradas</w:t>
            </w:r>
          </w:p>
        </w:tc>
        <w:tc>
          <w:tcPr>
            <w:tcW w:w="2160" w:type="dxa"/>
          </w:tcPr>
          <w:p w:rsidR="003E5FE6" w:rsidRPr="00826D62" w:rsidRDefault="003E5FE6" w:rsidP="00EE1FDE">
            <w:pPr>
              <w:rPr>
                <w:rFonts w:ascii="Arial" w:hAnsi="Arial" w:cs="Arial"/>
                <w:sz w:val="20"/>
                <w:szCs w:val="20"/>
              </w:rPr>
            </w:pPr>
            <w:r w:rsidRPr="00826D62">
              <w:rPr>
                <w:rFonts w:ascii="Arial" w:hAnsi="Arial" w:cs="Arial"/>
                <w:sz w:val="20"/>
                <w:szCs w:val="20"/>
              </w:rPr>
              <w:t xml:space="preserve">Debido a </w:t>
            </w:r>
            <w:r w:rsidR="00EE1FDE" w:rsidRPr="00826D62">
              <w:rPr>
                <w:rFonts w:ascii="Arial" w:hAnsi="Arial" w:cs="Arial"/>
                <w:sz w:val="20"/>
                <w:szCs w:val="20"/>
              </w:rPr>
              <w:t>retrasos</w:t>
            </w:r>
            <w:r w:rsidRPr="00826D62">
              <w:rPr>
                <w:rFonts w:ascii="Arial" w:hAnsi="Arial" w:cs="Arial"/>
                <w:sz w:val="20"/>
                <w:szCs w:val="20"/>
              </w:rPr>
              <w:t xml:space="preserve"> en la selección y contratación del person</w:t>
            </w:r>
            <w:r w:rsidR="00EE1FDE" w:rsidRPr="00826D62">
              <w:rPr>
                <w:rFonts w:ascii="Arial" w:hAnsi="Arial" w:cs="Arial"/>
                <w:sz w:val="20"/>
                <w:szCs w:val="20"/>
              </w:rPr>
              <w:t xml:space="preserve">al de Rentas Interna y Aduanas, </w:t>
            </w:r>
            <w:r w:rsidRPr="00826D62">
              <w:rPr>
                <w:rFonts w:ascii="Arial" w:hAnsi="Arial" w:cs="Arial"/>
                <w:sz w:val="20"/>
                <w:szCs w:val="20"/>
              </w:rPr>
              <w:t xml:space="preserve">el beneficio de </w:t>
            </w:r>
            <w:r w:rsidRPr="00826D62">
              <w:rPr>
                <w:rFonts w:ascii="Arial" w:hAnsi="Arial" w:cs="Arial"/>
                <w:sz w:val="20"/>
                <w:szCs w:val="20"/>
              </w:rPr>
              <w:lastRenderedPageBreak/>
              <w:t>Programa se posterga de un año</w:t>
            </w:r>
          </w:p>
        </w:tc>
        <w:tc>
          <w:tcPr>
            <w:tcW w:w="2160" w:type="dxa"/>
          </w:tcPr>
          <w:p w:rsidR="003E5FE6" w:rsidRPr="00826D62" w:rsidRDefault="00EE1FDE" w:rsidP="003E5FE6">
            <w:pPr>
              <w:rPr>
                <w:rFonts w:ascii="Arial" w:hAnsi="Arial" w:cs="Arial"/>
                <w:sz w:val="20"/>
                <w:szCs w:val="20"/>
              </w:rPr>
            </w:pPr>
            <w:r w:rsidRPr="00826D62">
              <w:rPr>
                <w:rFonts w:ascii="Arial" w:hAnsi="Arial" w:cs="Arial"/>
                <w:sz w:val="20"/>
                <w:szCs w:val="20"/>
              </w:rPr>
              <w:lastRenderedPageBreak/>
              <w:t xml:space="preserve">Debido a la rápida valorización del dólar en el escenario mundial, </w:t>
            </w:r>
            <w:r w:rsidR="00443731" w:rsidRPr="00826D62">
              <w:rPr>
                <w:rFonts w:ascii="Arial" w:hAnsi="Arial" w:cs="Arial"/>
                <w:sz w:val="20"/>
                <w:szCs w:val="20"/>
              </w:rPr>
              <w:t xml:space="preserve">con la recuperación de la economía de USA, </w:t>
            </w:r>
            <w:r w:rsidR="00443731" w:rsidRPr="00826D62">
              <w:rPr>
                <w:rFonts w:ascii="Arial" w:hAnsi="Arial" w:cs="Arial"/>
                <w:sz w:val="20"/>
                <w:szCs w:val="20"/>
              </w:rPr>
              <w:lastRenderedPageBreak/>
              <w:t>ocurre una desvalorización de las Lempiras en relación a la moneda Estadunidense</w:t>
            </w:r>
          </w:p>
        </w:tc>
        <w:tc>
          <w:tcPr>
            <w:tcW w:w="1767" w:type="dxa"/>
          </w:tcPr>
          <w:p w:rsidR="003E5FE6" w:rsidRPr="00826D62" w:rsidRDefault="00443731" w:rsidP="003E5FE6">
            <w:pPr>
              <w:rPr>
                <w:rFonts w:ascii="Arial" w:hAnsi="Arial" w:cs="Arial"/>
                <w:sz w:val="20"/>
                <w:szCs w:val="20"/>
              </w:rPr>
            </w:pPr>
            <w:r w:rsidRPr="00826D62">
              <w:rPr>
                <w:rFonts w:ascii="Arial" w:hAnsi="Arial" w:cs="Arial"/>
                <w:sz w:val="20"/>
                <w:szCs w:val="20"/>
              </w:rPr>
              <w:lastRenderedPageBreak/>
              <w:t>Ocurrencia de los dos escenarios anteriores</w:t>
            </w:r>
          </w:p>
        </w:tc>
      </w:tr>
      <w:tr w:rsidR="003E5FE6" w:rsidRPr="00826D62" w:rsidTr="003E5FE6">
        <w:tc>
          <w:tcPr>
            <w:tcW w:w="2160" w:type="dxa"/>
          </w:tcPr>
          <w:p w:rsidR="003E5FE6" w:rsidRPr="00826D62" w:rsidRDefault="003E5FE6" w:rsidP="003E5FE6">
            <w:pPr>
              <w:rPr>
                <w:rFonts w:ascii="Arial" w:hAnsi="Arial" w:cs="Arial"/>
                <w:b/>
                <w:sz w:val="20"/>
                <w:szCs w:val="20"/>
              </w:rPr>
            </w:pPr>
            <w:r w:rsidRPr="00826D62">
              <w:rPr>
                <w:rFonts w:ascii="Arial" w:hAnsi="Arial" w:cs="Arial"/>
                <w:b/>
                <w:sz w:val="20"/>
                <w:szCs w:val="20"/>
              </w:rPr>
              <w:lastRenderedPageBreak/>
              <w:t>VPN (Millones US$)</w:t>
            </w:r>
          </w:p>
        </w:tc>
        <w:tc>
          <w:tcPr>
            <w:tcW w:w="1991" w:type="dxa"/>
          </w:tcPr>
          <w:p w:rsidR="003E5FE6" w:rsidRPr="00826D62" w:rsidRDefault="00CE5528" w:rsidP="003E5FE6">
            <w:pPr>
              <w:jc w:val="center"/>
              <w:rPr>
                <w:rFonts w:ascii="Arial" w:hAnsi="Arial" w:cs="Arial"/>
                <w:sz w:val="20"/>
                <w:szCs w:val="20"/>
              </w:rPr>
            </w:pPr>
            <w:r w:rsidRPr="00826D62">
              <w:rPr>
                <w:rFonts w:ascii="Arial" w:hAnsi="Arial" w:cs="Arial"/>
                <w:sz w:val="20"/>
                <w:szCs w:val="20"/>
              </w:rPr>
              <w:t>124.1</w:t>
            </w:r>
          </w:p>
        </w:tc>
        <w:tc>
          <w:tcPr>
            <w:tcW w:w="2160" w:type="dxa"/>
          </w:tcPr>
          <w:p w:rsidR="003E5FE6" w:rsidRPr="00826D62" w:rsidRDefault="00A811B6" w:rsidP="003E5FE6">
            <w:pPr>
              <w:jc w:val="center"/>
              <w:rPr>
                <w:rFonts w:ascii="Arial" w:hAnsi="Arial" w:cs="Arial"/>
                <w:sz w:val="20"/>
                <w:szCs w:val="20"/>
              </w:rPr>
            </w:pPr>
            <w:r w:rsidRPr="00826D62">
              <w:rPr>
                <w:rFonts w:ascii="Arial" w:hAnsi="Arial" w:cs="Arial"/>
                <w:sz w:val="20"/>
                <w:szCs w:val="20"/>
              </w:rPr>
              <w:t>52.8</w:t>
            </w:r>
          </w:p>
        </w:tc>
        <w:tc>
          <w:tcPr>
            <w:tcW w:w="2160" w:type="dxa"/>
          </w:tcPr>
          <w:p w:rsidR="003E5FE6" w:rsidRPr="00826D62" w:rsidRDefault="001F574D" w:rsidP="003E5FE6">
            <w:pPr>
              <w:jc w:val="center"/>
              <w:rPr>
                <w:rFonts w:ascii="Arial" w:hAnsi="Arial" w:cs="Arial"/>
                <w:sz w:val="20"/>
                <w:szCs w:val="20"/>
              </w:rPr>
            </w:pPr>
            <w:r w:rsidRPr="00826D62">
              <w:rPr>
                <w:rFonts w:ascii="Arial" w:hAnsi="Arial" w:cs="Arial"/>
                <w:sz w:val="20"/>
                <w:szCs w:val="20"/>
              </w:rPr>
              <w:t>97.5</w:t>
            </w:r>
          </w:p>
        </w:tc>
        <w:tc>
          <w:tcPr>
            <w:tcW w:w="1767" w:type="dxa"/>
          </w:tcPr>
          <w:p w:rsidR="003E5FE6" w:rsidRPr="00826D62" w:rsidRDefault="001F574D" w:rsidP="003E5FE6">
            <w:pPr>
              <w:jc w:val="center"/>
              <w:rPr>
                <w:rFonts w:ascii="Arial" w:hAnsi="Arial" w:cs="Arial"/>
                <w:sz w:val="20"/>
                <w:szCs w:val="20"/>
              </w:rPr>
            </w:pPr>
            <w:r w:rsidRPr="00826D62">
              <w:rPr>
                <w:rFonts w:ascii="Arial" w:hAnsi="Arial" w:cs="Arial"/>
                <w:sz w:val="20"/>
                <w:szCs w:val="20"/>
              </w:rPr>
              <w:t>40.9</w:t>
            </w:r>
          </w:p>
        </w:tc>
      </w:tr>
      <w:tr w:rsidR="003E5FE6" w:rsidRPr="00826D62" w:rsidTr="003E5FE6">
        <w:tc>
          <w:tcPr>
            <w:tcW w:w="2160" w:type="dxa"/>
          </w:tcPr>
          <w:p w:rsidR="003E5FE6" w:rsidRPr="00826D62" w:rsidRDefault="003E5FE6" w:rsidP="003E5FE6">
            <w:pPr>
              <w:rPr>
                <w:rFonts w:ascii="Arial" w:hAnsi="Arial" w:cs="Arial"/>
                <w:b/>
                <w:sz w:val="20"/>
                <w:szCs w:val="20"/>
              </w:rPr>
            </w:pPr>
            <w:r w:rsidRPr="00826D62">
              <w:rPr>
                <w:rFonts w:ascii="Arial" w:hAnsi="Arial" w:cs="Arial"/>
                <w:b/>
                <w:sz w:val="20"/>
                <w:szCs w:val="20"/>
              </w:rPr>
              <w:t>TIR (%)</w:t>
            </w:r>
          </w:p>
        </w:tc>
        <w:tc>
          <w:tcPr>
            <w:tcW w:w="1991" w:type="dxa"/>
          </w:tcPr>
          <w:p w:rsidR="003E5FE6" w:rsidRPr="00826D62" w:rsidRDefault="00CE5528" w:rsidP="003E5FE6">
            <w:pPr>
              <w:jc w:val="center"/>
              <w:rPr>
                <w:rFonts w:ascii="Arial" w:hAnsi="Arial" w:cs="Arial"/>
                <w:sz w:val="20"/>
                <w:szCs w:val="20"/>
              </w:rPr>
            </w:pPr>
            <w:r w:rsidRPr="00826D62">
              <w:rPr>
                <w:rFonts w:ascii="Arial" w:hAnsi="Arial" w:cs="Arial"/>
                <w:sz w:val="20"/>
                <w:szCs w:val="20"/>
              </w:rPr>
              <w:t>117</w:t>
            </w:r>
          </w:p>
        </w:tc>
        <w:tc>
          <w:tcPr>
            <w:tcW w:w="2160" w:type="dxa"/>
          </w:tcPr>
          <w:p w:rsidR="003E5FE6" w:rsidRPr="00826D62" w:rsidRDefault="00A811B6" w:rsidP="003E5FE6">
            <w:pPr>
              <w:jc w:val="center"/>
              <w:rPr>
                <w:rFonts w:ascii="Arial" w:hAnsi="Arial" w:cs="Arial"/>
                <w:sz w:val="20"/>
                <w:szCs w:val="20"/>
              </w:rPr>
            </w:pPr>
            <w:r w:rsidRPr="00826D62">
              <w:rPr>
                <w:rFonts w:ascii="Arial" w:hAnsi="Arial" w:cs="Arial"/>
                <w:sz w:val="20"/>
                <w:szCs w:val="20"/>
              </w:rPr>
              <w:t>56</w:t>
            </w:r>
          </w:p>
        </w:tc>
        <w:tc>
          <w:tcPr>
            <w:tcW w:w="2160" w:type="dxa"/>
          </w:tcPr>
          <w:p w:rsidR="003E5FE6" w:rsidRPr="00826D62" w:rsidRDefault="001F574D" w:rsidP="003E5FE6">
            <w:pPr>
              <w:jc w:val="center"/>
              <w:rPr>
                <w:rFonts w:ascii="Arial" w:hAnsi="Arial" w:cs="Arial"/>
                <w:sz w:val="20"/>
                <w:szCs w:val="20"/>
              </w:rPr>
            </w:pPr>
            <w:r w:rsidRPr="00826D62">
              <w:rPr>
                <w:rFonts w:ascii="Arial" w:hAnsi="Arial" w:cs="Arial"/>
                <w:sz w:val="20"/>
                <w:szCs w:val="20"/>
              </w:rPr>
              <w:t>103</w:t>
            </w:r>
          </w:p>
        </w:tc>
        <w:tc>
          <w:tcPr>
            <w:tcW w:w="1767" w:type="dxa"/>
          </w:tcPr>
          <w:p w:rsidR="003E5FE6" w:rsidRPr="00826D62" w:rsidRDefault="001F574D" w:rsidP="003E5FE6">
            <w:pPr>
              <w:jc w:val="center"/>
              <w:rPr>
                <w:rFonts w:ascii="Arial" w:hAnsi="Arial" w:cs="Arial"/>
                <w:sz w:val="20"/>
                <w:szCs w:val="20"/>
              </w:rPr>
            </w:pPr>
            <w:r w:rsidRPr="00826D62">
              <w:rPr>
                <w:rFonts w:ascii="Arial" w:hAnsi="Arial" w:cs="Arial"/>
                <w:sz w:val="20"/>
                <w:szCs w:val="20"/>
              </w:rPr>
              <w:t>44</w:t>
            </w:r>
          </w:p>
        </w:tc>
      </w:tr>
    </w:tbl>
    <w:p w:rsidR="004B4229" w:rsidRPr="00826D62" w:rsidRDefault="004B4229" w:rsidP="003E5FE6">
      <w:pPr>
        <w:spacing w:after="0" w:line="240" w:lineRule="auto"/>
        <w:rPr>
          <w:rFonts w:ascii="Arial" w:hAnsi="Arial" w:cs="Arial"/>
          <w:b/>
          <w:sz w:val="20"/>
          <w:szCs w:val="20"/>
        </w:rPr>
      </w:pPr>
    </w:p>
    <w:p w:rsidR="00C64AA1" w:rsidRPr="00826D62" w:rsidRDefault="00C64AA1" w:rsidP="00C64AA1">
      <w:pPr>
        <w:spacing w:after="0" w:line="240" w:lineRule="auto"/>
        <w:jc w:val="center"/>
        <w:rPr>
          <w:rFonts w:ascii="Arial" w:hAnsi="Arial" w:cs="Arial"/>
          <w:b/>
          <w:sz w:val="24"/>
          <w:szCs w:val="24"/>
        </w:rPr>
      </w:pPr>
      <w:r w:rsidRPr="00826D62">
        <w:rPr>
          <w:rFonts w:ascii="Arial" w:hAnsi="Arial" w:cs="Arial"/>
          <w:b/>
          <w:sz w:val="24"/>
          <w:szCs w:val="24"/>
        </w:rPr>
        <w:t>Sensibilidad 1.</w:t>
      </w:r>
    </w:p>
    <w:p w:rsidR="00005D6F" w:rsidRPr="00826D62" w:rsidRDefault="00A811B6" w:rsidP="00826D62">
      <w:pPr>
        <w:spacing w:after="0" w:line="240" w:lineRule="auto"/>
        <w:ind w:left="-90"/>
        <w:jc w:val="center"/>
        <w:rPr>
          <w:rFonts w:ascii="Arial" w:hAnsi="Arial" w:cs="Arial"/>
          <w:b/>
          <w:sz w:val="24"/>
          <w:szCs w:val="24"/>
        </w:rPr>
      </w:pPr>
      <w:r w:rsidRPr="00826D62">
        <w:rPr>
          <w:rFonts w:ascii="Arial" w:hAnsi="Arial" w:cs="Arial"/>
          <w:noProof/>
          <w:lang w:val="en-US"/>
        </w:rPr>
        <w:drawing>
          <wp:inline distT="0" distB="0" distL="0" distR="0" wp14:anchorId="5F3B99E5" wp14:editId="0C8BDBAF">
            <wp:extent cx="5943600" cy="2298850"/>
            <wp:effectExtent l="0" t="0" r="0" b="635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298850"/>
                    </a:xfrm>
                    <a:prstGeom prst="rect">
                      <a:avLst/>
                    </a:prstGeom>
                    <a:noFill/>
                    <a:ln>
                      <a:noFill/>
                    </a:ln>
                  </pic:spPr>
                </pic:pic>
              </a:graphicData>
            </a:graphic>
          </wp:inline>
        </w:drawing>
      </w:r>
    </w:p>
    <w:p w:rsidR="00C64AA1" w:rsidRPr="00826D62" w:rsidRDefault="00C64AA1" w:rsidP="00826D62">
      <w:pPr>
        <w:spacing w:after="0" w:line="240" w:lineRule="auto"/>
        <w:ind w:left="-90"/>
        <w:jc w:val="center"/>
        <w:rPr>
          <w:rFonts w:ascii="Arial" w:hAnsi="Arial" w:cs="Arial"/>
          <w:b/>
          <w:sz w:val="24"/>
          <w:szCs w:val="24"/>
        </w:rPr>
      </w:pPr>
    </w:p>
    <w:p w:rsidR="00C64AA1" w:rsidRPr="00826D62" w:rsidRDefault="002A16AD">
      <w:pPr>
        <w:rPr>
          <w:rFonts w:ascii="Arial" w:hAnsi="Arial" w:cs="Arial"/>
          <w:b/>
          <w:sz w:val="24"/>
          <w:szCs w:val="24"/>
        </w:rPr>
      </w:pPr>
      <w:r w:rsidRPr="00826D62">
        <w:rPr>
          <w:rFonts w:ascii="Arial" w:hAnsi="Arial" w:cs="Arial"/>
          <w:noProof/>
          <w:lang w:val="en-US"/>
        </w:rPr>
        <w:drawing>
          <wp:inline distT="0" distB="0" distL="0" distR="0" wp14:anchorId="18693A6D" wp14:editId="17F319E1">
            <wp:extent cx="5937662" cy="4025735"/>
            <wp:effectExtent l="0" t="0" r="6350" b="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4029761"/>
                    </a:xfrm>
                    <a:prstGeom prst="rect">
                      <a:avLst/>
                    </a:prstGeom>
                    <a:noFill/>
                    <a:ln>
                      <a:noFill/>
                    </a:ln>
                  </pic:spPr>
                </pic:pic>
              </a:graphicData>
            </a:graphic>
          </wp:inline>
        </w:drawing>
      </w:r>
    </w:p>
    <w:p w:rsidR="00CE5528" w:rsidRPr="00826D62" w:rsidRDefault="00CE5528" w:rsidP="00C64AA1">
      <w:pPr>
        <w:spacing w:after="0" w:line="240" w:lineRule="auto"/>
        <w:jc w:val="center"/>
        <w:rPr>
          <w:rFonts w:ascii="Arial" w:hAnsi="Arial" w:cs="Arial"/>
          <w:b/>
          <w:sz w:val="24"/>
          <w:szCs w:val="24"/>
        </w:rPr>
      </w:pPr>
    </w:p>
    <w:p w:rsidR="00CE5528" w:rsidRPr="00826D62" w:rsidRDefault="00CE5528" w:rsidP="00C64AA1">
      <w:pPr>
        <w:spacing w:after="0" w:line="240" w:lineRule="auto"/>
        <w:jc w:val="center"/>
        <w:rPr>
          <w:rFonts w:ascii="Arial" w:hAnsi="Arial" w:cs="Arial"/>
          <w:b/>
          <w:sz w:val="24"/>
          <w:szCs w:val="24"/>
        </w:rPr>
      </w:pPr>
    </w:p>
    <w:p w:rsidR="00C64AA1" w:rsidRPr="00826D62" w:rsidRDefault="00C64AA1" w:rsidP="00C64AA1">
      <w:pPr>
        <w:spacing w:after="0" w:line="240" w:lineRule="auto"/>
        <w:jc w:val="center"/>
        <w:rPr>
          <w:rFonts w:ascii="Arial" w:hAnsi="Arial" w:cs="Arial"/>
          <w:b/>
          <w:sz w:val="24"/>
          <w:szCs w:val="24"/>
        </w:rPr>
      </w:pPr>
      <w:r w:rsidRPr="00826D62">
        <w:rPr>
          <w:rFonts w:ascii="Arial" w:hAnsi="Arial" w:cs="Arial"/>
          <w:b/>
          <w:sz w:val="24"/>
          <w:szCs w:val="24"/>
        </w:rPr>
        <w:t>Sensibilidad 2</w:t>
      </w:r>
    </w:p>
    <w:p w:rsidR="00C64AA1" w:rsidRPr="00826D62" w:rsidRDefault="001F574D" w:rsidP="00C64AA1">
      <w:pPr>
        <w:spacing w:after="0" w:line="240" w:lineRule="auto"/>
        <w:jc w:val="center"/>
        <w:rPr>
          <w:rFonts w:ascii="Arial" w:hAnsi="Arial" w:cs="Arial"/>
          <w:b/>
          <w:sz w:val="24"/>
          <w:szCs w:val="24"/>
        </w:rPr>
      </w:pPr>
      <w:r w:rsidRPr="00826D62">
        <w:rPr>
          <w:rFonts w:ascii="Arial" w:hAnsi="Arial" w:cs="Arial"/>
          <w:noProof/>
          <w:lang w:val="en-US"/>
        </w:rPr>
        <w:drawing>
          <wp:inline distT="0" distB="0" distL="0" distR="0" wp14:anchorId="39C17432" wp14:editId="4D93769C">
            <wp:extent cx="5943600" cy="2135803"/>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2135803"/>
                    </a:xfrm>
                    <a:prstGeom prst="rect">
                      <a:avLst/>
                    </a:prstGeom>
                    <a:noFill/>
                    <a:ln>
                      <a:noFill/>
                    </a:ln>
                  </pic:spPr>
                </pic:pic>
              </a:graphicData>
            </a:graphic>
          </wp:inline>
        </w:drawing>
      </w:r>
    </w:p>
    <w:p w:rsidR="00C64AA1" w:rsidRPr="00826D62" w:rsidRDefault="00C64AA1" w:rsidP="00005D6F">
      <w:pPr>
        <w:spacing w:after="0" w:line="240" w:lineRule="auto"/>
        <w:ind w:left="-270"/>
        <w:jc w:val="center"/>
        <w:rPr>
          <w:rFonts w:ascii="Arial" w:hAnsi="Arial" w:cs="Arial"/>
          <w:b/>
          <w:sz w:val="24"/>
          <w:szCs w:val="24"/>
        </w:rPr>
      </w:pPr>
    </w:p>
    <w:p w:rsidR="00D26286" w:rsidRPr="00826D62" w:rsidRDefault="00D26286" w:rsidP="00C64AA1">
      <w:pPr>
        <w:spacing w:after="0" w:line="240" w:lineRule="auto"/>
        <w:ind w:left="-810"/>
        <w:jc w:val="center"/>
        <w:rPr>
          <w:rFonts w:ascii="Arial" w:hAnsi="Arial" w:cs="Arial"/>
          <w:b/>
          <w:sz w:val="24"/>
          <w:szCs w:val="24"/>
        </w:rPr>
      </w:pPr>
    </w:p>
    <w:p w:rsidR="00D26286" w:rsidRPr="00826D62" w:rsidRDefault="00CE5528" w:rsidP="00005D6F">
      <w:pPr>
        <w:spacing w:after="0" w:line="240" w:lineRule="auto"/>
        <w:ind w:left="-360"/>
        <w:jc w:val="center"/>
        <w:rPr>
          <w:rFonts w:ascii="Arial" w:hAnsi="Arial" w:cs="Arial"/>
          <w:b/>
          <w:sz w:val="24"/>
          <w:szCs w:val="24"/>
        </w:rPr>
      </w:pPr>
      <w:r w:rsidRPr="00826D62">
        <w:rPr>
          <w:rFonts w:ascii="Arial" w:hAnsi="Arial" w:cs="Arial"/>
          <w:noProof/>
          <w:lang w:val="en-US"/>
        </w:rPr>
        <w:drawing>
          <wp:inline distT="0" distB="0" distL="0" distR="0" wp14:anchorId="09A4F79D" wp14:editId="18BBF6F0">
            <wp:extent cx="5943600" cy="4383725"/>
            <wp:effectExtent l="0" t="0" r="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4383725"/>
                    </a:xfrm>
                    <a:prstGeom prst="rect">
                      <a:avLst/>
                    </a:prstGeom>
                    <a:noFill/>
                    <a:ln>
                      <a:noFill/>
                    </a:ln>
                  </pic:spPr>
                </pic:pic>
              </a:graphicData>
            </a:graphic>
          </wp:inline>
        </w:drawing>
      </w:r>
    </w:p>
    <w:p w:rsidR="00D26286" w:rsidRPr="00826D62" w:rsidRDefault="00D26286" w:rsidP="00D26286">
      <w:pPr>
        <w:spacing w:after="0" w:line="240" w:lineRule="auto"/>
        <w:ind w:left="-90"/>
        <w:jc w:val="center"/>
        <w:rPr>
          <w:rFonts w:ascii="Arial" w:hAnsi="Arial" w:cs="Arial"/>
          <w:b/>
          <w:sz w:val="24"/>
          <w:szCs w:val="24"/>
        </w:rPr>
      </w:pPr>
    </w:p>
    <w:p w:rsidR="00D26286" w:rsidRPr="00826D62" w:rsidRDefault="00D26286" w:rsidP="00D26286">
      <w:pPr>
        <w:spacing w:after="0" w:line="240" w:lineRule="auto"/>
        <w:ind w:left="-90"/>
        <w:jc w:val="center"/>
        <w:rPr>
          <w:rFonts w:ascii="Arial" w:hAnsi="Arial" w:cs="Arial"/>
          <w:b/>
          <w:sz w:val="24"/>
          <w:szCs w:val="24"/>
        </w:rPr>
      </w:pPr>
    </w:p>
    <w:p w:rsidR="00D26286" w:rsidRPr="00826D62" w:rsidRDefault="00D26286">
      <w:pPr>
        <w:rPr>
          <w:rFonts w:ascii="Arial" w:hAnsi="Arial" w:cs="Arial"/>
          <w:b/>
          <w:sz w:val="24"/>
          <w:szCs w:val="24"/>
        </w:rPr>
      </w:pPr>
      <w:r w:rsidRPr="00826D62">
        <w:rPr>
          <w:rFonts w:ascii="Arial" w:hAnsi="Arial" w:cs="Arial"/>
          <w:b/>
          <w:sz w:val="24"/>
          <w:szCs w:val="24"/>
        </w:rPr>
        <w:br w:type="page"/>
      </w:r>
    </w:p>
    <w:p w:rsidR="00D26286" w:rsidRPr="00826D62" w:rsidRDefault="00D26286" w:rsidP="00D26286">
      <w:pPr>
        <w:spacing w:after="0" w:line="240" w:lineRule="auto"/>
        <w:ind w:left="-90"/>
        <w:jc w:val="center"/>
        <w:rPr>
          <w:rFonts w:ascii="Arial" w:hAnsi="Arial" w:cs="Arial"/>
          <w:b/>
          <w:sz w:val="24"/>
          <w:szCs w:val="24"/>
        </w:rPr>
      </w:pPr>
      <w:r w:rsidRPr="00826D62">
        <w:rPr>
          <w:rFonts w:ascii="Arial" w:hAnsi="Arial" w:cs="Arial"/>
          <w:b/>
          <w:sz w:val="24"/>
          <w:szCs w:val="24"/>
        </w:rPr>
        <w:lastRenderedPageBreak/>
        <w:t>Sensibilidad 3</w:t>
      </w:r>
    </w:p>
    <w:p w:rsidR="00D26286" w:rsidRPr="00826D62" w:rsidRDefault="00D26286" w:rsidP="00D26286">
      <w:pPr>
        <w:spacing w:after="0" w:line="240" w:lineRule="auto"/>
        <w:ind w:left="-90"/>
        <w:jc w:val="center"/>
        <w:rPr>
          <w:rFonts w:ascii="Arial" w:hAnsi="Arial" w:cs="Arial"/>
          <w:b/>
          <w:sz w:val="24"/>
          <w:szCs w:val="24"/>
        </w:rPr>
      </w:pPr>
    </w:p>
    <w:p w:rsidR="00D26286" w:rsidRPr="00826D62" w:rsidRDefault="003C0EA5" w:rsidP="00826D62">
      <w:pPr>
        <w:spacing w:after="0" w:line="240" w:lineRule="auto"/>
        <w:ind w:left="-90"/>
        <w:jc w:val="center"/>
        <w:rPr>
          <w:rFonts w:ascii="Arial" w:hAnsi="Arial" w:cs="Arial"/>
          <w:b/>
          <w:sz w:val="24"/>
          <w:szCs w:val="24"/>
        </w:rPr>
      </w:pPr>
      <w:r w:rsidRPr="00826D62">
        <w:rPr>
          <w:rFonts w:ascii="Arial" w:hAnsi="Arial" w:cs="Arial"/>
          <w:noProof/>
          <w:lang w:val="en-US"/>
        </w:rPr>
        <w:drawing>
          <wp:inline distT="0" distB="0" distL="0" distR="0" wp14:anchorId="22348544" wp14:editId="53E9491C">
            <wp:extent cx="5943600" cy="2483481"/>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2483481"/>
                    </a:xfrm>
                    <a:prstGeom prst="rect">
                      <a:avLst/>
                    </a:prstGeom>
                    <a:noFill/>
                    <a:ln>
                      <a:noFill/>
                    </a:ln>
                  </pic:spPr>
                </pic:pic>
              </a:graphicData>
            </a:graphic>
          </wp:inline>
        </w:drawing>
      </w:r>
    </w:p>
    <w:p w:rsidR="00D26286" w:rsidRPr="00826D62" w:rsidRDefault="00D26286" w:rsidP="00D26286">
      <w:pPr>
        <w:spacing w:after="0" w:line="240" w:lineRule="auto"/>
        <w:ind w:left="-630"/>
        <w:jc w:val="center"/>
        <w:rPr>
          <w:rFonts w:ascii="Arial" w:hAnsi="Arial" w:cs="Arial"/>
          <w:b/>
          <w:sz w:val="24"/>
          <w:szCs w:val="24"/>
        </w:rPr>
      </w:pPr>
    </w:p>
    <w:p w:rsidR="00D26286" w:rsidRPr="00826D62" w:rsidRDefault="00D26286" w:rsidP="00D26286">
      <w:pPr>
        <w:spacing w:after="0" w:line="240" w:lineRule="auto"/>
        <w:ind w:left="-630"/>
        <w:jc w:val="center"/>
        <w:rPr>
          <w:rFonts w:ascii="Arial" w:hAnsi="Arial" w:cs="Arial"/>
          <w:b/>
          <w:sz w:val="24"/>
          <w:szCs w:val="24"/>
        </w:rPr>
      </w:pPr>
    </w:p>
    <w:p w:rsidR="00D26286" w:rsidRPr="00826D62" w:rsidRDefault="00CE5528" w:rsidP="00D26286">
      <w:pPr>
        <w:spacing w:after="0" w:line="240" w:lineRule="auto"/>
        <w:jc w:val="center"/>
        <w:rPr>
          <w:rFonts w:ascii="Arial" w:hAnsi="Arial" w:cs="Arial"/>
          <w:b/>
          <w:sz w:val="24"/>
          <w:szCs w:val="24"/>
        </w:rPr>
      </w:pPr>
      <w:r w:rsidRPr="00826D62">
        <w:rPr>
          <w:rFonts w:ascii="Arial" w:hAnsi="Arial" w:cs="Arial"/>
          <w:noProof/>
          <w:lang w:val="en-US"/>
        </w:rPr>
        <w:drawing>
          <wp:inline distT="0" distB="0" distL="0" distR="0" wp14:anchorId="5818CC93" wp14:editId="4A6D1298">
            <wp:extent cx="5943600" cy="4369059"/>
            <wp:effectExtent l="0" t="0" r="0"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4369059"/>
                    </a:xfrm>
                    <a:prstGeom prst="rect">
                      <a:avLst/>
                    </a:prstGeom>
                    <a:noFill/>
                    <a:ln>
                      <a:noFill/>
                    </a:ln>
                  </pic:spPr>
                </pic:pic>
              </a:graphicData>
            </a:graphic>
          </wp:inline>
        </w:drawing>
      </w:r>
    </w:p>
    <w:sectPr w:rsidR="00D26286" w:rsidRPr="00826D62" w:rsidSect="000A50D7">
      <w:headerReference w:type="default" r:id="rId25"/>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369" w:rsidRDefault="001B6369" w:rsidP="00D842D4">
      <w:pPr>
        <w:spacing w:after="0" w:line="240" w:lineRule="auto"/>
      </w:pPr>
      <w:r>
        <w:separator/>
      </w:r>
    </w:p>
  </w:endnote>
  <w:endnote w:type="continuationSeparator" w:id="0">
    <w:p w:rsidR="001B6369" w:rsidRDefault="001B6369" w:rsidP="00D84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369" w:rsidRDefault="001B6369" w:rsidP="00D842D4">
      <w:pPr>
        <w:spacing w:after="0" w:line="240" w:lineRule="auto"/>
      </w:pPr>
      <w:r>
        <w:separator/>
      </w:r>
    </w:p>
  </w:footnote>
  <w:footnote w:type="continuationSeparator" w:id="0">
    <w:p w:rsidR="001B6369" w:rsidRDefault="001B6369" w:rsidP="00D842D4">
      <w:pPr>
        <w:spacing w:after="0" w:line="240" w:lineRule="auto"/>
      </w:pPr>
      <w:r>
        <w:continuationSeparator/>
      </w:r>
    </w:p>
  </w:footnote>
  <w:footnote w:id="1">
    <w:p w:rsidR="00932EEF" w:rsidRPr="00826D62" w:rsidRDefault="00932EEF" w:rsidP="00826D62">
      <w:pPr>
        <w:spacing w:after="0"/>
        <w:ind w:left="270" w:hanging="270"/>
        <w:jc w:val="both"/>
        <w:rPr>
          <w:rFonts w:ascii="Arial" w:hAnsi="Arial" w:cs="Arial"/>
          <w:sz w:val="18"/>
          <w:szCs w:val="18"/>
          <w:lang w:val="es-ES"/>
        </w:rPr>
      </w:pPr>
      <w:r w:rsidRPr="00826D62">
        <w:rPr>
          <w:rStyle w:val="FootnoteReference"/>
          <w:rFonts w:ascii="Arial" w:hAnsi="Arial" w:cs="Arial"/>
          <w:sz w:val="18"/>
          <w:szCs w:val="18"/>
        </w:rPr>
        <w:footnoteRef/>
      </w:r>
      <w:r w:rsidRPr="00826D62">
        <w:rPr>
          <w:rFonts w:ascii="Arial" w:hAnsi="Arial" w:cs="Arial"/>
          <w:sz w:val="18"/>
          <w:szCs w:val="18"/>
          <w:lang w:val="es-ES"/>
        </w:rPr>
        <w:t xml:space="preserve"> </w:t>
      </w:r>
      <w:r w:rsidR="00FC056A">
        <w:rPr>
          <w:rFonts w:ascii="Arial" w:hAnsi="Arial" w:cs="Arial"/>
          <w:sz w:val="18"/>
          <w:szCs w:val="18"/>
          <w:lang w:val="es-ES"/>
        </w:rPr>
        <w:tab/>
      </w:r>
      <w:r w:rsidRPr="00826D62">
        <w:rPr>
          <w:rFonts w:ascii="Arial" w:hAnsi="Arial" w:cs="Arial"/>
          <w:sz w:val="18"/>
          <w:szCs w:val="18"/>
          <w:lang w:val="es-ES"/>
        </w:rPr>
        <w:t>La metodología utilizada se basó en la estrategia y en los resultados exitosos obtenidos de la modernización de la Administración Tributaria ecuatoriana en el periodo de 1990-2004, la cual contó con el apoyo del Banco, y cuyos resultados fueron evaluados por la Oficina de Evaluación y Supervisión (OVE) del Banco en Noviembre de 2007.</w:t>
      </w:r>
    </w:p>
  </w:footnote>
  <w:footnote w:id="2">
    <w:p w:rsidR="00D20333" w:rsidRPr="00826D62" w:rsidRDefault="00D20333" w:rsidP="00826D62">
      <w:pPr>
        <w:pStyle w:val="FootnoteText"/>
        <w:spacing w:after="0"/>
        <w:ind w:left="270" w:hanging="270"/>
        <w:contextualSpacing/>
        <w:rPr>
          <w:rFonts w:ascii="Arial" w:hAnsi="Arial" w:cs="Arial"/>
          <w:sz w:val="18"/>
          <w:szCs w:val="18"/>
          <w:lang w:val="es-AR"/>
        </w:rPr>
      </w:pPr>
      <w:r w:rsidRPr="00826D62">
        <w:rPr>
          <w:rStyle w:val="FootnoteReference"/>
          <w:rFonts w:ascii="Arial" w:hAnsi="Arial" w:cs="Arial"/>
          <w:sz w:val="18"/>
          <w:szCs w:val="18"/>
        </w:rPr>
        <w:footnoteRef/>
      </w:r>
      <w:r w:rsidRPr="00826D62">
        <w:rPr>
          <w:rFonts w:ascii="Arial" w:hAnsi="Arial" w:cs="Arial"/>
          <w:sz w:val="18"/>
          <w:szCs w:val="18"/>
          <w:lang w:val="es-AR"/>
        </w:rPr>
        <w:t xml:space="preserve"> </w:t>
      </w:r>
      <w:r w:rsidRPr="00826D62">
        <w:rPr>
          <w:rFonts w:ascii="Arial" w:hAnsi="Arial" w:cs="Arial"/>
          <w:sz w:val="18"/>
          <w:szCs w:val="18"/>
          <w:lang w:val="es-AR"/>
        </w:rPr>
        <w:tab/>
        <w:t xml:space="preserve">El déficit del sector público consolidado aumentó de 1,6% del PIB en 2007 a 7,6% del PIB en 2013. </w:t>
      </w:r>
    </w:p>
  </w:footnote>
  <w:footnote w:id="3">
    <w:p w:rsidR="00932EEF" w:rsidRPr="00826D62" w:rsidRDefault="00932EEF" w:rsidP="00826D62">
      <w:pPr>
        <w:pStyle w:val="FootnoteText"/>
        <w:spacing w:after="0"/>
        <w:ind w:left="270" w:hanging="270"/>
        <w:contextualSpacing/>
        <w:rPr>
          <w:rFonts w:ascii="Arial" w:hAnsi="Arial" w:cs="Arial"/>
          <w:sz w:val="18"/>
          <w:szCs w:val="18"/>
          <w:lang w:val="es-ES_tradnl"/>
        </w:rPr>
      </w:pPr>
      <w:r w:rsidRPr="00826D62">
        <w:rPr>
          <w:rStyle w:val="FootnoteReference"/>
          <w:rFonts w:ascii="Arial" w:hAnsi="Arial" w:cs="Arial"/>
          <w:sz w:val="18"/>
          <w:szCs w:val="18"/>
        </w:rPr>
        <w:footnoteRef/>
      </w:r>
      <w:r w:rsidR="00FC056A">
        <w:rPr>
          <w:rFonts w:ascii="Arial" w:hAnsi="Arial" w:cs="Arial"/>
          <w:sz w:val="18"/>
          <w:szCs w:val="18"/>
          <w:lang w:val="es-ES_tradnl"/>
        </w:rPr>
        <w:t xml:space="preserve"> </w:t>
      </w:r>
      <w:r w:rsidR="00FC056A">
        <w:rPr>
          <w:rFonts w:ascii="Arial" w:hAnsi="Arial" w:cs="Arial"/>
          <w:sz w:val="18"/>
          <w:szCs w:val="18"/>
          <w:lang w:val="es-ES_tradnl"/>
        </w:rPr>
        <w:tab/>
      </w:r>
      <w:hyperlink r:id="rId1" w:history="1">
        <w:r w:rsidRPr="00826D62">
          <w:rPr>
            <w:rStyle w:val="Hyperlink"/>
            <w:rFonts w:ascii="Arial" w:hAnsi="Arial" w:cs="Arial"/>
            <w:sz w:val="18"/>
            <w:szCs w:val="18"/>
            <w:lang w:val="es-ES_tradnl"/>
          </w:rPr>
          <w:t>Instituto Nacional de Estadística</w:t>
        </w:r>
      </w:hyperlink>
      <w:r w:rsidRPr="00826D62">
        <w:rPr>
          <w:rFonts w:ascii="Arial" w:hAnsi="Arial" w:cs="Arial"/>
          <w:sz w:val="18"/>
          <w:szCs w:val="18"/>
          <w:lang w:val="es-ES_tradnl"/>
        </w:rPr>
        <w:t xml:space="preserve"> (INE) (2013). Gobierno de Honduras</w:t>
      </w:r>
      <w:r w:rsidR="009B31BB" w:rsidRPr="00826D62">
        <w:rPr>
          <w:rFonts w:ascii="Arial" w:hAnsi="Arial" w:cs="Arial"/>
          <w:sz w:val="18"/>
          <w:szCs w:val="18"/>
          <w:lang w:val="es-ES_tradnl"/>
        </w:rPr>
        <w:t>.</w:t>
      </w:r>
      <w:r w:rsidRPr="00826D62">
        <w:rPr>
          <w:rFonts w:ascii="Arial" w:hAnsi="Arial" w:cs="Arial"/>
          <w:sz w:val="18"/>
          <w:szCs w:val="18"/>
          <w:lang w:val="es-ES_tradnl"/>
        </w:rPr>
        <w:t xml:space="preserve"> En el POD hacemos referencia a los Indicadores Globales de Desarrollo (Banco Mundial), cambiemos aquí o en el POD</w:t>
      </w:r>
    </w:p>
  </w:footnote>
  <w:footnote w:id="4">
    <w:p w:rsidR="00877E55" w:rsidRPr="00826D62" w:rsidRDefault="00877E55" w:rsidP="00826D62">
      <w:pPr>
        <w:pStyle w:val="FootnoteText"/>
        <w:ind w:left="270" w:hanging="270"/>
        <w:rPr>
          <w:rFonts w:ascii="Arial" w:hAnsi="Arial" w:cs="Arial"/>
          <w:sz w:val="18"/>
          <w:szCs w:val="18"/>
          <w:lang w:val="es-ES_tradnl"/>
        </w:rPr>
      </w:pPr>
      <w:r w:rsidRPr="00826D62">
        <w:rPr>
          <w:rStyle w:val="FootnoteReference"/>
          <w:rFonts w:ascii="Arial" w:hAnsi="Arial" w:cs="Arial"/>
          <w:sz w:val="18"/>
          <w:szCs w:val="18"/>
        </w:rPr>
        <w:footnoteRef/>
      </w:r>
      <w:r w:rsidR="00015CC7" w:rsidRPr="00826D62">
        <w:rPr>
          <w:rFonts w:ascii="Arial" w:hAnsi="Arial" w:cs="Arial"/>
          <w:sz w:val="18"/>
          <w:szCs w:val="18"/>
          <w:lang w:val="es-ES_tradnl"/>
        </w:rPr>
        <w:t xml:space="preserve"> </w:t>
      </w:r>
      <w:r w:rsidR="00015CC7" w:rsidRPr="00826D62">
        <w:rPr>
          <w:rFonts w:ascii="Arial" w:hAnsi="Arial" w:cs="Arial"/>
          <w:sz w:val="18"/>
          <w:szCs w:val="18"/>
          <w:lang w:val="es-ES_tradnl"/>
        </w:rPr>
        <w:tab/>
        <w:t>El modelo de organización y gestión</w:t>
      </w:r>
      <w:r w:rsidR="00FC056A">
        <w:rPr>
          <w:rFonts w:ascii="Arial" w:hAnsi="Arial" w:cs="Arial"/>
          <w:sz w:val="18"/>
          <w:szCs w:val="18"/>
          <w:lang w:val="es-ES_tradnl"/>
        </w:rPr>
        <w:t xml:space="preserve"> </w:t>
      </w:r>
      <w:r w:rsidRPr="00826D62">
        <w:rPr>
          <w:rFonts w:ascii="Arial" w:hAnsi="Arial" w:cs="Arial"/>
          <w:sz w:val="18"/>
          <w:szCs w:val="18"/>
          <w:lang w:val="es-ES_tradnl"/>
        </w:rPr>
        <w:t>des</w:t>
      </w:r>
      <w:r w:rsidR="00015CC7" w:rsidRPr="00826D62">
        <w:rPr>
          <w:rFonts w:ascii="Arial" w:hAnsi="Arial" w:cs="Arial"/>
          <w:sz w:val="18"/>
          <w:szCs w:val="18"/>
          <w:lang w:val="es-ES_tradnl"/>
        </w:rPr>
        <w:t>cribe detalladamente todos los procesos y flujos de trabajo</w:t>
      </w:r>
      <w:r w:rsidRPr="00826D62">
        <w:rPr>
          <w:rFonts w:ascii="Arial" w:hAnsi="Arial" w:cs="Arial"/>
          <w:sz w:val="18"/>
          <w:szCs w:val="18"/>
          <w:lang w:val="es-ES_tradnl"/>
        </w:rPr>
        <w:t xml:space="preserve"> </w:t>
      </w:r>
      <w:r w:rsidR="00015CC7" w:rsidRPr="00826D62">
        <w:rPr>
          <w:rFonts w:ascii="Arial" w:hAnsi="Arial" w:cs="Arial"/>
          <w:sz w:val="18"/>
          <w:szCs w:val="18"/>
          <w:lang w:val="es-ES_tradnl"/>
        </w:rPr>
        <w:t>l</w:t>
      </w:r>
      <w:r w:rsidRPr="00826D62">
        <w:rPr>
          <w:rFonts w:ascii="Arial" w:hAnsi="Arial" w:cs="Arial"/>
          <w:sz w:val="18"/>
          <w:szCs w:val="18"/>
          <w:lang w:val="es-ES_tradnl"/>
        </w:rPr>
        <w:t>levados a cabo por la administración tributaria incluyendo los documentos de soporte respectivos. Es una función básicamente de organización y métodos. Teóricamente, al final permiten que estos trámites puedan ser realizados</w:t>
      </w:r>
      <w:r w:rsidR="00015CC7" w:rsidRPr="00826D62">
        <w:rPr>
          <w:rFonts w:ascii="Arial" w:hAnsi="Arial" w:cs="Arial"/>
          <w:sz w:val="18"/>
          <w:szCs w:val="18"/>
          <w:lang w:val="es-ES_tradnl"/>
        </w:rPr>
        <w:t xml:space="preserve"> de forma manual. Las reglas de organización y gestión</w:t>
      </w:r>
      <w:r w:rsidRPr="00826D62">
        <w:rPr>
          <w:rFonts w:ascii="Arial" w:hAnsi="Arial" w:cs="Arial"/>
          <w:sz w:val="18"/>
          <w:szCs w:val="18"/>
          <w:lang w:val="es-ES_tradnl"/>
        </w:rPr>
        <w:t>,</w:t>
      </w:r>
      <w:r w:rsidR="00FC056A">
        <w:rPr>
          <w:rFonts w:ascii="Arial" w:hAnsi="Arial" w:cs="Arial"/>
          <w:sz w:val="18"/>
          <w:szCs w:val="18"/>
          <w:lang w:val="es-ES_tradnl"/>
        </w:rPr>
        <w:t xml:space="preserve"> </w:t>
      </w:r>
      <w:r w:rsidRPr="00826D62">
        <w:rPr>
          <w:rFonts w:ascii="Arial" w:hAnsi="Arial" w:cs="Arial"/>
          <w:sz w:val="18"/>
          <w:szCs w:val="18"/>
          <w:lang w:val="es-ES_tradnl"/>
        </w:rPr>
        <w:t xml:space="preserve">son el conjunto de </w:t>
      </w:r>
      <w:r w:rsidR="00015CC7" w:rsidRPr="00826D62">
        <w:rPr>
          <w:rFonts w:ascii="Arial" w:hAnsi="Arial" w:cs="Arial"/>
          <w:sz w:val="18"/>
          <w:szCs w:val="18"/>
          <w:lang w:val="es-ES_tradnl"/>
        </w:rPr>
        <w:t>procesos y flujos de trabajo (</w:t>
      </w:r>
      <w:r w:rsidRPr="00826D62">
        <w:rPr>
          <w:rFonts w:ascii="Arial" w:hAnsi="Arial" w:cs="Arial"/>
          <w:sz w:val="18"/>
          <w:szCs w:val="18"/>
          <w:lang w:val="es-ES_tradnl"/>
        </w:rPr>
        <w:t>flujogramas</w:t>
      </w:r>
      <w:r w:rsidR="00015CC7" w:rsidRPr="00826D62">
        <w:rPr>
          <w:rFonts w:ascii="Arial" w:hAnsi="Arial" w:cs="Arial"/>
          <w:sz w:val="18"/>
          <w:szCs w:val="18"/>
          <w:lang w:val="es-ES_tradnl"/>
        </w:rPr>
        <w:t>)</w:t>
      </w:r>
      <w:r w:rsidRPr="00826D62">
        <w:rPr>
          <w:rFonts w:ascii="Arial" w:hAnsi="Arial" w:cs="Arial"/>
          <w:sz w:val="18"/>
          <w:szCs w:val="18"/>
          <w:lang w:val="es-ES_tradnl"/>
        </w:rPr>
        <w:t xml:space="preserve"> de cada uno de l</w:t>
      </w:r>
      <w:r w:rsidR="00015CC7" w:rsidRPr="00826D62">
        <w:rPr>
          <w:rFonts w:ascii="Arial" w:hAnsi="Arial" w:cs="Arial"/>
          <w:sz w:val="18"/>
          <w:szCs w:val="18"/>
          <w:lang w:val="es-ES_tradnl"/>
        </w:rPr>
        <w:t>as obligaciones, funciones y trá</w:t>
      </w:r>
      <w:r w:rsidRPr="00826D62">
        <w:rPr>
          <w:rFonts w:ascii="Arial" w:hAnsi="Arial" w:cs="Arial"/>
          <w:sz w:val="18"/>
          <w:szCs w:val="18"/>
          <w:lang w:val="es-ES_tradnl"/>
        </w:rPr>
        <w:t>mites mencionados, que permiten a los</w:t>
      </w:r>
      <w:r w:rsidR="00FC056A">
        <w:rPr>
          <w:rFonts w:ascii="Arial" w:hAnsi="Arial" w:cs="Arial"/>
          <w:sz w:val="18"/>
          <w:szCs w:val="18"/>
          <w:lang w:val="es-ES_tradnl"/>
        </w:rPr>
        <w:t xml:space="preserve"> </w:t>
      </w:r>
      <w:r w:rsidRPr="00826D62">
        <w:rPr>
          <w:rFonts w:ascii="Arial" w:hAnsi="Arial" w:cs="Arial"/>
          <w:sz w:val="18"/>
          <w:szCs w:val="18"/>
          <w:lang w:val="es-ES_tradnl"/>
        </w:rPr>
        <w:t xml:space="preserve">analistas/programadores automatizar/programar o parametrizar una aplicación </w:t>
      </w:r>
      <w:r w:rsidRPr="00826D62">
        <w:rPr>
          <w:rFonts w:ascii="Arial" w:hAnsi="Arial" w:cs="Arial"/>
          <w:i/>
          <w:sz w:val="18"/>
          <w:szCs w:val="18"/>
          <w:lang w:val="es-ES_tradnl"/>
        </w:rPr>
        <w:t>off-the shelf</w:t>
      </w:r>
      <w:r w:rsidRPr="00826D62">
        <w:rPr>
          <w:rFonts w:ascii="Arial" w:hAnsi="Arial" w:cs="Arial"/>
          <w:sz w:val="18"/>
          <w:szCs w:val="18"/>
          <w:lang w:val="es-ES_tradnl"/>
        </w:rPr>
        <w:t xml:space="preserve"> para llevar a cabo estos trámites. Esto contempla un nivel de detalles muy superior al modelo de negocio y es preparado con el apoyo de herramientas especializadas.</w:t>
      </w:r>
      <w:r w:rsidR="00FC056A">
        <w:rPr>
          <w:rFonts w:ascii="Arial" w:hAnsi="Arial" w:cs="Arial"/>
          <w:sz w:val="18"/>
          <w:szCs w:val="18"/>
          <w:lang w:val="es-ES_tradnl"/>
        </w:rPr>
        <w:t xml:space="preserve"> </w:t>
      </w:r>
    </w:p>
  </w:footnote>
  <w:footnote w:id="5">
    <w:p w:rsidR="00015CC7" w:rsidRPr="00826D62" w:rsidRDefault="00015CC7" w:rsidP="00826D62">
      <w:pPr>
        <w:pStyle w:val="FootnoteText"/>
        <w:spacing w:after="0"/>
        <w:ind w:left="270" w:hanging="270"/>
        <w:rPr>
          <w:rFonts w:ascii="Arial" w:hAnsi="Arial" w:cs="Arial"/>
          <w:sz w:val="18"/>
          <w:szCs w:val="18"/>
          <w:lang w:val="es-AR"/>
        </w:rPr>
      </w:pPr>
      <w:r w:rsidRPr="00826D62">
        <w:rPr>
          <w:rStyle w:val="FootnoteReference"/>
          <w:rFonts w:ascii="Arial" w:hAnsi="Arial" w:cs="Arial"/>
          <w:sz w:val="18"/>
          <w:szCs w:val="18"/>
        </w:rPr>
        <w:footnoteRef/>
      </w:r>
      <w:r w:rsidRPr="00826D62">
        <w:rPr>
          <w:rFonts w:ascii="Arial" w:hAnsi="Arial" w:cs="Arial"/>
          <w:sz w:val="18"/>
          <w:szCs w:val="18"/>
          <w:lang w:val="es-AR"/>
        </w:rPr>
        <w:t xml:space="preserve"> </w:t>
      </w:r>
      <w:r w:rsidR="00FC056A">
        <w:rPr>
          <w:rFonts w:ascii="Arial" w:hAnsi="Arial" w:cs="Arial"/>
          <w:sz w:val="18"/>
          <w:szCs w:val="18"/>
          <w:lang w:val="es-AR"/>
        </w:rPr>
        <w:tab/>
      </w:r>
      <w:r w:rsidRPr="00826D62">
        <w:rPr>
          <w:rFonts w:ascii="Arial" w:hAnsi="Arial" w:cs="Arial"/>
          <w:sz w:val="18"/>
          <w:szCs w:val="18"/>
          <w:lang w:val="es-AR"/>
        </w:rPr>
        <w:t>El gasto cumple con la política “Modernización de políticas y prácticas de restricción al uso de recursos en préstamos de inversión” (documento GN-2331-5), así como lo de dispuesto en las “Directrices sobre elegibilidad de gastos en préstamos de inversión: Propuesta de modificación” (documento CC-6004-2).</w:t>
      </w:r>
    </w:p>
  </w:footnote>
  <w:footnote w:id="6">
    <w:p w:rsidR="00932EEF" w:rsidRPr="00826D62" w:rsidRDefault="00932EEF" w:rsidP="00826D62">
      <w:pPr>
        <w:pStyle w:val="FootnoteText"/>
        <w:ind w:left="360" w:hanging="360"/>
        <w:rPr>
          <w:rFonts w:ascii="Arial" w:hAnsi="Arial" w:cs="Arial"/>
          <w:sz w:val="18"/>
          <w:szCs w:val="18"/>
          <w:lang w:val="es-ES_tradnl"/>
        </w:rPr>
      </w:pPr>
      <w:r w:rsidRPr="00826D62">
        <w:rPr>
          <w:rStyle w:val="FootnoteReference"/>
          <w:rFonts w:ascii="Arial" w:hAnsi="Arial" w:cs="Arial"/>
          <w:sz w:val="18"/>
          <w:szCs w:val="18"/>
        </w:rPr>
        <w:footnoteRef/>
      </w:r>
      <w:r w:rsidRPr="00826D62">
        <w:rPr>
          <w:rFonts w:ascii="Arial" w:hAnsi="Arial" w:cs="Arial"/>
          <w:sz w:val="18"/>
          <w:szCs w:val="18"/>
          <w:lang w:val="es-ES_tradnl"/>
        </w:rPr>
        <w:t xml:space="preserve"> </w:t>
      </w:r>
      <w:r w:rsidR="00A53507">
        <w:rPr>
          <w:rFonts w:ascii="Arial" w:hAnsi="Arial" w:cs="Arial"/>
          <w:sz w:val="18"/>
          <w:szCs w:val="18"/>
          <w:lang w:val="es-ES_tradnl"/>
        </w:rPr>
        <w:tab/>
      </w:r>
      <w:r w:rsidRPr="00826D62">
        <w:rPr>
          <w:rFonts w:ascii="Arial" w:hAnsi="Arial" w:cs="Arial"/>
          <w:color w:val="000000"/>
          <w:sz w:val="18"/>
          <w:szCs w:val="18"/>
          <w:lang w:val="es-ES"/>
        </w:rPr>
        <w:t>Los Ingresos Corrientes incluyen los ingresos tributarios, los ingresos petroleros e ingresos no tributarios.</w:t>
      </w:r>
    </w:p>
  </w:footnote>
  <w:footnote w:id="7">
    <w:p w:rsidR="008019DC" w:rsidRPr="00826D62" w:rsidRDefault="008019DC" w:rsidP="00826D62">
      <w:pPr>
        <w:pStyle w:val="FootnoteText"/>
        <w:spacing w:after="0"/>
        <w:ind w:left="270" w:hanging="270"/>
        <w:contextualSpacing/>
        <w:rPr>
          <w:rFonts w:ascii="Arial" w:hAnsi="Arial" w:cs="Arial"/>
          <w:sz w:val="18"/>
          <w:szCs w:val="18"/>
          <w:lang w:val="es-ES_tradnl"/>
        </w:rPr>
      </w:pPr>
      <w:r w:rsidRPr="00826D62">
        <w:rPr>
          <w:rStyle w:val="FootnoteReference"/>
          <w:rFonts w:ascii="Arial" w:hAnsi="Arial" w:cs="Arial"/>
          <w:sz w:val="18"/>
          <w:szCs w:val="18"/>
        </w:rPr>
        <w:footnoteRef/>
      </w:r>
      <w:r w:rsidRPr="00826D62">
        <w:rPr>
          <w:rFonts w:ascii="Arial" w:hAnsi="Arial" w:cs="Arial"/>
          <w:sz w:val="18"/>
          <w:szCs w:val="18"/>
          <w:lang w:val="es-ES_tradnl"/>
        </w:rPr>
        <w:t xml:space="preserve"> El año 2016 se considera un año de transición de la antigua DEI a la nueva SAR.</w:t>
      </w:r>
    </w:p>
  </w:footnote>
  <w:footnote w:id="8">
    <w:p w:rsidR="00932EEF" w:rsidRPr="00826D62" w:rsidRDefault="00932EEF" w:rsidP="00826D62">
      <w:pPr>
        <w:spacing w:after="0"/>
        <w:ind w:left="270" w:hanging="270"/>
        <w:contextualSpacing/>
        <w:jc w:val="both"/>
        <w:rPr>
          <w:rFonts w:ascii="Arial" w:hAnsi="Arial" w:cs="Arial"/>
          <w:sz w:val="18"/>
          <w:szCs w:val="18"/>
          <w:lang w:val="es-ES"/>
        </w:rPr>
      </w:pPr>
      <w:r w:rsidRPr="00826D62">
        <w:rPr>
          <w:rStyle w:val="FootnoteReference"/>
          <w:rFonts w:ascii="Arial" w:hAnsi="Arial" w:cs="Arial"/>
          <w:sz w:val="18"/>
          <w:szCs w:val="18"/>
        </w:rPr>
        <w:footnoteRef/>
      </w:r>
      <w:r w:rsidRPr="00826D62">
        <w:rPr>
          <w:rFonts w:ascii="Arial" w:hAnsi="Arial" w:cs="Arial"/>
          <w:sz w:val="18"/>
          <w:szCs w:val="18"/>
          <w:lang w:val="es-ES"/>
        </w:rPr>
        <w:t xml:space="preserve"> </w:t>
      </w:r>
      <w:r w:rsidR="00DA7E1E">
        <w:rPr>
          <w:rFonts w:ascii="Arial" w:hAnsi="Arial" w:cs="Arial"/>
          <w:sz w:val="18"/>
          <w:szCs w:val="18"/>
          <w:lang w:val="es-ES"/>
        </w:rPr>
        <w:tab/>
      </w:r>
      <w:r w:rsidRPr="00826D62">
        <w:rPr>
          <w:rFonts w:ascii="Arial" w:hAnsi="Arial" w:cs="Arial"/>
          <w:sz w:val="18"/>
          <w:szCs w:val="18"/>
          <w:lang w:val="es-ES"/>
        </w:rPr>
        <w:t>La metodología utilizada se basó en la estrategia y en los resultados exitosos obtenidos de la modernización de la Administración Tributaria ecuatoriana en el periodo de 1990-2004, la cual contó con el apoyo del Banco, y cuyos resultados fueron evaluados por la Oficina de Evaluación y Supervisión (OVE) del Banco en Noviembre de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774344"/>
      <w:docPartObj>
        <w:docPartGallery w:val="Page Numbers (Top of Page)"/>
        <w:docPartUnique/>
      </w:docPartObj>
    </w:sdtPr>
    <w:sdtEndPr>
      <w:rPr>
        <w:rFonts w:ascii="Arial" w:hAnsi="Arial" w:cs="Arial"/>
        <w:noProof/>
        <w:sz w:val="18"/>
        <w:szCs w:val="18"/>
      </w:rPr>
    </w:sdtEndPr>
    <w:sdtContent>
      <w:p w:rsidR="000A50D7" w:rsidRPr="000A50D7" w:rsidRDefault="000A50D7">
        <w:pPr>
          <w:pStyle w:val="Header"/>
          <w:jc w:val="center"/>
          <w:rPr>
            <w:rFonts w:ascii="Arial" w:hAnsi="Arial" w:cs="Arial"/>
            <w:sz w:val="18"/>
            <w:szCs w:val="18"/>
          </w:rPr>
        </w:pPr>
        <w:r w:rsidRPr="000A50D7">
          <w:rPr>
            <w:rFonts w:ascii="Arial" w:hAnsi="Arial" w:cs="Arial"/>
            <w:sz w:val="18"/>
            <w:szCs w:val="18"/>
          </w:rPr>
          <w:fldChar w:fldCharType="begin"/>
        </w:r>
        <w:r w:rsidRPr="000A50D7">
          <w:rPr>
            <w:rFonts w:ascii="Arial" w:hAnsi="Arial" w:cs="Arial"/>
            <w:sz w:val="18"/>
            <w:szCs w:val="18"/>
          </w:rPr>
          <w:instrText xml:space="preserve"> PAGE   \* MERGEFORMAT </w:instrText>
        </w:r>
        <w:r w:rsidRPr="000A50D7">
          <w:rPr>
            <w:rFonts w:ascii="Arial" w:hAnsi="Arial" w:cs="Arial"/>
            <w:sz w:val="18"/>
            <w:szCs w:val="18"/>
          </w:rPr>
          <w:fldChar w:fldCharType="separate"/>
        </w:r>
        <w:r w:rsidR="00444261">
          <w:rPr>
            <w:rFonts w:ascii="Arial" w:hAnsi="Arial" w:cs="Arial"/>
            <w:noProof/>
            <w:sz w:val="18"/>
            <w:szCs w:val="18"/>
          </w:rPr>
          <w:t>3</w:t>
        </w:r>
        <w:r w:rsidRPr="000A50D7">
          <w:rPr>
            <w:rFonts w:ascii="Arial" w:hAnsi="Arial" w:cs="Arial"/>
            <w:noProof/>
            <w:sz w:val="18"/>
            <w:szCs w:val="18"/>
          </w:rPr>
          <w:fldChar w:fldCharType="end"/>
        </w:r>
      </w:p>
    </w:sdtContent>
  </w:sdt>
  <w:p w:rsidR="000A50D7" w:rsidRDefault="000A50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B502F"/>
    <w:multiLevelType w:val="hybridMultilevel"/>
    <w:tmpl w:val="9942E6FE"/>
    <w:lvl w:ilvl="0" w:tplc="4262316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0EF0459"/>
    <w:multiLevelType w:val="hybridMultilevel"/>
    <w:tmpl w:val="5E66F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62590"/>
    <w:multiLevelType w:val="multilevel"/>
    <w:tmpl w:val="67AEF5EE"/>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302506"/>
    <w:multiLevelType w:val="hybridMultilevel"/>
    <w:tmpl w:val="CB54CD5E"/>
    <w:lvl w:ilvl="0" w:tplc="3988746E">
      <w:start w:val="1"/>
      <w:numFmt w:val="lowerLetter"/>
      <w:lvlText w:val="%1."/>
      <w:lvlJc w:val="left"/>
      <w:pPr>
        <w:ind w:left="720" w:hanging="360"/>
      </w:pPr>
      <w:rPr>
        <w:rFonts w:ascii="Arial" w:eastAsiaTheme="minorHAnsi"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A33049C"/>
    <w:multiLevelType w:val="multilevel"/>
    <w:tmpl w:val="B4EEB3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0C943AC0"/>
    <w:multiLevelType w:val="hybridMultilevel"/>
    <w:tmpl w:val="5E66F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AB7FC9"/>
    <w:multiLevelType w:val="multilevel"/>
    <w:tmpl w:val="EA1E1C68"/>
    <w:lvl w:ilvl="0">
      <w:start w:val="1"/>
      <w:numFmt w:val="upperRoman"/>
      <w:lvlText w:val="%1."/>
      <w:lvlJc w:val="center"/>
      <w:pPr>
        <w:tabs>
          <w:tab w:val="num" w:pos="2070"/>
        </w:tabs>
        <w:ind w:left="1422" w:firstLine="288"/>
      </w:pPr>
      <w:rPr>
        <w:rFonts w:ascii="Times New Roman" w:eastAsia="Times New Roman" w:hAnsi="Times New Roman" w:cs="Times New Roman"/>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11C60D35"/>
    <w:multiLevelType w:val="hybridMultilevel"/>
    <w:tmpl w:val="9942E6FE"/>
    <w:lvl w:ilvl="0" w:tplc="4262316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2062E2D"/>
    <w:multiLevelType w:val="hybridMultilevel"/>
    <w:tmpl w:val="7CBEE1A6"/>
    <w:lvl w:ilvl="0" w:tplc="8B3881DC">
      <w:start w:val="1"/>
      <w:numFmt w:val="upperLetter"/>
      <w:lvlText w:val="%1."/>
      <w:lvlJc w:val="left"/>
      <w:pPr>
        <w:ind w:left="720" w:hanging="360"/>
      </w:pPr>
      <w:rPr>
        <w:rFonts w:hint="default"/>
        <w:b/>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86F2A"/>
    <w:multiLevelType w:val="hybridMultilevel"/>
    <w:tmpl w:val="68A4F0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BE031A"/>
    <w:multiLevelType w:val="hybridMultilevel"/>
    <w:tmpl w:val="F70C2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E5CEC"/>
    <w:multiLevelType w:val="hybridMultilevel"/>
    <w:tmpl w:val="68A4F0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903921"/>
    <w:multiLevelType w:val="multilevel"/>
    <w:tmpl w:val="F38CCA36"/>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27522AAF"/>
    <w:multiLevelType w:val="hybridMultilevel"/>
    <w:tmpl w:val="9942E6FE"/>
    <w:lvl w:ilvl="0" w:tplc="4262316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3C42F03"/>
    <w:multiLevelType w:val="hybridMultilevel"/>
    <w:tmpl w:val="0FA488AA"/>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113D87"/>
    <w:multiLevelType w:val="hybridMultilevel"/>
    <w:tmpl w:val="9942E6FE"/>
    <w:lvl w:ilvl="0" w:tplc="4262316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B991E8B"/>
    <w:multiLevelType w:val="hybridMultilevel"/>
    <w:tmpl w:val="4712DB62"/>
    <w:lvl w:ilvl="0" w:tplc="B978E764">
      <w:start w:val="1"/>
      <w:numFmt w:val="lowerLetter"/>
      <w:lvlText w:val="%1."/>
      <w:lvlJc w:val="left"/>
      <w:pPr>
        <w:ind w:left="420" w:hanging="360"/>
      </w:pPr>
      <w:rPr>
        <w:rFonts w:ascii="Arial" w:eastAsiaTheme="minorHAnsi" w:hAnsi="Arial" w:cs="Arial"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nsid w:val="3CD90569"/>
    <w:multiLevelType w:val="hybridMultilevel"/>
    <w:tmpl w:val="9942E6FE"/>
    <w:lvl w:ilvl="0" w:tplc="4262316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E493608"/>
    <w:multiLevelType w:val="multilevel"/>
    <w:tmpl w:val="1F1023B0"/>
    <w:lvl w:ilvl="0">
      <w:start w:val="1"/>
      <w:numFmt w:val="decimal"/>
      <w:lvlText w:val="%1."/>
      <w:lvlJc w:val="left"/>
      <w:pPr>
        <w:ind w:left="400" w:hanging="360"/>
      </w:pPr>
      <w:rPr>
        <w:rFonts w:ascii="Arial" w:hAnsi="Arial" w:cs="Arial" w:hint="default"/>
        <w:color w:val="000000"/>
        <w:sz w:val="18"/>
      </w:rPr>
    </w:lvl>
    <w:lvl w:ilvl="1">
      <w:start w:val="11"/>
      <w:numFmt w:val="decimal"/>
      <w:isLgl/>
      <w:lvlText w:val="%1.%2"/>
      <w:lvlJc w:val="left"/>
      <w:pPr>
        <w:ind w:left="460" w:hanging="420"/>
      </w:pPr>
      <w:rPr>
        <w:rFonts w:hint="default"/>
      </w:rPr>
    </w:lvl>
    <w:lvl w:ilvl="2">
      <w:start w:val="1"/>
      <w:numFmt w:val="decimal"/>
      <w:isLgl/>
      <w:lvlText w:val="%1.%2.%3"/>
      <w:lvlJc w:val="left"/>
      <w:pPr>
        <w:ind w:left="760" w:hanging="720"/>
      </w:pPr>
      <w:rPr>
        <w:rFonts w:hint="default"/>
      </w:rPr>
    </w:lvl>
    <w:lvl w:ilvl="3">
      <w:start w:val="1"/>
      <w:numFmt w:val="decimal"/>
      <w:isLgl/>
      <w:lvlText w:val="%1.%2.%3.%4"/>
      <w:lvlJc w:val="left"/>
      <w:pPr>
        <w:ind w:left="760" w:hanging="720"/>
      </w:pPr>
      <w:rPr>
        <w:rFonts w:hint="default"/>
      </w:rPr>
    </w:lvl>
    <w:lvl w:ilvl="4">
      <w:start w:val="1"/>
      <w:numFmt w:val="decimal"/>
      <w:isLgl/>
      <w:lvlText w:val="%1.%2.%3.%4.%5"/>
      <w:lvlJc w:val="left"/>
      <w:pPr>
        <w:ind w:left="1120" w:hanging="1080"/>
      </w:pPr>
      <w:rPr>
        <w:rFonts w:hint="default"/>
      </w:rPr>
    </w:lvl>
    <w:lvl w:ilvl="5">
      <w:start w:val="1"/>
      <w:numFmt w:val="decimal"/>
      <w:isLgl/>
      <w:lvlText w:val="%1.%2.%3.%4.%5.%6"/>
      <w:lvlJc w:val="left"/>
      <w:pPr>
        <w:ind w:left="1120" w:hanging="1080"/>
      </w:pPr>
      <w:rPr>
        <w:rFonts w:hint="default"/>
      </w:rPr>
    </w:lvl>
    <w:lvl w:ilvl="6">
      <w:start w:val="1"/>
      <w:numFmt w:val="decimal"/>
      <w:isLgl/>
      <w:lvlText w:val="%1.%2.%3.%4.%5.%6.%7"/>
      <w:lvlJc w:val="left"/>
      <w:pPr>
        <w:ind w:left="1480" w:hanging="1440"/>
      </w:pPr>
      <w:rPr>
        <w:rFonts w:hint="default"/>
      </w:rPr>
    </w:lvl>
    <w:lvl w:ilvl="7">
      <w:start w:val="1"/>
      <w:numFmt w:val="decimal"/>
      <w:isLgl/>
      <w:lvlText w:val="%1.%2.%3.%4.%5.%6.%7.%8"/>
      <w:lvlJc w:val="left"/>
      <w:pPr>
        <w:ind w:left="1480" w:hanging="1440"/>
      </w:pPr>
      <w:rPr>
        <w:rFonts w:hint="default"/>
      </w:rPr>
    </w:lvl>
    <w:lvl w:ilvl="8">
      <w:start w:val="1"/>
      <w:numFmt w:val="decimal"/>
      <w:isLgl/>
      <w:lvlText w:val="%1.%2.%3.%4.%5.%6.%7.%8.%9"/>
      <w:lvlJc w:val="left"/>
      <w:pPr>
        <w:ind w:left="1840" w:hanging="1800"/>
      </w:pPr>
      <w:rPr>
        <w:rFonts w:hint="default"/>
      </w:rPr>
    </w:lvl>
  </w:abstractNum>
  <w:abstractNum w:abstractNumId="19">
    <w:nsid w:val="423D6DA2"/>
    <w:multiLevelType w:val="hybridMultilevel"/>
    <w:tmpl w:val="5088E3C8"/>
    <w:lvl w:ilvl="0" w:tplc="33F45FC8">
      <w:start w:val="1"/>
      <w:numFmt w:val="lowerLetter"/>
      <w:lvlText w:val="%1."/>
      <w:lvlJc w:val="left"/>
      <w:pPr>
        <w:ind w:left="72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16295E"/>
    <w:multiLevelType w:val="hybridMultilevel"/>
    <w:tmpl w:val="E0BC1D2A"/>
    <w:lvl w:ilvl="0" w:tplc="55F63B52">
      <w:start w:val="1"/>
      <w:numFmt w:val="lowerLetter"/>
      <w:lvlText w:val="%1."/>
      <w:lvlJc w:val="left"/>
      <w:pPr>
        <w:ind w:left="420" w:hanging="360"/>
      </w:pPr>
      <w:rPr>
        <w:rFonts w:ascii="Arial" w:eastAsiaTheme="minorHAnsi" w:hAnsi="Arial" w:cs="Arial"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nsid w:val="5E342847"/>
    <w:multiLevelType w:val="multilevel"/>
    <w:tmpl w:val="85B61E70"/>
    <w:lvl w:ilvl="0">
      <w:start w:val="1"/>
      <w:numFmt w:val="decimal"/>
      <w:lvlText w:val="%1."/>
      <w:lvlJc w:val="left"/>
      <w:pPr>
        <w:ind w:left="1080" w:hanging="360"/>
      </w:pPr>
    </w:lvl>
    <w:lvl w:ilvl="1">
      <w:start w:val="1"/>
      <w:numFmt w:val="decimal"/>
      <w:isLgl/>
      <w:lvlText w:val="%1.%2"/>
      <w:lvlJc w:val="left"/>
      <w:pPr>
        <w:ind w:left="990" w:hanging="360"/>
      </w:pPr>
      <w:rPr>
        <w:rFonts w:hint="default"/>
        <w:b w:val="0"/>
        <w:color w:val="000000"/>
      </w:rPr>
    </w:lvl>
    <w:lvl w:ilvl="2">
      <w:start w:val="1"/>
      <w:numFmt w:val="decimal"/>
      <w:isLgl/>
      <w:lvlText w:val="%1.%2.%3"/>
      <w:lvlJc w:val="left"/>
      <w:pPr>
        <w:ind w:left="1800" w:hanging="720"/>
      </w:pPr>
      <w:rPr>
        <w:rFonts w:hint="default"/>
        <w:b/>
        <w:color w:val="000000"/>
      </w:rPr>
    </w:lvl>
    <w:lvl w:ilvl="3">
      <w:start w:val="1"/>
      <w:numFmt w:val="decimal"/>
      <w:isLgl/>
      <w:lvlText w:val="%1.%2.%3.%4"/>
      <w:lvlJc w:val="left"/>
      <w:pPr>
        <w:ind w:left="1980" w:hanging="720"/>
      </w:pPr>
      <w:rPr>
        <w:rFonts w:hint="default"/>
        <w:b/>
        <w:color w:val="000000"/>
      </w:rPr>
    </w:lvl>
    <w:lvl w:ilvl="4">
      <w:start w:val="1"/>
      <w:numFmt w:val="decimal"/>
      <w:isLgl/>
      <w:lvlText w:val="%1.%2.%3.%4.%5"/>
      <w:lvlJc w:val="left"/>
      <w:pPr>
        <w:ind w:left="2520" w:hanging="1080"/>
      </w:pPr>
      <w:rPr>
        <w:rFonts w:hint="default"/>
        <w:b/>
        <w:color w:val="000000"/>
      </w:rPr>
    </w:lvl>
    <w:lvl w:ilvl="5">
      <w:start w:val="1"/>
      <w:numFmt w:val="decimal"/>
      <w:isLgl/>
      <w:lvlText w:val="%1.%2.%3.%4.%5.%6"/>
      <w:lvlJc w:val="left"/>
      <w:pPr>
        <w:ind w:left="2700" w:hanging="1080"/>
      </w:pPr>
      <w:rPr>
        <w:rFonts w:hint="default"/>
        <w:b/>
        <w:color w:val="000000"/>
      </w:rPr>
    </w:lvl>
    <w:lvl w:ilvl="6">
      <w:start w:val="1"/>
      <w:numFmt w:val="decimal"/>
      <w:isLgl/>
      <w:lvlText w:val="%1.%2.%3.%4.%5.%6.%7"/>
      <w:lvlJc w:val="left"/>
      <w:pPr>
        <w:ind w:left="3240" w:hanging="1440"/>
      </w:pPr>
      <w:rPr>
        <w:rFonts w:hint="default"/>
        <w:b/>
        <w:color w:val="000000"/>
      </w:rPr>
    </w:lvl>
    <w:lvl w:ilvl="7">
      <w:start w:val="1"/>
      <w:numFmt w:val="decimal"/>
      <w:isLgl/>
      <w:lvlText w:val="%1.%2.%3.%4.%5.%6.%7.%8"/>
      <w:lvlJc w:val="left"/>
      <w:pPr>
        <w:ind w:left="3420" w:hanging="1440"/>
      </w:pPr>
      <w:rPr>
        <w:rFonts w:hint="default"/>
        <w:b/>
        <w:color w:val="000000"/>
      </w:rPr>
    </w:lvl>
    <w:lvl w:ilvl="8">
      <w:start w:val="1"/>
      <w:numFmt w:val="decimal"/>
      <w:isLgl/>
      <w:lvlText w:val="%1.%2.%3.%4.%5.%6.%7.%8.%9"/>
      <w:lvlJc w:val="left"/>
      <w:pPr>
        <w:ind w:left="3960" w:hanging="1800"/>
      </w:pPr>
      <w:rPr>
        <w:rFonts w:hint="default"/>
        <w:b/>
        <w:color w:val="000000"/>
      </w:rPr>
    </w:lvl>
  </w:abstractNum>
  <w:abstractNum w:abstractNumId="22">
    <w:nsid w:val="61500A1F"/>
    <w:multiLevelType w:val="hybridMultilevel"/>
    <w:tmpl w:val="9942E6FE"/>
    <w:lvl w:ilvl="0" w:tplc="4262316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2F467D9"/>
    <w:multiLevelType w:val="hybridMultilevel"/>
    <w:tmpl w:val="C0FAE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C5303E"/>
    <w:multiLevelType w:val="multilevel"/>
    <w:tmpl w:val="8A4C1764"/>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val="0"/>
        <w:sz w:val="22"/>
        <w:szCs w:val="22"/>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651A512A"/>
    <w:multiLevelType w:val="hybridMultilevel"/>
    <w:tmpl w:val="13424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562093"/>
    <w:multiLevelType w:val="hybridMultilevel"/>
    <w:tmpl w:val="9942E6FE"/>
    <w:lvl w:ilvl="0" w:tplc="4262316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7783485"/>
    <w:multiLevelType w:val="hybridMultilevel"/>
    <w:tmpl w:val="0C684624"/>
    <w:lvl w:ilvl="0" w:tplc="57A4C14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8">
    <w:nsid w:val="68FD6EF0"/>
    <w:multiLevelType w:val="hybridMultilevel"/>
    <w:tmpl w:val="15F26270"/>
    <w:lvl w:ilvl="0" w:tplc="DCF6880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1B0C8A"/>
    <w:multiLevelType w:val="hybridMultilevel"/>
    <w:tmpl w:val="D57EDB4A"/>
    <w:lvl w:ilvl="0" w:tplc="8BAA9F90">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30">
    <w:nsid w:val="70E25FF5"/>
    <w:multiLevelType w:val="hybridMultilevel"/>
    <w:tmpl w:val="2AC050F6"/>
    <w:lvl w:ilvl="0" w:tplc="0409000F">
      <w:start w:val="1"/>
      <w:numFmt w:val="decimal"/>
      <w:lvlText w:val="%1."/>
      <w:lvlJc w:val="left"/>
      <w:pPr>
        <w:ind w:left="720" w:hanging="360"/>
      </w:pPr>
    </w:lvl>
    <w:lvl w:ilvl="1" w:tplc="58CE3390">
      <w:start w:val="1"/>
      <w:numFmt w:val="lowerRoman"/>
      <w:lvlText w:val="(%2)"/>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2A3600"/>
    <w:multiLevelType w:val="hybridMultilevel"/>
    <w:tmpl w:val="13424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28"/>
  </w:num>
  <w:num w:numId="4">
    <w:abstractNumId w:val="19"/>
  </w:num>
  <w:num w:numId="5">
    <w:abstractNumId w:val="31"/>
  </w:num>
  <w:num w:numId="6">
    <w:abstractNumId w:val="5"/>
  </w:num>
  <w:num w:numId="7">
    <w:abstractNumId w:val="1"/>
  </w:num>
  <w:num w:numId="8">
    <w:abstractNumId w:val="25"/>
  </w:num>
  <w:num w:numId="9">
    <w:abstractNumId w:val="23"/>
  </w:num>
  <w:num w:numId="10">
    <w:abstractNumId w:val="29"/>
  </w:num>
  <w:num w:numId="11">
    <w:abstractNumId w:val="10"/>
  </w:num>
  <w:num w:numId="12">
    <w:abstractNumId w:val="9"/>
  </w:num>
  <w:num w:numId="13">
    <w:abstractNumId w:val="24"/>
  </w:num>
  <w:num w:numId="14">
    <w:abstractNumId w:val="21"/>
  </w:num>
  <w:num w:numId="15">
    <w:abstractNumId w:val="16"/>
  </w:num>
  <w:num w:numId="16">
    <w:abstractNumId w:val="30"/>
  </w:num>
  <w:num w:numId="17">
    <w:abstractNumId w:val="11"/>
  </w:num>
  <w:num w:numId="18">
    <w:abstractNumId w:val="20"/>
  </w:num>
  <w:num w:numId="19">
    <w:abstractNumId w:val="8"/>
  </w:num>
  <w:num w:numId="20">
    <w:abstractNumId w:val="0"/>
  </w:num>
  <w:num w:numId="21">
    <w:abstractNumId w:val="22"/>
  </w:num>
  <w:num w:numId="22">
    <w:abstractNumId w:val="15"/>
  </w:num>
  <w:num w:numId="23">
    <w:abstractNumId w:val="17"/>
  </w:num>
  <w:num w:numId="24">
    <w:abstractNumId w:val="7"/>
  </w:num>
  <w:num w:numId="25">
    <w:abstractNumId w:val="13"/>
  </w:num>
  <w:num w:numId="26">
    <w:abstractNumId w:val="24"/>
  </w:num>
  <w:num w:numId="27">
    <w:abstractNumId w:val="24"/>
  </w:num>
  <w:num w:numId="28">
    <w:abstractNumId w:val="24"/>
  </w:num>
  <w:num w:numId="29">
    <w:abstractNumId w:val="24"/>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4"/>
  </w:num>
  <w:num w:numId="35">
    <w:abstractNumId w:val="24"/>
  </w:num>
  <w:num w:numId="36">
    <w:abstractNumId w:val="24"/>
  </w:num>
  <w:num w:numId="37">
    <w:abstractNumId w:val="14"/>
  </w:num>
  <w:num w:numId="38">
    <w:abstractNumId w:val="4"/>
  </w:num>
  <w:num w:numId="39">
    <w:abstractNumId w:val="24"/>
  </w:num>
  <w:num w:numId="40">
    <w:abstractNumId w:val="26"/>
  </w:num>
  <w:num w:numId="41">
    <w:abstractNumId w:val="24"/>
  </w:num>
  <w:num w:numId="42">
    <w:abstractNumId w:val="24"/>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24"/>
  </w:num>
  <w:num w:numId="50">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234"/>
    <w:rsid w:val="00005D6F"/>
    <w:rsid w:val="00012B87"/>
    <w:rsid w:val="000138D2"/>
    <w:rsid w:val="00015CC7"/>
    <w:rsid w:val="00022472"/>
    <w:rsid w:val="00034A64"/>
    <w:rsid w:val="00037DB1"/>
    <w:rsid w:val="00045260"/>
    <w:rsid w:val="00052B3E"/>
    <w:rsid w:val="00065192"/>
    <w:rsid w:val="00080724"/>
    <w:rsid w:val="000A0C46"/>
    <w:rsid w:val="000A50D7"/>
    <w:rsid w:val="000B3FA9"/>
    <w:rsid w:val="001016AF"/>
    <w:rsid w:val="00105B16"/>
    <w:rsid w:val="00137301"/>
    <w:rsid w:val="001419F4"/>
    <w:rsid w:val="001425D1"/>
    <w:rsid w:val="001468FE"/>
    <w:rsid w:val="00146EC0"/>
    <w:rsid w:val="001609CB"/>
    <w:rsid w:val="001939E0"/>
    <w:rsid w:val="001A4BC0"/>
    <w:rsid w:val="001B6369"/>
    <w:rsid w:val="001C6EEC"/>
    <w:rsid w:val="001D406C"/>
    <w:rsid w:val="001E6328"/>
    <w:rsid w:val="001F49D6"/>
    <w:rsid w:val="001F574D"/>
    <w:rsid w:val="00200515"/>
    <w:rsid w:val="0022201D"/>
    <w:rsid w:val="00230C1F"/>
    <w:rsid w:val="00232319"/>
    <w:rsid w:val="0024217F"/>
    <w:rsid w:val="002A16AD"/>
    <w:rsid w:val="002A65EA"/>
    <w:rsid w:val="002B0DD4"/>
    <w:rsid w:val="002C2664"/>
    <w:rsid w:val="002C38A5"/>
    <w:rsid w:val="002D66EF"/>
    <w:rsid w:val="00302B35"/>
    <w:rsid w:val="00303F34"/>
    <w:rsid w:val="003076AF"/>
    <w:rsid w:val="00314D44"/>
    <w:rsid w:val="00323803"/>
    <w:rsid w:val="00332E00"/>
    <w:rsid w:val="00343590"/>
    <w:rsid w:val="003440AE"/>
    <w:rsid w:val="00386B83"/>
    <w:rsid w:val="0038771C"/>
    <w:rsid w:val="003C0EA5"/>
    <w:rsid w:val="003C252C"/>
    <w:rsid w:val="003D0D2F"/>
    <w:rsid w:val="003E5FE6"/>
    <w:rsid w:val="003F56A9"/>
    <w:rsid w:val="00407A33"/>
    <w:rsid w:val="00407F1C"/>
    <w:rsid w:val="004142B7"/>
    <w:rsid w:val="00424570"/>
    <w:rsid w:val="0042514B"/>
    <w:rsid w:val="00443731"/>
    <w:rsid w:val="00444261"/>
    <w:rsid w:val="00444BFC"/>
    <w:rsid w:val="00447269"/>
    <w:rsid w:val="004572F4"/>
    <w:rsid w:val="00471248"/>
    <w:rsid w:val="00473207"/>
    <w:rsid w:val="00477BA0"/>
    <w:rsid w:val="00492A01"/>
    <w:rsid w:val="004969DE"/>
    <w:rsid w:val="004B2D6D"/>
    <w:rsid w:val="004B4229"/>
    <w:rsid w:val="004B6345"/>
    <w:rsid w:val="004B7F14"/>
    <w:rsid w:val="004C7BB2"/>
    <w:rsid w:val="004E080C"/>
    <w:rsid w:val="004E0A2D"/>
    <w:rsid w:val="004E0C02"/>
    <w:rsid w:val="004F1132"/>
    <w:rsid w:val="00502A1C"/>
    <w:rsid w:val="00516ED9"/>
    <w:rsid w:val="00527041"/>
    <w:rsid w:val="0053297B"/>
    <w:rsid w:val="00534C43"/>
    <w:rsid w:val="00555755"/>
    <w:rsid w:val="00572DF7"/>
    <w:rsid w:val="00584D26"/>
    <w:rsid w:val="00593C57"/>
    <w:rsid w:val="005A7EA2"/>
    <w:rsid w:val="005B1C47"/>
    <w:rsid w:val="005B224F"/>
    <w:rsid w:val="005B3DF7"/>
    <w:rsid w:val="005C0F16"/>
    <w:rsid w:val="005C1C04"/>
    <w:rsid w:val="00612D8F"/>
    <w:rsid w:val="0063666F"/>
    <w:rsid w:val="00644A83"/>
    <w:rsid w:val="00646EBF"/>
    <w:rsid w:val="00655F3F"/>
    <w:rsid w:val="006943FE"/>
    <w:rsid w:val="006A0FF1"/>
    <w:rsid w:val="006A2552"/>
    <w:rsid w:val="006A3144"/>
    <w:rsid w:val="006A510D"/>
    <w:rsid w:val="006B324D"/>
    <w:rsid w:val="006C555C"/>
    <w:rsid w:val="006D28AF"/>
    <w:rsid w:val="006D2F59"/>
    <w:rsid w:val="006E5559"/>
    <w:rsid w:val="006E66E7"/>
    <w:rsid w:val="006F4360"/>
    <w:rsid w:val="0070399D"/>
    <w:rsid w:val="0070718C"/>
    <w:rsid w:val="00707D03"/>
    <w:rsid w:val="00712B87"/>
    <w:rsid w:val="007150A6"/>
    <w:rsid w:val="00716894"/>
    <w:rsid w:val="00735D6D"/>
    <w:rsid w:val="00785F41"/>
    <w:rsid w:val="0079275F"/>
    <w:rsid w:val="007A32D8"/>
    <w:rsid w:val="007A6DE1"/>
    <w:rsid w:val="007F0DB3"/>
    <w:rsid w:val="008019DC"/>
    <w:rsid w:val="008248FF"/>
    <w:rsid w:val="00825CCF"/>
    <w:rsid w:val="00826907"/>
    <w:rsid w:val="00826D62"/>
    <w:rsid w:val="008271F1"/>
    <w:rsid w:val="0083147C"/>
    <w:rsid w:val="008470AF"/>
    <w:rsid w:val="00855CC0"/>
    <w:rsid w:val="00861FED"/>
    <w:rsid w:val="00877E55"/>
    <w:rsid w:val="008802F5"/>
    <w:rsid w:val="0088322A"/>
    <w:rsid w:val="00884162"/>
    <w:rsid w:val="00891AC5"/>
    <w:rsid w:val="00891B93"/>
    <w:rsid w:val="00897054"/>
    <w:rsid w:val="008A325D"/>
    <w:rsid w:val="008B13FB"/>
    <w:rsid w:val="008B3FBC"/>
    <w:rsid w:val="008C278E"/>
    <w:rsid w:val="008D2EE3"/>
    <w:rsid w:val="008E79A3"/>
    <w:rsid w:val="00900647"/>
    <w:rsid w:val="009011E4"/>
    <w:rsid w:val="009022DD"/>
    <w:rsid w:val="0091062F"/>
    <w:rsid w:val="00932EEF"/>
    <w:rsid w:val="00955CB6"/>
    <w:rsid w:val="009710C0"/>
    <w:rsid w:val="009721BC"/>
    <w:rsid w:val="00984018"/>
    <w:rsid w:val="009B31BB"/>
    <w:rsid w:val="009D247C"/>
    <w:rsid w:val="009F5A35"/>
    <w:rsid w:val="00A12143"/>
    <w:rsid w:val="00A1301E"/>
    <w:rsid w:val="00A4010C"/>
    <w:rsid w:val="00A44037"/>
    <w:rsid w:val="00A53507"/>
    <w:rsid w:val="00A555EE"/>
    <w:rsid w:val="00A70DB6"/>
    <w:rsid w:val="00A811B6"/>
    <w:rsid w:val="00A8139D"/>
    <w:rsid w:val="00A86C69"/>
    <w:rsid w:val="00A87E0B"/>
    <w:rsid w:val="00AD7DE5"/>
    <w:rsid w:val="00AF166A"/>
    <w:rsid w:val="00B03F20"/>
    <w:rsid w:val="00B13C7C"/>
    <w:rsid w:val="00B148CC"/>
    <w:rsid w:val="00B310B4"/>
    <w:rsid w:val="00B45E34"/>
    <w:rsid w:val="00B650EA"/>
    <w:rsid w:val="00B71AEB"/>
    <w:rsid w:val="00BA167E"/>
    <w:rsid w:val="00BA3C1F"/>
    <w:rsid w:val="00BA3ECE"/>
    <w:rsid w:val="00BB30F8"/>
    <w:rsid w:val="00BB5027"/>
    <w:rsid w:val="00BE7C83"/>
    <w:rsid w:val="00BF2363"/>
    <w:rsid w:val="00BF4550"/>
    <w:rsid w:val="00BF4ED8"/>
    <w:rsid w:val="00C03711"/>
    <w:rsid w:val="00C0433F"/>
    <w:rsid w:val="00C23CE8"/>
    <w:rsid w:val="00C40030"/>
    <w:rsid w:val="00C43E03"/>
    <w:rsid w:val="00C575D0"/>
    <w:rsid w:val="00C60BB5"/>
    <w:rsid w:val="00C64AA1"/>
    <w:rsid w:val="00C708AE"/>
    <w:rsid w:val="00C74A78"/>
    <w:rsid w:val="00C7759A"/>
    <w:rsid w:val="00C823DE"/>
    <w:rsid w:val="00C93A55"/>
    <w:rsid w:val="00CB2E7F"/>
    <w:rsid w:val="00CB4539"/>
    <w:rsid w:val="00CB7354"/>
    <w:rsid w:val="00CC6A1E"/>
    <w:rsid w:val="00CD4234"/>
    <w:rsid w:val="00CE5528"/>
    <w:rsid w:val="00CF6F09"/>
    <w:rsid w:val="00D01A20"/>
    <w:rsid w:val="00D041AE"/>
    <w:rsid w:val="00D06AFD"/>
    <w:rsid w:val="00D20333"/>
    <w:rsid w:val="00D23439"/>
    <w:rsid w:val="00D23A8D"/>
    <w:rsid w:val="00D24F82"/>
    <w:rsid w:val="00D26286"/>
    <w:rsid w:val="00D301A8"/>
    <w:rsid w:val="00D70397"/>
    <w:rsid w:val="00D714AC"/>
    <w:rsid w:val="00D842D4"/>
    <w:rsid w:val="00D95258"/>
    <w:rsid w:val="00D9535F"/>
    <w:rsid w:val="00D9684F"/>
    <w:rsid w:val="00DA28D0"/>
    <w:rsid w:val="00DA7E1E"/>
    <w:rsid w:val="00DB28E5"/>
    <w:rsid w:val="00DB53BF"/>
    <w:rsid w:val="00DC3A6F"/>
    <w:rsid w:val="00DD3E31"/>
    <w:rsid w:val="00E07B64"/>
    <w:rsid w:val="00E15F9C"/>
    <w:rsid w:val="00E4461F"/>
    <w:rsid w:val="00E5461B"/>
    <w:rsid w:val="00E6331B"/>
    <w:rsid w:val="00E639F4"/>
    <w:rsid w:val="00E71524"/>
    <w:rsid w:val="00E73D9D"/>
    <w:rsid w:val="00E76C97"/>
    <w:rsid w:val="00EA342B"/>
    <w:rsid w:val="00EA7244"/>
    <w:rsid w:val="00EC45B4"/>
    <w:rsid w:val="00ED3979"/>
    <w:rsid w:val="00ED6129"/>
    <w:rsid w:val="00EE0A05"/>
    <w:rsid w:val="00EE1FDE"/>
    <w:rsid w:val="00EE36AC"/>
    <w:rsid w:val="00F27904"/>
    <w:rsid w:val="00F30F3D"/>
    <w:rsid w:val="00F30F4E"/>
    <w:rsid w:val="00F311D7"/>
    <w:rsid w:val="00F41ACE"/>
    <w:rsid w:val="00F47D74"/>
    <w:rsid w:val="00F51099"/>
    <w:rsid w:val="00F71874"/>
    <w:rsid w:val="00F80E98"/>
    <w:rsid w:val="00F901E0"/>
    <w:rsid w:val="00F9142B"/>
    <w:rsid w:val="00F922CC"/>
    <w:rsid w:val="00FA3270"/>
    <w:rsid w:val="00FA3E53"/>
    <w:rsid w:val="00FA6E1C"/>
    <w:rsid w:val="00FB1123"/>
    <w:rsid w:val="00FC056A"/>
    <w:rsid w:val="00FC15CE"/>
    <w:rsid w:val="00FC3891"/>
    <w:rsid w:val="00FE1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95258"/>
    <w:pPr>
      <w:ind w:left="720"/>
      <w:contextualSpacing/>
    </w:pPr>
  </w:style>
  <w:style w:type="table" w:styleId="TableGrid">
    <w:name w:val="Table Grid"/>
    <w:basedOn w:val="TableNormal"/>
    <w:uiPriority w:val="59"/>
    <w:rsid w:val="00971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32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2D8"/>
    <w:rPr>
      <w:rFonts w:ascii="Tahoma" w:hAnsi="Tahoma" w:cs="Tahoma"/>
      <w:sz w:val="16"/>
      <w:szCs w:val="16"/>
      <w:lang w:val="es-ES_tradnl"/>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
    <w:basedOn w:val="Normal"/>
    <w:link w:val="FootnoteTextChar"/>
    <w:uiPriority w:val="99"/>
    <w:unhideWhenUsed/>
    <w:qFormat/>
    <w:rsid w:val="00D842D4"/>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D842D4"/>
    <w:rPr>
      <w:rFonts w:ascii="Times New Roman" w:hAnsi="Times New Roman" w:cs="Times New Roman"/>
      <w:spacing w:val="-3"/>
      <w:sz w:val="20"/>
      <w:szCs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
    <w:basedOn w:val="DefaultParagraphFont"/>
    <w:unhideWhenUsed/>
    <w:qFormat/>
    <w:rsid w:val="00D842D4"/>
    <w:rPr>
      <w:vertAlign w:val="superscript"/>
    </w:rPr>
  </w:style>
  <w:style w:type="paragraph" w:customStyle="1" w:styleId="Chapter">
    <w:name w:val="Chapter"/>
    <w:basedOn w:val="Normal"/>
    <w:next w:val="Normal"/>
    <w:link w:val="ChapterChar"/>
    <w:uiPriority w:val="99"/>
    <w:rsid w:val="00D842D4"/>
    <w:pPr>
      <w:keepNext/>
      <w:numPr>
        <w:numId w:val="13"/>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uiPriority w:val="99"/>
    <w:qFormat/>
    <w:rsid w:val="00D842D4"/>
    <w:pPr>
      <w:numPr>
        <w:ilvl w:val="1"/>
        <w:numId w:val="13"/>
      </w:numPr>
      <w:spacing w:before="120" w:line="240" w:lineRule="auto"/>
      <w:jc w:val="both"/>
      <w:outlineLvl w:val="1"/>
    </w:pPr>
    <w:rPr>
      <w:rFonts w:ascii="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uiPriority w:val="99"/>
    <w:rsid w:val="00D842D4"/>
    <w:rPr>
      <w:rFonts w:ascii="Times New Roman" w:hAnsi="Times New Roman" w:cs="Times New Roman"/>
      <w:sz w:val="24"/>
      <w:szCs w:val="24"/>
      <w:lang w:val="es-ES"/>
    </w:rPr>
  </w:style>
  <w:style w:type="paragraph" w:customStyle="1" w:styleId="subpar">
    <w:name w:val="subpar"/>
    <w:basedOn w:val="BodyTextIndent3"/>
    <w:uiPriority w:val="99"/>
    <w:rsid w:val="00D842D4"/>
    <w:pPr>
      <w:numPr>
        <w:ilvl w:val="2"/>
        <w:numId w:val="13"/>
      </w:numPr>
      <w:spacing w:before="120" w:line="240" w:lineRule="auto"/>
      <w:jc w:val="both"/>
      <w:outlineLvl w:val="2"/>
    </w:pPr>
    <w:rPr>
      <w:rFonts w:ascii="Times New Roman" w:hAnsi="Times New Roman" w:cs="Times New Roman"/>
      <w:sz w:val="24"/>
      <w:szCs w:val="24"/>
      <w:lang w:val="es-ES"/>
    </w:rPr>
  </w:style>
  <w:style w:type="paragraph" w:customStyle="1" w:styleId="SubSubPar">
    <w:name w:val="SubSubPar"/>
    <w:basedOn w:val="subpar"/>
    <w:rsid w:val="00D842D4"/>
    <w:pPr>
      <w:numPr>
        <w:ilvl w:val="3"/>
      </w:numPr>
      <w:tabs>
        <w:tab w:val="clear" w:pos="1584"/>
        <w:tab w:val="left" w:pos="0"/>
        <w:tab w:val="num" w:pos="360"/>
        <w:tab w:val="num" w:pos="1296"/>
      </w:tabs>
      <w:ind w:left="1296" w:hanging="360"/>
    </w:pPr>
  </w:style>
  <w:style w:type="paragraph" w:styleId="BodyTextIndent">
    <w:name w:val="Body Text Indent"/>
    <w:basedOn w:val="Normal"/>
    <w:link w:val="BodyTextIndentChar"/>
    <w:uiPriority w:val="99"/>
    <w:semiHidden/>
    <w:unhideWhenUsed/>
    <w:rsid w:val="00D842D4"/>
    <w:pPr>
      <w:spacing w:after="120"/>
      <w:ind w:left="360"/>
    </w:pPr>
  </w:style>
  <w:style w:type="character" w:customStyle="1" w:styleId="BodyTextIndentChar">
    <w:name w:val="Body Text Indent Char"/>
    <w:basedOn w:val="DefaultParagraphFont"/>
    <w:link w:val="BodyTextIndent"/>
    <w:uiPriority w:val="99"/>
    <w:semiHidden/>
    <w:rsid w:val="00D842D4"/>
    <w:rPr>
      <w:lang w:val="es-ES_tradnl"/>
    </w:rPr>
  </w:style>
  <w:style w:type="paragraph" w:styleId="BodyTextIndent3">
    <w:name w:val="Body Text Indent 3"/>
    <w:basedOn w:val="Normal"/>
    <w:link w:val="BodyTextIndent3Char"/>
    <w:uiPriority w:val="99"/>
    <w:semiHidden/>
    <w:unhideWhenUsed/>
    <w:rsid w:val="00D842D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842D4"/>
    <w:rPr>
      <w:sz w:val="16"/>
      <w:szCs w:val="16"/>
      <w:lang w:val="es-ES_tradnl"/>
    </w:rPr>
  </w:style>
  <w:style w:type="character" w:customStyle="1" w:styleId="ChapterChar">
    <w:name w:val="Chapter Char"/>
    <w:basedOn w:val="DefaultParagraphFont"/>
    <w:link w:val="Chapter"/>
    <w:rsid w:val="00D842D4"/>
    <w:rPr>
      <w:rFonts w:ascii="Times New Roman" w:hAnsi="Times New Roman" w:cs="Times New Roman"/>
      <w:b/>
      <w:smallCaps/>
      <w:sz w:val="24"/>
      <w:szCs w:val="24"/>
      <w:lang w:val="es-ES"/>
    </w:rPr>
  </w:style>
  <w:style w:type="character" w:customStyle="1" w:styleId="NoSpacingChar">
    <w:name w:val="No Spacing Char"/>
    <w:link w:val="NoSpacing"/>
    <w:uiPriority w:val="1"/>
    <w:locked/>
    <w:rsid w:val="004C7BB2"/>
    <w:rPr>
      <w:rFonts w:ascii="Times New Roman" w:eastAsia="Times New Roman" w:hAnsi="Times New Roman" w:cs="Times New Roman"/>
      <w:lang w:val="pt-BR"/>
    </w:rPr>
  </w:style>
  <w:style w:type="paragraph" w:styleId="NoSpacing">
    <w:name w:val="No Spacing"/>
    <w:link w:val="NoSpacingChar"/>
    <w:uiPriority w:val="1"/>
    <w:qFormat/>
    <w:rsid w:val="004C7BB2"/>
    <w:pPr>
      <w:spacing w:after="0" w:line="240" w:lineRule="auto"/>
    </w:pPr>
    <w:rPr>
      <w:rFonts w:ascii="Times New Roman" w:eastAsia="Times New Roman" w:hAnsi="Times New Roman" w:cs="Times New Roman"/>
      <w:lang w:val="pt-BR"/>
    </w:rPr>
  </w:style>
  <w:style w:type="character" w:customStyle="1" w:styleId="ListParagraphChar">
    <w:name w:val="List Paragraph Char"/>
    <w:basedOn w:val="DefaultParagraphFont"/>
    <w:link w:val="ListParagraph"/>
    <w:uiPriority w:val="34"/>
    <w:locked/>
    <w:rsid w:val="004C7BB2"/>
    <w:rPr>
      <w:lang w:val="es-ES_tradnl"/>
    </w:rPr>
  </w:style>
  <w:style w:type="character" w:styleId="CommentReference">
    <w:name w:val="annotation reference"/>
    <w:basedOn w:val="DefaultParagraphFont"/>
    <w:uiPriority w:val="99"/>
    <w:semiHidden/>
    <w:unhideWhenUsed/>
    <w:rsid w:val="009F5A35"/>
    <w:rPr>
      <w:sz w:val="16"/>
      <w:szCs w:val="16"/>
    </w:rPr>
  </w:style>
  <w:style w:type="paragraph" w:styleId="CommentText">
    <w:name w:val="annotation text"/>
    <w:basedOn w:val="Normal"/>
    <w:link w:val="CommentTextChar"/>
    <w:uiPriority w:val="99"/>
    <w:semiHidden/>
    <w:unhideWhenUsed/>
    <w:rsid w:val="009F5A35"/>
    <w:pPr>
      <w:spacing w:line="240" w:lineRule="auto"/>
    </w:pPr>
    <w:rPr>
      <w:sz w:val="20"/>
      <w:szCs w:val="20"/>
    </w:rPr>
  </w:style>
  <w:style w:type="character" w:customStyle="1" w:styleId="CommentTextChar">
    <w:name w:val="Comment Text Char"/>
    <w:basedOn w:val="DefaultParagraphFont"/>
    <w:link w:val="CommentText"/>
    <w:uiPriority w:val="99"/>
    <w:semiHidden/>
    <w:rsid w:val="009F5A35"/>
    <w:rPr>
      <w:sz w:val="20"/>
      <w:szCs w:val="20"/>
      <w:lang w:val="es-ES_tradnl"/>
    </w:rPr>
  </w:style>
  <w:style w:type="paragraph" w:styleId="CommentSubject">
    <w:name w:val="annotation subject"/>
    <w:basedOn w:val="CommentText"/>
    <w:next w:val="CommentText"/>
    <w:link w:val="CommentSubjectChar"/>
    <w:uiPriority w:val="99"/>
    <w:semiHidden/>
    <w:unhideWhenUsed/>
    <w:rsid w:val="009F5A35"/>
    <w:rPr>
      <w:b/>
      <w:bCs/>
    </w:rPr>
  </w:style>
  <w:style w:type="character" w:customStyle="1" w:styleId="CommentSubjectChar">
    <w:name w:val="Comment Subject Char"/>
    <w:basedOn w:val="CommentTextChar"/>
    <w:link w:val="CommentSubject"/>
    <w:uiPriority w:val="99"/>
    <w:semiHidden/>
    <w:rsid w:val="009F5A35"/>
    <w:rPr>
      <w:b/>
      <w:bCs/>
      <w:sz w:val="20"/>
      <w:szCs w:val="20"/>
      <w:lang w:val="es-ES_tradnl"/>
    </w:rPr>
  </w:style>
  <w:style w:type="character" w:styleId="Hyperlink">
    <w:name w:val="Hyperlink"/>
    <w:basedOn w:val="DefaultParagraphFont"/>
    <w:uiPriority w:val="99"/>
    <w:unhideWhenUsed/>
    <w:rsid w:val="009F5A35"/>
    <w:rPr>
      <w:color w:val="0563C1" w:themeColor="hyperlink"/>
      <w:u w:val="single"/>
    </w:rPr>
  </w:style>
  <w:style w:type="paragraph" w:styleId="Footer">
    <w:name w:val="footer"/>
    <w:basedOn w:val="Normal"/>
    <w:link w:val="FooterChar"/>
    <w:rsid w:val="00FB1123"/>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FB1123"/>
    <w:rPr>
      <w:rFonts w:ascii="Times New Roman" w:eastAsia="Times New Roman" w:hAnsi="Times New Roman" w:cs="Times New Roman"/>
      <w:sz w:val="24"/>
      <w:szCs w:val="20"/>
      <w:lang w:val="es-ES_tradnl"/>
    </w:rPr>
  </w:style>
  <w:style w:type="paragraph" w:styleId="Revision">
    <w:name w:val="Revision"/>
    <w:hidden/>
    <w:uiPriority w:val="99"/>
    <w:semiHidden/>
    <w:rsid w:val="00877E55"/>
    <w:pPr>
      <w:spacing w:after="0" w:line="240" w:lineRule="auto"/>
    </w:pPr>
    <w:rPr>
      <w:lang w:val="es-ES_tradnl"/>
    </w:rPr>
  </w:style>
  <w:style w:type="character" w:styleId="FollowedHyperlink">
    <w:name w:val="FollowedHyperlink"/>
    <w:basedOn w:val="DefaultParagraphFont"/>
    <w:uiPriority w:val="99"/>
    <w:semiHidden/>
    <w:unhideWhenUsed/>
    <w:rsid w:val="00034A64"/>
    <w:rPr>
      <w:color w:val="954F72" w:themeColor="followedHyperlink"/>
      <w:u w:val="single"/>
    </w:rPr>
  </w:style>
  <w:style w:type="paragraph" w:styleId="Header">
    <w:name w:val="header"/>
    <w:basedOn w:val="Normal"/>
    <w:link w:val="HeaderChar"/>
    <w:uiPriority w:val="99"/>
    <w:unhideWhenUsed/>
    <w:rsid w:val="000A50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0D7"/>
    <w:rPr>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95258"/>
    <w:pPr>
      <w:ind w:left="720"/>
      <w:contextualSpacing/>
    </w:pPr>
  </w:style>
  <w:style w:type="table" w:styleId="TableGrid">
    <w:name w:val="Table Grid"/>
    <w:basedOn w:val="TableNormal"/>
    <w:uiPriority w:val="59"/>
    <w:rsid w:val="00971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32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2D8"/>
    <w:rPr>
      <w:rFonts w:ascii="Tahoma" w:hAnsi="Tahoma" w:cs="Tahoma"/>
      <w:sz w:val="16"/>
      <w:szCs w:val="16"/>
      <w:lang w:val="es-ES_tradnl"/>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
    <w:basedOn w:val="Normal"/>
    <w:link w:val="FootnoteTextChar"/>
    <w:uiPriority w:val="99"/>
    <w:unhideWhenUsed/>
    <w:qFormat/>
    <w:rsid w:val="00D842D4"/>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D842D4"/>
    <w:rPr>
      <w:rFonts w:ascii="Times New Roman" w:hAnsi="Times New Roman" w:cs="Times New Roman"/>
      <w:spacing w:val="-3"/>
      <w:sz w:val="20"/>
      <w:szCs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
    <w:basedOn w:val="DefaultParagraphFont"/>
    <w:unhideWhenUsed/>
    <w:qFormat/>
    <w:rsid w:val="00D842D4"/>
    <w:rPr>
      <w:vertAlign w:val="superscript"/>
    </w:rPr>
  </w:style>
  <w:style w:type="paragraph" w:customStyle="1" w:styleId="Chapter">
    <w:name w:val="Chapter"/>
    <w:basedOn w:val="Normal"/>
    <w:next w:val="Normal"/>
    <w:link w:val="ChapterChar"/>
    <w:uiPriority w:val="99"/>
    <w:rsid w:val="00D842D4"/>
    <w:pPr>
      <w:keepNext/>
      <w:numPr>
        <w:numId w:val="13"/>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uiPriority w:val="99"/>
    <w:qFormat/>
    <w:rsid w:val="00D842D4"/>
    <w:pPr>
      <w:numPr>
        <w:ilvl w:val="1"/>
        <w:numId w:val="13"/>
      </w:numPr>
      <w:spacing w:before="120" w:line="240" w:lineRule="auto"/>
      <w:jc w:val="both"/>
      <w:outlineLvl w:val="1"/>
    </w:pPr>
    <w:rPr>
      <w:rFonts w:ascii="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uiPriority w:val="99"/>
    <w:rsid w:val="00D842D4"/>
    <w:rPr>
      <w:rFonts w:ascii="Times New Roman" w:hAnsi="Times New Roman" w:cs="Times New Roman"/>
      <w:sz w:val="24"/>
      <w:szCs w:val="24"/>
      <w:lang w:val="es-ES"/>
    </w:rPr>
  </w:style>
  <w:style w:type="paragraph" w:customStyle="1" w:styleId="subpar">
    <w:name w:val="subpar"/>
    <w:basedOn w:val="BodyTextIndent3"/>
    <w:uiPriority w:val="99"/>
    <w:rsid w:val="00D842D4"/>
    <w:pPr>
      <w:numPr>
        <w:ilvl w:val="2"/>
        <w:numId w:val="13"/>
      </w:numPr>
      <w:spacing w:before="120" w:line="240" w:lineRule="auto"/>
      <w:jc w:val="both"/>
      <w:outlineLvl w:val="2"/>
    </w:pPr>
    <w:rPr>
      <w:rFonts w:ascii="Times New Roman" w:hAnsi="Times New Roman" w:cs="Times New Roman"/>
      <w:sz w:val="24"/>
      <w:szCs w:val="24"/>
      <w:lang w:val="es-ES"/>
    </w:rPr>
  </w:style>
  <w:style w:type="paragraph" w:customStyle="1" w:styleId="SubSubPar">
    <w:name w:val="SubSubPar"/>
    <w:basedOn w:val="subpar"/>
    <w:rsid w:val="00D842D4"/>
    <w:pPr>
      <w:numPr>
        <w:ilvl w:val="3"/>
      </w:numPr>
      <w:tabs>
        <w:tab w:val="clear" w:pos="1584"/>
        <w:tab w:val="left" w:pos="0"/>
        <w:tab w:val="num" w:pos="360"/>
        <w:tab w:val="num" w:pos="1296"/>
      </w:tabs>
      <w:ind w:left="1296" w:hanging="360"/>
    </w:pPr>
  </w:style>
  <w:style w:type="paragraph" w:styleId="BodyTextIndent">
    <w:name w:val="Body Text Indent"/>
    <w:basedOn w:val="Normal"/>
    <w:link w:val="BodyTextIndentChar"/>
    <w:uiPriority w:val="99"/>
    <w:semiHidden/>
    <w:unhideWhenUsed/>
    <w:rsid w:val="00D842D4"/>
    <w:pPr>
      <w:spacing w:after="120"/>
      <w:ind w:left="360"/>
    </w:pPr>
  </w:style>
  <w:style w:type="character" w:customStyle="1" w:styleId="BodyTextIndentChar">
    <w:name w:val="Body Text Indent Char"/>
    <w:basedOn w:val="DefaultParagraphFont"/>
    <w:link w:val="BodyTextIndent"/>
    <w:uiPriority w:val="99"/>
    <w:semiHidden/>
    <w:rsid w:val="00D842D4"/>
    <w:rPr>
      <w:lang w:val="es-ES_tradnl"/>
    </w:rPr>
  </w:style>
  <w:style w:type="paragraph" w:styleId="BodyTextIndent3">
    <w:name w:val="Body Text Indent 3"/>
    <w:basedOn w:val="Normal"/>
    <w:link w:val="BodyTextIndent3Char"/>
    <w:uiPriority w:val="99"/>
    <w:semiHidden/>
    <w:unhideWhenUsed/>
    <w:rsid w:val="00D842D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842D4"/>
    <w:rPr>
      <w:sz w:val="16"/>
      <w:szCs w:val="16"/>
      <w:lang w:val="es-ES_tradnl"/>
    </w:rPr>
  </w:style>
  <w:style w:type="character" w:customStyle="1" w:styleId="ChapterChar">
    <w:name w:val="Chapter Char"/>
    <w:basedOn w:val="DefaultParagraphFont"/>
    <w:link w:val="Chapter"/>
    <w:rsid w:val="00D842D4"/>
    <w:rPr>
      <w:rFonts w:ascii="Times New Roman" w:hAnsi="Times New Roman" w:cs="Times New Roman"/>
      <w:b/>
      <w:smallCaps/>
      <w:sz w:val="24"/>
      <w:szCs w:val="24"/>
      <w:lang w:val="es-ES"/>
    </w:rPr>
  </w:style>
  <w:style w:type="character" w:customStyle="1" w:styleId="NoSpacingChar">
    <w:name w:val="No Spacing Char"/>
    <w:link w:val="NoSpacing"/>
    <w:uiPriority w:val="1"/>
    <w:locked/>
    <w:rsid w:val="004C7BB2"/>
    <w:rPr>
      <w:rFonts w:ascii="Times New Roman" w:eastAsia="Times New Roman" w:hAnsi="Times New Roman" w:cs="Times New Roman"/>
      <w:lang w:val="pt-BR"/>
    </w:rPr>
  </w:style>
  <w:style w:type="paragraph" w:styleId="NoSpacing">
    <w:name w:val="No Spacing"/>
    <w:link w:val="NoSpacingChar"/>
    <w:uiPriority w:val="1"/>
    <w:qFormat/>
    <w:rsid w:val="004C7BB2"/>
    <w:pPr>
      <w:spacing w:after="0" w:line="240" w:lineRule="auto"/>
    </w:pPr>
    <w:rPr>
      <w:rFonts w:ascii="Times New Roman" w:eastAsia="Times New Roman" w:hAnsi="Times New Roman" w:cs="Times New Roman"/>
      <w:lang w:val="pt-BR"/>
    </w:rPr>
  </w:style>
  <w:style w:type="character" w:customStyle="1" w:styleId="ListParagraphChar">
    <w:name w:val="List Paragraph Char"/>
    <w:basedOn w:val="DefaultParagraphFont"/>
    <w:link w:val="ListParagraph"/>
    <w:uiPriority w:val="34"/>
    <w:locked/>
    <w:rsid w:val="004C7BB2"/>
    <w:rPr>
      <w:lang w:val="es-ES_tradnl"/>
    </w:rPr>
  </w:style>
  <w:style w:type="character" w:styleId="CommentReference">
    <w:name w:val="annotation reference"/>
    <w:basedOn w:val="DefaultParagraphFont"/>
    <w:uiPriority w:val="99"/>
    <w:semiHidden/>
    <w:unhideWhenUsed/>
    <w:rsid w:val="009F5A35"/>
    <w:rPr>
      <w:sz w:val="16"/>
      <w:szCs w:val="16"/>
    </w:rPr>
  </w:style>
  <w:style w:type="paragraph" w:styleId="CommentText">
    <w:name w:val="annotation text"/>
    <w:basedOn w:val="Normal"/>
    <w:link w:val="CommentTextChar"/>
    <w:uiPriority w:val="99"/>
    <w:semiHidden/>
    <w:unhideWhenUsed/>
    <w:rsid w:val="009F5A35"/>
    <w:pPr>
      <w:spacing w:line="240" w:lineRule="auto"/>
    </w:pPr>
    <w:rPr>
      <w:sz w:val="20"/>
      <w:szCs w:val="20"/>
    </w:rPr>
  </w:style>
  <w:style w:type="character" w:customStyle="1" w:styleId="CommentTextChar">
    <w:name w:val="Comment Text Char"/>
    <w:basedOn w:val="DefaultParagraphFont"/>
    <w:link w:val="CommentText"/>
    <w:uiPriority w:val="99"/>
    <w:semiHidden/>
    <w:rsid w:val="009F5A35"/>
    <w:rPr>
      <w:sz w:val="20"/>
      <w:szCs w:val="20"/>
      <w:lang w:val="es-ES_tradnl"/>
    </w:rPr>
  </w:style>
  <w:style w:type="paragraph" w:styleId="CommentSubject">
    <w:name w:val="annotation subject"/>
    <w:basedOn w:val="CommentText"/>
    <w:next w:val="CommentText"/>
    <w:link w:val="CommentSubjectChar"/>
    <w:uiPriority w:val="99"/>
    <w:semiHidden/>
    <w:unhideWhenUsed/>
    <w:rsid w:val="009F5A35"/>
    <w:rPr>
      <w:b/>
      <w:bCs/>
    </w:rPr>
  </w:style>
  <w:style w:type="character" w:customStyle="1" w:styleId="CommentSubjectChar">
    <w:name w:val="Comment Subject Char"/>
    <w:basedOn w:val="CommentTextChar"/>
    <w:link w:val="CommentSubject"/>
    <w:uiPriority w:val="99"/>
    <w:semiHidden/>
    <w:rsid w:val="009F5A35"/>
    <w:rPr>
      <w:b/>
      <w:bCs/>
      <w:sz w:val="20"/>
      <w:szCs w:val="20"/>
      <w:lang w:val="es-ES_tradnl"/>
    </w:rPr>
  </w:style>
  <w:style w:type="character" w:styleId="Hyperlink">
    <w:name w:val="Hyperlink"/>
    <w:basedOn w:val="DefaultParagraphFont"/>
    <w:uiPriority w:val="99"/>
    <w:unhideWhenUsed/>
    <w:rsid w:val="009F5A35"/>
    <w:rPr>
      <w:color w:val="0563C1" w:themeColor="hyperlink"/>
      <w:u w:val="single"/>
    </w:rPr>
  </w:style>
  <w:style w:type="paragraph" w:styleId="Footer">
    <w:name w:val="footer"/>
    <w:basedOn w:val="Normal"/>
    <w:link w:val="FooterChar"/>
    <w:rsid w:val="00FB1123"/>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FB1123"/>
    <w:rPr>
      <w:rFonts w:ascii="Times New Roman" w:eastAsia="Times New Roman" w:hAnsi="Times New Roman" w:cs="Times New Roman"/>
      <w:sz w:val="24"/>
      <w:szCs w:val="20"/>
      <w:lang w:val="es-ES_tradnl"/>
    </w:rPr>
  </w:style>
  <w:style w:type="paragraph" w:styleId="Revision">
    <w:name w:val="Revision"/>
    <w:hidden/>
    <w:uiPriority w:val="99"/>
    <w:semiHidden/>
    <w:rsid w:val="00877E55"/>
    <w:pPr>
      <w:spacing w:after="0" w:line="240" w:lineRule="auto"/>
    </w:pPr>
    <w:rPr>
      <w:lang w:val="es-ES_tradnl"/>
    </w:rPr>
  </w:style>
  <w:style w:type="character" w:styleId="FollowedHyperlink">
    <w:name w:val="FollowedHyperlink"/>
    <w:basedOn w:val="DefaultParagraphFont"/>
    <w:uiPriority w:val="99"/>
    <w:semiHidden/>
    <w:unhideWhenUsed/>
    <w:rsid w:val="00034A64"/>
    <w:rPr>
      <w:color w:val="954F72" w:themeColor="followedHyperlink"/>
      <w:u w:val="single"/>
    </w:rPr>
  </w:style>
  <w:style w:type="paragraph" w:styleId="Header">
    <w:name w:val="header"/>
    <w:basedOn w:val="Normal"/>
    <w:link w:val="HeaderChar"/>
    <w:uiPriority w:val="99"/>
    <w:unhideWhenUsed/>
    <w:rsid w:val="000A50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0D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bch.hn/indice_precios_consumidor.php"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0.emf"/><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4.emf"/><Relationship Id="rId32"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3.emf"/><Relationship Id="rId28"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image" Target="media/image9.emf"/><Relationship Id="rId31"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yperlink" Target="http://idbdocs.iadb.org/wsdocs/getDocument.aspx?DOCNUM=35225126" TargetMode="External"/><Relationship Id="rId14" Type="http://schemas.openxmlformats.org/officeDocument/2006/relationships/image" Target="media/image5.emf"/><Relationship Id="rId22" Type="http://schemas.openxmlformats.org/officeDocument/2006/relationships/image" Target="media/image12.emf"/><Relationship Id="rId27" Type="http://schemas.openxmlformats.org/officeDocument/2006/relationships/theme" Target="theme/theme1.xml"/><Relationship Id="rId30"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ine.gob.hn/Documentos/pobreza%20y%20emple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E1403FD5609764899B5B6245607A37D" ma:contentTypeVersion="0" ma:contentTypeDescription="A content type to manage public (operations) IDB documents" ma:contentTypeScope="" ma:versionID="5e91741eaa7f2cee35474fe5c85e8347">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39597907</IDBDocs_x0020_Number>
    <Document_x0020_Author xmlns="9c571b2f-e523-4ab2-ba2e-09e151a03ef4">Armendariz, Edna</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HO-L1108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3541/BL-HO</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0A64DA24-74C9-428E-AC2C-CF4F7CFF3FD6}"/>
</file>

<file path=customXml/itemProps2.xml><?xml version="1.0" encoding="utf-8"?>
<ds:datastoreItem xmlns:ds="http://schemas.openxmlformats.org/officeDocument/2006/customXml" ds:itemID="{002291DF-CF79-432A-9B7F-38093BEEFB0D}"/>
</file>

<file path=customXml/itemProps3.xml><?xml version="1.0" encoding="utf-8"?>
<ds:datastoreItem xmlns:ds="http://schemas.openxmlformats.org/officeDocument/2006/customXml" ds:itemID="{FAB735C2-5F34-46C9-AC12-E0114DD4FC7C}"/>
</file>

<file path=customXml/itemProps4.xml><?xml version="1.0" encoding="utf-8"?>
<ds:datastoreItem xmlns:ds="http://schemas.openxmlformats.org/officeDocument/2006/customXml" ds:itemID="{30D1C7C2-94C5-4C8B-83E3-D4F2DCA3D597}"/>
</file>

<file path=customXml/itemProps5.xml><?xml version="1.0" encoding="utf-8"?>
<ds:datastoreItem xmlns:ds="http://schemas.openxmlformats.org/officeDocument/2006/customXml" ds:itemID="{3588AD1D-F6B4-473D-8877-48E5F7CBFD1B}"/>
</file>

<file path=customXml/itemProps6.xml><?xml version="1.0" encoding="utf-8"?>
<ds:datastoreItem xmlns:ds="http://schemas.openxmlformats.org/officeDocument/2006/customXml" ds:itemID="{90E4CE0B-4DDF-49B7-A5C3-9CACCF04367A}"/>
</file>

<file path=docProps/app.xml><?xml version="1.0" encoding="utf-8"?>
<Properties xmlns="http://schemas.openxmlformats.org/officeDocument/2006/extended-properties" xmlns:vt="http://schemas.openxmlformats.org/officeDocument/2006/docPropsVTypes">
  <Template>Normal.dotm</Template>
  <TotalTime>6</TotalTime>
  <Pages>19</Pages>
  <Words>4480</Words>
  <Characters>25536</Characters>
  <Application>Microsoft Office Word</Application>
  <DocSecurity>0</DocSecurity>
  <Lines>212</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29957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Económica </dc:title>
  <dc:creator>Marcio Cracel</dc:creator>
  <cp:lastModifiedBy>IADB</cp:lastModifiedBy>
  <cp:revision>5</cp:revision>
  <dcterms:created xsi:type="dcterms:W3CDTF">2015-07-04T22:28:00Z</dcterms:created>
  <dcterms:modified xsi:type="dcterms:W3CDTF">2015-07-15T14:32:00Z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0x01010046CF21643EE8D14686A648AA6DAD0892000E1403FD5609764899B5B6245607A37D</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