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charts/chart3.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DACDCC" w14:textId="77777777" w:rsidR="00FA6E6C" w:rsidRDefault="00FA6E6C" w:rsidP="002433BD">
      <w:pPr>
        <w:spacing w:after="0" w:line="240" w:lineRule="auto"/>
        <w:jc w:val="center"/>
        <w:rPr>
          <w:rFonts w:cstheme="minorHAnsi"/>
          <w:b/>
          <w:sz w:val="24"/>
          <w:szCs w:val="24"/>
        </w:rPr>
      </w:pPr>
      <w:bookmarkStart w:id="0" w:name="_GoBack"/>
      <w:bookmarkEnd w:id="0"/>
    </w:p>
    <w:p w14:paraId="73860D7A" w14:textId="77777777" w:rsidR="00FA6E6C" w:rsidRDefault="00FA6E6C" w:rsidP="002433BD">
      <w:pPr>
        <w:spacing w:after="0" w:line="240" w:lineRule="auto"/>
        <w:jc w:val="center"/>
        <w:rPr>
          <w:rFonts w:cstheme="minorHAnsi"/>
          <w:b/>
          <w:sz w:val="24"/>
          <w:szCs w:val="24"/>
        </w:rPr>
      </w:pPr>
    </w:p>
    <w:p w14:paraId="78BFE3D9" w14:textId="77777777" w:rsidR="00FA6E6C" w:rsidRDefault="00FA6E6C" w:rsidP="002433BD">
      <w:pPr>
        <w:spacing w:after="0" w:line="240" w:lineRule="auto"/>
        <w:jc w:val="center"/>
        <w:rPr>
          <w:rFonts w:cstheme="minorHAnsi"/>
          <w:b/>
          <w:sz w:val="24"/>
          <w:szCs w:val="24"/>
        </w:rPr>
      </w:pPr>
    </w:p>
    <w:p w14:paraId="7494F6A3" w14:textId="77777777" w:rsidR="00FA6E6C" w:rsidRDefault="00FA6E6C" w:rsidP="002433BD">
      <w:pPr>
        <w:spacing w:after="0" w:line="240" w:lineRule="auto"/>
        <w:jc w:val="center"/>
        <w:rPr>
          <w:rFonts w:cstheme="minorHAnsi"/>
          <w:b/>
          <w:sz w:val="24"/>
          <w:szCs w:val="24"/>
        </w:rPr>
      </w:pPr>
    </w:p>
    <w:p w14:paraId="11C6C055" w14:textId="77777777" w:rsidR="00FA6E6C" w:rsidRDefault="00FA6E6C" w:rsidP="002433BD">
      <w:pPr>
        <w:spacing w:after="0" w:line="240" w:lineRule="auto"/>
        <w:jc w:val="center"/>
        <w:rPr>
          <w:rFonts w:cstheme="minorHAnsi"/>
          <w:b/>
          <w:sz w:val="24"/>
          <w:szCs w:val="24"/>
        </w:rPr>
      </w:pPr>
    </w:p>
    <w:p w14:paraId="10CD2CC3" w14:textId="77777777" w:rsidR="00FA6E6C" w:rsidRDefault="00FA6E6C" w:rsidP="002433BD">
      <w:pPr>
        <w:spacing w:after="0" w:line="240" w:lineRule="auto"/>
        <w:jc w:val="center"/>
        <w:rPr>
          <w:rFonts w:cstheme="minorHAnsi"/>
          <w:b/>
          <w:sz w:val="24"/>
          <w:szCs w:val="24"/>
        </w:rPr>
      </w:pPr>
    </w:p>
    <w:p w14:paraId="2A3AEAF1" w14:textId="77777777" w:rsidR="00FA6E6C" w:rsidRDefault="00FA6E6C" w:rsidP="002433BD">
      <w:pPr>
        <w:spacing w:after="0" w:line="240" w:lineRule="auto"/>
        <w:jc w:val="center"/>
        <w:rPr>
          <w:rFonts w:cstheme="minorHAnsi"/>
          <w:b/>
          <w:sz w:val="24"/>
          <w:szCs w:val="24"/>
        </w:rPr>
      </w:pPr>
    </w:p>
    <w:p w14:paraId="24FA97CE" w14:textId="77777777" w:rsidR="001E4079" w:rsidRDefault="001E4079" w:rsidP="002433BD">
      <w:pPr>
        <w:spacing w:after="0" w:line="240" w:lineRule="auto"/>
        <w:jc w:val="center"/>
        <w:rPr>
          <w:rFonts w:cstheme="minorHAnsi"/>
          <w:b/>
          <w:sz w:val="24"/>
          <w:szCs w:val="24"/>
        </w:rPr>
      </w:pPr>
    </w:p>
    <w:p w14:paraId="3C9E7495" w14:textId="77777777" w:rsidR="001E4079" w:rsidRDefault="001E4079" w:rsidP="002433BD">
      <w:pPr>
        <w:spacing w:after="0" w:line="240" w:lineRule="auto"/>
        <w:jc w:val="center"/>
        <w:rPr>
          <w:rFonts w:cstheme="minorHAnsi"/>
          <w:b/>
          <w:sz w:val="24"/>
          <w:szCs w:val="24"/>
        </w:rPr>
      </w:pPr>
    </w:p>
    <w:p w14:paraId="25EB3B31" w14:textId="77777777" w:rsidR="001E4079" w:rsidRDefault="001E4079" w:rsidP="002433BD">
      <w:pPr>
        <w:spacing w:after="0" w:line="240" w:lineRule="auto"/>
        <w:jc w:val="center"/>
        <w:rPr>
          <w:rFonts w:cstheme="minorHAnsi"/>
          <w:b/>
          <w:sz w:val="24"/>
          <w:szCs w:val="24"/>
        </w:rPr>
      </w:pPr>
    </w:p>
    <w:p w14:paraId="4C4A9015" w14:textId="77777777" w:rsidR="001E4079" w:rsidRDefault="001E4079" w:rsidP="002433BD">
      <w:pPr>
        <w:spacing w:after="0" w:line="240" w:lineRule="auto"/>
        <w:jc w:val="center"/>
        <w:rPr>
          <w:rFonts w:cstheme="minorHAnsi"/>
          <w:b/>
          <w:sz w:val="24"/>
          <w:szCs w:val="24"/>
        </w:rPr>
      </w:pPr>
    </w:p>
    <w:p w14:paraId="309857CE" w14:textId="77777777" w:rsidR="001E4079" w:rsidRDefault="001E4079" w:rsidP="002433BD">
      <w:pPr>
        <w:spacing w:after="0" w:line="240" w:lineRule="auto"/>
        <w:jc w:val="center"/>
        <w:rPr>
          <w:rFonts w:cstheme="minorHAnsi"/>
          <w:b/>
          <w:sz w:val="24"/>
          <w:szCs w:val="24"/>
        </w:rPr>
      </w:pPr>
    </w:p>
    <w:p w14:paraId="638641D4" w14:textId="77777777" w:rsidR="001E4079" w:rsidRDefault="001E4079" w:rsidP="002433BD">
      <w:pPr>
        <w:spacing w:after="0" w:line="240" w:lineRule="auto"/>
        <w:jc w:val="center"/>
        <w:rPr>
          <w:rFonts w:cstheme="minorHAnsi"/>
          <w:b/>
          <w:sz w:val="24"/>
          <w:szCs w:val="24"/>
        </w:rPr>
      </w:pPr>
    </w:p>
    <w:p w14:paraId="3153D893" w14:textId="77777777" w:rsidR="00FA6E6C" w:rsidRDefault="00FA6E6C" w:rsidP="002433BD">
      <w:pPr>
        <w:spacing w:after="0" w:line="240" w:lineRule="auto"/>
        <w:jc w:val="center"/>
        <w:rPr>
          <w:rFonts w:cstheme="minorHAnsi"/>
          <w:b/>
          <w:sz w:val="24"/>
          <w:szCs w:val="24"/>
        </w:rPr>
      </w:pPr>
    </w:p>
    <w:p w14:paraId="78A83BA4" w14:textId="77777777" w:rsidR="00FA6E6C" w:rsidRDefault="00FA6E6C" w:rsidP="002433BD">
      <w:pPr>
        <w:spacing w:after="0" w:line="240" w:lineRule="auto"/>
        <w:jc w:val="center"/>
        <w:rPr>
          <w:rFonts w:cstheme="minorHAnsi"/>
          <w:b/>
          <w:sz w:val="24"/>
          <w:szCs w:val="24"/>
        </w:rPr>
      </w:pPr>
    </w:p>
    <w:p w14:paraId="69050447" w14:textId="77777777" w:rsidR="00FA6E6C" w:rsidRDefault="00FA6E6C" w:rsidP="002433BD">
      <w:pPr>
        <w:spacing w:after="0" w:line="240" w:lineRule="auto"/>
        <w:jc w:val="center"/>
        <w:rPr>
          <w:rFonts w:cstheme="minorHAnsi"/>
          <w:b/>
          <w:sz w:val="24"/>
          <w:szCs w:val="24"/>
        </w:rPr>
      </w:pPr>
    </w:p>
    <w:p w14:paraId="008201D2" w14:textId="77777777" w:rsidR="00FA6E6C" w:rsidRDefault="00FA6E6C" w:rsidP="002433BD">
      <w:pPr>
        <w:spacing w:after="0" w:line="240" w:lineRule="auto"/>
        <w:jc w:val="center"/>
        <w:rPr>
          <w:rFonts w:cstheme="minorHAnsi"/>
          <w:b/>
          <w:sz w:val="24"/>
          <w:szCs w:val="24"/>
        </w:rPr>
      </w:pPr>
    </w:p>
    <w:p w14:paraId="168C8998" w14:textId="77777777" w:rsidR="00FA6E6C" w:rsidRDefault="00FA6E6C" w:rsidP="002433BD">
      <w:pPr>
        <w:spacing w:after="0" w:line="240" w:lineRule="auto"/>
        <w:jc w:val="center"/>
        <w:rPr>
          <w:rFonts w:cstheme="minorHAnsi"/>
          <w:b/>
          <w:sz w:val="24"/>
          <w:szCs w:val="24"/>
        </w:rPr>
      </w:pPr>
    </w:p>
    <w:p w14:paraId="684C48EF" w14:textId="2B6794E4" w:rsidR="00FA6E6C" w:rsidRPr="00A11BD6" w:rsidRDefault="00FA6E6C" w:rsidP="002A3A8D">
      <w:pPr>
        <w:pStyle w:val="Title"/>
        <w:jc w:val="center"/>
        <w:rPr>
          <w:rFonts w:ascii="Times New Roman" w:hAnsi="Times New Roman" w:cs="Times New Roman"/>
          <w:color w:val="4F81BD" w:themeColor="accent1"/>
          <w:sz w:val="48"/>
          <w:szCs w:val="48"/>
        </w:rPr>
      </w:pPr>
      <w:r w:rsidRPr="00A11BD6">
        <w:rPr>
          <w:rFonts w:ascii="Times New Roman" w:hAnsi="Times New Roman" w:cs="Times New Roman"/>
          <w:color w:val="4F81BD" w:themeColor="accent1"/>
          <w:sz w:val="48"/>
          <w:szCs w:val="48"/>
        </w:rPr>
        <w:t>Marco Fiscal de Mediano Plazo-MFMP</w:t>
      </w:r>
    </w:p>
    <w:p w14:paraId="22F14BDD" w14:textId="5F6D41FE" w:rsidR="00FA6E6C" w:rsidRPr="00A11BD6" w:rsidRDefault="001E4079" w:rsidP="002A3A8D">
      <w:pPr>
        <w:pStyle w:val="Title"/>
        <w:jc w:val="center"/>
        <w:rPr>
          <w:rFonts w:ascii="Times New Roman" w:hAnsi="Times New Roman" w:cs="Times New Roman"/>
          <w:color w:val="4F81BD" w:themeColor="accent1"/>
          <w:sz w:val="48"/>
          <w:szCs w:val="48"/>
        </w:rPr>
      </w:pPr>
      <w:r w:rsidRPr="00A11BD6">
        <w:rPr>
          <w:rFonts w:ascii="Times New Roman" w:hAnsi="Times New Roman" w:cs="Times New Roman"/>
          <w:color w:val="4F81BD" w:themeColor="accent1"/>
          <w:sz w:val="48"/>
          <w:szCs w:val="48"/>
        </w:rPr>
        <w:t>Municipalidad de Guatemala</w:t>
      </w:r>
    </w:p>
    <w:p w14:paraId="50E157ED" w14:textId="77777777" w:rsidR="00FA6E6C" w:rsidRDefault="00FA6E6C" w:rsidP="00FA6E6C">
      <w:pPr>
        <w:spacing w:after="0" w:line="240" w:lineRule="auto"/>
        <w:jc w:val="center"/>
        <w:rPr>
          <w:rFonts w:cstheme="minorHAnsi"/>
          <w:b/>
          <w:sz w:val="24"/>
          <w:szCs w:val="24"/>
        </w:rPr>
      </w:pPr>
    </w:p>
    <w:p w14:paraId="6FF6F2CA" w14:textId="77777777" w:rsidR="00FA6E6C" w:rsidRDefault="00FA6E6C" w:rsidP="00FA6E6C">
      <w:pPr>
        <w:spacing w:after="0" w:line="240" w:lineRule="auto"/>
        <w:jc w:val="center"/>
        <w:rPr>
          <w:rFonts w:cstheme="minorHAnsi"/>
          <w:b/>
          <w:sz w:val="24"/>
          <w:szCs w:val="24"/>
        </w:rPr>
      </w:pPr>
    </w:p>
    <w:p w14:paraId="6FCD2B76" w14:textId="77777777" w:rsidR="00FA6E6C" w:rsidRDefault="00FA6E6C" w:rsidP="00FA6E6C">
      <w:pPr>
        <w:spacing w:after="0" w:line="240" w:lineRule="auto"/>
        <w:jc w:val="center"/>
        <w:rPr>
          <w:rFonts w:cstheme="minorHAnsi"/>
          <w:b/>
          <w:sz w:val="24"/>
          <w:szCs w:val="24"/>
        </w:rPr>
      </w:pPr>
    </w:p>
    <w:p w14:paraId="2D094647" w14:textId="77777777" w:rsidR="00FA6E6C" w:rsidRDefault="00FA6E6C" w:rsidP="00FA6E6C">
      <w:pPr>
        <w:spacing w:after="0" w:line="240" w:lineRule="auto"/>
        <w:jc w:val="center"/>
        <w:rPr>
          <w:rFonts w:cstheme="minorHAnsi"/>
          <w:b/>
          <w:sz w:val="24"/>
          <w:szCs w:val="24"/>
        </w:rPr>
      </w:pPr>
    </w:p>
    <w:p w14:paraId="57D9E7BC" w14:textId="77777777" w:rsidR="00FA6E6C" w:rsidRDefault="00FA6E6C" w:rsidP="00FA6E6C">
      <w:pPr>
        <w:spacing w:after="0" w:line="240" w:lineRule="auto"/>
        <w:jc w:val="center"/>
        <w:rPr>
          <w:rFonts w:cstheme="minorHAnsi"/>
          <w:b/>
          <w:sz w:val="24"/>
          <w:szCs w:val="24"/>
        </w:rPr>
      </w:pPr>
    </w:p>
    <w:p w14:paraId="23A01CC5" w14:textId="77777777" w:rsidR="00FA6E6C" w:rsidRDefault="00FA6E6C" w:rsidP="001E4079">
      <w:pPr>
        <w:spacing w:after="0" w:line="240" w:lineRule="auto"/>
        <w:rPr>
          <w:rFonts w:cstheme="minorHAnsi"/>
          <w:b/>
          <w:sz w:val="24"/>
          <w:szCs w:val="24"/>
        </w:rPr>
      </w:pPr>
    </w:p>
    <w:p w14:paraId="507C7AEC" w14:textId="77777777" w:rsidR="00FA6E6C" w:rsidRDefault="00FA6E6C" w:rsidP="00FA6E6C">
      <w:pPr>
        <w:spacing w:after="0" w:line="240" w:lineRule="auto"/>
        <w:jc w:val="center"/>
        <w:rPr>
          <w:rFonts w:cstheme="minorHAnsi"/>
          <w:b/>
          <w:sz w:val="24"/>
          <w:szCs w:val="24"/>
        </w:rPr>
      </w:pPr>
    </w:p>
    <w:p w14:paraId="409EC996" w14:textId="77777777" w:rsidR="00FA6E6C" w:rsidRDefault="00FA6E6C" w:rsidP="00FA6E6C">
      <w:pPr>
        <w:spacing w:after="0" w:line="240" w:lineRule="auto"/>
        <w:jc w:val="center"/>
        <w:rPr>
          <w:rFonts w:cstheme="minorHAnsi"/>
          <w:b/>
          <w:sz w:val="24"/>
          <w:szCs w:val="24"/>
        </w:rPr>
      </w:pPr>
    </w:p>
    <w:p w14:paraId="26A84806" w14:textId="77777777" w:rsidR="00FA6E6C" w:rsidRDefault="00FA6E6C" w:rsidP="00FA6E6C">
      <w:pPr>
        <w:spacing w:after="0" w:line="240" w:lineRule="auto"/>
        <w:jc w:val="center"/>
        <w:rPr>
          <w:rFonts w:cstheme="minorHAnsi"/>
          <w:b/>
          <w:sz w:val="24"/>
          <w:szCs w:val="24"/>
        </w:rPr>
      </w:pPr>
    </w:p>
    <w:p w14:paraId="20DFE16D" w14:textId="77777777" w:rsidR="00FA6E6C" w:rsidRDefault="00FA6E6C" w:rsidP="00FA6E6C">
      <w:pPr>
        <w:spacing w:after="0" w:line="240" w:lineRule="auto"/>
        <w:jc w:val="center"/>
        <w:rPr>
          <w:rFonts w:cstheme="minorHAnsi"/>
          <w:b/>
          <w:sz w:val="24"/>
          <w:szCs w:val="24"/>
        </w:rPr>
      </w:pPr>
    </w:p>
    <w:p w14:paraId="47D7E4DE" w14:textId="77777777" w:rsidR="00FA6E6C" w:rsidRDefault="00FA6E6C" w:rsidP="00FA6E6C">
      <w:pPr>
        <w:spacing w:after="0" w:line="240" w:lineRule="auto"/>
        <w:jc w:val="center"/>
        <w:rPr>
          <w:rFonts w:cstheme="minorHAnsi"/>
          <w:b/>
          <w:sz w:val="24"/>
          <w:szCs w:val="24"/>
        </w:rPr>
      </w:pPr>
    </w:p>
    <w:p w14:paraId="4074036C" w14:textId="77777777" w:rsidR="00FA6E6C" w:rsidRDefault="00FA6E6C" w:rsidP="00FA6E6C">
      <w:pPr>
        <w:spacing w:after="0" w:line="240" w:lineRule="auto"/>
        <w:jc w:val="center"/>
        <w:rPr>
          <w:rFonts w:cstheme="minorHAnsi"/>
          <w:b/>
          <w:sz w:val="24"/>
          <w:szCs w:val="24"/>
        </w:rPr>
      </w:pPr>
    </w:p>
    <w:p w14:paraId="3DB419DB" w14:textId="77777777" w:rsidR="00FA6E6C" w:rsidRDefault="00FA6E6C" w:rsidP="00FA6E6C">
      <w:pPr>
        <w:spacing w:after="0" w:line="240" w:lineRule="auto"/>
        <w:jc w:val="center"/>
        <w:rPr>
          <w:rFonts w:cstheme="minorHAnsi"/>
          <w:b/>
          <w:sz w:val="24"/>
          <w:szCs w:val="24"/>
        </w:rPr>
      </w:pPr>
    </w:p>
    <w:p w14:paraId="4150B54F" w14:textId="77777777" w:rsidR="00FA6E6C" w:rsidRDefault="00FA6E6C" w:rsidP="00FA6E6C">
      <w:pPr>
        <w:spacing w:after="0" w:line="240" w:lineRule="auto"/>
        <w:jc w:val="center"/>
        <w:rPr>
          <w:rFonts w:cstheme="minorHAnsi"/>
          <w:b/>
          <w:sz w:val="24"/>
          <w:szCs w:val="24"/>
        </w:rPr>
      </w:pPr>
    </w:p>
    <w:p w14:paraId="50486DDE" w14:textId="77777777" w:rsidR="00FA6E6C" w:rsidRDefault="00FA6E6C" w:rsidP="00FA6E6C">
      <w:pPr>
        <w:spacing w:after="0" w:line="240" w:lineRule="auto"/>
        <w:jc w:val="center"/>
        <w:rPr>
          <w:rFonts w:cstheme="minorHAnsi"/>
          <w:b/>
          <w:sz w:val="24"/>
          <w:szCs w:val="24"/>
        </w:rPr>
      </w:pPr>
    </w:p>
    <w:p w14:paraId="05ABB325" w14:textId="77777777" w:rsidR="00FA6E6C" w:rsidRDefault="00FA6E6C" w:rsidP="00FA6E6C">
      <w:pPr>
        <w:spacing w:after="0" w:line="240" w:lineRule="auto"/>
        <w:jc w:val="center"/>
        <w:rPr>
          <w:rFonts w:cstheme="minorHAnsi"/>
          <w:b/>
          <w:sz w:val="24"/>
          <w:szCs w:val="24"/>
        </w:rPr>
      </w:pPr>
    </w:p>
    <w:p w14:paraId="27044F96" w14:textId="77777777" w:rsidR="00FA6E6C" w:rsidRDefault="00FA6E6C" w:rsidP="00FA6E6C">
      <w:pPr>
        <w:spacing w:after="0" w:line="240" w:lineRule="auto"/>
        <w:jc w:val="center"/>
        <w:rPr>
          <w:rFonts w:cstheme="minorHAnsi"/>
          <w:b/>
          <w:sz w:val="24"/>
          <w:szCs w:val="24"/>
        </w:rPr>
      </w:pPr>
    </w:p>
    <w:p w14:paraId="0317DC2A" w14:textId="77777777" w:rsidR="00FA6E6C" w:rsidRPr="00A11BD6" w:rsidRDefault="00FA6E6C" w:rsidP="00FA6E6C">
      <w:pPr>
        <w:spacing w:after="0" w:line="240" w:lineRule="auto"/>
        <w:jc w:val="center"/>
        <w:rPr>
          <w:rFonts w:ascii="Times New Roman" w:hAnsi="Times New Roman" w:cs="Times New Roman"/>
          <w:b/>
          <w:sz w:val="24"/>
          <w:szCs w:val="24"/>
        </w:rPr>
      </w:pPr>
      <w:r w:rsidRPr="00A11BD6">
        <w:rPr>
          <w:rFonts w:ascii="Times New Roman" w:hAnsi="Times New Roman" w:cs="Times New Roman"/>
          <w:b/>
          <w:sz w:val="24"/>
          <w:szCs w:val="24"/>
        </w:rPr>
        <w:t>Municipalidad de Guatemala (Guatemala)</w:t>
      </w:r>
    </w:p>
    <w:p w14:paraId="4565F573" w14:textId="5EB43914" w:rsidR="00FA6E6C" w:rsidRPr="00A11BD6" w:rsidRDefault="000242DF" w:rsidP="00FA6E6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Abril</w:t>
      </w:r>
      <w:r w:rsidR="00880041">
        <w:rPr>
          <w:rFonts w:ascii="Times New Roman" w:hAnsi="Times New Roman" w:cs="Times New Roman"/>
          <w:b/>
          <w:sz w:val="24"/>
          <w:szCs w:val="24"/>
        </w:rPr>
        <w:t xml:space="preserve"> de 20</w:t>
      </w:r>
      <w:r w:rsidR="00FA6E6C" w:rsidRPr="00A11BD6">
        <w:rPr>
          <w:rFonts w:ascii="Times New Roman" w:hAnsi="Times New Roman" w:cs="Times New Roman"/>
          <w:b/>
          <w:sz w:val="24"/>
          <w:szCs w:val="24"/>
        </w:rPr>
        <w:t>1</w:t>
      </w:r>
      <w:r w:rsidR="0062400B" w:rsidRPr="00A11BD6">
        <w:rPr>
          <w:rFonts w:ascii="Times New Roman" w:hAnsi="Times New Roman" w:cs="Times New Roman"/>
          <w:b/>
          <w:sz w:val="24"/>
          <w:szCs w:val="24"/>
        </w:rPr>
        <w:t>3</w:t>
      </w:r>
    </w:p>
    <w:p w14:paraId="1C09F808" w14:textId="6E9B98B0" w:rsidR="00A45923" w:rsidRPr="00A11BD6" w:rsidRDefault="00FA6E6C" w:rsidP="006B69E6">
      <w:pPr>
        <w:spacing w:after="0" w:line="240" w:lineRule="auto"/>
        <w:jc w:val="center"/>
        <w:rPr>
          <w:rFonts w:ascii="Times New Roman" w:hAnsi="Times New Roman" w:cs="Times New Roman"/>
          <w:b/>
          <w:sz w:val="24"/>
          <w:szCs w:val="24"/>
        </w:rPr>
      </w:pPr>
      <w:r w:rsidRPr="00A11BD6">
        <w:rPr>
          <w:rFonts w:ascii="Times New Roman" w:hAnsi="Times New Roman" w:cs="Times New Roman"/>
          <w:b/>
          <w:sz w:val="24"/>
          <w:szCs w:val="24"/>
        </w:rPr>
        <w:br w:type="page"/>
      </w:r>
      <w:r w:rsidR="00A45923" w:rsidRPr="00A11BD6">
        <w:rPr>
          <w:rFonts w:ascii="Times New Roman" w:hAnsi="Times New Roman" w:cs="Times New Roman"/>
          <w:b/>
          <w:sz w:val="24"/>
          <w:szCs w:val="24"/>
        </w:rPr>
        <w:lastRenderedPageBreak/>
        <w:t>Marco Fiscal de Mediano Plazo — MFMP</w:t>
      </w:r>
    </w:p>
    <w:p w14:paraId="457CFAA3" w14:textId="786E89CD" w:rsidR="00A45923" w:rsidRPr="00A11BD6" w:rsidRDefault="00A45923" w:rsidP="002433BD">
      <w:pPr>
        <w:spacing w:after="0" w:line="240" w:lineRule="auto"/>
        <w:jc w:val="center"/>
        <w:rPr>
          <w:rFonts w:ascii="Times New Roman" w:hAnsi="Times New Roman" w:cs="Times New Roman"/>
          <w:b/>
          <w:sz w:val="24"/>
          <w:szCs w:val="24"/>
        </w:rPr>
      </w:pPr>
      <w:r w:rsidRPr="00A11BD6">
        <w:rPr>
          <w:rFonts w:ascii="Times New Roman" w:hAnsi="Times New Roman" w:cs="Times New Roman"/>
          <w:b/>
          <w:sz w:val="24"/>
          <w:szCs w:val="24"/>
        </w:rPr>
        <w:t>Munici</w:t>
      </w:r>
      <w:r w:rsidR="006B69E6" w:rsidRPr="00A11BD6">
        <w:rPr>
          <w:rFonts w:ascii="Times New Roman" w:hAnsi="Times New Roman" w:cs="Times New Roman"/>
          <w:b/>
          <w:sz w:val="24"/>
          <w:szCs w:val="24"/>
        </w:rPr>
        <w:t>palidad de Guatemala</w:t>
      </w:r>
    </w:p>
    <w:sdt>
      <w:sdtPr>
        <w:rPr>
          <w:rFonts w:asciiTheme="minorHAnsi" w:eastAsiaTheme="minorEastAsia" w:hAnsiTheme="minorHAnsi" w:cstheme="minorBidi"/>
          <w:b w:val="0"/>
          <w:bCs w:val="0"/>
          <w:color w:val="auto"/>
          <w:sz w:val="22"/>
          <w:szCs w:val="22"/>
          <w:lang w:val="es-ES" w:eastAsia="es-CO"/>
        </w:rPr>
        <w:id w:val="1358076859"/>
        <w:docPartObj>
          <w:docPartGallery w:val="Table of Contents"/>
          <w:docPartUnique/>
        </w:docPartObj>
      </w:sdtPr>
      <w:sdtEndPr>
        <w:rPr>
          <w:noProof/>
          <w:lang w:val="es-CO"/>
        </w:rPr>
      </w:sdtEndPr>
      <w:sdtContent>
        <w:p w14:paraId="309255FE" w14:textId="2070F524" w:rsidR="00DB5D93" w:rsidRDefault="00DB5D93">
          <w:pPr>
            <w:pStyle w:val="TOCHeading"/>
          </w:pPr>
          <w:r>
            <w:rPr>
              <w:lang w:val="es-ES"/>
            </w:rPr>
            <w:t>Tabla de contenido</w:t>
          </w:r>
        </w:p>
        <w:p w14:paraId="2568DC6F" w14:textId="77777777" w:rsidR="00C204AB" w:rsidRDefault="00DB5D93">
          <w:pPr>
            <w:pStyle w:val="TOC1"/>
            <w:tabs>
              <w:tab w:val="right" w:leader="dot" w:pos="8828"/>
            </w:tabs>
            <w:rPr>
              <w:rFonts w:asciiTheme="minorHAnsi" w:hAnsiTheme="minorHAnsi"/>
              <w:b w:val="0"/>
              <w:noProof/>
              <w:color w:val="auto"/>
              <w:lang w:val="es-ES_tradnl" w:eastAsia="ja-JP"/>
            </w:rPr>
          </w:pPr>
          <w:r>
            <w:fldChar w:fldCharType="begin"/>
          </w:r>
          <w:r>
            <w:instrText xml:space="preserve"> TOC \o "1-5" </w:instrText>
          </w:r>
          <w:r>
            <w:fldChar w:fldCharType="separate"/>
          </w:r>
          <w:r w:rsidR="00C204AB">
            <w:rPr>
              <w:noProof/>
            </w:rPr>
            <w:t>Introducción</w:t>
          </w:r>
          <w:r w:rsidR="00C204AB">
            <w:rPr>
              <w:noProof/>
            </w:rPr>
            <w:tab/>
          </w:r>
          <w:r w:rsidR="00C204AB">
            <w:rPr>
              <w:noProof/>
            </w:rPr>
            <w:fldChar w:fldCharType="begin"/>
          </w:r>
          <w:r w:rsidR="00C204AB">
            <w:rPr>
              <w:noProof/>
            </w:rPr>
            <w:instrText xml:space="preserve"> PAGEREF _Toc223473012 \h </w:instrText>
          </w:r>
          <w:r w:rsidR="00C204AB">
            <w:rPr>
              <w:noProof/>
            </w:rPr>
          </w:r>
          <w:r w:rsidR="00C204AB">
            <w:rPr>
              <w:noProof/>
            </w:rPr>
            <w:fldChar w:fldCharType="separate"/>
          </w:r>
          <w:r w:rsidR="00C5361F">
            <w:rPr>
              <w:noProof/>
            </w:rPr>
            <w:t>3</w:t>
          </w:r>
          <w:r w:rsidR="00C204AB">
            <w:rPr>
              <w:noProof/>
            </w:rPr>
            <w:fldChar w:fldCharType="end"/>
          </w:r>
        </w:p>
        <w:p w14:paraId="42DD66BD" w14:textId="77777777" w:rsidR="00C204AB" w:rsidRDefault="00C204AB">
          <w:pPr>
            <w:pStyle w:val="TOC2"/>
            <w:tabs>
              <w:tab w:val="right" w:leader="dot" w:pos="8828"/>
            </w:tabs>
            <w:rPr>
              <w:noProof/>
              <w:sz w:val="24"/>
              <w:szCs w:val="24"/>
              <w:lang w:val="es-ES_tradnl" w:eastAsia="ja-JP"/>
            </w:rPr>
          </w:pPr>
          <w:r>
            <w:rPr>
              <w:noProof/>
            </w:rPr>
            <w:t>Panorama general</w:t>
          </w:r>
          <w:r>
            <w:rPr>
              <w:noProof/>
            </w:rPr>
            <w:tab/>
          </w:r>
          <w:r>
            <w:rPr>
              <w:noProof/>
            </w:rPr>
            <w:fldChar w:fldCharType="begin"/>
          </w:r>
          <w:r>
            <w:rPr>
              <w:noProof/>
            </w:rPr>
            <w:instrText xml:space="preserve"> PAGEREF _Toc223473013 \h </w:instrText>
          </w:r>
          <w:r>
            <w:rPr>
              <w:noProof/>
            </w:rPr>
          </w:r>
          <w:r>
            <w:rPr>
              <w:noProof/>
            </w:rPr>
            <w:fldChar w:fldCharType="separate"/>
          </w:r>
          <w:r w:rsidR="00C5361F">
            <w:rPr>
              <w:noProof/>
            </w:rPr>
            <w:t>3</w:t>
          </w:r>
          <w:r>
            <w:rPr>
              <w:noProof/>
            </w:rPr>
            <w:fldChar w:fldCharType="end"/>
          </w:r>
        </w:p>
        <w:p w14:paraId="42BB4763" w14:textId="77777777" w:rsidR="00C204AB" w:rsidRDefault="00C204AB">
          <w:pPr>
            <w:pStyle w:val="TOC3"/>
            <w:tabs>
              <w:tab w:val="right" w:leader="dot" w:pos="8828"/>
            </w:tabs>
            <w:rPr>
              <w:i w:val="0"/>
              <w:noProof/>
              <w:sz w:val="24"/>
              <w:szCs w:val="24"/>
              <w:lang w:val="es-ES_tradnl" w:eastAsia="ja-JP"/>
            </w:rPr>
          </w:pPr>
          <w:r>
            <w:rPr>
              <w:noProof/>
            </w:rPr>
            <w:t>1.  La Municipalidad en el contexto regional y nacional</w:t>
          </w:r>
          <w:r>
            <w:rPr>
              <w:noProof/>
            </w:rPr>
            <w:tab/>
          </w:r>
          <w:r>
            <w:rPr>
              <w:noProof/>
            </w:rPr>
            <w:fldChar w:fldCharType="begin"/>
          </w:r>
          <w:r>
            <w:rPr>
              <w:noProof/>
            </w:rPr>
            <w:instrText xml:space="preserve"> PAGEREF _Toc223473014 \h </w:instrText>
          </w:r>
          <w:r>
            <w:rPr>
              <w:noProof/>
            </w:rPr>
          </w:r>
          <w:r>
            <w:rPr>
              <w:noProof/>
            </w:rPr>
            <w:fldChar w:fldCharType="separate"/>
          </w:r>
          <w:r w:rsidR="00C5361F">
            <w:rPr>
              <w:noProof/>
            </w:rPr>
            <w:t>3</w:t>
          </w:r>
          <w:r>
            <w:rPr>
              <w:noProof/>
            </w:rPr>
            <w:fldChar w:fldCharType="end"/>
          </w:r>
        </w:p>
        <w:p w14:paraId="25AE7BEE" w14:textId="77777777" w:rsidR="00C204AB" w:rsidRDefault="00C204AB">
          <w:pPr>
            <w:pStyle w:val="TOC3"/>
            <w:tabs>
              <w:tab w:val="right" w:leader="dot" w:pos="8828"/>
            </w:tabs>
            <w:rPr>
              <w:i w:val="0"/>
              <w:noProof/>
              <w:sz w:val="24"/>
              <w:szCs w:val="24"/>
              <w:lang w:val="es-ES_tradnl" w:eastAsia="ja-JP"/>
            </w:rPr>
          </w:pPr>
          <w:r>
            <w:rPr>
              <w:noProof/>
            </w:rPr>
            <w:t>2.  Características de las fuentes de financiamiento de la Municipalidad</w:t>
          </w:r>
          <w:r>
            <w:rPr>
              <w:noProof/>
            </w:rPr>
            <w:tab/>
          </w:r>
          <w:r>
            <w:rPr>
              <w:noProof/>
            </w:rPr>
            <w:fldChar w:fldCharType="begin"/>
          </w:r>
          <w:r>
            <w:rPr>
              <w:noProof/>
            </w:rPr>
            <w:instrText xml:space="preserve"> PAGEREF _Toc223473015 \h </w:instrText>
          </w:r>
          <w:r>
            <w:rPr>
              <w:noProof/>
            </w:rPr>
          </w:r>
          <w:r>
            <w:rPr>
              <w:noProof/>
            </w:rPr>
            <w:fldChar w:fldCharType="separate"/>
          </w:r>
          <w:r w:rsidR="00C5361F">
            <w:rPr>
              <w:noProof/>
            </w:rPr>
            <w:t>6</w:t>
          </w:r>
          <w:r>
            <w:rPr>
              <w:noProof/>
            </w:rPr>
            <w:fldChar w:fldCharType="end"/>
          </w:r>
        </w:p>
        <w:p w14:paraId="31D52092" w14:textId="77777777" w:rsidR="00C204AB" w:rsidRDefault="00C204AB">
          <w:pPr>
            <w:pStyle w:val="TOC4"/>
            <w:tabs>
              <w:tab w:val="right" w:leader="dot" w:pos="8828"/>
            </w:tabs>
            <w:rPr>
              <w:noProof/>
              <w:sz w:val="24"/>
              <w:szCs w:val="24"/>
              <w:lang w:val="es-ES_tradnl" w:eastAsia="ja-JP"/>
            </w:rPr>
          </w:pPr>
          <w:r>
            <w:rPr>
              <w:noProof/>
            </w:rPr>
            <w:t>2.1  Ingresos propios</w:t>
          </w:r>
          <w:r>
            <w:rPr>
              <w:noProof/>
            </w:rPr>
            <w:tab/>
          </w:r>
          <w:r>
            <w:rPr>
              <w:noProof/>
            </w:rPr>
            <w:fldChar w:fldCharType="begin"/>
          </w:r>
          <w:r>
            <w:rPr>
              <w:noProof/>
            </w:rPr>
            <w:instrText xml:space="preserve"> PAGEREF _Toc223473016 \h </w:instrText>
          </w:r>
          <w:r>
            <w:rPr>
              <w:noProof/>
            </w:rPr>
          </w:r>
          <w:r>
            <w:rPr>
              <w:noProof/>
            </w:rPr>
            <w:fldChar w:fldCharType="separate"/>
          </w:r>
          <w:r w:rsidR="00C5361F">
            <w:rPr>
              <w:noProof/>
            </w:rPr>
            <w:t>6</w:t>
          </w:r>
          <w:r>
            <w:rPr>
              <w:noProof/>
            </w:rPr>
            <w:fldChar w:fldCharType="end"/>
          </w:r>
        </w:p>
        <w:p w14:paraId="584F42FA" w14:textId="77777777" w:rsidR="00C204AB" w:rsidRDefault="00C204AB">
          <w:pPr>
            <w:pStyle w:val="TOC5"/>
            <w:tabs>
              <w:tab w:val="right" w:leader="dot" w:pos="8828"/>
            </w:tabs>
            <w:rPr>
              <w:noProof/>
              <w:sz w:val="24"/>
              <w:szCs w:val="24"/>
              <w:lang w:val="es-ES_tradnl" w:eastAsia="ja-JP"/>
            </w:rPr>
          </w:pPr>
          <w:r>
            <w:rPr>
              <w:noProof/>
            </w:rPr>
            <w:t>Ingresos Tributarios</w:t>
          </w:r>
          <w:r>
            <w:rPr>
              <w:noProof/>
            </w:rPr>
            <w:tab/>
          </w:r>
          <w:r>
            <w:rPr>
              <w:noProof/>
            </w:rPr>
            <w:fldChar w:fldCharType="begin"/>
          </w:r>
          <w:r>
            <w:rPr>
              <w:noProof/>
            </w:rPr>
            <w:instrText xml:space="preserve"> PAGEREF _Toc223473017 \h </w:instrText>
          </w:r>
          <w:r>
            <w:rPr>
              <w:noProof/>
            </w:rPr>
          </w:r>
          <w:r>
            <w:rPr>
              <w:noProof/>
            </w:rPr>
            <w:fldChar w:fldCharType="separate"/>
          </w:r>
          <w:r w:rsidR="00C5361F">
            <w:rPr>
              <w:noProof/>
            </w:rPr>
            <w:t>6</w:t>
          </w:r>
          <w:r>
            <w:rPr>
              <w:noProof/>
            </w:rPr>
            <w:fldChar w:fldCharType="end"/>
          </w:r>
        </w:p>
        <w:p w14:paraId="73C944AA" w14:textId="77777777" w:rsidR="00C204AB" w:rsidRDefault="00C204AB">
          <w:pPr>
            <w:pStyle w:val="TOC5"/>
            <w:tabs>
              <w:tab w:val="right" w:leader="dot" w:pos="8828"/>
            </w:tabs>
            <w:rPr>
              <w:noProof/>
              <w:sz w:val="24"/>
              <w:szCs w:val="24"/>
              <w:lang w:val="es-ES_tradnl" w:eastAsia="ja-JP"/>
            </w:rPr>
          </w:pPr>
          <w:r>
            <w:rPr>
              <w:noProof/>
            </w:rPr>
            <w:t>Ingresos No Tributarios y Venta de Bienes y Servicios.</w:t>
          </w:r>
          <w:r>
            <w:rPr>
              <w:noProof/>
            </w:rPr>
            <w:tab/>
          </w:r>
          <w:r>
            <w:rPr>
              <w:noProof/>
            </w:rPr>
            <w:fldChar w:fldCharType="begin"/>
          </w:r>
          <w:r>
            <w:rPr>
              <w:noProof/>
            </w:rPr>
            <w:instrText xml:space="preserve"> PAGEREF _Toc223473018 \h </w:instrText>
          </w:r>
          <w:r>
            <w:rPr>
              <w:noProof/>
            </w:rPr>
          </w:r>
          <w:r>
            <w:rPr>
              <w:noProof/>
            </w:rPr>
            <w:fldChar w:fldCharType="separate"/>
          </w:r>
          <w:r w:rsidR="00C5361F">
            <w:rPr>
              <w:noProof/>
            </w:rPr>
            <w:t>7</w:t>
          </w:r>
          <w:r>
            <w:rPr>
              <w:noProof/>
            </w:rPr>
            <w:fldChar w:fldCharType="end"/>
          </w:r>
        </w:p>
        <w:p w14:paraId="0B5C116A" w14:textId="77777777" w:rsidR="00C204AB" w:rsidRDefault="00C204AB">
          <w:pPr>
            <w:pStyle w:val="TOC4"/>
            <w:tabs>
              <w:tab w:val="right" w:leader="dot" w:pos="8828"/>
            </w:tabs>
            <w:rPr>
              <w:noProof/>
              <w:sz w:val="24"/>
              <w:szCs w:val="24"/>
              <w:lang w:val="es-ES_tradnl" w:eastAsia="ja-JP"/>
            </w:rPr>
          </w:pPr>
          <w:r>
            <w:rPr>
              <w:noProof/>
            </w:rPr>
            <w:t>2.2  Transferencias</w:t>
          </w:r>
          <w:r>
            <w:rPr>
              <w:noProof/>
            </w:rPr>
            <w:tab/>
          </w:r>
          <w:r>
            <w:rPr>
              <w:noProof/>
            </w:rPr>
            <w:fldChar w:fldCharType="begin"/>
          </w:r>
          <w:r>
            <w:rPr>
              <w:noProof/>
            </w:rPr>
            <w:instrText xml:space="preserve"> PAGEREF _Toc223473019 \h </w:instrText>
          </w:r>
          <w:r>
            <w:rPr>
              <w:noProof/>
            </w:rPr>
          </w:r>
          <w:r>
            <w:rPr>
              <w:noProof/>
            </w:rPr>
            <w:fldChar w:fldCharType="separate"/>
          </w:r>
          <w:r w:rsidR="00C5361F">
            <w:rPr>
              <w:noProof/>
            </w:rPr>
            <w:t>8</w:t>
          </w:r>
          <w:r>
            <w:rPr>
              <w:noProof/>
            </w:rPr>
            <w:fldChar w:fldCharType="end"/>
          </w:r>
        </w:p>
        <w:p w14:paraId="6614D976" w14:textId="77777777" w:rsidR="00C204AB" w:rsidRDefault="00C204AB">
          <w:pPr>
            <w:pStyle w:val="TOC2"/>
            <w:tabs>
              <w:tab w:val="right" w:leader="dot" w:pos="8828"/>
            </w:tabs>
            <w:rPr>
              <w:noProof/>
              <w:sz w:val="24"/>
              <w:szCs w:val="24"/>
              <w:lang w:val="es-ES_tradnl" w:eastAsia="ja-JP"/>
            </w:rPr>
          </w:pPr>
          <w:r>
            <w:rPr>
              <w:noProof/>
            </w:rPr>
            <w:t>II. Diagnóstico Fiscal y Financiero de la Municipalidad</w:t>
          </w:r>
          <w:r>
            <w:rPr>
              <w:noProof/>
            </w:rPr>
            <w:tab/>
          </w:r>
          <w:r>
            <w:rPr>
              <w:noProof/>
            </w:rPr>
            <w:fldChar w:fldCharType="begin"/>
          </w:r>
          <w:r>
            <w:rPr>
              <w:noProof/>
            </w:rPr>
            <w:instrText xml:space="preserve"> PAGEREF _Toc223473020 \h </w:instrText>
          </w:r>
          <w:r>
            <w:rPr>
              <w:noProof/>
            </w:rPr>
          </w:r>
          <w:r>
            <w:rPr>
              <w:noProof/>
            </w:rPr>
            <w:fldChar w:fldCharType="separate"/>
          </w:r>
          <w:r w:rsidR="00C5361F">
            <w:rPr>
              <w:noProof/>
            </w:rPr>
            <w:t>10</w:t>
          </w:r>
          <w:r>
            <w:rPr>
              <w:noProof/>
            </w:rPr>
            <w:fldChar w:fldCharType="end"/>
          </w:r>
        </w:p>
        <w:p w14:paraId="48E7686C" w14:textId="77777777" w:rsidR="00C204AB" w:rsidRDefault="00C204AB">
          <w:pPr>
            <w:pStyle w:val="TOC3"/>
            <w:tabs>
              <w:tab w:val="right" w:leader="dot" w:pos="8828"/>
            </w:tabs>
            <w:rPr>
              <w:i w:val="0"/>
              <w:noProof/>
              <w:sz w:val="24"/>
              <w:szCs w:val="24"/>
              <w:lang w:val="es-ES_tradnl" w:eastAsia="ja-JP"/>
            </w:rPr>
          </w:pPr>
          <w:r>
            <w:rPr>
              <w:noProof/>
            </w:rPr>
            <w:t>1.  Análisis Fiscal para los años 2008-2012.</w:t>
          </w:r>
          <w:r>
            <w:rPr>
              <w:noProof/>
            </w:rPr>
            <w:tab/>
          </w:r>
          <w:r>
            <w:rPr>
              <w:noProof/>
            </w:rPr>
            <w:fldChar w:fldCharType="begin"/>
          </w:r>
          <w:r>
            <w:rPr>
              <w:noProof/>
            </w:rPr>
            <w:instrText xml:space="preserve"> PAGEREF _Toc223473021 \h </w:instrText>
          </w:r>
          <w:r>
            <w:rPr>
              <w:noProof/>
            </w:rPr>
          </w:r>
          <w:r>
            <w:rPr>
              <w:noProof/>
            </w:rPr>
            <w:fldChar w:fldCharType="separate"/>
          </w:r>
          <w:r w:rsidR="00C5361F">
            <w:rPr>
              <w:noProof/>
            </w:rPr>
            <w:t>11</w:t>
          </w:r>
          <w:r>
            <w:rPr>
              <w:noProof/>
            </w:rPr>
            <w:fldChar w:fldCharType="end"/>
          </w:r>
        </w:p>
        <w:p w14:paraId="709DC7EE" w14:textId="77777777" w:rsidR="00C204AB" w:rsidRDefault="00C204AB">
          <w:pPr>
            <w:pStyle w:val="TOC4"/>
            <w:tabs>
              <w:tab w:val="right" w:leader="dot" w:pos="8828"/>
            </w:tabs>
            <w:rPr>
              <w:noProof/>
              <w:sz w:val="24"/>
              <w:szCs w:val="24"/>
              <w:lang w:val="es-ES_tradnl" w:eastAsia="ja-JP"/>
            </w:rPr>
          </w:pPr>
          <w:r>
            <w:rPr>
              <w:noProof/>
            </w:rPr>
            <w:t>1.1  Ingreso Total</w:t>
          </w:r>
          <w:r>
            <w:rPr>
              <w:noProof/>
            </w:rPr>
            <w:tab/>
          </w:r>
          <w:r>
            <w:rPr>
              <w:noProof/>
            </w:rPr>
            <w:fldChar w:fldCharType="begin"/>
          </w:r>
          <w:r>
            <w:rPr>
              <w:noProof/>
            </w:rPr>
            <w:instrText xml:space="preserve"> PAGEREF _Toc223473022 \h </w:instrText>
          </w:r>
          <w:r>
            <w:rPr>
              <w:noProof/>
            </w:rPr>
          </w:r>
          <w:r>
            <w:rPr>
              <w:noProof/>
            </w:rPr>
            <w:fldChar w:fldCharType="separate"/>
          </w:r>
          <w:r w:rsidR="00C5361F">
            <w:rPr>
              <w:noProof/>
            </w:rPr>
            <w:t>11</w:t>
          </w:r>
          <w:r>
            <w:rPr>
              <w:noProof/>
            </w:rPr>
            <w:fldChar w:fldCharType="end"/>
          </w:r>
        </w:p>
        <w:p w14:paraId="700BE759" w14:textId="77777777" w:rsidR="00C204AB" w:rsidRDefault="00C204AB">
          <w:pPr>
            <w:pStyle w:val="TOC5"/>
            <w:tabs>
              <w:tab w:val="right" w:leader="dot" w:pos="8828"/>
            </w:tabs>
            <w:rPr>
              <w:noProof/>
              <w:sz w:val="24"/>
              <w:szCs w:val="24"/>
              <w:lang w:val="es-ES_tradnl" w:eastAsia="ja-JP"/>
            </w:rPr>
          </w:pPr>
          <w:r>
            <w:rPr>
              <w:noProof/>
            </w:rPr>
            <w:t>Transferencias de Capital</w:t>
          </w:r>
          <w:r>
            <w:rPr>
              <w:noProof/>
            </w:rPr>
            <w:tab/>
          </w:r>
          <w:r>
            <w:rPr>
              <w:noProof/>
            </w:rPr>
            <w:fldChar w:fldCharType="begin"/>
          </w:r>
          <w:r>
            <w:rPr>
              <w:noProof/>
            </w:rPr>
            <w:instrText xml:space="preserve"> PAGEREF _Toc223473023 \h </w:instrText>
          </w:r>
          <w:r>
            <w:rPr>
              <w:noProof/>
            </w:rPr>
          </w:r>
          <w:r>
            <w:rPr>
              <w:noProof/>
            </w:rPr>
            <w:fldChar w:fldCharType="separate"/>
          </w:r>
          <w:r w:rsidR="00C5361F">
            <w:rPr>
              <w:noProof/>
            </w:rPr>
            <w:t>12</w:t>
          </w:r>
          <w:r>
            <w:rPr>
              <w:noProof/>
            </w:rPr>
            <w:fldChar w:fldCharType="end"/>
          </w:r>
        </w:p>
        <w:p w14:paraId="13B74522" w14:textId="77777777" w:rsidR="00C204AB" w:rsidRDefault="00C204AB">
          <w:pPr>
            <w:pStyle w:val="TOC5"/>
            <w:tabs>
              <w:tab w:val="right" w:leader="dot" w:pos="8828"/>
            </w:tabs>
            <w:rPr>
              <w:noProof/>
              <w:sz w:val="24"/>
              <w:szCs w:val="24"/>
              <w:lang w:val="es-ES_tradnl" w:eastAsia="ja-JP"/>
            </w:rPr>
          </w:pPr>
          <w:r>
            <w:rPr>
              <w:noProof/>
            </w:rPr>
            <w:t>Otras fuentes de financiamiento.</w:t>
          </w:r>
          <w:r>
            <w:rPr>
              <w:noProof/>
            </w:rPr>
            <w:tab/>
          </w:r>
          <w:r>
            <w:rPr>
              <w:noProof/>
            </w:rPr>
            <w:fldChar w:fldCharType="begin"/>
          </w:r>
          <w:r>
            <w:rPr>
              <w:noProof/>
            </w:rPr>
            <w:instrText xml:space="preserve"> PAGEREF _Toc223473024 \h </w:instrText>
          </w:r>
          <w:r>
            <w:rPr>
              <w:noProof/>
            </w:rPr>
          </w:r>
          <w:r>
            <w:rPr>
              <w:noProof/>
            </w:rPr>
            <w:fldChar w:fldCharType="separate"/>
          </w:r>
          <w:r w:rsidR="00C5361F">
            <w:rPr>
              <w:noProof/>
            </w:rPr>
            <w:t>12</w:t>
          </w:r>
          <w:r>
            <w:rPr>
              <w:noProof/>
            </w:rPr>
            <w:fldChar w:fldCharType="end"/>
          </w:r>
        </w:p>
        <w:p w14:paraId="78E3F04E" w14:textId="77777777" w:rsidR="00C204AB" w:rsidRDefault="00C204AB">
          <w:pPr>
            <w:pStyle w:val="TOC4"/>
            <w:tabs>
              <w:tab w:val="right" w:leader="dot" w:pos="8828"/>
            </w:tabs>
            <w:rPr>
              <w:noProof/>
              <w:sz w:val="24"/>
              <w:szCs w:val="24"/>
              <w:lang w:val="es-ES_tradnl" w:eastAsia="ja-JP"/>
            </w:rPr>
          </w:pPr>
          <w:r>
            <w:rPr>
              <w:noProof/>
            </w:rPr>
            <w:t>1.2  Gasto Total</w:t>
          </w:r>
          <w:r>
            <w:rPr>
              <w:noProof/>
            </w:rPr>
            <w:tab/>
          </w:r>
          <w:r>
            <w:rPr>
              <w:noProof/>
            </w:rPr>
            <w:fldChar w:fldCharType="begin"/>
          </w:r>
          <w:r>
            <w:rPr>
              <w:noProof/>
            </w:rPr>
            <w:instrText xml:space="preserve"> PAGEREF _Toc223473025 \h </w:instrText>
          </w:r>
          <w:r>
            <w:rPr>
              <w:noProof/>
            </w:rPr>
          </w:r>
          <w:r>
            <w:rPr>
              <w:noProof/>
            </w:rPr>
            <w:fldChar w:fldCharType="separate"/>
          </w:r>
          <w:r w:rsidR="00C5361F">
            <w:rPr>
              <w:noProof/>
            </w:rPr>
            <w:t>13</w:t>
          </w:r>
          <w:r>
            <w:rPr>
              <w:noProof/>
            </w:rPr>
            <w:fldChar w:fldCharType="end"/>
          </w:r>
        </w:p>
        <w:p w14:paraId="5B86E110" w14:textId="77777777" w:rsidR="00C204AB" w:rsidRDefault="00C204AB">
          <w:pPr>
            <w:pStyle w:val="TOC5"/>
            <w:tabs>
              <w:tab w:val="right" w:leader="dot" w:pos="8828"/>
            </w:tabs>
            <w:rPr>
              <w:noProof/>
              <w:sz w:val="24"/>
              <w:szCs w:val="24"/>
              <w:lang w:val="es-ES_tradnl" w:eastAsia="ja-JP"/>
            </w:rPr>
          </w:pPr>
          <w:r>
            <w:rPr>
              <w:noProof/>
            </w:rPr>
            <w:t>Pensiones</w:t>
          </w:r>
          <w:r>
            <w:rPr>
              <w:noProof/>
            </w:rPr>
            <w:tab/>
          </w:r>
          <w:r>
            <w:rPr>
              <w:noProof/>
            </w:rPr>
            <w:fldChar w:fldCharType="begin"/>
          </w:r>
          <w:r>
            <w:rPr>
              <w:noProof/>
            </w:rPr>
            <w:instrText xml:space="preserve"> PAGEREF _Toc223473026 \h </w:instrText>
          </w:r>
          <w:r>
            <w:rPr>
              <w:noProof/>
            </w:rPr>
          </w:r>
          <w:r>
            <w:rPr>
              <w:noProof/>
            </w:rPr>
            <w:fldChar w:fldCharType="separate"/>
          </w:r>
          <w:r w:rsidR="00C5361F">
            <w:rPr>
              <w:noProof/>
            </w:rPr>
            <w:t>14</w:t>
          </w:r>
          <w:r>
            <w:rPr>
              <w:noProof/>
            </w:rPr>
            <w:fldChar w:fldCharType="end"/>
          </w:r>
        </w:p>
        <w:p w14:paraId="6074FF0C" w14:textId="77777777" w:rsidR="00C204AB" w:rsidRDefault="00C204AB">
          <w:pPr>
            <w:pStyle w:val="TOC5"/>
            <w:tabs>
              <w:tab w:val="right" w:leader="dot" w:pos="8828"/>
            </w:tabs>
            <w:rPr>
              <w:noProof/>
              <w:sz w:val="24"/>
              <w:szCs w:val="24"/>
              <w:lang w:val="es-ES_tradnl" w:eastAsia="ja-JP"/>
            </w:rPr>
          </w:pPr>
          <w:r>
            <w:rPr>
              <w:noProof/>
            </w:rPr>
            <w:t>Deuda con la Seguridad Social.</w:t>
          </w:r>
          <w:r>
            <w:rPr>
              <w:noProof/>
            </w:rPr>
            <w:tab/>
          </w:r>
          <w:r>
            <w:rPr>
              <w:noProof/>
            </w:rPr>
            <w:fldChar w:fldCharType="begin"/>
          </w:r>
          <w:r>
            <w:rPr>
              <w:noProof/>
            </w:rPr>
            <w:instrText xml:space="preserve"> PAGEREF _Toc223473027 \h </w:instrText>
          </w:r>
          <w:r>
            <w:rPr>
              <w:noProof/>
            </w:rPr>
          </w:r>
          <w:r>
            <w:rPr>
              <w:noProof/>
            </w:rPr>
            <w:fldChar w:fldCharType="separate"/>
          </w:r>
          <w:r w:rsidR="00C5361F">
            <w:rPr>
              <w:noProof/>
            </w:rPr>
            <w:t>15</w:t>
          </w:r>
          <w:r>
            <w:rPr>
              <w:noProof/>
            </w:rPr>
            <w:fldChar w:fldCharType="end"/>
          </w:r>
        </w:p>
        <w:p w14:paraId="03696035" w14:textId="77777777" w:rsidR="00C204AB" w:rsidRDefault="00C204AB">
          <w:pPr>
            <w:pStyle w:val="TOC3"/>
            <w:tabs>
              <w:tab w:val="right" w:leader="dot" w:pos="8828"/>
            </w:tabs>
            <w:rPr>
              <w:i w:val="0"/>
              <w:noProof/>
              <w:sz w:val="24"/>
              <w:szCs w:val="24"/>
              <w:lang w:val="es-ES_tradnl" w:eastAsia="ja-JP"/>
            </w:rPr>
          </w:pPr>
          <w:r>
            <w:rPr>
              <w:noProof/>
            </w:rPr>
            <w:t>2.  Balance Financiero</w:t>
          </w:r>
          <w:r>
            <w:rPr>
              <w:noProof/>
            </w:rPr>
            <w:tab/>
          </w:r>
          <w:r>
            <w:rPr>
              <w:noProof/>
            </w:rPr>
            <w:fldChar w:fldCharType="begin"/>
          </w:r>
          <w:r>
            <w:rPr>
              <w:noProof/>
            </w:rPr>
            <w:instrText xml:space="preserve"> PAGEREF _Toc223473028 \h </w:instrText>
          </w:r>
          <w:r>
            <w:rPr>
              <w:noProof/>
            </w:rPr>
          </w:r>
          <w:r>
            <w:rPr>
              <w:noProof/>
            </w:rPr>
            <w:fldChar w:fldCharType="separate"/>
          </w:r>
          <w:r w:rsidR="00C5361F">
            <w:rPr>
              <w:noProof/>
            </w:rPr>
            <w:t>15</w:t>
          </w:r>
          <w:r>
            <w:rPr>
              <w:noProof/>
            </w:rPr>
            <w:fldChar w:fldCharType="end"/>
          </w:r>
        </w:p>
        <w:p w14:paraId="7C9C737E" w14:textId="77777777" w:rsidR="00C204AB" w:rsidRDefault="00C204AB">
          <w:pPr>
            <w:pStyle w:val="TOC4"/>
            <w:tabs>
              <w:tab w:val="right" w:leader="dot" w:pos="8828"/>
            </w:tabs>
            <w:rPr>
              <w:noProof/>
              <w:sz w:val="24"/>
              <w:szCs w:val="24"/>
              <w:lang w:val="es-ES_tradnl" w:eastAsia="ja-JP"/>
            </w:rPr>
          </w:pPr>
          <w:r>
            <w:rPr>
              <w:noProof/>
            </w:rPr>
            <w:t>2.1  Análisis de Sostenibilidad del Gasto de Funcionamiento</w:t>
          </w:r>
          <w:r>
            <w:rPr>
              <w:noProof/>
            </w:rPr>
            <w:tab/>
          </w:r>
          <w:r>
            <w:rPr>
              <w:noProof/>
            </w:rPr>
            <w:fldChar w:fldCharType="begin"/>
          </w:r>
          <w:r>
            <w:rPr>
              <w:noProof/>
            </w:rPr>
            <w:instrText xml:space="preserve"> PAGEREF _Toc223473029 \h </w:instrText>
          </w:r>
          <w:r>
            <w:rPr>
              <w:noProof/>
            </w:rPr>
          </w:r>
          <w:r>
            <w:rPr>
              <w:noProof/>
            </w:rPr>
            <w:fldChar w:fldCharType="separate"/>
          </w:r>
          <w:r w:rsidR="00C5361F">
            <w:rPr>
              <w:noProof/>
            </w:rPr>
            <w:t>16</w:t>
          </w:r>
          <w:r>
            <w:rPr>
              <w:noProof/>
            </w:rPr>
            <w:fldChar w:fldCharType="end"/>
          </w:r>
        </w:p>
        <w:p w14:paraId="1907A95A" w14:textId="77777777" w:rsidR="00C204AB" w:rsidRDefault="00C204AB">
          <w:pPr>
            <w:pStyle w:val="TOC5"/>
            <w:tabs>
              <w:tab w:val="right" w:leader="dot" w:pos="8828"/>
            </w:tabs>
            <w:rPr>
              <w:noProof/>
              <w:sz w:val="24"/>
              <w:szCs w:val="24"/>
              <w:lang w:val="es-ES_tradnl" w:eastAsia="ja-JP"/>
            </w:rPr>
          </w:pPr>
          <w:r>
            <w:rPr>
              <w:noProof/>
            </w:rPr>
            <w:t>Consideraciones técnicas</w:t>
          </w:r>
          <w:r>
            <w:rPr>
              <w:noProof/>
            </w:rPr>
            <w:tab/>
          </w:r>
          <w:r>
            <w:rPr>
              <w:noProof/>
            </w:rPr>
            <w:fldChar w:fldCharType="begin"/>
          </w:r>
          <w:r>
            <w:rPr>
              <w:noProof/>
            </w:rPr>
            <w:instrText xml:space="preserve"> PAGEREF _Toc223473030 \h </w:instrText>
          </w:r>
          <w:r>
            <w:rPr>
              <w:noProof/>
            </w:rPr>
          </w:r>
          <w:r>
            <w:rPr>
              <w:noProof/>
            </w:rPr>
            <w:fldChar w:fldCharType="separate"/>
          </w:r>
          <w:r w:rsidR="00C5361F">
            <w:rPr>
              <w:noProof/>
            </w:rPr>
            <w:t>16</w:t>
          </w:r>
          <w:r>
            <w:rPr>
              <w:noProof/>
            </w:rPr>
            <w:fldChar w:fldCharType="end"/>
          </w:r>
        </w:p>
        <w:p w14:paraId="55F8AFD8" w14:textId="77777777" w:rsidR="00C204AB" w:rsidRDefault="00C204AB">
          <w:pPr>
            <w:pStyle w:val="TOC4"/>
            <w:tabs>
              <w:tab w:val="right" w:leader="dot" w:pos="8828"/>
            </w:tabs>
            <w:rPr>
              <w:noProof/>
              <w:sz w:val="24"/>
              <w:szCs w:val="24"/>
              <w:lang w:val="es-ES_tradnl" w:eastAsia="ja-JP"/>
            </w:rPr>
          </w:pPr>
          <w:r>
            <w:rPr>
              <w:noProof/>
            </w:rPr>
            <w:t>2.2  Deuda Pública y Capacidad de Endeudamiento</w:t>
          </w:r>
          <w:r>
            <w:rPr>
              <w:noProof/>
            </w:rPr>
            <w:tab/>
          </w:r>
          <w:r>
            <w:rPr>
              <w:noProof/>
            </w:rPr>
            <w:fldChar w:fldCharType="begin"/>
          </w:r>
          <w:r>
            <w:rPr>
              <w:noProof/>
            </w:rPr>
            <w:instrText xml:space="preserve"> PAGEREF _Toc223473031 \h </w:instrText>
          </w:r>
          <w:r>
            <w:rPr>
              <w:noProof/>
            </w:rPr>
          </w:r>
          <w:r>
            <w:rPr>
              <w:noProof/>
            </w:rPr>
            <w:fldChar w:fldCharType="separate"/>
          </w:r>
          <w:r w:rsidR="00C5361F">
            <w:rPr>
              <w:noProof/>
            </w:rPr>
            <w:t>18</w:t>
          </w:r>
          <w:r>
            <w:rPr>
              <w:noProof/>
            </w:rPr>
            <w:fldChar w:fldCharType="end"/>
          </w:r>
        </w:p>
        <w:p w14:paraId="407EDC9E" w14:textId="77777777" w:rsidR="00C204AB" w:rsidRDefault="00C204AB">
          <w:pPr>
            <w:pStyle w:val="TOC5"/>
            <w:tabs>
              <w:tab w:val="right" w:leader="dot" w:pos="8828"/>
            </w:tabs>
            <w:rPr>
              <w:noProof/>
              <w:sz w:val="24"/>
              <w:szCs w:val="24"/>
              <w:lang w:val="es-ES_tradnl" w:eastAsia="ja-JP"/>
            </w:rPr>
          </w:pPr>
          <w:r>
            <w:rPr>
              <w:noProof/>
            </w:rPr>
            <w:t>Relación de la Deuda Pública Financiera</w:t>
          </w:r>
          <w:r>
            <w:rPr>
              <w:noProof/>
            </w:rPr>
            <w:tab/>
          </w:r>
          <w:r>
            <w:rPr>
              <w:noProof/>
            </w:rPr>
            <w:fldChar w:fldCharType="begin"/>
          </w:r>
          <w:r>
            <w:rPr>
              <w:noProof/>
            </w:rPr>
            <w:instrText xml:space="preserve"> PAGEREF _Toc223473032 \h </w:instrText>
          </w:r>
          <w:r>
            <w:rPr>
              <w:noProof/>
            </w:rPr>
          </w:r>
          <w:r>
            <w:rPr>
              <w:noProof/>
            </w:rPr>
            <w:fldChar w:fldCharType="separate"/>
          </w:r>
          <w:r w:rsidR="00C5361F">
            <w:rPr>
              <w:noProof/>
            </w:rPr>
            <w:t>18</w:t>
          </w:r>
          <w:r>
            <w:rPr>
              <w:noProof/>
            </w:rPr>
            <w:fldChar w:fldCharType="end"/>
          </w:r>
        </w:p>
        <w:p w14:paraId="5DE2697F" w14:textId="77777777" w:rsidR="00C204AB" w:rsidRDefault="00C204AB">
          <w:pPr>
            <w:pStyle w:val="TOC5"/>
            <w:tabs>
              <w:tab w:val="right" w:leader="dot" w:pos="8828"/>
            </w:tabs>
            <w:rPr>
              <w:noProof/>
              <w:sz w:val="24"/>
              <w:szCs w:val="24"/>
              <w:lang w:val="es-ES_tradnl" w:eastAsia="ja-JP"/>
            </w:rPr>
          </w:pPr>
          <w:r>
            <w:rPr>
              <w:noProof/>
            </w:rPr>
            <w:t>Construcción de Indicadores de Capacidad de Endeudamiento</w:t>
          </w:r>
          <w:r>
            <w:rPr>
              <w:noProof/>
            </w:rPr>
            <w:tab/>
          </w:r>
          <w:r>
            <w:rPr>
              <w:noProof/>
            </w:rPr>
            <w:fldChar w:fldCharType="begin"/>
          </w:r>
          <w:r>
            <w:rPr>
              <w:noProof/>
            </w:rPr>
            <w:instrText xml:space="preserve"> PAGEREF _Toc223473033 \h </w:instrText>
          </w:r>
          <w:r>
            <w:rPr>
              <w:noProof/>
            </w:rPr>
          </w:r>
          <w:r>
            <w:rPr>
              <w:noProof/>
            </w:rPr>
            <w:fldChar w:fldCharType="separate"/>
          </w:r>
          <w:r w:rsidR="00C5361F">
            <w:rPr>
              <w:noProof/>
            </w:rPr>
            <w:t>19</w:t>
          </w:r>
          <w:r>
            <w:rPr>
              <w:noProof/>
            </w:rPr>
            <w:fldChar w:fldCharType="end"/>
          </w:r>
        </w:p>
        <w:p w14:paraId="51F60DA5" w14:textId="77777777" w:rsidR="00C204AB" w:rsidRDefault="00C204AB">
          <w:pPr>
            <w:pStyle w:val="TOC4"/>
            <w:tabs>
              <w:tab w:val="right" w:leader="dot" w:pos="8828"/>
            </w:tabs>
            <w:rPr>
              <w:noProof/>
              <w:sz w:val="24"/>
              <w:szCs w:val="24"/>
              <w:lang w:val="es-ES_tradnl" w:eastAsia="ja-JP"/>
            </w:rPr>
          </w:pPr>
          <w:r>
            <w:rPr>
              <w:noProof/>
            </w:rPr>
            <w:t>2.3  Nuevo endeudamiento financiero.</w:t>
          </w:r>
          <w:r>
            <w:rPr>
              <w:noProof/>
            </w:rPr>
            <w:tab/>
          </w:r>
          <w:r>
            <w:rPr>
              <w:noProof/>
            </w:rPr>
            <w:fldChar w:fldCharType="begin"/>
          </w:r>
          <w:r>
            <w:rPr>
              <w:noProof/>
            </w:rPr>
            <w:instrText xml:space="preserve"> PAGEREF _Toc223473034 \h </w:instrText>
          </w:r>
          <w:r>
            <w:rPr>
              <w:noProof/>
            </w:rPr>
          </w:r>
          <w:r>
            <w:rPr>
              <w:noProof/>
            </w:rPr>
            <w:fldChar w:fldCharType="separate"/>
          </w:r>
          <w:r w:rsidR="00C5361F">
            <w:rPr>
              <w:noProof/>
            </w:rPr>
            <w:t>20</w:t>
          </w:r>
          <w:r>
            <w:rPr>
              <w:noProof/>
            </w:rPr>
            <w:fldChar w:fldCharType="end"/>
          </w:r>
        </w:p>
        <w:p w14:paraId="67764AFB" w14:textId="77777777" w:rsidR="00C204AB" w:rsidRDefault="00C204AB">
          <w:pPr>
            <w:pStyle w:val="TOC5"/>
            <w:tabs>
              <w:tab w:val="right" w:leader="dot" w:pos="8828"/>
            </w:tabs>
            <w:rPr>
              <w:noProof/>
              <w:sz w:val="24"/>
              <w:szCs w:val="24"/>
              <w:lang w:val="es-ES_tradnl" w:eastAsia="ja-JP"/>
            </w:rPr>
          </w:pPr>
          <w:r>
            <w:rPr>
              <w:noProof/>
            </w:rPr>
            <w:t>Garantías</w:t>
          </w:r>
          <w:r>
            <w:rPr>
              <w:noProof/>
            </w:rPr>
            <w:tab/>
          </w:r>
          <w:r>
            <w:rPr>
              <w:noProof/>
            </w:rPr>
            <w:fldChar w:fldCharType="begin"/>
          </w:r>
          <w:r>
            <w:rPr>
              <w:noProof/>
            </w:rPr>
            <w:instrText xml:space="preserve"> PAGEREF _Toc223473035 \h </w:instrText>
          </w:r>
          <w:r>
            <w:rPr>
              <w:noProof/>
            </w:rPr>
          </w:r>
          <w:r>
            <w:rPr>
              <w:noProof/>
            </w:rPr>
            <w:fldChar w:fldCharType="separate"/>
          </w:r>
          <w:r w:rsidR="00C5361F">
            <w:rPr>
              <w:noProof/>
            </w:rPr>
            <w:t>22</w:t>
          </w:r>
          <w:r>
            <w:rPr>
              <w:noProof/>
            </w:rPr>
            <w:fldChar w:fldCharType="end"/>
          </w:r>
        </w:p>
        <w:p w14:paraId="4027696F" w14:textId="77777777" w:rsidR="00C204AB" w:rsidRDefault="00C204AB">
          <w:pPr>
            <w:pStyle w:val="TOC1"/>
            <w:tabs>
              <w:tab w:val="right" w:leader="dot" w:pos="8828"/>
            </w:tabs>
            <w:rPr>
              <w:rFonts w:asciiTheme="minorHAnsi" w:hAnsiTheme="minorHAnsi"/>
              <w:b w:val="0"/>
              <w:noProof/>
              <w:color w:val="auto"/>
              <w:lang w:val="es-ES_tradnl" w:eastAsia="ja-JP"/>
            </w:rPr>
          </w:pPr>
          <w:r>
            <w:rPr>
              <w:noProof/>
            </w:rPr>
            <w:t>Conclusiones y recomendaciones</w:t>
          </w:r>
          <w:r>
            <w:rPr>
              <w:noProof/>
            </w:rPr>
            <w:tab/>
          </w:r>
          <w:r>
            <w:rPr>
              <w:noProof/>
            </w:rPr>
            <w:fldChar w:fldCharType="begin"/>
          </w:r>
          <w:r>
            <w:rPr>
              <w:noProof/>
            </w:rPr>
            <w:instrText xml:space="preserve"> PAGEREF _Toc223473036 \h </w:instrText>
          </w:r>
          <w:r>
            <w:rPr>
              <w:noProof/>
            </w:rPr>
          </w:r>
          <w:r>
            <w:rPr>
              <w:noProof/>
            </w:rPr>
            <w:fldChar w:fldCharType="separate"/>
          </w:r>
          <w:r w:rsidR="00C5361F">
            <w:rPr>
              <w:noProof/>
            </w:rPr>
            <w:t>24</w:t>
          </w:r>
          <w:r>
            <w:rPr>
              <w:noProof/>
            </w:rPr>
            <w:fldChar w:fldCharType="end"/>
          </w:r>
        </w:p>
        <w:p w14:paraId="43049088" w14:textId="77777777" w:rsidR="00C204AB" w:rsidRDefault="00C204AB">
          <w:pPr>
            <w:pStyle w:val="TOC1"/>
            <w:tabs>
              <w:tab w:val="right" w:leader="dot" w:pos="8828"/>
            </w:tabs>
            <w:rPr>
              <w:rFonts w:asciiTheme="minorHAnsi" w:hAnsiTheme="minorHAnsi"/>
              <w:b w:val="0"/>
              <w:noProof/>
              <w:color w:val="auto"/>
              <w:lang w:val="es-ES_tradnl" w:eastAsia="ja-JP"/>
            </w:rPr>
          </w:pPr>
          <w:r>
            <w:rPr>
              <w:noProof/>
            </w:rPr>
            <w:t>Anexo 1  - BALANCE FINANCIERO 2008 – 2012</w:t>
          </w:r>
          <w:r>
            <w:rPr>
              <w:noProof/>
            </w:rPr>
            <w:tab/>
          </w:r>
          <w:r>
            <w:rPr>
              <w:noProof/>
            </w:rPr>
            <w:fldChar w:fldCharType="begin"/>
          </w:r>
          <w:r>
            <w:rPr>
              <w:noProof/>
            </w:rPr>
            <w:instrText xml:space="preserve"> PAGEREF _Toc223473037 \h </w:instrText>
          </w:r>
          <w:r>
            <w:rPr>
              <w:noProof/>
            </w:rPr>
          </w:r>
          <w:r>
            <w:rPr>
              <w:noProof/>
            </w:rPr>
            <w:fldChar w:fldCharType="separate"/>
          </w:r>
          <w:r w:rsidR="00C5361F">
            <w:rPr>
              <w:noProof/>
            </w:rPr>
            <w:t>27</w:t>
          </w:r>
          <w:r>
            <w:rPr>
              <w:noProof/>
            </w:rPr>
            <w:fldChar w:fldCharType="end"/>
          </w:r>
        </w:p>
        <w:p w14:paraId="212976A4" w14:textId="77777777" w:rsidR="00C204AB" w:rsidRDefault="00C204AB">
          <w:pPr>
            <w:pStyle w:val="TOC1"/>
            <w:tabs>
              <w:tab w:val="right" w:leader="dot" w:pos="8828"/>
            </w:tabs>
            <w:rPr>
              <w:rFonts w:asciiTheme="minorHAnsi" w:hAnsiTheme="minorHAnsi"/>
              <w:b w:val="0"/>
              <w:noProof/>
              <w:color w:val="auto"/>
              <w:lang w:val="es-ES_tradnl" w:eastAsia="ja-JP"/>
            </w:rPr>
          </w:pPr>
          <w:r>
            <w:rPr>
              <w:noProof/>
            </w:rPr>
            <w:t>Anexo 2  - BALANCE FINANCIERO PROYECCIONES 2013 – 2022</w:t>
          </w:r>
          <w:r>
            <w:rPr>
              <w:noProof/>
            </w:rPr>
            <w:tab/>
          </w:r>
          <w:r>
            <w:rPr>
              <w:noProof/>
            </w:rPr>
            <w:fldChar w:fldCharType="begin"/>
          </w:r>
          <w:r>
            <w:rPr>
              <w:noProof/>
            </w:rPr>
            <w:instrText xml:space="preserve"> PAGEREF _Toc223473038 \h </w:instrText>
          </w:r>
          <w:r>
            <w:rPr>
              <w:noProof/>
            </w:rPr>
          </w:r>
          <w:r>
            <w:rPr>
              <w:noProof/>
            </w:rPr>
            <w:fldChar w:fldCharType="separate"/>
          </w:r>
          <w:r w:rsidR="00C5361F">
            <w:rPr>
              <w:noProof/>
            </w:rPr>
            <w:t>28</w:t>
          </w:r>
          <w:r>
            <w:rPr>
              <w:noProof/>
            </w:rPr>
            <w:fldChar w:fldCharType="end"/>
          </w:r>
        </w:p>
        <w:p w14:paraId="4EB9451F" w14:textId="77777777" w:rsidR="00C204AB" w:rsidRDefault="00C204AB">
          <w:pPr>
            <w:pStyle w:val="TOC1"/>
            <w:tabs>
              <w:tab w:val="right" w:leader="dot" w:pos="8828"/>
            </w:tabs>
            <w:rPr>
              <w:rFonts w:asciiTheme="minorHAnsi" w:hAnsiTheme="minorHAnsi"/>
              <w:b w:val="0"/>
              <w:noProof/>
              <w:color w:val="auto"/>
              <w:lang w:val="es-ES_tradnl" w:eastAsia="ja-JP"/>
            </w:rPr>
          </w:pPr>
          <w:r>
            <w:rPr>
              <w:noProof/>
            </w:rPr>
            <w:t>Anexo 3 - INGRESOS MUNICIPALES</w:t>
          </w:r>
          <w:r>
            <w:rPr>
              <w:noProof/>
            </w:rPr>
            <w:tab/>
          </w:r>
          <w:r>
            <w:rPr>
              <w:noProof/>
            </w:rPr>
            <w:fldChar w:fldCharType="begin"/>
          </w:r>
          <w:r>
            <w:rPr>
              <w:noProof/>
            </w:rPr>
            <w:instrText xml:space="preserve"> PAGEREF _Toc223473039 \h </w:instrText>
          </w:r>
          <w:r>
            <w:rPr>
              <w:noProof/>
            </w:rPr>
          </w:r>
          <w:r>
            <w:rPr>
              <w:noProof/>
            </w:rPr>
            <w:fldChar w:fldCharType="separate"/>
          </w:r>
          <w:r w:rsidR="00C5361F">
            <w:rPr>
              <w:noProof/>
            </w:rPr>
            <w:t>29</w:t>
          </w:r>
          <w:r>
            <w:rPr>
              <w:noProof/>
            </w:rPr>
            <w:fldChar w:fldCharType="end"/>
          </w:r>
        </w:p>
        <w:p w14:paraId="349DA468" w14:textId="77777777" w:rsidR="00C204AB" w:rsidRDefault="00C204AB">
          <w:pPr>
            <w:pStyle w:val="TOC4"/>
            <w:tabs>
              <w:tab w:val="right" w:leader="dot" w:pos="8828"/>
            </w:tabs>
            <w:rPr>
              <w:noProof/>
              <w:sz w:val="24"/>
              <w:szCs w:val="24"/>
              <w:lang w:val="es-ES_tradnl" w:eastAsia="ja-JP"/>
            </w:rPr>
          </w:pPr>
          <w:r w:rsidRPr="00E70E99">
            <w:rPr>
              <w:rFonts w:ascii="Times New Roman" w:hAnsi="Times New Roman" w:cs="Times New Roman"/>
              <w:noProof/>
            </w:rPr>
            <w:t>El Impuesto Único Sobre Inmuebles — IUSI</w:t>
          </w:r>
          <w:r>
            <w:rPr>
              <w:noProof/>
            </w:rPr>
            <w:tab/>
          </w:r>
          <w:r>
            <w:rPr>
              <w:noProof/>
            </w:rPr>
            <w:fldChar w:fldCharType="begin"/>
          </w:r>
          <w:r>
            <w:rPr>
              <w:noProof/>
            </w:rPr>
            <w:instrText xml:space="preserve"> PAGEREF _Toc223473040 \h </w:instrText>
          </w:r>
          <w:r>
            <w:rPr>
              <w:noProof/>
            </w:rPr>
          </w:r>
          <w:r>
            <w:rPr>
              <w:noProof/>
            </w:rPr>
            <w:fldChar w:fldCharType="separate"/>
          </w:r>
          <w:r w:rsidR="00C5361F">
            <w:rPr>
              <w:noProof/>
            </w:rPr>
            <w:t>29</w:t>
          </w:r>
          <w:r>
            <w:rPr>
              <w:noProof/>
            </w:rPr>
            <w:fldChar w:fldCharType="end"/>
          </w:r>
        </w:p>
        <w:p w14:paraId="1EB90412" w14:textId="77777777" w:rsidR="00C204AB" w:rsidRDefault="00C204AB">
          <w:pPr>
            <w:pStyle w:val="TOC4"/>
            <w:tabs>
              <w:tab w:val="right" w:leader="dot" w:pos="8828"/>
            </w:tabs>
            <w:rPr>
              <w:noProof/>
              <w:sz w:val="24"/>
              <w:szCs w:val="24"/>
              <w:lang w:val="es-ES_tradnl" w:eastAsia="ja-JP"/>
            </w:rPr>
          </w:pPr>
          <w:r w:rsidRPr="00E70E99">
            <w:rPr>
              <w:rFonts w:ascii="Times New Roman" w:hAnsi="Times New Roman" w:cs="Times New Roman"/>
              <w:noProof/>
            </w:rPr>
            <w:t>El Impuesto sobre los Derivados del Petróleo</w:t>
          </w:r>
          <w:r>
            <w:rPr>
              <w:noProof/>
            </w:rPr>
            <w:tab/>
          </w:r>
          <w:r>
            <w:rPr>
              <w:noProof/>
            </w:rPr>
            <w:fldChar w:fldCharType="begin"/>
          </w:r>
          <w:r>
            <w:rPr>
              <w:noProof/>
            </w:rPr>
            <w:instrText xml:space="preserve"> PAGEREF _Toc223473041 \h </w:instrText>
          </w:r>
          <w:r>
            <w:rPr>
              <w:noProof/>
            </w:rPr>
          </w:r>
          <w:r>
            <w:rPr>
              <w:noProof/>
            </w:rPr>
            <w:fldChar w:fldCharType="separate"/>
          </w:r>
          <w:r w:rsidR="00C5361F">
            <w:rPr>
              <w:noProof/>
            </w:rPr>
            <w:t>31</w:t>
          </w:r>
          <w:r>
            <w:rPr>
              <w:noProof/>
            </w:rPr>
            <w:fldChar w:fldCharType="end"/>
          </w:r>
        </w:p>
        <w:p w14:paraId="3ADDFBA9" w14:textId="77777777" w:rsidR="00C204AB" w:rsidRDefault="00C204AB">
          <w:pPr>
            <w:pStyle w:val="TOC4"/>
            <w:tabs>
              <w:tab w:val="right" w:leader="dot" w:pos="8828"/>
            </w:tabs>
            <w:rPr>
              <w:noProof/>
              <w:sz w:val="24"/>
              <w:szCs w:val="24"/>
              <w:lang w:val="es-ES_tradnl" w:eastAsia="ja-JP"/>
            </w:rPr>
          </w:pPr>
          <w:r w:rsidRPr="00E70E99">
            <w:rPr>
              <w:rFonts w:ascii="Times New Roman" w:hAnsi="Times New Roman" w:cs="Times New Roman"/>
              <w:noProof/>
            </w:rPr>
            <w:t>Los Arbitrios Municipales.</w:t>
          </w:r>
          <w:r>
            <w:rPr>
              <w:noProof/>
            </w:rPr>
            <w:tab/>
          </w:r>
          <w:r>
            <w:rPr>
              <w:noProof/>
            </w:rPr>
            <w:fldChar w:fldCharType="begin"/>
          </w:r>
          <w:r>
            <w:rPr>
              <w:noProof/>
            </w:rPr>
            <w:instrText xml:space="preserve"> PAGEREF _Toc223473042 \h </w:instrText>
          </w:r>
          <w:r>
            <w:rPr>
              <w:noProof/>
            </w:rPr>
          </w:r>
          <w:r>
            <w:rPr>
              <w:noProof/>
            </w:rPr>
            <w:fldChar w:fldCharType="separate"/>
          </w:r>
          <w:r w:rsidR="00C5361F">
            <w:rPr>
              <w:noProof/>
            </w:rPr>
            <w:t>33</w:t>
          </w:r>
          <w:r>
            <w:rPr>
              <w:noProof/>
            </w:rPr>
            <w:fldChar w:fldCharType="end"/>
          </w:r>
        </w:p>
        <w:p w14:paraId="710C430E" w14:textId="77777777" w:rsidR="00C204AB" w:rsidRDefault="00C204AB">
          <w:pPr>
            <w:pStyle w:val="TOC1"/>
            <w:tabs>
              <w:tab w:val="right" w:leader="dot" w:pos="8828"/>
            </w:tabs>
            <w:rPr>
              <w:rFonts w:asciiTheme="minorHAnsi" w:hAnsiTheme="minorHAnsi"/>
              <w:b w:val="0"/>
              <w:noProof/>
              <w:color w:val="auto"/>
              <w:lang w:val="es-ES_tradnl" w:eastAsia="ja-JP"/>
            </w:rPr>
          </w:pPr>
          <w:r>
            <w:rPr>
              <w:noProof/>
            </w:rPr>
            <w:t>Anexo 4  - Entidad Metropolitana Reguladora de Transporte y Tránsito.</w:t>
          </w:r>
          <w:r>
            <w:rPr>
              <w:noProof/>
            </w:rPr>
            <w:tab/>
          </w:r>
          <w:r>
            <w:rPr>
              <w:noProof/>
            </w:rPr>
            <w:fldChar w:fldCharType="begin"/>
          </w:r>
          <w:r>
            <w:rPr>
              <w:noProof/>
            </w:rPr>
            <w:instrText xml:space="preserve"> PAGEREF _Toc223473043 \h </w:instrText>
          </w:r>
          <w:r>
            <w:rPr>
              <w:noProof/>
            </w:rPr>
          </w:r>
          <w:r>
            <w:rPr>
              <w:noProof/>
            </w:rPr>
            <w:fldChar w:fldCharType="separate"/>
          </w:r>
          <w:r w:rsidR="00C5361F">
            <w:rPr>
              <w:noProof/>
            </w:rPr>
            <w:t>35</w:t>
          </w:r>
          <w:r>
            <w:rPr>
              <w:noProof/>
            </w:rPr>
            <w:fldChar w:fldCharType="end"/>
          </w:r>
        </w:p>
        <w:p w14:paraId="7E7566EB" w14:textId="77777777" w:rsidR="00C204AB" w:rsidRDefault="00C204AB">
          <w:pPr>
            <w:pStyle w:val="TOC1"/>
            <w:tabs>
              <w:tab w:val="right" w:leader="dot" w:pos="8828"/>
            </w:tabs>
            <w:rPr>
              <w:rFonts w:asciiTheme="minorHAnsi" w:hAnsiTheme="minorHAnsi"/>
              <w:b w:val="0"/>
              <w:noProof/>
              <w:color w:val="auto"/>
              <w:lang w:val="es-ES_tradnl" w:eastAsia="ja-JP"/>
            </w:rPr>
          </w:pPr>
          <w:r>
            <w:rPr>
              <w:noProof/>
            </w:rPr>
            <w:t>Anexo 5 - Fideicomisos.</w:t>
          </w:r>
          <w:r>
            <w:rPr>
              <w:noProof/>
            </w:rPr>
            <w:tab/>
          </w:r>
          <w:r>
            <w:rPr>
              <w:noProof/>
            </w:rPr>
            <w:fldChar w:fldCharType="begin"/>
          </w:r>
          <w:r>
            <w:rPr>
              <w:noProof/>
            </w:rPr>
            <w:instrText xml:space="preserve"> PAGEREF _Toc223473044 \h </w:instrText>
          </w:r>
          <w:r>
            <w:rPr>
              <w:noProof/>
            </w:rPr>
          </w:r>
          <w:r>
            <w:rPr>
              <w:noProof/>
            </w:rPr>
            <w:fldChar w:fldCharType="separate"/>
          </w:r>
          <w:r w:rsidR="00C5361F">
            <w:rPr>
              <w:noProof/>
            </w:rPr>
            <w:t>36</w:t>
          </w:r>
          <w:r>
            <w:rPr>
              <w:noProof/>
            </w:rPr>
            <w:fldChar w:fldCharType="end"/>
          </w:r>
        </w:p>
        <w:p w14:paraId="2452DD35" w14:textId="14C5449F" w:rsidR="003A39CC" w:rsidRPr="007C74FA" w:rsidRDefault="00DB5D93" w:rsidP="007C74FA">
          <w:r>
            <w:rPr>
              <w:rFonts w:asciiTheme="majorHAnsi" w:hAnsiTheme="majorHAnsi"/>
              <w:color w:val="548DD4"/>
              <w:sz w:val="24"/>
              <w:szCs w:val="24"/>
            </w:rPr>
            <w:fldChar w:fldCharType="end"/>
          </w:r>
        </w:p>
      </w:sdtContent>
    </w:sdt>
    <w:p w14:paraId="078F5A42" w14:textId="75598645" w:rsidR="00FF59D8" w:rsidRPr="00F37A5F" w:rsidRDefault="00E46364" w:rsidP="00F37A5F">
      <w:pPr>
        <w:pStyle w:val="Heading1"/>
      </w:pPr>
      <w:bookmarkStart w:id="1" w:name="_Toc214285416"/>
      <w:bookmarkStart w:id="2" w:name="_Ref214296972"/>
      <w:bookmarkStart w:id="3" w:name="_Ref214298082"/>
      <w:bookmarkStart w:id="4" w:name="_Toc219009939"/>
      <w:bookmarkStart w:id="5" w:name="_Ref219010797"/>
      <w:bookmarkStart w:id="6" w:name="_Toc223473012"/>
      <w:r w:rsidRPr="00F37A5F">
        <w:lastRenderedPageBreak/>
        <w:t>INTRODUCCIÓN</w:t>
      </w:r>
      <w:bookmarkEnd w:id="1"/>
      <w:bookmarkEnd w:id="2"/>
      <w:bookmarkEnd w:id="3"/>
      <w:bookmarkEnd w:id="4"/>
      <w:bookmarkEnd w:id="5"/>
      <w:bookmarkEnd w:id="6"/>
    </w:p>
    <w:p w14:paraId="21865C7C" w14:textId="77777777" w:rsidR="00D12956" w:rsidRPr="00A11BD6" w:rsidRDefault="00D12956" w:rsidP="002433BD">
      <w:pPr>
        <w:spacing w:after="0" w:line="240" w:lineRule="auto"/>
        <w:jc w:val="both"/>
        <w:rPr>
          <w:rFonts w:ascii="Times New Roman" w:hAnsi="Times New Roman" w:cs="Times New Roman"/>
          <w:sz w:val="24"/>
          <w:szCs w:val="24"/>
        </w:rPr>
      </w:pPr>
    </w:p>
    <w:p w14:paraId="5F5E3733" w14:textId="28858922" w:rsidR="00902DFF" w:rsidRPr="00A11BD6" w:rsidRDefault="00902DFF" w:rsidP="007F1CE5">
      <w:pPr>
        <w:spacing w:after="0" w:line="240" w:lineRule="auto"/>
        <w:jc w:val="both"/>
        <w:rPr>
          <w:rFonts w:ascii="Times New Roman" w:hAnsi="Times New Roman" w:cs="Times New Roman"/>
          <w:sz w:val="24"/>
          <w:szCs w:val="24"/>
        </w:rPr>
      </w:pPr>
      <w:r w:rsidRPr="00A11BD6">
        <w:rPr>
          <w:rFonts w:ascii="Times New Roman" w:hAnsi="Times New Roman" w:cs="Times New Roman"/>
          <w:sz w:val="24"/>
          <w:szCs w:val="24"/>
        </w:rPr>
        <w:t xml:space="preserve">De manera general, </w:t>
      </w:r>
      <w:r w:rsidR="00613BAD" w:rsidRPr="00A11BD6">
        <w:rPr>
          <w:rFonts w:ascii="Times New Roman" w:hAnsi="Times New Roman" w:cs="Times New Roman"/>
          <w:sz w:val="24"/>
          <w:szCs w:val="24"/>
        </w:rPr>
        <w:t xml:space="preserve">los Programas de Gobierno y los </w:t>
      </w:r>
      <w:r w:rsidR="00BF2958" w:rsidRPr="00A11BD6">
        <w:rPr>
          <w:rFonts w:ascii="Times New Roman" w:hAnsi="Times New Roman" w:cs="Times New Roman"/>
          <w:sz w:val="24"/>
          <w:szCs w:val="24"/>
        </w:rPr>
        <w:t>Planes de Desarrollo</w:t>
      </w:r>
      <w:r w:rsidR="00613BAD" w:rsidRPr="00A11BD6">
        <w:rPr>
          <w:rFonts w:ascii="Times New Roman" w:hAnsi="Times New Roman" w:cs="Times New Roman"/>
          <w:sz w:val="24"/>
          <w:szCs w:val="24"/>
        </w:rPr>
        <w:t xml:space="preserve"> </w:t>
      </w:r>
      <w:r w:rsidR="00FF23DD" w:rsidRPr="00A11BD6">
        <w:rPr>
          <w:rFonts w:ascii="Times New Roman" w:hAnsi="Times New Roman" w:cs="Times New Roman"/>
          <w:sz w:val="24"/>
          <w:szCs w:val="24"/>
        </w:rPr>
        <w:t xml:space="preserve">de las autoridades subnacionales </w:t>
      </w:r>
      <w:r w:rsidR="0062400B" w:rsidRPr="00A11BD6">
        <w:rPr>
          <w:rFonts w:ascii="Times New Roman" w:hAnsi="Times New Roman" w:cs="Times New Roman"/>
          <w:sz w:val="24"/>
          <w:szCs w:val="24"/>
        </w:rPr>
        <w:t xml:space="preserve">deben contener </w:t>
      </w:r>
      <w:r w:rsidRPr="00A11BD6">
        <w:rPr>
          <w:rFonts w:ascii="Times New Roman" w:hAnsi="Times New Roman" w:cs="Times New Roman"/>
          <w:sz w:val="24"/>
          <w:szCs w:val="24"/>
        </w:rPr>
        <w:t xml:space="preserve">los </w:t>
      </w:r>
      <w:r w:rsidR="0062400B" w:rsidRPr="00A11BD6">
        <w:rPr>
          <w:rFonts w:ascii="Times New Roman" w:hAnsi="Times New Roman" w:cs="Times New Roman"/>
          <w:sz w:val="24"/>
          <w:szCs w:val="24"/>
        </w:rPr>
        <w:t>análisis de carácter fiscal, económico y normativo</w:t>
      </w:r>
      <w:r w:rsidRPr="00A11BD6">
        <w:rPr>
          <w:rFonts w:ascii="Times New Roman" w:hAnsi="Times New Roman" w:cs="Times New Roman"/>
          <w:sz w:val="24"/>
          <w:szCs w:val="24"/>
        </w:rPr>
        <w:t xml:space="preserve"> que le permitan </w:t>
      </w:r>
      <w:r w:rsidR="0062400B" w:rsidRPr="00A11BD6">
        <w:rPr>
          <w:rFonts w:ascii="Times New Roman" w:hAnsi="Times New Roman" w:cs="Times New Roman"/>
          <w:sz w:val="24"/>
          <w:szCs w:val="24"/>
        </w:rPr>
        <w:t>al administrador de las finanzas públicas</w:t>
      </w:r>
      <w:r w:rsidRPr="00A11BD6">
        <w:rPr>
          <w:rFonts w:ascii="Times New Roman" w:hAnsi="Times New Roman" w:cs="Times New Roman"/>
          <w:sz w:val="24"/>
          <w:szCs w:val="24"/>
        </w:rPr>
        <w:t>,</w:t>
      </w:r>
      <w:r w:rsidR="0062400B" w:rsidRPr="00A11BD6">
        <w:rPr>
          <w:rFonts w:ascii="Times New Roman" w:hAnsi="Times New Roman" w:cs="Times New Roman"/>
          <w:sz w:val="24"/>
          <w:szCs w:val="24"/>
        </w:rPr>
        <w:t xml:space="preserve"> </w:t>
      </w:r>
      <w:r w:rsidRPr="00A11BD6">
        <w:rPr>
          <w:rFonts w:ascii="Times New Roman" w:hAnsi="Times New Roman" w:cs="Times New Roman"/>
          <w:sz w:val="24"/>
          <w:szCs w:val="24"/>
        </w:rPr>
        <w:t xml:space="preserve">disponer de información </w:t>
      </w:r>
      <w:r w:rsidR="0062400B" w:rsidRPr="00A11BD6">
        <w:rPr>
          <w:rFonts w:ascii="Times New Roman" w:hAnsi="Times New Roman" w:cs="Times New Roman"/>
          <w:sz w:val="24"/>
          <w:szCs w:val="24"/>
        </w:rPr>
        <w:t xml:space="preserve">integral </w:t>
      </w:r>
      <w:r w:rsidRPr="00A11BD6">
        <w:rPr>
          <w:rFonts w:ascii="Times New Roman" w:hAnsi="Times New Roman" w:cs="Times New Roman"/>
          <w:sz w:val="24"/>
          <w:szCs w:val="24"/>
        </w:rPr>
        <w:t xml:space="preserve">acerca </w:t>
      </w:r>
      <w:r w:rsidR="0062400B" w:rsidRPr="00A11BD6">
        <w:rPr>
          <w:rFonts w:ascii="Times New Roman" w:hAnsi="Times New Roman" w:cs="Times New Roman"/>
          <w:sz w:val="24"/>
          <w:szCs w:val="24"/>
        </w:rPr>
        <w:t xml:space="preserve">de la situación que enfrenta </w:t>
      </w:r>
      <w:r w:rsidRPr="00A11BD6">
        <w:rPr>
          <w:rFonts w:ascii="Times New Roman" w:hAnsi="Times New Roman" w:cs="Times New Roman"/>
          <w:sz w:val="24"/>
          <w:szCs w:val="24"/>
        </w:rPr>
        <w:t>el respectivo gobierno y,</w:t>
      </w:r>
      <w:r w:rsidR="0062400B" w:rsidRPr="00A11BD6">
        <w:rPr>
          <w:rFonts w:ascii="Times New Roman" w:hAnsi="Times New Roman" w:cs="Times New Roman"/>
          <w:sz w:val="24"/>
          <w:szCs w:val="24"/>
        </w:rPr>
        <w:t xml:space="preserve"> soportado en sus resultados, diseñar una proyección financiera sostenible en un horizonte de mediano plazo</w:t>
      </w:r>
      <w:r w:rsidRPr="00A11BD6">
        <w:rPr>
          <w:rFonts w:ascii="Times New Roman" w:hAnsi="Times New Roman" w:cs="Times New Roman"/>
          <w:sz w:val="24"/>
          <w:szCs w:val="24"/>
        </w:rPr>
        <w:t>.</w:t>
      </w:r>
      <w:r w:rsidR="0062400B" w:rsidRPr="00A11BD6">
        <w:rPr>
          <w:rFonts w:ascii="Times New Roman" w:hAnsi="Times New Roman" w:cs="Times New Roman"/>
          <w:sz w:val="24"/>
          <w:szCs w:val="24"/>
        </w:rPr>
        <w:t xml:space="preserve"> </w:t>
      </w:r>
      <w:r w:rsidRPr="00A11BD6">
        <w:rPr>
          <w:rFonts w:ascii="Times New Roman" w:hAnsi="Times New Roman" w:cs="Times New Roman"/>
          <w:sz w:val="24"/>
          <w:szCs w:val="24"/>
        </w:rPr>
        <w:t xml:space="preserve"> Este análisis permitirá, de manera adicional, </w:t>
      </w:r>
      <w:r w:rsidR="0062400B" w:rsidRPr="00A11BD6">
        <w:rPr>
          <w:rFonts w:ascii="Times New Roman" w:hAnsi="Times New Roman" w:cs="Times New Roman"/>
          <w:sz w:val="24"/>
          <w:szCs w:val="24"/>
        </w:rPr>
        <w:t xml:space="preserve">identificar y </w:t>
      </w:r>
      <w:r w:rsidRPr="00A11BD6">
        <w:rPr>
          <w:rFonts w:ascii="Times New Roman" w:hAnsi="Times New Roman" w:cs="Times New Roman"/>
          <w:sz w:val="24"/>
          <w:szCs w:val="24"/>
        </w:rPr>
        <w:t>cuantific</w:t>
      </w:r>
      <w:r w:rsidR="0062400B" w:rsidRPr="00A11BD6">
        <w:rPr>
          <w:rFonts w:ascii="Times New Roman" w:hAnsi="Times New Roman" w:cs="Times New Roman"/>
          <w:sz w:val="24"/>
          <w:szCs w:val="24"/>
        </w:rPr>
        <w:t xml:space="preserve">ar eventuales </w:t>
      </w:r>
      <w:r w:rsidR="00613BAD" w:rsidRPr="00A11BD6">
        <w:rPr>
          <w:rFonts w:ascii="Times New Roman" w:hAnsi="Times New Roman" w:cs="Times New Roman"/>
          <w:sz w:val="24"/>
          <w:szCs w:val="24"/>
        </w:rPr>
        <w:t>riesgo</w:t>
      </w:r>
      <w:r w:rsidR="00FF23DD" w:rsidRPr="00A11BD6">
        <w:rPr>
          <w:rFonts w:ascii="Times New Roman" w:hAnsi="Times New Roman" w:cs="Times New Roman"/>
          <w:sz w:val="24"/>
          <w:szCs w:val="24"/>
        </w:rPr>
        <w:t>s</w:t>
      </w:r>
      <w:r w:rsidR="00613BAD" w:rsidRPr="00A11BD6">
        <w:rPr>
          <w:rFonts w:ascii="Times New Roman" w:hAnsi="Times New Roman" w:cs="Times New Roman"/>
          <w:sz w:val="24"/>
          <w:szCs w:val="24"/>
        </w:rPr>
        <w:t xml:space="preserve"> </w:t>
      </w:r>
      <w:r w:rsidR="00BF2958" w:rsidRPr="00A11BD6">
        <w:rPr>
          <w:rFonts w:ascii="Times New Roman" w:hAnsi="Times New Roman" w:cs="Times New Roman"/>
          <w:sz w:val="24"/>
          <w:szCs w:val="24"/>
        </w:rPr>
        <w:t>que pueda</w:t>
      </w:r>
      <w:r w:rsidR="007B280A" w:rsidRPr="00A11BD6">
        <w:rPr>
          <w:rFonts w:ascii="Times New Roman" w:hAnsi="Times New Roman" w:cs="Times New Roman"/>
          <w:sz w:val="24"/>
          <w:szCs w:val="24"/>
        </w:rPr>
        <w:t xml:space="preserve"> enfrentar </w:t>
      </w:r>
      <w:r w:rsidR="00FF23DD" w:rsidRPr="00A11BD6">
        <w:rPr>
          <w:rFonts w:ascii="Times New Roman" w:hAnsi="Times New Roman" w:cs="Times New Roman"/>
          <w:sz w:val="24"/>
          <w:szCs w:val="24"/>
        </w:rPr>
        <w:t xml:space="preserve">el gobierno </w:t>
      </w:r>
      <w:r w:rsidRPr="00A11BD6">
        <w:rPr>
          <w:rFonts w:ascii="Times New Roman" w:hAnsi="Times New Roman" w:cs="Times New Roman"/>
          <w:sz w:val="24"/>
          <w:szCs w:val="24"/>
        </w:rPr>
        <w:t xml:space="preserve">subnacional </w:t>
      </w:r>
      <w:r w:rsidR="007B280A" w:rsidRPr="00A11BD6">
        <w:rPr>
          <w:rFonts w:ascii="Times New Roman" w:hAnsi="Times New Roman" w:cs="Times New Roman"/>
          <w:sz w:val="24"/>
          <w:szCs w:val="24"/>
        </w:rPr>
        <w:t>respecto a su estructura de ingresos, gastos y endeudamiento</w:t>
      </w:r>
      <w:r w:rsidRPr="00A11BD6">
        <w:rPr>
          <w:rFonts w:ascii="Times New Roman" w:hAnsi="Times New Roman" w:cs="Times New Roman"/>
          <w:sz w:val="24"/>
          <w:szCs w:val="24"/>
        </w:rPr>
        <w:t>.</w:t>
      </w:r>
    </w:p>
    <w:p w14:paraId="397C4C6E" w14:textId="77777777" w:rsidR="00902DFF" w:rsidRPr="00A11BD6" w:rsidRDefault="00902DFF" w:rsidP="007F1CE5">
      <w:pPr>
        <w:spacing w:after="0" w:line="240" w:lineRule="auto"/>
        <w:jc w:val="both"/>
        <w:rPr>
          <w:rFonts w:ascii="Times New Roman" w:hAnsi="Times New Roman" w:cs="Times New Roman"/>
          <w:sz w:val="24"/>
          <w:szCs w:val="24"/>
        </w:rPr>
      </w:pPr>
    </w:p>
    <w:p w14:paraId="3E1CCF36" w14:textId="3CF1FC36" w:rsidR="002E6E97" w:rsidRPr="00A11BD6" w:rsidRDefault="00902DFF" w:rsidP="007F1CE5">
      <w:pPr>
        <w:spacing w:after="0" w:line="240" w:lineRule="auto"/>
        <w:jc w:val="both"/>
        <w:rPr>
          <w:rFonts w:ascii="Times New Roman" w:hAnsi="Times New Roman" w:cs="Times New Roman"/>
          <w:sz w:val="24"/>
          <w:szCs w:val="24"/>
        </w:rPr>
      </w:pPr>
      <w:r w:rsidRPr="00A11BD6">
        <w:rPr>
          <w:rFonts w:ascii="Times New Roman" w:hAnsi="Times New Roman" w:cs="Times New Roman"/>
          <w:sz w:val="24"/>
          <w:szCs w:val="24"/>
        </w:rPr>
        <w:t>En la literatura fiscal, éste análisis de mediano plazo se realiza a través del denominado Marco Fiscal de Mediano Plazo (MFMP),</w:t>
      </w:r>
      <w:r w:rsidRPr="00A11BD6">
        <w:rPr>
          <w:rStyle w:val="FootnoteReference"/>
          <w:rFonts w:ascii="Times New Roman" w:hAnsi="Times New Roman" w:cs="Times New Roman"/>
          <w:sz w:val="24"/>
          <w:szCs w:val="24"/>
        </w:rPr>
        <w:footnoteReference w:id="1"/>
      </w:r>
      <w:r w:rsidRPr="00A11BD6">
        <w:rPr>
          <w:rFonts w:ascii="Times New Roman" w:hAnsi="Times New Roman" w:cs="Times New Roman"/>
          <w:sz w:val="24"/>
          <w:szCs w:val="24"/>
        </w:rPr>
        <w:t xml:space="preserve"> el cual tiene como propósito expresar los objetivos de política fiscal descritos.  En este orden, el </w:t>
      </w:r>
      <w:r w:rsidR="0062400B" w:rsidRPr="00A11BD6">
        <w:rPr>
          <w:rFonts w:ascii="Times New Roman" w:hAnsi="Times New Roman" w:cs="Times New Roman"/>
          <w:sz w:val="24"/>
          <w:szCs w:val="24"/>
        </w:rPr>
        <w:t xml:space="preserve">presente documento contiene el </w:t>
      </w:r>
      <w:r w:rsidRPr="00A11BD6">
        <w:rPr>
          <w:rFonts w:ascii="Times New Roman" w:hAnsi="Times New Roman" w:cs="Times New Roman"/>
          <w:sz w:val="24"/>
          <w:szCs w:val="24"/>
        </w:rPr>
        <w:t xml:space="preserve">MFMP </w:t>
      </w:r>
      <w:r w:rsidR="0062400B" w:rsidRPr="00A11BD6">
        <w:rPr>
          <w:rFonts w:ascii="Times New Roman" w:hAnsi="Times New Roman" w:cs="Times New Roman"/>
          <w:sz w:val="24"/>
          <w:szCs w:val="24"/>
        </w:rPr>
        <w:t>elaborado para la Municipalidad de Guatemala</w:t>
      </w:r>
      <w:r w:rsidR="00823887" w:rsidRPr="00A11BD6">
        <w:rPr>
          <w:rFonts w:ascii="Times New Roman" w:hAnsi="Times New Roman" w:cs="Times New Roman"/>
          <w:sz w:val="24"/>
          <w:szCs w:val="24"/>
        </w:rPr>
        <w:t>,</w:t>
      </w:r>
      <w:r w:rsidRPr="00A11BD6">
        <w:rPr>
          <w:rFonts w:ascii="Times New Roman" w:hAnsi="Times New Roman" w:cs="Times New Roman"/>
          <w:sz w:val="24"/>
          <w:szCs w:val="24"/>
        </w:rPr>
        <w:t xml:space="preserve"> el cual</w:t>
      </w:r>
      <w:r w:rsidR="00823887" w:rsidRPr="00A11BD6">
        <w:rPr>
          <w:rFonts w:ascii="Times New Roman" w:hAnsi="Times New Roman" w:cs="Times New Roman"/>
          <w:sz w:val="24"/>
          <w:szCs w:val="24"/>
        </w:rPr>
        <w:t xml:space="preserve"> se ha elaborado teniendo como base la información fiscal y financiera aportada por las autoridades municipales.  Para este efecto, s</w:t>
      </w:r>
      <w:r w:rsidR="00BF2958" w:rsidRPr="00A11BD6">
        <w:rPr>
          <w:rFonts w:ascii="Times New Roman" w:hAnsi="Times New Roman" w:cs="Times New Roman"/>
          <w:sz w:val="24"/>
          <w:szCs w:val="24"/>
        </w:rPr>
        <w:t>e presenta</w:t>
      </w:r>
      <w:r w:rsidR="00D463BB" w:rsidRPr="00A11BD6">
        <w:rPr>
          <w:rFonts w:ascii="Times New Roman" w:hAnsi="Times New Roman" w:cs="Times New Roman"/>
          <w:sz w:val="24"/>
          <w:szCs w:val="24"/>
        </w:rPr>
        <w:t>,</w:t>
      </w:r>
      <w:r w:rsidR="00BF2958" w:rsidRPr="00A11BD6">
        <w:rPr>
          <w:rFonts w:ascii="Times New Roman" w:hAnsi="Times New Roman" w:cs="Times New Roman"/>
          <w:sz w:val="24"/>
          <w:szCs w:val="24"/>
        </w:rPr>
        <w:t xml:space="preserve"> </w:t>
      </w:r>
      <w:r w:rsidR="00B9492A" w:rsidRPr="00A11BD6">
        <w:rPr>
          <w:rFonts w:ascii="Times New Roman" w:hAnsi="Times New Roman" w:cs="Times New Roman"/>
          <w:sz w:val="24"/>
          <w:szCs w:val="24"/>
        </w:rPr>
        <w:t>en un primer apartado</w:t>
      </w:r>
      <w:r w:rsidR="00D463BB" w:rsidRPr="00A11BD6">
        <w:rPr>
          <w:rFonts w:ascii="Times New Roman" w:hAnsi="Times New Roman" w:cs="Times New Roman"/>
          <w:sz w:val="24"/>
          <w:szCs w:val="24"/>
        </w:rPr>
        <w:t>,</w:t>
      </w:r>
      <w:r w:rsidR="00B9492A" w:rsidRPr="00A11BD6">
        <w:rPr>
          <w:rFonts w:ascii="Times New Roman" w:hAnsi="Times New Roman" w:cs="Times New Roman"/>
          <w:sz w:val="24"/>
          <w:szCs w:val="24"/>
        </w:rPr>
        <w:t xml:space="preserve"> la</w:t>
      </w:r>
      <w:r w:rsidR="00BF2958" w:rsidRPr="00A11BD6">
        <w:rPr>
          <w:rFonts w:ascii="Times New Roman" w:hAnsi="Times New Roman" w:cs="Times New Roman"/>
          <w:sz w:val="24"/>
          <w:szCs w:val="24"/>
        </w:rPr>
        <w:t xml:space="preserve"> caracterización del contexto en el </w:t>
      </w:r>
      <w:r w:rsidR="00120985">
        <w:rPr>
          <w:rFonts w:ascii="Times New Roman" w:hAnsi="Times New Roman" w:cs="Times New Roman"/>
          <w:sz w:val="24"/>
          <w:szCs w:val="24"/>
        </w:rPr>
        <w:t xml:space="preserve">cual </w:t>
      </w:r>
      <w:r w:rsidR="00BF2958" w:rsidRPr="00A11BD6">
        <w:rPr>
          <w:rFonts w:ascii="Times New Roman" w:hAnsi="Times New Roman" w:cs="Times New Roman"/>
          <w:sz w:val="24"/>
          <w:szCs w:val="24"/>
        </w:rPr>
        <w:t xml:space="preserve">se </w:t>
      </w:r>
      <w:r w:rsidR="00120985">
        <w:rPr>
          <w:rFonts w:ascii="Times New Roman" w:hAnsi="Times New Roman" w:cs="Times New Roman"/>
          <w:sz w:val="24"/>
          <w:szCs w:val="24"/>
        </w:rPr>
        <w:t xml:space="preserve">efectúa el análisis del comportamiento de </w:t>
      </w:r>
      <w:r w:rsidR="00B9492A" w:rsidRPr="00A11BD6">
        <w:rPr>
          <w:rFonts w:ascii="Times New Roman" w:hAnsi="Times New Roman" w:cs="Times New Roman"/>
          <w:sz w:val="24"/>
          <w:szCs w:val="24"/>
        </w:rPr>
        <w:t>las finanzas municipales;</w:t>
      </w:r>
      <w:r w:rsidR="00BF2958" w:rsidRPr="00A11BD6">
        <w:rPr>
          <w:rFonts w:ascii="Times New Roman" w:hAnsi="Times New Roman" w:cs="Times New Roman"/>
          <w:sz w:val="24"/>
          <w:szCs w:val="24"/>
        </w:rPr>
        <w:t xml:space="preserve"> </w:t>
      </w:r>
      <w:r w:rsidR="00B9492A" w:rsidRPr="00A11BD6">
        <w:rPr>
          <w:rFonts w:ascii="Times New Roman" w:hAnsi="Times New Roman" w:cs="Times New Roman"/>
          <w:sz w:val="24"/>
          <w:szCs w:val="24"/>
        </w:rPr>
        <w:t xml:space="preserve">en </w:t>
      </w:r>
      <w:r w:rsidR="00BF2958" w:rsidRPr="00A11BD6">
        <w:rPr>
          <w:rFonts w:ascii="Times New Roman" w:hAnsi="Times New Roman" w:cs="Times New Roman"/>
          <w:sz w:val="24"/>
          <w:szCs w:val="24"/>
        </w:rPr>
        <w:t>un</w:t>
      </w:r>
      <w:r w:rsidR="00B9492A" w:rsidRPr="00A11BD6">
        <w:rPr>
          <w:rFonts w:ascii="Times New Roman" w:hAnsi="Times New Roman" w:cs="Times New Roman"/>
          <w:sz w:val="24"/>
          <w:szCs w:val="24"/>
        </w:rPr>
        <w:t xml:space="preserve"> segundo apartado</w:t>
      </w:r>
      <w:r w:rsidR="00A82512" w:rsidRPr="00A11BD6">
        <w:rPr>
          <w:rFonts w:ascii="Times New Roman" w:hAnsi="Times New Roman" w:cs="Times New Roman"/>
          <w:sz w:val="24"/>
          <w:szCs w:val="24"/>
        </w:rPr>
        <w:t>,</w:t>
      </w:r>
      <w:r w:rsidR="00B9492A" w:rsidRPr="00A11BD6">
        <w:rPr>
          <w:rFonts w:ascii="Times New Roman" w:hAnsi="Times New Roman" w:cs="Times New Roman"/>
          <w:sz w:val="24"/>
          <w:szCs w:val="24"/>
        </w:rPr>
        <w:t xml:space="preserve"> el</w:t>
      </w:r>
      <w:r w:rsidR="00BF2958" w:rsidRPr="00A11BD6">
        <w:rPr>
          <w:rFonts w:ascii="Times New Roman" w:hAnsi="Times New Roman" w:cs="Times New Roman"/>
          <w:sz w:val="24"/>
          <w:szCs w:val="24"/>
        </w:rPr>
        <w:t xml:space="preserve"> análisis de su estructura d</w:t>
      </w:r>
      <w:r w:rsidR="00731A6F" w:rsidRPr="00A11BD6">
        <w:rPr>
          <w:rFonts w:ascii="Times New Roman" w:hAnsi="Times New Roman" w:cs="Times New Roman"/>
          <w:sz w:val="24"/>
          <w:szCs w:val="24"/>
        </w:rPr>
        <w:t>e financiamiento, gasto y deuda;</w:t>
      </w:r>
      <w:r w:rsidR="00BF2958" w:rsidRPr="00A11BD6">
        <w:rPr>
          <w:rFonts w:ascii="Times New Roman" w:hAnsi="Times New Roman" w:cs="Times New Roman"/>
          <w:sz w:val="24"/>
          <w:szCs w:val="24"/>
        </w:rPr>
        <w:t xml:space="preserve"> y</w:t>
      </w:r>
      <w:r w:rsidR="00A82512" w:rsidRPr="00A11BD6">
        <w:rPr>
          <w:rFonts w:ascii="Times New Roman" w:hAnsi="Times New Roman" w:cs="Times New Roman"/>
          <w:sz w:val="24"/>
          <w:szCs w:val="24"/>
        </w:rPr>
        <w:t>,</w:t>
      </w:r>
      <w:r w:rsidR="00BF2958" w:rsidRPr="00A11BD6">
        <w:rPr>
          <w:rFonts w:ascii="Times New Roman" w:hAnsi="Times New Roman" w:cs="Times New Roman"/>
          <w:sz w:val="24"/>
          <w:szCs w:val="24"/>
        </w:rPr>
        <w:t xml:space="preserve"> finalmente</w:t>
      </w:r>
      <w:r w:rsidR="00A82512" w:rsidRPr="00A11BD6">
        <w:rPr>
          <w:rFonts w:ascii="Times New Roman" w:hAnsi="Times New Roman" w:cs="Times New Roman"/>
          <w:sz w:val="24"/>
          <w:szCs w:val="24"/>
        </w:rPr>
        <w:t>,</w:t>
      </w:r>
      <w:r w:rsidR="00BF2958" w:rsidRPr="00A11BD6">
        <w:rPr>
          <w:rFonts w:ascii="Times New Roman" w:hAnsi="Times New Roman" w:cs="Times New Roman"/>
          <w:sz w:val="24"/>
          <w:szCs w:val="24"/>
        </w:rPr>
        <w:t xml:space="preserve"> se presenta una proyección que recoge las condiciones financieras y los ajustes necesarios </w:t>
      </w:r>
      <w:r w:rsidR="009A02A8">
        <w:rPr>
          <w:rFonts w:ascii="Times New Roman" w:hAnsi="Times New Roman" w:cs="Times New Roman"/>
          <w:sz w:val="24"/>
          <w:szCs w:val="24"/>
        </w:rPr>
        <w:t xml:space="preserve">en orden a asegurar </w:t>
      </w:r>
      <w:r w:rsidR="00BF2958" w:rsidRPr="00A11BD6">
        <w:rPr>
          <w:rFonts w:ascii="Times New Roman" w:hAnsi="Times New Roman" w:cs="Times New Roman"/>
          <w:sz w:val="24"/>
          <w:szCs w:val="24"/>
        </w:rPr>
        <w:t>el cumplim</w:t>
      </w:r>
      <w:r w:rsidR="00780A1F" w:rsidRPr="00A11BD6">
        <w:rPr>
          <w:rFonts w:ascii="Times New Roman" w:hAnsi="Times New Roman" w:cs="Times New Roman"/>
          <w:sz w:val="24"/>
          <w:szCs w:val="24"/>
        </w:rPr>
        <w:t xml:space="preserve">iento </w:t>
      </w:r>
      <w:r w:rsidR="00BF2958" w:rsidRPr="00A11BD6">
        <w:rPr>
          <w:rFonts w:ascii="Times New Roman" w:hAnsi="Times New Roman" w:cs="Times New Roman"/>
          <w:sz w:val="24"/>
          <w:szCs w:val="24"/>
        </w:rPr>
        <w:t>de metas fiscales propuestas.</w:t>
      </w:r>
      <w:bookmarkStart w:id="7" w:name="_Toc214285417"/>
      <w:bookmarkStart w:id="8" w:name="_Ref214297034"/>
      <w:bookmarkStart w:id="9" w:name="_Ref214298093"/>
    </w:p>
    <w:p w14:paraId="60A6D609" w14:textId="77777777" w:rsidR="00FE1F9F" w:rsidRPr="00A11BD6" w:rsidRDefault="00FE1F9F" w:rsidP="00331B00">
      <w:pPr>
        <w:rPr>
          <w:rFonts w:ascii="Times New Roman" w:hAnsi="Times New Roman" w:cs="Times New Roman"/>
        </w:rPr>
      </w:pPr>
    </w:p>
    <w:p w14:paraId="3A96D7F7" w14:textId="3584B4D2" w:rsidR="006554CC" w:rsidRPr="00A11BD6" w:rsidRDefault="006554CC" w:rsidP="00F37A5F">
      <w:pPr>
        <w:pStyle w:val="Heading2"/>
      </w:pPr>
      <w:bookmarkStart w:id="10" w:name="_Toc219009940"/>
      <w:bookmarkStart w:id="11" w:name="_Ref219010694"/>
      <w:bookmarkStart w:id="12" w:name="_Ref219010698"/>
      <w:bookmarkStart w:id="13" w:name="_Ref219010863"/>
      <w:bookmarkStart w:id="14" w:name="_Toc223473013"/>
      <w:r w:rsidRPr="00A11BD6">
        <w:t>Panorama general</w:t>
      </w:r>
      <w:bookmarkEnd w:id="7"/>
      <w:bookmarkEnd w:id="8"/>
      <w:bookmarkEnd w:id="9"/>
      <w:bookmarkEnd w:id="10"/>
      <w:bookmarkEnd w:id="11"/>
      <w:bookmarkEnd w:id="12"/>
      <w:bookmarkEnd w:id="13"/>
      <w:bookmarkEnd w:id="14"/>
    </w:p>
    <w:p w14:paraId="7CD9404D" w14:textId="77777777" w:rsidR="002E6E97" w:rsidRPr="00A11BD6" w:rsidRDefault="002E6E97" w:rsidP="002E6E97">
      <w:pPr>
        <w:rPr>
          <w:rFonts w:ascii="Times New Roman" w:hAnsi="Times New Roman" w:cs="Times New Roman"/>
        </w:rPr>
      </w:pPr>
    </w:p>
    <w:p w14:paraId="10EE4A09" w14:textId="40895307" w:rsidR="0043409F" w:rsidRPr="00A11BD6" w:rsidRDefault="00D46548" w:rsidP="00F37A5F">
      <w:pPr>
        <w:pStyle w:val="Heading3"/>
      </w:pPr>
      <w:bookmarkStart w:id="15" w:name="_Toc214285418"/>
      <w:bookmarkStart w:id="16" w:name="_Ref214297080"/>
      <w:bookmarkStart w:id="17" w:name="_Ref214298107"/>
      <w:bookmarkStart w:id="18" w:name="_Toc219009941"/>
      <w:bookmarkStart w:id="19" w:name="_Ref219010898"/>
      <w:bookmarkStart w:id="20" w:name="_Toc223473014"/>
      <w:r w:rsidRPr="00A11BD6">
        <w:t xml:space="preserve">1.  </w:t>
      </w:r>
      <w:r w:rsidR="0043409F" w:rsidRPr="00A11BD6">
        <w:t>La Municipalidad en el contexto regional y nacional</w:t>
      </w:r>
      <w:bookmarkEnd w:id="15"/>
      <w:bookmarkEnd w:id="16"/>
      <w:bookmarkEnd w:id="17"/>
      <w:bookmarkEnd w:id="18"/>
      <w:bookmarkEnd w:id="19"/>
      <w:bookmarkEnd w:id="20"/>
    </w:p>
    <w:p w14:paraId="47E7ED2E" w14:textId="77777777" w:rsidR="006554CC" w:rsidRPr="00A11BD6" w:rsidRDefault="006554CC" w:rsidP="004F0947">
      <w:pPr>
        <w:spacing w:after="0" w:line="240" w:lineRule="auto"/>
        <w:jc w:val="both"/>
        <w:rPr>
          <w:rFonts w:ascii="Times New Roman" w:hAnsi="Times New Roman" w:cs="Times New Roman"/>
          <w:sz w:val="24"/>
          <w:szCs w:val="24"/>
        </w:rPr>
      </w:pPr>
    </w:p>
    <w:p w14:paraId="2782DE5F" w14:textId="207453F7" w:rsidR="006554CC" w:rsidRPr="00A11BD6" w:rsidRDefault="006554CC" w:rsidP="004F0947">
      <w:pPr>
        <w:spacing w:after="0" w:line="240" w:lineRule="auto"/>
        <w:jc w:val="both"/>
        <w:rPr>
          <w:rFonts w:ascii="Times New Roman" w:hAnsi="Times New Roman" w:cs="Times New Roman"/>
          <w:sz w:val="24"/>
          <w:szCs w:val="24"/>
        </w:rPr>
      </w:pPr>
      <w:r w:rsidRPr="00A11BD6">
        <w:rPr>
          <w:rFonts w:ascii="Times New Roman" w:hAnsi="Times New Roman" w:cs="Times New Roman"/>
          <w:color w:val="000000"/>
          <w:sz w:val="24"/>
          <w:szCs w:val="24"/>
          <w:shd w:val="clear" w:color="auto" w:fill="FFFFFF"/>
        </w:rPr>
        <w:t>La</w:t>
      </w:r>
      <w:r w:rsidRPr="00A11BD6">
        <w:rPr>
          <w:rStyle w:val="apple-converted-space"/>
          <w:rFonts w:ascii="Times New Roman" w:hAnsi="Times New Roman" w:cs="Times New Roman"/>
          <w:color w:val="000000"/>
          <w:sz w:val="24"/>
          <w:szCs w:val="24"/>
          <w:shd w:val="clear" w:color="auto" w:fill="FFFFFF"/>
        </w:rPr>
        <w:t xml:space="preserve"> c</w:t>
      </w:r>
      <w:r w:rsidRPr="00A11BD6">
        <w:rPr>
          <w:rFonts w:ascii="Times New Roman" w:hAnsi="Times New Roman" w:cs="Times New Roman"/>
          <w:bCs/>
          <w:color w:val="000000"/>
          <w:sz w:val="24"/>
          <w:szCs w:val="24"/>
          <w:shd w:val="clear" w:color="auto" w:fill="FFFFFF"/>
        </w:rPr>
        <w:t>iudad de Nueva Guatemala de la Asunción</w:t>
      </w:r>
      <w:r w:rsidRPr="00A11BD6">
        <w:rPr>
          <w:rFonts w:ascii="Times New Roman" w:hAnsi="Times New Roman" w:cs="Times New Roman"/>
          <w:color w:val="000000"/>
          <w:sz w:val="24"/>
          <w:szCs w:val="24"/>
          <w:shd w:val="clear" w:color="auto" w:fill="FFFFFF"/>
        </w:rPr>
        <w:t xml:space="preserve">, </w:t>
      </w:r>
      <w:r w:rsidRPr="00A11BD6">
        <w:rPr>
          <w:rFonts w:ascii="Times New Roman" w:hAnsi="Times New Roman" w:cs="Times New Roman"/>
          <w:sz w:val="24"/>
          <w:szCs w:val="24"/>
        </w:rPr>
        <w:t>pertenece al departamento del mismo nombre, es la capital de la República de Guatemala y el centro del área metropolitana.</w:t>
      </w:r>
      <w:r w:rsidRPr="00A11BD6">
        <w:rPr>
          <w:rStyle w:val="FootnoteReference"/>
          <w:rFonts w:ascii="Times New Roman" w:hAnsi="Times New Roman" w:cs="Times New Roman"/>
          <w:sz w:val="24"/>
          <w:szCs w:val="24"/>
        </w:rPr>
        <w:footnoteReference w:id="2"/>
      </w:r>
      <w:r w:rsidRPr="00A11BD6">
        <w:rPr>
          <w:rFonts w:ascii="Times New Roman" w:hAnsi="Times New Roman" w:cs="Times New Roman"/>
          <w:sz w:val="24"/>
          <w:szCs w:val="24"/>
        </w:rPr>
        <w:t xml:space="preserve">  Como ciudad, registra una extensión de 208.50 km2</w:t>
      </w:r>
      <w:r w:rsidRPr="00A11BD6">
        <w:rPr>
          <w:rStyle w:val="FootnoteReference"/>
          <w:rFonts w:ascii="Times New Roman" w:hAnsi="Times New Roman" w:cs="Times New Roman"/>
          <w:sz w:val="24"/>
          <w:szCs w:val="24"/>
        </w:rPr>
        <w:footnoteReference w:id="3"/>
      </w:r>
      <w:r w:rsidRPr="00A11BD6">
        <w:rPr>
          <w:rFonts w:ascii="Times New Roman" w:hAnsi="Times New Roman" w:cs="Times New Roman"/>
          <w:sz w:val="24"/>
          <w:szCs w:val="24"/>
        </w:rPr>
        <w:t xml:space="preserve"> y, como área, de 996 km2</w:t>
      </w:r>
      <w:r w:rsidRPr="00A11BD6">
        <w:rPr>
          <w:rFonts w:ascii="Times New Roman" w:hAnsi="Times New Roman" w:cs="Times New Roman"/>
          <w:color w:val="000000"/>
          <w:sz w:val="24"/>
          <w:szCs w:val="24"/>
          <w:shd w:val="clear" w:color="auto" w:fill="FFFFFF"/>
        </w:rPr>
        <w:t>.</w:t>
      </w:r>
      <w:r w:rsidRPr="00A11BD6">
        <w:rPr>
          <w:rStyle w:val="FootnoteReference"/>
          <w:rFonts w:ascii="Times New Roman" w:hAnsi="Times New Roman" w:cs="Times New Roman"/>
          <w:color w:val="000000"/>
          <w:sz w:val="24"/>
          <w:szCs w:val="24"/>
          <w:shd w:val="clear" w:color="auto" w:fill="FFFFFF"/>
        </w:rPr>
        <w:footnoteReference w:id="4"/>
      </w:r>
      <w:r w:rsidRPr="00A11BD6">
        <w:rPr>
          <w:rFonts w:ascii="Times New Roman" w:hAnsi="Times New Roman" w:cs="Times New Roman"/>
          <w:color w:val="000000"/>
          <w:sz w:val="24"/>
          <w:szCs w:val="24"/>
          <w:shd w:val="clear" w:color="auto" w:fill="FFFFFF"/>
        </w:rPr>
        <w:t xml:space="preserve">  </w:t>
      </w:r>
      <w:r w:rsidRPr="00A11BD6">
        <w:rPr>
          <w:rFonts w:ascii="Times New Roman" w:hAnsi="Times New Roman" w:cs="Times New Roman"/>
          <w:sz w:val="24"/>
          <w:szCs w:val="24"/>
        </w:rPr>
        <w:t xml:space="preserve">La población total de la Municipalidad es de 990,750 habitantes, de los cuales el 47.22% </w:t>
      </w:r>
      <w:r w:rsidR="00DE5D85" w:rsidRPr="00A11BD6">
        <w:rPr>
          <w:rFonts w:ascii="Times New Roman" w:hAnsi="Times New Roman" w:cs="Times New Roman"/>
          <w:sz w:val="24"/>
          <w:szCs w:val="24"/>
        </w:rPr>
        <w:t xml:space="preserve">es </w:t>
      </w:r>
      <w:r w:rsidRPr="00A11BD6">
        <w:rPr>
          <w:rFonts w:ascii="Times New Roman" w:hAnsi="Times New Roman" w:cs="Times New Roman"/>
          <w:sz w:val="24"/>
          <w:szCs w:val="24"/>
        </w:rPr>
        <w:t xml:space="preserve">hombres y el 52.78% </w:t>
      </w:r>
      <w:r w:rsidR="00DE5D85" w:rsidRPr="00A11BD6">
        <w:rPr>
          <w:rFonts w:ascii="Times New Roman" w:hAnsi="Times New Roman" w:cs="Times New Roman"/>
          <w:sz w:val="24"/>
          <w:szCs w:val="24"/>
        </w:rPr>
        <w:t>e</w:t>
      </w:r>
      <w:r w:rsidRPr="00A11BD6">
        <w:rPr>
          <w:rFonts w:ascii="Times New Roman" w:hAnsi="Times New Roman" w:cs="Times New Roman"/>
          <w:sz w:val="24"/>
          <w:szCs w:val="24"/>
        </w:rPr>
        <w:t>s mujeres.  El total de habitantes del municipio equivale al 7% de la població</w:t>
      </w:r>
      <w:r w:rsidR="00AC0B13" w:rsidRPr="00A11BD6">
        <w:rPr>
          <w:rFonts w:ascii="Times New Roman" w:hAnsi="Times New Roman" w:cs="Times New Roman"/>
          <w:sz w:val="24"/>
          <w:szCs w:val="24"/>
        </w:rPr>
        <w:t>n total del país, que</w:t>
      </w:r>
      <w:r w:rsidRPr="00A11BD6">
        <w:rPr>
          <w:rFonts w:ascii="Times New Roman" w:hAnsi="Times New Roman" w:cs="Times New Roman"/>
          <w:sz w:val="24"/>
          <w:szCs w:val="24"/>
        </w:rPr>
        <w:t xml:space="preserve"> asciende a 14.7 millones</w:t>
      </w:r>
      <w:r w:rsidR="00AC0B13" w:rsidRPr="00A11BD6">
        <w:rPr>
          <w:rFonts w:ascii="Times New Roman" w:hAnsi="Times New Roman" w:cs="Times New Roman"/>
          <w:sz w:val="24"/>
          <w:szCs w:val="24"/>
        </w:rPr>
        <w:t xml:space="preserve"> en 2011</w:t>
      </w:r>
      <w:r w:rsidRPr="00A11BD6">
        <w:rPr>
          <w:rFonts w:ascii="Times New Roman" w:hAnsi="Times New Roman" w:cs="Times New Roman"/>
          <w:sz w:val="24"/>
          <w:szCs w:val="24"/>
        </w:rPr>
        <w:t>.</w:t>
      </w:r>
      <w:r w:rsidRPr="00A11BD6">
        <w:rPr>
          <w:rStyle w:val="FootnoteReference"/>
          <w:rFonts w:ascii="Times New Roman" w:hAnsi="Times New Roman" w:cs="Times New Roman"/>
          <w:sz w:val="24"/>
          <w:szCs w:val="24"/>
        </w:rPr>
        <w:footnoteReference w:id="5"/>
      </w:r>
      <w:r w:rsidRPr="00A11BD6">
        <w:rPr>
          <w:rFonts w:ascii="Times New Roman" w:hAnsi="Times New Roman" w:cs="Times New Roman"/>
          <w:sz w:val="24"/>
          <w:szCs w:val="24"/>
        </w:rPr>
        <w:t xml:space="preserve">  Incorporando el área metropolitana, </w:t>
      </w:r>
      <w:r w:rsidR="00AC0B13" w:rsidRPr="00A11BD6">
        <w:rPr>
          <w:rFonts w:ascii="Times New Roman" w:hAnsi="Times New Roman" w:cs="Times New Roman"/>
          <w:sz w:val="24"/>
          <w:szCs w:val="24"/>
        </w:rPr>
        <w:t>la población alcanza los</w:t>
      </w:r>
      <w:r w:rsidRPr="00A11BD6">
        <w:rPr>
          <w:rFonts w:ascii="Times New Roman" w:hAnsi="Times New Roman" w:cs="Times New Roman"/>
          <w:sz w:val="24"/>
          <w:szCs w:val="24"/>
        </w:rPr>
        <w:t xml:space="preserve"> 4.058.519 habitantes, lo que la convierte, a 2012, en </w:t>
      </w:r>
      <w:r w:rsidRPr="00A11BD6">
        <w:rPr>
          <w:rFonts w:ascii="Times New Roman" w:hAnsi="Times New Roman" w:cs="Times New Roman"/>
          <w:sz w:val="24"/>
          <w:szCs w:val="24"/>
        </w:rPr>
        <w:lastRenderedPageBreak/>
        <w:t xml:space="preserve">la </w:t>
      </w:r>
      <w:r w:rsidRPr="00A11BD6">
        <w:rPr>
          <w:rFonts w:ascii="Times New Roman" w:hAnsi="Times New Roman" w:cs="Times New Roman"/>
          <w:color w:val="000000"/>
          <w:sz w:val="24"/>
          <w:szCs w:val="24"/>
          <w:shd w:val="clear" w:color="auto" w:fill="FFFFFF"/>
        </w:rPr>
        <w:t xml:space="preserve">aglomeración urbana más poblada y extensa de América Central </w:t>
      </w:r>
      <w:r w:rsidRPr="00A11BD6">
        <w:rPr>
          <w:rFonts w:ascii="Times New Roman" w:hAnsi="Times New Roman" w:cs="Times New Roman"/>
          <w:sz w:val="24"/>
          <w:szCs w:val="24"/>
        </w:rPr>
        <w:t>y la número 29, a nivel general.</w:t>
      </w:r>
      <w:r w:rsidRPr="00A11BD6">
        <w:rPr>
          <w:rStyle w:val="FootnoteReference"/>
          <w:rFonts w:ascii="Times New Roman" w:hAnsi="Times New Roman" w:cs="Times New Roman"/>
          <w:sz w:val="24"/>
          <w:szCs w:val="24"/>
        </w:rPr>
        <w:footnoteReference w:id="6"/>
      </w:r>
    </w:p>
    <w:p w14:paraId="6299A220" w14:textId="77777777" w:rsidR="006554CC" w:rsidRPr="00A11BD6" w:rsidRDefault="006554CC" w:rsidP="004F0947">
      <w:pPr>
        <w:spacing w:after="0" w:line="240" w:lineRule="auto"/>
        <w:jc w:val="both"/>
        <w:rPr>
          <w:rFonts w:ascii="Times New Roman" w:hAnsi="Times New Roman" w:cs="Times New Roman"/>
          <w:sz w:val="24"/>
          <w:szCs w:val="24"/>
        </w:rPr>
      </w:pPr>
    </w:p>
    <w:p w14:paraId="3AED87A2" w14:textId="4F5D7787" w:rsidR="006554CC" w:rsidRPr="00A11BD6" w:rsidRDefault="006554CC" w:rsidP="004F0947">
      <w:pPr>
        <w:autoSpaceDE w:val="0"/>
        <w:autoSpaceDN w:val="0"/>
        <w:adjustRightInd w:val="0"/>
        <w:spacing w:after="0" w:line="240" w:lineRule="auto"/>
        <w:jc w:val="both"/>
        <w:rPr>
          <w:rFonts w:ascii="Times New Roman" w:hAnsi="Times New Roman" w:cs="Times New Roman"/>
          <w:sz w:val="24"/>
          <w:szCs w:val="24"/>
        </w:rPr>
      </w:pPr>
      <w:r w:rsidRPr="00A11BD6">
        <w:rPr>
          <w:rFonts w:ascii="Times New Roman" w:hAnsi="Times New Roman" w:cs="Times New Roman"/>
          <w:sz w:val="24"/>
          <w:szCs w:val="24"/>
        </w:rPr>
        <w:t xml:space="preserve">En cuanto a su dinámica de crecimiento urbano, la Ciudad ha registrado una importante expansión en la última década, con lo cual las proyecciones indican que </w:t>
      </w:r>
      <w:r w:rsidR="00AC0B13" w:rsidRPr="00A11BD6">
        <w:rPr>
          <w:rFonts w:ascii="Times New Roman" w:hAnsi="Times New Roman" w:cs="Times New Roman"/>
          <w:sz w:val="24"/>
          <w:szCs w:val="24"/>
        </w:rPr>
        <w:t xml:space="preserve">de </w:t>
      </w:r>
      <w:r w:rsidRPr="00A11BD6">
        <w:rPr>
          <w:rFonts w:ascii="Times New Roman" w:hAnsi="Times New Roman" w:cs="Times New Roman"/>
          <w:sz w:val="24"/>
          <w:szCs w:val="24"/>
        </w:rPr>
        <w:t>continuar este ritmo de crecimiento, el espacio urbanizado se duplicará para el año 2020.</w:t>
      </w:r>
      <w:r w:rsidRPr="00A11BD6">
        <w:rPr>
          <w:rStyle w:val="FootnoteReference"/>
          <w:rFonts w:ascii="Times New Roman" w:hAnsi="Times New Roman" w:cs="Times New Roman"/>
          <w:sz w:val="24"/>
          <w:szCs w:val="24"/>
        </w:rPr>
        <w:footnoteReference w:id="7"/>
      </w:r>
      <w:r w:rsidRPr="00A11BD6">
        <w:rPr>
          <w:rFonts w:ascii="Times New Roman" w:hAnsi="Times New Roman" w:cs="Times New Roman"/>
          <w:sz w:val="24"/>
          <w:szCs w:val="24"/>
        </w:rPr>
        <w:t xml:space="preserve">  Es decir, las estimaciones indican que el perímetro urbano de la Ciudad se duplicará para el año 2020 si el ritmo de crecimiento espacial continúa al ritmo actual.</w:t>
      </w:r>
      <w:r w:rsidRPr="00A11BD6">
        <w:rPr>
          <w:rStyle w:val="FootnoteReference"/>
          <w:rFonts w:ascii="Times New Roman" w:hAnsi="Times New Roman" w:cs="Times New Roman"/>
          <w:sz w:val="24"/>
          <w:szCs w:val="24"/>
        </w:rPr>
        <w:footnoteReference w:id="8"/>
      </w:r>
      <w:r w:rsidRPr="00A11BD6">
        <w:rPr>
          <w:rFonts w:ascii="Times New Roman" w:hAnsi="Times New Roman" w:cs="Times New Roman"/>
          <w:sz w:val="24"/>
          <w:szCs w:val="24"/>
        </w:rPr>
        <w:t xml:space="preserve">  De igual modo, para el año 2020 se proyecta que el 24% de la población habitará en el Municipio de Guatemala, mientras que el 76% restante lo hará en los municipios periféricos.</w:t>
      </w:r>
      <w:r w:rsidRPr="00A11BD6">
        <w:rPr>
          <w:rStyle w:val="FootnoteReference"/>
          <w:rFonts w:ascii="Times New Roman" w:hAnsi="Times New Roman" w:cs="Times New Roman"/>
          <w:sz w:val="24"/>
          <w:szCs w:val="24"/>
        </w:rPr>
        <w:footnoteReference w:id="9"/>
      </w:r>
    </w:p>
    <w:p w14:paraId="45791BCE" w14:textId="77777777" w:rsidR="006554CC" w:rsidRPr="00A11BD6" w:rsidRDefault="006554CC" w:rsidP="004F0947">
      <w:pPr>
        <w:autoSpaceDE w:val="0"/>
        <w:autoSpaceDN w:val="0"/>
        <w:adjustRightInd w:val="0"/>
        <w:spacing w:after="0" w:line="240" w:lineRule="auto"/>
        <w:jc w:val="both"/>
        <w:rPr>
          <w:rFonts w:ascii="Times New Roman" w:hAnsi="Times New Roman" w:cs="Times New Roman"/>
          <w:sz w:val="24"/>
          <w:szCs w:val="24"/>
        </w:rPr>
      </w:pPr>
    </w:p>
    <w:p w14:paraId="522C9264" w14:textId="6B971230" w:rsidR="006554CC" w:rsidRPr="00A11BD6" w:rsidRDefault="006554CC" w:rsidP="004F0947">
      <w:pPr>
        <w:autoSpaceDE w:val="0"/>
        <w:autoSpaceDN w:val="0"/>
        <w:adjustRightInd w:val="0"/>
        <w:spacing w:after="0" w:line="240" w:lineRule="auto"/>
        <w:jc w:val="both"/>
        <w:rPr>
          <w:rFonts w:ascii="Times New Roman" w:hAnsi="Times New Roman" w:cs="Times New Roman"/>
          <w:sz w:val="24"/>
          <w:szCs w:val="24"/>
        </w:rPr>
      </w:pPr>
      <w:r w:rsidRPr="00A11BD6">
        <w:rPr>
          <w:rFonts w:ascii="Times New Roman" w:hAnsi="Times New Roman" w:cs="Times New Roman"/>
          <w:sz w:val="24"/>
          <w:szCs w:val="24"/>
        </w:rPr>
        <w:t>Naturalmente este movimiento físico y poblacional impactará los indicadores económicos y la composición en la estructura de financiamiento de la Municipalidad.  Ello deb</w:t>
      </w:r>
      <w:r w:rsidR="005F5BE0" w:rsidRPr="00A11BD6">
        <w:rPr>
          <w:rFonts w:ascii="Times New Roman" w:hAnsi="Times New Roman" w:cs="Times New Roman"/>
          <w:sz w:val="24"/>
          <w:szCs w:val="24"/>
        </w:rPr>
        <w:t>ido a que se generarán</w:t>
      </w:r>
      <w:r w:rsidRPr="00A11BD6">
        <w:rPr>
          <w:rFonts w:ascii="Times New Roman" w:hAnsi="Times New Roman" w:cs="Times New Roman"/>
          <w:sz w:val="24"/>
          <w:szCs w:val="24"/>
        </w:rPr>
        <w:t xml:space="preserve"> incrementos en el costo de </w:t>
      </w:r>
      <w:r w:rsidR="005F5BE0" w:rsidRPr="00A11BD6">
        <w:rPr>
          <w:rFonts w:ascii="Times New Roman" w:hAnsi="Times New Roman" w:cs="Times New Roman"/>
          <w:sz w:val="24"/>
          <w:szCs w:val="24"/>
        </w:rPr>
        <w:t xml:space="preserve">los </w:t>
      </w:r>
      <w:r w:rsidRPr="00A11BD6">
        <w:rPr>
          <w:rFonts w:ascii="Times New Roman" w:hAnsi="Times New Roman" w:cs="Times New Roman"/>
          <w:sz w:val="24"/>
          <w:szCs w:val="24"/>
        </w:rPr>
        <w:t>servicios públicos, en particular, agua, alcantarillado y transporte colectivo</w:t>
      </w:r>
      <w:r w:rsidR="005F5BE0" w:rsidRPr="00A11BD6">
        <w:rPr>
          <w:rFonts w:ascii="Times New Roman" w:hAnsi="Times New Roman" w:cs="Times New Roman"/>
          <w:sz w:val="24"/>
          <w:szCs w:val="24"/>
        </w:rPr>
        <w:t>,</w:t>
      </w:r>
      <w:r w:rsidRPr="00A11BD6">
        <w:rPr>
          <w:rFonts w:ascii="Times New Roman" w:hAnsi="Times New Roman" w:cs="Times New Roman"/>
          <w:sz w:val="24"/>
          <w:szCs w:val="24"/>
        </w:rPr>
        <w:t xml:space="preserve"> por la ampliación del área de cobertura</w:t>
      </w:r>
      <w:r w:rsidR="005F5BE0" w:rsidRPr="00A11BD6">
        <w:rPr>
          <w:rFonts w:ascii="Times New Roman" w:hAnsi="Times New Roman" w:cs="Times New Roman"/>
          <w:sz w:val="24"/>
          <w:szCs w:val="24"/>
        </w:rPr>
        <w:t>.</w:t>
      </w:r>
      <w:r w:rsidR="005F5BE0" w:rsidRPr="00A11BD6">
        <w:rPr>
          <w:rStyle w:val="FootnoteReference"/>
          <w:rFonts w:ascii="Times New Roman" w:hAnsi="Times New Roman" w:cs="Times New Roman"/>
          <w:sz w:val="24"/>
          <w:szCs w:val="24"/>
        </w:rPr>
        <w:t xml:space="preserve"> </w:t>
      </w:r>
      <w:r w:rsidR="005F5BE0" w:rsidRPr="00A11BD6">
        <w:rPr>
          <w:rStyle w:val="FootnoteReference"/>
          <w:rFonts w:ascii="Times New Roman" w:hAnsi="Times New Roman" w:cs="Times New Roman"/>
          <w:sz w:val="24"/>
          <w:szCs w:val="24"/>
        </w:rPr>
        <w:footnoteReference w:id="10"/>
      </w:r>
      <w:r w:rsidR="005F5BE0" w:rsidRPr="00A11BD6">
        <w:rPr>
          <w:rFonts w:ascii="Times New Roman" w:hAnsi="Times New Roman" w:cs="Times New Roman"/>
          <w:sz w:val="24"/>
          <w:szCs w:val="24"/>
        </w:rPr>
        <w:t xml:space="preserve"> </w:t>
      </w:r>
      <w:r w:rsidR="00C560E3" w:rsidRPr="00A11BD6">
        <w:rPr>
          <w:rFonts w:ascii="Times New Roman" w:hAnsi="Times New Roman" w:cs="Times New Roman"/>
          <w:sz w:val="24"/>
          <w:szCs w:val="24"/>
        </w:rPr>
        <w:t xml:space="preserve"> A su turno, e</w:t>
      </w:r>
      <w:r w:rsidRPr="00A11BD6">
        <w:rPr>
          <w:rFonts w:ascii="Times New Roman" w:hAnsi="Times New Roman" w:cs="Times New Roman"/>
          <w:sz w:val="24"/>
          <w:szCs w:val="24"/>
        </w:rPr>
        <w:t>stos servicio</w:t>
      </w:r>
      <w:r w:rsidR="005F5BE0" w:rsidRPr="00A11BD6">
        <w:rPr>
          <w:rFonts w:ascii="Times New Roman" w:hAnsi="Times New Roman" w:cs="Times New Roman"/>
          <w:sz w:val="24"/>
          <w:szCs w:val="24"/>
        </w:rPr>
        <w:t>s</w:t>
      </w:r>
      <w:r w:rsidRPr="00A11BD6">
        <w:rPr>
          <w:rFonts w:ascii="Times New Roman" w:hAnsi="Times New Roman" w:cs="Times New Roman"/>
          <w:sz w:val="24"/>
          <w:szCs w:val="24"/>
        </w:rPr>
        <w:t xml:space="preserve"> constituyen la principal fuente impositiva para la Municipalidad.</w:t>
      </w:r>
    </w:p>
    <w:p w14:paraId="6F5DF311" w14:textId="77777777" w:rsidR="00031A72" w:rsidRPr="00A11BD6" w:rsidRDefault="00031A72" w:rsidP="004F0947">
      <w:pPr>
        <w:autoSpaceDE w:val="0"/>
        <w:autoSpaceDN w:val="0"/>
        <w:adjustRightInd w:val="0"/>
        <w:spacing w:after="0" w:line="240" w:lineRule="auto"/>
        <w:jc w:val="both"/>
        <w:rPr>
          <w:rFonts w:ascii="Times New Roman" w:hAnsi="Times New Roman" w:cs="Times New Roman"/>
          <w:sz w:val="24"/>
          <w:szCs w:val="24"/>
        </w:rPr>
      </w:pPr>
    </w:p>
    <w:p w14:paraId="0242D6FB" w14:textId="2FB8192D" w:rsidR="006554CC" w:rsidRPr="00A11BD6" w:rsidRDefault="00C560E3" w:rsidP="004F0947">
      <w:pPr>
        <w:autoSpaceDE w:val="0"/>
        <w:autoSpaceDN w:val="0"/>
        <w:adjustRightInd w:val="0"/>
        <w:spacing w:after="0" w:line="240" w:lineRule="auto"/>
        <w:jc w:val="both"/>
        <w:rPr>
          <w:rFonts w:ascii="Times New Roman" w:hAnsi="Times New Roman" w:cs="Times New Roman"/>
          <w:sz w:val="24"/>
          <w:szCs w:val="24"/>
        </w:rPr>
      </w:pPr>
      <w:r w:rsidRPr="00A11BD6">
        <w:rPr>
          <w:rFonts w:ascii="Times New Roman" w:hAnsi="Times New Roman" w:cs="Times New Roman"/>
          <w:sz w:val="24"/>
          <w:szCs w:val="24"/>
        </w:rPr>
        <w:t>Este panorama</w:t>
      </w:r>
      <w:r w:rsidR="006554CC" w:rsidRPr="00A11BD6">
        <w:rPr>
          <w:rFonts w:ascii="Times New Roman" w:hAnsi="Times New Roman" w:cs="Times New Roman"/>
          <w:sz w:val="24"/>
          <w:szCs w:val="24"/>
        </w:rPr>
        <w:t xml:space="preserve"> es el reflejo a nivel local del horizonte económico nacional.  En efecto, a nivel naci</w:t>
      </w:r>
      <w:r w:rsidRPr="00A11BD6">
        <w:rPr>
          <w:rFonts w:ascii="Times New Roman" w:hAnsi="Times New Roman" w:cs="Times New Roman"/>
          <w:sz w:val="24"/>
          <w:szCs w:val="24"/>
        </w:rPr>
        <w:t>onal</w:t>
      </w:r>
      <w:r w:rsidR="006554CC" w:rsidRPr="00A11BD6">
        <w:rPr>
          <w:rFonts w:ascii="Times New Roman" w:hAnsi="Times New Roman" w:cs="Times New Roman"/>
          <w:sz w:val="24"/>
          <w:szCs w:val="24"/>
        </w:rPr>
        <w:t xml:space="preserve"> la República de Guatemala se halla experimentando un comportamiento económico estable, medido en términos del Producto Interno Bruto (PIB),</w:t>
      </w:r>
      <w:r w:rsidR="006554CC" w:rsidRPr="00A11BD6">
        <w:rPr>
          <w:rStyle w:val="FootnoteReference"/>
          <w:rFonts w:ascii="Times New Roman" w:hAnsi="Times New Roman" w:cs="Times New Roman"/>
          <w:sz w:val="24"/>
          <w:szCs w:val="24"/>
        </w:rPr>
        <w:footnoteReference w:id="11"/>
      </w:r>
      <w:r w:rsidR="006554CC" w:rsidRPr="00A11BD6">
        <w:rPr>
          <w:rFonts w:ascii="Times New Roman" w:hAnsi="Times New Roman" w:cs="Times New Roman"/>
          <w:sz w:val="24"/>
          <w:szCs w:val="24"/>
        </w:rPr>
        <w:t xml:space="preserve"> con una tasa promedio superior al 2.5% durante el período 2001 a 2010,</w:t>
      </w:r>
      <w:r w:rsidR="006554CC" w:rsidRPr="00A11BD6">
        <w:rPr>
          <w:rStyle w:val="FootnoteReference"/>
          <w:rFonts w:ascii="Times New Roman" w:hAnsi="Times New Roman" w:cs="Times New Roman"/>
          <w:sz w:val="24"/>
          <w:szCs w:val="24"/>
        </w:rPr>
        <w:footnoteReference w:id="12"/>
      </w:r>
      <w:r w:rsidR="006554CC" w:rsidRPr="00A11BD6">
        <w:rPr>
          <w:rFonts w:ascii="Times New Roman" w:hAnsi="Times New Roman" w:cs="Times New Roman"/>
          <w:sz w:val="24"/>
          <w:szCs w:val="24"/>
        </w:rPr>
        <w:t xml:space="preserve"> superior al 3.9% en el 2011,</w:t>
      </w:r>
      <w:r w:rsidR="006554CC" w:rsidRPr="00A11BD6">
        <w:rPr>
          <w:rStyle w:val="FootnoteReference"/>
          <w:rFonts w:ascii="Times New Roman" w:hAnsi="Times New Roman" w:cs="Times New Roman"/>
          <w:sz w:val="24"/>
          <w:szCs w:val="24"/>
        </w:rPr>
        <w:footnoteReference w:id="13"/>
      </w:r>
      <w:r w:rsidR="006554CC" w:rsidRPr="00A11BD6">
        <w:rPr>
          <w:rFonts w:ascii="Times New Roman" w:hAnsi="Times New Roman" w:cs="Times New Roman"/>
          <w:sz w:val="24"/>
          <w:szCs w:val="24"/>
        </w:rPr>
        <w:t xml:space="preserve"> proyección superior al 3.3% para el 2012,</w:t>
      </w:r>
      <w:r w:rsidR="006554CC" w:rsidRPr="00A11BD6">
        <w:rPr>
          <w:rStyle w:val="FootnoteReference"/>
          <w:rFonts w:ascii="Times New Roman" w:hAnsi="Times New Roman" w:cs="Times New Roman"/>
          <w:sz w:val="24"/>
          <w:szCs w:val="24"/>
        </w:rPr>
        <w:footnoteReference w:id="14"/>
      </w:r>
      <w:r w:rsidR="006554CC" w:rsidRPr="00A11BD6">
        <w:rPr>
          <w:rFonts w:ascii="Times New Roman" w:hAnsi="Times New Roman" w:cs="Times New Roman"/>
          <w:sz w:val="24"/>
          <w:szCs w:val="24"/>
        </w:rPr>
        <w:t xml:space="preserve"> y de 3.9% para el 2013.</w:t>
      </w:r>
      <w:r w:rsidR="006554CC" w:rsidRPr="00A11BD6">
        <w:rPr>
          <w:rStyle w:val="FootnoteReference"/>
          <w:rFonts w:ascii="Times New Roman" w:hAnsi="Times New Roman" w:cs="Times New Roman"/>
          <w:sz w:val="24"/>
          <w:szCs w:val="24"/>
        </w:rPr>
        <w:footnoteReference w:id="15"/>
      </w:r>
      <w:r w:rsidR="006554CC" w:rsidRPr="00A11BD6">
        <w:rPr>
          <w:rFonts w:ascii="Times New Roman" w:hAnsi="Times New Roman" w:cs="Times New Roman"/>
          <w:sz w:val="24"/>
          <w:szCs w:val="24"/>
        </w:rPr>
        <w:t xml:space="preserve"> </w:t>
      </w:r>
      <w:r w:rsidR="00166498" w:rsidRPr="00A11BD6">
        <w:rPr>
          <w:rFonts w:ascii="Times New Roman" w:hAnsi="Times New Roman" w:cs="Times New Roman"/>
          <w:sz w:val="24"/>
          <w:szCs w:val="24"/>
        </w:rPr>
        <w:t xml:space="preserve"> </w:t>
      </w:r>
      <w:r w:rsidR="006554CC" w:rsidRPr="00A11BD6">
        <w:rPr>
          <w:rFonts w:ascii="Times New Roman" w:hAnsi="Times New Roman" w:cs="Times New Roman"/>
          <w:sz w:val="24"/>
          <w:szCs w:val="24"/>
        </w:rPr>
        <w:t>Dentro de los factores que explican este comportamiento económico en el 2011, se hallan, entre otros, la inversión extranjera directa (superior a US$984 millones en el 2011</w:t>
      </w:r>
      <w:r w:rsidR="006554CC" w:rsidRPr="00A11BD6">
        <w:rPr>
          <w:rStyle w:val="FootnoteReference"/>
          <w:rFonts w:ascii="Times New Roman" w:hAnsi="Times New Roman" w:cs="Times New Roman"/>
          <w:sz w:val="24"/>
          <w:szCs w:val="24"/>
        </w:rPr>
        <w:footnoteReference w:id="16"/>
      </w:r>
      <w:r w:rsidRPr="00A11BD6">
        <w:rPr>
          <w:rFonts w:ascii="Times New Roman" w:hAnsi="Times New Roman" w:cs="Times New Roman"/>
          <w:sz w:val="24"/>
          <w:szCs w:val="24"/>
        </w:rPr>
        <w:t>);</w:t>
      </w:r>
      <w:r w:rsidR="006554CC" w:rsidRPr="00A11BD6">
        <w:rPr>
          <w:rFonts w:ascii="Times New Roman" w:hAnsi="Times New Roman" w:cs="Times New Roman"/>
          <w:sz w:val="24"/>
          <w:szCs w:val="24"/>
        </w:rPr>
        <w:t xml:space="preserve"> la evolución positiva de las remesas familiares (superior a US$4,378 millones en el 2011</w:t>
      </w:r>
      <w:r w:rsidR="006554CC" w:rsidRPr="00A11BD6">
        <w:rPr>
          <w:rStyle w:val="FootnoteReference"/>
          <w:rFonts w:ascii="Times New Roman" w:hAnsi="Times New Roman" w:cs="Times New Roman"/>
          <w:sz w:val="24"/>
          <w:szCs w:val="24"/>
        </w:rPr>
        <w:footnoteReference w:id="17"/>
      </w:r>
      <w:r w:rsidRPr="00A11BD6">
        <w:rPr>
          <w:rFonts w:ascii="Times New Roman" w:hAnsi="Times New Roman" w:cs="Times New Roman"/>
          <w:sz w:val="24"/>
          <w:szCs w:val="24"/>
        </w:rPr>
        <w:t>);</w:t>
      </w:r>
      <w:r w:rsidR="006554CC" w:rsidRPr="00A11BD6">
        <w:rPr>
          <w:rFonts w:ascii="Times New Roman" w:hAnsi="Times New Roman" w:cs="Times New Roman"/>
          <w:sz w:val="24"/>
          <w:szCs w:val="24"/>
        </w:rPr>
        <w:t xml:space="preserve"> el crecimiento</w:t>
      </w:r>
      <w:r w:rsidRPr="00A11BD6">
        <w:rPr>
          <w:rFonts w:ascii="Times New Roman" w:hAnsi="Times New Roman" w:cs="Times New Roman"/>
          <w:sz w:val="24"/>
          <w:szCs w:val="24"/>
        </w:rPr>
        <w:t xml:space="preserve"> del crédito del sector privado;</w:t>
      </w:r>
      <w:r w:rsidR="006554CC" w:rsidRPr="00A11BD6">
        <w:rPr>
          <w:rFonts w:ascii="Times New Roman" w:hAnsi="Times New Roman" w:cs="Times New Roman"/>
          <w:sz w:val="24"/>
          <w:szCs w:val="24"/>
        </w:rPr>
        <w:t xml:space="preserve"> el aument</w:t>
      </w:r>
      <w:r w:rsidRPr="00A11BD6">
        <w:rPr>
          <w:rFonts w:ascii="Times New Roman" w:hAnsi="Times New Roman" w:cs="Times New Roman"/>
          <w:sz w:val="24"/>
          <w:szCs w:val="24"/>
        </w:rPr>
        <w:t>o en el gasto público y privado;</w:t>
      </w:r>
      <w:r w:rsidR="006554CC" w:rsidRPr="00A11BD6">
        <w:rPr>
          <w:rFonts w:ascii="Times New Roman" w:hAnsi="Times New Roman" w:cs="Times New Roman"/>
          <w:sz w:val="24"/>
          <w:szCs w:val="24"/>
        </w:rPr>
        <w:t xml:space="preserve"> l</w:t>
      </w:r>
      <w:r w:rsidRPr="00A11BD6">
        <w:rPr>
          <w:rFonts w:ascii="Times New Roman" w:hAnsi="Times New Roman" w:cs="Times New Roman"/>
          <w:sz w:val="24"/>
          <w:szCs w:val="24"/>
        </w:rPr>
        <w:t>a disciplina monetaria y fiscal;</w:t>
      </w:r>
      <w:r w:rsidR="006554CC" w:rsidRPr="00A11BD6">
        <w:rPr>
          <w:rFonts w:ascii="Times New Roman" w:hAnsi="Times New Roman" w:cs="Times New Roman"/>
          <w:sz w:val="24"/>
          <w:szCs w:val="24"/>
        </w:rPr>
        <w:t xml:space="preserve"> y la estabilidad del sector financiero</w:t>
      </w:r>
      <w:r w:rsidRPr="00A11BD6">
        <w:rPr>
          <w:rFonts w:ascii="Times New Roman" w:hAnsi="Times New Roman" w:cs="Times New Roman"/>
          <w:sz w:val="24"/>
          <w:szCs w:val="24"/>
        </w:rPr>
        <w:t>.</w:t>
      </w:r>
      <w:r w:rsidR="006554CC" w:rsidRPr="00A11BD6">
        <w:rPr>
          <w:rStyle w:val="FootnoteReference"/>
          <w:rFonts w:ascii="Times New Roman" w:hAnsi="Times New Roman" w:cs="Times New Roman"/>
          <w:sz w:val="24"/>
          <w:szCs w:val="24"/>
        </w:rPr>
        <w:footnoteReference w:id="18"/>
      </w:r>
      <w:r w:rsidR="006554CC" w:rsidRPr="00A11BD6">
        <w:rPr>
          <w:rFonts w:ascii="Times New Roman" w:hAnsi="Times New Roman" w:cs="Times New Roman"/>
          <w:sz w:val="24"/>
          <w:szCs w:val="24"/>
        </w:rPr>
        <w:t xml:space="preserve"> </w:t>
      </w:r>
      <w:r w:rsidRPr="00A11BD6">
        <w:rPr>
          <w:rFonts w:ascii="Times New Roman" w:hAnsi="Times New Roman" w:cs="Times New Roman"/>
          <w:sz w:val="24"/>
          <w:szCs w:val="24"/>
        </w:rPr>
        <w:t xml:space="preserve"> A</w:t>
      </w:r>
      <w:r w:rsidR="006554CC" w:rsidRPr="00A11BD6">
        <w:rPr>
          <w:rFonts w:ascii="Times New Roman" w:hAnsi="Times New Roman" w:cs="Times New Roman"/>
          <w:sz w:val="24"/>
          <w:szCs w:val="24"/>
        </w:rPr>
        <w:t>gregando a lo anterior</w:t>
      </w:r>
      <w:r w:rsidRPr="00A11BD6">
        <w:rPr>
          <w:rFonts w:ascii="Times New Roman" w:hAnsi="Times New Roman" w:cs="Times New Roman"/>
          <w:sz w:val="24"/>
          <w:szCs w:val="24"/>
        </w:rPr>
        <w:t>, se proyecta</w:t>
      </w:r>
      <w:r w:rsidR="006554CC" w:rsidRPr="00A11BD6">
        <w:rPr>
          <w:rFonts w:ascii="Times New Roman" w:hAnsi="Times New Roman" w:cs="Times New Roman"/>
          <w:sz w:val="24"/>
          <w:szCs w:val="24"/>
        </w:rPr>
        <w:t xml:space="preserve"> </w:t>
      </w:r>
      <w:r w:rsidRPr="00A11BD6">
        <w:rPr>
          <w:rFonts w:ascii="Times New Roman" w:hAnsi="Times New Roman" w:cs="Times New Roman"/>
          <w:sz w:val="24"/>
          <w:szCs w:val="24"/>
        </w:rPr>
        <w:t>una tasa de inflación</w:t>
      </w:r>
      <w:r w:rsidR="006554CC" w:rsidRPr="00A11BD6">
        <w:rPr>
          <w:rFonts w:ascii="Times New Roman" w:hAnsi="Times New Roman" w:cs="Times New Roman"/>
          <w:sz w:val="24"/>
          <w:szCs w:val="24"/>
        </w:rPr>
        <w:t xml:space="preserve"> inferior al 6% para el 2012,</w:t>
      </w:r>
      <w:r w:rsidR="006554CC" w:rsidRPr="00A11BD6">
        <w:rPr>
          <w:rStyle w:val="FootnoteReference"/>
          <w:rFonts w:ascii="Times New Roman" w:hAnsi="Times New Roman" w:cs="Times New Roman"/>
          <w:sz w:val="24"/>
          <w:szCs w:val="24"/>
        </w:rPr>
        <w:footnoteReference w:id="19"/>
      </w:r>
      <w:r w:rsidR="006554CC" w:rsidRPr="00A11BD6">
        <w:rPr>
          <w:rFonts w:ascii="Times New Roman" w:hAnsi="Times New Roman" w:cs="Times New Roman"/>
          <w:sz w:val="24"/>
          <w:szCs w:val="24"/>
        </w:rPr>
        <w:t xml:space="preserve"> una tasa de </w:t>
      </w:r>
      <w:r w:rsidRPr="00A11BD6">
        <w:rPr>
          <w:rFonts w:ascii="Times New Roman" w:hAnsi="Times New Roman" w:cs="Times New Roman"/>
          <w:sz w:val="24"/>
          <w:szCs w:val="24"/>
        </w:rPr>
        <w:t xml:space="preserve">cambio </w:t>
      </w:r>
      <w:r w:rsidRPr="00A11BD6">
        <w:rPr>
          <w:rFonts w:ascii="Times New Roman" w:hAnsi="Times New Roman" w:cs="Times New Roman"/>
          <w:sz w:val="24"/>
          <w:szCs w:val="24"/>
        </w:rPr>
        <w:lastRenderedPageBreak/>
        <w:t>nominal de Q8 por</w:t>
      </w:r>
      <w:r w:rsidR="006554CC" w:rsidRPr="00A11BD6">
        <w:rPr>
          <w:rFonts w:ascii="Times New Roman" w:hAnsi="Times New Roman" w:cs="Times New Roman"/>
          <w:sz w:val="24"/>
          <w:szCs w:val="24"/>
        </w:rPr>
        <w:t xml:space="preserve"> US$1,</w:t>
      </w:r>
      <w:r w:rsidR="006554CC" w:rsidRPr="00A11BD6">
        <w:rPr>
          <w:rStyle w:val="FootnoteReference"/>
          <w:rFonts w:ascii="Times New Roman" w:hAnsi="Times New Roman" w:cs="Times New Roman"/>
          <w:sz w:val="24"/>
          <w:szCs w:val="24"/>
        </w:rPr>
        <w:footnoteReference w:id="20"/>
      </w:r>
      <w:r w:rsidR="006554CC" w:rsidRPr="00A11BD6">
        <w:rPr>
          <w:rFonts w:ascii="Times New Roman" w:hAnsi="Times New Roman" w:cs="Times New Roman"/>
          <w:sz w:val="24"/>
          <w:szCs w:val="24"/>
        </w:rPr>
        <w:t xml:space="preserve"> y un volumen de reservas internacionales superior a US$6,187 millones al cierre 2011.</w:t>
      </w:r>
      <w:r w:rsidR="006554CC" w:rsidRPr="00A11BD6">
        <w:rPr>
          <w:rStyle w:val="FootnoteReference"/>
          <w:rFonts w:ascii="Times New Roman" w:hAnsi="Times New Roman" w:cs="Times New Roman"/>
          <w:sz w:val="24"/>
          <w:szCs w:val="24"/>
        </w:rPr>
        <w:footnoteReference w:id="21"/>
      </w:r>
      <w:r w:rsidR="006554CC" w:rsidRPr="00A11BD6">
        <w:rPr>
          <w:rFonts w:ascii="Times New Roman" w:hAnsi="Times New Roman" w:cs="Times New Roman"/>
          <w:sz w:val="24"/>
          <w:szCs w:val="24"/>
        </w:rPr>
        <w:t xml:space="preserve">  Indicadores que le han permitido contar con una calificación crediticia de país en la perspectiva de estable.</w:t>
      </w:r>
      <w:r w:rsidR="006554CC" w:rsidRPr="00A11BD6">
        <w:rPr>
          <w:rStyle w:val="FootnoteReference"/>
          <w:rFonts w:ascii="Times New Roman" w:hAnsi="Times New Roman" w:cs="Times New Roman"/>
          <w:sz w:val="24"/>
          <w:szCs w:val="24"/>
        </w:rPr>
        <w:footnoteReference w:id="22"/>
      </w:r>
      <w:r w:rsidR="006554CC" w:rsidRPr="00A11BD6">
        <w:rPr>
          <w:rFonts w:ascii="Times New Roman" w:hAnsi="Times New Roman" w:cs="Times New Roman"/>
          <w:sz w:val="24"/>
          <w:szCs w:val="24"/>
        </w:rPr>
        <w:t xml:space="preserve">  En relación con la tasa de desempleo, ésta se ubica alrededor del 4% de la población económicamente activa (PEA), pero con una población en subempleo visible superior a 1.2 millones (2010), y subempleo invisible de 2.2 millones de </w:t>
      </w:r>
      <w:r w:rsidRPr="00A11BD6">
        <w:rPr>
          <w:rFonts w:ascii="Times New Roman" w:hAnsi="Times New Roman" w:cs="Times New Roman"/>
          <w:sz w:val="24"/>
          <w:szCs w:val="24"/>
        </w:rPr>
        <w:t xml:space="preserve">las </w:t>
      </w:r>
      <w:r w:rsidR="006554CC" w:rsidRPr="00A11BD6">
        <w:rPr>
          <w:rFonts w:ascii="Times New Roman" w:hAnsi="Times New Roman" w:cs="Times New Roman"/>
          <w:sz w:val="24"/>
          <w:szCs w:val="24"/>
        </w:rPr>
        <w:t>5.8 millones de personas que conforman la PEA (2010).</w:t>
      </w:r>
      <w:r w:rsidR="006554CC" w:rsidRPr="00A11BD6">
        <w:rPr>
          <w:rStyle w:val="FootnoteReference"/>
          <w:rFonts w:ascii="Times New Roman" w:hAnsi="Times New Roman" w:cs="Times New Roman"/>
          <w:sz w:val="24"/>
          <w:szCs w:val="24"/>
        </w:rPr>
        <w:footnoteReference w:id="23"/>
      </w:r>
    </w:p>
    <w:p w14:paraId="593DFBC7" w14:textId="77777777" w:rsidR="006554CC" w:rsidRPr="00A11BD6" w:rsidRDefault="006554CC" w:rsidP="004F0947">
      <w:pPr>
        <w:autoSpaceDE w:val="0"/>
        <w:autoSpaceDN w:val="0"/>
        <w:adjustRightInd w:val="0"/>
        <w:spacing w:after="0" w:line="240" w:lineRule="auto"/>
        <w:jc w:val="both"/>
        <w:rPr>
          <w:rFonts w:ascii="Times New Roman" w:hAnsi="Times New Roman" w:cs="Times New Roman"/>
          <w:sz w:val="24"/>
          <w:szCs w:val="24"/>
        </w:rPr>
      </w:pPr>
    </w:p>
    <w:p w14:paraId="39F0DBA9" w14:textId="77777777" w:rsidR="006554CC" w:rsidRPr="00A11BD6" w:rsidRDefault="006554CC" w:rsidP="004F0947">
      <w:pPr>
        <w:autoSpaceDE w:val="0"/>
        <w:autoSpaceDN w:val="0"/>
        <w:adjustRightInd w:val="0"/>
        <w:spacing w:after="0" w:line="240" w:lineRule="auto"/>
        <w:jc w:val="both"/>
        <w:rPr>
          <w:rFonts w:ascii="Times New Roman" w:hAnsi="Times New Roman" w:cs="Times New Roman"/>
          <w:sz w:val="24"/>
          <w:szCs w:val="24"/>
        </w:rPr>
      </w:pPr>
      <w:r w:rsidRPr="00A11BD6">
        <w:rPr>
          <w:rFonts w:ascii="Times New Roman" w:hAnsi="Times New Roman" w:cs="Times New Roman"/>
          <w:sz w:val="24"/>
          <w:szCs w:val="24"/>
        </w:rPr>
        <w:t>De manera particular, pese a los indicadores citados, el nivel del Índice de Confianza de la Actividad Económica</w:t>
      </w:r>
      <w:r w:rsidRPr="00A11BD6">
        <w:rPr>
          <w:rStyle w:val="FootnoteReference"/>
          <w:rFonts w:ascii="Times New Roman" w:hAnsi="Times New Roman" w:cs="Times New Roman"/>
          <w:sz w:val="24"/>
          <w:szCs w:val="24"/>
        </w:rPr>
        <w:footnoteReference w:id="24"/>
      </w:r>
      <w:r w:rsidRPr="00A11BD6">
        <w:rPr>
          <w:rFonts w:ascii="Times New Roman" w:hAnsi="Times New Roman" w:cs="Times New Roman"/>
          <w:sz w:val="24"/>
          <w:szCs w:val="24"/>
        </w:rPr>
        <w:t xml:space="preserve"> se situó en 42.50, inferior en 18.39% respecto al registrado en agosto de 2012 (52.08) y menor en 21.54% con respecto al observado en septiembre de 2011 (54.17),</w:t>
      </w:r>
      <w:r w:rsidRPr="00A11BD6">
        <w:rPr>
          <w:rStyle w:val="FootnoteReference"/>
          <w:rFonts w:ascii="Times New Roman" w:hAnsi="Times New Roman" w:cs="Times New Roman"/>
          <w:sz w:val="24"/>
          <w:szCs w:val="24"/>
        </w:rPr>
        <w:footnoteReference w:id="25"/>
      </w:r>
      <w:r w:rsidRPr="00A11BD6">
        <w:rPr>
          <w:rFonts w:ascii="Times New Roman" w:hAnsi="Times New Roman" w:cs="Times New Roman"/>
          <w:sz w:val="24"/>
          <w:szCs w:val="24"/>
        </w:rPr>
        <w:t xml:space="preserve"> lo cual podría explicarse parcialmente por el déficit del sector público que, a 2011, se sitúa alrededor del 2.8% del PIB;</w:t>
      </w:r>
      <w:r w:rsidRPr="00A11BD6">
        <w:rPr>
          <w:rStyle w:val="FootnoteReference"/>
          <w:rFonts w:ascii="Times New Roman" w:hAnsi="Times New Roman" w:cs="Times New Roman"/>
          <w:sz w:val="24"/>
          <w:szCs w:val="24"/>
        </w:rPr>
        <w:footnoteReference w:id="26"/>
      </w:r>
      <w:r w:rsidRPr="00A11BD6">
        <w:rPr>
          <w:rFonts w:ascii="Times New Roman" w:hAnsi="Times New Roman" w:cs="Times New Roman"/>
          <w:sz w:val="24"/>
          <w:szCs w:val="24"/>
        </w:rPr>
        <w:t xml:space="preserve"> y una deuda pública total del 24.2% del PIB, con cierre a 2011.</w:t>
      </w:r>
      <w:r w:rsidRPr="00A11BD6">
        <w:rPr>
          <w:rStyle w:val="FootnoteReference"/>
          <w:rFonts w:ascii="Times New Roman" w:hAnsi="Times New Roman" w:cs="Times New Roman"/>
          <w:sz w:val="24"/>
          <w:szCs w:val="24"/>
        </w:rPr>
        <w:footnoteReference w:id="27"/>
      </w:r>
    </w:p>
    <w:p w14:paraId="6827AF1E" w14:textId="77777777" w:rsidR="006554CC" w:rsidRPr="00A11BD6" w:rsidRDefault="006554CC" w:rsidP="004F0947">
      <w:pPr>
        <w:autoSpaceDE w:val="0"/>
        <w:autoSpaceDN w:val="0"/>
        <w:adjustRightInd w:val="0"/>
        <w:spacing w:after="0" w:line="240" w:lineRule="auto"/>
        <w:jc w:val="both"/>
        <w:rPr>
          <w:rFonts w:ascii="Times New Roman" w:hAnsi="Times New Roman" w:cs="Times New Roman"/>
          <w:sz w:val="24"/>
          <w:szCs w:val="24"/>
        </w:rPr>
      </w:pPr>
    </w:p>
    <w:p w14:paraId="5576121A" w14:textId="5D7AFAEA" w:rsidR="006554CC" w:rsidRPr="00A11BD6" w:rsidRDefault="006554CC" w:rsidP="004F0947">
      <w:pPr>
        <w:autoSpaceDE w:val="0"/>
        <w:autoSpaceDN w:val="0"/>
        <w:adjustRightInd w:val="0"/>
        <w:spacing w:after="0" w:line="240" w:lineRule="auto"/>
        <w:jc w:val="both"/>
        <w:rPr>
          <w:rFonts w:ascii="Times New Roman" w:hAnsi="Times New Roman" w:cs="Times New Roman"/>
          <w:bCs/>
          <w:sz w:val="24"/>
          <w:szCs w:val="24"/>
        </w:rPr>
      </w:pPr>
      <w:r w:rsidRPr="00A11BD6">
        <w:rPr>
          <w:rFonts w:ascii="Times New Roman" w:hAnsi="Times New Roman" w:cs="Times New Roman"/>
          <w:sz w:val="24"/>
          <w:szCs w:val="24"/>
        </w:rPr>
        <w:t>En este orden, para consolidar las proyecciones macroeconómicas que se estructuran alrededor de un comportamiento económico estable,</w:t>
      </w:r>
      <w:r w:rsidRPr="00A11BD6">
        <w:rPr>
          <w:rStyle w:val="FootnoteReference"/>
          <w:rFonts w:ascii="Times New Roman" w:hAnsi="Times New Roman" w:cs="Times New Roman"/>
          <w:sz w:val="24"/>
          <w:szCs w:val="24"/>
        </w:rPr>
        <w:footnoteReference w:id="28"/>
      </w:r>
      <w:r w:rsidRPr="00A11BD6">
        <w:rPr>
          <w:rFonts w:ascii="Times New Roman" w:hAnsi="Times New Roman" w:cs="Times New Roman"/>
          <w:sz w:val="24"/>
          <w:szCs w:val="24"/>
        </w:rPr>
        <w:t xml:space="preserve"> el Gobierno Nacional ha presentado a consideración del Congreso de la República una </w:t>
      </w:r>
      <w:r w:rsidRPr="00A11BD6">
        <w:rPr>
          <w:rFonts w:ascii="Times New Roman" w:hAnsi="Times New Roman" w:cs="Times New Roman"/>
          <w:bCs/>
          <w:sz w:val="24"/>
          <w:szCs w:val="24"/>
        </w:rPr>
        <w:t xml:space="preserve">iniciativa de ley denominada Ley de Actualización Tributaria o </w:t>
      </w:r>
      <w:r w:rsidRPr="00A11BD6">
        <w:rPr>
          <w:rFonts w:ascii="Times New Roman" w:hAnsi="Times New Roman" w:cs="Times New Roman"/>
          <w:bCs/>
          <w:i/>
          <w:sz w:val="24"/>
          <w:szCs w:val="24"/>
        </w:rPr>
        <w:t>Pacto Fiscal para el Cambio</w:t>
      </w:r>
      <w:r w:rsidRPr="00A11BD6">
        <w:rPr>
          <w:rFonts w:ascii="Times New Roman" w:hAnsi="Times New Roman" w:cs="Times New Roman"/>
          <w:bCs/>
          <w:sz w:val="24"/>
          <w:szCs w:val="24"/>
        </w:rPr>
        <w:t>,</w:t>
      </w:r>
      <w:r w:rsidRPr="00A11BD6">
        <w:rPr>
          <w:rStyle w:val="FootnoteReference"/>
          <w:rFonts w:ascii="Times New Roman" w:hAnsi="Times New Roman" w:cs="Times New Roman"/>
          <w:bCs/>
          <w:sz w:val="24"/>
          <w:szCs w:val="24"/>
        </w:rPr>
        <w:footnoteReference w:id="29"/>
      </w:r>
      <w:r w:rsidRPr="00A11BD6">
        <w:rPr>
          <w:rFonts w:ascii="Times New Roman" w:hAnsi="Times New Roman" w:cs="Times New Roman"/>
          <w:bCs/>
          <w:sz w:val="24"/>
          <w:szCs w:val="24"/>
        </w:rPr>
        <w:t xml:space="preserve"> orientada a generar condiciones que aseguren la transparencia y calidad del gasto público, el crecimiento económico, el control al contrabando y evasión tributaria, la actualización del estatuto tributario nacional y asignaciones prioritarias para la inversión de los recursos públicos.</w:t>
      </w:r>
      <w:r w:rsidRPr="00A11BD6">
        <w:rPr>
          <w:rStyle w:val="FootnoteReference"/>
          <w:rFonts w:ascii="Times New Roman" w:hAnsi="Times New Roman" w:cs="Times New Roman"/>
          <w:bCs/>
          <w:sz w:val="24"/>
          <w:szCs w:val="24"/>
        </w:rPr>
        <w:footnoteReference w:id="30"/>
      </w:r>
      <w:r w:rsidRPr="00A11BD6">
        <w:rPr>
          <w:rFonts w:ascii="Times New Roman" w:hAnsi="Times New Roman" w:cs="Times New Roman"/>
          <w:bCs/>
          <w:sz w:val="24"/>
          <w:szCs w:val="24"/>
        </w:rPr>
        <w:t xml:space="preserve">  </w:t>
      </w:r>
    </w:p>
    <w:p w14:paraId="6764CE78" w14:textId="77777777" w:rsidR="0083582E" w:rsidRPr="00A11BD6" w:rsidRDefault="0083582E" w:rsidP="004F0947">
      <w:pPr>
        <w:autoSpaceDE w:val="0"/>
        <w:autoSpaceDN w:val="0"/>
        <w:adjustRightInd w:val="0"/>
        <w:spacing w:after="0" w:line="240" w:lineRule="auto"/>
        <w:jc w:val="both"/>
        <w:rPr>
          <w:rFonts w:ascii="Times New Roman" w:hAnsi="Times New Roman" w:cs="Times New Roman"/>
          <w:bCs/>
          <w:sz w:val="24"/>
          <w:szCs w:val="24"/>
        </w:rPr>
      </w:pPr>
    </w:p>
    <w:p w14:paraId="75ADCC49" w14:textId="4BB50D8A" w:rsidR="0083582E" w:rsidRPr="00A11BD6" w:rsidRDefault="0083582E" w:rsidP="004F0947">
      <w:pPr>
        <w:autoSpaceDE w:val="0"/>
        <w:autoSpaceDN w:val="0"/>
        <w:adjustRightInd w:val="0"/>
        <w:spacing w:after="0" w:line="240" w:lineRule="auto"/>
        <w:jc w:val="both"/>
        <w:rPr>
          <w:rFonts w:ascii="Times New Roman" w:hAnsi="Times New Roman" w:cs="Times New Roman"/>
          <w:bCs/>
          <w:sz w:val="24"/>
          <w:szCs w:val="24"/>
        </w:rPr>
      </w:pPr>
      <w:r w:rsidRPr="00A11BD6">
        <w:rPr>
          <w:rFonts w:ascii="Times New Roman" w:hAnsi="Times New Roman" w:cs="Times New Roman"/>
          <w:bCs/>
          <w:sz w:val="24"/>
          <w:szCs w:val="24"/>
        </w:rPr>
        <w:t xml:space="preserve">En ese contexto, </w:t>
      </w:r>
      <w:r w:rsidRPr="00A11BD6">
        <w:rPr>
          <w:rFonts w:ascii="Times New Roman" w:hAnsi="Times New Roman" w:cs="Times New Roman"/>
          <w:bCs/>
          <w:i/>
          <w:iCs/>
          <w:sz w:val="24"/>
          <w:szCs w:val="24"/>
        </w:rPr>
        <w:t xml:space="preserve">las proyecciones para </w:t>
      </w:r>
      <w:r w:rsidRPr="00A11BD6">
        <w:rPr>
          <w:rFonts w:ascii="Times New Roman" w:hAnsi="Times New Roman" w:cs="Times New Roman"/>
          <w:bCs/>
          <w:sz w:val="24"/>
          <w:szCs w:val="24"/>
        </w:rPr>
        <w:t>[el]</w:t>
      </w:r>
      <w:r w:rsidRPr="00A11BD6">
        <w:rPr>
          <w:rFonts w:ascii="Times New Roman" w:hAnsi="Times New Roman" w:cs="Times New Roman"/>
          <w:bCs/>
          <w:i/>
          <w:iCs/>
          <w:sz w:val="24"/>
          <w:szCs w:val="24"/>
        </w:rPr>
        <w:t xml:space="preserve"> ambiente </w:t>
      </w:r>
      <w:r w:rsidR="000E231D" w:rsidRPr="00A11BD6">
        <w:rPr>
          <w:rFonts w:ascii="Times New Roman" w:hAnsi="Times New Roman" w:cs="Times New Roman"/>
          <w:bCs/>
          <w:i/>
          <w:iCs/>
          <w:sz w:val="24"/>
          <w:szCs w:val="24"/>
        </w:rPr>
        <w:t>macroeconómico</w:t>
      </w:r>
      <w:r w:rsidRPr="00A11BD6">
        <w:rPr>
          <w:rFonts w:ascii="Times New Roman" w:hAnsi="Times New Roman" w:cs="Times New Roman"/>
          <w:bCs/>
          <w:i/>
          <w:iCs/>
          <w:sz w:val="24"/>
          <w:szCs w:val="24"/>
        </w:rPr>
        <w:t xml:space="preserve"> son positivas</w:t>
      </w:r>
      <w:r w:rsidR="000E231D" w:rsidRPr="00A11BD6">
        <w:rPr>
          <w:rFonts w:ascii="Times New Roman" w:hAnsi="Times New Roman" w:cs="Times New Roman"/>
          <w:bCs/>
          <w:i/>
          <w:iCs/>
          <w:sz w:val="24"/>
          <w:szCs w:val="24"/>
        </w:rPr>
        <w:t xml:space="preserve"> </w:t>
      </w:r>
      <w:r w:rsidRPr="00A11BD6">
        <w:rPr>
          <w:rFonts w:ascii="Times New Roman" w:hAnsi="Times New Roman" w:cs="Times New Roman"/>
          <w:bCs/>
          <w:i/>
          <w:iCs/>
          <w:sz w:val="24"/>
          <w:szCs w:val="24"/>
        </w:rPr>
        <w:t xml:space="preserve">y con la aprobación de la Ley de </w:t>
      </w:r>
      <w:r w:rsidR="000E231D" w:rsidRPr="00A11BD6">
        <w:rPr>
          <w:rFonts w:ascii="Times New Roman" w:hAnsi="Times New Roman" w:cs="Times New Roman"/>
          <w:bCs/>
          <w:i/>
          <w:iCs/>
          <w:sz w:val="24"/>
          <w:szCs w:val="24"/>
        </w:rPr>
        <w:t>Actualización Tr</w:t>
      </w:r>
      <w:r w:rsidRPr="00A11BD6">
        <w:rPr>
          <w:rFonts w:ascii="Times New Roman" w:hAnsi="Times New Roman" w:cs="Times New Roman"/>
          <w:bCs/>
          <w:i/>
          <w:iCs/>
          <w:sz w:val="24"/>
          <w:szCs w:val="24"/>
        </w:rPr>
        <w:t>i</w:t>
      </w:r>
      <w:r w:rsidR="000E231D" w:rsidRPr="00A11BD6">
        <w:rPr>
          <w:rFonts w:ascii="Times New Roman" w:hAnsi="Times New Roman" w:cs="Times New Roman"/>
          <w:bCs/>
          <w:i/>
          <w:iCs/>
          <w:sz w:val="24"/>
          <w:szCs w:val="24"/>
        </w:rPr>
        <w:t>b</w:t>
      </w:r>
      <w:r w:rsidRPr="00A11BD6">
        <w:rPr>
          <w:rFonts w:ascii="Times New Roman" w:hAnsi="Times New Roman" w:cs="Times New Roman"/>
          <w:bCs/>
          <w:i/>
          <w:iCs/>
          <w:sz w:val="24"/>
          <w:szCs w:val="24"/>
        </w:rPr>
        <w:t xml:space="preserve">utaria han </w:t>
      </w:r>
      <w:r w:rsidR="000E231D" w:rsidRPr="00A11BD6">
        <w:rPr>
          <w:rFonts w:ascii="Times New Roman" w:hAnsi="Times New Roman" w:cs="Times New Roman"/>
          <w:bCs/>
          <w:i/>
          <w:iCs/>
          <w:sz w:val="24"/>
          <w:szCs w:val="24"/>
        </w:rPr>
        <w:t>permitido</w:t>
      </w:r>
      <w:r w:rsidRPr="00A11BD6">
        <w:rPr>
          <w:rFonts w:ascii="Times New Roman" w:hAnsi="Times New Roman" w:cs="Times New Roman"/>
          <w:bCs/>
          <w:i/>
          <w:iCs/>
          <w:sz w:val="24"/>
          <w:szCs w:val="24"/>
        </w:rPr>
        <w:t xml:space="preserve"> plantear u</w:t>
      </w:r>
      <w:r w:rsidR="00C57A76" w:rsidRPr="00A11BD6">
        <w:rPr>
          <w:rFonts w:ascii="Times New Roman" w:hAnsi="Times New Roman" w:cs="Times New Roman"/>
          <w:bCs/>
          <w:i/>
          <w:iCs/>
          <w:sz w:val="24"/>
          <w:szCs w:val="24"/>
        </w:rPr>
        <w:t>n</w:t>
      </w:r>
      <w:r w:rsidRPr="00A11BD6">
        <w:rPr>
          <w:rFonts w:ascii="Times New Roman" w:hAnsi="Times New Roman" w:cs="Times New Roman"/>
          <w:bCs/>
          <w:i/>
          <w:iCs/>
          <w:sz w:val="24"/>
          <w:szCs w:val="24"/>
        </w:rPr>
        <w:t xml:space="preserve"> </w:t>
      </w:r>
      <w:r w:rsidR="00C57A76" w:rsidRPr="00A11BD6">
        <w:rPr>
          <w:rFonts w:ascii="Times New Roman" w:hAnsi="Times New Roman" w:cs="Times New Roman"/>
          <w:bCs/>
          <w:i/>
          <w:iCs/>
          <w:sz w:val="24"/>
          <w:szCs w:val="24"/>
        </w:rPr>
        <w:t>presupuesto</w:t>
      </w:r>
      <w:r w:rsidRPr="00A11BD6">
        <w:rPr>
          <w:rFonts w:ascii="Times New Roman" w:hAnsi="Times New Roman" w:cs="Times New Roman"/>
          <w:bCs/>
          <w:i/>
          <w:iCs/>
          <w:sz w:val="24"/>
          <w:szCs w:val="24"/>
        </w:rPr>
        <w:t xml:space="preserve"> </w:t>
      </w:r>
      <w:r w:rsidRPr="00A11BD6">
        <w:rPr>
          <w:rFonts w:ascii="Times New Roman" w:hAnsi="Times New Roman" w:cs="Times New Roman"/>
          <w:bCs/>
          <w:sz w:val="24"/>
          <w:szCs w:val="24"/>
        </w:rPr>
        <w:t>[orientado]</w:t>
      </w:r>
      <w:r w:rsidRPr="00A11BD6">
        <w:rPr>
          <w:rFonts w:ascii="Times New Roman" w:hAnsi="Times New Roman" w:cs="Times New Roman"/>
          <w:bCs/>
          <w:i/>
          <w:iCs/>
          <w:sz w:val="24"/>
          <w:szCs w:val="24"/>
        </w:rPr>
        <w:t xml:space="preserve"> al gasto social </w:t>
      </w:r>
      <w:r w:rsidR="00C57A76" w:rsidRPr="00A11BD6">
        <w:rPr>
          <w:rFonts w:ascii="Times New Roman" w:hAnsi="Times New Roman" w:cs="Times New Roman"/>
          <w:bCs/>
          <w:i/>
          <w:iCs/>
          <w:sz w:val="24"/>
          <w:szCs w:val="24"/>
        </w:rPr>
        <w:t>prioritario</w:t>
      </w:r>
      <w:r w:rsidRPr="00A11BD6">
        <w:rPr>
          <w:rFonts w:ascii="Times New Roman" w:hAnsi="Times New Roman" w:cs="Times New Roman"/>
          <w:bCs/>
          <w:i/>
          <w:iCs/>
          <w:sz w:val="24"/>
          <w:szCs w:val="24"/>
        </w:rPr>
        <w:t xml:space="preserve"> y en la reactivación de</w:t>
      </w:r>
      <w:r w:rsidR="00C57A76" w:rsidRPr="00A11BD6">
        <w:rPr>
          <w:rFonts w:ascii="Times New Roman" w:hAnsi="Times New Roman" w:cs="Times New Roman"/>
          <w:bCs/>
          <w:i/>
          <w:iCs/>
          <w:sz w:val="24"/>
          <w:szCs w:val="24"/>
        </w:rPr>
        <w:t xml:space="preserve"> </w:t>
      </w:r>
      <w:r w:rsidRPr="00A11BD6">
        <w:rPr>
          <w:rFonts w:ascii="Times New Roman" w:hAnsi="Times New Roman" w:cs="Times New Roman"/>
          <w:bCs/>
          <w:i/>
          <w:iCs/>
          <w:sz w:val="24"/>
          <w:szCs w:val="24"/>
        </w:rPr>
        <w:t xml:space="preserve">la </w:t>
      </w:r>
      <w:r w:rsidR="00C57A76" w:rsidRPr="00A11BD6">
        <w:rPr>
          <w:rFonts w:ascii="Times New Roman" w:hAnsi="Times New Roman" w:cs="Times New Roman"/>
          <w:bCs/>
          <w:i/>
          <w:iCs/>
          <w:sz w:val="24"/>
          <w:szCs w:val="24"/>
        </w:rPr>
        <w:t>inversión</w:t>
      </w:r>
      <w:r w:rsidRPr="00A11BD6">
        <w:rPr>
          <w:rFonts w:ascii="Times New Roman" w:hAnsi="Times New Roman" w:cs="Times New Roman"/>
          <w:bCs/>
          <w:i/>
          <w:iCs/>
          <w:sz w:val="24"/>
          <w:szCs w:val="24"/>
        </w:rPr>
        <w:t xml:space="preserve"> pública, </w:t>
      </w:r>
      <w:r w:rsidR="00C57A76" w:rsidRPr="00A11BD6">
        <w:rPr>
          <w:rFonts w:ascii="Times New Roman" w:hAnsi="Times New Roman" w:cs="Times New Roman"/>
          <w:bCs/>
          <w:i/>
          <w:iCs/>
          <w:sz w:val="24"/>
          <w:szCs w:val="24"/>
        </w:rPr>
        <w:t>contribuyendo</w:t>
      </w:r>
      <w:r w:rsidRPr="00A11BD6">
        <w:rPr>
          <w:rFonts w:ascii="Times New Roman" w:hAnsi="Times New Roman" w:cs="Times New Roman"/>
          <w:bCs/>
          <w:i/>
          <w:iCs/>
          <w:sz w:val="24"/>
          <w:szCs w:val="24"/>
        </w:rPr>
        <w:t xml:space="preserve"> además a la estabilidad y sostenibilidad a través de</w:t>
      </w:r>
      <w:r w:rsidR="00C57A76" w:rsidRPr="00A11BD6">
        <w:rPr>
          <w:rFonts w:ascii="Times New Roman" w:hAnsi="Times New Roman" w:cs="Times New Roman"/>
          <w:bCs/>
          <w:i/>
          <w:iCs/>
          <w:sz w:val="24"/>
          <w:szCs w:val="24"/>
        </w:rPr>
        <w:t xml:space="preserve"> </w:t>
      </w:r>
      <w:r w:rsidRPr="00A11BD6">
        <w:rPr>
          <w:rFonts w:ascii="Times New Roman" w:hAnsi="Times New Roman" w:cs="Times New Roman"/>
          <w:bCs/>
          <w:i/>
          <w:iCs/>
          <w:sz w:val="24"/>
          <w:szCs w:val="24"/>
        </w:rPr>
        <w:t xml:space="preserve">una reducción en el déficit </w:t>
      </w:r>
      <w:r w:rsidR="00C57A76" w:rsidRPr="00A11BD6">
        <w:rPr>
          <w:rFonts w:ascii="Times New Roman" w:hAnsi="Times New Roman" w:cs="Times New Roman"/>
          <w:bCs/>
          <w:i/>
          <w:iCs/>
          <w:sz w:val="24"/>
          <w:szCs w:val="24"/>
        </w:rPr>
        <w:t>fiscal</w:t>
      </w:r>
      <w:r w:rsidRPr="00A11BD6">
        <w:rPr>
          <w:rFonts w:ascii="Times New Roman" w:hAnsi="Times New Roman" w:cs="Times New Roman"/>
          <w:bCs/>
          <w:i/>
          <w:iCs/>
          <w:sz w:val="24"/>
          <w:szCs w:val="24"/>
        </w:rPr>
        <w:t xml:space="preserve"> al 2.2% de PIB</w:t>
      </w:r>
      <w:r w:rsidR="0052039B" w:rsidRPr="00A11BD6">
        <w:rPr>
          <w:rFonts w:ascii="Times New Roman" w:hAnsi="Times New Roman" w:cs="Times New Roman"/>
          <w:bCs/>
          <w:sz w:val="24"/>
          <w:szCs w:val="24"/>
        </w:rPr>
        <w:t>,</w:t>
      </w:r>
      <w:r w:rsidR="00265F05" w:rsidRPr="00A11BD6">
        <w:rPr>
          <w:rStyle w:val="FootnoteReference"/>
          <w:rFonts w:ascii="Times New Roman" w:hAnsi="Times New Roman" w:cs="Times New Roman"/>
          <w:bCs/>
          <w:sz w:val="24"/>
          <w:szCs w:val="24"/>
        </w:rPr>
        <w:footnoteReference w:id="31"/>
      </w:r>
      <w:r w:rsidR="0052039B" w:rsidRPr="00A11BD6">
        <w:rPr>
          <w:rFonts w:ascii="Times New Roman" w:hAnsi="Times New Roman" w:cs="Times New Roman"/>
          <w:bCs/>
          <w:sz w:val="24"/>
          <w:szCs w:val="24"/>
        </w:rPr>
        <w:t xml:space="preserve"> y con un crecimiento estimado de alrededor del 3.</w:t>
      </w:r>
      <w:r w:rsidR="00920F61" w:rsidRPr="00A11BD6">
        <w:rPr>
          <w:rFonts w:ascii="Times New Roman" w:hAnsi="Times New Roman" w:cs="Times New Roman"/>
          <w:bCs/>
          <w:sz w:val="24"/>
          <w:szCs w:val="24"/>
        </w:rPr>
        <w:t>5</w:t>
      </w:r>
      <w:r w:rsidR="0052039B" w:rsidRPr="00A11BD6">
        <w:rPr>
          <w:rFonts w:ascii="Times New Roman" w:hAnsi="Times New Roman" w:cs="Times New Roman"/>
          <w:bCs/>
          <w:sz w:val="24"/>
          <w:szCs w:val="24"/>
        </w:rPr>
        <w:t>% del PIB.</w:t>
      </w:r>
      <w:r w:rsidR="0052039B" w:rsidRPr="00A11BD6">
        <w:rPr>
          <w:rStyle w:val="FootnoteReference"/>
          <w:rFonts w:ascii="Times New Roman" w:hAnsi="Times New Roman" w:cs="Times New Roman"/>
          <w:bCs/>
          <w:sz w:val="24"/>
          <w:szCs w:val="24"/>
        </w:rPr>
        <w:footnoteReference w:id="32"/>
      </w:r>
    </w:p>
    <w:p w14:paraId="54575E4E" w14:textId="77777777" w:rsidR="00CA32AA" w:rsidRPr="00A11BD6" w:rsidRDefault="00CA32AA" w:rsidP="004F0947">
      <w:pPr>
        <w:autoSpaceDE w:val="0"/>
        <w:autoSpaceDN w:val="0"/>
        <w:adjustRightInd w:val="0"/>
        <w:spacing w:after="0" w:line="240" w:lineRule="auto"/>
        <w:jc w:val="both"/>
        <w:rPr>
          <w:rFonts w:ascii="Times New Roman" w:hAnsi="Times New Roman" w:cs="Times New Roman"/>
          <w:sz w:val="24"/>
          <w:szCs w:val="24"/>
        </w:rPr>
      </w:pPr>
    </w:p>
    <w:p w14:paraId="6F485658" w14:textId="759BF940" w:rsidR="00017EF9" w:rsidRPr="00A11BD6" w:rsidRDefault="006554CC" w:rsidP="004F0947">
      <w:pPr>
        <w:autoSpaceDE w:val="0"/>
        <w:autoSpaceDN w:val="0"/>
        <w:adjustRightInd w:val="0"/>
        <w:spacing w:after="0" w:line="240" w:lineRule="auto"/>
        <w:jc w:val="both"/>
        <w:rPr>
          <w:rFonts w:ascii="Times New Roman" w:hAnsi="Times New Roman" w:cs="Times New Roman"/>
          <w:sz w:val="24"/>
          <w:szCs w:val="24"/>
        </w:rPr>
      </w:pPr>
      <w:r w:rsidRPr="00A11BD6">
        <w:rPr>
          <w:rFonts w:ascii="Times New Roman" w:hAnsi="Times New Roman" w:cs="Times New Roman"/>
          <w:sz w:val="24"/>
          <w:szCs w:val="24"/>
        </w:rPr>
        <w:lastRenderedPageBreak/>
        <w:t>Este panorama nacional, como se ha indicado, impactará forzosamente el comportamiento de la Municipalidad</w:t>
      </w:r>
      <w:r w:rsidR="005A1A36" w:rsidRPr="00A11BD6">
        <w:rPr>
          <w:rFonts w:ascii="Times New Roman" w:hAnsi="Times New Roman" w:cs="Times New Roman"/>
          <w:sz w:val="24"/>
          <w:szCs w:val="24"/>
        </w:rPr>
        <w:t xml:space="preserve"> de Guatemala</w:t>
      </w:r>
      <w:r w:rsidRPr="00A11BD6">
        <w:rPr>
          <w:rFonts w:ascii="Times New Roman" w:hAnsi="Times New Roman" w:cs="Times New Roman"/>
          <w:sz w:val="24"/>
          <w:szCs w:val="24"/>
        </w:rPr>
        <w:t xml:space="preserve">, cuya economía </w:t>
      </w:r>
      <w:r w:rsidRPr="00A11BD6">
        <w:rPr>
          <w:rFonts w:ascii="Times New Roman" w:hAnsi="Times New Roman" w:cs="Times New Roman"/>
          <w:i/>
          <w:sz w:val="24"/>
          <w:szCs w:val="24"/>
        </w:rPr>
        <w:t>se basa primordialmente en el comercio, servicios, industria y construcción</w:t>
      </w:r>
      <w:r w:rsidRPr="00A11BD6">
        <w:rPr>
          <w:rFonts w:ascii="Times New Roman" w:hAnsi="Times New Roman" w:cs="Times New Roman"/>
          <w:sz w:val="24"/>
          <w:szCs w:val="24"/>
        </w:rPr>
        <w:t>,</w:t>
      </w:r>
      <w:r w:rsidRPr="00A11BD6">
        <w:rPr>
          <w:rStyle w:val="FootnoteReference"/>
          <w:rFonts w:ascii="Times New Roman" w:hAnsi="Times New Roman" w:cs="Times New Roman"/>
          <w:sz w:val="24"/>
          <w:szCs w:val="24"/>
        </w:rPr>
        <w:footnoteReference w:id="33"/>
      </w:r>
      <w:r w:rsidRPr="00A11BD6">
        <w:rPr>
          <w:rFonts w:ascii="Times New Roman" w:hAnsi="Times New Roman" w:cs="Times New Roman"/>
          <w:sz w:val="24"/>
          <w:szCs w:val="24"/>
        </w:rPr>
        <w:t xml:space="preserve"> actividades que, a su turno, definen igualmente el comportamiento de su estructura financiera</w:t>
      </w:r>
      <w:r w:rsidR="00477027" w:rsidRPr="00A11BD6">
        <w:rPr>
          <w:rFonts w:ascii="Times New Roman" w:hAnsi="Times New Roman" w:cs="Times New Roman"/>
          <w:sz w:val="24"/>
          <w:szCs w:val="24"/>
        </w:rPr>
        <w:t xml:space="preserve"> la que se </w:t>
      </w:r>
      <w:r w:rsidR="00017EF9" w:rsidRPr="00A11BD6">
        <w:rPr>
          <w:rFonts w:ascii="Times New Roman" w:hAnsi="Times New Roman" w:cs="Times New Roman"/>
          <w:sz w:val="24"/>
          <w:szCs w:val="24"/>
        </w:rPr>
        <w:t xml:space="preserve">halla conformada por los ingresos provenientes de transferencias del nivel nacional de gobierno </w:t>
      </w:r>
      <w:r w:rsidR="00477027" w:rsidRPr="00A11BD6">
        <w:rPr>
          <w:rFonts w:ascii="Times New Roman" w:hAnsi="Times New Roman" w:cs="Times New Roman"/>
          <w:sz w:val="24"/>
          <w:szCs w:val="24"/>
        </w:rPr>
        <w:t xml:space="preserve">y los </w:t>
      </w:r>
      <w:r w:rsidR="00017EF9" w:rsidRPr="00A11BD6">
        <w:rPr>
          <w:rFonts w:ascii="Times New Roman" w:hAnsi="Times New Roman" w:cs="Times New Roman"/>
          <w:sz w:val="24"/>
          <w:szCs w:val="24"/>
        </w:rPr>
        <w:t>ingresos propios</w:t>
      </w:r>
      <w:r w:rsidR="00477027" w:rsidRPr="00A11BD6">
        <w:rPr>
          <w:rFonts w:ascii="Times New Roman" w:hAnsi="Times New Roman" w:cs="Times New Roman"/>
          <w:sz w:val="24"/>
          <w:szCs w:val="24"/>
        </w:rPr>
        <w:t xml:space="preserve"> recaudados en la jurisdicción municipal</w:t>
      </w:r>
      <w:r w:rsidR="00017EF9" w:rsidRPr="00A11BD6">
        <w:rPr>
          <w:rFonts w:ascii="Times New Roman" w:hAnsi="Times New Roman" w:cs="Times New Roman"/>
          <w:sz w:val="24"/>
          <w:szCs w:val="24"/>
        </w:rPr>
        <w:t>, como se señala en la sección siguiente.</w:t>
      </w:r>
    </w:p>
    <w:p w14:paraId="05CF760F" w14:textId="77777777" w:rsidR="00331B00" w:rsidRPr="00A11BD6" w:rsidRDefault="00331B00" w:rsidP="004F0947">
      <w:pPr>
        <w:autoSpaceDE w:val="0"/>
        <w:autoSpaceDN w:val="0"/>
        <w:adjustRightInd w:val="0"/>
        <w:spacing w:after="0" w:line="240" w:lineRule="auto"/>
        <w:jc w:val="both"/>
        <w:rPr>
          <w:rFonts w:ascii="Times New Roman" w:hAnsi="Times New Roman" w:cs="Times New Roman"/>
          <w:sz w:val="24"/>
          <w:szCs w:val="24"/>
        </w:rPr>
      </w:pPr>
    </w:p>
    <w:p w14:paraId="2465E8EE" w14:textId="2C19E312" w:rsidR="00E421F0" w:rsidRPr="00A11BD6" w:rsidRDefault="00D46548" w:rsidP="00F37A5F">
      <w:pPr>
        <w:pStyle w:val="Heading3"/>
      </w:pPr>
      <w:bookmarkStart w:id="21" w:name="_Toc214285419"/>
      <w:bookmarkStart w:id="22" w:name="_Ref214297099"/>
      <w:bookmarkStart w:id="23" w:name="_Ref214298123"/>
      <w:bookmarkStart w:id="24" w:name="_Toc219009942"/>
      <w:bookmarkStart w:id="25" w:name="_Ref219010939"/>
      <w:bookmarkStart w:id="26" w:name="_Toc223473015"/>
      <w:r w:rsidRPr="00A11BD6">
        <w:t xml:space="preserve">2.  </w:t>
      </w:r>
      <w:r w:rsidR="00E421F0" w:rsidRPr="00A11BD6">
        <w:t>Características de las fuentes de financiamiento de la Municipalidad</w:t>
      </w:r>
      <w:bookmarkEnd w:id="21"/>
      <w:bookmarkEnd w:id="22"/>
      <w:bookmarkEnd w:id="23"/>
      <w:bookmarkEnd w:id="24"/>
      <w:bookmarkEnd w:id="25"/>
      <w:bookmarkEnd w:id="26"/>
    </w:p>
    <w:p w14:paraId="74A5A6FC" w14:textId="77777777" w:rsidR="00E421F0" w:rsidRPr="00A11BD6" w:rsidRDefault="00E421F0" w:rsidP="004F0947">
      <w:pPr>
        <w:spacing w:after="0" w:line="240" w:lineRule="auto"/>
        <w:jc w:val="both"/>
        <w:rPr>
          <w:rFonts w:ascii="Times New Roman" w:hAnsi="Times New Roman" w:cs="Times New Roman"/>
          <w:sz w:val="24"/>
          <w:szCs w:val="24"/>
        </w:rPr>
      </w:pPr>
    </w:p>
    <w:p w14:paraId="1D41819F" w14:textId="1E643A22" w:rsidR="004355A5" w:rsidRPr="00A11BD6" w:rsidRDefault="00E421F0" w:rsidP="004F0947">
      <w:pPr>
        <w:spacing w:after="0" w:line="240" w:lineRule="auto"/>
        <w:jc w:val="both"/>
        <w:rPr>
          <w:rFonts w:ascii="Times New Roman" w:hAnsi="Times New Roman" w:cs="Times New Roman"/>
          <w:sz w:val="24"/>
          <w:szCs w:val="24"/>
        </w:rPr>
      </w:pPr>
      <w:r w:rsidRPr="00A11BD6">
        <w:rPr>
          <w:rFonts w:ascii="Times New Roman" w:hAnsi="Times New Roman" w:cs="Times New Roman"/>
          <w:sz w:val="24"/>
          <w:szCs w:val="24"/>
        </w:rPr>
        <w:t>De manera general, la estructura de financiamiento municipal está integrada por ingresos tributarios y no tributarios, provenientes de la misma jurisdicción o de otras jurisdicciones, entre los que se cuentan los ingresos que por disposición constitucional el Estado debe trasladar a las municipalidades (trasferencias); y el producto de los impuestos que el Congreso de la República decrete en favor de las municipalidades, los cuales recaudan como ingresos propios.</w:t>
      </w:r>
      <w:r w:rsidRPr="00A11BD6">
        <w:rPr>
          <w:rStyle w:val="FootnoteReference"/>
          <w:rFonts w:ascii="Times New Roman" w:hAnsi="Times New Roman" w:cs="Times New Roman"/>
          <w:sz w:val="24"/>
          <w:szCs w:val="24"/>
        </w:rPr>
        <w:footnoteReference w:id="34"/>
      </w:r>
      <w:r w:rsidRPr="00A11BD6">
        <w:rPr>
          <w:rFonts w:ascii="Times New Roman" w:hAnsi="Times New Roman" w:cs="Times New Roman"/>
          <w:sz w:val="24"/>
          <w:szCs w:val="24"/>
        </w:rPr>
        <w:t xml:space="preserve">  Atendiendo a esta composición, a continuación se destacan de manera general las características de esta estructura de financiamiento municipal.</w:t>
      </w:r>
    </w:p>
    <w:p w14:paraId="02F0BEF2" w14:textId="77777777" w:rsidR="00331B00" w:rsidRPr="00A11BD6" w:rsidRDefault="00331B00" w:rsidP="004F0947">
      <w:pPr>
        <w:spacing w:after="0" w:line="240" w:lineRule="auto"/>
        <w:jc w:val="both"/>
        <w:rPr>
          <w:rFonts w:ascii="Times New Roman" w:hAnsi="Times New Roman" w:cs="Times New Roman"/>
          <w:sz w:val="24"/>
          <w:szCs w:val="24"/>
        </w:rPr>
      </w:pPr>
    </w:p>
    <w:p w14:paraId="7031E891" w14:textId="7F370C7E" w:rsidR="00D13B52" w:rsidRPr="00925B4A" w:rsidRDefault="00D46548" w:rsidP="00925B4A">
      <w:pPr>
        <w:pStyle w:val="Heading4"/>
      </w:pPr>
      <w:bookmarkStart w:id="27" w:name="_Toc214285420"/>
      <w:bookmarkStart w:id="28" w:name="_Ref214297122"/>
      <w:bookmarkStart w:id="29" w:name="_Ref214298131"/>
      <w:bookmarkStart w:id="30" w:name="_Toc219009943"/>
      <w:bookmarkStart w:id="31" w:name="_Ref219010957"/>
      <w:bookmarkStart w:id="32" w:name="_Toc223473016"/>
      <w:r w:rsidRPr="00A11BD6">
        <w:t xml:space="preserve">2.1  </w:t>
      </w:r>
      <w:r w:rsidR="00E421F0" w:rsidRPr="00A11BD6">
        <w:t>Ingresos propios</w:t>
      </w:r>
      <w:bookmarkEnd w:id="27"/>
      <w:bookmarkEnd w:id="28"/>
      <w:bookmarkEnd w:id="29"/>
      <w:bookmarkEnd w:id="30"/>
      <w:bookmarkEnd w:id="31"/>
      <w:bookmarkEnd w:id="32"/>
    </w:p>
    <w:p w14:paraId="50329A4B" w14:textId="6D64E232" w:rsidR="00062985" w:rsidRPr="00925B4A" w:rsidRDefault="00062985" w:rsidP="00F37A5F">
      <w:pPr>
        <w:pStyle w:val="Heading5"/>
        <w:rPr>
          <w:color w:val="4F81BD" w:themeColor="accent1"/>
        </w:rPr>
      </w:pPr>
      <w:bookmarkStart w:id="33" w:name="_Ref214297142"/>
      <w:bookmarkStart w:id="34" w:name="_Toc219009944"/>
      <w:bookmarkStart w:id="35" w:name="_Ref219011040"/>
      <w:bookmarkStart w:id="36" w:name="_Toc223473017"/>
      <w:r w:rsidRPr="00925B4A">
        <w:rPr>
          <w:color w:val="4F81BD" w:themeColor="accent1"/>
        </w:rPr>
        <w:t>Ingresos Tributarios</w:t>
      </w:r>
      <w:bookmarkEnd w:id="33"/>
      <w:bookmarkEnd w:id="34"/>
      <w:bookmarkEnd w:id="35"/>
      <w:bookmarkEnd w:id="36"/>
    </w:p>
    <w:p w14:paraId="45B3F564" w14:textId="77777777" w:rsidR="00D13B52" w:rsidRPr="00A11BD6" w:rsidRDefault="00D13B52" w:rsidP="004F0947">
      <w:pPr>
        <w:spacing w:after="0" w:line="240" w:lineRule="auto"/>
        <w:jc w:val="both"/>
        <w:rPr>
          <w:rFonts w:ascii="Times New Roman" w:hAnsi="Times New Roman" w:cs="Times New Roman"/>
          <w:sz w:val="24"/>
          <w:szCs w:val="24"/>
        </w:rPr>
      </w:pPr>
    </w:p>
    <w:p w14:paraId="4A3C2A4A" w14:textId="61A7FB83" w:rsidR="00E421F0" w:rsidRPr="00A11BD6" w:rsidRDefault="00E421F0" w:rsidP="004F0947">
      <w:pPr>
        <w:spacing w:after="0" w:line="240" w:lineRule="auto"/>
        <w:jc w:val="both"/>
        <w:rPr>
          <w:rFonts w:ascii="Times New Roman" w:hAnsi="Times New Roman" w:cs="Times New Roman"/>
          <w:sz w:val="24"/>
          <w:szCs w:val="24"/>
        </w:rPr>
      </w:pPr>
      <w:r w:rsidRPr="00A11BD6">
        <w:rPr>
          <w:rFonts w:ascii="Times New Roman" w:hAnsi="Times New Roman" w:cs="Times New Roman"/>
          <w:sz w:val="24"/>
          <w:szCs w:val="24"/>
        </w:rPr>
        <w:t>Conforme con el Código Municipal,</w:t>
      </w:r>
      <w:r w:rsidRPr="00A11BD6">
        <w:rPr>
          <w:rStyle w:val="FootnoteReference"/>
          <w:rFonts w:ascii="Times New Roman" w:hAnsi="Times New Roman" w:cs="Times New Roman"/>
          <w:sz w:val="24"/>
          <w:szCs w:val="24"/>
        </w:rPr>
        <w:footnoteReference w:id="35"/>
      </w:r>
      <w:r w:rsidRPr="00A11BD6">
        <w:rPr>
          <w:rFonts w:ascii="Times New Roman" w:hAnsi="Times New Roman" w:cs="Times New Roman"/>
          <w:sz w:val="24"/>
          <w:szCs w:val="24"/>
        </w:rPr>
        <w:t xml:space="preserve"> los ingres</w:t>
      </w:r>
      <w:r w:rsidR="00DC62CC" w:rsidRPr="00A11BD6">
        <w:rPr>
          <w:rFonts w:ascii="Times New Roman" w:hAnsi="Times New Roman" w:cs="Times New Roman"/>
          <w:sz w:val="24"/>
          <w:szCs w:val="24"/>
        </w:rPr>
        <w:t>os propios son fundamentalmente</w:t>
      </w:r>
      <w:r w:rsidRPr="00A11BD6">
        <w:rPr>
          <w:rFonts w:ascii="Times New Roman" w:hAnsi="Times New Roman" w:cs="Times New Roman"/>
          <w:sz w:val="24"/>
          <w:szCs w:val="24"/>
        </w:rPr>
        <w:t xml:space="preserve"> los ingresos municipales de recaud</w:t>
      </w:r>
      <w:r w:rsidR="00DC62CC" w:rsidRPr="00A11BD6">
        <w:rPr>
          <w:rFonts w:ascii="Times New Roman" w:hAnsi="Times New Roman" w:cs="Times New Roman"/>
          <w:sz w:val="24"/>
          <w:szCs w:val="24"/>
        </w:rPr>
        <w:t xml:space="preserve">ación local por su fuente u origen.  En primer lugar </w:t>
      </w:r>
      <w:r w:rsidR="007A4764" w:rsidRPr="00A11BD6">
        <w:rPr>
          <w:rFonts w:ascii="Times New Roman" w:hAnsi="Times New Roman" w:cs="Times New Roman"/>
          <w:sz w:val="24"/>
          <w:szCs w:val="24"/>
        </w:rPr>
        <w:t xml:space="preserve">se hallan </w:t>
      </w:r>
      <w:r w:rsidR="00DC62CC" w:rsidRPr="00A11BD6">
        <w:rPr>
          <w:rFonts w:ascii="Times New Roman" w:hAnsi="Times New Roman" w:cs="Times New Roman"/>
          <w:sz w:val="24"/>
          <w:szCs w:val="24"/>
        </w:rPr>
        <w:t>los ingresos</w:t>
      </w:r>
      <w:r w:rsidRPr="00A11BD6">
        <w:rPr>
          <w:rFonts w:ascii="Times New Roman" w:hAnsi="Times New Roman" w:cs="Times New Roman"/>
          <w:sz w:val="24"/>
          <w:szCs w:val="24"/>
        </w:rPr>
        <w:t xml:space="preserve"> </w:t>
      </w:r>
      <w:r w:rsidR="0043409F" w:rsidRPr="00A11BD6">
        <w:rPr>
          <w:rFonts w:ascii="Times New Roman" w:hAnsi="Times New Roman" w:cs="Times New Roman"/>
          <w:bCs/>
          <w:sz w:val="24"/>
          <w:szCs w:val="24"/>
        </w:rPr>
        <w:t>tributarios, como el arbitrio</w:t>
      </w:r>
      <w:r w:rsidR="00DC62CC" w:rsidRPr="00A11BD6">
        <w:rPr>
          <w:rFonts w:ascii="Times New Roman" w:hAnsi="Times New Roman" w:cs="Times New Roman"/>
          <w:bCs/>
          <w:sz w:val="24"/>
          <w:szCs w:val="24"/>
        </w:rPr>
        <w:t xml:space="preserve"> de ornato y otros arbitrios </w:t>
      </w:r>
      <w:r w:rsidRPr="00A11BD6">
        <w:rPr>
          <w:rFonts w:ascii="Times New Roman" w:hAnsi="Times New Roman" w:cs="Times New Roman"/>
          <w:bCs/>
          <w:sz w:val="24"/>
          <w:szCs w:val="24"/>
        </w:rPr>
        <w:t xml:space="preserve">sobre actividades comerciales; </w:t>
      </w:r>
      <w:r w:rsidR="00DC62CC" w:rsidRPr="00A11BD6">
        <w:rPr>
          <w:rFonts w:ascii="Times New Roman" w:hAnsi="Times New Roman" w:cs="Times New Roman"/>
          <w:bCs/>
          <w:sz w:val="24"/>
          <w:szCs w:val="24"/>
        </w:rPr>
        <w:t xml:space="preserve">la </w:t>
      </w:r>
      <w:r w:rsidRPr="00A11BD6">
        <w:rPr>
          <w:rFonts w:ascii="Times New Roman" w:hAnsi="Times New Roman" w:cs="Times New Roman"/>
          <w:bCs/>
          <w:sz w:val="24"/>
          <w:szCs w:val="24"/>
        </w:rPr>
        <w:t xml:space="preserve">extracción de productos agrícolas o mineros; </w:t>
      </w:r>
      <w:r w:rsidR="00DC62CC" w:rsidRPr="00A11BD6">
        <w:rPr>
          <w:rFonts w:ascii="Times New Roman" w:hAnsi="Times New Roman" w:cs="Times New Roman"/>
          <w:sz w:val="24"/>
          <w:szCs w:val="24"/>
        </w:rPr>
        <w:t xml:space="preserve">sobre anuncios y </w:t>
      </w:r>
      <w:r w:rsidRPr="00A11BD6">
        <w:rPr>
          <w:rFonts w:ascii="Times New Roman" w:hAnsi="Times New Roman" w:cs="Times New Roman"/>
          <w:sz w:val="24"/>
          <w:szCs w:val="24"/>
        </w:rPr>
        <w:t>rótulos; sobre televisió</w:t>
      </w:r>
      <w:r w:rsidR="00B3455D" w:rsidRPr="00A11BD6">
        <w:rPr>
          <w:rFonts w:ascii="Times New Roman" w:hAnsi="Times New Roman" w:cs="Times New Roman"/>
          <w:sz w:val="24"/>
          <w:szCs w:val="24"/>
        </w:rPr>
        <w:t>n por cable, para citar algunos;</w:t>
      </w:r>
      <w:r w:rsidRPr="00A11BD6">
        <w:rPr>
          <w:rFonts w:ascii="Times New Roman" w:hAnsi="Times New Roman" w:cs="Times New Roman"/>
          <w:sz w:val="24"/>
          <w:szCs w:val="24"/>
        </w:rPr>
        <w:t xml:space="preserve"> y </w:t>
      </w:r>
      <w:r w:rsidR="00B3455D" w:rsidRPr="00A11BD6">
        <w:rPr>
          <w:rFonts w:ascii="Times New Roman" w:hAnsi="Times New Roman" w:cs="Times New Roman"/>
          <w:sz w:val="24"/>
          <w:szCs w:val="24"/>
        </w:rPr>
        <w:t xml:space="preserve">de manera destacada, </w:t>
      </w:r>
      <w:r w:rsidRPr="00A11BD6">
        <w:rPr>
          <w:rFonts w:ascii="Times New Roman" w:hAnsi="Times New Roman" w:cs="Times New Roman"/>
          <w:sz w:val="24"/>
          <w:szCs w:val="24"/>
        </w:rPr>
        <w:t>el</w:t>
      </w:r>
      <w:r w:rsidRPr="00A11BD6">
        <w:rPr>
          <w:rFonts w:ascii="Times New Roman" w:hAnsi="Times New Roman" w:cs="Times New Roman"/>
          <w:bCs/>
          <w:sz w:val="24"/>
          <w:szCs w:val="24"/>
        </w:rPr>
        <w:t xml:space="preserve"> Impuesto Único sobre Inmuebles </w:t>
      </w:r>
      <w:r w:rsidR="00093F0D" w:rsidRPr="00A11BD6">
        <w:rPr>
          <w:rFonts w:ascii="Times New Roman" w:hAnsi="Times New Roman" w:cs="Times New Roman"/>
          <w:bCs/>
          <w:sz w:val="24"/>
          <w:szCs w:val="24"/>
        </w:rPr>
        <w:t>(</w:t>
      </w:r>
      <w:r w:rsidRPr="00A11BD6">
        <w:rPr>
          <w:rFonts w:ascii="Times New Roman" w:hAnsi="Times New Roman" w:cs="Times New Roman"/>
          <w:bCs/>
          <w:sz w:val="24"/>
          <w:szCs w:val="24"/>
        </w:rPr>
        <w:t>IUSI).</w:t>
      </w:r>
      <w:r w:rsidRPr="00A11BD6">
        <w:rPr>
          <w:rStyle w:val="FootnoteReference"/>
          <w:rFonts w:ascii="Times New Roman" w:hAnsi="Times New Roman" w:cs="Times New Roman"/>
          <w:bCs/>
          <w:sz w:val="24"/>
          <w:szCs w:val="24"/>
        </w:rPr>
        <w:footnoteReference w:id="36"/>
      </w:r>
      <w:r w:rsidRPr="00A11BD6">
        <w:rPr>
          <w:rFonts w:ascii="Times New Roman" w:hAnsi="Times New Roman" w:cs="Times New Roman"/>
          <w:b/>
          <w:bCs/>
          <w:sz w:val="24"/>
          <w:szCs w:val="24"/>
        </w:rPr>
        <w:t xml:space="preserve"> </w:t>
      </w:r>
      <w:r w:rsidRPr="00A11BD6">
        <w:rPr>
          <w:rFonts w:ascii="Times New Roman" w:hAnsi="Times New Roman" w:cs="Times New Roman"/>
          <w:bCs/>
          <w:sz w:val="24"/>
          <w:szCs w:val="24"/>
        </w:rPr>
        <w:t xml:space="preserve"> </w:t>
      </w:r>
      <w:r w:rsidR="00B3455D" w:rsidRPr="00A11BD6">
        <w:rPr>
          <w:rFonts w:ascii="Times New Roman" w:hAnsi="Times New Roman" w:cs="Times New Roman"/>
          <w:bCs/>
          <w:sz w:val="24"/>
          <w:szCs w:val="24"/>
        </w:rPr>
        <w:t xml:space="preserve">Dentro de los ingresos propios </w:t>
      </w:r>
      <w:r w:rsidR="00D12996" w:rsidRPr="00A11BD6">
        <w:rPr>
          <w:rFonts w:ascii="Times New Roman" w:hAnsi="Times New Roman" w:cs="Times New Roman"/>
          <w:bCs/>
          <w:sz w:val="24"/>
          <w:szCs w:val="24"/>
        </w:rPr>
        <w:t xml:space="preserve">se hallan, igualmente, </w:t>
      </w:r>
      <w:r w:rsidRPr="00A11BD6">
        <w:rPr>
          <w:rFonts w:ascii="Times New Roman" w:hAnsi="Times New Roman" w:cs="Times New Roman"/>
          <w:bCs/>
          <w:sz w:val="24"/>
          <w:szCs w:val="24"/>
        </w:rPr>
        <w:t>los ingresos no tributarios</w:t>
      </w:r>
      <w:r w:rsidR="00B3455D" w:rsidRPr="00A11BD6">
        <w:rPr>
          <w:rFonts w:ascii="Times New Roman" w:hAnsi="Times New Roman" w:cs="Times New Roman"/>
          <w:bCs/>
          <w:sz w:val="24"/>
          <w:szCs w:val="24"/>
        </w:rPr>
        <w:t>,</w:t>
      </w:r>
      <w:r w:rsidRPr="00A11BD6">
        <w:rPr>
          <w:rFonts w:ascii="Times New Roman" w:hAnsi="Times New Roman" w:cs="Times New Roman"/>
          <w:bCs/>
          <w:sz w:val="24"/>
          <w:szCs w:val="24"/>
        </w:rPr>
        <w:t xml:space="preserve"> que comprende</w:t>
      </w:r>
      <w:r w:rsidR="0043409F" w:rsidRPr="00A11BD6">
        <w:rPr>
          <w:rFonts w:ascii="Times New Roman" w:hAnsi="Times New Roman" w:cs="Times New Roman"/>
          <w:bCs/>
          <w:sz w:val="24"/>
          <w:szCs w:val="24"/>
        </w:rPr>
        <w:t>n</w:t>
      </w:r>
      <w:r w:rsidRPr="00A11BD6">
        <w:rPr>
          <w:rFonts w:ascii="Times New Roman" w:hAnsi="Times New Roman" w:cs="Times New Roman"/>
          <w:bCs/>
          <w:sz w:val="24"/>
          <w:szCs w:val="24"/>
        </w:rPr>
        <w:t xml:space="preserve"> las tasas por servicios administrativos y </w:t>
      </w:r>
      <w:r w:rsidRPr="00A11BD6">
        <w:rPr>
          <w:rFonts w:ascii="Times New Roman" w:hAnsi="Times New Roman" w:cs="Times New Roman"/>
          <w:sz w:val="24"/>
          <w:szCs w:val="24"/>
        </w:rPr>
        <w:t xml:space="preserve">por servicios públicos locales; </w:t>
      </w:r>
      <w:r w:rsidR="00B3455D" w:rsidRPr="00A11BD6">
        <w:rPr>
          <w:rFonts w:ascii="Times New Roman" w:hAnsi="Times New Roman" w:cs="Times New Roman"/>
          <w:sz w:val="24"/>
          <w:szCs w:val="24"/>
        </w:rPr>
        <w:t xml:space="preserve">y las </w:t>
      </w:r>
      <w:r w:rsidRPr="00A11BD6">
        <w:rPr>
          <w:rFonts w:ascii="Times New Roman" w:hAnsi="Times New Roman" w:cs="Times New Roman"/>
          <w:sz w:val="24"/>
          <w:szCs w:val="24"/>
        </w:rPr>
        <w:t>rentas de los bienes municipales, sean estos de uso común o no.  En el caso de aprovechamiento privativo de bienes municipales de uso común, la modalidad puede ser a título de renta, servidumbre de paso o usufructo oneroso</w:t>
      </w:r>
      <w:r w:rsidR="005F4941" w:rsidRPr="00A11BD6">
        <w:rPr>
          <w:rFonts w:ascii="Times New Roman" w:hAnsi="Times New Roman" w:cs="Times New Roman"/>
          <w:sz w:val="24"/>
          <w:szCs w:val="24"/>
        </w:rPr>
        <w:t xml:space="preserve">; los ingresos provenientes de </w:t>
      </w:r>
      <w:r w:rsidRPr="00A11BD6">
        <w:rPr>
          <w:rFonts w:ascii="Times New Roman" w:hAnsi="Times New Roman" w:cs="Times New Roman"/>
          <w:sz w:val="24"/>
          <w:szCs w:val="24"/>
        </w:rPr>
        <w:t>frutos o productos de los bienes municipales (por compra o aprovechamiento de lo que producen terrenos municipales: astilleros, canteras, viveros); contribuciones por mejoras o aportes compensatorios de los propietarios o poseedores de inmuebles beneficiados por las obras municipales de desarrollo urbano y rural.</w:t>
      </w:r>
      <w:r w:rsidRPr="00A11BD6">
        <w:rPr>
          <w:rStyle w:val="FootnoteReference"/>
          <w:rFonts w:ascii="Times New Roman" w:hAnsi="Times New Roman" w:cs="Times New Roman"/>
          <w:sz w:val="24"/>
          <w:szCs w:val="24"/>
        </w:rPr>
        <w:footnoteReference w:id="37"/>
      </w:r>
    </w:p>
    <w:p w14:paraId="012F2CCF" w14:textId="77777777" w:rsidR="00E421F0" w:rsidRPr="00A11BD6" w:rsidRDefault="00E421F0" w:rsidP="004F0947">
      <w:pPr>
        <w:spacing w:after="0" w:line="240" w:lineRule="auto"/>
        <w:jc w:val="both"/>
        <w:rPr>
          <w:rFonts w:ascii="Times New Roman" w:hAnsi="Times New Roman" w:cs="Times New Roman"/>
          <w:sz w:val="24"/>
          <w:szCs w:val="24"/>
        </w:rPr>
      </w:pPr>
    </w:p>
    <w:p w14:paraId="09D69F19" w14:textId="3E715641" w:rsidR="00E421F0" w:rsidRPr="00A11BD6" w:rsidRDefault="002D3A3B" w:rsidP="004F0947">
      <w:pPr>
        <w:autoSpaceDE w:val="0"/>
        <w:autoSpaceDN w:val="0"/>
        <w:adjustRightInd w:val="0"/>
        <w:spacing w:after="0" w:line="240" w:lineRule="auto"/>
        <w:jc w:val="both"/>
        <w:rPr>
          <w:rFonts w:ascii="Times New Roman" w:hAnsi="Times New Roman" w:cs="Times New Roman"/>
          <w:color w:val="000000"/>
          <w:sz w:val="24"/>
          <w:szCs w:val="24"/>
        </w:rPr>
      </w:pPr>
      <w:r w:rsidRPr="007B43DB">
        <w:rPr>
          <w:rFonts w:ascii="Times New Roman" w:hAnsi="Times New Roman" w:cs="Times New Roman"/>
          <w:color w:val="000000"/>
          <w:sz w:val="24"/>
          <w:szCs w:val="24"/>
        </w:rPr>
        <w:t>L</w:t>
      </w:r>
      <w:r w:rsidR="00E421F0" w:rsidRPr="007B43DB">
        <w:rPr>
          <w:rFonts w:ascii="Times New Roman" w:hAnsi="Times New Roman" w:cs="Times New Roman"/>
          <w:color w:val="000000"/>
          <w:sz w:val="24"/>
          <w:szCs w:val="24"/>
        </w:rPr>
        <w:t xml:space="preserve">a condición de capital y área metrópoli, hace que la estructura de los ingresos y gastos de la Municipalidad de Guatemala sea esencialmente diferente del promedio nacional.  Así, </w:t>
      </w:r>
      <w:r w:rsidR="00E421F0" w:rsidRPr="007B43DB">
        <w:rPr>
          <w:rFonts w:ascii="Times New Roman" w:hAnsi="Times New Roman" w:cs="Times New Roman"/>
          <w:color w:val="000000"/>
          <w:sz w:val="24"/>
          <w:szCs w:val="24"/>
        </w:rPr>
        <w:lastRenderedPageBreak/>
        <w:t>mientras los ingresos propios representan un porcentaje superior al 65% del total, a nivel nacional esta fuente apenas supera el 27% (año base 1999).</w:t>
      </w:r>
      <w:r w:rsidR="00E421F0" w:rsidRPr="007B43DB">
        <w:rPr>
          <w:rStyle w:val="FootnoteReference"/>
          <w:rFonts w:ascii="Times New Roman" w:hAnsi="Times New Roman" w:cs="Times New Roman"/>
          <w:color w:val="000000"/>
          <w:sz w:val="24"/>
          <w:szCs w:val="24"/>
        </w:rPr>
        <w:footnoteReference w:id="38"/>
      </w:r>
      <w:r w:rsidR="00E421F0" w:rsidRPr="007B43DB">
        <w:rPr>
          <w:rFonts w:ascii="Times New Roman" w:hAnsi="Times New Roman" w:cs="Times New Roman"/>
          <w:color w:val="000000"/>
          <w:sz w:val="24"/>
          <w:szCs w:val="24"/>
        </w:rPr>
        <w:t xml:space="preserve">  Ello se explica por su dimensión y composición territoriales, que redunda</w:t>
      </w:r>
      <w:r w:rsidR="0043409F" w:rsidRPr="007B43DB">
        <w:rPr>
          <w:rFonts w:ascii="Times New Roman" w:hAnsi="Times New Roman" w:cs="Times New Roman"/>
          <w:color w:val="000000"/>
          <w:sz w:val="24"/>
          <w:szCs w:val="24"/>
        </w:rPr>
        <w:t>n</w:t>
      </w:r>
      <w:r w:rsidR="00E421F0" w:rsidRPr="007B43DB">
        <w:rPr>
          <w:rFonts w:ascii="Times New Roman" w:hAnsi="Times New Roman" w:cs="Times New Roman"/>
          <w:color w:val="000000"/>
          <w:sz w:val="24"/>
          <w:szCs w:val="24"/>
        </w:rPr>
        <w:t xml:space="preserve"> en una importante participación histórica del IUSI, que se sitúa alrededor del 15,2% del total de ingresos (año base 1999), y lo referente a las tasas por servicios públicos.</w:t>
      </w:r>
      <w:r w:rsidR="00E421F0" w:rsidRPr="007B43DB">
        <w:rPr>
          <w:rStyle w:val="FootnoteReference"/>
          <w:rFonts w:ascii="Times New Roman" w:hAnsi="Times New Roman" w:cs="Times New Roman"/>
          <w:color w:val="000000"/>
          <w:sz w:val="24"/>
          <w:szCs w:val="24"/>
        </w:rPr>
        <w:footnoteReference w:id="39"/>
      </w:r>
    </w:p>
    <w:p w14:paraId="609EBCDC" w14:textId="77777777" w:rsidR="007F58A4" w:rsidRPr="00A11BD6" w:rsidRDefault="007F58A4" w:rsidP="004F0947">
      <w:pPr>
        <w:autoSpaceDE w:val="0"/>
        <w:autoSpaceDN w:val="0"/>
        <w:adjustRightInd w:val="0"/>
        <w:spacing w:after="0" w:line="240" w:lineRule="auto"/>
        <w:jc w:val="both"/>
        <w:rPr>
          <w:rFonts w:ascii="Times New Roman" w:hAnsi="Times New Roman" w:cs="Times New Roman"/>
          <w:color w:val="000000"/>
          <w:sz w:val="24"/>
          <w:szCs w:val="24"/>
        </w:rPr>
      </w:pPr>
    </w:p>
    <w:p w14:paraId="4389B8A2" w14:textId="77777777" w:rsidR="00A11BD6" w:rsidRPr="00A11BD6" w:rsidRDefault="00A11BD6" w:rsidP="00A11BD6">
      <w:pPr>
        <w:spacing w:after="0" w:line="240" w:lineRule="auto"/>
        <w:jc w:val="both"/>
        <w:rPr>
          <w:rFonts w:ascii="Times New Roman" w:hAnsi="Times New Roman" w:cs="Times New Roman"/>
          <w:sz w:val="24"/>
          <w:szCs w:val="24"/>
        </w:rPr>
      </w:pPr>
      <w:r w:rsidRPr="00A11BD6">
        <w:rPr>
          <w:rFonts w:ascii="Times New Roman" w:hAnsi="Times New Roman" w:cs="Times New Roman"/>
          <w:sz w:val="24"/>
          <w:szCs w:val="24"/>
        </w:rPr>
        <w:t xml:space="preserve">Los ingresos de la Municipalidad de Guatemala son fundamentalmente el IUSI y el de tarifas (transporte, electricidad, alumbrado) que se hallan vinculados a la expansión urbana de la ciudad o su reclasificación de usos del suelo conforme lo determine el respectivo plan de ordenamiento territorial.  Es decir, si bien la base gravable del impuesto se halla atada a la propiedad, su dinámica depende del proceso de expansión, actualización o reclasificación de usos del suelo y las dinámicas de construcción que ello genere.  Pero esos procesos se hallan condicionados por las reglas del plan de ordenamiento territorial (POT), en cuanto a usos del suelo o expansión física, y por la disponibilidad misma de tierra para construcción.  Sin embargo, la perspectiva de ingreso puede resultar favorable si se asume, tal como lo señala el documento técnico del POT, que el </w:t>
      </w:r>
      <w:r w:rsidRPr="00A11BD6">
        <w:rPr>
          <w:rFonts w:ascii="Times New Roman" w:hAnsi="Times New Roman" w:cs="Times New Roman"/>
          <w:i/>
          <w:sz w:val="24"/>
          <w:szCs w:val="24"/>
        </w:rPr>
        <w:t>espacio urbanizado en la Ciudad de Guatemala se duplicará para el año 2020</w:t>
      </w:r>
      <w:r w:rsidRPr="00A11BD6">
        <w:rPr>
          <w:rFonts w:ascii="Times New Roman" w:hAnsi="Times New Roman" w:cs="Times New Roman"/>
          <w:sz w:val="24"/>
          <w:szCs w:val="24"/>
        </w:rPr>
        <w:t>.</w:t>
      </w:r>
      <w:r w:rsidRPr="00A11BD6">
        <w:rPr>
          <w:rStyle w:val="FootnoteReference"/>
          <w:rFonts w:ascii="Times New Roman" w:hAnsi="Times New Roman" w:cs="Times New Roman"/>
          <w:sz w:val="24"/>
          <w:szCs w:val="24"/>
        </w:rPr>
        <w:footnoteReference w:id="40"/>
      </w:r>
    </w:p>
    <w:p w14:paraId="578FD275" w14:textId="77777777" w:rsidR="00A11BD6" w:rsidRPr="00A11BD6" w:rsidRDefault="00A11BD6" w:rsidP="004F0947">
      <w:pPr>
        <w:autoSpaceDE w:val="0"/>
        <w:autoSpaceDN w:val="0"/>
        <w:adjustRightInd w:val="0"/>
        <w:spacing w:after="0" w:line="240" w:lineRule="auto"/>
        <w:jc w:val="both"/>
        <w:rPr>
          <w:rFonts w:ascii="Times New Roman" w:hAnsi="Times New Roman" w:cs="Times New Roman"/>
          <w:color w:val="000000"/>
          <w:sz w:val="24"/>
          <w:szCs w:val="24"/>
        </w:rPr>
      </w:pPr>
    </w:p>
    <w:p w14:paraId="31A80CB3" w14:textId="6FF39C35" w:rsidR="00E421F0" w:rsidRPr="00A11BD6" w:rsidRDefault="00E421F0" w:rsidP="004F0947">
      <w:pPr>
        <w:autoSpaceDE w:val="0"/>
        <w:autoSpaceDN w:val="0"/>
        <w:adjustRightInd w:val="0"/>
        <w:spacing w:after="0" w:line="240" w:lineRule="auto"/>
        <w:jc w:val="both"/>
        <w:rPr>
          <w:rFonts w:ascii="Times New Roman" w:hAnsi="Times New Roman" w:cs="Times New Roman"/>
          <w:color w:val="000000"/>
          <w:sz w:val="24"/>
          <w:szCs w:val="24"/>
        </w:rPr>
      </w:pPr>
      <w:r w:rsidRPr="00A11BD6">
        <w:rPr>
          <w:rFonts w:ascii="Times New Roman" w:hAnsi="Times New Roman" w:cs="Times New Roman"/>
          <w:color w:val="000000"/>
          <w:sz w:val="24"/>
          <w:szCs w:val="24"/>
        </w:rPr>
        <w:t>De igual modo, los gastos de la municipalidad registran características que determinan una composición inversa al tipo de</w:t>
      </w:r>
      <w:r w:rsidR="00B3455D" w:rsidRPr="00A11BD6">
        <w:rPr>
          <w:rFonts w:ascii="Times New Roman" w:hAnsi="Times New Roman" w:cs="Times New Roman"/>
          <w:color w:val="000000"/>
          <w:sz w:val="24"/>
          <w:szCs w:val="24"/>
        </w:rPr>
        <w:t xml:space="preserve"> </w:t>
      </w:r>
      <w:r w:rsidRPr="00A11BD6">
        <w:rPr>
          <w:rFonts w:ascii="Times New Roman" w:hAnsi="Times New Roman" w:cs="Times New Roman"/>
          <w:color w:val="000000"/>
          <w:sz w:val="24"/>
          <w:szCs w:val="24"/>
        </w:rPr>
        <w:t>gasto de las de</w:t>
      </w:r>
      <w:r w:rsidR="00B25E4B" w:rsidRPr="00A11BD6">
        <w:rPr>
          <w:rFonts w:ascii="Times New Roman" w:hAnsi="Times New Roman" w:cs="Times New Roman"/>
          <w:color w:val="000000"/>
          <w:sz w:val="24"/>
          <w:szCs w:val="24"/>
        </w:rPr>
        <w:t xml:space="preserve">más municipalidades del país.  </w:t>
      </w:r>
      <w:r w:rsidRPr="00A11BD6">
        <w:rPr>
          <w:rFonts w:ascii="Times New Roman" w:hAnsi="Times New Roman" w:cs="Times New Roman"/>
          <w:i/>
          <w:color w:val="000000"/>
          <w:sz w:val="24"/>
          <w:szCs w:val="24"/>
        </w:rPr>
        <w:t>A diferencia del resto de gobiernos locales, cuya prioridad es la construcción de infraestructura, la capital dedica la mayor parte de sus recursos a la prestación de servicios, razón por la cual el mayor porcentaje de sus gastos se registra en los programas de funcionamiento</w:t>
      </w:r>
      <w:r w:rsidRPr="00A11BD6">
        <w:rPr>
          <w:rFonts w:ascii="Times New Roman" w:hAnsi="Times New Roman" w:cs="Times New Roman"/>
          <w:color w:val="000000"/>
          <w:sz w:val="24"/>
          <w:szCs w:val="24"/>
        </w:rPr>
        <w:t>.</w:t>
      </w:r>
      <w:r w:rsidRPr="00A11BD6">
        <w:rPr>
          <w:rStyle w:val="FootnoteReference"/>
          <w:rFonts w:ascii="Times New Roman" w:hAnsi="Times New Roman" w:cs="Times New Roman"/>
          <w:color w:val="000000"/>
          <w:sz w:val="24"/>
          <w:szCs w:val="24"/>
        </w:rPr>
        <w:footnoteReference w:id="41"/>
      </w:r>
    </w:p>
    <w:p w14:paraId="16FBECBC" w14:textId="77777777" w:rsidR="00E421F0" w:rsidRPr="00A11BD6" w:rsidRDefault="00E421F0" w:rsidP="004F0947">
      <w:pPr>
        <w:autoSpaceDE w:val="0"/>
        <w:autoSpaceDN w:val="0"/>
        <w:adjustRightInd w:val="0"/>
        <w:spacing w:after="0" w:line="240" w:lineRule="auto"/>
        <w:jc w:val="both"/>
        <w:rPr>
          <w:rFonts w:ascii="Times New Roman" w:hAnsi="Times New Roman" w:cs="Times New Roman"/>
          <w:sz w:val="24"/>
          <w:szCs w:val="24"/>
        </w:rPr>
      </w:pPr>
    </w:p>
    <w:p w14:paraId="450C9E0A" w14:textId="52469AEA" w:rsidR="00091EC8" w:rsidRPr="00925B4A" w:rsidRDefault="00091EC8" w:rsidP="00F37A5F">
      <w:pPr>
        <w:pStyle w:val="Heading5"/>
        <w:rPr>
          <w:color w:val="4F81BD" w:themeColor="accent1"/>
        </w:rPr>
      </w:pPr>
      <w:bookmarkStart w:id="39" w:name="_Ref214297160"/>
      <w:bookmarkStart w:id="40" w:name="_Toc219009945"/>
      <w:bookmarkStart w:id="41" w:name="_Toc223473018"/>
      <w:r w:rsidRPr="00925B4A">
        <w:rPr>
          <w:color w:val="4F81BD" w:themeColor="accent1"/>
        </w:rPr>
        <w:t>Ingresos No Tributarios y Venta de Bienes y Servicios.</w:t>
      </w:r>
      <w:bookmarkEnd w:id="39"/>
      <w:bookmarkEnd w:id="40"/>
      <w:bookmarkEnd w:id="41"/>
    </w:p>
    <w:p w14:paraId="231E4847" w14:textId="77777777" w:rsidR="0004748D" w:rsidRPr="00A11BD6" w:rsidRDefault="0004748D" w:rsidP="004F0947">
      <w:pPr>
        <w:autoSpaceDE w:val="0"/>
        <w:autoSpaceDN w:val="0"/>
        <w:adjustRightInd w:val="0"/>
        <w:spacing w:after="0" w:line="240" w:lineRule="auto"/>
        <w:jc w:val="both"/>
        <w:rPr>
          <w:rFonts w:ascii="Times New Roman" w:hAnsi="Times New Roman" w:cs="Times New Roman"/>
          <w:sz w:val="24"/>
          <w:szCs w:val="24"/>
        </w:rPr>
      </w:pPr>
    </w:p>
    <w:p w14:paraId="09BA2FE3" w14:textId="0C78FDB7" w:rsidR="009B3288" w:rsidRPr="00A11BD6" w:rsidRDefault="00091EC8" w:rsidP="00A11BD6">
      <w:pPr>
        <w:autoSpaceDE w:val="0"/>
        <w:autoSpaceDN w:val="0"/>
        <w:adjustRightInd w:val="0"/>
        <w:spacing w:after="0" w:line="240" w:lineRule="auto"/>
        <w:jc w:val="both"/>
        <w:rPr>
          <w:rFonts w:ascii="Times New Roman" w:hAnsi="Times New Roman" w:cs="Times New Roman"/>
          <w:sz w:val="24"/>
          <w:szCs w:val="24"/>
        </w:rPr>
      </w:pPr>
      <w:r w:rsidRPr="00A11BD6">
        <w:rPr>
          <w:rFonts w:ascii="Times New Roman" w:hAnsi="Times New Roman" w:cs="Times New Roman"/>
          <w:sz w:val="24"/>
          <w:szCs w:val="24"/>
        </w:rPr>
        <w:t>En cuanto al ingreso no tributario proveniente de tarifas, o ingresos que percibe la municipalidad por la prestación de los servicios públicos locales</w:t>
      </w:r>
      <w:r w:rsidR="00DD57CC" w:rsidRPr="00A11BD6">
        <w:rPr>
          <w:rFonts w:ascii="Times New Roman" w:hAnsi="Times New Roman" w:cs="Times New Roman"/>
          <w:sz w:val="24"/>
          <w:szCs w:val="24"/>
        </w:rPr>
        <w:t>,</w:t>
      </w:r>
      <w:r w:rsidRPr="00A11BD6">
        <w:rPr>
          <w:rStyle w:val="FootnoteReference"/>
          <w:rFonts w:ascii="Times New Roman" w:hAnsi="Times New Roman" w:cs="Times New Roman"/>
          <w:sz w:val="24"/>
          <w:szCs w:val="24"/>
        </w:rPr>
        <w:footnoteReference w:id="42"/>
      </w:r>
      <w:r w:rsidRPr="00A11BD6">
        <w:rPr>
          <w:rFonts w:ascii="Times New Roman" w:hAnsi="Times New Roman" w:cs="Times New Roman"/>
          <w:sz w:val="24"/>
          <w:szCs w:val="24"/>
        </w:rPr>
        <w:t xml:space="preserve"> su base es móvil o flexible en la medida que se halla sujeta a consumo efectivo del servicio de trasporte o electricidad, por ejemplo.  Es decir, este ingreso es mas dinámico por cuanto se halla ligado al flujo de población que hace uso de los medios masivos de transporte pero de igual modo, se halla sujeto, en el caso de alumbrado, a la expansión de áreas urbanas o de carácter público, sobre las cuales opera el sistema de alumbrado público.</w:t>
      </w:r>
      <w:r w:rsidR="008F5AD1" w:rsidRPr="00A11BD6">
        <w:rPr>
          <w:rStyle w:val="FootnoteReference"/>
          <w:rFonts w:ascii="Times New Roman" w:hAnsi="Times New Roman" w:cs="Times New Roman"/>
          <w:sz w:val="24"/>
          <w:szCs w:val="24"/>
        </w:rPr>
        <w:footnoteReference w:id="43"/>
      </w:r>
      <w:r w:rsidRPr="00A11BD6">
        <w:rPr>
          <w:rFonts w:ascii="Times New Roman" w:hAnsi="Times New Roman" w:cs="Times New Roman"/>
          <w:sz w:val="24"/>
          <w:szCs w:val="24"/>
        </w:rPr>
        <w:t xml:space="preserve">  En cuanto al consumo </w:t>
      </w:r>
      <w:r w:rsidRPr="00A11BD6">
        <w:rPr>
          <w:rFonts w:ascii="Times New Roman" w:hAnsi="Times New Roman" w:cs="Times New Roman"/>
          <w:sz w:val="24"/>
          <w:szCs w:val="24"/>
        </w:rPr>
        <w:lastRenderedPageBreak/>
        <w:t xml:space="preserve">de energía, </w:t>
      </w:r>
      <w:r w:rsidR="005D5515" w:rsidRPr="00A11BD6">
        <w:rPr>
          <w:rFonts w:ascii="Times New Roman" w:hAnsi="Times New Roman" w:cs="Times New Roman"/>
          <w:sz w:val="24"/>
          <w:szCs w:val="24"/>
        </w:rPr>
        <w:t xml:space="preserve">se halla </w:t>
      </w:r>
      <w:r w:rsidRPr="00A11BD6">
        <w:rPr>
          <w:rFonts w:ascii="Times New Roman" w:hAnsi="Times New Roman" w:cs="Times New Roman"/>
          <w:sz w:val="24"/>
          <w:szCs w:val="24"/>
        </w:rPr>
        <w:t>igualmente relacionado con la actividad residencial o industrial o comercial, en cuyo caso</w:t>
      </w:r>
      <w:r w:rsidR="00DD57CC" w:rsidRPr="00A11BD6">
        <w:rPr>
          <w:rFonts w:ascii="Times New Roman" w:hAnsi="Times New Roman" w:cs="Times New Roman"/>
          <w:sz w:val="24"/>
          <w:szCs w:val="24"/>
        </w:rPr>
        <w:t>, la expansión de áreas urbanas y</w:t>
      </w:r>
      <w:r w:rsidRPr="00A11BD6">
        <w:rPr>
          <w:rFonts w:ascii="Times New Roman" w:hAnsi="Times New Roman" w:cs="Times New Roman"/>
          <w:sz w:val="24"/>
          <w:szCs w:val="24"/>
        </w:rPr>
        <w:t xml:space="preserve"> el establecimiento de nuevas empresas o industrias generará efectos positivos en </w:t>
      </w:r>
      <w:r w:rsidR="008C28A4" w:rsidRPr="00A11BD6">
        <w:rPr>
          <w:rFonts w:ascii="Times New Roman" w:hAnsi="Times New Roman" w:cs="Times New Roman"/>
          <w:sz w:val="24"/>
          <w:szCs w:val="24"/>
        </w:rPr>
        <w:t xml:space="preserve">la generación y recaudo de </w:t>
      </w:r>
      <w:r w:rsidRPr="00A11BD6">
        <w:rPr>
          <w:rFonts w:ascii="Times New Roman" w:hAnsi="Times New Roman" w:cs="Times New Roman"/>
          <w:sz w:val="24"/>
          <w:szCs w:val="24"/>
        </w:rPr>
        <w:t xml:space="preserve">este </w:t>
      </w:r>
      <w:r w:rsidR="008C28A4" w:rsidRPr="00A11BD6">
        <w:rPr>
          <w:rFonts w:ascii="Times New Roman" w:hAnsi="Times New Roman" w:cs="Times New Roman"/>
          <w:sz w:val="24"/>
          <w:szCs w:val="24"/>
        </w:rPr>
        <w:t>gravamen</w:t>
      </w:r>
      <w:r w:rsidRPr="00A11BD6">
        <w:rPr>
          <w:rFonts w:ascii="Times New Roman" w:hAnsi="Times New Roman" w:cs="Times New Roman"/>
          <w:sz w:val="24"/>
          <w:szCs w:val="24"/>
        </w:rPr>
        <w:t xml:space="preserve">.  </w:t>
      </w:r>
    </w:p>
    <w:p w14:paraId="31E15C9B" w14:textId="77777777" w:rsidR="00331B00" w:rsidRPr="00A11BD6" w:rsidRDefault="00331B00" w:rsidP="004F0947">
      <w:pPr>
        <w:spacing w:after="0" w:line="240" w:lineRule="auto"/>
        <w:jc w:val="both"/>
        <w:rPr>
          <w:rFonts w:ascii="Times New Roman" w:hAnsi="Times New Roman" w:cs="Times New Roman"/>
          <w:sz w:val="24"/>
          <w:szCs w:val="24"/>
        </w:rPr>
      </w:pPr>
    </w:p>
    <w:p w14:paraId="38218809" w14:textId="46CB8BAC" w:rsidR="009B3288" w:rsidRPr="00A11BD6" w:rsidRDefault="00FA6E6C" w:rsidP="00F37A5F">
      <w:pPr>
        <w:pStyle w:val="Heading4"/>
      </w:pPr>
      <w:bookmarkStart w:id="42" w:name="_Ref214297171"/>
      <w:bookmarkStart w:id="43" w:name="_Toc219009946"/>
      <w:bookmarkStart w:id="44" w:name="_Toc223473019"/>
      <w:r w:rsidRPr="00A11BD6">
        <w:t xml:space="preserve">2.2  </w:t>
      </w:r>
      <w:r w:rsidR="009F0C96" w:rsidRPr="00A11BD6">
        <w:t>Transferencias</w:t>
      </w:r>
      <w:bookmarkEnd w:id="42"/>
      <w:bookmarkEnd w:id="43"/>
      <w:bookmarkEnd w:id="44"/>
    </w:p>
    <w:p w14:paraId="5BC784D0" w14:textId="77777777" w:rsidR="0004748D" w:rsidRPr="00A11BD6" w:rsidRDefault="0004748D" w:rsidP="004F0947">
      <w:pPr>
        <w:spacing w:after="0" w:line="240" w:lineRule="auto"/>
        <w:jc w:val="both"/>
        <w:rPr>
          <w:rFonts w:ascii="Times New Roman" w:hAnsi="Times New Roman" w:cs="Times New Roman"/>
          <w:sz w:val="24"/>
          <w:szCs w:val="24"/>
        </w:rPr>
      </w:pPr>
    </w:p>
    <w:p w14:paraId="4074E12B" w14:textId="0551CE37" w:rsidR="009F0C96" w:rsidRPr="00A11BD6" w:rsidRDefault="00B167B7" w:rsidP="004F0947">
      <w:pPr>
        <w:spacing w:after="0" w:line="240" w:lineRule="auto"/>
        <w:jc w:val="both"/>
        <w:rPr>
          <w:rFonts w:ascii="Times New Roman" w:hAnsi="Times New Roman" w:cs="Times New Roman"/>
          <w:sz w:val="24"/>
          <w:szCs w:val="24"/>
        </w:rPr>
      </w:pPr>
      <w:r w:rsidRPr="00A11BD6">
        <w:rPr>
          <w:rFonts w:ascii="Times New Roman" w:hAnsi="Times New Roman" w:cs="Times New Roman"/>
          <w:sz w:val="24"/>
          <w:szCs w:val="24"/>
        </w:rPr>
        <w:t xml:space="preserve">En relación con el situado constitucional, </w:t>
      </w:r>
      <w:r w:rsidR="009F0C96" w:rsidRPr="00A11BD6">
        <w:rPr>
          <w:rFonts w:ascii="Times New Roman" w:hAnsi="Times New Roman" w:cs="Times New Roman"/>
          <w:sz w:val="24"/>
          <w:szCs w:val="24"/>
        </w:rPr>
        <w:t>su distribución se halla regulada por los siguientes criterios:</w:t>
      </w:r>
    </w:p>
    <w:p w14:paraId="0985E483" w14:textId="77777777" w:rsidR="008F1CC3" w:rsidRPr="00A11BD6" w:rsidRDefault="008F1CC3" w:rsidP="004F0947">
      <w:pPr>
        <w:spacing w:after="0" w:line="240" w:lineRule="auto"/>
        <w:jc w:val="both"/>
        <w:rPr>
          <w:rFonts w:ascii="Times New Roman" w:hAnsi="Times New Roman" w:cs="Times New Roman"/>
          <w:sz w:val="24"/>
          <w:szCs w:val="24"/>
        </w:rPr>
      </w:pPr>
    </w:p>
    <w:p w14:paraId="5EEF10ED" w14:textId="2BEB0A03" w:rsidR="009F0C96" w:rsidRPr="00A11BD6" w:rsidRDefault="00925B4A" w:rsidP="004F094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Cuadro 1</w:t>
      </w:r>
      <w:r w:rsidR="00682603" w:rsidRPr="00A11BD6">
        <w:rPr>
          <w:rFonts w:ascii="Times New Roman" w:hAnsi="Times New Roman" w:cs="Times New Roman"/>
          <w:b/>
          <w:sz w:val="24"/>
          <w:szCs w:val="24"/>
        </w:rPr>
        <w:t>. Criterios de distribución situado constitucional.</w:t>
      </w:r>
    </w:p>
    <w:p w14:paraId="23E00D2B" w14:textId="576779E5" w:rsidR="009F0C96" w:rsidRPr="00A11BD6" w:rsidRDefault="009F0C96" w:rsidP="002C7E26">
      <w:pPr>
        <w:spacing w:after="0" w:line="240" w:lineRule="auto"/>
        <w:jc w:val="center"/>
        <w:rPr>
          <w:rFonts w:ascii="Times New Roman" w:hAnsi="Times New Roman" w:cs="Times New Roman"/>
          <w:sz w:val="24"/>
          <w:szCs w:val="24"/>
        </w:rPr>
      </w:pPr>
      <w:r w:rsidRPr="00A11BD6">
        <w:rPr>
          <w:rFonts w:ascii="Times New Roman" w:hAnsi="Times New Roman" w:cs="Times New Roman"/>
          <w:noProof/>
          <w:sz w:val="24"/>
          <w:szCs w:val="24"/>
          <w:lang w:val="en-US" w:eastAsia="en-US"/>
        </w:rPr>
        <w:drawing>
          <wp:inline distT="0" distB="0" distL="0" distR="0" wp14:anchorId="7FDA0270" wp14:editId="2E181EB0">
            <wp:extent cx="3822700" cy="977900"/>
            <wp:effectExtent l="171450" t="171450" r="349250" b="355600"/>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2700" cy="977900"/>
                    </a:xfrm>
                    <a:prstGeom prst="rect">
                      <a:avLst/>
                    </a:prstGeom>
                    <a:ln>
                      <a:solidFill>
                        <a:schemeClr val="accent2">
                          <a:lumMod val="50000"/>
                        </a:schemeClr>
                      </a:solidFill>
                    </a:ln>
                    <a:effectLst>
                      <a:outerShdw blurRad="292100" dist="139700" dir="2700000" algn="tl" rotWithShape="0">
                        <a:srgbClr val="333333">
                          <a:alpha val="65000"/>
                        </a:srgbClr>
                      </a:outerShdw>
                    </a:effectLst>
                  </pic:spPr>
                </pic:pic>
              </a:graphicData>
            </a:graphic>
          </wp:inline>
        </w:drawing>
      </w:r>
    </w:p>
    <w:p w14:paraId="6565FCD1" w14:textId="4137CC77" w:rsidR="009F0C96" w:rsidRPr="00A11BD6" w:rsidRDefault="009F0C96" w:rsidP="004F0947">
      <w:pPr>
        <w:spacing w:after="0" w:line="240" w:lineRule="auto"/>
        <w:jc w:val="both"/>
        <w:rPr>
          <w:rFonts w:ascii="Times New Roman" w:hAnsi="Times New Roman" w:cs="Times New Roman"/>
          <w:sz w:val="24"/>
          <w:szCs w:val="24"/>
        </w:rPr>
      </w:pPr>
      <w:r w:rsidRPr="00A11BD6">
        <w:rPr>
          <w:rFonts w:ascii="Times New Roman" w:hAnsi="Times New Roman" w:cs="Times New Roman"/>
          <w:sz w:val="24"/>
          <w:szCs w:val="24"/>
        </w:rPr>
        <w:t xml:space="preserve">Tal como se observa, atendiendo a las características urbanas de la Ciudad de Guatemala, los criterios de distribución parecieran favorecerle en el reparto del </w:t>
      </w:r>
      <w:r w:rsidR="00B167B7" w:rsidRPr="00A11BD6">
        <w:rPr>
          <w:rFonts w:ascii="Times New Roman" w:hAnsi="Times New Roman" w:cs="Times New Roman"/>
          <w:sz w:val="24"/>
          <w:szCs w:val="24"/>
        </w:rPr>
        <w:t>s</w:t>
      </w:r>
      <w:r w:rsidRPr="00A11BD6">
        <w:rPr>
          <w:rFonts w:ascii="Times New Roman" w:hAnsi="Times New Roman" w:cs="Times New Roman"/>
          <w:sz w:val="24"/>
          <w:szCs w:val="24"/>
        </w:rPr>
        <w:t xml:space="preserve">ituado </w:t>
      </w:r>
      <w:r w:rsidR="00B167B7" w:rsidRPr="00A11BD6">
        <w:rPr>
          <w:rFonts w:ascii="Times New Roman" w:hAnsi="Times New Roman" w:cs="Times New Roman"/>
          <w:sz w:val="24"/>
          <w:szCs w:val="24"/>
        </w:rPr>
        <w:t>c</w:t>
      </w:r>
      <w:r w:rsidRPr="00A11BD6">
        <w:rPr>
          <w:rFonts w:ascii="Times New Roman" w:hAnsi="Times New Roman" w:cs="Times New Roman"/>
          <w:sz w:val="24"/>
          <w:szCs w:val="24"/>
        </w:rPr>
        <w:t>onstitucional,</w:t>
      </w:r>
      <w:r w:rsidRPr="00A11BD6">
        <w:rPr>
          <w:rStyle w:val="FootnoteReference"/>
          <w:rFonts w:ascii="Times New Roman" w:hAnsi="Times New Roman" w:cs="Times New Roman"/>
          <w:sz w:val="24"/>
          <w:szCs w:val="24"/>
        </w:rPr>
        <w:footnoteReference w:id="44"/>
      </w:r>
      <w:r w:rsidRPr="00A11BD6">
        <w:rPr>
          <w:rFonts w:ascii="Times New Roman" w:hAnsi="Times New Roman" w:cs="Times New Roman"/>
          <w:sz w:val="24"/>
          <w:szCs w:val="24"/>
        </w:rPr>
        <w:t xml:space="preserve"> en la medida </w:t>
      </w:r>
      <w:r w:rsidR="00DB11C1" w:rsidRPr="00A11BD6">
        <w:rPr>
          <w:rFonts w:ascii="Times New Roman" w:hAnsi="Times New Roman" w:cs="Times New Roman"/>
          <w:sz w:val="24"/>
          <w:szCs w:val="24"/>
        </w:rPr>
        <w:t>en que</w:t>
      </w:r>
      <w:r w:rsidRPr="00A11BD6">
        <w:rPr>
          <w:rFonts w:ascii="Times New Roman" w:hAnsi="Times New Roman" w:cs="Times New Roman"/>
          <w:sz w:val="24"/>
          <w:szCs w:val="24"/>
        </w:rPr>
        <w:t xml:space="preserve"> privilegian el factor poblacional y el ingreso per cápita medido en términos de ingresos propios.</w:t>
      </w:r>
      <w:r w:rsidRPr="00A11BD6">
        <w:rPr>
          <w:rStyle w:val="FootnoteReference"/>
          <w:rFonts w:ascii="Times New Roman" w:hAnsi="Times New Roman" w:cs="Times New Roman"/>
          <w:sz w:val="24"/>
          <w:szCs w:val="24"/>
        </w:rPr>
        <w:footnoteReference w:id="45"/>
      </w:r>
    </w:p>
    <w:p w14:paraId="7AA2B0E6" w14:textId="77777777" w:rsidR="00B167B7" w:rsidRPr="00A11BD6" w:rsidRDefault="00B167B7" w:rsidP="004F0947">
      <w:pPr>
        <w:spacing w:after="0" w:line="240" w:lineRule="auto"/>
        <w:jc w:val="both"/>
        <w:rPr>
          <w:rFonts w:ascii="Times New Roman" w:hAnsi="Times New Roman" w:cs="Times New Roman"/>
          <w:sz w:val="24"/>
          <w:szCs w:val="24"/>
        </w:rPr>
      </w:pPr>
    </w:p>
    <w:p w14:paraId="7634FAAC" w14:textId="30BD03F1" w:rsidR="009F0C96" w:rsidRPr="00A11BD6" w:rsidRDefault="00B167B7" w:rsidP="004F0947">
      <w:pPr>
        <w:spacing w:after="0" w:line="240" w:lineRule="auto"/>
        <w:jc w:val="both"/>
        <w:rPr>
          <w:rFonts w:ascii="Times New Roman" w:hAnsi="Times New Roman" w:cs="Times New Roman"/>
          <w:sz w:val="24"/>
          <w:szCs w:val="24"/>
        </w:rPr>
      </w:pPr>
      <w:r w:rsidRPr="00A11BD6">
        <w:rPr>
          <w:rFonts w:ascii="Times New Roman" w:hAnsi="Times New Roman" w:cs="Times New Roman"/>
          <w:sz w:val="24"/>
          <w:szCs w:val="24"/>
        </w:rPr>
        <w:t xml:space="preserve">Respecto de las </w:t>
      </w:r>
      <w:r w:rsidR="009F0C96" w:rsidRPr="00A11BD6">
        <w:rPr>
          <w:rFonts w:ascii="Times New Roman" w:hAnsi="Times New Roman" w:cs="Times New Roman"/>
          <w:sz w:val="24"/>
          <w:szCs w:val="24"/>
        </w:rPr>
        <w:t>transferencias de orden legal, las mismas se distribuyen de conformidad con la respectiva autorización legal.  Sin embargo, las normas legales correspondientes han extendido el criterio de distribución del situado constitucion</w:t>
      </w:r>
      <w:r w:rsidR="00091EC8" w:rsidRPr="00A11BD6">
        <w:rPr>
          <w:rFonts w:ascii="Times New Roman" w:hAnsi="Times New Roman" w:cs="Times New Roman"/>
          <w:sz w:val="24"/>
          <w:szCs w:val="24"/>
        </w:rPr>
        <w:t>al a las transferencias legales</w:t>
      </w:r>
      <w:r w:rsidR="009F0C96" w:rsidRPr="00A11BD6">
        <w:rPr>
          <w:rFonts w:ascii="Times New Roman" w:hAnsi="Times New Roman" w:cs="Times New Roman"/>
          <w:sz w:val="24"/>
          <w:szCs w:val="24"/>
        </w:rPr>
        <w:t>, tal como se indica a continuación:</w:t>
      </w:r>
    </w:p>
    <w:p w14:paraId="69818D38" w14:textId="77777777" w:rsidR="009F0C96" w:rsidRPr="00A11BD6" w:rsidRDefault="009F0C96" w:rsidP="004F0947">
      <w:pPr>
        <w:spacing w:after="0" w:line="240" w:lineRule="auto"/>
        <w:jc w:val="both"/>
        <w:rPr>
          <w:rFonts w:ascii="Times New Roman" w:hAnsi="Times New Roman" w:cs="Times New Roman"/>
          <w:sz w:val="20"/>
        </w:rPr>
      </w:pPr>
    </w:p>
    <w:p w14:paraId="1805179D" w14:textId="77777777" w:rsidR="00925B4A" w:rsidRDefault="00925B4A">
      <w:pPr>
        <w:rPr>
          <w:rFonts w:ascii="Times New Roman" w:hAnsi="Times New Roman" w:cs="Times New Roman"/>
          <w:b/>
          <w:sz w:val="24"/>
          <w:szCs w:val="24"/>
        </w:rPr>
      </w:pPr>
      <w:r>
        <w:rPr>
          <w:rFonts w:ascii="Times New Roman" w:hAnsi="Times New Roman" w:cs="Times New Roman"/>
          <w:b/>
          <w:sz w:val="24"/>
          <w:szCs w:val="24"/>
        </w:rPr>
        <w:br w:type="page"/>
      </w:r>
    </w:p>
    <w:p w14:paraId="7E53587B" w14:textId="1C3E2B05" w:rsidR="00682603" w:rsidRPr="00A11BD6" w:rsidRDefault="00925B4A" w:rsidP="004F094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Cuadro 2</w:t>
      </w:r>
      <w:r w:rsidR="00682603" w:rsidRPr="00A11BD6">
        <w:rPr>
          <w:rFonts w:ascii="Times New Roman" w:hAnsi="Times New Roman" w:cs="Times New Roman"/>
          <w:b/>
          <w:sz w:val="24"/>
          <w:szCs w:val="24"/>
        </w:rPr>
        <w:t>. Criterios de distribución transferencias legales.</w:t>
      </w:r>
    </w:p>
    <w:p w14:paraId="4D8FD588" w14:textId="37BC26A0" w:rsidR="009F0C96" w:rsidRPr="00A11BD6" w:rsidRDefault="009F0C96" w:rsidP="002C7E26">
      <w:pPr>
        <w:spacing w:after="0" w:line="240" w:lineRule="auto"/>
        <w:jc w:val="center"/>
        <w:rPr>
          <w:rFonts w:ascii="Times New Roman" w:hAnsi="Times New Roman" w:cs="Times New Roman"/>
          <w:sz w:val="20"/>
        </w:rPr>
      </w:pPr>
      <w:r w:rsidRPr="00A11BD6">
        <w:rPr>
          <w:rFonts w:ascii="Times New Roman" w:hAnsi="Times New Roman" w:cs="Times New Roman"/>
          <w:noProof/>
          <w:sz w:val="24"/>
          <w:lang w:val="en-US" w:eastAsia="en-US"/>
        </w:rPr>
        <w:drawing>
          <wp:inline distT="0" distB="0" distL="0" distR="0" wp14:anchorId="334DC279" wp14:editId="1CC58A18">
            <wp:extent cx="4656304" cy="1200912"/>
            <wp:effectExtent l="152400" t="152400" r="335280" b="361315"/>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1314" cy="1204783"/>
                    </a:xfrm>
                    <a:prstGeom prst="rect">
                      <a:avLst/>
                    </a:prstGeom>
                    <a:ln>
                      <a:solidFill>
                        <a:schemeClr val="accent2">
                          <a:lumMod val="50000"/>
                        </a:schemeClr>
                      </a:solidFill>
                    </a:ln>
                    <a:effectLst>
                      <a:outerShdw blurRad="292100" dist="139700" dir="2700000" algn="tl" rotWithShape="0">
                        <a:srgbClr val="333333">
                          <a:alpha val="65000"/>
                        </a:srgbClr>
                      </a:outerShdw>
                    </a:effectLst>
                  </pic:spPr>
                </pic:pic>
              </a:graphicData>
            </a:graphic>
          </wp:inline>
        </w:drawing>
      </w:r>
    </w:p>
    <w:p w14:paraId="524CD7AA" w14:textId="00E56FCF" w:rsidR="00425FE3" w:rsidRPr="00A11BD6" w:rsidRDefault="009F0C96" w:rsidP="004F0947">
      <w:pPr>
        <w:autoSpaceDE w:val="0"/>
        <w:autoSpaceDN w:val="0"/>
        <w:adjustRightInd w:val="0"/>
        <w:spacing w:after="0" w:line="240" w:lineRule="auto"/>
        <w:jc w:val="both"/>
        <w:rPr>
          <w:rFonts w:ascii="Times New Roman" w:hAnsi="Times New Roman" w:cs="Times New Roman"/>
          <w:sz w:val="24"/>
          <w:szCs w:val="24"/>
        </w:rPr>
      </w:pPr>
      <w:r w:rsidRPr="00A11BD6">
        <w:rPr>
          <w:rFonts w:ascii="Times New Roman" w:hAnsi="Times New Roman" w:cs="Times New Roman"/>
          <w:sz w:val="24"/>
          <w:szCs w:val="24"/>
        </w:rPr>
        <w:t xml:space="preserve">En este orden, al hacer extensivos los criterios de distribución del situado constitucional a las transferencias de origen legal, la ciudad de Guatemala se beneficia en la medida </w:t>
      </w:r>
      <w:r w:rsidR="00485228" w:rsidRPr="00A11BD6">
        <w:rPr>
          <w:rFonts w:ascii="Times New Roman" w:hAnsi="Times New Roman" w:cs="Times New Roman"/>
          <w:sz w:val="24"/>
          <w:szCs w:val="24"/>
        </w:rPr>
        <w:t>en que dichos criterios</w:t>
      </w:r>
      <w:r w:rsidRPr="00A11BD6">
        <w:rPr>
          <w:rFonts w:ascii="Times New Roman" w:hAnsi="Times New Roman" w:cs="Times New Roman"/>
          <w:sz w:val="24"/>
          <w:szCs w:val="24"/>
        </w:rPr>
        <w:t xml:space="preserve"> privilegian el factor poblacional y el ingreso per cápita.</w:t>
      </w:r>
    </w:p>
    <w:p w14:paraId="5A5F9F9D" w14:textId="77777777" w:rsidR="009F0C96" w:rsidRPr="00A11BD6" w:rsidRDefault="009F0C96" w:rsidP="004F0947">
      <w:pPr>
        <w:spacing w:after="0" w:line="240" w:lineRule="auto"/>
        <w:jc w:val="both"/>
        <w:rPr>
          <w:rFonts w:ascii="Times New Roman" w:hAnsi="Times New Roman" w:cs="Times New Roman"/>
          <w:sz w:val="24"/>
          <w:szCs w:val="24"/>
        </w:rPr>
      </w:pPr>
    </w:p>
    <w:p w14:paraId="41BD0300" w14:textId="55CA46C5" w:rsidR="00CA78D2" w:rsidRPr="00A11BD6" w:rsidRDefault="00E955AE" w:rsidP="004F0947">
      <w:pPr>
        <w:autoSpaceDE w:val="0"/>
        <w:autoSpaceDN w:val="0"/>
        <w:adjustRightInd w:val="0"/>
        <w:spacing w:after="0" w:line="240" w:lineRule="auto"/>
        <w:jc w:val="both"/>
        <w:rPr>
          <w:rFonts w:ascii="Times New Roman" w:hAnsi="Times New Roman" w:cs="Times New Roman"/>
          <w:color w:val="000000"/>
          <w:sz w:val="24"/>
          <w:szCs w:val="24"/>
        </w:rPr>
      </w:pPr>
      <w:r w:rsidRPr="00A11BD6">
        <w:rPr>
          <w:rFonts w:ascii="Times New Roman" w:hAnsi="Times New Roman" w:cs="Times New Roman"/>
          <w:sz w:val="24"/>
          <w:szCs w:val="24"/>
        </w:rPr>
        <w:t>D</w:t>
      </w:r>
      <w:r w:rsidR="00CA78D2" w:rsidRPr="00A11BD6">
        <w:rPr>
          <w:rFonts w:ascii="Times New Roman" w:hAnsi="Times New Roman" w:cs="Times New Roman"/>
          <w:sz w:val="24"/>
          <w:szCs w:val="24"/>
        </w:rPr>
        <w:t xml:space="preserve">ado que la Municipalidad de Guatemala contiene aproximadamente el 9% de población del país y que las transferencias representan, en promedio, apenas un 15% dentro de los ingresos totales de la Municipalidad de Guatemala, desde un punto de vista de un ingreso per cápita medido en términos de ingresos propios, la </w:t>
      </w:r>
      <w:r w:rsidR="00CA78D2" w:rsidRPr="00A11BD6">
        <w:rPr>
          <w:rFonts w:ascii="Times New Roman" w:hAnsi="Times New Roman" w:cs="Times New Roman"/>
          <w:color w:val="000000"/>
          <w:sz w:val="24"/>
          <w:szCs w:val="24"/>
        </w:rPr>
        <w:t xml:space="preserve">participación de las transferencias en el total de ingresos de la Municipalidad, le permite al Gobierno Local disponer de un mayor margen de autonomía financiera, si se considera que en el resto del país, ese peso de las </w:t>
      </w:r>
      <w:r w:rsidR="002829B3" w:rsidRPr="00A11BD6">
        <w:rPr>
          <w:rFonts w:ascii="Times New Roman" w:hAnsi="Times New Roman" w:cs="Times New Roman"/>
          <w:color w:val="000000"/>
          <w:sz w:val="24"/>
          <w:szCs w:val="24"/>
        </w:rPr>
        <w:t>transferencias</w:t>
      </w:r>
      <w:r w:rsidR="00CA78D2" w:rsidRPr="00A11BD6">
        <w:rPr>
          <w:rFonts w:ascii="Times New Roman" w:hAnsi="Times New Roman" w:cs="Times New Roman"/>
          <w:color w:val="000000"/>
          <w:sz w:val="24"/>
          <w:szCs w:val="24"/>
        </w:rPr>
        <w:t xml:space="preserve"> se incrementó alrededor del 55% en promedio.</w:t>
      </w:r>
      <w:r w:rsidR="00CA78D2" w:rsidRPr="00A11BD6">
        <w:rPr>
          <w:rStyle w:val="FootnoteReference"/>
          <w:rFonts w:ascii="Times New Roman" w:hAnsi="Times New Roman" w:cs="Times New Roman"/>
          <w:color w:val="000000"/>
          <w:sz w:val="24"/>
          <w:szCs w:val="24"/>
        </w:rPr>
        <w:footnoteReference w:id="46"/>
      </w:r>
    </w:p>
    <w:p w14:paraId="47610133" w14:textId="77777777" w:rsidR="00CA78D2" w:rsidRPr="00A11BD6" w:rsidRDefault="00CA78D2" w:rsidP="004F0947">
      <w:pPr>
        <w:spacing w:after="0" w:line="240" w:lineRule="auto"/>
        <w:jc w:val="both"/>
        <w:rPr>
          <w:rFonts w:ascii="Times New Roman" w:hAnsi="Times New Roman" w:cs="Times New Roman"/>
          <w:sz w:val="24"/>
          <w:szCs w:val="24"/>
        </w:rPr>
      </w:pPr>
    </w:p>
    <w:p w14:paraId="0787CD42" w14:textId="2EFA41E1" w:rsidR="009F0C96" w:rsidRPr="00A11BD6" w:rsidRDefault="00E955AE" w:rsidP="004F0947">
      <w:pPr>
        <w:spacing w:after="0" w:line="240" w:lineRule="auto"/>
        <w:jc w:val="both"/>
        <w:rPr>
          <w:rFonts w:ascii="Times New Roman" w:hAnsi="Times New Roman" w:cs="Times New Roman"/>
          <w:sz w:val="24"/>
          <w:szCs w:val="24"/>
        </w:rPr>
      </w:pPr>
      <w:r w:rsidRPr="00A11BD6">
        <w:rPr>
          <w:rFonts w:ascii="Times New Roman" w:hAnsi="Times New Roman" w:cs="Times New Roman"/>
          <w:sz w:val="24"/>
          <w:szCs w:val="24"/>
        </w:rPr>
        <w:t>T</w:t>
      </w:r>
      <w:r w:rsidR="009F0C96" w:rsidRPr="00A11BD6">
        <w:rPr>
          <w:rFonts w:ascii="Times New Roman" w:hAnsi="Times New Roman" w:cs="Times New Roman"/>
          <w:sz w:val="24"/>
          <w:szCs w:val="24"/>
        </w:rPr>
        <w:t xml:space="preserve">al como la calificación de riesgo emitida para la Municipalidad de Guatemala lo señala, </w:t>
      </w:r>
      <w:r w:rsidR="009F0C96" w:rsidRPr="00A11BD6">
        <w:rPr>
          <w:rFonts w:ascii="Times New Roman" w:hAnsi="Times New Roman" w:cs="Times New Roman"/>
          <w:i/>
          <w:sz w:val="24"/>
          <w:szCs w:val="24"/>
        </w:rPr>
        <w:t>para el año 2010 registró un total de ingresos propios de Q1,299.19 millones y una población total de 990,750 habitantes, así logrando un indicador de ingresos propios per cápita de Q1,311.32.  Al analizar dicho indicador con los indicadores del resto de los municipios, se evidencia que el municipio de Guatemala es el que mantiene el indicador más elevado</w:t>
      </w:r>
      <w:r w:rsidR="009F0C96" w:rsidRPr="00A11BD6">
        <w:rPr>
          <w:rFonts w:ascii="Times New Roman" w:hAnsi="Times New Roman" w:cs="Times New Roman"/>
          <w:sz w:val="24"/>
          <w:szCs w:val="24"/>
        </w:rPr>
        <w:t>.</w:t>
      </w:r>
      <w:r w:rsidR="009F0C96" w:rsidRPr="00A11BD6">
        <w:rPr>
          <w:rStyle w:val="FootnoteReference"/>
          <w:rFonts w:ascii="Times New Roman" w:hAnsi="Times New Roman" w:cs="Times New Roman"/>
          <w:sz w:val="24"/>
          <w:szCs w:val="24"/>
        </w:rPr>
        <w:footnoteReference w:id="47"/>
      </w:r>
    </w:p>
    <w:p w14:paraId="3A8262C1" w14:textId="77777777" w:rsidR="006554CC" w:rsidRPr="00A11BD6" w:rsidRDefault="006554CC" w:rsidP="004F0947">
      <w:pPr>
        <w:spacing w:after="0" w:line="240" w:lineRule="auto"/>
        <w:jc w:val="both"/>
        <w:rPr>
          <w:rFonts w:ascii="Times New Roman" w:hAnsi="Times New Roman" w:cs="Times New Roman"/>
          <w:sz w:val="24"/>
          <w:szCs w:val="24"/>
        </w:rPr>
      </w:pPr>
    </w:p>
    <w:p w14:paraId="1E056E74" w14:textId="77777777" w:rsidR="002829B3" w:rsidRPr="00A11BD6" w:rsidRDefault="002829B3" w:rsidP="004F0947">
      <w:pPr>
        <w:spacing w:after="0" w:line="240" w:lineRule="auto"/>
        <w:jc w:val="both"/>
        <w:rPr>
          <w:rFonts w:ascii="Times New Roman" w:hAnsi="Times New Roman" w:cs="Times New Roman"/>
          <w:sz w:val="24"/>
          <w:szCs w:val="24"/>
        </w:rPr>
      </w:pPr>
    </w:p>
    <w:p w14:paraId="516B1EAF" w14:textId="77777777" w:rsidR="002829B3" w:rsidRPr="00A11BD6" w:rsidRDefault="002829B3" w:rsidP="004F0947">
      <w:pPr>
        <w:spacing w:after="0" w:line="240" w:lineRule="auto"/>
        <w:jc w:val="both"/>
        <w:rPr>
          <w:rFonts w:ascii="Times New Roman" w:hAnsi="Times New Roman" w:cs="Times New Roman"/>
          <w:sz w:val="24"/>
          <w:szCs w:val="24"/>
        </w:rPr>
      </w:pPr>
    </w:p>
    <w:p w14:paraId="046379FE" w14:textId="36DCF46D" w:rsidR="002F1ED6" w:rsidRPr="00A11BD6" w:rsidRDefault="002F1ED6" w:rsidP="004F0947">
      <w:pPr>
        <w:spacing w:line="240" w:lineRule="auto"/>
        <w:rPr>
          <w:rFonts w:ascii="Times New Roman" w:hAnsi="Times New Roman" w:cs="Times New Roman"/>
          <w:sz w:val="24"/>
          <w:szCs w:val="24"/>
        </w:rPr>
      </w:pPr>
      <w:r w:rsidRPr="00A11BD6">
        <w:rPr>
          <w:rFonts w:ascii="Times New Roman" w:hAnsi="Times New Roman" w:cs="Times New Roman"/>
          <w:sz w:val="24"/>
          <w:szCs w:val="24"/>
        </w:rPr>
        <w:br w:type="page"/>
      </w:r>
    </w:p>
    <w:p w14:paraId="37135503" w14:textId="37B98B11" w:rsidR="00136B78" w:rsidRPr="00A11BD6" w:rsidRDefault="005F7CC8" w:rsidP="00F37A5F">
      <w:pPr>
        <w:pStyle w:val="Heading2"/>
      </w:pPr>
      <w:bookmarkStart w:id="46" w:name="_Ref214297186"/>
      <w:bookmarkStart w:id="47" w:name="_Toc219009947"/>
      <w:bookmarkStart w:id="48" w:name="_Toc223473020"/>
      <w:r w:rsidRPr="00A11BD6">
        <w:lastRenderedPageBreak/>
        <w:t xml:space="preserve">II. </w:t>
      </w:r>
      <w:r w:rsidR="00CD73EC" w:rsidRPr="00A11BD6">
        <w:t>Diagnóstico Fiscal y Financiero de la Municipalidad</w:t>
      </w:r>
      <w:bookmarkEnd w:id="46"/>
      <w:bookmarkEnd w:id="47"/>
      <w:bookmarkEnd w:id="48"/>
    </w:p>
    <w:p w14:paraId="7BB13831" w14:textId="77777777" w:rsidR="00136B78" w:rsidRPr="00A11BD6" w:rsidRDefault="00136B78" w:rsidP="002C7E26">
      <w:pPr>
        <w:spacing w:after="0" w:line="240" w:lineRule="auto"/>
        <w:jc w:val="both"/>
        <w:rPr>
          <w:rFonts w:ascii="Times New Roman" w:hAnsi="Times New Roman" w:cs="Times New Roman"/>
          <w:sz w:val="20"/>
          <w:szCs w:val="20"/>
        </w:rPr>
      </w:pPr>
    </w:p>
    <w:p w14:paraId="7FBB5237" w14:textId="77777777" w:rsidR="00331B00" w:rsidRPr="00A11BD6" w:rsidRDefault="00331B00" w:rsidP="002C7E26">
      <w:pPr>
        <w:spacing w:after="0" w:line="240" w:lineRule="auto"/>
        <w:jc w:val="both"/>
        <w:rPr>
          <w:rFonts w:ascii="Times New Roman" w:hAnsi="Times New Roman" w:cs="Times New Roman"/>
          <w:sz w:val="24"/>
          <w:szCs w:val="24"/>
        </w:rPr>
      </w:pPr>
    </w:p>
    <w:p w14:paraId="58C5A36A" w14:textId="1381835E" w:rsidR="00136B78" w:rsidRPr="00A11BD6" w:rsidRDefault="00E67DDB" w:rsidP="002C7E26">
      <w:pPr>
        <w:spacing w:after="0" w:line="240" w:lineRule="auto"/>
        <w:jc w:val="both"/>
        <w:rPr>
          <w:rFonts w:ascii="Times New Roman" w:hAnsi="Times New Roman" w:cs="Times New Roman"/>
          <w:sz w:val="24"/>
          <w:szCs w:val="24"/>
        </w:rPr>
      </w:pPr>
      <w:r w:rsidRPr="00A11BD6">
        <w:rPr>
          <w:rFonts w:ascii="Times New Roman" w:hAnsi="Times New Roman" w:cs="Times New Roman"/>
          <w:sz w:val="24"/>
          <w:szCs w:val="24"/>
        </w:rPr>
        <w:t>Para efectos del diagnóstico fiscal y financiero de la Municipalidad, e</w:t>
      </w:r>
      <w:r w:rsidR="00560405" w:rsidRPr="00A11BD6">
        <w:rPr>
          <w:rFonts w:ascii="Times New Roman" w:hAnsi="Times New Roman" w:cs="Times New Roman"/>
          <w:sz w:val="24"/>
          <w:szCs w:val="24"/>
        </w:rPr>
        <w:t>l</w:t>
      </w:r>
      <w:r w:rsidR="005B31BF" w:rsidRPr="00A11BD6">
        <w:rPr>
          <w:rFonts w:ascii="Times New Roman" w:hAnsi="Times New Roman" w:cs="Times New Roman"/>
          <w:sz w:val="24"/>
          <w:szCs w:val="24"/>
        </w:rPr>
        <w:t xml:space="preserve"> </w:t>
      </w:r>
      <w:r w:rsidRPr="00A11BD6">
        <w:rPr>
          <w:rFonts w:ascii="Times New Roman" w:hAnsi="Times New Roman" w:cs="Times New Roman"/>
          <w:sz w:val="24"/>
          <w:szCs w:val="24"/>
        </w:rPr>
        <w:t xml:space="preserve">análisis contenido en el </w:t>
      </w:r>
      <w:r w:rsidR="005B31BF" w:rsidRPr="00A11BD6">
        <w:rPr>
          <w:rFonts w:ascii="Times New Roman" w:hAnsi="Times New Roman" w:cs="Times New Roman"/>
          <w:sz w:val="24"/>
          <w:szCs w:val="24"/>
        </w:rPr>
        <w:t>MFMP</w:t>
      </w:r>
      <w:r w:rsidR="00560405" w:rsidRPr="00A11BD6">
        <w:rPr>
          <w:rFonts w:ascii="Times New Roman" w:hAnsi="Times New Roman" w:cs="Times New Roman"/>
          <w:sz w:val="24"/>
          <w:szCs w:val="24"/>
        </w:rPr>
        <w:t xml:space="preserve"> cuantifica</w:t>
      </w:r>
      <w:r w:rsidR="00136B78" w:rsidRPr="00A11BD6">
        <w:rPr>
          <w:rFonts w:ascii="Times New Roman" w:hAnsi="Times New Roman" w:cs="Times New Roman"/>
          <w:sz w:val="24"/>
          <w:szCs w:val="24"/>
        </w:rPr>
        <w:t xml:space="preserve"> la posición fiscal y financiera de</w:t>
      </w:r>
      <w:r w:rsidR="00C24761" w:rsidRPr="00A11BD6">
        <w:rPr>
          <w:rFonts w:ascii="Times New Roman" w:hAnsi="Times New Roman" w:cs="Times New Roman"/>
          <w:sz w:val="24"/>
          <w:szCs w:val="24"/>
        </w:rPr>
        <w:t>l gobierno subnacional</w:t>
      </w:r>
      <w:r w:rsidR="0078425F" w:rsidRPr="00A11BD6">
        <w:rPr>
          <w:rFonts w:ascii="Times New Roman" w:hAnsi="Times New Roman" w:cs="Times New Roman"/>
          <w:sz w:val="24"/>
          <w:szCs w:val="24"/>
        </w:rPr>
        <w:t xml:space="preserve">; </w:t>
      </w:r>
      <w:r w:rsidR="00560405" w:rsidRPr="00A11BD6">
        <w:rPr>
          <w:rFonts w:ascii="Times New Roman" w:hAnsi="Times New Roman" w:cs="Times New Roman"/>
          <w:sz w:val="24"/>
          <w:szCs w:val="24"/>
        </w:rPr>
        <w:t>mide</w:t>
      </w:r>
      <w:r w:rsidR="00136B78" w:rsidRPr="00A11BD6">
        <w:rPr>
          <w:rFonts w:ascii="Times New Roman" w:hAnsi="Times New Roman" w:cs="Times New Roman"/>
          <w:sz w:val="24"/>
          <w:szCs w:val="24"/>
        </w:rPr>
        <w:t xml:space="preserve"> el impacto de decisiones normativas en el escenario financiero</w:t>
      </w:r>
      <w:r w:rsidR="0078425F" w:rsidRPr="00A11BD6">
        <w:rPr>
          <w:rFonts w:ascii="Times New Roman" w:hAnsi="Times New Roman" w:cs="Times New Roman"/>
          <w:sz w:val="24"/>
          <w:szCs w:val="24"/>
        </w:rPr>
        <w:t xml:space="preserve"> del </w:t>
      </w:r>
      <w:r w:rsidR="00C24761" w:rsidRPr="00A11BD6">
        <w:rPr>
          <w:rFonts w:ascii="Times New Roman" w:hAnsi="Times New Roman" w:cs="Times New Roman"/>
          <w:sz w:val="24"/>
          <w:szCs w:val="24"/>
        </w:rPr>
        <w:t>g</w:t>
      </w:r>
      <w:r w:rsidR="0078425F" w:rsidRPr="00A11BD6">
        <w:rPr>
          <w:rFonts w:ascii="Times New Roman" w:hAnsi="Times New Roman" w:cs="Times New Roman"/>
          <w:sz w:val="24"/>
          <w:szCs w:val="24"/>
        </w:rPr>
        <w:t>obierno</w:t>
      </w:r>
      <w:r w:rsidRPr="00A11BD6">
        <w:rPr>
          <w:rFonts w:ascii="Times New Roman" w:hAnsi="Times New Roman" w:cs="Times New Roman"/>
          <w:sz w:val="24"/>
          <w:szCs w:val="24"/>
        </w:rPr>
        <w:t xml:space="preserve"> </w:t>
      </w:r>
      <w:r w:rsidR="00C24761" w:rsidRPr="00A11BD6">
        <w:rPr>
          <w:rFonts w:ascii="Times New Roman" w:hAnsi="Times New Roman" w:cs="Times New Roman"/>
          <w:sz w:val="24"/>
          <w:szCs w:val="24"/>
        </w:rPr>
        <w:t>l</w:t>
      </w:r>
      <w:r w:rsidRPr="00A11BD6">
        <w:rPr>
          <w:rFonts w:ascii="Times New Roman" w:hAnsi="Times New Roman" w:cs="Times New Roman"/>
          <w:sz w:val="24"/>
          <w:szCs w:val="24"/>
        </w:rPr>
        <w:t>ocal</w:t>
      </w:r>
      <w:r w:rsidR="0078425F" w:rsidRPr="00A11BD6">
        <w:rPr>
          <w:rFonts w:ascii="Times New Roman" w:hAnsi="Times New Roman" w:cs="Times New Roman"/>
          <w:sz w:val="24"/>
          <w:szCs w:val="24"/>
        </w:rPr>
        <w:t xml:space="preserve">; </w:t>
      </w:r>
      <w:r w:rsidR="00136B78" w:rsidRPr="00A11BD6">
        <w:rPr>
          <w:rFonts w:ascii="Times New Roman" w:hAnsi="Times New Roman" w:cs="Times New Roman"/>
          <w:sz w:val="24"/>
          <w:szCs w:val="24"/>
        </w:rPr>
        <w:t>identifica</w:t>
      </w:r>
      <w:r w:rsidR="0078425F" w:rsidRPr="00A11BD6">
        <w:rPr>
          <w:rFonts w:ascii="Times New Roman" w:hAnsi="Times New Roman" w:cs="Times New Roman"/>
          <w:sz w:val="24"/>
          <w:szCs w:val="24"/>
        </w:rPr>
        <w:t xml:space="preserve"> y cuantifica el impacto de los </w:t>
      </w:r>
      <w:r w:rsidR="00136B78" w:rsidRPr="00A11BD6">
        <w:rPr>
          <w:rFonts w:ascii="Times New Roman" w:hAnsi="Times New Roman" w:cs="Times New Roman"/>
          <w:sz w:val="24"/>
          <w:szCs w:val="24"/>
        </w:rPr>
        <w:t>pasivos</w:t>
      </w:r>
      <w:r w:rsidR="0078425F" w:rsidRPr="00A11BD6">
        <w:rPr>
          <w:rFonts w:ascii="Times New Roman" w:hAnsi="Times New Roman" w:cs="Times New Roman"/>
          <w:sz w:val="24"/>
          <w:szCs w:val="24"/>
        </w:rPr>
        <w:t xml:space="preserve"> </w:t>
      </w:r>
      <w:r w:rsidR="0075259C" w:rsidRPr="00A11BD6">
        <w:rPr>
          <w:rFonts w:ascii="Times New Roman" w:hAnsi="Times New Roman" w:cs="Times New Roman"/>
          <w:sz w:val="24"/>
          <w:szCs w:val="24"/>
        </w:rPr>
        <w:t>contingentes</w:t>
      </w:r>
      <w:r w:rsidR="00B31F70" w:rsidRPr="00A11BD6">
        <w:rPr>
          <w:rStyle w:val="FootnoteReference"/>
          <w:rFonts w:ascii="Times New Roman" w:hAnsi="Times New Roman" w:cs="Times New Roman"/>
          <w:sz w:val="24"/>
          <w:szCs w:val="24"/>
        </w:rPr>
        <w:footnoteReference w:id="48"/>
      </w:r>
      <w:r w:rsidR="0075259C" w:rsidRPr="00A11BD6">
        <w:rPr>
          <w:rFonts w:ascii="Times New Roman" w:hAnsi="Times New Roman" w:cs="Times New Roman"/>
          <w:sz w:val="24"/>
          <w:szCs w:val="24"/>
        </w:rPr>
        <w:t xml:space="preserve"> y </w:t>
      </w:r>
      <w:r w:rsidR="0078425F" w:rsidRPr="00A11BD6">
        <w:rPr>
          <w:rFonts w:ascii="Times New Roman" w:hAnsi="Times New Roman" w:cs="Times New Roman"/>
          <w:sz w:val="24"/>
          <w:szCs w:val="24"/>
        </w:rPr>
        <w:t>exigibles</w:t>
      </w:r>
      <w:r w:rsidR="00B31F70" w:rsidRPr="00A11BD6">
        <w:rPr>
          <w:rStyle w:val="FootnoteReference"/>
          <w:rFonts w:ascii="Times New Roman" w:hAnsi="Times New Roman" w:cs="Times New Roman"/>
          <w:sz w:val="24"/>
          <w:szCs w:val="24"/>
        </w:rPr>
        <w:footnoteReference w:id="49"/>
      </w:r>
      <w:r w:rsidR="0078425F" w:rsidRPr="00A11BD6">
        <w:rPr>
          <w:rFonts w:ascii="Times New Roman" w:hAnsi="Times New Roman" w:cs="Times New Roman"/>
          <w:sz w:val="24"/>
          <w:szCs w:val="24"/>
        </w:rPr>
        <w:t xml:space="preserve"> </w:t>
      </w:r>
      <w:r w:rsidR="00136B78" w:rsidRPr="00A11BD6">
        <w:rPr>
          <w:rFonts w:ascii="Times New Roman" w:hAnsi="Times New Roman" w:cs="Times New Roman"/>
          <w:sz w:val="24"/>
          <w:szCs w:val="24"/>
        </w:rPr>
        <w:t xml:space="preserve">en su estructura </w:t>
      </w:r>
      <w:r w:rsidR="0078425F" w:rsidRPr="00A11BD6">
        <w:rPr>
          <w:rFonts w:ascii="Times New Roman" w:hAnsi="Times New Roman" w:cs="Times New Roman"/>
          <w:sz w:val="24"/>
          <w:szCs w:val="24"/>
        </w:rPr>
        <w:t>de in</w:t>
      </w:r>
      <w:r w:rsidR="00170020" w:rsidRPr="00A11BD6">
        <w:rPr>
          <w:rFonts w:ascii="Times New Roman" w:hAnsi="Times New Roman" w:cs="Times New Roman"/>
          <w:sz w:val="24"/>
          <w:szCs w:val="24"/>
        </w:rPr>
        <w:t>gresos y gastos;</w:t>
      </w:r>
      <w:r w:rsidR="0078425F" w:rsidRPr="00A11BD6">
        <w:rPr>
          <w:rFonts w:ascii="Times New Roman" w:hAnsi="Times New Roman" w:cs="Times New Roman"/>
          <w:sz w:val="24"/>
          <w:szCs w:val="24"/>
        </w:rPr>
        <w:t xml:space="preserve"> y </w:t>
      </w:r>
      <w:r w:rsidR="00136B78" w:rsidRPr="00A11BD6">
        <w:rPr>
          <w:rFonts w:ascii="Times New Roman" w:hAnsi="Times New Roman" w:cs="Times New Roman"/>
          <w:sz w:val="24"/>
          <w:szCs w:val="24"/>
        </w:rPr>
        <w:t>propone medidas de saneamiento o “disciplina” fiscal</w:t>
      </w:r>
      <w:r w:rsidR="00215CA3" w:rsidRPr="00A11BD6">
        <w:rPr>
          <w:rFonts w:ascii="Times New Roman" w:hAnsi="Times New Roman" w:cs="Times New Roman"/>
          <w:sz w:val="24"/>
          <w:szCs w:val="24"/>
        </w:rPr>
        <w:t>,</w:t>
      </w:r>
      <w:r w:rsidR="0078425F" w:rsidRPr="00A11BD6">
        <w:rPr>
          <w:rFonts w:ascii="Times New Roman" w:hAnsi="Times New Roman" w:cs="Times New Roman"/>
          <w:sz w:val="24"/>
          <w:szCs w:val="24"/>
        </w:rPr>
        <w:t xml:space="preserve"> orientadas a preservar la sostenibilidad fiscal y financiera de</w:t>
      </w:r>
      <w:r w:rsidR="00C24761" w:rsidRPr="00A11BD6">
        <w:rPr>
          <w:rFonts w:ascii="Times New Roman" w:hAnsi="Times New Roman" w:cs="Times New Roman"/>
          <w:sz w:val="24"/>
          <w:szCs w:val="24"/>
        </w:rPr>
        <w:t xml:space="preserve"> este nive</w:t>
      </w:r>
      <w:r w:rsidR="0078425F" w:rsidRPr="00A11BD6">
        <w:rPr>
          <w:rFonts w:ascii="Times New Roman" w:hAnsi="Times New Roman" w:cs="Times New Roman"/>
          <w:sz w:val="24"/>
          <w:szCs w:val="24"/>
        </w:rPr>
        <w:t xml:space="preserve">l </w:t>
      </w:r>
      <w:r w:rsidR="00C24761" w:rsidRPr="00A11BD6">
        <w:rPr>
          <w:rFonts w:ascii="Times New Roman" w:hAnsi="Times New Roman" w:cs="Times New Roman"/>
          <w:sz w:val="24"/>
          <w:szCs w:val="24"/>
        </w:rPr>
        <w:t>de g</w:t>
      </w:r>
      <w:r w:rsidR="0078425F" w:rsidRPr="00A11BD6">
        <w:rPr>
          <w:rFonts w:ascii="Times New Roman" w:hAnsi="Times New Roman" w:cs="Times New Roman"/>
          <w:sz w:val="24"/>
          <w:szCs w:val="24"/>
        </w:rPr>
        <w:t>obierno.</w:t>
      </w:r>
    </w:p>
    <w:p w14:paraId="311AFDD7" w14:textId="77777777" w:rsidR="00136B78" w:rsidRPr="00A11BD6" w:rsidRDefault="00136B78" w:rsidP="002C7E26">
      <w:pPr>
        <w:spacing w:after="0" w:line="240" w:lineRule="auto"/>
        <w:jc w:val="both"/>
        <w:rPr>
          <w:rFonts w:ascii="Times New Roman" w:hAnsi="Times New Roman" w:cs="Times New Roman"/>
          <w:sz w:val="24"/>
          <w:szCs w:val="24"/>
        </w:rPr>
      </w:pPr>
    </w:p>
    <w:p w14:paraId="122F1D19" w14:textId="566D1511" w:rsidR="00AC415B" w:rsidRPr="00A11BD6" w:rsidRDefault="00242F8B" w:rsidP="002C7E26">
      <w:pPr>
        <w:spacing w:after="0" w:line="240" w:lineRule="auto"/>
        <w:jc w:val="both"/>
        <w:rPr>
          <w:rFonts w:ascii="Times New Roman" w:hAnsi="Times New Roman" w:cs="Times New Roman"/>
          <w:color w:val="000000"/>
          <w:sz w:val="24"/>
          <w:szCs w:val="24"/>
        </w:rPr>
      </w:pPr>
      <w:r w:rsidRPr="00A11BD6">
        <w:rPr>
          <w:rFonts w:ascii="Times New Roman" w:hAnsi="Times New Roman" w:cs="Times New Roman"/>
          <w:sz w:val="24"/>
          <w:szCs w:val="24"/>
        </w:rPr>
        <w:t>En este contexto</w:t>
      </w:r>
      <w:r w:rsidR="00E67DDB" w:rsidRPr="00A11BD6">
        <w:rPr>
          <w:rFonts w:ascii="Times New Roman" w:hAnsi="Times New Roman" w:cs="Times New Roman"/>
          <w:sz w:val="24"/>
          <w:szCs w:val="24"/>
        </w:rPr>
        <w:t>, d</w:t>
      </w:r>
      <w:r w:rsidR="00136B78" w:rsidRPr="00A11BD6">
        <w:rPr>
          <w:rFonts w:ascii="Times New Roman" w:hAnsi="Times New Roman" w:cs="Times New Roman"/>
          <w:sz w:val="24"/>
          <w:szCs w:val="24"/>
        </w:rPr>
        <w:t xml:space="preserve">e manera general, el MFMP proyecta su escenario </w:t>
      </w:r>
      <w:r w:rsidR="0078425F" w:rsidRPr="00A11BD6">
        <w:rPr>
          <w:rFonts w:ascii="Times New Roman" w:hAnsi="Times New Roman" w:cs="Times New Roman"/>
          <w:sz w:val="24"/>
          <w:szCs w:val="24"/>
        </w:rPr>
        <w:t xml:space="preserve">financiero </w:t>
      </w:r>
      <w:r w:rsidR="00136B78" w:rsidRPr="00A11BD6">
        <w:rPr>
          <w:rFonts w:ascii="Times New Roman" w:hAnsi="Times New Roman" w:cs="Times New Roman"/>
          <w:sz w:val="24"/>
          <w:szCs w:val="24"/>
        </w:rPr>
        <w:t xml:space="preserve">en un horizonte no inferior a diez (10) años, período durante </w:t>
      </w:r>
      <w:r w:rsidR="00170020" w:rsidRPr="00A11BD6">
        <w:rPr>
          <w:rFonts w:ascii="Times New Roman" w:hAnsi="Times New Roman" w:cs="Times New Roman"/>
          <w:sz w:val="24"/>
          <w:szCs w:val="24"/>
        </w:rPr>
        <w:t>el cual los planes de inversión;</w:t>
      </w:r>
      <w:r w:rsidR="00136B78" w:rsidRPr="00A11BD6">
        <w:rPr>
          <w:rFonts w:ascii="Times New Roman" w:hAnsi="Times New Roman" w:cs="Times New Roman"/>
          <w:sz w:val="24"/>
          <w:szCs w:val="24"/>
        </w:rPr>
        <w:t xml:space="preserve"> </w:t>
      </w:r>
      <w:r w:rsidR="00136B78" w:rsidRPr="00A11BD6">
        <w:rPr>
          <w:rFonts w:ascii="Times New Roman" w:hAnsi="Times New Roman" w:cs="Times New Roman"/>
          <w:color w:val="000000"/>
          <w:sz w:val="24"/>
          <w:szCs w:val="24"/>
        </w:rPr>
        <w:t>m</w:t>
      </w:r>
      <w:r w:rsidR="00170020" w:rsidRPr="00A11BD6">
        <w:rPr>
          <w:rFonts w:ascii="Times New Roman" w:hAnsi="Times New Roman" w:cs="Times New Roman"/>
          <w:color w:val="000000"/>
          <w:sz w:val="24"/>
          <w:szCs w:val="24"/>
        </w:rPr>
        <w:t>arcos de gasto de mediano plazo; planes financieros;</w:t>
      </w:r>
      <w:r w:rsidR="00136B78" w:rsidRPr="00A11BD6">
        <w:rPr>
          <w:rFonts w:ascii="Times New Roman" w:hAnsi="Times New Roman" w:cs="Times New Roman"/>
          <w:color w:val="000000"/>
          <w:sz w:val="24"/>
          <w:szCs w:val="24"/>
        </w:rPr>
        <w:t xml:space="preserve"> planes operativos anuales de inversiones</w:t>
      </w:r>
      <w:r w:rsidR="00170020" w:rsidRPr="00A11BD6">
        <w:rPr>
          <w:rFonts w:ascii="Times New Roman" w:hAnsi="Times New Roman" w:cs="Times New Roman"/>
          <w:color w:val="000000"/>
          <w:sz w:val="24"/>
          <w:szCs w:val="24"/>
        </w:rPr>
        <w:t>;</w:t>
      </w:r>
      <w:r w:rsidR="00136B78" w:rsidRPr="00A11BD6">
        <w:rPr>
          <w:rFonts w:ascii="Times New Roman" w:hAnsi="Times New Roman" w:cs="Times New Roman"/>
          <w:color w:val="000000"/>
          <w:sz w:val="24"/>
          <w:szCs w:val="24"/>
        </w:rPr>
        <w:t xml:space="preserve"> y los respectivos proyectos anuales de presupuesto</w:t>
      </w:r>
      <w:r w:rsidR="00170020" w:rsidRPr="00A11BD6">
        <w:rPr>
          <w:rFonts w:ascii="Times New Roman" w:hAnsi="Times New Roman" w:cs="Times New Roman"/>
          <w:color w:val="000000"/>
          <w:sz w:val="24"/>
          <w:szCs w:val="24"/>
        </w:rPr>
        <w:t>;</w:t>
      </w:r>
      <w:r w:rsidR="00136B78" w:rsidRPr="00A11BD6">
        <w:rPr>
          <w:rFonts w:ascii="Times New Roman" w:hAnsi="Times New Roman" w:cs="Times New Roman"/>
          <w:color w:val="000000"/>
          <w:sz w:val="24"/>
          <w:szCs w:val="24"/>
        </w:rPr>
        <w:t xml:space="preserve"> deberán ser consistentes con </w:t>
      </w:r>
      <w:r w:rsidR="0078425F" w:rsidRPr="00A11BD6">
        <w:rPr>
          <w:rFonts w:ascii="Times New Roman" w:hAnsi="Times New Roman" w:cs="Times New Roman"/>
          <w:color w:val="000000"/>
          <w:sz w:val="24"/>
          <w:szCs w:val="24"/>
        </w:rPr>
        <w:t xml:space="preserve">límites o </w:t>
      </w:r>
      <w:r w:rsidR="00136B78" w:rsidRPr="00A11BD6">
        <w:rPr>
          <w:rFonts w:ascii="Times New Roman" w:hAnsi="Times New Roman" w:cs="Times New Roman"/>
          <w:color w:val="000000"/>
          <w:sz w:val="24"/>
          <w:szCs w:val="24"/>
        </w:rPr>
        <w:t xml:space="preserve">reglas </w:t>
      </w:r>
      <w:r w:rsidR="0078425F" w:rsidRPr="00A11BD6">
        <w:rPr>
          <w:rFonts w:ascii="Times New Roman" w:hAnsi="Times New Roman" w:cs="Times New Roman"/>
          <w:color w:val="000000"/>
          <w:sz w:val="24"/>
          <w:szCs w:val="24"/>
        </w:rPr>
        <w:t xml:space="preserve">de conducta fiscal </w:t>
      </w:r>
      <w:r w:rsidR="00136B78" w:rsidRPr="00A11BD6">
        <w:rPr>
          <w:rFonts w:ascii="Times New Roman" w:hAnsi="Times New Roman" w:cs="Times New Roman"/>
          <w:color w:val="000000"/>
          <w:sz w:val="24"/>
          <w:szCs w:val="24"/>
        </w:rPr>
        <w:t>q</w:t>
      </w:r>
      <w:r w:rsidR="007B739B" w:rsidRPr="00A11BD6">
        <w:rPr>
          <w:rFonts w:ascii="Times New Roman" w:hAnsi="Times New Roman" w:cs="Times New Roman"/>
          <w:color w:val="000000"/>
          <w:sz w:val="24"/>
          <w:szCs w:val="24"/>
        </w:rPr>
        <w:t>ue aseguren la sostenibilidad a</w:t>
      </w:r>
      <w:r w:rsidR="00136B78" w:rsidRPr="00A11BD6">
        <w:rPr>
          <w:rFonts w:ascii="Times New Roman" w:hAnsi="Times New Roman" w:cs="Times New Roman"/>
          <w:color w:val="000000"/>
          <w:sz w:val="24"/>
          <w:szCs w:val="24"/>
        </w:rPr>
        <w:t xml:space="preserve"> largo plazo de las finanzas del </w:t>
      </w:r>
      <w:r w:rsidR="00C24761" w:rsidRPr="00A11BD6">
        <w:rPr>
          <w:rFonts w:ascii="Times New Roman" w:hAnsi="Times New Roman" w:cs="Times New Roman"/>
          <w:color w:val="000000"/>
          <w:sz w:val="24"/>
          <w:szCs w:val="24"/>
        </w:rPr>
        <w:t>g</w:t>
      </w:r>
      <w:r w:rsidR="00136B78" w:rsidRPr="00A11BD6">
        <w:rPr>
          <w:rFonts w:ascii="Times New Roman" w:hAnsi="Times New Roman" w:cs="Times New Roman"/>
          <w:color w:val="000000"/>
          <w:sz w:val="24"/>
          <w:szCs w:val="24"/>
        </w:rPr>
        <w:t xml:space="preserve">obierno </w:t>
      </w:r>
      <w:r w:rsidR="00C24761" w:rsidRPr="00A11BD6">
        <w:rPr>
          <w:rFonts w:ascii="Times New Roman" w:hAnsi="Times New Roman" w:cs="Times New Roman"/>
          <w:color w:val="000000"/>
          <w:sz w:val="24"/>
          <w:szCs w:val="24"/>
        </w:rPr>
        <w:t>l</w:t>
      </w:r>
      <w:r w:rsidRPr="00A11BD6">
        <w:rPr>
          <w:rFonts w:ascii="Times New Roman" w:hAnsi="Times New Roman" w:cs="Times New Roman"/>
          <w:color w:val="000000"/>
          <w:sz w:val="24"/>
          <w:szCs w:val="24"/>
        </w:rPr>
        <w:t xml:space="preserve">ocal </w:t>
      </w:r>
      <w:r w:rsidR="00136B78" w:rsidRPr="00A11BD6">
        <w:rPr>
          <w:rFonts w:ascii="Times New Roman" w:hAnsi="Times New Roman" w:cs="Times New Roman"/>
          <w:color w:val="000000"/>
          <w:sz w:val="24"/>
          <w:szCs w:val="24"/>
        </w:rPr>
        <w:t xml:space="preserve">y contribuyan a </w:t>
      </w:r>
      <w:r w:rsidR="00AC415B" w:rsidRPr="00A11BD6">
        <w:rPr>
          <w:rFonts w:ascii="Times New Roman" w:hAnsi="Times New Roman" w:cs="Times New Roman"/>
          <w:color w:val="000000"/>
          <w:sz w:val="24"/>
          <w:szCs w:val="24"/>
        </w:rPr>
        <w:t>su estabilidad macroeconómica.</w:t>
      </w:r>
    </w:p>
    <w:p w14:paraId="125A7B0A" w14:textId="77777777" w:rsidR="00AC415B" w:rsidRPr="00A11BD6" w:rsidRDefault="00AC415B" w:rsidP="002C7E26">
      <w:pPr>
        <w:spacing w:after="0" w:line="240" w:lineRule="auto"/>
        <w:jc w:val="both"/>
        <w:rPr>
          <w:rFonts w:ascii="Times New Roman" w:hAnsi="Times New Roman" w:cs="Times New Roman"/>
          <w:color w:val="000000"/>
          <w:sz w:val="24"/>
          <w:szCs w:val="24"/>
        </w:rPr>
      </w:pPr>
    </w:p>
    <w:p w14:paraId="7388DCE5" w14:textId="5C58B317" w:rsidR="00E540D1" w:rsidRPr="00A11BD6" w:rsidRDefault="00136B78" w:rsidP="002C7E26">
      <w:pPr>
        <w:spacing w:after="0" w:line="240" w:lineRule="auto"/>
        <w:jc w:val="both"/>
        <w:rPr>
          <w:rFonts w:ascii="Times New Roman" w:hAnsi="Times New Roman" w:cs="Times New Roman"/>
          <w:sz w:val="24"/>
          <w:szCs w:val="24"/>
        </w:rPr>
      </w:pPr>
      <w:r w:rsidRPr="00A11BD6">
        <w:rPr>
          <w:rFonts w:ascii="Times New Roman" w:hAnsi="Times New Roman" w:cs="Times New Roman"/>
          <w:color w:val="000000"/>
          <w:sz w:val="24"/>
          <w:szCs w:val="24"/>
        </w:rPr>
        <w:t>E</w:t>
      </w:r>
      <w:r w:rsidR="00242F8B" w:rsidRPr="00A11BD6">
        <w:rPr>
          <w:rFonts w:ascii="Times New Roman" w:hAnsi="Times New Roman" w:cs="Times New Roman"/>
          <w:color w:val="000000"/>
          <w:sz w:val="24"/>
          <w:szCs w:val="24"/>
        </w:rPr>
        <w:t>n este orden, l</w:t>
      </w:r>
      <w:r w:rsidR="007B739B" w:rsidRPr="00A11BD6">
        <w:rPr>
          <w:rFonts w:ascii="Times New Roman" w:hAnsi="Times New Roman" w:cs="Times New Roman"/>
          <w:color w:val="000000"/>
          <w:sz w:val="24"/>
          <w:szCs w:val="24"/>
        </w:rPr>
        <w:t>as reglas fiscales contenidas en el MFMP se hallan orientadas</w:t>
      </w:r>
      <w:r w:rsidRPr="00A11BD6">
        <w:rPr>
          <w:rFonts w:ascii="Times New Roman" w:hAnsi="Times New Roman" w:cs="Times New Roman"/>
          <w:color w:val="000000"/>
          <w:sz w:val="24"/>
          <w:szCs w:val="24"/>
        </w:rPr>
        <w:t xml:space="preserve"> a definir un límite de gasto </w:t>
      </w:r>
      <w:r w:rsidR="00385DE1" w:rsidRPr="00A11BD6">
        <w:rPr>
          <w:rFonts w:ascii="Times New Roman" w:hAnsi="Times New Roman" w:cs="Times New Roman"/>
          <w:color w:val="000000"/>
          <w:sz w:val="24"/>
          <w:szCs w:val="24"/>
        </w:rPr>
        <w:t xml:space="preserve">total </w:t>
      </w:r>
      <w:r w:rsidRPr="00A11BD6">
        <w:rPr>
          <w:rFonts w:ascii="Times New Roman" w:hAnsi="Times New Roman" w:cs="Times New Roman"/>
          <w:color w:val="000000"/>
          <w:sz w:val="24"/>
          <w:szCs w:val="24"/>
        </w:rPr>
        <w:t xml:space="preserve">respecto del ingreso </w:t>
      </w:r>
      <w:r w:rsidR="00385DE1" w:rsidRPr="00A11BD6">
        <w:rPr>
          <w:rFonts w:ascii="Times New Roman" w:hAnsi="Times New Roman" w:cs="Times New Roman"/>
          <w:color w:val="000000"/>
          <w:sz w:val="24"/>
          <w:szCs w:val="24"/>
        </w:rPr>
        <w:t>total</w:t>
      </w:r>
      <w:r w:rsidRPr="00A11BD6">
        <w:rPr>
          <w:rFonts w:ascii="Times New Roman" w:hAnsi="Times New Roman" w:cs="Times New Roman"/>
          <w:color w:val="000000"/>
          <w:sz w:val="24"/>
          <w:szCs w:val="24"/>
        </w:rPr>
        <w:t>, en un monto que no exceda la meta anual de balance establecido</w:t>
      </w:r>
      <w:r w:rsidR="0078425F" w:rsidRPr="00A11BD6">
        <w:rPr>
          <w:rFonts w:ascii="Times New Roman" w:hAnsi="Times New Roman" w:cs="Times New Roman"/>
          <w:color w:val="000000"/>
          <w:sz w:val="24"/>
          <w:szCs w:val="24"/>
        </w:rPr>
        <w:t>, para lo cual</w:t>
      </w:r>
      <w:r w:rsidR="00772820" w:rsidRPr="00A11BD6">
        <w:rPr>
          <w:rFonts w:ascii="Times New Roman" w:hAnsi="Times New Roman" w:cs="Times New Roman"/>
          <w:color w:val="000000"/>
          <w:sz w:val="24"/>
          <w:szCs w:val="24"/>
        </w:rPr>
        <w:t xml:space="preserve"> </w:t>
      </w:r>
      <w:r w:rsidR="0078425F" w:rsidRPr="00A11BD6">
        <w:rPr>
          <w:rFonts w:ascii="Times New Roman" w:hAnsi="Times New Roman" w:cs="Times New Roman"/>
          <w:color w:val="000000"/>
          <w:sz w:val="24"/>
          <w:szCs w:val="24"/>
        </w:rPr>
        <w:t>se</w:t>
      </w:r>
      <w:r w:rsidR="00772820" w:rsidRPr="00A11BD6">
        <w:rPr>
          <w:rFonts w:ascii="Times New Roman" w:hAnsi="Times New Roman" w:cs="Times New Roman"/>
          <w:color w:val="000000"/>
          <w:sz w:val="24"/>
          <w:szCs w:val="24"/>
        </w:rPr>
        <w:t xml:space="preserve"> </w:t>
      </w:r>
      <w:r w:rsidR="007B739B" w:rsidRPr="00A11BD6">
        <w:rPr>
          <w:rFonts w:ascii="Times New Roman" w:hAnsi="Times New Roman" w:cs="Times New Roman"/>
          <w:color w:val="000000"/>
          <w:sz w:val="24"/>
          <w:szCs w:val="24"/>
        </w:rPr>
        <w:t>deben identificar</w:t>
      </w:r>
      <w:r w:rsidR="0078425F" w:rsidRPr="00A11BD6">
        <w:rPr>
          <w:rFonts w:ascii="Times New Roman" w:hAnsi="Times New Roman" w:cs="Times New Roman"/>
          <w:color w:val="000000"/>
          <w:sz w:val="24"/>
          <w:szCs w:val="24"/>
        </w:rPr>
        <w:t xml:space="preserve"> en u</w:t>
      </w:r>
      <w:r w:rsidR="00772820" w:rsidRPr="00A11BD6">
        <w:rPr>
          <w:rFonts w:ascii="Times New Roman" w:hAnsi="Times New Roman" w:cs="Times New Roman"/>
          <w:color w:val="000000"/>
          <w:sz w:val="24"/>
          <w:szCs w:val="24"/>
        </w:rPr>
        <w:t>n</w:t>
      </w:r>
      <w:r w:rsidR="0078425F" w:rsidRPr="00A11BD6">
        <w:rPr>
          <w:rFonts w:ascii="Times New Roman" w:hAnsi="Times New Roman" w:cs="Times New Roman"/>
          <w:color w:val="000000"/>
          <w:sz w:val="24"/>
          <w:szCs w:val="24"/>
        </w:rPr>
        <w:t xml:space="preserve">a matriz, sometida a </w:t>
      </w:r>
      <w:r w:rsidR="00772820" w:rsidRPr="00A11BD6">
        <w:rPr>
          <w:rFonts w:ascii="Times New Roman" w:hAnsi="Times New Roman" w:cs="Times New Roman"/>
          <w:color w:val="000000"/>
          <w:sz w:val="24"/>
          <w:szCs w:val="24"/>
        </w:rPr>
        <w:t>criterios</w:t>
      </w:r>
      <w:r w:rsidR="0078425F" w:rsidRPr="00A11BD6">
        <w:rPr>
          <w:rFonts w:ascii="Times New Roman" w:hAnsi="Times New Roman" w:cs="Times New Roman"/>
          <w:color w:val="000000"/>
          <w:sz w:val="24"/>
          <w:szCs w:val="24"/>
        </w:rPr>
        <w:t xml:space="preserve"> </w:t>
      </w:r>
      <w:r w:rsidR="00772820" w:rsidRPr="00A11BD6">
        <w:rPr>
          <w:rFonts w:ascii="Times New Roman" w:hAnsi="Times New Roman" w:cs="Times New Roman"/>
          <w:color w:val="000000"/>
          <w:sz w:val="24"/>
          <w:szCs w:val="24"/>
        </w:rPr>
        <w:t>cualitativos</w:t>
      </w:r>
      <w:r w:rsidR="0078425F" w:rsidRPr="00A11BD6">
        <w:rPr>
          <w:rFonts w:ascii="Times New Roman" w:hAnsi="Times New Roman" w:cs="Times New Roman"/>
          <w:color w:val="000000"/>
          <w:sz w:val="24"/>
          <w:szCs w:val="24"/>
        </w:rPr>
        <w:t xml:space="preserve"> y </w:t>
      </w:r>
      <w:r w:rsidR="00772820" w:rsidRPr="00A11BD6">
        <w:rPr>
          <w:rFonts w:ascii="Times New Roman" w:hAnsi="Times New Roman" w:cs="Times New Roman"/>
          <w:color w:val="000000"/>
          <w:sz w:val="24"/>
          <w:szCs w:val="24"/>
        </w:rPr>
        <w:t>cuantitativos</w:t>
      </w:r>
      <w:r w:rsidR="0078425F" w:rsidRPr="00A11BD6">
        <w:rPr>
          <w:rFonts w:ascii="Times New Roman" w:hAnsi="Times New Roman" w:cs="Times New Roman"/>
          <w:color w:val="000000"/>
          <w:sz w:val="24"/>
          <w:szCs w:val="24"/>
        </w:rPr>
        <w:t xml:space="preserve"> de valoración</w:t>
      </w:r>
      <w:r w:rsidR="00EF1BE8" w:rsidRPr="00A11BD6">
        <w:rPr>
          <w:rFonts w:ascii="Times New Roman" w:hAnsi="Times New Roman" w:cs="Times New Roman"/>
          <w:color w:val="000000"/>
          <w:sz w:val="24"/>
          <w:szCs w:val="24"/>
        </w:rPr>
        <w:t>, los respectivos n</w:t>
      </w:r>
      <w:r w:rsidR="00DE3BBF" w:rsidRPr="00A11BD6">
        <w:rPr>
          <w:rFonts w:ascii="Times New Roman" w:hAnsi="Times New Roman" w:cs="Times New Roman"/>
          <w:color w:val="000000"/>
          <w:sz w:val="24"/>
          <w:szCs w:val="24"/>
        </w:rPr>
        <w:t>iveles d</w:t>
      </w:r>
      <w:r w:rsidR="00EF1BE8" w:rsidRPr="00A11BD6">
        <w:rPr>
          <w:rFonts w:ascii="Times New Roman" w:hAnsi="Times New Roman" w:cs="Times New Roman"/>
          <w:color w:val="000000"/>
          <w:sz w:val="24"/>
          <w:szCs w:val="24"/>
        </w:rPr>
        <w:t>e</w:t>
      </w:r>
      <w:r w:rsidR="00DE3BBF" w:rsidRPr="00A11BD6">
        <w:rPr>
          <w:rFonts w:ascii="Times New Roman" w:hAnsi="Times New Roman" w:cs="Times New Roman"/>
          <w:color w:val="000000"/>
          <w:sz w:val="24"/>
          <w:szCs w:val="24"/>
        </w:rPr>
        <w:t xml:space="preserve"> </w:t>
      </w:r>
      <w:r w:rsidR="00EF1BE8" w:rsidRPr="00A11BD6">
        <w:rPr>
          <w:rFonts w:ascii="Times New Roman" w:hAnsi="Times New Roman" w:cs="Times New Roman"/>
          <w:color w:val="000000"/>
          <w:sz w:val="24"/>
          <w:szCs w:val="24"/>
        </w:rPr>
        <w:t>cumplimiento</w:t>
      </w:r>
      <w:r w:rsidR="00242F8B" w:rsidRPr="00A11BD6">
        <w:rPr>
          <w:rFonts w:ascii="Times New Roman" w:hAnsi="Times New Roman" w:cs="Times New Roman"/>
          <w:color w:val="000000"/>
          <w:sz w:val="24"/>
          <w:szCs w:val="24"/>
        </w:rPr>
        <w:t>.</w:t>
      </w:r>
      <w:r w:rsidR="007B739B" w:rsidRPr="00A11BD6">
        <w:rPr>
          <w:rStyle w:val="FootnoteReference"/>
          <w:rFonts w:ascii="Times New Roman" w:hAnsi="Times New Roman" w:cs="Times New Roman"/>
          <w:color w:val="000000"/>
          <w:sz w:val="24"/>
          <w:szCs w:val="24"/>
        </w:rPr>
        <w:footnoteReference w:id="50"/>
      </w:r>
    </w:p>
    <w:p w14:paraId="090F81C4" w14:textId="77777777" w:rsidR="00136B78" w:rsidRPr="00A11BD6" w:rsidRDefault="00136B78" w:rsidP="002C7E26">
      <w:pPr>
        <w:spacing w:after="0" w:line="240" w:lineRule="auto"/>
        <w:jc w:val="both"/>
        <w:rPr>
          <w:rFonts w:ascii="Times New Roman" w:hAnsi="Times New Roman" w:cs="Times New Roman"/>
          <w:sz w:val="24"/>
          <w:szCs w:val="24"/>
        </w:rPr>
      </w:pPr>
    </w:p>
    <w:p w14:paraId="3756425E" w14:textId="2AECA0C0" w:rsidR="0069733A" w:rsidRPr="00A11BD6" w:rsidRDefault="0044539A" w:rsidP="002C7E26">
      <w:pPr>
        <w:spacing w:after="0" w:line="240" w:lineRule="auto"/>
        <w:jc w:val="both"/>
        <w:rPr>
          <w:rFonts w:ascii="Times New Roman" w:eastAsia="Times New Roman" w:hAnsi="Times New Roman" w:cs="Times New Roman"/>
          <w:color w:val="000000"/>
          <w:sz w:val="24"/>
          <w:szCs w:val="24"/>
        </w:rPr>
      </w:pPr>
      <w:r w:rsidRPr="00A11BD6">
        <w:rPr>
          <w:rFonts w:ascii="Times New Roman" w:hAnsi="Times New Roman" w:cs="Times New Roman"/>
          <w:sz w:val="24"/>
          <w:szCs w:val="24"/>
        </w:rPr>
        <w:t>Basado en</w:t>
      </w:r>
      <w:r w:rsidR="00102182" w:rsidRPr="00A11BD6">
        <w:rPr>
          <w:rFonts w:ascii="Times New Roman" w:hAnsi="Times New Roman" w:cs="Times New Roman"/>
          <w:sz w:val="24"/>
          <w:szCs w:val="24"/>
        </w:rPr>
        <w:t xml:space="preserve"> la información financiera disponible,</w:t>
      </w:r>
      <w:r w:rsidR="00102182" w:rsidRPr="00A11BD6">
        <w:rPr>
          <w:rStyle w:val="FootnoteReference"/>
          <w:rFonts w:ascii="Times New Roman" w:hAnsi="Times New Roman" w:cs="Times New Roman"/>
          <w:sz w:val="24"/>
          <w:szCs w:val="24"/>
        </w:rPr>
        <w:footnoteReference w:id="51"/>
      </w:r>
      <w:r w:rsidR="00102182" w:rsidRPr="00A11BD6">
        <w:rPr>
          <w:rFonts w:ascii="Times New Roman" w:hAnsi="Times New Roman" w:cs="Times New Roman"/>
          <w:sz w:val="24"/>
          <w:szCs w:val="24"/>
        </w:rPr>
        <w:t xml:space="preserve"> </w:t>
      </w:r>
      <w:r w:rsidR="0052058C" w:rsidRPr="00A11BD6">
        <w:rPr>
          <w:rFonts w:ascii="Times New Roman" w:hAnsi="Times New Roman" w:cs="Times New Roman"/>
          <w:sz w:val="24"/>
          <w:szCs w:val="24"/>
        </w:rPr>
        <w:t>e</w:t>
      </w:r>
      <w:r w:rsidR="00CE1534" w:rsidRPr="00A11BD6">
        <w:rPr>
          <w:rFonts w:ascii="Times New Roman" w:hAnsi="Times New Roman" w:cs="Times New Roman"/>
          <w:sz w:val="24"/>
          <w:szCs w:val="24"/>
        </w:rPr>
        <w:t xml:space="preserve">l documento </w:t>
      </w:r>
      <w:r w:rsidR="0052058C" w:rsidRPr="00A11BD6">
        <w:rPr>
          <w:rFonts w:ascii="Times New Roman" w:hAnsi="Times New Roman" w:cs="Times New Roman"/>
          <w:sz w:val="24"/>
          <w:szCs w:val="24"/>
        </w:rPr>
        <w:t xml:space="preserve">contiene </w:t>
      </w:r>
      <w:r w:rsidR="00CE1534" w:rsidRPr="00A11BD6">
        <w:rPr>
          <w:rFonts w:ascii="Times New Roman" w:hAnsi="Times New Roman" w:cs="Times New Roman"/>
          <w:sz w:val="24"/>
          <w:szCs w:val="24"/>
        </w:rPr>
        <w:t xml:space="preserve">el </w:t>
      </w:r>
      <w:r w:rsidR="00416EC6" w:rsidRPr="00A11BD6">
        <w:rPr>
          <w:rFonts w:ascii="Times New Roman" w:hAnsi="Times New Roman" w:cs="Times New Roman"/>
          <w:sz w:val="24"/>
          <w:szCs w:val="24"/>
        </w:rPr>
        <w:t>d</w:t>
      </w:r>
      <w:r w:rsidR="00CE1534" w:rsidRPr="00A11BD6">
        <w:rPr>
          <w:rFonts w:ascii="Times New Roman" w:hAnsi="Times New Roman" w:cs="Times New Roman"/>
          <w:sz w:val="24"/>
          <w:szCs w:val="24"/>
        </w:rPr>
        <w:t xml:space="preserve">iagnóstico </w:t>
      </w:r>
      <w:r w:rsidR="00416EC6" w:rsidRPr="00A11BD6">
        <w:rPr>
          <w:rFonts w:ascii="Times New Roman" w:hAnsi="Times New Roman" w:cs="Times New Roman"/>
          <w:sz w:val="24"/>
          <w:szCs w:val="24"/>
        </w:rPr>
        <w:t>f</w:t>
      </w:r>
      <w:r w:rsidR="00CE1534" w:rsidRPr="00A11BD6">
        <w:rPr>
          <w:rFonts w:ascii="Times New Roman" w:hAnsi="Times New Roman" w:cs="Times New Roman"/>
          <w:sz w:val="24"/>
          <w:szCs w:val="24"/>
        </w:rPr>
        <w:t xml:space="preserve">iscal </w:t>
      </w:r>
      <w:r w:rsidR="007B76A6" w:rsidRPr="00A11BD6">
        <w:rPr>
          <w:rFonts w:ascii="Times New Roman" w:hAnsi="Times New Roman" w:cs="Times New Roman"/>
          <w:sz w:val="24"/>
          <w:szCs w:val="24"/>
        </w:rPr>
        <w:t xml:space="preserve">base del MFMP propuesto para </w:t>
      </w:r>
      <w:r w:rsidR="00CE1534" w:rsidRPr="00A11BD6">
        <w:rPr>
          <w:rFonts w:ascii="Times New Roman" w:hAnsi="Times New Roman" w:cs="Times New Roman"/>
          <w:sz w:val="24"/>
          <w:szCs w:val="24"/>
        </w:rPr>
        <w:t xml:space="preserve">la </w:t>
      </w:r>
      <w:r w:rsidR="000208C4" w:rsidRPr="00A11BD6">
        <w:rPr>
          <w:rFonts w:ascii="Times New Roman" w:hAnsi="Times New Roman" w:cs="Times New Roman"/>
          <w:sz w:val="24"/>
          <w:szCs w:val="24"/>
        </w:rPr>
        <w:t>M</w:t>
      </w:r>
      <w:r w:rsidR="00CE1534" w:rsidRPr="00A11BD6">
        <w:rPr>
          <w:rFonts w:ascii="Times New Roman" w:hAnsi="Times New Roman" w:cs="Times New Roman"/>
          <w:sz w:val="24"/>
          <w:szCs w:val="24"/>
        </w:rPr>
        <w:t xml:space="preserve">unicipalidad </w:t>
      </w:r>
      <w:r w:rsidR="000208C4" w:rsidRPr="00A11BD6">
        <w:rPr>
          <w:rFonts w:ascii="Times New Roman" w:hAnsi="Times New Roman" w:cs="Times New Roman"/>
          <w:sz w:val="24"/>
          <w:szCs w:val="24"/>
        </w:rPr>
        <w:t>de Guatemala</w:t>
      </w:r>
      <w:r w:rsidR="007B76A6" w:rsidRPr="00A11BD6">
        <w:rPr>
          <w:rFonts w:ascii="Times New Roman" w:hAnsi="Times New Roman" w:cs="Times New Roman"/>
          <w:sz w:val="24"/>
          <w:szCs w:val="24"/>
        </w:rPr>
        <w:t>,</w:t>
      </w:r>
      <w:r w:rsidR="000208C4" w:rsidRPr="00A11BD6">
        <w:rPr>
          <w:rFonts w:ascii="Times New Roman" w:hAnsi="Times New Roman" w:cs="Times New Roman"/>
          <w:sz w:val="24"/>
          <w:szCs w:val="24"/>
        </w:rPr>
        <w:t xml:space="preserve"> </w:t>
      </w:r>
      <w:r w:rsidR="00CE1534" w:rsidRPr="00A11BD6">
        <w:rPr>
          <w:rFonts w:ascii="Times New Roman" w:hAnsi="Times New Roman" w:cs="Times New Roman"/>
          <w:sz w:val="24"/>
          <w:szCs w:val="24"/>
        </w:rPr>
        <w:t xml:space="preserve">para los años 2008-2012. </w:t>
      </w:r>
      <w:r w:rsidR="00FB2B2A" w:rsidRPr="00A11BD6">
        <w:rPr>
          <w:rFonts w:ascii="Times New Roman" w:hAnsi="Times New Roman" w:cs="Times New Roman"/>
          <w:sz w:val="24"/>
          <w:szCs w:val="24"/>
        </w:rPr>
        <w:t xml:space="preserve"> La primera parte </w:t>
      </w:r>
      <w:r w:rsidR="00CE1534" w:rsidRPr="00A11BD6">
        <w:rPr>
          <w:rFonts w:ascii="Times New Roman" w:hAnsi="Times New Roman" w:cs="Times New Roman"/>
          <w:sz w:val="24"/>
          <w:szCs w:val="24"/>
        </w:rPr>
        <w:t>contempla análisis del ingreso y el gasto, en su estructu</w:t>
      </w:r>
      <w:r w:rsidR="008B24B6" w:rsidRPr="00A11BD6">
        <w:rPr>
          <w:rFonts w:ascii="Times New Roman" w:hAnsi="Times New Roman" w:cs="Times New Roman"/>
          <w:sz w:val="24"/>
          <w:szCs w:val="24"/>
        </w:rPr>
        <w:t>ra, comportamiento y naturaleza;</w:t>
      </w:r>
      <w:r w:rsidR="00CE1534" w:rsidRPr="00A11BD6">
        <w:rPr>
          <w:rFonts w:ascii="Times New Roman" w:hAnsi="Times New Roman" w:cs="Times New Roman"/>
          <w:sz w:val="24"/>
          <w:szCs w:val="24"/>
        </w:rPr>
        <w:t xml:space="preserve"> el análisis del balance corriente, de capital y total</w:t>
      </w:r>
      <w:r w:rsidR="008B24B6" w:rsidRPr="00A11BD6">
        <w:rPr>
          <w:rFonts w:ascii="Times New Roman" w:hAnsi="Times New Roman" w:cs="Times New Roman"/>
          <w:sz w:val="24"/>
          <w:szCs w:val="24"/>
        </w:rPr>
        <w:t xml:space="preserve"> y su esquema de financiamiento;</w:t>
      </w:r>
      <w:r w:rsidR="00CE1534" w:rsidRPr="00A11BD6">
        <w:rPr>
          <w:rFonts w:ascii="Times New Roman" w:hAnsi="Times New Roman" w:cs="Times New Roman"/>
          <w:sz w:val="24"/>
          <w:szCs w:val="24"/>
        </w:rPr>
        <w:t xml:space="preserve"> </w:t>
      </w:r>
      <w:r w:rsidR="008B24B6" w:rsidRPr="00A11BD6">
        <w:rPr>
          <w:rFonts w:ascii="Times New Roman" w:hAnsi="Times New Roman" w:cs="Times New Roman"/>
          <w:sz w:val="24"/>
          <w:szCs w:val="24"/>
        </w:rPr>
        <w:t xml:space="preserve">la </w:t>
      </w:r>
      <w:r w:rsidR="00CE1534" w:rsidRPr="00A11BD6">
        <w:rPr>
          <w:rFonts w:ascii="Times New Roman" w:hAnsi="Times New Roman" w:cs="Times New Roman"/>
          <w:sz w:val="24"/>
          <w:szCs w:val="24"/>
        </w:rPr>
        <w:t>sostenibilidad del gasto de funcionamiento</w:t>
      </w:r>
      <w:r w:rsidR="008B24B6" w:rsidRPr="00A11BD6">
        <w:rPr>
          <w:rFonts w:ascii="Times New Roman" w:hAnsi="Times New Roman" w:cs="Times New Roman"/>
          <w:sz w:val="24"/>
          <w:szCs w:val="24"/>
        </w:rPr>
        <w:t>;</w:t>
      </w:r>
      <w:r w:rsidR="00CE1534" w:rsidRPr="00A11BD6">
        <w:rPr>
          <w:rFonts w:ascii="Times New Roman" w:hAnsi="Times New Roman" w:cs="Times New Roman"/>
          <w:sz w:val="24"/>
          <w:szCs w:val="24"/>
        </w:rPr>
        <w:t xml:space="preserve"> y cálculo de la capacidad de endeudamiento. </w:t>
      </w:r>
      <w:r w:rsidR="00FB2B2A" w:rsidRPr="00A11BD6">
        <w:rPr>
          <w:rFonts w:ascii="Times New Roman" w:hAnsi="Times New Roman" w:cs="Times New Roman"/>
          <w:sz w:val="24"/>
          <w:szCs w:val="24"/>
        </w:rPr>
        <w:t xml:space="preserve"> </w:t>
      </w:r>
      <w:r w:rsidR="008B24B6" w:rsidRPr="00A11BD6">
        <w:rPr>
          <w:rFonts w:ascii="Times New Roman" w:hAnsi="Times New Roman" w:cs="Times New Roman"/>
          <w:sz w:val="24"/>
          <w:szCs w:val="24"/>
        </w:rPr>
        <w:t>En un siguiente apartado</w:t>
      </w:r>
      <w:r w:rsidR="009C18C9" w:rsidRPr="00A11BD6">
        <w:rPr>
          <w:rFonts w:ascii="Times New Roman" w:hAnsi="Times New Roman" w:cs="Times New Roman"/>
          <w:sz w:val="24"/>
          <w:szCs w:val="24"/>
        </w:rPr>
        <w:t>,</w:t>
      </w:r>
      <w:r w:rsidR="00CE1534" w:rsidRPr="00A11BD6">
        <w:rPr>
          <w:rFonts w:ascii="Times New Roman" w:hAnsi="Times New Roman" w:cs="Times New Roman"/>
          <w:sz w:val="24"/>
          <w:szCs w:val="24"/>
        </w:rPr>
        <w:t xml:space="preserve"> se efectúan las proyecciones financieras </w:t>
      </w:r>
      <w:r w:rsidR="00416EC6" w:rsidRPr="00A11BD6">
        <w:rPr>
          <w:rFonts w:ascii="Times New Roman" w:hAnsi="Times New Roman" w:cs="Times New Roman"/>
          <w:sz w:val="24"/>
          <w:szCs w:val="24"/>
        </w:rPr>
        <w:t>en un escenario de 10 años</w:t>
      </w:r>
      <w:r w:rsidR="00CE1534" w:rsidRPr="00A11BD6">
        <w:rPr>
          <w:rFonts w:ascii="Times New Roman" w:hAnsi="Times New Roman" w:cs="Times New Roman"/>
          <w:sz w:val="24"/>
          <w:szCs w:val="24"/>
        </w:rPr>
        <w:t xml:space="preserve">, sin contemplar estrategias y medidas de ajuste </w:t>
      </w:r>
      <w:r w:rsidR="00416EC6" w:rsidRPr="00A11BD6">
        <w:rPr>
          <w:rFonts w:ascii="Times New Roman" w:hAnsi="Times New Roman" w:cs="Times New Roman"/>
          <w:sz w:val="24"/>
          <w:szCs w:val="24"/>
        </w:rPr>
        <w:t xml:space="preserve">en el gasto </w:t>
      </w:r>
      <w:r w:rsidR="00CE1534" w:rsidRPr="00A11BD6">
        <w:rPr>
          <w:rFonts w:ascii="Times New Roman" w:hAnsi="Times New Roman" w:cs="Times New Roman"/>
          <w:sz w:val="24"/>
          <w:szCs w:val="24"/>
        </w:rPr>
        <w:t>y fortalecimiento</w:t>
      </w:r>
      <w:r w:rsidRPr="00A11BD6">
        <w:rPr>
          <w:rFonts w:ascii="Times New Roman" w:hAnsi="Times New Roman" w:cs="Times New Roman"/>
          <w:sz w:val="24"/>
          <w:szCs w:val="24"/>
        </w:rPr>
        <w:t xml:space="preserve"> del ingreso, t</w:t>
      </w:r>
      <w:r w:rsidRPr="00A11BD6">
        <w:rPr>
          <w:rFonts w:ascii="Times New Roman" w:eastAsia="Times New Roman" w:hAnsi="Times New Roman" w:cs="Times New Roman"/>
          <w:color w:val="000000"/>
          <w:sz w:val="24"/>
          <w:szCs w:val="24"/>
        </w:rPr>
        <w:t xml:space="preserve">odo ello con el fin de garantizar la sostenibilidad de la deuda y el crecimiento económico.  </w:t>
      </w:r>
      <w:r w:rsidR="0069733A" w:rsidRPr="00A11BD6">
        <w:rPr>
          <w:rFonts w:ascii="Times New Roman" w:hAnsi="Times New Roman" w:cs="Times New Roman"/>
          <w:sz w:val="24"/>
          <w:szCs w:val="24"/>
        </w:rPr>
        <w:t>El último apartado presenta unas consideraciones generales a modo de conclusión y de recomendaciones.</w:t>
      </w:r>
      <w:r w:rsidR="006E0111" w:rsidRPr="00A11BD6">
        <w:rPr>
          <w:rStyle w:val="FootnoteReference"/>
          <w:rFonts w:ascii="Times New Roman" w:hAnsi="Times New Roman" w:cs="Times New Roman"/>
          <w:sz w:val="24"/>
          <w:szCs w:val="24"/>
        </w:rPr>
        <w:footnoteReference w:id="52"/>
      </w:r>
    </w:p>
    <w:p w14:paraId="2613CC4C" w14:textId="77777777" w:rsidR="002B3B05" w:rsidRPr="00A11BD6" w:rsidRDefault="002B3B05" w:rsidP="002C7E26">
      <w:pPr>
        <w:spacing w:after="0" w:line="240" w:lineRule="auto"/>
        <w:jc w:val="both"/>
        <w:rPr>
          <w:rFonts w:ascii="Times New Roman" w:hAnsi="Times New Roman" w:cs="Times New Roman"/>
          <w:sz w:val="24"/>
          <w:szCs w:val="24"/>
        </w:rPr>
      </w:pPr>
    </w:p>
    <w:p w14:paraId="504E112C" w14:textId="77777777" w:rsidR="00331B00" w:rsidRPr="00A11BD6" w:rsidRDefault="00331B00" w:rsidP="002C7E26">
      <w:pPr>
        <w:spacing w:after="0" w:line="240" w:lineRule="auto"/>
        <w:jc w:val="both"/>
        <w:rPr>
          <w:rFonts w:ascii="Times New Roman" w:hAnsi="Times New Roman" w:cs="Times New Roman"/>
          <w:sz w:val="24"/>
          <w:szCs w:val="24"/>
        </w:rPr>
      </w:pPr>
    </w:p>
    <w:p w14:paraId="5DF5B54D" w14:textId="28C1C0C9" w:rsidR="00331B00" w:rsidRPr="005E676E" w:rsidRDefault="00FA6E6C" w:rsidP="005E676E">
      <w:pPr>
        <w:pStyle w:val="Heading3"/>
      </w:pPr>
      <w:bookmarkStart w:id="49" w:name="_Ref214297210"/>
      <w:bookmarkStart w:id="50" w:name="_Toc219009948"/>
      <w:bookmarkStart w:id="51" w:name="_Toc223473021"/>
      <w:r w:rsidRPr="00A11BD6">
        <w:t xml:space="preserve">1.  </w:t>
      </w:r>
      <w:r w:rsidR="00D46548" w:rsidRPr="00A11BD6">
        <w:t>Análisis Fiscal</w:t>
      </w:r>
      <w:r w:rsidR="00CE51DD" w:rsidRPr="00A11BD6">
        <w:t xml:space="preserve"> para los años 2008-201</w:t>
      </w:r>
      <w:r w:rsidR="006C0EA4" w:rsidRPr="00A11BD6">
        <w:t>2</w:t>
      </w:r>
      <w:r w:rsidR="00A8285A" w:rsidRPr="00A11BD6">
        <w:t>.</w:t>
      </w:r>
      <w:bookmarkStart w:id="52" w:name="_Ref214297254"/>
      <w:bookmarkEnd w:id="49"/>
      <w:bookmarkEnd w:id="50"/>
      <w:bookmarkEnd w:id="51"/>
    </w:p>
    <w:p w14:paraId="0744F518" w14:textId="3A03054E" w:rsidR="00D12956" w:rsidRPr="00A11BD6" w:rsidRDefault="00FA6E6C" w:rsidP="00F37A5F">
      <w:pPr>
        <w:pStyle w:val="Heading4"/>
      </w:pPr>
      <w:bookmarkStart w:id="53" w:name="_Toc219009949"/>
      <w:bookmarkStart w:id="54" w:name="_Ref219011131"/>
      <w:bookmarkStart w:id="55" w:name="_Toc223473022"/>
      <w:r w:rsidRPr="00A11BD6">
        <w:t xml:space="preserve">1.1  </w:t>
      </w:r>
      <w:r w:rsidR="00D12956" w:rsidRPr="00A11BD6">
        <w:t>Ingreso</w:t>
      </w:r>
      <w:r w:rsidR="00C25702" w:rsidRPr="00A11BD6">
        <w:t xml:space="preserve"> Total</w:t>
      </w:r>
      <w:bookmarkEnd w:id="52"/>
      <w:bookmarkEnd w:id="53"/>
      <w:bookmarkEnd w:id="54"/>
      <w:bookmarkEnd w:id="55"/>
    </w:p>
    <w:p w14:paraId="7B7B3DAE" w14:textId="77777777" w:rsidR="00D12956" w:rsidRPr="00A11BD6" w:rsidRDefault="00D12956" w:rsidP="002C7E26">
      <w:pPr>
        <w:pStyle w:val="ListParagraph"/>
        <w:spacing w:after="0" w:line="240" w:lineRule="auto"/>
        <w:ind w:left="0"/>
        <w:contextualSpacing w:val="0"/>
        <w:jc w:val="both"/>
        <w:rPr>
          <w:rFonts w:ascii="Times New Roman" w:hAnsi="Times New Roman" w:cs="Times New Roman"/>
          <w:sz w:val="24"/>
          <w:szCs w:val="24"/>
        </w:rPr>
      </w:pPr>
    </w:p>
    <w:p w14:paraId="2AF5528B" w14:textId="1136A555" w:rsidR="002433BD" w:rsidRDefault="00D12956" w:rsidP="002C7E26">
      <w:pPr>
        <w:pStyle w:val="ListParagraph"/>
        <w:spacing w:after="0" w:line="240" w:lineRule="auto"/>
        <w:ind w:left="0"/>
        <w:contextualSpacing w:val="0"/>
        <w:jc w:val="both"/>
        <w:rPr>
          <w:rFonts w:ascii="Times New Roman" w:hAnsi="Times New Roman" w:cs="Times New Roman"/>
          <w:sz w:val="24"/>
          <w:szCs w:val="24"/>
        </w:rPr>
      </w:pPr>
      <w:r w:rsidRPr="00A11BD6">
        <w:rPr>
          <w:rFonts w:ascii="Times New Roman" w:hAnsi="Times New Roman" w:cs="Times New Roman"/>
          <w:sz w:val="24"/>
          <w:szCs w:val="24"/>
        </w:rPr>
        <w:t>En el año 2011</w:t>
      </w:r>
      <w:r w:rsidR="00FB2B2A" w:rsidRPr="00A11BD6">
        <w:rPr>
          <w:rFonts w:ascii="Times New Roman" w:hAnsi="Times New Roman" w:cs="Times New Roman"/>
          <w:sz w:val="24"/>
          <w:szCs w:val="24"/>
        </w:rPr>
        <w:t>,</w:t>
      </w:r>
      <w:r w:rsidRPr="00A11BD6">
        <w:rPr>
          <w:rFonts w:ascii="Times New Roman" w:hAnsi="Times New Roman" w:cs="Times New Roman"/>
          <w:sz w:val="24"/>
          <w:szCs w:val="24"/>
        </w:rPr>
        <w:t xml:space="preserve"> la Municipalidad de Guatemala obtuvo un ingreso total por Q1.01</w:t>
      </w:r>
      <w:r w:rsidR="00470ADA" w:rsidRPr="00A11BD6">
        <w:rPr>
          <w:rFonts w:ascii="Times New Roman" w:hAnsi="Times New Roman" w:cs="Times New Roman"/>
          <w:sz w:val="24"/>
          <w:szCs w:val="24"/>
        </w:rPr>
        <w:t>5</w:t>
      </w:r>
      <w:r w:rsidRPr="00A11BD6">
        <w:rPr>
          <w:rFonts w:ascii="Times New Roman" w:hAnsi="Times New Roman" w:cs="Times New Roman"/>
          <w:sz w:val="24"/>
          <w:szCs w:val="24"/>
        </w:rPr>
        <w:t xml:space="preserve"> millones, un </w:t>
      </w:r>
      <w:r w:rsidR="00CF6707" w:rsidRPr="00A11BD6">
        <w:rPr>
          <w:rFonts w:ascii="Times New Roman" w:hAnsi="Times New Roman" w:cs="Times New Roman"/>
          <w:sz w:val="24"/>
          <w:szCs w:val="24"/>
        </w:rPr>
        <w:t>37% superior a lo obtenido en el 2008</w:t>
      </w:r>
      <w:r w:rsidR="00DF2DEB" w:rsidRPr="00A11BD6">
        <w:rPr>
          <w:rFonts w:ascii="Times New Roman" w:hAnsi="Times New Roman" w:cs="Times New Roman"/>
          <w:sz w:val="24"/>
          <w:szCs w:val="24"/>
        </w:rPr>
        <w:t xml:space="preserve"> (22% real)</w:t>
      </w:r>
      <w:r w:rsidR="00CF6707" w:rsidRPr="00A11BD6">
        <w:rPr>
          <w:rFonts w:ascii="Times New Roman" w:hAnsi="Times New Roman" w:cs="Times New Roman"/>
          <w:sz w:val="24"/>
          <w:szCs w:val="24"/>
        </w:rPr>
        <w:t xml:space="preserve">, lo que significa un crecimiento anual </w:t>
      </w:r>
      <w:r w:rsidR="000D19D0" w:rsidRPr="00A11BD6">
        <w:rPr>
          <w:rFonts w:ascii="Times New Roman" w:hAnsi="Times New Roman" w:cs="Times New Roman"/>
          <w:sz w:val="24"/>
          <w:szCs w:val="24"/>
        </w:rPr>
        <w:t xml:space="preserve">promedio </w:t>
      </w:r>
      <w:r w:rsidR="00CF6707" w:rsidRPr="00A11BD6">
        <w:rPr>
          <w:rFonts w:ascii="Times New Roman" w:hAnsi="Times New Roman" w:cs="Times New Roman"/>
          <w:sz w:val="24"/>
          <w:szCs w:val="24"/>
        </w:rPr>
        <w:t>del 11% en términos nominales</w:t>
      </w:r>
      <w:r w:rsidR="000A21D9" w:rsidRPr="00A11BD6">
        <w:rPr>
          <w:rFonts w:ascii="Times New Roman" w:hAnsi="Times New Roman" w:cs="Times New Roman"/>
          <w:sz w:val="24"/>
          <w:szCs w:val="24"/>
        </w:rPr>
        <w:t xml:space="preserve"> (7% en términos reales)</w:t>
      </w:r>
      <w:r w:rsidR="00CF6707" w:rsidRPr="00A11BD6">
        <w:rPr>
          <w:rFonts w:ascii="Times New Roman" w:hAnsi="Times New Roman" w:cs="Times New Roman"/>
          <w:sz w:val="24"/>
          <w:szCs w:val="24"/>
        </w:rPr>
        <w:t xml:space="preserve">. </w:t>
      </w:r>
      <w:r w:rsidR="002920DB" w:rsidRPr="00A11BD6">
        <w:rPr>
          <w:rFonts w:ascii="Times New Roman" w:hAnsi="Times New Roman" w:cs="Times New Roman"/>
          <w:sz w:val="24"/>
          <w:szCs w:val="24"/>
        </w:rPr>
        <w:t xml:space="preserve"> </w:t>
      </w:r>
      <w:r w:rsidR="00CF6707" w:rsidRPr="00A11BD6">
        <w:rPr>
          <w:rFonts w:ascii="Times New Roman" w:hAnsi="Times New Roman" w:cs="Times New Roman"/>
          <w:sz w:val="24"/>
          <w:szCs w:val="24"/>
        </w:rPr>
        <w:t>Alrededor del 9</w:t>
      </w:r>
      <w:r w:rsidR="00C249BA" w:rsidRPr="00A11BD6">
        <w:rPr>
          <w:rFonts w:ascii="Times New Roman" w:hAnsi="Times New Roman" w:cs="Times New Roman"/>
          <w:sz w:val="24"/>
          <w:szCs w:val="24"/>
        </w:rPr>
        <w:t>7</w:t>
      </w:r>
      <w:r w:rsidR="00CF6707" w:rsidRPr="00A11BD6">
        <w:rPr>
          <w:rFonts w:ascii="Times New Roman" w:hAnsi="Times New Roman" w:cs="Times New Roman"/>
          <w:sz w:val="24"/>
          <w:szCs w:val="24"/>
        </w:rPr>
        <w:t xml:space="preserve">% del ingreso </w:t>
      </w:r>
      <w:r w:rsidR="00C249BA" w:rsidRPr="00A11BD6">
        <w:rPr>
          <w:rFonts w:ascii="Times New Roman" w:hAnsi="Times New Roman" w:cs="Times New Roman"/>
          <w:sz w:val="24"/>
          <w:szCs w:val="24"/>
        </w:rPr>
        <w:t>proviene de ingreso</w:t>
      </w:r>
      <w:r w:rsidR="00A64BAE" w:rsidRPr="00A11BD6">
        <w:rPr>
          <w:rFonts w:ascii="Times New Roman" w:hAnsi="Times New Roman" w:cs="Times New Roman"/>
          <w:sz w:val="24"/>
          <w:szCs w:val="24"/>
        </w:rPr>
        <w:t>s</w:t>
      </w:r>
      <w:r w:rsidR="0069733A" w:rsidRPr="00A11BD6">
        <w:rPr>
          <w:rFonts w:ascii="Times New Roman" w:hAnsi="Times New Roman" w:cs="Times New Roman"/>
          <w:sz w:val="24"/>
          <w:szCs w:val="24"/>
        </w:rPr>
        <w:t xml:space="preserve"> tributario; no tributario;</w:t>
      </w:r>
      <w:r w:rsidR="00C249BA" w:rsidRPr="00A11BD6">
        <w:rPr>
          <w:rFonts w:ascii="Times New Roman" w:hAnsi="Times New Roman" w:cs="Times New Roman"/>
          <w:sz w:val="24"/>
          <w:szCs w:val="24"/>
        </w:rPr>
        <w:t xml:space="preserve"> la venta de bienes y servici</w:t>
      </w:r>
      <w:r w:rsidR="0069733A" w:rsidRPr="00A11BD6">
        <w:rPr>
          <w:rFonts w:ascii="Times New Roman" w:hAnsi="Times New Roman" w:cs="Times New Roman"/>
          <w:sz w:val="24"/>
          <w:szCs w:val="24"/>
        </w:rPr>
        <w:t>os de la administración pública;</w:t>
      </w:r>
      <w:r w:rsidR="00C249BA" w:rsidRPr="00A11BD6">
        <w:rPr>
          <w:rFonts w:ascii="Times New Roman" w:hAnsi="Times New Roman" w:cs="Times New Roman"/>
          <w:sz w:val="24"/>
          <w:szCs w:val="24"/>
        </w:rPr>
        <w:t xml:space="preserve"> las transferencias de capital</w:t>
      </w:r>
      <w:r w:rsidR="0069733A" w:rsidRPr="00A11BD6">
        <w:rPr>
          <w:rFonts w:ascii="Times New Roman" w:hAnsi="Times New Roman" w:cs="Times New Roman"/>
          <w:sz w:val="24"/>
          <w:szCs w:val="24"/>
        </w:rPr>
        <w:t>;</w:t>
      </w:r>
      <w:r w:rsidR="00C249BA" w:rsidRPr="00A11BD6">
        <w:rPr>
          <w:rFonts w:ascii="Times New Roman" w:hAnsi="Times New Roman" w:cs="Times New Roman"/>
          <w:sz w:val="24"/>
          <w:szCs w:val="24"/>
        </w:rPr>
        <w:t xml:space="preserve"> y el endeudamiento interno</w:t>
      </w:r>
      <w:r w:rsidR="0069733A" w:rsidRPr="00A11BD6">
        <w:rPr>
          <w:rFonts w:ascii="Times New Roman" w:hAnsi="Times New Roman" w:cs="Times New Roman"/>
          <w:sz w:val="24"/>
          <w:szCs w:val="24"/>
        </w:rPr>
        <w:t>,</w:t>
      </w:r>
      <w:r w:rsidR="00C249BA" w:rsidRPr="00A11BD6">
        <w:rPr>
          <w:rFonts w:ascii="Times New Roman" w:hAnsi="Times New Roman" w:cs="Times New Roman"/>
          <w:sz w:val="24"/>
          <w:szCs w:val="24"/>
        </w:rPr>
        <w:t xml:space="preserve"> </w:t>
      </w:r>
      <w:r w:rsidR="0069733A" w:rsidRPr="00A11BD6">
        <w:rPr>
          <w:rFonts w:ascii="Times New Roman" w:hAnsi="Times New Roman" w:cs="Times New Roman"/>
          <w:sz w:val="24"/>
          <w:szCs w:val="24"/>
        </w:rPr>
        <w:t>específica</w:t>
      </w:r>
      <w:r w:rsidR="002433BD" w:rsidRPr="00A11BD6">
        <w:rPr>
          <w:rFonts w:ascii="Times New Roman" w:hAnsi="Times New Roman" w:cs="Times New Roman"/>
          <w:sz w:val="24"/>
          <w:szCs w:val="24"/>
        </w:rPr>
        <w:t xml:space="preserve">mente </w:t>
      </w:r>
      <w:r w:rsidR="00797B8A" w:rsidRPr="00A11BD6">
        <w:rPr>
          <w:rFonts w:ascii="Times New Roman" w:hAnsi="Times New Roman" w:cs="Times New Roman"/>
          <w:sz w:val="24"/>
          <w:szCs w:val="24"/>
        </w:rPr>
        <w:t xml:space="preserve">para </w:t>
      </w:r>
      <w:r w:rsidR="00C249BA" w:rsidRPr="00A11BD6">
        <w:rPr>
          <w:rFonts w:ascii="Times New Roman" w:hAnsi="Times New Roman" w:cs="Times New Roman"/>
          <w:sz w:val="24"/>
          <w:szCs w:val="24"/>
        </w:rPr>
        <w:t>los años 2009 y 2010</w:t>
      </w:r>
      <w:r w:rsidR="00AB7338">
        <w:rPr>
          <w:rFonts w:ascii="Times New Roman" w:hAnsi="Times New Roman" w:cs="Times New Roman"/>
          <w:sz w:val="24"/>
          <w:szCs w:val="24"/>
        </w:rPr>
        <w:t>, tal como se muestra en el siguiente cuadro</w:t>
      </w:r>
      <w:r w:rsidR="008B144F">
        <w:rPr>
          <w:rFonts w:ascii="Times New Roman" w:hAnsi="Times New Roman" w:cs="Times New Roman"/>
          <w:sz w:val="24"/>
          <w:szCs w:val="24"/>
        </w:rPr>
        <w:t>:</w:t>
      </w:r>
    </w:p>
    <w:p w14:paraId="35257077" w14:textId="77777777" w:rsidR="00AB7338" w:rsidRDefault="00AB7338" w:rsidP="002C7E26">
      <w:pPr>
        <w:pStyle w:val="ListParagraph"/>
        <w:spacing w:after="0" w:line="240" w:lineRule="auto"/>
        <w:ind w:left="0"/>
        <w:contextualSpacing w:val="0"/>
        <w:jc w:val="both"/>
        <w:rPr>
          <w:rFonts w:ascii="Times New Roman" w:hAnsi="Times New Roman" w:cs="Times New Roman"/>
          <w:sz w:val="24"/>
          <w:szCs w:val="24"/>
        </w:rPr>
      </w:pPr>
    </w:p>
    <w:p w14:paraId="78584DFC" w14:textId="22CDA700" w:rsidR="00AB7338" w:rsidRPr="00AB7338" w:rsidRDefault="00925B4A" w:rsidP="002C7E26">
      <w:pPr>
        <w:pStyle w:val="ListParagraph"/>
        <w:spacing w:after="0"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Cuadro 3</w:t>
      </w:r>
      <w:r w:rsidR="00AB7338" w:rsidRPr="00FB59AC">
        <w:rPr>
          <w:rFonts w:ascii="Times New Roman" w:hAnsi="Times New Roman" w:cs="Times New Roman"/>
          <w:b/>
          <w:sz w:val="24"/>
          <w:szCs w:val="24"/>
        </w:rPr>
        <w:t>. Ingreso Total 2008-2011.</w:t>
      </w:r>
    </w:p>
    <w:p w14:paraId="13323DA3" w14:textId="74A3956C" w:rsidR="002433BD" w:rsidRPr="00AB7338" w:rsidRDefault="00AB7338" w:rsidP="002C7E26">
      <w:pPr>
        <w:pStyle w:val="ListParagraph"/>
        <w:spacing w:after="0" w:line="240" w:lineRule="auto"/>
        <w:ind w:left="0"/>
        <w:contextualSpacing w:val="0"/>
        <w:jc w:val="both"/>
        <w:rPr>
          <w:rFonts w:ascii="Times New Roman" w:hAnsi="Times New Roman" w:cs="Times New Roman"/>
          <w:sz w:val="24"/>
          <w:szCs w:val="24"/>
        </w:rPr>
      </w:pPr>
      <w:r w:rsidRPr="00AB7338">
        <w:rPr>
          <w:rFonts w:ascii="Times New Roman" w:hAnsi="Times New Roman" w:cs="Times New Roman"/>
          <w:noProof/>
          <w:sz w:val="24"/>
          <w:szCs w:val="24"/>
          <w:lang w:val="en-US" w:eastAsia="en-US"/>
        </w:rPr>
        <w:drawing>
          <wp:inline distT="0" distB="0" distL="0" distR="0" wp14:anchorId="28FD6FA8" wp14:editId="1DB1480A">
            <wp:extent cx="5398135" cy="2082352"/>
            <wp:effectExtent l="203200" t="203200" r="418465" b="4070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8599" cy="2082531"/>
                    </a:xfrm>
                    <a:prstGeom prst="rect">
                      <a:avLst/>
                    </a:prstGeom>
                    <a:ln>
                      <a:solidFill>
                        <a:schemeClr val="accent1">
                          <a:lumMod val="50000"/>
                        </a:schemeClr>
                      </a:solidFill>
                    </a:ln>
                    <a:effectLst>
                      <a:outerShdw blurRad="292100" dist="139700" dir="2700000" algn="tl" rotWithShape="0">
                        <a:srgbClr val="333333">
                          <a:alpha val="65000"/>
                        </a:srgbClr>
                      </a:outerShdw>
                    </a:effectLst>
                  </pic:spPr>
                </pic:pic>
              </a:graphicData>
            </a:graphic>
          </wp:inline>
        </w:drawing>
      </w:r>
      <w:r w:rsidR="00AF4C55" w:rsidRPr="00A11BD6">
        <w:rPr>
          <w:rFonts w:ascii="Times New Roman" w:hAnsi="Times New Roman" w:cs="Times New Roman"/>
          <w:sz w:val="24"/>
          <w:szCs w:val="24"/>
        </w:rPr>
        <w:t>Tal como se indicó, l</w:t>
      </w:r>
      <w:r w:rsidR="002433BD" w:rsidRPr="00A11BD6">
        <w:rPr>
          <w:rFonts w:ascii="Times New Roman" w:hAnsi="Times New Roman" w:cs="Times New Roman"/>
          <w:sz w:val="24"/>
          <w:szCs w:val="24"/>
        </w:rPr>
        <w:t>a estructura de ingresos de la Municipalidad se halla compuesta por dos grandes conceptos: el esfuerzo fiscal propio, esto es, ingresos generados en la jurisdicción municipal; y las transferencias del nivel nacional.  En el primer evento, un factor estructural en el comportamiento financiero de la Municipalidad se halla ligado a la naturaleza de su es</w:t>
      </w:r>
      <w:r w:rsidR="0069733A" w:rsidRPr="00A11BD6">
        <w:rPr>
          <w:rFonts w:ascii="Times New Roman" w:hAnsi="Times New Roman" w:cs="Times New Roman"/>
          <w:sz w:val="24"/>
          <w:szCs w:val="24"/>
        </w:rPr>
        <w:t xml:space="preserve">tructura de ingresos, </w:t>
      </w:r>
      <w:r w:rsidR="003F3414" w:rsidRPr="00A11BD6">
        <w:rPr>
          <w:rFonts w:ascii="Times New Roman" w:hAnsi="Times New Roman" w:cs="Times New Roman"/>
          <w:sz w:val="24"/>
          <w:szCs w:val="24"/>
        </w:rPr>
        <w:t>la cual</w:t>
      </w:r>
      <w:r w:rsidR="0069733A" w:rsidRPr="00A11BD6">
        <w:rPr>
          <w:rFonts w:ascii="Times New Roman" w:hAnsi="Times New Roman" w:cs="Times New Roman"/>
          <w:sz w:val="24"/>
          <w:szCs w:val="24"/>
        </w:rPr>
        <w:t xml:space="preserve"> proviene fundamentalmente</w:t>
      </w:r>
      <w:r w:rsidR="002433BD" w:rsidRPr="00A11BD6">
        <w:rPr>
          <w:rFonts w:ascii="Times New Roman" w:hAnsi="Times New Roman" w:cs="Times New Roman"/>
          <w:sz w:val="24"/>
          <w:szCs w:val="24"/>
        </w:rPr>
        <w:t xml:space="preserve"> de ingresos no tributarios, es decir, los asociados a la venta de bienes y servicios</w:t>
      </w:r>
      <w:r w:rsidR="0069733A" w:rsidRPr="00A11BD6">
        <w:rPr>
          <w:rFonts w:ascii="Times New Roman" w:hAnsi="Times New Roman" w:cs="Times New Roman"/>
          <w:sz w:val="24"/>
          <w:szCs w:val="24"/>
        </w:rPr>
        <w:t>,</w:t>
      </w:r>
      <w:r w:rsidR="002433BD" w:rsidRPr="00A11BD6">
        <w:rPr>
          <w:rFonts w:ascii="Times New Roman" w:hAnsi="Times New Roman" w:cs="Times New Roman"/>
          <w:sz w:val="24"/>
          <w:szCs w:val="24"/>
        </w:rPr>
        <w:t xml:space="preserve"> pero n</w:t>
      </w:r>
      <w:r w:rsidR="0069733A" w:rsidRPr="00A11BD6">
        <w:rPr>
          <w:rFonts w:ascii="Times New Roman" w:hAnsi="Times New Roman" w:cs="Times New Roman"/>
          <w:sz w:val="24"/>
          <w:szCs w:val="24"/>
        </w:rPr>
        <w:t>o al esfuerzo tributario propio</w:t>
      </w:r>
      <w:r w:rsidR="002433BD" w:rsidRPr="00A11BD6">
        <w:rPr>
          <w:rFonts w:ascii="Times New Roman" w:hAnsi="Times New Roman" w:cs="Times New Roman"/>
          <w:sz w:val="24"/>
          <w:szCs w:val="24"/>
        </w:rPr>
        <w:t xml:space="preserve"> tal como se indicará </w:t>
      </w:r>
      <w:r w:rsidR="000A3AD9" w:rsidRPr="00A11BD6">
        <w:rPr>
          <w:rFonts w:ascii="Times New Roman" w:hAnsi="Times New Roman" w:cs="Times New Roman"/>
          <w:sz w:val="24"/>
          <w:szCs w:val="24"/>
        </w:rPr>
        <w:t>más</w:t>
      </w:r>
      <w:r w:rsidR="002433BD" w:rsidRPr="00A11BD6">
        <w:rPr>
          <w:rFonts w:ascii="Times New Roman" w:hAnsi="Times New Roman" w:cs="Times New Roman"/>
          <w:sz w:val="24"/>
          <w:szCs w:val="24"/>
        </w:rPr>
        <w:t xml:space="preserve"> adelante en el presente texto.</w:t>
      </w:r>
    </w:p>
    <w:p w14:paraId="113311DF" w14:textId="77777777" w:rsidR="00ED0EE9" w:rsidRPr="00A11BD6" w:rsidRDefault="00ED0EE9" w:rsidP="002C7E26">
      <w:pPr>
        <w:pStyle w:val="ListParagraph"/>
        <w:spacing w:after="0" w:line="240" w:lineRule="auto"/>
        <w:ind w:left="0"/>
        <w:contextualSpacing w:val="0"/>
        <w:jc w:val="both"/>
        <w:rPr>
          <w:rFonts w:ascii="Times New Roman" w:hAnsi="Times New Roman" w:cs="Times New Roman"/>
          <w:sz w:val="24"/>
          <w:szCs w:val="24"/>
        </w:rPr>
      </w:pPr>
    </w:p>
    <w:p w14:paraId="345A722F" w14:textId="13DA8301" w:rsidR="002433BD" w:rsidRPr="00A11BD6" w:rsidRDefault="00ED0EE9" w:rsidP="002C7E26">
      <w:pPr>
        <w:pStyle w:val="ListParagraph"/>
        <w:spacing w:after="0" w:line="240" w:lineRule="auto"/>
        <w:ind w:left="0"/>
        <w:contextualSpacing w:val="0"/>
        <w:jc w:val="both"/>
        <w:rPr>
          <w:rFonts w:ascii="Times New Roman" w:hAnsi="Times New Roman" w:cs="Times New Roman"/>
          <w:sz w:val="24"/>
          <w:szCs w:val="24"/>
        </w:rPr>
      </w:pPr>
      <w:r w:rsidRPr="00A11BD6">
        <w:rPr>
          <w:rFonts w:ascii="Times New Roman" w:hAnsi="Times New Roman" w:cs="Times New Roman"/>
          <w:sz w:val="24"/>
          <w:szCs w:val="24"/>
        </w:rPr>
        <w:t xml:space="preserve">En general, </w:t>
      </w:r>
      <w:r w:rsidR="000A7448" w:rsidRPr="00A11BD6">
        <w:rPr>
          <w:rFonts w:ascii="Times New Roman" w:hAnsi="Times New Roman" w:cs="Times New Roman"/>
          <w:sz w:val="24"/>
          <w:szCs w:val="24"/>
        </w:rPr>
        <w:t xml:space="preserve">el </w:t>
      </w:r>
      <w:r w:rsidR="00797B8A" w:rsidRPr="00A11BD6">
        <w:rPr>
          <w:rFonts w:ascii="Times New Roman" w:hAnsi="Times New Roman" w:cs="Times New Roman"/>
          <w:sz w:val="24"/>
          <w:szCs w:val="24"/>
        </w:rPr>
        <w:t>ingreso no tributario presenta el mayor dinamismo,</w:t>
      </w:r>
      <w:r w:rsidR="00251E1A" w:rsidRPr="00A11BD6">
        <w:rPr>
          <w:rFonts w:ascii="Times New Roman" w:hAnsi="Times New Roman" w:cs="Times New Roman"/>
          <w:sz w:val="24"/>
          <w:szCs w:val="24"/>
        </w:rPr>
        <w:t xml:space="preserve"> </w:t>
      </w:r>
      <w:r w:rsidR="000A7448" w:rsidRPr="00A11BD6">
        <w:rPr>
          <w:rFonts w:ascii="Times New Roman" w:hAnsi="Times New Roman" w:cs="Times New Roman"/>
          <w:sz w:val="24"/>
          <w:szCs w:val="24"/>
        </w:rPr>
        <w:t>con un crecimiento promedio año del 13%</w:t>
      </w:r>
      <w:r w:rsidR="008F654E" w:rsidRPr="00A11BD6">
        <w:rPr>
          <w:rFonts w:ascii="Times New Roman" w:hAnsi="Times New Roman" w:cs="Times New Roman"/>
          <w:sz w:val="24"/>
          <w:szCs w:val="24"/>
        </w:rPr>
        <w:t xml:space="preserve"> real</w:t>
      </w:r>
      <w:r w:rsidR="000A7448" w:rsidRPr="00A11BD6">
        <w:rPr>
          <w:rFonts w:ascii="Times New Roman" w:hAnsi="Times New Roman" w:cs="Times New Roman"/>
          <w:sz w:val="24"/>
          <w:szCs w:val="24"/>
        </w:rPr>
        <w:t xml:space="preserve">; </w:t>
      </w:r>
      <w:r w:rsidR="00CF7815" w:rsidRPr="00A11BD6">
        <w:rPr>
          <w:rFonts w:ascii="Times New Roman" w:hAnsi="Times New Roman" w:cs="Times New Roman"/>
          <w:sz w:val="24"/>
          <w:szCs w:val="24"/>
        </w:rPr>
        <w:t xml:space="preserve">este rubro lo representan </w:t>
      </w:r>
      <w:r w:rsidR="0069733A" w:rsidRPr="00A11BD6">
        <w:rPr>
          <w:rFonts w:ascii="Times New Roman" w:hAnsi="Times New Roman" w:cs="Times New Roman"/>
          <w:sz w:val="24"/>
          <w:szCs w:val="24"/>
        </w:rPr>
        <w:t xml:space="preserve">fundamentalmente </w:t>
      </w:r>
      <w:r w:rsidR="000A7448" w:rsidRPr="00A11BD6">
        <w:rPr>
          <w:rFonts w:ascii="Times New Roman" w:hAnsi="Times New Roman" w:cs="Times New Roman"/>
          <w:sz w:val="24"/>
          <w:szCs w:val="24"/>
        </w:rPr>
        <w:t>las “tasa</w:t>
      </w:r>
      <w:r w:rsidR="00255491" w:rsidRPr="00A11BD6">
        <w:rPr>
          <w:rFonts w:ascii="Times New Roman" w:hAnsi="Times New Roman" w:cs="Times New Roman"/>
          <w:sz w:val="24"/>
          <w:szCs w:val="24"/>
        </w:rPr>
        <w:t>s</w:t>
      </w:r>
      <w:r w:rsidR="000A7448" w:rsidRPr="00A11BD6">
        <w:rPr>
          <w:rFonts w:ascii="Times New Roman" w:hAnsi="Times New Roman" w:cs="Times New Roman"/>
          <w:sz w:val="24"/>
          <w:szCs w:val="24"/>
        </w:rPr>
        <w:t xml:space="preserve"> y licencias varias</w:t>
      </w:r>
      <w:r w:rsidR="00481D2F" w:rsidRPr="00A11BD6">
        <w:rPr>
          <w:rFonts w:ascii="Times New Roman" w:hAnsi="Times New Roman" w:cs="Times New Roman"/>
          <w:sz w:val="24"/>
          <w:szCs w:val="24"/>
        </w:rPr>
        <w:t>”</w:t>
      </w:r>
      <w:r w:rsidR="00A64BAE" w:rsidRPr="00A11BD6">
        <w:rPr>
          <w:rFonts w:ascii="Times New Roman" w:hAnsi="Times New Roman" w:cs="Times New Roman"/>
          <w:sz w:val="24"/>
          <w:szCs w:val="24"/>
        </w:rPr>
        <w:t>,</w:t>
      </w:r>
      <w:r w:rsidR="00C473B9" w:rsidRPr="00A11BD6">
        <w:rPr>
          <w:rStyle w:val="FootnoteReference"/>
          <w:rFonts w:ascii="Times New Roman" w:hAnsi="Times New Roman" w:cs="Times New Roman"/>
          <w:sz w:val="24"/>
          <w:szCs w:val="24"/>
        </w:rPr>
        <w:footnoteReference w:id="53"/>
      </w:r>
      <w:r w:rsidR="0069733A" w:rsidRPr="00A11BD6">
        <w:rPr>
          <w:rFonts w:ascii="Times New Roman" w:hAnsi="Times New Roman" w:cs="Times New Roman"/>
          <w:sz w:val="24"/>
          <w:szCs w:val="24"/>
        </w:rPr>
        <w:t xml:space="preserve"> </w:t>
      </w:r>
      <w:r w:rsidR="00CF7815" w:rsidRPr="00A11BD6">
        <w:rPr>
          <w:rFonts w:ascii="Times New Roman" w:hAnsi="Times New Roman" w:cs="Times New Roman"/>
          <w:sz w:val="24"/>
          <w:szCs w:val="24"/>
        </w:rPr>
        <w:t xml:space="preserve">las cuales </w:t>
      </w:r>
      <w:r w:rsidR="00251E1A" w:rsidRPr="00A11BD6">
        <w:rPr>
          <w:rFonts w:ascii="Times New Roman" w:hAnsi="Times New Roman" w:cs="Times New Roman"/>
          <w:sz w:val="24"/>
          <w:szCs w:val="24"/>
        </w:rPr>
        <w:t xml:space="preserve">pasan de aportar un 36% al </w:t>
      </w:r>
      <w:r w:rsidR="008E3915" w:rsidRPr="00A11BD6">
        <w:rPr>
          <w:rFonts w:ascii="Times New Roman" w:hAnsi="Times New Roman" w:cs="Times New Roman"/>
          <w:sz w:val="24"/>
          <w:szCs w:val="24"/>
        </w:rPr>
        <w:t xml:space="preserve">ingreso </w:t>
      </w:r>
      <w:r w:rsidR="00251E1A" w:rsidRPr="00A11BD6">
        <w:rPr>
          <w:rFonts w:ascii="Times New Roman" w:hAnsi="Times New Roman" w:cs="Times New Roman"/>
          <w:sz w:val="24"/>
          <w:szCs w:val="24"/>
        </w:rPr>
        <w:t>total en 2008 al 42% en 2011</w:t>
      </w:r>
      <w:r w:rsidR="00D30A4D" w:rsidRPr="00A11BD6">
        <w:rPr>
          <w:rFonts w:ascii="Times New Roman" w:hAnsi="Times New Roman" w:cs="Times New Roman"/>
          <w:sz w:val="24"/>
          <w:szCs w:val="24"/>
        </w:rPr>
        <w:t xml:space="preserve">. </w:t>
      </w:r>
      <w:r w:rsidR="00A64BAE" w:rsidRPr="00A11BD6">
        <w:rPr>
          <w:rFonts w:ascii="Times New Roman" w:hAnsi="Times New Roman" w:cs="Times New Roman"/>
          <w:sz w:val="24"/>
          <w:szCs w:val="24"/>
        </w:rPr>
        <w:t xml:space="preserve"> </w:t>
      </w:r>
      <w:r w:rsidR="00D30A4D" w:rsidRPr="00A11BD6">
        <w:rPr>
          <w:rFonts w:ascii="Times New Roman" w:hAnsi="Times New Roman" w:cs="Times New Roman"/>
          <w:sz w:val="24"/>
          <w:szCs w:val="24"/>
        </w:rPr>
        <w:t>El ingreso tributario</w:t>
      </w:r>
      <w:r w:rsidR="008722F1" w:rsidRPr="00A11BD6">
        <w:rPr>
          <w:rFonts w:ascii="Times New Roman" w:hAnsi="Times New Roman" w:cs="Times New Roman"/>
          <w:sz w:val="24"/>
          <w:szCs w:val="24"/>
        </w:rPr>
        <w:t xml:space="preserve"> por su parte, registra un comportamiento más moderado, particularmente desde 20</w:t>
      </w:r>
      <w:r w:rsidR="00A13D50" w:rsidRPr="00A11BD6">
        <w:rPr>
          <w:rFonts w:ascii="Times New Roman" w:hAnsi="Times New Roman" w:cs="Times New Roman"/>
          <w:sz w:val="24"/>
          <w:szCs w:val="24"/>
        </w:rPr>
        <w:t>09, con un crecimiento promedio año del 6%</w:t>
      </w:r>
      <w:r w:rsidR="008F654E" w:rsidRPr="00A11BD6">
        <w:rPr>
          <w:rFonts w:ascii="Times New Roman" w:hAnsi="Times New Roman" w:cs="Times New Roman"/>
          <w:sz w:val="24"/>
          <w:szCs w:val="24"/>
        </w:rPr>
        <w:t xml:space="preserve"> real</w:t>
      </w:r>
      <w:r w:rsidR="0069733A" w:rsidRPr="00A11BD6">
        <w:rPr>
          <w:rFonts w:ascii="Times New Roman" w:hAnsi="Times New Roman" w:cs="Times New Roman"/>
          <w:sz w:val="24"/>
          <w:szCs w:val="24"/>
        </w:rPr>
        <w:t>.  E</w:t>
      </w:r>
      <w:r w:rsidR="00341AD6" w:rsidRPr="00A11BD6">
        <w:rPr>
          <w:rFonts w:ascii="Times New Roman" w:hAnsi="Times New Roman" w:cs="Times New Roman"/>
          <w:sz w:val="24"/>
          <w:szCs w:val="24"/>
        </w:rPr>
        <w:t>ste renglón está representado por el I</w:t>
      </w:r>
      <w:r w:rsidR="00407A96" w:rsidRPr="00A11BD6">
        <w:rPr>
          <w:rFonts w:ascii="Times New Roman" w:hAnsi="Times New Roman" w:cs="Times New Roman"/>
          <w:sz w:val="24"/>
          <w:szCs w:val="24"/>
        </w:rPr>
        <w:t xml:space="preserve">mpuesto </w:t>
      </w:r>
      <w:r w:rsidR="004A37A4" w:rsidRPr="00A11BD6">
        <w:rPr>
          <w:rFonts w:ascii="Times New Roman" w:hAnsi="Times New Roman" w:cs="Times New Roman"/>
          <w:sz w:val="24"/>
          <w:szCs w:val="24"/>
        </w:rPr>
        <w:t>Único</w:t>
      </w:r>
      <w:r w:rsidR="00407A96" w:rsidRPr="00A11BD6">
        <w:rPr>
          <w:rFonts w:ascii="Times New Roman" w:hAnsi="Times New Roman" w:cs="Times New Roman"/>
          <w:sz w:val="24"/>
          <w:szCs w:val="24"/>
        </w:rPr>
        <w:t xml:space="preserve"> sobre </w:t>
      </w:r>
      <w:r w:rsidR="00341AD6" w:rsidRPr="00A11BD6">
        <w:rPr>
          <w:rFonts w:ascii="Times New Roman" w:hAnsi="Times New Roman" w:cs="Times New Roman"/>
          <w:sz w:val="24"/>
          <w:szCs w:val="24"/>
        </w:rPr>
        <w:t>I</w:t>
      </w:r>
      <w:r w:rsidR="00407A96" w:rsidRPr="00A11BD6">
        <w:rPr>
          <w:rFonts w:ascii="Times New Roman" w:hAnsi="Times New Roman" w:cs="Times New Roman"/>
          <w:sz w:val="24"/>
          <w:szCs w:val="24"/>
        </w:rPr>
        <w:t>nmuebles</w:t>
      </w:r>
      <w:r w:rsidR="00341AD6" w:rsidRPr="00A11BD6">
        <w:rPr>
          <w:rFonts w:ascii="Times New Roman" w:hAnsi="Times New Roman" w:cs="Times New Roman"/>
          <w:sz w:val="24"/>
          <w:szCs w:val="24"/>
        </w:rPr>
        <w:t xml:space="preserve"> </w:t>
      </w:r>
      <w:r w:rsidR="005039F0" w:rsidRPr="00A11BD6">
        <w:rPr>
          <w:rFonts w:ascii="Times New Roman" w:hAnsi="Times New Roman" w:cs="Times New Roman"/>
          <w:sz w:val="24"/>
          <w:szCs w:val="24"/>
        </w:rPr>
        <w:t>(</w:t>
      </w:r>
      <w:r w:rsidR="00CA7DCF" w:rsidRPr="00A11BD6">
        <w:rPr>
          <w:rFonts w:ascii="Times New Roman" w:hAnsi="Times New Roman" w:cs="Times New Roman"/>
          <w:sz w:val="24"/>
          <w:szCs w:val="24"/>
        </w:rPr>
        <w:t>IUSI</w:t>
      </w:r>
      <w:r w:rsidR="005039F0" w:rsidRPr="00A11BD6">
        <w:rPr>
          <w:rFonts w:ascii="Times New Roman" w:hAnsi="Times New Roman" w:cs="Times New Roman"/>
          <w:sz w:val="24"/>
          <w:szCs w:val="24"/>
        </w:rPr>
        <w:t>)</w:t>
      </w:r>
      <w:r w:rsidR="00CA7DCF" w:rsidRPr="00A11BD6">
        <w:rPr>
          <w:rFonts w:ascii="Times New Roman" w:hAnsi="Times New Roman" w:cs="Times New Roman"/>
          <w:sz w:val="24"/>
          <w:szCs w:val="24"/>
        </w:rPr>
        <w:t xml:space="preserve"> </w:t>
      </w:r>
      <w:r w:rsidR="0069733A" w:rsidRPr="00A11BD6">
        <w:rPr>
          <w:rFonts w:ascii="Times New Roman" w:hAnsi="Times New Roman" w:cs="Times New Roman"/>
          <w:sz w:val="24"/>
          <w:szCs w:val="24"/>
        </w:rPr>
        <w:t>(82%);</w:t>
      </w:r>
      <w:r w:rsidR="00341AD6" w:rsidRPr="00A11BD6">
        <w:rPr>
          <w:rFonts w:ascii="Times New Roman" w:hAnsi="Times New Roman" w:cs="Times New Roman"/>
          <w:sz w:val="24"/>
          <w:szCs w:val="24"/>
        </w:rPr>
        <w:t xml:space="preserve"> el impuesto sobre l</w:t>
      </w:r>
      <w:r w:rsidR="0069733A" w:rsidRPr="00A11BD6">
        <w:rPr>
          <w:rFonts w:ascii="Times New Roman" w:hAnsi="Times New Roman" w:cs="Times New Roman"/>
          <w:sz w:val="24"/>
          <w:szCs w:val="24"/>
        </w:rPr>
        <w:t>os derivados del petróleo (10%);</w:t>
      </w:r>
      <w:r w:rsidR="00341AD6" w:rsidRPr="00A11BD6">
        <w:rPr>
          <w:rFonts w:ascii="Times New Roman" w:hAnsi="Times New Roman" w:cs="Times New Roman"/>
          <w:sz w:val="24"/>
          <w:szCs w:val="24"/>
        </w:rPr>
        <w:t xml:space="preserve"> el boleto de ornato y otros arbitrios municipales (7%)</w:t>
      </w:r>
      <w:r w:rsidR="0069733A" w:rsidRPr="00A11BD6">
        <w:rPr>
          <w:rFonts w:ascii="Times New Roman" w:hAnsi="Times New Roman" w:cs="Times New Roman"/>
          <w:sz w:val="24"/>
          <w:szCs w:val="24"/>
        </w:rPr>
        <w:t>;</w:t>
      </w:r>
      <w:r w:rsidR="00341AD6" w:rsidRPr="00A11BD6">
        <w:rPr>
          <w:rFonts w:ascii="Times New Roman" w:hAnsi="Times New Roman" w:cs="Times New Roman"/>
          <w:sz w:val="24"/>
          <w:szCs w:val="24"/>
        </w:rPr>
        <w:t xml:space="preserve"> y </w:t>
      </w:r>
      <w:r w:rsidR="00341AD6" w:rsidRPr="00A11BD6">
        <w:rPr>
          <w:rFonts w:ascii="Times New Roman" w:hAnsi="Times New Roman" w:cs="Times New Roman"/>
          <w:sz w:val="24"/>
          <w:szCs w:val="24"/>
        </w:rPr>
        <w:lastRenderedPageBreak/>
        <w:t xml:space="preserve">otros </w:t>
      </w:r>
      <w:r w:rsidR="00481D2F" w:rsidRPr="00A11BD6">
        <w:rPr>
          <w:rFonts w:ascii="Times New Roman" w:hAnsi="Times New Roman" w:cs="Times New Roman"/>
          <w:sz w:val="24"/>
          <w:szCs w:val="24"/>
        </w:rPr>
        <w:t xml:space="preserve">tributarios </w:t>
      </w:r>
      <w:r w:rsidR="00341AD6" w:rsidRPr="00A11BD6">
        <w:rPr>
          <w:rFonts w:ascii="Times New Roman" w:hAnsi="Times New Roman" w:cs="Times New Roman"/>
          <w:sz w:val="24"/>
          <w:szCs w:val="24"/>
        </w:rPr>
        <w:t xml:space="preserve">(1%). </w:t>
      </w:r>
      <w:r w:rsidR="004A37A4" w:rsidRPr="00A11BD6">
        <w:rPr>
          <w:rFonts w:ascii="Times New Roman" w:hAnsi="Times New Roman" w:cs="Times New Roman"/>
          <w:sz w:val="24"/>
          <w:szCs w:val="24"/>
        </w:rPr>
        <w:t xml:space="preserve"> </w:t>
      </w:r>
      <w:r w:rsidR="00341AD6" w:rsidRPr="00A11BD6">
        <w:rPr>
          <w:rFonts w:ascii="Times New Roman" w:hAnsi="Times New Roman" w:cs="Times New Roman"/>
          <w:sz w:val="24"/>
          <w:szCs w:val="24"/>
        </w:rPr>
        <w:t>La participación del IUSI dentro del ingreso total se ha mantenido en el 26%</w:t>
      </w:r>
      <w:r w:rsidR="00481D2F" w:rsidRPr="00A11BD6">
        <w:rPr>
          <w:rFonts w:ascii="Times New Roman" w:hAnsi="Times New Roman" w:cs="Times New Roman"/>
          <w:sz w:val="24"/>
          <w:szCs w:val="24"/>
        </w:rPr>
        <w:t xml:space="preserve"> durante el período de estudio</w:t>
      </w:r>
      <w:r w:rsidR="00FE1F9F">
        <w:rPr>
          <w:rStyle w:val="FootnoteReference"/>
          <w:rFonts w:ascii="Times New Roman" w:hAnsi="Times New Roman" w:cs="Times New Roman"/>
          <w:sz w:val="24"/>
          <w:szCs w:val="24"/>
        </w:rPr>
        <w:footnoteReference w:id="54"/>
      </w:r>
      <w:r w:rsidR="00341AD6" w:rsidRPr="00A11BD6">
        <w:rPr>
          <w:rFonts w:ascii="Times New Roman" w:hAnsi="Times New Roman" w:cs="Times New Roman"/>
          <w:sz w:val="24"/>
          <w:szCs w:val="24"/>
        </w:rPr>
        <w:t>.</w:t>
      </w:r>
    </w:p>
    <w:p w14:paraId="11908B91" w14:textId="77777777" w:rsidR="002E6E97" w:rsidRPr="00A11BD6" w:rsidRDefault="002E6E97" w:rsidP="002C7E26">
      <w:pPr>
        <w:pStyle w:val="ListParagraph"/>
        <w:spacing w:after="0" w:line="240" w:lineRule="auto"/>
        <w:ind w:left="0"/>
        <w:contextualSpacing w:val="0"/>
        <w:jc w:val="both"/>
        <w:rPr>
          <w:rFonts w:ascii="Times New Roman" w:hAnsi="Times New Roman" w:cs="Times New Roman"/>
          <w:sz w:val="24"/>
          <w:szCs w:val="24"/>
        </w:rPr>
      </w:pPr>
    </w:p>
    <w:p w14:paraId="3F6667B4" w14:textId="6594FD6C" w:rsidR="002433BD" w:rsidRPr="008B144F" w:rsidRDefault="00515E3E" w:rsidP="00F37A5F">
      <w:pPr>
        <w:pStyle w:val="Heading5"/>
        <w:rPr>
          <w:color w:val="4F81BD" w:themeColor="accent1"/>
        </w:rPr>
      </w:pPr>
      <w:bookmarkStart w:id="56" w:name="_Ref214297310"/>
      <w:bookmarkStart w:id="57" w:name="_Toc219009953"/>
      <w:bookmarkStart w:id="58" w:name="_Toc223473023"/>
      <w:r w:rsidRPr="008B144F">
        <w:rPr>
          <w:color w:val="4F81BD" w:themeColor="accent1"/>
        </w:rPr>
        <w:t>T</w:t>
      </w:r>
      <w:r w:rsidR="002433BD" w:rsidRPr="008B144F">
        <w:rPr>
          <w:color w:val="4F81BD" w:themeColor="accent1"/>
        </w:rPr>
        <w:t>ransferencias de Capital</w:t>
      </w:r>
      <w:bookmarkEnd w:id="56"/>
      <w:bookmarkEnd w:id="57"/>
      <w:bookmarkEnd w:id="58"/>
    </w:p>
    <w:p w14:paraId="15BF2C9A" w14:textId="77777777" w:rsidR="005E319A" w:rsidRPr="00FB59AC" w:rsidRDefault="005E319A" w:rsidP="00FB59AC">
      <w:pPr>
        <w:pStyle w:val="ListParagraph"/>
        <w:spacing w:after="0" w:line="240" w:lineRule="auto"/>
        <w:ind w:left="0" w:firstLine="708"/>
        <w:contextualSpacing w:val="0"/>
        <w:jc w:val="both"/>
        <w:rPr>
          <w:rFonts w:ascii="Times New Roman" w:hAnsi="Times New Roman" w:cs="Times New Roman"/>
          <w:sz w:val="24"/>
          <w:szCs w:val="24"/>
        </w:rPr>
      </w:pPr>
    </w:p>
    <w:p w14:paraId="5DCB5ADD" w14:textId="540DA33C" w:rsidR="006E08EE" w:rsidRPr="00FB59AC" w:rsidRDefault="00DE7B33" w:rsidP="002C7E26">
      <w:pPr>
        <w:pStyle w:val="ListParagraph"/>
        <w:spacing w:after="0" w:line="240" w:lineRule="auto"/>
        <w:ind w:left="0"/>
        <w:contextualSpacing w:val="0"/>
        <w:jc w:val="both"/>
        <w:rPr>
          <w:rFonts w:ascii="Times New Roman" w:hAnsi="Times New Roman" w:cs="Times New Roman"/>
          <w:sz w:val="24"/>
          <w:szCs w:val="24"/>
        </w:rPr>
      </w:pPr>
      <w:r w:rsidRPr="00FB59AC">
        <w:rPr>
          <w:rFonts w:ascii="Times New Roman" w:hAnsi="Times New Roman" w:cs="Times New Roman"/>
          <w:sz w:val="24"/>
          <w:szCs w:val="24"/>
        </w:rPr>
        <w:t xml:space="preserve">Tal como </w:t>
      </w:r>
      <w:r w:rsidR="00515E3E">
        <w:rPr>
          <w:rFonts w:ascii="Times New Roman" w:hAnsi="Times New Roman" w:cs="Times New Roman"/>
          <w:sz w:val="24"/>
          <w:szCs w:val="24"/>
        </w:rPr>
        <w:t>se indicó más atras, las Transferencias de Capital</w:t>
      </w:r>
      <w:r w:rsidR="00C72AA5" w:rsidRPr="00FB59AC">
        <w:rPr>
          <w:rFonts w:ascii="Times New Roman" w:hAnsi="Times New Roman" w:cs="Times New Roman"/>
          <w:sz w:val="24"/>
          <w:szCs w:val="24"/>
        </w:rPr>
        <w:t xml:space="preserve"> provienen de</w:t>
      </w:r>
      <w:r w:rsidR="00552043" w:rsidRPr="00FB59AC">
        <w:rPr>
          <w:rFonts w:ascii="Times New Roman" w:hAnsi="Times New Roman" w:cs="Times New Roman"/>
          <w:sz w:val="24"/>
          <w:szCs w:val="24"/>
        </w:rPr>
        <w:t>l</w:t>
      </w:r>
      <w:r w:rsidR="00C72AA5" w:rsidRPr="00FB59AC">
        <w:rPr>
          <w:rFonts w:ascii="Times New Roman" w:hAnsi="Times New Roman" w:cs="Times New Roman"/>
          <w:sz w:val="24"/>
          <w:szCs w:val="24"/>
        </w:rPr>
        <w:t xml:space="preserve"> “</w:t>
      </w:r>
      <w:r w:rsidR="006E08EE" w:rsidRPr="00FB59AC">
        <w:rPr>
          <w:rFonts w:ascii="Times New Roman" w:hAnsi="Times New Roman" w:cs="Times New Roman"/>
          <w:sz w:val="24"/>
          <w:szCs w:val="24"/>
        </w:rPr>
        <w:t>Aporte por Mandato Constitucional</w:t>
      </w:r>
      <w:r w:rsidR="00C72AA5" w:rsidRPr="00FB59AC">
        <w:rPr>
          <w:rFonts w:ascii="Times New Roman" w:hAnsi="Times New Roman" w:cs="Times New Roman"/>
          <w:sz w:val="24"/>
          <w:szCs w:val="24"/>
        </w:rPr>
        <w:t>”</w:t>
      </w:r>
      <w:r w:rsidR="00552043" w:rsidRPr="00FB59AC">
        <w:rPr>
          <w:rFonts w:ascii="Times New Roman" w:hAnsi="Times New Roman" w:cs="Times New Roman"/>
          <w:sz w:val="24"/>
          <w:szCs w:val="24"/>
        </w:rPr>
        <w:t>;</w:t>
      </w:r>
      <w:r w:rsidR="006E08EE" w:rsidRPr="00FB59AC">
        <w:rPr>
          <w:rFonts w:ascii="Times New Roman" w:hAnsi="Times New Roman" w:cs="Times New Roman"/>
          <w:sz w:val="24"/>
          <w:szCs w:val="24"/>
        </w:rPr>
        <w:t xml:space="preserve"> la </w:t>
      </w:r>
      <w:r w:rsidR="00C72AA5" w:rsidRPr="00FB59AC">
        <w:rPr>
          <w:rFonts w:ascii="Times New Roman" w:hAnsi="Times New Roman" w:cs="Times New Roman"/>
          <w:sz w:val="24"/>
          <w:szCs w:val="24"/>
        </w:rPr>
        <w:t>t</w:t>
      </w:r>
      <w:r w:rsidR="006E08EE" w:rsidRPr="00FB59AC">
        <w:rPr>
          <w:rFonts w:ascii="Times New Roman" w:hAnsi="Times New Roman" w:cs="Times New Roman"/>
          <w:sz w:val="24"/>
          <w:szCs w:val="24"/>
        </w:rPr>
        <w:t>ransferencia de IVA</w:t>
      </w:r>
      <w:r w:rsidR="004A37A4" w:rsidRPr="00FB59AC">
        <w:rPr>
          <w:rFonts w:ascii="Times New Roman" w:hAnsi="Times New Roman" w:cs="Times New Roman"/>
          <w:sz w:val="24"/>
          <w:szCs w:val="24"/>
        </w:rPr>
        <w:t xml:space="preserve"> – </w:t>
      </w:r>
      <w:r w:rsidR="006E08EE" w:rsidRPr="00FB59AC">
        <w:rPr>
          <w:rFonts w:ascii="Times New Roman" w:hAnsi="Times New Roman" w:cs="Times New Roman"/>
          <w:sz w:val="24"/>
          <w:szCs w:val="24"/>
        </w:rPr>
        <w:t>PAZ</w:t>
      </w:r>
      <w:r w:rsidR="00552043" w:rsidRPr="00FB59AC">
        <w:rPr>
          <w:rFonts w:ascii="Times New Roman" w:hAnsi="Times New Roman" w:cs="Times New Roman"/>
          <w:sz w:val="24"/>
          <w:szCs w:val="24"/>
        </w:rPr>
        <w:t>;</w:t>
      </w:r>
      <w:r w:rsidR="00C72AA5" w:rsidRPr="00FB59AC">
        <w:rPr>
          <w:rFonts w:ascii="Times New Roman" w:hAnsi="Times New Roman" w:cs="Times New Roman"/>
          <w:sz w:val="24"/>
          <w:szCs w:val="24"/>
        </w:rPr>
        <w:t xml:space="preserve"> el “</w:t>
      </w:r>
      <w:r w:rsidR="006E08EE" w:rsidRPr="00FB59AC">
        <w:rPr>
          <w:rFonts w:ascii="Times New Roman" w:hAnsi="Times New Roman" w:cs="Times New Roman"/>
          <w:sz w:val="24"/>
          <w:szCs w:val="24"/>
        </w:rPr>
        <w:t>Impuesto sobre circulación de vehículos</w:t>
      </w:r>
      <w:r w:rsidR="00C72AA5" w:rsidRPr="00FB59AC">
        <w:rPr>
          <w:rFonts w:ascii="Times New Roman" w:hAnsi="Times New Roman" w:cs="Times New Roman"/>
          <w:sz w:val="24"/>
          <w:szCs w:val="24"/>
        </w:rPr>
        <w:t>”</w:t>
      </w:r>
      <w:r w:rsidR="00552043" w:rsidRPr="00FB59AC">
        <w:rPr>
          <w:rFonts w:ascii="Times New Roman" w:hAnsi="Times New Roman" w:cs="Times New Roman"/>
          <w:sz w:val="24"/>
          <w:szCs w:val="24"/>
        </w:rPr>
        <w:t>;</w:t>
      </w:r>
      <w:r w:rsidR="006E08EE" w:rsidRPr="00FB59AC">
        <w:rPr>
          <w:rFonts w:ascii="Times New Roman" w:hAnsi="Times New Roman" w:cs="Times New Roman"/>
          <w:sz w:val="24"/>
          <w:szCs w:val="24"/>
        </w:rPr>
        <w:t xml:space="preserve"> </w:t>
      </w:r>
      <w:r w:rsidR="001B5394" w:rsidRPr="00FB59AC">
        <w:rPr>
          <w:rFonts w:ascii="Times New Roman" w:hAnsi="Times New Roman" w:cs="Times New Roman"/>
          <w:sz w:val="24"/>
          <w:szCs w:val="24"/>
        </w:rPr>
        <w:t>y el “</w:t>
      </w:r>
      <w:r w:rsidR="00552043" w:rsidRPr="00FB59AC">
        <w:rPr>
          <w:rFonts w:ascii="Times New Roman" w:hAnsi="Times New Roman" w:cs="Times New Roman"/>
          <w:sz w:val="24"/>
          <w:szCs w:val="24"/>
        </w:rPr>
        <w:t>A</w:t>
      </w:r>
      <w:r w:rsidR="006E08EE" w:rsidRPr="00FB59AC">
        <w:rPr>
          <w:rFonts w:ascii="Times New Roman" w:hAnsi="Times New Roman" w:cs="Times New Roman"/>
          <w:sz w:val="24"/>
          <w:szCs w:val="24"/>
        </w:rPr>
        <w:t>porte del Consejo de Desarrollo Departamental</w:t>
      </w:r>
      <w:r w:rsidR="001B5394" w:rsidRPr="00FB59AC">
        <w:rPr>
          <w:rFonts w:ascii="Times New Roman" w:hAnsi="Times New Roman" w:cs="Times New Roman"/>
          <w:sz w:val="24"/>
          <w:szCs w:val="24"/>
        </w:rPr>
        <w:t>”</w:t>
      </w:r>
      <w:r w:rsidR="00552043" w:rsidRPr="00FB59AC">
        <w:rPr>
          <w:rFonts w:ascii="Times New Roman" w:hAnsi="Times New Roman" w:cs="Times New Roman"/>
          <w:sz w:val="24"/>
          <w:szCs w:val="24"/>
        </w:rPr>
        <w:t>.  S</w:t>
      </w:r>
      <w:r w:rsidR="003537E5" w:rsidRPr="00FB59AC">
        <w:rPr>
          <w:rFonts w:ascii="Times New Roman" w:hAnsi="Times New Roman" w:cs="Times New Roman"/>
          <w:sz w:val="24"/>
          <w:szCs w:val="24"/>
        </w:rPr>
        <w:t xml:space="preserve">u aporte al </w:t>
      </w:r>
      <w:r w:rsidR="0080304A" w:rsidRPr="00FB59AC">
        <w:rPr>
          <w:rFonts w:ascii="Times New Roman" w:hAnsi="Times New Roman" w:cs="Times New Roman"/>
          <w:sz w:val="24"/>
          <w:szCs w:val="24"/>
        </w:rPr>
        <w:t xml:space="preserve">ingreso </w:t>
      </w:r>
      <w:r w:rsidR="003537E5" w:rsidRPr="00FB59AC">
        <w:rPr>
          <w:rFonts w:ascii="Times New Roman" w:hAnsi="Times New Roman" w:cs="Times New Roman"/>
          <w:sz w:val="24"/>
          <w:szCs w:val="24"/>
        </w:rPr>
        <w:t xml:space="preserve">total </w:t>
      </w:r>
      <w:r w:rsidR="00882941" w:rsidRPr="00FB59AC">
        <w:rPr>
          <w:rFonts w:ascii="Times New Roman" w:hAnsi="Times New Roman" w:cs="Times New Roman"/>
          <w:sz w:val="24"/>
          <w:szCs w:val="24"/>
        </w:rPr>
        <w:t xml:space="preserve">municipal es aproximadamente </w:t>
      </w:r>
      <w:r w:rsidR="003537E5" w:rsidRPr="00FB59AC">
        <w:rPr>
          <w:rFonts w:ascii="Times New Roman" w:hAnsi="Times New Roman" w:cs="Times New Roman"/>
          <w:sz w:val="24"/>
          <w:szCs w:val="24"/>
        </w:rPr>
        <w:t xml:space="preserve">del </w:t>
      </w:r>
      <w:r w:rsidR="0080304A" w:rsidRPr="00FB59AC">
        <w:rPr>
          <w:rFonts w:ascii="Times New Roman" w:hAnsi="Times New Roman" w:cs="Times New Roman"/>
          <w:sz w:val="24"/>
          <w:szCs w:val="24"/>
        </w:rPr>
        <w:t>15%</w:t>
      </w:r>
      <w:r w:rsidR="006E08EE" w:rsidRPr="00FB59AC">
        <w:rPr>
          <w:rFonts w:ascii="Times New Roman" w:hAnsi="Times New Roman" w:cs="Times New Roman"/>
          <w:sz w:val="24"/>
          <w:szCs w:val="24"/>
        </w:rPr>
        <w:t>.</w:t>
      </w:r>
    </w:p>
    <w:p w14:paraId="6C479810" w14:textId="77777777" w:rsidR="002433BD" w:rsidRPr="00FB59AC" w:rsidRDefault="002433BD" w:rsidP="002C7E26">
      <w:pPr>
        <w:pStyle w:val="ListParagraph"/>
        <w:spacing w:after="0" w:line="240" w:lineRule="auto"/>
        <w:ind w:left="0"/>
        <w:contextualSpacing w:val="0"/>
        <w:jc w:val="both"/>
        <w:rPr>
          <w:rFonts w:ascii="Times New Roman" w:hAnsi="Times New Roman" w:cs="Times New Roman"/>
          <w:sz w:val="24"/>
          <w:szCs w:val="24"/>
        </w:rPr>
      </w:pPr>
    </w:p>
    <w:p w14:paraId="002E09A1" w14:textId="5FDAAC08" w:rsidR="00706FB5" w:rsidRPr="00FB59AC" w:rsidRDefault="00690021" w:rsidP="002C7E26">
      <w:pPr>
        <w:spacing w:line="240" w:lineRule="auto"/>
        <w:jc w:val="both"/>
        <w:rPr>
          <w:rFonts w:ascii="Times New Roman" w:hAnsi="Times New Roman" w:cs="Times New Roman"/>
          <w:sz w:val="24"/>
          <w:szCs w:val="24"/>
        </w:rPr>
      </w:pPr>
      <w:r w:rsidRPr="00FB59AC">
        <w:rPr>
          <w:rFonts w:ascii="Times New Roman" w:hAnsi="Times New Roman" w:cs="Times New Roman"/>
          <w:sz w:val="24"/>
          <w:szCs w:val="24"/>
        </w:rPr>
        <w:t>En e</w:t>
      </w:r>
      <w:r w:rsidR="005E6D53" w:rsidRPr="00FB59AC">
        <w:rPr>
          <w:rFonts w:ascii="Times New Roman" w:hAnsi="Times New Roman" w:cs="Times New Roman"/>
          <w:sz w:val="24"/>
          <w:szCs w:val="24"/>
        </w:rPr>
        <w:t>ste orden, los ingresos por conc</w:t>
      </w:r>
      <w:r w:rsidRPr="00FB59AC">
        <w:rPr>
          <w:rFonts w:ascii="Times New Roman" w:hAnsi="Times New Roman" w:cs="Times New Roman"/>
          <w:sz w:val="24"/>
          <w:szCs w:val="24"/>
        </w:rPr>
        <w:t>epto de t</w:t>
      </w:r>
      <w:r w:rsidR="002433BD" w:rsidRPr="00FB59AC">
        <w:rPr>
          <w:rFonts w:ascii="Times New Roman" w:hAnsi="Times New Roman" w:cs="Times New Roman"/>
          <w:sz w:val="24"/>
          <w:szCs w:val="24"/>
        </w:rPr>
        <w:t xml:space="preserve">ransferencias de </w:t>
      </w:r>
      <w:r w:rsidRPr="00FB59AC">
        <w:rPr>
          <w:rFonts w:ascii="Times New Roman" w:hAnsi="Times New Roman" w:cs="Times New Roman"/>
          <w:sz w:val="24"/>
          <w:szCs w:val="24"/>
        </w:rPr>
        <w:t>c</w:t>
      </w:r>
      <w:r w:rsidR="002433BD" w:rsidRPr="00FB59AC">
        <w:rPr>
          <w:rFonts w:ascii="Times New Roman" w:hAnsi="Times New Roman" w:cs="Times New Roman"/>
          <w:sz w:val="24"/>
          <w:szCs w:val="24"/>
        </w:rPr>
        <w:t xml:space="preserve">apital muestran en el período </w:t>
      </w:r>
      <w:r w:rsidR="00E13B4D" w:rsidRPr="00FB59AC">
        <w:rPr>
          <w:rFonts w:ascii="Times New Roman" w:hAnsi="Times New Roman" w:cs="Times New Roman"/>
          <w:sz w:val="24"/>
          <w:szCs w:val="24"/>
        </w:rPr>
        <w:t>2008</w:t>
      </w:r>
      <w:r w:rsidR="002433BD" w:rsidRPr="00FB59AC">
        <w:rPr>
          <w:rFonts w:ascii="Times New Roman" w:hAnsi="Times New Roman" w:cs="Times New Roman"/>
          <w:sz w:val="24"/>
          <w:szCs w:val="24"/>
        </w:rPr>
        <w:t>-2011 un crecimiento promedio anual del 5,7%, pero con un comportamiento muy desigual,</w:t>
      </w:r>
      <w:r w:rsidR="006F7232" w:rsidRPr="00FB59AC">
        <w:rPr>
          <w:rFonts w:ascii="Times New Roman" w:hAnsi="Times New Roman" w:cs="Times New Roman"/>
          <w:sz w:val="24"/>
          <w:szCs w:val="24"/>
        </w:rPr>
        <w:t xml:space="preserve"> vinculado al comportamiento del recaudo a nivel nacional,</w:t>
      </w:r>
      <w:r w:rsidR="002433BD" w:rsidRPr="00FB59AC">
        <w:rPr>
          <w:rFonts w:ascii="Times New Roman" w:hAnsi="Times New Roman" w:cs="Times New Roman"/>
          <w:sz w:val="24"/>
          <w:szCs w:val="24"/>
        </w:rPr>
        <w:t xml:space="preserve"> presentando una importante caída en términos reales del 11% en 2009 para luego crecer un 13% y un 18%</w:t>
      </w:r>
      <w:r w:rsidRPr="00FB59AC">
        <w:rPr>
          <w:rFonts w:ascii="Times New Roman" w:hAnsi="Times New Roman" w:cs="Times New Roman"/>
          <w:sz w:val="24"/>
          <w:szCs w:val="24"/>
        </w:rPr>
        <w:t xml:space="preserve"> real en los años posteriores</w:t>
      </w:r>
      <w:r w:rsidR="00392300" w:rsidRPr="00FB59AC">
        <w:rPr>
          <w:rFonts w:ascii="Times New Roman" w:hAnsi="Times New Roman" w:cs="Times New Roman"/>
          <w:sz w:val="24"/>
          <w:szCs w:val="24"/>
        </w:rPr>
        <w:t>, tal como s</w:t>
      </w:r>
      <w:r w:rsidR="00515E3E">
        <w:rPr>
          <w:rFonts w:ascii="Times New Roman" w:hAnsi="Times New Roman" w:cs="Times New Roman"/>
          <w:sz w:val="24"/>
          <w:szCs w:val="24"/>
        </w:rPr>
        <w:t>e observa en la siguiente gráfica</w:t>
      </w:r>
      <w:r w:rsidR="008B144F">
        <w:rPr>
          <w:rFonts w:ascii="Times New Roman" w:hAnsi="Times New Roman" w:cs="Times New Roman"/>
          <w:sz w:val="24"/>
          <w:szCs w:val="24"/>
        </w:rPr>
        <w:t>:</w:t>
      </w:r>
    </w:p>
    <w:p w14:paraId="0FEF47B6" w14:textId="0AE70C8A" w:rsidR="00A56829" w:rsidRPr="00FB59AC" w:rsidRDefault="008B144F" w:rsidP="00A5682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Gráfica 1</w:t>
      </w:r>
      <w:r w:rsidR="00A56829" w:rsidRPr="00FB59AC">
        <w:rPr>
          <w:rFonts w:ascii="Times New Roman" w:hAnsi="Times New Roman" w:cs="Times New Roman"/>
          <w:b/>
          <w:sz w:val="24"/>
          <w:szCs w:val="24"/>
        </w:rPr>
        <w:t>. Transferencias de Capital.</w:t>
      </w:r>
    </w:p>
    <w:p w14:paraId="7CB45946" w14:textId="7847E179" w:rsidR="00392300" w:rsidRDefault="000A7EB6" w:rsidP="00BF709D">
      <w:pPr>
        <w:spacing w:line="240" w:lineRule="auto"/>
        <w:jc w:val="both"/>
        <w:rPr>
          <w:sz w:val="24"/>
          <w:szCs w:val="24"/>
        </w:rPr>
      </w:pPr>
      <w:r>
        <w:rPr>
          <w:noProof/>
          <w:lang w:val="en-US" w:eastAsia="en-US"/>
        </w:rPr>
        <w:drawing>
          <wp:inline distT="0" distB="0" distL="0" distR="0" wp14:anchorId="188A5500" wp14:editId="7C850810">
            <wp:extent cx="5559552" cy="2529840"/>
            <wp:effectExtent l="38100" t="38100" r="98425" b="99060"/>
            <wp:docPr id="37" name="Gráfico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1DC4EDB" w14:textId="77777777" w:rsidR="00BF709D" w:rsidRPr="005D4CDA" w:rsidRDefault="00BF709D" w:rsidP="002C7E26">
      <w:pPr>
        <w:pStyle w:val="ListParagraph"/>
        <w:spacing w:after="0" w:line="240" w:lineRule="auto"/>
        <w:ind w:left="0"/>
        <w:contextualSpacing w:val="0"/>
        <w:jc w:val="both"/>
        <w:rPr>
          <w:rFonts w:cstheme="minorHAnsi"/>
          <w:sz w:val="24"/>
          <w:szCs w:val="24"/>
        </w:rPr>
      </w:pPr>
    </w:p>
    <w:p w14:paraId="532BFFF1" w14:textId="03EC897A" w:rsidR="00104FA6" w:rsidRPr="008B144F" w:rsidRDefault="00104FA6" w:rsidP="00F37A5F">
      <w:pPr>
        <w:pStyle w:val="Heading5"/>
        <w:rPr>
          <w:color w:val="4F81BD" w:themeColor="accent1"/>
        </w:rPr>
      </w:pPr>
      <w:bookmarkStart w:id="59" w:name="_Ref214297322"/>
      <w:bookmarkStart w:id="60" w:name="_Toc219009954"/>
      <w:bookmarkStart w:id="61" w:name="_Toc223473024"/>
      <w:r w:rsidRPr="008B144F">
        <w:rPr>
          <w:color w:val="4F81BD" w:themeColor="accent1"/>
        </w:rPr>
        <w:t>Otras fuentes de financiamiento.</w:t>
      </w:r>
      <w:bookmarkEnd w:id="59"/>
      <w:bookmarkEnd w:id="60"/>
      <w:bookmarkEnd w:id="61"/>
    </w:p>
    <w:p w14:paraId="14D941E8" w14:textId="77777777" w:rsidR="00AD5F00" w:rsidRPr="00FB59AC" w:rsidRDefault="00AD5F00" w:rsidP="002C7E26">
      <w:pPr>
        <w:pStyle w:val="ListParagraph"/>
        <w:spacing w:after="0" w:line="240" w:lineRule="auto"/>
        <w:ind w:left="0"/>
        <w:contextualSpacing w:val="0"/>
        <w:jc w:val="both"/>
        <w:rPr>
          <w:rFonts w:ascii="Times New Roman" w:hAnsi="Times New Roman" w:cs="Times New Roman"/>
          <w:sz w:val="24"/>
          <w:szCs w:val="24"/>
        </w:rPr>
      </w:pPr>
    </w:p>
    <w:p w14:paraId="5D69A986" w14:textId="6F39C627" w:rsidR="0080304A" w:rsidRPr="00FB59AC" w:rsidRDefault="00230413" w:rsidP="002C7E26">
      <w:pPr>
        <w:pStyle w:val="ListParagraph"/>
        <w:spacing w:after="0" w:line="240" w:lineRule="auto"/>
        <w:ind w:left="0"/>
        <w:contextualSpacing w:val="0"/>
        <w:jc w:val="both"/>
        <w:rPr>
          <w:rFonts w:ascii="Times New Roman" w:hAnsi="Times New Roman" w:cs="Times New Roman"/>
          <w:sz w:val="24"/>
          <w:szCs w:val="24"/>
        </w:rPr>
      </w:pPr>
      <w:r w:rsidRPr="00FB59AC">
        <w:rPr>
          <w:rFonts w:ascii="Times New Roman" w:hAnsi="Times New Roman" w:cs="Times New Roman"/>
          <w:sz w:val="24"/>
          <w:szCs w:val="24"/>
        </w:rPr>
        <w:t>Respe</w:t>
      </w:r>
      <w:r w:rsidR="00261030" w:rsidRPr="00FB59AC">
        <w:rPr>
          <w:rFonts w:ascii="Times New Roman" w:hAnsi="Times New Roman" w:cs="Times New Roman"/>
          <w:sz w:val="24"/>
          <w:szCs w:val="24"/>
        </w:rPr>
        <w:t>c</w:t>
      </w:r>
      <w:r w:rsidRPr="00FB59AC">
        <w:rPr>
          <w:rFonts w:ascii="Times New Roman" w:hAnsi="Times New Roman" w:cs="Times New Roman"/>
          <w:sz w:val="24"/>
          <w:szCs w:val="24"/>
        </w:rPr>
        <w:t>to de otras fuentes de</w:t>
      </w:r>
      <w:r w:rsidR="00261030" w:rsidRPr="00FB59AC">
        <w:rPr>
          <w:rFonts w:ascii="Times New Roman" w:hAnsi="Times New Roman" w:cs="Times New Roman"/>
          <w:sz w:val="24"/>
          <w:szCs w:val="24"/>
        </w:rPr>
        <w:t xml:space="preserve"> </w:t>
      </w:r>
      <w:r w:rsidRPr="00FB59AC">
        <w:rPr>
          <w:rFonts w:ascii="Times New Roman" w:hAnsi="Times New Roman" w:cs="Times New Roman"/>
          <w:sz w:val="24"/>
          <w:szCs w:val="24"/>
        </w:rPr>
        <w:t>financi</w:t>
      </w:r>
      <w:r w:rsidR="00261030" w:rsidRPr="00FB59AC">
        <w:rPr>
          <w:rFonts w:ascii="Times New Roman" w:hAnsi="Times New Roman" w:cs="Times New Roman"/>
          <w:sz w:val="24"/>
          <w:szCs w:val="24"/>
        </w:rPr>
        <w:t xml:space="preserve">amiento </w:t>
      </w:r>
      <w:r w:rsidRPr="00FB59AC">
        <w:rPr>
          <w:rFonts w:ascii="Times New Roman" w:hAnsi="Times New Roman" w:cs="Times New Roman"/>
          <w:sz w:val="24"/>
          <w:szCs w:val="24"/>
        </w:rPr>
        <w:t>se destac</w:t>
      </w:r>
      <w:r w:rsidR="00261030" w:rsidRPr="00FB59AC">
        <w:rPr>
          <w:rFonts w:ascii="Times New Roman" w:hAnsi="Times New Roman" w:cs="Times New Roman"/>
          <w:sz w:val="24"/>
          <w:szCs w:val="24"/>
        </w:rPr>
        <w:t>a</w:t>
      </w:r>
      <w:r w:rsidRPr="00FB59AC">
        <w:rPr>
          <w:rFonts w:ascii="Times New Roman" w:hAnsi="Times New Roman" w:cs="Times New Roman"/>
          <w:sz w:val="24"/>
          <w:szCs w:val="24"/>
        </w:rPr>
        <w:t xml:space="preserve"> que el </w:t>
      </w:r>
      <w:r w:rsidR="00475739" w:rsidRPr="00FB59AC">
        <w:rPr>
          <w:rFonts w:ascii="Times New Roman" w:hAnsi="Times New Roman" w:cs="Times New Roman"/>
          <w:sz w:val="24"/>
          <w:szCs w:val="24"/>
        </w:rPr>
        <w:t xml:space="preserve">ingreso que se origina en la </w:t>
      </w:r>
      <w:r w:rsidR="00DE4A3E" w:rsidRPr="00FB59AC">
        <w:rPr>
          <w:rFonts w:ascii="Times New Roman" w:hAnsi="Times New Roman" w:cs="Times New Roman"/>
          <w:sz w:val="24"/>
          <w:szCs w:val="24"/>
        </w:rPr>
        <w:t>“V</w:t>
      </w:r>
      <w:r w:rsidR="00475739" w:rsidRPr="00FB59AC">
        <w:rPr>
          <w:rFonts w:ascii="Times New Roman" w:hAnsi="Times New Roman" w:cs="Times New Roman"/>
          <w:sz w:val="24"/>
          <w:szCs w:val="24"/>
        </w:rPr>
        <w:t xml:space="preserve">enta de bienes y servicios por parte de la </w:t>
      </w:r>
      <w:r w:rsidR="00DE4A3E" w:rsidRPr="00FB59AC">
        <w:rPr>
          <w:rFonts w:ascii="Times New Roman" w:hAnsi="Times New Roman" w:cs="Times New Roman"/>
          <w:sz w:val="24"/>
          <w:szCs w:val="24"/>
        </w:rPr>
        <w:t>A</w:t>
      </w:r>
      <w:r w:rsidR="00475739" w:rsidRPr="00FB59AC">
        <w:rPr>
          <w:rFonts w:ascii="Times New Roman" w:hAnsi="Times New Roman" w:cs="Times New Roman"/>
          <w:sz w:val="24"/>
          <w:szCs w:val="24"/>
        </w:rPr>
        <w:t xml:space="preserve">dministración </w:t>
      </w:r>
      <w:r w:rsidR="00DE4A3E" w:rsidRPr="00FB59AC">
        <w:rPr>
          <w:rFonts w:ascii="Times New Roman" w:hAnsi="Times New Roman" w:cs="Times New Roman"/>
          <w:sz w:val="24"/>
          <w:szCs w:val="24"/>
        </w:rPr>
        <w:t>P</w:t>
      </w:r>
      <w:r w:rsidR="00475739" w:rsidRPr="00FB59AC">
        <w:rPr>
          <w:rFonts w:ascii="Times New Roman" w:hAnsi="Times New Roman" w:cs="Times New Roman"/>
          <w:sz w:val="24"/>
          <w:szCs w:val="24"/>
        </w:rPr>
        <w:t>ública</w:t>
      </w:r>
      <w:r w:rsidR="00DE4A3E" w:rsidRPr="00FB59AC">
        <w:rPr>
          <w:rFonts w:ascii="Times New Roman" w:hAnsi="Times New Roman" w:cs="Times New Roman"/>
          <w:sz w:val="24"/>
          <w:szCs w:val="24"/>
        </w:rPr>
        <w:t>”</w:t>
      </w:r>
      <w:r w:rsidR="00475739" w:rsidRPr="00FB59AC">
        <w:rPr>
          <w:rFonts w:ascii="Times New Roman" w:hAnsi="Times New Roman" w:cs="Times New Roman"/>
          <w:sz w:val="24"/>
          <w:szCs w:val="24"/>
        </w:rPr>
        <w:t>, muestra un</w:t>
      </w:r>
      <w:r w:rsidR="002B4703" w:rsidRPr="00FB59AC">
        <w:rPr>
          <w:rFonts w:ascii="Times New Roman" w:hAnsi="Times New Roman" w:cs="Times New Roman"/>
          <w:sz w:val="24"/>
          <w:szCs w:val="24"/>
        </w:rPr>
        <w:t>a</w:t>
      </w:r>
      <w:r w:rsidR="00475739" w:rsidRPr="00FB59AC">
        <w:rPr>
          <w:rFonts w:ascii="Times New Roman" w:hAnsi="Times New Roman" w:cs="Times New Roman"/>
          <w:sz w:val="24"/>
          <w:szCs w:val="24"/>
        </w:rPr>
        <w:t xml:space="preserve"> </w:t>
      </w:r>
      <w:r w:rsidR="002B4703" w:rsidRPr="00FB59AC">
        <w:rPr>
          <w:rFonts w:ascii="Times New Roman" w:hAnsi="Times New Roman" w:cs="Times New Roman"/>
          <w:sz w:val="24"/>
          <w:szCs w:val="24"/>
        </w:rPr>
        <w:t xml:space="preserve">tendencia </w:t>
      </w:r>
      <w:r w:rsidR="00475739" w:rsidRPr="00FB59AC">
        <w:rPr>
          <w:rFonts w:ascii="Times New Roman" w:hAnsi="Times New Roman" w:cs="Times New Roman"/>
          <w:sz w:val="24"/>
          <w:szCs w:val="24"/>
        </w:rPr>
        <w:t xml:space="preserve">decreciente, </w:t>
      </w:r>
      <w:r w:rsidR="002B4703" w:rsidRPr="00FB59AC">
        <w:rPr>
          <w:rFonts w:ascii="Times New Roman" w:hAnsi="Times New Roman" w:cs="Times New Roman"/>
          <w:sz w:val="24"/>
          <w:szCs w:val="24"/>
        </w:rPr>
        <w:t xml:space="preserve">con una leve recuperación en 2011, </w:t>
      </w:r>
      <w:r w:rsidR="00C25702" w:rsidRPr="00FB59AC">
        <w:rPr>
          <w:rFonts w:ascii="Times New Roman" w:hAnsi="Times New Roman" w:cs="Times New Roman"/>
          <w:sz w:val="24"/>
          <w:szCs w:val="24"/>
        </w:rPr>
        <w:t>pero aporta</w:t>
      </w:r>
      <w:r w:rsidR="00C80F57" w:rsidRPr="00FB59AC">
        <w:rPr>
          <w:rFonts w:ascii="Times New Roman" w:hAnsi="Times New Roman" w:cs="Times New Roman"/>
          <w:sz w:val="24"/>
          <w:szCs w:val="24"/>
        </w:rPr>
        <w:t xml:space="preserve"> sólo</w:t>
      </w:r>
      <w:r w:rsidR="00C25702" w:rsidRPr="00FB59AC">
        <w:rPr>
          <w:rFonts w:ascii="Times New Roman" w:hAnsi="Times New Roman" w:cs="Times New Roman"/>
          <w:sz w:val="24"/>
          <w:szCs w:val="24"/>
        </w:rPr>
        <w:t xml:space="preserve"> un </w:t>
      </w:r>
      <w:r w:rsidR="00A3693C" w:rsidRPr="00FB59AC">
        <w:rPr>
          <w:rFonts w:ascii="Times New Roman" w:hAnsi="Times New Roman" w:cs="Times New Roman"/>
          <w:sz w:val="24"/>
          <w:szCs w:val="24"/>
        </w:rPr>
        <w:t>5% al total.</w:t>
      </w:r>
      <w:r w:rsidR="00DE4A3E" w:rsidRPr="00FB59AC">
        <w:rPr>
          <w:rFonts w:ascii="Times New Roman" w:hAnsi="Times New Roman" w:cs="Times New Roman"/>
          <w:sz w:val="24"/>
          <w:szCs w:val="24"/>
        </w:rPr>
        <w:t xml:space="preserve"> </w:t>
      </w:r>
      <w:r w:rsidR="00261030" w:rsidRPr="00FB59AC">
        <w:rPr>
          <w:rFonts w:ascii="Times New Roman" w:hAnsi="Times New Roman" w:cs="Times New Roman"/>
          <w:sz w:val="24"/>
          <w:szCs w:val="24"/>
        </w:rPr>
        <w:t xml:space="preserve"> </w:t>
      </w:r>
      <w:r w:rsidR="004A37A4" w:rsidRPr="00FB59AC">
        <w:rPr>
          <w:rFonts w:ascii="Times New Roman" w:hAnsi="Times New Roman" w:cs="Times New Roman"/>
          <w:sz w:val="24"/>
          <w:szCs w:val="24"/>
        </w:rPr>
        <w:t>F</w:t>
      </w:r>
      <w:r w:rsidR="00DE4A3E" w:rsidRPr="00FB59AC">
        <w:rPr>
          <w:rFonts w:ascii="Times New Roman" w:hAnsi="Times New Roman" w:cs="Times New Roman"/>
          <w:sz w:val="24"/>
          <w:szCs w:val="24"/>
        </w:rPr>
        <w:t xml:space="preserve">inalmente otros ingresos </w:t>
      </w:r>
      <w:r w:rsidR="00093721" w:rsidRPr="00FB59AC">
        <w:rPr>
          <w:rFonts w:ascii="Times New Roman" w:hAnsi="Times New Roman" w:cs="Times New Roman"/>
          <w:sz w:val="24"/>
          <w:szCs w:val="24"/>
        </w:rPr>
        <w:t>(1%)</w:t>
      </w:r>
      <w:r w:rsidR="004A37A4" w:rsidRPr="00FB59AC">
        <w:rPr>
          <w:rFonts w:ascii="Times New Roman" w:hAnsi="Times New Roman" w:cs="Times New Roman"/>
          <w:sz w:val="24"/>
          <w:szCs w:val="24"/>
        </w:rPr>
        <w:t>,</w:t>
      </w:r>
      <w:r w:rsidR="00093721" w:rsidRPr="00FB59AC">
        <w:rPr>
          <w:rFonts w:ascii="Times New Roman" w:hAnsi="Times New Roman" w:cs="Times New Roman"/>
          <w:sz w:val="24"/>
          <w:szCs w:val="24"/>
        </w:rPr>
        <w:t xml:space="preserve"> completan el total de los ingresos de la Municipalidad</w:t>
      </w:r>
      <w:r w:rsidR="004A37A4" w:rsidRPr="00FB59AC">
        <w:rPr>
          <w:rFonts w:ascii="Times New Roman" w:hAnsi="Times New Roman" w:cs="Times New Roman"/>
          <w:sz w:val="24"/>
          <w:szCs w:val="24"/>
        </w:rPr>
        <w:t>.</w:t>
      </w:r>
    </w:p>
    <w:p w14:paraId="5A0813EA" w14:textId="77777777" w:rsidR="00706FB5" w:rsidRPr="00FB59AC" w:rsidRDefault="00706FB5" w:rsidP="002C7E26">
      <w:pPr>
        <w:pStyle w:val="ListParagraph"/>
        <w:spacing w:after="0" w:line="240" w:lineRule="auto"/>
        <w:ind w:left="0"/>
        <w:contextualSpacing w:val="0"/>
        <w:jc w:val="both"/>
        <w:rPr>
          <w:rFonts w:ascii="Times New Roman" w:hAnsi="Times New Roman" w:cs="Times New Roman"/>
          <w:sz w:val="24"/>
          <w:szCs w:val="24"/>
        </w:rPr>
      </w:pPr>
    </w:p>
    <w:p w14:paraId="4C1170E0" w14:textId="76F1D9CC" w:rsidR="00CA7DCF" w:rsidRDefault="000E3D74" w:rsidP="002C7E26">
      <w:pPr>
        <w:pStyle w:val="ListParagraph"/>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E</w:t>
      </w:r>
      <w:r w:rsidR="00B4073C">
        <w:rPr>
          <w:rFonts w:ascii="Times New Roman" w:hAnsi="Times New Roman" w:cs="Times New Roman"/>
          <w:sz w:val="24"/>
          <w:szCs w:val="24"/>
        </w:rPr>
        <w:t>l Endeudamiento Público Interno constituye</w:t>
      </w:r>
      <w:r w:rsidR="00CA7DCF" w:rsidRPr="00FB59AC">
        <w:rPr>
          <w:rFonts w:ascii="Times New Roman" w:hAnsi="Times New Roman" w:cs="Times New Roman"/>
          <w:sz w:val="24"/>
          <w:szCs w:val="24"/>
        </w:rPr>
        <w:t xml:space="preserve"> otra fuente importante de financiación del gasto</w:t>
      </w:r>
      <w:r>
        <w:rPr>
          <w:rFonts w:ascii="Times New Roman" w:hAnsi="Times New Roman" w:cs="Times New Roman"/>
          <w:sz w:val="24"/>
          <w:szCs w:val="24"/>
        </w:rPr>
        <w:t xml:space="preserve"> en años determinados</w:t>
      </w:r>
      <w:r w:rsidR="00CA7DCF" w:rsidRPr="00FB59AC">
        <w:rPr>
          <w:rFonts w:ascii="Times New Roman" w:hAnsi="Times New Roman" w:cs="Times New Roman"/>
          <w:sz w:val="24"/>
          <w:szCs w:val="24"/>
        </w:rPr>
        <w:t xml:space="preserve">. </w:t>
      </w:r>
      <w:r w:rsidR="002F7FDF" w:rsidRPr="00FB59AC">
        <w:rPr>
          <w:rFonts w:ascii="Times New Roman" w:hAnsi="Times New Roman" w:cs="Times New Roman"/>
          <w:sz w:val="24"/>
          <w:szCs w:val="24"/>
        </w:rPr>
        <w:t xml:space="preserve"> </w:t>
      </w:r>
      <w:r w:rsidR="00B4073C">
        <w:rPr>
          <w:rFonts w:ascii="Times New Roman" w:hAnsi="Times New Roman" w:cs="Times New Roman"/>
          <w:sz w:val="24"/>
          <w:szCs w:val="24"/>
        </w:rPr>
        <w:t>En el 2009 representó</w:t>
      </w:r>
      <w:r w:rsidR="00CA7DCF" w:rsidRPr="00FB59AC">
        <w:rPr>
          <w:rFonts w:ascii="Times New Roman" w:hAnsi="Times New Roman" w:cs="Times New Roman"/>
          <w:sz w:val="24"/>
          <w:szCs w:val="24"/>
        </w:rPr>
        <w:t xml:space="preserve"> Q339 millones </w:t>
      </w:r>
      <w:r w:rsidR="00CD1D77" w:rsidRPr="00FB59AC">
        <w:rPr>
          <w:rFonts w:ascii="Times New Roman" w:hAnsi="Times New Roman" w:cs="Times New Roman"/>
          <w:sz w:val="24"/>
          <w:szCs w:val="24"/>
        </w:rPr>
        <w:t xml:space="preserve">(30% del ingreso total) </w:t>
      </w:r>
      <w:r w:rsidR="00CA7DCF" w:rsidRPr="00FB59AC">
        <w:rPr>
          <w:rFonts w:ascii="Times New Roman" w:hAnsi="Times New Roman" w:cs="Times New Roman"/>
          <w:sz w:val="24"/>
          <w:szCs w:val="24"/>
        </w:rPr>
        <w:t>y en 2010</w:t>
      </w:r>
      <w:r w:rsidR="005012B8" w:rsidRPr="00FB59AC">
        <w:rPr>
          <w:rFonts w:ascii="Times New Roman" w:hAnsi="Times New Roman" w:cs="Times New Roman"/>
          <w:sz w:val="24"/>
          <w:szCs w:val="24"/>
        </w:rPr>
        <w:t>,</w:t>
      </w:r>
      <w:r w:rsidR="00CA7DCF" w:rsidRPr="00FB59AC">
        <w:rPr>
          <w:rFonts w:ascii="Times New Roman" w:hAnsi="Times New Roman" w:cs="Times New Roman"/>
          <w:sz w:val="24"/>
          <w:szCs w:val="24"/>
        </w:rPr>
        <w:t xml:space="preserve"> Q100 millones</w:t>
      </w:r>
      <w:r w:rsidR="00CD1D77" w:rsidRPr="00FB59AC">
        <w:rPr>
          <w:rFonts w:ascii="Times New Roman" w:hAnsi="Times New Roman" w:cs="Times New Roman"/>
          <w:sz w:val="24"/>
          <w:szCs w:val="24"/>
        </w:rPr>
        <w:t xml:space="preserve"> (10% del ingreso total)</w:t>
      </w:r>
      <w:r w:rsidR="00CA7DCF" w:rsidRPr="00FB59AC">
        <w:rPr>
          <w:rFonts w:ascii="Times New Roman" w:hAnsi="Times New Roman" w:cs="Times New Roman"/>
          <w:sz w:val="24"/>
          <w:szCs w:val="24"/>
        </w:rPr>
        <w:t>.</w:t>
      </w:r>
      <w:r w:rsidR="005012B8" w:rsidRPr="00FB59AC">
        <w:rPr>
          <w:rFonts w:ascii="Times New Roman" w:hAnsi="Times New Roman" w:cs="Times New Roman"/>
          <w:sz w:val="24"/>
          <w:szCs w:val="24"/>
        </w:rPr>
        <w:t xml:space="preserve">  </w:t>
      </w:r>
    </w:p>
    <w:p w14:paraId="6E38EF2A" w14:textId="77777777" w:rsidR="00B4073C" w:rsidRPr="00FB59AC" w:rsidRDefault="00B4073C" w:rsidP="002C7E26">
      <w:pPr>
        <w:pStyle w:val="ListParagraph"/>
        <w:spacing w:after="0" w:line="240" w:lineRule="auto"/>
        <w:ind w:left="0"/>
        <w:contextualSpacing w:val="0"/>
        <w:jc w:val="both"/>
        <w:rPr>
          <w:rFonts w:ascii="Times New Roman" w:hAnsi="Times New Roman" w:cs="Times New Roman"/>
          <w:sz w:val="24"/>
          <w:szCs w:val="24"/>
        </w:rPr>
      </w:pPr>
    </w:p>
    <w:p w14:paraId="4458CD29" w14:textId="77777777" w:rsidR="00CE314A" w:rsidRDefault="00CE314A" w:rsidP="00CE314A">
      <w:pPr>
        <w:pStyle w:val="ListParagraph"/>
        <w:spacing w:after="0" w:line="240" w:lineRule="auto"/>
        <w:ind w:left="0"/>
        <w:contextualSpacing w:val="0"/>
        <w:jc w:val="both"/>
        <w:rPr>
          <w:rFonts w:ascii="Times New Roman" w:hAnsi="Times New Roman" w:cs="Times New Roman"/>
          <w:sz w:val="24"/>
          <w:szCs w:val="24"/>
        </w:rPr>
      </w:pPr>
      <w:r w:rsidRPr="00FB59AC">
        <w:rPr>
          <w:rFonts w:ascii="Times New Roman" w:hAnsi="Times New Roman" w:cs="Times New Roman"/>
          <w:sz w:val="24"/>
          <w:szCs w:val="24"/>
        </w:rPr>
        <w:t xml:space="preserve">Otra fuente de financiamiento del Presupuesto Municipal, lo constituye un rubro denominado “Disminución de Otros Activos Financieros”, esto es “Disminución de Caja y Bancos”.  Esta partida solo tiene registro a nivel del presupuesto definitivo y según el “Cierre Presupuestario del Ejercicio Fiscal 2011” presentado al Concejo Municipal, dicha partida correspondió a la disminución del saldo de caja y bancos por recursos propios en un valor de Q55 millones y la disminución del saldo por préstamos internos en Q67 millones, para un total de Q122 millones.  Este tipo de recursos debería ser incorporado en su totalidad en el presupuesto, en calidad de superávit fiscal o recursos del balance, pero la Municipalidad sólo registra en el presupuesto definitivo el monto de recursos necesario para cubrir faltantes de financiación.  Esta práctica convierte el rubro “Disminución de Otros Activos Financieros” en una simple variable de ajuste. </w:t>
      </w:r>
    </w:p>
    <w:p w14:paraId="0B8C5E02" w14:textId="77777777" w:rsidR="002B3AFC" w:rsidRDefault="002B3AFC" w:rsidP="002C7E26">
      <w:pPr>
        <w:pStyle w:val="ListParagraph"/>
        <w:spacing w:after="0" w:line="240" w:lineRule="auto"/>
        <w:ind w:left="0"/>
        <w:contextualSpacing w:val="0"/>
        <w:jc w:val="both"/>
        <w:rPr>
          <w:rFonts w:cstheme="minorHAnsi"/>
          <w:sz w:val="24"/>
          <w:szCs w:val="24"/>
        </w:rPr>
      </w:pPr>
    </w:p>
    <w:p w14:paraId="19CF55B8" w14:textId="54F33B05" w:rsidR="00E7738F" w:rsidRPr="00FB59AC" w:rsidRDefault="00FA6E6C" w:rsidP="00F37A5F">
      <w:pPr>
        <w:pStyle w:val="Heading4"/>
      </w:pPr>
      <w:bookmarkStart w:id="62" w:name="_Ref214297334"/>
      <w:bookmarkStart w:id="63" w:name="_Toc219009955"/>
      <w:bookmarkStart w:id="64" w:name="_Toc223473025"/>
      <w:r w:rsidRPr="00FB59AC">
        <w:t xml:space="preserve">1.2  </w:t>
      </w:r>
      <w:r w:rsidR="00E7738F" w:rsidRPr="00FB59AC">
        <w:t>Gasto Total</w:t>
      </w:r>
      <w:bookmarkEnd w:id="62"/>
      <w:bookmarkEnd w:id="63"/>
      <w:bookmarkEnd w:id="64"/>
    </w:p>
    <w:p w14:paraId="421836E8" w14:textId="77777777" w:rsidR="00E7738F" w:rsidRPr="00FB59AC" w:rsidRDefault="00E7738F" w:rsidP="002C7E26">
      <w:pPr>
        <w:pStyle w:val="ListParagraph"/>
        <w:spacing w:after="0" w:line="240" w:lineRule="auto"/>
        <w:ind w:left="0"/>
        <w:contextualSpacing w:val="0"/>
        <w:jc w:val="both"/>
        <w:rPr>
          <w:rFonts w:ascii="Times New Roman" w:hAnsi="Times New Roman" w:cs="Times New Roman"/>
          <w:sz w:val="24"/>
          <w:szCs w:val="24"/>
        </w:rPr>
      </w:pPr>
    </w:p>
    <w:p w14:paraId="0BF2572D" w14:textId="6AF420CF" w:rsidR="00833BB6" w:rsidRPr="00FB59AC" w:rsidRDefault="00E7738F" w:rsidP="002C7E26">
      <w:pPr>
        <w:pStyle w:val="ListParagraph"/>
        <w:spacing w:after="0" w:line="240" w:lineRule="auto"/>
        <w:ind w:left="0"/>
        <w:contextualSpacing w:val="0"/>
        <w:jc w:val="both"/>
        <w:rPr>
          <w:rFonts w:ascii="Times New Roman" w:hAnsi="Times New Roman" w:cs="Times New Roman"/>
          <w:sz w:val="24"/>
          <w:szCs w:val="24"/>
        </w:rPr>
      </w:pPr>
      <w:r w:rsidRPr="00FB59AC">
        <w:rPr>
          <w:rFonts w:ascii="Times New Roman" w:hAnsi="Times New Roman" w:cs="Times New Roman"/>
          <w:sz w:val="24"/>
          <w:szCs w:val="24"/>
        </w:rPr>
        <w:t>El gasto total de</w:t>
      </w:r>
      <w:r w:rsidR="00602E82" w:rsidRPr="00FB59AC">
        <w:rPr>
          <w:rFonts w:ascii="Times New Roman" w:hAnsi="Times New Roman" w:cs="Times New Roman"/>
          <w:sz w:val="24"/>
          <w:szCs w:val="24"/>
        </w:rPr>
        <w:t xml:space="preserve"> </w:t>
      </w:r>
      <w:r w:rsidRPr="00FB59AC">
        <w:rPr>
          <w:rFonts w:ascii="Times New Roman" w:hAnsi="Times New Roman" w:cs="Times New Roman"/>
          <w:sz w:val="24"/>
          <w:szCs w:val="24"/>
        </w:rPr>
        <w:t>l</w:t>
      </w:r>
      <w:r w:rsidR="00602E82" w:rsidRPr="00FB59AC">
        <w:rPr>
          <w:rFonts w:ascii="Times New Roman" w:hAnsi="Times New Roman" w:cs="Times New Roman"/>
          <w:sz w:val="24"/>
          <w:szCs w:val="24"/>
        </w:rPr>
        <w:t>a</w:t>
      </w:r>
      <w:r w:rsidRPr="00FB59AC">
        <w:rPr>
          <w:rFonts w:ascii="Times New Roman" w:hAnsi="Times New Roman" w:cs="Times New Roman"/>
          <w:sz w:val="24"/>
          <w:szCs w:val="24"/>
        </w:rPr>
        <w:t xml:space="preserve"> Municip</w:t>
      </w:r>
      <w:r w:rsidR="00602E82" w:rsidRPr="00FB59AC">
        <w:rPr>
          <w:rFonts w:ascii="Times New Roman" w:hAnsi="Times New Roman" w:cs="Times New Roman"/>
          <w:sz w:val="24"/>
          <w:szCs w:val="24"/>
        </w:rPr>
        <w:t xml:space="preserve">alidad </w:t>
      </w:r>
      <w:r w:rsidRPr="00FB59AC">
        <w:rPr>
          <w:rFonts w:ascii="Times New Roman" w:hAnsi="Times New Roman" w:cs="Times New Roman"/>
          <w:sz w:val="24"/>
          <w:szCs w:val="24"/>
        </w:rPr>
        <w:t xml:space="preserve">de Guatemala </w:t>
      </w:r>
      <w:r w:rsidR="00E96088" w:rsidRPr="00FB59AC">
        <w:rPr>
          <w:rFonts w:ascii="Times New Roman" w:hAnsi="Times New Roman" w:cs="Times New Roman"/>
          <w:sz w:val="24"/>
          <w:szCs w:val="24"/>
        </w:rPr>
        <w:t xml:space="preserve">registró </w:t>
      </w:r>
      <w:r w:rsidRPr="00FB59AC">
        <w:rPr>
          <w:rFonts w:ascii="Times New Roman" w:hAnsi="Times New Roman" w:cs="Times New Roman"/>
          <w:sz w:val="24"/>
          <w:szCs w:val="24"/>
        </w:rPr>
        <w:t>un valor de Q1.058 millones</w:t>
      </w:r>
      <w:r w:rsidR="00DF2DEB" w:rsidRPr="00FB59AC">
        <w:rPr>
          <w:rFonts w:ascii="Times New Roman" w:hAnsi="Times New Roman" w:cs="Times New Roman"/>
          <w:sz w:val="24"/>
          <w:szCs w:val="24"/>
        </w:rPr>
        <w:t xml:space="preserve"> en 2011</w:t>
      </w:r>
      <w:r w:rsidR="00516C9D" w:rsidRPr="00FB59AC">
        <w:rPr>
          <w:rFonts w:ascii="Times New Roman" w:hAnsi="Times New Roman" w:cs="Times New Roman"/>
          <w:sz w:val="24"/>
          <w:szCs w:val="24"/>
        </w:rPr>
        <w:t xml:space="preserve">, </w:t>
      </w:r>
      <w:r w:rsidR="00E96088" w:rsidRPr="00FB59AC">
        <w:rPr>
          <w:rFonts w:ascii="Times New Roman" w:hAnsi="Times New Roman" w:cs="Times New Roman"/>
          <w:sz w:val="24"/>
          <w:szCs w:val="24"/>
        </w:rPr>
        <w:t xml:space="preserve">lo que </w:t>
      </w:r>
      <w:r w:rsidR="00DF2DEB" w:rsidRPr="00FB59AC">
        <w:rPr>
          <w:rFonts w:ascii="Times New Roman" w:hAnsi="Times New Roman" w:cs="Times New Roman"/>
          <w:sz w:val="24"/>
          <w:szCs w:val="24"/>
        </w:rPr>
        <w:t xml:space="preserve">significa </w:t>
      </w:r>
      <w:r w:rsidR="00516C9D" w:rsidRPr="00FB59AC">
        <w:rPr>
          <w:rFonts w:ascii="Times New Roman" w:hAnsi="Times New Roman" w:cs="Times New Roman"/>
          <w:sz w:val="24"/>
          <w:szCs w:val="24"/>
        </w:rPr>
        <w:t>un crecimiento del 47%</w:t>
      </w:r>
      <w:r w:rsidR="00DF2DEB" w:rsidRPr="00FB59AC">
        <w:rPr>
          <w:rFonts w:ascii="Times New Roman" w:hAnsi="Times New Roman" w:cs="Times New Roman"/>
          <w:sz w:val="24"/>
          <w:szCs w:val="24"/>
        </w:rPr>
        <w:t xml:space="preserve"> (31% real) </w:t>
      </w:r>
      <w:r w:rsidR="00516C9D" w:rsidRPr="00FB59AC">
        <w:rPr>
          <w:rFonts w:ascii="Times New Roman" w:hAnsi="Times New Roman" w:cs="Times New Roman"/>
          <w:sz w:val="24"/>
          <w:szCs w:val="24"/>
        </w:rPr>
        <w:t>frente a 2008</w:t>
      </w:r>
      <w:r w:rsidR="00104FA6" w:rsidRPr="00FB59AC">
        <w:rPr>
          <w:rFonts w:ascii="Times New Roman" w:hAnsi="Times New Roman" w:cs="Times New Roman"/>
          <w:sz w:val="24"/>
          <w:szCs w:val="24"/>
        </w:rPr>
        <w:t>.  E</w:t>
      </w:r>
      <w:r w:rsidR="00DF2DEB" w:rsidRPr="00FB59AC">
        <w:rPr>
          <w:rFonts w:ascii="Times New Roman" w:hAnsi="Times New Roman" w:cs="Times New Roman"/>
          <w:sz w:val="24"/>
          <w:szCs w:val="24"/>
        </w:rPr>
        <w:t>n promedio, el 42% del gasto corresponde a funcionamiento, el 41% a inversión y un 17% al servicio de la deuda</w:t>
      </w:r>
      <w:r w:rsidR="00E96088" w:rsidRPr="00FB59AC">
        <w:rPr>
          <w:rFonts w:ascii="Times New Roman" w:hAnsi="Times New Roman" w:cs="Times New Roman"/>
          <w:sz w:val="24"/>
          <w:szCs w:val="24"/>
        </w:rPr>
        <w:t>, tal como se indica en el cuadro siguiente:</w:t>
      </w:r>
    </w:p>
    <w:p w14:paraId="5CCEC365" w14:textId="77777777" w:rsidR="009267B3" w:rsidRPr="00FB59AC" w:rsidRDefault="009267B3" w:rsidP="009267B3">
      <w:pPr>
        <w:spacing w:after="0" w:line="240" w:lineRule="auto"/>
        <w:rPr>
          <w:rFonts w:ascii="Times New Roman" w:hAnsi="Times New Roman" w:cs="Times New Roman"/>
          <w:b/>
          <w:sz w:val="20"/>
          <w:szCs w:val="20"/>
        </w:rPr>
      </w:pPr>
    </w:p>
    <w:p w14:paraId="7A6E9095" w14:textId="0381493E" w:rsidR="00833BB6" w:rsidRPr="00FB59AC" w:rsidRDefault="008B144F" w:rsidP="009267B3">
      <w:pPr>
        <w:spacing w:after="0" w:line="240" w:lineRule="auto"/>
        <w:rPr>
          <w:rFonts w:ascii="Times New Roman" w:hAnsi="Times New Roman" w:cs="Times New Roman"/>
          <w:b/>
          <w:sz w:val="24"/>
          <w:szCs w:val="24"/>
        </w:rPr>
      </w:pPr>
      <w:r>
        <w:rPr>
          <w:rFonts w:ascii="Times New Roman" w:hAnsi="Times New Roman" w:cs="Times New Roman"/>
          <w:b/>
          <w:sz w:val="24"/>
          <w:szCs w:val="24"/>
        </w:rPr>
        <w:t>Cuadro 4</w:t>
      </w:r>
      <w:r w:rsidR="009267B3" w:rsidRPr="00FB59AC">
        <w:rPr>
          <w:rFonts w:ascii="Times New Roman" w:hAnsi="Times New Roman" w:cs="Times New Roman"/>
          <w:b/>
          <w:sz w:val="24"/>
          <w:szCs w:val="24"/>
        </w:rPr>
        <w:t>. Gasto Total 2008-2011.</w:t>
      </w:r>
    </w:p>
    <w:p w14:paraId="59B34CB9" w14:textId="77777777" w:rsidR="00F73F76" w:rsidRDefault="00516C9D" w:rsidP="003876EA">
      <w:pPr>
        <w:jc w:val="both"/>
        <w:rPr>
          <w:rFonts w:cstheme="minorHAnsi"/>
          <w:sz w:val="24"/>
          <w:szCs w:val="24"/>
        </w:rPr>
      </w:pPr>
      <w:r w:rsidRPr="00896445">
        <w:rPr>
          <w:noProof/>
          <w:sz w:val="20"/>
          <w:szCs w:val="20"/>
          <w:lang w:val="en-US" w:eastAsia="en-US"/>
        </w:rPr>
        <w:drawing>
          <wp:inline distT="0" distB="0" distL="0" distR="0" wp14:anchorId="4B33D97A" wp14:editId="272F393B">
            <wp:extent cx="5313680" cy="1630680"/>
            <wp:effectExtent l="190500" t="190500" r="401320" b="388620"/>
            <wp:docPr id="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5322434" cy="1633366"/>
                    </a:xfrm>
                    <a:prstGeom prst="rect">
                      <a:avLst/>
                    </a:prstGeom>
                    <a:ln>
                      <a:solidFill>
                        <a:schemeClr val="accent1">
                          <a:lumMod val="50000"/>
                        </a:schemeClr>
                      </a:solidFill>
                    </a:ln>
                    <a:effectLst>
                      <a:outerShdw blurRad="292100" dist="139700" dir="2700000" algn="tl" rotWithShape="0">
                        <a:srgbClr val="333333">
                          <a:alpha val="65000"/>
                        </a:srgbClr>
                      </a:outerShdw>
                    </a:effectLst>
                  </pic:spPr>
                </pic:pic>
              </a:graphicData>
            </a:graphic>
          </wp:inline>
        </w:drawing>
      </w:r>
    </w:p>
    <w:p w14:paraId="73F42C76" w14:textId="2E95E7DC" w:rsidR="001F3289" w:rsidRDefault="00E344BF" w:rsidP="005E676E">
      <w:pPr>
        <w:jc w:val="both"/>
        <w:rPr>
          <w:rFonts w:ascii="Times New Roman" w:hAnsi="Times New Roman" w:cs="Times New Roman"/>
          <w:sz w:val="24"/>
          <w:szCs w:val="24"/>
        </w:rPr>
      </w:pPr>
      <w:r>
        <w:rPr>
          <w:rFonts w:ascii="Times New Roman" w:hAnsi="Times New Roman" w:cs="Times New Roman"/>
          <w:sz w:val="24"/>
          <w:szCs w:val="24"/>
        </w:rPr>
        <w:t>La estructura del gasto evidencia</w:t>
      </w:r>
      <w:r w:rsidR="002C32CD">
        <w:rPr>
          <w:rFonts w:ascii="Times New Roman" w:hAnsi="Times New Roman" w:cs="Times New Roman"/>
          <w:sz w:val="24"/>
          <w:szCs w:val="24"/>
        </w:rPr>
        <w:t xml:space="preserve"> la alta proporción del gasto de funcionamiento</w:t>
      </w:r>
      <w:r w:rsidR="008D225A">
        <w:rPr>
          <w:rFonts w:ascii="Times New Roman" w:hAnsi="Times New Roman" w:cs="Times New Roman"/>
          <w:sz w:val="24"/>
          <w:szCs w:val="24"/>
        </w:rPr>
        <w:t xml:space="preserve"> respecto al gasto de inversión en el período analizado, llegando según el presupuesto de 2012 a una situación en la que</w:t>
      </w:r>
      <w:r w:rsidR="002C32CD">
        <w:rPr>
          <w:rFonts w:ascii="Times New Roman" w:hAnsi="Times New Roman" w:cs="Times New Roman"/>
          <w:sz w:val="24"/>
          <w:szCs w:val="24"/>
        </w:rPr>
        <w:t xml:space="preserve"> el gasto en funci</w:t>
      </w:r>
      <w:r w:rsidR="00E55104">
        <w:rPr>
          <w:rFonts w:ascii="Times New Roman" w:hAnsi="Times New Roman" w:cs="Times New Roman"/>
          <w:sz w:val="24"/>
          <w:szCs w:val="24"/>
        </w:rPr>
        <w:t>onamiento incluso es mayor a</w:t>
      </w:r>
      <w:r w:rsidR="002C32CD">
        <w:rPr>
          <w:rFonts w:ascii="Times New Roman" w:hAnsi="Times New Roman" w:cs="Times New Roman"/>
          <w:sz w:val="24"/>
          <w:szCs w:val="24"/>
        </w:rPr>
        <w:t xml:space="preserve">l gasto en inversión. </w:t>
      </w:r>
      <w:r w:rsidR="00E55104">
        <w:rPr>
          <w:rFonts w:ascii="Times New Roman" w:hAnsi="Times New Roman" w:cs="Times New Roman"/>
          <w:sz w:val="24"/>
          <w:szCs w:val="24"/>
        </w:rPr>
        <w:t xml:space="preserve"> </w:t>
      </w:r>
      <w:r w:rsidR="000B6E9D" w:rsidRPr="00FB59AC">
        <w:rPr>
          <w:rFonts w:ascii="Times New Roman" w:hAnsi="Times New Roman" w:cs="Times New Roman"/>
          <w:sz w:val="24"/>
          <w:szCs w:val="24"/>
        </w:rPr>
        <w:t>Confor</w:t>
      </w:r>
      <w:r w:rsidR="00E55104">
        <w:rPr>
          <w:rFonts w:ascii="Times New Roman" w:hAnsi="Times New Roman" w:cs="Times New Roman"/>
          <w:sz w:val="24"/>
          <w:szCs w:val="24"/>
        </w:rPr>
        <w:t>me se observa</w:t>
      </w:r>
      <w:r w:rsidR="000B6E9D" w:rsidRPr="00FB59AC">
        <w:rPr>
          <w:rFonts w:ascii="Times New Roman" w:hAnsi="Times New Roman" w:cs="Times New Roman"/>
          <w:sz w:val="24"/>
          <w:szCs w:val="24"/>
        </w:rPr>
        <w:t>, e</w:t>
      </w:r>
      <w:r w:rsidR="00E55104">
        <w:rPr>
          <w:rFonts w:ascii="Times New Roman" w:hAnsi="Times New Roman" w:cs="Times New Roman"/>
          <w:sz w:val="24"/>
          <w:szCs w:val="24"/>
        </w:rPr>
        <w:t>l gasto</w:t>
      </w:r>
      <w:r w:rsidR="008E78C0" w:rsidRPr="00FB59AC">
        <w:rPr>
          <w:rFonts w:ascii="Times New Roman" w:hAnsi="Times New Roman" w:cs="Times New Roman"/>
          <w:sz w:val="24"/>
          <w:szCs w:val="24"/>
        </w:rPr>
        <w:t xml:space="preserve"> tienen un componente altamente operativo</w:t>
      </w:r>
      <w:r w:rsidR="00B45CA5" w:rsidRPr="00FB59AC">
        <w:rPr>
          <w:rFonts w:ascii="Times New Roman" w:hAnsi="Times New Roman" w:cs="Times New Roman"/>
          <w:sz w:val="24"/>
          <w:szCs w:val="24"/>
        </w:rPr>
        <w:t>:</w:t>
      </w:r>
      <w:r w:rsidR="008E78C0" w:rsidRPr="00FB59AC">
        <w:rPr>
          <w:rFonts w:ascii="Times New Roman" w:hAnsi="Times New Roman" w:cs="Times New Roman"/>
          <w:sz w:val="24"/>
          <w:szCs w:val="24"/>
        </w:rPr>
        <w:t xml:space="preserve"> gastos de pe</w:t>
      </w:r>
      <w:r w:rsidR="00E55104">
        <w:rPr>
          <w:rFonts w:ascii="Times New Roman" w:hAnsi="Times New Roman" w:cs="Times New Roman"/>
          <w:sz w:val="24"/>
          <w:szCs w:val="24"/>
        </w:rPr>
        <w:t>rsonal permanente y contratado</w:t>
      </w:r>
      <w:r w:rsidR="00A41593">
        <w:rPr>
          <w:rFonts w:ascii="Times New Roman" w:hAnsi="Times New Roman" w:cs="Times New Roman"/>
          <w:sz w:val="24"/>
          <w:szCs w:val="24"/>
        </w:rPr>
        <w:t>;</w:t>
      </w:r>
      <w:r w:rsidR="008E78C0" w:rsidRPr="00FB59AC">
        <w:rPr>
          <w:rFonts w:ascii="Times New Roman" w:hAnsi="Times New Roman" w:cs="Times New Roman"/>
          <w:sz w:val="24"/>
          <w:szCs w:val="24"/>
        </w:rPr>
        <w:t xml:space="preserve"> servicios de energía eléctrica</w:t>
      </w:r>
      <w:r w:rsidR="00185D99" w:rsidRPr="00FB59AC">
        <w:rPr>
          <w:rFonts w:ascii="Times New Roman" w:hAnsi="Times New Roman" w:cs="Times New Roman"/>
          <w:sz w:val="24"/>
          <w:szCs w:val="24"/>
        </w:rPr>
        <w:t>,</w:t>
      </w:r>
      <w:r w:rsidR="008E78C0" w:rsidRPr="00FB59AC">
        <w:rPr>
          <w:rStyle w:val="FootnoteReference"/>
          <w:rFonts w:ascii="Times New Roman" w:hAnsi="Times New Roman" w:cs="Times New Roman"/>
          <w:sz w:val="24"/>
          <w:szCs w:val="24"/>
        </w:rPr>
        <w:footnoteReference w:id="55"/>
      </w:r>
      <w:r w:rsidR="006C10C4" w:rsidRPr="00FB59AC">
        <w:rPr>
          <w:rFonts w:ascii="Times New Roman" w:hAnsi="Times New Roman" w:cs="Times New Roman"/>
          <w:sz w:val="24"/>
          <w:szCs w:val="24"/>
        </w:rPr>
        <w:t xml:space="preserve"> telefonía, arrendamientos,</w:t>
      </w:r>
      <w:r w:rsidR="008E78C0" w:rsidRPr="00FB59AC">
        <w:rPr>
          <w:rFonts w:ascii="Times New Roman" w:hAnsi="Times New Roman" w:cs="Times New Roman"/>
          <w:sz w:val="24"/>
          <w:szCs w:val="24"/>
        </w:rPr>
        <w:t xml:space="preserve"> gastos en mantenimiento y reparación de bie</w:t>
      </w:r>
      <w:r w:rsidR="006C10C4" w:rsidRPr="00FB59AC">
        <w:rPr>
          <w:rFonts w:ascii="Times New Roman" w:hAnsi="Times New Roman" w:cs="Times New Roman"/>
          <w:sz w:val="24"/>
          <w:szCs w:val="24"/>
        </w:rPr>
        <w:t>nes, estudios y/o servicios,</w:t>
      </w:r>
      <w:r w:rsidR="00E55104">
        <w:rPr>
          <w:rFonts w:ascii="Times New Roman" w:hAnsi="Times New Roman" w:cs="Times New Roman"/>
          <w:sz w:val="24"/>
          <w:szCs w:val="24"/>
        </w:rPr>
        <w:t xml:space="preserve"> </w:t>
      </w:r>
      <w:r w:rsidR="00E55104">
        <w:rPr>
          <w:rFonts w:ascii="Times New Roman" w:hAnsi="Times New Roman" w:cs="Times New Roman"/>
          <w:sz w:val="24"/>
          <w:szCs w:val="24"/>
        </w:rPr>
        <w:lastRenderedPageBreak/>
        <w:t>etc.</w:t>
      </w:r>
      <w:r w:rsidR="00104FA6" w:rsidRPr="00FB59AC">
        <w:rPr>
          <w:rFonts w:ascii="Times New Roman" w:hAnsi="Times New Roman" w:cs="Times New Roman"/>
          <w:sz w:val="24"/>
          <w:szCs w:val="24"/>
        </w:rPr>
        <w:t>;</w:t>
      </w:r>
      <w:r w:rsidR="005501A7" w:rsidRPr="00FB59AC">
        <w:rPr>
          <w:rFonts w:ascii="Times New Roman" w:hAnsi="Times New Roman" w:cs="Times New Roman"/>
          <w:sz w:val="24"/>
          <w:szCs w:val="24"/>
        </w:rPr>
        <w:t xml:space="preserve"> </w:t>
      </w:r>
      <w:r w:rsidR="00A41593">
        <w:rPr>
          <w:rFonts w:ascii="Times New Roman" w:hAnsi="Times New Roman" w:cs="Times New Roman"/>
          <w:sz w:val="24"/>
          <w:szCs w:val="24"/>
        </w:rPr>
        <w:t>y</w:t>
      </w:r>
      <w:r w:rsidR="006C10C4" w:rsidRPr="00FB59AC">
        <w:rPr>
          <w:rFonts w:ascii="Times New Roman" w:hAnsi="Times New Roman" w:cs="Times New Roman"/>
          <w:sz w:val="24"/>
          <w:szCs w:val="24"/>
        </w:rPr>
        <w:t xml:space="preserve"> transferencias</w:t>
      </w:r>
      <w:r w:rsidR="00E55104">
        <w:rPr>
          <w:rFonts w:ascii="Times New Roman" w:hAnsi="Times New Roman" w:cs="Times New Roman"/>
          <w:sz w:val="24"/>
          <w:szCs w:val="24"/>
        </w:rPr>
        <w:t xml:space="preserve"> corrientes</w:t>
      </w:r>
      <w:r w:rsidR="008E78C0" w:rsidRPr="00FB59AC">
        <w:rPr>
          <w:rFonts w:ascii="Times New Roman" w:hAnsi="Times New Roman" w:cs="Times New Roman"/>
          <w:sz w:val="24"/>
          <w:szCs w:val="24"/>
        </w:rPr>
        <w:t>.</w:t>
      </w:r>
      <w:r w:rsidR="003A4107" w:rsidRPr="00FB59AC">
        <w:rPr>
          <w:rFonts w:ascii="Times New Roman" w:hAnsi="Times New Roman" w:cs="Times New Roman"/>
          <w:sz w:val="24"/>
          <w:szCs w:val="24"/>
        </w:rPr>
        <w:t xml:space="preserve"> </w:t>
      </w:r>
      <w:r w:rsidR="00185D99" w:rsidRPr="00FB59AC">
        <w:rPr>
          <w:rFonts w:ascii="Times New Roman" w:hAnsi="Times New Roman" w:cs="Times New Roman"/>
          <w:sz w:val="24"/>
          <w:szCs w:val="24"/>
        </w:rPr>
        <w:t xml:space="preserve"> </w:t>
      </w:r>
      <w:r w:rsidR="003A4107" w:rsidRPr="00FB59AC">
        <w:rPr>
          <w:rFonts w:ascii="Times New Roman" w:hAnsi="Times New Roman" w:cs="Times New Roman"/>
          <w:sz w:val="24"/>
          <w:szCs w:val="24"/>
        </w:rPr>
        <w:t>La</w:t>
      </w:r>
      <w:r w:rsidR="00E55104">
        <w:rPr>
          <w:rFonts w:ascii="Times New Roman" w:hAnsi="Times New Roman" w:cs="Times New Roman"/>
          <w:sz w:val="24"/>
          <w:szCs w:val="24"/>
        </w:rPr>
        <w:t xml:space="preserve"> actividad de la Municipalidad </w:t>
      </w:r>
      <w:r w:rsidR="00A41593">
        <w:rPr>
          <w:rFonts w:ascii="Times New Roman" w:hAnsi="Times New Roman" w:cs="Times New Roman"/>
          <w:sz w:val="24"/>
          <w:szCs w:val="24"/>
        </w:rPr>
        <w:t>como formadora de capital no es destacada.</w:t>
      </w:r>
    </w:p>
    <w:p w14:paraId="47EC9D4A" w14:textId="77777777" w:rsidR="005E676E" w:rsidRPr="005E676E" w:rsidRDefault="005E676E" w:rsidP="005E676E">
      <w:pPr>
        <w:jc w:val="both"/>
        <w:rPr>
          <w:rFonts w:ascii="Times New Roman" w:hAnsi="Times New Roman" w:cs="Times New Roman"/>
          <w:sz w:val="24"/>
          <w:szCs w:val="24"/>
        </w:rPr>
      </w:pPr>
    </w:p>
    <w:p w14:paraId="7948D46A" w14:textId="7BDD27AE" w:rsidR="003B58D7" w:rsidRPr="00E344BF" w:rsidRDefault="003B58D7" w:rsidP="00F37A5F">
      <w:pPr>
        <w:pStyle w:val="Heading5"/>
      </w:pPr>
      <w:bookmarkStart w:id="65" w:name="_Toc219009956"/>
      <w:bookmarkStart w:id="66" w:name="_Ref219011257"/>
      <w:bookmarkStart w:id="67" w:name="_Toc223473026"/>
      <w:r w:rsidRPr="00E344BF">
        <w:t>Pensio</w:t>
      </w:r>
      <w:bookmarkEnd w:id="65"/>
      <w:bookmarkEnd w:id="66"/>
      <w:r w:rsidR="004973F4" w:rsidRPr="00E344BF">
        <w:t>nes</w:t>
      </w:r>
      <w:bookmarkEnd w:id="67"/>
    </w:p>
    <w:p w14:paraId="7A09E283" w14:textId="77777777" w:rsidR="003B58D7" w:rsidRPr="00FB59AC" w:rsidRDefault="003B58D7" w:rsidP="002C7E26">
      <w:pPr>
        <w:spacing w:after="0" w:line="240" w:lineRule="auto"/>
        <w:jc w:val="both"/>
        <w:rPr>
          <w:rFonts w:ascii="Times New Roman" w:hAnsi="Times New Roman" w:cs="Times New Roman"/>
          <w:sz w:val="24"/>
          <w:szCs w:val="24"/>
        </w:rPr>
      </w:pPr>
    </w:p>
    <w:p w14:paraId="1D54D90E" w14:textId="7A8B87EA" w:rsidR="004973F4" w:rsidRPr="00045660" w:rsidRDefault="003B58D7" w:rsidP="002C7E26">
      <w:pPr>
        <w:spacing w:after="0" w:line="240" w:lineRule="auto"/>
        <w:jc w:val="both"/>
        <w:rPr>
          <w:rFonts w:ascii="Times New Roman" w:hAnsi="Times New Roman" w:cs="Times New Roman"/>
          <w:sz w:val="24"/>
          <w:szCs w:val="24"/>
        </w:rPr>
      </w:pPr>
      <w:r w:rsidRPr="00FB59AC">
        <w:rPr>
          <w:rFonts w:ascii="Times New Roman" w:hAnsi="Times New Roman" w:cs="Times New Roman"/>
          <w:sz w:val="24"/>
          <w:szCs w:val="24"/>
        </w:rPr>
        <w:t>En la composición de la estructura de gasto, es forzoso destacar el peso de gasto corriente por pensionados.  A nivel presupuestal, la Municipalidad incluye el gasto en pensionados y jubilados dentro de las Transferencias Corrientes en tres renglones: 421-Pensiones; 422-Jubilaciones y Retiros; y 429-Otras Prestaciones y Pensiones.  Tomando como fuente los Acuerdos de Cierre Presupuestal del Concejo, para 2011 el gasto por este concepto ascendió a Q25,6 millones, lo que representa el 3,4% de los Gastos Corrientes de la municipalidad</w:t>
      </w:r>
      <w:r w:rsidR="005E676E">
        <w:rPr>
          <w:rFonts w:ascii="Times New Roman" w:hAnsi="Times New Roman" w:cs="Times New Roman"/>
          <w:sz w:val="24"/>
          <w:szCs w:val="24"/>
        </w:rPr>
        <w:t>, tal como se indica en el cuadro</w:t>
      </w:r>
      <w:r w:rsidRPr="00FB59AC">
        <w:rPr>
          <w:rFonts w:ascii="Times New Roman" w:hAnsi="Times New Roman" w:cs="Times New Roman"/>
          <w:sz w:val="24"/>
          <w:szCs w:val="24"/>
        </w:rPr>
        <w:t xml:space="preserve"> siguiente:</w:t>
      </w:r>
    </w:p>
    <w:p w14:paraId="5B17BF88" w14:textId="77777777" w:rsidR="004973F4" w:rsidRDefault="004973F4" w:rsidP="002C7E26">
      <w:pPr>
        <w:spacing w:after="0" w:line="240" w:lineRule="auto"/>
        <w:jc w:val="both"/>
        <w:rPr>
          <w:rFonts w:ascii="Times New Roman" w:hAnsi="Times New Roman" w:cs="Times New Roman"/>
          <w:b/>
          <w:sz w:val="24"/>
          <w:szCs w:val="24"/>
        </w:rPr>
      </w:pPr>
    </w:p>
    <w:p w14:paraId="0754C5D8" w14:textId="4F07FEE6" w:rsidR="003B58D7" w:rsidRPr="00FB59AC" w:rsidRDefault="005E676E" w:rsidP="002C7E2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Cuadro 5</w:t>
      </w:r>
      <w:r w:rsidR="00165458" w:rsidRPr="00FB59AC">
        <w:rPr>
          <w:rFonts w:ascii="Times New Roman" w:hAnsi="Times New Roman" w:cs="Times New Roman"/>
          <w:b/>
          <w:sz w:val="24"/>
          <w:szCs w:val="24"/>
        </w:rPr>
        <w:t>. Gasto Pensional 2009-2012.</w:t>
      </w:r>
    </w:p>
    <w:tbl>
      <w:tblPr>
        <w:tblStyle w:val="ColorfulList"/>
        <w:tblW w:w="0" w:type="auto"/>
        <w:tblLook w:val="04A0" w:firstRow="1" w:lastRow="0" w:firstColumn="1" w:lastColumn="0" w:noHBand="0" w:noVBand="1"/>
      </w:tblPr>
      <w:tblGrid>
        <w:gridCol w:w="1936"/>
        <w:gridCol w:w="1671"/>
        <w:gridCol w:w="1670"/>
        <w:gridCol w:w="1681"/>
        <w:gridCol w:w="1959"/>
      </w:tblGrid>
      <w:tr w:rsidR="0092199E" w:rsidRPr="003B58D7" w14:paraId="3A069549" w14:textId="77777777" w:rsidTr="0092199E">
        <w:trPr>
          <w:cnfStyle w:val="100000000000" w:firstRow="1" w:lastRow="0" w:firstColumn="0" w:lastColumn="0" w:oddVBand="0" w:evenVBand="0" w:oddHBand="0"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1936" w:type="dxa"/>
            <w:shd w:val="clear" w:color="auto" w:fill="548DD4" w:themeFill="text2" w:themeFillTint="99"/>
          </w:tcPr>
          <w:p w14:paraId="5A36AB8F" w14:textId="77777777" w:rsidR="003B58D7" w:rsidRPr="003B58D7" w:rsidRDefault="003B58D7" w:rsidP="002C7E26">
            <w:pPr>
              <w:jc w:val="center"/>
              <w:rPr>
                <w:sz w:val="20"/>
                <w:szCs w:val="20"/>
              </w:rPr>
            </w:pPr>
          </w:p>
        </w:tc>
        <w:tc>
          <w:tcPr>
            <w:tcW w:w="1671" w:type="dxa"/>
            <w:shd w:val="clear" w:color="auto" w:fill="548DD4" w:themeFill="text2" w:themeFillTint="99"/>
          </w:tcPr>
          <w:p w14:paraId="7E6080B6" w14:textId="77777777" w:rsidR="003B58D7" w:rsidRPr="003B58D7" w:rsidRDefault="003B58D7" w:rsidP="002C7E26">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3B58D7">
              <w:rPr>
                <w:color w:val="auto"/>
                <w:sz w:val="20"/>
                <w:szCs w:val="20"/>
              </w:rPr>
              <w:t>2009</w:t>
            </w:r>
          </w:p>
        </w:tc>
        <w:tc>
          <w:tcPr>
            <w:tcW w:w="1670" w:type="dxa"/>
            <w:shd w:val="clear" w:color="auto" w:fill="548DD4" w:themeFill="text2" w:themeFillTint="99"/>
          </w:tcPr>
          <w:p w14:paraId="5736B84F" w14:textId="77777777" w:rsidR="003B58D7" w:rsidRPr="003B58D7" w:rsidRDefault="003B58D7" w:rsidP="002C7E26">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3B58D7">
              <w:rPr>
                <w:color w:val="auto"/>
                <w:sz w:val="20"/>
                <w:szCs w:val="20"/>
              </w:rPr>
              <w:t>2010</w:t>
            </w:r>
          </w:p>
        </w:tc>
        <w:tc>
          <w:tcPr>
            <w:tcW w:w="1681" w:type="dxa"/>
            <w:shd w:val="clear" w:color="auto" w:fill="548DD4" w:themeFill="text2" w:themeFillTint="99"/>
          </w:tcPr>
          <w:p w14:paraId="694981A5" w14:textId="77777777" w:rsidR="003B58D7" w:rsidRPr="003B58D7" w:rsidRDefault="003B58D7" w:rsidP="002C7E26">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3B58D7">
              <w:rPr>
                <w:color w:val="auto"/>
                <w:sz w:val="20"/>
                <w:szCs w:val="20"/>
              </w:rPr>
              <w:t>2011</w:t>
            </w:r>
          </w:p>
        </w:tc>
        <w:tc>
          <w:tcPr>
            <w:tcW w:w="1959" w:type="dxa"/>
            <w:shd w:val="clear" w:color="auto" w:fill="548DD4" w:themeFill="text2" w:themeFillTint="99"/>
          </w:tcPr>
          <w:p w14:paraId="43FF73B4" w14:textId="77777777" w:rsidR="003B58D7" w:rsidRPr="003B58D7" w:rsidRDefault="003B58D7" w:rsidP="002C7E26">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3B58D7">
              <w:rPr>
                <w:color w:val="auto"/>
                <w:sz w:val="20"/>
                <w:szCs w:val="20"/>
              </w:rPr>
              <w:t>2012 Presupuesto</w:t>
            </w:r>
          </w:p>
        </w:tc>
      </w:tr>
      <w:tr w:rsidR="0092199E" w:rsidRPr="003B58D7" w14:paraId="1D157DD1" w14:textId="77777777" w:rsidTr="0092199E">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1936" w:type="dxa"/>
          </w:tcPr>
          <w:p w14:paraId="2999E3A5" w14:textId="77777777" w:rsidR="003B58D7" w:rsidRPr="003B58D7" w:rsidRDefault="003B58D7" w:rsidP="002C7E26">
            <w:pPr>
              <w:ind w:left="-42" w:firstLine="42"/>
              <w:jc w:val="center"/>
              <w:rPr>
                <w:sz w:val="20"/>
                <w:szCs w:val="20"/>
              </w:rPr>
            </w:pPr>
            <w:r w:rsidRPr="003B58D7">
              <w:rPr>
                <w:rFonts w:eastAsia="Times New Roman" w:cs="Times New Roman"/>
                <w:color w:val="000000"/>
                <w:sz w:val="20"/>
                <w:szCs w:val="20"/>
              </w:rPr>
              <w:t>Pensiones</w:t>
            </w:r>
          </w:p>
        </w:tc>
        <w:tc>
          <w:tcPr>
            <w:tcW w:w="1671" w:type="dxa"/>
          </w:tcPr>
          <w:p w14:paraId="0FBEE76B" w14:textId="77777777" w:rsidR="003B58D7" w:rsidRPr="003B58D7" w:rsidRDefault="003B58D7" w:rsidP="002C7E26">
            <w:pPr>
              <w:ind w:left="-42" w:firstLine="42"/>
              <w:jc w:val="center"/>
              <w:cnfStyle w:val="000000100000" w:firstRow="0" w:lastRow="0" w:firstColumn="0" w:lastColumn="0" w:oddVBand="0" w:evenVBand="0" w:oddHBand="1" w:evenHBand="0" w:firstRowFirstColumn="0" w:firstRowLastColumn="0" w:lastRowFirstColumn="0" w:lastRowLastColumn="0"/>
              <w:rPr>
                <w:sz w:val="20"/>
                <w:szCs w:val="20"/>
              </w:rPr>
            </w:pPr>
            <w:r w:rsidRPr="003B58D7">
              <w:rPr>
                <w:rFonts w:eastAsia="Times New Roman" w:cs="Times New Roman"/>
                <w:color w:val="000000"/>
                <w:sz w:val="20"/>
                <w:szCs w:val="20"/>
              </w:rPr>
              <w:t>3.128.236 Q</w:t>
            </w:r>
          </w:p>
        </w:tc>
        <w:tc>
          <w:tcPr>
            <w:tcW w:w="1670" w:type="dxa"/>
          </w:tcPr>
          <w:p w14:paraId="29C0A95F" w14:textId="77777777" w:rsidR="003B58D7" w:rsidRPr="003B58D7" w:rsidRDefault="003B58D7" w:rsidP="002C7E26">
            <w:pPr>
              <w:ind w:left="-42" w:firstLine="42"/>
              <w:jc w:val="center"/>
              <w:cnfStyle w:val="000000100000" w:firstRow="0" w:lastRow="0" w:firstColumn="0" w:lastColumn="0" w:oddVBand="0" w:evenVBand="0" w:oddHBand="1" w:evenHBand="0" w:firstRowFirstColumn="0" w:firstRowLastColumn="0" w:lastRowFirstColumn="0" w:lastRowLastColumn="0"/>
              <w:rPr>
                <w:sz w:val="20"/>
                <w:szCs w:val="20"/>
              </w:rPr>
            </w:pPr>
            <w:r w:rsidRPr="003B58D7">
              <w:rPr>
                <w:rFonts w:eastAsia="Times New Roman" w:cs="Times New Roman"/>
                <w:color w:val="000000"/>
                <w:sz w:val="20"/>
                <w:szCs w:val="20"/>
              </w:rPr>
              <w:t>3.251.382 Q</w:t>
            </w:r>
          </w:p>
        </w:tc>
        <w:tc>
          <w:tcPr>
            <w:tcW w:w="1681" w:type="dxa"/>
          </w:tcPr>
          <w:p w14:paraId="5F2E6F83" w14:textId="77777777" w:rsidR="003B58D7" w:rsidRPr="003B58D7" w:rsidRDefault="003B58D7" w:rsidP="002C7E26">
            <w:pPr>
              <w:ind w:left="-42" w:firstLine="42"/>
              <w:jc w:val="center"/>
              <w:cnfStyle w:val="000000100000" w:firstRow="0" w:lastRow="0" w:firstColumn="0" w:lastColumn="0" w:oddVBand="0" w:evenVBand="0" w:oddHBand="1" w:evenHBand="0" w:firstRowFirstColumn="0" w:firstRowLastColumn="0" w:lastRowFirstColumn="0" w:lastRowLastColumn="0"/>
              <w:rPr>
                <w:sz w:val="20"/>
                <w:szCs w:val="20"/>
              </w:rPr>
            </w:pPr>
            <w:r w:rsidRPr="003B58D7">
              <w:rPr>
                <w:rFonts w:eastAsia="Times New Roman" w:cs="Times New Roman"/>
                <w:color w:val="000000"/>
                <w:sz w:val="20"/>
                <w:szCs w:val="20"/>
              </w:rPr>
              <w:t>3.412.489 Q</w:t>
            </w:r>
          </w:p>
        </w:tc>
        <w:tc>
          <w:tcPr>
            <w:tcW w:w="1959" w:type="dxa"/>
          </w:tcPr>
          <w:p w14:paraId="1378D1CE" w14:textId="77777777" w:rsidR="003B58D7" w:rsidRPr="003B58D7" w:rsidRDefault="003B58D7" w:rsidP="002C7E26">
            <w:pPr>
              <w:ind w:left="-42" w:firstLine="42"/>
              <w:jc w:val="center"/>
              <w:cnfStyle w:val="000000100000" w:firstRow="0" w:lastRow="0" w:firstColumn="0" w:lastColumn="0" w:oddVBand="0" w:evenVBand="0" w:oddHBand="1" w:evenHBand="0" w:firstRowFirstColumn="0" w:firstRowLastColumn="0" w:lastRowFirstColumn="0" w:lastRowLastColumn="0"/>
              <w:rPr>
                <w:sz w:val="20"/>
                <w:szCs w:val="20"/>
              </w:rPr>
            </w:pPr>
            <w:r w:rsidRPr="003B58D7">
              <w:rPr>
                <w:rFonts w:eastAsia="Times New Roman" w:cs="Times New Roman"/>
                <w:color w:val="000000"/>
                <w:sz w:val="20"/>
                <w:szCs w:val="20"/>
              </w:rPr>
              <w:t>3.600.000 Q</w:t>
            </w:r>
          </w:p>
        </w:tc>
      </w:tr>
      <w:tr w:rsidR="0092199E" w:rsidRPr="003B58D7" w14:paraId="414E73F8" w14:textId="77777777" w:rsidTr="0092199E">
        <w:trPr>
          <w:trHeight w:val="499"/>
        </w:trPr>
        <w:tc>
          <w:tcPr>
            <w:cnfStyle w:val="001000000000" w:firstRow="0" w:lastRow="0" w:firstColumn="1" w:lastColumn="0" w:oddVBand="0" w:evenVBand="0" w:oddHBand="0" w:evenHBand="0" w:firstRowFirstColumn="0" w:firstRowLastColumn="0" w:lastRowFirstColumn="0" w:lastRowLastColumn="0"/>
            <w:tcW w:w="1936" w:type="dxa"/>
          </w:tcPr>
          <w:p w14:paraId="5C887452" w14:textId="77777777" w:rsidR="003B58D7" w:rsidRPr="003B58D7" w:rsidRDefault="003B58D7" w:rsidP="002C7E26">
            <w:pPr>
              <w:ind w:left="-42" w:firstLine="42"/>
              <w:jc w:val="center"/>
              <w:rPr>
                <w:sz w:val="20"/>
                <w:szCs w:val="20"/>
              </w:rPr>
            </w:pPr>
            <w:r w:rsidRPr="003B58D7">
              <w:rPr>
                <w:rFonts w:eastAsia="Times New Roman" w:cs="Times New Roman"/>
                <w:color w:val="000000"/>
                <w:sz w:val="20"/>
                <w:szCs w:val="20"/>
              </w:rPr>
              <w:t>Jubilaciones y retiros</w:t>
            </w:r>
          </w:p>
        </w:tc>
        <w:tc>
          <w:tcPr>
            <w:tcW w:w="1671" w:type="dxa"/>
          </w:tcPr>
          <w:p w14:paraId="79E34CDF" w14:textId="77777777" w:rsidR="003B58D7" w:rsidRPr="003B58D7" w:rsidRDefault="003B58D7" w:rsidP="002C7E26">
            <w:pPr>
              <w:ind w:left="-42" w:firstLine="42"/>
              <w:jc w:val="center"/>
              <w:cnfStyle w:val="000000000000" w:firstRow="0" w:lastRow="0" w:firstColumn="0" w:lastColumn="0" w:oddVBand="0" w:evenVBand="0" w:oddHBand="0" w:evenHBand="0" w:firstRowFirstColumn="0" w:firstRowLastColumn="0" w:lastRowFirstColumn="0" w:lastRowLastColumn="0"/>
              <w:rPr>
                <w:sz w:val="20"/>
                <w:szCs w:val="20"/>
              </w:rPr>
            </w:pPr>
            <w:r w:rsidRPr="003B58D7">
              <w:rPr>
                <w:rFonts w:eastAsia="Times New Roman" w:cs="Times New Roman"/>
                <w:color w:val="000000"/>
                <w:sz w:val="20"/>
                <w:szCs w:val="20"/>
              </w:rPr>
              <w:t>15.613.013 Q</w:t>
            </w:r>
          </w:p>
        </w:tc>
        <w:tc>
          <w:tcPr>
            <w:tcW w:w="1670" w:type="dxa"/>
          </w:tcPr>
          <w:p w14:paraId="2008F41C" w14:textId="77777777" w:rsidR="003B58D7" w:rsidRPr="003B58D7" w:rsidRDefault="003B58D7" w:rsidP="002C7E26">
            <w:pPr>
              <w:ind w:left="-42" w:firstLine="42"/>
              <w:jc w:val="center"/>
              <w:cnfStyle w:val="000000000000" w:firstRow="0" w:lastRow="0" w:firstColumn="0" w:lastColumn="0" w:oddVBand="0" w:evenVBand="0" w:oddHBand="0" w:evenHBand="0" w:firstRowFirstColumn="0" w:firstRowLastColumn="0" w:lastRowFirstColumn="0" w:lastRowLastColumn="0"/>
              <w:rPr>
                <w:sz w:val="20"/>
                <w:szCs w:val="20"/>
              </w:rPr>
            </w:pPr>
            <w:r w:rsidRPr="003B58D7">
              <w:rPr>
                <w:rFonts w:eastAsia="Times New Roman" w:cs="Times New Roman"/>
                <w:color w:val="000000"/>
                <w:sz w:val="20"/>
                <w:szCs w:val="20"/>
              </w:rPr>
              <w:t>15.550.707 Q</w:t>
            </w:r>
          </w:p>
        </w:tc>
        <w:tc>
          <w:tcPr>
            <w:tcW w:w="1681" w:type="dxa"/>
          </w:tcPr>
          <w:p w14:paraId="12899BA2" w14:textId="77777777" w:rsidR="003B58D7" w:rsidRPr="003B58D7" w:rsidRDefault="003B58D7" w:rsidP="002C7E26">
            <w:pPr>
              <w:ind w:left="-42" w:firstLine="42"/>
              <w:jc w:val="center"/>
              <w:cnfStyle w:val="000000000000" w:firstRow="0" w:lastRow="0" w:firstColumn="0" w:lastColumn="0" w:oddVBand="0" w:evenVBand="0" w:oddHBand="0" w:evenHBand="0" w:firstRowFirstColumn="0" w:firstRowLastColumn="0" w:lastRowFirstColumn="0" w:lastRowLastColumn="0"/>
              <w:rPr>
                <w:sz w:val="20"/>
                <w:szCs w:val="20"/>
              </w:rPr>
            </w:pPr>
            <w:r w:rsidRPr="003B58D7">
              <w:rPr>
                <w:rFonts w:eastAsia="Times New Roman" w:cs="Times New Roman"/>
                <w:color w:val="000000"/>
                <w:sz w:val="20"/>
                <w:szCs w:val="20"/>
              </w:rPr>
              <w:t>15.569.306 Q</w:t>
            </w:r>
          </w:p>
        </w:tc>
        <w:tc>
          <w:tcPr>
            <w:tcW w:w="1959" w:type="dxa"/>
          </w:tcPr>
          <w:p w14:paraId="442457F0" w14:textId="77777777" w:rsidR="003B58D7" w:rsidRPr="003B58D7" w:rsidRDefault="003B58D7" w:rsidP="002C7E26">
            <w:pPr>
              <w:ind w:left="-42" w:firstLine="42"/>
              <w:jc w:val="center"/>
              <w:cnfStyle w:val="000000000000" w:firstRow="0" w:lastRow="0" w:firstColumn="0" w:lastColumn="0" w:oddVBand="0" w:evenVBand="0" w:oddHBand="0" w:evenHBand="0" w:firstRowFirstColumn="0" w:firstRowLastColumn="0" w:lastRowFirstColumn="0" w:lastRowLastColumn="0"/>
              <w:rPr>
                <w:sz w:val="20"/>
                <w:szCs w:val="20"/>
              </w:rPr>
            </w:pPr>
            <w:r w:rsidRPr="003B58D7">
              <w:rPr>
                <w:rFonts w:eastAsia="Times New Roman" w:cs="Times New Roman"/>
                <w:color w:val="000000"/>
                <w:sz w:val="20"/>
                <w:szCs w:val="20"/>
              </w:rPr>
              <w:t>23.400.000 Q</w:t>
            </w:r>
          </w:p>
        </w:tc>
      </w:tr>
      <w:tr w:rsidR="0092199E" w:rsidRPr="003B58D7" w14:paraId="71C82580" w14:textId="77777777" w:rsidTr="0092199E">
        <w:trPr>
          <w:cnfStyle w:val="000000100000" w:firstRow="0" w:lastRow="0" w:firstColumn="0" w:lastColumn="0" w:oddVBand="0" w:evenVBand="0" w:oddHBand="1" w:evenHBand="0"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1936" w:type="dxa"/>
          </w:tcPr>
          <w:p w14:paraId="79C3CC81" w14:textId="77777777" w:rsidR="003B58D7" w:rsidRPr="003B58D7" w:rsidRDefault="003B58D7" w:rsidP="002C7E26">
            <w:pPr>
              <w:ind w:left="-42" w:firstLine="42"/>
              <w:jc w:val="center"/>
              <w:rPr>
                <w:sz w:val="20"/>
                <w:szCs w:val="20"/>
              </w:rPr>
            </w:pPr>
            <w:r w:rsidRPr="003B58D7">
              <w:rPr>
                <w:rFonts w:eastAsia="Times New Roman" w:cs="Times New Roman"/>
                <w:color w:val="000000"/>
                <w:sz w:val="20"/>
                <w:szCs w:val="20"/>
              </w:rPr>
              <w:t>Otras prestaciones y pensiones</w:t>
            </w:r>
          </w:p>
        </w:tc>
        <w:tc>
          <w:tcPr>
            <w:tcW w:w="1671" w:type="dxa"/>
          </w:tcPr>
          <w:p w14:paraId="678961C7" w14:textId="77777777" w:rsidR="003B58D7" w:rsidRPr="003B58D7" w:rsidRDefault="003B58D7" w:rsidP="002C7E26">
            <w:pPr>
              <w:ind w:left="-42" w:firstLine="42"/>
              <w:jc w:val="center"/>
              <w:cnfStyle w:val="000000100000" w:firstRow="0" w:lastRow="0" w:firstColumn="0" w:lastColumn="0" w:oddVBand="0" w:evenVBand="0" w:oddHBand="1" w:evenHBand="0" w:firstRowFirstColumn="0" w:firstRowLastColumn="0" w:lastRowFirstColumn="0" w:lastRowLastColumn="0"/>
              <w:rPr>
                <w:sz w:val="20"/>
                <w:szCs w:val="20"/>
              </w:rPr>
            </w:pPr>
            <w:r w:rsidRPr="003B58D7">
              <w:rPr>
                <w:rFonts w:eastAsia="Times New Roman" w:cs="Times New Roman"/>
                <w:color w:val="000000"/>
                <w:sz w:val="20"/>
                <w:szCs w:val="20"/>
              </w:rPr>
              <w:t>6.918.044 Q</w:t>
            </w:r>
          </w:p>
        </w:tc>
        <w:tc>
          <w:tcPr>
            <w:tcW w:w="1670" w:type="dxa"/>
          </w:tcPr>
          <w:p w14:paraId="1C79054F" w14:textId="77777777" w:rsidR="003B58D7" w:rsidRPr="003B58D7" w:rsidRDefault="003B58D7" w:rsidP="002C7E26">
            <w:pPr>
              <w:ind w:left="-42" w:firstLine="42"/>
              <w:jc w:val="center"/>
              <w:cnfStyle w:val="000000100000" w:firstRow="0" w:lastRow="0" w:firstColumn="0" w:lastColumn="0" w:oddVBand="0" w:evenVBand="0" w:oddHBand="1" w:evenHBand="0" w:firstRowFirstColumn="0" w:firstRowLastColumn="0" w:lastRowFirstColumn="0" w:lastRowLastColumn="0"/>
              <w:rPr>
                <w:sz w:val="20"/>
                <w:szCs w:val="20"/>
              </w:rPr>
            </w:pPr>
            <w:r w:rsidRPr="003B58D7">
              <w:rPr>
                <w:rFonts w:eastAsia="Times New Roman" w:cs="Times New Roman"/>
                <w:color w:val="000000"/>
                <w:sz w:val="20"/>
                <w:szCs w:val="20"/>
              </w:rPr>
              <w:t>6.745.251 Q</w:t>
            </w:r>
          </w:p>
        </w:tc>
        <w:tc>
          <w:tcPr>
            <w:tcW w:w="1681" w:type="dxa"/>
          </w:tcPr>
          <w:p w14:paraId="69CD5E65" w14:textId="77777777" w:rsidR="003B58D7" w:rsidRPr="003B58D7" w:rsidRDefault="003B58D7" w:rsidP="002C7E26">
            <w:pPr>
              <w:ind w:left="-42" w:firstLine="42"/>
              <w:jc w:val="center"/>
              <w:cnfStyle w:val="000000100000" w:firstRow="0" w:lastRow="0" w:firstColumn="0" w:lastColumn="0" w:oddVBand="0" w:evenVBand="0" w:oddHBand="1" w:evenHBand="0" w:firstRowFirstColumn="0" w:firstRowLastColumn="0" w:lastRowFirstColumn="0" w:lastRowLastColumn="0"/>
              <w:rPr>
                <w:sz w:val="20"/>
                <w:szCs w:val="20"/>
              </w:rPr>
            </w:pPr>
            <w:r w:rsidRPr="003B58D7">
              <w:rPr>
                <w:rFonts w:eastAsia="Times New Roman" w:cs="Times New Roman"/>
                <w:color w:val="000000"/>
                <w:sz w:val="20"/>
                <w:szCs w:val="20"/>
              </w:rPr>
              <w:t>6.609.673 Q</w:t>
            </w:r>
          </w:p>
        </w:tc>
        <w:tc>
          <w:tcPr>
            <w:tcW w:w="1959" w:type="dxa"/>
          </w:tcPr>
          <w:p w14:paraId="06AB3976" w14:textId="77777777" w:rsidR="003B58D7" w:rsidRPr="003B58D7" w:rsidRDefault="003B58D7" w:rsidP="002C7E26">
            <w:pPr>
              <w:ind w:left="-42" w:firstLine="42"/>
              <w:jc w:val="center"/>
              <w:cnfStyle w:val="000000100000" w:firstRow="0" w:lastRow="0" w:firstColumn="0" w:lastColumn="0" w:oddVBand="0" w:evenVBand="0" w:oddHBand="1" w:evenHBand="0" w:firstRowFirstColumn="0" w:firstRowLastColumn="0" w:lastRowFirstColumn="0" w:lastRowLastColumn="0"/>
              <w:rPr>
                <w:sz w:val="20"/>
                <w:szCs w:val="20"/>
              </w:rPr>
            </w:pPr>
            <w:r w:rsidRPr="003B58D7">
              <w:rPr>
                <w:rFonts w:eastAsia="Times New Roman" w:cs="Times New Roman"/>
                <w:color w:val="000000"/>
                <w:sz w:val="20"/>
                <w:szCs w:val="20"/>
              </w:rPr>
              <w:t>7.000.000 Q</w:t>
            </w:r>
          </w:p>
        </w:tc>
      </w:tr>
      <w:tr w:rsidR="0092199E" w:rsidRPr="003B58D7" w14:paraId="00FF8468" w14:textId="77777777" w:rsidTr="0092199E">
        <w:trPr>
          <w:trHeight w:val="499"/>
        </w:trPr>
        <w:tc>
          <w:tcPr>
            <w:cnfStyle w:val="001000000000" w:firstRow="0" w:lastRow="0" w:firstColumn="1" w:lastColumn="0" w:oddVBand="0" w:evenVBand="0" w:oddHBand="0" w:evenHBand="0" w:firstRowFirstColumn="0" w:firstRowLastColumn="0" w:lastRowFirstColumn="0" w:lastRowLastColumn="0"/>
            <w:tcW w:w="1936" w:type="dxa"/>
          </w:tcPr>
          <w:p w14:paraId="2653A433" w14:textId="77777777" w:rsidR="003B58D7" w:rsidRPr="003B58D7" w:rsidRDefault="003B58D7" w:rsidP="002C7E26">
            <w:pPr>
              <w:ind w:left="-42" w:firstLine="42"/>
              <w:jc w:val="center"/>
              <w:rPr>
                <w:b w:val="0"/>
                <w:bCs w:val="0"/>
                <w:sz w:val="20"/>
                <w:szCs w:val="20"/>
              </w:rPr>
            </w:pPr>
            <w:r w:rsidRPr="003B58D7">
              <w:rPr>
                <w:rFonts w:eastAsia="Times New Roman" w:cs="Times New Roman"/>
                <w:color w:val="000000"/>
                <w:sz w:val="20"/>
                <w:szCs w:val="20"/>
              </w:rPr>
              <w:t>Total gasto en pensiones</w:t>
            </w:r>
          </w:p>
        </w:tc>
        <w:tc>
          <w:tcPr>
            <w:tcW w:w="1671" w:type="dxa"/>
          </w:tcPr>
          <w:p w14:paraId="71CF0660" w14:textId="77777777" w:rsidR="003B58D7" w:rsidRPr="003B58D7" w:rsidRDefault="003B58D7" w:rsidP="002C7E26">
            <w:pPr>
              <w:ind w:left="-42" w:firstLine="42"/>
              <w:jc w:val="center"/>
              <w:cnfStyle w:val="000000000000" w:firstRow="0" w:lastRow="0" w:firstColumn="0" w:lastColumn="0" w:oddVBand="0" w:evenVBand="0" w:oddHBand="0" w:evenHBand="0" w:firstRowFirstColumn="0" w:firstRowLastColumn="0" w:lastRowFirstColumn="0" w:lastRowLastColumn="0"/>
              <w:rPr>
                <w:b/>
                <w:bCs/>
                <w:sz w:val="20"/>
                <w:szCs w:val="20"/>
              </w:rPr>
            </w:pPr>
            <w:r w:rsidRPr="003B58D7">
              <w:rPr>
                <w:rFonts w:eastAsia="Times New Roman" w:cs="Times New Roman"/>
                <w:b/>
                <w:bCs/>
                <w:color w:val="000000"/>
                <w:sz w:val="20"/>
                <w:szCs w:val="20"/>
              </w:rPr>
              <w:t>25.659.293 Q</w:t>
            </w:r>
          </w:p>
        </w:tc>
        <w:tc>
          <w:tcPr>
            <w:tcW w:w="1670" w:type="dxa"/>
          </w:tcPr>
          <w:p w14:paraId="2E348684" w14:textId="77777777" w:rsidR="003B58D7" w:rsidRPr="003B58D7" w:rsidRDefault="003B58D7" w:rsidP="002C7E26">
            <w:pPr>
              <w:ind w:left="-42" w:firstLine="42"/>
              <w:jc w:val="center"/>
              <w:cnfStyle w:val="000000000000" w:firstRow="0" w:lastRow="0" w:firstColumn="0" w:lastColumn="0" w:oddVBand="0" w:evenVBand="0" w:oddHBand="0" w:evenHBand="0" w:firstRowFirstColumn="0" w:firstRowLastColumn="0" w:lastRowFirstColumn="0" w:lastRowLastColumn="0"/>
              <w:rPr>
                <w:b/>
                <w:bCs/>
                <w:sz w:val="20"/>
                <w:szCs w:val="20"/>
              </w:rPr>
            </w:pPr>
            <w:r w:rsidRPr="003B58D7">
              <w:rPr>
                <w:rFonts w:eastAsia="Times New Roman" w:cs="Times New Roman"/>
                <w:b/>
                <w:bCs/>
                <w:color w:val="000000"/>
                <w:sz w:val="20"/>
                <w:szCs w:val="20"/>
              </w:rPr>
              <w:t>25.547.340 Q</w:t>
            </w:r>
          </w:p>
        </w:tc>
        <w:tc>
          <w:tcPr>
            <w:tcW w:w="1681" w:type="dxa"/>
          </w:tcPr>
          <w:p w14:paraId="3019302C" w14:textId="77777777" w:rsidR="003B58D7" w:rsidRPr="003B58D7" w:rsidRDefault="003B58D7" w:rsidP="002C7E26">
            <w:pPr>
              <w:ind w:left="-42" w:firstLine="42"/>
              <w:jc w:val="center"/>
              <w:cnfStyle w:val="000000000000" w:firstRow="0" w:lastRow="0" w:firstColumn="0" w:lastColumn="0" w:oddVBand="0" w:evenVBand="0" w:oddHBand="0" w:evenHBand="0" w:firstRowFirstColumn="0" w:firstRowLastColumn="0" w:lastRowFirstColumn="0" w:lastRowLastColumn="0"/>
              <w:rPr>
                <w:b/>
                <w:bCs/>
                <w:sz w:val="20"/>
                <w:szCs w:val="20"/>
              </w:rPr>
            </w:pPr>
            <w:r w:rsidRPr="003B58D7">
              <w:rPr>
                <w:rFonts w:eastAsia="Times New Roman" w:cs="Times New Roman"/>
                <w:b/>
                <w:bCs/>
                <w:color w:val="000000"/>
                <w:sz w:val="20"/>
                <w:szCs w:val="20"/>
              </w:rPr>
              <w:t>25.591.468 Q</w:t>
            </w:r>
          </w:p>
        </w:tc>
        <w:tc>
          <w:tcPr>
            <w:tcW w:w="1959" w:type="dxa"/>
          </w:tcPr>
          <w:p w14:paraId="5159E6FE" w14:textId="77777777" w:rsidR="003B58D7" w:rsidRPr="003B58D7" w:rsidRDefault="003B58D7" w:rsidP="002C7E26">
            <w:pPr>
              <w:ind w:left="-42" w:firstLine="42"/>
              <w:jc w:val="center"/>
              <w:cnfStyle w:val="000000000000" w:firstRow="0" w:lastRow="0" w:firstColumn="0" w:lastColumn="0" w:oddVBand="0" w:evenVBand="0" w:oddHBand="0" w:evenHBand="0" w:firstRowFirstColumn="0" w:firstRowLastColumn="0" w:lastRowFirstColumn="0" w:lastRowLastColumn="0"/>
              <w:rPr>
                <w:b/>
                <w:bCs/>
                <w:sz w:val="20"/>
                <w:szCs w:val="20"/>
              </w:rPr>
            </w:pPr>
            <w:r w:rsidRPr="003B58D7">
              <w:rPr>
                <w:rFonts w:eastAsia="Times New Roman" w:cs="Times New Roman"/>
                <w:b/>
                <w:bCs/>
                <w:color w:val="000000"/>
                <w:sz w:val="20"/>
                <w:szCs w:val="20"/>
              </w:rPr>
              <w:t>34.000.000 Q</w:t>
            </w:r>
          </w:p>
        </w:tc>
      </w:tr>
    </w:tbl>
    <w:p w14:paraId="65872CFF" w14:textId="77777777" w:rsidR="003B58D7" w:rsidRPr="003B58D7" w:rsidRDefault="003B58D7" w:rsidP="002C7E26">
      <w:pPr>
        <w:spacing w:after="0" w:line="240" w:lineRule="auto"/>
        <w:jc w:val="both"/>
        <w:rPr>
          <w:sz w:val="24"/>
          <w:szCs w:val="24"/>
        </w:rPr>
      </w:pPr>
    </w:p>
    <w:p w14:paraId="0DD61AB7" w14:textId="6099D420" w:rsidR="003B58D7" w:rsidRPr="00FB59AC" w:rsidRDefault="003B58D7" w:rsidP="002C7E26">
      <w:pPr>
        <w:spacing w:after="0" w:line="240" w:lineRule="auto"/>
        <w:jc w:val="both"/>
        <w:rPr>
          <w:rFonts w:ascii="Times New Roman" w:hAnsi="Times New Roman" w:cs="Times New Roman"/>
          <w:sz w:val="24"/>
          <w:szCs w:val="24"/>
        </w:rPr>
      </w:pPr>
      <w:r w:rsidRPr="00FB59AC">
        <w:rPr>
          <w:rFonts w:ascii="Times New Roman" w:hAnsi="Times New Roman" w:cs="Times New Roman"/>
          <w:sz w:val="24"/>
          <w:szCs w:val="24"/>
        </w:rPr>
        <w:t xml:space="preserve">De igual modo es necesario resaltar que para la vigencia fiscal 2012, la administración presupuesta, por jubilaciones y retiros, Q23.4 millones, cuando el histórico se ha movido alrededor de los Q15,5 millones.  De </w:t>
      </w:r>
      <w:r w:rsidR="0029318E" w:rsidRPr="00FB59AC">
        <w:rPr>
          <w:rFonts w:ascii="Times New Roman" w:hAnsi="Times New Roman" w:cs="Times New Roman"/>
          <w:sz w:val="24"/>
          <w:szCs w:val="24"/>
        </w:rPr>
        <w:t xml:space="preserve">registrarse </w:t>
      </w:r>
      <w:r w:rsidRPr="00FB59AC">
        <w:rPr>
          <w:rFonts w:ascii="Times New Roman" w:hAnsi="Times New Roman" w:cs="Times New Roman"/>
          <w:sz w:val="24"/>
          <w:szCs w:val="24"/>
        </w:rPr>
        <w:t>la situación presentada en el Presupuesto aprobado, el gasto en jubilaciones y pensiones tendría un crecimiento respecto al año anterior del 32,9%.</w:t>
      </w:r>
    </w:p>
    <w:p w14:paraId="69CBA8E2" w14:textId="77777777" w:rsidR="003B58D7" w:rsidRPr="00FB59AC" w:rsidRDefault="003B58D7" w:rsidP="002C7E26">
      <w:pPr>
        <w:spacing w:after="0" w:line="240" w:lineRule="auto"/>
        <w:jc w:val="both"/>
        <w:rPr>
          <w:rFonts w:ascii="Times New Roman" w:hAnsi="Times New Roman" w:cs="Times New Roman"/>
          <w:sz w:val="24"/>
          <w:szCs w:val="24"/>
        </w:rPr>
      </w:pPr>
    </w:p>
    <w:p w14:paraId="451ACE1A" w14:textId="7C90746D" w:rsidR="003B58D7" w:rsidRPr="00FB59AC" w:rsidRDefault="003B58D7" w:rsidP="002C7E26">
      <w:pPr>
        <w:spacing w:after="0" w:line="240" w:lineRule="auto"/>
        <w:jc w:val="both"/>
        <w:rPr>
          <w:rFonts w:ascii="Times New Roman" w:hAnsi="Times New Roman" w:cs="Times New Roman"/>
          <w:sz w:val="24"/>
          <w:szCs w:val="24"/>
        </w:rPr>
      </w:pPr>
      <w:r w:rsidRPr="00FB59AC">
        <w:rPr>
          <w:rFonts w:ascii="Times New Roman" w:hAnsi="Times New Roman" w:cs="Times New Roman"/>
          <w:sz w:val="24"/>
          <w:szCs w:val="24"/>
        </w:rPr>
        <w:t xml:space="preserve">Para reducir el gasto en pensiones y jubilaciones, la Municipalidad ha modificado el modelo de contratación, </w:t>
      </w:r>
      <w:r w:rsidR="003D6597" w:rsidRPr="00FB59AC">
        <w:rPr>
          <w:rFonts w:ascii="Times New Roman" w:hAnsi="Times New Roman" w:cs="Times New Roman"/>
          <w:sz w:val="24"/>
          <w:szCs w:val="24"/>
        </w:rPr>
        <w:t xml:space="preserve">buscando suscribir </w:t>
      </w:r>
      <w:r w:rsidRPr="00FB59AC">
        <w:rPr>
          <w:rFonts w:ascii="Times New Roman" w:hAnsi="Times New Roman" w:cs="Times New Roman"/>
          <w:sz w:val="24"/>
          <w:szCs w:val="24"/>
        </w:rPr>
        <w:t>contratos por plazo específico y por provisión de servicios profesionales, de manera que estos empleados no adquieran derechos pensionales.  Esto se evidencia en el Presupuesto 2012 donde se prevé un gasto base de Q26,6 millones en pagos a personal permanente y Q95,3 millones en pagos a personal temporal, es decir, una relación de 3.6 a 1.</w:t>
      </w:r>
      <w:r w:rsidRPr="00FB59AC">
        <w:rPr>
          <w:rStyle w:val="FootnoteReference"/>
          <w:rFonts w:ascii="Times New Roman" w:hAnsi="Times New Roman" w:cs="Times New Roman"/>
          <w:sz w:val="24"/>
          <w:szCs w:val="24"/>
        </w:rPr>
        <w:footnoteReference w:id="56"/>
      </w:r>
      <w:r w:rsidRPr="00FB59AC">
        <w:rPr>
          <w:rFonts w:ascii="Times New Roman" w:hAnsi="Times New Roman" w:cs="Times New Roman"/>
          <w:sz w:val="24"/>
          <w:szCs w:val="24"/>
        </w:rPr>
        <w:t xml:space="preserve">  Sin embargo, las medidas para cubrir el gasto en pensiones deben ir más allá, incluyendo un estudio actuarial y la provisión de un fondo específico con un capital semilla.</w:t>
      </w:r>
    </w:p>
    <w:p w14:paraId="041288A5" w14:textId="797A2F5F" w:rsidR="00455F96" w:rsidRDefault="00455F96" w:rsidP="00E344BF">
      <w:pPr>
        <w:spacing w:after="0" w:line="240" w:lineRule="auto"/>
        <w:rPr>
          <w:rFonts w:ascii="Times New Roman" w:hAnsi="Times New Roman" w:cs="Times New Roman"/>
          <w:sz w:val="24"/>
          <w:szCs w:val="24"/>
        </w:rPr>
      </w:pPr>
    </w:p>
    <w:p w14:paraId="5F785136" w14:textId="77777777" w:rsidR="00E344BF" w:rsidRPr="00896445" w:rsidRDefault="00E344BF" w:rsidP="00E344BF">
      <w:pPr>
        <w:spacing w:after="0" w:line="240" w:lineRule="auto"/>
        <w:rPr>
          <w:rFonts w:cstheme="minorHAnsi"/>
          <w:sz w:val="20"/>
          <w:szCs w:val="20"/>
        </w:rPr>
      </w:pPr>
    </w:p>
    <w:p w14:paraId="02D19B57" w14:textId="636FC72F" w:rsidR="007A65B4" w:rsidRPr="001E03EF" w:rsidRDefault="007A65B4" w:rsidP="00F37A5F">
      <w:pPr>
        <w:pStyle w:val="Heading5"/>
        <w:rPr>
          <w:color w:val="4F81BD" w:themeColor="accent1"/>
        </w:rPr>
      </w:pPr>
      <w:bookmarkStart w:id="68" w:name="_Toc219009958"/>
      <w:bookmarkStart w:id="69" w:name="_Ref219011290"/>
      <w:bookmarkStart w:id="70" w:name="_Toc223473027"/>
      <w:r w:rsidRPr="001E03EF">
        <w:rPr>
          <w:color w:val="4F81BD" w:themeColor="accent1"/>
        </w:rPr>
        <w:lastRenderedPageBreak/>
        <w:t>Deuda con la Seguridad Social.</w:t>
      </w:r>
      <w:bookmarkEnd w:id="68"/>
      <w:bookmarkEnd w:id="69"/>
      <w:bookmarkEnd w:id="70"/>
    </w:p>
    <w:p w14:paraId="3E410DF4" w14:textId="77777777" w:rsidR="007A65B4" w:rsidRPr="00FB59AC" w:rsidRDefault="007A65B4" w:rsidP="002C7E26">
      <w:pPr>
        <w:spacing w:after="0" w:line="240" w:lineRule="auto"/>
        <w:jc w:val="both"/>
        <w:rPr>
          <w:rFonts w:ascii="Times New Roman" w:hAnsi="Times New Roman" w:cs="Times New Roman"/>
          <w:sz w:val="24"/>
          <w:szCs w:val="24"/>
        </w:rPr>
      </w:pPr>
    </w:p>
    <w:p w14:paraId="60C13011" w14:textId="24D867C7" w:rsidR="007A65B4" w:rsidRPr="00FB59AC" w:rsidRDefault="007A65B4" w:rsidP="002C7E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sz w:val="24"/>
          <w:szCs w:val="24"/>
        </w:rPr>
      </w:pPr>
      <w:r w:rsidRPr="00E344BF">
        <w:rPr>
          <w:rFonts w:ascii="Times New Roman" w:hAnsi="Times New Roman" w:cs="Times New Roman"/>
          <w:sz w:val="24"/>
          <w:szCs w:val="24"/>
        </w:rPr>
        <w:t xml:space="preserve">La Municipalidad mantiene una deuda representativa con la Seguridad Social por concepto de Aportes Patronales.  </w:t>
      </w:r>
      <w:r w:rsidR="003D6597" w:rsidRPr="00E344BF">
        <w:rPr>
          <w:rFonts w:ascii="Times New Roman" w:hAnsi="Times New Roman" w:cs="Times New Roman"/>
          <w:sz w:val="24"/>
          <w:szCs w:val="24"/>
        </w:rPr>
        <w:t xml:space="preserve">Atendiendo a </w:t>
      </w:r>
      <w:r w:rsidRPr="00E344BF">
        <w:rPr>
          <w:rFonts w:ascii="Times New Roman" w:hAnsi="Times New Roman" w:cs="Times New Roman"/>
          <w:sz w:val="24"/>
          <w:szCs w:val="24"/>
        </w:rPr>
        <w:t>la regla contable de considerar como pasivo no corriente aquella obligación cuyo vencimiento supera el período establecido como corriente, la deuda con la Seguridad Social</w:t>
      </w:r>
      <w:r w:rsidR="003D6597" w:rsidRPr="00E344BF">
        <w:rPr>
          <w:rFonts w:ascii="Times New Roman" w:hAnsi="Times New Roman" w:cs="Times New Roman"/>
          <w:sz w:val="24"/>
          <w:szCs w:val="24"/>
        </w:rPr>
        <w:t>,</w:t>
      </w:r>
      <w:r w:rsidRPr="00E344BF">
        <w:rPr>
          <w:rFonts w:ascii="Times New Roman" w:hAnsi="Times New Roman" w:cs="Times New Roman"/>
          <w:sz w:val="24"/>
          <w:szCs w:val="24"/>
        </w:rPr>
        <w:t xml:space="preserve"> se clasifica en el Balance General de la Municipalidad como un pasivo a largo plazo no corriente.</w:t>
      </w:r>
      <w:r w:rsidR="008D17FD" w:rsidRPr="00E344BF">
        <w:rPr>
          <w:rFonts w:ascii="Times New Roman" w:hAnsi="Times New Roman" w:cs="Times New Roman"/>
          <w:sz w:val="24"/>
          <w:szCs w:val="24"/>
        </w:rPr>
        <w:t xml:space="preserve">  A</w:t>
      </w:r>
      <w:r w:rsidRPr="00E344BF">
        <w:rPr>
          <w:rFonts w:ascii="Times New Roman" w:hAnsi="Times New Roman" w:cs="Times New Roman"/>
          <w:sz w:val="24"/>
          <w:szCs w:val="24"/>
        </w:rPr>
        <w:t>unque su naturaleza contable</w:t>
      </w:r>
      <w:r w:rsidRPr="00FB59AC">
        <w:rPr>
          <w:rFonts w:ascii="Times New Roman" w:hAnsi="Times New Roman" w:cs="Times New Roman"/>
          <w:sz w:val="24"/>
          <w:szCs w:val="24"/>
        </w:rPr>
        <w:t xml:space="preserve"> es no corriente, sí es recurrente en el caso de la Municipalidad: </w:t>
      </w:r>
      <w:r w:rsidR="003D6597" w:rsidRPr="00FB59AC">
        <w:rPr>
          <w:rFonts w:ascii="Times New Roman" w:hAnsi="Times New Roman" w:cs="Times New Roman"/>
          <w:sz w:val="24"/>
          <w:szCs w:val="24"/>
        </w:rPr>
        <w:t xml:space="preserve">esto es, </w:t>
      </w:r>
      <w:r w:rsidRPr="00FB59AC">
        <w:rPr>
          <w:rFonts w:ascii="Times New Roman" w:hAnsi="Times New Roman" w:cs="Times New Roman"/>
          <w:sz w:val="24"/>
          <w:szCs w:val="24"/>
        </w:rPr>
        <w:t xml:space="preserve">se </w:t>
      </w:r>
      <w:r w:rsidR="003D6597" w:rsidRPr="00FB59AC">
        <w:rPr>
          <w:rFonts w:ascii="Times New Roman" w:hAnsi="Times New Roman" w:cs="Times New Roman"/>
          <w:sz w:val="24"/>
          <w:szCs w:val="24"/>
        </w:rPr>
        <w:t>“</w:t>
      </w:r>
      <w:r w:rsidRPr="00FB59AC">
        <w:rPr>
          <w:rFonts w:ascii="Times New Roman" w:hAnsi="Times New Roman" w:cs="Times New Roman"/>
          <w:sz w:val="24"/>
          <w:szCs w:val="24"/>
        </w:rPr>
        <w:t>arrastran</w:t>
      </w:r>
      <w:r w:rsidR="003D6597" w:rsidRPr="00FB59AC">
        <w:rPr>
          <w:rFonts w:ascii="Times New Roman" w:hAnsi="Times New Roman" w:cs="Times New Roman"/>
          <w:sz w:val="24"/>
          <w:szCs w:val="24"/>
        </w:rPr>
        <w:t>”</w:t>
      </w:r>
      <w:r w:rsidRPr="00FB59AC">
        <w:rPr>
          <w:rFonts w:ascii="Times New Roman" w:hAnsi="Times New Roman" w:cs="Times New Roman"/>
          <w:sz w:val="24"/>
          <w:szCs w:val="24"/>
        </w:rPr>
        <w:t xml:space="preserve"> deudas generadas año tras año al menos desde 2002</w:t>
      </w:r>
      <w:r w:rsidRPr="00FB59AC">
        <w:rPr>
          <w:rStyle w:val="FootnoteReference"/>
          <w:rFonts w:ascii="Times New Roman" w:hAnsi="Times New Roman" w:cs="Times New Roman"/>
          <w:sz w:val="24"/>
          <w:szCs w:val="24"/>
        </w:rPr>
        <w:footnoteReference w:id="57"/>
      </w:r>
      <w:r w:rsidRPr="00FB59AC">
        <w:rPr>
          <w:rFonts w:ascii="Times New Roman" w:hAnsi="Times New Roman" w:cs="Times New Roman"/>
          <w:sz w:val="24"/>
          <w:szCs w:val="24"/>
        </w:rPr>
        <w:t xml:space="preserve"> y a 31 de diciembre de 2011 ascendía a Q203.138.833.  Para 2012 se espera que esta deuda crezca a razón de Q1.560.000 al mes, para un total estimado de Q18.720.000 en el año.  Es decir, la información registrada hace suponer que la Municipalidad no efectúa los aportes patronales ordenados legalmente en favor de la Seguridad Social.  Resulta necesario señalar que este monto de pasivo debe ser objeto de provisión dado su impacto en las finanzas de la ciudad.</w:t>
      </w:r>
    </w:p>
    <w:p w14:paraId="5D51F649" w14:textId="4EA27C2D" w:rsidR="00833BB6" w:rsidRPr="00FB59AC" w:rsidRDefault="00833BB6" w:rsidP="002C7E26">
      <w:pPr>
        <w:spacing w:line="240" w:lineRule="auto"/>
        <w:rPr>
          <w:rFonts w:ascii="Times New Roman" w:eastAsiaTheme="majorEastAsia" w:hAnsi="Times New Roman" w:cs="Times New Roman"/>
          <w:b/>
          <w:bCs/>
          <w:color w:val="4F81BD" w:themeColor="accent1"/>
          <w:sz w:val="26"/>
          <w:szCs w:val="26"/>
        </w:rPr>
      </w:pPr>
    </w:p>
    <w:p w14:paraId="5FBE3132" w14:textId="5A5A829F" w:rsidR="00B45CA5" w:rsidRPr="00FB59AC" w:rsidRDefault="00FA6E6C" w:rsidP="00F37A5F">
      <w:pPr>
        <w:pStyle w:val="Heading3"/>
      </w:pPr>
      <w:bookmarkStart w:id="71" w:name="_Ref214297360"/>
      <w:bookmarkStart w:id="72" w:name="_Toc219009959"/>
      <w:bookmarkStart w:id="73" w:name="_Toc223473028"/>
      <w:r w:rsidRPr="00FB59AC">
        <w:t xml:space="preserve">2.  </w:t>
      </w:r>
      <w:r w:rsidR="00B45CA5" w:rsidRPr="00FB59AC">
        <w:t>Balance Financiero</w:t>
      </w:r>
      <w:bookmarkEnd w:id="71"/>
      <w:bookmarkEnd w:id="72"/>
      <w:bookmarkEnd w:id="73"/>
    </w:p>
    <w:p w14:paraId="1E723424" w14:textId="77777777" w:rsidR="007F2216" w:rsidRPr="00FB59AC" w:rsidRDefault="007F2216" w:rsidP="002C7E26">
      <w:pPr>
        <w:spacing w:after="0" w:line="240" w:lineRule="auto"/>
        <w:jc w:val="both"/>
        <w:rPr>
          <w:rFonts w:ascii="Times New Roman" w:hAnsi="Times New Roman" w:cs="Times New Roman"/>
          <w:sz w:val="24"/>
          <w:szCs w:val="24"/>
        </w:rPr>
      </w:pPr>
    </w:p>
    <w:p w14:paraId="1E470EEA" w14:textId="69F23894" w:rsidR="00A969C9" w:rsidRPr="00FB59AC" w:rsidRDefault="00CD07F7" w:rsidP="002C7E26">
      <w:pPr>
        <w:spacing w:after="0" w:line="240" w:lineRule="auto"/>
        <w:jc w:val="both"/>
        <w:rPr>
          <w:rFonts w:ascii="Times New Roman" w:hAnsi="Times New Roman" w:cs="Times New Roman"/>
          <w:sz w:val="24"/>
          <w:szCs w:val="24"/>
        </w:rPr>
      </w:pPr>
      <w:r w:rsidRPr="00FB59AC">
        <w:rPr>
          <w:rFonts w:ascii="Times New Roman" w:hAnsi="Times New Roman" w:cs="Times New Roman"/>
          <w:sz w:val="24"/>
          <w:szCs w:val="24"/>
        </w:rPr>
        <w:t xml:space="preserve">Evaluada la información financiera de la Municipalidad, se halla que al </w:t>
      </w:r>
      <w:r w:rsidR="00C51828" w:rsidRPr="00FB59AC">
        <w:rPr>
          <w:rFonts w:ascii="Times New Roman" w:hAnsi="Times New Roman" w:cs="Times New Roman"/>
          <w:sz w:val="24"/>
          <w:szCs w:val="24"/>
        </w:rPr>
        <w:t>cierre de la vigencia 20</w:t>
      </w:r>
      <w:r w:rsidR="00302994" w:rsidRPr="00FB59AC">
        <w:rPr>
          <w:rFonts w:ascii="Times New Roman" w:hAnsi="Times New Roman" w:cs="Times New Roman"/>
          <w:sz w:val="24"/>
          <w:szCs w:val="24"/>
        </w:rPr>
        <w:t>11</w:t>
      </w:r>
      <w:r w:rsidR="005B309E" w:rsidRPr="00FB59AC">
        <w:rPr>
          <w:rFonts w:ascii="Times New Roman" w:hAnsi="Times New Roman" w:cs="Times New Roman"/>
          <w:sz w:val="24"/>
          <w:szCs w:val="24"/>
        </w:rPr>
        <w:t>,</w:t>
      </w:r>
      <w:r w:rsidR="00C51828" w:rsidRPr="00FB59AC">
        <w:rPr>
          <w:rFonts w:ascii="Times New Roman" w:hAnsi="Times New Roman" w:cs="Times New Roman"/>
          <w:sz w:val="24"/>
          <w:szCs w:val="24"/>
        </w:rPr>
        <w:t xml:space="preserve"> </w:t>
      </w:r>
      <w:r w:rsidRPr="00FB59AC">
        <w:rPr>
          <w:rFonts w:ascii="Times New Roman" w:hAnsi="Times New Roman" w:cs="Times New Roman"/>
          <w:sz w:val="24"/>
          <w:szCs w:val="24"/>
        </w:rPr>
        <w:t xml:space="preserve">el Gobierno Local </w:t>
      </w:r>
      <w:r w:rsidR="00302994" w:rsidRPr="00FB59AC">
        <w:rPr>
          <w:rFonts w:ascii="Times New Roman" w:hAnsi="Times New Roman" w:cs="Times New Roman"/>
          <w:sz w:val="24"/>
          <w:szCs w:val="24"/>
        </w:rPr>
        <w:t xml:space="preserve">generó un déficit </w:t>
      </w:r>
      <w:r w:rsidR="0037565C" w:rsidRPr="00FB59AC">
        <w:rPr>
          <w:rFonts w:ascii="Times New Roman" w:hAnsi="Times New Roman" w:cs="Times New Roman"/>
          <w:sz w:val="24"/>
          <w:szCs w:val="24"/>
        </w:rPr>
        <w:t xml:space="preserve">presupuestal de Q76 </w:t>
      </w:r>
      <w:r w:rsidR="00C51828" w:rsidRPr="00FB59AC">
        <w:rPr>
          <w:rFonts w:ascii="Times New Roman" w:hAnsi="Times New Roman" w:cs="Times New Roman"/>
          <w:sz w:val="24"/>
          <w:szCs w:val="24"/>
        </w:rPr>
        <w:t>millones,</w:t>
      </w:r>
      <w:r w:rsidR="00901225" w:rsidRPr="00FB59AC">
        <w:rPr>
          <w:rStyle w:val="FootnoteReference"/>
          <w:rFonts w:ascii="Times New Roman" w:hAnsi="Times New Roman" w:cs="Times New Roman"/>
          <w:sz w:val="24"/>
          <w:szCs w:val="24"/>
        </w:rPr>
        <w:footnoteReference w:id="58"/>
      </w:r>
      <w:r w:rsidR="00C51828" w:rsidRPr="00FB59AC">
        <w:rPr>
          <w:rFonts w:ascii="Times New Roman" w:hAnsi="Times New Roman" w:cs="Times New Roman"/>
          <w:sz w:val="24"/>
          <w:szCs w:val="24"/>
        </w:rPr>
        <w:t xml:space="preserve"> </w:t>
      </w:r>
      <w:r w:rsidR="006A1C1A">
        <w:rPr>
          <w:rFonts w:ascii="Times New Roman" w:hAnsi="Times New Roman" w:cs="Times New Roman"/>
          <w:sz w:val="24"/>
          <w:szCs w:val="24"/>
        </w:rPr>
        <w:t>que representa el 7,5% de los ingresos totales.  Este déficit</w:t>
      </w:r>
      <w:r w:rsidR="0037565C" w:rsidRPr="00FB59AC">
        <w:rPr>
          <w:rFonts w:ascii="Times New Roman" w:hAnsi="Times New Roman" w:cs="Times New Roman"/>
          <w:sz w:val="24"/>
          <w:szCs w:val="24"/>
        </w:rPr>
        <w:t xml:space="preserve"> fue financiado con Q122 millones de recursos de caja y banco</w:t>
      </w:r>
      <w:r w:rsidR="00A969C9" w:rsidRPr="00FB59AC">
        <w:rPr>
          <w:rFonts w:ascii="Times New Roman" w:hAnsi="Times New Roman" w:cs="Times New Roman"/>
          <w:sz w:val="24"/>
          <w:szCs w:val="24"/>
        </w:rPr>
        <w:t>s</w:t>
      </w:r>
      <w:r w:rsidR="0037565C" w:rsidRPr="00FB59AC">
        <w:rPr>
          <w:rFonts w:ascii="Times New Roman" w:hAnsi="Times New Roman" w:cs="Times New Roman"/>
          <w:sz w:val="24"/>
          <w:szCs w:val="24"/>
        </w:rPr>
        <w:t xml:space="preserve"> de la vigencia </w:t>
      </w:r>
      <w:r w:rsidR="00A969C9" w:rsidRPr="00FB59AC">
        <w:rPr>
          <w:rFonts w:ascii="Times New Roman" w:hAnsi="Times New Roman" w:cs="Times New Roman"/>
          <w:sz w:val="24"/>
          <w:szCs w:val="24"/>
        </w:rPr>
        <w:t>anterior</w:t>
      </w:r>
      <w:r w:rsidR="007E6B98" w:rsidRPr="00FB59AC">
        <w:rPr>
          <w:rFonts w:ascii="Times New Roman" w:hAnsi="Times New Roman" w:cs="Times New Roman"/>
          <w:sz w:val="24"/>
          <w:szCs w:val="24"/>
        </w:rPr>
        <w:t>,</w:t>
      </w:r>
      <w:r w:rsidR="003357C5" w:rsidRPr="00FB59AC">
        <w:rPr>
          <w:rFonts w:ascii="Times New Roman" w:hAnsi="Times New Roman" w:cs="Times New Roman"/>
          <w:sz w:val="24"/>
          <w:szCs w:val="24"/>
        </w:rPr>
        <w:t xml:space="preserve"> y</w:t>
      </w:r>
      <w:r w:rsidR="00A969C9" w:rsidRPr="00FB59AC">
        <w:rPr>
          <w:rFonts w:ascii="Times New Roman" w:hAnsi="Times New Roman" w:cs="Times New Roman"/>
          <w:sz w:val="24"/>
          <w:szCs w:val="24"/>
        </w:rPr>
        <w:t xml:space="preserve"> el saldo</w:t>
      </w:r>
      <w:r w:rsidR="00A4613D" w:rsidRPr="00FB59AC">
        <w:rPr>
          <w:rFonts w:ascii="Times New Roman" w:hAnsi="Times New Roman" w:cs="Times New Roman"/>
          <w:sz w:val="24"/>
          <w:szCs w:val="24"/>
        </w:rPr>
        <w:t xml:space="preserve"> fue</w:t>
      </w:r>
      <w:r w:rsidR="00A969C9" w:rsidRPr="00FB59AC">
        <w:rPr>
          <w:rFonts w:ascii="Times New Roman" w:hAnsi="Times New Roman" w:cs="Times New Roman"/>
          <w:sz w:val="24"/>
          <w:szCs w:val="24"/>
        </w:rPr>
        <w:t xml:space="preserve"> destinado a cubrir </w:t>
      </w:r>
      <w:r w:rsidR="003357C5" w:rsidRPr="00FB59AC">
        <w:rPr>
          <w:rFonts w:ascii="Times New Roman" w:hAnsi="Times New Roman" w:cs="Times New Roman"/>
          <w:sz w:val="24"/>
          <w:szCs w:val="24"/>
        </w:rPr>
        <w:t>otras obligaciones</w:t>
      </w:r>
      <w:r w:rsidR="00901225" w:rsidRPr="00FB59AC">
        <w:rPr>
          <w:rFonts w:ascii="Times New Roman" w:hAnsi="Times New Roman" w:cs="Times New Roman"/>
          <w:sz w:val="24"/>
          <w:szCs w:val="24"/>
        </w:rPr>
        <w:t>.</w:t>
      </w:r>
      <w:r w:rsidR="003357C5" w:rsidRPr="00FB59AC">
        <w:rPr>
          <w:rStyle w:val="FootnoteReference"/>
          <w:rFonts w:ascii="Times New Roman" w:hAnsi="Times New Roman" w:cs="Times New Roman"/>
          <w:sz w:val="24"/>
          <w:szCs w:val="24"/>
        </w:rPr>
        <w:footnoteReference w:id="59"/>
      </w:r>
    </w:p>
    <w:p w14:paraId="7930A125" w14:textId="77777777" w:rsidR="003876EA" w:rsidRPr="00FB59AC" w:rsidRDefault="003876EA" w:rsidP="003876EA">
      <w:pPr>
        <w:spacing w:after="0" w:line="240" w:lineRule="auto"/>
        <w:jc w:val="both"/>
        <w:rPr>
          <w:rFonts w:ascii="Times New Roman" w:hAnsi="Times New Roman" w:cs="Times New Roman"/>
          <w:b/>
          <w:sz w:val="24"/>
          <w:szCs w:val="24"/>
        </w:rPr>
      </w:pPr>
    </w:p>
    <w:p w14:paraId="40075A74" w14:textId="39355810" w:rsidR="003876EA" w:rsidRPr="00FB59AC" w:rsidRDefault="001E03EF" w:rsidP="003876E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Gráfica 2</w:t>
      </w:r>
      <w:r w:rsidR="003876EA" w:rsidRPr="00FB59AC">
        <w:rPr>
          <w:rFonts w:ascii="Times New Roman" w:hAnsi="Times New Roman" w:cs="Times New Roman"/>
          <w:b/>
          <w:sz w:val="24"/>
          <w:szCs w:val="24"/>
        </w:rPr>
        <w:t>. Balance Presupuestal 2008-2011.</w:t>
      </w:r>
    </w:p>
    <w:p w14:paraId="2713E593" w14:textId="03CCEFD2" w:rsidR="003357C5" w:rsidRPr="005D4CDA" w:rsidRDefault="003876EA" w:rsidP="003876EA">
      <w:pPr>
        <w:spacing w:after="0" w:line="240" w:lineRule="auto"/>
        <w:ind w:firstLine="426"/>
        <w:jc w:val="both"/>
        <w:rPr>
          <w:rFonts w:cstheme="minorHAnsi"/>
          <w:sz w:val="24"/>
          <w:szCs w:val="24"/>
        </w:rPr>
      </w:pPr>
      <w:r>
        <w:rPr>
          <w:rFonts w:cstheme="minorHAnsi"/>
          <w:noProof/>
          <w:sz w:val="20"/>
          <w:szCs w:val="20"/>
          <w:lang w:val="en-US" w:eastAsia="en-US"/>
        </w:rPr>
        <w:drawing>
          <wp:inline distT="0" distB="0" distL="0" distR="0" wp14:anchorId="68190EF2" wp14:editId="2BED1D21">
            <wp:extent cx="3821218" cy="2750266"/>
            <wp:effectExtent l="25400" t="25400" r="90805" b="94615"/>
            <wp:docPr id="34"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23789" cy="2752116"/>
                    </a:xfrm>
                    <a:prstGeom prst="rect">
                      <a:avLst/>
                    </a:prstGeom>
                    <a:noFill/>
                    <a:ln>
                      <a:noFill/>
                    </a:ln>
                    <a:effectLst>
                      <a:outerShdw blurRad="50800" dist="38100" dir="2700000" algn="tl" rotWithShape="0">
                        <a:prstClr val="black">
                          <a:alpha val="40000"/>
                        </a:prstClr>
                      </a:outerShdw>
                    </a:effectLst>
                  </pic:spPr>
                </pic:pic>
              </a:graphicData>
            </a:graphic>
          </wp:inline>
        </w:drawing>
      </w:r>
    </w:p>
    <w:p w14:paraId="415B0594" w14:textId="499D4E30" w:rsidR="00BC5806" w:rsidRPr="000A2D2E" w:rsidRDefault="0037565C" w:rsidP="002C7E26">
      <w:pPr>
        <w:spacing w:after="0" w:line="240" w:lineRule="auto"/>
        <w:jc w:val="both"/>
        <w:rPr>
          <w:rFonts w:ascii="Times New Roman" w:hAnsi="Times New Roman" w:cs="Times New Roman"/>
          <w:sz w:val="24"/>
          <w:szCs w:val="24"/>
        </w:rPr>
      </w:pPr>
      <w:r w:rsidRPr="000A2D2E">
        <w:rPr>
          <w:rFonts w:ascii="Times New Roman" w:hAnsi="Times New Roman" w:cs="Times New Roman"/>
          <w:sz w:val="24"/>
          <w:szCs w:val="24"/>
        </w:rPr>
        <w:lastRenderedPageBreak/>
        <w:t xml:space="preserve">Si bien en los años 2009 y 2010 se observa superávit </w:t>
      </w:r>
      <w:r w:rsidR="00BC5806" w:rsidRPr="000A2D2E">
        <w:rPr>
          <w:rFonts w:ascii="Times New Roman" w:hAnsi="Times New Roman" w:cs="Times New Roman"/>
          <w:sz w:val="24"/>
          <w:szCs w:val="24"/>
        </w:rPr>
        <w:t xml:space="preserve">como proporción del ingreso del </w:t>
      </w:r>
      <w:r w:rsidR="00C83306" w:rsidRPr="000A2D2E">
        <w:rPr>
          <w:rFonts w:ascii="Times New Roman" w:hAnsi="Times New Roman" w:cs="Times New Roman"/>
          <w:sz w:val="24"/>
          <w:szCs w:val="24"/>
        </w:rPr>
        <w:t xml:space="preserve">10% y 20% respectivamente, en tales vigencias se </w:t>
      </w:r>
      <w:r w:rsidR="0083286D">
        <w:rPr>
          <w:rFonts w:ascii="Times New Roman" w:hAnsi="Times New Roman" w:cs="Times New Roman"/>
          <w:sz w:val="24"/>
          <w:szCs w:val="24"/>
        </w:rPr>
        <w:t xml:space="preserve">presentan ingresos de Fuentes Financieras </w:t>
      </w:r>
      <w:r w:rsidR="003357C5" w:rsidRPr="000A2D2E">
        <w:rPr>
          <w:rFonts w:ascii="Times New Roman" w:hAnsi="Times New Roman" w:cs="Times New Roman"/>
          <w:sz w:val="24"/>
          <w:szCs w:val="24"/>
        </w:rPr>
        <w:t xml:space="preserve">en cuantías de Q340 </w:t>
      </w:r>
      <w:r w:rsidR="007E6B98" w:rsidRPr="000A2D2E">
        <w:rPr>
          <w:rFonts w:ascii="Times New Roman" w:hAnsi="Times New Roman" w:cs="Times New Roman"/>
          <w:sz w:val="24"/>
          <w:szCs w:val="24"/>
        </w:rPr>
        <w:t>y</w:t>
      </w:r>
      <w:r w:rsidR="003357C5" w:rsidRPr="000A2D2E">
        <w:rPr>
          <w:rFonts w:ascii="Times New Roman" w:hAnsi="Times New Roman" w:cs="Times New Roman"/>
          <w:sz w:val="24"/>
          <w:szCs w:val="24"/>
        </w:rPr>
        <w:t xml:space="preserve"> </w:t>
      </w:r>
      <w:r w:rsidR="007E6B98" w:rsidRPr="000A2D2E">
        <w:rPr>
          <w:rFonts w:ascii="Times New Roman" w:hAnsi="Times New Roman" w:cs="Times New Roman"/>
          <w:sz w:val="24"/>
          <w:szCs w:val="24"/>
        </w:rPr>
        <w:t>Q</w:t>
      </w:r>
      <w:r w:rsidR="003357C5" w:rsidRPr="000A2D2E">
        <w:rPr>
          <w:rFonts w:ascii="Times New Roman" w:hAnsi="Times New Roman" w:cs="Times New Roman"/>
          <w:sz w:val="24"/>
          <w:szCs w:val="24"/>
        </w:rPr>
        <w:t>100 millones</w:t>
      </w:r>
      <w:r w:rsidR="007E6B98" w:rsidRPr="000A2D2E">
        <w:rPr>
          <w:rFonts w:ascii="Times New Roman" w:hAnsi="Times New Roman" w:cs="Times New Roman"/>
          <w:sz w:val="24"/>
          <w:szCs w:val="24"/>
        </w:rPr>
        <w:t>, que los explican en gran medida.</w:t>
      </w:r>
    </w:p>
    <w:p w14:paraId="2E0D5646" w14:textId="77777777" w:rsidR="00EA0C0E" w:rsidRPr="000A2D2E" w:rsidRDefault="00EA0C0E" w:rsidP="002C7E26">
      <w:pPr>
        <w:spacing w:after="0" w:line="240" w:lineRule="auto"/>
        <w:jc w:val="both"/>
        <w:rPr>
          <w:rFonts w:ascii="Times New Roman" w:hAnsi="Times New Roman" w:cs="Times New Roman"/>
          <w:sz w:val="20"/>
          <w:szCs w:val="20"/>
        </w:rPr>
      </w:pPr>
    </w:p>
    <w:p w14:paraId="50B3865B" w14:textId="03C9ABD5" w:rsidR="007E6B98" w:rsidRPr="000A2D2E" w:rsidRDefault="00FA6E6C" w:rsidP="00F37A5F">
      <w:pPr>
        <w:pStyle w:val="Heading4"/>
      </w:pPr>
      <w:bookmarkStart w:id="74" w:name="_Ref214297373"/>
      <w:bookmarkStart w:id="75" w:name="_Toc219009960"/>
      <w:bookmarkStart w:id="76" w:name="_Toc223473029"/>
      <w:r w:rsidRPr="000A2D2E">
        <w:t xml:space="preserve">2.1  </w:t>
      </w:r>
      <w:r w:rsidR="007E6B98" w:rsidRPr="000A2D2E">
        <w:t>Análisis de Sostenibilidad del Gasto de Funcionamiento</w:t>
      </w:r>
      <w:bookmarkEnd w:id="74"/>
      <w:bookmarkEnd w:id="75"/>
      <w:bookmarkEnd w:id="76"/>
    </w:p>
    <w:p w14:paraId="1236437A" w14:textId="77777777" w:rsidR="007E6B98" w:rsidRPr="000A2D2E" w:rsidRDefault="007E6B98" w:rsidP="002C7E26">
      <w:pPr>
        <w:pStyle w:val="ListParagraph"/>
        <w:spacing w:after="0" w:line="240" w:lineRule="auto"/>
        <w:ind w:left="0"/>
        <w:contextualSpacing w:val="0"/>
        <w:jc w:val="both"/>
        <w:rPr>
          <w:rFonts w:ascii="Times New Roman" w:hAnsi="Times New Roman" w:cs="Times New Roman"/>
          <w:sz w:val="24"/>
          <w:szCs w:val="24"/>
        </w:rPr>
      </w:pPr>
    </w:p>
    <w:p w14:paraId="46C760CF" w14:textId="0AD7FA7F" w:rsidR="005E1289" w:rsidRPr="000A2D2E" w:rsidRDefault="009B522D" w:rsidP="002C7E26">
      <w:pPr>
        <w:pStyle w:val="ListParagraph"/>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El Análisis de Sostenibilidad del Gasto de Funcionamiento pretende mostrar la proporción de los recursos</w:t>
      </w:r>
      <w:r w:rsidR="0076707A">
        <w:rPr>
          <w:rFonts w:ascii="Times New Roman" w:hAnsi="Times New Roman" w:cs="Times New Roman"/>
          <w:sz w:val="24"/>
          <w:szCs w:val="24"/>
        </w:rPr>
        <w:t xml:space="preserve"> propios</w:t>
      </w:r>
      <w:r>
        <w:rPr>
          <w:rFonts w:ascii="Times New Roman" w:hAnsi="Times New Roman" w:cs="Times New Roman"/>
          <w:sz w:val="24"/>
          <w:szCs w:val="24"/>
        </w:rPr>
        <w:t xml:space="preserve"> </w:t>
      </w:r>
      <w:r w:rsidR="0076707A" w:rsidRPr="000A2D2E">
        <w:rPr>
          <w:rFonts w:ascii="Times New Roman" w:hAnsi="Times New Roman" w:cs="Times New Roman"/>
          <w:sz w:val="24"/>
          <w:szCs w:val="24"/>
        </w:rPr>
        <w:t xml:space="preserve">de </w:t>
      </w:r>
      <w:r w:rsidR="0076707A" w:rsidRPr="000A2D2E">
        <w:rPr>
          <w:rFonts w:ascii="Times New Roman" w:hAnsi="Times New Roman" w:cs="Times New Roman"/>
          <w:i/>
          <w:iCs/>
          <w:sz w:val="24"/>
          <w:szCs w:val="24"/>
        </w:rPr>
        <w:t>libre destinación</w:t>
      </w:r>
      <w:r w:rsidR="0076707A">
        <w:rPr>
          <w:rFonts w:ascii="Times New Roman" w:hAnsi="Times New Roman" w:cs="Times New Roman"/>
          <w:i/>
          <w:iCs/>
          <w:sz w:val="24"/>
          <w:szCs w:val="24"/>
        </w:rPr>
        <w:t>,</w:t>
      </w:r>
      <w:r w:rsidR="0076707A">
        <w:rPr>
          <w:rFonts w:ascii="Times New Roman" w:hAnsi="Times New Roman" w:cs="Times New Roman"/>
          <w:sz w:val="24"/>
          <w:szCs w:val="24"/>
        </w:rPr>
        <w:t xml:space="preserve"> es decir, </w:t>
      </w:r>
      <w:r>
        <w:rPr>
          <w:rFonts w:ascii="Times New Roman" w:hAnsi="Times New Roman" w:cs="Times New Roman"/>
          <w:sz w:val="24"/>
          <w:szCs w:val="24"/>
        </w:rPr>
        <w:t xml:space="preserve">sin </w:t>
      </w:r>
      <w:r w:rsidR="0076707A">
        <w:rPr>
          <w:rFonts w:ascii="Times New Roman" w:hAnsi="Times New Roman" w:cs="Times New Roman"/>
          <w:sz w:val="24"/>
          <w:szCs w:val="24"/>
        </w:rPr>
        <w:t xml:space="preserve">una </w:t>
      </w:r>
      <w:r>
        <w:rPr>
          <w:rFonts w:ascii="Times New Roman" w:hAnsi="Times New Roman" w:cs="Times New Roman"/>
          <w:sz w:val="24"/>
          <w:szCs w:val="24"/>
        </w:rPr>
        <w:t xml:space="preserve">destinación </w:t>
      </w:r>
      <w:r w:rsidR="0076707A">
        <w:rPr>
          <w:rFonts w:ascii="Times New Roman" w:hAnsi="Times New Roman" w:cs="Times New Roman"/>
          <w:sz w:val="24"/>
          <w:szCs w:val="24"/>
        </w:rPr>
        <w:t>específica legal, normativa o contractual,</w:t>
      </w:r>
      <w:r>
        <w:rPr>
          <w:rFonts w:ascii="Times New Roman" w:hAnsi="Times New Roman" w:cs="Times New Roman"/>
          <w:sz w:val="24"/>
          <w:szCs w:val="24"/>
        </w:rPr>
        <w:t xml:space="preserve"> que se destinan al gasto de funcionamiento</w:t>
      </w:r>
      <w:r w:rsidR="0076707A">
        <w:rPr>
          <w:rFonts w:ascii="Times New Roman" w:hAnsi="Times New Roman" w:cs="Times New Roman"/>
          <w:sz w:val="24"/>
          <w:szCs w:val="24"/>
        </w:rPr>
        <w:t>,</w:t>
      </w:r>
      <w:r>
        <w:rPr>
          <w:rFonts w:ascii="Times New Roman" w:hAnsi="Times New Roman" w:cs="Times New Roman"/>
          <w:sz w:val="24"/>
          <w:szCs w:val="24"/>
        </w:rPr>
        <w:t xml:space="preserve"> para determinar la capacidad de la Municipalidad para financiarlos.</w:t>
      </w:r>
      <w:r w:rsidR="005E1289" w:rsidRPr="000A2D2E">
        <w:rPr>
          <w:rFonts w:ascii="Times New Roman" w:hAnsi="Times New Roman" w:cs="Times New Roman"/>
          <w:sz w:val="24"/>
          <w:szCs w:val="24"/>
        </w:rPr>
        <w:t xml:space="preserve"> </w:t>
      </w:r>
      <w:r w:rsidR="002B06BE" w:rsidRPr="000A2D2E">
        <w:rPr>
          <w:rFonts w:ascii="Times New Roman" w:hAnsi="Times New Roman" w:cs="Times New Roman"/>
          <w:sz w:val="24"/>
          <w:szCs w:val="24"/>
        </w:rPr>
        <w:t xml:space="preserve"> Para este efecto, s</w:t>
      </w:r>
      <w:r w:rsidR="005E1289" w:rsidRPr="000A2D2E">
        <w:rPr>
          <w:rFonts w:ascii="Times New Roman" w:hAnsi="Times New Roman" w:cs="Times New Roman"/>
          <w:sz w:val="24"/>
          <w:szCs w:val="24"/>
        </w:rPr>
        <w:t>e toma</w:t>
      </w:r>
      <w:r w:rsidR="002B06BE" w:rsidRPr="000A2D2E">
        <w:rPr>
          <w:rFonts w:ascii="Times New Roman" w:hAnsi="Times New Roman" w:cs="Times New Roman"/>
          <w:sz w:val="24"/>
          <w:szCs w:val="24"/>
        </w:rPr>
        <w:t>n</w:t>
      </w:r>
      <w:r w:rsidR="005E1289" w:rsidRPr="000A2D2E">
        <w:rPr>
          <w:rFonts w:ascii="Times New Roman" w:hAnsi="Times New Roman" w:cs="Times New Roman"/>
          <w:sz w:val="24"/>
          <w:szCs w:val="24"/>
        </w:rPr>
        <w:t xml:space="preserve"> como base los datos </w:t>
      </w:r>
      <w:r w:rsidR="00837F54" w:rsidRPr="000A2D2E">
        <w:rPr>
          <w:rFonts w:ascii="Times New Roman" w:hAnsi="Times New Roman" w:cs="Times New Roman"/>
          <w:sz w:val="24"/>
          <w:szCs w:val="24"/>
        </w:rPr>
        <w:t>correspondientes</w:t>
      </w:r>
      <w:r w:rsidR="002B06BE" w:rsidRPr="000A2D2E">
        <w:rPr>
          <w:rFonts w:ascii="Times New Roman" w:hAnsi="Times New Roman" w:cs="Times New Roman"/>
          <w:sz w:val="24"/>
          <w:szCs w:val="24"/>
        </w:rPr>
        <w:t xml:space="preserve"> a l</w:t>
      </w:r>
      <w:r w:rsidR="00837F54" w:rsidRPr="000A2D2E">
        <w:rPr>
          <w:rFonts w:ascii="Times New Roman" w:hAnsi="Times New Roman" w:cs="Times New Roman"/>
          <w:sz w:val="24"/>
          <w:szCs w:val="24"/>
        </w:rPr>
        <w:t>a</w:t>
      </w:r>
      <w:r w:rsidR="002B06BE" w:rsidRPr="000A2D2E">
        <w:rPr>
          <w:rFonts w:ascii="Times New Roman" w:hAnsi="Times New Roman" w:cs="Times New Roman"/>
          <w:sz w:val="24"/>
          <w:szCs w:val="24"/>
        </w:rPr>
        <w:t xml:space="preserve"> vigencia fiscal </w:t>
      </w:r>
      <w:r w:rsidR="00837F54" w:rsidRPr="000A2D2E">
        <w:rPr>
          <w:rFonts w:ascii="Times New Roman" w:hAnsi="Times New Roman" w:cs="Times New Roman"/>
          <w:sz w:val="24"/>
          <w:szCs w:val="24"/>
        </w:rPr>
        <w:t>inmediatamente</w:t>
      </w:r>
      <w:r w:rsidR="002B06BE" w:rsidRPr="000A2D2E">
        <w:rPr>
          <w:rFonts w:ascii="Times New Roman" w:hAnsi="Times New Roman" w:cs="Times New Roman"/>
          <w:sz w:val="24"/>
          <w:szCs w:val="24"/>
        </w:rPr>
        <w:t xml:space="preserve"> anterio</w:t>
      </w:r>
      <w:r w:rsidR="00837F54" w:rsidRPr="000A2D2E">
        <w:rPr>
          <w:rFonts w:ascii="Times New Roman" w:hAnsi="Times New Roman" w:cs="Times New Roman"/>
          <w:sz w:val="24"/>
          <w:szCs w:val="24"/>
        </w:rPr>
        <w:t>r</w:t>
      </w:r>
      <w:r w:rsidR="002B06BE" w:rsidRPr="000A2D2E">
        <w:rPr>
          <w:rFonts w:ascii="Times New Roman" w:hAnsi="Times New Roman" w:cs="Times New Roman"/>
          <w:sz w:val="24"/>
          <w:szCs w:val="24"/>
        </w:rPr>
        <w:t xml:space="preserve"> al año de </w:t>
      </w:r>
      <w:r w:rsidR="00837F54" w:rsidRPr="000A2D2E">
        <w:rPr>
          <w:rFonts w:ascii="Times New Roman" w:hAnsi="Times New Roman" w:cs="Times New Roman"/>
          <w:sz w:val="24"/>
          <w:szCs w:val="24"/>
        </w:rPr>
        <w:t>análisis</w:t>
      </w:r>
      <w:r w:rsidR="002B06BE" w:rsidRPr="000A2D2E">
        <w:rPr>
          <w:rFonts w:ascii="Times New Roman" w:hAnsi="Times New Roman" w:cs="Times New Roman"/>
          <w:sz w:val="24"/>
          <w:szCs w:val="24"/>
        </w:rPr>
        <w:t xml:space="preserve">, esto es, los datos del año </w:t>
      </w:r>
      <w:r w:rsidR="005E1289" w:rsidRPr="000A2D2E">
        <w:rPr>
          <w:rFonts w:ascii="Times New Roman" w:hAnsi="Times New Roman" w:cs="Times New Roman"/>
          <w:sz w:val="24"/>
          <w:szCs w:val="24"/>
        </w:rPr>
        <w:t>2011</w:t>
      </w:r>
      <w:r w:rsidR="000D11CE" w:rsidRPr="000A2D2E">
        <w:rPr>
          <w:rFonts w:ascii="Times New Roman" w:hAnsi="Times New Roman" w:cs="Times New Roman"/>
          <w:sz w:val="24"/>
          <w:szCs w:val="24"/>
        </w:rPr>
        <w:t>.</w:t>
      </w:r>
    </w:p>
    <w:p w14:paraId="69D9B598" w14:textId="77777777" w:rsidR="00137201" w:rsidRPr="000A2D2E" w:rsidRDefault="00137201" w:rsidP="002C7E26">
      <w:pPr>
        <w:pStyle w:val="ListParagraph"/>
        <w:spacing w:after="0" w:line="240" w:lineRule="auto"/>
        <w:ind w:left="0"/>
        <w:contextualSpacing w:val="0"/>
        <w:jc w:val="both"/>
        <w:rPr>
          <w:rFonts w:ascii="Times New Roman" w:hAnsi="Times New Roman" w:cs="Times New Roman"/>
          <w:sz w:val="24"/>
          <w:szCs w:val="24"/>
        </w:rPr>
      </w:pPr>
    </w:p>
    <w:p w14:paraId="27A3CF81" w14:textId="07C63DC0" w:rsidR="00137201" w:rsidRPr="000D4C0E" w:rsidRDefault="00137201" w:rsidP="00F37A5F">
      <w:pPr>
        <w:pStyle w:val="Heading5"/>
        <w:rPr>
          <w:color w:val="4F81BD" w:themeColor="accent1"/>
        </w:rPr>
      </w:pPr>
      <w:bookmarkStart w:id="77" w:name="_Ref214297395"/>
      <w:bookmarkStart w:id="78" w:name="_Toc219009961"/>
      <w:bookmarkStart w:id="79" w:name="_Toc223473030"/>
      <w:r w:rsidRPr="000D4C0E">
        <w:rPr>
          <w:color w:val="4F81BD" w:themeColor="accent1"/>
        </w:rPr>
        <w:t>Consideraciones técnicas</w:t>
      </w:r>
      <w:bookmarkEnd w:id="77"/>
      <w:bookmarkEnd w:id="78"/>
      <w:bookmarkEnd w:id="79"/>
    </w:p>
    <w:p w14:paraId="54052479" w14:textId="77777777" w:rsidR="004E35A6" w:rsidRPr="000A2D2E" w:rsidRDefault="004E35A6" w:rsidP="002C7E26">
      <w:pPr>
        <w:pStyle w:val="ListParagraph"/>
        <w:spacing w:after="0" w:line="240" w:lineRule="auto"/>
        <w:ind w:left="0"/>
        <w:contextualSpacing w:val="0"/>
        <w:jc w:val="both"/>
        <w:rPr>
          <w:rFonts w:ascii="Times New Roman" w:hAnsi="Times New Roman" w:cs="Times New Roman"/>
          <w:sz w:val="24"/>
          <w:szCs w:val="24"/>
        </w:rPr>
      </w:pPr>
    </w:p>
    <w:p w14:paraId="525C4D3F" w14:textId="1FF6555A" w:rsidR="00695455" w:rsidRPr="000A2D2E" w:rsidRDefault="00137201" w:rsidP="002C7E26">
      <w:pPr>
        <w:pStyle w:val="ListParagraph"/>
        <w:spacing w:after="0" w:line="240" w:lineRule="auto"/>
        <w:ind w:left="0"/>
        <w:contextualSpacing w:val="0"/>
        <w:jc w:val="both"/>
        <w:rPr>
          <w:rFonts w:ascii="Times New Roman" w:hAnsi="Times New Roman" w:cs="Times New Roman"/>
          <w:sz w:val="24"/>
          <w:szCs w:val="24"/>
        </w:rPr>
      </w:pPr>
      <w:r w:rsidRPr="000A2D2E">
        <w:rPr>
          <w:rFonts w:ascii="Times New Roman" w:hAnsi="Times New Roman" w:cs="Times New Roman"/>
          <w:sz w:val="24"/>
          <w:szCs w:val="24"/>
        </w:rPr>
        <w:t>Para este cálculo se descuenta del</w:t>
      </w:r>
      <w:r w:rsidRPr="000A2D2E">
        <w:rPr>
          <w:rFonts w:ascii="Times New Roman" w:hAnsi="Times New Roman" w:cs="Times New Roman"/>
          <w:b/>
          <w:sz w:val="24"/>
          <w:szCs w:val="24"/>
        </w:rPr>
        <w:t xml:space="preserve"> </w:t>
      </w:r>
      <w:r w:rsidR="00A66ADD" w:rsidRPr="000A2D2E">
        <w:rPr>
          <w:rFonts w:ascii="Times New Roman" w:hAnsi="Times New Roman" w:cs="Times New Roman"/>
          <w:sz w:val="24"/>
          <w:szCs w:val="24"/>
        </w:rPr>
        <w:t xml:space="preserve">ingreso tributario el monto correspondiente al Convenio </w:t>
      </w:r>
      <w:r w:rsidR="00434F76" w:rsidRPr="000A2D2E">
        <w:rPr>
          <w:rFonts w:ascii="Times New Roman" w:hAnsi="Times New Roman" w:cs="Times New Roman"/>
          <w:sz w:val="24"/>
          <w:szCs w:val="24"/>
        </w:rPr>
        <w:t xml:space="preserve">de </w:t>
      </w:r>
      <w:r w:rsidR="00A66ADD" w:rsidRPr="000A2D2E">
        <w:rPr>
          <w:rFonts w:ascii="Times New Roman" w:hAnsi="Times New Roman" w:cs="Times New Roman"/>
          <w:sz w:val="24"/>
          <w:szCs w:val="24"/>
        </w:rPr>
        <w:t xml:space="preserve">Pago </w:t>
      </w:r>
      <w:r w:rsidR="00710D95" w:rsidRPr="000A2D2E">
        <w:rPr>
          <w:rFonts w:ascii="Times New Roman" w:hAnsi="Times New Roman" w:cs="Times New Roman"/>
          <w:sz w:val="24"/>
          <w:szCs w:val="24"/>
        </w:rPr>
        <w:t>I</w:t>
      </w:r>
      <w:r w:rsidR="00A66ADD" w:rsidRPr="000A2D2E">
        <w:rPr>
          <w:rFonts w:ascii="Times New Roman" w:hAnsi="Times New Roman" w:cs="Times New Roman"/>
          <w:sz w:val="24"/>
          <w:szCs w:val="24"/>
        </w:rPr>
        <w:t>USI (recuperación de cartera</w:t>
      </w:r>
      <w:r w:rsidR="0038179D" w:rsidRPr="000A2D2E">
        <w:rPr>
          <w:rFonts w:ascii="Times New Roman" w:hAnsi="Times New Roman" w:cs="Times New Roman"/>
          <w:sz w:val="24"/>
          <w:szCs w:val="24"/>
        </w:rPr>
        <w:t>)</w:t>
      </w:r>
      <w:r w:rsidR="00A66ADD" w:rsidRPr="000A2D2E">
        <w:rPr>
          <w:rFonts w:ascii="Times New Roman" w:hAnsi="Times New Roman" w:cs="Times New Roman"/>
          <w:sz w:val="24"/>
          <w:szCs w:val="24"/>
        </w:rPr>
        <w:t>, el cuál técnicamente corresponde a recursos de capital</w:t>
      </w:r>
      <w:r w:rsidRPr="000A2D2E">
        <w:rPr>
          <w:rFonts w:ascii="Times New Roman" w:hAnsi="Times New Roman" w:cs="Times New Roman"/>
          <w:sz w:val="24"/>
          <w:szCs w:val="24"/>
        </w:rPr>
        <w:t>;</w:t>
      </w:r>
      <w:r w:rsidR="00A66ADD" w:rsidRPr="000A2D2E">
        <w:rPr>
          <w:rFonts w:ascii="Times New Roman" w:hAnsi="Times New Roman" w:cs="Times New Roman"/>
          <w:sz w:val="24"/>
          <w:szCs w:val="24"/>
        </w:rPr>
        <w:t xml:space="preserve"> también se excluye el impuesto sobre los derivados del petróleo, el cual tiene afectación especial</w:t>
      </w:r>
      <w:r w:rsidRPr="000A2D2E">
        <w:rPr>
          <w:rFonts w:ascii="Times New Roman" w:hAnsi="Times New Roman" w:cs="Times New Roman"/>
          <w:sz w:val="24"/>
          <w:szCs w:val="24"/>
        </w:rPr>
        <w:t>;</w:t>
      </w:r>
      <w:r w:rsidR="00A66ADD" w:rsidRPr="000A2D2E">
        <w:rPr>
          <w:rStyle w:val="FootnoteReference"/>
          <w:rFonts w:ascii="Times New Roman" w:hAnsi="Times New Roman" w:cs="Times New Roman"/>
          <w:sz w:val="24"/>
          <w:szCs w:val="24"/>
        </w:rPr>
        <w:footnoteReference w:id="60"/>
      </w:r>
      <w:r w:rsidR="0047105C" w:rsidRPr="000A2D2E">
        <w:rPr>
          <w:rFonts w:ascii="Times New Roman" w:hAnsi="Times New Roman" w:cs="Times New Roman"/>
          <w:sz w:val="24"/>
          <w:szCs w:val="24"/>
        </w:rPr>
        <w:t xml:space="preserve"> se reclasifican las transferencias</w:t>
      </w:r>
      <w:r w:rsidR="0008764D" w:rsidRPr="000A2D2E">
        <w:rPr>
          <w:rFonts w:ascii="Times New Roman" w:hAnsi="Times New Roman" w:cs="Times New Roman"/>
          <w:sz w:val="24"/>
          <w:szCs w:val="24"/>
        </w:rPr>
        <w:t xml:space="preserve">: aportes por mandato </w:t>
      </w:r>
      <w:r w:rsidR="0047105C" w:rsidRPr="000A2D2E">
        <w:rPr>
          <w:rFonts w:ascii="Times New Roman" w:hAnsi="Times New Roman" w:cs="Times New Roman"/>
          <w:sz w:val="24"/>
          <w:szCs w:val="24"/>
        </w:rPr>
        <w:t>constitucional</w:t>
      </w:r>
      <w:r w:rsidR="0008764D" w:rsidRPr="000A2D2E">
        <w:rPr>
          <w:rFonts w:ascii="Times New Roman" w:hAnsi="Times New Roman" w:cs="Times New Roman"/>
          <w:sz w:val="24"/>
          <w:szCs w:val="24"/>
        </w:rPr>
        <w:t xml:space="preserve"> y</w:t>
      </w:r>
      <w:r w:rsidR="0047105C" w:rsidRPr="000A2D2E">
        <w:rPr>
          <w:rFonts w:ascii="Times New Roman" w:hAnsi="Times New Roman" w:cs="Times New Roman"/>
          <w:sz w:val="24"/>
          <w:szCs w:val="24"/>
        </w:rPr>
        <w:t xml:space="preserve"> los ingresos tributarios por concepto de </w:t>
      </w:r>
      <w:r w:rsidR="00BB6AAA" w:rsidRPr="000A2D2E">
        <w:rPr>
          <w:rFonts w:ascii="Times New Roman" w:hAnsi="Times New Roman" w:cs="Times New Roman"/>
          <w:sz w:val="24"/>
          <w:szCs w:val="24"/>
        </w:rPr>
        <w:t>IVA PAZ</w:t>
      </w:r>
      <w:r w:rsidR="0038179D" w:rsidRPr="000A2D2E">
        <w:rPr>
          <w:rFonts w:ascii="Times New Roman" w:hAnsi="Times New Roman" w:cs="Times New Roman"/>
          <w:sz w:val="24"/>
          <w:szCs w:val="24"/>
        </w:rPr>
        <w:t>, l</w:t>
      </w:r>
      <w:r w:rsidR="0008764D" w:rsidRPr="000A2D2E">
        <w:rPr>
          <w:rFonts w:ascii="Times New Roman" w:hAnsi="Times New Roman" w:cs="Times New Roman"/>
          <w:sz w:val="24"/>
          <w:szCs w:val="24"/>
        </w:rPr>
        <w:t>o</w:t>
      </w:r>
      <w:r w:rsidR="0038179D" w:rsidRPr="000A2D2E">
        <w:rPr>
          <w:rFonts w:ascii="Times New Roman" w:hAnsi="Times New Roman" w:cs="Times New Roman"/>
          <w:sz w:val="24"/>
          <w:szCs w:val="24"/>
        </w:rPr>
        <w:t xml:space="preserve">s cuales son aportes regulares, </w:t>
      </w:r>
      <w:r w:rsidR="0008764D" w:rsidRPr="000A2D2E">
        <w:rPr>
          <w:rFonts w:ascii="Times New Roman" w:hAnsi="Times New Roman" w:cs="Times New Roman"/>
          <w:sz w:val="24"/>
          <w:szCs w:val="24"/>
        </w:rPr>
        <w:t xml:space="preserve">pero solo </w:t>
      </w:r>
      <w:r w:rsidR="0038179D" w:rsidRPr="000A2D2E">
        <w:rPr>
          <w:rFonts w:ascii="Times New Roman" w:hAnsi="Times New Roman" w:cs="Times New Roman"/>
          <w:sz w:val="24"/>
          <w:szCs w:val="24"/>
        </w:rPr>
        <w:t>en los porcentajes de libre destinación</w:t>
      </w:r>
      <w:r w:rsidR="0008764D" w:rsidRPr="000A2D2E">
        <w:rPr>
          <w:rFonts w:ascii="Times New Roman" w:hAnsi="Times New Roman" w:cs="Times New Roman"/>
          <w:sz w:val="24"/>
          <w:szCs w:val="24"/>
        </w:rPr>
        <w:t>,</w:t>
      </w:r>
      <w:r w:rsidR="0038179D" w:rsidRPr="000A2D2E">
        <w:rPr>
          <w:rFonts w:ascii="Times New Roman" w:hAnsi="Times New Roman" w:cs="Times New Roman"/>
          <w:sz w:val="24"/>
          <w:szCs w:val="24"/>
        </w:rPr>
        <w:t xml:space="preserve"> 10% y 25%, respectivamente.</w:t>
      </w:r>
    </w:p>
    <w:p w14:paraId="0AEF78B4" w14:textId="77777777" w:rsidR="00615B47" w:rsidRPr="000A2D2E" w:rsidRDefault="00615B47" w:rsidP="002C7E26">
      <w:pPr>
        <w:pStyle w:val="ListParagraph"/>
        <w:spacing w:after="0" w:line="240" w:lineRule="auto"/>
        <w:ind w:left="0"/>
        <w:contextualSpacing w:val="0"/>
        <w:jc w:val="both"/>
        <w:rPr>
          <w:rFonts w:ascii="Times New Roman" w:hAnsi="Times New Roman" w:cs="Times New Roman"/>
          <w:sz w:val="24"/>
          <w:szCs w:val="24"/>
        </w:rPr>
      </w:pPr>
    </w:p>
    <w:p w14:paraId="04B43B0E" w14:textId="34BE3CDA" w:rsidR="00427DC3" w:rsidRPr="000A2D2E" w:rsidRDefault="00615B47" w:rsidP="002C7E26">
      <w:pPr>
        <w:pStyle w:val="ListParagraph"/>
        <w:spacing w:after="0" w:line="240" w:lineRule="auto"/>
        <w:ind w:left="0"/>
        <w:contextualSpacing w:val="0"/>
        <w:jc w:val="both"/>
        <w:rPr>
          <w:rFonts w:ascii="Times New Roman" w:hAnsi="Times New Roman" w:cs="Times New Roman"/>
          <w:sz w:val="24"/>
          <w:szCs w:val="24"/>
        </w:rPr>
      </w:pPr>
      <w:r w:rsidRPr="000A2D2E">
        <w:rPr>
          <w:rFonts w:ascii="Times New Roman" w:hAnsi="Times New Roman" w:cs="Times New Roman"/>
          <w:sz w:val="24"/>
          <w:szCs w:val="24"/>
        </w:rPr>
        <w:t xml:space="preserve">De igual </w:t>
      </w:r>
      <w:r w:rsidR="00A42EA8" w:rsidRPr="000A2D2E">
        <w:rPr>
          <w:rFonts w:ascii="Times New Roman" w:hAnsi="Times New Roman" w:cs="Times New Roman"/>
          <w:sz w:val="24"/>
          <w:szCs w:val="24"/>
        </w:rPr>
        <w:t>modo</w:t>
      </w:r>
      <w:r w:rsidRPr="000A2D2E">
        <w:rPr>
          <w:rFonts w:ascii="Times New Roman" w:hAnsi="Times New Roman" w:cs="Times New Roman"/>
          <w:sz w:val="24"/>
          <w:szCs w:val="24"/>
        </w:rPr>
        <w:t>, s</w:t>
      </w:r>
      <w:r w:rsidR="00427DC3" w:rsidRPr="000A2D2E">
        <w:rPr>
          <w:rFonts w:ascii="Times New Roman" w:hAnsi="Times New Roman" w:cs="Times New Roman"/>
          <w:sz w:val="24"/>
          <w:szCs w:val="24"/>
        </w:rPr>
        <w:t>e excluye</w:t>
      </w:r>
      <w:r w:rsidR="001C65AF" w:rsidRPr="000A2D2E">
        <w:rPr>
          <w:rFonts w:ascii="Times New Roman" w:hAnsi="Times New Roman" w:cs="Times New Roman"/>
          <w:sz w:val="24"/>
          <w:szCs w:val="24"/>
        </w:rPr>
        <w:t>n</w:t>
      </w:r>
      <w:r w:rsidR="00427DC3" w:rsidRPr="000A2D2E">
        <w:rPr>
          <w:rFonts w:ascii="Times New Roman" w:hAnsi="Times New Roman" w:cs="Times New Roman"/>
          <w:sz w:val="24"/>
          <w:szCs w:val="24"/>
        </w:rPr>
        <w:t xml:space="preserve"> del ingreso corriente las donaciones y aportes de empresas privadas y organismos </w:t>
      </w:r>
      <w:r w:rsidR="00137201" w:rsidRPr="000A2D2E">
        <w:rPr>
          <w:rFonts w:ascii="Times New Roman" w:hAnsi="Times New Roman" w:cs="Times New Roman"/>
          <w:sz w:val="24"/>
          <w:szCs w:val="24"/>
        </w:rPr>
        <w:t>e instituciones internacionales</w:t>
      </w:r>
      <w:r w:rsidR="00427DC3" w:rsidRPr="000A2D2E">
        <w:rPr>
          <w:rFonts w:ascii="Times New Roman" w:hAnsi="Times New Roman" w:cs="Times New Roman"/>
          <w:sz w:val="24"/>
          <w:szCs w:val="24"/>
        </w:rPr>
        <w:t xml:space="preserve"> (denominada en el presupuesto como “transferencias corrientes”)</w:t>
      </w:r>
      <w:r w:rsidR="00137201" w:rsidRPr="000A2D2E">
        <w:rPr>
          <w:rFonts w:ascii="Times New Roman" w:hAnsi="Times New Roman" w:cs="Times New Roman"/>
          <w:sz w:val="24"/>
          <w:szCs w:val="24"/>
        </w:rPr>
        <w:t>,</w:t>
      </w:r>
      <w:r w:rsidR="00427DC3" w:rsidRPr="000A2D2E">
        <w:rPr>
          <w:rFonts w:ascii="Times New Roman" w:hAnsi="Times New Roman" w:cs="Times New Roman"/>
          <w:sz w:val="24"/>
          <w:szCs w:val="24"/>
        </w:rPr>
        <w:t xml:space="preserve"> </w:t>
      </w:r>
      <w:r w:rsidR="00462E43" w:rsidRPr="000A2D2E">
        <w:rPr>
          <w:rFonts w:ascii="Times New Roman" w:hAnsi="Times New Roman" w:cs="Times New Roman"/>
          <w:sz w:val="24"/>
          <w:szCs w:val="24"/>
        </w:rPr>
        <w:t xml:space="preserve">dado que </w:t>
      </w:r>
      <w:r w:rsidR="00427DC3" w:rsidRPr="000A2D2E">
        <w:rPr>
          <w:rFonts w:ascii="Times New Roman" w:hAnsi="Times New Roman" w:cs="Times New Roman"/>
          <w:sz w:val="24"/>
          <w:szCs w:val="24"/>
        </w:rPr>
        <w:t>por su naturaleza no son recurrentes, como tampoco estables en el tiempo, además tienen destinación en proyectos de inversión específicos.</w:t>
      </w:r>
    </w:p>
    <w:p w14:paraId="114A3CC4" w14:textId="77777777" w:rsidR="0008764D" w:rsidRPr="000A2D2E" w:rsidRDefault="0008764D" w:rsidP="002C7E26">
      <w:pPr>
        <w:pStyle w:val="ListParagraph"/>
        <w:spacing w:after="0" w:line="240" w:lineRule="auto"/>
        <w:ind w:left="0"/>
        <w:contextualSpacing w:val="0"/>
        <w:jc w:val="both"/>
        <w:rPr>
          <w:rFonts w:ascii="Times New Roman" w:hAnsi="Times New Roman" w:cs="Times New Roman"/>
          <w:sz w:val="24"/>
          <w:szCs w:val="24"/>
        </w:rPr>
      </w:pPr>
    </w:p>
    <w:p w14:paraId="6809D2EA" w14:textId="7ECD034A" w:rsidR="007D2B43" w:rsidRPr="000A2D2E" w:rsidRDefault="00427DC3" w:rsidP="002C7E26">
      <w:pPr>
        <w:pStyle w:val="ListParagraph"/>
        <w:spacing w:after="0" w:line="240" w:lineRule="auto"/>
        <w:ind w:left="0"/>
        <w:contextualSpacing w:val="0"/>
        <w:jc w:val="both"/>
        <w:rPr>
          <w:rFonts w:ascii="Times New Roman" w:hAnsi="Times New Roman" w:cs="Times New Roman"/>
          <w:sz w:val="24"/>
          <w:szCs w:val="24"/>
        </w:rPr>
      </w:pPr>
      <w:r w:rsidRPr="000A2D2E">
        <w:rPr>
          <w:rFonts w:ascii="Times New Roman" w:hAnsi="Times New Roman" w:cs="Times New Roman"/>
          <w:sz w:val="24"/>
          <w:szCs w:val="24"/>
        </w:rPr>
        <w:t xml:space="preserve">De otra parte, </w:t>
      </w:r>
      <w:r w:rsidR="0008764D" w:rsidRPr="000A2D2E">
        <w:rPr>
          <w:rFonts w:ascii="Times New Roman" w:hAnsi="Times New Roman" w:cs="Times New Roman"/>
          <w:sz w:val="24"/>
          <w:szCs w:val="24"/>
        </w:rPr>
        <w:t xml:space="preserve">los flujos financieros del Fideicomiso de Apoyo a la Planificación Urbana </w:t>
      </w:r>
      <w:r w:rsidR="00A42EA8" w:rsidRPr="000A2D2E">
        <w:rPr>
          <w:rFonts w:ascii="Times New Roman" w:hAnsi="Times New Roman" w:cs="Times New Roman"/>
          <w:sz w:val="24"/>
          <w:szCs w:val="24"/>
        </w:rPr>
        <w:t xml:space="preserve">(FAPU) </w:t>
      </w:r>
      <w:r w:rsidR="0008764D" w:rsidRPr="000A2D2E">
        <w:rPr>
          <w:rFonts w:ascii="Times New Roman" w:hAnsi="Times New Roman" w:cs="Times New Roman"/>
          <w:sz w:val="24"/>
          <w:szCs w:val="24"/>
        </w:rPr>
        <w:t>para los años 20</w:t>
      </w:r>
      <w:r w:rsidRPr="000A2D2E">
        <w:rPr>
          <w:rFonts w:ascii="Times New Roman" w:hAnsi="Times New Roman" w:cs="Times New Roman"/>
          <w:sz w:val="24"/>
          <w:szCs w:val="24"/>
        </w:rPr>
        <w:t>10</w:t>
      </w:r>
      <w:r w:rsidR="0008764D" w:rsidRPr="000A2D2E">
        <w:rPr>
          <w:rFonts w:ascii="Times New Roman" w:hAnsi="Times New Roman" w:cs="Times New Roman"/>
          <w:sz w:val="24"/>
          <w:szCs w:val="24"/>
        </w:rPr>
        <w:t>-2011</w:t>
      </w:r>
      <w:r w:rsidRPr="000A2D2E">
        <w:rPr>
          <w:rStyle w:val="FootnoteReference"/>
          <w:rFonts w:ascii="Times New Roman" w:hAnsi="Times New Roman" w:cs="Times New Roman"/>
          <w:sz w:val="24"/>
          <w:szCs w:val="24"/>
        </w:rPr>
        <w:footnoteReference w:id="61"/>
      </w:r>
      <w:r w:rsidR="0008764D" w:rsidRPr="000A2D2E">
        <w:rPr>
          <w:rFonts w:ascii="Times New Roman" w:hAnsi="Times New Roman" w:cs="Times New Roman"/>
          <w:sz w:val="24"/>
          <w:szCs w:val="24"/>
        </w:rPr>
        <w:t xml:space="preserve"> evidencian que el ingreso por concepto de IUSI</w:t>
      </w:r>
      <w:r w:rsidR="00A47949" w:rsidRPr="000A2D2E">
        <w:rPr>
          <w:rFonts w:ascii="Times New Roman" w:hAnsi="Times New Roman" w:cs="Times New Roman"/>
          <w:sz w:val="24"/>
          <w:szCs w:val="24"/>
        </w:rPr>
        <w:t xml:space="preserve">, entre otros aportes de la </w:t>
      </w:r>
      <w:r w:rsidR="00CD0EF7" w:rsidRPr="000A2D2E">
        <w:rPr>
          <w:rFonts w:ascii="Times New Roman" w:hAnsi="Times New Roman" w:cs="Times New Roman"/>
          <w:sz w:val="24"/>
          <w:szCs w:val="24"/>
        </w:rPr>
        <w:t>M</w:t>
      </w:r>
      <w:r w:rsidR="00A47949" w:rsidRPr="000A2D2E">
        <w:rPr>
          <w:rFonts w:ascii="Times New Roman" w:hAnsi="Times New Roman" w:cs="Times New Roman"/>
          <w:sz w:val="24"/>
          <w:szCs w:val="24"/>
        </w:rPr>
        <w:t>unicipalidad</w:t>
      </w:r>
      <w:r w:rsidR="00A47949" w:rsidRPr="000A2D2E">
        <w:rPr>
          <w:rStyle w:val="FootnoteReference"/>
          <w:rFonts w:ascii="Times New Roman" w:hAnsi="Times New Roman" w:cs="Times New Roman"/>
          <w:sz w:val="24"/>
          <w:szCs w:val="24"/>
        </w:rPr>
        <w:footnoteReference w:id="62"/>
      </w:r>
      <w:r w:rsidR="00A47949" w:rsidRPr="000A2D2E">
        <w:rPr>
          <w:rFonts w:ascii="Times New Roman" w:hAnsi="Times New Roman" w:cs="Times New Roman"/>
          <w:sz w:val="24"/>
          <w:szCs w:val="24"/>
        </w:rPr>
        <w:t xml:space="preserve"> </w:t>
      </w:r>
      <w:r w:rsidR="00A80130" w:rsidRPr="000A2D2E">
        <w:rPr>
          <w:rFonts w:ascii="Times New Roman" w:hAnsi="Times New Roman" w:cs="Times New Roman"/>
          <w:sz w:val="24"/>
          <w:szCs w:val="24"/>
        </w:rPr>
        <w:t xml:space="preserve">está destinado de manera prioritaria al financiamiento del fideicomiso. </w:t>
      </w:r>
      <w:r w:rsidR="00137201" w:rsidRPr="000A2D2E">
        <w:rPr>
          <w:rFonts w:ascii="Times New Roman" w:hAnsi="Times New Roman" w:cs="Times New Roman"/>
          <w:sz w:val="24"/>
          <w:szCs w:val="24"/>
        </w:rPr>
        <w:t xml:space="preserve"> </w:t>
      </w:r>
      <w:r w:rsidR="00A80130" w:rsidRPr="000A2D2E">
        <w:rPr>
          <w:rFonts w:ascii="Times New Roman" w:hAnsi="Times New Roman" w:cs="Times New Roman"/>
          <w:sz w:val="24"/>
          <w:szCs w:val="24"/>
        </w:rPr>
        <w:t xml:space="preserve">Dado que en la escala de prioridades de gasto que debe atender el fideicomiso </w:t>
      </w:r>
      <w:r w:rsidR="00FA3FDE" w:rsidRPr="000A2D2E">
        <w:rPr>
          <w:rFonts w:ascii="Times New Roman" w:hAnsi="Times New Roman" w:cs="Times New Roman"/>
          <w:sz w:val="24"/>
          <w:szCs w:val="24"/>
        </w:rPr>
        <w:t xml:space="preserve">señala </w:t>
      </w:r>
      <w:r w:rsidR="00A80130" w:rsidRPr="000A2D2E">
        <w:rPr>
          <w:rFonts w:ascii="Times New Roman" w:hAnsi="Times New Roman" w:cs="Times New Roman"/>
          <w:sz w:val="24"/>
          <w:szCs w:val="24"/>
        </w:rPr>
        <w:t xml:space="preserve">en primer orden el servicio de la deuda del crédito sindicado por valor de Q399,9 millones, puede esta renta estar pignorada </w:t>
      </w:r>
      <w:r w:rsidR="00FA3FDE" w:rsidRPr="000A2D2E">
        <w:rPr>
          <w:rFonts w:ascii="Times New Roman" w:hAnsi="Times New Roman" w:cs="Times New Roman"/>
          <w:sz w:val="24"/>
          <w:szCs w:val="24"/>
        </w:rPr>
        <w:t xml:space="preserve">con </w:t>
      </w:r>
      <w:r w:rsidR="00A80130" w:rsidRPr="000A2D2E">
        <w:rPr>
          <w:rFonts w:ascii="Times New Roman" w:hAnsi="Times New Roman" w:cs="Times New Roman"/>
          <w:sz w:val="24"/>
          <w:szCs w:val="24"/>
        </w:rPr>
        <w:t>dicha obligación</w:t>
      </w:r>
      <w:r w:rsidR="00137201" w:rsidRPr="000A2D2E">
        <w:rPr>
          <w:rFonts w:ascii="Times New Roman" w:hAnsi="Times New Roman" w:cs="Times New Roman"/>
          <w:sz w:val="24"/>
          <w:szCs w:val="24"/>
        </w:rPr>
        <w:t>.</w:t>
      </w:r>
      <w:r w:rsidR="00A80130" w:rsidRPr="000A2D2E">
        <w:rPr>
          <w:rStyle w:val="FootnoteReference"/>
          <w:rFonts w:ascii="Times New Roman" w:hAnsi="Times New Roman" w:cs="Times New Roman"/>
          <w:sz w:val="24"/>
          <w:szCs w:val="24"/>
        </w:rPr>
        <w:footnoteReference w:id="63"/>
      </w:r>
    </w:p>
    <w:p w14:paraId="645C8638" w14:textId="77777777" w:rsidR="0080158F" w:rsidRPr="000A2D2E" w:rsidRDefault="0080158F" w:rsidP="00CA0365">
      <w:pPr>
        <w:spacing w:after="0" w:line="240" w:lineRule="auto"/>
        <w:rPr>
          <w:rFonts w:ascii="Times New Roman" w:hAnsi="Times New Roman" w:cs="Times New Roman"/>
          <w:b/>
          <w:sz w:val="20"/>
          <w:szCs w:val="20"/>
        </w:rPr>
      </w:pPr>
    </w:p>
    <w:p w14:paraId="2904505F" w14:textId="77777777" w:rsidR="00CB7F88" w:rsidRDefault="00CB7F88">
      <w:pPr>
        <w:rPr>
          <w:rFonts w:ascii="Times New Roman" w:hAnsi="Times New Roman" w:cs="Times New Roman"/>
          <w:b/>
          <w:sz w:val="24"/>
          <w:szCs w:val="24"/>
        </w:rPr>
      </w:pPr>
      <w:r>
        <w:rPr>
          <w:rFonts w:ascii="Times New Roman" w:hAnsi="Times New Roman" w:cs="Times New Roman"/>
          <w:b/>
          <w:sz w:val="24"/>
          <w:szCs w:val="24"/>
        </w:rPr>
        <w:br w:type="page"/>
      </w:r>
    </w:p>
    <w:p w14:paraId="689B5CF8" w14:textId="4ED052C6" w:rsidR="00CA0365" w:rsidRPr="000A2D2E" w:rsidRDefault="000D4C0E" w:rsidP="00CA0365">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Cuadro 6</w:t>
      </w:r>
      <w:r w:rsidR="00CA0365" w:rsidRPr="000A2D2E">
        <w:rPr>
          <w:rFonts w:ascii="Times New Roman" w:hAnsi="Times New Roman" w:cs="Times New Roman"/>
          <w:b/>
          <w:sz w:val="24"/>
          <w:szCs w:val="24"/>
        </w:rPr>
        <w:t>. Ingreso Corriente de Libre Destinación.</w:t>
      </w:r>
    </w:p>
    <w:p w14:paraId="379DE8A8" w14:textId="40FD098F" w:rsidR="004420C0" w:rsidRPr="000A2D2E" w:rsidRDefault="004420C0" w:rsidP="0080158F">
      <w:pPr>
        <w:spacing w:after="0" w:line="240" w:lineRule="auto"/>
        <w:jc w:val="both"/>
        <w:rPr>
          <w:rFonts w:ascii="Times New Roman" w:hAnsi="Times New Roman" w:cs="Times New Roman"/>
          <w:b/>
          <w:sz w:val="20"/>
          <w:szCs w:val="20"/>
        </w:rPr>
      </w:pPr>
      <w:r w:rsidRPr="000A2D2E">
        <w:rPr>
          <w:rFonts w:ascii="Times New Roman" w:hAnsi="Times New Roman" w:cs="Times New Roman"/>
          <w:b/>
          <w:sz w:val="20"/>
          <w:szCs w:val="20"/>
        </w:rPr>
        <w:t>Cálculo del Ingreso Corriente de Libre Destinación en millones Q</w:t>
      </w:r>
    </w:p>
    <w:p w14:paraId="3FF3552A" w14:textId="77777777" w:rsidR="007D2B43" w:rsidRPr="00896445" w:rsidRDefault="0047105C" w:rsidP="00CA0365">
      <w:pPr>
        <w:pStyle w:val="ListParagraph"/>
        <w:spacing w:after="0" w:line="240" w:lineRule="auto"/>
        <w:ind w:left="0"/>
        <w:contextualSpacing w:val="0"/>
        <w:jc w:val="center"/>
        <w:rPr>
          <w:rFonts w:cstheme="minorHAnsi"/>
          <w:sz w:val="20"/>
          <w:szCs w:val="20"/>
        </w:rPr>
      </w:pPr>
      <w:r w:rsidRPr="00896445">
        <w:rPr>
          <w:rFonts w:cstheme="minorHAnsi"/>
          <w:noProof/>
          <w:sz w:val="20"/>
          <w:szCs w:val="20"/>
          <w:lang w:val="en-US" w:eastAsia="en-US"/>
        </w:rPr>
        <w:drawing>
          <wp:inline distT="0" distB="0" distL="0" distR="0" wp14:anchorId="35E87871" wp14:editId="4C95FEFD">
            <wp:extent cx="4047744" cy="1706880"/>
            <wp:effectExtent l="190500" t="190500" r="391160" b="38862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srcRect/>
                    <a:stretch>
                      <a:fillRect/>
                    </a:stretch>
                  </pic:blipFill>
                  <pic:spPr bwMode="auto">
                    <a:xfrm>
                      <a:off x="0" y="0"/>
                      <a:ext cx="4046402" cy="1706314"/>
                    </a:xfrm>
                    <a:prstGeom prst="rect">
                      <a:avLst/>
                    </a:prstGeom>
                    <a:ln>
                      <a:solidFill>
                        <a:schemeClr val="accent1">
                          <a:lumMod val="50000"/>
                        </a:schemeClr>
                      </a:solidFill>
                    </a:ln>
                    <a:effectLst>
                      <a:outerShdw blurRad="292100" dist="139700" dir="2700000" algn="tl" rotWithShape="0">
                        <a:srgbClr val="333333">
                          <a:alpha val="65000"/>
                        </a:srgbClr>
                      </a:outerShdw>
                    </a:effectLst>
                  </pic:spPr>
                </pic:pic>
              </a:graphicData>
            </a:graphic>
          </wp:inline>
        </w:drawing>
      </w:r>
    </w:p>
    <w:p w14:paraId="751707D1" w14:textId="4037556E" w:rsidR="001702B8" w:rsidRPr="00896445" w:rsidRDefault="001702B8" w:rsidP="002C7E26">
      <w:pPr>
        <w:pStyle w:val="ListParagraph"/>
        <w:tabs>
          <w:tab w:val="left" w:pos="2093"/>
        </w:tabs>
        <w:spacing w:after="0" w:line="240" w:lineRule="auto"/>
        <w:ind w:left="0"/>
        <w:contextualSpacing w:val="0"/>
        <w:jc w:val="both"/>
        <w:rPr>
          <w:rFonts w:cstheme="minorHAnsi"/>
          <w:sz w:val="20"/>
          <w:szCs w:val="20"/>
        </w:rPr>
      </w:pPr>
    </w:p>
    <w:p w14:paraId="0F93DBC8" w14:textId="493AD054" w:rsidR="007E6B98" w:rsidRPr="000A2D2E" w:rsidRDefault="003836F4" w:rsidP="002C7E26">
      <w:pPr>
        <w:pStyle w:val="ListParagraph"/>
        <w:spacing w:after="0" w:line="240" w:lineRule="auto"/>
        <w:ind w:left="0"/>
        <w:contextualSpacing w:val="0"/>
        <w:jc w:val="both"/>
        <w:rPr>
          <w:rFonts w:ascii="Times New Roman" w:hAnsi="Times New Roman" w:cs="Times New Roman"/>
          <w:sz w:val="24"/>
          <w:szCs w:val="24"/>
        </w:rPr>
      </w:pPr>
      <w:r w:rsidRPr="000A2D2E">
        <w:rPr>
          <w:rFonts w:ascii="Times New Roman" w:hAnsi="Times New Roman" w:cs="Times New Roman"/>
          <w:sz w:val="24"/>
          <w:szCs w:val="24"/>
        </w:rPr>
        <w:t xml:space="preserve">En este orden, atendiendo al </w:t>
      </w:r>
      <w:r w:rsidR="00D402FE" w:rsidRPr="000A2D2E">
        <w:rPr>
          <w:rFonts w:ascii="Times New Roman" w:hAnsi="Times New Roman" w:cs="Times New Roman"/>
          <w:sz w:val="24"/>
          <w:szCs w:val="24"/>
        </w:rPr>
        <w:t>ejercicio</w:t>
      </w:r>
      <w:r w:rsidRPr="000A2D2E">
        <w:rPr>
          <w:rFonts w:ascii="Times New Roman" w:hAnsi="Times New Roman" w:cs="Times New Roman"/>
          <w:sz w:val="24"/>
          <w:szCs w:val="24"/>
        </w:rPr>
        <w:t xml:space="preserve"> anterior</w:t>
      </w:r>
      <w:r w:rsidR="00D402FE" w:rsidRPr="000A2D2E">
        <w:rPr>
          <w:rFonts w:ascii="Times New Roman" w:hAnsi="Times New Roman" w:cs="Times New Roman"/>
          <w:sz w:val="24"/>
          <w:szCs w:val="24"/>
        </w:rPr>
        <w:t>, el ingreso corriente de libre destinación</w:t>
      </w:r>
      <w:r w:rsidR="00FA3FDE" w:rsidRPr="000A2D2E">
        <w:rPr>
          <w:rFonts w:ascii="Times New Roman" w:hAnsi="Times New Roman" w:cs="Times New Roman"/>
          <w:sz w:val="24"/>
          <w:szCs w:val="24"/>
        </w:rPr>
        <w:t xml:space="preserve"> neto</w:t>
      </w:r>
      <w:r w:rsidR="00D402FE" w:rsidRPr="000A2D2E">
        <w:rPr>
          <w:rFonts w:ascii="Times New Roman" w:hAnsi="Times New Roman" w:cs="Times New Roman"/>
          <w:sz w:val="24"/>
          <w:szCs w:val="24"/>
        </w:rPr>
        <w:t xml:space="preserve">, </w:t>
      </w:r>
      <w:r w:rsidR="003A16C2" w:rsidRPr="000A2D2E">
        <w:rPr>
          <w:rFonts w:ascii="Times New Roman" w:hAnsi="Times New Roman" w:cs="Times New Roman"/>
          <w:sz w:val="24"/>
          <w:szCs w:val="24"/>
        </w:rPr>
        <w:t xml:space="preserve">se reduce a </w:t>
      </w:r>
      <w:r w:rsidR="000B618A" w:rsidRPr="000A2D2E">
        <w:rPr>
          <w:rFonts w:ascii="Times New Roman" w:hAnsi="Times New Roman" w:cs="Times New Roman"/>
          <w:sz w:val="24"/>
          <w:szCs w:val="24"/>
        </w:rPr>
        <w:t xml:space="preserve">Q498 millones en 2011, equivalente al </w:t>
      </w:r>
      <w:r w:rsidR="00A62198" w:rsidRPr="000A2D2E">
        <w:rPr>
          <w:rFonts w:ascii="Times New Roman" w:hAnsi="Times New Roman" w:cs="Times New Roman"/>
          <w:sz w:val="24"/>
          <w:szCs w:val="24"/>
        </w:rPr>
        <w:t>49</w:t>
      </w:r>
      <w:r w:rsidR="000B618A" w:rsidRPr="000A2D2E">
        <w:rPr>
          <w:rFonts w:ascii="Times New Roman" w:hAnsi="Times New Roman" w:cs="Times New Roman"/>
          <w:sz w:val="24"/>
          <w:szCs w:val="24"/>
        </w:rPr>
        <w:t>% de los ingresos totales de la Municipalidad para esta misma vigencia fiscal.</w:t>
      </w:r>
      <w:r w:rsidR="00EE3A4C">
        <w:rPr>
          <w:rFonts w:ascii="Times New Roman" w:hAnsi="Times New Roman" w:cs="Times New Roman"/>
          <w:sz w:val="24"/>
          <w:szCs w:val="24"/>
        </w:rPr>
        <w:t xml:space="preserve">  Este cálculo toma relevancia al compararlo con el gasto de funcionamiento, como sigue.</w:t>
      </w:r>
    </w:p>
    <w:p w14:paraId="29EE1B7D" w14:textId="77777777" w:rsidR="00D402FE" w:rsidRPr="000A2D2E" w:rsidRDefault="00D402FE" w:rsidP="002C7E26">
      <w:pPr>
        <w:spacing w:after="0" w:line="240" w:lineRule="auto"/>
        <w:jc w:val="both"/>
        <w:rPr>
          <w:rFonts w:ascii="Times New Roman" w:hAnsi="Times New Roman" w:cs="Times New Roman"/>
          <w:sz w:val="24"/>
          <w:szCs w:val="24"/>
        </w:rPr>
      </w:pPr>
    </w:p>
    <w:p w14:paraId="2EA14934" w14:textId="5AA9257C" w:rsidR="00B53926" w:rsidRPr="000A2D2E" w:rsidRDefault="00FA3FDE" w:rsidP="002C7E26">
      <w:pPr>
        <w:pStyle w:val="ListParagraph"/>
        <w:spacing w:after="0" w:line="240" w:lineRule="auto"/>
        <w:ind w:left="0"/>
        <w:contextualSpacing w:val="0"/>
        <w:jc w:val="both"/>
        <w:rPr>
          <w:rFonts w:ascii="Times New Roman" w:hAnsi="Times New Roman" w:cs="Times New Roman"/>
          <w:sz w:val="24"/>
          <w:szCs w:val="24"/>
        </w:rPr>
      </w:pPr>
      <w:r w:rsidRPr="000A2D2E">
        <w:rPr>
          <w:rFonts w:ascii="Times New Roman" w:hAnsi="Times New Roman" w:cs="Times New Roman"/>
          <w:sz w:val="24"/>
          <w:szCs w:val="24"/>
        </w:rPr>
        <w:t xml:space="preserve">De acuerdo con los datos </w:t>
      </w:r>
      <w:r w:rsidR="006E74BD" w:rsidRPr="000A2D2E">
        <w:rPr>
          <w:rFonts w:ascii="Times New Roman" w:hAnsi="Times New Roman" w:cs="Times New Roman"/>
          <w:sz w:val="24"/>
          <w:szCs w:val="24"/>
        </w:rPr>
        <w:t xml:space="preserve">contenidos </w:t>
      </w:r>
      <w:r w:rsidRPr="000A2D2E">
        <w:rPr>
          <w:rFonts w:ascii="Times New Roman" w:hAnsi="Times New Roman" w:cs="Times New Roman"/>
          <w:sz w:val="24"/>
          <w:szCs w:val="24"/>
        </w:rPr>
        <w:t xml:space="preserve">en el Informe de Cierre Presupuestal 2011, el </w:t>
      </w:r>
      <w:r w:rsidR="001B1817" w:rsidRPr="000A2D2E">
        <w:rPr>
          <w:rFonts w:ascii="Times New Roman" w:hAnsi="Times New Roman" w:cs="Times New Roman"/>
          <w:sz w:val="24"/>
          <w:szCs w:val="24"/>
        </w:rPr>
        <w:t>g</w:t>
      </w:r>
      <w:r w:rsidRPr="000A2D2E">
        <w:rPr>
          <w:rFonts w:ascii="Times New Roman" w:hAnsi="Times New Roman" w:cs="Times New Roman"/>
          <w:sz w:val="24"/>
          <w:szCs w:val="24"/>
        </w:rPr>
        <w:t xml:space="preserve">asto de </w:t>
      </w:r>
      <w:r w:rsidR="001B1817" w:rsidRPr="000A2D2E">
        <w:rPr>
          <w:rFonts w:ascii="Times New Roman" w:hAnsi="Times New Roman" w:cs="Times New Roman"/>
          <w:sz w:val="24"/>
          <w:szCs w:val="24"/>
        </w:rPr>
        <w:t>f</w:t>
      </w:r>
      <w:r w:rsidRPr="000A2D2E">
        <w:rPr>
          <w:rFonts w:ascii="Times New Roman" w:hAnsi="Times New Roman" w:cs="Times New Roman"/>
          <w:sz w:val="24"/>
          <w:szCs w:val="24"/>
        </w:rPr>
        <w:t>uncionamiento alcanzó un valor de Q</w:t>
      </w:r>
      <w:r w:rsidR="0096764E" w:rsidRPr="000A2D2E">
        <w:rPr>
          <w:rFonts w:ascii="Times New Roman" w:hAnsi="Times New Roman" w:cs="Times New Roman"/>
          <w:sz w:val="24"/>
          <w:szCs w:val="24"/>
        </w:rPr>
        <w:t>4</w:t>
      </w:r>
      <w:r w:rsidR="00B53926" w:rsidRPr="000A2D2E">
        <w:rPr>
          <w:rFonts w:ascii="Times New Roman" w:hAnsi="Times New Roman" w:cs="Times New Roman"/>
          <w:sz w:val="24"/>
          <w:szCs w:val="24"/>
        </w:rPr>
        <w:t>55 millones.</w:t>
      </w:r>
      <w:r w:rsidR="00AC4397" w:rsidRPr="000A2D2E">
        <w:rPr>
          <w:rFonts w:ascii="Times New Roman" w:hAnsi="Times New Roman" w:cs="Times New Roman"/>
          <w:sz w:val="24"/>
          <w:szCs w:val="24"/>
        </w:rPr>
        <w:t xml:space="preserve">  En este orden, el i</w:t>
      </w:r>
      <w:r w:rsidR="00B53926" w:rsidRPr="000A2D2E">
        <w:rPr>
          <w:rFonts w:ascii="Times New Roman" w:hAnsi="Times New Roman" w:cs="Times New Roman"/>
          <w:sz w:val="24"/>
          <w:szCs w:val="24"/>
        </w:rPr>
        <w:t>ndicador de Sostenibilidad del Gasto de Funcionamiento</w:t>
      </w:r>
      <w:r w:rsidR="00AC4397" w:rsidRPr="000A2D2E">
        <w:rPr>
          <w:rFonts w:ascii="Times New Roman" w:hAnsi="Times New Roman" w:cs="Times New Roman"/>
          <w:sz w:val="24"/>
          <w:szCs w:val="24"/>
        </w:rPr>
        <w:t>, se muestra en el cuadro siguiente</w:t>
      </w:r>
      <w:r w:rsidR="006E74BD" w:rsidRPr="000A2D2E">
        <w:rPr>
          <w:rFonts w:ascii="Times New Roman" w:hAnsi="Times New Roman" w:cs="Times New Roman"/>
          <w:sz w:val="24"/>
          <w:szCs w:val="24"/>
        </w:rPr>
        <w:t>:</w:t>
      </w:r>
    </w:p>
    <w:p w14:paraId="7C820B9B" w14:textId="77777777" w:rsidR="00B53926" w:rsidRPr="000A2D2E" w:rsidRDefault="00B53926" w:rsidP="002C7E26">
      <w:pPr>
        <w:pStyle w:val="ListParagraph"/>
        <w:spacing w:after="0" w:line="240" w:lineRule="auto"/>
        <w:ind w:left="0"/>
        <w:contextualSpacing w:val="0"/>
        <w:jc w:val="both"/>
        <w:rPr>
          <w:rFonts w:ascii="Times New Roman" w:hAnsi="Times New Roman" w:cs="Times New Roman"/>
          <w:sz w:val="20"/>
          <w:szCs w:val="20"/>
        </w:rPr>
      </w:pPr>
    </w:p>
    <w:p w14:paraId="1186C522" w14:textId="0849EEAE" w:rsidR="00CA0365" w:rsidRPr="000A2D2E" w:rsidRDefault="00CB7F88" w:rsidP="002C7E26">
      <w:pPr>
        <w:pStyle w:val="ListParagraph"/>
        <w:spacing w:after="0"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Cuadro 7</w:t>
      </w:r>
      <w:r w:rsidR="00CA0365" w:rsidRPr="000A2D2E">
        <w:rPr>
          <w:rFonts w:ascii="Times New Roman" w:hAnsi="Times New Roman" w:cs="Times New Roman"/>
          <w:b/>
          <w:sz w:val="24"/>
          <w:szCs w:val="24"/>
        </w:rPr>
        <w:t>. Indicador de Sostenibilidad del Gasto de Funcionamiento.</w:t>
      </w:r>
    </w:p>
    <w:p w14:paraId="24043099" w14:textId="0BFC396D" w:rsidR="00AC4397" w:rsidRPr="000A2D2E" w:rsidRDefault="00AC4397" w:rsidP="0080158F">
      <w:pPr>
        <w:spacing w:after="0" w:line="240" w:lineRule="auto"/>
        <w:jc w:val="both"/>
        <w:rPr>
          <w:rFonts w:ascii="Times New Roman" w:hAnsi="Times New Roman" w:cs="Times New Roman"/>
          <w:sz w:val="20"/>
          <w:szCs w:val="20"/>
        </w:rPr>
      </w:pPr>
      <w:r w:rsidRPr="000A2D2E">
        <w:rPr>
          <w:rFonts w:ascii="Times New Roman" w:hAnsi="Times New Roman" w:cs="Times New Roman"/>
          <w:b/>
          <w:sz w:val="20"/>
          <w:szCs w:val="20"/>
        </w:rPr>
        <w:t>Indicador de Sostenibilidad del Gasto de Funcionamiento</w:t>
      </w:r>
    </w:p>
    <w:p w14:paraId="64552992" w14:textId="5A839945" w:rsidR="004E35A6" w:rsidRPr="00CA0365" w:rsidRDefault="007B2F37" w:rsidP="002C7E26">
      <w:pPr>
        <w:pStyle w:val="ListParagraph"/>
        <w:spacing w:after="0" w:line="240" w:lineRule="auto"/>
        <w:ind w:left="0"/>
        <w:contextualSpacing w:val="0"/>
        <w:jc w:val="both"/>
        <w:rPr>
          <w:rFonts w:cstheme="minorHAnsi"/>
          <w:sz w:val="20"/>
          <w:szCs w:val="20"/>
        </w:rPr>
      </w:pPr>
      <w:r w:rsidRPr="00896445">
        <w:rPr>
          <w:rFonts w:cstheme="minorHAnsi"/>
          <w:noProof/>
          <w:sz w:val="20"/>
          <w:szCs w:val="20"/>
          <w:lang w:val="en-US" w:eastAsia="en-US"/>
        </w:rPr>
        <w:drawing>
          <wp:inline distT="0" distB="0" distL="0" distR="0" wp14:anchorId="5CB4FDAA" wp14:editId="7C47D672">
            <wp:extent cx="5069840" cy="719328"/>
            <wp:effectExtent l="152400" t="171450" r="359410" b="36703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69840" cy="719328"/>
                    </a:xfrm>
                    <a:prstGeom prst="rect">
                      <a:avLst/>
                    </a:prstGeom>
                    <a:ln>
                      <a:solidFill>
                        <a:schemeClr val="accent2">
                          <a:lumMod val="50000"/>
                        </a:schemeClr>
                      </a:solidFill>
                    </a:ln>
                    <a:effectLst>
                      <a:outerShdw blurRad="292100" dist="139700" dir="2700000" algn="tl" rotWithShape="0">
                        <a:srgbClr val="333333">
                          <a:alpha val="65000"/>
                        </a:srgbClr>
                      </a:outerShdw>
                    </a:effectLst>
                  </pic:spPr>
                </pic:pic>
              </a:graphicData>
            </a:graphic>
          </wp:inline>
        </w:drawing>
      </w:r>
    </w:p>
    <w:p w14:paraId="59B06B07" w14:textId="782BF492" w:rsidR="00124231" w:rsidRPr="000A2D2E" w:rsidRDefault="008E3A28" w:rsidP="002C7E26">
      <w:pPr>
        <w:pStyle w:val="ListParagraph"/>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E</w:t>
      </w:r>
      <w:r w:rsidR="007B2F37" w:rsidRPr="000A2D2E">
        <w:rPr>
          <w:rFonts w:ascii="Times New Roman" w:hAnsi="Times New Roman" w:cs="Times New Roman"/>
          <w:sz w:val="24"/>
          <w:szCs w:val="24"/>
        </w:rPr>
        <w:t>l resultado del indicador señala que</w:t>
      </w:r>
      <w:r w:rsidR="00834453" w:rsidRPr="000A2D2E">
        <w:rPr>
          <w:rFonts w:ascii="Times New Roman" w:hAnsi="Times New Roman" w:cs="Times New Roman"/>
          <w:sz w:val="24"/>
          <w:szCs w:val="24"/>
        </w:rPr>
        <w:t xml:space="preserve"> de</w:t>
      </w:r>
      <w:r w:rsidR="007B2F37" w:rsidRPr="000A2D2E">
        <w:rPr>
          <w:rFonts w:ascii="Times New Roman" w:hAnsi="Times New Roman" w:cs="Times New Roman"/>
          <w:sz w:val="24"/>
          <w:szCs w:val="24"/>
        </w:rPr>
        <w:t xml:space="preserve"> cada Q100 de libre destinación</w:t>
      </w:r>
      <w:r w:rsidR="00F64660" w:rsidRPr="000A2D2E">
        <w:rPr>
          <w:rFonts w:ascii="Times New Roman" w:hAnsi="Times New Roman" w:cs="Times New Roman"/>
          <w:sz w:val="24"/>
          <w:szCs w:val="24"/>
        </w:rPr>
        <w:t xml:space="preserve"> (ingreso corriente de libre destinación)</w:t>
      </w:r>
      <w:r w:rsidR="007B2F37" w:rsidRPr="000A2D2E">
        <w:rPr>
          <w:rFonts w:ascii="Times New Roman" w:hAnsi="Times New Roman" w:cs="Times New Roman"/>
          <w:sz w:val="24"/>
          <w:szCs w:val="24"/>
        </w:rPr>
        <w:t>, Q</w:t>
      </w:r>
      <w:r w:rsidR="004E414C" w:rsidRPr="000A2D2E">
        <w:rPr>
          <w:rFonts w:ascii="Times New Roman" w:hAnsi="Times New Roman" w:cs="Times New Roman"/>
          <w:sz w:val="24"/>
          <w:szCs w:val="24"/>
        </w:rPr>
        <w:t xml:space="preserve">91,3 </w:t>
      </w:r>
      <w:r w:rsidR="007B2F37" w:rsidRPr="000A2D2E">
        <w:rPr>
          <w:rFonts w:ascii="Times New Roman" w:hAnsi="Times New Roman" w:cs="Times New Roman"/>
          <w:sz w:val="24"/>
          <w:szCs w:val="24"/>
        </w:rPr>
        <w:t xml:space="preserve">se hallan </w:t>
      </w:r>
      <w:r w:rsidR="004E414C" w:rsidRPr="000A2D2E">
        <w:rPr>
          <w:rFonts w:ascii="Times New Roman" w:hAnsi="Times New Roman" w:cs="Times New Roman"/>
          <w:sz w:val="24"/>
          <w:szCs w:val="24"/>
        </w:rPr>
        <w:t>comprometidos en el gasto de funcionamiento</w:t>
      </w:r>
      <w:r w:rsidR="007B2634">
        <w:rPr>
          <w:rFonts w:ascii="Times New Roman" w:hAnsi="Times New Roman" w:cs="Times New Roman"/>
          <w:sz w:val="24"/>
          <w:szCs w:val="24"/>
        </w:rPr>
        <w:t>.</w:t>
      </w:r>
      <w:r w:rsidR="004E414C" w:rsidRPr="000A2D2E">
        <w:rPr>
          <w:rFonts w:ascii="Times New Roman" w:hAnsi="Times New Roman" w:cs="Times New Roman"/>
          <w:sz w:val="24"/>
          <w:szCs w:val="24"/>
        </w:rPr>
        <w:t xml:space="preserve"> </w:t>
      </w:r>
      <w:r w:rsidR="007B2F37" w:rsidRPr="000A2D2E">
        <w:rPr>
          <w:rFonts w:ascii="Times New Roman" w:hAnsi="Times New Roman" w:cs="Times New Roman"/>
          <w:sz w:val="24"/>
          <w:szCs w:val="24"/>
        </w:rPr>
        <w:t xml:space="preserve"> </w:t>
      </w:r>
      <w:r w:rsidR="00E344BF">
        <w:rPr>
          <w:rFonts w:ascii="Times New Roman" w:hAnsi="Times New Roman" w:cs="Times New Roman"/>
          <w:sz w:val="24"/>
          <w:szCs w:val="24"/>
        </w:rPr>
        <w:t xml:space="preserve">Como se evidenció en el análisis del Gasto Total realizado más arriba, el gasto de funcionamiento aumenta su proporción respecto al ingreso año a año.  </w:t>
      </w:r>
      <w:r w:rsidR="007B2F37" w:rsidRPr="000A2D2E">
        <w:rPr>
          <w:rFonts w:ascii="Times New Roman" w:hAnsi="Times New Roman" w:cs="Times New Roman"/>
          <w:sz w:val="24"/>
          <w:szCs w:val="24"/>
        </w:rPr>
        <w:t>De hecho, p</w:t>
      </w:r>
      <w:r w:rsidR="004E414C" w:rsidRPr="000A2D2E">
        <w:rPr>
          <w:rFonts w:ascii="Times New Roman" w:hAnsi="Times New Roman" w:cs="Times New Roman"/>
          <w:sz w:val="24"/>
          <w:szCs w:val="24"/>
        </w:rPr>
        <w:t xml:space="preserve">ara la vigencia 2011 ya se registra desahorro y, de continuar el ritmo de crecimiento del gasto de funcionamiento, la </w:t>
      </w:r>
      <w:r w:rsidR="00124231" w:rsidRPr="000A2D2E">
        <w:rPr>
          <w:rFonts w:ascii="Times New Roman" w:hAnsi="Times New Roman" w:cs="Times New Roman"/>
          <w:sz w:val="24"/>
          <w:szCs w:val="24"/>
        </w:rPr>
        <w:t>Municipalidad enfrenta el rie</w:t>
      </w:r>
      <w:r w:rsidR="00C3052C" w:rsidRPr="000A2D2E">
        <w:rPr>
          <w:rFonts w:ascii="Times New Roman" w:hAnsi="Times New Roman" w:cs="Times New Roman"/>
          <w:sz w:val="24"/>
          <w:szCs w:val="24"/>
        </w:rPr>
        <w:t>s</w:t>
      </w:r>
      <w:r w:rsidR="00124231" w:rsidRPr="000A2D2E">
        <w:rPr>
          <w:rFonts w:ascii="Times New Roman" w:hAnsi="Times New Roman" w:cs="Times New Roman"/>
          <w:sz w:val="24"/>
          <w:szCs w:val="24"/>
        </w:rPr>
        <w:t>go de cesación de pagos en el mediano plazo</w:t>
      </w:r>
      <w:r w:rsidR="002F3CE9" w:rsidRPr="000A2D2E">
        <w:rPr>
          <w:rFonts w:ascii="Times New Roman" w:hAnsi="Times New Roman" w:cs="Times New Roman"/>
          <w:sz w:val="24"/>
          <w:szCs w:val="24"/>
        </w:rPr>
        <w:t xml:space="preserve"> (</w:t>
      </w:r>
      <w:r>
        <w:rPr>
          <w:rFonts w:ascii="Times New Roman" w:hAnsi="Times New Roman" w:cs="Times New Roman"/>
          <w:sz w:val="24"/>
          <w:szCs w:val="24"/>
        </w:rPr>
        <w:t xml:space="preserve">como se evidencia en el </w:t>
      </w:r>
      <w:r w:rsidR="002F3CE9" w:rsidRPr="000A2D2E">
        <w:rPr>
          <w:rFonts w:ascii="Times New Roman" w:hAnsi="Times New Roman" w:cs="Times New Roman"/>
          <w:sz w:val="24"/>
          <w:szCs w:val="24"/>
        </w:rPr>
        <w:t>Anexo 2</w:t>
      </w:r>
      <w:r w:rsidR="00C3052C" w:rsidRPr="000A2D2E">
        <w:rPr>
          <w:rFonts w:ascii="Times New Roman" w:hAnsi="Times New Roman" w:cs="Times New Roman"/>
          <w:sz w:val="24"/>
          <w:szCs w:val="24"/>
        </w:rPr>
        <w:t>:</w:t>
      </w:r>
      <w:r w:rsidR="002F3CE9" w:rsidRPr="000A2D2E">
        <w:rPr>
          <w:rFonts w:ascii="Times New Roman" w:hAnsi="Times New Roman" w:cs="Times New Roman"/>
          <w:sz w:val="24"/>
          <w:szCs w:val="24"/>
        </w:rPr>
        <w:t xml:space="preserve"> Balance Financiero Proyecciones 2013 </w:t>
      </w:r>
      <w:r w:rsidR="006D26B9" w:rsidRPr="000A2D2E">
        <w:rPr>
          <w:rFonts w:ascii="Times New Roman" w:hAnsi="Times New Roman" w:cs="Times New Roman"/>
          <w:sz w:val="24"/>
          <w:szCs w:val="24"/>
        </w:rPr>
        <w:t>—</w:t>
      </w:r>
      <w:r w:rsidR="002F3CE9" w:rsidRPr="000A2D2E">
        <w:rPr>
          <w:rFonts w:ascii="Times New Roman" w:hAnsi="Times New Roman" w:cs="Times New Roman"/>
          <w:sz w:val="24"/>
          <w:szCs w:val="24"/>
        </w:rPr>
        <w:t xml:space="preserve"> 2022)</w:t>
      </w:r>
      <w:r w:rsidR="00124231" w:rsidRPr="000A2D2E">
        <w:rPr>
          <w:rFonts w:ascii="Times New Roman" w:hAnsi="Times New Roman" w:cs="Times New Roman"/>
          <w:sz w:val="24"/>
          <w:szCs w:val="24"/>
        </w:rPr>
        <w:t>.</w:t>
      </w:r>
      <w:r w:rsidR="00E344BF">
        <w:rPr>
          <w:rFonts w:ascii="Times New Roman" w:hAnsi="Times New Roman" w:cs="Times New Roman"/>
          <w:sz w:val="24"/>
          <w:szCs w:val="24"/>
        </w:rPr>
        <w:t xml:space="preserve">  En el siguiente apartado se analiza la incidencia de esta situación en la capacidad de endeudamiento de la Municipalidad.</w:t>
      </w:r>
    </w:p>
    <w:p w14:paraId="6006DACF" w14:textId="77777777" w:rsidR="00124231" w:rsidRPr="000A2D2E" w:rsidRDefault="00124231" w:rsidP="002C7E26">
      <w:pPr>
        <w:pStyle w:val="ListParagraph"/>
        <w:spacing w:after="0" w:line="240" w:lineRule="auto"/>
        <w:ind w:left="0"/>
        <w:contextualSpacing w:val="0"/>
        <w:jc w:val="both"/>
        <w:rPr>
          <w:rFonts w:ascii="Times New Roman" w:hAnsi="Times New Roman" w:cs="Times New Roman"/>
          <w:sz w:val="24"/>
          <w:szCs w:val="24"/>
        </w:rPr>
      </w:pPr>
    </w:p>
    <w:p w14:paraId="0C149255" w14:textId="77777777" w:rsidR="004A0D47" w:rsidRPr="000A2D2E" w:rsidRDefault="004A0D47" w:rsidP="002C7E26">
      <w:pPr>
        <w:pStyle w:val="ListParagraph"/>
        <w:spacing w:after="0" w:line="240" w:lineRule="auto"/>
        <w:ind w:left="0"/>
        <w:contextualSpacing w:val="0"/>
        <w:jc w:val="both"/>
        <w:rPr>
          <w:rFonts w:ascii="Times New Roman" w:hAnsi="Times New Roman" w:cs="Times New Roman"/>
          <w:sz w:val="24"/>
          <w:szCs w:val="24"/>
        </w:rPr>
      </w:pPr>
    </w:p>
    <w:p w14:paraId="30FB6852" w14:textId="7AEE8E60" w:rsidR="00CF0E6D" w:rsidRDefault="008E3A28" w:rsidP="00F37A5F">
      <w:pPr>
        <w:pStyle w:val="Heading4"/>
      </w:pPr>
      <w:bookmarkStart w:id="80" w:name="_Ref214297422"/>
      <w:bookmarkStart w:id="81" w:name="_Toc219009963"/>
      <w:bookmarkStart w:id="82" w:name="_Toc223473031"/>
      <w:r>
        <w:lastRenderedPageBreak/>
        <w:t>2.2</w:t>
      </w:r>
      <w:r w:rsidR="00CF0E6D" w:rsidRPr="000A2D2E">
        <w:t xml:space="preserve">  Deuda Pública y Capacidad de Endeudamiento</w:t>
      </w:r>
      <w:bookmarkEnd w:id="80"/>
      <w:bookmarkEnd w:id="81"/>
      <w:bookmarkEnd w:id="82"/>
    </w:p>
    <w:p w14:paraId="03D14665" w14:textId="77777777" w:rsidR="000242DF" w:rsidRPr="00A7444D" w:rsidRDefault="000242DF" w:rsidP="000242DF">
      <w:pPr>
        <w:spacing w:after="0" w:line="240" w:lineRule="auto"/>
        <w:jc w:val="both"/>
        <w:rPr>
          <w:rFonts w:ascii="Times New Roman" w:hAnsi="Times New Roman" w:cs="Times New Roman"/>
          <w:sz w:val="24"/>
          <w:szCs w:val="24"/>
        </w:rPr>
      </w:pPr>
    </w:p>
    <w:p w14:paraId="0E864E83" w14:textId="77777777" w:rsidR="000242DF" w:rsidRPr="00A7444D" w:rsidRDefault="000242DF" w:rsidP="000242DF">
      <w:pPr>
        <w:spacing w:after="0" w:line="240" w:lineRule="auto"/>
        <w:jc w:val="both"/>
        <w:rPr>
          <w:rFonts w:ascii="Times New Roman" w:hAnsi="Times New Roman" w:cs="Times New Roman"/>
          <w:sz w:val="24"/>
          <w:szCs w:val="24"/>
        </w:rPr>
      </w:pPr>
      <w:r w:rsidRPr="00A7444D">
        <w:rPr>
          <w:rFonts w:ascii="Times New Roman" w:hAnsi="Times New Roman" w:cs="Times New Roman"/>
          <w:sz w:val="24"/>
          <w:szCs w:val="24"/>
        </w:rPr>
        <w:t>Esta sección contiene el análisis acerca del comportamiento de la deuda financiera, su servicio y la capacidad de pago</w:t>
      </w:r>
      <w:r>
        <w:rPr>
          <w:rStyle w:val="FootnoteReference"/>
          <w:rFonts w:ascii="Times New Roman" w:hAnsi="Times New Roman" w:cs="Times New Roman"/>
          <w:sz w:val="24"/>
          <w:szCs w:val="24"/>
        </w:rPr>
        <w:footnoteReference w:id="64"/>
      </w:r>
      <w:r w:rsidRPr="00A7444D">
        <w:rPr>
          <w:rFonts w:ascii="Times New Roman" w:hAnsi="Times New Roman" w:cs="Times New Roman"/>
          <w:sz w:val="24"/>
          <w:szCs w:val="24"/>
        </w:rPr>
        <w:t xml:space="preserve"> o nuevo endeudamiento a cargo de la Municipalidad.  Para este efecto, desarrolla el análisis acerca del stock de deuda vigente así como el estado del servicio o flujo de la misma en orden a determinar los indicadores financieros que permitan establecer la capacidad de la administración municipal para adquirir nuevo endeudamiento.</w:t>
      </w:r>
    </w:p>
    <w:p w14:paraId="517EA572" w14:textId="77777777" w:rsidR="000242DF" w:rsidRPr="00A7444D" w:rsidRDefault="000242DF" w:rsidP="000242DF">
      <w:pPr>
        <w:rPr>
          <w:rFonts w:ascii="Times New Roman" w:hAnsi="Times New Roman" w:cs="Times New Roman"/>
          <w:sz w:val="24"/>
          <w:szCs w:val="24"/>
        </w:rPr>
      </w:pPr>
    </w:p>
    <w:p w14:paraId="029DE68D" w14:textId="77777777" w:rsidR="000242DF" w:rsidRPr="0006740C" w:rsidRDefault="000242DF" w:rsidP="000242DF">
      <w:pPr>
        <w:pStyle w:val="Heading5"/>
        <w:rPr>
          <w:color w:val="4F81BD" w:themeColor="accent1"/>
        </w:rPr>
      </w:pPr>
      <w:r>
        <w:rPr>
          <w:color w:val="4F81BD" w:themeColor="accent1"/>
        </w:rPr>
        <w:t>Deuda vigente</w:t>
      </w:r>
    </w:p>
    <w:p w14:paraId="7EA2646B" w14:textId="77777777" w:rsidR="000242DF" w:rsidRPr="000A2D2E" w:rsidRDefault="000242DF" w:rsidP="000242DF">
      <w:pPr>
        <w:spacing w:after="0" w:line="240" w:lineRule="auto"/>
        <w:jc w:val="both"/>
        <w:rPr>
          <w:rFonts w:ascii="Times New Roman" w:hAnsi="Times New Roman" w:cs="Times New Roman"/>
          <w:sz w:val="24"/>
          <w:szCs w:val="24"/>
        </w:rPr>
      </w:pPr>
    </w:p>
    <w:p w14:paraId="36F35BBA" w14:textId="77777777" w:rsidR="000242DF" w:rsidRPr="0006740C" w:rsidRDefault="000242DF" w:rsidP="000242DF">
      <w:pPr>
        <w:pStyle w:val="Heading5"/>
        <w:numPr>
          <w:ilvl w:val="0"/>
          <w:numId w:val="25"/>
        </w:numPr>
        <w:rPr>
          <w:color w:val="4F81BD" w:themeColor="accent1"/>
        </w:rPr>
      </w:pPr>
      <w:r>
        <w:rPr>
          <w:color w:val="4F81BD" w:themeColor="accent1"/>
        </w:rPr>
        <w:t>Saldo a 31 de diciembre de 2012</w:t>
      </w:r>
    </w:p>
    <w:p w14:paraId="3112CCE8" w14:textId="77777777" w:rsidR="000242DF" w:rsidRDefault="000242DF" w:rsidP="000242DF">
      <w:pPr>
        <w:spacing w:after="0" w:line="240" w:lineRule="auto"/>
        <w:jc w:val="both"/>
        <w:rPr>
          <w:rFonts w:ascii="Times New Roman" w:hAnsi="Times New Roman" w:cs="Times New Roman"/>
          <w:sz w:val="24"/>
          <w:szCs w:val="24"/>
        </w:rPr>
      </w:pPr>
    </w:p>
    <w:p w14:paraId="394BAE0F" w14:textId="77777777" w:rsidR="000242DF" w:rsidRDefault="000242DF" w:rsidP="00024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 acuerdo con la información financiera </w:t>
      </w:r>
      <w:r w:rsidRPr="000A2D2E">
        <w:rPr>
          <w:rFonts w:ascii="Times New Roman" w:hAnsi="Times New Roman" w:cs="Times New Roman"/>
          <w:sz w:val="24"/>
          <w:szCs w:val="24"/>
        </w:rPr>
        <w:t xml:space="preserve">aportada por la Municipalidad, </w:t>
      </w:r>
      <w:r>
        <w:rPr>
          <w:rFonts w:ascii="Times New Roman" w:hAnsi="Times New Roman" w:cs="Times New Roman"/>
          <w:sz w:val="24"/>
          <w:szCs w:val="24"/>
        </w:rPr>
        <w:t xml:space="preserve">con corte </w:t>
      </w:r>
      <w:r w:rsidRPr="000A2D2E">
        <w:rPr>
          <w:rFonts w:ascii="Times New Roman" w:hAnsi="Times New Roman" w:cs="Times New Roman"/>
          <w:sz w:val="24"/>
          <w:szCs w:val="24"/>
        </w:rPr>
        <w:t>a diciembre de 2012</w:t>
      </w:r>
      <w:r>
        <w:rPr>
          <w:rFonts w:ascii="Times New Roman" w:hAnsi="Times New Roman" w:cs="Times New Roman"/>
          <w:sz w:val="24"/>
          <w:szCs w:val="24"/>
        </w:rPr>
        <w:t xml:space="preserve">, el stock o saldo de </w:t>
      </w:r>
      <w:r w:rsidRPr="000A2D2E">
        <w:rPr>
          <w:rFonts w:ascii="Times New Roman" w:hAnsi="Times New Roman" w:cs="Times New Roman"/>
          <w:sz w:val="24"/>
          <w:szCs w:val="24"/>
        </w:rPr>
        <w:t xml:space="preserve">la deuda pública </w:t>
      </w:r>
      <w:r>
        <w:rPr>
          <w:rFonts w:ascii="Times New Roman" w:hAnsi="Times New Roman" w:cs="Times New Roman"/>
          <w:sz w:val="24"/>
          <w:szCs w:val="24"/>
        </w:rPr>
        <w:t xml:space="preserve">financiera a largo plazo asciende </w:t>
      </w:r>
      <w:r w:rsidRPr="000A2D2E">
        <w:rPr>
          <w:rFonts w:ascii="Times New Roman" w:hAnsi="Times New Roman" w:cs="Times New Roman"/>
          <w:sz w:val="24"/>
          <w:szCs w:val="24"/>
        </w:rPr>
        <w:t>a Q958.8 millones</w:t>
      </w:r>
      <w:r>
        <w:rPr>
          <w:rFonts w:ascii="Times New Roman" w:hAnsi="Times New Roman" w:cs="Times New Roman"/>
          <w:sz w:val="24"/>
          <w:szCs w:val="24"/>
        </w:rPr>
        <w:t>.</w:t>
      </w:r>
      <w:r w:rsidRPr="000A2D2E">
        <w:rPr>
          <w:rStyle w:val="FootnoteReference"/>
          <w:rFonts w:ascii="Times New Roman" w:hAnsi="Times New Roman" w:cs="Times New Roman"/>
          <w:sz w:val="24"/>
          <w:szCs w:val="24"/>
        </w:rPr>
        <w:footnoteReference w:id="65"/>
      </w:r>
      <w:r w:rsidRPr="000A2D2E">
        <w:rPr>
          <w:rFonts w:ascii="Times New Roman" w:hAnsi="Times New Roman" w:cs="Times New Roman"/>
          <w:sz w:val="24"/>
          <w:szCs w:val="24"/>
        </w:rPr>
        <w:t xml:space="preserve"> </w:t>
      </w:r>
      <w:r>
        <w:rPr>
          <w:rFonts w:ascii="Times New Roman" w:hAnsi="Times New Roman" w:cs="Times New Roman"/>
          <w:sz w:val="24"/>
          <w:szCs w:val="24"/>
        </w:rPr>
        <w:t xml:space="preserve"> El cuadro siguiente recoge la composición de la deuda pública financiera:</w:t>
      </w:r>
    </w:p>
    <w:p w14:paraId="27613DC2" w14:textId="77777777" w:rsidR="000242DF" w:rsidRPr="000A2D2E" w:rsidRDefault="000242DF" w:rsidP="000242DF">
      <w:pPr>
        <w:spacing w:after="0" w:line="240" w:lineRule="auto"/>
        <w:jc w:val="both"/>
        <w:rPr>
          <w:rFonts w:ascii="Times New Roman" w:hAnsi="Times New Roman" w:cs="Times New Roman"/>
          <w:sz w:val="24"/>
          <w:szCs w:val="24"/>
        </w:rPr>
      </w:pPr>
    </w:p>
    <w:p w14:paraId="588AF9D1" w14:textId="77777777" w:rsidR="000242DF" w:rsidRPr="000A2D2E" w:rsidRDefault="000242DF" w:rsidP="000242DF">
      <w:pPr>
        <w:spacing w:after="0" w:line="240" w:lineRule="auto"/>
        <w:rPr>
          <w:rFonts w:ascii="Times New Roman" w:hAnsi="Times New Roman" w:cs="Times New Roman"/>
          <w:b/>
          <w:sz w:val="24"/>
          <w:szCs w:val="24"/>
        </w:rPr>
      </w:pPr>
      <w:r>
        <w:rPr>
          <w:rFonts w:ascii="Times New Roman" w:hAnsi="Times New Roman" w:cs="Times New Roman"/>
          <w:b/>
          <w:sz w:val="24"/>
          <w:szCs w:val="24"/>
        </w:rPr>
        <w:t>Cuadro 8</w:t>
      </w:r>
      <w:r w:rsidRPr="000A2D2E">
        <w:rPr>
          <w:rFonts w:ascii="Times New Roman" w:hAnsi="Times New Roman" w:cs="Times New Roman"/>
          <w:b/>
          <w:sz w:val="24"/>
          <w:szCs w:val="24"/>
        </w:rPr>
        <w:t xml:space="preserve">. Deuda Pública </w:t>
      </w:r>
      <w:r>
        <w:rPr>
          <w:rFonts w:ascii="Times New Roman" w:hAnsi="Times New Roman" w:cs="Times New Roman"/>
          <w:b/>
          <w:sz w:val="24"/>
          <w:szCs w:val="24"/>
        </w:rPr>
        <w:t>Financiera</w:t>
      </w:r>
      <w:r w:rsidRPr="000A2D2E">
        <w:rPr>
          <w:rFonts w:ascii="Times New Roman" w:hAnsi="Times New Roman" w:cs="Times New Roman"/>
          <w:b/>
          <w:sz w:val="24"/>
          <w:szCs w:val="24"/>
        </w:rPr>
        <w:t>.</w:t>
      </w:r>
    </w:p>
    <w:p w14:paraId="669EA58F" w14:textId="77777777" w:rsidR="000242DF" w:rsidRPr="000A2D2E" w:rsidRDefault="000242DF" w:rsidP="000242DF">
      <w:pPr>
        <w:spacing w:after="0" w:line="240" w:lineRule="auto"/>
        <w:ind w:left="426"/>
        <w:rPr>
          <w:rFonts w:ascii="Times New Roman" w:hAnsi="Times New Roman" w:cs="Times New Roman"/>
          <w:b/>
          <w:sz w:val="24"/>
          <w:szCs w:val="24"/>
        </w:rPr>
      </w:pPr>
      <w:r w:rsidRPr="000A2D2E">
        <w:rPr>
          <w:rFonts w:ascii="Times New Roman" w:hAnsi="Times New Roman" w:cs="Times New Roman"/>
          <w:sz w:val="24"/>
          <w:szCs w:val="24"/>
        </w:rPr>
        <w:t>Estado de Deuda Pública a diciembre de 2012</w:t>
      </w:r>
    </w:p>
    <w:tbl>
      <w:tblPr>
        <w:tblW w:w="7953" w:type="dxa"/>
        <w:tblInd w:w="496" w:type="dxa"/>
        <w:tblLayout w:type="fixed"/>
        <w:tblCellMar>
          <w:left w:w="70" w:type="dxa"/>
          <w:right w:w="70" w:type="dxa"/>
        </w:tblCellMar>
        <w:tblLook w:val="04A0" w:firstRow="1" w:lastRow="0" w:firstColumn="1" w:lastColumn="0" w:noHBand="0" w:noVBand="1"/>
      </w:tblPr>
      <w:tblGrid>
        <w:gridCol w:w="2425"/>
        <w:gridCol w:w="1985"/>
        <w:gridCol w:w="1701"/>
        <w:gridCol w:w="1842"/>
      </w:tblGrid>
      <w:tr w:rsidR="000242DF" w:rsidRPr="000A2D2E" w14:paraId="6D55DE5C" w14:textId="77777777" w:rsidTr="00B90AAF">
        <w:trPr>
          <w:trHeight w:val="300"/>
        </w:trPr>
        <w:tc>
          <w:tcPr>
            <w:tcW w:w="2425" w:type="dxa"/>
            <w:tcBorders>
              <w:top w:val="nil"/>
              <w:left w:val="nil"/>
              <w:bottom w:val="nil"/>
              <w:right w:val="nil"/>
            </w:tcBorders>
            <w:shd w:val="clear" w:color="000000" w:fill="99CCFF"/>
            <w:noWrap/>
            <w:vAlign w:val="bottom"/>
            <w:hideMark/>
          </w:tcPr>
          <w:p w14:paraId="6F424898" w14:textId="77777777" w:rsidR="000242DF" w:rsidRPr="000A2D2E" w:rsidRDefault="000242DF" w:rsidP="00B90AAF">
            <w:pPr>
              <w:spacing w:after="0" w:line="240" w:lineRule="auto"/>
              <w:jc w:val="center"/>
              <w:rPr>
                <w:rFonts w:ascii="Times New Roman" w:eastAsia="Times New Roman" w:hAnsi="Times New Roman" w:cs="Times New Roman"/>
                <w:b/>
                <w:bCs/>
                <w:color w:val="000000"/>
                <w:sz w:val="24"/>
                <w:szCs w:val="24"/>
                <w:lang w:val="es-ES_tradnl" w:eastAsia="es-ES"/>
              </w:rPr>
            </w:pPr>
            <w:r w:rsidRPr="000A2D2E">
              <w:rPr>
                <w:rFonts w:ascii="Times New Roman" w:eastAsia="Times New Roman" w:hAnsi="Times New Roman" w:cs="Times New Roman"/>
                <w:b/>
                <w:bCs/>
                <w:color w:val="000000"/>
                <w:sz w:val="24"/>
                <w:szCs w:val="24"/>
                <w:lang w:val="es-ES_tradnl" w:eastAsia="es-ES"/>
              </w:rPr>
              <w:t>Crédito</w:t>
            </w:r>
          </w:p>
        </w:tc>
        <w:tc>
          <w:tcPr>
            <w:tcW w:w="1985" w:type="dxa"/>
            <w:tcBorders>
              <w:top w:val="nil"/>
              <w:left w:val="nil"/>
              <w:bottom w:val="nil"/>
              <w:right w:val="nil"/>
            </w:tcBorders>
            <w:shd w:val="clear" w:color="000000" w:fill="99CCFF"/>
            <w:noWrap/>
            <w:vAlign w:val="bottom"/>
            <w:hideMark/>
          </w:tcPr>
          <w:p w14:paraId="5CE7F3C4" w14:textId="77777777" w:rsidR="000242DF" w:rsidRPr="000A2D2E" w:rsidRDefault="000242DF" w:rsidP="00B90AAF">
            <w:pPr>
              <w:spacing w:after="0" w:line="240" w:lineRule="auto"/>
              <w:jc w:val="center"/>
              <w:rPr>
                <w:rFonts w:ascii="Times New Roman" w:eastAsia="Times New Roman" w:hAnsi="Times New Roman" w:cs="Times New Roman"/>
                <w:b/>
                <w:bCs/>
                <w:color w:val="000000"/>
                <w:sz w:val="24"/>
                <w:szCs w:val="24"/>
                <w:lang w:val="es-ES_tradnl" w:eastAsia="es-ES"/>
              </w:rPr>
            </w:pPr>
            <w:r w:rsidRPr="000A2D2E">
              <w:rPr>
                <w:rFonts w:ascii="Times New Roman" w:eastAsia="Times New Roman" w:hAnsi="Times New Roman" w:cs="Times New Roman"/>
                <w:b/>
                <w:bCs/>
                <w:color w:val="000000"/>
                <w:sz w:val="24"/>
                <w:szCs w:val="24"/>
                <w:lang w:val="es-ES_tradnl" w:eastAsia="es-ES"/>
              </w:rPr>
              <w:t>Saldo a diciembre 2012</w:t>
            </w:r>
          </w:p>
        </w:tc>
        <w:tc>
          <w:tcPr>
            <w:tcW w:w="1701" w:type="dxa"/>
            <w:tcBorders>
              <w:top w:val="nil"/>
              <w:left w:val="nil"/>
              <w:bottom w:val="nil"/>
              <w:right w:val="nil"/>
            </w:tcBorders>
            <w:shd w:val="clear" w:color="000000" w:fill="99CCFF"/>
            <w:noWrap/>
            <w:vAlign w:val="bottom"/>
            <w:hideMark/>
          </w:tcPr>
          <w:p w14:paraId="497F8C7B" w14:textId="77777777" w:rsidR="000242DF" w:rsidRPr="000A2D2E" w:rsidRDefault="000242DF" w:rsidP="00B90AAF">
            <w:pPr>
              <w:spacing w:after="0" w:line="240" w:lineRule="auto"/>
              <w:jc w:val="center"/>
              <w:rPr>
                <w:rFonts w:ascii="Times New Roman" w:eastAsia="Times New Roman" w:hAnsi="Times New Roman" w:cs="Times New Roman"/>
                <w:b/>
                <w:bCs/>
                <w:color w:val="000000"/>
                <w:sz w:val="24"/>
                <w:szCs w:val="24"/>
                <w:lang w:val="es-ES_tradnl" w:eastAsia="es-ES"/>
              </w:rPr>
            </w:pPr>
            <w:r w:rsidRPr="000A2D2E">
              <w:rPr>
                <w:rFonts w:ascii="Times New Roman" w:eastAsia="Times New Roman" w:hAnsi="Times New Roman" w:cs="Times New Roman"/>
                <w:b/>
                <w:bCs/>
                <w:color w:val="000000"/>
                <w:sz w:val="24"/>
                <w:szCs w:val="24"/>
                <w:lang w:val="es-ES_tradnl" w:eastAsia="es-ES"/>
              </w:rPr>
              <w:t>Intereses por Pagar</w:t>
            </w:r>
          </w:p>
        </w:tc>
        <w:tc>
          <w:tcPr>
            <w:tcW w:w="1842" w:type="dxa"/>
            <w:tcBorders>
              <w:top w:val="nil"/>
              <w:left w:val="nil"/>
              <w:bottom w:val="nil"/>
              <w:right w:val="nil"/>
            </w:tcBorders>
            <w:shd w:val="clear" w:color="000000" w:fill="99CCFF"/>
            <w:noWrap/>
            <w:vAlign w:val="bottom"/>
            <w:hideMark/>
          </w:tcPr>
          <w:p w14:paraId="3D3D2233" w14:textId="77777777" w:rsidR="000242DF" w:rsidRPr="000A2D2E" w:rsidRDefault="000242DF" w:rsidP="00B90AAF">
            <w:pPr>
              <w:spacing w:after="0" w:line="240" w:lineRule="auto"/>
              <w:jc w:val="center"/>
              <w:rPr>
                <w:rFonts w:ascii="Times New Roman" w:eastAsia="Times New Roman" w:hAnsi="Times New Roman" w:cs="Times New Roman"/>
                <w:b/>
                <w:bCs/>
                <w:color w:val="000000"/>
                <w:sz w:val="24"/>
                <w:szCs w:val="24"/>
                <w:lang w:val="es-ES_tradnl" w:eastAsia="es-ES"/>
              </w:rPr>
            </w:pPr>
            <w:r w:rsidRPr="000A2D2E">
              <w:rPr>
                <w:rFonts w:ascii="Times New Roman" w:eastAsia="Times New Roman" w:hAnsi="Times New Roman" w:cs="Times New Roman"/>
                <w:b/>
                <w:bCs/>
                <w:color w:val="000000"/>
                <w:sz w:val="24"/>
                <w:szCs w:val="24"/>
                <w:lang w:val="es-ES_tradnl" w:eastAsia="es-ES"/>
              </w:rPr>
              <w:t>Total</w:t>
            </w:r>
          </w:p>
        </w:tc>
      </w:tr>
      <w:tr w:rsidR="000242DF" w:rsidRPr="000A2D2E" w14:paraId="2E93348B" w14:textId="77777777" w:rsidTr="00B90AAF">
        <w:trPr>
          <w:trHeight w:val="28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40557A" w14:textId="77777777" w:rsidR="000242DF" w:rsidRPr="000A2D2E" w:rsidRDefault="000242DF" w:rsidP="00B90AAF">
            <w:pPr>
              <w:spacing w:after="0" w:line="240" w:lineRule="auto"/>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BCIE 178</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91BEBEE"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15.231.394</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4F36F5A8"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 </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0A7B12F7"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15.231.394</w:t>
            </w:r>
          </w:p>
        </w:tc>
      </w:tr>
      <w:tr w:rsidR="000242DF" w:rsidRPr="000A2D2E" w14:paraId="1B161F59" w14:textId="77777777" w:rsidTr="00B90AAF">
        <w:trPr>
          <w:trHeight w:val="28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05395C8" w14:textId="77777777" w:rsidR="000242DF" w:rsidRPr="000A2D2E" w:rsidRDefault="000242DF" w:rsidP="00B90AAF">
            <w:pPr>
              <w:spacing w:after="0" w:line="240" w:lineRule="auto"/>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Banguat 178 1&amp;2</w:t>
            </w:r>
          </w:p>
        </w:tc>
        <w:tc>
          <w:tcPr>
            <w:tcW w:w="1985" w:type="dxa"/>
            <w:tcBorders>
              <w:top w:val="nil"/>
              <w:left w:val="nil"/>
              <w:bottom w:val="single" w:sz="4" w:space="0" w:color="auto"/>
              <w:right w:val="single" w:sz="4" w:space="0" w:color="auto"/>
            </w:tcBorders>
            <w:shd w:val="clear" w:color="auto" w:fill="auto"/>
            <w:noWrap/>
            <w:vAlign w:val="bottom"/>
            <w:hideMark/>
          </w:tcPr>
          <w:p w14:paraId="01A5F8F8"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26.882.909</w:t>
            </w:r>
          </w:p>
        </w:tc>
        <w:tc>
          <w:tcPr>
            <w:tcW w:w="1701" w:type="dxa"/>
            <w:tcBorders>
              <w:top w:val="nil"/>
              <w:left w:val="nil"/>
              <w:bottom w:val="single" w:sz="4" w:space="0" w:color="auto"/>
              <w:right w:val="single" w:sz="4" w:space="0" w:color="auto"/>
            </w:tcBorders>
            <w:shd w:val="clear" w:color="auto" w:fill="auto"/>
            <w:noWrap/>
            <w:vAlign w:val="bottom"/>
            <w:hideMark/>
          </w:tcPr>
          <w:p w14:paraId="574CF75E"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 </w:t>
            </w:r>
          </w:p>
        </w:tc>
        <w:tc>
          <w:tcPr>
            <w:tcW w:w="1842" w:type="dxa"/>
            <w:tcBorders>
              <w:top w:val="nil"/>
              <w:left w:val="nil"/>
              <w:bottom w:val="single" w:sz="4" w:space="0" w:color="auto"/>
              <w:right w:val="single" w:sz="4" w:space="0" w:color="auto"/>
            </w:tcBorders>
            <w:shd w:val="clear" w:color="auto" w:fill="auto"/>
            <w:noWrap/>
            <w:vAlign w:val="bottom"/>
            <w:hideMark/>
          </w:tcPr>
          <w:p w14:paraId="3EBAB09C"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26.882.909</w:t>
            </w:r>
          </w:p>
        </w:tc>
      </w:tr>
      <w:tr w:rsidR="000242DF" w:rsidRPr="000A2D2E" w14:paraId="3C9E9339" w14:textId="77777777" w:rsidTr="00B90AAF">
        <w:trPr>
          <w:trHeight w:val="28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ABD6888" w14:textId="77777777" w:rsidR="000242DF" w:rsidRPr="000A2D2E" w:rsidRDefault="000242DF" w:rsidP="00B90AAF">
            <w:pPr>
              <w:spacing w:after="0" w:line="240" w:lineRule="auto"/>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BCIE 1201</w:t>
            </w:r>
          </w:p>
        </w:tc>
        <w:tc>
          <w:tcPr>
            <w:tcW w:w="1985" w:type="dxa"/>
            <w:tcBorders>
              <w:top w:val="nil"/>
              <w:left w:val="nil"/>
              <w:bottom w:val="single" w:sz="4" w:space="0" w:color="auto"/>
              <w:right w:val="single" w:sz="4" w:space="0" w:color="auto"/>
            </w:tcBorders>
            <w:shd w:val="clear" w:color="auto" w:fill="auto"/>
            <w:noWrap/>
            <w:vAlign w:val="bottom"/>
            <w:hideMark/>
          </w:tcPr>
          <w:p w14:paraId="0F600306"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411.289.185</w:t>
            </w:r>
          </w:p>
        </w:tc>
        <w:tc>
          <w:tcPr>
            <w:tcW w:w="1701" w:type="dxa"/>
            <w:tcBorders>
              <w:top w:val="nil"/>
              <w:left w:val="nil"/>
              <w:bottom w:val="single" w:sz="4" w:space="0" w:color="auto"/>
              <w:right w:val="single" w:sz="4" w:space="0" w:color="auto"/>
            </w:tcBorders>
            <w:shd w:val="clear" w:color="auto" w:fill="auto"/>
            <w:noWrap/>
            <w:vAlign w:val="bottom"/>
            <w:hideMark/>
          </w:tcPr>
          <w:p w14:paraId="7160B9F2"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 </w:t>
            </w:r>
          </w:p>
        </w:tc>
        <w:tc>
          <w:tcPr>
            <w:tcW w:w="1842" w:type="dxa"/>
            <w:tcBorders>
              <w:top w:val="nil"/>
              <w:left w:val="nil"/>
              <w:bottom w:val="single" w:sz="4" w:space="0" w:color="auto"/>
              <w:right w:val="single" w:sz="4" w:space="0" w:color="auto"/>
            </w:tcBorders>
            <w:shd w:val="clear" w:color="auto" w:fill="auto"/>
            <w:noWrap/>
            <w:vAlign w:val="bottom"/>
            <w:hideMark/>
          </w:tcPr>
          <w:p w14:paraId="26CA5EAB"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411.289.185</w:t>
            </w:r>
          </w:p>
        </w:tc>
      </w:tr>
      <w:tr w:rsidR="000242DF" w:rsidRPr="000A2D2E" w14:paraId="14FA45A8" w14:textId="77777777" w:rsidTr="00B90AAF">
        <w:trPr>
          <w:trHeight w:val="28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A82C807" w14:textId="77777777" w:rsidR="000242DF" w:rsidRPr="000A2D2E" w:rsidRDefault="000242DF" w:rsidP="00B90AAF">
            <w:pPr>
              <w:spacing w:after="0" w:line="240" w:lineRule="auto"/>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MFP</w:t>
            </w:r>
          </w:p>
        </w:tc>
        <w:tc>
          <w:tcPr>
            <w:tcW w:w="1985" w:type="dxa"/>
            <w:tcBorders>
              <w:top w:val="nil"/>
              <w:left w:val="nil"/>
              <w:bottom w:val="single" w:sz="4" w:space="0" w:color="auto"/>
              <w:right w:val="single" w:sz="4" w:space="0" w:color="auto"/>
            </w:tcBorders>
            <w:shd w:val="clear" w:color="auto" w:fill="auto"/>
            <w:noWrap/>
            <w:vAlign w:val="bottom"/>
            <w:hideMark/>
          </w:tcPr>
          <w:p w14:paraId="7640719B"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20.000.000</w:t>
            </w:r>
          </w:p>
        </w:tc>
        <w:tc>
          <w:tcPr>
            <w:tcW w:w="1701" w:type="dxa"/>
            <w:tcBorders>
              <w:top w:val="nil"/>
              <w:left w:val="nil"/>
              <w:bottom w:val="single" w:sz="4" w:space="0" w:color="auto"/>
              <w:right w:val="single" w:sz="4" w:space="0" w:color="auto"/>
            </w:tcBorders>
            <w:shd w:val="clear" w:color="auto" w:fill="auto"/>
            <w:noWrap/>
            <w:vAlign w:val="bottom"/>
            <w:hideMark/>
          </w:tcPr>
          <w:p w14:paraId="215348F0"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57.960.000</w:t>
            </w:r>
          </w:p>
        </w:tc>
        <w:tc>
          <w:tcPr>
            <w:tcW w:w="1842" w:type="dxa"/>
            <w:tcBorders>
              <w:top w:val="nil"/>
              <w:left w:val="nil"/>
              <w:bottom w:val="single" w:sz="4" w:space="0" w:color="auto"/>
              <w:right w:val="single" w:sz="4" w:space="0" w:color="auto"/>
            </w:tcBorders>
            <w:shd w:val="clear" w:color="auto" w:fill="auto"/>
            <w:noWrap/>
            <w:vAlign w:val="bottom"/>
            <w:hideMark/>
          </w:tcPr>
          <w:p w14:paraId="1321DBCF"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77.960.000</w:t>
            </w:r>
          </w:p>
        </w:tc>
      </w:tr>
      <w:tr w:rsidR="000242DF" w:rsidRPr="000A2D2E" w14:paraId="17804DB2" w14:textId="77777777" w:rsidTr="00B90AAF">
        <w:trPr>
          <w:trHeight w:val="28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04EED02" w14:textId="77777777" w:rsidR="000242DF" w:rsidRPr="000A2D2E" w:rsidRDefault="000242DF" w:rsidP="00B90AAF">
            <w:pPr>
              <w:spacing w:after="0" w:line="240" w:lineRule="auto"/>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MFP 65</w:t>
            </w:r>
          </w:p>
        </w:tc>
        <w:tc>
          <w:tcPr>
            <w:tcW w:w="1985" w:type="dxa"/>
            <w:tcBorders>
              <w:top w:val="nil"/>
              <w:left w:val="nil"/>
              <w:bottom w:val="single" w:sz="4" w:space="0" w:color="auto"/>
              <w:right w:val="single" w:sz="4" w:space="0" w:color="auto"/>
            </w:tcBorders>
            <w:shd w:val="clear" w:color="auto" w:fill="auto"/>
            <w:noWrap/>
            <w:vAlign w:val="bottom"/>
            <w:hideMark/>
          </w:tcPr>
          <w:p w14:paraId="4EE761A8"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11.255.129</w:t>
            </w:r>
          </w:p>
        </w:tc>
        <w:tc>
          <w:tcPr>
            <w:tcW w:w="1701" w:type="dxa"/>
            <w:tcBorders>
              <w:top w:val="nil"/>
              <w:left w:val="nil"/>
              <w:bottom w:val="single" w:sz="4" w:space="0" w:color="auto"/>
              <w:right w:val="single" w:sz="4" w:space="0" w:color="auto"/>
            </w:tcBorders>
            <w:shd w:val="clear" w:color="auto" w:fill="auto"/>
            <w:noWrap/>
            <w:vAlign w:val="bottom"/>
            <w:hideMark/>
          </w:tcPr>
          <w:p w14:paraId="1D9A5482"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11.284.579</w:t>
            </w:r>
          </w:p>
        </w:tc>
        <w:tc>
          <w:tcPr>
            <w:tcW w:w="1842" w:type="dxa"/>
            <w:tcBorders>
              <w:top w:val="nil"/>
              <w:left w:val="nil"/>
              <w:bottom w:val="single" w:sz="4" w:space="0" w:color="auto"/>
              <w:right w:val="single" w:sz="4" w:space="0" w:color="auto"/>
            </w:tcBorders>
            <w:shd w:val="clear" w:color="auto" w:fill="auto"/>
            <w:noWrap/>
            <w:vAlign w:val="bottom"/>
            <w:hideMark/>
          </w:tcPr>
          <w:p w14:paraId="44A8B6F9"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22.539.708</w:t>
            </w:r>
          </w:p>
        </w:tc>
      </w:tr>
      <w:tr w:rsidR="000242DF" w:rsidRPr="000A2D2E" w14:paraId="20A184A1" w14:textId="77777777" w:rsidTr="00B90AAF">
        <w:trPr>
          <w:trHeight w:val="28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03153F9" w14:textId="77777777" w:rsidR="000242DF" w:rsidRPr="000A2D2E" w:rsidRDefault="000242DF" w:rsidP="00B90AAF">
            <w:pPr>
              <w:spacing w:after="0" w:line="240" w:lineRule="auto"/>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SAT 549</w:t>
            </w:r>
          </w:p>
        </w:tc>
        <w:tc>
          <w:tcPr>
            <w:tcW w:w="1985" w:type="dxa"/>
            <w:tcBorders>
              <w:top w:val="nil"/>
              <w:left w:val="nil"/>
              <w:bottom w:val="single" w:sz="4" w:space="0" w:color="auto"/>
              <w:right w:val="single" w:sz="4" w:space="0" w:color="auto"/>
            </w:tcBorders>
            <w:shd w:val="clear" w:color="auto" w:fill="auto"/>
            <w:noWrap/>
            <w:vAlign w:val="bottom"/>
            <w:hideMark/>
          </w:tcPr>
          <w:p w14:paraId="6F6F34AC"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35.703.065</w:t>
            </w:r>
          </w:p>
        </w:tc>
        <w:tc>
          <w:tcPr>
            <w:tcW w:w="1701" w:type="dxa"/>
            <w:tcBorders>
              <w:top w:val="nil"/>
              <w:left w:val="nil"/>
              <w:bottom w:val="single" w:sz="4" w:space="0" w:color="auto"/>
              <w:right w:val="single" w:sz="4" w:space="0" w:color="auto"/>
            </w:tcBorders>
            <w:shd w:val="clear" w:color="auto" w:fill="auto"/>
            <w:noWrap/>
            <w:vAlign w:val="bottom"/>
            <w:hideMark/>
          </w:tcPr>
          <w:p w14:paraId="184493B0"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 </w:t>
            </w:r>
          </w:p>
        </w:tc>
        <w:tc>
          <w:tcPr>
            <w:tcW w:w="1842" w:type="dxa"/>
            <w:tcBorders>
              <w:top w:val="nil"/>
              <w:left w:val="nil"/>
              <w:bottom w:val="single" w:sz="4" w:space="0" w:color="auto"/>
              <w:right w:val="single" w:sz="4" w:space="0" w:color="auto"/>
            </w:tcBorders>
            <w:shd w:val="clear" w:color="auto" w:fill="auto"/>
            <w:noWrap/>
            <w:vAlign w:val="bottom"/>
            <w:hideMark/>
          </w:tcPr>
          <w:p w14:paraId="19E27B51"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35.703.065</w:t>
            </w:r>
          </w:p>
        </w:tc>
      </w:tr>
      <w:tr w:rsidR="000242DF" w:rsidRPr="000A2D2E" w14:paraId="0C721E74" w14:textId="77777777" w:rsidTr="00B90AAF">
        <w:trPr>
          <w:trHeight w:val="28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F69E2C9" w14:textId="77777777" w:rsidR="000242DF" w:rsidRPr="000A2D2E" w:rsidRDefault="000242DF" w:rsidP="00B90AAF">
            <w:pPr>
              <w:spacing w:after="0" w:line="240" w:lineRule="auto"/>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C. Sindicado</w:t>
            </w:r>
          </w:p>
        </w:tc>
        <w:tc>
          <w:tcPr>
            <w:tcW w:w="1985" w:type="dxa"/>
            <w:tcBorders>
              <w:top w:val="nil"/>
              <w:left w:val="nil"/>
              <w:bottom w:val="single" w:sz="4" w:space="0" w:color="auto"/>
              <w:right w:val="single" w:sz="4" w:space="0" w:color="auto"/>
            </w:tcBorders>
            <w:shd w:val="clear" w:color="auto" w:fill="auto"/>
            <w:noWrap/>
            <w:vAlign w:val="bottom"/>
            <w:hideMark/>
          </w:tcPr>
          <w:p w14:paraId="4C2E321A"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369.221.685</w:t>
            </w:r>
          </w:p>
        </w:tc>
        <w:tc>
          <w:tcPr>
            <w:tcW w:w="1701" w:type="dxa"/>
            <w:tcBorders>
              <w:top w:val="nil"/>
              <w:left w:val="nil"/>
              <w:bottom w:val="single" w:sz="4" w:space="0" w:color="auto"/>
              <w:right w:val="single" w:sz="4" w:space="0" w:color="auto"/>
            </w:tcBorders>
            <w:shd w:val="clear" w:color="auto" w:fill="auto"/>
            <w:noWrap/>
            <w:vAlign w:val="bottom"/>
            <w:hideMark/>
          </w:tcPr>
          <w:p w14:paraId="2344FDAB"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 </w:t>
            </w:r>
          </w:p>
        </w:tc>
        <w:tc>
          <w:tcPr>
            <w:tcW w:w="1842" w:type="dxa"/>
            <w:tcBorders>
              <w:top w:val="nil"/>
              <w:left w:val="nil"/>
              <w:bottom w:val="single" w:sz="4" w:space="0" w:color="auto"/>
              <w:right w:val="single" w:sz="4" w:space="0" w:color="auto"/>
            </w:tcBorders>
            <w:shd w:val="clear" w:color="auto" w:fill="auto"/>
            <w:noWrap/>
            <w:vAlign w:val="bottom"/>
            <w:hideMark/>
          </w:tcPr>
          <w:p w14:paraId="28C44404"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369.221.685</w:t>
            </w:r>
          </w:p>
        </w:tc>
      </w:tr>
      <w:tr w:rsidR="000242DF" w:rsidRPr="000A2D2E" w14:paraId="18BC927B" w14:textId="77777777" w:rsidTr="00B90AAF">
        <w:trPr>
          <w:trHeight w:val="28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107092E" w14:textId="77777777" w:rsidR="000242DF" w:rsidRPr="000A2D2E" w:rsidRDefault="000242DF" w:rsidP="00B90AAF">
            <w:pPr>
              <w:spacing w:after="0" w:line="240" w:lineRule="auto"/>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TOTAL</w:t>
            </w:r>
          </w:p>
        </w:tc>
        <w:tc>
          <w:tcPr>
            <w:tcW w:w="1985" w:type="dxa"/>
            <w:tcBorders>
              <w:top w:val="nil"/>
              <w:left w:val="nil"/>
              <w:bottom w:val="single" w:sz="4" w:space="0" w:color="auto"/>
              <w:right w:val="single" w:sz="4" w:space="0" w:color="auto"/>
            </w:tcBorders>
            <w:shd w:val="clear" w:color="auto" w:fill="auto"/>
            <w:noWrap/>
            <w:vAlign w:val="bottom"/>
            <w:hideMark/>
          </w:tcPr>
          <w:p w14:paraId="55F7F6A9"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889.583.367</w:t>
            </w:r>
          </w:p>
        </w:tc>
        <w:tc>
          <w:tcPr>
            <w:tcW w:w="1701" w:type="dxa"/>
            <w:tcBorders>
              <w:top w:val="nil"/>
              <w:left w:val="nil"/>
              <w:bottom w:val="single" w:sz="4" w:space="0" w:color="auto"/>
              <w:right w:val="single" w:sz="4" w:space="0" w:color="auto"/>
            </w:tcBorders>
            <w:shd w:val="clear" w:color="auto" w:fill="auto"/>
            <w:noWrap/>
            <w:vAlign w:val="bottom"/>
            <w:hideMark/>
          </w:tcPr>
          <w:p w14:paraId="24BEA024" w14:textId="77777777" w:rsidR="000242DF" w:rsidRPr="000A2D2E" w:rsidRDefault="000242DF" w:rsidP="00B90AAF">
            <w:pPr>
              <w:spacing w:after="0" w:line="240" w:lineRule="auto"/>
              <w:jc w:val="right"/>
              <w:rPr>
                <w:rFonts w:ascii="Times New Roman" w:eastAsia="Times New Roman" w:hAnsi="Times New Roman" w:cs="Times New Roman"/>
                <w:color w:val="000000"/>
                <w:lang w:val="es-ES_tradnl" w:eastAsia="es-ES"/>
              </w:rPr>
            </w:pPr>
            <w:r w:rsidRPr="000A2D2E">
              <w:rPr>
                <w:rFonts w:ascii="Times New Roman" w:eastAsia="Times New Roman" w:hAnsi="Times New Roman" w:cs="Times New Roman"/>
                <w:color w:val="000000"/>
                <w:lang w:val="es-ES_tradnl" w:eastAsia="es-ES"/>
              </w:rPr>
              <w:t>69.244.579</w:t>
            </w:r>
          </w:p>
        </w:tc>
        <w:tc>
          <w:tcPr>
            <w:tcW w:w="1842" w:type="dxa"/>
            <w:tcBorders>
              <w:top w:val="nil"/>
              <w:left w:val="nil"/>
              <w:bottom w:val="single" w:sz="4" w:space="0" w:color="auto"/>
              <w:right w:val="single" w:sz="4" w:space="0" w:color="auto"/>
            </w:tcBorders>
            <w:shd w:val="clear" w:color="auto" w:fill="auto"/>
            <w:noWrap/>
            <w:vAlign w:val="bottom"/>
            <w:hideMark/>
          </w:tcPr>
          <w:p w14:paraId="40124A63" w14:textId="77777777" w:rsidR="000242DF" w:rsidRPr="000A2D2E" w:rsidRDefault="000242DF" w:rsidP="00B90AAF">
            <w:pPr>
              <w:spacing w:after="0" w:line="240" w:lineRule="auto"/>
              <w:jc w:val="right"/>
              <w:rPr>
                <w:rFonts w:ascii="Times New Roman" w:eastAsia="Times New Roman" w:hAnsi="Times New Roman" w:cs="Times New Roman"/>
                <w:b/>
                <w:bCs/>
                <w:color w:val="000000"/>
                <w:lang w:val="es-ES_tradnl" w:eastAsia="es-ES"/>
              </w:rPr>
            </w:pPr>
            <w:r w:rsidRPr="000A2D2E">
              <w:rPr>
                <w:rFonts w:ascii="Times New Roman" w:eastAsia="Times New Roman" w:hAnsi="Times New Roman" w:cs="Times New Roman"/>
                <w:b/>
                <w:bCs/>
                <w:color w:val="000000"/>
                <w:lang w:val="es-ES_tradnl" w:eastAsia="es-ES"/>
              </w:rPr>
              <w:t>958.827.946</w:t>
            </w:r>
          </w:p>
        </w:tc>
      </w:tr>
      <w:tr w:rsidR="000242DF" w:rsidRPr="000A2D2E" w14:paraId="28B3D6A2" w14:textId="77777777" w:rsidTr="00B90AAF">
        <w:trPr>
          <w:trHeight w:val="280"/>
        </w:trPr>
        <w:tc>
          <w:tcPr>
            <w:tcW w:w="7953" w:type="dxa"/>
            <w:gridSpan w:val="4"/>
            <w:tcBorders>
              <w:top w:val="nil"/>
              <w:left w:val="nil"/>
              <w:bottom w:val="nil"/>
              <w:right w:val="nil"/>
            </w:tcBorders>
            <w:shd w:val="clear" w:color="auto" w:fill="auto"/>
            <w:noWrap/>
            <w:vAlign w:val="bottom"/>
            <w:hideMark/>
          </w:tcPr>
          <w:p w14:paraId="154C3C59" w14:textId="77777777" w:rsidR="000242DF" w:rsidRPr="000A2D2E" w:rsidRDefault="000242DF" w:rsidP="00B90AAF">
            <w:pPr>
              <w:spacing w:after="0" w:line="240" w:lineRule="auto"/>
              <w:rPr>
                <w:rFonts w:ascii="Times New Roman" w:eastAsia="Times New Roman" w:hAnsi="Times New Roman" w:cs="Times New Roman"/>
                <w:color w:val="000000"/>
                <w:sz w:val="20"/>
                <w:szCs w:val="20"/>
                <w:lang w:val="es-ES_tradnl" w:eastAsia="es-ES"/>
              </w:rPr>
            </w:pPr>
            <w:r w:rsidRPr="000A2D2E">
              <w:rPr>
                <w:rFonts w:ascii="Times New Roman" w:eastAsia="Times New Roman" w:hAnsi="Times New Roman" w:cs="Times New Roman"/>
                <w:color w:val="000000"/>
                <w:sz w:val="20"/>
                <w:szCs w:val="20"/>
                <w:lang w:val="es-ES_tradnl" w:eastAsia="es-ES"/>
              </w:rPr>
              <w:t>Fuente: Proyecciones propias sobre información aportada por la Municipalidad en el mes de Diciembre de 2012</w:t>
            </w:r>
          </w:p>
        </w:tc>
      </w:tr>
    </w:tbl>
    <w:p w14:paraId="163DD674" w14:textId="77777777" w:rsidR="000242DF" w:rsidRDefault="000242DF" w:rsidP="000242DF">
      <w:pPr>
        <w:spacing w:after="0" w:line="240" w:lineRule="auto"/>
        <w:jc w:val="both"/>
        <w:rPr>
          <w:rFonts w:ascii="Times New Roman" w:hAnsi="Times New Roman" w:cs="Times New Roman"/>
          <w:sz w:val="24"/>
          <w:szCs w:val="24"/>
        </w:rPr>
      </w:pPr>
    </w:p>
    <w:p w14:paraId="5D58CC32" w14:textId="77777777" w:rsidR="000242DF" w:rsidRDefault="000242DF" w:rsidP="00024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 acuerdo con el cuadro anterior, un </w:t>
      </w:r>
      <w:r w:rsidRPr="000A2D2E">
        <w:rPr>
          <w:rFonts w:ascii="Times New Roman" w:hAnsi="Times New Roman" w:cs="Times New Roman"/>
          <w:sz w:val="24"/>
          <w:szCs w:val="24"/>
        </w:rPr>
        <w:t xml:space="preserve">81,4% del </w:t>
      </w:r>
      <w:r>
        <w:rPr>
          <w:rFonts w:ascii="Times New Roman" w:hAnsi="Times New Roman" w:cs="Times New Roman"/>
          <w:sz w:val="24"/>
          <w:szCs w:val="24"/>
        </w:rPr>
        <w:t xml:space="preserve">monto total de la deuda vigente se explica por dos créditos.  El primero de ellos, </w:t>
      </w:r>
      <w:r w:rsidRPr="000A2D2E">
        <w:rPr>
          <w:rFonts w:ascii="Times New Roman" w:hAnsi="Times New Roman" w:cs="Times New Roman"/>
          <w:sz w:val="24"/>
          <w:szCs w:val="24"/>
        </w:rPr>
        <w:t>proveniente del Gobierno Central</w:t>
      </w:r>
      <w:r>
        <w:rPr>
          <w:rFonts w:ascii="Times New Roman" w:hAnsi="Times New Roman" w:cs="Times New Roman"/>
          <w:sz w:val="24"/>
          <w:szCs w:val="24"/>
        </w:rPr>
        <w:t xml:space="preserve">, </w:t>
      </w:r>
      <w:r w:rsidRPr="000A2D2E">
        <w:rPr>
          <w:rFonts w:ascii="Times New Roman" w:hAnsi="Times New Roman" w:cs="Times New Roman"/>
          <w:sz w:val="24"/>
          <w:szCs w:val="24"/>
        </w:rPr>
        <w:t xml:space="preserve">por </w:t>
      </w:r>
      <w:r>
        <w:rPr>
          <w:rFonts w:ascii="Times New Roman" w:hAnsi="Times New Roman" w:cs="Times New Roman"/>
          <w:sz w:val="24"/>
          <w:szCs w:val="24"/>
        </w:rPr>
        <w:t xml:space="preserve">un monto de </w:t>
      </w:r>
      <w:r w:rsidRPr="000A2D2E">
        <w:rPr>
          <w:rFonts w:ascii="Times New Roman" w:hAnsi="Times New Roman" w:cs="Times New Roman"/>
          <w:sz w:val="24"/>
          <w:szCs w:val="24"/>
        </w:rPr>
        <w:t>Q411.3 millones</w:t>
      </w:r>
      <w:r>
        <w:rPr>
          <w:rFonts w:ascii="Times New Roman" w:hAnsi="Times New Roman" w:cs="Times New Roman"/>
          <w:sz w:val="24"/>
          <w:szCs w:val="24"/>
        </w:rPr>
        <w:t>,</w:t>
      </w:r>
      <w:r w:rsidRPr="000A2D2E">
        <w:rPr>
          <w:rFonts w:ascii="Times New Roman" w:hAnsi="Times New Roman" w:cs="Times New Roman"/>
          <w:sz w:val="24"/>
          <w:szCs w:val="24"/>
        </w:rPr>
        <w:t xml:space="preserve"> destinado a la compra de buses dentro del proyecto de transporte</w:t>
      </w:r>
      <w:r>
        <w:rPr>
          <w:rFonts w:ascii="Times New Roman" w:hAnsi="Times New Roman" w:cs="Times New Roman"/>
          <w:sz w:val="24"/>
          <w:szCs w:val="24"/>
        </w:rPr>
        <w:t xml:space="preserve">.  El segundo, es el crédito </w:t>
      </w:r>
      <w:r w:rsidRPr="000A2D2E">
        <w:rPr>
          <w:rFonts w:ascii="Times New Roman" w:hAnsi="Times New Roman" w:cs="Times New Roman"/>
          <w:sz w:val="24"/>
          <w:szCs w:val="24"/>
        </w:rPr>
        <w:t>sindicado proveniente de la banca privada</w:t>
      </w:r>
      <w:r>
        <w:rPr>
          <w:rFonts w:ascii="Times New Roman" w:hAnsi="Times New Roman" w:cs="Times New Roman"/>
          <w:sz w:val="24"/>
          <w:szCs w:val="24"/>
        </w:rPr>
        <w:t>,</w:t>
      </w:r>
      <w:r w:rsidRPr="000A2D2E">
        <w:rPr>
          <w:rFonts w:ascii="Times New Roman" w:hAnsi="Times New Roman" w:cs="Times New Roman"/>
          <w:sz w:val="24"/>
          <w:szCs w:val="24"/>
        </w:rPr>
        <w:t xml:space="preserve"> por valor de Q369.2 millones</w:t>
      </w:r>
      <w:r>
        <w:rPr>
          <w:rFonts w:ascii="Times New Roman" w:hAnsi="Times New Roman" w:cs="Times New Roman"/>
          <w:sz w:val="24"/>
          <w:szCs w:val="24"/>
        </w:rPr>
        <w:t>,</w:t>
      </w:r>
      <w:r w:rsidRPr="000A2D2E">
        <w:rPr>
          <w:rFonts w:ascii="Times New Roman" w:hAnsi="Times New Roman" w:cs="Times New Roman"/>
          <w:sz w:val="24"/>
          <w:szCs w:val="24"/>
        </w:rPr>
        <w:t xml:space="preserve"> destin</w:t>
      </w:r>
      <w:r>
        <w:rPr>
          <w:rFonts w:ascii="Times New Roman" w:hAnsi="Times New Roman" w:cs="Times New Roman"/>
          <w:sz w:val="24"/>
          <w:szCs w:val="24"/>
        </w:rPr>
        <w:t>ado al proyecto de Transmetro.</w:t>
      </w:r>
    </w:p>
    <w:p w14:paraId="087566C2" w14:textId="77777777" w:rsidR="000242DF" w:rsidRDefault="000242DF" w:rsidP="000242DF">
      <w:pPr>
        <w:spacing w:after="0" w:line="240" w:lineRule="auto"/>
        <w:jc w:val="both"/>
        <w:rPr>
          <w:rFonts w:ascii="Times New Roman" w:hAnsi="Times New Roman" w:cs="Times New Roman"/>
          <w:sz w:val="24"/>
          <w:szCs w:val="24"/>
        </w:rPr>
      </w:pPr>
      <w:r w:rsidRPr="000A2D2E">
        <w:rPr>
          <w:rFonts w:ascii="Times New Roman" w:hAnsi="Times New Roman" w:cs="Times New Roman"/>
          <w:sz w:val="24"/>
          <w:szCs w:val="24"/>
        </w:rPr>
        <w:lastRenderedPageBreak/>
        <w:t xml:space="preserve">El 17,5% restante </w:t>
      </w:r>
      <w:r>
        <w:rPr>
          <w:rFonts w:ascii="Times New Roman" w:hAnsi="Times New Roman" w:cs="Times New Roman"/>
          <w:sz w:val="24"/>
          <w:szCs w:val="24"/>
        </w:rPr>
        <w:t xml:space="preserve">del monto de la deuda pública vigente, </w:t>
      </w:r>
      <w:r w:rsidRPr="000A2D2E">
        <w:rPr>
          <w:rFonts w:ascii="Times New Roman" w:hAnsi="Times New Roman" w:cs="Times New Roman"/>
          <w:sz w:val="24"/>
          <w:szCs w:val="24"/>
        </w:rPr>
        <w:t>se distribuye entre créditos con saldos que ascienden de Q11 a Q78 millones con la banca privada, el Gobierno Central y la banca multilateral</w:t>
      </w:r>
      <w:r>
        <w:rPr>
          <w:rFonts w:ascii="Times New Roman" w:hAnsi="Times New Roman" w:cs="Times New Roman"/>
          <w:sz w:val="24"/>
          <w:szCs w:val="24"/>
        </w:rPr>
        <w:t>.</w:t>
      </w:r>
    </w:p>
    <w:p w14:paraId="1AF3C99D" w14:textId="77777777" w:rsidR="000242DF" w:rsidRPr="0006740C" w:rsidRDefault="000242DF" w:rsidP="000242DF">
      <w:pPr>
        <w:pStyle w:val="Heading5"/>
        <w:numPr>
          <w:ilvl w:val="0"/>
          <w:numId w:val="25"/>
        </w:numPr>
        <w:rPr>
          <w:color w:val="4F81BD" w:themeColor="accent1"/>
        </w:rPr>
      </w:pPr>
      <w:r>
        <w:rPr>
          <w:color w:val="4F81BD" w:themeColor="accent1"/>
        </w:rPr>
        <w:t>Flujo de la deuda</w:t>
      </w:r>
    </w:p>
    <w:p w14:paraId="158A5B2A" w14:textId="77777777" w:rsidR="000242DF" w:rsidRPr="000A2D2E" w:rsidRDefault="000242DF" w:rsidP="000242DF">
      <w:pPr>
        <w:spacing w:after="0" w:line="240" w:lineRule="auto"/>
        <w:jc w:val="both"/>
        <w:rPr>
          <w:rFonts w:ascii="Times New Roman" w:hAnsi="Times New Roman" w:cs="Times New Roman"/>
          <w:sz w:val="24"/>
          <w:szCs w:val="24"/>
        </w:rPr>
      </w:pPr>
    </w:p>
    <w:p w14:paraId="77D8068A" w14:textId="77777777" w:rsidR="000242DF" w:rsidRDefault="000242DF" w:rsidP="00024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En relación con e</w:t>
      </w:r>
      <w:r w:rsidRPr="000A2D2E">
        <w:rPr>
          <w:rFonts w:ascii="Times New Roman" w:hAnsi="Times New Roman" w:cs="Times New Roman"/>
          <w:sz w:val="24"/>
          <w:szCs w:val="24"/>
        </w:rPr>
        <w:t xml:space="preserve">l </w:t>
      </w:r>
      <w:r>
        <w:rPr>
          <w:rFonts w:ascii="Times New Roman" w:hAnsi="Times New Roman" w:cs="Times New Roman"/>
          <w:sz w:val="24"/>
          <w:szCs w:val="24"/>
        </w:rPr>
        <w:t xml:space="preserve">flujo o servicio de la deuda financiera, es preciso señalar que el crédito </w:t>
      </w:r>
      <w:r w:rsidRPr="000A2D2E">
        <w:rPr>
          <w:rFonts w:ascii="Times New Roman" w:hAnsi="Times New Roman" w:cs="Times New Roman"/>
          <w:sz w:val="24"/>
          <w:szCs w:val="24"/>
        </w:rPr>
        <w:t xml:space="preserve">MFP, destinado al Proyecto Munitrans de integración del sistema de transporte colectivo, tuvo un desembolso inicial de Q20 millones y </w:t>
      </w:r>
      <w:r>
        <w:rPr>
          <w:rFonts w:ascii="Times New Roman" w:hAnsi="Times New Roman" w:cs="Times New Roman"/>
          <w:sz w:val="24"/>
          <w:szCs w:val="24"/>
        </w:rPr>
        <w:t xml:space="preserve">servicio de deuda </w:t>
      </w:r>
      <w:r w:rsidRPr="000A2D2E">
        <w:rPr>
          <w:rFonts w:ascii="Times New Roman" w:hAnsi="Times New Roman" w:cs="Times New Roman"/>
          <w:sz w:val="24"/>
          <w:szCs w:val="24"/>
        </w:rPr>
        <w:t>a 10 años</w:t>
      </w:r>
      <w:r>
        <w:rPr>
          <w:rFonts w:ascii="Times New Roman" w:hAnsi="Times New Roman" w:cs="Times New Roman"/>
          <w:sz w:val="24"/>
          <w:szCs w:val="24"/>
        </w:rPr>
        <w:t>,</w:t>
      </w:r>
      <w:r w:rsidRPr="000A2D2E">
        <w:rPr>
          <w:rFonts w:ascii="Times New Roman" w:hAnsi="Times New Roman" w:cs="Times New Roman"/>
          <w:sz w:val="24"/>
          <w:szCs w:val="24"/>
        </w:rPr>
        <w:t xml:space="preserve"> a una tasa de 8% </w:t>
      </w:r>
      <w:r>
        <w:rPr>
          <w:rFonts w:ascii="Times New Roman" w:hAnsi="Times New Roman" w:cs="Times New Roman"/>
          <w:sz w:val="24"/>
          <w:szCs w:val="24"/>
        </w:rPr>
        <w:t>anual, calculada</w:t>
      </w:r>
      <w:r w:rsidRPr="000A2D2E">
        <w:rPr>
          <w:rFonts w:ascii="Times New Roman" w:hAnsi="Times New Roman" w:cs="Times New Roman"/>
          <w:sz w:val="24"/>
          <w:szCs w:val="24"/>
        </w:rPr>
        <w:t xml:space="preserve"> en el contrato inicial en Q4.618.483 para el período.  Sin embargo, el servicio de deuda </w:t>
      </w:r>
      <w:r>
        <w:rPr>
          <w:rFonts w:ascii="Times New Roman" w:hAnsi="Times New Roman" w:cs="Times New Roman"/>
          <w:sz w:val="24"/>
          <w:szCs w:val="24"/>
        </w:rPr>
        <w:t xml:space="preserve">no se ha atendido pese a </w:t>
      </w:r>
      <w:r w:rsidRPr="000A2D2E">
        <w:rPr>
          <w:rFonts w:ascii="Times New Roman" w:hAnsi="Times New Roman" w:cs="Times New Roman"/>
          <w:sz w:val="24"/>
          <w:szCs w:val="24"/>
        </w:rPr>
        <w:t xml:space="preserve">que </w:t>
      </w:r>
      <w:r>
        <w:rPr>
          <w:rFonts w:ascii="Times New Roman" w:hAnsi="Times New Roman" w:cs="Times New Roman"/>
          <w:sz w:val="24"/>
          <w:szCs w:val="24"/>
        </w:rPr>
        <w:t xml:space="preserve">el </w:t>
      </w:r>
      <w:r w:rsidRPr="000A2D2E">
        <w:rPr>
          <w:rFonts w:ascii="Times New Roman" w:hAnsi="Times New Roman" w:cs="Times New Roman"/>
          <w:sz w:val="24"/>
          <w:szCs w:val="24"/>
        </w:rPr>
        <w:t xml:space="preserve">plazo de amortización </w:t>
      </w:r>
      <w:r>
        <w:rPr>
          <w:rFonts w:ascii="Times New Roman" w:hAnsi="Times New Roman" w:cs="Times New Roman"/>
          <w:sz w:val="24"/>
          <w:szCs w:val="24"/>
        </w:rPr>
        <w:t xml:space="preserve">culminó </w:t>
      </w:r>
      <w:r w:rsidRPr="000A2D2E">
        <w:rPr>
          <w:rFonts w:ascii="Times New Roman" w:hAnsi="Times New Roman" w:cs="Times New Roman"/>
          <w:sz w:val="24"/>
          <w:szCs w:val="24"/>
        </w:rPr>
        <w:t xml:space="preserve">el 5 de julio de 2005.  </w:t>
      </w:r>
      <w:r>
        <w:rPr>
          <w:rFonts w:ascii="Times New Roman" w:hAnsi="Times New Roman" w:cs="Times New Roman"/>
          <w:sz w:val="24"/>
          <w:szCs w:val="24"/>
        </w:rPr>
        <w:t xml:space="preserve">En este orden, </w:t>
      </w:r>
      <w:r w:rsidRPr="000A2D2E">
        <w:rPr>
          <w:rFonts w:ascii="Times New Roman" w:hAnsi="Times New Roman" w:cs="Times New Roman"/>
          <w:sz w:val="24"/>
          <w:szCs w:val="24"/>
        </w:rPr>
        <w:t xml:space="preserve">saldo de </w:t>
      </w:r>
      <w:r>
        <w:rPr>
          <w:rFonts w:ascii="Times New Roman" w:hAnsi="Times New Roman" w:cs="Times New Roman"/>
          <w:sz w:val="24"/>
          <w:szCs w:val="24"/>
        </w:rPr>
        <w:t xml:space="preserve">este crédito </w:t>
      </w:r>
      <w:r w:rsidRPr="000A2D2E">
        <w:rPr>
          <w:rFonts w:ascii="Times New Roman" w:hAnsi="Times New Roman" w:cs="Times New Roman"/>
          <w:sz w:val="24"/>
          <w:szCs w:val="24"/>
        </w:rPr>
        <w:t>MFP asciende</w:t>
      </w:r>
      <w:r>
        <w:rPr>
          <w:rFonts w:ascii="Times New Roman" w:hAnsi="Times New Roman" w:cs="Times New Roman"/>
          <w:sz w:val="24"/>
          <w:szCs w:val="24"/>
        </w:rPr>
        <w:t xml:space="preserve">, a </w:t>
      </w:r>
      <w:r w:rsidRPr="000A2D2E">
        <w:rPr>
          <w:rFonts w:ascii="Times New Roman" w:hAnsi="Times New Roman" w:cs="Times New Roman"/>
          <w:sz w:val="24"/>
          <w:szCs w:val="24"/>
        </w:rPr>
        <w:t>diciembre de 2012</w:t>
      </w:r>
      <w:r>
        <w:rPr>
          <w:rFonts w:ascii="Times New Roman" w:hAnsi="Times New Roman" w:cs="Times New Roman"/>
          <w:sz w:val="24"/>
          <w:szCs w:val="24"/>
        </w:rPr>
        <w:t xml:space="preserve">, </w:t>
      </w:r>
      <w:r w:rsidRPr="000A2D2E">
        <w:rPr>
          <w:rFonts w:ascii="Times New Roman" w:hAnsi="Times New Roman" w:cs="Times New Roman"/>
          <w:sz w:val="24"/>
          <w:szCs w:val="24"/>
        </w:rPr>
        <w:t>segú</w:t>
      </w:r>
      <w:r>
        <w:rPr>
          <w:rFonts w:ascii="Times New Roman" w:hAnsi="Times New Roman" w:cs="Times New Roman"/>
          <w:sz w:val="24"/>
          <w:szCs w:val="24"/>
        </w:rPr>
        <w:t>n cálculo efectuado, a Q78 millones.</w:t>
      </w:r>
      <w:r w:rsidRPr="000A2D2E">
        <w:rPr>
          <w:rStyle w:val="FootnoteReference"/>
          <w:rFonts w:ascii="Times New Roman" w:hAnsi="Times New Roman" w:cs="Times New Roman"/>
          <w:sz w:val="24"/>
          <w:szCs w:val="24"/>
        </w:rPr>
        <w:footnoteReference w:id="66"/>
      </w:r>
    </w:p>
    <w:p w14:paraId="357FC363" w14:textId="77777777" w:rsidR="000242DF" w:rsidRPr="000A2D2E" w:rsidRDefault="000242DF" w:rsidP="000242DF">
      <w:pPr>
        <w:spacing w:after="0" w:line="240" w:lineRule="auto"/>
        <w:jc w:val="both"/>
        <w:rPr>
          <w:rFonts w:ascii="Times New Roman" w:hAnsi="Times New Roman" w:cs="Times New Roman"/>
          <w:sz w:val="24"/>
          <w:szCs w:val="24"/>
        </w:rPr>
      </w:pPr>
    </w:p>
    <w:p w14:paraId="01776BFC" w14:textId="77777777" w:rsidR="000242DF" w:rsidRPr="000A2D2E" w:rsidRDefault="000242DF" w:rsidP="00024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Respecto de</w:t>
      </w:r>
      <w:r w:rsidRPr="000A2D2E">
        <w:rPr>
          <w:rFonts w:ascii="Times New Roman" w:hAnsi="Times New Roman" w:cs="Times New Roman"/>
          <w:sz w:val="24"/>
          <w:szCs w:val="24"/>
        </w:rPr>
        <w:t>l crédito MFP 65, destinado a la compra de equipos italianos</w:t>
      </w:r>
      <w:r>
        <w:rPr>
          <w:rFonts w:ascii="Times New Roman" w:hAnsi="Times New Roman" w:cs="Times New Roman"/>
          <w:sz w:val="24"/>
          <w:szCs w:val="24"/>
        </w:rPr>
        <w:t xml:space="preserve"> para el tratamiento de basuras, e</w:t>
      </w:r>
      <w:r w:rsidRPr="000A2D2E">
        <w:rPr>
          <w:rFonts w:ascii="Times New Roman" w:hAnsi="Times New Roman" w:cs="Times New Roman"/>
          <w:sz w:val="24"/>
          <w:szCs w:val="24"/>
        </w:rPr>
        <w:t xml:space="preserve">l desembolso original </w:t>
      </w:r>
      <w:r>
        <w:rPr>
          <w:rFonts w:ascii="Times New Roman" w:hAnsi="Times New Roman" w:cs="Times New Roman"/>
          <w:sz w:val="24"/>
          <w:szCs w:val="24"/>
        </w:rPr>
        <w:t xml:space="preserve">ascendió a la suma de </w:t>
      </w:r>
      <w:r w:rsidRPr="000A2D2E">
        <w:rPr>
          <w:rFonts w:ascii="Times New Roman" w:hAnsi="Times New Roman" w:cs="Times New Roman"/>
          <w:sz w:val="24"/>
          <w:szCs w:val="24"/>
        </w:rPr>
        <w:t>U$2.5 millones</w:t>
      </w:r>
      <w:r>
        <w:rPr>
          <w:rFonts w:ascii="Times New Roman" w:hAnsi="Times New Roman" w:cs="Times New Roman"/>
          <w:sz w:val="24"/>
          <w:szCs w:val="24"/>
        </w:rPr>
        <w:t xml:space="preserve">, cuyo </w:t>
      </w:r>
      <w:r w:rsidRPr="000A2D2E">
        <w:rPr>
          <w:rFonts w:ascii="Times New Roman" w:hAnsi="Times New Roman" w:cs="Times New Roman"/>
          <w:sz w:val="24"/>
          <w:szCs w:val="24"/>
        </w:rPr>
        <w:t xml:space="preserve">plazo de amortización finalizó el 16 de febrero de 2000.  </w:t>
      </w:r>
      <w:r>
        <w:rPr>
          <w:rFonts w:ascii="Times New Roman" w:hAnsi="Times New Roman" w:cs="Times New Roman"/>
          <w:sz w:val="24"/>
          <w:szCs w:val="24"/>
        </w:rPr>
        <w:t>A</w:t>
      </w:r>
      <w:r w:rsidRPr="000A2D2E">
        <w:rPr>
          <w:rFonts w:ascii="Times New Roman" w:hAnsi="Times New Roman" w:cs="Times New Roman"/>
          <w:sz w:val="24"/>
          <w:szCs w:val="24"/>
        </w:rPr>
        <w:t xml:space="preserve"> diciembre de 2007</w:t>
      </w:r>
      <w:r>
        <w:rPr>
          <w:rFonts w:ascii="Times New Roman" w:hAnsi="Times New Roman" w:cs="Times New Roman"/>
          <w:sz w:val="24"/>
          <w:szCs w:val="24"/>
        </w:rPr>
        <w:t>,</w:t>
      </w:r>
      <w:r w:rsidRPr="000A2D2E">
        <w:rPr>
          <w:rFonts w:ascii="Times New Roman" w:hAnsi="Times New Roman" w:cs="Times New Roman"/>
          <w:sz w:val="24"/>
          <w:szCs w:val="24"/>
        </w:rPr>
        <w:t xml:space="preserve"> el saldo por capital, intereses y comisiones </w:t>
      </w:r>
      <w:r>
        <w:rPr>
          <w:rFonts w:ascii="Times New Roman" w:hAnsi="Times New Roman" w:cs="Times New Roman"/>
          <w:sz w:val="24"/>
          <w:szCs w:val="24"/>
        </w:rPr>
        <w:t xml:space="preserve">registraba un monto de </w:t>
      </w:r>
      <w:r w:rsidRPr="000A2D2E">
        <w:rPr>
          <w:rFonts w:ascii="Times New Roman" w:hAnsi="Times New Roman" w:cs="Times New Roman"/>
          <w:sz w:val="24"/>
          <w:szCs w:val="24"/>
        </w:rPr>
        <w:t>Q13.5 millones a la tasa de cambio de</w:t>
      </w:r>
      <w:r>
        <w:rPr>
          <w:rFonts w:ascii="Times New Roman" w:hAnsi="Times New Roman" w:cs="Times New Roman"/>
          <w:sz w:val="24"/>
          <w:szCs w:val="24"/>
        </w:rPr>
        <w:t xml:space="preserve"> </w:t>
      </w:r>
      <w:r w:rsidRPr="000A2D2E">
        <w:rPr>
          <w:rFonts w:ascii="Times New Roman" w:hAnsi="Times New Roman" w:cs="Times New Roman"/>
          <w:sz w:val="24"/>
          <w:szCs w:val="24"/>
        </w:rPr>
        <w:t>l</w:t>
      </w:r>
      <w:r>
        <w:rPr>
          <w:rFonts w:ascii="Times New Roman" w:hAnsi="Times New Roman" w:cs="Times New Roman"/>
          <w:sz w:val="24"/>
          <w:szCs w:val="24"/>
        </w:rPr>
        <w:t>a época</w:t>
      </w:r>
      <w:r>
        <w:rPr>
          <w:rStyle w:val="FootnoteReference"/>
          <w:rFonts w:ascii="Times New Roman" w:hAnsi="Times New Roman" w:cs="Times New Roman"/>
          <w:sz w:val="24"/>
          <w:szCs w:val="24"/>
        </w:rPr>
        <w:footnoteReference w:id="67"/>
      </w:r>
      <w:r w:rsidRPr="000A2D2E">
        <w:rPr>
          <w:rFonts w:ascii="Times New Roman" w:hAnsi="Times New Roman" w:cs="Times New Roman"/>
          <w:sz w:val="24"/>
          <w:szCs w:val="24"/>
        </w:rPr>
        <w:t xml:space="preserve">y desde </w:t>
      </w:r>
      <w:r>
        <w:rPr>
          <w:rFonts w:ascii="Times New Roman" w:hAnsi="Times New Roman" w:cs="Times New Roman"/>
          <w:sz w:val="24"/>
          <w:szCs w:val="24"/>
        </w:rPr>
        <w:t>esa fecha no se registra atención al servicio de la deuda por parte de la Municipalidad</w:t>
      </w:r>
      <w:r w:rsidRPr="000A2D2E">
        <w:rPr>
          <w:rFonts w:ascii="Times New Roman" w:hAnsi="Times New Roman" w:cs="Times New Roman"/>
          <w:sz w:val="24"/>
          <w:szCs w:val="24"/>
        </w:rPr>
        <w:t xml:space="preserve">.  </w:t>
      </w:r>
      <w:r>
        <w:rPr>
          <w:rFonts w:ascii="Times New Roman" w:hAnsi="Times New Roman" w:cs="Times New Roman"/>
          <w:sz w:val="24"/>
          <w:szCs w:val="24"/>
        </w:rPr>
        <w:t xml:space="preserve">En este orden, para efectos de determinar el saldo correspondiente a este crédito, se </w:t>
      </w:r>
      <w:r w:rsidRPr="000A2D2E">
        <w:rPr>
          <w:rFonts w:ascii="Times New Roman" w:hAnsi="Times New Roman" w:cs="Times New Roman"/>
          <w:sz w:val="24"/>
          <w:szCs w:val="24"/>
        </w:rPr>
        <w:t>proyecta</w:t>
      </w:r>
      <w:r>
        <w:rPr>
          <w:rFonts w:ascii="Times New Roman" w:hAnsi="Times New Roman" w:cs="Times New Roman"/>
          <w:sz w:val="24"/>
          <w:szCs w:val="24"/>
        </w:rPr>
        <w:t xml:space="preserve">n los </w:t>
      </w:r>
      <w:r w:rsidRPr="000A2D2E">
        <w:rPr>
          <w:rFonts w:ascii="Times New Roman" w:hAnsi="Times New Roman" w:cs="Times New Roman"/>
          <w:sz w:val="24"/>
          <w:szCs w:val="24"/>
        </w:rPr>
        <w:t xml:space="preserve">intereses causados no pagados bajo los mismos supuestos </w:t>
      </w:r>
      <w:r>
        <w:rPr>
          <w:rFonts w:ascii="Times New Roman" w:hAnsi="Times New Roman" w:cs="Times New Roman"/>
          <w:sz w:val="24"/>
          <w:szCs w:val="24"/>
        </w:rPr>
        <w:t xml:space="preserve">previstos para el </w:t>
      </w:r>
      <w:r w:rsidRPr="000A2D2E">
        <w:rPr>
          <w:rFonts w:ascii="Times New Roman" w:hAnsi="Times New Roman" w:cs="Times New Roman"/>
          <w:sz w:val="24"/>
          <w:szCs w:val="24"/>
        </w:rPr>
        <w:t xml:space="preserve">crédito MFP.  </w:t>
      </w:r>
      <w:r>
        <w:rPr>
          <w:rFonts w:ascii="Times New Roman" w:hAnsi="Times New Roman" w:cs="Times New Roman"/>
          <w:sz w:val="24"/>
          <w:szCs w:val="24"/>
        </w:rPr>
        <w:t xml:space="preserve">De este modo, con corte a 31 de diciembre de 2012, </w:t>
      </w:r>
      <w:r w:rsidRPr="000A2D2E">
        <w:rPr>
          <w:rFonts w:ascii="Times New Roman" w:hAnsi="Times New Roman" w:cs="Times New Roman"/>
          <w:sz w:val="24"/>
          <w:szCs w:val="24"/>
        </w:rPr>
        <w:t xml:space="preserve">el saldo </w:t>
      </w:r>
      <w:r>
        <w:rPr>
          <w:rFonts w:ascii="Times New Roman" w:hAnsi="Times New Roman" w:cs="Times New Roman"/>
          <w:sz w:val="24"/>
          <w:szCs w:val="24"/>
        </w:rPr>
        <w:t xml:space="preserve">proveniente del crédito </w:t>
      </w:r>
      <w:r w:rsidRPr="000A2D2E">
        <w:rPr>
          <w:rFonts w:ascii="Times New Roman" w:hAnsi="Times New Roman" w:cs="Times New Roman"/>
          <w:sz w:val="24"/>
          <w:szCs w:val="24"/>
        </w:rPr>
        <w:t>MFP 65 asciende a Q22.5 millones.</w:t>
      </w:r>
      <w:r>
        <w:rPr>
          <w:rStyle w:val="FootnoteReference"/>
          <w:rFonts w:ascii="Times New Roman" w:hAnsi="Times New Roman" w:cs="Times New Roman"/>
          <w:sz w:val="24"/>
          <w:szCs w:val="24"/>
        </w:rPr>
        <w:footnoteReference w:id="68"/>
      </w:r>
    </w:p>
    <w:p w14:paraId="5D764CCE" w14:textId="77777777" w:rsidR="000242DF" w:rsidRPr="000A2D2E" w:rsidRDefault="000242DF" w:rsidP="000242DF">
      <w:pPr>
        <w:spacing w:after="0" w:line="240" w:lineRule="auto"/>
        <w:jc w:val="both"/>
        <w:rPr>
          <w:rFonts w:ascii="Times New Roman" w:hAnsi="Times New Roman" w:cs="Times New Roman"/>
          <w:sz w:val="24"/>
          <w:szCs w:val="24"/>
        </w:rPr>
      </w:pPr>
    </w:p>
    <w:p w14:paraId="1E6D65C3" w14:textId="77777777" w:rsidR="000242DF" w:rsidRPr="000A2D2E" w:rsidRDefault="000242DF" w:rsidP="00024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En relación con </w:t>
      </w:r>
      <w:r w:rsidRPr="000A2D2E">
        <w:rPr>
          <w:rFonts w:ascii="Times New Roman" w:hAnsi="Times New Roman" w:cs="Times New Roman"/>
          <w:sz w:val="24"/>
          <w:szCs w:val="24"/>
        </w:rPr>
        <w:t>el crédito sindicado, se incluye el complemento al crédito fideicomitido que contempla Q59 millones en el 2012 y Q59 millones adicionales en el 2013</w:t>
      </w:r>
      <w:r>
        <w:rPr>
          <w:rFonts w:ascii="Times New Roman" w:hAnsi="Times New Roman" w:cs="Times New Roman"/>
          <w:sz w:val="24"/>
          <w:szCs w:val="24"/>
        </w:rPr>
        <w:t xml:space="preserve">, para un monto de </w:t>
      </w:r>
      <w:r w:rsidRPr="000A2D2E">
        <w:rPr>
          <w:rFonts w:ascii="Times New Roman" w:hAnsi="Times New Roman" w:cs="Times New Roman"/>
          <w:sz w:val="24"/>
          <w:szCs w:val="24"/>
        </w:rPr>
        <w:t>Q118 millones</w:t>
      </w:r>
      <w:r>
        <w:rPr>
          <w:rFonts w:ascii="Times New Roman" w:hAnsi="Times New Roman" w:cs="Times New Roman"/>
          <w:sz w:val="24"/>
          <w:szCs w:val="24"/>
        </w:rPr>
        <w:t xml:space="preserve">, el que se incluye en este </w:t>
      </w:r>
      <w:r w:rsidRPr="000A2D2E">
        <w:rPr>
          <w:rFonts w:ascii="Times New Roman" w:hAnsi="Times New Roman" w:cs="Times New Roman"/>
          <w:sz w:val="24"/>
          <w:szCs w:val="24"/>
        </w:rPr>
        <w:t xml:space="preserve">análisis, de </w:t>
      </w:r>
      <w:r>
        <w:rPr>
          <w:rFonts w:ascii="Times New Roman" w:hAnsi="Times New Roman" w:cs="Times New Roman"/>
          <w:sz w:val="24"/>
          <w:szCs w:val="24"/>
        </w:rPr>
        <w:t xml:space="preserve">manera </w:t>
      </w:r>
      <w:r w:rsidRPr="000A2D2E">
        <w:rPr>
          <w:rFonts w:ascii="Times New Roman" w:hAnsi="Times New Roman" w:cs="Times New Roman"/>
          <w:sz w:val="24"/>
          <w:szCs w:val="24"/>
        </w:rPr>
        <w:t>que el saldo a diciembre 2012 en este ejercicio difiere en Q59 millones al escenario presentado por la Municipalidad.</w:t>
      </w:r>
    </w:p>
    <w:p w14:paraId="65E5B07F" w14:textId="77777777" w:rsidR="000242DF" w:rsidRDefault="000242DF" w:rsidP="000242DF">
      <w:pPr>
        <w:spacing w:after="0" w:line="240" w:lineRule="auto"/>
        <w:jc w:val="both"/>
        <w:rPr>
          <w:rFonts w:ascii="Times New Roman" w:hAnsi="Times New Roman" w:cs="Times New Roman"/>
          <w:sz w:val="24"/>
          <w:szCs w:val="24"/>
        </w:rPr>
      </w:pPr>
    </w:p>
    <w:p w14:paraId="37B0DCFE" w14:textId="77777777" w:rsidR="000242DF" w:rsidRDefault="000242DF" w:rsidP="000242DF">
      <w:pPr>
        <w:spacing w:after="0" w:line="240" w:lineRule="auto"/>
        <w:jc w:val="both"/>
        <w:rPr>
          <w:rFonts w:ascii="Times New Roman" w:hAnsi="Times New Roman" w:cs="Times New Roman"/>
          <w:sz w:val="24"/>
          <w:szCs w:val="24"/>
        </w:rPr>
      </w:pPr>
      <w:r w:rsidRPr="000A2D2E">
        <w:rPr>
          <w:rFonts w:ascii="Times New Roman" w:hAnsi="Times New Roman" w:cs="Times New Roman"/>
          <w:sz w:val="24"/>
          <w:szCs w:val="24"/>
        </w:rPr>
        <w:lastRenderedPageBreak/>
        <w:t>Respecto al convenio de pago del IVA por los buses rojos a la S.A.T., la sentencia del Tribunal de Cuentas del 15 de marzo de 2012 establece el pago de Q35.703.65 por concepto del pago del IVA y las costas del proceso.  Por esta razón se incluye este saldo de deuda en el cálculo, entendiendo que se pagará en la vigencia 2013 y no generará intereses adicionales.</w:t>
      </w:r>
    </w:p>
    <w:p w14:paraId="171AC27C" w14:textId="77777777" w:rsidR="000242DF" w:rsidRDefault="000242DF" w:rsidP="000242DF">
      <w:pPr>
        <w:spacing w:after="0" w:line="240" w:lineRule="auto"/>
        <w:jc w:val="both"/>
        <w:rPr>
          <w:rFonts w:ascii="Times New Roman" w:hAnsi="Times New Roman" w:cs="Times New Roman"/>
          <w:sz w:val="24"/>
          <w:szCs w:val="24"/>
        </w:rPr>
      </w:pPr>
    </w:p>
    <w:p w14:paraId="78A3CA16" w14:textId="77777777" w:rsidR="000242DF" w:rsidRPr="0006740C" w:rsidRDefault="000242DF" w:rsidP="000242DF">
      <w:pPr>
        <w:pStyle w:val="Heading5"/>
        <w:rPr>
          <w:color w:val="4F81BD" w:themeColor="accent1"/>
        </w:rPr>
      </w:pPr>
      <w:r w:rsidRPr="0006740C">
        <w:rPr>
          <w:color w:val="4F81BD" w:themeColor="accent1"/>
        </w:rPr>
        <w:t xml:space="preserve">Capacidad de </w:t>
      </w:r>
      <w:r>
        <w:rPr>
          <w:color w:val="4F81BD" w:themeColor="accent1"/>
        </w:rPr>
        <w:t>Pago</w:t>
      </w:r>
    </w:p>
    <w:p w14:paraId="3E8CB34A" w14:textId="77777777" w:rsidR="000242DF" w:rsidRDefault="000242DF" w:rsidP="000242DF">
      <w:pPr>
        <w:spacing w:after="0" w:line="240" w:lineRule="auto"/>
        <w:jc w:val="both"/>
        <w:rPr>
          <w:rFonts w:ascii="Times New Roman" w:hAnsi="Times New Roman" w:cs="Times New Roman"/>
          <w:sz w:val="24"/>
          <w:szCs w:val="24"/>
        </w:rPr>
      </w:pPr>
    </w:p>
    <w:p w14:paraId="36C6FD1E" w14:textId="77777777" w:rsidR="000242DF" w:rsidRDefault="000242DF" w:rsidP="00024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De manera general, la capacidad de pago de una determinada administración pública corresponde a la s</w:t>
      </w:r>
      <w:r w:rsidRPr="003467C1">
        <w:rPr>
          <w:rFonts w:ascii="Times New Roman" w:hAnsi="Times New Roman" w:cs="Times New Roman"/>
          <w:sz w:val="24"/>
          <w:szCs w:val="24"/>
        </w:rPr>
        <w:t>olvencia económica y financiera de que dispone para atender de manera adecuada y oportuna sus compromisos financieros, sin afectar sus sostenibilidad financiera y fiscal.</w:t>
      </w:r>
      <w:r>
        <w:rPr>
          <w:rFonts w:ascii="Times New Roman" w:hAnsi="Times New Roman" w:cs="Times New Roman"/>
          <w:sz w:val="24"/>
          <w:szCs w:val="24"/>
        </w:rPr>
        <w:t xml:space="preserve">  Para el efecto, la capacidad de pago se evalúa mediante indicadores financieros que permiten identificar la sostenibilidad presente y futura de la deuda pública mediante el análisis del impacto en la estructura de ingresos y gastos de la respectiva administración derivado de la atención oportuna del flujo de la deuda y la generación de ahorro corriente o superávit primario.</w:t>
      </w:r>
      <w:r w:rsidRPr="001979E0">
        <w:rPr>
          <w:rFonts w:ascii="Times New Roman" w:hAnsi="Times New Roman" w:cs="Times New Roman"/>
          <w:sz w:val="24"/>
          <w:szCs w:val="24"/>
        </w:rPr>
        <w:t xml:space="preserve">  Es </w:t>
      </w:r>
      <w:r>
        <w:rPr>
          <w:rFonts w:ascii="Times New Roman" w:hAnsi="Times New Roman" w:cs="Times New Roman"/>
          <w:sz w:val="24"/>
          <w:szCs w:val="24"/>
        </w:rPr>
        <w:t>decir, s</w:t>
      </w:r>
      <w:r w:rsidRPr="001979E0">
        <w:rPr>
          <w:rFonts w:ascii="Times New Roman" w:hAnsi="Times New Roman" w:cs="Times New Roman"/>
          <w:sz w:val="24"/>
          <w:szCs w:val="24"/>
        </w:rPr>
        <w:t>e</w:t>
      </w:r>
      <w:r>
        <w:rPr>
          <w:rFonts w:ascii="Times New Roman" w:hAnsi="Times New Roman" w:cs="Times New Roman"/>
          <w:sz w:val="24"/>
          <w:szCs w:val="24"/>
        </w:rPr>
        <w:t xml:space="preserve"> </w:t>
      </w:r>
      <w:r w:rsidRPr="001979E0">
        <w:rPr>
          <w:rFonts w:ascii="Times New Roman" w:hAnsi="Times New Roman" w:cs="Times New Roman"/>
          <w:sz w:val="24"/>
          <w:szCs w:val="24"/>
        </w:rPr>
        <w:t>trata de</w:t>
      </w:r>
      <w:r>
        <w:rPr>
          <w:rFonts w:ascii="Times New Roman" w:hAnsi="Times New Roman" w:cs="Times New Roman"/>
          <w:sz w:val="24"/>
          <w:szCs w:val="24"/>
        </w:rPr>
        <w:t xml:space="preserve"> </w:t>
      </w:r>
      <w:r w:rsidRPr="001979E0">
        <w:rPr>
          <w:rFonts w:ascii="Times New Roman" w:hAnsi="Times New Roman" w:cs="Times New Roman"/>
          <w:sz w:val="24"/>
          <w:szCs w:val="24"/>
        </w:rPr>
        <w:t>un análisis complementario ent</w:t>
      </w:r>
      <w:r>
        <w:rPr>
          <w:rFonts w:ascii="Times New Roman" w:hAnsi="Times New Roman" w:cs="Times New Roman"/>
          <w:sz w:val="24"/>
          <w:szCs w:val="24"/>
        </w:rPr>
        <w:t>r</w:t>
      </w:r>
      <w:r w:rsidRPr="001979E0">
        <w:rPr>
          <w:rFonts w:ascii="Times New Roman" w:hAnsi="Times New Roman" w:cs="Times New Roman"/>
          <w:sz w:val="24"/>
          <w:szCs w:val="24"/>
        </w:rPr>
        <w:t>e el saldo dela deuda y el flujo de</w:t>
      </w:r>
      <w:r>
        <w:rPr>
          <w:rFonts w:ascii="Times New Roman" w:hAnsi="Times New Roman" w:cs="Times New Roman"/>
          <w:sz w:val="24"/>
          <w:szCs w:val="24"/>
        </w:rPr>
        <w:t xml:space="preserve"> </w:t>
      </w:r>
      <w:r w:rsidRPr="001979E0">
        <w:rPr>
          <w:rFonts w:ascii="Times New Roman" w:hAnsi="Times New Roman" w:cs="Times New Roman"/>
          <w:sz w:val="24"/>
          <w:szCs w:val="24"/>
        </w:rPr>
        <w:t xml:space="preserve">la misma en </w:t>
      </w:r>
      <w:r>
        <w:rPr>
          <w:rFonts w:ascii="Times New Roman" w:hAnsi="Times New Roman" w:cs="Times New Roman"/>
          <w:sz w:val="24"/>
          <w:szCs w:val="24"/>
        </w:rPr>
        <w:t xml:space="preserve">orden </w:t>
      </w:r>
      <w:r w:rsidRPr="001979E0">
        <w:rPr>
          <w:rFonts w:ascii="Times New Roman" w:hAnsi="Times New Roman" w:cs="Times New Roman"/>
          <w:sz w:val="24"/>
          <w:szCs w:val="24"/>
        </w:rPr>
        <w:t xml:space="preserve">a </w:t>
      </w:r>
      <w:r>
        <w:rPr>
          <w:rFonts w:ascii="Times New Roman" w:hAnsi="Times New Roman" w:cs="Times New Roman"/>
          <w:sz w:val="24"/>
          <w:szCs w:val="24"/>
        </w:rPr>
        <w:t>determinar la capacidad para asumir nuevas operaciones de deuda financiera de corto o largo plazo.</w:t>
      </w:r>
      <w:r w:rsidRPr="00014FD6">
        <w:rPr>
          <w:rStyle w:val="FootnoteReference"/>
          <w:rFonts w:eastAsiaTheme="minorHAnsi" w:cs="MundoSans"/>
          <w:sz w:val="20"/>
          <w:szCs w:val="20"/>
          <w:lang w:val="en-US" w:eastAsia="en-US"/>
        </w:rPr>
        <w:footnoteReference w:id="69"/>
      </w:r>
    </w:p>
    <w:p w14:paraId="0AE93C92" w14:textId="77777777" w:rsidR="000242DF" w:rsidRDefault="000242DF" w:rsidP="000242DF">
      <w:pPr>
        <w:spacing w:after="0" w:line="240" w:lineRule="auto"/>
        <w:jc w:val="both"/>
        <w:rPr>
          <w:rFonts w:ascii="Times New Roman" w:hAnsi="Times New Roman" w:cs="Times New Roman"/>
          <w:sz w:val="24"/>
          <w:szCs w:val="24"/>
        </w:rPr>
      </w:pPr>
    </w:p>
    <w:p w14:paraId="30C56A42" w14:textId="77777777" w:rsidR="000242DF" w:rsidRPr="0006740C" w:rsidRDefault="000242DF" w:rsidP="000242DF">
      <w:pPr>
        <w:pStyle w:val="Heading5"/>
        <w:numPr>
          <w:ilvl w:val="0"/>
          <w:numId w:val="26"/>
        </w:numPr>
        <w:rPr>
          <w:color w:val="4F81BD" w:themeColor="accent1"/>
        </w:rPr>
      </w:pPr>
      <w:r w:rsidRPr="0006740C">
        <w:rPr>
          <w:color w:val="4F81BD" w:themeColor="accent1"/>
        </w:rPr>
        <w:t xml:space="preserve">Indicadores </w:t>
      </w:r>
    </w:p>
    <w:p w14:paraId="208A28D1" w14:textId="77777777" w:rsidR="000242DF" w:rsidRDefault="000242DF" w:rsidP="000242DF">
      <w:pPr>
        <w:spacing w:after="0" w:line="240" w:lineRule="auto"/>
        <w:jc w:val="both"/>
        <w:rPr>
          <w:rFonts w:ascii="Times New Roman" w:hAnsi="Times New Roman" w:cs="Times New Roman"/>
          <w:sz w:val="24"/>
          <w:szCs w:val="24"/>
        </w:rPr>
      </w:pPr>
    </w:p>
    <w:p w14:paraId="6F4C8E4C" w14:textId="77777777" w:rsidR="000242DF" w:rsidRPr="000E245D" w:rsidRDefault="000242DF" w:rsidP="000242DF">
      <w:pPr>
        <w:spacing w:after="0" w:line="240" w:lineRule="auto"/>
        <w:jc w:val="both"/>
        <w:rPr>
          <w:rFonts w:eastAsiaTheme="minorHAnsi" w:cs="MundoSans"/>
          <w:sz w:val="20"/>
          <w:szCs w:val="20"/>
          <w:lang w:eastAsia="en-US"/>
        </w:rPr>
      </w:pPr>
      <w:r>
        <w:rPr>
          <w:rFonts w:ascii="Times New Roman" w:hAnsi="Times New Roman" w:cs="Times New Roman"/>
          <w:sz w:val="24"/>
          <w:szCs w:val="24"/>
        </w:rPr>
        <w:t>Atendiendo a lo indicado, y a efectos de determinar la sostenibilidad de la deuda municipal, el análisis contenido en este documento utiliza indicadores basados en criterios de solvencia y liquidez que permiten determinar el peso de la deuda pública dentro dela estructura de ingresos y gastos de la Municipalidad y el espacio disponible de ingresos que permitan, hacia el futuro, determinar, además dela sostenibilidad del stock, atender su servicio y la capacidad de pago para asumir nuevos compromisos financieros.</w:t>
      </w:r>
      <w:r w:rsidRPr="00014FD6">
        <w:rPr>
          <w:rStyle w:val="FootnoteReference"/>
          <w:rFonts w:eastAsiaTheme="minorHAnsi" w:cs="MundoSans"/>
          <w:sz w:val="20"/>
          <w:szCs w:val="20"/>
          <w:lang w:val="en-US" w:eastAsia="en-US"/>
        </w:rPr>
        <w:footnoteReference w:id="70"/>
      </w:r>
    </w:p>
    <w:p w14:paraId="66FBF889" w14:textId="77777777" w:rsidR="000242DF" w:rsidRDefault="000242DF" w:rsidP="000242DF">
      <w:pPr>
        <w:spacing w:after="0" w:line="240" w:lineRule="auto"/>
        <w:jc w:val="both"/>
        <w:rPr>
          <w:rFonts w:ascii="Times New Roman" w:hAnsi="Times New Roman" w:cs="Times New Roman"/>
          <w:sz w:val="24"/>
          <w:szCs w:val="24"/>
        </w:rPr>
      </w:pPr>
    </w:p>
    <w:p w14:paraId="6B7A946E" w14:textId="77777777" w:rsidR="000242DF" w:rsidRDefault="000242DF" w:rsidP="00024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Estos indicadores son los siguientes:</w:t>
      </w:r>
    </w:p>
    <w:p w14:paraId="589D390B" w14:textId="77777777" w:rsidR="000242DF" w:rsidRDefault="000242DF" w:rsidP="000242DF">
      <w:pPr>
        <w:spacing w:after="0" w:line="240" w:lineRule="auto"/>
        <w:jc w:val="both"/>
        <w:rPr>
          <w:rFonts w:ascii="Times New Roman" w:hAnsi="Times New Roman" w:cs="Times New Roman"/>
          <w:sz w:val="24"/>
          <w:szCs w:val="24"/>
        </w:rPr>
      </w:pPr>
    </w:p>
    <w:p w14:paraId="22A24938" w14:textId="77777777" w:rsidR="000242DF" w:rsidRPr="00A77291" w:rsidRDefault="000242DF" w:rsidP="000242DF">
      <w:pPr>
        <w:pStyle w:val="ListParagraph"/>
        <w:numPr>
          <w:ilvl w:val="0"/>
          <w:numId w:val="28"/>
        </w:numPr>
        <w:spacing w:after="0" w:line="240" w:lineRule="auto"/>
        <w:jc w:val="both"/>
        <w:rPr>
          <w:rFonts w:ascii="Times New Roman" w:hAnsi="Times New Roman" w:cs="Times New Roman"/>
          <w:sz w:val="24"/>
          <w:szCs w:val="24"/>
        </w:rPr>
      </w:pPr>
      <w:r w:rsidRPr="00A77291">
        <w:rPr>
          <w:rFonts w:ascii="Times New Roman" w:hAnsi="Times New Roman" w:cs="Times New Roman"/>
          <w:sz w:val="24"/>
          <w:szCs w:val="24"/>
        </w:rPr>
        <w:t xml:space="preserve">Solvencia: </w:t>
      </w:r>
      <w:r w:rsidRPr="00A77291">
        <w:rPr>
          <w:rFonts w:ascii="Times New Roman" w:hAnsi="Times New Roman" w:cs="Times New Roman"/>
          <w:i/>
          <w:sz w:val="24"/>
          <w:szCs w:val="24"/>
        </w:rPr>
        <w:t>Interés Deuda / Ahorro Operacional</w:t>
      </w:r>
      <w:r w:rsidRPr="00A77291">
        <w:rPr>
          <w:rFonts w:ascii="Times New Roman" w:hAnsi="Times New Roman" w:cs="Times New Roman"/>
          <w:iCs/>
          <w:sz w:val="24"/>
          <w:szCs w:val="24"/>
        </w:rPr>
        <w:t>,</w:t>
      </w:r>
    </w:p>
    <w:p w14:paraId="46DFA43D" w14:textId="77777777" w:rsidR="000242DF" w:rsidRDefault="000242DF" w:rsidP="000242DF">
      <w:pPr>
        <w:pStyle w:val="ListParagraph"/>
        <w:spacing w:after="0" w:line="240" w:lineRule="auto"/>
        <w:ind w:left="1080"/>
        <w:jc w:val="both"/>
        <w:rPr>
          <w:rFonts w:ascii="Times New Roman" w:hAnsi="Times New Roman" w:cs="Times New Roman"/>
          <w:sz w:val="24"/>
          <w:szCs w:val="24"/>
        </w:rPr>
      </w:pPr>
    </w:p>
    <w:p w14:paraId="0CAC8929" w14:textId="77777777" w:rsidR="000242DF" w:rsidRDefault="000242DF" w:rsidP="000242DF">
      <w:pPr>
        <w:pStyle w:val="ListParagraph"/>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Este indicador </w:t>
      </w:r>
      <w:r w:rsidRPr="00A77291">
        <w:rPr>
          <w:rFonts w:ascii="Times New Roman" w:hAnsi="Times New Roman" w:cs="Times New Roman"/>
          <w:sz w:val="24"/>
          <w:szCs w:val="24"/>
        </w:rPr>
        <w:t xml:space="preserve">hace una evaluación de la liquidez con que cuenta la administración para responder por el compromiso financiero en el corto plazo, </w:t>
      </w:r>
    </w:p>
    <w:p w14:paraId="5216AAEE" w14:textId="77777777" w:rsidR="000242DF" w:rsidRDefault="000242DF" w:rsidP="000242DF">
      <w:pPr>
        <w:spacing w:after="0" w:line="240" w:lineRule="auto"/>
        <w:jc w:val="both"/>
        <w:rPr>
          <w:rFonts w:ascii="Times New Roman" w:hAnsi="Times New Roman" w:cs="Times New Roman"/>
          <w:sz w:val="24"/>
          <w:szCs w:val="24"/>
        </w:rPr>
      </w:pPr>
    </w:p>
    <w:p w14:paraId="4AA85FC6" w14:textId="77777777" w:rsidR="000242DF" w:rsidRDefault="000242DF" w:rsidP="000242DF">
      <w:pPr>
        <w:pStyle w:val="ListParagraph"/>
        <w:numPr>
          <w:ilvl w:val="0"/>
          <w:numId w:val="28"/>
        </w:numPr>
        <w:spacing w:after="0" w:line="240" w:lineRule="auto"/>
        <w:jc w:val="both"/>
        <w:rPr>
          <w:rFonts w:ascii="Times New Roman" w:hAnsi="Times New Roman" w:cs="Times New Roman"/>
          <w:sz w:val="24"/>
          <w:szCs w:val="24"/>
        </w:rPr>
      </w:pPr>
      <w:r w:rsidRPr="00A77291">
        <w:rPr>
          <w:rFonts w:ascii="Times New Roman" w:hAnsi="Times New Roman" w:cs="Times New Roman"/>
          <w:sz w:val="24"/>
          <w:szCs w:val="24"/>
        </w:rPr>
        <w:t>Sostenibilidad</w:t>
      </w:r>
      <w:r>
        <w:rPr>
          <w:rFonts w:ascii="Times New Roman" w:hAnsi="Times New Roman" w:cs="Times New Roman"/>
          <w:sz w:val="24"/>
          <w:szCs w:val="24"/>
        </w:rPr>
        <w:t>:</w:t>
      </w:r>
      <w:r w:rsidRPr="00A77291">
        <w:rPr>
          <w:rFonts w:ascii="Times New Roman" w:hAnsi="Times New Roman" w:cs="Times New Roman"/>
          <w:sz w:val="24"/>
          <w:szCs w:val="24"/>
        </w:rPr>
        <w:t xml:space="preserve"> </w:t>
      </w:r>
      <w:r w:rsidRPr="00A77291">
        <w:rPr>
          <w:rFonts w:ascii="Times New Roman" w:hAnsi="Times New Roman" w:cs="Times New Roman"/>
          <w:i/>
          <w:sz w:val="24"/>
          <w:szCs w:val="24"/>
        </w:rPr>
        <w:t>Saldo de la deuda / Ingresos Corrientes</w:t>
      </w:r>
    </w:p>
    <w:p w14:paraId="386F1DAD" w14:textId="77777777" w:rsidR="000242DF" w:rsidRDefault="000242DF" w:rsidP="000242DF">
      <w:pPr>
        <w:pStyle w:val="ListParagraph"/>
        <w:spacing w:after="0" w:line="240" w:lineRule="auto"/>
        <w:ind w:left="1080"/>
        <w:jc w:val="both"/>
        <w:rPr>
          <w:rFonts w:ascii="Times New Roman" w:hAnsi="Times New Roman" w:cs="Times New Roman"/>
          <w:sz w:val="24"/>
          <w:szCs w:val="24"/>
        </w:rPr>
      </w:pPr>
    </w:p>
    <w:p w14:paraId="19D23B29" w14:textId="77777777" w:rsidR="000242DF" w:rsidRDefault="000242DF" w:rsidP="000242DF">
      <w:pPr>
        <w:pStyle w:val="ListParagraph"/>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Este indicador </w:t>
      </w:r>
      <w:r w:rsidRPr="00A77291">
        <w:rPr>
          <w:rFonts w:ascii="Times New Roman" w:hAnsi="Times New Roman" w:cs="Times New Roman"/>
          <w:sz w:val="24"/>
          <w:szCs w:val="24"/>
        </w:rPr>
        <w:t>considera la sostenibilidad de la deuda en un per</w:t>
      </w:r>
      <w:r>
        <w:rPr>
          <w:rFonts w:ascii="Times New Roman" w:hAnsi="Times New Roman" w:cs="Times New Roman"/>
          <w:sz w:val="24"/>
          <w:szCs w:val="24"/>
        </w:rPr>
        <w:t>íodo de tiempo mayor a un año.</w:t>
      </w:r>
    </w:p>
    <w:p w14:paraId="3134480C" w14:textId="77777777" w:rsidR="000242DF" w:rsidRDefault="000242DF" w:rsidP="000242DF">
      <w:pPr>
        <w:spacing w:after="0" w:line="240" w:lineRule="auto"/>
        <w:jc w:val="both"/>
        <w:rPr>
          <w:rFonts w:ascii="Times New Roman" w:hAnsi="Times New Roman" w:cs="Times New Roman"/>
          <w:sz w:val="24"/>
          <w:szCs w:val="24"/>
        </w:rPr>
      </w:pPr>
    </w:p>
    <w:p w14:paraId="3DBCB805" w14:textId="77777777" w:rsidR="000242DF" w:rsidRPr="00A77291" w:rsidRDefault="000242DF" w:rsidP="000242DF">
      <w:pPr>
        <w:spacing w:after="0" w:line="240" w:lineRule="auto"/>
        <w:jc w:val="both"/>
        <w:rPr>
          <w:rFonts w:ascii="Times New Roman" w:hAnsi="Times New Roman" w:cs="Times New Roman"/>
          <w:sz w:val="24"/>
          <w:szCs w:val="24"/>
        </w:rPr>
      </w:pPr>
      <w:r w:rsidRPr="00A77291">
        <w:rPr>
          <w:rFonts w:ascii="Times New Roman" w:hAnsi="Times New Roman" w:cs="Times New Roman"/>
          <w:sz w:val="24"/>
          <w:szCs w:val="24"/>
        </w:rPr>
        <w:lastRenderedPageBreak/>
        <w:t>La aplicación de estos i</w:t>
      </w:r>
      <w:r>
        <w:rPr>
          <w:rFonts w:ascii="Times New Roman" w:hAnsi="Times New Roman" w:cs="Times New Roman"/>
          <w:sz w:val="24"/>
          <w:szCs w:val="24"/>
        </w:rPr>
        <w:t xml:space="preserve">ndicadores </w:t>
      </w:r>
      <w:r w:rsidRPr="00A77291">
        <w:rPr>
          <w:rFonts w:ascii="Times New Roman" w:hAnsi="Times New Roman" w:cs="Times New Roman"/>
          <w:sz w:val="24"/>
          <w:szCs w:val="24"/>
        </w:rPr>
        <w:t xml:space="preserve">permite determinar si el flujo del crédito compromete o no la estabilidad financiera de la entidad deudora en el corto, mediano o </w:t>
      </w:r>
      <w:r>
        <w:rPr>
          <w:rFonts w:ascii="Times New Roman" w:hAnsi="Times New Roman" w:cs="Times New Roman"/>
          <w:sz w:val="24"/>
          <w:szCs w:val="24"/>
        </w:rPr>
        <w:t>largo plazo, tal como se indica a continuación.</w:t>
      </w:r>
    </w:p>
    <w:p w14:paraId="0BEC727C" w14:textId="77777777" w:rsidR="000242DF" w:rsidRDefault="000242DF" w:rsidP="000242DF">
      <w:pPr>
        <w:spacing w:after="0" w:line="240" w:lineRule="auto"/>
        <w:jc w:val="both"/>
        <w:rPr>
          <w:rFonts w:ascii="Times New Roman" w:hAnsi="Times New Roman" w:cs="Times New Roman"/>
          <w:sz w:val="24"/>
          <w:szCs w:val="24"/>
        </w:rPr>
      </w:pPr>
    </w:p>
    <w:p w14:paraId="7C56261C" w14:textId="77777777" w:rsidR="000242DF" w:rsidRPr="0006740C" w:rsidRDefault="000242DF" w:rsidP="000242DF">
      <w:pPr>
        <w:pStyle w:val="Heading5"/>
        <w:numPr>
          <w:ilvl w:val="0"/>
          <w:numId w:val="26"/>
        </w:numPr>
        <w:rPr>
          <w:color w:val="4F81BD" w:themeColor="accent1"/>
        </w:rPr>
      </w:pPr>
      <w:r>
        <w:rPr>
          <w:color w:val="4F81BD" w:themeColor="accent1"/>
        </w:rPr>
        <w:t>Análisis de sostenibilidad</w:t>
      </w:r>
    </w:p>
    <w:p w14:paraId="1000F1EB" w14:textId="77777777" w:rsidR="000242DF" w:rsidRDefault="000242DF" w:rsidP="000242DF">
      <w:pPr>
        <w:spacing w:after="0" w:line="240" w:lineRule="auto"/>
        <w:jc w:val="both"/>
        <w:rPr>
          <w:rFonts w:ascii="Times New Roman" w:hAnsi="Times New Roman" w:cs="Times New Roman"/>
          <w:sz w:val="24"/>
          <w:szCs w:val="24"/>
        </w:rPr>
      </w:pPr>
    </w:p>
    <w:p w14:paraId="0F4D6D83" w14:textId="77777777" w:rsidR="000242DF" w:rsidRPr="000A2D2E" w:rsidRDefault="000242DF" w:rsidP="00024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Atendiendo a lo indicado, y a </w:t>
      </w:r>
      <w:r w:rsidRPr="000A2D2E">
        <w:rPr>
          <w:rFonts w:ascii="Times New Roman" w:hAnsi="Times New Roman" w:cs="Times New Roman"/>
          <w:sz w:val="24"/>
          <w:szCs w:val="24"/>
        </w:rPr>
        <w:t>partir de los datos ejecutados en</w:t>
      </w:r>
      <w:r>
        <w:rPr>
          <w:rFonts w:ascii="Times New Roman" w:hAnsi="Times New Roman" w:cs="Times New Roman"/>
          <w:sz w:val="24"/>
          <w:szCs w:val="24"/>
        </w:rPr>
        <w:t xml:space="preserve"> el presupuesto de</w:t>
      </w:r>
      <w:r w:rsidRPr="000A2D2E">
        <w:rPr>
          <w:rFonts w:ascii="Times New Roman" w:hAnsi="Times New Roman" w:cs="Times New Roman"/>
          <w:sz w:val="24"/>
          <w:szCs w:val="24"/>
        </w:rPr>
        <w:t xml:space="preserve"> la vigencia 2011 por concepto de ingreso corriente y gasto de funcionamiento, </w:t>
      </w:r>
      <w:r>
        <w:rPr>
          <w:rFonts w:ascii="Times New Roman" w:hAnsi="Times New Roman" w:cs="Times New Roman"/>
          <w:sz w:val="24"/>
          <w:szCs w:val="24"/>
        </w:rPr>
        <w:t xml:space="preserve">análisis se elabora alrededor del cálculo del </w:t>
      </w:r>
      <w:r w:rsidRPr="000A2D2E">
        <w:rPr>
          <w:rFonts w:ascii="Times New Roman" w:hAnsi="Times New Roman" w:cs="Times New Roman"/>
          <w:sz w:val="24"/>
          <w:szCs w:val="24"/>
        </w:rPr>
        <w:t xml:space="preserve">ingreso corriente, </w:t>
      </w:r>
      <w:r>
        <w:rPr>
          <w:rFonts w:ascii="Times New Roman" w:hAnsi="Times New Roman" w:cs="Times New Roman"/>
          <w:sz w:val="24"/>
          <w:szCs w:val="24"/>
        </w:rPr>
        <w:t xml:space="preserve">el </w:t>
      </w:r>
      <w:r w:rsidRPr="000A2D2E">
        <w:rPr>
          <w:rFonts w:ascii="Times New Roman" w:hAnsi="Times New Roman" w:cs="Times New Roman"/>
          <w:sz w:val="24"/>
          <w:szCs w:val="24"/>
        </w:rPr>
        <w:t xml:space="preserve">gasto de funcionamiento y </w:t>
      </w:r>
      <w:r>
        <w:rPr>
          <w:rFonts w:ascii="Times New Roman" w:hAnsi="Times New Roman" w:cs="Times New Roman"/>
          <w:sz w:val="24"/>
          <w:szCs w:val="24"/>
        </w:rPr>
        <w:t xml:space="preserve">el </w:t>
      </w:r>
      <w:r w:rsidRPr="000A2D2E">
        <w:rPr>
          <w:rFonts w:ascii="Times New Roman" w:hAnsi="Times New Roman" w:cs="Times New Roman"/>
          <w:sz w:val="24"/>
          <w:szCs w:val="24"/>
        </w:rPr>
        <w:t>ahorro operacional (Anexo 1</w:t>
      </w:r>
      <w:r w:rsidRPr="000A2D2E">
        <w:rPr>
          <w:rFonts w:ascii="Times New Roman" w:hAnsi="Times New Roman" w:cs="Times New Roman"/>
          <w:b/>
          <w:sz w:val="24"/>
          <w:szCs w:val="24"/>
        </w:rPr>
        <w:t xml:space="preserve"> </w:t>
      </w:r>
      <w:r w:rsidRPr="000A2D2E">
        <w:rPr>
          <w:rFonts w:ascii="Times New Roman" w:hAnsi="Times New Roman" w:cs="Times New Roman"/>
          <w:sz w:val="24"/>
          <w:szCs w:val="24"/>
        </w:rPr>
        <w:t>Balance Financiero 2008 – 2012).</w:t>
      </w:r>
    </w:p>
    <w:p w14:paraId="286EE35A" w14:textId="77777777" w:rsidR="000242DF" w:rsidRPr="000A2D2E" w:rsidRDefault="000242DF" w:rsidP="000242DF">
      <w:pPr>
        <w:spacing w:after="0" w:line="240" w:lineRule="auto"/>
        <w:jc w:val="both"/>
        <w:rPr>
          <w:rFonts w:ascii="Times New Roman" w:hAnsi="Times New Roman" w:cs="Times New Roman"/>
          <w:sz w:val="24"/>
          <w:szCs w:val="24"/>
        </w:rPr>
      </w:pPr>
    </w:p>
    <w:p w14:paraId="4114C657" w14:textId="77777777" w:rsidR="000242DF" w:rsidRPr="000A2D2E" w:rsidRDefault="000242DF" w:rsidP="00024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Para este efecto, se calcula </w:t>
      </w:r>
      <w:r w:rsidRPr="000A2D2E">
        <w:rPr>
          <w:rFonts w:ascii="Times New Roman" w:hAnsi="Times New Roman" w:cs="Times New Roman"/>
          <w:sz w:val="24"/>
          <w:szCs w:val="24"/>
        </w:rPr>
        <w:t xml:space="preserve">el ingreso </w:t>
      </w:r>
      <w:r>
        <w:rPr>
          <w:rFonts w:ascii="Times New Roman" w:hAnsi="Times New Roman" w:cs="Times New Roman"/>
          <w:sz w:val="24"/>
          <w:szCs w:val="24"/>
        </w:rPr>
        <w:t>corriente de la Municipalidad</w:t>
      </w:r>
      <w:r w:rsidRPr="000A2D2E">
        <w:rPr>
          <w:rFonts w:ascii="Times New Roman" w:hAnsi="Times New Roman" w:cs="Times New Roman"/>
          <w:sz w:val="24"/>
          <w:szCs w:val="24"/>
        </w:rPr>
        <w:t xml:space="preserve"> descontando los ingresos provenientes de “Convenio de pago IUSI”, </w:t>
      </w:r>
      <w:r>
        <w:rPr>
          <w:rFonts w:ascii="Times New Roman" w:hAnsi="Times New Roman" w:cs="Times New Roman"/>
          <w:sz w:val="24"/>
          <w:szCs w:val="24"/>
        </w:rPr>
        <w:t xml:space="preserve">dado que no se trata de un ingreso de carácter corriente, </w:t>
      </w:r>
      <w:r w:rsidRPr="000A2D2E">
        <w:rPr>
          <w:rFonts w:ascii="Times New Roman" w:hAnsi="Times New Roman" w:cs="Times New Roman"/>
          <w:sz w:val="24"/>
          <w:szCs w:val="24"/>
        </w:rPr>
        <w:t xml:space="preserve">agregando lo correspondiente a las transferencias de capital, que al </w:t>
      </w:r>
      <w:r>
        <w:rPr>
          <w:rFonts w:ascii="Times New Roman" w:hAnsi="Times New Roman" w:cs="Times New Roman"/>
          <w:sz w:val="24"/>
          <w:szCs w:val="24"/>
        </w:rPr>
        <w:t xml:space="preserve">disponer </w:t>
      </w:r>
      <w:r w:rsidRPr="000A2D2E">
        <w:rPr>
          <w:rFonts w:ascii="Times New Roman" w:hAnsi="Times New Roman" w:cs="Times New Roman"/>
          <w:sz w:val="24"/>
          <w:szCs w:val="24"/>
        </w:rPr>
        <w:t>en la práctica un carácter más regular, pueden ser incorporadas en dicho rubro.  El gasto de funcionamiento se toma tal como lo registran los documentos oficiales de la Municipalidad.</w:t>
      </w:r>
    </w:p>
    <w:p w14:paraId="5509DEDB" w14:textId="77777777" w:rsidR="000242DF" w:rsidRPr="000A2D2E" w:rsidRDefault="000242DF" w:rsidP="000242DF">
      <w:pPr>
        <w:spacing w:after="0" w:line="240" w:lineRule="auto"/>
        <w:jc w:val="both"/>
        <w:rPr>
          <w:rFonts w:ascii="Times New Roman" w:hAnsi="Times New Roman" w:cs="Times New Roman"/>
          <w:sz w:val="24"/>
          <w:szCs w:val="24"/>
        </w:rPr>
      </w:pPr>
    </w:p>
    <w:p w14:paraId="76B75CEF" w14:textId="77777777" w:rsidR="000242DF" w:rsidRPr="000A2D2E" w:rsidRDefault="000242DF" w:rsidP="00024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Adicionalmente, e</w:t>
      </w:r>
      <w:r w:rsidRPr="000A2D2E">
        <w:rPr>
          <w:rFonts w:ascii="Times New Roman" w:hAnsi="Times New Roman" w:cs="Times New Roman"/>
          <w:sz w:val="24"/>
          <w:szCs w:val="24"/>
        </w:rPr>
        <w:t xml:space="preserve">stos datos son indexados con la inflación esperada para 2012 (4.5%), con lo cual se calcula el indicador de </w:t>
      </w:r>
      <w:r w:rsidRPr="000A2D2E">
        <w:rPr>
          <w:rFonts w:ascii="Times New Roman" w:hAnsi="Times New Roman" w:cs="Times New Roman"/>
          <w:i/>
          <w:iCs/>
          <w:sz w:val="24"/>
          <w:szCs w:val="24"/>
        </w:rPr>
        <w:t>Ahorro Operacional</w:t>
      </w:r>
      <w:r w:rsidRPr="000A2D2E">
        <w:rPr>
          <w:rFonts w:ascii="Times New Roman" w:hAnsi="Times New Roman" w:cs="Times New Roman"/>
          <w:sz w:val="24"/>
          <w:szCs w:val="24"/>
        </w:rPr>
        <w:t>.</w:t>
      </w:r>
      <w:r w:rsidRPr="000A2D2E">
        <w:rPr>
          <w:rStyle w:val="FootnoteReference"/>
          <w:rFonts w:ascii="Times New Roman" w:hAnsi="Times New Roman" w:cs="Times New Roman"/>
          <w:sz w:val="24"/>
          <w:szCs w:val="24"/>
        </w:rPr>
        <w:footnoteReference w:id="71"/>
      </w:r>
      <w:r w:rsidRPr="000A2D2E">
        <w:rPr>
          <w:rFonts w:ascii="Times New Roman" w:hAnsi="Times New Roman" w:cs="Times New Roman"/>
          <w:sz w:val="24"/>
          <w:szCs w:val="24"/>
        </w:rPr>
        <w:t xml:space="preserve">  En este orden, el </w:t>
      </w:r>
      <w:r w:rsidRPr="00F04655">
        <w:rPr>
          <w:rFonts w:ascii="Times New Roman" w:hAnsi="Times New Roman" w:cs="Times New Roman"/>
          <w:i/>
          <w:sz w:val="24"/>
          <w:szCs w:val="24"/>
        </w:rPr>
        <w:t>superávit primario</w:t>
      </w:r>
      <w:r w:rsidRPr="000A2D2E">
        <w:rPr>
          <w:rFonts w:ascii="Times New Roman" w:hAnsi="Times New Roman" w:cs="Times New Roman"/>
          <w:sz w:val="24"/>
          <w:szCs w:val="24"/>
        </w:rPr>
        <w:t xml:space="preserve"> corresponde al ingreso total menos el gasto total, sin contemplar desembolsos, amortizaciones o capitalizaciones.</w:t>
      </w:r>
    </w:p>
    <w:p w14:paraId="737533CF" w14:textId="77777777" w:rsidR="000242DF" w:rsidRDefault="000242DF" w:rsidP="000242DF">
      <w:pPr>
        <w:spacing w:after="0" w:line="240" w:lineRule="auto"/>
        <w:jc w:val="both"/>
        <w:rPr>
          <w:rFonts w:ascii="Times New Roman" w:hAnsi="Times New Roman" w:cs="Times New Roman"/>
          <w:sz w:val="24"/>
          <w:szCs w:val="24"/>
        </w:rPr>
      </w:pPr>
    </w:p>
    <w:p w14:paraId="7251771F" w14:textId="77777777" w:rsidR="000242DF" w:rsidRDefault="000242DF" w:rsidP="000242DF">
      <w:pPr>
        <w:spacing w:after="0" w:line="240" w:lineRule="auto"/>
        <w:jc w:val="both"/>
        <w:rPr>
          <w:rFonts w:ascii="Times New Roman" w:hAnsi="Times New Roman" w:cs="Times New Roman"/>
          <w:sz w:val="24"/>
          <w:szCs w:val="24"/>
        </w:rPr>
      </w:pPr>
      <w:r w:rsidRPr="000A2D2E">
        <w:rPr>
          <w:rFonts w:ascii="Times New Roman" w:hAnsi="Times New Roman" w:cs="Times New Roman"/>
          <w:sz w:val="24"/>
          <w:szCs w:val="24"/>
        </w:rPr>
        <w:t>De igual modo, los intereses y el saldo de la deuda se proyectan teniendo en cuenta la programación de intereses y amortizaciones po</w:t>
      </w:r>
      <w:r>
        <w:rPr>
          <w:rFonts w:ascii="Times New Roman" w:hAnsi="Times New Roman" w:cs="Times New Roman"/>
          <w:sz w:val="24"/>
          <w:szCs w:val="24"/>
        </w:rPr>
        <w:t>r atender en la vigencia 2012.</w:t>
      </w:r>
    </w:p>
    <w:p w14:paraId="3A53C1E5" w14:textId="77777777" w:rsidR="000242DF" w:rsidRDefault="000242DF" w:rsidP="000242DF">
      <w:pPr>
        <w:spacing w:after="0" w:line="240" w:lineRule="auto"/>
        <w:jc w:val="both"/>
        <w:rPr>
          <w:rFonts w:ascii="Times New Roman" w:hAnsi="Times New Roman" w:cs="Times New Roman"/>
          <w:sz w:val="24"/>
          <w:szCs w:val="24"/>
        </w:rPr>
      </w:pPr>
    </w:p>
    <w:p w14:paraId="3A423BBE" w14:textId="77777777" w:rsidR="000242DF" w:rsidRDefault="000242DF" w:rsidP="000242DF">
      <w:pPr>
        <w:spacing w:after="0" w:line="240" w:lineRule="auto"/>
        <w:jc w:val="both"/>
        <w:rPr>
          <w:rFonts w:ascii="Times New Roman" w:hAnsi="Times New Roman" w:cs="Times New Roman"/>
          <w:sz w:val="24"/>
          <w:szCs w:val="24"/>
        </w:rPr>
      </w:pPr>
      <w:r w:rsidRPr="000A2D2E">
        <w:rPr>
          <w:rFonts w:ascii="Times New Roman" w:hAnsi="Times New Roman" w:cs="Times New Roman"/>
          <w:sz w:val="24"/>
          <w:szCs w:val="24"/>
        </w:rPr>
        <w:t>Esta</w:t>
      </w:r>
      <w:r>
        <w:rPr>
          <w:rFonts w:ascii="Times New Roman" w:hAnsi="Times New Roman" w:cs="Times New Roman"/>
          <w:sz w:val="24"/>
          <w:szCs w:val="24"/>
        </w:rPr>
        <w:t xml:space="preserve"> metodología de proyección soporta</w:t>
      </w:r>
      <w:r w:rsidRPr="000A2D2E">
        <w:rPr>
          <w:rFonts w:ascii="Times New Roman" w:hAnsi="Times New Roman" w:cs="Times New Roman"/>
          <w:sz w:val="24"/>
          <w:szCs w:val="24"/>
        </w:rPr>
        <w:t xml:space="preserve"> el cálculo de los indicadores de </w:t>
      </w:r>
      <w:r>
        <w:rPr>
          <w:rFonts w:ascii="Times New Roman" w:hAnsi="Times New Roman" w:cs="Times New Roman"/>
          <w:sz w:val="24"/>
          <w:szCs w:val="24"/>
        </w:rPr>
        <w:t>solvencia y sostenibilidad de la deuda, que se presenta</w:t>
      </w:r>
      <w:r w:rsidRPr="000A2D2E">
        <w:rPr>
          <w:rFonts w:ascii="Times New Roman" w:hAnsi="Times New Roman" w:cs="Times New Roman"/>
          <w:sz w:val="24"/>
          <w:szCs w:val="24"/>
        </w:rPr>
        <w:t xml:space="preserve"> </w:t>
      </w:r>
      <w:r>
        <w:rPr>
          <w:rFonts w:ascii="Times New Roman" w:hAnsi="Times New Roman" w:cs="Times New Roman"/>
          <w:sz w:val="24"/>
          <w:szCs w:val="24"/>
        </w:rPr>
        <w:t>en el cuadro 9.</w:t>
      </w:r>
    </w:p>
    <w:p w14:paraId="19FAC1CA" w14:textId="77777777" w:rsidR="000242DF" w:rsidRDefault="000242DF" w:rsidP="000242DF">
      <w:pPr>
        <w:spacing w:after="0" w:line="240" w:lineRule="auto"/>
        <w:jc w:val="both"/>
        <w:rPr>
          <w:rFonts w:ascii="Times New Roman" w:hAnsi="Times New Roman" w:cs="Times New Roman"/>
          <w:sz w:val="24"/>
          <w:szCs w:val="24"/>
        </w:rPr>
      </w:pPr>
    </w:p>
    <w:p w14:paraId="43E92D16" w14:textId="77777777" w:rsidR="000242DF" w:rsidRPr="000A2D2E" w:rsidRDefault="000242DF" w:rsidP="000242D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Cuadro 9</w:t>
      </w:r>
      <w:r w:rsidRPr="000A2D2E">
        <w:rPr>
          <w:rFonts w:ascii="Times New Roman" w:hAnsi="Times New Roman" w:cs="Times New Roman"/>
          <w:b/>
          <w:sz w:val="24"/>
          <w:szCs w:val="24"/>
        </w:rPr>
        <w:t>. Indicadores de Capacidad de Endeudamiento.</w:t>
      </w:r>
    </w:p>
    <w:p w14:paraId="63738280" w14:textId="77777777" w:rsidR="000242DF" w:rsidRDefault="000242DF" w:rsidP="000242DF">
      <w:pPr>
        <w:spacing w:after="0" w:line="240" w:lineRule="auto"/>
        <w:jc w:val="both"/>
        <w:rPr>
          <w:rFonts w:cstheme="minorHAnsi"/>
          <w:sz w:val="20"/>
          <w:szCs w:val="20"/>
        </w:rPr>
      </w:pPr>
    </w:p>
    <w:tbl>
      <w:tblPr>
        <w:tblStyle w:val="TableGrid"/>
        <w:tblW w:w="0" w:type="auto"/>
        <w:jc w:val="center"/>
        <w:tblInd w:w="1526" w:type="dxa"/>
        <w:tblLook w:val="04A0" w:firstRow="1" w:lastRow="0" w:firstColumn="1" w:lastColumn="0" w:noHBand="0" w:noVBand="1"/>
      </w:tblPr>
      <w:tblGrid>
        <w:gridCol w:w="4961"/>
        <w:gridCol w:w="1276"/>
      </w:tblGrid>
      <w:tr w:rsidR="000242DF" w:rsidRPr="004550F0" w14:paraId="158BA7C2" w14:textId="77777777" w:rsidTr="00B90AAF">
        <w:trPr>
          <w:jc w:val="center"/>
        </w:trPr>
        <w:tc>
          <w:tcPr>
            <w:tcW w:w="6237" w:type="dxa"/>
            <w:gridSpan w:val="2"/>
            <w:shd w:val="clear" w:color="auto" w:fill="548DD4" w:themeFill="text2" w:themeFillTint="99"/>
            <w:vAlign w:val="bottom"/>
          </w:tcPr>
          <w:p w14:paraId="61625CB6" w14:textId="77777777" w:rsidR="000242DF" w:rsidRPr="00B52CC9" w:rsidRDefault="000242DF" w:rsidP="00B90AAF">
            <w:pPr>
              <w:jc w:val="center"/>
              <w:rPr>
                <w:rFonts w:ascii="Times New Roman" w:hAnsi="Times New Roman" w:cs="Times New Roman"/>
                <w:b/>
                <w:sz w:val="20"/>
                <w:szCs w:val="20"/>
              </w:rPr>
            </w:pPr>
            <w:r w:rsidRPr="00B52CC9">
              <w:rPr>
                <w:rFonts w:ascii="Times New Roman" w:eastAsia="Times New Roman" w:hAnsi="Times New Roman" w:cs="Times New Roman"/>
                <w:b/>
                <w:color w:val="000000"/>
                <w:sz w:val="24"/>
                <w:szCs w:val="24"/>
              </w:rPr>
              <w:t>Capacidad de endeudamiento vigencia 2012</w:t>
            </w:r>
          </w:p>
        </w:tc>
      </w:tr>
      <w:tr w:rsidR="000242DF" w:rsidRPr="004550F0" w14:paraId="65C59A9C" w14:textId="77777777" w:rsidTr="00B90AAF">
        <w:trPr>
          <w:jc w:val="center"/>
        </w:trPr>
        <w:tc>
          <w:tcPr>
            <w:tcW w:w="4961" w:type="dxa"/>
            <w:vAlign w:val="bottom"/>
          </w:tcPr>
          <w:p w14:paraId="29AF77B3" w14:textId="77777777" w:rsidR="000242DF" w:rsidRPr="00B52CC9" w:rsidRDefault="000242DF" w:rsidP="00B90AAF">
            <w:pPr>
              <w:jc w:val="both"/>
              <w:rPr>
                <w:rFonts w:ascii="Times New Roman" w:hAnsi="Times New Roman" w:cs="Times New Roman"/>
                <w:sz w:val="20"/>
                <w:szCs w:val="20"/>
              </w:rPr>
            </w:pPr>
            <w:r w:rsidRPr="00B52CC9">
              <w:rPr>
                <w:rFonts w:ascii="Times New Roman" w:eastAsia="Times New Roman" w:hAnsi="Times New Roman" w:cs="Times New Roman"/>
                <w:color w:val="000000"/>
                <w:sz w:val="20"/>
                <w:szCs w:val="20"/>
              </w:rPr>
              <w:t>1. Ingresos Corrientes</w:t>
            </w:r>
          </w:p>
        </w:tc>
        <w:tc>
          <w:tcPr>
            <w:tcW w:w="1276" w:type="dxa"/>
            <w:vAlign w:val="bottom"/>
          </w:tcPr>
          <w:p w14:paraId="4B8FC6AC" w14:textId="77777777" w:rsidR="000242DF" w:rsidRPr="00B52CC9" w:rsidRDefault="000242DF" w:rsidP="00B90AAF">
            <w:pPr>
              <w:jc w:val="right"/>
              <w:rPr>
                <w:rFonts w:ascii="Times New Roman" w:hAnsi="Times New Roman" w:cs="Times New Roman"/>
                <w:sz w:val="20"/>
                <w:szCs w:val="20"/>
              </w:rPr>
            </w:pPr>
            <w:r w:rsidRPr="00B52CC9">
              <w:rPr>
                <w:rFonts w:ascii="Times New Roman" w:eastAsia="Times New Roman" w:hAnsi="Times New Roman" w:cs="Times New Roman"/>
                <w:color w:val="000000"/>
                <w:sz w:val="20"/>
                <w:szCs w:val="20"/>
              </w:rPr>
              <w:t>Q1.110,5</w:t>
            </w:r>
          </w:p>
        </w:tc>
      </w:tr>
      <w:tr w:rsidR="000242DF" w:rsidRPr="004550F0" w14:paraId="79863C79" w14:textId="77777777" w:rsidTr="00B90AAF">
        <w:trPr>
          <w:jc w:val="center"/>
        </w:trPr>
        <w:tc>
          <w:tcPr>
            <w:tcW w:w="4961" w:type="dxa"/>
            <w:vAlign w:val="bottom"/>
          </w:tcPr>
          <w:p w14:paraId="68C9429D" w14:textId="77777777" w:rsidR="000242DF" w:rsidRPr="00B52CC9" w:rsidRDefault="000242DF" w:rsidP="00B90AAF">
            <w:pPr>
              <w:jc w:val="both"/>
              <w:rPr>
                <w:rFonts w:ascii="Times New Roman" w:hAnsi="Times New Roman" w:cs="Times New Roman"/>
                <w:sz w:val="20"/>
                <w:szCs w:val="20"/>
              </w:rPr>
            </w:pPr>
            <w:r w:rsidRPr="00B52CC9">
              <w:rPr>
                <w:rFonts w:ascii="Times New Roman" w:eastAsia="Times New Roman" w:hAnsi="Times New Roman" w:cs="Times New Roman"/>
                <w:color w:val="000000"/>
                <w:sz w:val="20"/>
                <w:szCs w:val="20"/>
              </w:rPr>
              <w:t>2. Gasto de Funcionamiento</w:t>
            </w:r>
          </w:p>
        </w:tc>
        <w:tc>
          <w:tcPr>
            <w:tcW w:w="1276" w:type="dxa"/>
            <w:vAlign w:val="bottom"/>
          </w:tcPr>
          <w:p w14:paraId="0C0D691D" w14:textId="77777777" w:rsidR="000242DF" w:rsidRPr="00B52CC9" w:rsidRDefault="000242DF" w:rsidP="00B90AAF">
            <w:pPr>
              <w:jc w:val="right"/>
              <w:rPr>
                <w:rFonts w:ascii="Times New Roman" w:hAnsi="Times New Roman" w:cs="Times New Roman"/>
                <w:sz w:val="20"/>
                <w:szCs w:val="20"/>
              </w:rPr>
            </w:pPr>
            <w:r w:rsidRPr="00B52CC9">
              <w:rPr>
                <w:rFonts w:ascii="Times New Roman" w:eastAsia="Times New Roman" w:hAnsi="Times New Roman" w:cs="Times New Roman"/>
                <w:color w:val="000000"/>
                <w:sz w:val="20"/>
                <w:szCs w:val="20"/>
              </w:rPr>
              <w:t>Q605,2</w:t>
            </w:r>
          </w:p>
        </w:tc>
      </w:tr>
      <w:tr w:rsidR="000242DF" w:rsidRPr="004550F0" w14:paraId="0E2E578E" w14:textId="77777777" w:rsidTr="00B90AAF">
        <w:trPr>
          <w:jc w:val="center"/>
        </w:trPr>
        <w:tc>
          <w:tcPr>
            <w:tcW w:w="4961" w:type="dxa"/>
            <w:vAlign w:val="bottom"/>
          </w:tcPr>
          <w:p w14:paraId="2DCADDFA" w14:textId="77777777" w:rsidR="000242DF" w:rsidRPr="00B52CC9" w:rsidRDefault="000242DF" w:rsidP="00B90AAF">
            <w:pPr>
              <w:jc w:val="both"/>
              <w:rPr>
                <w:rFonts w:ascii="Times New Roman" w:hAnsi="Times New Roman" w:cs="Times New Roman"/>
                <w:sz w:val="20"/>
                <w:szCs w:val="20"/>
              </w:rPr>
            </w:pPr>
            <w:r w:rsidRPr="00B52CC9">
              <w:rPr>
                <w:rFonts w:ascii="Times New Roman" w:eastAsia="Times New Roman" w:hAnsi="Times New Roman" w:cs="Times New Roman"/>
                <w:color w:val="000000"/>
                <w:sz w:val="20"/>
                <w:szCs w:val="20"/>
              </w:rPr>
              <w:t>3. Ahorro Operacional (1-2)</w:t>
            </w:r>
          </w:p>
        </w:tc>
        <w:tc>
          <w:tcPr>
            <w:tcW w:w="1276" w:type="dxa"/>
            <w:vAlign w:val="bottom"/>
          </w:tcPr>
          <w:p w14:paraId="5AB28893" w14:textId="77777777" w:rsidR="000242DF" w:rsidRPr="00B52CC9" w:rsidRDefault="000242DF" w:rsidP="00B90AAF">
            <w:pPr>
              <w:jc w:val="right"/>
              <w:rPr>
                <w:rFonts w:ascii="Times New Roman" w:hAnsi="Times New Roman" w:cs="Times New Roman"/>
                <w:sz w:val="20"/>
                <w:szCs w:val="20"/>
              </w:rPr>
            </w:pPr>
            <w:r w:rsidRPr="00B52CC9">
              <w:rPr>
                <w:rFonts w:ascii="Times New Roman" w:eastAsia="Times New Roman" w:hAnsi="Times New Roman" w:cs="Times New Roman"/>
                <w:color w:val="000000"/>
                <w:sz w:val="20"/>
                <w:szCs w:val="20"/>
              </w:rPr>
              <w:t>Q505,2</w:t>
            </w:r>
          </w:p>
        </w:tc>
      </w:tr>
      <w:tr w:rsidR="000242DF" w:rsidRPr="004550F0" w14:paraId="0256F08B" w14:textId="77777777" w:rsidTr="00B90AAF">
        <w:trPr>
          <w:jc w:val="center"/>
        </w:trPr>
        <w:tc>
          <w:tcPr>
            <w:tcW w:w="4961" w:type="dxa"/>
            <w:vAlign w:val="bottom"/>
          </w:tcPr>
          <w:p w14:paraId="22E1A87F" w14:textId="77777777" w:rsidR="000242DF" w:rsidRPr="00B52CC9" w:rsidRDefault="000242DF" w:rsidP="00B90AAF">
            <w:pPr>
              <w:jc w:val="both"/>
              <w:rPr>
                <w:rFonts w:ascii="Times New Roman" w:hAnsi="Times New Roman" w:cs="Times New Roman"/>
                <w:sz w:val="20"/>
                <w:szCs w:val="20"/>
              </w:rPr>
            </w:pPr>
            <w:r w:rsidRPr="00B52CC9">
              <w:rPr>
                <w:rFonts w:ascii="Times New Roman" w:eastAsia="Times New Roman" w:hAnsi="Times New Roman" w:cs="Times New Roman"/>
                <w:color w:val="000000"/>
                <w:sz w:val="20"/>
                <w:szCs w:val="20"/>
              </w:rPr>
              <w:t>4. Saldo Deuda Pública</w:t>
            </w:r>
          </w:p>
        </w:tc>
        <w:tc>
          <w:tcPr>
            <w:tcW w:w="1276" w:type="dxa"/>
            <w:vAlign w:val="bottom"/>
          </w:tcPr>
          <w:p w14:paraId="4609D5AC" w14:textId="77777777" w:rsidR="000242DF" w:rsidRPr="00B52CC9" w:rsidRDefault="000242DF" w:rsidP="00B90AAF">
            <w:pPr>
              <w:jc w:val="right"/>
              <w:rPr>
                <w:rFonts w:ascii="Times New Roman" w:hAnsi="Times New Roman" w:cs="Times New Roman"/>
                <w:sz w:val="20"/>
                <w:szCs w:val="20"/>
              </w:rPr>
            </w:pPr>
            <w:r w:rsidRPr="00B52CC9">
              <w:rPr>
                <w:rFonts w:ascii="Times New Roman" w:eastAsia="Times New Roman" w:hAnsi="Times New Roman" w:cs="Times New Roman"/>
                <w:color w:val="000000"/>
                <w:sz w:val="20"/>
                <w:szCs w:val="20"/>
              </w:rPr>
              <w:t>Q958,8</w:t>
            </w:r>
          </w:p>
        </w:tc>
      </w:tr>
      <w:tr w:rsidR="000242DF" w:rsidRPr="004550F0" w14:paraId="738C03CD" w14:textId="77777777" w:rsidTr="00B90AAF">
        <w:trPr>
          <w:jc w:val="center"/>
        </w:trPr>
        <w:tc>
          <w:tcPr>
            <w:tcW w:w="4961" w:type="dxa"/>
            <w:vAlign w:val="bottom"/>
          </w:tcPr>
          <w:p w14:paraId="5C56BBCB" w14:textId="77777777" w:rsidR="000242DF" w:rsidRPr="00B52CC9" w:rsidRDefault="000242DF" w:rsidP="00B90AAF">
            <w:pPr>
              <w:jc w:val="both"/>
              <w:rPr>
                <w:rFonts w:ascii="Times New Roman" w:hAnsi="Times New Roman" w:cs="Times New Roman"/>
                <w:sz w:val="20"/>
                <w:szCs w:val="20"/>
              </w:rPr>
            </w:pPr>
            <w:r w:rsidRPr="00B52CC9">
              <w:rPr>
                <w:rFonts w:ascii="Times New Roman" w:eastAsia="Times New Roman" w:hAnsi="Times New Roman" w:cs="Times New Roman"/>
                <w:color w:val="000000"/>
                <w:sz w:val="20"/>
                <w:szCs w:val="20"/>
              </w:rPr>
              <w:t>5. Intereses Corrientes</w:t>
            </w:r>
          </w:p>
        </w:tc>
        <w:tc>
          <w:tcPr>
            <w:tcW w:w="1276" w:type="dxa"/>
            <w:vAlign w:val="bottom"/>
          </w:tcPr>
          <w:p w14:paraId="066F368A" w14:textId="77777777" w:rsidR="000242DF" w:rsidRPr="00B52CC9" w:rsidRDefault="000242DF" w:rsidP="00B90AAF">
            <w:pPr>
              <w:jc w:val="right"/>
              <w:rPr>
                <w:rFonts w:ascii="Times New Roman" w:hAnsi="Times New Roman" w:cs="Times New Roman"/>
                <w:sz w:val="20"/>
                <w:szCs w:val="20"/>
              </w:rPr>
            </w:pPr>
            <w:r w:rsidRPr="00B52CC9">
              <w:rPr>
                <w:rFonts w:ascii="Times New Roman" w:eastAsia="Times New Roman" w:hAnsi="Times New Roman" w:cs="Times New Roman"/>
                <w:color w:val="000000"/>
                <w:sz w:val="20"/>
                <w:szCs w:val="20"/>
              </w:rPr>
              <w:t>Q41,3</w:t>
            </w:r>
          </w:p>
        </w:tc>
      </w:tr>
      <w:tr w:rsidR="000242DF" w:rsidRPr="004550F0" w14:paraId="2DE0A501" w14:textId="77777777" w:rsidTr="00B90AAF">
        <w:trPr>
          <w:jc w:val="center"/>
        </w:trPr>
        <w:tc>
          <w:tcPr>
            <w:tcW w:w="4961" w:type="dxa"/>
            <w:vAlign w:val="bottom"/>
          </w:tcPr>
          <w:p w14:paraId="5D7ACE1A" w14:textId="77777777" w:rsidR="000242DF" w:rsidRPr="00B52CC9" w:rsidRDefault="000242DF" w:rsidP="00B90AAF">
            <w:pPr>
              <w:jc w:val="both"/>
              <w:rPr>
                <w:rFonts w:ascii="Times New Roman" w:eastAsia="Times New Roman" w:hAnsi="Times New Roman" w:cs="Times New Roman"/>
                <w:b/>
                <w:color w:val="000000"/>
                <w:sz w:val="20"/>
                <w:szCs w:val="20"/>
              </w:rPr>
            </w:pPr>
            <w:r w:rsidRPr="00B52CC9">
              <w:rPr>
                <w:rFonts w:ascii="Times New Roman" w:eastAsia="Times New Roman" w:hAnsi="Times New Roman" w:cs="Times New Roman"/>
                <w:color w:val="000000"/>
                <w:sz w:val="20"/>
                <w:szCs w:val="20"/>
              </w:rPr>
              <w:t>SUPERÁVIT PRIMARIO</w:t>
            </w:r>
          </w:p>
        </w:tc>
        <w:tc>
          <w:tcPr>
            <w:tcW w:w="1276" w:type="dxa"/>
            <w:vAlign w:val="bottom"/>
          </w:tcPr>
          <w:p w14:paraId="4B41943C" w14:textId="77777777" w:rsidR="000242DF" w:rsidRPr="00B52CC9" w:rsidRDefault="000242DF" w:rsidP="00B90AAF">
            <w:pPr>
              <w:jc w:val="right"/>
              <w:rPr>
                <w:rFonts w:ascii="Times New Roman" w:eastAsia="Times New Roman" w:hAnsi="Times New Roman" w:cs="Times New Roman"/>
                <w:b/>
                <w:color w:val="000000"/>
                <w:sz w:val="20"/>
                <w:szCs w:val="20"/>
              </w:rPr>
            </w:pPr>
            <w:r w:rsidRPr="00B52CC9">
              <w:rPr>
                <w:rFonts w:ascii="Times New Roman" w:eastAsia="Times New Roman" w:hAnsi="Times New Roman" w:cs="Times New Roman"/>
                <w:color w:val="000000"/>
                <w:sz w:val="20"/>
                <w:szCs w:val="20"/>
              </w:rPr>
              <w:t>Q48,6</w:t>
            </w:r>
          </w:p>
        </w:tc>
      </w:tr>
    </w:tbl>
    <w:p w14:paraId="1E26DDB9" w14:textId="77777777" w:rsidR="000242DF" w:rsidRDefault="000242DF" w:rsidP="000242DF">
      <w:pPr>
        <w:spacing w:line="240" w:lineRule="auto"/>
      </w:pPr>
    </w:p>
    <w:tbl>
      <w:tblPr>
        <w:tblStyle w:val="TableGrid"/>
        <w:tblW w:w="0" w:type="auto"/>
        <w:jc w:val="center"/>
        <w:tblInd w:w="1526" w:type="dxa"/>
        <w:tblLook w:val="04A0" w:firstRow="1" w:lastRow="0" w:firstColumn="1" w:lastColumn="0" w:noHBand="0" w:noVBand="1"/>
      </w:tblPr>
      <w:tblGrid>
        <w:gridCol w:w="4961"/>
        <w:gridCol w:w="1276"/>
      </w:tblGrid>
      <w:tr w:rsidR="000242DF" w:rsidRPr="009767B3" w14:paraId="3CC3C721" w14:textId="77777777" w:rsidTr="00B90AAF">
        <w:trPr>
          <w:jc w:val="center"/>
        </w:trPr>
        <w:tc>
          <w:tcPr>
            <w:tcW w:w="6237" w:type="dxa"/>
            <w:gridSpan w:val="2"/>
            <w:shd w:val="clear" w:color="auto" w:fill="548DD4" w:themeFill="text2" w:themeFillTint="99"/>
            <w:vAlign w:val="bottom"/>
          </w:tcPr>
          <w:p w14:paraId="5414CB30" w14:textId="77777777" w:rsidR="000242DF" w:rsidRPr="00B52CC9" w:rsidRDefault="000242DF" w:rsidP="00B90AAF">
            <w:pPr>
              <w:jc w:val="center"/>
              <w:rPr>
                <w:rFonts w:ascii="Times New Roman" w:eastAsia="Times New Roman" w:hAnsi="Times New Roman" w:cs="Times New Roman"/>
                <w:color w:val="000000"/>
                <w:sz w:val="24"/>
                <w:szCs w:val="24"/>
              </w:rPr>
            </w:pPr>
            <w:r w:rsidRPr="00B52CC9">
              <w:rPr>
                <w:rFonts w:ascii="Times New Roman" w:eastAsia="Times New Roman" w:hAnsi="Times New Roman" w:cs="Times New Roman"/>
                <w:color w:val="000000"/>
                <w:sz w:val="24"/>
                <w:szCs w:val="24"/>
              </w:rPr>
              <w:t>Indicadores de capacidad de endeudamiento</w:t>
            </w:r>
          </w:p>
        </w:tc>
      </w:tr>
      <w:tr w:rsidR="000242DF" w:rsidRPr="005D135B" w14:paraId="7E077E78" w14:textId="77777777" w:rsidTr="00B90AAF">
        <w:trPr>
          <w:jc w:val="center"/>
        </w:trPr>
        <w:tc>
          <w:tcPr>
            <w:tcW w:w="4961" w:type="dxa"/>
            <w:vAlign w:val="bottom"/>
          </w:tcPr>
          <w:p w14:paraId="3DBB1CE6" w14:textId="77777777" w:rsidR="000242DF" w:rsidRPr="00B52CC9" w:rsidRDefault="000242DF" w:rsidP="00B90AAF">
            <w:pPr>
              <w:jc w:val="both"/>
              <w:rPr>
                <w:rFonts w:ascii="Times New Roman" w:eastAsia="Times New Roman" w:hAnsi="Times New Roman" w:cs="Times New Roman"/>
                <w:color w:val="000000"/>
                <w:sz w:val="20"/>
                <w:szCs w:val="20"/>
              </w:rPr>
            </w:pPr>
            <w:r w:rsidRPr="00B52CC9">
              <w:rPr>
                <w:rFonts w:ascii="Times New Roman" w:eastAsia="Times New Roman" w:hAnsi="Times New Roman" w:cs="Times New Roman"/>
                <w:color w:val="000000"/>
                <w:sz w:val="20"/>
                <w:szCs w:val="20"/>
              </w:rPr>
              <w:t>SUPERÁVIT PRIMARIO/INTERESES CORRIENTES</w:t>
            </w:r>
          </w:p>
        </w:tc>
        <w:tc>
          <w:tcPr>
            <w:tcW w:w="1276" w:type="dxa"/>
            <w:vAlign w:val="bottom"/>
          </w:tcPr>
          <w:p w14:paraId="4E506A36" w14:textId="77777777" w:rsidR="000242DF" w:rsidRPr="00B52CC9" w:rsidRDefault="000242DF" w:rsidP="00B90AAF">
            <w:pPr>
              <w:jc w:val="right"/>
              <w:rPr>
                <w:rFonts w:ascii="Times New Roman" w:eastAsia="Times New Roman" w:hAnsi="Times New Roman" w:cs="Times New Roman"/>
                <w:color w:val="000000"/>
                <w:sz w:val="20"/>
                <w:szCs w:val="20"/>
              </w:rPr>
            </w:pPr>
            <w:r w:rsidRPr="00B52CC9">
              <w:rPr>
                <w:rFonts w:ascii="Times New Roman" w:eastAsia="Times New Roman" w:hAnsi="Times New Roman" w:cs="Times New Roman"/>
                <w:color w:val="000000"/>
                <w:sz w:val="20"/>
                <w:szCs w:val="20"/>
              </w:rPr>
              <w:t>117%</w:t>
            </w:r>
          </w:p>
        </w:tc>
      </w:tr>
      <w:tr w:rsidR="000242DF" w:rsidRPr="004550F0" w14:paraId="28C9D291" w14:textId="77777777" w:rsidTr="00B90AAF">
        <w:trPr>
          <w:jc w:val="center"/>
        </w:trPr>
        <w:tc>
          <w:tcPr>
            <w:tcW w:w="4961" w:type="dxa"/>
            <w:vAlign w:val="bottom"/>
          </w:tcPr>
          <w:p w14:paraId="008BAE2B" w14:textId="77777777" w:rsidR="000242DF" w:rsidRPr="00B52CC9" w:rsidRDefault="000242DF" w:rsidP="00B90AAF">
            <w:pPr>
              <w:jc w:val="both"/>
              <w:rPr>
                <w:rFonts w:ascii="Times New Roman" w:eastAsia="Times New Roman" w:hAnsi="Times New Roman" w:cs="Times New Roman"/>
                <w:color w:val="000000"/>
                <w:sz w:val="20"/>
                <w:szCs w:val="20"/>
              </w:rPr>
            </w:pPr>
            <w:r w:rsidRPr="00B52CC9">
              <w:rPr>
                <w:rFonts w:ascii="Times New Roman" w:eastAsia="Times New Roman" w:hAnsi="Times New Roman" w:cs="Times New Roman"/>
                <w:color w:val="000000"/>
                <w:sz w:val="20"/>
                <w:szCs w:val="20"/>
              </w:rPr>
              <w:t>SOLVENCIA: Intereses/Ahorro Operacional (5/3)</w:t>
            </w:r>
          </w:p>
        </w:tc>
        <w:tc>
          <w:tcPr>
            <w:tcW w:w="1276" w:type="dxa"/>
            <w:vAlign w:val="bottom"/>
          </w:tcPr>
          <w:p w14:paraId="09A562BE" w14:textId="77777777" w:rsidR="000242DF" w:rsidRPr="00B52CC9" w:rsidRDefault="000242DF" w:rsidP="00B90AAF">
            <w:pPr>
              <w:jc w:val="right"/>
              <w:rPr>
                <w:rFonts w:ascii="Times New Roman" w:eastAsia="Times New Roman" w:hAnsi="Times New Roman" w:cs="Times New Roman"/>
                <w:color w:val="000000"/>
                <w:sz w:val="20"/>
                <w:szCs w:val="20"/>
              </w:rPr>
            </w:pPr>
            <w:r w:rsidRPr="00B52CC9">
              <w:rPr>
                <w:rFonts w:ascii="Times New Roman" w:eastAsia="Times New Roman" w:hAnsi="Times New Roman" w:cs="Times New Roman"/>
                <w:color w:val="000000"/>
                <w:sz w:val="20"/>
                <w:szCs w:val="20"/>
              </w:rPr>
              <w:t>8,1%</w:t>
            </w:r>
          </w:p>
        </w:tc>
      </w:tr>
      <w:tr w:rsidR="000242DF" w:rsidRPr="004550F0" w14:paraId="12E90B01" w14:textId="77777777" w:rsidTr="00B90AAF">
        <w:trPr>
          <w:jc w:val="center"/>
        </w:trPr>
        <w:tc>
          <w:tcPr>
            <w:tcW w:w="4961" w:type="dxa"/>
            <w:vAlign w:val="bottom"/>
          </w:tcPr>
          <w:p w14:paraId="619FC4DA" w14:textId="77777777" w:rsidR="000242DF" w:rsidRPr="00B52CC9" w:rsidRDefault="000242DF" w:rsidP="00B90AAF">
            <w:pPr>
              <w:jc w:val="both"/>
              <w:rPr>
                <w:rFonts w:ascii="Times New Roman" w:eastAsia="Times New Roman" w:hAnsi="Times New Roman" w:cs="Times New Roman"/>
                <w:color w:val="000000"/>
                <w:sz w:val="20"/>
                <w:szCs w:val="20"/>
              </w:rPr>
            </w:pPr>
            <w:r w:rsidRPr="00B52CC9">
              <w:rPr>
                <w:rFonts w:ascii="Times New Roman" w:eastAsia="Times New Roman" w:hAnsi="Times New Roman" w:cs="Times New Roman"/>
                <w:color w:val="000000"/>
                <w:sz w:val="20"/>
                <w:szCs w:val="20"/>
              </w:rPr>
              <w:t>SOSTENIBILIDAD: Saldo Deuda/Ingresos Corrientes (4/1)</w:t>
            </w:r>
          </w:p>
        </w:tc>
        <w:tc>
          <w:tcPr>
            <w:tcW w:w="1276" w:type="dxa"/>
            <w:vAlign w:val="bottom"/>
          </w:tcPr>
          <w:p w14:paraId="494FBBEB" w14:textId="77777777" w:rsidR="000242DF" w:rsidRPr="00B52CC9" w:rsidRDefault="000242DF" w:rsidP="00B90AAF">
            <w:pPr>
              <w:jc w:val="right"/>
              <w:rPr>
                <w:rFonts w:ascii="Times New Roman" w:eastAsia="Times New Roman" w:hAnsi="Times New Roman" w:cs="Times New Roman"/>
                <w:color w:val="000000"/>
                <w:sz w:val="20"/>
                <w:szCs w:val="20"/>
              </w:rPr>
            </w:pPr>
            <w:r w:rsidRPr="00B52CC9">
              <w:rPr>
                <w:rFonts w:ascii="Times New Roman" w:eastAsia="Times New Roman" w:hAnsi="Times New Roman" w:cs="Times New Roman"/>
                <w:color w:val="000000"/>
                <w:sz w:val="20"/>
                <w:szCs w:val="20"/>
              </w:rPr>
              <w:t>86,3%</w:t>
            </w:r>
          </w:p>
        </w:tc>
      </w:tr>
    </w:tbl>
    <w:p w14:paraId="71D32586" w14:textId="77777777" w:rsidR="000242DF" w:rsidRDefault="000242DF" w:rsidP="00024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Atendiendo lo señalado, l</w:t>
      </w:r>
      <w:r w:rsidRPr="00B52CC9">
        <w:rPr>
          <w:rFonts w:ascii="Times New Roman" w:hAnsi="Times New Roman" w:cs="Times New Roman"/>
          <w:sz w:val="24"/>
          <w:szCs w:val="24"/>
        </w:rPr>
        <w:t>os indicadores de solvencia financiera (8,1%) y de sostenibi</w:t>
      </w:r>
      <w:r>
        <w:rPr>
          <w:rFonts w:ascii="Times New Roman" w:hAnsi="Times New Roman" w:cs="Times New Roman"/>
          <w:sz w:val="24"/>
          <w:szCs w:val="24"/>
        </w:rPr>
        <w:t>lidad de la deuda (86,3%) ubic</w:t>
      </w:r>
      <w:r w:rsidRPr="00B52CC9">
        <w:rPr>
          <w:rFonts w:ascii="Times New Roman" w:hAnsi="Times New Roman" w:cs="Times New Roman"/>
          <w:sz w:val="24"/>
          <w:szCs w:val="24"/>
        </w:rPr>
        <w:t xml:space="preserve">an a la Municipalidad en una instancia de endeudamiento viable, con capacidad de pago para atender el servicio de la deuda.  Incluso el indicador de superávit primario arroja un resultado positivo para la vigencia 2012, </w:t>
      </w:r>
      <w:r>
        <w:rPr>
          <w:rFonts w:ascii="Times New Roman" w:hAnsi="Times New Roman" w:cs="Times New Roman"/>
          <w:sz w:val="24"/>
          <w:szCs w:val="24"/>
        </w:rPr>
        <w:t xml:space="preserve">dado que </w:t>
      </w:r>
      <w:r w:rsidRPr="00B52CC9">
        <w:rPr>
          <w:rFonts w:ascii="Times New Roman" w:hAnsi="Times New Roman" w:cs="Times New Roman"/>
          <w:sz w:val="24"/>
          <w:szCs w:val="24"/>
        </w:rPr>
        <w:t xml:space="preserve">el </w:t>
      </w:r>
      <w:r>
        <w:rPr>
          <w:rFonts w:ascii="Times New Roman" w:hAnsi="Times New Roman" w:cs="Times New Roman"/>
          <w:sz w:val="24"/>
          <w:szCs w:val="24"/>
        </w:rPr>
        <w:t xml:space="preserve">mismo </w:t>
      </w:r>
      <w:r w:rsidRPr="00B52CC9">
        <w:rPr>
          <w:rFonts w:ascii="Times New Roman" w:hAnsi="Times New Roman" w:cs="Times New Roman"/>
          <w:sz w:val="24"/>
          <w:szCs w:val="24"/>
        </w:rPr>
        <w:t xml:space="preserve">debe </w:t>
      </w:r>
      <w:r>
        <w:rPr>
          <w:rFonts w:ascii="Times New Roman" w:hAnsi="Times New Roman" w:cs="Times New Roman"/>
          <w:sz w:val="24"/>
          <w:szCs w:val="24"/>
        </w:rPr>
        <w:t xml:space="preserve">estar, </w:t>
      </w:r>
      <w:r w:rsidRPr="00B52CC9">
        <w:rPr>
          <w:rFonts w:ascii="Times New Roman" w:hAnsi="Times New Roman" w:cs="Times New Roman"/>
          <w:sz w:val="24"/>
          <w:szCs w:val="24"/>
        </w:rPr>
        <w:t>como mínimo</w:t>
      </w:r>
      <w:r>
        <w:rPr>
          <w:rFonts w:ascii="Times New Roman" w:hAnsi="Times New Roman" w:cs="Times New Roman"/>
          <w:sz w:val="24"/>
          <w:szCs w:val="24"/>
        </w:rPr>
        <w:t xml:space="preserve">, </w:t>
      </w:r>
      <w:r w:rsidRPr="00B52CC9">
        <w:rPr>
          <w:rFonts w:ascii="Times New Roman" w:hAnsi="Times New Roman" w:cs="Times New Roman"/>
          <w:sz w:val="24"/>
          <w:szCs w:val="24"/>
        </w:rPr>
        <w:t xml:space="preserve">en una relación de 1 a 1 </w:t>
      </w:r>
      <w:r>
        <w:rPr>
          <w:rFonts w:ascii="Times New Roman" w:hAnsi="Times New Roman" w:cs="Times New Roman"/>
          <w:sz w:val="24"/>
          <w:szCs w:val="24"/>
        </w:rPr>
        <w:t xml:space="preserve">a efectos de asegurar </w:t>
      </w:r>
      <w:r w:rsidRPr="00B52CC9">
        <w:rPr>
          <w:rFonts w:ascii="Times New Roman" w:hAnsi="Times New Roman" w:cs="Times New Roman"/>
          <w:sz w:val="24"/>
          <w:szCs w:val="24"/>
        </w:rPr>
        <w:t>la sostenibilidad de la deuda</w:t>
      </w:r>
      <w:r>
        <w:rPr>
          <w:rFonts w:ascii="Times New Roman" w:hAnsi="Times New Roman" w:cs="Times New Roman"/>
          <w:sz w:val="24"/>
          <w:szCs w:val="24"/>
        </w:rPr>
        <w:t xml:space="preserve">.  En este evento, </w:t>
      </w:r>
      <w:r w:rsidRPr="00B52CC9">
        <w:rPr>
          <w:rFonts w:ascii="Times New Roman" w:hAnsi="Times New Roman" w:cs="Times New Roman"/>
          <w:sz w:val="24"/>
          <w:szCs w:val="24"/>
        </w:rPr>
        <w:t xml:space="preserve">el indicador de superávit primario </w:t>
      </w:r>
      <w:r>
        <w:rPr>
          <w:rFonts w:ascii="Times New Roman" w:hAnsi="Times New Roman" w:cs="Times New Roman"/>
          <w:sz w:val="24"/>
          <w:szCs w:val="24"/>
        </w:rPr>
        <w:t>registra una relación de 117%.</w:t>
      </w:r>
    </w:p>
    <w:p w14:paraId="4C5389DA" w14:textId="77777777" w:rsidR="000242DF" w:rsidRDefault="000242DF" w:rsidP="00024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sz w:val="24"/>
          <w:szCs w:val="24"/>
        </w:rPr>
      </w:pPr>
    </w:p>
    <w:p w14:paraId="3BDC59EB" w14:textId="77777777" w:rsidR="000242DF" w:rsidRPr="0056584F" w:rsidRDefault="000242DF" w:rsidP="000242DF">
      <w:pPr>
        <w:pStyle w:val="Heading5"/>
        <w:numPr>
          <w:ilvl w:val="0"/>
          <w:numId w:val="26"/>
        </w:numPr>
        <w:spacing w:line="240" w:lineRule="auto"/>
        <w:jc w:val="both"/>
        <w:rPr>
          <w:rFonts w:ascii="Times New Roman" w:hAnsi="Times New Roman" w:cs="Times New Roman"/>
          <w:sz w:val="24"/>
          <w:szCs w:val="24"/>
        </w:rPr>
      </w:pPr>
      <w:r w:rsidRPr="0056584F">
        <w:rPr>
          <w:color w:val="4F81BD" w:themeColor="accent1"/>
        </w:rPr>
        <w:t>Proyección y medidas de ajuste</w:t>
      </w:r>
    </w:p>
    <w:p w14:paraId="0F727187" w14:textId="77777777" w:rsidR="000242DF" w:rsidRDefault="000242DF" w:rsidP="00024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sz w:val="24"/>
          <w:szCs w:val="24"/>
        </w:rPr>
      </w:pPr>
    </w:p>
    <w:p w14:paraId="347A03C3" w14:textId="77777777" w:rsidR="000242DF" w:rsidRDefault="000242DF" w:rsidP="00024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Pese al comportamiento de los indicadores de </w:t>
      </w:r>
      <w:r w:rsidRPr="00B52CC9">
        <w:rPr>
          <w:rFonts w:ascii="Times New Roman" w:hAnsi="Times New Roman" w:cs="Times New Roman"/>
          <w:sz w:val="24"/>
          <w:szCs w:val="24"/>
        </w:rPr>
        <w:t>solvencia financiera</w:t>
      </w:r>
      <w:r>
        <w:rPr>
          <w:rFonts w:ascii="Times New Roman" w:hAnsi="Times New Roman" w:cs="Times New Roman"/>
          <w:sz w:val="24"/>
          <w:szCs w:val="24"/>
        </w:rPr>
        <w:t xml:space="preserve"> y </w:t>
      </w:r>
      <w:r w:rsidRPr="00B52CC9">
        <w:rPr>
          <w:rFonts w:ascii="Times New Roman" w:hAnsi="Times New Roman" w:cs="Times New Roman"/>
          <w:sz w:val="24"/>
          <w:szCs w:val="24"/>
        </w:rPr>
        <w:t>de sostenibi</w:t>
      </w:r>
      <w:r>
        <w:rPr>
          <w:rFonts w:ascii="Times New Roman" w:hAnsi="Times New Roman" w:cs="Times New Roman"/>
          <w:sz w:val="24"/>
          <w:szCs w:val="24"/>
        </w:rPr>
        <w:t xml:space="preserve">lidad de la deuda a cierre 2012, es preciso destacar </w:t>
      </w:r>
      <w:r w:rsidRPr="00B52CC9">
        <w:rPr>
          <w:rFonts w:ascii="Times New Roman" w:hAnsi="Times New Roman" w:cs="Times New Roman"/>
          <w:sz w:val="24"/>
          <w:szCs w:val="24"/>
        </w:rPr>
        <w:t xml:space="preserve">el carácter decreciente del superávit primario en el período de proyección de la deuda, </w:t>
      </w:r>
      <w:r>
        <w:rPr>
          <w:rFonts w:ascii="Times New Roman" w:hAnsi="Times New Roman" w:cs="Times New Roman"/>
          <w:sz w:val="24"/>
          <w:szCs w:val="24"/>
        </w:rPr>
        <w:t xml:space="preserve">dado </w:t>
      </w:r>
      <w:r w:rsidRPr="00B52CC9">
        <w:rPr>
          <w:rFonts w:ascii="Times New Roman" w:hAnsi="Times New Roman" w:cs="Times New Roman"/>
          <w:sz w:val="24"/>
          <w:szCs w:val="24"/>
        </w:rPr>
        <w:t>que a partir del 2016 se genera déficit primario, tal como se ilustra en el Anexo 2 (Balance Financi</w:t>
      </w:r>
      <w:r>
        <w:rPr>
          <w:rFonts w:ascii="Times New Roman" w:hAnsi="Times New Roman" w:cs="Times New Roman"/>
          <w:sz w:val="24"/>
          <w:szCs w:val="24"/>
        </w:rPr>
        <w:t>ero Proyecciones 2013 - 2022).  Es decir, si bien en el actual período de gobierno se registra un superávit primario, el mismo, a mediano plazo, de mantenerse la actual tendencia y estructura degasto, sin ajuste fiscal de alguna naturaleza, se deteriora sistemáticamente, generando un riesgo creciente de sostenibilidad de la estructura de ingreso para soportar el stock de y atender su flujo de pago.</w:t>
      </w:r>
    </w:p>
    <w:p w14:paraId="47EF20C3" w14:textId="77777777" w:rsidR="000242DF" w:rsidRDefault="000242DF" w:rsidP="00024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sz w:val="24"/>
          <w:szCs w:val="24"/>
        </w:rPr>
      </w:pPr>
    </w:p>
    <w:p w14:paraId="3BC8B946" w14:textId="77777777" w:rsidR="000242DF" w:rsidRDefault="000242DF" w:rsidP="00024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Esta proyección, basada en el comportamiento a 2012 del stock y flujo de deuda, requiere desde la vigencia fiscal 2013, la adopción de </w:t>
      </w:r>
      <w:r w:rsidRPr="00B52CC9">
        <w:rPr>
          <w:rFonts w:ascii="Times New Roman" w:hAnsi="Times New Roman" w:cs="Times New Roman"/>
          <w:sz w:val="24"/>
          <w:szCs w:val="24"/>
        </w:rPr>
        <w:t xml:space="preserve">medidas </w:t>
      </w:r>
      <w:r>
        <w:rPr>
          <w:rFonts w:ascii="Times New Roman" w:hAnsi="Times New Roman" w:cs="Times New Roman"/>
          <w:sz w:val="24"/>
          <w:szCs w:val="24"/>
        </w:rPr>
        <w:t xml:space="preserve">de carácter institucional y financiero en orden a corregir la tendencia de deterioro a mediano plazo que se identifica </w:t>
      </w:r>
      <w:r w:rsidRPr="00B52CC9">
        <w:rPr>
          <w:rFonts w:ascii="Times New Roman" w:hAnsi="Times New Roman" w:cs="Times New Roman"/>
          <w:sz w:val="24"/>
          <w:szCs w:val="24"/>
        </w:rPr>
        <w:t xml:space="preserve">en el Anexo 2 </w:t>
      </w:r>
      <w:r>
        <w:rPr>
          <w:rFonts w:ascii="Times New Roman" w:hAnsi="Times New Roman" w:cs="Times New Roman"/>
          <w:sz w:val="24"/>
          <w:szCs w:val="24"/>
        </w:rPr>
        <w:t>y asegurar la sostenibilidad y atención de la deuda y sus servicio.</w:t>
      </w:r>
    </w:p>
    <w:p w14:paraId="1E788381" w14:textId="77777777" w:rsidR="000242DF" w:rsidRDefault="000242DF" w:rsidP="00024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sz w:val="24"/>
          <w:szCs w:val="24"/>
        </w:rPr>
      </w:pPr>
    </w:p>
    <w:p w14:paraId="1059B3DF" w14:textId="77777777" w:rsidR="000242DF" w:rsidRDefault="000242DF" w:rsidP="00024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Las medidas que adopte la Municipalidad, como se indica más adelante, deberán dirigirse a racionalizar la generación de gasto corriente, la optimización de la estructura de ingresos en orden a mejorar su recaudo, la reorganización institucional de la Administración Financiera Integrada Municipal local en orden a establecer una unidad administrativa encargada de efectuar monitoreo, seguimiento, recaudo y consolidación de información, y evaluación del comportamiento e impacto de la deuda pública en la estructura fiscal municipal.  De igual manera, debe preverse la conformación de un fondo cuenta de contingencias que permita atender el pasivo no contabilizado de seguridad social y contingencias contractuales y judiciales.</w:t>
      </w:r>
    </w:p>
    <w:p w14:paraId="5C563AD7" w14:textId="77777777" w:rsidR="000242DF" w:rsidRDefault="000242DF" w:rsidP="00024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sz w:val="24"/>
          <w:szCs w:val="24"/>
        </w:rPr>
      </w:pPr>
    </w:p>
    <w:p w14:paraId="731C3939" w14:textId="77777777" w:rsidR="000242DF" w:rsidRDefault="000242DF" w:rsidP="00024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Estas medidas permitirán, además de regularizar el manejo de la deuda pública, introducir ajustes institucionales y financieros al funcionamiento de la administración municipal a efectos de absorber el impacto en la estructura de ingreso del stock de deuda y su servicio así como de la deuda contingente, y </w:t>
      </w:r>
      <w:r w:rsidRPr="00B52CC9">
        <w:rPr>
          <w:rFonts w:ascii="Times New Roman" w:hAnsi="Times New Roman" w:cs="Times New Roman"/>
          <w:sz w:val="24"/>
          <w:szCs w:val="24"/>
        </w:rPr>
        <w:t xml:space="preserve">mejorar el escenario </w:t>
      </w:r>
      <w:r>
        <w:rPr>
          <w:rFonts w:ascii="Times New Roman" w:hAnsi="Times New Roman" w:cs="Times New Roman"/>
          <w:sz w:val="24"/>
          <w:szCs w:val="24"/>
        </w:rPr>
        <w:t xml:space="preserve">fiscal </w:t>
      </w:r>
      <w:r w:rsidRPr="00B52CC9">
        <w:rPr>
          <w:rFonts w:ascii="Times New Roman" w:hAnsi="Times New Roman" w:cs="Times New Roman"/>
          <w:sz w:val="24"/>
          <w:szCs w:val="24"/>
        </w:rPr>
        <w:t>en el mediano plazo</w:t>
      </w:r>
      <w:r>
        <w:rPr>
          <w:rFonts w:ascii="Times New Roman" w:hAnsi="Times New Roman" w:cs="Times New Roman"/>
          <w:sz w:val="24"/>
          <w:szCs w:val="24"/>
        </w:rPr>
        <w:t xml:space="preserve"> que le permuta generar una capacidad de pago viable a efectos de asumir nuevos compromiso financieros, basados en proyecciones como la que se realiza en la sección siguiente.</w:t>
      </w:r>
    </w:p>
    <w:p w14:paraId="1CCC27DC" w14:textId="77777777" w:rsidR="000242DF" w:rsidRDefault="000242DF" w:rsidP="00024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sz w:val="24"/>
          <w:szCs w:val="24"/>
        </w:rPr>
      </w:pPr>
    </w:p>
    <w:p w14:paraId="7F29E54C" w14:textId="77777777" w:rsidR="00D0294C" w:rsidRDefault="00D0294C" w:rsidP="00024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sz w:val="24"/>
          <w:szCs w:val="24"/>
        </w:rPr>
      </w:pPr>
    </w:p>
    <w:p w14:paraId="054E8F59" w14:textId="77777777" w:rsidR="00D0294C" w:rsidRDefault="00D0294C" w:rsidP="00024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sz w:val="24"/>
          <w:szCs w:val="24"/>
        </w:rPr>
      </w:pPr>
    </w:p>
    <w:p w14:paraId="31DDEAAD" w14:textId="77777777" w:rsidR="00D0294C" w:rsidRDefault="00D0294C" w:rsidP="00024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sz w:val="24"/>
          <w:szCs w:val="24"/>
        </w:rPr>
      </w:pPr>
    </w:p>
    <w:p w14:paraId="5F21E8D4" w14:textId="77777777" w:rsidR="000242DF" w:rsidRPr="00B52CC9" w:rsidRDefault="000242DF" w:rsidP="000242DF">
      <w:pPr>
        <w:pStyle w:val="Heading4"/>
      </w:pPr>
      <w:r>
        <w:lastRenderedPageBreak/>
        <w:t xml:space="preserve">2.3  </w:t>
      </w:r>
      <w:r w:rsidRPr="00B52CC9">
        <w:t>Nuevo endeudamiento</w:t>
      </w:r>
      <w:r>
        <w:t xml:space="preserve"> financiero.</w:t>
      </w:r>
    </w:p>
    <w:p w14:paraId="32EDF8EA" w14:textId="77777777" w:rsidR="000242DF" w:rsidRPr="00B52CC9" w:rsidRDefault="000242DF" w:rsidP="000242DF">
      <w:pPr>
        <w:spacing w:after="0" w:line="240" w:lineRule="auto"/>
        <w:rPr>
          <w:rFonts w:ascii="Times New Roman" w:hAnsi="Times New Roman" w:cs="Times New Roman"/>
          <w:b/>
          <w:color w:val="4F81BD" w:themeColor="accent1"/>
          <w:sz w:val="24"/>
          <w:szCs w:val="24"/>
        </w:rPr>
      </w:pPr>
    </w:p>
    <w:p w14:paraId="6E72F20F" w14:textId="77777777" w:rsidR="000242DF" w:rsidRPr="00B52CC9" w:rsidRDefault="000242DF" w:rsidP="000242DF">
      <w:pPr>
        <w:pStyle w:val="Heading4"/>
        <w:numPr>
          <w:ilvl w:val="0"/>
          <w:numId w:val="29"/>
        </w:numPr>
      </w:pPr>
      <w:r>
        <w:t>Escenarios de proyección.</w:t>
      </w:r>
    </w:p>
    <w:p w14:paraId="4ABD2D79" w14:textId="77777777" w:rsidR="000242DF" w:rsidRDefault="000242DF" w:rsidP="000242DF">
      <w:pPr>
        <w:spacing w:line="240" w:lineRule="auto"/>
        <w:jc w:val="both"/>
        <w:rPr>
          <w:rFonts w:ascii="Times New Roman" w:hAnsi="Times New Roman" w:cs="Times New Roman"/>
          <w:sz w:val="24"/>
          <w:szCs w:val="24"/>
        </w:rPr>
      </w:pPr>
    </w:p>
    <w:p w14:paraId="568656BE" w14:textId="77777777" w:rsidR="000242DF" w:rsidRDefault="000242DF" w:rsidP="000242D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efectos de considerar la procedencia de nuevo endeudamiento público por parte de la Municipalidad para financiar la ejecución de obras de desarrollo local, esta sección </w:t>
      </w:r>
      <w:r w:rsidRPr="00B52CC9">
        <w:rPr>
          <w:rFonts w:ascii="Times New Roman" w:hAnsi="Times New Roman" w:cs="Times New Roman"/>
          <w:sz w:val="24"/>
          <w:szCs w:val="24"/>
        </w:rPr>
        <w:t>presenta</w:t>
      </w:r>
      <w:r>
        <w:rPr>
          <w:rFonts w:ascii="Times New Roman" w:hAnsi="Times New Roman" w:cs="Times New Roman"/>
          <w:sz w:val="24"/>
          <w:szCs w:val="24"/>
        </w:rPr>
        <w:t xml:space="preserve"> algunos </w:t>
      </w:r>
      <w:r w:rsidRPr="00B52CC9">
        <w:rPr>
          <w:rFonts w:ascii="Times New Roman" w:hAnsi="Times New Roman" w:cs="Times New Roman"/>
          <w:sz w:val="24"/>
          <w:szCs w:val="24"/>
        </w:rPr>
        <w:t>escenarios alternativos</w:t>
      </w:r>
      <w:r>
        <w:rPr>
          <w:rFonts w:ascii="Times New Roman" w:hAnsi="Times New Roman" w:cs="Times New Roman"/>
          <w:sz w:val="24"/>
          <w:szCs w:val="24"/>
        </w:rPr>
        <w:t>, los cuales contemplan</w:t>
      </w:r>
      <w:r w:rsidRPr="00B52CC9">
        <w:rPr>
          <w:rFonts w:ascii="Times New Roman" w:hAnsi="Times New Roman" w:cs="Times New Roman"/>
          <w:sz w:val="24"/>
          <w:szCs w:val="24"/>
        </w:rPr>
        <w:t xml:space="preserve"> desembolso</w:t>
      </w:r>
      <w:r>
        <w:rPr>
          <w:rFonts w:ascii="Times New Roman" w:hAnsi="Times New Roman" w:cs="Times New Roman"/>
          <w:sz w:val="24"/>
          <w:szCs w:val="24"/>
        </w:rPr>
        <w:t>s</w:t>
      </w:r>
      <w:r w:rsidRPr="00B52CC9">
        <w:rPr>
          <w:rFonts w:ascii="Times New Roman" w:hAnsi="Times New Roman" w:cs="Times New Roman"/>
          <w:sz w:val="24"/>
          <w:szCs w:val="24"/>
        </w:rPr>
        <w:t xml:space="preserve"> de U$10, U$12, U$15 y U$18 millones.  </w:t>
      </w:r>
      <w:r>
        <w:rPr>
          <w:rFonts w:ascii="Times New Roman" w:hAnsi="Times New Roman" w:cs="Times New Roman"/>
          <w:sz w:val="24"/>
          <w:szCs w:val="24"/>
        </w:rPr>
        <w:t>Para el efecto, a modo de referencia, s</w:t>
      </w:r>
      <w:r w:rsidRPr="00B52CC9">
        <w:rPr>
          <w:rFonts w:ascii="Times New Roman" w:hAnsi="Times New Roman" w:cs="Times New Roman"/>
          <w:sz w:val="24"/>
          <w:szCs w:val="24"/>
        </w:rPr>
        <w:t xml:space="preserve">e </w:t>
      </w:r>
      <w:r>
        <w:rPr>
          <w:rFonts w:ascii="Times New Roman" w:hAnsi="Times New Roman" w:cs="Times New Roman"/>
          <w:sz w:val="24"/>
          <w:szCs w:val="24"/>
        </w:rPr>
        <w:t>toma como base</w:t>
      </w:r>
      <w:r w:rsidRPr="00B52CC9">
        <w:rPr>
          <w:rFonts w:ascii="Times New Roman" w:hAnsi="Times New Roman" w:cs="Times New Roman"/>
          <w:sz w:val="24"/>
          <w:szCs w:val="24"/>
        </w:rPr>
        <w:t xml:space="preserve"> un</w:t>
      </w:r>
      <w:r>
        <w:rPr>
          <w:rFonts w:ascii="Times New Roman" w:hAnsi="Times New Roman" w:cs="Times New Roman"/>
          <w:sz w:val="24"/>
          <w:szCs w:val="24"/>
        </w:rPr>
        <w:t>a operación de</w:t>
      </w:r>
      <w:r w:rsidRPr="00B52CC9">
        <w:rPr>
          <w:rFonts w:ascii="Times New Roman" w:hAnsi="Times New Roman" w:cs="Times New Roman"/>
          <w:sz w:val="24"/>
          <w:szCs w:val="24"/>
        </w:rPr>
        <w:t xml:space="preserve"> crédito</w:t>
      </w:r>
      <w:r>
        <w:rPr>
          <w:rFonts w:ascii="Times New Roman" w:hAnsi="Times New Roman" w:cs="Times New Roman"/>
          <w:sz w:val="24"/>
          <w:szCs w:val="24"/>
        </w:rPr>
        <w:t xml:space="preserve"> en condiciones blandas, otorgando o avalado por una institución multilateral, como es el caso </w:t>
      </w:r>
      <w:r w:rsidRPr="00B52CC9">
        <w:rPr>
          <w:rFonts w:ascii="Times New Roman" w:hAnsi="Times New Roman" w:cs="Times New Roman"/>
          <w:sz w:val="24"/>
          <w:szCs w:val="24"/>
        </w:rPr>
        <w:t>del Banco Interamericano de Desar</w:t>
      </w:r>
      <w:r>
        <w:rPr>
          <w:rFonts w:ascii="Times New Roman" w:hAnsi="Times New Roman" w:cs="Times New Roman"/>
          <w:sz w:val="24"/>
          <w:szCs w:val="24"/>
        </w:rPr>
        <w:t xml:space="preserve">rollo – BID.  Para esta proyección, </w:t>
      </w:r>
      <w:r w:rsidRPr="00B52CC9">
        <w:rPr>
          <w:rFonts w:ascii="Times New Roman" w:hAnsi="Times New Roman" w:cs="Times New Roman"/>
          <w:sz w:val="24"/>
          <w:szCs w:val="24"/>
        </w:rPr>
        <w:t>se asumen los costos de un crédito ordinario según la página oficial del B</w:t>
      </w:r>
      <w:r>
        <w:rPr>
          <w:rFonts w:ascii="Times New Roman" w:hAnsi="Times New Roman" w:cs="Times New Roman"/>
          <w:sz w:val="24"/>
          <w:szCs w:val="24"/>
        </w:rPr>
        <w:t>ID, tal como lo registra el Cuadro 10</w:t>
      </w:r>
      <w:r w:rsidRPr="00B52CC9">
        <w:rPr>
          <w:rFonts w:ascii="Times New Roman" w:hAnsi="Times New Roman" w:cs="Times New Roman"/>
          <w:sz w:val="24"/>
          <w:szCs w:val="24"/>
        </w:rPr>
        <w:t>:</w:t>
      </w:r>
    </w:p>
    <w:p w14:paraId="7ABAA46A" w14:textId="77777777" w:rsidR="000242DF" w:rsidRPr="0006740C" w:rsidRDefault="000242DF" w:rsidP="000242DF">
      <w:pPr>
        <w:spacing w:line="240" w:lineRule="auto"/>
        <w:jc w:val="both"/>
        <w:rPr>
          <w:rFonts w:ascii="Times New Roman" w:hAnsi="Times New Roman" w:cs="Times New Roman"/>
          <w:sz w:val="24"/>
          <w:szCs w:val="24"/>
        </w:rPr>
      </w:pPr>
    </w:p>
    <w:p w14:paraId="65427E33" w14:textId="77777777" w:rsidR="000242DF" w:rsidRPr="00B52CC9" w:rsidRDefault="000242DF" w:rsidP="000242DF">
      <w:pPr>
        <w:spacing w:line="240" w:lineRule="auto"/>
        <w:jc w:val="both"/>
        <w:rPr>
          <w:rFonts w:ascii="Times New Roman" w:hAnsi="Times New Roman" w:cs="Times New Roman"/>
          <w:b/>
          <w:sz w:val="24"/>
          <w:szCs w:val="24"/>
        </w:rPr>
      </w:pPr>
      <w:r>
        <w:rPr>
          <w:rFonts w:ascii="Times New Roman" w:hAnsi="Times New Roman" w:cs="Times New Roman"/>
          <w:b/>
          <w:sz w:val="24"/>
          <w:szCs w:val="24"/>
        </w:rPr>
        <w:t>Cuadro 10</w:t>
      </w:r>
      <w:r w:rsidRPr="00B52CC9">
        <w:rPr>
          <w:rFonts w:ascii="Times New Roman" w:hAnsi="Times New Roman" w:cs="Times New Roman"/>
          <w:b/>
          <w:sz w:val="24"/>
          <w:szCs w:val="24"/>
        </w:rPr>
        <w:t>. Costos de Crédito Ordinario.</w:t>
      </w:r>
    </w:p>
    <w:tbl>
      <w:tblPr>
        <w:tblStyle w:val="TableGrid"/>
        <w:tblW w:w="0" w:type="auto"/>
        <w:tblInd w:w="392" w:type="dxa"/>
        <w:tblLook w:val="04A0" w:firstRow="1" w:lastRow="0" w:firstColumn="1" w:lastColumn="0" w:noHBand="0" w:noVBand="1"/>
      </w:tblPr>
      <w:tblGrid>
        <w:gridCol w:w="2093"/>
        <w:gridCol w:w="1134"/>
        <w:gridCol w:w="1417"/>
        <w:gridCol w:w="2127"/>
        <w:gridCol w:w="1847"/>
      </w:tblGrid>
      <w:tr w:rsidR="000242DF" w:rsidRPr="00B52CC9" w14:paraId="1BF65CB6" w14:textId="77777777" w:rsidTr="00B90AAF">
        <w:trPr>
          <w:trHeight w:val="452"/>
        </w:trPr>
        <w:tc>
          <w:tcPr>
            <w:tcW w:w="8618" w:type="dxa"/>
            <w:gridSpan w:val="5"/>
            <w:shd w:val="clear" w:color="auto" w:fill="548DD4" w:themeFill="text2" w:themeFillTint="99"/>
          </w:tcPr>
          <w:p w14:paraId="42F068EE" w14:textId="77777777" w:rsidR="000242DF" w:rsidRPr="00B52CC9" w:rsidRDefault="000242DF" w:rsidP="00B90AAF">
            <w:pPr>
              <w:jc w:val="center"/>
              <w:rPr>
                <w:rFonts w:ascii="Times New Roman" w:hAnsi="Times New Roman" w:cs="Times New Roman"/>
                <w:b/>
                <w:sz w:val="24"/>
                <w:szCs w:val="24"/>
              </w:rPr>
            </w:pPr>
            <w:r w:rsidRPr="00B52CC9">
              <w:rPr>
                <w:rFonts w:ascii="Times New Roman" w:hAnsi="Times New Roman" w:cs="Times New Roman"/>
                <w:b/>
                <w:sz w:val="24"/>
                <w:szCs w:val="24"/>
              </w:rPr>
              <w:t>Tasas aplicables al 4to trimestre 2012</w:t>
            </w:r>
          </w:p>
        </w:tc>
      </w:tr>
      <w:tr w:rsidR="000242DF" w:rsidRPr="00B52CC9" w14:paraId="793A60CC" w14:textId="77777777" w:rsidTr="00B90AAF">
        <w:tc>
          <w:tcPr>
            <w:tcW w:w="2093" w:type="dxa"/>
          </w:tcPr>
          <w:p w14:paraId="554F7B52" w14:textId="77777777" w:rsidR="000242DF" w:rsidRPr="00B52CC9" w:rsidRDefault="000242DF" w:rsidP="00B90AAF">
            <w:pPr>
              <w:rPr>
                <w:rFonts w:ascii="Times New Roman" w:hAnsi="Times New Roman" w:cs="Times New Roman"/>
                <w:sz w:val="24"/>
                <w:szCs w:val="24"/>
              </w:rPr>
            </w:pPr>
          </w:p>
        </w:tc>
        <w:tc>
          <w:tcPr>
            <w:tcW w:w="2551" w:type="dxa"/>
            <w:gridSpan w:val="2"/>
          </w:tcPr>
          <w:p w14:paraId="653AE462" w14:textId="77777777" w:rsidR="000242DF" w:rsidRPr="00B52CC9" w:rsidRDefault="000242DF" w:rsidP="00B90AAF">
            <w:pPr>
              <w:rPr>
                <w:rFonts w:ascii="Times New Roman" w:hAnsi="Times New Roman" w:cs="Times New Roman"/>
                <w:sz w:val="24"/>
                <w:szCs w:val="24"/>
              </w:rPr>
            </w:pPr>
            <w:r w:rsidRPr="00B52CC9">
              <w:rPr>
                <w:rFonts w:ascii="Times New Roman" w:hAnsi="Times New Roman" w:cs="Times New Roman"/>
                <w:sz w:val="24"/>
                <w:szCs w:val="24"/>
              </w:rPr>
              <w:t>Base LIBOR</w:t>
            </w:r>
          </w:p>
        </w:tc>
        <w:tc>
          <w:tcPr>
            <w:tcW w:w="2127" w:type="dxa"/>
          </w:tcPr>
          <w:p w14:paraId="1F587D83" w14:textId="77777777" w:rsidR="000242DF" w:rsidRPr="00B52CC9" w:rsidRDefault="000242DF" w:rsidP="00B90AAF">
            <w:pPr>
              <w:rPr>
                <w:rFonts w:ascii="Times New Roman" w:hAnsi="Times New Roman" w:cs="Times New Roman"/>
                <w:sz w:val="24"/>
                <w:szCs w:val="24"/>
              </w:rPr>
            </w:pPr>
            <w:r w:rsidRPr="00B52CC9">
              <w:rPr>
                <w:rFonts w:ascii="Times New Roman" w:hAnsi="Times New Roman" w:cs="Times New Roman"/>
                <w:sz w:val="24"/>
                <w:szCs w:val="24"/>
              </w:rPr>
              <w:t>Margen de préstamos del BID</w:t>
            </w:r>
          </w:p>
        </w:tc>
        <w:tc>
          <w:tcPr>
            <w:tcW w:w="1847" w:type="dxa"/>
            <w:shd w:val="clear" w:color="auto" w:fill="D9D9D9" w:themeFill="background1" w:themeFillShade="D9"/>
          </w:tcPr>
          <w:p w14:paraId="20D3D260" w14:textId="77777777" w:rsidR="000242DF" w:rsidRPr="00B52CC9" w:rsidRDefault="000242DF" w:rsidP="00B90AAF">
            <w:pPr>
              <w:rPr>
                <w:rFonts w:ascii="Times New Roman" w:hAnsi="Times New Roman" w:cs="Times New Roman"/>
                <w:sz w:val="24"/>
                <w:szCs w:val="24"/>
              </w:rPr>
            </w:pPr>
            <w:r w:rsidRPr="00B52CC9">
              <w:rPr>
                <w:rFonts w:ascii="Times New Roman" w:hAnsi="Times New Roman" w:cs="Times New Roman"/>
                <w:sz w:val="24"/>
                <w:szCs w:val="24"/>
              </w:rPr>
              <w:t>Tasa de Interés</w:t>
            </w:r>
          </w:p>
        </w:tc>
      </w:tr>
      <w:tr w:rsidR="000242DF" w:rsidRPr="00B52CC9" w14:paraId="28D3E855" w14:textId="77777777" w:rsidTr="00B90AAF">
        <w:tc>
          <w:tcPr>
            <w:tcW w:w="2093" w:type="dxa"/>
          </w:tcPr>
          <w:p w14:paraId="4FA06D97" w14:textId="77777777" w:rsidR="000242DF" w:rsidRPr="00B52CC9" w:rsidRDefault="000242DF" w:rsidP="00B90AAF">
            <w:pPr>
              <w:rPr>
                <w:rFonts w:ascii="Times New Roman" w:hAnsi="Times New Roman" w:cs="Times New Roman"/>
                <w:sz w:val="24"/>
                <w:szCs w:val="24"/>
              </w:rPr>
            </w:pPr>
          </w:p>
        </w:tc>
        <w:tc>
          <w:tcPr>
            <w:tcW w:w="1134" w:type="dxa"/>
          </w:tcPr>
          <w:p w14:paraId="589920E1" w14:textId="77777777" w:rsidR="000242DF" w:rsidRPr="00B52CC9" w:rsidRDefault="000242DF" w:rsidP="00B90AAF">
            <w:pPr>
              <w:rPr>
                <w:rFonts w:ascii="Times New Roman" w:hAnsi="Times New Roman" w:cs="Times New Roman"/>
                <w:sz w:val="24"/>
                <w:szCs w:val="24"/>
              </w:rPr>
            </w:pPr>
            <w:r w:rsidRPr="00B52CC9">
              <w:rPr>
                <w:rFonts w:ascii="Times New Roman" w:hAnsi="Times New Roman" w:cs="Times New Roman"/>
                <w:sz w:val="24"/>
                <w:szCs w:val="24"/>
              </w:rPr>
              <w:t>LIBOR</w:t>
            </w:r>
          </w:p>
          <w:p w14:paraId="058F4E94" w14:textId="77777777" w:rsidR="000242DF" w:rsidRPr="00B52CC9" w:rsidRDefault="000242DF" w:rsidP="00B90AAF">
            <w:pPr>
              <w:rPr>
                <w:rFonts w:ascii="Times New Roman" w:hAnsi="Times New Roman" w:cs="Times New Roman"/>
                <w:sz w:val="24"/>
                <w:szCs w:val="24"/>
              </w:rPr>
            </w:pPr>
            <w:r w:rsidRPr="00B52CC9">
              <w:rPr>
                <w:rFonts w:ascii="Times New Roman" w:hAnsi="Times New Roman" w:cs="Times New Roman"/>
                <w:sz w:val="24"/>
                <w:szCs w:val="24"/>
              </w:rPr>
              <w:t>3 meses</w:t>
            </w:r>
          </w:p>
        </w:tc>
        <w:tc>
          <w:tcPr>
            <w:tcW w:w="1417" w:type="dxa"/>
          </w:tcPr>
          <w:p w14:paraId="65C63A63" w14:textId="77777777" w:rsidR="000242DF" w:rsidRPr="00B52CC9" w:rsidRDefault="000242DF" w:rsidP="00B90AAF">
            <w:pPr>
              <w:rPr>
                <w:rFonts w:ascii="Times New Roman" w:hAnsi="Times New Roman" w:cs="Times New Roman"/>
                <w:sz w:val="24"/>
                <w:szCs w:val="24"/>
              </w:rPr>
            </w:pPr>
            <w:r w:rsidRPr="00B52CC9">
              <w:rPr>
                <w:rFonts w:ascii="Times New Roman" w:hAnsi="Times New Roman" w:cs="Times New Roman"/>
                <w:sz w:val="24"/>
                <w:szCs w:val="24"/>
              </w:rPr>
              <w:t>Margen de Fondeo</w:t>
            </w:r>
          </w:p>
        </w:tc>
        <w:tc>
          <w:tcPr>
            <w:tcW w:w="2127" w:type="dxa"/>
          </w:tcPr>
          <w:p w14:paraId="00BAD1C5" w14:textId="77777777" w:rsidR="000242DF" w:rsidRPr="00B52CC9" w:rsidRDefault="000242DF" w:rsidP="00B90AAF">
            <w:pPr>
              <w:rPr>
                <w:rFonts w:ascii="Times New Roman" w:hAnsi="Times New Roman" w:cs="Times New Roman"/>
                <w:sz w:val="24"/>
                <w:szCs w:val="24"/>
              </w:rPr>
            </w:pPr>
          </w:p>
        </w:tc>
        <w:tc>
          <w:tcPr>
            <w:tcW w:w="1847" w:type="dxa"/>
            <w:shd w:val="clear" w:color="auto" w:fill="D9D9D9" w:themeFill="background1" w:themeFillShade="D9"/>
          </w:tcPr>
          <w:p w14:paraId="1A0E11F7" w14:textId="77777777" w:rsidR="000242DF" w:rsidRPr="00B52CC9" w:rsidRDefault="000242DF" w:rsidP="00B90AAF">
            <w:pPr>
              <w:rPr>
                <w:rFonts w:ascii="Times New Roman" w:hAnsi="Times New Roman" w:cs="Times New Roman"/>
                <w:sz w:val="24"/>
                <w:szCs w:val="24"/>
              </w:rPr>
            </w:pPr>
          </w:p>
        </w:tc>
      </w:tr>
      <w:tr w:rsidR="000242DF" w:rsidRPr="00B52CC9" w14:paraId="39E4F03B" w14:textId="77777777" w:rsidTr="00B90AAF">
        <w:tc>
          <w:tcPr>
            <w:tcW w:w="2093" w:type="dxa"/>
          </w:tcPr>
          <w:p w14:paraId="6484BB50" w14:textId="77777777" w:rsidR="000242DF" w:rsidRPr="00B52CC9" w:rsidRDefault="000242DF" w:rsidP="00B90AAF">
            <w:pPr>
              <w:rPr>
                <w:rFonts w:ascii="Times New Roman" w:hAnsi="Times New Roman" w:cs="Times New Roman"/>
                <w:sz w:val="24"/>
                <w:szCs w:val="24"/>
              </w:rPr>
            </w:pPr>
            <w:r w:rsidRPr="00B52CC9">
              <w:rPr>
                <w:rFonts w:ascii="Times New Roman" w:hAnsi="Times New Roman" w:cs="Times New Roman"/>
                <w:sz w:val="24"/>
                <w:szCs w:val="24"/>
              </w:rPr>
              <w:t>FFF/FU-LIBOR USD</w:t>
            </w:r>
          </w:p>
        </w:tc>
        <w:tc>
          <w:tcPr>
            <w:tcW w:w="1134" w:type="dxa"/>
          </w:tcPr>
          <w:p w14:paraId="5312D79F" w14:textId="77777777" w:rsidR="000242DF" w:rsidRPr="00B52CC9" w:rsidRDefault="000242DF" w:rsidP="00B90AAF">
            <w:pPr>
              <w:rPr>
                <w:rFonts w:ascii="Times New Roman" w:hAnsi="Times New Roman" w:cs="Times New Roman"/>
                <w:sz w:val="24"/>
                <w:szCs w:val="24"/>
              </w:rPr>
            </w:pPr>
            <w:r w:rsidRPr="00B52CC9">
              <w:rPr>
                <w:rFonts w:ascii="Times New Roman" w:hAnsi="Times New Roman" w:cs="Times New Roman"/>
                <w:sz w:val="24"/>
                <w:szCs w:val="24"/>
              </w:rPr>
              <w:t>0,34%</w:t>
            </w:r>
          </w:p>
        </w:tc>
        <w:tc>
          <w:tcPr>
            <w:tcW w:w="1417" w:type="dxa"/>
          </w:tcPr>
          <w:p w14:paraId="14E6D20B" w14:textId="77777777" w:rsidR="000242DF" w:rsidRPr="00B52CC9" w:rsidRDefault="000242DF" w:rsidP="00B90AAF">
            <w:pPr>
              <w:rPr>
                <w:rFonts w:ascii="Times New Roman" w:hAnsi="Times New Roman" w:cs="Times New Roman"/>
                <w:sz w:val="24"/>
                <w:szCs w:val="24"/>
              </w:rPr>
            </w:pPr>
            <w:r w:rsidRPr="00B52CC9">
              <w:rPr>
                <w:rFonts w:ascii="Times New Roman" w:hAnsi="Times New Roman" w:cs="Times New Roman"/>
                <w:sz w:val="24"/>
                <w:szCs w:val="24"/>
              </w:rPr>
              <w:t>0,03%</w:t>
            </w:r>
          </w:p>
        </w:tc>
        <w:tc>
          <w:tcPr>
            <w:tcW w:w="2127" w:type="dxa"/>
          </w:tcPr>
          <w:p w14:paraId="7614BD52" w14:textId="77777777" w:rsidR="000242DF" w:rsidRPr="00B52CC9" w:rsidRDefault="000242DF" w:rsidP="00B90AAF">
            <w:pPr>
              <w:rPr>
                <w:rFonts w:ascii="Times New Roman" w:hAnsi="Times New Roman" w:cs="Times New Roman"/>
                <w:sz w:val="24"/>
                <w:szCs w:val="24"/>
              </w:rPr>
            </w:pPr>
            <w:r w:rsidRPr="00B52CC9">
              <w:rPr>
                <w:rFonts w:ascii="Times New Roman" w:hAnsi="Times New Roman" w:cs="Times New Roman"/>
                <w:sz w:val="24"/>
                <w:szCs w:val="24"/>
              </w:rPr>
              <w:t>0,62%</w:t>
            </w:r>
          </w:p>
        </w:tc>
        <w:tc>
          <w:tcPr>
            <w:tcW w:w="1847" w:type="dxa"/>
            <w:shd w:val="clear" w:color="auto" w:fill="D9D9D9" w:themeFill="background1" w:themeFillShade="D9"/>
          </w:tcPr>
          <w:p w14:paraId="14AFDE04" w14:textId="77777777" w:rsidR="000242DF" w:rsidRPr="00B52CC9" w:rsidRDefault="000242DF" w:rsidP="00B90AAF">
            <w:pPr>
              <w:rPr>
                <w:rFonts w:ascii="Times New Roman" w:hAnsi="Times New Roman" w:cs="Times New Roman"/>
                <w:b/>
                <w:sz w:val="24"/>
                <w:szCs w:val="24"/>
              </w:rPr>
            </w:pPr>
            <w:r w:rsidRPr="00B52CC9">
              <w:rPr>
                <w:rFonts w:ascii="Times New Roman" w:hAnsi="Times New Roman" w:cs="Times New Roman"/>
                <w:b/>
                <w:sz w:val="24"/>
                <w:szCs w:val="24"/>
              </w:rPr>
              <w:t>0,99%</w:t>
            </w:r>
          </w:p>
        </w:tc>
      </w:tr>
    </w:tbl>
    <w:p w14:paraId="1EE0EACA" w14:textId="77777777" w:rsidR="000242DF" w:rsidRPr="00B52CC9" w:rsidRDefault="000242DF" w:rsidP="000242DF">
      <w:pPr>
        <w:spacing w:line="240" w:lineRule="auto"/>
        <w:ind w:firstLine="284"/>
        <w:rPr>
          <w:rFonts w:ascii="Times New Roman" w:hAnsi="Times New Roman" w:cs="Times New Roman"/>
          <w:sz w:val="18"/>
          <w:szCs w:val="18"/>
        </w:rPr>
      </w:pPr>
      <w:r w:rsidRPr="00B52CC9">
        <w:rPr>
          <w:rFonts w:ascii="Times New Roman" w:hAnsi="Times New Roman" w:cs="Times New Roman"/>
          <w:sz w:val="18"/>
          <w:szCs w:val="18"/>
        </w:rPr>
        <w:t>Fuente: website Banco Interamericano de Desarrollo – BID.</w:t>
      </w:r>
    </w:p>
    <w:p w14:paraId="359C1BAE" w14:textId="77777777" w:rsidR="000242DF" w:rsidRPr="00B52CC9" w:rsidRDefault="000242DF" w:rsidP="000242DF">
      <w:pPr>
        <w:spacing w:after="0" w:line="240" w:lineRule="auto"/>
        <w:jc w:val="both"/>
        <w:rPr>
          <w:rFonts w:ascii="Times New Roman" w:hAnsi="Times New Roman" w:cs="Times New Roman"/>
          <w:sz w:val="24"/>
          <w:szCs w:val="24"/>
        </w:rPr>
      </w:pPr>
    </w:p>
    <w:p w14:paraId="40DEA2F3" w14:textId="77777777" w:rsidR="000242DF" w:rsidRDefault="000242DF" w:rsidP="00024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efectos de determinar el escenario de sensibilidad, </w:t>
      </w:r>
      <w:r w:rsidRPr="00B52CC9">
        <w:rPr>
          <w:rFonts w:ascii="Times New Roman" w:hAnsi="Times New Roman" w:cs="Times New Roman"/>
          <w:sz w:val="24"/>
          <w:szCs w:val="24"/>
        </w:rPr>
        <w:t>se asume un período de amortización de 9 años (</w:t>
      </w:r>
      <w:r>
        <w:rPr>
          <w:rFonts w:ascii="Times New Roman" w:hAnsi="Times New Roman" w:cs="Times New Roman"/>
          <w:sz w:val="24"/>
          <w:szCs w:val="24"/>
        </w:rPr>
        <w:t xml:space="preserve">el cual </w:t>
      </w:r>
      <w:r w:rsidRPr="00B52CC9">
        <w:rPr>
          <w:rFonts w:ascii="Times New Roman" w:hAnsi="Times New Roman" w:cs="Times New Roman"/>
          <w:sz w:val="24"/>
          <w:szCs w:val="24"/>
        </w:rPr>
        <w:t>no super</w:t>
      </w:r>
      <w:r>
        <w:rPr>
          <w:rFonts w:ascii="Times New Roman" w:hAnsi="Times New Roman" w:cs="Times New Roman"/>
          <w:sz w:val="24"/>
          <w:szCs w:val="24"/>
        </w:rPr>
        <w:t>a</w:t>
      </w:r>
      <w:r w:rsidRPr="00B52CC9">
        <w:rPr>
          <w:rFonts w:ascii="Times New Roman" w:hAnsi="Times New Roman" w:cs="Times New Roman"/>
          <w:sz w:val="24"/>
          <w:szCs w:val="24"/>
        </w:rPr>
        <w:t xml:space="preserve"> el escenario del MFMP propuesto) y un período de gracia de 6 años </w:t>
      </w:r>
      <w:r>
        <w:rPr>
          <w:rFonts w:ascii="Times New Roman" w:hAnsi="Times New Roman" w:cs="Times New Roman"/>
          <w:sz w:val="24"/>
          <w:szCs w:val="24"/>
        </w:rPr>
        <w:t xml:space="preserve">(período en el cual </w:t>
      </w:r>
      <w:r w:rsidRPr="00B52CC9">
        <w:rPr>
          <w:rFonts w:ascii="Times New Roman" w:hAnsi="Times New Roman" w:cs="Times New Roman"/>
          <w:sz w:val="24"/>
          <w:szCs w:val="24"/>
        </w:rPr>
        <w:t>el pag</w:t>
      </w:r>
      <w:r>
        <w:rPr>
          <w:rFonts w:ascii="Times New Roman" w:hAnsi="Times New Roman" w:cs="Times New Roman"/>
          <w:sz w:val="24"/>
          <w:szCs w:val="24"/>
        </w:rPr>
        <w:t>o de las amortizaciones coincide</w:t>
      </w:r>
      <w:r w:rsidRPr="00B52CC9">
        <w:rPr>
          <w:rFonts w:ascii="Times New Roman" w:hAnsi="Times New Roman" w:cs="Times New Roman"/>
          <w:sz w:val="24"/>
          <w:szCs w:val="24"/>
        </w:rPr>
        <w:t xml:space="preserve"> con el fin del período de pago del crédito sindicado</w:t>
      </w:r>
      <w:r>
        <w:rPr>
          <w:rFonts w:ascii="Times New Roman" w:hAnsi="Times New Roman" w:cs="Times New Roman"/>
          <w:sz w:val="24"/>
          <w:szCs w:val="24"/>
        </w:rPr>
        <w:t>)</w:t>
      </w:r>
      <w:r w:rsidRPr="00B52CC9">
        <w:rPr>
          <w:rFonts w:ascii="Times New Roman" w:hAnsi="Times New Roman" w:cs="Times New Roman"/>
          <w:sz w:val="24"/>
          <w:szCs w:val="24"/>
        </w:rPr>
        <w:t>.</w:t>
      </w:r>
      <w:r>
        <w:rPr>
          <w:rFonts w:ascii="Times New Roman" w:hAnsi="Times New Roman" w:cs="Times New Roman"/>
          <w:sz w:val="24"/>
          <w:szCs w:val="24"/>
        </w:rPr>
        <w:t xml:space="preserve">  Para este fin, e</w:t>
      </w:r>
      <w:r w:rsidRPr="00B52CC9">
        <w:rPr>
          <w:rFonts w:ascii="Times New Roman" w:hAnsi="Times New Roman" w:cs="Times New Roman"/>
          <w:sz w:val="24"/>
          <w:szCs w:val="24"/>
        </w:rPr>
        <w:t>l escenario base asume los supuestos de proyección que soportan el Anexo 2 (</w:t>
      </w:r>
      <w:r>
        <w:rPr>
          <w:rFonts w:ascii="Times New Roman" w:hAnsi="Times New Roman" w:cs="Times New Roman"/>
          <w:sz w:val="24"/>
          <w:szCs w:val="24"/>
        </w:rPr>
        <w:t>Balance Financiero 2013-2022).</w:t>
      </w:r>
    </w:p>
    <w:p w14:paraId="381E1BB8" w14:textId="77777777" w:rsidR="000242DF" w:rsidRDefault="000242DF" w:rsidP="000242DF">
      <w:pPr>
        <w:spacing w:after="0" w:line="240" w:lineRule="auto"/>
        <w:jc w:val="both"/>
        <w:rPr>
          <w:rFonts w:ascii="Times New Roman" w:hAnsi="Times New Roman" w:cs="Times New Roman"/>
          <w:sz w:val="24"/>
          <w:szCs w:val="24"/>
        </w:rPr>
      </w:pPr>
    </w:p>
    <w:p w14:paraId="761A3AB5" w14:textId="77777777" w:rsidR="000242DF" w:rsidRPr="00B52CC9" w:rsidRDefault="000242DF" w:rsidP="00024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De igual modo, e</w:t>
      </w:r>
      <w:r w:rsidRPr="00B52CC9">
        <w:rPr>
          <w:rFonts w:ascii="Times New Roman" w:hAnsi="Times New Roman" w:cs="Times New Roman"/>
          <w:sz w:val="24"/>
          <w:szCs w:val="24"/>
        </w:rPr>
        <w:t>l servicio de los créditos vigentes se proyecta según los términos del contrato respectivo y para el crédito sindicado se asume un promedio ponderado de tasas activas del sistema bancario de 16,1%.</w:t>
      </w:r>
      <w:r w:rsidRPr="00B52CC9">
        <w:rPr>
          <w:rStyle w:val="FootnoteReference"/>
          <w:rFonts w:ascii="Times New Roman" w:hAnsi="Times New Roman" w:cs="Times New Roman"/>
          <w:sz w:val="24"/>
          <w:szCs w:val="24"/>
        </w:rPr>
        <w:footnoteReference w:id="72"/>
      </w:r>
      <w:r w:rsidRPr="00B52CC9">
        <w:rPr>
          <w:rFonts w:ascii="Times New Roman" w:hAnsi="Times New Roman" w:cs="Times New Roman"/>
          <w:sz w:val="24"/>
          <w:szCs w:val="24"/>
        </w:rPr>
        <w:t xml:space="preserve">  </w:t>
      </w:r>
      <w:r>
        <w:rPr>
          <w:rFonts w:ascii="Times New Roman" w:hAnsi="Times New Roman" w:cs="Times New Roman"/>
          <w:sz w:val="24"/>
          <w:szCs w:val="24"/>
        </w:rPr>
        <w:t>Para ello, s</w:t>
      </w:r>
      <w:r w:rsidRPr="00B52CC9">
        <w:rPr>
          <w:rFonts w:ascii="Times New Roman" w:hAnsi="Times New Roman" w:cs="Times New Roman"/>
          <w:sz w:val="24"/>
          <w:szCs w:val="24"/>
        </w:rPr>
        <w:t>e presentan las cifras como porcentaje del PIB nacional,</w:t>
      </w:r>
      <w:r w:rsidRPr="00B52CC9">
        <w:rPr>
          <w:rStyle w:val="FootnoteReference"/>
          <w:rFonts w:ascii="Times New Roman" w:hAnsi="Times New Roman" w:cs="Times New Roman"/>
          <w:sz w:val="24"/>
          <w:szCs w:val="24"/>
        </w:rPr>
        <w:footnoteReference w:id="73"/>
      </w:r>
      <w:r w:rsidRPr="00B52CC9">
        <w:rPr>
          <w:rFonts w:ascii="Times New Roman" w:hAnsi="Times New Roman" w:cs="Times New Roman"/>
          <w:sz w:val="24"/>
          <w:szCs w:val="24"/>
        </w:rPr>
        <w:t xml:space="preserve"> dado que no se cuenta con una medición del PIB para el área metropolitana de Ciudad de Guatemala.  El crecimiento del PIB se estima en 9,9% nominal anual para el período de proyección, que es el promedio de crecimiento a precios corrientes de los últimos 6 años según cifras del Banco de Guatemala.</w:t>
      </w:r>
      <w:r w:rsidRPr="00B52CC9">
        <w:rPr>
          <w:rStyle w:val="FootnoteReference"/>
          <w:rFonts w:ascii="Times New Roman" w:hAnsi="Times New Roman" w:cs="Times New Roman"/>
          <w:sz w:val="24"/>
          <w:szCs w:val="24"/>
        </w:rPr>
        <w:footnoteReference w:id="74"/>
      </w:r>
    </w:p>
    <w:p w14:paraId="674B1BED" w14:textId="77777777" w:rsidR="000242DF" w:rsidRDefault="000242DF" w:rsidP="000242DF">
      <w:pPr>
        <w:spacing w:after="0" w:line="240" w:lineRule="auto"/>
        <w:jc w:val="both"/>
        <w:rPr>
          <w:rFonts w:ascii="Times New Roman" w:hAnsi="Times New Roman" w:cs="Times New Roman"/>
          <w:sz w:val="24"/>
          <w:szCs w:val="24"/>
        </w:rPr>
      </w:pPr>
    </w:p>
    <w:p w14:paraId="2980C22B" w14:textId="77777777" w:rsidR="00D0294C" w:rsidRPr="00B52CC9" w:rsidRDefault="00D0294C" w:rsidP="000242DF">
      <w:pPr>
        <w:spacing w:after="0" w:line="240" w:lineRule="auto"/>
        <w:jc w:val="both"/>
        <w:rPr>
          <w:rFonts w:ascii="Times New Roman" w:hAnsi="Times New Roman" w:cs="Times New Roman"/>
          <w:sz w:val="24"/>
          <w:szCs w:val="24"/>
        </w:rPr>
      </w:pPr>
    </w:p>
    <w:p w14:paraId="477B3BC6" w14:textId="77777777" w:rsidR="000242DF" w:rsidRDefault="000242DF" w:rsidP="000242DF">
      <w:pPr>
        <w:spacing w:after="0" w:line="240" w:lineRule="auto"/>
        <w:jc w:val="both"/>
        <w:rPr>
          <w:rFonts w:ascii="Times New Roman" w:hAnsi="Times New Roman" w:cs="Times New Roman"/>
          <w:sz w:val="24"/>
          <w:szCs w:val="24"/>
        </w:rPr>
      </w:pPr>
      <w:r w:rsidRPr="00B52CC9">
        <w:rPr>
          <w:rFonts w:ascii="Times New Roman" w:hAnsi="Times New Roman" w:cs="Times New Roman"/>
          <w:sz w:val="24"/>
          <w:szCs w:val="24"/>
        </w:rPr>
        <w:lastRenderedPageBreak/>
        <w:t xml:space="preserve">Los escenarios son los </w:t>
      </w:r>
      <w:r>
        <w:rPr>
          <w:rFonts w:ascii="Times New Roman" w:hAnsi="Times New Roman" w:cs="Times New Roman"/>
          <w:sz w:val="24"/>
          <w:szCs w:val="24"/>
        </w:rPr>
        <w:t>que se registran en el cuadro 11 siguiente</w:t>
      </w:r>
      <w:r w:rsidRPr="00B52CC9">
        <w:rPr>
          <w:rFonts w:ascii="Times New Roman" w:hAnsi="Times New Roman" w:cs="Times New Roman"/>
          <w:sz w:val="24"/>
          <w:szCs w:val="24"/>
        </w:rPr>
        <w:t>:</w:t>
      </w:r>
    </w:p>
    <w:p w14:paraId="4BA5C4DC" w14:textId="77777777" w:rsidR="00D0294C" w:rsidRPr="00B52CC9" w:rsidRDefault="00D0294C" w:rsidP="000242DF">
      <w:pPr>
        <w:spacing w:after="0" w:line="240" w:lineRule="auto"/>
        <w:jc w:val="both"/>
        <w:rPr>
          <w:rFonts w:ascii="Times New Roman" w:hAnsi="Times New Roman" w:cs="Times New Roman"/>
          <w:sz w:val="24"/>
          <w:szCs w:val="24"/>
        </w:rPr>
      </w:pPr>
    </w:p>
    <w:p w14:paraId="673DEBA9" w14:textId="45C1DCFE" w:rsidR="000242DF" w:rsidRPr="00B52CC9" w:rsidRDefault="000242DF" w:rsidP="000242DF">
      <w:pPr>
        <w:spacing w:line="240" w:lineRule="auto"/>
        <w:rPr>
          <w:rFonts w:ascii="Times New Roman" w:hAnsi="Times New Roman" w:cs="Times New Roman"/>
          <w:b/>
          <w:sz w:val="24"/>
          <w:szCs w:val="24"/>
        </w:rPr>
      </w:pPr>
      <w:r>
        <w:rPr>
          <w:rFonts w:ascii="Times New Roman" w:hAnsi="Times New Roman" w:cs="Times New Roman"/>
          <w:b/>
          <w:sz w:val="24"/>
          <w:szCs w:val="24"/>
        </w:rPr>
        <w:t>Cuadro 11</w:t>
      </w:r>
      <w:r w:rsidRPr="00B52CC9">
        <w:rPr>
          <w:rFonts w:ascii="Times New Roman" w:hAnsi="Times New Roman" w:cs="Times New Roman"/>
          <w:b/>
          <w:sz w:val="24"/>
          <w:szCs w:val="24"/>
        </w:rPr>
        <w:t xml:space="preserve">.  Escenarios Financieros alternativos con </w:t>
      </w:r>
      <w:r>
        <w:rPr>
          <w:rFonts w:ascii="Times New Roman" w:hAnsi="Times New Roman" w:cs="Times New Roman"/>
          <w:b/>
          <w:sz w:val="24"/>
          <w:szCs w:val="24"/>
        </w:rPr>
        <w:t>nuevo endeudamiento</w:t>
      </w:r>
      <w:r w:rsidRPr="00B52CC9">
        <w:rPr>
          <w:rFonts w:ascii="Times New Roman" w:hAnsi="Times New Roman" w:cs="Times New Roman"/>
          <w:b/>
          <w:sz w:val="24"/>
          <w:szCs w:val="24"/>
        </w:rPr>
        <w:t>.</w:t>
      </w:r>
    </w:p>
    <w:tbl>
      <w:tblPr>
        <w:tblW w:w="9102" w:type="dxa"/>
        <w:tblInd w:w="40" w:type="dxa"/>
        <w:tblLayout w:type="fixed"/>
        <w:tblCellMar>
          <w:left w:w="70" w:type="dxa"/>
          <w:right w:w="70" w:type="dxa"/>
        </w:tblCellMar>
        <w:tblLook w:val="0000" w:firstRow="0" w:lastRow="0" w:firstColumn="0" w:lastColumn="0" w:noHBand="0" w:noVBand="0"/>
      </w:tblPr>
      <w:tblGrid>
        <w:gridCol w:w="1873"/>
        <w:gridCol w:w="851"/>
        <w:gridCol w:w="708"/>
        <w:gridCol w:w="709"/>
        <w:gridCol w:w="709"/>
        <w:gridCol w:w="709"/>
        <w:gridCol w:w="708"/>
        <w:gridCol w:w="709"/>
        <w:gridCol w:w="709"/>
        <w:gridCol w:w="709"/>
        <w:gridCol w:w="708"/>
      </w:tblGrid>
      <w:tr w:rsidR="000242DF" w:rsidRPr="00B52CC9" w14:paraId="0261AE71" w14:textId="77777777" w:rsidTr="00B90AAF">
        <w:trPr>
          <w:trHeight w:val="278"/>
        </w:trPr>
        <w:tc>
          <w:tcPr>
            <w:tcW w:w="3432" w:type="dxa"/>
            <w:gridSpan w:val="3"/>
            <w:tcBorders>
              <w:top w:val="nil"/>
              <w:left w:val="nil"/>
              <w:bottom w:val="nil"/>
              <w:right w:val="nil"/>
            </w:tcBorders>
          </w:tcPr>
          <w:p w14:paraId="4D86A46F"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b/>
                <w:color w:val="000000"/>
                <w:sz w:val="18"/>
                <w:szCs w:val="18"/>
                <w:lang w:val="es-ES" w:eastAsia="es-ES"/>
              </w:rPr>
            </w:pPr>
            <w:r w:rsidRPr="00B52CC9">
              <w:rPr>
                <w:rFonts w:ascii="Times New Roman" w:hAnsi="Times New Roman" w:cs="Times New Roman"/>
                <w:b/>
                <w:color w:val="000000"/>
                <w:sz w:val="18"/>
                <w:szCs w:val="18"/>
                <w:lang w:val="es-ES" w:eastAsia="es-ES"/>
              </w:rPr>
              <w:t>Deuda como porcentaje del PIB nacional</w:t>
            </w:r>
          </w:p>
        </w:tc>
        <w:tc>
          <w:tcPr>
            <w:tcW w:w="709" w:type="dxa"/>
            <w:tcBorders>
              <w:top w:val="nil"/>
              <w:left w:val="nil"/>
              <w:bottom w:val="nil"/>
              <w:right w:val="nil"/>
            </w:tcBorders>
          </w:tcPr>
          <w:p w14:paraId="415F21B2" w14:textId="77777777" w:rsidR="000242DF" w:rsidRPr="00B52CC9" w:rsidRDefault="000242DF" w:rsidP="00B90AAF">
            <w:pPr>
              <w:widowControl w:val="0"/>
              <w:autoSpaceDE w:val="0"/>
              <w:autoSpaceDN w:val="0"/>
              <w:adjustRightInd w:val="0"/>
              <w:spacing w:after="0" w:line="240" w:lineRule="auto"/>
              <w:jc w:val="center"/>
              <w:rPr>
                <w:rFonts w:ascii="Times New Roman" w:hAnsi="Times New Roman" w:cs="Times New Roman"/>
                <w:b/>
                <w:color w:val="000000"/>
                <w:sz w:val="18"/>
                <w:szCs w:val="18"/>
                <w:lang w:val="es-ES" w:eastAsia="es-ES"/>
              </w:rPr>
            </w:pPr>
          </w:p>
        </w:tc>
        <w:tc>
          <w:tcPr>
            <w:tcW w:w="709" w:type="dxa"/>
            <w:tcBorders>
              <w:top w:val="nil"/>
              <w:left w:val="nil"/>
              <w:bottom w:val="nil"/>
              <w:right w:val="nil"/>
            </w:tcBorders>
          </w:tcPr>
          <w:p w14:paraId="799C8EAA" w14:textId="77777777" w:rsidR="000242DF" w:rsidRPr="00B52CC9" w:rsidRDefault="000242DF" w:rsidP="00B90AAF">
            <w:pPr>
              <w:widowControl w:val="0"/>
              <w:autoSpaceDE w:val="0"/>
              <w:autoSpaceDN w:val="0"/>
              <w:adjustRightInd w:val="0"/>
              <w:spacing w:after="0" w:line="240" w:lineRule="auto"/>
              <w:jc w:val="center"/>
              <w:rPr>
                <w:rFonts w:ascii="Times New Roman" w:hAnsi="Times New Roman" w:cs="Times New Roman"/>
                <w:b/>
                <w:color w:val="000000"/>
                <w:sz w:val="18"/>
                <w:szCs w:val="18"/>
                <w:lang w:val="es-ES" w:eastAsia="es-ES"/>
              </w:rPr>
            </w:pPr>
          </w:p>
        </w:tc>
        <w:tc>
          <w:tcPr>
            <w:tcW w:w="709" w:type="dxa"/>
            <w:tcBorders>
              <w:top w:val="nil"/>
              <w:left w:val="nil"/>
              <w:bottom w:val="nil"/>
              <w:right w:val="nil"/>
            </w:tcBorders>
          </w:tcPr>
          <w:p w14:paraId="061A0A45" w14:textId="77777777" w:rsidR="000242DF" w:rsidRPr="00B52CC9" w:rsidRDefault="000242DF" w:rsidP="00B90AAF">
            <w:pPr>
              <w:widowControl w:val="0"/>
              <w:autoSpaceDE w:val="0"/>
              <w:autoSpaceDN w:val="0"/>
              <w:adjustRightInd w:val="0"/>
              <w:spacing w:after="0" w:line="240" w:lineRule="auto"/>
              <w:jc w:val="center"/>
              <w:rPr>
                <w:rFonts w:ascii="Times New Roman" w:hAnsi="Times New Roman" w:cs="Times New Roman"/>
                <w:b/>
                <w:color w:val="000000"/>
                <w:sz w:val="18"/>
                <w:szCs w:val="18"/>
                <w:lang w:val="es-ES" w:eastAsia="es-ES"/>
              </w:rPr>
            </w:pPr>
          </w:p>
        </w:tc>
        <w:tc>
          <w:tcPr>
            <w:tcW w:w="708" w:type="dxa"/>
            <w:tcBorders>
              <w:top w:val="nil"/>
              <w:left w:val="nil"/>
              <w:bottom w:val="nil"/>
              <w:right w:val="nil"/>
            </w:tcBorders>
          </w:tcPr>
          <w:p w14:paraId="3008ABF2" w14:textId="77777777" w:rsidR="000242DF" w:rsidRPr="00B52CC9" w:rsidRDefault="000242DF" w:rsidP="00B90AAF">
            <w:pPr>
              <w:widowControl w:val="0"/>
              <w:autoSpaceDE w:val="0"/>
              <w:autoSpaceDN w:val="0"/>
              <w:adjustRightInd w:val="0"/>
              <w:spacing w:after="0" w:line="240" w:lineRule="auto"/>
              <w:jc w:val="center"/>
              <w:rPr>
                <w:rFonts w:ascii="Times New Roman" w:hAnsi="Times New Roman" w:cs="Times New Roman"/>
                <w:b/>
                <w:color w:val="000000"/>
                <w:sz w:val="18"/>
                <w:szCs w:val="18"/>
                <w:lang w:val="es-ES" w:eastAsia="es-ES"/>
              </w:rPr>
            </w:pPr>
          </w:p>
        </w:tc>
        <w:tc>
          <w:tcPr>
            <w:tcW w:w="709" w:type="dxa"/>
            <w:tcBorders>
              <w:top w:val="nil"/>
              <w:left w:val="nil"/>
              <w:bottom w:val="nil"/>
              <w:right w:val="nil"/>
            </w:tcBorders>
          </w:tcPr>
          <w:p w14:paraId="57B92334" w14:textId="77777777" w:rsidR="000242DF" w:rsidRPr="00B52CC9" w:rsidRDefault="000242DF" w:rsidP="00B90AAF">
            <w:pPr>
              <w:widowControl w:val="0"/>
              <w:autoSpaceDE w:val="0"/>
              <w:autoSpaceDN w:val="0"/>
              <w:adjustRightInd w:val="0"/>
              <w:spacing w:after="0" w:line="240" w:lineRule="auto"/>
              <w:jc w:val="center"/>
              <w:rPr>
                <w:rFonts w:ascii="Times New Roman" w:hAnsi="Times New Roman" w:cs="Times New Roman"/>
                <w:b/>
                <w:color w:val="000000"/>
                <w:sz w:val="18"/>
                <w:szCs w:val="18"/>
                <w:lang w:val="es-ES" w:eastAsia="es-ES"/>
              </w:rPr>
            </w:pPr>
          </w:p>
        </w:tc>
        <w:tc>
          <w:tcPr>
            <w:tcW w:w="709" w:type="dxa"/>
            <w:tcBorders>
              <w:top w:val="nil"/>
              <w:left w:val="nil"/>
              <w:bottom w:val="nil"/>
              <w:right w:val="nil"/>
            </w:tcBorders>
          </w:tcPr>
          <w:p w14:paraId="748855E2" w14:textId="77777777" w:rsidR="000242DF" w:rsidRPr="00B52CC9" w:rsidRDefault="000242DF" w:rsidP="00B90AAF">
            <w:pPr>
              <w:widowControl w:val="0"/>
              <w:autoSpaceDE w:val="0"/>
              <w:autoSpaceDN w:val="0"/>
              <w:adjustRightInd w:val="0"/>
              <w:spacing w:after="0" w:line="240" w:lineRule="auto"/>
              <w:jc w:val="center"/>
              <w:rPr>
                <w:rFonts w:ascii="Times New Roman" w:hAnsi="Times New Roman" w:cs="Times New Roman"/>
                <w:b/>
                <w:color w:val="000000"/>
                <w:sz w:val="18"/>
                <w:szCs w:val="18"/>
                <w:lang w:val="es-ES" w:eastAsia="es-ES"/>
              </w:rPr>
            </w:pPr>
          </w:p>
        </w:tc>
        <w:tc>
          <w:tcPr>
            <w:tcW w:w="709" w:type="dxa"/>
            <w:tcBorders>
              <w:top w:val="nil"/>
              <w:left w:val="nil"/>
              <w:bottom w:val="nil"/>
              <w:right w:val="nil"/>
            </w:tcBorders>
          </w:tcPr>
          <w:p w14:paraId="2D53B0B2" w14:textId="77777777" w:rsidR="000242DF" w:rsidRPr="00B52CC9" w:rsidRDefault="000242DF" w:rsidP="00B90AAF">
            <w:pPr>
              <w:widowControl w:val="0"/>
              <w:autoSpaceDE w:val="0"/>
              <w:autoSpaceDN w:val="0"/>
              <w:adjustRightInd w:val="0"/>
              <w:spacing w:after="0" w:line="240" w:lineRule="auto"/>
              <w:jc w:val="center"/>
              <w:rPr>
                <w:rFonts w:ascii="Times New Roman" w:hAnsi="Times New Roman" w:cs="Times New Roman"/>
                <w:b/>
                <w:color w:val="000000"/>
                <w:sz w:val="18"/>
                <w:szCs w:val="18"/>
                <w:lang w:val="es-ES" w:eastAsia="es-ES"/>
              </w:rPr>
            </w:pPr>
          </w:p>
        </w:tc>
        <w:tc>
          <w:tcPr>
            <w:tcW w:w="708" w:type="dxa"/>
            <w:tcBorders>
              <w:top w:val="nil"/>
              <w:left w:val="nil"/>
              <w:bottom w:val="nil"/>
              <w:right w:val="nil"/>
            </w:tcBorders>
          </w:tcPr>
          <w:p w14:paraId="7EAE5E39" w14:textId="77777777" w:rsidR="000242DF" w:rsidRPr="00B52CC9" w:rsidRDefault="000242DF" w:rsidP="00B90AAF">
            <w:pPr>
              <w:widowControl w:val="0"/>
              <w:autoSpaceDE w:val="0"/>
              <w:autoSpaceDN w:val="0"/>
              <w:adjustRightInd w:val="0"/>
              <w:spacing w:after="0" w:line="240" w:lineRule="auto"/>
              <w:jc w:val="center"/>
              <w:rPr>
                <w:rFonts w:ascii="Times New Roman" w:hAnsi="Times New Roman" w:cs="Times New Roman"/>
                <w:b/>
                <w:color w:val="000000"/>
                <w:sz w:val="18"/>
                <w:szCs w:val="18"/>
                <w:lang w:val="es-ES" w:eastAsia="es-ES"/>
              </w:rPr>
            </w:pPr>
          </w:p>
        </w:tc>
      </w:tr>
      <w:tr w:rsidR="000242DF" w:rsidRPr="00B52CC9" w14:paraId="6CD3B1DC" w14:textId="77777777" w:rsidTr="00B90AAF">
        <w:trPr>
          <w:trHeight w:val="278"/>
        </w:trPr>
        <w:tc>
          <w:tcPr>
            <w:tcW w:w="1873" w:type="dxa"/>
            <w:tcBorders>
              <w:top w:val="nil"/>
              <w:left w:val="nil"/>
              <w:bottom w:val="nil"/>
              <w:right w:val="nil"/>
            </w:tcBorders>
          </w:tcPr>
          <w:p w14:paraId="786DD095"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851" w:type="dxa"/>
            <w:tcBorders>
              <w:top w:val="nil"/>
              <w:left w:val="nil"/>
              <w:bottom w:val="nil"/>
              <w:right w:val="nil"/>
            </w:tcBorders>
            <w:shd w:val="clear" w:color="A2BD90" w:fill="548DD4" w:themeFill="text2" w:themeFillTint="99"/>
          </w:tcPr>
          <w:p w14:paraId="27E7D26D"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2013</w:t>
            </w:r>
          </w:p>
        </w:tc>
        <w:tc>
          <w:tcPr>
            <w:tcW w:w="708" w:type="dxa"/>
            <w:tcBorders>
              <w:top w:val="nil"/>
              <w:left w:val="nil"/>
              <w:bottom w:val="nil"/>
              <w:right w:val="nil"/>
            </w:tcBorders>
            <w:shd w:val="clear" w:color="A2BD90" w:fill="548DD4" w:themeFill="text2" w:themeFillTint="99"/>
          </w:tcPr>
          <w:p w14:paraId="03807864"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2014</w:t>
            </w:r>
          </w:p>
        </w:tc>
        <w:tc>
          <w:tcPr>
            <w:tcW w:w="709" w:type="dxa"/>
            <w:tcBorders>
              <w:top w:val="nil"/>
              <w:left w:val="nil"/>
              <w:bottom w:val="nil"/>
              <w:right w:val="nil"/>
            </w:tcBorders>
            <w:shd w:val="clear" w:color="A2BD90" w:fill="548DD4" w:themeFill="text2" w:themeFillTint="99"/>
          </w:tcPr>
          <w:p w14:paraId="7297512B"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2015</w:t>
            </w:r>
          </w:p>
        </w:tc>
        <w:tc>
          <w:tcPr>
            <w:tcW w:w="709" w:type="dxa"/>
            <w:tcBorders>
              <w:top w:val="nil"/>
              <w:left w:val="nil"/>
              <w:bottom w:val="nil"/>
              <w:right w:val="nil"/>
            </w:tcBorders>
            <w:shd w:val="clear" w:color="A2BD90" w:fill="548DD4" w:themeFill="text2" w:themeFillTint="99"/>
          </w:tcPr>
          <w:p w14:paraId="3211CB58"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2016</w:t>
            </w:r>
          </w:p>
        </w:tc>
        <w:tc>
          <w:tcPr>
            <w:tcW w:w="709" w:type="dxa"/>
            <w:tcBorders>
              <w:top w:val="nil"/>
              <w:left w:val="nil"/>
              <w:bottom w:val="nil"/>
              <w:right w:val="nil"/>
            </w:tcBorders>
            <w:shd w:val="clear" w:color="A2BD90" w:fill="548DD4" w:themeFill="text2" w:themeFillTint="99"/>
          </w:tcPr>
          <w:p w14:paraId="6FB2B805"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2017</w:t>
            </w:r>
          </w:p>
        </w:tc>
        <w:tc>
          <w:tcPr>
            <w:tcW w:w="708" w:type="dxa"/>
            <w:tcBorders>
              <w:top w:val="nil"/>
              <w:left w:val="nil"/>
              <w:bottom w:val="nil"/>
              <w:right w:val="nil"/>
            </w:tcBorders>
            <w:shd w:val="clear" w:color="A2BD90" w:fill="548DD4" w:themeFill="text2" w:themeFillTint="99"/>
          </w:tcPr>
          <w:p w14:paraId="364A9BD7"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2018</w:t>
            </w:r>
          </w:p>
        </w:tc>
        <w:tc>
          <w:tcPr>
            <w:tcW w:w="709" w:type="dxa"/>
            <w:tcBorders>
              <w:top w:val="nil"/>
              <w:left w:val="nil"/>
              <w:bottom w:val="nil"/>
              <w:right w:val="nil"/>
            </w:tcBorders>
            <w:shd w:val="clear" w:color="A2BD90" w:fill="548DD4" w:themeFill="text2" w:themeFillTint="99"/>
          </w:tcPr>
          <w:p w14:paraId="674962E4"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2019</w:t>
            </w:r>
          </w:p>
        </w:tc>
        <w:tc>
          <w:tcPr>
            <w:tcW w:w="709" w:type="dxa"/>
            <w:tcBorders>
              <w:top w:val="nil"/>
              <w:left w:val="nil"/>
              <w:bottom w:val="nil"/>
              <w:right w:val="nil"/>
            </w:tcBorders>
            <w:shd w:val="clear" w:color="A2BD90" w:fill="548DD4" w:themeFill="text2" w:themeFillTint="99"/>
          </w:tcPr>
          <w:p w14:paraId="0563B23A"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2020</w:t>
            </w:r>
          </w:p>
        </w:tc>
        <w:tc>
          <w:tcPr>
            <w:tcW w:w="709" w:type="dxa"/>
            <w:tcBorders>
              <w:top w:val="nil"/>
              <w:left w:val="nil"/>
              <w:bottom w:val="nil"/>
              <w:right w:val="nil"/>
            </w:tcBorders>
            <w:shd w:val="clear" w:color="A2BD90" w:fill="548DD4" w:themeFill="text2" w:themeFillTint="99"/>
          </w:tcPr>
          <w:p w14:paraId="5CB9160A"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2021</w:t>
            </w:r>
          </w:p>
        </w:tc>
        <w:tc>
          <w:tcPr>
            <w:tcW w:w="708" w:type="dxa"/>
            <w:tcBorders>
              <w:top w:val="nil"/>
              <w:left w:val="nil"/>
              <w:bottom w:val="nil"/>
              <w:right w:val="nil"/>
            </w:tcBorders>
            <w:shd w:val="clear" w:color="A2BD90" w:fill="548DD4" w:themeFill="text2" w:themeFillTint="99"/>
          </w:tcPr>
          <w:p w14:paraId="438F5599"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2022</w:t>
            </w:r>
          </w:p>
        </w:tc>
      </w:tr>
      <w:tr w:rsidR="000242DF" w:rsidRPr="00B52CC9" w14:paraId="2A3164FE" w14:textId="77777777" w:rsidTr="00B90AAF">
        <w:trPr>
          <w:trHeight w:val="278"/>
        </w:trPr>
        <w:tc>
          <w:tcPr>
            <w:tcW w:w="1873" w:type="dxa"/>
            <w:tcBorders>
              <w:top w:val="nil"/>
              <w:left w:val="nil"/>
              <w:bottom w:val="nil"/>
              <w:right w:val="nil"/>
            </w:tcBorders>
          </w:tcPr>
          <w:p w14:paraId="105B389D"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Escenario Base</w:t>
            </w:r>
          </w:p>
        </w:tc>
        <w:tc>
          <w:tcPr>
            <w:tcW w:w="851" w:type="dxa"/>
            <w:tcBorders>
              <w:top w:val="nil"/>
              <w:left w:val="nil"/>
              <w:bottom w:val="nil"/>
              <w:right w:val="nil"/>
            </w:tcBorders>
          </w:tcPr>
          <w:p w14:paraId="1697A3E6"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0,21%</w:t>
            </w:r>
          </w:p>
        </w:tc>
        <w:tc>
          <w:tcPr>
            <w:tcW w:w="708" w:type="dxa"/>
            <w:tcBorders>
              <w:top w:val="nil"/>
              <w:left w:val="nil"/>
              <w:bottom w:val="nil"/>
              <w:right w:val="nil"/>
            </w:tcBorders>
          </w:tcPr>
          <w:p w14:paraId="52775F42"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0,17%</w:t>
            </w:r>
          </w:p>
        </w:tc>
        <w:tc>
          <w:tcPr>
            <w:tcW w:w="709" w:type="dxa"/>
            <w:tcBorders>
              <w:top w:val="nil"/>
              <w:left w:val="nil"/>
              <w:bottom w:val="nil"/>
              <w:right w:val="nil"/>
            </w:tcBorders>
          </w:tcPr>
          <w:p w14:paraId="488E435D"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0,14%</w:t>
            </w:r>
          </w:p>
        </w:tc>
        <w:tc>
          <w:tcPr>
            <w:tcW w:w="709" w:type="dxa"/>
            <w:tcBorders>
              <w:top w:val="nil"/>
              <w:left w:val="nil"/>
              <w:bottom w:val="nil"/>
              <w:right w:val="nil"/>
            </w:tcBorders>
          </w:tcPr>
          <w:p w14:paraId="14BB1F34"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0,12%</w:t>
            </w:r>
          </w:p>
        </w:tc>
        <w:tc>
          <w:tcPr>
            <w:tcW w:w="709" w:type="dxa"/>
            <w:tcBorders>
              <w:top w:val="nil"/>
              <w:left w:val="nil"/>
              <w:bottom w:val="nil"/>
              <w:right w:val="nil"/>
            </w:tcBorders>
          </w:tcPr>
          <w:p w14:paraId="69A8CE40"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0,09%</w:t>
            </w:r>
          </w:p>
        </w:tc>
        <w:tc>
          <w:tcPr>
            <w:tcW w:w="708" w:type="dxa"/>
            <w:tcBorders>
              <w:top w:val="nil"/>
              <w:left w:val="nil"/>
              <w:bottom w:val="nil"/>
              <w:right w:val="nil"/>
            </w:tcBorders>
          </w:tcPr>
          <w:p w14:paraId="0BFD6E94"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0,08%</w:t>
            </w:r>
          </w:p>
        </w:tc>
        <w:tc>
          <w:tcPr>
            <w:tcW w:w="709" w:type="dxa"/>
            <w:tcBorders>
              <w:top w:val="nil"/>
              <w:left w:val="nil"/>
              <w:bottom w:val="nil"/>
              <w:right w:val="nil"/>
            </w:tcBorders>
          </w:tcPr>
          <w:p w14:paraId="1487EAE0"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0,06%</w:t>
            </w:r>
          </w:p>
        </w:tc>
        <w:tc>
          <w:tcPr>
            <w:tcW w:w="709" w:type="dxa"/>
            <w:tcBorders>
              <w:top w:val="nil"/>
              <w:left w:val="nil"/>
              <w:bottom w:val="nil"/>
              <w:right w:val="nil"/>
            </w:tcBorders>
          </w:tcPr>
          <w:p w14:paraId="3D4A5550"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0,05%</w:t>
            </w:r>
          </w:p>
        </w:tc>
        <w:tc>
          <w:tcPr>
            <w:tcW w:w="709" w:type="dxa"/>
            <w:tcBorders>
              <w:top w:val="nil"/>
              <w:left w:val="nil"/>
              <w:bottom w:val="nil"/>
              <w:right w:val="nil"/>
            </w:tcBorders>
          </w:tcPr>
          <w:p w14:paraId="67B7B1E8"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0,05%</w:t>
            </w:r>
          </w:p>
        </w:tc>
        <w:tc>
          <w:tcPr>
            <w:tcW w:w="708" w:type="dxa"/>
            <w:tcBorders>
              <w:top w:val="nil"/>
              <w:left w:val="nil"/>
              <w:bottom w:val="nil"/>
              <w:right w:val="nil"/>
            </w:tcBorders>
          </w:tcPr>
          <w:p w14:paraId="0D30F4F0"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0,04%</w:t>
            </w:r>
          </w:p>
        </w:tc>
      </w:tr>
      <w:tr w:rsidR="000242DF" w:rsidRPr="00B52CC9" w14:paraId="6FE90C1A" w14:textId="77777777" w:rsidTr="00B90AAF">
        <w:trPr>
          <w:trHeight w:val="278"/>
        </w:trPr>
        <w:tc>
          <w:tcPr>
            <w:tcW w:w="1873" w:type="dxa"/>
            <w:tcBorders>
              <w:top w:val="nil"/>
              <w:left w:val="nil"/>
              <w:bottom w:val="nil"/>
              <w:right w:val="nil"/>
            </w:tcBorders>
          </w:tcPr>
          <w:p w14:paraId="43FC3AE4"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851" w:type="dxa"/>
            <w:tcBorders>
              <w:top w:val="nil"/>
              <w:left w:val="nil"/>
              <w:bottom w:val="nil"/>
              <w:right w:val="nil"/>
            </w:tcBorders>
          </w:tcPr>
          <w:p w14:paraId="3E6C15C5"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8" w:type="dxa"/>
            <w:tcBorders>
              <w:top w:val="nil"/>
              <w:left w:val="nil"/>
              <w:bottom w:val="nil"/>
              <w:right w:val="nil"/>
            </w:tcBorders>
          </w:tcPr>
          <w:p w14:paraId="538BF158"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tcPr>
          <w:p w14:paraId="3AB6A173"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tcPr>
          <w:p w14:paraId="0B5C8283"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tcPr>
          <w:p w14:paraId="770784DF"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8" w:type="dxa"/>
            <w:tcBorders>
              <w:top w:val="nil"/>
              <w:left w:val="nil"/>
              <w:bottom w:val="nil"/>
              <w:right w:val="nil"/>
            </w:tcBorders>
          </w:tcPr>
          <w:p w14:paraId="7681626F"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tcPr>
          <w:p w14:paraId="5CAA2D17"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tcPr>
          <w:p w14:paraId="0790B36F"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tcPr>
          <w:p w14:paraId="55406843"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8" w:type="dxa"/>
            <w:tcBorders>
              <w:top w:val="nil"/>
              <w:left w:val="nil"/>
              <w:bottom w:val="nil"/>
              <w:right w:val="nil"/>
            </w:tcBorders>
          </w:tcPr>
          <w:p w14:paraId="22ECC25C"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r>
      <w:tr w:rsidR="000242DF" w:rsidRPr="00B52CC9" w14:paraId="16B7B0D1" w14:textId="77777777" w:rsidTr="00B90AAF">
        <w:trPr>
          <w:trHeight w:val="278"/>
        </w:trPr>
        <w:tc>
          <w:tcPr>
            <w:tcW w:w="1873" w:type="dxa"/>
            <w:tcBorders>
              <w:top w:val="nil"/>
              <w:left w:val="nil"/>
              <w:bottom w:val="nil"/>
              <w:right w:val="nil"/>
            </w:tcBorders>
          </w:tcPr>
          <w:p w14:paraId="5A8222A0"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Crédito U$10 millones</w:t>
            </w:r>
          </w:p>
        </w:tc>
        <w:tc>
          <w:tcPr>
            <w:tcW w:w="851" w:type="dxa"/>
            <w:tcBorders>
              <w:top w:val="nil"/>
              <w:left w:val="nil"/>
              <w:bottom w:val="nil"/>
              <w:right w:val="nil"/>
            </w:tcBorders>
          </w:tcPr>
          <w:p w14:paraId="4D774498"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0,23%</w:t>
            </w:r>
          </w:p>
        </w:tc>
        <w:tc>
          <w:tcPr>
            <w:tcW w:w="708" w:type="dxa"/>
            <w:tcBorders>
              <w:top w:val="nil"/>
              <w:left w:val="nil"/>
              <w:bottom w:val="nil"/>
              <w:right w:val="nil"/>
            </w:tcBorders>
          </w:tcPr>
          <w:p w14:paraId="738F4758"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0,19%</w:t>
            </w:r>
          </w:p>
        </w:tc>
        <w:tc>
          <w:tcPr>
            <w:tcW w:w="709" w:type="dxa"/>
            <w:tcBorders>
              <w:top w:val="nil"/>
              <w:left w:val="nil"/>
              <w:bottom w:val="nil"/>
              <w:right w:val="nil"/>
            </w:tcBorders>
          </w:tcPr>
          <w:p w14:paraId="5AB0E9C9"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0,16%</w:t>
            </w:r>
          </w:p>
        </w:tc>
        <w:tc>
          <w:tcPr>
            <w:tcW w:w="709" w:type="dxa"/>
            <w:tcBorders>
              <w:top w:val="nil"/>
              <w:left w:val="nil"/>
              <w:bottom w:val="nil"/>
              <w:right w:val="nil"/>
            </w:tcBorders>
          </w:tcPr>
          <w:p w14:paraId="5005B6BC"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0,13%</w:t>
            </w:r>
          </w:p>
        </w:tc>
        <w:tc>
          <w:tcPr>
            <w:tcW w:w="709" w:type="dxa"/>
            <w:tcBorders>
              <w:top w:val="nil"/>
              <w:left w:val="nil"/>
              <w:bottom w:val="nil"/>
              <w:right w:val="nil"/>
            </w:tcBorders>
          </w:tcPr>
          <w:p w14:paraId="064027A9"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0,11%</w:t>
            </w:r>
          </w:p>
        </w:tc>
        <w:tc>
          <w:tcPr>
            <w:tcW w:w="708" w:type="dxa"/>
            <w:tcBorders>
              <w:top w:val="nil"/>
              <w:left w:val="nil"/>
              <w:bottom w:val="nil"/>
              <w:right w:val="nil"/>
            </w:tcBorders>
          </w:tcPr>
          <w:p w14:paraId="663E3E4E"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0,09%</w:t>
            </w:r>
          </w:p>
        </w:tc>
        <w:tc>
          <w:tcPr>
            <w:tcW w:w="709" w:type="dxa"/>
            <w:tcBorders>
              <w:top w:val="nil"/>
              <w:left w:val="nil"/>
              <w:bottom w:val="nil"/>
              <w:right w:val="nil"/>
            </w:tcBorders>
          </w:tcPr>
          <w:p w14:paraId="7CE93436"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0,07%</w:t>
            </w:r>
          </w:p>
        </w:tc>
        <w:tc>
          <w:tcPr>
            <w:tcW w:w="709" w:type="dxa"/>
            <w:tcBorders>
              <w:top w:val="nil"/>
              <w:left w:val="nil"/>
              <w:bottom w:val="nil"/>
              <w:right w:val="nil"/>
            </w:tcBorders>
          </w:tcPr>
          <w:p w14:paraId="198501D1"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0,06%</w:t>
            </w:r>
          </w:p>
        </w:tc>
        <w:tc>
          <w:tcPr>
            <w:tcW w:w="709" w:type="dxa"/>
            <w:tcBorders>
              <w:top w:val="nil"/>
              <w:left w:val="nil"/>
              <w:bottom w:val="nil"/>
              <w:right w:val="nil"/>
            </w:tcBorders>
          </w:tcPr>
          <w:p w14:paraId="1EA36EB1"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0,05%</w:t>
            </w:r>
          </w:p>
        </w:tc>
        <w:tc>
          <w:tcPr>
            <w:tcW w:w="708" w:type="dxa"/>
            <w:tcBorders>
              <w:top w:val="nil"/>
              <w:left w:val="nil"/>
              <w:bottom w:val="nil"/>
              <w:right w:val="nil"/>
            </w:tcBorders>
          </w:tcPr>
          <w:p w14:paraId="7EDA45E0"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0,04%</w:t>
            </w:r>
          </w:p>
        </w:tc>
      </w:tr>
      <w:tr w:rsidR="000242DF" w:rsidRPr="00B52CC9" w14:paraId="3958AB40" w14:textId="77777777" w:rsidTr="00B90AAF">
        <w:trPr>
          <w:trHeight w:val="278"/>
        </w:trPr>
        <w:tc>
          <w:tcPr>
            <w:tcW w:w="1873" w:type="dxa"/>
            <w:tcBorders>
              <w:top w:val="nil"/>
              <w:left w:val="nil"/>
              <w:bottom w:val="nil"/>
              <w:right w:val="nil"/>
            </w:tcBorders>
          </w:tcPr>
          <w:p w14:paraId="200700F1"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Crédito U$12 millones</w:t>
            </w:r>
          </w:p>
        </w:tc>
        <w:tc>
          <w:tcPr>
            <w:tcW w:w="851" w:type="dxa"/>
            <w:tcBorders>
              <w:top w:val="nil"/>
              <w:left w:val="nil"/>
              <w:bottom w:val="nil"/>
              <w:right w:val="nil"/>
            </w:tcBorders>
          </w:tcPr>
          <w:p w14:paraId="47BBEE2C"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0,23%</w:t>
            </w:r>
          </w:p>
        </w:tc>
        <w:tc>
          <w:tcPr>
            <w:tcW w:w="708" w:type="dxa"/>
            <w:tcBorders>
              <w:top w:val="nil"/>
              <w:left w:val="nil"/>
              <w:bottom w:val="nil"/>
              <w:right w:val="nil"/>
            </w:tcBorders>
          </w:tcPr>
          <w:p w14:paraId="0FACF8E9"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0,19%</w:t>
            </w:r>
          </w:p>
        </w:tc>
        <w:tc>
          <w:tcPr>
            <w:tcW w:w="709" w:type="dxa"/>
            <w:tcBorders>
              <w:top w:val="nil"/>
              <w:left w:val="nil"/>
              <w:bottom w:val="nil"/>
              <w:right w:val="nil"/>
            </w:tcBorders>
          </w:tcPr>
          <w:p w14:paraId="79D5BDD6"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0,16%</w:t>
            </w:r>
          </w:p>
        </w:tc>
        <w:tc>
          <w:tcPr>
            <w:tcW w:w="709" w:type="dxa"/>
            <w:tcBorders>
              <w:top w:val="nil"/>
              <w:left w:val="nil"/>
              <w:bottom w:val="nil"/>
              <w:right w:val="nil"/>
            </w:tcBorders>
          </w:tcPr>
          <w:p w14:paraId="17E0A79E"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0,13%</w:t>
            </w:r>
          </w:p>
        </w:tc>
        <w:tc>
          <w:tcPr>
            <w:tcW w:w="709" w:type="dxa"/>
            <w:tcBorders>
              <w:top w:val="nil"/>
              <w:left w:val="nil"/>
              <w:bottom w:val="nil"/>
              <w:right w:val="nil"/>
            </w:tcBorders>
          </w:tcPr>
          <w:p w14:paraId="208B0907"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0,11%</w:t>
            </w:r>
          </w:p>
        </w:tc>
        <w:tc>
          <w:tcPr>
            <w:tcW w:w="708" w:type="dxa"/>
            <w:tcBorders>
              <w:top w:val="nil"/>
              <w:left w:val="nil"/>
              <w:bottom w:val="nil"/>
              <w:right w:val="nil"/>
            </w:tcBorders>
          </w:tcPr>
          <w:p w14:paraId="10E626F7"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0,09%</w:t>
            </w:r>
          </w:p>
        </w:tc>
        <w:tc>
          <w:tcPr>
            <w:tcW w:w="709" w:type="dxa"/>
            <w:tcBorders>
              <w:top w:val="nil"/>
              <w:left w:val="nil"/>
              <w:bottom w:val="nil"/>
              <w:right w:val="nil"/>
            </w:tcBorders>
          </w:tcPr>
          <w:p w14:paraId="687187E7"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0,07%</w:t>
            </w:r>
          </w:p>
        </w:tc>
        <w:tc>
          <w:tcPr>
            <w:tcW w:w="709" w:type="dxa"/>
            <w:tcBorders>
              <w:top w:val="nil"/>
              <w:left w:val="nil"/>
              <w:bottom w:val="nil"/>
              <w:right w:val="nil"/>
            </w:tcBorders>
          </w:tcPr>
          <w:p w14:paraId="66778F45"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0,06%</w:t>
            </w:r>
          </w:p>
        </w:tc>
        <w:tc>
          <w:tcPr>
            <w:tcW w:w="709" w:type="dxa"/>
            <w:tcBorders>
              <w:top w:val="nil"/>
              <w:left w:val="nil"/>
              <w:bottom w:val="nil"/>
              <w:right w:val="nil"/>
            </w:tcBorders>
          </w:tcPr>
          <w:p w14:paraId="13C0288E"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0,05%</w:t>
            </w:r>
          </w:p>
        </w:tc>
        <w:tc>
          <w:tcPr>
            <w:tcW w:w="708" w:type="dxa"/>
            <w:tcBorders>
              <w:top w:val="nil"/>
              <w:left w:val="nil"/>
              <w:bottom w:val="nil"/>
              <w:right w:val="nil"/>
            </w:tcBorders>
          </w:tcPr>
          <w:p w14:paraId="4DE084EF"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0,04%</w:t>
            </w:r>
          </w:p>
        </w:tc>
      </w:tr>
      <w:tr w:rsidR="000242DF" w:rsidRPr="00B52CC9" w14:paraId="5742B423" w14:textId="77777777" w:rsidTr="00B90AAF">
        <w:trPr>
          <w:trHeight w:val="278"/>
        </w:trPr>
        <w:tc>
          <w:tcPr>
            <w:tcW w:w="1873" w:type="dxa"/>
            <w:tcBorders>
              <w:top w:val="nil"/>
              <w:left w:val="nil"/>
              <w:bottom w:val="nil"/>
              <w:right w:val="nil"/>
            </w:tcBorders>
          </w:tcPr>
          <w:p w14:paraId="19AE9BB5"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Crédito U$15 millones</w:t>
            </w:r>
          </w:p>
        </w:tc>
        <w:tc>
          <w:tcPr>
            <w:tcW w:w="851" w:type="dxa"/>
            <w:tcBorders>
              <w:top w:val="nil"/>
              <w:left w:val="nil"/>
              <w:bottom w:val="nil"/>
              <w:right w:val="nil"/>
            </w:tcBorders>
          </w:tcPr>
          <w:p w14:paraId="5A981FFB"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0,24%</w:t>
            </w:r>
          </w:p>
        </w:tc>
        <w:tc>
          <w:tcPr>
            <w:tcW w:w="708" w:type="dxa"/>
            <w:tcBorders>
              <w:top w:val="nil"/>
              <w:left w:val="nil"/>
              <w:bottom w:val="nil"/>
              <w:right w:val="nil"/>
            </w:tcBorders>
          </w:tcPr>
          <w:p w14:paraId="190FC6FD"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0,20%</w:t>
            </w:r>
          </w:p>
        </w:tc>
        <w:tc>
          <w:tcPr>
            <w:tcW w:w="709" w:type="dxa"/>
            <w:tcBorders>
              <w:top w:val="nil"/>
              <w:left w:val="nil"/>
              <w:bottom w:val="nil"/>
              <w:right w:val="nil"/>
            </w:tcBorders>
          </w:tcPr>
          <w:p w14:paraId="0D51937B"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0,17%</w:t>
            </w:r>
          </w:p>
        </w:tc>
        <w:tc>
          <w:tcPr>
            <w:tcW w:w="709" w:type="dxa"/>
            <w:tcBorders>
              <w:top w:val="nil"/>
              <w:left w:val="nil"/>
              <w:bottom w:val="nil"/>
              <w:right w:val="nil"/>
            </w:tcBorders>
          </w:tcPr>
          <w:p w14:paraId="0D9398AC"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0,14%</w:t>
            </w:r>
          </w:p>
        </w:tc>
        <w:tc>
          <w:tcPr>
            <w:tcW w:w="709" w:type="dxa"/>
            <w:tcBorders>
              <w:top w:val="nil"/>
              <w:left w:val="nil"/>
              <w:bottom w:val="nil"/>
              <w:right w:val="nil"/>
            </w:tcBorders>
          </w:tcPr>
          <w:p w14:paraId="7254C0CB"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0,11%</w:t>
            </w:r>
          </w:p>
        </w:tc>
        <w:tc>
          <w:tcPr>
            <w:tcW w:w="708" w:type="dxa"/>
            <w:tcBorders>
              <w:top w:val="nil"/>
              <w:left w:val="nil"/>
              <w:bottom w:val="nil"/>
              <w:right w:val="nil"/>
            </w:tcBorders>
          </w:tcPr>
          <w:p w14:paraId="3875226F"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0,09%</w:t>
            </w:r>
          </w:p>
        </w:tc>
        <w:tc>
          <w:tcPr>
            <w:tcW w:w="709" w:type="dxa"/>
            <w:tcBorders>
              <w:top w:val="nil"/>
              <w:left w:val="nil"/>
              <w:bottom w:val="nil"/>
              <w:right w:val="nil"/>
            </w:tcBorders>
          </w:tcPr>
          <w:p w14:paraId="00B6CB61"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0,06%</w:t>
            </w:r>
          </w:p>
        </w:tc>
        <w:tc>
          <w:tcPr>
            <w:tcW w:w="709" w:type="dxa"/>
            <w:tcBorders>
              <w:top w:val="nil"/>
              <w:left w:val="nil"/>
              <w:bottom w:val="nil"/>
              <w:right w:val="nil"/>
            </w:tcBorders>
          </w:tcPr>
          <w:p w14:paraId="7FA4ED8D"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0,05%</w:t>
            </w:r>
          </w:p>
        </w:tc>
        <w:tc>
          <w:tcPr>
            <w:tcW w:w="709" w:type="dxa"/>
            <w:tcBorders>
              <w:top w:val="nil"/>
              <w:left w:val="nil"/>
              <w:bottom w:val="nil"/>
              <w:right w:val="nil"/>
            </w:tcBorders>
          </w:tcPr>
          <w:p w14:paraId="753A2598"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0,05%</w:t>
            </w:r>
          </w:p>
        </w:tc>
        <w:tc>
          <w:tcPr>
            <w:tcW w:w="708" w:type="dxa"/>
            <w:tcBorders>
              <w:top w:val="nil"/>
              <w:left w:val="nil"/>
              <w:bottom w:val="nil"/>
              <w:right w:val="nil"/>
            </w:tcBorders>
          </w:tcPr>
          <w:p w14:paraId="52C128AF"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0,04%</w:t>
            </w:r>
          </w:p>
        </w:tc>
      </w:tr>
      <w:tr w:rsidR="000242DF" w:rsidRPr="00B52CC9" w14:paraId="67C7C564" w14:textId="77777777" w:rsidTr="00B90AAF">
        <w:trPr>
          <w:trHeight w:val="278"/>
        </w:trPr>
        <w:tc>
          <w:tcPr>
            <w:tcW w:w="1873" w:type="dxa"/>
            <w:tcBorders>
              <w:top w:val="nil"/>
              <w:left w:val="nil"/>
              <w:bottom w:val="nil"/>
              <w:right w:val="nil"/>
            </w:tcBorders>
          </w:tcPr>
          <w:p w14:paraId="35059881"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Crédito U$18 millones</w:t>
            </w:r>
          </w:p>
        </w:tc>
        <w:tc>
          <w:tcPr>
            <w:tcW w:w="851" w:type="dxa"/>
            <w:tcBorders>
              <w:top w:val="nil"/>
              <w:left w:val="nil"/>
              <w:bottom w:val="nil"/>
              <w:right w:val="nil"/>
            </w:tcBorders>
          </w:tcPr>
          <w:p w14:paraId="32B85505"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0,25%</w:t>
            </w:r>
          </w:p>
        </w:tc>
        <w:tc>
          <w:tcPr>
            <w:tcW w:w="708" w:type="dxa"/>
            <w:tcBorders>
              <w:top w:val="nil"/>
              <w:left w:val="nil"/>
              <w:bottom w:val="nil"/>
              <w:right w:val="nil"/>
            </w:tcBorders>
          </w:tcPr>
          <w:p w14:paraId="64A27795"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0,20%</w:t>
            </w:r>
          </w:p>
        </w:tc>
        <w:tc>
          <w:tcPr>
            <w:tcW w:w="709" w:type="dxa"/>
            <w:tcBorders>
              <w:top w:val="nil"/>
              <w:left w:val="nil"/>
              <w:bottom w:val="nil"/>
              <w:right w:val="nil"/>
            </w:tcBorders>
          </w:tcPr>
          <w:p w14:paraId="47D27601"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0,17%</w:t>
            </w:r>
          </w:p>
        </w:tc>
        <w:tc>
          <w:tcPr>
            <w:tcW w:w="709" w:type="dxa"/>
            <w:tcBorders>
              <w:top w:val="nil"/>
              <w:left w:val="nil"/>
              <w:bottom w:val="nil"/>
              <w:right w:val="nil"/>
            </w:tcBorders>
          </w:tcPr>
          <w:p w14:paraId="7005ED43"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0,14%</w:t>
            </w:r>
          </w:p>
        </w:tc>
        <w:tc>
          <w:tcPr>
            <w:tcW w:w="709" w:type="dxa"/>
            <w:tcBorders>
              <w:top w:val="nil"/>
              <w:left w:val="nil"/>
              <w:bottom w:val="nil"/>
              <w:right w:val="nil"/>
            </w:tcBorders>
          </w:tcPr>
          <w:p w14:paraId="2E6C0892"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0,12%</w:t>
            </w:r>
          </w:p>
        </w:tc>
        <w:tc>
          <w:tcPr>
            <w:tcW w:w="708" w:type="dxa"/>
            <w:tcBorders>
              <w:top w:val="nil"/>
              <w:left w:val="nil"/>
              <w:bottom w:val="nil"/>
              <w:right w:val="nil"/>
            </w:tcBorders>
          </w:tcPr>
          <w:p w14:paraId="01918BCE"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0,10%</w:t>
            </w:r>
          </w:p>
        </w:tc>
        <w:tc>
          <w:tcPr>
            <w:tcW w:w="709" w:type="dxa"/>
            <w:tcBorders>
              <w:top w:val="nil"/>
              <w:left w:val="nil"/>
              <w:bottom w:val="nil"/>
              <w:right w:val="nil"/>
            </w:tcBorders>
          </w:tcPr>
          <w:p w14:paraId="47AD0B3E"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0,08%</w:t>
            </w:r>
          </w:p>
        </w:tc>
        <w:tc>
          <w:tcPr>
            <w:tcW w:w="709" w:type="dxa"/>
            <w:tcBorders>
              <w:top w:val="nil"/>
              <w:left w:val="nil"/>
              <w:bottom w:val="nil"/>
              <w:right w:val="nil"/>
            </w:tcBorders>
          </w:tcPr>
          <w:p w14:paraId="54952636"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0,06%</w:t>
            </w:r>
          </w:p>
        </w:tc>
        <w:tc>
          <w:tcPr>
            <w:tcW w:w="709" w:type="dxa"/>
            <w:tcBorders>
              <w:top w:val="nil"/>
              <w:left w:val="nil"/>
              <w:bottom w:val="nil"/>
              <w:right w:val="nil"/>
            </w:tcBorders>
          </w:tcPr>
          <w:p w14:paraId="78E7BF01"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0,05%</w:t>
            </w:r>
          </w:p>
        </w:tc>
        <w:tc>
          <w:tcPr>
            <w:tcW w:w="708" w:type="dxa"/>
            <w:tcBorders>
              <w:top w:val="nil"/>
              <w:left w:val="nil"/>
              <w:bottom w:val="nil"/>
              <w:right w:val="nil"/>
            </w:tcBorders>
          </w:tcPr>
          <w:p w14:paraId="6D977DF3"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0,04%</w:t>
            </w:r>
          </w:p>
        </w:tc>
      </w:tr>
      <w:tr w:rsidR="000242DF" w:rsidRPr="00B52CC9" w14:paraId="61CBA27F" w14:textId="77777777" w:rsidTr="00B90AAF">
        <w:trPr>
          <w:trHeight w:val="278"/>
        </w:trPr>
        <w:tc>
          <w:tcPr>
            <w:tcW w:w="3432" w:type="dxa"/>
            <w:gridSpan w:val="3"/>
            <w:tcBorders>
              <w:top w:val="nil"/>
              <w:left w:val="nil"/>
              <w:bottom w:val="nil"/>
              <w:right w:val="nil"/>
            </w:tcBorders>
          </w:tcPr>
          <w:p w14:paraId="75EC7FBE"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b/>
                <w:color w:val="000000"/>
                <w:sz w:val="18"/>
                <w:szCs w:val="18"/>
                <w:lang w:val="es-ES" w:eastAsia="es-ES"/>
              </w:rPr>
            </w:pPr>
            <w:r w:rsidRPr="00B52CC9">
              <w:rPr>
                <w:rFonts w:ascii="Times New Roman" w:hAnsi="Times New Roman" w:cs="Times New Roman"/>
                <w:b/>
                <w:color w:val="000000"/>
                <w:sz w:val="18"/>
                <w:szCs w:val="18"/>
                <w:lang w:val="es-ES" w:eastAsia="es-ES"/>
              </w:rPr>
              <w:t xml:space="preserve">Deuda como porcentaje de los ingresos </w:t>
            </w:r>
          </w:p>
        </w:tc>
        <w:tc>
          <w:tcPr>
            <w:tcW w:w="709" w:type="dxa"/>
            <w:tcBorders>
              <w:top w:val="nil"/>
              <w:left w:val="nil"/>
              <w:bottom w:val="nil"/>
              <w:right w:val="nil"/>
            </w:tcBorders>
          </w:tcPr>
          <w:p w14:paraId="0CED83E1" w14:textId="77777777" w:rsidR="000242DF" w:rsidRPr="00B52CC9" w:rsidRDefault="000242DF" w:rsidP="00B90AAF">
            <w:pPr>
              <w:widowControl w:val="0"/>
              <w:autoSpaceDE w:val="0"/>
              <w:autoSpaceDN w:val="0"/>
              <w:adjustRightInd w:val="0"/>
              <w:spacing w:after="0" w:line="240" w:lineRule="auto"/>
              <w:jc w:val="center"/>
              <w:rPr>
                <w:rFonts w:ascii="Times New Roman" w:hAnsi="Times New Roman" w:cs="Times New Roman"/>
                <w:b/>
                <w:color w:val="000000"/>
                <w:sz w:val="18"/>
                <w:szCs w:val="18"/>
                <w:lang w:val="es-ES" w:eastAsia="es-ES"/>
              </w:rPr>
            </w:pPr>
          </w:p>
        </w:tc>
        <w:tc>
          <w:tcPr>
            <w:tcW w:w="709" w:type="dxa"/>
            <w:tcBorders>
              <w:top w:val="nil"/>
              <w:left w:val="nil"/>
              <w:bottom w:val="nil"/>
              <w:right w:val="nil"/>
            </w:tcBorders>
          </w:tcPr>
          <w:p w14:paraId="0EE8F8C7" w14:textId="77777777" w:rsidR="000242DF" w:rsidRPr="00B52CC9" w:rsidRDefault="000242DF" w:rsidP="00B90AAF">
            <w:pPr>
              <w:widowControl w:val="0"/>
              <w:autoSpaceDE w:val="0"/>
              <w:autoSpaceDN w:val="0"/>
              <w:adjustRightInd w:val="0"/>
              <w:spacing w:after="0" w:line="240" w:lineRule="auto"/>
              <w:jc w:val="center"/>
              <w:rPr>
                <w:rFonts w:ascii="Times New Roman" w:hAnsi="Times New Roman" w:cs="Times New Roman"/>
                <w:b/>
                <w:color w:val="000000"/>
                <w:sz w:val="18"/>
                <w:szCs w:val="18"/>
                <w:lang w:val="es-ES" w:eastAsia="es-ES"/>
              </w:rPr>
            </w:pPr>
          </w:p>
        </w:tc>
        <w:tc>
          <w:tcPr>
            <w:tcW w:w="709" w:type="dxa"/>
            <w:tcBorders>
              <w:top w:val="nil"/>
              <w:left w:val="nil"/>
              <w:bottom w:val="nil"/>
              <w:right w:val="nil"/>
            </w:tcBorders>
          </w:tcPr>
          <w:p w14:paraId="1A9C99F3" w14:textId="77777777" w:rsidR="000242DF" w:rsidRPr="00B52CC9" w:rsidRDefault="000242DF" w:rsidP="00B90AAF">
            <w:pPr>
              <w:widowControl w:val="0"/>
              <w:autoSpaceDE w:val="0"/>
              <w:autoSpaceDN w:val="0"/>
              <w:adjustRightInd w:val="0"/>
              <w:spacing w:after="0" w:line="240" w:lineRule="auto"/>
              <w:jc w:val="center"/>
              <w:rPr>
                <w:rFonts w:ascii="Times New Roman" w:hAnsi="Times New Roman" w:cs="Times New Roman"/>
                <w:b/>
                <w:color w:val="000000"/>
                <w:sz w:val="18"/>
                <w:szCs w:val="18"/>
                <w:lang w:val="es-ES" w:eastAsia="es-ES"/>
              </w:rPr>
            </w:pPr>
          </w:p>
        </w:tc>
        <w:tc>
          <w:tcPr>
            <w:tcW w:w="708" w:type="dxa"/>
            <w:tcBorders>
              <w:top w:val="nil"/>
              <w:left w:val="nil"/>
              <w:bottom w:val="nil"/>
              <w:right w:val="nil"/>
            </w:tcBorders>
          </w:tcPr>
          <w:p w14:paraId="04CAC6D6" w14:textId="77777777" w:rsidR="000242DF" w:rsidRPr="00B52CC9" w:rsidRDefault="000242DF" w:rsidP="00B90AAF">
            <w:pPr>
              <w:widowControl w:val="0"/>
              <w:autoSpaceDE w:val="0"/>
              <w:autoSpaceDN w:val="0"/>
              <w:adjustRightInd w:val="0"/>
              <w:spacing w:after="0" w:line="240" w:lineRule="auto"/>
              <w:jc w:val="center"/>
              <w:rPr>
                <w:rFonts w:ascii="Times New Roman" w:hAnsi="Times New Roman" w:cs="Times New Roman"/>
                <w:b/>
                <w:color w:val="000000"/>
                <w:sz w:val="18"/>
                <w:szCs w:val="18"/>
                <w:lang w:val="es-ES" w:eastAsia="es-ES"/>
              </w:rPr>
            </w:pPr>
          </w:p>
        </w:tc>
        <w:tc>
          <w:tcPr>
            <w:tcW w:w="709" w:type="dxa"/>
            <w:tcBorders>
              <w:top w:val="nil"/>
              <w:left w:val="nil"/>
              <w:bottom w:val="nil"/>
              <w:right w:val="nil"/>
            </w:tcBorders>
          </w:tcPr>
          <w:p w14:paraId="723AC520" w14:textId="77777777" w:rsidR="000242DF" w:rsidRPr="00B52CC9" w:rsidRDefault="000242DF" w:rsidP="00B90AAF">
            <w:pPr>
              <w:widowControl w:val="0"/>
              <w:autoSpaceDE w:val="0"/>
              <w:autoSpaceDN w:val="0"/>
              <w:adjustRightInd w:val="0"/>
              <w:spacing w:after="0" w:line="240" w:lineRule="auto"/>
              <w:jc w:val="center"/>
              <w:rPr>
                <w:rFonts w:ascii="Times New Roman" w:hAnsi="Times New Roman" w:cs="Times New Roman"/>
                <w:b/>
                <w:color w:val="000000"/>
                <w:sz w:val="18"/>
                <w:szCs w:val="18"/>
                <w:lang w:val="es-ES" w:eastAsia="es-ES"/>
              </w:rPr>
            </w:pPr>
          </w:p>
        </w:tc>
        <w:tc>
          <w:tcPr>
            <w:tcW w:w="709" w:type="dxa"/>
            <w:tcBorders>
              <w:top w:val="nil"/>
              <w:left w:val="nil"/>
              <w:bottom w:val="nil"/>
              <w:right w:val="nil"/>
            </w:tcBorders>
          </w:tcPr>
          <w:p w14:paraId="53A93E1B" w14:textId="77777777" w:rsidR="000242DF" w:rsidRPr="00B52CC9" w:rsidRDefault="000242DF" w:rsidP="00B90AAF">
            <w:pPr>
              <w:widowControl w:val="0"/>
              <w:autoSpaceDE w:val="0"/>
              <w:autoSpaceDN w:val="0"/>
              <w:adjustRightInd w:val="0"/>
              <w:spacing w:after="0" w:line="240" w:lineRule="auto"/>
              <w:jc w:val="center"/>
              <w:rPr>
                <w:rFonts w:ascii="Times New Roman" w:hAnsi="Times New Roman" w:cs="Times New Roman"/>
                <w:b/>
                <w:color w:val="000000"/>
                <w:sz w:val="18"/>
                <w:szCs w:val="18"/>
                <w:lang w:val="es-ES" w:eastAsia="es-ES"/>
              </w:rPr>
            </w:pPr>
          </w:p>
        </w:tc>
        <w:tc>
          <w:tcPr>
            <w:tcW w:w="709" w:type="dxa"/>
            <w:tcBorders>
              <w:top w:val="nil"/>
              <w:left w:val="nil"/>
              <w:bottom w:val="nil"/>
              <w:right w:val="nil"/>
            </w:tcBorders>
          </w:tcPr>
          <w:p w14:paraId="1EC077CA" w14:textId="77777777" w:rsidR="000242DF" w:rsidRPr="00B52CC9" w:rsidRDefault="000242DF" w:rsidP="00B90AAF">
            <w:pPr>
              <w:widowControl w:val="0"/>
              <w:autoSpaceDE w:val="0"/>
              <w:autoSpaceDN w:val="0"/>
              <w:adjustRightInd w:val="0"/>
              <w:spacing w:after="0" w:line="240" w:lineRule="auto"/>
              <w:jc w:val="center"/>
              <w:rPr>
                <w:rFonts w:ascii="Times New Roman" w:hAnsi="Times New Roman" w:cs="Times New Roman"/>
                <w:b/>
                <w:color w:val="000000"/>
                <w:sz w:val="18"/>
                <w:szCs w:val="18"/>
                <w:lang w:val="es-ES" w:eastAsia="es-ES"/>
              </w:rPr>
            </w:pPr>
          </w:p>
        </w:tc>
        <w:tc>
          <w:tcPr>
            <w:tcW w:w="708" w:type="dxa"/>
            <w:tcBorders>
              <w:top w:val="nil"/>
              <w:left w:val="nil"/>
              <w:bottom w:val="nil"/>
              <w:right w:val="nil"/>
            </w:tcBorders>
          </w:tcPr>
          <w:p w14:paraId="58C03C06" w14:textId="77777777" w:rsidR="000242DF" w:rsidRPr="00B52CC9" w:rsidRDefault="000242DF" w:rsidP="00B90AAF">
            <w:pPr>
              <w:widowControl w:val="0"/>
              <w:autoSpaceDE w:val="0"/>
              <w:autoSpaceDN w:val="0"/>
              <w:adjustRightInd w:val="0"/>
              <w:spacing w:after="0" w:line="240" w:lineRule="auto"/>
              <w:jc w:val="center"/>
              <w:rPr>
                <w:rFonts w:ascii="Times New Roman" w:hAnsi="Times New Roman" w:cs="Times New Roman"/>
                <w:b/>
                <w:color w:val="000000"/>
                <w:sz w:val="18"/>
                <w:szCs w:val="18"/>
                <w:lang w:val="es-ES" w:eastAsia="es-ES"/>
              </w:rPr>
            </w:pPr>
          </w:p>
        </w:tc>
      </w:tr>
      <w:tr w:rsidR="000242DF" w:rsidRPr="00B52CC9" w14:paraId="7877017B" w14:textId="77777777" w:rsidTr="00B90AAF">
        <w:trPr>
          <w:trHeight w:val="278"/>
        </w:trPr>
        <w:tc>
          <w:tcPr>
            <w:tcW w:w="1873" w:type="dxa"/>
            <w:tcBorders>
              <w:top w:val="nil"/>
              <w:left w:val="nil"/>
              <w:bottom w:val="nil"/>
              <w:right w:val="nil"/>
            </w:tcBorders>
          </w:tcPr>
          <w:p w14:paraId="5C25C6B0" w14:textId="77777777" w:rsidR="000242DF" w:rsidRPr="000849B6"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eastAsia="es-ES"/>
              </w:rPr>
            </w:pPr>
          </w:p>
        </w:tc>
        <w:tc>
          <w:tcPr>
            <w:tcW w:w="851" w:type="dxa"/>
            <w:tcBorders>
              <w:top w:val="nil"/>
              <w:left w:val="nil"/>
              <w:bottom w:val="nil"/>
              <w:right w:val="nil"/>
            </w:tcBorders>
            <w:shd w:val="clear" w:color="A2BD90" w:fill="548DD4" w:themeFill="text2" w:themeFillTint="99"/>
          </w:tcPr>
          <w:p w14:paraId="30444500"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2013</w:t>
            </w:r>
          </w:p>
        </w:tc>
        <w:tc>
          <w:tcPr>
            <w:tcW w:w="708" w:type="dxa"/>
            <w:tcBorders>
              <w:top w:val="nil"/>
              <w:left w:val="nil"/>
              <w:bottom w:val="nil"/>
              <w:right w:val="nil"/>
            </w:tcBorders>
            <w:shd w:val="clear" w:color="A2BD90" w:fill="548DD4" w:themeFill="text2" w:themeFillTint="99"/>
          </w:tcPr>
          <w:p w14:paraId="4617DC87"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2014</w:t>
            </w:r>
          </w:p>
        </w:tc>
        <w:tc>
          <w:tcPr>
            <w:tcW w:w="709" w:type="dxa"/>
            <w:tcBorders>
              <w:top w:val="nil"/>
              <w:left w:val="nil"/>
              <w:bottom w:val="nil"/>
              <w:right w:val="nil"/>
            </w:tcBorders>
            <w:shd w:val="clear" w:color="A2BD90" w:fill="548DD4" w:themeFill="text2" w:themeFillTint="99"/>
          </w:tcPr>
          <w:p w14:paraId="1C74047B"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2015</w:t>
            </w:r>
          </w:p>
        </w:tc>
        <w:tc>
          <w:tcPr>
            <w:tcW w:w="709" w:type="dxa"/>
            <w:tcBorders>
              <w:top w:val="nil"/>
              <w:left w:val="nil"/>
              <w:bottom w:val="nil"/>
              <w:right w:val="nil"/>
            </w:tcBorders>
            <w:shd w:val="clear" w:color="A2BD90" w:fill="548DD4" w:themeFill="text2" w:themeFillTint="99"/>
          </w:tcPr>
          <w:p w14:paraId="29DCA991"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2016</w:t>
            </w:r>
          </w:p>
        </w:tc>
        <w:tc>
          <w:tcPr>
            <w:tcW w:w="709" w:type="dxa"/>
            <w:tcBorders>
              <w:top w:val="nil"/>
              <w:left w:val="nil"/>
              <w:bottom w:val="nil"/>
              <w:right w:val="nil"/>
            </w:tcBorders>
            <w:shd w:val="clear" w:color="A2BD90" w:fill="548DD4" w:themeFill="text2" w:themeFillTint="99"/>
          </w:tcPr>
          <w:p w14:paraId="1161F313"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2017</w:t>
            </w:r>
          </w:p>
        </w:tc>
        <w:tc>
          <w:tcPr>
            <w:tcW w:w="708" w:type="dxa"/>
            <w:tcBorders>
              <w:top w:val="nil"/>
              <w:left w:val="nil"/>
              <w:bottom w:val="nil"/>
              <w:right w:val="nil"/>
            </w:tcBorders>
            <w:shd w:val="clear" w:color="A2BD90" w:fill="548DD4" w:themeFill="text2" w:themeFillTint="99"/>
          </w:tcPr>
          <w:p w14:paraId="75B6D9BE"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2018</w:t>
            </w:r>
          </w:p>
        </w:tc>
        <w:tc>
          <w:tcPr>
            <w:tcW w:w="709" w:type="dxa"/>
            <w:tcBorders>
              <w:top w:val="nil"/>
              <w:left w:val="nil"/>
              <w:bottom w:val="nil"/>
              <w:right w:val="nil"/>
            </w:tcBorders>
            <w:shd w:val="clear" w:color="A2BD90" w:fill="548DD4" w:themeFill="text2" w:themeFillTint="99"/>
          </w:tcPr>
          <w:p w14:paraId="02CC56EC"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2019</w:t>
            </w:r>
          </w:p>
        </w:tc>
        <w:tc>
          <w:tcPr>
            <w:tcW w:w="709" w:type="dxa"/>
            <w:tcBorders>
              <w:top w:val="nil"/>
              <w:left w:val="nil"/>
              <w:bottom w:val="nil"/>
              <w:right w:val="nil"/>
            </w:tcBorders>
            <w:shd w:val="clear" w:color="A2BD90" w:fill="548DD4" w:themeFill="text2" w:themeFillTint="99"/>
          </w:tcPr>
          <w:p w14:paraId="742F49D0"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2020</w:t>
            </w:r>
          </w:p>
        </w:tc>
        <w:tc>
          <w:tcPr>
            <w:tcW w:w="709" w:type="dxa"/>
            <w:tcBorders>
              <w:top w:val="nil"/>
              <w:left w:val="nil"/>
              <w:bottom w:val="nil"/>
              <w:right w:val="nil"/>
            </w:tcBorders>
            <w:shd w:val="clear" w:color="A2BD90" w:fill="548DD4" w:themeFill="text2" w:themeFillTint="99"/>
          </w:tcPr>
          <w:p w14:paraId="552FA59A"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2021</w:t>
            </w:r>
          </w:p>
        </w:tc>
        <w:tc>
          <w:tcPr>
            <w:tcW w:w="708" w:type="dxa"/>
            <w:tcBorders>
              <w:top w:val="nil"/>
              <w:left w:val="nil"/>
              <w:bottom w:val="nil"/>
              <w:right w:val="nil"/>
            </w:tcBorders>
            <w:shd w:val="clear" w:color="A2BD90" w:fill="548DD4" w:themeFill="text2" w:themeFillTint="99"/>
          </w:tcPr>
          <w:p w14:paraId="1FF0EB13"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2022</w:t>
            </w:r>
          </w:p>
        </w:tc>
      </w:tr>
      <w:tr w:rsidR="000242DF" w:rsidRPr="00B52CC9" w14:paraId="1C87E92C" w14:textId="77777777" w:rsidTr="00B90AAF">
        <w:trPr>
          <w:trHeight w:val="278"/>
        </w:trPr>
        <w:tc>
          <w:tcPr>
            <w:tcW w:w="1873" w:type="dxa"/>
            <w:tcBorders>
              <w:top w:val="nil"/>
              <w:left w:val="nil"/>
              <w:bottom w:val="nil"/>
              <w:right w:val="nil"/>
            </w:tcBorders>
          </w:tcPr>
          <w:p w14:paraId="0880B3C3"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Escenario Base</w:t>
            </w:r>
          </w:p>
        </w:tc>
        <w:tc>
          <w:tcPr>
            <w:tcW w:w="851" w:type="dxa"/>
            <w:tcBorders>
              <w:top w:val="nil"/>
              <w:left w:val="nil"/>
              <w:bottom w:val="nil"/>
              <w:right w:val="nil"/>
            </w:tcBorders>
          </w:tcPr>
          <w:p w14:paraId="4C7CFEDB"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78,15%</w:t>
            </w:r>
          </w:p>
        </w:tc>
        <w:tc>
          <w:tcPr>
            <w:tcW w:w="708" w:type="dxa"/>
            <w:tcBorders>
              <w:top w:val="nil"/>
              <w:left w:val="nil"/>
              <w:bottom w:val="nil"/>
              <w:right w:val="nil"/>
            </w:tcBorders>
          </w:tcPr>
          <w:p w14:paraId="7249E82E"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64,28%</w:t>
            </w:r>
          </w:p>
        </w:tc>
        <w:tc>
          <w:tcPr>
            <w:tcW w:w="709" w:type="dxa"/>
            <w:tcBorders>
              <w:top w:val="nil"/>
              <w:left w:val="nil"/>
              <w:bottom w:val="nil"/>
              <w:right w:val="nil"/>
            </w:tcBorders>
          </w:tcPr>
          <w:p w14:paraId="185D17A3"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54,33%</w:t>
            </w:r>
          </w:p>
        </w:tc>
        <w:tc>
          <w:tcPr>
            <w:tcW w:w="709" w:type="dxa"/>
            <w:tcBorders>
              <w:top w:val="nil"/>
              <w:left w:val="nil"/>
              <w:bottom w:val="nil"/>
              <w:right w:val="nil"/>
            </w:tcBorders>
          </w:tcPr>
          <w:p w14:paraId="4660837C"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45,42%</w:t>
            </w:r>
          </w:p>
        </w:tc>
        <w:tc>
          <w:tcPr>
            <w:tcW w:w="709" w:type="dxa"/>
            <w:tcBorders>
              <w:top w:val="nil"/>
              <w:left w:val="nil"/>
              <w:bottom w:val="nil"/>
              <w:right w:val="nil"/>
            </w:tcBorders>
          </w:tcPr>
          <w:p w14:paraId="7FA0F985"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37,44%</w:t>
            </w:r>
          </w:p>
        </w:tc>
        <w:tc>
          <w:tcPr>
            <w:tcW w:w="708" w:type="dxa"/>
            <w:tcBorders>
              <w:top w:val="nil"/>
              <w:left w:val="nil"/>
              <w:bottom w:val="nil"/>
              <w:right w:val="nil"/>
            </w:tcBorders>
          </w:tcPr>
          <w:p w14:paraId="5D915C79"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30,50%</w:t>
            </w:r>
          </w:p>
        </w:tc>
        <w:tc>
          <w:tcPr>
            <w:tcW w:w="709" w:type="dxa"/>
            <w:tcBorders>
              <w:top w:val="nil"/>
              <w:left w:val="nil"/>
              <w:bottom w:val="nil"/>
              <w:right w:val="nil"/>
            </w:tcBorders>
          </w:tcPr>
          <w:p w14:paraId="2C958339"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24,27%</w:t>
            </w:r>
          </w:p>
        </w:tc>
        <w:tc>
          <w:tcPr>
            <w:tcW w:w="709" w:type="dxa"/>
            <w:tcBorders>
              <w:top w:val="nil"/>
              <w:left w:val="nil"/>
              <w:bottom w:val="nil"/>
              <w:right w:val="nil"/>
            </w:tcBorders>
          </w:tcPr>
          <w:p w14:paraId="7ED7DF72"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21,68%</w:t>
            </w:r>
          </w:p>
        </w:tc>
        <w:tc>
          <w:tcPr>
            <w:tcW w:w="709" w:type="dxa"/>
            <w:tcBorders>
              <w:top w:val="nil"/>
              <w:left w:val="nil"/>
              <w:bottom w:val="nil"/>
              <w:right w:val="nil"/>
            </w:tcBorders>
          </w:tcPr>
          <w:p w14:paraId="3AA40C07"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19,34%</w:t>
            </w:r>
          </w:p>
        </w:tc>
        <w:tc>
          <w:tcPr>
            <w:tcW w:w="708" w:type="dxa"/>
            <w:tcBorders>
              <w:top w:val="nil"/>
              <w:left w:val="nil"/>
              <w:bottom w:val="nil"/>
              <w:right w:val="nil"/>
            </w:tcBorders>
          </w:tcPr>
          <w:p w14:paraId="426E4CDF"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17,23%</w:t>
            </w:r>
          </w:p>
        </w:tc>
      </w:tr>
      <w:tr w:rsidR="000242DF" w:rsidRPr="00B52CC9" w14:paraId="75A7F0BE" w14:textId="77777777" w:rsidTr="00B90AAF">
        <w:trPr>
          <w:trHeight w:val="278"/>
        </w:trPr>
        <w:tc>
          <w:tcPr>
            <w:tcW w:w="1873" w:type="dxa"/>
            <w:tcBorders>
              <w:top w:val="nil"/>
              <w:left w:val="nil"/>
              <w:bottom w:val="nil"/>
              <w:right w:val="nil"/>
            </w:tcBorders>
          </w:tcPr>
          <w:p w14:paraId="2508EE84"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851" w:type="dxa"/>
            <w:tcBorders>
              <w:top w:val="nil"/>
              <w:left w:val="nil"/>
              <w:bottom w:val="nil"/>
              <w:right w:val="nil"/>
            </w:tcBorders>
          </w:tcPr>
          <w:p w14:paraId="62B2F3E6"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8" w:type="dxa"/>
            <w:tcBorders>
              <w:top w:val="nil"/>
              <w:left w:val="nil"/>
              <w:bottom w:val="nil"/>
              <w:right w:val="nil"/>
            </w:tcBorders>
          </w:tcPr>
          <w:p w14:paraId="0643B65E"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tcPr>
          <w:p w14:paraId="6EB7F8A1"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tcPr>
          <w:p w14:paraId="22CA3971"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tcPr>
          <w:p w14:paraId="430A6EC1"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8" w:type="dxa"/>
            <w:tcBorders>
              <w:top w:val="nil"/>
              <w:left w:val="nil"/>
              <w:bottom w:val="nil"/>
              <w:right w:val="nil"/>
            </w:tcBorders>
          </w:tcPr>
          <w:p w14:paraId="0247BFA1"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tcPr>
          <w:p w14:paraId="158F2AFA"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tcPr>
          <w:p w14:paraId="30708819"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tcPr>
          <w:p w14:paraId="6821F84D"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8" w:type="dxa"/>
            <w:tcBorders>
              <w:top w:val="nil"/>
              <w:left w:val="nil"/>
              <w:bottom w:val="nil"/>
              <w:right w:val="nil"/>
            </w:tcBorders>
          </w:tcPr>
          <w:p w14:paraId="7A3F9E47"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r>
      <w:tr w:rsidR="000242DF" w:rsidRPr="00B52CC9" w14:paraId="2D6C3D60" w14:textId="77777777" w:rsidTr="00B90AAF">
        <w:trPr>
          <w:trHeight w:val="278"/>
        </w:trPr>
        <w:tc>
          <w:tcPr>
            <w:tcW w:w="1873" w:type="dxa"/>
            <w:tcBorders>
              <w:top w:val="nil"/>
              <w:left w:val="nil"/>
              <w:bottom w:val="nil"/>
              <w:right w:val="nil"/>
            </w:tcBorders>
          </w:tcPr>
          <w:p w14:paraId="46CB98E4"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Crédito U$10 millones</w:t>
            </w:r>
          </w:p>
        </w:tc>
        <w:tc>
          <w:tcPr>
            <w:tcW w:w="851" w:type="dxa"/>
            <w:tcBorders>
              <w:top w:val="nil"/>
              <w:left w:val="nil"/>
              <w:bottom w:val="nil"/>
              <w:right w:val="nil"/>
            </w:tcBorders>
          </w:tcPr>
          <w:p w14:paraId="0BB54403"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84,79%</w:t>
            </w:r>
          </w:p>
        </w:tc>
        <w:tc>
          <w:tcPr>
            <w:tcW w:w="708" w:type="dxa"/>
            <w:tcBorders>
              <w:top w:val="nil"/>
              <w:left w:val="nil"/>
              <w:bottom w:val="nil"/>
              <w:right w:val="nil"/>
            </w:tcBorders>
          </w:tcPr>
          <w:p w14:paraId="43FEF11E"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70,42%</w:t>
            </w:r>
          </w:p>
        </w:tc>
        <w:tc>
          <w:tcPr>
            <w:tcW w:w="709" w:type="dxa"/>
            <w:tcBorders>
              <w:top w:val="nil"/>
              <w:left w:val="nil"/>
              <w:bottom w:val="nil"/>
              <w:right w:val="nil"/>
            </w:tcBorders>
          </w:tcPr>
          <w:p w14:paraId="2674F76C"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60,02%</w:t>
            </w:r>
          </w:p>
        </w:tc>
        <w:tc>
          <w:tcPr>
            <w:tcW w:w="709" w:type="dxa"/>
            <w:tcBorders>
              <w:top w:val="nil"/>
              <w:left w:val="nil"/>
              <w:bottom w:val="nil"/>
              <w:right w:val="nil"/>
            </w:tcBorders>
          </w:tcPr>
          <w:p w14:paraId="7044B6CF"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50,69%</w:t>
            </w:r>
          </w:p>
        </w:tc>
        <w:tc>
          <w:tcPr>
            <w:tcW w:w="709" w:type="dxa"/>
            <w:tcBorders>
              <w:top w:val="nil"/>
              <w:left w:val="nil"/>
              <w:bottom w:val="nil"/>
              <w:right w:val="nil"/>
            </w:tcBorders>
          </w:tcPr>
          <w:p w14:paraId="17261578"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42,32%</w:t>
            </w:r>
          </w:p>
        </w:tc>
        <w:tc>
          <w:tcPr>
            <w:tcW w:w="708" w:type="dxa"/>
            <w:tcBorders>
              <w:top w:val="nil"/>
              <w:left w:val="nil"/>
              <w:bottom w:val="nil"/>
              <w:right w:val="nil"/>
            </w:tcBorders>
          </w:tcPr>
          <w:p w14:paraId="2B125039"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35,01%</w:t>
            </w:r>
          </w:p>
        </w:tc>
        <w:tc>
          <w:tcPr>
            <w:tcW w:w="709" w:type="dxa"/>
            <w:tcBorders>
              <w:top w:val="nil"/>
              <w:left w:val="nil"/>
              <w:bottom w:val="nil"/>
              <w:right w:val="nil"/>
            </w:tcBorders>
          </w:tcPr>
          <w:p w14:paraId="789C53F3"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28,45%</w:t>
            </w:r>
          </w:p>
        </w:tc>
        <w:tc>
          <w:tcPr>
            <w:tcW w:w="709" w:type="dxa"/>
            <w:tcBorders>
              <w:top w:val="nil"/>
              <w:left w:val="nil"/>
              <w:bottom w:val="nil"/>
              <w:right w:val="nil"/>
            </w:tcBorders>
          </w:tcPr>
          <w:p w14:paraId="204D88CA"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24,26%</w:t>
            </w:r>
          </w:p>
        </w:tc>
        <w:tc>
          <w:tcPr>
            <w:tcW w:w="709" w:type="dxa"/>
            <w:tcBorders>
              <w:top w:val="nil"/>
              <w:left w:val="nil"/>
              <w:bottom w:val="nil"/>
              <w:right w:val="nil"/>
            </w:tcBorders>
          </w:tcPr>
          <w:p w14:paraId="59857C6E"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20,54%</w:t>
            </w:r>
          </w:p>
        </w:tc>
        <w:tc>
          <w:tcPr>
            <w:tcW w:w="708" w:type="dxa"/>
            <w:tcBorders>
              <w:top w:val="nil"/>
              <w:left w:val="nil"/>
              <w:bottom w:val="nil"/>
              <w:right w:val="nil"/>
            </w:tcBorders>
          </w:tcPr>
          <w:p w14:paraId="71037A00"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17,23%</w:t>
            </w:r>
          </w:p>
        </w:tc>
      </w:tr>
      <w:tr w:rsidR="000242DF" w:rsidRPr="00B52CC9" w14:paraId="31702EF3" w14:textId="77777777" w:rsidTr="00B90AAF">
        <w:trPr>
          <w:trHeight w:val="278"/>
        </w:trPr>
        <w:tc>
          <w:tcPr>
            <w:tcW w:w="1873" w:type="dxa"/>
            <w:tcBorders>
              <w:top w:val="nil"/>
              <w:left w:val="nil"/>
              <w:bottom w:val="nil"/>
              <w:right w:val="nil"/>
            </w:tcBorders>
          </w:tcPr>
          <w:p w14:paraId="2C7B4A97"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Crédito U$12 millones</w:t>
            </w:r>
          </w:p>
        </w:tc>
        <w:tc>
          <w:tcPr>
            <w:tcW w:w="851" w:type="dxa"/>
            <w:tcBorders>
              <w:top w:val="nil"/>
              <w:left w:val="nil"/>
              <w:bottom w:val="nil"/>
              <w:right w:val="nil"/>
            </w:tcBorders>
          </w:tcPr>
          <w:p w14:paraId="10E95DF9"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86,11%</w:t>
            </w:r>
          </w:p>
        </w:tc>
        <w:tc>
          <w:tcPr>
            <w:tcW w:w="708" w:type="dxa"/>
            <w:tcBorders>
              <w:top w:val="nil"/>
              <w:left w:val="nil"/>
              <w:bottom w:val="nil"/>
              <w:right w:val="nil"/>
            </w:tcBorders>
          </w:tcPr>
          <w:p w14:paraId="63C6C823"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71,65%</w:t>
            </w:r>
          </w:p>
        </w:tc>
        <w:tc>
          <w:tcPr>
            <w:tcW w:w="709" w:type="dxa"/>
            <w:tcBorders>
              <w:top w:val="nil"/>
              <w:left w:val="nil"/>
              <w:bottom w:val="nil"/>
              <w:right w:val="nil"/>
            </w:tcBorders>
          </w:tcPr>
          <w:p w14:paraId="5BF8C6C6"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61,16%</w:t>
            </w:r>
          </w:p>
        </w:tc>
        <w:tc>
          <w:tcPr>
            <w:tcW w:w="709" w:type="dxa"/>
            <w:tcBorders>
              <w:top w:val="nil"/>
              <w:left w:val="nil"/>
              <w:bottom w:val="nil"/>
              <w:right w:val="nil"/>
            </w:tcBorders>
          </w:tcPr>
          <w:p w14:paraId="71EE6E85"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51,74%</w:t>
            </w:r>
          </w:p>
        </w:tc>
        <w:tc>
          <w:tcPr>
            <w:tcW w:w="709" w:type="dxa"/>
            <w:tcBorders>
              <w:top w:val="nil"/>
              <w:left w:val="nil"/>
              <w:bottom w:val="nil"/>
              <w:right w:val="nil"/>
            </w:tcBorders>
          </w:tcPr>
          <w:p w14:paraId="6312E74A"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43,29%</w:t>
            </w:r>
          </w:p>
        </w:tc>
        <w:tc>
          <w:tcPr>
            <w:tcW w:w="708" w:type="dxa"/>
            <w:tcBorders>
              <w:top w:val="nil"/>
              <w:left w:val="nil"/>
              <w:bottom w:val="nil"/>
              <w:right w:val="nil"/>
            </w:tcBorders>
          </w:tcPr>
          <w:p w14:paraId="673FEF33"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35,91%</w:t>
            </w:r>
          </w:p>
        </w:tc>
        <w:tc>
          <w:tcPr>
            <w:tcW w:w="709" w:type="dxa"/>
            <w:tcBorders>
              <w:top w:val="nil"/>
              <w:left w:val="nil"/>
              <w:bottom w:val="nil"/>
              <w:right w:val="nil"/>
            </w:tcBorders>
          </w:tcPr>
          <w:p w14:paraId="1AC87842"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29,29%</w:t>
            </w:r>
          </w:p>
        </w:tc>
        <w:tc>
          <w:tcPr>
            <w:tcW w:w="709" w:type="dxa"/>
            <w:tcBorders>
              <w:top w:val="nil"/>
              <w:left w:val="nil"/>
              <w:bottom w:val="nil"/>
              <w:right w:val="nil"/>
            </w:tcBorders>
          </w:tcPr>
          <w:p w14:paraId="17BA31B4"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24,78%</w:t>
            </w:r>
          </w:p>
        </w:tc>
        <w:tc>
          <w:tcPr>
            <w:tcW w:w="709" w:type="dxa"/>
            <w:tcBorders>
              <w:top w:val="nil"/>
              <w:left w:val="nil"/>
              <w:bottom w:val="nil"/>
              <w:right w:val="nil"/>
            </w:tcBorders>
          </w:tcPr>
          <w:p w14:paraId="5D1182EE"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20,77%</w:t>
            </w:r>
          </w:p>
        </w:tc>
        <w:tc>
          <w:tcPr>
            <w:tcW w:w="708" w:type="dxa"/>
            <w:tcBorders>
              <w:top w:val="nil"/>
              <w:left w:val="nil"/>
              <w:bottom w:val="nil"/>
              <w:right w:val="nil"/>
            </w:tcBorders>
          </w:tcPr>
          <w:p w14:paraId="03D8DBAD"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17,23%</w:t>
            </w:r>
          </w:p>
        </w:tc>
      </w:tr>
      <w:tr w:rsidR="000242DF" w:rsidRPr="00B52CC9" w14:paraId="46D9F963" w14:textId="77777777" w:rsidTr="00B90AAF">
        <w:trPr>
          <w:trHeight w:val="278"/>
        </w:trPr>
        <w:tc>
          <w:tcPr>
            <w:tcW w:w="1873" w:type="dxa"/>
            <w:tcBorders>
              <w:top w:val="nil"/>
              <w:left w:val="nil"/>
              <w:bottom w:val="nil"/>
              <w:right w:val="nil"/>
            </w:tcBorders>
          </w:tcPr>
          <w:p w14:paraId="37C5F579"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Crédito U$15 millones</w:t>
            </w:r>
          </w:p>
        </w:tc>
        <w:tc>
          <w:tcPr>
            <w:tcW w:w="851" w:type="dxa"/>
            <w:tcBorders>
              <w:top w:val="nil"/>
              <w:left w:val="nil"/>
              <w:bottom w:val="nil"/>
              <w:right w:val="nil"/>
            </w:tcBorders>
          </w:tcPr>
          <w:p w14:paraId="4066EA97"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88,10%</w:t>
            </w:r>
          </w:p>
        </w:tc>
        <w:tc>
          <w:tcPr>
            <w:tcW w:w="708" w:type="dxa"/>
            <w:tcBorders>
              <w:top w:val="nil"/>
              <w:left w:val="nil"/>
              <w:bottom w:val="nil"/>
              <w:right w:val="nil"/>
            </w:tcBorders>
          </w:tcPr>
          <w:p w14:paraId="47426F35"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73,49%</w:t>
            </w:r>
          </w:p>
        </w:tc>
        <w:tc>
          <w:tcPr>
            <w:tcW w:w="709" w:type="dxa"/>
            <w:tcBorders>
              <w:top w:val="nil"/>
              <w:left w:val="nil"/>
              <w:bottom w:val="nil"/>
              <w:right w:val="nil"/>
            </w:tcBorders>
          </w:tcPr>
          <w:p w14:paraId="5AB1219D"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62,86%</w:t>
            </w:r>
          </w:p>
        </w:tc>
        <w:tc>
          <w:tcPr>
            <w:tcW w:w="709" w:type="dxa"/>
            <w:tcBorders>
              <w:top w:val="nil"/>
              <w:left w:val="nil"/>
              <w:bottom w:val="nil"/>
              <w:right w:val="nil"/>
            </w:tcBorders>
          </w:tcPr>
          <w:p w14:paraId="58636A50"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53,32%</w:t>
            </w:r>
          </w:p>
        </w:tc>
        <w:tc>
          <w:tcPr>
            <w:tcW w:w="709" w:type="dxa"/>
            <w:tcBorders>
              <w:top w:val="nil"/>
              <w:left w:val="nil"/>
              <w:bottom w:val="nil"/>
              <w:right w:val="nil"/>
            </w:tcBorders>
          </w:tcPr>
          <w:p w14:paraId="78F25693"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44,76%</w:t>
            </w:r>
          </w:p>
        </w:tc>
        <w:tc>
          <w:tcPr>
            <w:tcW w:w="708" w:type="dxa"/>
            <w:tcBorders>
              <w:top w:val="nil"/>
              <w:left w:val="nil"/>
              <w:bottom w:val="nil"/>
              <w:right w:val="nil"/>
            </w:tcBorders>
          </w:tcPr>
          <w:p w14:paraId="03F04B9A"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37,27%</w:t>
            </w:r>
          </w:p>
        </w:tc>
        <w:tc>
          <w:tcPr>
            <w:tcW w:w="709" w:type="dxa"/>
            <w:tcBorders>
              <w:top w:val="nil"/>
              <w:left w:val="nil"/>
              <w:bottom w:val="nil"/>
              <w:right w:val="nil"/>
            </w:tcBorders>
          </w:tcPr>
          <w:p w14:paraId="349112B6"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24,27%</w:t>
            </w:r>
          </w:p>
        </w:tc>
        <w:tc>
          <w:tcPr>
            <w:tcW w:w="709" w:type="dxa"/>
            <w:tcBorders>
              <w:top w:val="nil"/>
              <w:left w:val="nil"/>
              <w:bottom w:val="nil"/>
              <w:right w:val="nil"/>
            </w:tcBorders>
          </w:tcPr>
          <w:p w14:paraId="3C8799B3"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21,68%</w:t>
            </w:r>
          </w:p>
        </w:tc>
        <w:tc>
          <w:tcPr>
            <w:tcW w:w="709" w:type="dxa"/>
            <w:tcBorders>
              <w:top w:val="nil"/>
              <w:left w:val="nil"/>
              <w:bottom w:val="nil"/>
              <w:right w:val="nil"/>
            </w:tcBorders>
          </w:tcPr>
          <w:p w14:paraId="392029BD"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21,13%</w:t>
            </w:r>
          </w:p>
        </w:tc>
        <w:tc>
          <w:tcPr>
            <w:tcW w:w="708" w:type="dxa"/>
            <w:tcBorders>
              <w:top w:val="nil"/>
              <w:left w:val="nil"/>
              <w:bottom w:val="nil"/>
              <w:right w:val="nil"/>
            </w:tcBorders>
          </w:tcPr>
          <w:p w14:paraId="21EE1CF7"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17,23%</w:t>
            </w:r>
          </w:p>
        </w:tc>
      </w:tr>
      <w:tr w:rsidR="000242DF" w:rsidRPr="00B52CC9" w14:paraId="5E3F00E3" w14:textId="77777777" w:rsidTr="00B90AAF">
        <w:trPr>
          <w:trHeight w:val="278"/>
        </w:trPr>
        <w:tc>
          <w:tcPr>
            <w:tcW w:w="1873" w:type="dxa"/>
            <w:tcBorders>
              <w:top w:val="nil"/>
              <w:left w:val="nil"/>
              <w:bottom w:val="nil"/>
              <w:right w:val="nil"/>
            </w:tcBorders>
          </w:tcPr>
          <w:p w14:paraId="334113A5"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Crédito U$18 millones</w:t>
            </w:r>
          </w:p>
        </w:tc>
        <w:tc>
          <w:tcPr>
            <w:tcW w:w="851" w:type="dxa"/>
            <w:tcBorders>
              <w:top w:val="nil"/>
              <w:left w:val="nil"/>
              <w:bottom w:val="nil"/>
              <w:right w:val="nil"/>
            </w:tcBorders>
          </w:tcPr>
          <w:p w14:paraId="629B821F"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90,09%</w:t>
            </w:r>
          </w:p>
        </w:tc>
        <w:tc>
          <w:tcPr>
            <w:tcW w:w="708" w:type="dxa"/>
            <w:tcBorders>
              <w:top w:val="nil"/>
              <w:left w:val="nil"/>
              <w:bottom w:val="nil"/>
              <w:right w:val="nil"/>
            </w:tcBorders>
          </w:tcPr>
          <w:p w14:paraId="02DBCFA9"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75,33%</w:t>
            </w:r>
          </w:p>
        </w:tc>
        <w:tc>
          <w:tcPr>
            <w:tcW w:w="709" w:type="dxa"/>
            <w:tcBorders>
              <w:top w:val="nil"/>
              <w:left w:val="nil"/>
              <w:bottom w:val="nil"/>
              <w:right w:val="nil"/>
            </w:tcBorders>
          </w:tcPr>
          <w:p w14:paraId="45BA2531"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64,57%</w:t>
            </w:r>
          </w:p>
        </w:tc>
        <w:tc>
          <w:tcPr>
            <w:tcW w:w="709" w:type="dxa"/>
            <w:tcBorders>
              <w:top w:val="nil"/>
              <w:left w:val="nil"/>
              <w:bottom w:val="nil"/>
              <w:right w:val="nil"/>
            </w:tcBorders>
          </w:tcPr>
          <w:p w14:paraId="11319562"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54,90%</w:t>
            </w:r>
          </w:p>
        </w:tc>
        <w:tc>
          <w:tcPr>
            <w:tcW w:w="709" w:type="dxa"/>
            <w:tcBorders>
              <w:top w:val="nil"/>
              <w:left w:val="nil"/>
              <w:bottom w:val="nil"/>
              <w:right w:val="nil"/>
            </w:tcBorders>
          </w:tcPr>
          <w:p w14:paraId="363C8D25"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46,22%</w:t>
            </w:r>
          </w:p>
        </w:tc>
        <w:tc>
          <w:tcPr>
            <w:tcW w:w="708" w:type="dxa"/>
            <w:tcBorders>
              <w:top w:val="nil"/>
              <w:left w:val="nil"/>
              <w:bottom w:val="nil"/>
              <w:right w:val="nil"/>
            </w:tcBorders>
          </w:tcPr>
          <w:p w14:paraId="4BFF954A"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38,62%</w:t>
            </w:r>
          </w:p>
        </w:tc>
        <w:tc>
          <w:tcPr>
            <w:tcW w:w="709" w:type="dxa"/>
            <w:tcBorders>
              <w:top w:val="nil"/>
              <w:left w:val="nil"/>
              <w:bottom w:val="nil"/>
              <w:right w:val="nil"/>
            </w:tcBorders>
          </w:tcPr>
          <w:p w14:paraId="270F1159"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31,80%</w:t>
            </w:r>
          </w:p>
        </w:tc>
        <w:tc>
          <w:tcPr>
            <w:tcW w:w="709" w:type="dxa"/>
            <w:tcBorders>
              <w:top w:val="nil"/>
              <w:left w:val="nil"/>
              <w:bottom w:val="nil"/>
              <w:right w:val="nil"/>
            </w:tcBorders>
          </w:tcPr>
          <w:p w14:paraId="08195887"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26,33%</w:t>
            </w:r>
          </w:p>
        </w:tc>
        <w:tc>
          <w:tcPr>
            <w:tcW w:w="709" w:type="dxa"/>
            <w:tcBorders>
              <w:top w:val="nil"/>
              <w:left w:val="nil"/>
              <w:bottom w:val="nil"/>
              <w:right w:val="nil"/>
            </w:tcBorders>
          </w:tcPr>
          <w:p w14:paraId="4F65FAAC"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21,49%</w:t>
            </w:r>
          </w:p>
        </w:tc>
        <w:tc>
          <w:tcPr>
            <w:tcW w:w="708" w:type="dxa"/>
            <w:tcBorders>
              <w:top w:val="nil"/>
              <w:left w:val="nil"/>
              <w:bottom w:val="nil"/>
              <w:right w:val="nil"/>
            </w:tcBorders>
          </w:tcPr>
          <w:p w14:paraId="164E8B34"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17,23%</w:t>
            </w:r>
          </w:p>
        </w:tc>
      </w:tr>
    </w:tbl>
    <w:p w14:paraId="3211EABE" w14:textId="77777777" w:rsidR="000242DF" w:rsidRPr="00B52CC9" w:rsidRDefault="000242DF" w:rsidP="000242DF">
      <w:pPr>
        <w:spacing w:line="240" w:lineRule="auto"/>
        <w:rPr>
          <w:rFonts w:ascii="Times New Roman" w:hAnsi="Times New Roman" w:cs="Times New Roman"/>
          <w:sz w:val="24"/>
          <w:szCs w:val="24"/>
        </w:rPr>
      </w:pPr>
    </w:p>
    <w:tbl>
      <w:tblPr>
        <w:tblW w:w="9102" w:type="dxa"/>
        <w:tblInd w:w="40" w:type="dxa"/>
        <w:tblLayout w:type="fixed"/>
        <w:tblCellMar>
          <w:left w:w="70" w:type="dxa"/>
          <w:right w:w="70" w:type="dxa"/>
        </w:tblCellMar>
        <w:tblLook w:val="0000" w:firstRow="0" w:lastRow="0" w:firstColumn="0" w:lastColumn="0" w:noHBand="0" w:noVBand="0"/>
      </w:tblPr>
      <w:tblGrid>
        <w:gridCol w:w="1873"/>
        <w:gridCol w:w="709"/>
        <w:gridCol w:w="709"/>
        <w:gridCol w:w="708"/>
        <w:gridCol w:w="709"/>
        <w:gridCol w:w="709"/>
        <w:gridCol w:w="709"/>
        <w:gridCol w:w="708"/>
        <w:gridCol w:w="851"/>
        <w:gridCol w:w="709"/>
        <w:gridCol w:w="708"/>
      </w:tblGrid>
      <w:tr w:rsidR="000242DF" w:rsidRPr="00B52CC9" w14:paraId="4E9AA8D3" w14:textId="77777777" w:rsidTr="00B90AAF">
        <w:trPr>
          <w:trHeight w:val="278"/>
        </w:trPr>
        <w:tc>
          <w:tcPr>
            <w:tcW w:w="4708" w:type="dxa"/>
            <w:gridSpan w:val="5"/>
            <w:tcBorders>
              <w:top w:val="nil"/>
              <w:left w:val="nil"/>
              <w:bottom w:val="nil"/>
              <w:right w:val="nil"/>
            </w:tcBorders>
          </w:tcPr>
          <w:p w14:paraId="74675289"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b/>
                <w:color w:val="000000"/>
                <w:sz w:val="18"/>
                <w:szCs w:val="18"/>
                <w:lang w:val="es-ES" w:eastAsia="es-ES"/>
              </w:rPr>
            </w:pPr>
            <w:r w:rsidRPr="00B52CC9">
              <w:rPr>
                <w:rFonts w:ascii="Times New Roman" w:hAnsi="Times New Roman" w:cs="Times New Roman"/>
                <w:b/>
                <w:color w:val="000000"/>
                <w:sz w:val="18"/>
                <w:szCs w:val="18"/>
                <w:lang w:val="es-ES" w:eastAsia="es-ES"/>
              </w:rPr>
              <w:t>Superávit primario como porcentaje de los intereses corrientes</w:t>
            </w:r>
          </w:p>
        </w:tc>
        <w:tc>
          <w:tcPr>
            <w:tcW w:w="709" w:type="dxa"/>
            <w:tcBorders>
              <w:top w:val="nil"/>
              <w:left w:val="nil"/>
              <w:bottom w:val="nil"/>
              <w:right w:val="nil"/>
            </w:tcBorders>
          </w:tcPr>
          <w:p w14:paraId="3AD657F7"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b/>
                <w:color w:val="000000"/>
                <w:sz w:val="18"/>
                <w:szCs w:val="18"/>
                <w:lang w:val="es-ES" w:eastAsia="es-ES"/>
              </w:rPr>
            </w:pPr>
          </w:p>
        </w:tc>
        <w:tc>
          <w:tcPr>
            <w:tcW w:w="709" w:type="dxa"/>
            <w:tcBorders>
              <w:top w:val="nil"/>
              <w:left w:val="nil"/>
              <w:bottom w:val="nil"/>
              <w:right w:val="nil"/>
            </w:tcBorders>
          </w:tcPr>
          <w:p w14:paraId="4BF984DB"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b/>
                <w:color w:val="000000"/>
                <w:sz w:val="18"/>
                <w:szCs w:val="18"/>
                <w:lang w:val="es-ES" w:eastAsia="es-ES"/>
              </w:rPr>
            </w:pPr>
          </w:p>
        </w:tc>
        <w:tc>
          <w:tcPr>
            <w:tcW w:w="708" w:type="dxa"/>
            <w:tcBorders>
              <w:top w:val="nil"/>
              <w:left w:val="nil"/>
              <w:bottom w:val="nil"/>
              <w:right w:val="nil"/>
            </w:tcBorders>
          </w:tcPr>
          <w:p w14:paraId="3E6AB580"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b/>
                <w:color w:val="000000"/>
                <w:sz w:val="18"/>
                <w:szCs w:val="18"/>
                <w:lang w:val="es-ES" w:eastAsia="es-ES"/>
              </w:rPr>
            </w:pPr>
          </w:p>
        </w:tc>
        <w:tc>
          <w:tcPr>
            <w:tcW w:w="851" w:type="dxa"/>
            <w:tcBorders>
              <w:top w:val="nil"/>
              <w:left w:val="nil"/>
              <w:bottom w:val="nil"/>
              <w:right w:val="nil"/>
            </w:tcBorders>
          </w:tcPr>
          <w:p w14:paraId="1EC1D794"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b/>
                <w:color w:val="000000"/>
                <w:sz w:val="18"/>
                <w:szCs w:val="18"/>
                <w:lang w:val="es-ES" w:eastAsia="es-ES"/>
              </w:rPr>
            </w:pPr>
          </w:p>
        </w:tc>
        <w:tc>
          <w:tcPr>
            <w:tcW w:w="709" w:type="dxa"/>
            <w:tcBorders>
              <w:top w:val="nil"/>
              <w:left w:val="nil"/>
              <w:bottom w:val="nil"/>
              <w:right w:val="nil"/>
            </w:tcBorders>
          </w:tcPr>
          <w:p w14:paraId="0D7807B5"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b/>
                <w:color w:val="000000"/>
                <w:sz w:val="18"/>
                <w:szCs w:val="18"/>
                <w:lang w:val="es-ES" w:eastAsia="es-ES"/>
              </w:rPr>
            </w:pPr>
          </w:p>
        </w:tc>
        <w:tc>
          <w:tcPr>
            <w:tcW w:w="708" w:type="dxa"/>
            <w:tcBorders>
              <w:top w:val="nil"/>
              <w:left w:val="nil"/>
              <w:bottom w:val="nil"/>
              <w:right w:val="nil"/>
            </w:tcBorders>
          </w:tcPr>
          <w:p w14:paraId="50CC7468"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b/>
                <w:color w:val="000000"/>
                <w:sz w:val="18"/>
                <w:szCs w:val="18"/>
                <w:lang w:val="es-ES" w:eastAsia="es-ES"/>
              </w:rPr>
            </w:pPr>
          </w:p>
        </w:tc>
      </w:tr>
      <w:tr w:rsidR="000242DF" w:rsidRPr="00B52CC9" w14:paraId="566B20C1" w14:textId="77777777" w:rsidTr="00B90AAF">
        <w:trPr>
          <w:trHeight w:val="278"/>
        </w:trPr>
        <w:tc>
          <w:tcPr>
            <w:tcW w:w="1873" w:type="dxa"/>
            <w:tcBorders>
              <w:top w:val="nil"/>
              <w:left w:val="nil"/>
              <w:bottom w:val="nil"/>
              <w:right w:val="nil"/>
            </w:tcBorders>
          </w:tcPr>
          <w:p w14:paraId="1E4B87D6"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shd w:val="clear" w:color="A2BD90" w:fill="548DD4" w:themeFill="text2" w:themeFillTint="99"/>
          </w:tcPr>
          <w:p w14:paraId="52A6E6C5"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2013</w:t>
            </w:r>
          </w:p>
        </w:tc>
        <w:tc>
          <w:tcPr>
            <w:tcW w:w="709" w:type="dxa"/>
            <w:tcBorders>
              <w:top w:val="nil"/>
              <w:left w:val="nil"/>
              <w:bottom w:val="nil"/>
              <w:right w:val="nil"/>
            </w:tcBorders>
            <w:shd w:val="clear" w:color="A2BD90" w:fill="548DD4" w:themeFill="text2" w:themeFillTint="99"/>
          </w:tcPr>
          <w:p w14:paraId="67EFFF16"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2014</w:t>
            </w:r>
          </w:p>
        </w:tc>
        <w:tc>
          <w:tcPr>
            <w:tcW w:w="708" w:type="dxa"/>
            <w:tcBorders>
              <w:top w:val="nil"/>
              <w:left w:val="nil"/>
              <w:bottom w:val="nil"/>
              <w:right w:val="nil"/>
            </w:tcBorders>
            <w:shd w:val="clear" w:color="A2BD90" w:fill="548DD4" w:themeFill="text2" w:themeFillTint="99"/>
          </w:tcPr>
          <w:p w14:paraId="7D19E1EE"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2015</w:t>
            </w:r>
          </w:p>
        </w:tc>
        <w:tc>
          <w:tcPr>
            <w:tcW w:w="709" w:type="dxa"/>
            <w:tcBorders>
              <w:top w:val="nil"/>
              <w:left w:val="nil"/>
              <w:bottom w:val="nil"/>
              <w:right w:val="nil"/>
            </w:tcBorders>
            <w:shd w:val="clear" w:color="A2BD90" w:fill="548DD4" w:themeFill="text2" w:themeFillTint="99"/>
          </w:tcPr>
          <w:p w14:paraId="64FD59BA"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2016</w:t>
            </w:r>
          </w:p>
        </w:tc>
        <w:tc>
          <w:tcPr>
            <w:tcW w:w="709" w:type="dxa"/>
            <w:tcBorders>
              <w:top w:val="nil"/>
              <w:left w:val="nil"/>
              <w:bottom w:val="nil"/>
              <w:right w:val="nil"/>
            </w:tcBorders>
            <w:shd w:val="clear" w:color="A2BD90" w:fill="548DD4" w:themeFill="text2" w:themeFillTint="99"/>
          </w:tcPr>
          <w:p w14:paraId="66680E8F"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2017</w:t>
            </w:r>
          </w:p>
        </w:tc>
        <w:tc>
          <w:tcPr>
            <w:tcW w:w="709" w:type="dxa"/>
            <w:tcBorders>
              <w:top w:val="nil"/>
              <w:left w:val="nil"/>
              <w:bottom w:val="nil"/>
              <w:right w:val="nil"/>
            </w:tcBorders>
            <w:shd w:val="clear" w:color="A2BD90" w:fill="548DD4" w:themeFill="text2" w:themeFillTint="99"/>
          </w:tcPr>
          <w:p w14:paraId="4103638F"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2018</w:t>
            </w:r>
          </w:p>
        </w:tc>
        <w:tc>
          <w:tcPr>
            <w:tcW w:w="708" w:type="dxa"/>
            <w:tcBorders>
              <w:top w:val="nil"/>
              <w:left w:val="nil"/>
              <w:bottom w:val="nil"/>
              <w:right w:val="nil"/>
            </w:tcBorders>
            <w:shd w:val="clear" w:color="A2BD90" w:fill="548DD4" w:themeFill="text2" w:themeFillTint="99"/>
          </w:tcPr>
          <w:p w14:paraId="3A0F3619"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2019</w:t>
            </w:r>
          </w:p>
        </w:tc>
        <w:tc>
          <w:tcPr>
            <w:tcW w:w="851" w:type="dxa"/>
            <w:tcBorders>
              <w:top w:val="nil"/>
              <w:left w:val="nil"/>
              <w:bottom w:val="nil"/>
              <w:right w:val="nil"/>
            </w:tcBorders>
            <w:shd w:val="clear" w:color="A2BD90" w:fill="548DD4" w:themeFill="text2" w:themeFillTint="99"/>
          </w:tcPr>
          <w:p w14:paraId="749B2C0E"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2020</w:t>
            </w:r>
          </w:p>
        </w:tc>
        <w:tc>
          <w:tcPr>
            <w:tcW w:w="709" w:type="dxa"/>
            <w:tcBorders>
              <w:top w:val="nil"/>
              <w:left w:val="nil"/>
              <w:bottom w:val="nil"/>
              <w:right w:val="nil"/>
            </w:tcBorders>
            <w:shd w:val="clear" w:color="A2BD90" w:fill="548DD4" w:themeFill="text2" w:themeFillTint="99"/>
          </w:tcPr>
          <w:p w14:paraId="7FF60028"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2021</w:t>
            </w:r>
          </w:p>
        </w:tc>
        <w:tc>
          <w:tcPr>
            <w:tcW w:w="708" w:type="dxa"/>
            <w:tcBorders>
              <w:top w:val="nil"/>
              <w:left w:val="nil"/>
              <w:bottom w:val="nil"/>
              <w:right w:val="nil"/>
            </w:tcBorders>
            <w:shd w:val="clear" w:color="A2BD90" w:fill="548DD4" w:themeFill="text2" w:themeFillTint="99"/>
          </w:tcPr>
          <w:p w14:paraId="1B70EE1A"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2022</w:t>
            </w:r>
          </w:p>
        </w:tc>
      </w:tr>
      <w:tr w:rsidR="000242DF" w:rsidRPr="00B52CC9" w14:paraId="38D18779" w14:textId="77777777" w:rsidTr="00B90AAF">
        <w:trPr>
          <w:trHeight w:val="278"/>
        </w:trPr>
        <w:tc>
          <w:tcPr>
            <w:tcW w:w="1873" w:type="dxa"/>
            <w:tcBorders>
              <w:top w:val="nil"/>
              <w:left w:val="nil"/>
              <w:bottom w:val="nil"/>
              <w:right w:val="nil"/>
            </w:tcBorders>
          </w:tcPr>
          <w:p w14:paraId="66D466A0"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Escenario Base</w:t>
            </w:r>
          </w:p>
        </w:tc>
        <w:tc>
          <w:tcPr>
            <w:tcW w:w="709" w:type="dxa"/>
            <w:tcBorders>
              <w:top w:val="nil"/>
              <w:left w:val="nil"/>
              <w:bottom w:val="nil"/>
              <w:right w:val="nil"/>
            </w:tcBorders>
          </w:tcPr>
          <w:p w14:paraId="7D71F225"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76%</w:t>
            </w:r>
          </w:p>
        </w:tc>
        <w:tc>
          <w:tcPr>
            <w:tcW w:w="709" w:type="dxa"/>
            <w:tcBorders>
              <w:top w:val="nil"/>
              <w:left w:val="nil"/>
              <w:bottom w:val="nil"/>
              <w:right w:val="nil"/>
            </w:tcBorders>
          </w:tcPr>
          <w:p w14:paraId="17637679"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54%</w:t>
            </w:r>
          </w:p>
        </w:tc>
        <w:tc>
          <w:tcPr>
            <w:tcW w:w="708" w:type="dxa"/>
            <w:tcBorders>
              <w:top w:val="nil"/>
              <w:left w:val="nil"/>
              <w:bottom w:val="nil"/>
              <w:right w:val="nil"/>
            </w:tcBorders>
          </w:tcPr>
          <w:p w14:paraId="5DC4AB30"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14%</w:t>
            </w:r>
          </w:p>
        </w:tc>
        <w:tc>
          <w:tcPr>
            <w:tcW w:w="709" w:type="dxa"/>
            <w:tcBorders>
              <w:top w:val="nil"/>
              <w:left w:val="nil"/>
              <w:bottom w:val="nil"/>
              <w:right w:val="nil"/>
            </w:tcBorders>
          </w:tcPr>
          <w:p w14:paraId="5CE84938"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-54%</w:t>
            </w:r>
          </w:p>
        </w:tc>
        <w:tc>
          <w:tcPr>
            <w:tcW w:w="709" w:type="dxa"/>
            <w:tcBorders>
              <w:top w:val="nil"/>
              <w:left w:val="nil"/>
              <w:bottom w:val="nil"/>
              <w:right w:val="nil"/>
            </w:tcBorders>
          </w:tcPr>
          <w:p w14:paraId="564DE20D"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-177%</w:t>
            </w:r>
          </w:p>
        </w:tc>
        <w:tc>
          <w:tcPr>
            <w:tcW w:w="709" w:type="dxa"/>
            <w:tcBorders>
              <w:top w:val="nil"/>
              <w:left w:val="nil"/>
              <w:bottom w:val="nil"/>
              <w:right w:val="nil"/>
            </w:tcBorders>
          </w:tcPr>
          <w:p w14:paraId="04E5FE78"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-414%</w:t>
            </w:r>
          </w:p>
        </w:tc>
        <w:tc>
          <w:tcPr>
            <w:tcW w:w="708" w:type="dxa"/>
            <w:tcBorders>
              <w:top w:val="nil"/>
              <w:left w:val="nil"/>
              <w:bottom w:val="nil"/>
              <w:right w:val="nil"/>
            </w:tcBorders>
          </w:tcPr>
          <w:p w14:paraId="065FEABC"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-969%</w:t>
            </w:r>
          </w:p>
        </w:tc>
        <w:tc>
          <w:tcPr>
            <w:tcW w:w="851" w:type="dxa"/>
            <w:tcBorders>
              <w:top w:val="nil"/>
              <w:left w:val="nil"/>
              <w:bottom w:val="nil"/>
              <w:right w:val="nil"/>
            </w:tcBorders>
          </w:tcPr>
          <w:p w14:paraId="28BCD70F"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-2846%</w:t>
            </w:r>
          </w:p>
        </w:tc>
        <w:tc>
          <w:tcPr>
            <w:tcW w:w="709" w:type="dxa"/>
            <w:tcBorders>
              <w:top w:val="nil"/>
              <w:left w:val="nil"/>
              <w:bottom w:val="nil"/>
              <w:right w:val="nil"/>
            </w:tcBorders>
          </w:tcPr>
          <w:p w14:paraId="6F932D18"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-3096%</w:t>
            </w:r>
          </w:p>
        </w:tc>
        <w:tc>
          <w:tcPr>
            <w:tcW w:w="708" w:type="dxa"/>
            <w:tcBorders>
              <w:top w:val="nil"/>
              <w:left w:val="nil"/>
              <w:bottom w:val="nil"/>
              <w:right w:val="nil"/>
            </w:tcBorders>
          </w:tcPr>
          <w:p w14:paraId="7C35D8F7"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-3983%</w:t>
            </w:r>
          </w:p>
        </w:tc>
      </w:tr>
      <w:tr w:rsidR="000242DF" w:rsidRPr="00B52CC9" w14:paraId="7C13F220" w14:textId="77777777" w:rsidTr="00B90AAF">
        <w:trPr>
          <w:trHeight w:val="278"/>
        </w:trPr>
        <w:tc>
          <w:tcPr>
            <w:tcW w:w="1873" w:type="dxa"/>
            <w:tcBorders>
              <w:top w:val="nil"/>
              <w:left w:val="nil"/>
              <w:bottom w:val="nil"/>
              <w:right w:val="nil"/>
            </w:tcBorders>
          </w:tcPr>
          <w:p w14:paraId="5946FDA7"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tcPr>
          <w:p w14:paraId="137DE190"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p>
        </w:tc>
        <w:tc>
          <w:tcPr>
            <w:tcW w:w="709" w:type="dxa"/>
            <w:tcBorders>
              <w:top w:val="nil"/>
              <w:left w:val="nil"/>
              <w:bottom w:val="nil"/>
              <w:right w:val="nil"/>
            </w:tcBorders>
          </w:tcPr>
          <w:p w14:paraId="5F430862"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p>
        </w:tc>
        <w:tc>
          <w:tcPr>
            <w:tcW w:w="708" w:type="dxa"/>
            <w:tcBorders>
              <w:top w:val="nil"/>
              <w:left w:val="nil"/>
              <w:bottom w:val="nil"/>
              <w:right w:val="nil"/>
            </w:tcBorders>
          </w:tcPr>
          <w:p w14:paraId="29A584D9"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p>
        </w:tc>
        <w:tc>
          <w:tcPr>
            <w:tcW w:w="709" w:type="dxa"/>
            <w:tcBorders>
              <w:top w:val="nil"/>
              <w:left w:val="nil"/>
              <w:bottom w:val="nil"/>
              <w:right w:val="nil"/>
            </w:tcBorders>
          </w:tcPr>
          <w:p w14:paraId="4DE64C3A"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p>
        </w:tc>
        <w:tc>
          <w:tcPr>
            <w:tcW w:w="709" w:type="dxa"/>
            <w:tcBorders>
              <w:top w:val="nil"/>
              <w:left w:val="nil"/>
              <w:bottom w:val="nil"/>
              <w:right w:val="nil"/>
            </w:tcBorders>
          </w:tcPr>
          <w:p w14:paraId="17072D48"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p>
        </w:tc>
        <w:tc>
          <w:tcPr>
            <w:tcW w:w="709" w:type="dxa"/>
            <w:tcBorders>
              <w:top w:val="nil"/>
              <w:left w:val="nil"/>
              <w:bottom w:val="nil"/>
              <w:right w:val="nil"/>
            </w:tcBorders>
          </w:tcPr>
          <w:p w14:paraId="0960DF54"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p>
        </w:tc>
        <w:tc>
          <w:tcPr>
            <w:tcW w:w="708" w:type="dxa"/>
            <w:tcBorders>
              <w:top w:val="nil"/>
              <w:left w:val="nil"/>
              <w:bottom w:val="nil"/>
              <w:right w:val="nil"/>
            </w:tcBorders>
          </w:tcPr>
          <w:p w14:paraId="64644785"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p>
        </w:tc>
        <w:tc>
          <w:tcPr>
            <w:tcW w:w="851" w:type="dxa"/>
            <w:tcBorders>
              <w:top w:val="nil"/>
              <w:left w:val="nil"/>
              <w:bottom w:val="nil"/>
              <w:right w:val="nil"/>
            </w:tcBorders>
          </w:tcPr>
          <w:p w14:paraId="7618A762"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p>
        </w:tc>
        <w:tc>
          <w:tcPr>
            <w:tcW w:w="709" w:type="dxa"/>
            <w:tcBorders>
              <w:top w:val="nil"/>
              <w:left w:val="nil"/>
              <w:bottom w:val="nil"/>
              <w:right w:val="nil"/>
            </w:tcBorders>
          </w:tcPr>
          <w:p w14:paraId="2ADA5449"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p>
        </w:tc>
        <w:tc>
          <w:tcPr>
            <w:tcW w:w="708" w:type="dxa"/>
            <w:tcBorders>
              <w:top w:val="nil"/>
              <w:left w:val="nil"/>
              <w:bottom w:val="nil"/>
              <w:right w:val="nil"/>
            </w:tcBorders>
          </w:tcPr>
          <w:p w14:paraId="14E04DC3"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p>
        </w:tc>
      </w:tr>
      <w:tr w:rsidR="000242DF" w:rsidRPr="00B52CC9" w14:paraId="337BA940" w14:textId="77777777" w:rsidTr="00B90AAF">
        <w:trPr>
          <w:trHeight w:val="278"/>
        </w:trPr>
        <w:tc>
          <w:tcPr>
            <w:tcW w:w="1873" w:type="dxa"/>
            <w:tcBorders>
              <w:top w:val="nil"/>
              <w:left w:val="nil"/>
              <w:bottom w:val="nil"/>
              <w:right w:val="nil"/>
            </w:tcBorders>
          </w:tcPr>
          <w:p w14:paraId="243CAFFC"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Crédito U$10 millones</w:t>
            </w:r>
          </w:p>
        </w:tc>
        <w:tc>
          <w:tcPr>
            <w:tcW w:w="709" w:type="dxa"/>
            <w:tcBorders>
              <w:top w:val="nil"/>
              <w:left w:val="nil"/>
              <w:bottom w:val="nil"/>
              <w:right w:val="nil"/>
            </w:tcBorders>
          </w:tcPr>
          <w:p w14:paraId="473821DA"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75%</w:t>
            </w:r>
          </w:p>
        </w:tc>
        <w:tc>
          <w:tcPr>
            <w:tcW w:w="709" w:type="dxa"/>
            <w:tcBorders>
              <w:top w:val="nil"/>
              <w:left w:val="nil"/>
              <w:bottom w:val="nil"/>
              <w:right w:val="nil"/>
            </w:tcBorders>
          </w:tcPr>
          <w:p w14:paraId="4F7770BA"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52%</w:t>
            </w:r>
          </w:p>
        </w:tc>
        <w:tc>
          <w:tcPr>
            <w:tcW w:w="708" w:type="dxa"/>
            <w:tcBorders>
              <w:top w:val="nil"/>
              <w:left w:val="nil"/>
              <w:bottom w:val="nil"/>
              <w:right w:val="nil"/>
            </w:tcBorders>
          </w:tcPr>
          <w:p w14:paraId="342C62D1"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14%</w:t>
            </w:r>
          </w:p>
        </w:tc>
        <w:tc>
          <w:tcPr>
            <w:tcW w:w="709" w:type="dxa"/>
            <w:tcBorders>
              <w:top w:val="nil"/>
              <w:left w:val="nil"/>
              <w:bottom w:val="nil"/>
              <w:right w:val="nil"/>
            </w:tcBorders>
          </w:tcPr>
          <w:p w14:paraId="25D7BE33"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-53%</w:t>
            </w:r>
          </w:p>
        </w:tc>
        <w:tc>
          <w:tcPr>
            <w:tcW w:w="709" w:type="dxa"/>
            <w:tcBorders>
              <w:top w:val="nil"/>
              <w:left w:val="nil"/>
              <w:bottom w:val="nil"/>
              <w:right w:val="nil"/>
            </w:tcBorders>
          </w:tcPr>
          <w:p w14:paraId="60A86EEF"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-169%</w:t>
            </w:r>
          </w:p>
        </w:tc>
        <w:tc>
          <w:tcPr>
            <w:tcW w:w="709" w:type="dxa"/>
            <w:tcBorders>
              <w:top w:val="nil"/>
              <w:left w:val="nil"/>
              <w:bottom w:val="nil"/>
              <w:right w:val="nil"/>
            </w:tcBorders>
          </w:tcPr>
          <w:p w14:paraId="38B4C0CF"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-392%</w:t>
            </w:r>
          </w:p>
        </w:tc>
        <w:tc>
          <w:tcPr>
            <w:tcW w:w="708" w:type="dxa"/>
            <w:tcBorders>
              <w:top w:val="nil"/>
              <w:left w:val="nil"/>
              <w:bottom w:val="nil"/>
              <w:right w:val="nil"/>
            </w:tcBorders>
          </w:tcPr>
          <w:p w14:paraId="095593F4"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-889%</w:t>
            </w:r>
          </w:p>
        </w:tc>
        <w:tc>
          <w:tcPr>
            <w:tcW w:w="851" w:type="dxa"/>
            <w:tcBorders>
              <w:top w:val="nil"/>
              <w:left w:val="nil"/>
              <w:bottom w:val="nil"/>
              <w:right w:val="nil"/>
            </w:tcBorders>
          </w:tcPr>
          <w:p w14:paraId="3319A772"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-2389%</w:t>
            </w:r>
          </w:p>
        </w:tc>
        <w:tc>
          <w:tcPr>
            <w:tcW w:w="709" w:type="dxa"/>
            <w:tcBorders>
              <w:top w:val="nil"/>
              <w:left w:val="nil"/>
              <w:bottom w:val="nil"/>
              <w:right w:val="nil"/>
            </w:tcBorders>
          </w:tcPr>
          <w:p w14:paraId="7A3995E7"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-2803%</w:t>
            </w:r>
          </w:p>
        </w:tc>
        <w:tc>
          <w:tcPr>
            <w:tcW w:w="708" w:type="dxa"/>
            <w:tcBorders>
              <w:top w:val="nil"/>
              <w:left w:val="nil"/>
              <w:bottom w:val="nil"/>
              <w:right w:val="nil"/>
            </w:tcBorders>
          </w:tcPr>
          <w:p w14:paraId="0E38C8CA"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-3785%</w:t>
            </w:r>
          </w:p>
        </w:tc>
      </w:tr>
      <w:tr w:rsidR="000242DF" w:rsidRPr="00B52CC9" w14:paraId="3391F1CE" w14:textId="77777777" w:rsidTr="00B90AAF">
        <w:trPr>
          <w:trHeight w:val="278"/>
        </w:trPr>
        <w:tc>
          <w:tcPr>
            <w:tcW w:w="1873" w:type="dxa"/>
            <w:tcBorders>
              <w:top w:val="nil"/>
              <w:left w:val="nil"/>
              <w:bottom w:val="nil"/>
              <w:right w:val="nil"/>
            </w:tcBorders>
          </w:tcPr>
          <w:p w14:paraId="2A18DB1C"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Crédito U$12 millones</w:t>
            </w:r>
          </w:p>
        </w:tc>
        <w:tc>
          <w:tcPr>
            <w:tcW w:w="709" w:type="dxa"/>
            <w:tcBorders>
              <w:top w:val="nil"/>
              <w:left w:val="nil"/>
              <w:bottom w:val="nil"/>
              <w:right w:val="nil"/>
            </w:tcBorders>
          </w:tcPr>
          <w:p w14:paraId="169A995E"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74%</w:t>
            </w:r>
          </w:p>
        </w:tc>
        <w:tc>
          <w:tcPr>
            <w:tcW w:w="709" w:type="dxa"/>
            <w:tcBorders>
              <w:top w:val="nil"/>
              <w:left w:val="nil"/>
              <w:bottom w:val="nil"/>
              <w:right w:val="nil"/>
            </w:tcBorders>
          </w:tcPr>
          <w:p w14:paraId="43FA569B"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52%</w:t>
            </w:r>
          </w:p>
        </w:tc>
        <w:tc>
          <w:tcPr>
            <w:tcW w:w="708" w:type="dxa"/>
            <w:tcBorders>
              <w:top w:val="nil"/>
              <w:left w:val="nil"/>
              <w:bottom w:val="nil"/>
              <w:right w:val="nil"/>
            </w:tcBorders>
          </w:tcPr>
          <w:p w14:paraId="75D95FA2"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14%</w:t>
            </w:r>
          </w:p>
        </w:tc>
        <w:tc>
          <w:tcPr>
            <w:tcW w:w="709" w:type="dxa"/>
            <w:tcBorders>
              <w:top w:val="nil"/>
              <w:left w:val="nil"/>
              <w:bottom w:val="nil"/>
              <w:right w:val="nil"/>
            </w:tcBorders>
          </w:tcPr>
          <w:p w14:paraId="2F36B633"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-52%</w:t>
            </w:r>
          </w:p>
        </w:tc>
        <w:tc>
          <w:tcPr>
            <w:tcW w:w="709" w:type="dxa"/>
            <w:tcBorders>
              <w:top w:val="nil"/>
              <w:left w:val="nil"/>
              <w:bottom w:val="nil"/>
              <w:right w:val="nil"/>
            </w:tcBorders>
          </w:tcPr>
          <w:p w14:paraId="60F88F07"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-168%</w:t>
            </w:r>
          </w:p>
        </w:tc>
        <w:tc>
          <w:tcPr>
            <w:tcW w:w="709" w:type="dxa"/>
            <w:tcBorders>
              <w:top w:val="nil"/>
              <w:left w:val="nil"/>
              <w:bottom w:val="nil"/>
              <w:right w:val="nil"/>
            </w:tcBorders>
          </w:tcPr>
          <w:p w14:paraId="3A93EAD7"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-387%</w:t>
            </w:r>
          </w:p>
        </w:tc>
        <w:tc>
          <w:tcPr>
            <w:tcW w:w="708" w:type="dxa"/>
            <w:tcBorders>
              <w:top w:val="nil"/>
              <w:left w:val="nil"/>
              <w:bottom w:val="nil"/>
              <w:right w:val="nil"/>
            </w:tcBorders>
          </w:tcPr>
          <w:p w14:paraId="57A51824"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-874%</w:t>
            </w:r>
          </w:p>
        </w:tc>
        <w:tc>
          <w:tcPr>
            <w:tcW w:w="851" w:type="dxa"/>
            <w:tcBorders>
              <w:top w:val="nil"/>
              <w:left w:val="nil"/>
              <w:bottom w:val="nil"/>
              <w:right w:val="nil"/>
            </w:tcBorders>
          </w:tcPr>
          <w:p w14:paraId="739BF557"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-2315%</w:t>
            </w:r>
          </w:p>
        </w:tc>
        <w:tc>
          <w:tcPr>
            <w:tcW w:w="709" w:type="dxa"/>
            <w:tcBorders>
              <w:top w:val="nil"/>
              <w:left w:val="nil"/>
              <w:bottom w:val="nil"/>
              <w:right w:val="nil"/>
            </w:tcBorders>
          </w:tcPr>
          <w:p w14:paraId="412009C2"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-2751%</w:t>
            </w:r>
          </w:p>
        </w:tc>
        <w:tc>
          <w:tcPr>
            <w:tcW w:w="708" w:type="dxa"/>
            <w:tcBorders>
              <w:top w:val="nil"/>
              <w:left w:val="nil"/>
              <w:bottom w:val="nil"/>
              <w:right w:val="nil"/>
            </w:tcBorders>
          </w:tcPr>
          <w:p w14:paraId="05233AC3"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-3747%</w:t>
            </w:r>
          </w:p>
        </w:tc>
      </w:tr>
      <w:tr w:rsidR="000242DF" w:rsidRPr="00B52CC9" w14:paraId="635C5296" w14:textId="77777777" w:rsidTr="00B90AAF">
        <w:trPr>
          <w:trHeight w:val="278"/>
        </w:trPr>
        <w:tc>
          <w:tcPr>
            <w:tcW w:w="1873" w:type="dxa"/>
            <w:tcBorders>
              <w:top w:val="nil"/>
              <w:left w:val="nil"/>
              <w:bottom w:val="nil"/>
              <w:right w:val="nil"/>
            </w:tcBorders>
          </w:tcPr>
          <w:p w14:paraId="00F630B3"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Crédito U$15 millones</w:t>
            </w:r>
          </w:p>
        </w:tc>
        <w:tc>
          <w:tcPr>
            <w:tcW w:w="709" w:type="dxa"/>
            <w:tcBorders>
              <w:top w:val="nil"/>
              <w:left w:val="nil"/>
              <w:bottom w:val="nil"/>
              <w:right w:val="nil"/>
            </w:tcBorders>
          </w:tcPr>
          <w:p w14:paraId="7FB6F3BA"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74%</w:t>
            </w:r>
          </w:p>
        </w:tc>
        <w:tc>
          <w:tcPr>
            <w:tcW w:w="709" w:type="dxa"/>
            <w:tcBorders>
              <w:top w:val="nil"/>
              <w:left w:val="nil"/>
              <w:bottom w:val="nil"/>
              <w:right w:val="nil"/>
            </w:tcBorders>
          </w:tcPr>
          <w:p w14:paraId="28B12953"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52%</w:t>
            </w:r>
          </w:p>
        </w:tc>
        <w:tc>
          <w:tcPr>
            <w:tcW w:w="708" w:type="dxa"/>
            <w:tcBorders>
              <w:top w:val="nil"/>
              <w:left w:val="nil"/>
              <w:bottom w:val="nil"/>
              <w:right w:val="nil"/>
            </w:tcBorders>
          </w:tcPr>
          <w:p w14:paraId="2F8B12AB"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13%</w:t>
            </w:r>
          </w:p>
        </w:tc>
        <w:tc>
          <w:tcPr>
            <w:tcW w:w="709" w:type="dxa"/>
            <w:tcBorders>
              <w:top w:val="nil"/>
              <w:left w:val="nil"/>
              <w:bottom w:val="nil"/>
              <w:right w:val="nil"/>
            </w:tcBorders>
          </w:tcPr>
          <w:p w14:paraId="055808D6"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-52%</w:t>
            </w:r>
          </w:p>
        </w:tc>
        <w:tc>
          <w:tcPr>
            <w:tcW w:w="709" w:type="dxa"/>
            <w:tcBorders>
              <w:top w:val="nil"/>
              <w:left w:val="nil"/>
              <w:bottom w:val="nil"/>
              <w:right w:val="nil"/>
            </w:tcBorders>
          </w:tcPr>
          <w:p w14:paraId="1D579DA3"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-166%</w:t>
            </w:r>
          </w:p>
        </w:tc>
        <w:tc>
          <w:tcPr>
            <w:tcW w:w="709" w:type="dxa"/>
            <w:tcBorders>
              <w:top w:val="nil"/>
              <w:left w:val="nil"/>
              <w:bottom w:val="nil"/>
              <w:right w:val="nil"/>
            </w:tcBorders>
          </w:tcPr>
          <w:p w14:paraId="454729EA"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-381%</w:t>
            </w:r>
          </w:p>
        </w:tc>
        <w:tc>
          <w:tcPr>
            <w:tcW w:w="708" w:type="dxa"/>
            <w:tcBorders>
              <w:top w:val="nil"/>
              <w:left w:val="nil"/>
              <w:bottom w:val="nil"/>
              <w:right w:val="nil"/>
            </w:tcBorders>
          </w:tcPr>
          <w:p w14:paraId="561FDC95"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-853%</w:t>
            </w:r>
          </w:p>
        </w:tc>
        <w:tc>
          <w:tcPr>
            <w:tcW w:w="851" w:type="dxa"/>
            <w:tcBorders>
              <w:top w:val="nil"/>
              <w:left w:val="nil"/>
              <w:bottom w:val="nil"/>
              <w:right w:val="nil"/>
            </w:tcBorders>
          </w:tcPr>
          <w:p w14:paraId="1F5E3385"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-2212%</w:t>
            </w:r>
          </w:p>
        </w:tc>
        <w:tc>
          <w:tcPr>
            <w:tcW w:w="709" w:type="dxa"/>
            <w:tcBorders>
              <w:top w:val="nil"/>
              <w:left w:val="nil"/>
              <w:bottom w:val="nil"/>
              <w:right w:val="nil"/>
            </w:tcBorders>
          </w:tcPr>
          <w:p w14:paraId="7BEB44AA"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-2676%</w:t>
            </w:r>
          </w:p>
        </w:tc>
        <w:tc>
          <w:tcPr>
            <w:tcW w:w="708" w:type="dxa"/>
            <w:tcBorders>
              <w:top w:val="nil"/>
              <w:left w:val="nil"/>
              <w:bottom w:val="nil"/>
              <w:right w:val="nil"/>
            </w:tcBorders>
          </w:tcPr>
          <w:p w14:paraId="0BB61550"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-3693%</w:t>
            </w:r>
          </w:p>
        </w:tc>
      </w:tr>
      <w:tr w:rsidR="000242DF" w:rsidRPr="00B52CC9" w14:paraId="53E27388" w14:textId="77777777" w:rsidTr="00B90AAF">
        <w:trPr>
          <w:trHeight w:val="278"/>
        </w:trPr>
        <w:tc>
          <w:tcPr>
            <w:tcW w:w="1873" w:type="dxa"/>
            <w:tcBorders>
              <w:top w:val="nil"/>
              <w:left w:val="nil"/>
              <w:bottom w:val="nil"/>
              <w:right w:val="nil"/>
            </w:tcBorders>
          </w:tcPr>
          <w:p w14:paraId="67D92AFE"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Crédito U$18 millones</w:t>
            </w:r>
          </w:p>
        </w:tc>
        <w:tc>
          <w:tcPr>
            <w:tcW w:w="709" w:type="dxa"/>
            <w:tcBorders>
              <w:top w:val="nil"/>
              <w:left w:val="nil"/>
              <w:bottom w:val="nil"/>
              <w:right w:val="nil"/>
            </w:tcBorders>
          </w:tcPr>
          <w:p w14:paraId="11533EB3"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74%</w:t>
            </w:r>
          </w:p>
        </w:tc>
        <w:tc>
          <w:tcPr>
            <w:tcW w:w="709" w:type="dxa"/>
            <w:tcBorders>
              <w:top w:val="nil"/>
              <w:left w:val="nil"/>
              <w:bottom w:val="nil"/>
              <w:right w:val="nil"/>
            </w:tcBorders>
          </w:tcPr>
          <w:p w14:paraId="41990622"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51%</w:t>
            </w:r>
          </w:p>
        </w:tc>
        <w:tc>
          <w:tcPr>
            <w:tcW w:w="708" w:type="dxa"/>
            <w:tcBorders>
              <w:top w:val="nil"/>
              <w:left w:val="nil"/>
              <w:bottom w:val="nil"/>
              <w:right w:val="nil"/>
            </w:tcBorders>
          </w:tcPr>
          <w:p w14:paraId="268D2D88"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13%</w:t>
            </w:r>
          </w:p>
        </w:tc>
        <w:tc>
          <w:tcPr>
            <w:tcW w:w="709" w:type="dxa"/>
            <w:tcBorders>
              <w:top w:val="nil"/>
              <w:left w:val="nil"/>
              <w:bottom w:val="nil"/>
              <w:right w:val="nil"/>
            </w:tcBorders>
          </w:tcPr>
          <w:p w14:paraId="11187275"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-51%</w:t>
            </w:r>
          </w:p>
        </w:tc>
        <w:tc>
          <w:tcPr>
            <w:tcW w:w="709" w:type="dxa"/>
            <w:tcBorders>
              <w:top w:val="nil"/>
              <w:left w:val="nil"/>
              <w:bottom w:val="nil"/>
              <w:right w:val="nil"/>
            </w:tcBorders>
          </w:tcPr>
          <w:p w14:paraId="71EBA0E2"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-164%</w:t>
            </w:r>
          </w:p>
        </w:tc>
        <w:tc>
          <w:tcPr>
            <w:tcW w:w="709" w:type="dxa"/>
            <w:tcBorders>
              <w:top w:val="nil"/>
              <w:left w:val="nil"/>
              <w:bottom w:val="nil"/>
              <w:right w:val="nil"/>
            </w:tcBorders>
          </w:tcPr>
          <w:p w14:paraId="7787E8A6"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-375%</w:t>
            </w:r>
          </w:p>
        </w:tc>
        <w:tc>
          <w:tcPr>
            <w:tcW w:w="708" w:type="dxa"/>
            <w:tcBorders>
              <w:top w:val="nil"/>
              <w:left w:val="nil"/>
              <w:bottom w:val="nil"/>
              <w:right w:val="nil"/>
            </w:tcBorders>
          </w:tcPr>
          <w:p w14:paraId="33F50D62"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-834%</w:t>
            </w:r>
          </w:p>
        </w:tc>
        <w:tc>
          <w:tcPr>
            <w:tcW w:w="851" w:type="dxa"/>
            <w:tcBorders>
              <w:top w:val="nil"/>
              <w:left w:val="nil"/>
              <w:bottom w:val="nil"/>
              <w:right w:val="nil"/>
            </w:tcBorders>
          </w:tcPr>
          <w:p w14:paraId="5B0F43CA"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-2117%</w:t>
            </w:r>
          </w:p>
        </w:tc>
        <w:tc>
          <w:tcPr>
            <w:tcW w:w="709" w:type="dxa"/>
            <w:tcBorders>
              <w:top w:val="nil"/>
              <w:left w:val="nil"/>
              <w:bottom w:val="nil"/>
              <w:right w:val="nil"/>
            </w:tcBorders>
          </w:tcPr>
          <w:p w14:paraId="73A87864"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-2606%</w:t>
            </w:r>
          </w:p>
        </w:tc>
        <w:tc>
          <w:tcPr>
            <w:tcW w:w="708" w:type="dxa"/>
            <w:tcBorders>
              <w:top w:val="nil"/>
              <w:left w:val="nil"/>
              <w:bottom w:val="nil"/>
              <w:right w:val="nil"/>
            </w:tcBorders>
          </w:tcPr>
          <w:p w14:paraId="211F96A1" w14:textId="77777777" w:rsidR="000242DF" w:rsidRPr="007A080F"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6"/>
                <w:szCs w:val="16"/>
                <w:lang w:val="es-ES" w:eastAsia="es-ES"/>
              </w:rPr>
            </w:pPr>
            <w:r w:rsidRPr="007A080F">
              <w:rPr>
                <w:rFonts w:ascii="Times New Roman" w:hAnsi="Times New Roman" w:cs="Times New Roman"/>
                <w:color w:val="000000"/>
                <w:sz w:val="16"/>
                <w:szCs w:val="16"/>
                <w:lang w:val="es-ES" w:eastAsia="es-ES"/>
              </w:rPr>
              <w:t>-3640%</w:t>
            </w:r>
          </w:p>
        </w:tc>
      </w:tr>
    </w:tbl>
    <w:p w14:paraId="31770877" w14:textId="77777777" w:rsidR="000242DF" w:rsidRPr="00B52CC9" w:rsidRDefault="000242DF" w:rsidP="000242DF">
      <w:pPr>
        <w:spacing w:line="240" w:lineRule="auto"/>
        <w:rPr>
          <w:rFonts w:ascii="Times New Roman" w:hAnsi="Times New Roman" w:cs="Times New Roman"/>
          <w:sz w:val="24"/>
          <w:szCs w:val="24"/>
        </w:rPr>
      </w:pPr>
    </w:p>
    <w:tbl>
      <w:tblPr>
        <w:tblW w:w="0" w:type="auto"/>
        <w:tblInd w:w="40" w:type="dxa"/>
        <w:tblLayout w:type="fixed"/>
        <w:tblCellMar>
          <w:left w:w="70" w:type="dxa"/>
          <w:right w:w="70" w:type="dxa"/>
        </w:tblCellMar>
        <w:tblLook w:val="0000" w:firstRow="0" w:lastRow="0" w:firstColumn="0" w:lastColumn="0" w:noHBand="0" w:noVBand="0"/>
      </w:tblPr>
      <w:tblGrid>
        <w:gridCol w:w="1873"/>
        <w:gridCol w:w="709"/>
        <w:gridCol w:w="709"/>
        <w:gridCol w:w="708"/>
        <w:gridCol w:w="709"/>
        <w:gridCol w:w="709"/>
        <w:gridCol w:w="709"/>
        <w:gridCol w:w="708"/>
        <w:gridCol w:w="709"/>
        <w:gridCol w:w="709"/>
        <w:gridCol w:w="709"/>
      </w:tblGrid>
      <w:tr w:rsidR="000242DF" w:rsidRPr="00B52CC9" w14:paraId="42CDD757" w14:textId="77777777" w:rsidTr="00B90AAF">
        <w:trPr>
          <w:trHeight w:val="278"/>
        </w:trPr>
        <w:tc>
          <w:tcPr>
            <w:tcW w:w="4708" w:type="dxa"/>
            <w:gridSpan w:val="5"/>
            <w:tcBorders>
              <w:top w:val="nil"/>
              <w:left w:val="nil"/>
              <w:bottom w:val="nil"/>
              <w:right w:val="nil"/>
            </w:tcBorders>
          </w:tcPr>
          <w:p w14:paraId="3E8C91D3"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b/>
                <w:color w:val="000000"/>
                <w:sz w:val="18"/>
                <w:szCs w:val="18"/>
                <w:lang w:val="es-ES" w:eastAsia="es-ES"/>
              </w:rPr>
            </w:pPr>
            <w:r w:rsidRPr="00B52CC9">
              <w:rPr>
                <w:rFonts w:ascii="Times New Roman" w:hAnsi="Times New Roman" w:cs="Times New Roman"/>
                <w:b/>
                <w:color w:val="000000"/>
                <w:sz w:val="18"/>
                <w:szCs w:val="18"/>
                <w:lang w:val="es-ES" w:eastAsia="es-ES"/>
              </w:rPr>
              <w:t>Intereses corrientes como porcentaje del ahorro operacional</w:t>
            </w:r>
          </w:p>
        </w:tc>
        <w:tc>
          <w:tcPr>
            <w:tcW w:w="709" w:type="dxa"/>
            <w:tcBorders>
              <w:top w:val="nil"/>
              <w:left w:val="nil"/>
              <w:bottom w:val="nil"/>
              <w:right w:val="nil"/>
            </w:tcBorders>
          </w:tcPr>
          <w:p w14:paraId="31C32844" w14:textId="77777777" w:rsidR="000242DF" w:rsidRPr="00B52CC9" w:rsidRDefault="000242DF" w:rsidP="00B90AAF">
            <w:pPr>
              <w:widowControl w:val="0"/>
              <w:autoSpaceDE w:val="0"/>
              <w:autoSpaceDN w:val="0"/>
              <w:adjustRightInd w:val="0"/>
              <w:spacing w:after="0" w:line="240" w:lineRule="auto"/>
              <w:jc w:val="center"/>
              <w:rPr>
                <w:rFonts w:ascii="Times New Roman" w:hAnsi="Times New Roman" w:cs="Times New Roman"/>
                <w:b/>
                <w:color w:val="000000"/>
                <w:sz w:val="18"/>
                <w:szCs w:val="18"/>
                <w:lang w:val="es-ES" w:eastAsia="es-ES"/>
              </w:rPr>
            </w:pPr>
          </w:p>
        </w:tc>
        <w:tc>
          <w:tcPr>
            <w:tcW w:w="709" w:type="dxa"/>
            <w:tcBorders>
              <w:top w:val="nil"/>
              <w:left w:val="nil"/>
              <w:bottom w:val="nil"/>
              <w:right w:val="nil"/>
            </w:tcBorders>
          </w:tcPr>
          <w:p w14:paraId="26EC7FA9" w14:textId="77777777" w:rsidR="000242DF" w:rsidRPr="00B52CC9" w:rsidRDefault="000242DF" w:rsidP="00B90AAF">
            <w:pPr>
              <w:widowControl w:val="0"/>
              <w:autoSpaceDE w:val="0"/>
              <w:autoSpaceDN w:val="0"/>
              <w:adjustRightInd w:val="0"/>
              <w:spacing w:after="0" w:line="240" w:lineRule="auto"/>
              <w:jc w:val="center"/>
              <w:rPr>
                <w:rFonts w:ascii="Times New Roman" w:hAnsi="Times New Roman" w:cs="Times New Roman"/>
                <w:b/>
                <w:color w:val="000000"/>
                <w:sz w:val="18"/>
                <w:szCs w:val="18"/>
                <w:lang w:val="es-ES" w:eastAsia="es-ES"/>
              </w:rPr>
            </w:pPr>
          </w:p>
        </w:tc>
        <w:tc>
          <w:tcPr>
            <w:tcW w:w="708" w:type="dxa"/>
            <w:tcBorders>
              <w:top w:val="nil"/>
              <w:left w:val="nil"/>
              <w:bottom w:val="nil"/>
              <w:right w:val="nil"/>
            </w:tcBorders>
          </w:tcPr>
          <w:p w14:paraId="59EA50C2" w14:textId="77777777" w:rsidR="000242DF" w:rsidRPr="00B52CC9" w:rsidRDefault="000242DF" w:rsidP="00B90AAF">
            <w:pPr>
              <w:widowControl w:val="0"/>
              <w:autoSpaceDE w:val="0"/>
              <w:autoSpaceDN w:val="0"/>
              <w:adjustRightInd w:val="0"/>
              <w:spacing w:after="0" w:line="240" w:lineRule="auto"/>
              <w:jc w:val="center"/>
              <w:rPr>
                <w:rFonts w:ascii="Times New Roman" w:hAnsi="Times New Roman" w:cs="Times New Roman"/>
                <w:b/>
                <w:color w:val="000000"/>
                <w:sz w:val="18"/>
                <w:szCs w:val="18"/>
                <w:lang w:val="es-ES" w:eastAsia="es-ES"/>
              </w:rPr>
            </w:pPr>
          </w:p>
        </w:tc>
        <w:tc>
          <w:tcPr>
            <w:tcW w:w="709" w:type="dxa"/>
            <w:tcBorders>
              <w:top w:val="nil"/>
              <w:left w:val="nil"/>
              <w:bottom w:val="nil"/>
              <w:right w:val="nil"/>
            </w:tcBorders>
          </w:tcPr>
          <w:p w14:paraId="0D28FE91" w14:textId="77777777" w:rsidR="000242DF" w:rsidRPr="00B52CC9" w:rsidRDefault="000242DF" w:rsidP="00B90AAF">
            <w:pPr>
              <w:widowControl w:val="0"/>
              <w:autoSpaceDE w:val="0"/>
              <w:autoSpaceDN w:val="0"/>
              <w:adjustRightInd w:val="0"/>
              <w:spacing w:after="0" w:line="240" w:lineRule="auto"/>
              <w:jc w:val="center"/>
              <w:rPr>
                <w:rFonts w:ascii="Times New Roman" w:hAnsi="Times New Roman" w:cs="Times New Roman"/>
                <w:b/>
                <w:color w:val="000000"/>
                <w:sz w:val="18"/>
                <w:szCs w:val="18"/>
                <w:lang w:val="es-ES" w:eastAsia="es-ES"/>
              </w:rPr>
            </w:pPr>
          </w:p>
        </w:tc>
        <w:tc>
          <w:tcPr>
            <w:tcW w:w="709" w:type="dxa"/>
            <w:tcBorders>
              <w:top w:val="nil"/>
              <w:left w:val="nil"/>
              <w:bottom w:val="nil"/>
              <w:right w:val="nil"/>
            </w:tcBorders>
          </w:tcPr>
          <w:p w14:paraId="78BABD37" w14:textId="77777777" w:rsidR="000242DF" w:rsidRPr="00B52CC9" w:rsidRDefault="000242DF" w:rsidP="00B90AAF">
            <w:pPr>
              <w:widowControl w:val="0"/>
              <w:autoSpaceDE w:val="0"/>
              <w:autoSpaceDN w:val="0"/>
              <w:adjustRightInd w:val="0"/>
              <w:spacing w:after="0" w:line="240" w:lineRule="auto"/>
              <w:jc w:val="center"/>
              <w:rPr>
                <w:rFonts w:ascii="Times New Roman" w:hAnsi="Times New Roman" w:cs="Times New Roman"/>
                <w:b/>
                <w:color w:val="000000"/>
                <w:sz w:val="18"/>
                <w:szCs w:val="18"/>
                <w:lang w:val="es-ES" w:eastAsia="es-ES"/>
              </w:rPr>
            </w:pPr>
          </w:p>
        </w:tc>
        <w:tc>
          <w:tcPr>
            <w:tcW w:w="709" w:type="dxa"/>
            <w:tcBorders>
              <w:top w:val="nil"/>
              <w:left w:val="nil"/>
              <w:bottom w:val="nil"/>
              <w:right w:val="nil"/>
            </w:tcBorders>
          </w:tcPr>
          <w:p w14:paraId="2EF9DE31" w14:textId="77777777" w:rsidR="000242DF" w:rsidRPr="00B52CC9" w:rsidRDefault="000242DF" w:rsidP="00B90AAF">
            <w:pPr>
              <w:widowControl w:val="0"/>
              <w:autoSpaceDE w:val="0"/>
              <w:autoSpaceDN w:val="0"/>
              <w:adjustRightInd w:val="0"/>
              <w:spacing w:after="0" w:line="240" w:lineRule="auto"/>
              <w:jc w:val="center"/>
              <w:rPr>
                <w:rFonts w:ascii="Times New Roman" w:hAnsi="Times New Roman" w:cs="Times New Roman"/>
                <w:b/>
                <w:color w:val="000000"/>
                <w:sz w:val="18"/>
                <w:szCs w:val="18"/>
                <w:lang w:val="es-ES" w:eastAsia="es-ES"/>
              </w:rPr>
            </w:pPr>
          </w:p>
        </w:tc>
      </w:tr>
      <w:tr w:rsidR="000242DF" w:rsidRPr="00B52CC9" w14:paraId="78C15523" w14:textId="77777777" w:rsidTr="00B90AAF">
        <w:trPr>
          <w:trHeight w:val="278"/>
        </w:trPr>
        <w:tc>
          <w:tcPr>
            <w:tcW w:w="1873" w:type="dxa"/>
            <w:tcBorders>
              <w:top w:val="nil"/>
              <w:left w:val="nil"/>
              <w:bottom w:val="nil"/>
              <w:right w:val="nil"/>
            </w:tcBorders>
          </w:tcPr>
          <w:p w14:paraId="6DCB00C4"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shd w:val="clear" w:color="A2BD90" w:fill="548DD4" w:themeFill="text2" w:themeFillTint="99"/>
          </w:tcPr>
          <w:p w14:paraId="1FE94914"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2013</w:t>
            </w:r>
          </w:p>
        </w:tc>
        <w:tc>
          <w:tcPr>
            <w:tcW w:w="709" w:type="dxa"/>
            <w:tcBorders>
              <w:top w:val="nil"/>
              <w:left w:val="nil"/>
              <w:bottom w:val="nil"/>
              <w:right w:val="nil"/>
            </w:tcBorders>
            <w:shd w:val="clear" w:color="A2BD90" w:fill="548DD4" w:themeFill="text2" w:themeFillTint="99"/>
          </w:tcPr>
          <w:p w14:paraId="53A55111"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2014</w:t>
            </w:r>
          </w:p>
        </w:tc>
        <w:tc>
          <w:tcPr>
            <w:tcW w:w="708" w:type="dxa"/>
            <w:tcBorders>
              <w:top w:val="nil"/>
              <w:left w:val="nil"/>
              <w:bottom w:val="nil"/>
              <w:right w:val="nil"/>
            </w:tcBorders>
            <w:shd w:val="clear" w:color="A2BD90" w:fill="548DD4" w:themeFill="text2" w:themeFillTint="99"/>
          </w:tcPr>
          <w:p w14:paraId="0823D9FD"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2015</w:t>
            </w:r>
          </w:p>
        </w:tc>
        <w:tc>
          <w:tcPr>
            <w:tcW w:w="709" w:type="dxa"/>
            <w:tcBorders>
              <w:top w:val="nil"/>
              <w:left w:val="nil"/>
              <w:bottom w:val="nil"/>
              <w:right w:val="nil"/>
            </w:tcBorders>
            <w:shd w:val="clear" w:color="A2BD90" w:fill="548DD4" w:themeFill="text2" w:themeFillTint="99"/>
          </w:tcPr>
          <w:p w14:paraId="626E6619"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2016</w:t>
            </w:r>
          </w:p>
        </w:tc>
        <w:tc>
          <w:tcPr>
            <w:tcW w:w="709" w:type="dxa"/>
            <w:tcBorders>
              <w:top w:val="nil"/>
              <w:left w:val="nil"/>
              <w:bottom w:val="nil"/>
              <w:right w:val="nil"/>
            </w:tcBorders>
            <w:shd w:val="clear" w:color="A2BD90" w:fill="548DD4" w:themeFill="text2" w:themeFillTint="99"/>
          </w:tcPr>
          <w:p w14:paraId="404FA6D9"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2017</w:t>
            </w:r>
          </w:p>
        </w:tc>
        <w:tc>
          <w:tcPr>
            <w:tcW w:w="709" w:type="dxa"/>
            <w:tcBorders>
              <w:top w:val="nil"/>
              <w:left w:val="nil"/>
              <w:bottom w:val="nil"/>
              <w:right w:val="nil"/>
            </w:tcBorders>
            <w:shd w:val="clear" w:color="A2BD90" w:fill="548DD4" w:themeFill="text2" w:themeFillTint="99"/>
          </w:tcPr>
          <w:p w14:paraId="4AC09D89"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2018</w:t>
            </w:r>
          </w:p>
        </w:tc>
        <w:tc>
          <w:tcPr>
            <w:tcW w:w="708" w:type="dxa"/>
            <w:tcBorders>
              <w:top w:val="nil"/>
              <w:left w:val="nil"/>
              <w:bottom w:val="nil"/>
              <w:right w:val="nil"/>
            </w:tcBorders>
            <w:shd w:val="clear" w:color="A2BD90" w:fill="548DD4" w:themeFill="text2" w:themeFillTint="99"/>
          </w:tcPr>
          <w:p w14:paraId="5A686E47"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2019</w:t>
            </w:r>
          </w:p>
        </w:tc>
        <w:tc>
          <w:tcPr>
            <w:tcW w:w="709" w:type="dxa"/>
            <w:tcBorders>
              <w:top w:val="nil"/>
              <w:left w:val="nil"/>
              <w:bottom w:val="nil"/>
              <w:right w:val="nil"/>
            </w:tcBorders>
            <w:shd w:val="clear" w:color="A2BD90" w:fill="548DD4" w:themeFill="text2" w:themeFillTint="99"/>
          </w:tcPr>
          <w:p w14:paraId="735B8E01"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2020</w:t>
            </w:r>
          </w:p>
        </w:tc>
        <w:tc>
          <w:tcPr>
            <w:tcW w:w="709" w:type="dxa"/>
            <w:tcBorders>
              <w:top w:val="nil"/>
              <w:left w:val="nil"/>
              <w:bottom w:val="nil"/>
              <w:right w:val="nil"/>
            </w:tcBorders>
            <w:shd w:val="clear" w:color="A2BD90" w:fill="548DD4" w:themeFill="text2" w:themeFillTint="99"/>
          </w:tcPr>
          <w:p w14:paraId="1A63B201"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2021</w:t>
            </w:r>
          </w:p>
        </w:tc>
        <w:tc>
          <w:tcPr>
            <w:tcW w:w="709" w:type="dxa"/>
            <w:tcBorders>
              <w:top w:val="nil"/>
              <w:left w:val="nil"/>
              <w:bottom w:val="nil"/>
              <w:right w:val="nil"/>
            </w:tcBorders>
            <w:shd w:val="clear" w:color="A2BD90" w:fill="548DD4" w:themeFill="text2" w:themeFillTint="99"/>
          </w:tcPr>
          <w:p w14:paraId="7DB08A94"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2022</w:t>
            </w:r>
          </w:p>
        </w:tc>
      </w:tr>
      <w:tr w:rsidR="000242DF" w:rsidRPr="00B52CC9" w14:paraId="22C942D2" w14:textId="77777777" w:rsidTr="00B90AAF">
        <w:trPr>
          <w:trHeight w:val="278"/>
        </w:trPr>
        <w:tc>
          <w:tcPr>
            <w:tcW w:w="1873" w:type="dxa"/>
            <w:tcBorders>
              <w:top w:val="nil"/>
              <w:left w:val="nil"/>
              <w:bottom w:val="nil"/>
              <w:right w:val="nil"/>
            </w:tcBorders>
          </w:tcPr>
          <w:p w14:paraId="2BEC05D8"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Escenario Base</w:t>
            </w:r>
          </w:p>
        </w:tc>
        <w:tc>
          <w:tcPr>
            <w:tcW w:w="709" w:type="dxa"/>
            <w:tcBorders>
              <w:top w:val="nil"/>
              <w:left w:val="nil"/>
              <w:bottom w:val="nil"/>
              <w:right w:val="nil"/>
            </w:tcBorders>
          </w:tcPr>
          <w:p w14:paraId="18A8F920"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7,21%</w:t>
            </w:r>
          </w:p>
        </w:tc>
        <w:tc>
          <w:tcPr>
            <w:tcW w:w="709" w:type="dxa"/>
            <w:tcBorders>
              <w:top w:val="nil"/>
              <w:left w:val="nil"/>
              <w:bottom w:val="nil"/>
              <w:right w:val="nil"/>
            </w:tcBorders>
          </w:tcPr>
          <w:p w14:paraId="256A094F"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5,92%</w:t>
            </w:r>
          </w:p>
        </w:tc>
        <w:tc>
          <w:tcPr>
            <w:tcW w:w="708" w:type="dxa"/>
            <w:tcBorders>
              <w:top w:val="nil"/>
              <w:left w:val="nil"/>
              <w:bottom w:val="nil"/>
              <w:right w:val="nil"/>
            </w:tcBorders>
          </w:tcPr>
          <w:p w14:paraId="6FF3D684"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4,79%</w:t>
            </w:r>
          </w:p>
        </w:tc>
        <w:tc>
          <w:tcPr>
            <w:tcW w:w="709" w:type="dxa"/>
            <w:tcBorders>
              <w:top w:val="nil"/>
              <w:left w:val="nil"/>
              <w:bottom w:val="nil"/>
              <w:right w:val="nil"/>
            </w:tcBorders>
          </w:tcPr>
          <w:p w14:paraId="78797658"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3,76%</w:t>
            </w:r>
          </w:p>
        </w:tc>
        <w:tc>
          <w:tcPr>
            <w:tcW w:w="709" w:type="dxa"/>
            <w:tcBorders>
              <w:top w:val="nil"/>
              <w:left w:val="nil"/>
              <w:bottom w:val="nil"/>
              <w:right w:val="nil"/>
            </w:tcBorders>
          </w:tcPr>
          <w:p w14:paraId="66BDF97D"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2,83%</w:t>
            </w:r>
          </w:p>
        </w:tc>
        <w:tc>
          <w:tcPr>
            <w:tcW w:w="709" w:type="dxa"/>
            <w:tcBorders>
              <w:top w:val="nil"/>
              <w:left w:val="nil"/>
              <w:bottom w:val="nil"/>
              <w:right w:val="nil"/>
            </w:tcBorders>
          </w:tcPr>
          <w:p w14:paraId="2119236D"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1,98%</w:t>
            </w:r>
          </w:p>
        </w:tc>
        <w:tc>
          <w:tcPr>
            <w:tcW w:w="708" w:type="dxa"/>
            <w:tcBorders>
              <w:top w:val="nil"/>
              <w:left w:val="nil"/>
              <w:bottom w:val="nil"/>
              <w:right w:val="nil"/>
            </w:tcBorders>
          </w:tcPr>
          <w:p w14:paraId="5C70DF78"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1,21%</w:t>
            </w:r>
          </w:p>
        </w:tc>
        <w:tc>
          <w:tcPr>
            <w:tcW w:w="709" w:type="dxa"/>
            <w:tcBorders>
              <w:top w:val="nil"/>
              <w:left w:val="nil"/>
              <w:bottom w:val="nil"/>
              <w:right w:val="nil"/>
            </w:tcBorders>
          </w:tcPr>
          <w:p w14:paraId="7139D462"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0,54%</w:t>
            </w:r>
          </w:p>
        </w:tc>
        <w:tc>
          <w:tcPr>
            <w:tcW w:w="709" w:type="dxa"/>
            <w:tcBorders>
              <w:top w:val="nil"/>
              <w:left w:val="nil"/>
              <w:bottom w:val="nil"/>
              <w:right w:val="nil"/>
            </w:tcBorders>
          </w:tcPr>
          <w:p w14:paraId="5295B2FB"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0,63%</w:t>
            </w:r>
          </w:p>
        </w:tc>
        <w:tc>
          <w:tcPr>
            <w:tcW w:w="709" w:type="dxa"/>
            <w:tcBorders>
              <w:top w:val="nil"/>
              <w:left w:val="nil"/>
              <w:bottom w:val="nil"/>
              <w:right w:val="nil"/>
            </w:tcBorders>
          </w:tcPr>
          <w:p w14:paraId="540018EE"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0,61%</w:t>
            </w:r>
          </w:p>
        </w:tc>
      </w:tr>
      <w:tr w:rsidR="000242DF" w:rsidRPr="00B52CC9" w14:paraId="7FA4027E" w14:textId="77777777" w:rsidTr="00B90AAF">
        <w:trPr>
          <w:trHeight w:val="278"/>
        </w:trPr>
        <w:tc>
          <w:tcPr>
            <w:tcW w:w="1873" w:type="dxa"/>
            <w:tcBorders>
              <w:top w:val="nil"/>
              <w:left w:val="nil"/>
              <w:bottom w:val="nil"/>
              <w:right w:val="nil"/>
            </w:tcBorders>
          </w:tcPr>
          <w:p w14:paraId="1E153C65"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tcPr>
          <w:p w14:paraId="2FBABAD2"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tcPr>
          <w:p w14:paraId="299DD2BF"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8" w:type="dxa"/>
            <w:tcBorders>
              <w:top w:val="nil"/>
              <w:left w:val="nil"/>
              <w:bottom w:val="nil"/>
              <w:right w:val="nil"/>
            </w:tcBorders>
          </w:tcPr>
          <w:p w14:paraId="26AAB5AA"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tcPr>
          <w:p w14:paraId="7E081126"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tcPr>
          <w:p w14:paraId="1686C935"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tcPr>
          <w:p w14:paraId="4BE1A708"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8" w:type="dxa"/>
            <w:tcBorders>
              <w:top w:val="nil"/>
              <w:left w:val="nil"/>
              <w:bottom w:val="nil"/>
              <w:right w:val="nil"/>
            </w:tcBorders>
          </w:tcPr>
          <w:p w14:paraId="2AD1C143"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tcPr>
          <w:p w14:paraId="4BEFFBA2"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tcPr>
          <w:p w14:paraId="50955CF4"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c>
          <w:tcPr>
            <w:tcW w:w="709" w:type="dxa"/>
            <w:tcBorders>
              <w:top w:val="nil"/>
              <w:left w:val="nil"/>
              <w:bottom w:val="nil"/>
              <w:right w:val="nil"/>
            </w:tcBorders>
          </w:tcPr>
          <w:p w14:paraId="0D1BD416"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p>
        </w:tc>
      </w:tr>
      <w:tr w:rsidR="000242DF" w:rsidRPr="00B52CC9" w14:paraId="6BF7C236" w14:textId="77777777" w:rsidTr="00B90AAF">
        <w:trPr>
          <w:trHeight w:val="278"/>
        </w:trPr>
        <w:tc>
          <w:tcPr>
            <w:tcW w:w="1873" w:type="dxa"/>
            <w:tcBorders>
              <w:top w:val="nil"/>
              <w:left w:val="nil"/>
              <w:bottom w:val="nil"/>
              <w:right w:val="nil"/>
            </w:tcBorders>
          </w:tcPr>
          <w:p w14:paraId="520085F2"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Crédito U$10 millones</w:t>
            </w:r>
          </w:p>
        </w:tc>
        <w:tc>
          <w:tcPr>
            <w:tcW w:w="709" w:type="dxa"/>
            <w:tcBorders>
              <w:top w:val="nil"/>
              <w:left w:val="nil"/>
              <w:bottom w:val="nil"/>
              <w:right w:val="nil"/>
            </w:tcBorders>
          </w:tcPr>
          <w:p w14:paraId="791F7D96"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7,35%</w:t>
            </w:r>
          </w:p>
        </w:tc>
        <w:tc>
          <w:tcPr>
            <w:tcW w:w="709" w:type="dxa"/>
            <w:tcBorders>
              <w:top w:val="nil"/>
              <w:left w:val="nil"/>
              <w:bottom w:val="nil"/>
              <w:right w:val="nil"/>
            </w:tcBorders>
          </w:tcPr>
          <w:p w14:paraId="4821DA2E"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6,06%</w:t>
            </w:r>
          </w:p>
        </w:tc>
        <w:tc>
          <w:tcPr>
            <w:tcW w:w="708" w:type="dxa"/>
            <w:tcBorders>
              <w:top w:val="nil"/>
              <w:left w:val="nil"/>
              <w:bottom w:val="nil"/>
              <w:right w:val="nil"/>
            </w:tcBorders>
          </w:tcPr>
          <w:p w14:paraId="55BBE5C2"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4,92%</w:t>
            </w:r>
          </w:p>
        </w:tc>
        <w:tc>
          <w:tcPr>
            <w:tcW w:w="709" w:type="dxa"/>
            <w:tcBorders>
              <w:top w:val="nil"/>
              <w:left w:val="nil"/>
              <w:bottom w:val="nil"/>
              <w:right w:val="nil"/>
            </w:tcBorders>
          </w:tcPr>
          <w:p w14:paraId="246A3585"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3,89%</w:t>
            </w:r>
          </w:p>
        </w:tc>
        <w:tc>
          <w:tcPr>
            <w:tcW w:w="709" w:type="dxa"/>
            <w:tcBorders>
              <w:top w:val="nil"/>
              <w:left w:val="nil"/>
              <w:bottom w:val="nil"/>
              <w:right w:val="nil"/>
            </w:tcBorders>
          </w:tcPr>
          <w:p w14:paraId="1993F454"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2,95%</w:t>
            </w:r>
          </w:p>
        </w:tc>
        <w:tc>
          <w:tcPr>
            <w:tcW w:w="709" w:type="dxa"/>
            <w:tcBorders>
              <w:top w:val="nil"/>
              <w:left w:val="nil"/>
              <w:bottom w:val="nil"/>
              <w:right w:val="nil"/>
            </w:tcBorders>
          </w:tcPr>
          <w:p w14:paraId="5C10F927"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2,09%</w:t>
            </w:r>
          </w:p>
        </w:tc>
        <w:tc>
          <w:tcPr>
            <w:tcW w:w="708" w:type="dxa"/>
            <w:tcBorders>
              <w:top w:val="nil"/>
              <w:left w:val="nil"/>
              <w:bottom w:val="nil"/>
              <w:right w:val="nil"/>
            </w:tcBorders>
          </w:tcPr>
          <w:p w14:paraId="123347AE"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1,31%</w:t>
            </w:r>
          </w:p>
        </w:tc>
        <w:tc>
          <w:tcPr>
            <w:tcW w:w="709" w:type="dxa"/>
            <w:tcBorders>
              <w:top w:val="nil"/>
              <w:left w:val="nil"/>
              <w:bottom w:val="nil"/>
              <w:right w:val="nil"/>
            </w:tcBorders>
          </w:tcPr>
          <w:p w14:paraId="54519103"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0,65%</w:t>
            </w:r>
          </w:p>
        </w:tc>
        <w:tc>
          <w:tcPr>
            <w:tcW w:w="709" w:type="dxa"/>
            <w:tcBorders>
              <w:top w:val="nil"/>
              <w:left w:val="nil"/>
              <w:bottom w:val="nil"/>
              <w:right w:val="nil"/>
            </w:tcBorders>
          </w:tcPr>
          <w:p w14:paraId="5834FFC6"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0,70%</w:t>
            </w:r>
          </w:p>
        </w:tc>
        <w:tc>
          <w:tcPr>
            <w:tcW w:w="709" w:type="dxa"/>
            <w:tcBorders>
              <w:top w:val="nil"/>
              <w:left w:val="nil"/>
              <w:bottom w:val="nil"/>
              <w:right w:val="nil"/>
            </w:tcBorders>
          </w:tcPr>
          <w:p w14:paraId="0445270D"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0,64%</w:t>
            </w:r>
          </w:p>
        </w:tc>
      </w:tr>
      <w:tr w:rsidR="000242DF" w:rsidRPr="00B52CC9" w14:paraId="1E351FD2" w14:textId="77777777" w:rsidTr="00B90AAF">
        <w:trPr>
          <w:trHeight w:val="278"/>
        </w:trPr>
        <w:tc>
          <w:tcPr>
            <w:tcW w:w="1873" w:type="dxa"/>
            <w:tcBorders>
              <w:top w:val="nil"/>
              <w:left w:val="nil"/>
              <w:bottom w:val="nil"/>
              <w:right w:val="nil"/>
            </w:tcBorders>
          </w:tcPr>
          <w:p w14:paraId="1AE27D11"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Crédito U$12 millones</w:t>
            </w:r>
          </w:p>
        </w:tc>
        <w:tc>
          <w:tcPr>
            <w:tcW w:w="709" w:type="dxa"/>
            <w:tcBorders>
              <w:top w:val="nil"/>
              <w:left w:val="nil"/>
              <w:bottom w:val="nil"/>
              <w:right w:val="nil"/>
            </w:tcBorders>
          </w:tcPr>
          <w:p w14:paraId="7DE4BAC8"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7,38%</w:t>
            </w:r>
          </w:p>
        </w:tc>
        <w:tc>
          <w:tcPr>
            <w:tcW w:w="709" w:type="dxa"/>
            <w:tcBorders>
              <w:top w:val="nil"/>
              <w:left w:val="nil"/>
              <w:bottom w:val="nil"/>
              <w:right w:val="nil"/>
            </w:tcBorders>
          </w:tcPr>
          <w:p w14:paraId="4ADE810B"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6,09%</w:t>
            </w:r>
          </w:p>
        </w:tc>
        <w:tc>
          <w:tcPr>
            <w:tcW w:w="708" w:type="dxa"/>
            <w:tcBorders>
              <w:top w:val="nil"/>
              <w:left w:val="nil"/>
              <w:bottom w:val="nil"/>
              <w:right w:val="nil"/>
            </w:tcBorders>
          </w:tcPr>
          <w:p w14:paraId="55095C89"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4,95%</w:t>
            </w:r>
          </w:p>
        </w:tc>
        <w:tc>
          <w:tcPr>
            <w:tcW w:w="709" w:type="dxa"/>
            <w:tcBorders>
              <w:top w:val="nil"/>
              <w:left w:val="nil"/>
              <w:bottom w:val="nil"/>
              <w:right w:val="nil"/>
            </w:tcBorders>
          </w:tcPr>
          <w:p w14:paraId="632FCFEE"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3,91%</w:t>
            </w:r>
          </w:p>
        </w:tc>
        <w:tc>
          <w:tcPr>
            <w:tcW w:w="709" w:type="dxa"/>
            <w:tcBorders>
              <w:top w:val="nil"/>
              <w:left w:val="nil"/>
              <w:bottom w:val="nil"/>
              <w:right w:val="nil"/>
            </w:tcBorders>
          </w:tcPr>
          <w:p w14:paraId="3C48C756"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2,97%</w:t>
            </w:r>
          </w:p>
        </w:tc>
        <w:tc>
          <w:tcPr>
            <w:tcW w:w="709" w:type="dxa"/>
            <w:tcBorders>
              <w:top w:val="nil"/>
              <w:left w:val="nil"/>
              <w:bottom w:val="nil"/>
              <w:right w:val="nil"/>
            </w:tcBorders>
          </w:tcPr>
          <w:p w14:paraId="4F13FAF8"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2,12%</w:t>
            </w:r>
          </w:p>
        </w:tc>
        <w:tc>
          <w:tcPr>
            <w:tcW w:w="708" w:type="dxa"/>
            <w:tcBorders>
              <w:top w:val="nil"/>
              <w:left w:val="nil"/>
              <w:bottom w:val="nil"/>
              <w:right w:val="nil"/>
            </w:tcBorders>
          </w:tcPr>
          <w:p w14:paraId="4C8FD5EF"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1,34%</w:t>
            </w:r>
          </w:p>
        </w:tc>
        <w:tc>
          <w:tcPr>
            <w:tcW w:w="709" w:type="dxa"/>
            <w:tcBorders>
              <w:top w:val="nil"/>
              <w:left w:val="nil"/>
              <w:bottom w:val="nil"/>
              <w:right w:val="nil"/>
            </w:tcBorders>
          </w:tcPr>
          <w:p w14:paraId="450F037F"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0,67%</w:t>
            </w:r>
          </w:p>
        </w:tc>
        <w:tc>
          <w:tcPr>
            <w:tcW w:w="709" w:type="dxa"/>
            <w:tcBorders>
              <w:top w:val="nil"/>
              <w:left w:val="nil"/>
              <w:bottom w:val="nil"/>
              <w:right w:val="nil"/>
            </w:tcBorders>
          </w:tcPr>
          <w:p w14:paraId="6C05F886"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0,71%</w:t>
            </w:r>
          </w:p>
        </w:tc>
        <w:tc>
          <w:tcPr>
            <w:tcW w:w="709" w:type="dxa"/>
            <w:tcBorders>
              <w:top w:val="nil"/>
              <w:left w:val="nil"/>
              <w:bottom w:val="nil"/>
              <w:right w:val="nil"/>
            </w:tcBorders>
          </w:tcPr>
          <w:p w14:paraId="3C1C2145"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0,65%</w:t>
            </w:r>
          </w:p>
        </w:tc>
      </w:tr>
      <w:tr w:rsidR="000242DF" w:rsidRPr="00B52CC9" w14:paraId="4B998CE7" w14:textId="77777777" w:rsidTr="00B90AAF">
        <w:trPr>
          <w:trHeight w:val="278"/>
        </w:trPr>
        <w:tc>
          <w:tcPr>
            <w:tcW w:w="1873" w:type="dxa"/>
            <w:tcBorders>
              <w:top w:val="nil"/>
              <w:left w:val="nil"/>
              <w:bottom w:val="nil"/>
              <w:right w:val="nil"/>
            </w:tcBorders>
          </w:tcPr>
          <w:p w14:paraId="77128743"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Crédito U$15 millones</w:t>
            </w:r>
          </w:p>
        </w:tc>
        <w:tc>
          <w:tcPr>
            <w:tcW w:w="709" w:type="dxa"/>
            <w:tcBorders>
              <w:top w:val="nil"/>
              <w:left w:val="nil"/>
              <w:bottom w:val="nil"/>
              <w:right w:val="nil"/>
            </w:tcBorders>
          </w:tcPr>
          <w:p w14:paraId="1CDC1C96"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7,43%</w:t>
            </w:r>
          </w:p>
        </w:tc>
        <w:tc>
          <w:tcPr>
            <w:tcW w:w="709" w:type="dxa"/>
            <w:tcBorders>
              <w:top w:val="nil"/>
              <w:left w:val="nil"/>
              <w:bottom w:val="nil"/>
              <w:right w:val="nil"/>
            </w:tcBorders>
          </w:tcPr>
          <w:p w14:paraId="43417B16"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6,13%</w:t>
            </w:r>
          </w:p>
        </w:tc>
        <w:tc>
          <w:tcPr>
            <w:tcW w:w="708" w:type="dxa"/>
            <w:tcBorders>
              <w:top w:val="nil"/>
              <w:left w:val="nil"/>
              <w:bottom w:val="nil"/>
              <w:right w:val="nil"/>
            </w:tcBorders>
          </w:tcPr>
          <w:p w14:paraId="421BD79B"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4,99%</w:t>
            </w:r>
          </w:p>
        </w:tc>
        <w:tc>
          <w:tcPr>
            <w:tcW w:w="709" w:type="dxa"/>
            <w:tcBorders>
              <w:top w:val="nil"/>
              <w:left w:val="nil"/>
              <w:bottom w:val="nil"/>
              <w:right w:val="nil"/>
            </w:tcBorders>
          </w:tcPr>
          <w:p w14:paraId="412B1C44"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3,95%</w:t>
            </w:r>
          </w:p>
        </w:tc>
        <w:tc>
          <w:tcPr>
            <w:tcW w:w="709" w:type="dxa"/>
            <w:tcBorders>
              <w:top w:val="nil"/>
              <w:left w:val="nil"/>
              <w:bottom w:val="nil"/>
              <w:right w:val="nil"/>
            </w:tcBorders>
          </w:tcPr>
          <w:p w14:paraId="2DE83711"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3,01%</w:t>
            </w:r>
          </w:p>
        </w:tc>
        <w:tc>
          <w:tcPr>
            <w:tcW w:w="709" w:type="dxa"/>
            <w:tcBorders>
              <w:top w:val="nil"/>
              <w:left w:val="nil"/>
              <w:bottom w:val="nil"/>
              <w:right w:val="nil"/>
            </w:tcBorders>
          </w:tcPr>
          <w:p w14:paraId="40956343"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2,15%</w:t>
            </w:r>
          </w:p>
        </w:tc>
        <w:tc>
          <w:tcPr>
            <w:tcW w:w="708" w:type="dxa"/>
            <w:tcBorders>
              <w:top w:val="nil"/>
              <w:left w:val="nil"/>
              <w:bottom w:val="nil"/>
              <w:right w:val="nil"/>
            </w:tcBorders>
          </w:tcPr>
          <w:p w14:paraId="3E0DE43F"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1,37%</w:t>
            </w:r>
          </w:p>
        </w:tc>
        <w:tc>
          <w:tcPr>
            <w:tcW w:w="709" w:type="dxa"/>
            <w:tcBorders>
              <w:top w:val="nil"/>
              <w:left w:val="nil"/>
              <w:bottom w:val="nil"/>
              <w:right w:val="nil"/>
            </w:tcBorders>
          </w:tcPr>
          <w:p w14:paraId="35FA15BC"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0,70%</w:t>
            </w:r>
          </w:p>
        </w:tc>
        <w:tc>
          <w:tcPr>
            <w:tcW w:w="709" w:type="dxa"/>
            <w:tcBorders>
              <w:top w:val="nil"/>
              <w:left w:val="nil"/>
              <w:bottom w:val="nil"/>
              <w:right w:val="nil"/>
            </w:tcBorders>
          </w:tcPr>
          <w:p w14:paraId="5620A6C3"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0,73%</w:t>
            </w:r>
          </w:p>
        </w:tc>
        <w:tc>
          <w:tcPr>
            <w:tcW w:w="709" w:type="dxa"/>
            <w:tcBorders>
              <w:top w:val="nil"/>
              <w:left w:val="nil"/>
              <w:bottom w:val="nil"/>
              <w:right w:val="nil"/>
            </w:tcBorders>
          </w:tcPr>
          <w:p w14:paraId="3DAA5C09"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0,66%</w:t>
            </w:r>
          </w:p>
        </w:tc>
      </w:tr>
      <w:tr w:rsidR="000242DF" w:rsidRPr="00B52CC9" w14:paraId="5D4BC76F" w14:textId="77777777" w:rsidTr="00B90AAF">
        <w:trPr>
          <w:trHeight w:val="278"/>
        </w:trPr>
        <w:tc>
          <w:tcPr>
            <w:tcW w:w="1873" w:type="dxa"/>
            <w:tcBorders>
              <w:top w:val="nil"/>
              <w:left w:val="nil"/>
              <w:bottom w:val="nil"/>
              <w:right w:val="nil"/>
            </w:tcBorders>
          </w:tcPr>
          <w:p w14:paraId="5CBF4645" w14:textId="77777777" w:rsidR="000242DF" w:rsidRPr="00B52CC9" w:rsidRDefault="000242DF" w:rsidP="00B90AAF">
            <w:pPr>
              <w:widowControl w:val="0"/>
              <w:autoSpaceDE w:val="0"/>
              <w:autoSpaceDN w:val="0"/>
              <w:adjustRightInd w:val="0"/>
              <w:spacing w:after="0" w:line="240" w:lineRule="auto"/>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Crédito U$18 millones</w:t>
            </w:r>
          </w:p>
        </w:tc>
        <w:tc>
          <w:tcPr>
            <w:tcW w:w="709" w:type="dxa"/>
            <w:tcBorders>
              <w:top w:val="nil"/>
              <w:left w:val="nil"/>
              <w:bottom w:val="nil"/>
              <w:right w:val="nil"/>
            </w:tcBorders>
          </w:tcPr>
          <w:p w14:paraId="30F7A26E"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7,47%</w:t>
            </w:r>
          </w:p>
        </w:tc>
        <w:tc>
          <w:tcPr>
            <w:tcW w:w="709" w:type="dxa"/>
            <w:tcBorders>
              <w:top w:val="nil"/>
              <w:left w:val="nil"/>
              <w:bottom w:val="nil"/>
              <w:right w:val="nil"/>
            </w:tcBorders>
          </w:tcPr>
          <w:p w14:paraId="271F15E0"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6,18%</w:t>
            </w:r>
          </w:p>
        </w:tc>
        <w:tc>
          <w:tcPr>
            <w:tcW w:w="708" w:type="dxa"/>
            <w:tcBorders>
              <w:top w:val="nil"/>
              <w:left w:val="nil"/>
              <w:bottom w:val="nil"/>
              <w:right w:val="nil"/>
            </w:tcBorders>
          </w:tcPr>
          <w:p w14:paraId="6E9709E4"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5,03%</w:t>
            </w:r>
          </w:p>
        </w:tc>
        <w:tc>
          <w:tcPr>
            <w:tcW w:w="709" w:type="dxa"/>
            <w:tcBorders>
              <w:top w:val="nil"/>
              <w:left w:val="nil"/>
              <w:bottom w:val="nil"/>
              <w:right w:val="nil"/>
            </w:tcBorders>
          </w:tcPr>
          <w:p w14:paraId="33634FAA"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3,99%</w:t>
            </w:r>
          </w:p>
        </w:tc>
        <w:tc>
          <w:tcPr>
            <w:tcW w:w="709" w:type="dxa"/>
            <w:tcBorders>
              <w:top w:val="nil"/>
              <w:left w:val="nil"/>
              <w:bottom w:val="nil"/>
              <w:right w:val="nil"/>
            </w:tcBorders>
          </w:tcPr>
          <w:p w14:paraId="03F3EC87"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3,04%</w:t>
            </w:r>
          </w:p>
        </w:tc>
        <w:tc>
          <w:tcPr>
            <w:tcW w:w="709" w:type="dxa"/>
            <w:tcBorders>
              <w:top w:val="nil"/>
              <w:left w:val="nil"/>
              <w:bottom w:val="nil"/>
              <w:right w:val="nil"/>
            </w:tcBorders>
          </w:tcPr>
          <w:p w14:paraId="3FC59A42"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2,18%</w:t>
            </w:r>
          </w:p>
        </w:tc>
        <w:tc>
          <w:tcPr>
            <w:tcW w:w="708" w:type="dxa"/>
            <w:tcBorders>
              <w:top w:val="nil"/>
              <w:left w:val="nil"/>
              <w:bottom w:val="nil"/>
              <w:right w:val="nil"/>
            </w:tcBorders>
          </w:tcPr>
          <w:p w14:paraId="1ABBBE0E"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1,40%</w:t>
            </w:r>
          </w:p>
        </w:tc>
        <w:tc>
          <w:tcPr>
            <w:tcW w:w="709" w:type="dxa"/>
            <w:tcBorders>
              <w:top w:val="nil"/>
              <w:left w:val="nil"/>
              <w:bottom w:val="nil"/>
              <w:right w:val="nil"/>
            </w:tcBorders>
          </w:tcPr>
          <w:p w14:paraId="2F76DE07"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0,73%</w:t>
            </w:r>
          </w:p>
        </w:tc>
        <w:tc>
          <w:tcPr>
            <w:tcW w:w="709" w:type="dxa"/>
            <w:tcBorders>
              <w:top w:val="nil"/>
              <w:left w:val="nil"/>
              <w:bottom w:val="nil"/>
              <w:right w:val="nil"/>
            </w:tcBorders>
          </w:tcPr>
          <w:p w14:paraId="7E307C32"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0,75%</w:t>
            </w:r>
          </w:p>
        </w:tc>
        <w:tc>
          <w:tcPr>
            <w:tcW w:w="709" w:type="dxa"/>
            <w:tcBorders>
              <w:top w:val="nil"/>
              <w:left w:val="nil"/>
              <w:bottom w:val="nil"/>
              <w:right w:val="nil"/>
            </w:tcBorders>
          </w:tcPr>
          <w:p w14:paraId="25197936" w14:textId="77777777" w:rsidR="000242DF" w:rsidRPr="00B52CC9" w:rsidRDefault="000242DF" w:rsidP="00B90AAF">
            <w:pPr>
              <w:widowControl w:val="0"/>
              <w:autoSpaceDE w:val="0"/>
              <w:autoSpaceDN w:val="0"/>
              <w:adjustRightInd w:val="0"/>
              <w:spacing w:after="0" w:line="240" w:lineRule="auto"/>
              <w:jc w:val="right"/>
              <w:rPr>
                <w:rFonts w:ascii="Times New Roman" w:hAnsi="Times New Roman" w:cs="Times New Roman"/>
                <w:color w:val="000000"/>
                <w:sz w:val="18"/>
                <w:szCs w:val="18"/>
                <w:lang w:val="es-ES" w:eastAsia="es-ES"/>
              </w:rPr>
            </w:pPr>
            <w:r w:rsidRPr="00B52CC9">
              <w:rPr>
                <w:rFonts w:ascii="Times New Roman" w:hAnsi="Times New Roman" w:cs="Times New Roman"/>
                <w:color w:val="000000"/>
                <w:sz w:val="18"/>
                <w:szCs w:val="18"/>
                <w:lang w:val="es-ES" w:eastAsia="es-ES"/>
              </w:rPr>
              <w:t>0,67%</w:t>
            </w:r>
          </w:p>
        </w:tc>
      </w:tr>
    </w:tbl>
    <w:p w14:paraId="3F2EDDB8" w14:textId="77777777" w:rsidR="000242DF" w:rsidRPr="00B52CC9" w:rsidRDefault="000242DF" w:rsidP="000242DF">
      <w:pPr>
        <w:spacing w:after="0" w:line="240" w:lineRule="auto"/>
        <w:jc w:val="both"/>
        <w:rPr>
          <w:rFonts w:ascii="Times New Roman" w:hAnsi="Times New Roman" w:cs="Times New Roman"/>
          <w:sz w:val="24"/>
          <w:szCs w:val="24"/>
        </w:rPr>
      </w:pPr>
    </w:p>
    <w:p w14:paraId="03FCA102" w14:textId="77777777" w:rsidR="000242DF" w:rsidRDefault="000242DF" w:rsidP="00024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Conforme con los resultados derivados de l</w:t>
      </w:r>
      <w:r w:rsidRPr="00B52CC9">
        <w:rPr>
          <w:rFonts w:ascii="Times New Roman" w:hAnsi="Times New Roman" w:cs="Times New Roman"/>
          <w:sz w:val="24"/>
          <w:szCs w:val="24"/>
        </w:rPr>
        <w:t>os escenarios anteriores</w:t>
      </w:r>
      <w:r>
        <w:rPr>
          <w:rFonts w:ascii="Times New Roman" w:hAnsi="Times New Roman" w:cs="Times New Roman"/>
          <w:sz w:val="24"/>
          <w:szCs w:val="24"/>
        </w:rPr>
        <w:t xml:space="preserve">, de manera preliminar se señala que </w:t>
      </w:r>
      <w:r w:rsidRPr="00B52CC9">
        <w:rPr>
          <w:rFonts w:ascii="Times New Roman" w:hAnsi="Times New Roman" w:cs="Times New Roman"/>
          <w:sz w:val="24"/>
          <w:szCs w:val="24"/>
        </w:rPr>
        <w:t xml:space="preserve">la Municipalidad </w:t>
      </w:r>
      <w:r>
        <w:rPr>
          <w:rFonts w:ascii="Times New Roman" w:hAnsi="Times New Roman" w:cs="Times New Roman"/>
          <w:sz w:val="24"/>
          <w:szCs w:val="24"/>
        </w:rPr>
        <w:t xml:space="preserve">podría disponer de </w:t>
      </w:r>
      <w:r w:rsidRPr="00B52CC9">
        <w:rPr>
          <w:rFonts w:ascii="Times New Roman" w:hAnsi="Times New Roman" w:cs="Times New Roman"/>
          <w:sz w:val="24"/>
          <w:szCs w:val="24"/>
        </w:rPr>
        <w:t>capacidad para aumentar su endeudamiento</w:t>
      </w:r>
      <w:r>
        <w:rPr>
          <w:rFonts w:ascii="Times New Roman" w:hAnsi="Times New Roman" w:cs="Times New Roman"/>
          <w:sz w:val="24"/>
          <w:szCs w:val="24"/>
        </w:rPr>
        <w:t xml:space="preserve"> en las condiciones allí señaladas</w:t>
      </w:r>
      <w:r w:rsidRPr="00B52CC9">
        <w:rPr>
          <w:rFonts w:ascii="Times New Roman" w:hAnsi="Times New Roman" w:cs="Times New Roman"/>
          <w:sz w:val="24"/>
          <w:szCs w:val="24"/>
        </w:rPr>
        <w:t xml:space="preserve">.  </w:t>
      </w:r>
      <w:r>
        <w:rPr>
          <w:rFonts w:ascii="Times New Roman" w:hAnsi="Times New Roman" w:cs="Times New Roman"/>
          <w:sz w:val="24"/>
          <w:szCs w:val="24"/>
        </w:rPr>
        <w:t>En este orden, u</w:t>
      </w:r>
      <w:r w:rsidRPr="00B52CC9">
        <w:rPr>
          <w:rFonts w:ascii="Times New Roman" w:hAnsi="Times New Roman" w:cs="Times New Roman"/>
          <w:sz w:val="24"/>
          <w:szCs w:val="24"/>
        </w:rPr>
        <w:t>n monto sostenible para una nueva operación crediticia en los térmi</w:t>
      </w:r>
      <w:r>
        <w:rPr>
          <w:rFonts w:ascii="Times New Roman" w:hAnsi="Times New Roman" w:cs="Times New Roman"/>
          <w:sz w:val="24"/>
          <w:szCs w:val="24"/>
        </w:rPr>
        <w:t xml:space="preserve">nos proyectados en el ejercicio, </w:t>
      </w:r>
      <w:r w:rsidRPr="00B52CC9">
        <w:rPr>
          <w:rFonts w:ascii="Times New Roman" w:hAnsi="Times New Roman" w:cs="Times New Roman"/>
          <w:sz w:val="24"/>
          <w:szCs w:val="24"/>
        </w:rPr>
        <w:t xml:space="preserve">estaría </w:t>
      </w:r>
      <w:r>
        <w:rPr>
          <w:rFonts w:ascii="Times New Roman" w:hAnsi="Times New Roman" w:cs="Times New Roman"/>
          <w:sz w:val="24"/>
          <w:szCs w:val="24"/>
        </w:rPr>
        <w:t xml:space="preserve">ubicada en un rango que oscila entre los </w:t>
      </w:r>
      <w:r w:rsidRPr="00B52CC9">
        <w:rPr>
          <w:rFonts w:ascii="Times New Roman" w:hAnsi="Times New Roman" w:cs="Times New Roman"/>
          <w:sz w:val="24"/>
          <w:szCs w:val="24"/>
        </w:rPr>
        <w:t xml:space="preserve">U$10 y U$11 millones, </w:t>
      </w:r>
      <w:r>
        <w:rPr>
          <w:rFonts w:ascii="Times New Roman" w:hAnsi="Times New Roman" w:cs="Times New Roman"/>
          <w:sz w:val="24"/>
          <w:szCs w:val="24"/>
        </w:rPr>
        <w:t xml:space="preserve">evento en el cual </w:t>
      </w:r>
      <w:r w:rsidRPr="00B52CC9">
        <w:rPr>
          <w:rFonts w:ascii="Times New Roman" w:hAnsi="Times New Roman" w:cs="Times New Roman"/>
          <w:sz w:val="24"/>
          <w:szCs w:val="24"/>
        </w:rPr>
        <w:t xml:space="preserve">el indicador </w:t>
      </w:r>
      <w:r w:rsidRPr="00B52CC9">
        <w:rPr>
          <w:rFonts w:ascii="Times New Roman" w:hAnsi="Times New Roman" w:cs="Times New Roman"/>
          <w:i/>
          <w:sz w:val="24"/>
          <w:szCs w:val="24"/>
        </w:rPr>
        <w:t xml:space="preserve">saldo </w:t>
      </w:r>
      <w:r w:rsidRPr="00B52CC9">
        <w:rPr>
          <w:rFonts w:ascii="Times New Roman" w:hAnsi="Times New Roman" w:cs="Times New Roman"/>
          <w:i/>
          <w:sz w:val="24"/>
          <w:szCs w:val="24"/>
        </w:rPr>
        <w:lastRenderedPageBreak/>
        <w:t>de la deuda/ingresos corrientes</w:t>
      </w:r>
      <w:r w:rsidRPr="00B52CC9">
        <w:rPr>
          <w:rFonts w:ascii="Times New Roman" w:hAnsi="Times New Roman" w:cs="Times New Roman"/>
          <w:sz w:val="24"/>
          <w:szCs w:val="24"/>
        </w:rPr>
        <w:t xml:space="preserve"> se ubicaría alrededor del 85%.  </w:t>
      </w:r>
      <w:r>
        <w:rPr>
          <w:rFonts w:ascii="Times New Roman" w:hAnsi="Times New Roman" w:cs="Times New Roman"/>
          <w:sz w:val="24"/>
          <w:szCs w:val="24"/>
        </w:rPr>
        <w:t>Por su parte, e</w:t>
      </w:r>
      <w:r w:rsidRPr="00B52CC9">
        <w:rPr>
          <w:rFonts w:ascii="Times New Roman" w:hAnsi="Times New Roman" w:cs="Times New Roman"/>
          <w:sz w:val="24"/>
          <w:szCs w:val="24"/>
        </w:rPr>
        <w:t>l indicador de solvencia se mant</w:t>
      </w:r>
      <w:r>
        <w:rPr>
          <w:rFonts w:ascii="Times New Roman" w:hAnsi="Times New Roman" w:cs="Times New Roman"/>
          <w:sz w:val="24"/>
          <w:szCs w:val="24"/>
        </w:rPr>
        <w:t xml:space="preserve">endría </w:t>
      </w:r>
      <w:r w:rsidRPr="00B52CC9">
        <w:rPr>
          <w:rFonts w:ascii="Times New Roman" w:hAnsi="Times New Roman" w:cs="Times New Roman"/>
          <w:sz w:val="24"/>
          <w:szCs w:val="24"/>
        </w:rPr>
        <w:t xml:space="preserve">en un rango </w:t>
      </w:r>
      <w:r>
        <w:rPr>
          <w:rFonts w:ascii="Times New Roman" w:hAnsi="Times New Roman" w:cs="Times New Roman"/>
          <w:sz w:val="24"/>
          <w:szCs w:val="24"/>
        </w:rPr>
        <w:t xml:space="preserve">similar </w:t>
      </w:r>
      <w:r w:rsidRPr="00B52CC9">
        <w:rPr>
          <w:rFonts w:ascii="Times New Roman" w:hAnsi="Times New Roman" w:cs="Times New Roman"/>
          <w:sz w:val="24"/>
          <w:szCs w:val="24"/>
        </w:rPr>
        <w:t>incluso con un crédito más amplio, pero se debe</w:t>
      </w:r>
      <w:r>
        <w:rPr>
          <w:rFonts w:ascii="Times New Roman" w:hAnsi="Times New Roman" w:cs="Times New Roman"/>
          <w:sz w:val="24"/>
          <w:szCs w:val="24"/>
        </w:rPr>
        <w:t>n</w:t>
      </w:r>
      <w:r w:rsidRPr="00B52CC9">
        <w:rPr>
          <w:rFonts w:ascii="Times New Roman" w:hAnsi="Times New Roman" w:cs="Times New Roman"/>
          <w:sz w:val="24"/>
          <w:szCs w:val="24"/>
        </w:rPr>
        <w:t xml:space="preserve"> tener en cuenta las condiciones favorables supuestas del crédito</w:t>
      </w:r>
      <w:r>
        <w:rPr>
          <w:rFonts w:ascii="Times New Roman" w:hAnsi="Times New Roman" w:cs="Times New Roman"/>
          <w:sz w:val="24"/>
          <w:szCs w:val="24"/>
        </w:rPr>
        <w:t xml:space="preserve">.  Es decir, </w:t>
      </w:r>
      <w:r w:rsidRPr="00B52CC9">
        <w:rPr>
          <w:rFonts w:ascii="Times New Roman" w:hAnsi="Times New Roman" w:cs="Times New Roman"/>
          <w:sz w:val="24"/>
          <w:szCs w:val="24"/>
        </w:rPr>
        <w:t xml:space="preserve">un endeudamiento </w:t>
      </w:r>
      <w:r>
        <w:rPr>
          <w:rFonts w:ascii="Times New Roman" w:hAnsi="Times New Roman" w:cs="Times New Roman"/>
          <w:sz w:val="24"/>
          <w:szCs w:val="24"/>
        </w:rPr>
        <w:t xml:space="preserve">con condiciones financieras más costosas </w:t>
      </w:r>
      <w:r w:rsidRPr="00B52CC9">
        <w:rPr>
          <w:rFonts w:ascii="Times New Roman" w:hAnsi="Times New Roman" w:cs="Times New Roman"/>
          <w:sz w:val="24"/>
          <w:szCs w:val="24"/>
        </w:rPr>
        <w:t xml:space="preserve">modificaría el escenario de manera </w:t>
      </w:r>
      <w:r>
        <w:rPr>
          <w:rFonts w:ascii="Times New Roman" w:hAnsi="Times New Roman" w:cs="Times New Roman"/>
          <w:sz w:val="24"/>
          <w:szCs w:val="24"/>
        </w:rPr>
        <w:t>crítica.</w:t>
      </w:r>
    </w:p>
    <w:p w14:paraId="0DB96FF2" w14:textId="77777777" w:rsidR="000242DF" w:rsidRDefault="000242DF" w:rsidP="000242DF">
      <w:pPr>
        <w:spacing w:after="0" w:line="240" w:lineRule="auto"/>
        <w:jc w:val="both"/>
        <w:rPr>
          <w:rFonts w:ascii="Times New Roman" w:hAnsi="Times New Roman" w:cs="Times New Roman"/>
          <w:sz w:val="24"/>
          <w:szCs w:val="24"/>
        </w:rPr>
      </w:pPr>
    </w:p>
    <w:p w14:paraId="1E083C75" w14:textId="77777777" w:rsidR="000242DF" w:rsidRPr="00E46364" w:rsidRDefault="000242DF" w:rsidP="000242DF">
      <w:pPr>
        <w:pStyle w:val="Heading5"/>
        <w:numPr>
          <w:ilvl w:val="0"/>
          <w:numId w:val="29"/>
        </w:numPr>
        <w:rPr>
          <w:color w:val="4F81BD" w:themeColor="accent1"/>
        </w:rPr>
      </w:pPr>
      <w:r w:rsidRPr="00E46364">
        <w:rPr>
          <w:color w:val="4F81BD" w:themeColor="accent1"/>
        </w:rPr>
        <w:t>Garantías</w:t>
      </w:r>
    </w:p>
    <w:p w14:paraId="3D04080E" w14:textId="77777777" w:rsidR="000242DF" w:rsidRPr="00B52CC9" w:rsidRDefault="000242DF" w:rsidP="000242DF">
      <w:pPr>
        <w:spacing w:after="0" w:line="240" w:lineRule="auto"/>
        <w:jc w:val="both"/>
        <w:rPr>
          <w:rFonts w:ascii="Times New Roman" w:hAnsi="Times New Roman" w:cs="Times New Roman"/>
          <w:sz w:val="24"/>
          <w:szCs w:val="24"/>
        </w:rPr>
      </w:pPr>
    </w:p>
    <w:p w14:paraId="5EB5D9B9" w14:textId="77777777" w:rsidR="000242DF" w:rsidRDefault="000242DF" w:rsidP="00024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 igual modo, </w:t>
      </w:r>
      <w:r w:rsidRPr="00B52CC9">
        <w:rPr>
          <w:rFonts w:ascii="Times New Roman" w:hAnsi="Times New Roman" w:cs="Times New Roman"/>
          <w:sz w:val="24"/>
          <w:szCs w:val="24"/>
        </w:rPr>
        <w:t xml:space="preserve">es necesario tener en cuenta que la Municipalidad debe otorgar garantías al nuevo endeudamiento.  En este sentido, </w:t>
      </w:r>
      <w:r>
        <w:rPr>
          <w:rFonts w:ascii="Times New Roman" w:hAnsi="Times New Roman" w:cs="Times New Roman"/>
          <w:sz w:val="24"/>
          <w:szCs w:val="24"/>
        </w:rPr>
        <w:t xml:space="preserve">la administración debe disponer de </w:t>
      </w:r>
      <w:r w:rsidRPr="00B52CC9">
        <w:rPr>
          <w:rFonts w:ascii="Times New Roman" w:hAnsi="Times New Roman" w:cs="Times New Roman"/>
          <w:sz w:val="24"/>
          <w:szCs w:val="24"/>
        </w:rPr>
        <w:t xml:space="preserve">rentas estables para la entidad prestamista como respaldo a los nuevos créditos, </w:t>
      </w:r>
      <w:r>
        <w:rPr>
          <w:rFonts w:ascii="Times New Roman" w:hAnsi="Times New Roman" w:cs="Times New Roman"/>
          <w:sz w:val="24"/>
          <w:szCs w:val="24"/>
        </w:rPr>
        <w:t xml:space="preserve">tales </w:t>
      </w:r>
      <w:r w:rsidRPr="00B52CC9">
        <w:rPr>
          <w:rFonts w:ascii="Times New Roman" w:hAnsi="Times New Roman" w:cs="Times New Roman"/>
          <w:sz w:val="24"/>
          <w:szCs w:val="24"/>
        </w:rPr>
        <w:t>como las transferencias que se reciben de</w:t>
      </w:r>
      <w:r>
        <w:rPr>
          <w:rFonts w:ascii="Times New Roman" w:hAnsi="Times New Roman" w:cs="Times New Roman"/>
          <w:sz w:val="24"/>
          <w:szCs w:val="24"/>
        </w:rPr>
        <w:t>l nivel nacional</w:t>
      </w:r>
      <w:r w:rsidRPr="00B52CC9">
        <w:rPr>
          <w:rFonts w:ascii="Times New Roman" w:hAnsi="Times New Roman" w:cs="Times New Roman"/>
          <w:sz w:val="24"/>
          <w:szCs w:val="24"/>
        </w:rPr>
        <w:t>, particularmente l</w:t>
      </w:r>
      <w:r>
        <w:rPr>
          <w:rFonts w:ascii="Times New Roman" w:hAnsi="Times New Roman" w:cs="Times New Roman"/>
          <w:sz w:val="24"/>
          <w:szCs w:val="24"/>
        </w:rPr>
        <w:t>as transferencias por IVA Paz.</w:t>
      </w:r>
    </w:p>
    <w:p w14:paraId="317E1293" w14:textId="77777777" w:rsidR="00D0294C" w:rsidRDefault="00D0294C" w:rsidP="000242DF">
      <w:pPr>
        <w:spacing w:after="0" w:line="240" w:lineRule="auto"/>
        <w:jc w:val="both"/>
        <w:rPr>
          <w:rFonts w:ascii="Times New Roman" w:hAnsi="Times New Roman" w:cs="Times New Roman"/>
          <w:sz w:val="24"/>
          <w:szCs w:val="24"/>
        </w:rPr>
      </w:pPr>
    </w:p>
    <w:p w14:paraId="016E89D8" w14:textId="77777777" w:rsidR="000242DF" w:rsidRDefault="000242DF" w:rsidP="00024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Sobre este punto es preciso señalar que al cierre 2012, </w:t>
      </w:r>
      <w:r w:rsidRPr="00B52CC9">
        <w:rPr>
          <w:rFonts w:ascii="Times New Roman" w:hAnsi="Times New Roman" w:cs="Times New Roman"/>
          <w:sz w:val="24"/>
          <w:szCs w:val="24"/>
        </w:rPr>
        <w:t>la transferencia IVA Paz soporta el servicio de la deuda del crédito BCIE 1201</w:t>
      </w:r>
      <w:r>
        <w:rPr>
          <w:rFonts w:ascii="Times New Roman" w:hAnsi="Times New Roman" w:cs="Times New Roman"/>
          <w:sz w:val="24"/>
          <w:szCs w:val="24"/>
        </w:rPr>
        <w:t>,</w:t>
      </w:r>
      <w:r w:rsidRPr="00B52CC9">
        <w:rPr>
          <w:rFonts w:ascii="Times New Roman" w:hAnsi="Times New Roman" w:cs="Times New Roman"/>
          <w:sz w:val="24"/>
          <w:szCs w:val="24"/>
        </w:rPr>
        <w:t xml:space="preserve"> con el 10% del ingreso total anual destinado a pago de amortizaciones.  Según proyecciones de la propia Municipalidad,</w:t>
      </w:r>
      <w:r w:rsidRPr="00B52CC9">
        <w:rPr>
          <w:rStyle w:val="FootnoteReference"/>
          <w:rFonts w:ascii="Times New Roman" w:hAnsi="Times New Roman" w:cs="Times New Roman"/>
          <w:sz w:val="24"/>
          <w:szCs w:val="24"/>
        </w:rPr>
        <w:footnoteReference w:id="75"/>
      </w:r>
      <w:r w:rsidRPr="00B52CC9">
        <w:rPr>
          <w:rFonts w:ascii="Times New Roman" w:hAnsi="Times New Roman" w:cs="Times New Roman"/>
          <w:sz w:val="24"/>
          <w:szCs w:val="24"/>
        </w:rPr>
        <w:t xml:space="preserve"> el ingreso por este concepto para la vigencia 2013 </w:t>
      </w:r>
      <w:r>
        <w:rPr>
          <w:rFonts w:ascii="Times New Roman" w:hAnsi="Times New Roman" w:cs="Times New Roman"/>
          <w:sz w:val="24"/>
          <w:szCs w:val="24"/>
        </w:rPr>
        <w:t xml:space="preserve">podría ascender a </w:t>
      </w:r>
      <w:r w:rsidRPr="00B52CC9">
        <w:rPr>
          <w:rFonts w:ascii="Times New Roman" w:hAnsi="Times New Roman" w:cs="Times New Roman"/>
          <w:sz w:val="24"/>
          <w:szCs w:val="24"/>
        </w:rPr>
        <w:t xml:space="preserve">Q76 millones.  De cumplirse esta proyección, descontando el servicio de deuda por Q7,6 millones del crédito BCIE 1201, la Municipalidad </w:t>
      </w:r>
      <w:r>
        <w:rPr>
          <w:rFonts w:ascii="Times New Roman" w:hAnsi="Times New Roman" w:cs="Times New Roman"/>
          <w:sz w:val="24"/>
          <w:szCs w:val="24"/>
        </w:rPr>
        <w:t xml:space="preserve">estará en condiciones de </w:t>
      </w:r>
      <w:r w:rsidRPr="00B52CC9">
        <w:rPr>
          <w:rFonts w:ascii="Times New Roman" w:hAnsi="Times New Roman" w:cs="Times New Roman"/>
          <w:sz w:val="24"/>
          <w:szCs w:val="24"/>
        </w:rPr>
        <w:t xml:space="preserve">cubrir con esta renta </w:t>
      </w:r>
      <w:r>
        <w:rPr>
          <w:rFonts w:ascii="Times New Roman" w:hAnsi="Times New Roman" w:cs="Times New Roman"/>
          <w:sz w:val="24"/>
          <w:szCs w:val="24"/>
        </w:rPr>
        <w:t xml:space="preserve">alrededor </w:t>
      </w:r>
      <w:r w:rsidRPr="00B52CC9">
        <w:rPr>
          <w:rFonts w:ascii="Times New Roman" w:hAnsi="Times New Roman" w:cs="Times New Roman"/>
          <w:sz w:val="24"/>
          <w:szCs w:val="24"/>
        </w:rPr>
        <w:t>del 90% del capital como garantía de</w:t>
      </w:r>
      <w:r>
        <w:rPr>
          <w:rFonts w:ascii="Times New Roman" w:hAnsi="Times New Roman" w:cs="Times New Roman"/>
          <w:sz w:val="24"/>
          <w:szCs w:val="24"/>
        </w:rPr>
        <w:t xml:space="preserve"> una operación de deuda que ascienda a </w:t>
      </w:r>
      <w:r w:rsidRPr="00B52CC9">
        <w:rPr>
          <w:rFonts w:ascii="Times New Roman" w:hAnsi="Times New Roman" w:cs="Times New Roman"/>
          <w:sz w:val="24"/>
          <w:szCs w:val="24"/>
        </w:rPr>
        <w:t>U$10 millones</w:t>
      </w:r>
      <w:r>
        <w:rPr>
          <w:rFonts w:ascii="Times New Roman" w:hAnsi="Times New Roman" w:cs="Times New Roman"/>
          <w:sz w:val="24"/>
          <w:szCs w:val="24"/>
        </w:rPr>
        <w:t>, como la contemplada</w:t>
      </w:r>
      <w:r w:rsidRPr="00B52CC9">
        <w:rPr>
          <w:rFonts w:ascii="Times New Roman" w:hAnsi="Times New Roman" w:cs="Times New Roman"/>
          <w:sz w:val="24"/>
          <w:szCs w:val="24"/>
        </w:rPr>
        <w:t xml:space="preserve"> en el ejercicio </w:t>
      </w:r>
      <w:r>
        <w:rPr>
          <w:rFonts w:ascii="Times New Roman" w:hAnsi="Times New Roman" w:cs="Times New Roman"/>
          <w:sz w:val="24"/>
          <w:szCs w:val="24"/>
        </w:rPr>
        <w:t>financiero propuesto.</w:t>
      </w:r>
    </w:p>
    <w:p w14:paraId="08AACBB5" w14:textId="77777777" w:rsidR="000242DF" w:rsidRDefault="000242DF" w:rsidP="000242DF">
      <w:pPr>
        <w:spacing w:after="0" w:line="240" w:lineRule="auto"/>
        <w:jc w:val="both"/>
        <w:rPr>
          <w:rFonts w:ascii="Times New Roman" w:hAnsi="Times New Roman" w:cs="Times New Roman"/>
          <w:sz w:val="24"/>
          <w:szCs w:val="24"/>
        </w:rPr>
      </w:pPr>
    </w:p>
    <w:p w14:paraId="1B55A6FD" w14:textId="77777777" w:rsidR="000242DF" w:rsidRDefault="000242DF" w:rsidP="00024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Una renta adicional </w:t>
      </w:r>
      <w:r w:rsidRPr="00B52CC9">
        <w:rPr>
          <w:rFonts w:ascii="Times New Roman" w:hAnsi="Times New Roman" w:cs="Times New Roman"/>
          <w:sz w:val="24"/>
          <w:szCs w:val="24"/>
        </w:rPr>
        <w:t>que p</w:t>
      </w:r>
      <w:r>
        <w:rPr>
          <w:rFonts w:ascii="Times New Roman" w:hAnsi="Times New Roman" w:cs="Times New Roman"/>
          <w:sz w:val="24"/>
          <w:szCs w:val="24"/>
        </w:rPr>
        <w:t xml:space="preserve">odría </w:t>
      </w:r>
      <w:r w:rsidRPr="00B52CC9">
        <w:rPr>
          <w:rFonts w:ascii="Times New Roman" w:hAnsi="Times New Roman" w:cs="Times New Roman"/>
          <w:sz w:val="24"/>
          <w:szCs w:val="24"/>
        </w:rPr>
        <w:t xml:space="preserve">complementar la garantía </w:t>
      </w:r>
      <w:r>
        <w:rPr>
          <w:rFonts w:ascii="Times New Roman" w:hAnsi="Times New Roman" w:cs="Times New Roman"/>
          <w:sz w:val="24"/>
          <w:szCs w:val="24"/>
        </w:rPr>
        <w:t xml:space="preserve">a nuevas operaciones de deuda, </w:t>
      </w:r>
      <w:r w:rsidRPr="00B52CC9">
        <w:rPr>
          <w:rFonts w:ascii="Times New Roman" w:hAnsi="Times New Roman" w:cs="Times New Roman"/>
          <w:sz w:val="24"/>
          <w:szCs w:val="24"/>
        </w:rPr>
        <w:t xml:space="preserve">es el situado constitucional, concepto por el </w:t>
      </w:r>
      <w:r>
        <w:rPr>
          <w:rFonts w:ascii="Times New Roman" w:hAnsi="Times New Roman" w:cs="Times New Roman"/>
          <w:sz w:val="24"/>
          <w:szCs w:val="24"/>
        </w:rPr>
        <w:t xml:space="preserve">cual </w:t>
      </w:r>
      <w:r w:rsidRPr="00B52CC9">
        <w:rPr>
          <w:rFonts w:ascii="Times New Roman" w:hAnsi="Times New Roman" w:cs="Times New Roman"/>
          <w:sz w:val="24"/>
          <w:szCs w:val="24"/>
        </w:rPr>
        <w:t xml:space="preserve">la Municipalidad proyecta </w:t>
      </w:r>
      <w:r>
        <w:rPr>
          <w:rFonts w:ascii="Times New Roman" w:hAnsi="Times New Roman" w:cs="Times New Roman"/>
          <w:sz w:val="24"/>
          <w:szCs w:val="24"/>
        </w:rPr>
        <w:t xml:space="preserve">un recaudo de </w:t>
      </w:r>
      <w:r w:rsidRPr="00B52CC9">
        <w:rPr>
          <w:rFonts w:ascii="Times New Roman" w:hAnsi="Times New Roman" w:cs="Times New Roman"/>
          <w:sz w:val="24"/>
          <w:szCs w:val="24"/>
        </w:rPr>
        <w:t>Q72,5 millones para el 2013,</w:t>
      </w:r>
      <w:r w:rsidRPr="00B52CC9">
        <w:rPr>
          <w:rStyle w:val="FootnoteReference"/>
          <w:rFonts w:ascii="Times New Roman" w:hAnsi="Times New Roman" w:cs="Times New Roman"/>
          <w:sz w:val="24"/>
          <w:szCs w:val="24"/>
        </w:rPr>
        <w:footnoteReference w:id="76"/>
      </w:r>
      <w:r w:rsidRPr="00B52CC9">
        <w:rPr>
          <w:rFonts w:ascii="Times New Roman" w:hAnsi="Times New Roman" w:cs="Times New Roman"/>
          <w:sz w:val="24"/>
          <w:szCs w:val="24"/>
        </w:rPr>
        <w:t xml:space="preserve"> aun</w:t>
      </w:r>
      <w:r>
        <w:rPr>
          <w:rFonts w:ascii="Times New Roman" w:hAnsi="Times New Roman" w:cs="Times New Roman"/>
          <w:sz w:val="24"/>
          <w:szCs w:val="24"/>
        </w:rPr>
        <w:t xml:space="preserve"> cuando </w:t>
      </w:r>
      <w:r w:rsidRPr="00B52CC9">
        <w:rPr>
          <w:rFonts w:ascii="Times New Roman" w:hAnsi="Times New Roman" w:cs="Times New Roman"/>
          <w:sz w:val="24"/>
          <w:szCs w:val="24"/>
        </w:rPr>
        <w:t>la Comisión encargada de realizar el cálculo matemático para la Distribución de la Asignación Constitucional a las Municipalidades</w:t>
      </w:r>
      <w:r>
        <w:rPr>
          <w:rFonts w:ascii="Times New Roman" w:hAnsi="Times New Roman" w:cs="Times New Roman"/>
          <w:sz w:val="24"/>
          <w:szCs w:val="24"/>
        </w:rPr>
        <w:t>,</w:t>
      </w:r>
      <w:r w:rsidRPr="00B52CC9">
        <w:rPr>
          <w:rFonts w:ascii="Times New Roman" w:hAnsi="Times New Roman" w:cs="Times New Roman"/>
          <w:sz w:val="24"/>
          <w:szCs w:val="24"/>
        </w:rPr>
        <w:t xml:space="preserve"> ha presupuestado Q83.3 millones para la Municipalidad.</w:t>
      </w:r>
      <w:r w:rsidRPr="00B52CC9">
        <w:rPr>
          <w:rStyle w:val="FootnoteReference"/>
          <w:rFonts w:ascii="Times New Roman" w:hAnsi="Times New Roman" w:cs="Times New Roman"/>
          <w:sz w:val="24"/>
          <w:szCs w:val="24"/>
        </w:rPr>
        <w:footnoteReference w:id="77"/>
      </w:r>
    </w:p>
    <w:p w14:paraId="3FF3FAC9" w14:textId="77777777" w:rsidR="000242DF" w:rsidRDefault="000242DF" w:rsidP="000242DF">
      <w:pPr>
        <w:spacing w:after="0" w:line="240" w:lineRule="auto"/>
        <w:jc w:val="both"/>
        <w:rPr>
          <w:rFonts w:ascii="Times New Roman" w:hAnsi="Times New Roman" w:cs="Times New Roman"/>
          <w:sz w:val="24"/>
          <w:szCs w:val="24"/>
        </w:rPr>
      </w:pPr>
    </w:p>
    <w:p w14:paraId="0DE8BC10" w14:textId="77777777" w:rsidR="000242DF" w:rsidRDefault="000242DF" w:rsidP="000242DF">
      <w:pPr>
        <w:spacing w:after="0" w:line="240" w:lineRule="auto"/>
        <w:jc w:val="both"/>
        <w:rPr>
          <w:rFonts w:ascii="Times New Roman" w:hAnsi="Times New Roman" w:cs="Times New Roman"/>
          <w:sz w:val="24"/>
          <w:szCs w:val="24"/>
        </w:rPr>
      </w:pPr>
      <w:r w:rsidRPr="00B52CC9">
        <w:rPr>
          <w:rFonts w:ascii="Times New Roman" w:hAnsi="Times New Roman" w:cs="Times New Roman"/>
          <w:sz w:val="24"/>
          <w:szCs w:val="24"/>
        </w:rPr>
        <w:t xml:space="preserve">Sin embargo, </w:t>
      </w:r>
      <w:r>
        <w:rPr>
          <w:rFonts w:ascii="Times New Roman" w:hAnsi="Times New Roman" w:cs="Times New Roman"/>
          <w:sz w:val="24"/>
          <w:szCs w:val="24"/>
        </w:rPr>
        <w:t>es preciso señalar que estos</w:t>
      </w:r>
      <w:r w:rsidRPr="00B52CC9">
        <w:rPr>
          <w:rFonts w:ascii="Times New Roman" w:hAnsi="Times New Roman" w:cs="Times New Roman"/>
          <w:sz w:val="24"/>
          <w:szCs w:val="24"/>
        </w:rPr>
        <w:t xml:space="preserve"> cálculos preliminares sobre rentas y garantías deben ser evaluados en contraste con un ejercicio fuente-usos que </w:t>
      </w:r>
      <w:r>
        <w:rPr>
          <w:rFonts w:ascii="Times New Roman" w:hAnsi="Times New Roman" w:cs="Times New Roman"/>
          <w:sz w:val="24"/>
          <w:szCs w:val="24"/>
        </w:rPr>
        <w:t xml:space="preserve">permita identificar de manera precisa </w:t>
      </w:r>
      <w:r w:rsidRPr="00B52CC9">
        <w:rPr>
          <w:rFonts w:ascii="Times New Roman" w:hAnsi="Times New Roman" w:cs="Times New Roman"/>
          <w:sz w:val="24"/>
          <w:szCs w:val="24"/>
        </w:rPr>
        <w:t xml:space="preserve">la destinación </w:t>
      </w:r>
      <w:r>
        <w:rPr>
          <w:rFonts w:ascii="Times New Roman" w:hAnsi="Times New Roman" w:cs="Times New Roman"/>
          <w:sz w:val="24"/>
          <w:szCs w:val="24"/>
        </w:rPr>
        <w:t xml:space="preserve">efectiva </w:t>
      </w:r>
      <w:r w:rsidRPr="00B52CC9">
        <w:rPr>
          <w:rFonts w:ascii="Times New Roman" w:hAnsi="Times New Roman" w:cs="Times New Roman"/>
          <w:sz w:val="24"/>
          <w:szCs w:val="24"/>
        </w:rPr>
        <w:t xml:space="preserve">de estos recursos </w:t>
      </w:r>
      <w:r>
        <w:rPr>
          <w:rFonts w:ascii="Times New Roman" w:hAnsi="Times New Roman" w:cs="Times New Roman"/>
          <w:sz w:val="24"/>
          <w:szCs w:val="24"/>
        </w:rPr>
        <w:t xml:space="preserve">por parte de </w:t>
      </w:r>
      <w:r w:rsidRPr="00B52CC9">
        <w:rPr>
          <w:rFonts w:ascii="Times New Roman" w:hAnsi="Times New Roman" w:cs="Times New Roman"/>
          <w:sz w:val="24"/>
          <w:szCs w:val="24"/>
        </w:rPr>
        <w:t xml:space="preserve">la Municipalidad y </w:t>
      </w:r>
      <w:r>
        <w:rPr>
          <w:rFonts w:ascii="Times New Roman" w:hAnsi="Times New Roman" w:cs="Times New Roman"/>
          <w:sz w:val="24"/>
          <w:szCs w:val="24"/>
        </w:rPr>
        <w:t xml:space="preserve">los compromisos de gasto </w:t>
      </w:r>
      <w:r w:rsidRPr="00B52CC9">
        <w:rPr>
          <w:rFonts w:ascii="Times New Roman" w:hAnsi="Times New Roman" w:cs="Times New Roman"/>
          <w:sz w:val="24"/>
          <w:szCs w:val="24"/>
        </w:rPr>
        <w:t xml:space="preserve">que </w:t>
      </w:r>
      <w:r>
        <w:rPr>
          <w:rFonts w:ascii="Times New Roman" w:hAnsi="Times New Roman" w:cs="Times New Roman"/>
          <w:sz w:val="24"/>
          <w:szCs w:val="24"/>
        </w:rPr>
        <w:t xml:space="preserve">recaen </w:t>
      </w:r>
      <w:r w:rsidRPr="00B52CC9">
        <w:rPr>
          <w:rFonts w:ascii="Times New Roman" w:hAnsi="Times New Roman" w:cs="Times New Roman"/>
          <w:sz w:val="24"/>
          <w:szCs w:val="24"/>
        </w:rPr>
        <w:t xml:space="preserve">sobre </w:t>
      </w:r>
      <w:r>
        <w:rPr>
          <w:rFonts w:ascii="Times New Roman" w:hAnsi="Times New Roman" w:cs="Times New Roman"/>
          <w:sz w:val="24"/>
          <w:szCs w:val="24"/>
        </w:rPr>
        <w:t>los mismos.</w:t>
      </w:r>
    </w:p>
    <w:p w14:paraId="3483752D" w14:textId="77777777" w:rsidR="000242DF" w:rsidRDefault="000242DF" w:rsidP="000242DF">
      <w:pPr>
        <w:spacing w:after="0" w:line="240" w:lineRule="auto"/>
        <w:jc w:val="both"/>
        <w:rPr>
          <w:rFonts w:ascii="Times New Roman" w:hAnsi="Times New Roman" w:cs="Times New Roman"/>
          <w:sz w:val="24"/>
          <w:szCs w:val="24"/>
        </w:rPr>
      </w:pPr>
    </w:p>
    <w:p w14:paraId="3C513089" w14:textId="75FF026F" w:rsidR="00BE7856" w:rsidRPr="00EA6C95" w:rsidRDefault="00BE7856" w:rsidP="00EA6C95">
      <w:pPr>
        <w:rPr>
          <w:rFonts w:ascii="Times New Roman" w:eastAsiaTheme="majorEastAsia" w:hAnsi="Times New Roman" w:cs="Times New Roman"/>
          <w:b/>
          <w:bCs/>
          <w:color w:val="4F81BD" w:themeColor="accent1"/>
          <w:sz w:val="32"/>
          <w:szCs w:val="32"/>
        </w:rPr>
      </w:pPr>
      <w:r w:rsidRPr="00B52CC9">
        <w:rPr>
          <w:rFonts w:ascii="Times New Roman" w:hAnsi="Times New Roman" w:cs="Times New Roman"/>
        </w:rPr>
        <w:br w:type="page"/>
      </w:r>
    </w:p>
    <w:p w14:paraId="44EAB0F8" w14:textId="0E036FD5" w:rsidR="00F4324C" w:rsidRPr="00B52CC9" w:rsidRDefault="00E46364" w:rsidP="00F37A5F">
      <w:pPr>
        <w:pStyle w:val="Heading1"/>
      </w:pPr>
      <w:bookmarkStart w:id="83" w:name="_Ref214297444"/>
      <w:bookmarkStart w:id="84" w:name="_Toc219009965"/>
      <w:bookmarkStart w:id="85" w:name="_Toc223473036"/>
      <w:r w:rsidRPr="00B52CC9">
        <w:lastRenderedPageBreak/>
        <w:t>CONCLUSIONES Y RECOMENDACIONES</w:t>
      </w:r>
      <w:bookmarkEnd w:id="83"/>
      <w:bookmarkEnd w:id="84"/>
      <w:bookmarkEnd w:id="85"/>
    </w:p>
    <w:p w14:paraId="1CF9CFEE" w14:textId="77777777" w:rsidR="008E3967" w:rsidRPr="00B52CC9" w:rsidRDefault="008E3967" w:rsidP="002C7E26">
      <w:pPr>
        <w:spacing w:after="0" w:line="240" w:lineRule="auto"/>
        <w:jc w:val="both"/>
        <w:rPr>
          <w:rFonts w:ascii="Times New Roman" w:hAnsi="Times New Roman" w:cs="Times New Roman"/>
          <w:sz w:val="24"/>
          <w:szCs w:val="24"/>
        </w:rPr>
      </w:pPr>
    </w:p>
    <w:p w14:paraId="36AA998E" w14:textId="1A637B7A" w:rsidR="00F05BE6" w:rsidRPr="00B52CC9" w:rsidRDefault="003D4742" w:rsidP="002C7E26">
      <w:pPr>
        <w:spacing w:after="0" w:line="240" w:lineRule="auto"/>
        <w:jc w:val="both"/>
        <w:rPr>
          <w:rFonts w:ascii="Times New Roman" w:hAnsi="Times New Roman" w:cs="Times New Roman"/>
          <w:sz w:val="24"/>
          <w:szCs w:val="24"/>
        </w:rPr>
      </w:pPr>
      <w:r w:rsidRPr="00B52CC9">
        <w:rPr>
          <w:rFonts w:ascii="Times New Roman" w:hAnsi="Times New Roman" w:cs="Times New Roman"/>
          <w:sz w:val="24"/>
          <w:szCs w:val="24"/>
        </w:rPr>
        <w:t xml:space="preserve">La información disponible </w:t>
      </w:r>
      <w:r w:rsidR="001E399D" w:rsidRPr="00B52CC9">
        <w:rPr>
          <w:rFonts w:ascii="Times New Roman" w:hAnsi="Times New Roman" w:cs="Times New Roman"/>
          <w:sz w:val="24"/>
          <w:szCs w:val="24"/>
        </w:rPr>
        <w:t xml:space="preserve">con sujeción a la cual se ha elaborado el análisis contenido en el presente documento, </w:t>
      </w:r>
      <w:r w:rsidRPr="00B52CC9">
        <w:rPr>
          <w:rFonts w:ascii="Times New Roman" w:hAnsi="Times New Roman" w:cs="Times New Roman"/>
          <w:sz w:val="24"/>
          <w:szCs w:val="24"/>
        </w:rPr>
        <w:t xml:space="preserve">permite señalar que si </w:t>
      </w:r>
      <w:r w:rsidR="00F4324C" w:rsidRPr="00B52CC9">
        <w:rPr>
          <w:rFonts w:ascii="Times New Roman" w:hAnsi="Times New Roman" w:cs="Times New Roman"/>
          <w:sz w:val="24"/>
          <w:szCs w:val="24"/>
        </w:rPr>
        <w:t xml:space="preserve">bien la </w:t>
      </w:r>
      <w:r w:rsidRPr="00B52CC9">
        <w:rPr>
          <w:rFonts w:ascii="Times New Roman" w:hAnsi="Times New Roman" w:cs="Times New Roman"/>
          <w:sz w:val="24"/>
          <w:szCs w:val="24"/>
        </w:rPr>
        <w:t>M</w:t>
      </w:r>
      <w:r w:rsidR="00F4324C" w:rsidRPr="00B52CC9">
        <w:rPr>
          <w:rFonts w:ascii="Times New Roman" w:hAnsi="Times New Roman" w:cs="Times New Roman"/>
          <w:sz w:val="24"/>
          <w:szCs w:val="24"/>
        </w:rPr>
        <w:t xml:space="preserve">unicipalidad </w:t>
      </w:r>
      <w:r w:rsidRPr="00B52CC9">
        <w:rPr>
          <w:rFonts w:ascii="Times New Roman" w:hAnsi="Times New Roman" w:cs="Times New Roman"/>
          <w:sz w:val="24"/>
          <w:szCs w:val="24"/>
        </w:rPr>
        <w:t xml:space="preserve">de Guatemala </w:t>
      </w:r>
      <w:r w:rsidR="00F4324C" w:rsidRPr="00B52CC9">
        <w:rPr>
          <w:rFonts w:ascii="Times New Roman" w:hAnsi="Times New Roman" w:cs="Times New Roman"/>
          <w:sz w:val="24"/>
          <w:szCs w:val="24"/>
        </w:rPr>
        <w:t xml:space="preserve">registra un indicador de autonomía financiera elevado, su compromiso </w:t>
      </w:r>
      <w:r w:rsidRPr="00B52CC9">
        <w:rPr>
          <w:rFonts w:ascii="Times New Roman" w:hAnsi="Times New Roman" w:cs="Times New Roman"/>
          <w:sz w:val="24"/>
          <w:szCs w:val="24"/>
        </w:rPr>
        <w:t xml:space="preserve">efectivo </w:t>
      </w:r>
      <w:r w:rsidR="00F4324C" w:rsidRPr="00B52CC9">
        <w:rPr>
          <w:rFonts w:ascii="Times New Roman" w:hAnsi="Times New Roman" w:cs="Times New Roman"/>
          <w:sz w:val="24"/>
          <w:szCs w:val="24"/>
        </w:rPr>
        <w:t xml:space="preserve">de gasto limita ese indicador, lo cual reduce la disponibilidad de rentas para atender nuevas operaciones de financiamiento y pasivos contingentes como el </w:t>
      </w:r>
      <w:r w:rsidRPr="00B52CC9">
        <w:rPr>
          <w:rFonts w:ascii="Times New Roman" w:hAnsi="Times New Roman" w:cs="Times New Roman"/>
          <w:sz w:val="24"/>
          <w:szCs w:val="24"/>
        </w:rPr>
        <w:t>prestacional (pensional)</w:t>
      </w:r>
      <w:r w:rsidR="00F05BE6" w:rsidRPr="00B52CC9">
        <w:rPr>
          <w:rFonts w:ascii="Times New Roman" w:hAnsi="Times New Roman" w:cs="Times New Roman"/>
          <w:sz w:val="24"/>
          <w:szCs w:val="24"/>
        </w:rPr>
        <w:t>, el cual, naturalmente, impacta la capacidad de pago de la Municipalidad.</w:t>
      </w:r>
    </w:p>
    <w:p w14:paraId="49D1A9FD" w14:textId="77777777" w:rsidR="00F4324C" w:rsidRPr="00B52CC9" w:rsidRDefault="00F4324C" w:rsidP="002C7E26">
      <w:pPr>
        <w:spacing w:after="0" w:line="240" w:lineRule="auto"/>
        <w:jc w:val="both"/>
        <w:rPr>
          <w:rFonts w:ascii="Times New Roman" w:hAnsi="Times New Roman" w:cs="Times New Roman"/>
          <w:sz w:val="24"/>
          <w:szCs w:val="24"/>
        </w:rPr>
      </w:pPr>
    </w:p>
    <w:p w14:paraId="0B731ABE" w14:textId="029B1CB3" w:rsidR="00EA7523" w:rsidRPr="00B52CC9" w:rsidRDefault="00F05BE6" w:rsidP="002C7E26">
      <w:pPr>
        <w:spacing w:after="0" w:line="240" w:lineRule="auto"/>
        <w:jc w:val="both"/>
        <w:rPr>
          <w:rFonts w:ascii="Times New Roman" w:hAnsi="Times New Roman" w:cs="Times New Roman"/>
          <w:sz w:val="24"/>
          <w:szCs w:val="24"/>
        </w:rPr>
      </w:pPr>
      <w:r w:rsidRPr="00B52CC9">
        <w:rPr>
          <w:rFonts w:ascii="Times New Roman" w:hAnsi="Times New Roman" w:cs="Times New Roman"/>
          <w:sz w:val="24"/>
          <w:szCs w:val="24"/>
        </w:rPr>
        <w:t>De manera particular, e</w:t>
      </w:r>
      <w:r w:rsidR="00F4324C" w:rsidRPr="00B52CC9">
        <w:rPr>
          <w:rFonts w:ascii="Times New Roman" w:hAnsi="Times New Roman" w:cs="Times New Roman"/>
          <w:sz w:val="24"/>
          <w:szCs w:val="24"/>
        </w:rPr>
        <w:t>l nivel crítico de la estructura fiscal y financiera de la administr</w:t>
      </w:r>
      <w:r w:rsidRPr="00B52CC9">
        <w:rPr>
          <w:rFonts w:ascii="Times New Roman" w:hAnsi="Times New Roman" w:cs="Times New Roman"/>
          <w:sz w:val="24"/>
          <w:szCs w:val="24"/>
        </w:rPr>
        <w:t>ación municipal está relacionado</w:t>
      </w:r>
      <w:r w:rsidR="00F4324C" w:rsidRPr="00B52CC9">
        <w:rPr>
          <w:rFonts w:ascii="Times New Roman" w:hAnsi="Times New Roman" w:cs="Times New Roman"/>
          <w:sz w:val="24"/>
          <w:szCs w:val="24"/>
        </w:rPr>
        <w:t xml:space="preserve"> con el volumen de gasto corriente, el nivel de deuda y los pasivos contingentes de origen pensional.</w:t>
      </w:r>
      <w:r w:rsidRPr="00B52CC9">
        <w:rPr>
          <w:rFonts w:ascii="Times New Roman" w:hAnsi="Times New Roman" w:cs="Times New Roman"/>
          <w:sz w:val="24"/>
          <w:szCs w:val="24"/>
        </w:rPr>
        <w:t xml:space="preserve">  </w:t>
      </w:r>
      <w:r w:rsidR="00F4324C" w:rsidRPr="00B52CC9">
        <w:rPr>
          <w:rFonts w:ascii="Times New Roman" w:hAnsi="Times New Roman" w:cs="Times New Roman"/>
          <w:sz w:val="24"/>
          <w:szCs w:val="24"/>
        </w:rPr>
        <w:t xml:space="preserve">Desde ese punto de vista, </w:t>
      </w:r>
      <w:r w:rsidR="0028152A" w:rsidRPr="00B52CC9">
        <w:rPr>
          <w:rFonts w:ascii="Times New Roman" w:hAnsi="Times New Roman" w:cs="Times New Roman"/>
          <w:sz w:val="24"/>
          <w:szCs w:val="24"/>
        </w:rPr>
        <w:t>el ajuste fiscal es</w:t>
      </w:r>
      <w:r w:rsidR="000E0D6F" w:rsidRPr="00B52CC9">
        <w:rPr>
          <w:rFonts w:ascii="Times New Roman" w:hAnsi="Times New Roman" w:cs="Times New Roman"/>
          <w:sz w:val="24"/>
          <w:szCs w:val="24"/>
        </w:rPr>
        <w:t xml:space="preserve"> viable, prioritariamente, afectando la estructura</w:t>
      </w:r>
      <w:r w:rsidR="0028152A" w:rsidRPr="00B52CC9">
        <w:rPr>
          <w:rFonts w:ascii="Times New Roman" w:hAnsi="Times New Roman" w:cs="Times New Roman"/>
          <w:sz w:val="24"/>
          <w:szCs w:val="24"/>
        </w:rPr>
        <w:t xml:space="preserve"> del gasto.  Para este efecto, </w:t>
      </w:r>
      <w:r w:rsidRPr="00B52CC9">
        <w:rPr>
          <w:rFonts w:ascii="Times New Roman" w:hAnsi="Times New Roman" w:cs="Times New Roman"/>
          <w:sz w:val="24"/>
          <w:szCs w:val="24"/>
        </w:rPr>
        <w:t xml:space="preserve">es preciso que la Municipalidad diseñe e implemente un proceso de </w:t>
      </w:r>
      <w:r w:rsidR="00F4324C" w:rsidRPr="00B52CC9">
        <w:rPr>
          <w:rFonts w:ascii="Times New Roman" w:hAnsi="Times New Roman" w:cs="Times New Roman"/>
          <w:sz w:val="24"/>
          <w:szCs w:val="24"/>
        </w:rPr>
        <w:t xml:space="preserve">ajuste </w:t>
      </w:r>
      <w:r w:rsidRPr="00B52CC9">
        <w:rPr>
          <w:rFonts w:ascii="Times New Roman" w:hAnsi="Times New Roman" w:cs="Times New Roman"/>
          <w:sz w:val="24"/>
          <w:szCs w:val="24"/>
        </w:rPr>
        <w:t xml:space="preserve">o saneamiento </w:t>
      </w:r>
      <w:r w:rsidR="00F4324C" w:rsidRPr="00B52CC9">
        <w:rPr>
          <w:rFonts w:ascii="Times New Roman" w:hAnsi="Times New Roman" w:cs="Times New Roman"/>
          <w:sz w:val="24"/>
          <w:szCs w:val="24"/>
        </w:rPr>
        <w:t>fiscal</w:t>
      </w:r>
      <w:r w:rsidRPr="00B52CC9">
        <w:rPr>
          <w:rFonts w:ascii="Times New Roman" w:hAnsi="Times New Roman" w:cs="Times New Roman"/>
          <w:sz w:val="24"/>
          <w:szCs w:val="24"/>
        </w:rPr>
        <w:t xml:space="preserve"> que </w:t>
      </w:r>
      <w:r w:rsidR="00F4324C" w:rsidRPr="00B52CC9">
        <w:rPr>
          <w:rFonts w:ascii="Times New Roman" w:hAnsi="Times New Roman" w:cs="Times New Roman"/>
          <w:sz w:val="24"/>
          <w:szCs w:val="24"/>
        </w:rPr>
        <w:t xml:space="preserve">debe </w:t>
      </w:r>
      <w:r w:rsidRPr="00B52CC9">
        <w:rPr>
          <w:rFonts w:ascii="Times New Roman" w:hAnsi="Times New Roman" w:cs="Times New Roman"/>
          <w:sz w:val="24"/>
          <w:szCs w:val="24"/>
        </w:rPr>
        <w:t xml:space="preserve">descansar, fundamentalmente, en acciones de reducción de </w:t>
      </w:r>
      <w:r w:rsidR="00F4324C" w:rsidRPr="00B52CC9">
        <w:rPr>
          <w:rFonts w:ascii="Times New Roman" w:hAnsi="Times New Roman" w:cs="Times New Roman"/>
          <w:sz w:val="24"/>
          <w:szCs w:val="24"/>
        </w:rPr>
        <w:t>gastos corrientes tales como servicios personales e inversión no amparada con compromisos de endeudamiento.</w:t>
      </w:r>
    </w:p>
    <w:p w14:paraId="073F8000" w14:textId="77777777" w:rsidR="003A7536" w:rsidRPr="00B52CC9" w:rsidRDefault="003A7536" w:rsidP="003A7536">
      <w:pPr>
        <w:spacing w:after="0" w:line="240" w:lineRule="auto"/>
        <w:jc w:val="both"/>
        <w:rPr>
          <w:rFonts w:ascii="Times New Roman" w:hAnsi="Times New Roman" w:cs="Times New Roman"/>
          <w:sz w:val="24"/>
          <w:szCs w:val="24"/>
        </w:rPr>
      </w:pPr>
    </w:p>
    <w:p w14:paraId="2A1E4469" w14:textId="530D4D3E" w:rsidR="003A7536" w:rsidRPr="00B52CC9" w:rsidRDefault="003A7536" w:rsidP="003A7536">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w:t>
      </w:r>
      <w:r w:rsidRPr="00B52CC9">
        <w:rPr>
          <w:rFonts w:ascii="Times New Roman" w:hAnsi="Times New Roman" w:cs="Times New Roman"/>
          <w:sz w:val="24"/>
          <w:szCs w:val="24"/>
        </w:rPr>
        <w:t>as medidas sugeridas son de caracter financiero e institucional.  Las medidas de caracter institucional se refieren a la necesidad de establecer o reorganizar una adecuada administracion financiera al interior de la Municipalidad que fortalezca las acciones del Gobierno Local en materia de ingresos, control del gasto y seguimiento de la deuda, es decir, evalúe y, si es necesario, re-elabore y/o actualice los procesos financieros a cargo de</w:t>
      </w:r>
      <w:r w:rsidR="00EA6C95">
        <w:rPr>
          <w:rFonts w:ascii="Times New Roman" w:hAnsi="Times New Roman" w:cs="Times New Roman"/>
          <w:sz w:val="24"/>
          <w:szCs w:val="24"/>
        </w:rPr>
        <w:t xml:space="preserve"> </w:t>
      </w:r>
      <w:r w:rsidRPr="00B52CC9">
        <w:rPr>
          <w:rFonts w:ascii="Times New Roman" w:hAnsi="Times New Roman" w:cs="Times New Roman"/>
          <w:sz w:val="24"/>
          <w:szCs w:val="24"/>
        </w:rPr>
        <w:t xml:space="preserve">la administración financiera municipal.  En este punto, es esencial disponer de una </w:t>
      </w:r>
      <w:r w:rsidRPr="00310B73">
        <w:rPr>
          <w:rFonts w:ascii="Times New Roman" w:hAnsi="Times New Roman" w:cs="Times New Roman"/>
          <w:i/>
          <w:sz w:val="24"/>
          <w:szCs w:val="24"/>
        </w:rPr>
        <w:t>Unidad de Análisis de Deuda Pública</w:t>
      </w:r>
      <w:r w:rsidRPr="00B52CC9">
        <w:rPr>
          <w:rFonts w:ascii="Times New Roman" w:hAnsi="Times New Roman" w:cs="Times New Roman"/>
          <w:sz w:val="24"/>
          <w:szCs w:val="24"/>
        </w:rPr>
        <w:t>, encargada de efectuar seguimiento a la ejecución de la deuda pública de manera que se convierta en la agencia gubernamental que apoye técnicamente la celebración de nuevas operaciones de crédito en el mercado fina</w:t>
      </w:r>
      <w:r>
        <w:rPr>
          <w:rFonts w:ascii="Times New Roman" w:hAnsi="Times New Roman" w:cs="Times New Roman"/>
          <w:sz w:val="24"/>
          <w:szCs w:val="24"/>
        </w:rPr>
        <w:t>n</w:t>
      </w:r>
      <w:r w:rsidRPr="00B52CC9">
        <w:rPr>
          <w:rFonts w:ascii="Times New Roman" w:hAnsi="Times New Roman" w:cs="Times New Roman"/>
          <w:sz w:val="24"/>
          <w:szCs w:val="24"/>
        </w:rPr>
        <w:t>ciero o de capitales, así como a la renegociación de las existentes; adelante el registro de las operaciones celebradas; efectúe el seguimiento a la ejecución de las operaciones en cuanto a desembolsos, pagos y determinacion de la capacidad de pago de la Municipalidad y de sus empresas, entre otras acciones.  La introducción de esta Unidad conlleva, de manera forzosa, a una evaluación y re-elaboración acerca del rol institucional y nivel de eficiencia de la administración financiera municipal, que le permita adecuarse institucionalmente a efectos de adoptar las medidas de “disciplina fiscal” que el restablecimiento de la sostenibilidad fiscal municipal requiere.</w:t>
      </w:r>
    </w:p>
    <w:p w14:paraId="663343C3" w14:textId="77777777" w:rsidR="003A7536" w:rsidRPr="00B52CC9" w:rsidRDefault="003A7536" w:rsidP="003A7536">
      <w:pPr>
        <w:widowControl w:val="0"/>
        <w:autoSpaceDE w:val="0"/>
        <w:autoSpaceDN w:val="0"/>
        <w:adjustRightInd w:val="0"/>
        <w:spacing w:after="0" w:line="240" w:lineRule="auto"/>
        <w:jc w:val="both"/>
        <w:rPr>
          <w:rFonts w:ascii="Times New Roman" w:hAnsi="Times New Roman" w:cs="Times New Roman"/>
          <w:sz w:val="24"/>
          <w:szCs w:val="24"/>
        </w:rPr>
      </w:pPr>
    </w:p>
    <w:p w14:paraId="57BB84F4" w14:textId="410CA81A" w:rsidR="003A7536" w:rsidRPr="00B52CC9" w:rsidRDefault="003A7536" w:rsidP="00520C31">
      <w:pPr>
        <w:spacing w:after="0" w:line="240" w:lineRule="auto"/>
        <w:jc w:val="both"/>
        <w:rPr>
          <w:rFonts w:ascii="Times New Roman" w:hAnsi="Times New Roman" w:cs="Times New Roman"/>
          <w:sz w:val="24"/>
          <w:szCs w:val="24"/>
        </w:rPr>
      </w:pPr>
      <w:r w:rsidRPr="00B52CC9">
        <w:rPr>
          <w:rFonts w:ascii="Times New Roman" w:hAnsi="Times New Roman" w:cs="Times New Roman"/>
          <w:sz w:val="24"/>
          <w:szCs w:val="24"/>
        </w:rPr>
        <w:t xml:space="preserve">En lo relativo a las medidas financieras, éstas se dirigen a la adopción de programas de saneamiento fiscal y financiero en el componente de ingresos y de gastos.  En el de ingresos, se refiere a la actualización de la normatividad tributaria referida a la causación de tributos y demás ingresos municipales, </w:t>
      </w:r>
      <w:r w:rsidR="00520C31">
        <w:rPr>
          <w:rFonts w:ascii="Times New Roman" w:hAnsi="Times New Roman" w:cs="Times New Roman"/>
          <w:sz w:val="24"/>
          <w:szCs w:val="24"/>
        </w:rPr>
        <w:t xml:space="preserve">pudiéndose </w:t>
      </w:r>
      <w:r w:rsidR="00520C31" w:rsidRPr="00B52CC9">
        <w:rPr>
          <w:rFonts w:ascii="Times New Roman" w:hAnsi="Times New Roman" w:cs="Times New Roman"/>
          <w:sz w:val="24"/>
          <w:szCs w:val="24"/>
        </w:rPr>
        <w:t>evaluar la posibilidad legal de transferir potestades en materia de industria y comercio o impuesto al valor agregado o de ventas al nivel municipal</w:t>
      </w:r>
      <w:r w:rsidR="00520C31">
        <w:rPr>
          <w:rFonts w:ascii="Times New Roman" w:hAnsi="Times New Roman" w:cs="Times New Roman"/>
          <w:sz w:val="24"/>
          <w:szCs w:val="24"/>
        </w:rPr>
        <w:t>.</w:t>
      </w:r>
      <w:r w:rsidR="00520C31" w:rsidRPr="00B52CC9">
        <w:rPr>
          <w:rFonts w:ascii="Times New Roman" w:hAnsi="Times New Roman" w:cs="Times New Roman"/>
          <w:sz w:val="24"/>
          <w:szCs w:val="24"/>
        </w:rPr>
        <w:t xml:space="preserve"> </w:t>
      </w:r>
      <w:r w:rsidR="00520C31">
        <w:rPr>
          <w:rFonts w:ascii="Times New Roman" w:hAnsi="Times New Roman" w:cs="Times New Roman"/>
          <w:sz w:val="24"/>
          <w:szCs w:val="24"/>
        </w:rPr>
        <w:t xml:space="preserve"> Una modernización del modelo de</w:t>
      </w:r>
      <w:r w:rsidRPr="00B52CC9">
        <w:rPr>
          <w:rFonts w:ascii="Times New Roman" w:hAnsi="Times New Roman" w:cs="Times New Roman"/>
          <w:sz w:val="24"/>
          <w:szCs w:val="24"/>
        </w:rPr>
        <w:t xml:space="preserve"> cobro o recaudo</w:t>
      </w:r>
      <w:r w:rsidR="00520C31">
        <w:rPr>
          <w:rFonts w:ascii="Times New Roman" w:hAnsi="Times New Roman" w:cs="Times New Roman"/>
          <w:sz w:val="24"/>
          <w:szCs w:val="24"/>
        </w:rPr>
        <w:t xml:space="preserve"> es tambien necesaria</w:t>
      </w:r>
      <w:r w:rsidRPr="00B52CC9">
        <w:rPr>
          <w:rFonts w:ascii="Times New Roman" w:hAnsi="Times New Roman" w:cs="Times New Roman"/>
          <w:sz w:val="24"/>
          <w:szCs w:val="24"/>
        </w:rPr>
        <w:t xml:space="preserve">, de manera que se fortalezca la recaudación de ingresos propios y se optimicen los instrumentos administrativos y tecnológicos de recaudo. </w:t>
      </w:r>
      <w:r w:rsidR="00520C31">
        <w:rPr>
          <w:rFonts w:ascii="Times New Roman" w:hAnsi="Times New Roman" w:cs="Times New Roman"/>
          <w:sz w:val="24"/>
          <w:szCs w:val="24"/>
        </w:rPr>
        <w:t xml:space="preserve"> De igual modo,</w:t>
      </w:r>
      <w:r w:rsidRPr="00B52CC9">
        <w:rPr>
          <w:rFonts w:ascii="Times New Roman" w:hAnsi="Times New Roman" w:cs="Times New Roman"/>
          <w:sz w:val="24"/>
          <w:szCs w:val="24"/>
        </w:rPr>
        <w:t xml:space="preserve"> es preciso que la administración municipal adopte medidas de reducción del gasto operacional o corriente (gastos de personal y generales), así como la redefinicion del régimen salarial y </w:t>
      </w:r>
      <w:r w:rsidRPr="00B52CC9">
        <w:rPr>
          <w:rFonts w:ascii="Times New Roman" w:hAnsi="Times New Roman" w:cs="Times New Roman"/>
          <w:sz w:val="24"/>
          <w:szCs w:val="24"/>
        </w:rPr>
        <w:lastRenderedPageBreak/>
        <w:t>prestacional para los empleados que ingresen a laborar en la Municipalidad y la adopción de planes de retiro voluntario compensado.</w:t>
      </w:r>
    </w:p>
    <w:p w14:paraId="4FE85ACF" w14:textId="77777777" w:rsidR="003A7536" w:rsidRPr="00B52CC9" w:rsidRDefault="003A7536" w:rsidP="003A7536">
      <w:pPr>
        <w:widowControl w:val="0"/>
        <w:autoSpaceDE w:val="0"/>
        <w:autoSpaceDN w:val="0"/>
        <w:adjustRightInd w:val="0"/>
        <w:spacing w:after="0" w:line="240" w:lineRule="auto"/>
        <w:jc w:val="both"/>
        <w:rPr>
          <w:rFonts w:ascii="Times New Roman" w:hAnsi="Times New Roman" w:cs="Times New Roman"/>
          <w:sz w:val="24"/>
          <w:szCs w:val="24"/>
        </w:rPr>
      </w:pPr>
    </w:p>
    <w:p w14:paraId="1FF08CB2" w14:textId="05F7DAD8" w:rsidR="003A7536" w:rsidRPr="00B52CC9" w:rsidRDefault="003A7536" w:rsidP="003A7536">
      <w:pPr>
        <w:spacing w:after="0" w:line="240" w:lineRule="auto"/>
        <w:jc w:val="both"/>
        <w:rPr>
          <w:rFonts w:ascii="Times New Roman" w:hAnsi="Times New Roman" w:cs="Times New Roman"/>
          <w:sz w:val="24"/>
          <w:szCs w:val="24"/>
        </w:rPr>
      </w:pPr>
      <w:r w:rsidRPr="00B52CC9">
        <w:rPr>
          <w:rFonts w:ascii="Times New Roman" w:hAnsi="Times New Roman" w:cs="Times New Roman"/>
          <w:sz w:val="24"/>
          <w:szCs w:val="24"/>
        </w:rPr>
        <w:t>Ello debe complementarse con la creación de un fondo capital semilla (</w:t>
      </w:r>
      <w:r w:rsidRPr="00B52CC9">
        <w:rPr>
          <w:rFonts w:ascii="Times New Roman" w:hAnsi="Times New Roman" w:cs="Times New Roman"/>
          <w:i/>
          <w:sz w:val="24"/>
          <w:szCs w:val="24"/>
        </w:rPr>
        <w:t>rainy-day fund</w:t>
      </w:r>
      <w:r w:rsidRPr="00B52CC9">
        <w:rPr>
          <w:rFonts w:ascii="Times New Roman" w:hAnsi="Times New Roman" w:cs="Times New Roman"/>
          <w:sz w:val="24"/>
          <w:szCs w:val="24"/>
        </w:rPr>
        <w:t>) para atender la contingencia pensional derivada del régimen salarial y prestacional vigente en la Municipalidad.  Para este efecto, es necesaria la cuantificacion de ese gasto contingente, lo cual debe involucrar la realizacion de un cálculo actuarial y la provisión, a través del citado fondo, de los recursos requeridos para atender la contingencia presente y provisionar los calculos de la contingencia futura.  Para ello, la administracion financiera debe contar con una Unidad de Regulación de Seg</w:t>
      </w:r>
      <w:r w:rsidR="00EA6C95">
        <w:rPr>
          <w:rFonts w:ascii="Times New Roman" w:hAnsi="Times New Roman" w:cs="Times New Roman"/>
          <w:sz w:val="24"/>
          <w:szCs w:val="24"/>
        </w:rPr>
        <w:t>uridad Social, encargada de efectuar el</w:t>
      </w:r>
      <w:r w:rsidRPr="00B52CC9">
        <w:rPr>
          <w:rFonts w:ascii="Times New Roman" w:hAnsi="Times New Roman" w:cs="Times New Roman"/>
          <w:sz w:val="24"/>
          <w:szCs w:val="24"/>
        </w:rPr>
        <w:t xml:space="preserve"> seguimiento a los costos contingentes, la valoración de los mismos y la administración del fondo de contingencias, lo cual conlleva asegurar la realización de los giros de recursos que atiendan las reservas técnicas que demanda esta contingencia financiera.  La Unidad de Regulación Técnica de Seguridad Social deberá efectuar el seguimiento a los impactos o variaciones derivados del regimen prestacional vigente, los cambios introducidos al mismo y los efectos del comportamiento del manejo de plantas de personal al interior de la administración municipal y sus empresas.</w:t>
      </w:r>
    </w:p>
    <w:p w14:paraId="22CEC4BE" w14:textId="77777777" w:rsidR="001979A1" w:rsidRPr="00B52CC9" w:rsidRDefault="001979A1" w:rsidP="002C7E26">
      <w:pPr>
        <w:spacing w:after="0" w:line="240" w:lineRule="auto"/>
        <w:jc w:val="both"/>
        <w:rPr>
          <w:rFonts w:ascii="Times New Roman" w:hAnsi="Times New Roman" w:cs="Times New Roman"/>
          <w:sz w:val="24"/>
          <w:szCs w:val="24"/>
        </w:rPr>
      </w:pPr>
    </w:p>
    <w:p w14:paraId="3797A954" w14:textId="2E42C12C" w:rsidR="003B05FB" w:rsidRPr="00B52CC9" w:rsidRDefault="00EA6C95" w:rsidP="002C7E2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w:t>
      </w:r>
      <w:r w:rsidR="003B05FB" w:rsidRPr="00B52CC9">
        <w:rPr>
          <w:rFonts w:ascii="Times New Roman" w:hAnsi="Times New Roman" w:cs="Times New Roman"/>
          <w:sz w:val="24"/>
          <w:szCs w:val="24"/>
        </w:rPr>
        <w:t>a circunstancia que</w:t>
      </w:r>
      <w:r w:rsidR="00520C31">
        <w:rPr>
          <w:rFonts w:ascii="Times New Roman" w:hAnsi="Times New Roman" w:cs="Times New Roman"/>
          <w:sz w:val="24"/>
          <w:szCs w:val="24"/>
        </w:rPr>
        <w:t xml:space="preserve"> las empresas de servicios actúan como “satélites”, esto es, como</w:t>
      </w:r>
      <w:r w:rsidR="003B05FB" w:rsidRPr="00B52CC9">
        <w:rPr>
          <w:rFonts w:ascii="Times New Roman" w:hAnsi="Times New Roman" w:cs="Times New Roman"/>
          <w:sz w:val="24"/>
          <w:szCs w:val="24"/>
        </w:rPr>
        <w:t xml:space="preserve"> perso</w:t>
      </w:r>
      <w:r w:rsidR="00520C31">
        <w:rPr>
          <w:rFonts w:ascii="Times New Roman" w:hAnsi="Times New Roman" w:cs="Times New Roman"/>
          <w:sz w:val="24"/>
          <w:szCs w:val="24"/>
        </w:rPr>
        <w:t>nas jurídicas distintas pero con ingresos contabilizados</w:t>
      </w:r>
      <w:r w:rsidR="003B05FB" w:rsidRPr="00B52CC9">
        <w:rPr>
          <w:rFonts w:ascii="Times New Roman" w:hAnsi="Times New Roman" w:cs="Times New Roman"/>
          <w:sz w:val="24"/>
          <w:szCs w:val="24"/>
        </w:rPr>
        <w:t xml:space="preserve"> </w:t>
      </w:r>
      <w:r>
        <w:rPr>
          <w:rFonts w:ascii="Times New Roman" w:hAnsi="Times New Roman" w:cs="Times New Roman"/>
          <w:sz w:val="24"/>
          <w:szCs w:val="24"/>
        </w:rPr>
        <w:t>en el sector central</w:t>
      </w:r>
      <w:r w:rsidR="003B05FB" w:rsidRPr="00B52CC9">
        <w:rPr>
          <w:rFonts w:ascii="Times New Roman" w:hAnsi="Times New Roman" w:cs="Times New Roman"/>
          <w:sz w:val="24"/>
          <w:szCs w:val="24"/>
        </w:rPr>
        <w:t>,</w:t>
      </w:r>
      <w:r>
        <w:rPr>
          <w:rFonts w:ascii="Times New Roman" w:hAnsi="Times New Roman" w:cs="Times New Roman"/>
          <w:sz w:val="24"/>
          <w:szCs w:val="24"/>
        </w:rPr>
        <w:t xml:space="preserve"> conlleva que</w:t>
      </w:r>
      <w:r w:rsidR="003B05FB" w:rsidRPr="00B52CC9">
        <w:rPr>
          <w:rFonts w:ascii="Times New Roman" w:hAnsi="Times New Roman" w:cs="Times New Roman"/>
          <w:sz w:val="24"/>
          <w:szCs w:val="24"/>
        </w:rPr>
        <w:t xml:space="preserve"> a efectos de reducir su gasto operacional, podría evaluarse la alternativa de concesión a través de las alternativas que ofrece el Decreto 16 de 2010.</w:t>
      </w:r>
      <w:r w:rsidR="003B05FB" w:rsidRPr="00B52CC9">
        <w:rPr>
          <w:rStyle w:val="FootnoteReference"/>
          <w:rFonts w:ascii="Times New Roman" w:hAnsi="Times New Roman" w:cs="Times New Roman"/>
          <w:sz w:val="24"/>
          <w:szCs w:val="24"/>
        </w:rPr>
        <w:footnoteReference w:id="78"/>
      </w:r>
    </w:p>
    <w:p w14:paraId="5047DA4D" w14:textId="77777777" w:rsidR="00854552" w:rsidRPr="00B52CC9" w:rsidRDefault="00854552" w:rsidP="002C7E26">
      <w:pPr>
        <w:spacing w:after="0" w:line="240" w:lineRule="auto"/>
        <w:jc w:val="both"/>
        <w:rPr>
          <w:rFonts w:ascii="Times New Roman" w:hAnsi="Times New Roman" w:cs="Times New Roman"/>
          <w:sz w:val="24"/>
          <w:szCs w:val="24"/>
        </w:rPr>
      </w:pPr>
    </w:p>
    <w:p w14:paraId="7EF9D31B" w14:textId="6F7077B8" w:rsidR="00F86BEE" w:rsidRDefault="00F86BEE" w:rsidP="00F86BEE">
      <w:pPr>
        <w:spacing w:after="0" w:line="240" w:lineRule="auto"/>
        <w:jc w:val="both"/>
        <w:rPr>
          <w:rFonts w:ascii="Times New Roman" w:hAnsi="Times New Roman" w:cs="Times New Roman"/>
          <w:bCs/>
          <w:sz w:val="24"/>
          <w:szCs w:val="24"/>
        </w:rPr>
      </w:pPr>
      <w:bookmarkStart w:id="86" w:name="_Ref214297476"/>
      <w:r w:rsidRPr="00F86BEE">
        <w:rPr>
          <w:rFonts w:ascii="Times New Roman" w:hAnsi="Times New Roman" w:cs="Times New Roman"/>
          <w:bCs/>
          <w:sz w:val="24"/>
          <w:szCs w:val="24"/>
        </w:rPr>
        <w:t>Respecto a nuevas operaciones de crédito, se deben tener en cuenta las siguientes consideraciones:</w:t>
      </w:r>
    </w:p>
    <w:p w14:paraId="616702EE" w14:textId="77777777" w:rsidR="00A45501" w:rsidRPr="00F86BEE" w:rsidRDefault="00A45501" w:rsidP="00F86BEE">
      <w:pPr>
        <w:spacing w:after="0" w:line="240" w:lineRule="auto"/>
        <w:jc w:val="both"/>
        <w:rPr>
          <w:rFonts w:ascii="Times New Roman" w:hAnsi="Times New Roman" w:cs="Times New Roman"/>
          <w:bCs/>
          <w:sz w:val="24"/>
          <w:szCs w:val="24"/>
        </w:rPr>
      </w:pPr>
    </w:p>
    <w:bookmarkEnd w:id="86"/>
    <w:p w14:paraId="13E6E18A" w14:textId="244ED0DD" w:rsidR="006B2E89" w:rsidRDefault="00F86BEE" w:rsidP="002C7E26">
      <w:pPr>
        <w:spacing w:after="0" w:line="240" w:lineRule="auto"/>
        <w:jc w:val="both"/>
        <w:rPr>
          <w:rFonts w:ascii="Times New Roman" w:hAnsi="Times New Roman" w:cs="Times New Roman"/>
          <w:sz w:val="24"/>
          <w:szCs w:val="24"/>
        </w:rPr>
      </w:pPr>
      <w:r>
        <w:rPr>
          <w:rFonts w:ascii="Times New Roman" w:hAnsi="Times New Roman" w:cs="Times New Roman"/>
        </w:rPr>
        <w:t xml:space="preserve">-  </w:t>
      </w:r>
      <w:r w:rsidR="0067793B" w:rsidRPr="00B52CC9">
        <w:rPr>
          <w:rFonts w:ascii="Times New Roman" w:hAnsi="Times New Roman" w:cs="Times New Roman"/>
          <w:sz w:val="24"/>
          <w:szCs w:val="24"/>
        </w:rPr>
        <w:t xml:space="preserve">De manera precisa, la Corte emitió </w:t>
      </w:r>
      <w:r>
        <w:rPr>
          <w:rFonts w:ascii="Times New Roman" w:hAnsi="Times New Roman" w:cs="Times New Roman"/>
          <w:sz w:val="24"/>
          <w:szCs w:val="24"/>
        </w:rPr>
        <w:t xml:space="preserve">esta </w:t>
      </w:r>
      <w:r w:rsidR="0067793B" w:rsidRPr="00F86BEE">
        <w:rPr>
          <w:rFonts w:ascii="Times New Roman" w:hAnsi="Times New Roman" w:cs="Times New Roman"/>
          <w:sz w:val="24"/>
          <w:szCs w:val="24"/>
        </w:rPr>
        <w:t>reserva interpretativa:</w:t>
      </w:r>
      <w:r w:rsidR="0067793B" w:rsidRPr="00B52CC9">
        <w:rPr>
          <w:rFonts w:ascii="Times New Roman" w:hAnsi="Times New Roman" w:cs="Times New Roman"/>
          <w:i/>
          <w:sz w:val="24"/>
          <w:szCs w:val="24"/>
        </w:rPr>
        <w:t xml:space="preserve"> se deberá observar que respecto del artículo 30 del Decreto 22-2010 del Congreso de la República impugnado, su texto debe entenderse que: las municipalidades no podrán contraer obligaciones crediticias cuyo plazo de amortización exceda al período de gobierno del Concejo Municipal que las contrae, salvo aquellos casos en los que su endeudamiento a largo plazo se apoye en las conclusiones y recomendaciones de los estudios técnicos de factibilidad que para el efecto se elaboren</w:t>
      </w:r>
      <w:r w:rsidR="0067793B" w:rsidRPr="00B52CC9">
        <w:rPr>
          <w:rFonts w:ascii="Times New Roman" w:hAnsi="Times New Roman" w:cs="Times New Roman"/>
          <w:sz w:val="24"/>
          <w:szCs w:val="24"/>
        </w:rPr>
        <w:t>.</w:t>
      </w:r>
      <w:r w:rsidR="0067793B" w:rsidRPr="00B52CC9">
        <w:rPr>
          <w:rStyle w:val="FootnoteReference"/>
          <w:rFonts w:ascii="Times New Roman" w:hAnsi="Times New Roman" w:cs="Times New Roman"/>
          <w:sz w:val="24"/>
          <w:szCs w:val="24"/>
        </w:rPr>
        <w:footnoteReference w:id="79"/>
      </w:r>
    </w:p>
    <w:p w14:paraId="5B1F7DFB" w14:textId="77777777" w:rsidR="00A45501" w:rsidRPr="00B52CC9" w:rsidRDefault="00A45501" w:rsidP="002C7E26">
      <w:pPr>
        <w:spacing w:after="0" w:line="240" w:lineRule="auto"/>
        <w:jc w:val="both"/>
        <w:rPr>
          <w:rFonts w:ascii="Times New Roman" w:hAnsi="Times New Roman" w:cs="Times New Roman"/>
          <w:sz w:val="24"/>
          <w:szCs w:val="24"/>
        </w:rPr>
      </w:pPr>
    </w:p>
    <w:p w14:paraId="60C5B90C" w14:textId="2DDB12C0" w:rsidR="0067793B" w:rsidRDefault="00FE0C79" w:rsidP="002C7E2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Atendiendo</w:t>
      </w:r>
      <w:r w:rsidR="00F86BEE">
        <w:rPr>
          <w:rFonts w:ascii="Times New Roman" w:hAnsi="Times New Roman" w:cs="Times New Roman"/>
          <w:sz w:val="24"/>
          <w:szCs w:val="24"/>
        </w:rPr>
        <w:t xml:space="preserve"> a las</w:t>
      </w:r>
      <w:r w:rsidR="0067793B" w:rsidRPr="00B52CC9">
        <w:rPr>
          <w:rFonts w:ascii="Times New Roman" w:hAnsi="Times New Roman" w:cs="Times New Roman"/>
          <w:sz w:val="24"/>
          <w:szCs w:val="24"/>
        </w:rPr>
        <w:t xml:space="preserve"> condiciones para el otorgamiento de nuevo empréstito, es preciso observar las </w:t>
      </w:r>
      <w:r w:rsidR="000D0992" w:rsidRPr="00B52CC9">
        <w:rPr>
          <w:rFonts w:ascii="Times New Roman" w:hAnsi="Times New Roman" w:cs="Times New Roman"/>
          <w:sz w:val="24"/>
          <w:szCs w:val="24"/>
        </w:rPr>
        <w:t>siguientes</w:t>
      </w:r>
      <w:r w:rsidR="0067793B" w:rsidRPr="00B52CC9">
        <w:rPr>
          <w:rFonts w:ascii="Times New Roman" w:hAnsi="Times New Roman" w:cs="Times New Roman"/>
          <w:sz w:val="24"/>
          <w:szCs w:val="24"/>
        </w:rPr>
        <w:t xml:space="preserve"> re</w:t>
      </w:r>
      <w:r w:rsidR="00D33B76" w:rsidRPr="00B52CC9">
        <w:rPr>
          <w:rFonts w:ascii="Times New Roman" w:hAnsi="Times New Roman" w:cs="Times New Roman"/>
          <w:sz w:val="24"/>
          <w:szCs w:val="24"/>
        </w:rPr>
        <w:t>g</w:t>
      </w:r>
      <w:r w:rsidR="0067793B" w:rsidRPr="00B52CC9">
        <w:rPr>
          <w:rFonts w:ascii="Times New Roman" w:hAnsi="Times New Roman" w:cs="Times New Roman"/>
          <w:sz w:val="24"/>
          <w:szCs w:val="24"/>
        </w:rPr>
        <w:t>las:</w:t>
      </w:r>
    </w:p>
    <w:p w14:paraId="681564CC" w14:textId="77777777" w:rsidR="000E332E" w:rsidRPr="00B52CC9" w:rsidRDefault="000E332E" w:rsidP="002C7E26">
      <w:pPr>
        <w:spacing w:after="0" w:line="240" w:lineRule="auto"/>
        <w:jc w:val="both"/>
        <w:rPr>
          <w:rFonts w:ascii="Times New Roman" w:hAnsi="Times New Roman" w:cs="Times New Roman"/>
          <w:sz w:val="24"/>
          <w:szCs w:val="24"/>
        </w:rPr>
      </w:pPr>
    </w:p>
    <w:p w14:paraId="17D285B8" w14:textId="32DC4587" w:rsidR="00D33B76" w:rsidRPr="00F86BEE" w:rsidRDefault="00D33B76" w:rsidP="002C7E26">
      <w:pPr>
        <w:pStyle w:val="ListParagraph"/>
        <w:numPr>
          <w:ilvl w:val="0"/>
          <w:numId w:val="9"/>
        </w:numPr>
        <w:spacing w:after="0" w:line="240" w:lineRule="auto"/>
        <w:contextualSpacing w:val="0"/>
        <w:jc w:val="both"/>
        <w:rPr>
          <w:rFonts w:ascii="Times New Roman" w:hAnsi="Times New Roman" w:cs="Times New Roman"/>
          <w:sz w:val="24"/>
          <w:szCs w:val="24"/>
        </w:rPr>
      </w:pPr>
      <w:r w:rsidRPr="00B52CC9">
        <w:rPr>
          <w:rFonts w:ascii="Times New Roman" w:hAnsi="Times New Roman" w:cs="Times New Roman"/>
          <w:sz w:val="24"/>
          <w:szCs w:val="24"/>
        </w:rPr>
        <w:t xml:space="preserve">La operación de crédito debe ser interna para mantener la concordancia de la calificación </w:t>
      </w:r>
      <w:r w:rsidR="00CE1402" w:rsidRPr="00B52CC9">
        <w:rPr>
          <w:rFonts w:ascii="Times New Roman" w:hAnsi="Times New Roman" w:cs="Times New Roman"/>
          <w:sz w:val="24"/>
          <w:szCs w:val="24"/>
        </w:rPr>
        <w:t>g</w:t>
      </w:r>
      <w:r w:rsidRPr="00B52CC9">
        <w:rPr>
          <w:rFonts w:ascii="Times New Roman" w:hAnsi="Times New Roman" w:cs="Times New Roman"/>
          <w:sz w:val="24"/>
          <w:szCs w:val="24"/>
        </w:rPr>
        <w:t>BBB (-) emitida por Pacific Credit Rating (PCR).</w:t>
      </w:r>
      <w:r w:rsidRPr="00B52CC9">
        <w:rPr>
          <w:rStyle w:val="FootnoteReference"/>
          <w:rFonts w:ascii="Times New Roman" w:hAnsi="Times New Roman" w:cs="Times New Roman"/>
          <w:sz w:val="24"/>
          <w:szCs w:val="24"/>
        </w:rPr>
        <w:footnoteReference w:id="80"/>
      </w:r>
    </w:p>
    <w:p w14:paraId="326D6ADD" w14:textId="09573ACB" w:rsidR="00F4324C" w:rsidRPr="00B52CC9" w:rsidRDefault="00D33B76" w:rsidP="002C7E26">
      <w:pPr>
        <w:pStyle w:val="ListParagraph"/>
        <w:numPr>
          <w:ilvl w:val="0"/>
          <w:numId w:val="9"/>
        </w:numPr>
        <w:spacing w:after="0" w:line="240" w:lineRule="auto"/>
        <w:contextualSpacing w:val="0"/>
        <w:jc w:val="both"/>
        <w:rPr>
          <w:rFonts w:ascii="Times New Roman" w:hAnsi="Times New Roman" w:cs="Times New Roman"/>
          <w:sz w:val="24"/>
          <w:szCs w:val="24"/>
        </w:rPr>
      </w:pPr>
      <w:r w:rsidRPr="00B52CC9">
        <w:rPr>
          <w:rFonts w:ascii="Times New Roman" w:hAnsi="Times New Roman" w:cs="Times New Roman"/>
          <w:sz w:val="24"/>
          <w:szCs w:val="24"/>
        </w:rPr>
        <w:t xml:space="preserve">La </w:t>
      </w:r>
      <w:r w:rsidR="00F4324C" w:rsidRPr="00B52CC9">
        <w:rPr>
          <w:rFonts w:ascii="Times New Roman" w:hAnsi="Times New Roman" w:cs="Times New Roman"/>
          <w:sz w:val="24"/>
          <w:szCs w:val="24"/>
        </w:rPr>
        <w:t>operación debe contar con una garantía directa de un ingreso municipal titularizado y administrado a través de un fideicomiso que siga las reglas de pago, por ejemplo, del fideicomiso de Apoyo a la Planificación Urbana (FAPU).</w:t>
      </w:r>
      <w:r w:rsidR="00F4324C" w:rsidRPr="00B52CC9">
        <w:rPr>
          <w:rStyle w:val="FootnoteReference"/>
          <w:rFonts w:ascii="Times New Roman" w:hAnsi="Times New Roman" w:cs="Times New Roman"/>
          <w:sz w:val="24"/>
          <w:szCs w:val="24"/>
        </w:rPr>
        <w:footnoteReference w:id="81"/>
      </w:r>
    </w:p>
    <w:p w14:paraId="6F912E54" w14:textId="02B874A9" w:rsidR="00D33B76" w:rsidRPr="00F86BEE" w:rsidRDefault="00D33B76" w:rsidP="002C7E26">
      <w:pPr>
        <w:pStyle w:val="ListParagraph"/>
        <w:numPr>
          <w:ilvl w:val="0"/>
          <w:numId w:val="9"/>
        </w:numPr>
        <w:spacing w:after="0" w:line="240" w:lineRule="auto"/>
        <w:contextualSpacing w:val="0"/>
        <w:jc w:val="both"/>
        <w:rPr>
          <w:rFonts w:ascii="Times New Roman" w:hAnsi="Times New Roman" w:cs="Times New Roman"/>
          <w:sz w:val="24"/>
          <w:szCs w:val="24"/>
        </w:rPr>
      </w:pPr>
      <w:r w:rsidRPr="00B52CC9">
        <w:rPr>
          <w:rFonts w:ascii="Times New Roman" w:hAnsi="Times New Roman" w:cs="Times New Roman"/>
          <w:sz w:val="24"/>
          <w:szCs w:val="24"/>
        </w:rPr>
        <w:lastRenderedPageBreak/>
        <w:t>En ese orden, un ingreso que opere como garantía podría ser el producido de una renta (transporte), la transferencia nacional (aporte mandato constitucional o IVA PAZ) o el impuesto sobre inmuebles.</w:t>
      </w:r>
    </w:p>
    <w:p w14:paraId="578BB91B" w14:textId="2C6DCC74" w:rsidR="000D0992" w:rsidRPr="00F86BEE" w:rsidRDefault="000D0992" w:rsidP="002C7E26">
      <w:pPr>
        <w:pStyle w:val="ListParagraph"/>
        <w:numPr>
          <w:ilvl w:val="0"/>
          <w:numId w:val="9"/>
        </w:numPr>
        <w:spacing w:after="0" w:line="240" w:lineRule="auto"/>
        <w:contextualSpacing w:val="0"/>
        <w:jc w:val="both"/>
        <w:rPr>
          <w:rFonts w:ascii="Times New Roman" w:hAnsi="Times New Roman" w:cs="Times New Roman"/>
          <w:sz w:val="24"/>
          <w:szCs w:val="24"/>
        </w:rPr>
      </w:pPr>
      <w:r w:rsidRPr="00B52CC9">
        <w:rPr>
          <w:rFonts w:ascii="Times New Roman" w:hAnsi="Times New Roman" w:cs="Times New Roman"/>
          <w:sz w:val="24"/>
          <w:szCs w:val="24"/>
        </w:rPr>
        <w:t>La renta que podría reorientarse al pago del nuevo crédito es la transferencia nacional que representa un 15% dentro de la estructura de ingresos municipales.</w:t>
      </w:r>
    </w:p>
    <w:p w14:paraId="264933C0" w14:textId="4C80A34C" w:rsidR="00F4324C" w:rsidRPr="00B52CC9" w:rsidRDefault="00F4324C" w:rsidP="002C7E26">
      <w:pPr>
        <w:pStyle w:val="ListParagraph"/>
        <w:numPr>
          <w:ilvl w:val="0"/>
          <w:numId w:val="9"/>
        </w:numPr>
        <w:spacing w:after="0" w:line="240" w:lineRule="auto"/>
        <w:contextualSpacing w:val="0"/>
        <w:jc w:val="both"/>
        <w:rPr>
          <w:rFonts w:ascii="Times New Roman" w:hAnsi="Times New Roman" w:cs="Times New Roman"/>
          <w:sz w:val="24"/>
          <w:szCs w:val="24"/>
        </w:rPr>
      </w:pPr>
      <w:r w:rsidRPr="00B52CC9">
        <w:rPr>
          <w:rFonts w:ascii="Times New Roman" w:hAnsi="Times New Roman" w:cs="Times New Roman"/>
          <w:sz w:val="24"/>
          <w:szCs w:val="24"/>
        </w:rPr>
        <w:t>Debe haber una cesión formal de renta autorizada por el Concejo Municipal en favor del fideicomiso como garantía real a la operación.</w:t>
      </w:r>
      <w:r w:rsidRPr="00B52CC9">
        <w:rPr>
          <w:rStyle w:val="FootnoteReference"/>
          <w:rFonts w:ascii="Times New Roman" w:hAnsi="Times New Roman" w:cs="Times New Roman"/>
          <w:sz w:val="24"/>
          <w:szCs w:val="24"/>
        </w:rPr>
        <w:footnoteReference w:id="82"/>
      </w:r>
    </w:p>
    <w:p w14:paraId="615318A7" w14:textId="77777777" w:rsidR="00F4324C" w:rsidRPr="00B52CC9" w:rsidRDefault="00F4324C" w:rsidP="002C7E26">
      <w:pPr>
        <w:spacing w:after="0" w:line="240" w:lineRule="auto"/>
        <w:jc w:val="both"/>
        <w:rPr>
          <w:rFonts w:ascii="Times New Roman" w:hAnsi="Times New Roman" w:cs="Times New Roman"/>
          <w:sz w:val="20"/>
          <w:szCs w:val="20"/>
        </w:rPr>
      </w:pPr>
    </w:p>
    <w:p w14:paraId="68223BF4" w14:textId="4A0F5FCD" w:rsidR="00CE314A" w:rsidRPr="004C7463" w:rsidRDefault="00CE314A" w:rsidP="004C7463">
      <w:pPr>
        <w:spacing w:after="0" w:line="240" w:lineRule="auto"/>
        <w:jc w:val="both"/>
        <w:rPr>
          <w:rFonts w:ascii="Times New Roman" w:hAnsi="Times New Roman" w:cs="Times New Roman"/>
          <w:sz w:val="20"/>
          <w:szCs w:val="20"/>
        </w:rPr>
      </w:pPr>
      <w:bookmarkStart w:id="87" w:name="_Ref214297495"/>
      <w:bookmarkStart w:id="88" w:name="_Ref214298430"/>
      <w:bookmarkStart w:id="89" w:name="_Toc219009969"/>
    </w:p>
    <w:p w14:paraId="0462E8FE" w14:textId="77777777" w:rsidR="00CE314A" w:rsidRDefault="00CE314A" w:rsidP="00917651">
      <w:pPr>
        <w:pStyle w:val="Heading1"/>
      </w:pPr>
    </w:p>
    <w:p w14:paraId="78D68608" w14:textId="77777777" w:rsidR="009B50A1" w:rsidRDefault="009B50A1">
      <w:pPr>
        <w:rPr>
          <w:rFonts w:ascii="Times New Roman" w:eastAsiaTheme="majorEastAsia" w:hAnsi="Times New Roman" w:cs="Times New Roman"/>
          <w:b/>
          <w:bCs/>
          <w:color w:val="4F81BD" w:themeColor="accent1"/>
          <w:sz w:val="24"/>
          <w:szCs w:val="24"/>
        </w:rPr>
      </w:pPr>
      <w:r>
        <w:rPr>
          <w:rFonts w:ascii="Times New Roman" w:hAnsi="Times New Roman" w:cs="Times New Roman"/>
          <w:color w:val="4F81BD" w:themeColor="accent1"/>
          <w:sz w:val="24"/>
          <w:szCs w:val="24"/>
        </w:rPr>
        <w:br w:type="page"/>
      </w:r>
    </w:p>
    <w:p w14:paraId="7F02F632" w14:textId="2DA531F8" w:rsidR="00E6534B" w:rsidRPr="00F37A5F" w:rsidRDefault="004420C0" w:rsidP="00F37A5F">
      <w:pPr>
        <w:pStyle w:val="Heading1"/>
      </w:pPr>
      <w:bookmarkStart w:id="90" w:name="_Toc223473037"/>
      <w:r w:rsidRPr="00F37A5F">
        <w:lastRenderedPageBreak/>
        <w:t>Anexo</w:t>
      </w:r>
      <w:r w:rsidR="0074351B" w:rsidRPr="00F37A5F">
        <w:t xml:space="preserve"> 1</w:t>
      </w:r>
      <w:bookmarkEnd w:id="87"/>
      <w:r w:rsidR="00917651" w:rsidRPr="00F37A5F">
        <w:t xml:space="preserve">  </w:t>
      </w:r>
      <w:r w:rsidR="00DB5D93">
        <w:t xml:space="preserve">- </w:t>
      </w:r>
      <w:r w:rsidR="000F785A" w:rsidRPr="00F37A5F">
        <w:t xml:space="preserve">BALANCE FINANCIERO </w:t>
      </w:r>
      <w:r w:rsidR="00C25669" w:rsidRPr="00F37A5F">
        <w:t>2008 – 2012</w:t>
      </w:r>
      <w:bookmarkEnd w:id="88"/>
      <w:bookmarkEnd w:id="89"/>
      <w:bookmarkEnd w:id="90"/>
    </w:p>
    <w:p w14:paraId="2FABE044" w14:textId="77777777" w:rsidR="00A301D0" w:rsidRPr="00B52CC9" w:rsidRDefault="000F785A" w:rsidP="002433BD">
      <w:pPr>
        <w:spacing w:after="0" w:line="240" w:lineRule="auto"/>
        <w:jc w:val="center"/>
        <w:rPr>
          <w:rFonts w:ascii="Times New Roman" w:hAnsi="Times New Roman" w:cs="Times New Roman"/>
          <w:b/>
          <w:sz w:val="20"/>
          <w:szCs w:val="20"/>
        </w:rPr>
      </w:pPr>
      <w:r w:rsidRPr="00B52CC9">
        <w:rPr>
          <w:rFonts w:ascii="Times New Roman" w:hAnsi="Times New Roman" w:cs="Times New Roman"/>
          <w:b/>
          <w:sz w:val="20"/>
          <w:szCs w:val="20"/>
        </w:rPr>
        <w:t>EN MILLONES DE QUETZALES</w:t>
      </w:r>
    </w:p>
    <w:p w14:paraId="6FC74D2B" w14:textId="1F60766D" w:rsidR="008274F2" w:rsidRPr="00896445" w:rsidRDefault="003B2D89" w:rsidP="002433BD">
      <w:pPr>
        <w:spacing w:after="0" w:line="240" w:lineRule="auto"/>
        <w:jc w:val="center"/>
        <w:rPr>
          <w:rFonts w:cstheme="minorHAnsi"/>
          <w:sz w:val="20"/>
          <w:szCs w:val="20"/>
        </w:rPr>
      </w:pPr>
      <w:r>
        <w:rPr>
          <w:rFonts w:cstheme="minorHAnsi"/>
          <w:noProof/>
          <w:sz w:val="20"/>
          <w:szCs w:val="20"/>
          <w:lang w:val="en-US" w:eastAsia="en-US"/>
        </w:rPr>
        <w:drawing>
          <wp:inline distT="0" distB="0" distL="0" distR="0" wp14:anchorId="624E2FDA" wp14:editId="1E1D84EC">
            <wp:extent cx="5612130" cy="5040095"/>
            <wp:effectExtent l="25400" t="25400" r="102870" b="90805"/>
            <wp:docPr id="2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2130" cy="5040095"/>
                    </a:xfrm>
                    <a:prstGeom prst="rect">
                      <a:avLst/>
                    </a:prstGeom>
                    <a:noFill/>
                    <a:ln>
                      <a:noFill/>
                    </a:ln>
                    <a:effectLst>
                      <a:outerShdw blurRad="50800" dist="38100" dir="2700000" algn="tl" rotWithShape="0">
                        <a:prstClr val="black">
                          <a:alpha val="40000"/>
                        </a:prstClr>
                      </a:outerShdw>
                    </a:effectLst>
                  </pic:spPr>
                </pic:pic>
              </a:graphicData>
            </a:graphic>
          </wp:inline>
        </w:drawing>
      </w:r>
    </w:p>
    <w:p w14:paraId="4BE85ADD" w14:textId="77777777" w:rsidR="0022457C" w:rsidRDefault="0022457C" w:rsidP="002433BD">
      <w:pPr>
        <w:spacing w:after="0" w:line="240" w:lineRule="auto"/>
        <w:jc w:val="both"/>
        <w:rPr>
          <w:rFonts w:cstheme="minorHAnsi"/>
          <w:sz w:val="20"/>
          <w:szCs w:val="20"/>
        </w:rPr>
      </w:pPr>
    </w:p>
    <w:p w14:paraId="2BF2AE06" w14:textId="77777777" w:rsidR="00C47109" w:rsidRDefault="00C47109" w:rsidP="002433BD">
      <w:pPr>
        <w:spacing w:after="0" w:line="240" w:lineRule="auto"/>
        <w:jc w:val="both"/>
        <w:rPr>
          <w:rFonts w:cstheme="minorHAnsi"/>
          <w:sz w:val="20"/>
          <w:szCs w:val="20"/>
        </w:rPr>
      </w:pPr>
    </w:p>
    <w:p w14:paraId="1AEB115C" w14:textId="235DCC0B" w:rsidR="00C47109" w:rsidRPr="00896445" w:rsidRDefault="003A42DE" w:rsidP="009B50A1">
      <w:pPr>
        <w:rPr>
          <w:rFonts w:cstheme="minorHAnsi"/>
          <w:sz w:val="20"/>
          <w:szCs w:val="20"/>
        </w:rPr>
      </w:pPr>
      <w:r>
        <w:rPr>
          <w:rFonts w:cstheme="minorHAnsi"/>
          <w:sz w:val="20"/>
          <w:szCs w:val="20"/>
        </w:rPr>
        <w:br w:type="page"/>
      </w:r>
    </w:p>
    <w:p w14:paraId="2AB3D8C5" w14:textId="06134E08" w:rsidR="00E6534B" w:rsidRPr="00B52CC9" w:rsidRDefault="00E6534B" w:rsidP="00F37A5F">
      <w:pPr>
        <w:pStyle w:val="Heading1"/>
      </w:pPr>
      <w:bookmarkStart w:id="91" w:name="_Ref214297507"/>
      <w:bookmarkStart w:id="92" w:name="_Ref214298450"/>
      <w:bookmarkStart w:id="93" w:name="_Toc219009970"/>
      <w:bookmarkStart w:id="94" w:name="_Toc223473038"/>
      <w:r w:rsidRPr="00B52CC9">
        <w:lastRenderedPageBreak/>
        <w:t>Anexo 2</w:t>
      </w:r>
      <w:bookmarkEnd w:id="91"/>
      <w:r w:rsidR="00917651" w:rsidRPr="00B52CC9">
        <w:t xml:space="preserve">  </w:t>
      </w:r>
      <w:r w:rsidR="00DB5D93">
        <w:t xml:space="preserve">- </w:t>
      </w:r>
      <w:r w:rsidRPr="00B52CC9">
        <w:t>BALANCE FINANCIERO PROYECCIONES 2013 – 2022</w:t>
      </w:r>
      <w:bookmarkEnd w:id="92"/>
      <w:bookmarkEnd w:id="93"/>
      <w:r w:rsidR="003A7536">
        <w:rPr>
          <w:rStyle w:val="FootnoteReference"/>
        </w:rPr>
        <w:footnoteReference w:id="83"/>
      </w:r>
      <w:bookmarkEnd w:id="94"/>
    </w:p>
    <w:p w14:paraId="508FD203" w14:textId="77777777" w:rsidR="00E6534B" w:rsidRPr="00B52CC9" w:rsidRDefault="00E6534B" w:rsidP="002433BD">
      <w:pPr>
        <w:spacing w:after="0" w:line="240" w:lineRule="auto"/>
        <w:jc w:val="center"/>
        <w:rPr>
          <w:rFonts w:ascii="Times New Roman" w:hAnsi="Times New Roman" w:cs="Times New Roman"/>
          <w:b/>
          <w:sz w:val="20"/>
          <w:szCs w:val="20"/>
        </w:rPr>
      </w:pPr>
      <w:r w:rsidRPr="00B52CC9">
        <w:rPr>
          <w:rFonts w:ascii="Times New Roman" w:hAnsi="Times New Roman" w:cs="Times New Roman"/>
          <w:b/>
          <w:sz w:val="20"/>
          <w:szCs w:val="20"/>
        </w:rPr>
        <w:t>EN MILLONES DE QUETZALES</w:t>
      </w:r>
    </w:p>
    <w:p w14:paraId="534E2A11" w14:textId="77777777" w:rsidR="003A42DE" w:rsidRPr="00896445" w:rsidRDefault="003A42DE" w:rsidP="002433BD">
      <w:pPr>
        <w:spacing w:after="0" w:line="240" w:lineRule="auto"/>
        <w:jc w:val="center"/>
        <w:rPr>
          <w:rFonts w:cstheme="minorHAnsi"/>
          <w:b/>
          <w:sz w:val="20"/>
          <w:szCs w:val="20"/>
        </w:rPr>
      </w:pPr>
    </w:p>
    <w:p w14:paraId="635520D9" w14:textId="439E1A25" w:rsidR="00D84383" w:rsidRPr="009B50A1" w:rsidRDefault="003A42DE" w:rsidP="009B50A1">
      <w:pPr>
        <w:spacing w:after="0" w:line="240" w:lineRule="auto"/>
        <w:jc w:val="center"/>
        <w:rPr>
          <w:rFonts w:cstheme="minorHAnsi"/>
          <w:sz w:val="20"/>
          <w:szCs w:val="20"/>
        </w:rPr>
      </w:pPr>
      <w:r>
        <w:rPr>
          <w:rFonts w:cstheme="minorHAnsi"/>
          <w:noProof/>
          <w:sz w:val="20"/>
          <w:szCs w:val="20"/>
          <w:lang w:val="en-US" w:eastAsia="en-US"/>
        </w:rPr>
        <w:drawing>
          <wp:inline distT="0" distB="0" distL="0" distR="0" wp14:anchorId="6392D45E" wp14:editId="0CC556DB">
            <wp:extent cx="5612130" cy="4469712"/>
            <wp:effectExtent l="25400" t="25400" r="102870" b="102870"/>
            <wp:docPr id="3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12130" cy="4469712"/>
                    </a:xfrm>
                    <a:prstGeom prst="rect">
                      <a:avLst/>
                    </a:prstGeom>
                    <a:noFill/>
                    <a:ln>
                      <a:noFill/>
                    </a:ln>
                    <a:effectLst>
                      <a:outerShdw blurRad="50800" dist="38100" dir="2700000" algn="tl" rotWithShape="0">
                        <a:prstClr val="black">
                          <a:alpha val="40000"/>
                        </a:prstClr>
                      </a:outerShdw>
                    </a:effectLst>
                  </pic:spPr>
                </pic:pic>
              </a:graphicData>
            </a:graphic>
          </wp:inline>
        </w:drawing>
      </w:r>
    </w:p>
    <w:p w14:paraId="60698A3A" w14:textId="77777777" w:rsidR="009B50A1" w:rsidRDefault="009B50A1" w:rsidP="009B50A1">
      <w:pPr>
        <w:pStyle w:val="Heading1"/>
      </w:pPr>
      <w:bookmarkStart w:id="95" w:name="_Toc219009971"/>
      <w:bookmarkStart w:id="96" w:name="_Ref219011528"/>
    </w:p>
    <w:p w14:paraId="38D3B198" w14:textId="77777777" w:rsidR="009B50A1" w:rsidRDefault="009B50A1">
      <w:pPr>
        <w:rPr>
          <w:rFonts w:ascii="Times New Roman" w:eastAsiaTheme="majorEastAsia" w:hAnsi="Times New Roman" w:cs="Times New Roman"/>
          <w:b/>
          <w:bCs/>
          <w:color w:val="4F81BD" w:themeColor="accent1"/>
          <w:sz w:val="24"/>
          <w:szCs w:val="24"/>
        </w:rPr>
      </w:pPr>
      <w:r>
        <w:rPr>
          <w:rFonts w:ascii="Times New Roman" w:hAnsi="Times New Roman" w:cs="Times New Roman"/>
          <w:color w:val="4F81BD" w:themeColor="accent1"/>
          <w:sz w:val="24"/>
          <w:szCs w:val="24"/>
        </w:rPr>
        <w:br w:type="page"/>
      </w:r>
    </w:p>
    <w:p w14:paraId="53D815DE" w14:textId="0EC065EF" w:rsidR="004C7463" w:rsidRDefault="00DB5D93" w:rsidP="00F37A5F">
      <w:pPr>
        <w:pStyle w:val="Heading1"/>
      </w:pPr>
      <w:bookmarkStart w:id="97" w:name="_Toc223473039"/>
      <w:bookmarkStart w:id="98" w:name="_Ref214297267"/>
      <w:bookmarkStart w:id="99" w:name="_Toc219009950"/>
      <w:r>
        <w:lastRenderedPageBreak/>
        <w:t>Anexo 3 -</w:t>
      </w:r>
      <w:r w:rsidR="004C7463">
        <w:t xml:space="preserve"> INGRESOS MUNICIPALES</w:t>
      </w:r>
      <w:bookmarkEnd w:id="97"/>
    </w:p>
    <w:p w14:paraId="23CBB5D3" w14:textId="77777777" w:rsidR="004C7463" w:rsidRPr="00CE314A" w:rsidRDefault="004C7463" w:rsidP="004C7463"/>
    <w:p w14:paraId="590B20C4" w14:textId="77777777" w:rsidR="004C7463" w:rsidRPr="00A11BD6" w:rsidRDefault="004C7463" w:rsidP="004C7463">
      <w:pPr>
        <w:pStyle w:val="Heading4"/>
        <w:spacing w:before="0" w:line="240" w:lineRule="auto"/>
        <w:rPr>
          <w:rFonts w:ascii="Times New Roman" w:hAnsi="Times New Roman" w:cs="Times New Roman"/>
        </w:rPr>
      </w:pPr>
      <w:bookmarkStart w:id="100" w:name="_Toc223473040"/>
      <w:r w:rsidRPr="00A11BD6">
        <w:rPr>
          <w:rFonts w:ascii="Times New Roman" w:hAnsi="Times New Roman" w:cs="Times New Roman"/>
        </w:rPr>
        <w:t>El Impuesto Único Sobre Inmuebles — IUSI</w:t>
      </w:r>
      <w:bookmarkEnd w:id="98"/>
      <w:bookmarkEnd w:id="99"/>
      <w:bookmarkEnd w:id="100"/>
    </w:p>
    <w:p w14:paraId="1AF4D320" w14:textId="77777777" w:rsidR="004C7463" w:rsidRPr="00A11BD6" w:rsidRDefault="004C7463" w:rsidP="004C7463">
      <w:pPr>
        <w:spacing w:after="0" w:line="240" w:lineRule="auto"/>
        <w:jc w:val="both"/>
        <w:rPr>
          <w:rFonts w:ascii="Times New Roman" w:hAnsi="Times New Roman" w:cs="Times New Roman"/>
        </w:rPr>
      </w:pPr>
    </w:p>
    <w:p w14:paraId="3D5436E3" w14:textId="77777777" w:rsidR="004C7463" w:rsidRPr="00A11BD6" w:rsidRDefault="004C7463" w:rsidP="004C7463">
      <w:pPr>
        <w:spacing w:after="0" w:line="240" w:lineRule="auto"/>
        <w:jc w:val="both"/>
        <w:rPr>
          <w:rFonts w:ascii="Times New Roman" w:hAnsi="Times New Roman" w:cs="Times New Roman"/>
          <w:sz w:val="24"/>
          <w:szCs w:val="24"/>
        </w:rPr>
      </w:pPr>
      <w:r w:rsidRPr="00A11BD6">
        <w:rPr>
          <w:rFonts w:ascii="Times New Roman" w:hAnsi="Times New Roman" w:cs="Times New Roman"/>
          <w:sz w:val="24"/>
          <w:szCs w:val="24"/>
        </w:rPr>
        <w:t>El Impuesto Único Sobre Inmuebles es regulado por el Decreto 15-98</w:t>
      </w:r>
      <w:r w:rsidRPr="00A11BD6">
        <w:rPr>
          <w:rStyle w:val="FootnoteReference"/>
          <w:rFonts w:ascii="Times New Roman" w:hAnsi="Times New Roman" w:cs="Times New Roman"/>
          <w:sz w:val="24"/>
          <w:szCs w:val="24"/>
        </w:rPr>
        <w:footnoteReference w:id="84"/>
      </w:r>
      <w:r w:rsidRPr="00A11BD6">
        <w:rPr>
          <w:rFonts w:ascii="Times New Roman" w:hAnsi="Times New Roman" w:cs="Times New Roman"/>
          <w:sz w:val="24"/>
          <w:szCs w:val="24"/>
        </w:rPr>
        <w:t xml:space="preserve"> y su recaudo por parte de la Municipalidad de Guatemala fue establecido conforme con convenio del 24 de enero de 1995 entre el Ministerio de Finanzas Públicas y la Municipalidad.  El IUSI es un impuesto sobre el valor fiscal de bienes inmuebles como terrenos, construcciones e instalaciones dentro del municipio, y corresponde a la Municipalidad con el propósito de financiar el desarrollo local.</w:t>
      </w:r>
      <w:r w:rsidRPr="00A11BD6">
        <w:rPr>
          <w:rStyle w:val="FootnoteReference"/>
          <w:rFonts w:ascii="Times New Roman" w:hAnsi="Times New Roman" w:cs="Times New Roman"/>
          <w:sz w:val="24"/>
          <w:szCs w:val="24"/>
        </w:rPr>
        <w:footnoteReference w:id="85"/>
      </w:r>
      <w:r w:rsidRPr="00A11BD6">
        <w:rPr>
          <w:rFonts w:ascii="Times New Roman" w:hAnsi="Times New Roman" w:cs="Times New Roman"/>
          <w:sz w:val="24"/>
          <w:szCs w:val="24"/>
        </w:rPr>
        <w:t xml:space="preserve">  Acorde con esta regulación, la Municipalidad destina un mínimo del 70% de lo recaudado a inversiones en servicios básicos e infraestructuras de interés y uso colectivo, y solo podrá destinar un máximo del 30% del recaudo a gastos de funcionamiento.</w:t>
      </w:r>
    </w:p>
    <w:p w14:paraId="62CA6825" w14:textId="77777777" w:rsidR="004C7463" w:rsidRPr="00A11BD6" w:rsidRDefault="004C7463" w:rsidP="004C7463">
      <w:pPr>
        <w:spacing w:after="0" w:line="240" w:lineRule="auto"/>
        <w:jc w:val="both"/>
        <w:rPr>
          <w:rFonts w:ascii="Times New Roman" w:hAnsi="Times New Roman" w:cs="Times New Roman"/>
          <w:sz w:val="24"/>
          <w:szCs w:val="24"/>
        </w:rPr>
      </w:pPr>
    </w:p>
    <w:p w14:paraId="0A0A50CD" w14:textId="77777777" w:rsidR="004C7463" w:rsidRPr="00A11BD6" w:rsidRDefault="004C7463" w:rsidP="004C7463">
      <w:pPr>
        <w:spacing w:after="0" w:line="240" w:lineRule="auto"/>
        <w:jc w:val="both"/>
        <w:rPr>
          <w:rFonts w:ascii="Times New Roman" w:hAnsi="Times New Roman" w:cs="Times New Roman"/>
          <w:sz w:val="24"/>
          <w:szCs w:val="24"/>
        </w:rPr>
      </w:pPr>
      <w:r w:rsidRPr="00A11BD6">
        <w:rPr>
          <w:rFonts w:ascii="Times New Roman" w:hAnsi="Times New Roman" w:cs="Times New Roman"/>
          <w:sz w:val="24"/>
          <w:szCs w:val="24"/>
        </w:rPr>
        <w:t>El valor fiscal del inmueble (25% del valor comercial) se determina por auto-avalúo o por avalúo directo bajo los lineamientos aprobados por el Concejo Municipal.  Es preciso anotar que a partir de 2008 se llevó a cabo un proceso de valuación inmobiliaria municipal por parte de la Dirección de Catastro y Administración del IUSI para actualizar el valor fiscal de los inmuebles, procedimiento que generó una impugnación ante la Corte Constitucional por parte de algunos contribuyentes, quienes amparados bajo dicha impugnación, se abstuvieron de pagar el ajuste en el avalúo o, incluso, dejaron de pagar el impuesto.</w:t>
      </w:r>
      <w:r w:rsidRPr="00A11BD6">
        <w:rPr>
          <w:rStyle w:val="FootnoteReference"/>
          <w:rFonts w:ascii="Times New Roman" w:hAnsi="Times New Roman" w:cs="Times New Roman"/>
          <w:sz w:val="24"/>
          <w:szCs w:val="24"/>
        </w:rPr>
        <w:footnoteReference w:id="86"/>
      </w:r>
    </w:p>
    <w:p w14:paraId="48CA7787" w14:textId="77777777" w:rsidR="004C7463" w:rsidRPr="00A11BD6" w:rsidRDefault="004C7463" w:rsidP="004C7463">
      <w:pPr>
        <w:spacing w:after="0" w:line="240" w:lineRule="auto"/>
        <w:jc w:val="both"/>
        <w:rPr>
          <w:rFonts w:ascii="Times New Roman" w:hAnsi="Times New Roman" w:cs="Times New Roman"/>
          <w:sz w:val="24"/>
          <w:szCs w:val="24"/>
        </w:rPr>
      </w:pPr>
    </w:p>
    <w:p w14:paraId="1A585295" w14:textId="77777777" w:rsidR="004C7463" w:rsidRPr="00A11BD6" w:rsidRDefault="004C7463" w:rsidP="004C7463">
      <w:pPr>
        <w:spacing w:after="0" w:line="240" w:lineRule="auto"/>
        <w:jc w:val="both"/>
        <w:rPr>
          <w:rFonts w:ascii="Times New Roman" w:hAnsi="Times New Roman" w:cs="Times New Roman"/>
          <w:sz w:val="24"/>
          <w:szCs w:val="24"/>
        </w:rPr>
      </w:pPr>
      <w:r w:rsidRPr="00A11BD6">
        <w:rPr>
          <w:rFonts w:ascii="Times New Roman" w:hAnsi="Times New Roman" w:cs="Times New Roman"/>
          <w:sz w:val="24"/>
          <w:szCs w:val="24"/>
        </w:rPr>
        <w:t>En este contexto, el recaudo por IUSI ha tenido un crecimiento anual sostenido en términos nominales en el período 2008 – 2011, con un importante repunte en el año 2009, registrando un crecimiento del 25%, el cual, se asume, es el resultado del proceso de valuación adoptado por la Municipalidad.</w:t>
      </w:r>
    </w:p>
    <w:p w14:paraId="4964DE1E" w14:textId="77777777" w:rsidR="004C7463" w:rsidRPr="00A11BD6" w:rsidRDefault="004C7463" w:rsidP="004C7463">
      <w:pPr>
        <w:spacing w:after="0" w:line="240" w:lineRule="auto"/>
        <w:jc w:val="both"/>
        <w:rPr>
          <w:rFonts w:ascii="Times New Roman" w:hAnsi="Times New Roman" w:cs="Times New Roman"/>
          <w:sz w:val="24"/>
          <w:szCs w:val="24"/>
        </w:rPr>
      </w:pPr>
    </w:p>
    <w:p w14:paraId="3DAA0362" w14:textId="77777777" w:rsidR="004C7463" w:rsidRDefault="004C7463" w:rsidP="004C7463">
      <w:pPr>
        <w:spacing w:line="240" w:lineRule="auto"/>
        <w:jc w:val="both"/>
        <w:rPr>
          <w:rFonts w:ascii="Times New Roman" w:hAnsi="Times New Roman" w:cs="Times New Roman"/>
          <w:b/>
          <w:sz w:val="24"/>
          <w:szCs w:val="24"/>
        </w:rPr>
      </w:pPr>
    </w:p>
    <w:p w14:paraId="3E50A250" w14:textId="77777777" w:rsidR="004C7463" w:rsidRDefault="004C7463" w:rsidP="004C7463">
      <w:pPr>
        <w:spacing w:line="240" w:lineRule="auto"/>
        <w:jc w:val="both"/>
        <w:rPr>
          <w:rFonts w:ascii="Times New Roman" w:hAnsi="Times New Roman" w:cs="Times New Roman"/>
          <w:b/>
          <w:sz w:val="24"/>
          <w:szCs w:val="24"/>
        </w:rPr>
      </w:pPr>
    </w:p>
    <w:p w14:paraId="366FBD7E" w14:textId="77777777" w:rsidR="004C7463" w:rsidRDefault="004C7463" w:rsidP="004C7463">
      <w:pPr>
        <w:spacing w:line="240" w:lineRule="auto"/>
        <w:jc w:val="both"/>
        <w:rPr>
          <w:rFonts w:ascii="Times New Roman" w:hAnsi="Times New Roman" w:cs="Times New Roman"/>
          <w:b/>
          <w:sz w:val="24"/>
          <w:szCs w:val="24"/>
        </w:rPr>
      </w:pPr>
    </w:p>
    <w:p w14:paraId="77C549DC" w14:textId="77777777" w:rsidR="004C7463" w:rsidRDefault="004C7463" w:rsidP="004C7463">
      <w:pPr>
        <w:spacing w:line="240" w:lineRule="auto"/>
        <w:jc w:val="both"/>
        <w:rPr>
          <w:rFonts w:ascii="Times New Roman" w:hAnsi="Times New Roman" w:cs="Times New Roman"/>
          <w:b/>
          <w:sz w:val="24"/>
          <w:szCs w:val="24"/>
        </w:rPr>
      </w:pPr>
    </w:p>
    <w:p w14:paraId="66AF7AE0" w14:textId="77777777" w:rsidR="004C7463" w:rsidRDefault="004C7463" w:rsidP="004C7463">
      <w:pPr>
        <w:spacing w:line="240" w:lineRule="auto"/>
        <w:jc w:val="both"/>
        <w:rPr>
          <w:rFonts w:ascii="Times New Roman" w:hAnsi="Times New Roman" w:cs="Times New Roman"/>
          <w:b/>
          <w:sz w:val="24"/>
          <w:szCs w:val="24"/>
        </w:rPr>
      </w:pPr>
    </w:p>
    <w:p w14:paraId="7509CA40" w14:textId="77777777" w:rsidR="004C7463" w:rsidRDefault="004C7463" w:rsidP="004C7463">
      <w:pPr>
        <w:spacing w:line="240" w:lineRule="auto"/>
        <w:jc w:val="both"/>
        <w:rPr>
          <w:rFonts w:ascii="Times New Roman" w:hAnsi="Times New Roman" w:cs="Times New Roman"/>
          <w:b/>
          <w:sz w:val="24"/>
          <w:szCs w:val="24"/>
        </w:rPr>
      </w:pPr>
    </w:p>
    <w:p w14:paraId="13A0E227" w14:textId="77777777" w:rsidR="004C7463" w:rsidRDefault="004C7463" w:rsidP="004C7463">
      <w:pPr>
        <w:spacing w:line="240" w:lineRule="auto"/>
        <w:jc w:val="both"/>
        <w:rPr>
          <w:rFonts w:ascii="Times New Roman" w:hAnsi="Times New Roman" w:cs="Times New Roman"/>
          <w:b/>
          <w:sz w:val="24"/>
          <w:szCs w:val="24"/>
        </w:rPr>
      </w:pPr>
    </w:p>
    <w:p w14:paraId="1E10B109" w14:textId="77777777" w:rsidR="004C7463" w:rsidRPr="00A11BD6" w:rsidRDefault="004C7463" w:rsidP="004C7463">
      <w:pPr>
        <w:spacing w:line="240" w:lineRule="auto"/>
        <w:jc w:val="both"/>
        <w:rPr>
          <w:rFonts w:ascii="Times New Roman" w:hAnsi="Times New Roman" w:cs="Times New Roman"/>
          <w:b/>
          <w:sz w:val="24"/>
          <w:szCs w:val="24"/>
        </w:rPr>
      </w:pPr>
      <w:r w:rsidRPr="00A11BD6">
        <w:rPr>
          <w:rFonts w:ascii="Times New Roman" w:hAnsi="Times New Roman" w:cs="Times New Roman"/>
          <w:b/>
          <w:sz w:val="24"/>
          <w:szCs w:val="24"/>
        </w:rPr>
        <w:lastRenderedPageBreak/>
        <w:t>Gráfica 1. Recaudo IUSI.</w:t>
      </w:r>
    </w:p>
    <w:p w14:paraId="016468F6" w14:textId="77777777" w:rsidR="004C7463" w:rsidRDefault="004C7463" w:rsidP="004C7463">
      <w:pPr>
        <w:spacing w:line="240" w:lineRule="auto"/>
        <w:rPr>
          <w:sz w:val="24"/>
          <w:szCs w:val="24"/>
        </w:rPr>
      </w:pPr>
      <w:r>
        <w:rPr>
          <w:noProof/>
          <w:lang w:val="en-US" w:eastAsia="en-US"/>
        </w:rPr>
        <w:drawing>
          <wp:inline distT="0" distB="0" distL="0" distR="0" wp14:anchorId="75B8CEBE" wp14:editId="405C16BC">
            <wp:extent cx="5614416" cy="2103120"/>
            <wp:effectExtent l="38100" t="38100" r="100965" b="8763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B23F26F" w14:textId="5742CB68" w:rsidR="000A7FAA" w:rsidRDefault="004C7463" w:rsidP="004C7463">
      <w:pPr>
        <w:spacing w:line="240" w:lineRule="auto"/>
        <w:jc w:val="both"/>
        <w:rPr>
          <w:rFonts w:ascii="Times New Roman" w:hAnsi="Times New Roman" w:cs="Times New Roman"/>
          <w:sz w:val="24"/>
          <w:szCs w:val="24"/>
        </w:rPr>
      </w:pPr>
      <w:r w:rsidRPr="00FB59AC">
        <w:rPr>
          <w:rFonts w:ascii="Times New Roman" w:hAnsi="Times New Roman" w:cs="Times New Roman"/>
          <w:sz w:val="24"/>
          <w:szCs w:val="24"/>
        </w:rPr>
        <w:t>Como ejercicio presupuestal, las proyecciones presentadas por la Municipalidad se han venido ajustando al recaudo efectivo en las últimas dos vigencias, tal como lo muestra el siguiente cuadro.  En este orden, corresponde a la Municipalidad precisar si éste ajuste es debido a una mejora en el proceso de elaboración del presupuesto, o a la caída que se evidencia en los recaudos efectivos en términos reales.</w:t>
      </w:r>
    </w:p>
    <w:p w14:paraId="58280458" w14:textId="77777777" w:rsidR="00615ACE" w:rsidRPr="00FB59AC" w:rsidRDefault="00615ACE" w:rsidP="004C7463">
      <w:pPr>
        <w:spacing w:line="240" w:lineRule="auto"/>
        <w:jc w:val="both"/>
        <w:rPr>
          <w:rFonts w:ascii="Times New Roman" w:hAnsi="Times New Roman" w:cs="Times New Roman"/>
          <w:sz w:val="24"/>
          <w:szCs w:val="24"/>
        </w:rPr>
      </w:pPr>
    </w:p>
    <w:p w14:paraId="660142AE" w14:textId="6D65EF18" w:rsidR="004C7463" w:rsidRPr="00FB59AC" w:rsidRDefault="000A7FAA" w:rsidP="004C7463">
      <w:pPr>
        <w:spacing w:line="240" w:lineRule="auto"/>
        <w:jc w:val="both"/>
        <w:rPr>
          <w:rFonts w:ascii="Times New Roman" w:hAnsi="Times New Roman" w:cs="Times New Roman"/>
          <w:b/>
          <w:sz w:val="24"/>
          <w:szCs w:val="24"/>
        </w:rPr>
      </w:pPr>
      <w:r>
        <w:rPr>
          <w:rFonts w:ascii="Times New Roman" w:hAnsi="Times New Roman" w:cs="Times New Roman"/>
          <w:b/>
          <w:sz w:val="24"/>
          <w:szCs w:val="24"/>
        </w:rPr>
        <w:t>Cuadro 1</w:t>
      </w:r>
      <w:r w:rsidR="004C7463" w:rsidRPr="00FB59AC">
        <w:rPr>
          <w:rFonts w:ascii="Times New Roman" w:hAnsi="Times New Roman" w:cs="Times New Roman"/>
          <w:b/>
          <w:sz w:val="24"/>
          <w:szCs w:val="24"/>
        </w:rPr>
        <w:t>.  Ejecución presupuestal IUSI.</w:t>
      </w:r>
    </w:p>
    <w:tbl>
      <w:tblPr>
        <w:tblStyle w:val="TableGrid"/>
        <w:tblW w:w="0" w:type="auto"/>
        <w:jc w:val="center"/>
        <w:tblInd w:w="113" w:type="dxa"/>
        <w:tblLook w:val="04A0" w:firstRow="1" w:lastRow="0" w:firstColumn="1" w:lastColumn="0" w:noHBand="0" w:noVBand="1"/>
      </w:tblPr>
      <w:tblGrid>
        <w:gridCol w:w="1899"/>
        <w:gridCol w:w="1134"/>
        <w:gridCol w:w="1134"/>
        <w:gridCol w:w="1134"/>
        <w:gridCol w:w="1110"/>
      </w:tblGrid>
      <w:tr w:rsidR="004C7463" w14:paraId="057CA321" w14:textId="77777777" w:rsidTr="00BA72DE">
        <w:trPr>
          <w:jc w:val="center"/>
        </w:trPr>
        <w:tc>
          <w:tcPr>
            <w:tcW w:w="1899" w:type="dxa"/>
            <w:shd w:val="clear" w:color="auto" w:fill="B8CCE4" w:themeFill="accent1" w:themeFillTint="66"/>
          </w:tcPr>
          <w:p w14:paraId="5967EA6C" w14:textId="77777777" w:rsidR="004C7463" w:rsidRDefault="004C7463" w:rsidP="00BA72DE">
            <w:pPr>
              <w:jc w:val="center"/>
            </w:pPr>
          </w:p>
        </w:tc>
        <w:tc>
          <w:tcPr>
            <w:tcW w:w="1134" w:type="dxa"/>
            <w:shd w:val="clear" w:color="auto" w:fill="B8CCE4" w:themeFill="accent1" w:themeFillTint="66"/>
            <w:vAlign w:val="center"/>
          </w:tcPr>
          <w:p w14:paraId="02990994" w14:textId="77777777" w:rsidR="004C7463" w:rsidRDefault="004C7463" w:rsidP="00BA72DE">
            <w:pPr>
              <w:jc w:val="center"/>
            </w:pPr>
            <w:r>
              <w:t>2008</w:t>
            </w:r>
          </w:p>
        </w:tc>
        <w:tc>
          <w:tcPr>
            <w:tcW w:w="1134" w:type="dxa"/>
            <w:shd w:val="clear" w:color="auto" w:fill="B8CCE4" w:themeFill="accent1" w:themeFillTint="66"/>
            <w:vAlign w:val="center"/>
          </w:tcPr>
          <w:p w14:paraId="44112C29" w14:textId="77777777" w:rsidR="004C7463" w:rsidRDefault="004C7463" w:rsidP="00BA72DE">
            <w:pPr>
              <w:jc w:val="center"/>
            </w:pPr>
            <w:r>
              <w:t>2009</w:t>
            </w:r>
          </w:p>
        </w:tc>
        <w:tc>
          <w:tcPr>
            <w:tcW w:w="1134" w:type="dxa"/>
            <w:shd w:val="clear" w:color="auto" w:fill="B8CCE4" w:themeFill="accent1" w:themeFillTint="66"/>
            <w:vAlign w:val="center"/>
          </w:tcPr>
          <w:p w14:paraId="61D7FFFB" w14:textId="77777777" w:rsidR="004C7463" w:rsidRDefault="004C7463" w:rsidP="00BA72DE">
            <w:pPr>
              <w:jc w:val="center"/>
            </w:pPr>
            <w:r>
              <w:t>2010</w:t>
            </w:r>
          </w:p>
        </w:tc>
        <w:tc>
          <w:tcPr>
            <w:tcW w:w="1110" w:type="dxa"/>
            <w:shd w:val="clear" w:color="auto" w:fill="B8CCE4" w:themeFill="accent1" w:themeFillTint="66"/>
            <w:vAlign w:val="center"/>
          </w:tcPr>
          <w:p w14:paraId="36841DEB" w14:textId="77777777" w:rsidR="004C7463" w:rsidRDefault="004C7463" w:rsidP="00BA72DE">
            <w:pPr>
              <w:jc w:val="center"/>
            </w:pPr>
            <w:r>
              <w:t>2011</w:t>
            </w:r>
          </w:p>
        </w:tc>
      </w:tr>
      <w:tr w:rsidR="004C7463" w14:paraId="50B7F5FC" w14:textId="77777777" w:rsidTr="00BA72DE">
        <w:trPr>
          <w:jc w:val="center"/>
        </w:trPr>
        <w:tc>
          <w:tcPr>
            <w:tcW w:w="1899" w:type="dxa"/>
          </w:tcPr>
          <w:p w14:paraId="198AEBE7" w14:textId="77777777" w:rsidR="004C7463" w:rsidRDefault="004C7463" w:rsidP="00BA72DE">
            <w:pPr>
              <w:jc w:val="center"/>
            </w:pPr>
            <w:r>
              <w:t>% ejecución</w:t>
            </w:r>
          </w:p>
        </w:tc>
        <w:tc>
          <w:tcPr>
            <w:tcW w:w="1134" w:type="dxa"/>
            <w:vAlign w:val="center"/>
          </w:tcPr>
          <w:p w14:paraId="0188B844" w14:textId="77777777" w:rsidR="004C7463" w:rsidRDefault="004C7463" w:rsidP="00BA72DE">
            <w:pPr>
              <w:jc w:val="center"/>
            </w:pPr>
            <w:r>
              <w:t>105%</w:t>
            </w:r>
          </w:p>
        </w:tc>
        <w:tc>
          <w:tcPr>
            <w:tcW w:w="1134" w:type="dxa"/>
            <w:vAlign w:val="center"/>
          </w:tcPr>
          <w:p w14:paraId="7511B6C8" w14:textId="77777777" w:rsidR="004C7463" w:rsidRDefault="004C7463" w:rsidP="00BA72DE">
            <w:pPr>
              <w:jc w:val="center"/>
            </w:pPr>
            <w:r>
              <w:t>124%</w:t>
            </w:r>
          </w:p>
        </w:tc>
        <w:tc>
          <w:tcPr>
            <w:tcW w:w="1134" w:type="dxa"/>
            <w:vAlign w:val="center"/>
          </w:tcPr>
          <w:p w14:paraId="439E0BB2" w14:textId="77777777" w:rsidR="004C7463" w:rsidRDefault="004C7463" w:rsidP="00BA72DE">
            <w:pPr>
              <w:jc w:val="center"/>
            </w:pPr>
            <w:r>
              <w:t>116%</w:t>
            </w:r>
          </w:p>
        </w:tc>
        <w:tc>
          <w:tcPr>
            <w:tcW w:w="1110" w:type="dxa"/>
            <w:vAlign w:val="center"/>
          </w:tcPr>
          <w:p w14:paraId="21338668" w14:textId="77777777" w:rsidR="004C7463" w:rsidRDefault="004C7463" w:rsidP="00BA72DE">
            <w:pPr>
              <w:jc w:val="center"/>
            </w:pPr>
            <w:r>
              <w:t>100%</w:t>
            </w:r>
          </w:p>
        </w:tc>
      </w:tr>
    </w:tbl>
    <w:p w14:paraId="3C6492D9" w14:textId="77777777" w:rsidR="004C7463" w:rsidRDefault="004C7463" w:rsidP="004C7463">
      <w:pPr>
        <w:spacing w:line="240" w:lineRule="auto"/>
        <w:jc w:val="both"/>
      </w:pPr>
    </w:p>
    <w:p w14:paraId="7962618D" w14:textId="77777777" w:rsidR="004C7463" w:rsidRPr="00FB59AC" w:rsidRDefault="004C7463" w:rsidP="004C7463">
      <w:pPr>
        <w:spacing w:line="240" w:lineRule="auto"/>
        <w:jc w:val="both"/>
        <w:rPr>
          <w:rFonts w:ascii="Times New Roman" w:hAnsi="Times New Roman" w:cs="Times New Roman"/>
          <w:sz w:val="24"/>
          <w:szCs w:val="24"/>
        </w:rPr>
      </w:pPr>
      <w:r w:rsidRPr="00FB59AC">
        <w:rPr>
          <w:rFonts w:ascii="Times New Roman" w:hAnsi="Times New Roman" w:cs="Times New Roman"/>
          <w:sz w:val="24"/>
          <w:szCs w:val="24"/>
        </w:rPr>
        <w:t>En efecto, al analizar los recaudos por IUSI en términos reales, se evidencia un descenso significativo en el recaudo durante las vigencias 2010 y 2011, en las que se incluso destaca el crecimiento negativo de los recaudos de este último año respecto al año anterior (-1,5%).  Teniendo en cuenta los primeros tres trimestres del año 2012, se registra un repunte en el recaudo y el eventual cumplimiento de la meta presupuestada de recaudo de Q320 millones aproximadamente, para esta vigencia, lo que se muestra en la siguiente gráfica.</w:t>
      </w:r>
    </w:p>
    <w:p w14:paraId="0FCEFA71" w14:textId="77777777" w:rsidR="00615ACE" w:rsidRDefault="00615ACE">
      <w:pPr>
        <w:rPr>
          <w:rFonts w:ascii="Times New Roman" w:hAnsi="Times New Roman" w:cs="Times New Roman"/>
          <w:b/>
          <w:sz w:val="24"/>
          <w:szCs w:val="24"/>
        </w:rPr>
      </w:pPr>
      <w:r>
        <w:rPr>
          <w:rFonts w:ascii="Times New Roman" w:hAnsi="Times New Roman" w:cs="Times New Roman"/>
          <w:b/>
          <w:sz w:val="24"/>
          <w:szCs w:val="24"/>
        </w:rPr>
        <w:br w:type="page"/>
      </w:r>
    </w:p>
    <w:p w14:paraId="4E454C71" w14:textId="123B80F5" w:rsidR="004C7463" w:rsidRPr="00FB59AC" w:rsidRDefault="004C7463" w:rsidP="00BE35EE">
      <w:pPr>
        <w:rPr>
          <w:rFonts w:ascii="Times New Roman" w:hAnsi="Times New Roman" w:cs="Times New Roman"/>
          <w:b/>
          <w:sz w:val="24"/>
          <w:szCs w:val="24"/>
        </w:rPr>
      </w:pPr>
      <w:r w:rsidRPr="00FB59AC">
        <w:rPr>
          <w:rFonts w:ascii="Times New Roman" w:hAnsi="Times New Roman" w:cs="Times New Roman"/>
          <w:b/>
          <w:sz w:val="24"/>
          <w:szCs w:val="24"/>
        </w:rPr>
        <w:lastRenderedPageBreak/>
        <w:t>Gráfica 2. Crecimiento real del recaudo IUSI.</w:t>
      </w:r>
    </w:p>
    <w:p w14:paraId="53926C62" w14:textId="77777777" w:rsidR="004C7463" w:rsidRDefault="004C7463" w:rsidP="004C7463">
      <w:pPr>
        <w:spacing w:after="0" w:line="240" w:lineRule="auto"/>
        <w:jc w:val="center"/>
      </w:pPr>
      <w:r>
        <w:rPr>
          <w:noProof/>
          <w:lang w:val="en-US" w:eastAsia="en-US"/>
        </w:rPr>
        <w:drawing>
          <wp:inline distT="0" distB="0" distL="0" distR="0" wp14:anchorId="3209ED48" wp14:editId="1B6093BA">
            <wp:extent cx="3567218" cy="1717121"/>
            <wp:effectExtent l="203200" t="203200" r="395605" b="416560"/>
            <wp:docPr id="20"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57427" cy="1712408"/>
                    </a:xfrm>
                    <a:prstGeom prst="rect">
                      <a:avLst/>
                    </a:prstGeom>
                    <a:ln>
                      <a:solidFill>
                        <a:schemeClr val="accent2">
                          <a:lumMod val="50000"/>
                        </a:schemeClr>
                      </a:solidFill>
                    </a:ln>
                    <a:effectLst>
                      <a:outerShdw blurRad="292100" dist="139700" dir="2700000" algn="tl" rotWithShape="0">
                        <a:srgbClr val="333333">
                          <a:alpha val="65000"/>
                        </a:srgbClr>
                      </a:outerShdw>
                    </a:effectLst>
                  </pic:spPr>
                </pic:pic>
              </a:graphicData>
            </a:graphic>
          </wp:inline>
        </w:drawing>
      </w:r>
    </w:p>
    <w:p w14:paraId="3354C392" w14:textId="77777777" w:rsidR="004C7463" w:rsidRPr="004F7E88" w:rsidRDefault="004C7463" w:rsidP="004C7463">
      <w:pPr>
        <w:spacing w:after="0" w:line="240" w:lineRule="auto"/>
        <w:ind w:firstLine="1276"/>
        <w:jc w:val="both"/>
        <w:rPr>
          <w:sz w:val="16"/>
        </w:rPr>
      </w:pPr>
      <w:r w:rsidRPr="004F7E88">
        <w:rPr>
          <w:sz w:val="16"/>
        </w:rPr>
        <w:t>Fuente: Aplicación del deflactor del PIB sobre cifras de Acuerdos de Cierre Presupuestal de cada vigencia.</w:t>
      </w:r>
    </w:p>
    <w:p w14:paraId="7896A854" w14:textId="77777777" w:rsidR="004C7463" w:rsidRDefault="004C7463" w:rsidP="004C7463">
      <w:bookmarkStart w:id="101" w:name="_Ref214297280"/>
    </w:p>
    <w:p w14:paraId="126A86D0" w14:textId="77777777" w:rsidR="00615ACE" w:rsidRPr="00A70BF5" w:rsidRDefault="00615ACE" w:rsidP="004C7463"/>
    <w:p w14:paraId="46C489BD" w14:textId="77777777" w:rsidR="004C7463" w:rsidRDefault="004C7463" w:rsidP="004C7463">
      <w:pPr>
        <w:pStyle w:val="Heading4"/>
        <w:spacing w:before="0" w:line="240" w:lineRule="auto"/>
        <w:rPr>
          <w:rFonts w:ascii="Times New Roman" w:hAnsi="Times New Roman" w:cs="Times New Roman"/>
        </w:rPr>
      </w:pPr>
      <w:bookmarkStart w:id="102" w:name="_Toc219009951"/>
      <w:bookmarkStart w:id="103" w:name="_Ref219011176"/>
      <w:bookmarkStart w:id="104" w:name="_Toc223473041"/>
      <w:r w:rsidRPr="00FB59AC">
        <w:rPr>
          <w:rFonts w:ascii="Times New Roman" w:hAnsi="Times New Roman" w:cs="Times New Roman"/>
        </w:rPr>
        <w:t>El Impuesto sobre los Derivados del Petróleo</w:t>
      </w:r>
      <w:bookmarkEnd w:id="101"/>
      <w:bookmarkEnd w:id="102"/>
      <w:bookmarkEnd w:id="103"/>
      <w:bookmarkEnd w:id="104"/>
    </w:p>
    <w:p w14:paraId="7CE4EECC" w14:textId="77777777" w:rsidR="004C7463" w:rsidRPr="009B50A1" w:rsidRDefault="004C7463" w:rsidP="004C7463"/>
    <w:p w14:paraId="187AC676" w14:textId="6DB337E1" w:rsidR="004C7463" w:rsidRPr="00FB59AC" w:rsidRDefault="004C7463" w:rsidP="004C7463">
      <w:pPr>
        <w:spacing w:line="240" w:lineRule="auto"/>
        <w:jc w:val="both"/>
        <w:rPr>
          <w:rFonts w:ascii="Times New Roman" w:hAnsi="Times New Roman" w:cs="Times New Roman"/>
          <w:sz w:val="24"/>
          <w:szCs w:val="24"/>
        </w:rPr>
      </w:pPr>
      <w:r w:rsidRPr="00FB59AC">
        <w:rPr>
          <w:rFonts w:ascii="Times New Roman" w:hAnsi="Times New Roman" w:cs="Times New Roman"/>
          <w:sz w:val="24"/>
          <w:szCs w:val="24"/>
        </w:rPr>
        <w:t>El Decreto 38-92</w:t>
      </w:r>
      <w:r w:rsidRPr="00FB59AC">
        <w:rPr>
          <w:rStyle w:val="FootnoteReference"/>
          <w:rFonts w:ascii="Times New Roman" w:hAnsi="Times New Roman" w:cs="Times New Roman"/>
          <w:sz w:val="24"/>
          <w:szCs w:val="24"/>
        </w:rPr>
        <w:footnoteReference w:id="87"/>
      </w:r>
      <w:r w:rsidRPr="00FB59AC">
        <w:rPr>
          <w:rFonts w:ascii="Times New Roman" w:hAnsi="Times New Roman" w:cs="Times New Roman"/>
          <w:sz w:val="24"/>
          <w:szCs w:val="24"/>
        </w:rPr>
        <w:t xml:space="preserve"> establece un impuesto sobre el petróleo crudo y sus derivados, nacionales o importados, procesados en el país, que se distribuyen en el territorio nacional.  Tras un fallo de inconstitucionalidad por parte de la Corte de Constitucionalidad en 2001 frente a reformas al Decreto original, el impuesto dejó de ser cobrado hasta diciembre de 2002.  A partir de febrero de 2003 se restableció el cobro del Impuesto con el Decreto 04-2003</w:t>
      </w:r>
      <w:r w:rsidRPr="00FB59AC">
        <w:rPr>
          <w:rStyle w:val="FootnoteReference"/>
          <w:rFonts w:ascii="Times New Roman" w:hAnsi="Times New Roman" w:cs="Times New Roman"/>
          <w:sz w:val="24"/>
          <w:szCs w:val="24"/>
        </w:rPr>
        <w:footnoteReference w:id="88"/>
      </w:r>
      <w:r w:rsidRPr="00FB59AC">
        <w:rPr>
          <w:rFonts w:ascii="Times New Roman" w:hAnsi="Times New Roman" w:cs="Times New Roman"/>
          <w:sz w:val="24"/>
          <w:szCs w:val="24"/>
        </w:rPr>
        <w:t xml:space="preserve"> que subsana las deficiencias legales y es el que se encuentra vigente actualmente.</w:t>
      </w:r>
    </w:p>
    <w:p w14:paraId="391C6B9E" w14:textId="77777777" w:rsidR="004C7463" w:rsidRPr="00FB59AC" w:rsidRDefault="004C7463" w:rsidP="004C7463">
      <w:pPr>
        <w:spacing w:line="240" w:lineRule="auto"/>
        <w:jc w:val="both"/>
        <w:rPr>
          <w:rFonts w:ascii="Times New Roman" w:hAnsi="Times New Roman" w:cs="Times New Roman"/>
          <w:sz w:val="24"/>
          <w:szCs w:val="24"/>
        </w:rPr>
      </w:pPr>
      <w:r w:rsidRPr="00FB59AC">
        <w:rPr>
          <w:rFonts w:ascii="Times New Roman" w:hAnsi="Times New Roman" w:cs="Times New Roman"/>
          <w:sz w:val="24"/>
          <w:szCs w:val="24"/>
        </w:rPr>
        <w:t>En virtud de las anteriores disposiciones, el Ministerio de Finanzas Públicas destina diez (10) centavos por galón de gasolina a la Municipalidad de Guatemala, recursos que deben ser destinados a servicios de transporte y a la mejora, construcción y mantenimiento de la red vial de la ciudad.  Las asignaciones a la Municipalidad se hacen bimensualmente, en el mes siguiente al vencimiento de dicha bimensualidad.</w:t>
      </w:r>
    </w:p>
    <w:p w14:paraId="1247A332" w14:textId="77777777" w:rsidR="00615ACE" w:rsidRDefault="00615ACE">
      <w:pPr>
        <w:rPr>
          <w:rFonts w:ascii="Times New Roman" w:hAnsi="Times New Roman" w:cs="Times New Roman"/>
          <w:b/>
          <w:sz w:val="24"/>
          <w:szCs w:val="24"/>
        </w:rPr>
      </w:pPr>
      <w:r>
        <w:rPr>
          <w:rFonts w:ascii="Times New Roman" w:hAnsi="Times New Roman" w:cs="Times New Roman"/>
          <w:b/>
          <w:sz w:val="24"/>
          <w:szCs w:val="24"/>
        </w:rPr>
        <w:br w:type="page"/>
      </w:r>
    </w:p>
    <w:p w14:paraId="12596292" w14:textId="1BC29129" w:rsidR="004C7463" w:rsidRPr="00FB59AC" w:rsidRDefault="004C7463" w:rsidP="004C7463">
      <w:pPr>
        <w:spacing w:line="240" w:lineRule="auto"/>
        <w:jc w:val="both"/>
        <w:rPr>
          <w:rFonts w:ascii="Times New Roman" w:hAnsi="Times New Roman" w:cs="Times New Roman"/>
          <w:b/>
          <w:sz w:val="24"/>
          <w:szCs w:val="24"/>
        </w:rPr>
      </w:pPr>
      <w:r w:rsidRPr="00FB59AC">
        <w:rPr>
          <w:rFonts w:ascii="Times New Roman" w:hAnsi="Times New Roman" w:cs="Times New Roman"/>
          <w:b/>
          <w:sz w:val="24"/>
          <w:szCs w:val="24"/>
        </w:rPr>
        <w:lastRenderedPageBreak/>
        <w:t>Gráfica 3. Recaudo Impuesto sobre derivados del petróleo.</w:t>
      </w:r>
    </w:p>
    <w:p w14:paraId="0A272A2C" w14:textId="77777777" w:rsidR="004C7463" w:rsidRDefault="004C7463" w:rsidP="004C7463">
      <w:pPr>
        <w:spacing w:line="240" w:lineRule="auto"/>
        <w:jc w:val="both"/>
        <w:rPr>
          <w:sz w:val="24"/>
          <w:szCs w:val="24"/>
        </w:rPr>
      </w:pPr>
      <w:r>
        <w:rPr>
          <w:noProof/>
          <w:lang w:val="en-US" w:eastAsia="en-US"/>
        </w:rPr>
        <w:drawing>
          <wp:inline distT="0" distB="0" distL="0" distR="0" wp14:anchorId="66352F01" wp14:editId="147ED50B">
            <wp:extent cx="5559552" cy="2353056"/>
            <wp:effectExtent l="38100" t="38100" r="98425" b="85725"/>
            <wp:docPr id="35" name="Gráfico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B899721" w14:textId="77777777" w:rsidR="004C7463" w:rsidRDefault="004C7463" w:rsidP="004C7463">
      <w:pPr>
        <w:spacing w:line="240" w:lineRule="auto"/>
        <w:jc w:val="both"/>
        <w:rPr>
          <w:sz w:val="24"/>
          <w:szCs w:val="24"/>
        </w:rPr>
      </w:pPr>
    </w:p>
    <w:p w14:paraId="087788DC" w14:textId="77777777" w:rsidR="004C7463" w:rsidRPr="00FB59AC" w:rsidRDefault="004C7463" w:rsidP="004C7463">
      <w:pPr>
        <w:spacing w:line="240" w:lineRule="auto"/>
        <w:jc w:val="both"/>
        <w:rPr>
          <w:rFonts w:ascii="Times New Roman" w:hAnsi="Times New Roman" w:cs="Times New Roman"/>
          <w:sz w:val="24"/>
          <w:szCs w:val="24"/>
        </w:rPr>
      </w:pPr>
      <w:r w:rsidRPr="00FB59AC">
        <w:rPr>
          <w:rFonts w:ascii="Times New Roman" w:hAnsi="Times New Roman" w:cs="Times New Roman"/>
          <w:sz w:val="24"/>
          <w:szCs w:val="24"/>
        </w:rPr>
        <w:t>Conforme con el cuadro anterior, el recaudo histórico presenta un aumento sostenido en el recaudo para el período 2008-2010, pero una caída importante del 7% en el año 2011 respecto al año anterior.  Las proyecciones presupuestales han supuesto reducciones en el recaudo en términos reales para los años 2009 (-2%) y 2011 (-4,5%) y un aumento en el recaudo cercano al 2% para los años 2010 y 2012.  Es clara la correlación del precio del petróleo y el nivel de ingreso municipal por este concepto.  Los indicadores de ejecución sobre las proyecciones en términos nominales se recogen en el siguiente cuadro.</w:t>
      </w:r>
    </w:p>
    <w:p w14:paraId="6CCA186A" w14:textId="77777777" w:rsidR="004C7463" w:rsidRPr="00FB59AC" w:rsidRDefault="004C7463" w:rsidP="004C7463">
      <w:pPr>
        <w:spacing w:line="240" w:lineRule="auto"/>
        <w:jc w:val="both"/>
        <w:rPr>
          <w:rFonts w:ascii="Times New Roman" w:hAnsi="Times New Roman" w:cs="Times New Roman"/>
          <w:sz w:val="24"/>
          <w:szCs w:val="24"/>
        </w:rPr>
      </w:pPr>
    </w:p>
    <w:p w14:paraId="20179910" w14:textId="4BCD07F2" w:rsidR="004C7463" w:rsidRPr="00FB59AC" w:rsidRDefault="00615ACE" w:rsidP="004C7463">
      <w:pPr>
        <w:spacing w:line="240" w:lineRule="auto"/>
        <w:jc w:val="both"/>
        <w:rPr>
          <w:rFonts w:ascii="Times New Roman" w:hAnsi="Times New Roman" w:cs="Times New Roman"/>
          <w:b/>
          <w:sz w:val="24"/>
          <w:szCs w:val="24"/>
        </w:rPr>
      </w:pPr>
      <w:r>
        <w:rPr>
          <w:rFonts w:ascii="Times New Roman" w:hAnsi="Times New Roman" w:cs="Times New Roman"/>
          <w:b/>
          <w:sz w:val="24"/>
          <w:szCs w:val="24"/>
        </w:rPr>
        <w:t>Cuadro 2</w:t>
      </w:r>
      <w:r w:rsidR="004C7463" w:rsidRPr="00FB59AC">
        <w:rPr>
          <w:rFonts w:ascii="Times New Roman" w:hAnsi="Times New Roman" w:cs="Times New Roman"/>
          <w:b/>
          <w:sz w:val="24"/>
          <w:szCs w:val="24"/>
        </w:rPr>
        <w:t>.  Ejecución presupuestal Impuesto sobre Derivados del Petróleo.</w:t>
      </w:r>
    </w:p>
    <w:tbl>
      <w:tblPr>
        <w:tblStyle w:val="TableGrid"/>
        <w:tblW w:w="0" w:type="auto"/>
        <w:jc w:val="center"/>
        <w:tblInd w:w="113" w:type="dxa"/>
        <w:tblLook w:val="04A0" w:firstRow="1" w:lastRow="0" w:firstColumn="1" w:lastColumn="0" w:noHBand="0" w:noVBand="1"/>
      </w:tblPr>
      <w:tblGrid>
        <w:gridCol w:w="1899"/>
        <w:gridCol w:w="1134"/>
        <w:gridCol w:w="1134"/>
        <w:gridCol w:w="1134"/>
        <w:gridCol w:w="1110"/>
      </w:tblGrid>
      <w:tr w:rsidR="004C7463" w14:paraId="07472D6C" w14:textId="77777777" w:rsidTr="00BA72DE">
        <w:trPr>
          <w:jc w:val="center"/>
        </w:trPr>
        <w:tc>
          <w:tcPr>
            <w:tcW w:w="1899" w:type="dxa"/>
            <w:shd w:val="clear" w:color="auto" w:fill="B8CCE4" w:themeFill="accent1" w:themeFillTint="66"/>
          </w:tcPr>
          <w:p w14:paraId="4457CCB6" w14:textId="77777777" w:rsidR="004C7463" w:rsidRDefault="004C7463" w:rsidP="00BA72DE">
            <w:pPr>
              <w:jc w:val="center"/>
            </w:pPr>
          </w:p>
        </w:tc>
        <w:tc>
          <w:tcPr>
            <w:tcW w:w="1134" w:type="dxa"/>
            <w:shd w:val="clear" w:color="auto" w:fill="B8CCE4" w:themeFill="accent1" w:themeFillTint="66"/>
            <w:vAlign w:val="center"/>
          </w:tcPr>
          <w:p w14:paraId="77552A0C" w14:textId="77777777" w:rsidR="004C7463" w:rsidRDefault="004C7463" w:rsidP="00BA72DE">
            <w:pPr>
              <w:jc w:val="center"/>
            </w:pPr>
            <w:r>
              <w:t>2008</w:t>
            </w:r>
          </w:p>
        </w:tc>
        <w:tc>
          <w:tcPr>
            <w:tcW w:w="1134" w:type="dxa"/>
            <w:shd w:val="clear" w:color="auto" w:fill="B8CCE4" w:themeFill="accent1" w:themeFillTint="66"/>
            <w:vAlign w:val="center"/>
          </w:tcPr>
          <w:p w14:paraId="193AF696" w14:textId="77777777" w:rsidR="004C7463" w:rsidRDefault="004C7463" w:rsidP="00BA72DE">
            <w:pPr>
              <w:jc w:val="center"/>
            </w:pPr>
            <w:r>
              <w:t>2009</w:t>
            </w:r>
          </w:p>
        </w:tc>
        <w:tc>
          <w:tcPr>
            <w:tcW w:w="1134" w:type="dxa"/>
            <w:shd w:val="clear" w:color="auto" w:fill="B8CCE4" w:themeFill="accent1" w:themeFillTint="66"/>
            <w:vAlign w:val="center"/>
          </w:tcPr>
          <w:p w14:paraId="0612A573" w14:textId="77777777" w:rsidR="004C7463" w:rsidRDefault="004C7463" w:rsidP="00BA72DE">
            <w:pPr>
              <w:jc w:val="center"/>
            </w:pPr>
            <w:r>
              <w:t>2010</w:t>
            </w:r>
          </w:p>
        </w:tc>
        <w:tc>
          <w:tcPr>
            <w:tcW w:w="1110" w:type="dxa"/>
            <w:shd w:val="clear" w:color="auto" w:fill="B8CCE4" w:themeFill="accent1" w:themeFillTint="66"/>
            <w:vAlign w:val="center"/>
          </w:tcPr>
          <w:p w14:paraId="1461CECC" w14:textId="77777777" w:rsidR="004C7463" w:rsidRDefault="004C7463" w:rsidP="00BA72DE">
            <w:pPr>
              <w:jc w:val="center"/>
            </w:pPr>
            <w:r>
              <w:t>2011</w:t>
            </w:r>
          </w:p>
        </w:tc>
      </w:tr>
      <w:tr w:rsidR="004C7463" w14:paraId="72673EA7" w14:textId="77777777" w:rsidTr="00BA72DE">
        <w:trPr>
          <w:jc w:val="center"/>
        </w:trPr>
        <w:tc>
          <w:tcPr>
            <w:tcW w:w="1899" w:type="dxa"/>
          </w:tcPr>
          <w:p w14:paraId="50A63C62" w14:textId="77777777" w:rsidR="004C7463" w:rsidRDefault="004C7463" w:rsidP="00BA72DE">
            <w:pPr>
              <w:jc w:val="center"/>
            </w:pPr>
            <w:r>
              <w:t>% ejecución</w:t>
            </w:r>
          </w:p>
        </w:tc>
        <w:tc>
          <w:tcPr>
            <w:tcW w:w="1134" w:type="dxa"/>
            <w:vAlign w:val="center"/>
          </w:tcPr>
          <w:p w14:paraId="146765A1" w14:textId="77777777" w:rsidR="004C7463" w:rsidRDefault="004C7463" w:rsidP="00BA72DE">
            <w:pPr>
              <w:jc w:val="center"/>
            </w:pPr>
            <w:r>
              <w:t>96%</w:t>
            </w:r>
          </w:p>
        </w:tc>
        <w:tc>
          <w:tcPr>
            <w:tcW w:w="1134" w:type="dxa"/>
            <w:vAlign w:val="center"/>
          </w:tcPr>
          <w:p w14:paraId="5DB285C9" w14:textId="77777777" w:rsidR="004C7463" w:rsidRDefault="004C7463" w:rsidP="00BA72DE">
            <w:pPr>
              <w:jc w:val="center"/>
            </w:pPr>
            <w:r>
              <w:t>107%</w:t>
            </w:r>
          </w:p>
        </w:tc>
        <w:tc>
          <w:tcPr>
            <w:tcW w:w="1134" w:type="dxa"/>
            <w:vAlign w:val="center"/>
          </w:tcPr>
          <w:p w14:paraId="24C367FB" w14:textId="77777777" w:rsidR="004C7463" w:rsidRDefault="004C7463" w:rsidP="00BA72DE">
            <w:pPr>
              <w:jc w:val="center"/>
            </w:pPr>
            <w:r>
              <w:t>105%</w:t>
            </w:r>
          </w:p>
        </w:tc>
        <w:tc>
          <w:tcPr>
            <w:tcW w:w="1110" w:type="dxa"/>
            <w:vAlign w:val="center"/>
          </w:tcPr>
          <w:p w14:paraId="7778DA9A" w14:textId="77777777" w:rsidR="004C7463" w:rsidRDefault="004C7463" w:rsidP="00BA72DE">
            <w:pPr>
              <w:jc w:val="center"/>
            </w:pPr>
            <w:r>
              <w:t>97%</w:t>
            </w:r>
          </w:p>
        </w:tc>
      </w:tr>
    </w:tbl>
    <w:p w14:paraId="7DDB7E7B" w14:textId="77777777" w:rsidR="004C7463" w:rsidRDefault="004C7463" w:rsidP="004C7463">
      <w:pPr>
        <w:spacing w:line="240" w:lineRule="auto"/>
      </w:pPr>
    </w:p>
    <w:p w14:paraId="68903196" w14:textId="77777777" w:rsidR="004C7463" w:rsidRPr="00FB59AC" w:rsidRDefault="004C7463" w:rsidP="004C7463">
      <w:pPr>
        <w:spacing w:line="240" w:lineRule="auto"/>
        <w:jc w:val="both"/>
        <w:rPr>
          <w:rFonts w:ascii="Times New Roman" w:hAnsi="Times New Roman" w:cs="Times New Roman"/>
          <w:sz w:val="24"/>
          <w:szCs w:val="24"/>
        </w:rPr>
      </w:pPr>
      <w:r w:rsidRPr="00FB59AC">
        <w:rPr>
          <w:rFonts w:ascii="Times New Roman" w:hAnsi="Times New Roman" w:cs="Times New Roman"/>
          <w:sz w:val="24"/>
          <w:szCs w:val="24"/>
        </w:rPr>
        <w:t>Continuando con el análisis del impuesto en términos reales, la situación presenta una caída sostenida en el recaudo, como lo indica la gráfica siguiente.  Se espera un repunte en el recaudo para el año 2012 pero, en todo caso, el propio presupuesto municipal asume una caída del 2% en términos reales respecto al 2011.</w:t>
      </w:r>
    </w:p>
    <w:p w14:paraId="64D03F1D" w14:textId="77777777" w:rsidR="00615ACE" w:rsidRDefault="00615ACE">
      <w:pPr>
        <w:rPr>
          <w:rFonts w:ascii="Times New Roman" w:hAnsi="Times New Roman" w:cs="Times New Roman"/>
          <w:b/>
          <w:sz w:val="24"/>
          <w:szCs w:val="24"/>
        </w:rPr>
      </w:pPr>
      <w:r>
        <w:rPr>
          <w:rFonts w:ascii="Times New Roman" w:hAnsi="Times New Roman" w:cs="Times New Roman"/>
          <w:b/>
          <w:sz w:val="24"/>
          <w:szCs w:val="24"/>
        </w:rPr>
        <w:br w:type="page"/>
      </w:r>
    </w:p>
    <w:p w14:paraId="7ECB3FE6" w14:textId="13B6BF29" w:rsidR="004C7463" w:rsidRPr="00FB59AC" w:rsidRDefault="004C7463" w:rsidP="004C7463">
      <w:pPr>
        <w:spacing w:after="0" w:line="240" w:lineRule="auto"/>
        <w:rPr>
          <w:rFonts w:ascii="Times New Roman" w:hAnsi="Times New Roman" w:cs="Times New Roman"/>
          <w:b/>
          <w:sz w:val="24"/>
          <w:szCs w:val="24"/>
        </w:rPr>
      </w:pPr>
      <w:r w:rsidRPr="00FB59AC">
        <w:rPr>
          <w:rFonts w:ascii="Times New Roman" w:hAnsi="Times New Roman" w:cs="Times New Roman"/>
          <w:b/>
          <w:sz w:val="24"/>
          <w:szCs w:val="24"/>
        </w:rPr>
        <w:lastRenderedPageBreak/>
        <w:t>Gráfica 4. Crecimiento del recaudo del Impuesto sobre derivados del petróleo.</w:t>
      </w:r>
    </w:p>
    <w:p w14:paraId="565F56C9" w14:textId="77777777" w:rsidR="004C7463" w:rsidRPr="00BD397D" w:rsidRDefault="004C7463" w:rsidP="004C7463">
      <w:pPr>
        <w:spacing w:line="240" w:lineRule="auto"/>
        <w:jc w:val="center"/>
      </w:pPr>
      <w:r>
        <w:rPr>
          <w:noProof/>
          <w:lang w:val="en-US" w:eastAsia="en-US"/>
        </w:rPr>
        <w:drawing>
          <wp:inline distT="0" distB="0" distL="0" distR="0" wp14:anchorId="749DFCE4" wp14:editId="6BFBB202">
            <wp:extent cx="3621024" cy="1810512"/>
            <wp:effectExtent l="190500" t="190500" r="398780" b="380365"/>
            <wp:docPr id="2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23795" cy="1811898"/>
                    </a:xfrm>
                    <a:prstGeom prst="rect">
                      <a:avLst/>
                    </a:prstGeom>
                    <a:ln>
                      <a:solidFill>
                        <a:schemeClr val="accent2">
                          <a:lumMod val="50000"/>
                        </a:schemeClr>
                      </a:solidFill>
                    </a:ln>
                    <a:effectLst>
                      <a:outerShdw blurRad="292100" dist="139700" dir="2700000" algn="tl" rotWithShape="0">
                        <a:srgbClr val="333333">
                          <a:alpha val="65000"/>
                        </a:srgbClr>
                      </a:outerShdw>
                    </a:effectLst>
                  </pic:spPr>
                </pic:pic>
              </a:graphicData>
            </a:graphic>
          </wp:inline>
        </w:drawing>
      </w:r>
      <w:bookmarkStart w:id="105" w:name="_Ref214297297"/>
    </w:p>
    <w:p w14:paraId="22913D28" w14:textId="77777777" w:rsidR="004C7463" w:rsidRPr="00FB59AC" w:rsidRDefault="004C7463" w:rsidP="004C7463">
      <w:pPr>
        <w:spacing w:after="0" w:line="240" w:lineRule="auto"/>
        <w:ind w:left="1418"/>
        <w:rPr>
          <w:rFonts w:ascii="Times New Roman" w:hAnsi="Times New Roman" w:cs="Times New Roman"/>
          <w:sz w:val="16"/>
        </w:rPr>
      </w:pPr>
      <w:r w:rsidRPr="00FB59AC">
        <w:rPr>
          <w:rFonts w:ascii="Times New Roman" w:hAnsi="Times New Roman" w:cs="Times New Roman"/>
          <w:sz w:val="16"/>
        </w:rPr>
        <w:t>Fuente: Aplicación del deflactor del PIB sobre cifras de Acuerdos de Cierre Presupuestal de cada vigencia.</w:t>
      </w:r>
    </w:p>
    <w:p w14:paraId="38E3DCBB" w14:textId="77777777" w:rsidR="004C7463" w:rsidRPr="00331B00" w:rsidRDefault="004C7463" w:rsidP="004C7463">
      <w:pPr>
        <w:widowControl w:val="0"/>
        <w:autoSpaceDE w:val="0"/>
        <w:autoSpaceDN w:val="0"/>
        <w:adjustRightInd w:val="0"/>
        <w:spacing w:after="0" w:line="240" w:lineRule="auto"/>
        <w:jc w:val="both"/>
        <w:rPr>
          <w:sz w:val="24"/>
          <w:szCs w:val="24"/>
        </w:rPr>
      </w:pPr>
    </w:p>
    <w:p w14:paraId="1897CA6D" w14:textId="77777777" w:rsidR="004C7463" w:rsidRPr="00FB59AC" w:rsidRDefault="004C7463" w:rsidP="004C7463">
      <w:pPr>
        <w:pStyle w:val="Heading4"/>
        <w:spacing w:before="0" w:line="240" w:lineRule="auto"/>
        <w:rPr>
          <w:rFonts w:ascii="Times New Roman" w:hAnsi="Times New Roman" w:cs="Times New Roman"/>
        </w:rPr>
      </w:pPr>
      <w:bookmarkStart w:id="106" w:name="_Toc219009952"/>
      <w:bookmarkStart w:id="107" w:name="_Ref219011190"/>
      <w:bookmarkStart w:id="108" w:name="_Toc223473042"/>
      <w:r w:rsidRPr="00FB59AC">
        <w:rPr>
          <w:rFonts w:ascii="Times New Roman" w:hAnsi="Times New Roman" w:cs="Times New Roman"/>
        </w:rPr>
        <w:t>Los Arbitrios Municipales.</w:t>
      </w:r>
      <w:bookmarkEnd w:id="105"/>
      <w:bookmarkEnd w:id="106"/>
      <w:bookmarkEnd w:id="107"/>
      <w:bookmarkEnd w:id="108"/>
    </w:p>
    <w:p w14:paraId="123D7EEF" w14:textId="77777777" w:rsidR="004C7463" w:rsidRPr="00FB59AC" w:rsidRDefault="004C7463" w:rsidP="004C7463">
      <w:pPr>
        <w:spacing w:after="0" w:line="240" w:lineRule="auto"/>
        <w:rPr>
          <w:rFonts w:ascii="Times New Roman" w:hAnsi="Times New Roman" w:cs="Times New Roman"/>
        </w:rPr>
      </w:pPr>
    </w:p>
    <w:p w14:paraId="5C3B474D" w14:textId="77777777" w:rsidR="004C7463" w:rsidRPr="00FB59AC" w:rsidRDefault="004C7463" w:rsidP="004C7463">
      <w:pPr>
        <w:widowControl w:val="0"/>
        <w:autoSpaceDE w:val="0"/>
        <w:autoSpaceDN w:val="0"/>
        <w:adjustRightInd w:val="0"/>
        <w:spacing w:after="0" w:line="240" w:lineRule="auto"/>
        <w:jc w:val="both"/>
        <w:rPr>
          <w:rFonts w:ascii="Times New Roman" w:hAnsi="Times New Roman" w:cs="Times New Roman"/>
          <w:sz w:val="24"/>
          <w:szCs w:val="24"/>
        </w:rPr>
      </w:pPr>
      <w:r w:rsidRPr="00FB59AC">
        <w:rPr>
          <w:rFonts w:ascii="Times New Roman" w:hAnsi="Times New Roman" w:cs="Times New Roman"/>
          <w:sz w:val="24"/>
          <w:szCs w:val="24"/>
        </w:rPr>
        <w:t>Están constituidos fundamentalmente por el Boleto de Ornato que, para 2011, representó el 89% de los arbitrios presupuestados, además de arbitrios sobre diversiones y espectáculos (10,5%) y establecimientos de servicios (representando menos del 0,5%).  El Boleto de Ornato fue creado en 1892 para financiar el embellecimiento de la Ciudad de Guatemala.  Durante un período de tiempo prolongado apoyó el financiamiento de las alcaldías como encargadas del mantenimiento de los centros urbanos.  En épocas más reciente, el Decreto 121-96</w:t>
      </w:r>
      <w:r w:rsidRPr="00FB59AC">
        <w:rPr>
          <w:rStyle w:val="FootnoteReference"/>
          <w:rFonts w:ascii="Times New Roman" w:hAnsi="Times New Roman" w:cs="Times New Roman"/>
          <w:sz w:val="24"/>
          <w:szCs w:val="24"/>
        </w:rPr>
        <w:footnoteReference w:id="89"/>
      </w:r>
      <w:r w:rsidRPr="00FB59AC">
        <w:rPr>
          <w:rFonts w:ascii="Times New Roman" w:hAnsi="Times New Roman" w:cs="Times New Roman"/>
          <w:sz w:val="24"/>
          <w:szCs w:val="24"/>
        </w:rPr>
        <w:t xml:space="preserve"> adoptó la Ley del Arbitrio del Ornato Municipal que regula el Boleto para todos los municipios del país.  Este arbitrio debe ser pagado por los residentes en los municipios con autorización para trabajar y su cancelación debe efectuarse entre los meses de enero y febrero de cada año.  Respecto a los demás arbitrios, aun cuando recaen sobre actividades económicas, carecen de relevancia en la Municipalidad de Guatemala, pese a que la ciudad que, como se indicó al inicio de este texto, concentra parte destacada de la actividad económica del país.</w:t>
      </w:r>
    </w:p>
    <w:p w14:paraId="692B42D1" w14:textId="77777777" w:rsidR="004C7463" w:rsidRDefault="004C7463" w:rsidP="004C7463">
      <w:pPr>
        <w:widowControl w:val="0"/>
        <w:autoSpaceDE w:val="0"/>
        <w:autoSpaceDN w:val="0"/>
        <w:adjustRightInd w:val="0"/>
        <w:spacing w:after="0" w:line="240" w:lineRule="auto"/>
        <w:jc w:val="both"/>
        <w:rPr>
          <w:rFonts w:ascii="Times New Roman" w:hAnsi="Times New Roman" w:cs="Times New Roman"/>
          <w:b/>
          <w:sz w:val="24"/>
          <w:szCs w:val="24"/>
        </w:rPr>
      </w:pPr>
    </w:p>
    <w:p w14:paraId="3BAF30B4" w14:textId="77777777" w:rsidR="004C7463" w:rsidRDefault="004C7463" w:rsidP="004C7463">
      <w:pPr>
        <w:widowControl w:val="0"/>
        <w:autoSpaceDE w:val="0"/>
        <w:autoSpaceDN w:val="0"/>
        <w:adjustRightInd w:val="0"/>
        <w:spacing w:after="0" w:line="240" w:lineRule="auto"/>
        <w:jc w:val="both"/>
        <w:rPr>
          <w:rFonts w:ascii="Times New Roman" w:hAnsi="Times New Roman" w:cs="Times New Roman"/>
          <w:b/>
          <w:sz w:val="24"/>
          <w:szCs w:val="24"/>
        </w:rPr>
      </w:pPr>
    </w:p>
    <w:p w14:paraId="4AEC4EFE" w14:textId="77777777" w:rsidR="004C7463" w:rsidRDefault="004C7463" w:rsidP="004C7463">
      <w:pPr>
        <w:widowControl w:val="0"/>
        <w:autoSpaceDE w:val="0"/>
        <w:autoSpaceDN w:val="0"/>
        <w:adjustRightInd w:val="0"/>
        <w:spacing w:after="0" w:line="240" w:lineRule="auto"/>
        <w:jc w:val="both"/>
        <w:rPr>
          <w:rFonts w:ascii="Times New Roman" w:hAnsi="Times New Roman" w:cs="Times New Roman"/>
          <w:b/>
          <w:sz w:val="24"/>
          <w:szCs w:val="24"/>
        </w:rPr>
      </w:pPr>
    </w:p>
    <w:p w14:paraId="669F4BCD" w14:textId="77777777" w:rsidR="004C7463" w:rsidRDefault="004C7463" w:rsidP="004C7463">
      <w:pPr>
        <w:widowControl w:val="0"/>
        <w:autoSpaceDE w:val="0"/>
        <w:autoSpaceDN w:val="0"/>
        <w:adjustRightInd w:val="0"/>
        <w:spacing w:after="0" w:line="240" w:lineRule="auto"/>
        <w:jc w:val="both"/>
        <w:rPr>
          <w:rFonts w:ascii="Times New Roman" w:hAnsi="Times New Roman" w:cs="Times New Roman"/>
          <w:b/>
          <w:sz w:val="24"/>
          <w:szCs w:val="24"/>
        </w:rPr>
      </w:pPr>
    </w:p>
    <w:p w14:paraId="082BD609" w14:textId="77777777" w:rsidR="004C7463" w:rsidRDefault="004C7463" w:rsidP="004C7463">
      <w:pPr>
        <w:widowControl w:val="0"/>
        <w:autoSpaceDE w:val="0"/>
        <w:autoSpaceDN w:val="0"/>
        <w:adjustRightInd w:val="0"/>
        <w:spacing w:after="0" w:line="240" w:lineRule="auto"/>
        <w:jc w:val="both"/>
        <w:rPr>
          <w:rFonts w:ascii="Times New Roman" w:hAnsi="Times New Roman" w:cs="Times New Roman"/>
          <w:b/>
          <w:sz w:val="24"/>
          <w:szCs w:val="24"/>
        </w:rPr>
      </w:pPr>
    </w:p>
    <w:p w14:paraId="14BED397" w14:textId="77777777" w:rsidR="004C7463" w:rsidRDefault="004C7463" w:rsidP="004C7463">
      <w:pPr>
        <w:widowControl w:val="0"/>
        <w:autoSpaceDE w:val="0"/>
        <w:autoSpaceDN w:val="0"/>
        <w:adjustRightInd w:val="0"/>
        <w:spacing w:after="0" w:line="240" w:lineRule="auto"/>
        <w:jc w:val="both"/>
        <w:rPr>
          <w:rFonts w:ascii="Times New Roman" w:hAnsi="Times New Roman" w:cs="Times New Roman"/>
          <w:b/>
          <w:sz w:val="24"/>
          <w:szCs w:val="24"/>
        </w:rPr>
      </w:pPr>
    </w:p>
    <w:p w14:paraId="77C803CC" w14:textId="77777777" w:rsidR="004C7463" w:rsidRDefault="004C7463" w:rsidP="004C7463">
      <w:pPr>
        <w:widowControl w:val="0"/>
        <w:autoSpaceDE w:val="0"/>
        <w:autoSpaceDN w:val="0"/>
        <w:adjustRightInd w:val="0"/>
        <w:spacing w:after="0" w:line="240" w:lineRule="auto"/>
        <w:jc w:val="both"/>
        <w:rPr>
          <w:rFonts w:ascii="Times New Roman" w:hAnsi="Times New Roman" w:cs="Times New Roman"/>
          <w:b/>
          <w:sz w:val="24"/>
          <w:szCs w:val="24"/>
        </w:rPr>
      </w:pPr>
    </w:p>
    <w:p w14:paraId="4F468EF0" w14:textId="77777777" w:rsidR="004C7463" w:rsidRDefault="004C7463" w:rsidP="004C7463">
      <w:pPr>
        <w:widowControl w:val="0"/>
        <w:autoSpaceDE w:val="0"/>
        <w:autoSpaceDN w:val="0"/>
        <w:adjustRightInd w:val="0"/>
        <w:spacing w:after="0" w:line="240" w:lineRule="auto"/>
        <w:jc w:val="both"/>
        <w:rPr>
          <w:rFonts w:ascii="Times New Roman" w:hAnsi="Times New Roman" w:cs="Times New Roman"/>
          <w:b/>
          <w:sz w:val="24"/>
          <w:szCs w:val="24"/>
        </w:rPr>
      </w:pPr>
    </w:p>
    <w:p w14:paraId="60E66155" w14:textId="77777777" w:rsidR="004C7463" w:rsidRDefault="004C7463" w:rsidP="004C7463">
      <w:pPr>
        <w:widowControl w:val="0"/>
        <w:autoSpaceDE w:val="0"/>
        <w:autoSpaceDN w:val="0"/>
        <w:adjustRightInd w:val="0"/>
        <w:spacing w:after="0" w:line="240" w:lineRule="auto"/>
        <w:jc w:val="both"/>
        <w:rPr>
          <w:rFonts w:ascii="Times New Roman" w:hAnsi="Times New Roman" w:cs="Times New Roman"/>
          <w:b/>
          <w:sz w:val="24"/>
          <w:szCs w:val="24"/>
        </w:rPr>
      </w:pPr>
    </w:p>
    <w:p w14:paraId="0130D30C" w14:textId="77777777" w:rsidR="004C7463" w:rsidRDefault="004C7463" w:rsidP="004C7463">
      <w:pPr>
        <w:widowControl w:val="0"/>
        <w:autoSpaceDE w:val="0"/>
        <w:autoSpaceDN w:val="0"/>
        <w:adjustRightInd w:val="0"/>
        <w:spacing w:after="0" w:line="240" w:lineRule="auto"/>
        <w:jc w:val="both"/>
        <w:rPr>
          <w:rFonts w:ascii="Times New Roman" w:hAnsi="Times New Roman" w:cs="Times New Roman"/>
          <w:b/>
          <w:sz w:val="24"/>
          <w:szCs w:val="24"/>
        </w:rPr>
      </w:pPr>
    </w:p>
    <w:p w14:paraId="491D2CAE" w14:textId="77777777" w:rsidR="004C7463" w:rsidRDefault="004C7463" w:rsidP="004C7463">
      <w:pPr>
        <w:widowControl w:val="0"/>
        <w:autoSpaceDE w:val="0"/>
        <w:autoSpaceDN w:val="0"/>
        <w:adjustRightInd w:val="0"/>
        <w:spacing w:after="0" w:line="240" w:lineRule="auto"/>
        <w:jc w:val="both"/>
        <w:rPr>
          <w:rFonts w:ascii="Times New Roman" w:hAnsi="Times New Roman" w:cs="Times New Roman"/>
          <w:b/>
          <w:sz w:val="24"/>
          <w:szCs w:val="24"/>
        </w:rPr>
      </w:pPr>
    </w:p>
    <w:p w14:paraId="7F47E753" w14:textId="77777777" w:rsidR="004C7463" w:rsidRDefault="004C7463" w:rsidP="004C7463">
      <w:pPr>
        <w:widowControl w:val="0"/>
        <w:autoSpaceDE w:val="0"/>
        <w:autoSpaceDN w:val="0"/>
        <w:adjustRightInd w:val="0"/>
        <w:spacing w:after="0" w:line="240" w:lineRule="auto"/>
        <w:jc w:val="both"/>
        <w:rPr>
          <w:rFonts w:ascii="Times New Roman" w:hAnsi="Times New Roman" w:cs="Times New Roman"/>
          <w:b/>
          <w:sz w:val="24"/>
          <w:szCs w:val="24"/>
        </w:rPr>
      </w:pPr>
    </w:p>
    <w:p w14:paraId="048257D6" w14:textId="77777777" w:rsidR="004C7463" w:rsidRDefault="004C7463" w:rsidP="004C7463">
      <w:pPr>
        <w:widowControl w:val="0"/>
        <w:autoSpaceDE w:val="0"/>
        <w:autoSpaceDN w:val="0"/>
        <w:adjustRightInd w:val="0"/>
        <w:spacing w:after="0" w:line="240" w:lineRule="auto"/>
        <w:jc w:val="both"/>
        <w:rPr>
          <w:rFonts w:ascii="Times New Roman" w:hAnsi="Times New Roman" w:cs="Times New Roman"/>
          <w:b/>
          <w:sz w:val="24"/>
          <w:szCs w:val="24"/>
        </w:rPr>
      </w:pPr>
    </w:p>
    <w:p w14:paraId="177069D0" w14:textId="77777777" w:rsidR="004C7463" w:rsidRDefault="004C7463" w:rsidP="004C7463">
      <w:pPr>
        <w:widowControl w:val="0"/>
        <w:autoSpaceDE w:val="0"/>
        <w:autoSpaceDN w:val="0"/>
        <w:adjustRightInd w:val="0"/>
        <w:spacing w:after="0" w:line="240" w:lineRule="auto"/>
        <w:jc w:val="both"/>
        <w:rPr>
          <w:rFonts w:ascii="Times New Roman" w:hAnsi="Times New Roman" w:cs="Times New Roman"/>
          <w:b/>
          <w:sz w:val="24"/>
          <w:szCs w:val="24"/>
        </w:rPr>
      </w:pPr>
    </w:p>
    <w:p w14:paraId="4E980576" w14:textId="77777777" w:rsidR="004C7463" w:rsidRPr="00FB59AC" w:rsidRDefault="004C7463" w:rsidP="004C7463">
      <w:pPr>
        <w:widowControl w:val="0"/>
        <w:autoSpaceDE w:val="0"/>
        <w:autoSpaceDN w:val="0"/>
        <w:adjustRightInd w:val="0"/>
        <w:spacing w:after="0" w:line="240" w:lineRule="auto"/>
        <w:jc w:val="both"/>
        <w:rPr>
          <w:rFonts w:ascii="Times New Roman" w:hAnsi="Times New Roman" w:cs="Times New Roman"/>
          <w:b/>
          <w:sz w:val="24"/>
          <w:szCs w:val="24"/>
        </w:rPr>
      </w:pPr>
      <w:r w:rsidRPr="00FB59AC">
        <w:rPr>
          <w:rFonts w:ascii="Times New Roman" w:hAnsi="Times New Roman" w:cs="Times New Roman"/>
          <w:b/>
          <w:sz w:val="24"/>
          <w:szCs w:val="24"/>
        </w:rPr>
        <w:t>Gráfica 5. Recaudo de Arbitrios.</w:t>
      </w:r>
    </w:p>
    <w:p w14:paraId="391662D9" w14:textId="77777777" w:rsidR="004C7463" w:rsidRDefault="004C7463" w:rsidP="004C7463">
      <w:pPr>
        <w:widowControl w:val="0"/>
        <w:autoSpaceDE w:val="0"/>
        <w:autoSpaceDN w:val="0"/>
        <w:adjustRightInd w:val="0"/>
        <w:spacing w:after="300" w:line="240" w:lineRule="auto"/>
        <w:jc w:val="both"/>
        <w:rPr>
          <w:sz w:val="24"/>
          <w:szCs w:val="24"/>
        </w:rPr>
      </w:pPr>
      <w:r>
        <w:rPr>
          <w:noProof/>
          <w:lang w:val="en-US" w:eastAsia="en-US"/>
        </w:rPr>
        <w:drawing>
          <wp:inline distT="0" distB="0" distL="0" distR="0" wp14:anchorId="31E8E83E" wp14:editId="4F22738E">
            <wp:extent cx="5559552" cy="2462784"/>
            <wp:effectExtent l="38100" t="38100" r="98425" b="90170"/>
            <wp:docPr id="36" name="Gráfico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2ADAF6A6" w14:textId="77777777" w:rsidR="004C7463" w:rsidRDefault="004C7463" w:rsidP="004C7463">
      <w:pPr>
        <w:widowControl w:val="0"/>
        <w:autoSpaceDE w:val="0"/>
        <w:autoSpaceDN w:val="0"/>
        <w:adjustRightInd w:val="0"/>
        <w:spacing w:after="0" w:line="240" w:lineRule="auto"/>
        <w:jc w:val="both"/>
        <w:rPr>
          <w:sz w:val="24"/>
          <w:szCs w:val="24"/>
        </w:rPr>
      </w:pPr>
    </w:p>
    <w:p w14:paraId="2D3513A6" w14:textId="77777777" w:rsidR="004C7463" w:rsidRPr="00FB59AC" w:rsidRDefault="004C7463" w:rsidP="004C7463">
      <w:pPr>
        <w:widowControl w:val="0"/>
        <w:autoSpaceDE w:val="0"/>
        <w:autoSpaceDN w:val="0"/>
        <w:adjustRightInd w:val="0"/>
        <w:spacing w:after="0" w:line="240" w:lineRule="auto"/>
        <w:jc w:val="both"/>
        <w:rPr>
          <w:rFonts w:ascii="Times New Roman" w:hAnsi="Times New Roman" w:cs="Times New Roman"/>
          <w:sz w:val="24"/>
          <w:szCs w:val="24"/>
        </w:rPr>
      </w:pPr>
      <w:r w:rsidRPr="00FB59AC">
        <w:rPr>
          <w:rFonts w:ascii="Times New Roman" w:hAnsi="Times New Roman" w:cs="Times New Roman"/>
          <w:sz w:val="24"/>
          <w:szCs w:val="24"/>
        </w:rPr>
        <w:t>Conforme se observa en el cuadro anterior, el recaudo por Boleto de Ornato y otros arbitrios ha mantenido un crecimiento constante en términos nominales en el período 2008-2011 (4,7% anual promedio), pero en términos reales el crecimiento apenas alcanza el 0,7% anual promedio, con una caída en 2010 del 3% respecto al año anterior.  Los indicadores de ejecución sobre las proyecciones de presupuesto arrojan los siguientes resultados:</w:t>
      </w:r>
    </w:p>
    <w:p w14:paraId="683F9CDF" w14:textId="77777777" w:rsidR="004C7463" w:rsidRPr="00FB59AC" w:rsidRDefault="004C7463" w:rsidP="004C7463">
      <w:pPr>
        <w:widowControl w:val="0"/>
        <w:autoSpaceDE w:val="0"/>
        <w:autoSpaceDN w:val="0"/>
        <w:adjustRightInd w:val="0"/>
        <w:spacing w:after="0" w:line="240" w:lineRule="auto"/>
        <w:jc w:val="both"/>
        <w:rPr>
          <w:rFonts w:ascii="Times New Roman" w:hAnsi="Times New Roman" w:cs="Times New Roman"/>
          <w:sz w:val="24"/>
          <w:szCs w:val="24"/>
        </w:rPr>
      </w:pPr>
    </w:p>
    <w:p w14:paraId="6B72017C" w14:textId="69C9FBFF" w:rsidR="004C7463" w:rsidRPr="00FB59AC" w:rsidRDefault="00615ACE" w:rsidP="004C7463">
      <w:pPr>
        <w:widowControl w:val="0"/>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Cuadro 3</w:t>
      </w:r>
      <w:r w:rsidR="004C7463" w:rsidRPr="00FB59AC">
        <w:rPr>
          <w:rFonts w:ascii="Times New Roman" w:hAnsi="Times New Roman" w:cs="Times New Roman"/>
          <w:b/>
          <w:sz w:val="24"/>
          <w:szCs w:val="24"/>
        </w:rPr>
        <w:t>. Ejecución presupuestal de arbítrios.</w:t>
      </w:r>
    </w:p>
    <w:p w14:paraId="0FAFD029" w14:textId="77777777" w:rsidR="004C7463" w:rsidRPr="00A56829" w:rsidRDefault="004C7463" w:rsidP="004C7463">
      <w:pPr>
        <w:widowControl w:val="0"/>
        <w:autoSpaceDE w:val="0"/>
        <w:autoSpaceDN w:val="0"/>
        <w:adjustRightInd w:val="0"/>
        <w:spacing w:after="0" w:line="240" w:lineRule="auto"/>
        <w:jc w:val="both"/>
        <w:rPr>
          <w:b/>
          <w:sz w:val="24"/>
          <w:szCs w:val="24"/>
        </w:rPr>
      </w:pPr>
    </w:p>
    <w:tbl>
      <w:tblPr>
        <w:tblStyle w:val="TableGrid"/>
        <w:tblW w:w="0" w:type="auto"/>
        <w:jc w:val="center"/>
        <w:tblInd w:w="113" w:type="dxa"/>
        <w:tblLook w:val="04A0" w:firstRow="1" w:lastRow="0" w:firstColumn="1" w:lastColumn="0" w:noHBand="0" w:noVBand="1"/>
      </w:tblPr>
      <w:tblGrid>
        <w:gridCol w:w="1899"/>
        <w:gridCol w:w="1134"/>
        <w:gridCol w:w="1134"/>
        <w:gridCol w:w="1134"/>
        <w:gridCol w:w="1110"/>
      </w:tblGrid>
      <w:tr w:rsidR="004C7463" w14:paraId="42342A38" w14:textId="77777777" w:rsidTr="00BA72DE">
        <w:trPr>
          <w:jc w:val="center"/>
        </w:trPr>
        <w:tc>
          <w:tcPr>
            <w:tcW w:w="1899" w:type="dxa"/>
            <w:shd w:val="clear" w:color="auto" w:fill="B8CCE4" w:themeFill="accent1" w:themeFillTint="66"/>
          </w:tcPr>
          <w:p w14:paraId="66D16DC3" w14:textId="77777777" w:rsidR="004C7463" w:rsidRDefault="004C7463" w:rsidP="00BA72DE">
            <w:pPr>
              <w:jc w:val="both"/>
            </w:pPr>
          </w:p>
        </w:tc>
        <w:tc>
          <w:tcPr>
            <w:tcW w:w="1134" w:type="dxa"/>
            <w:shd w:val="clear" w:color="auto" w:fill="B8CCE4" w:themeFill="accent1" w:themeFillTint="66"/>
            <w:vAlign w:val="center"/>
          </w:tcPr>
          <w:p w14:paraId="0B6CCCE0" w14:textId="77777777" w:rsidR="004C7463" w:rsidRDefault="004C7463" w:rsidP="00BA72DE">
            <w:pPr>
              <w:jc w:val="both"/>
            </w:pPr>
            <w:r>
              <w:t>2008</w:t>
            </w:r>
          </w:p>
        </w:tc>
        <w:tc>
          <w:tcPr>
            <w:tcW w:w="1134" w:type="dxa"/>
            <w:shd w:val="clear" w:color="auto" w:fill="B8CCE4" w:themeFill="accent1" w:themeFillTint="66"/>
            <w:vAlign w:val="center"/>
          </w:tcPr>
          <w:p w14:paraId="67FC6A97" w14:textId="77777777" w:rsidR="004C7463" w:rsidRDefault="004C7463" w:rsidP="00BA72DE">
            <w:pPr>
              <w:jc w:val="both"/>
            </w:pPr>
            <w:r>
              <w:t>2009</w:t>
            </w:r>
          </w:p>
        </w:tc>
        <w:tc>
          <w:tcPr>
            <w:tcW w:w="1134" w:type="dxa"/>
            <w:shd w:val="clear" w:color="auto" w:fill="B8CCE4" w:themeFill="accent1" w:themeFillTint="66"/>
            <w:vAlign w:val="center"/>
          </w:tcPr>
          <w:p w14:paraId="59920C0E" w14:textId="77777777" w:rsidR="004C7463" w:rsidRDefault="004C7463" w:rsidP="00BA72DE">
            <w:pPr>
              <w:jc w:val="both"/>
            </w:pPr>
            <w:r>
              <w:t>2010</w:t>
            </w:r>
          </w:p>
        </w:tc>
        <w:tc>
          <w:tcPr>
            <w:tcW w:w="1110" w:type="dxa"/>
            <w:shd w:val="clear" w:color="auto" w:fill="B8CCE4" w:themeFill="accent1" w:themeFillTint="66"/>
            <w:vAlign w:val="center"/>
          </w:tcPr>
          <w:p w14:paraId="52E54FD3" w14:textId="77777777" w:rsidR="004C7463" w:rsidRDefault="004C7463" w:rsidP="00BA72DE">
            <w:pPr>
              <w:jc w:val="both"/>
            </w:pPr>
            <w:r>
              <w:t>2011</w:t>
            </w:r>
          </w:p>
        </w:tc>
      </w:tr>
      <w:tr w:rsidR="004C7463" w14:paraId="48A02EB0" w14:textId="77777777" w:rsidTr="00BA72DE">
        <w:trPr>
          <w:jc w:val="center"/>
        </w:trPr>
        <w:tc>
          <w:tcPr>
            <w:tcW w:w="1899" w:type="dxa"/>
          </w:tcPr>
          <w:p w14:paraId="664474A4" w14:textId="77777777" w:rsidR="004C7463" w:rsidRDefault="004C7463" w:rsidP="00BA72DE">
            <w:pPr>
              <w:jc w:val="both"/>
            </w:pPr>
            <w:r>
              <w:t>% ejecución</w:t>
            </w:r>
          </w:p>
        </w:tc>
        <w:tc>
          <w:tcPr>
            <w:tcW w:w="1134" w:type="dxa"/>
            <w:vAlign w:val="center"/>
          </w:tcPr>
          <w:p w14:paraId="6B3BB0A9" w14:textId="77777777" w:rsidR="004C7463" w:rsidRDefault="004C7463" w:rsidP="00BA72DE">
            <w:pPr>
              <w:jc w:val="both"/>
            </w:pPr>
            <w:r>
              <w:t>102%</w:t>
            </w:r>
          </w:p>
        </w:tc>
        <w:tc>
          <w:tcPr>
            <w:tcW w:w="1134" w:type="dxa"/>
            <w:vAlign w:val="center"/>
          </w:tcPr>
          <w:p w14:paraId="6BF5319D" w14:textId="77777777" w:rsidR="004C7463" w:rsidRDefault="004C7463" w:rsidP="00BA72DE">
            <w:pPr>
              <w:jc w:val="both"/>
            </w:pPr>
            <w:r>
              <w:t>98%</w:t>
            </w:r>
          </w:p>
        </w:tc>
        <w:tc>
          <w:tcPr>
            <w:tcW w:w="1134" w:type="dxa"/>
            <w:vAlign w:val="center"/>
          </w:tcPr>
          <w:p w14:paraId="387D355E" w14:textId="77777777" w:rsidR="004C7463" w:rsidRDefault="004C7463" w:rsidP="00BA72DE">
            <w:pPr>
              <w:jc w:val="both"/>
            </w:pPr>
            <w:r>
              <w:t>104%</w:t>
            </w:r>
          </w:p>
        </w:tc>
        <w:tc>
          <w:tcPr>
            <w:tcW w:w="1110" w:type="dxa"/>
            <w:vAlign w:val="center"/>
          </w:tcPr>
          <w:p w14:paraId="36752F31" w14:textId="77777777" w:rsidR="004C7463" w:rsidRDefault="004C7463" w:rsidP="00BA72DE">
            <w:pPr>
              <w:jc w:val="both"/>
            </w:pPr>
            <w:r>
              <w:t>97%</w:t>
            </w:r>
          </w:p>
        </w:tc>
      </w:tr>
    </w:tbl>
    <w:p w14:paraId="442BDF24" w14:textId="77777777" w:rsidR="004C7463" w:rsidRDefault="004C7463" w:rsidP="004C7463">
      <w:pPr>
        <w:pStyle w:val="ListParagraph"/>
        <w:spacing w:after="0" w:line="240" w:lineRule="auto"/>
        <w:ind w:left="0"/>
        <w:contextualSpacing w:val="0"/>
        <w:jc w:val="both"/>
        <w:rPr>
          <w:rFonts w:cstheme="minorHAnsi"/>
          <w:sz w:val="24"/>
          <w:szCs w:val="24"/>
        </w:rPr>
      </w:pPr>
    </w:p>
    <w:p w14:paraId="621C53AC" w14:textId="77777777" w:rsidR="004C7463" w:rsidRDefault="004C7463" w:rsidP="004C7463">
      <w:pPr>
        <w:pStyle w:val="Heading4"/>
        <w:spacing w:before="0" w:line="240" w:lineRule="auto"/>
      </w:pPr>
    </w:p>
    <w:p w14:paraId="73C2E764" w14:textId="77777777" w:rsidR="004C7463" w:rsidRDefault="004C7463" w:rsidP="004C7463">
      <w:pPr>
        <w:rPr>
          <w:rFonts w:ascii="Times New Roman" w:eastAsiaTheme="majorEastAsia" w:hAnsi="Times New Roman" w:cs="Times New Roman"/>
          <w:b/>
          <w:bCs/>
          <w:color w:val="4F81BD" w:themeColor="accent1"/>
          <w:sz w:val="24"/>
          <w:szCs w:val="24"/>
        </w:rPr>
      </w:pPr>
    </w:p>
    <w:p w14:paraId="1733D57A" w14:textId="77777777" w:rsidR="004C7463" w:rsidRDefault="004C7463" w:rsidP="004C7463">
      <w:pPr>
        <w:pStyle w:val="Heading1"/>
      </w:pPr>
    </w:p>
    <w:p w14:paraId="3A915D65" w14:textId="77777777" w:rsidR="004C7463" w:rsidRDefault="004C7463" w:rsidP="004C7463">
      <w:pPr>
        <w:pStyle w:val="Heading1"/>
      </w:pPr>
    </w:p>
    <w:p w14:paraId="196C14A1" w14:textId="77777777" w:rsidR="004C7463" w:rsidRDefault="004C7463">
      <w:pPr>
        <w:rPr>
          <w:rFonts w:ascii="Times New Roman" w:eastAsiaTheme="majorEastAsia" w:hAnsi="Times New Roman" w:cs="Times New Roman"/>
          <w:b/>
          <w:bCs/>
          <w:color w:val="4F81BD" w:themeColor="accent1"/>
          <w:sz w:val="24"/>
          <w:szCs w:val="24"/>
        </w:rPr>
      </w:pPr>
      <w:r>
        <w:rPr>
          <w:rFonts w:ascii="Times New Roman" w:hAnsi="Times New Roman" w:cs="Times New Roman"/>
          <w:color w:val="4F81BD" w:themeColor="accent1"/>
          <w:sz w:val="24"/>
          <w:szCs w:val="24"/>
        </w:rPr>
        <w:br w:type="page"/>
      </w:r>
    </w:p>
    <w:p w14:paraId="1BCFC165" w14:textId="357ABF40" w:rsidR="000C473F" w:rsidRPr="00B52CC9" w:rsidRDefault="004C7463" w:rsidP="00F37A5F">
      <w:pPr>
        <w:pStyle w:val="Heading1"/>
      </w:pPr>
      <w:bookmarkStart w:id="109" w:name="_Toc223473043"/>
      <w:r>
        <w:lastRenderedPageBreak/>
        <w:t>Anexo 4</w:t>
      </w:r>
      <w:r w:rsidR="000C473F" w:rsidRPr="00B52CC9">
        <w:t xml:space="preserve">  </w:t>
      </w:r>
      <w:r w:rsidR="00DB5D93">
        <w:t xml:space="preserve">- </w:t>
      </w:r>
      <w:r w:rsidR="000C473F" w:rsidRPr="00B52CC9">
        <w:t>Entidad Metropolitana Reguladora de Transporte y Tránsito.</w:t>
      </w:r>
      <w:bookmarkEnd w:id="95"/>
      <w:bookmarkEnd w:id="96"/>
      <w:bookmarkEnd w:id="109"/>
    </w:p>
    <w:p w14:paraId="0C3AFEDC" w14:textId="77777777" w:rsidR="000C473F" w:rsidRPr="00B52CC9" w:rsidRDefault="000C473F" w:rsidP="008574F1">
      <w:pPr>
        <w:spacing w:after="0" w:line="240" w:lineRule="auto"/>
        <w:jc w:val="both"/>
        <w:rPr>
          <w:rFonts w:ascii="Times New Roman" w:hAnsi="Times New Roman" w:cs="Times New Roman"/>
          <w:sz w:val="24"/>
          <w:szCs w:val="24"/>
        </w:rPr>
      </w:pPr>
    </w:p>
    <w:p w14:paraId="4E4FF61E" w14:textId="77777777" w:rsidR="000C473F" w:rsidRPr="00B52CC9" w:rsidRDefault="000C473F" w:rsidP="008574F1">
      <w:pPr>
        <w:spacing w:after="0" w:line="240" w:lineRule="auto"/>
        <w:jc w:val="both"/>
        <w:rPr>
          <w:rFonts w:ascii="Times New Roman" w:hAnsi="Times New Roman" w:cs="Times New Roman"/>
          <w:sz w:val="24"/>
          <w:szCs w:val="24"/>
        </w:rPr>
      </w:pPr>
      <w:r w:rsidRPr="00B52CC9">
        <w:rPr>
          <w:rFonts w:ascii="Times New Roman" w:hAnsi="Times New Roman" w:cs="Times New Roman"/>
          <w:sz w:val="24"/>
          <w:szCs w:val="24"/>
        </w:rPr>
        <w:t xml:space="preserve">El Estado de Situación Económica de esta Empresa, a 31 de diciembre de 2011, presenta un Activo Corriente de Q18,17 millones, en la que los ingresos por Fondos de Inversión constituyen el 39%, el saldo en Bancos el 35% y las Cuentas por Cobrar el 26%.  De igual modo, presenta un rubro de Propiedad de Planta y Equipos por Q40,8 millones.  El Pasivo Total asciende a Q3,47 millones, en el que el 81% está constituido por Cuentas por pagar en el corto plazo y el 19% restante por pasivo con proveedores internos.  </w:t>
      </w:r>
    </w:p>
    <w:p w14:paraId="6CA1BF94" w14:textId="77777777" w:rsidR="000C473F" w:rsidRPr="00B52CC9" w:rsidRDefault="000C473F" w:rsidP="008574F1">
      <w:pPr>
        <w:spacing w:after="0" w:line="240" w:lineRule="auto"/>
        <w:jc w:val="both"/>
        <w:rPr>
          <w:rFonts w:ascii="Times New Roman" w:hAnsi="Times New Roman" w:cs="Times New Roman"/>
          <w:sz w:val="24"/>
          <w:szCs w:val="24"/>
        </w:rPr>
      </w:pPr>
    </w:p>
    <w:p w14:paraId="143F7313" w14:textId="77777777" w:rsidR="000C473F" w:rsidRPr="00B52CC9" w:rsidRDefault="000C473F" w:rsidP="008574F1">
      <w:pPr>
        <w:spacing w:after="0" w:line="240" w:lineRule="auto"/>
        <w:jc w:val="both"/>
        <w:rPr>
          <w:rFonts w:ascii="Times New Roman" w:hAnsi="Times New Roman" w:cs="Times New Roman"/>
          <w:sz w:val="24"/>
          <w:szCs w:val="24"/>
        </w:rPr>
      </w:pPr>
      <w:r w:rsidRPr="00B52CC9">
        <w:rPr>
          <w:rFonts w:ascii="Times New Roman" w:hAnsi="Times New Roman" w:cs="Times New Roman"/>
          <w:sz w:val="24"/>
          <w:szCs w:val="24"/>
        </w:rPr>
        <w:t>El superávit presentado por el Estado de Resultados Económicos a 31 de diciembre de 2011 alcanza los Q4,05 millones, que es resultado de unos Ingresos por Concepto de Tasas de Q120,8 millones, Renta de la Propiedad por Q7,02 millones, y unos Gastos de Operación por Q123,8 millones.  La siguiente gráfica muestra la composición del Ingreso por Concepto de Tasas, donde el 33% corresponde a Multas de Transporte; el 21% se logra por cobro de cartera atrasada; y otro 21% corresponde a Ingresos Varios.</w:t>
      </w:r>
      <w:r w:rsidRPr="00B52CC9">
        <w:rPr>
          <w:rStyle w:val="FootnoteReference"/>
          <w:rFonts w:ascii="Times New Roman" w:hAnsi="Times New Roman" w:cs="Times New Roman"/>
          <w:sz w:val="24"/>
          <w:szCs w:val="24"/>
        </w:rPr>
        <w:footnoteReference w:id="90"/>
      </w:r>
    </w:p>
    <w:p w14:paraId="612E5F5D" w14:textId="77777777" w:rsidR="000C473F" w:rsidRPr="00B52CC9" w:rsidRDefault="000C473F" w:rsidP="008574F1">
      <w:pPr>
        <w:spacing w:after="0" w:line="240" w:lineRule="auto"/>
        <w:jc w:val="both"/>
        <w:rPr>
          <w:rFonts w:ascii="Times New Roman" w:hAnsi="Times New Roman" w:cs="Times New Roman"/>
          <w:sz w:val="24"/>
          <w:szCs w:val="24"/>
        </w:rPr>
      </w:pPr>
    </w:p>
    <w:p w14:paraId="4B0D6D38" w14:textId="77777777" w:rsidR="000C473F" w:rsidRPr="00B52CC9" w:rsidRDefault="000C473F" w:rsidP="008574F1">
      <w:pPr>
        <w:pStyle w:val="NoSpacing"/>
        <w:jc w:val="center"/>
        <w:rPr>
          <w:rFonts w:ascii="Times New Roman" w:hAnsi="Times New Roman" w:cs="Times New Roman"/>
        </w:rPr>
      </w:pPr>
      <w:r w:rsidRPr="00B52CC9">
        <w:rPr>
          <w:rFonts w:ascii="Times New Roman" w:hAnsi="Times New Roman" w:cs="Times New Roman"/>
          <w:noProof/>
          <w:lang w:val="en-US" w:eastAsia="en-US"/>
        </w:rPr>
        <w:drawing>
          <wp:inline distT="0" distB="0" distL="0" distR="0" wp14:anchorId="41C4070F" wp14:editId="4B271B67">
            <wp:extent cx="5023104" cy="2243328"/>
            <wp:effectExtent l="0" t="0" r="25400" b="24130"/>
            <wp:docPr id="9"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5D23CF8A" w14:textId="77777777" w:rsidR="000C473F" w:rsidRPr="00B52CC9" w:rsidRDefault="000C473F" w:rsidP="008574F1">
      <w:pPr>
        <w:spacing w:after="0" w:line="240" w:lineRule="auto"/>
        <w:jc w:val="both"/>
        <w:rPr>
          <w:rFonts w:ascii="Times New Roman" w:hAnsi="Times New Roman" w:cs="Times New Roman"/>
          <w:sz w:val="24"/>
          <w:szCs w:val="24"/>
        </w:rPr>
      </w:pPr>
    </w:p>
    <w:p w14:paraId="41DDC4F0" w14:textId="77777777" w:rsidR="000C473F" w:rsidRPr="00B52CC9" w:rsidRDefault="000C473F" w:rsidP="008574F1">
      <w:pPr>
        <w:spacing w:after="0" w:line="240" w:lineRule="auto"/>
        <w:jc w:val="both"/>
        <w:rPr>
          <w:rFonts w:ascii="Times New Roman" w:hAnsi="Times New Roman" w:cs="Times New Roman"/>
          <w:sz w:val="24"/>
          <w:szCs w:val="24"/>
        </w:rPr>
      </w:pPr>
      <w:r w:rsidRPr="00B52CC9">
        <w:rPr>
          <w:rFonts w:ascii="Times New Roman" w:hAnsi="Times New Roman" w:cs="Times New Roman"/>
          <w:sz w:val="24"/>
          <w:szCs w:val="24"/>
        </w:rPr>
        <w:t>Como se indicó previamente, los Gastos de Operación ascendieron a Q123,8 millones, de los que el 80% corresponde a Regularización del Tránsito, el 12% a la administración institucional, financiera y del recurso humano, el 1% a servicios jurídicos, y el 7% restante a otros gastos.</w:t>
      </w:r>
    </w:p>
    <w:p w14:paraId="73D902ED" w14:textId="77777777" w:rsidR="000C473F" w:rsidRPr="00B52CC9" w:rsidRDefault="000C473F" w:rsidP="008574F1">
      <w:pPr>
        <w:spacing w:after="0" w:line="240" w:lineRule="auto"/>
        <w:jc w:val="both"/>
        <w:rPr>
          <w:rFonts w:ascii="Times New Roman" w:hAnsi="Times New Roman" w:cs="Times New Roman"/>
          <w:sz w:val="24"/>
          <w:szCs w:val="24"/>
        </w:rPr>
      </w:pPr>
    </w:p>
    <w:p w14:paraId="675232D5" w14:textId="658F637D" w:rsidR="00B530B2" w:rsidRPr="00B52CC9" w:rsidRDefault="00B530B2" w:rsidP="008574F1">
      <w:pPr>
        <w:spacing w:line="240" w:lineRule="auto"/>
        <w:rPr>
          <w:rFonts w:ascii="Times New Roman" w:hAnsi="Times New Roman" w:cs="Times New Roman"/>
          <w:sz w:val="24"/>
          <w:szCs w:val="24"/>
        </w:rPr>
      </w:pPr>
      <w:r w:rsidRPr="00B52CC9">
        <w:rPr>
          <w:rFonts w:ascii="Times New Roman" w:hAnsi="Times New Roman" w:cs="Times New Roman"/>
          <w:sz w:val="24"/>
          <w:szCs w:val="24"/>
        </w:rPr>
        <w:br w:type="page"/>
      </w:r>
    </w:p>
    <w:p w14:paraId="1FD45CD5" w14:textId="4107D104" w:rsidR="00B530B2" w:rsidRPr="00B52CC9" w:rsidRDefault="004C7463" w:rsidP="00F37A5F">
      <w:pPr>
        <w:pStyle w:val="Heading1"/>
      </w:pPr>
      <w:bookmarkStart w:id="110" w:name="_Toc219009972"/>
      <w:bookmarkStart w:id="111" w:name="_Ref219011542"/>
      <w:bookmarkStart w:id="112" w:name="_Toc223473044"/>
      <w:r>
        <w:lastRenderedPageBreak/>
        <w:t>Anexo 5</w:t>
      </w:r>
      <w:r w:rsidR="00B530B2" w:rsidRPr="00B52CC9">
        <w:t xml:space="preserve"> </w:t>
      </w:r>
      <w:r w:rsidR="00DB5D93">
        <w:t>-</w:t>
      </w:r>
      <w:r w:rsidR="00B530B2" w:rsidRPr="00B52CC9">
        <w:t xml:space="preserve"> Fideicomisos.</w:t>
      </w:r>
      <w:bookmarkEnd w:id="110"/>
      <w:bookmarkEnd w:id="111"/>
      <w:bookmarkEnd w:id="112"/>
    </w:p>
    <w:p w14:paraId="48E8A37A" w14:textId="77777777" w:rsidR="000C473F" w:rsidRPr="00B52CC9" w:rsidRDefault="000C473F" w:rsidP="008574F1">
      <w:pPr>
        <w:spacing w:after="0" w:line="240" w:lineRule="auto"/>
        <w:jc w:val="both"/>
        <w:rPr>
          <w:rFonts w:ascii="Times New Roman" w:hAnsi="Times New Roman" w:cs="Times New Roman"/>
          <w:sz w:val="24"/>
          <w:szCs w:val="24"/>
        </w:rPr>
      </w:pPr>
    </w:p>
    <w:p w14:paraId="3F9E46A6" w14:textId="77777777" w:rsidR="00537797" w:rsidRPr="00B52CC9" w:rsidRDefault="00537797" w:rsidP="008574F1">
      <w:pPr>
        <w:spacing w:after="0" w:line="240" w:lineRule="auto"/>
        <w:jc w:val="both"/>
        <w:rPr>
          <w:rFonts w:ascii="Times New Roman" w:hAnsi="Times New Roman" w:cs="Times New Roman"/>
          <w:sz w:val="24"/>
          <w:szCs w:val="24"/>
        </w:rPr>
      </w:pPr>
    </w:p>
    <w:p w14:paraId="1FE6BB0C" w14:textId="77777777" w:rsidR="00CB6A55" w:rsidRPr="00B52CC9" w:rsidRDefault="00CB6A55" w:rsidP="008574F1">
      <w:pPr>
        <w:spacing w:after="0" w:line="240" w:lineRule="auto"/>
        <w:jc w:val="both"/>
        <w:rPr>
          <w:rFonts w:ascii="Times New Roman" w:hAnsi="Times New Roman" w:cs="Times New Roman"/>
          <w:b/>
          <w:bCs/>
          <w:sz w:val="24"/>
          <w:szCs w:val="24"/>
        </w:rPr>
      </w:pPr>
      <w:r w:rsidRPr="00B52CC9">
        <w:rPr>
          <w:rFonts w:ascii="Times New Roman" w:hAnsi="Times New Roman" w:cs="Times New Roman"/>
          <w:b/>
          <w:bCs/>
          <w:sz w:val="24"/>
          <w:szCs w:val="24"/>
        </w:rPr>
        <w:t>Fideicomisos</w:t>
      </w:r>
    </w:p>
    <w:p w14:paraId="71A272E1" w14:textId="77777777" w:rsidR="00CB6A55" w:rsidRPr="00B52CC9" w:rsidRDefault="00CB6A55" w:rsidP="008574F1">
      <w:pPr>
        <w:spacing w:after="0" w:line="240" w:lineRule="auto"/>
        <w:jc w:val="both"/>
        <w:rPr>
          <w:rFonts w:ascii="Times New Roman" w:hAnsi="Times New Roman" w:cs="Times New Roman"/>
          <w:sz w:val="24"/>
          <w:szCs w:val="24"/>
        </w:rPr>
      </w:pPr>
    </w:p>
    <w:p w14:paraId="001E126F" w14:textId="77777777" w:rsidR="00CB6A55" w:rsidRPr="00B52CC9" w:rsidRDefault="00CB6A55" w:rsidP="008574F1">
      <w:pPr>
        <w:spacing w:after="0" w:line="240" w:lineRule="auto"/>
        <w:jc w:val="both"/>
        <w:rPr>
          <w:rFonts w:ascii="Times New Roman" w:hAnsi="Times New Roman" w:cs="Times New Roman"/>
          <w:sz w:val="24"/>
          <w:szCs w:val="24"/>
        </w:rPr>
      </w:pPr>
      <w:r w:rsidRPr="00B52CC9">
        <w:rPr>
          <w:rFonts w:ascii="Times New Roman" w:hAnsi="Times New Roman" w:cs="Times New Roman"/>
          <w:sz w:val="24"/>
          <w:szCs w:val="24"/>
        </w:rPr>
        <w:t>La Municipalidad de Guatemala registra tres fideicomisos: Fideicomiso de Transporte de la Ciudad de Guatemala (Fidemuni); Fideicomiso Metropolitano para la Recreación, Cultura y Deporte;</w:t>
      </w:r>
      <w:r w:rsidRPr="00B52CC9">
        <w:rPr>
          <w:rStyle w:val="FootnoteReference"/>
          <w:rFonts w:ascii="Times New Roman" w:hAnsi="Times New Roman" w:cs="Times New Roman"/>
          <w:sz w:val="24"/>
          <w:szCs w:val="24"/>
        </w:rPr>
        <w:footnoteReference w:id="91"/>
      </w:r>
      <w:r w:rsidRPr="00B52CC9">
        <w:rPr>
          <w:rFonts w:ascii="Times New Roman" w:hAnsi="Times New Roman" w:cs="Times New Roman"/>
          <w:sz w:val="24"/>
          <w:szCs w:val="24"/>
        </w:rPr>
        <w:t xml:space="preserve"> y, Fideicomiso de Apoyo a la Planificación Urbana (FAPU).  Los dos primeros son administrados por el Crédito Hipotecario Nacional de Guatemala, y el tercero por la Financiera de Occidente,</w:t>
      </w:r>
      <w:r w:rsidRPr="00B52CC9">
        <w:rPr>
          <w:rStyle w:val="FootnoteReference"/>
          <w:rFonts w:ascii="Times New Roman" w:hAnsi="Times New Roman" w:cs="Times New Roman"/>
          <w:sz w:val="24"/>
          <w:szCs w:val="24"/>
        </w:rPr>
        <w:footnoteReference w:id="92"/>
      </w:r>
      <w:r w:rsidRPr="00B52CC9">
        <w:rPr>
          <w:rFonts w:ascii="Times New Roman" w:hAnsi="Times New Roman" w:cs="Times New Roman"/>
          <w:sz w:val="24"/>
          <w:szCs w:val="24"/>
        </w:rPr>
        <w:t xml:space="preserve"> tal como se indica a continuación.</w:t>
      </w:r>
    </w:p>
    <w:p w14:paraId="1CB5E6FF" w14:textId="77777777" w:rsidR="00CB6A55" w:rsidRPr="00B52CC9" w:rsidRDefault="00CB6A55" w:rsidP="008574F1">
      <w:pPr>
        <w:spacing w:after="0" w:line="240" w:lineRule="auto"/>
        <w:jc w:val="both"/>
        <w:rPr>
          <w:rFonts w:ascii="Times New Roman" w:hAnsi="Times New Roman" w:cs="Times New Roman"/>
          <w:sz w:val="24"/>
          <w:szCs w:val="24"/>
        </w:rPr>
      </w:pPr>
    </w:p>
    <w:p w14:paraId="360915DD" w14:textId="77777777" w:rsidR="00537797" w:rsidRPr="00B52CC9" w:rsidRDefault="00537797" w:rsidP="008574F1">
      <w:pPr>
        <w:spacing w:after="0" w:line="240" w:lineRule="auto"/>
        <w:jc w:val="both"/>
        <w:rPr>
          <w:rFonts w:ascii="Times New Roman" w:hAnsi="Times New Roman" w:cs="Times New Roman"/>
          <w:sz w:val="24"/>
          <w:szCs w:val="24"/>
        </w:rPr>
      </w:pPr>
    </w:p>
    <w:p w14:paraId="096B80BC" w14:textId="77777777" w:rsidR="00CB6A55" w:rsidRPr="00B52CC9" w:rsidRDefault="00CB6A55" w:rsidP="008574F1">
      <w:pPr>
        <w:spacing w:after="0" w:line="240" w:lineRule="auto"/>
        <w:jc w:val="both"/>
        <w:rPr>
          <w:rFonts w:ascii="Times New Roman" w:hAnsi="Times New Roman" w:cs="Times New Roman"/>
          <w:b/>
          <w:bCs/>
          <w:sz w:val="24"/>
          <w:szCs w:val="24"/>
        </w:rPr>
      </w:pPr>
      <w:r w:rsidRPr="00B52CC9">
        <w:rPr>
          <w:rFonts w:ascii="Times New Roman" w:hAnsi="Times New Roman" w:cs="Times New Roman"/>
          <w:b/>
          <w:bCs/>
          <w:sz w:val="24"/>
          <w:szCs w:val="24"/>
        </w:rPr>
        <w:t>FIDEMUNI</w:t>
      </w:r>
    </w:p>
    <w:p w14:paraId="7C3661B8" w14:textId="77777777" w:rsidR="00CB6A55" w:rsidRPr="00B52CC9" w:rsidRDefault="00CB6A55" w:rsidP="008574F1">
      <w:pPr>
        <w:spacing w:after="0" w:line="240" w:lineRule="auto"/>
        <w:jc w:val="both"/>
        <w:rPr>
          <w:rFonts w:ascii="Times New Roman" w:hAnsi="Times New Roman" w:cs="Times New Roman"/>
          <w:sz w:val="24"/>
          <w:szCs w:val="24"/>
        </w:rPr>
      </w:pPr>
    </w:p>
    <w:p w14:paraId="4D4FBD3D" w14:textId="77777777" w:rsidR="00CB6A55" w:rsidRPr="00B52CC9" w:rsidRDefault="00CB6A55" w:rsidP="008574F1">
      <w:pPr>
        <w:spacing w:after="0" w:line="240" w:lineRule="auto"/>
        <w:jc w:val="both"/>
        <w:rPr>
          <w:rFonts w:ascii="Times New Roman" w:hAnsi="Times New Roman" w:cs="Times New Roman"/>
          <w:sz w:val="24"/>
          <w:szCs w:val="24"/>
        </w:rPr>
      </w:pPr>
      <w:r w:rsidRPr="00B52CC9">
        <w:rPr>
          <w:rFonts w:ascii="Times New Roman" w:hAnsi="Times New Roman" w:cs="Times New Roman"/>
          <w:sz w:val="24"/>
          <w:szCs w:val="24"/>
        </w:rPr>
        <w:t>El Fideicomiso de Transporte de la Ciudad de Guatemala – FIDEMUNI, se constituyó en mayo de 1997 con un plazo indefinido, siendo el Estado de Guatemala el fideicomisario, la Municipalidad de Guatemala y el Ministerio de Finanzas Públicas los fideicomitentes y actuando como fiduciario el Banco Crédito Hipotecario Nacional de Guatemala, con el fin de fomentar la prestación del servicio de transporte colectivo en el área metropolitana.  Sus objetivos son los de prestar apoyo económico a los usuarios y prestadores del servicio; la compra, venta y arrendamiento de buses y sus repuestos; y la construcción de vías urbanas para el transporte colectivo.  El costo financiero de administración del fideicomiso es de Q17,000 mensuales o el 0.75% anual de los fondos sobre saldos diarios, lo que sea mayor.</w:t>
      </w:r>
      <w:r w:rsidRPr="00B52CC9">
        <w:rPr>
          <w:rStyle w:val="FootnoteReference"/>
          <w:rFonts w:ascii="Times New Roman" w:hAnsi="Times New Roman" w:cs="Times New Roman"/>
        </w:rPr>
        <w:footnoteReference w:id="93"/>
      </w:r>
    </w:p>
    <w:p w14:paraId="071BAE7F" w14:textId="77777777" w:rsidR="00CB6A55" w:rsidRPr="00B52CC9" w:rsidRDefault="00CB6A55" w:rsidP="008574F1">
      <w:pPr>
        <w:spacing w:after="0" w:line="240" w:lineRule="auto"/>
        <w:jc w:val="both"/>
        <w:rPr>
          <w:rFonts w:ascii="Times New Roman" w:hAnsi="Times New Roman" w:cs="Times New Roman"/>
          <w:sz w:val="24"/>
          <w:szCs w:val="24"/>
        </w:rPr>
      </w:pPr>
    </w:p>
    <w:p w14:paraId="4C01EFBD" w14:textId="77777777" w:rsidR="00CB6A55" w:rsidRPr="00B52CC9" w:rsidRDefault="00CB6A55" w:rsidP="008574F1">
      <w:pPr>
        <w:spacing w:after="0" w:line="240" w:lineRule="auto"/>
        <w:jc w:val="both"/>
        <w:rPr>
          <w:rFonts w:ascii="Times New Roman" w:hAnsi="Times New Roman" w:cs="Times New Roman"/>
          <w:sz w:val="24"/>
          <w:szCs w:val="24"/>
        </w:rPr>
      </w:pPr>
      <w:r w:rsidRPr="00B52CC9">
        <w:rPr>
          <w:rFonts w:ascii="Times New Roman" w:hAnsi="Times New Roman" w:cs="Times New Roman"/>
          <w:sz w:val="24"/>
          <w:szCs w:val="24"/>
        </w:rPr>
        <w:t>Es importante destacar que en el año 2010 la Contraloría General de Cuentas llevó a cabo una auditoría al fideicomiso.</w:t>
      </w:r>
      <w:r w:rsidRPr="00B52CC9">
        <w:rPr>
          <w:rStyle w:val="FootnoteReference"/>
          <w:rFonts w:ascii="Times New Roman" w:hAnsi="Times New Roman" w:cs="Times New Roman"/>
        </w:rPr>
        <w:footnoteReference w:id="94"/>
      </w:r>
      <w:r w:rsidRPr="00B52CC9">
        <w:rPr>
          <w:rFonts w:ascii="Times New Roman" w:hAnsi="Times New Roman" w:cs="Times New Roman"/>
          <w:sz w:val="24"/>
          <w:szCs w:val="24"/>
        </w:rPr>
        <w:t xml:space="preserve">  Dentro de los hallazgos relacionados con el Cumplimiento de Leyes y Regulaciones, encontró que los Estados Financieros no reflejaban el valor real del activo, pues no se aplicaba depreciación al parque automotor, que supera los 800 buses.  En el Estado de Situación Económica 2011 se halla una depreciación acumulada de Q333.3 millones sobre el valor total de los vehículos colectivos de Q344,4 millones.  Ello hace suponer que la administración ha incorporado la recomendación de la Contraloría, mejorando la calidad de la información financiera. </w:t>
      </w:r>
    </w:p>
    <w:p w14:paraId="015708F2" w14:textId="77777777" w:rsidR="00CB6A55" w:rsidRPr="00B52CC9" w:rsidRDefault="00CB6A55" w:rsidP="008574F1">
      <w:pPr>
        <w:spacing w:after="0" w:line="240" w:lineRule="auto"/>
        <w:jc w:val="both"/>
        <w:rPr>
          <w:rFonts w:ascii="Times New Roman" w:hAnsi="Times New Roman" w:cs="Times New Roman"/>
          <w:sz w:val="24"/>
          <w:szCs w:val="24"/>
        </w:rPr>
      </w:pPr>
    </w:p>
    <w:p w14:paraId="1726759B" w14:textId="77777777" w:rsidR="00537797" w:rsidRPr="00B52CC9" w:rsidRDefault="00537797" w:rsidP="008574F1">
      <w:pPr>
        <w:spacing w:after="0" w:line="240" w:lineRule="auto"/>
        <w:jc w:val="both"/>
        <w:rPr>
          <w:rFonts w:ascii="Times New Roman" w:hAnsi="Times New Roman" w:cs="Times New Roman"/>
          <w:sz w:val="24"/>
          <w:szCs w:val="24"/>
        </w:rPr>
      </w:pPr>
    </w:p>
    <w:p w14:paraId="02FED2E1" w14:textId="77777777" w:rsidR="00CB6A55" w:rsidRPr="00B52CC9" w:rsidRDefault="00CB6A55" w:rsidP="008574F1">
      <w:pPr>
        <w:spacing w:after="0" w:line="240" w:lineRule="auto"/>
        <w:jc w:val="both"/>
        <w:rPr>
          <w:rFonts w:ascii="Times New Roman" w:hAnsi="Times New Roman" w:cs="Times New Roman"/>
          <w:b/>
          <w:sz w:val="24"/>
          <w:szCs w:val="24"/>
        </w:rPr>
      </w:pPr>
      <w:r w:rsidRPr="00B52CC9">
        <w:rPr>
          <w:rFonts w:ascii="Times New Roman" w:hAnsi="Times New Roman" w:cs="Times New Roman"/>
          <w:b/>
          <w:sz w:val="24"/>
          <w:szCs w:val="24"/>
        </w:rPr>
        <w:t>FAPU</w:t>
      </w:r>
    </w:p>
    <w:p w14:paraId="04ECC69A" w14:textId="77777777" w:rsidR="00CB6A55" w:rsidRPr="00B52CC9" w:rsidRDefault="00CB6A55" w:rsidP="008574F1">
      <w:pPr>
        <w:spacing w:after="0" w:line="240" w:lineRule="auto"/>
        <w:jc w:val="both"/>
        <w:rPr>
          <w:rFonts w:ascii="Times New Roman" w:hAnsi="Times New Roman" w:cs="Times New Roman"/>
          <w:sz w:val="24"/>
          <w:szCs w:val="24"/>
        </w:rPr>
      </w:pPr>
    </w:p>
    <w:p w14:paraId="0A8BBE27" w14:textId="77777777" w:rsidR="00CB6A55" w:rsidRPr="00B52CC9" w:rsidRDefault="00CB6A55" w:rsidP="008574F1">
      <w:pPr>
        <w:spacing w:after="0" w:line="240" w:lineRule="auto"/>
        <w:jc w:val="both"/>
        <w:rPr>
          <w:rFonts w:ascii="Times New Roman" w:hAnsi="Times New Roman" w:cs="Times New Roman"/>
          <w:sz w:val="24"/>
          <w:szCs w:val="24"/>
        </w:rPr>
      </w:pPr>
      <w:r w:rsidRPr="00B52CC9">
        <w:rPr>
          <w:rFonts w:ascii="Times New Roman" w:hAnsi="Times New Roman" w:cs="Times New Roman"/>
          <w:sz w:val="24"/>
          <w:szCs w:val="24"/>
        </w:rPr>
        <w:t xml:space="preserve">Este fideicomiso enfrenta una dificultad legal aún no resuelta respecto al IUSI, dado que la Dirección de Catastro y Avalúo de Bienes Inmuebles – Dicabi del Ministerio de Finanzas </w:t>
      </w:r>
      <w:r w:rsidRPr="00B52CC9">
        <w:rPr>
          <w:rFonts w:ascii="Times New Roman" w:hAnsi="Times New Roman" w:cs="Times New Roman"/>
          <w:sz w:val="24"/>
          <w:szCs w:val="24"/>
        </w:rPr>
        <w:lastRenderedPageBreak/>
        <w:t>Públicas autorizó el cobro y administración del IUSI a la Municipalidad de Guatemala, pero no a un fideicomiso.</w:t>
      </w:r>
    </w:p>
    <w:p w14:paraId="2E0A8BD9" w14:textId="77777777" w:rsidR="00CB6A55" w:rsidRPr="00B52CC9" w:rsidRDefault="00CB6A55" w:rsidP="008574F1">
      <w:pPr>
        <w:spacing w:after="0" w:line="240" w:lineRule="auto"/>
        <w:jc w:val="both"/>
        <w:rPr>
          <w:rFonts w:ascii="Times New Roman" w:hAnsi="Times New Roman" w:cs="Times New Roman"/>
          <w:sz w:val="24"/>
          <w:szCs w:val="24"/>
        </w:rPr>
      </w:pPr>
    </w:p>
    <w:p w14:paraId="65A3CE9E" w14:textId="77777777" w:rsidR="00CB6A55" w:rsidRPr="00B52CC9" w:rsidRDefault="00CB6A55" w:rsidP="008574F1">
      <w:pPr>
        <w:spacing w:after="0" w:line="240" w:lineRule="auto"/>
        <w:jc w:val="both"/>
        <w:rPr>
          <w:rFonts w:ascii="Times New Roman" w:hAnsi="Times New Roman" w:cs="Times New Roman"/>
          <w:sz w:val="24"/>
          <w:szCs w:val="24"/>
        </w:rPr>
      </w:pPr>
      <w:r w:rsidRPr="00B52CC9">
        <w:rPr>
          <w:rFonts w:ascii="Times New Roman" w:hAnsi="Times New Roman" w:cs="Times New Roman"/>
          <w:sz w:val="24"/>
          <w:szCs w:val="24"/>
        </w:rPr>
        <w:t>El Fideicomiso de Apoyo a la Planificación Urbana maneja los recursos del recaudo por IUSI; los Derechos y Alineación por Licencias de Construcción; las multas por Construcción Inadecuada; y los recursos del Boleto de Ornato; además de otros recursos de relevancia menor.  A su vez sirve la deuda generada por los créditos sindicados de la Municipalidad por Q339 y Q100 millones, y los gastos de funcionamiento de diversos programas de la Municipalidad.</w:t>
      </w:r>
    </w:p>
    <w:p w14:paraId="583A7720" w14:textId="77777777" w:rsidR="00CB6A55" w:rsidRPr="00B52CC9" w:rsidRDefault="00CB6A55" w:rsidP="008574F1">
      <w:pPr>
        <w:spacing w:after="0" w:line="240" w:lineRule="auto"/>
        <w:jc w:val="both"/>
        <w:rPr>
          <w:rFonts w:ascii="Times New Roman" w:hAnsi="Times New Roman" w:cs="Times New Roman"/>
          <w:sz w:val="24"/>
          <w:szCs w:val="24"/>
        </w:rPr>
      </w:pPr>
    </w:p>
    <w:p w14:paraId="55F8E230" w14:textId="77777777" w:rsidR="00CB6A55" w:rsidRPr="00B52CC9" w:rsidRDefault="00CB6A55" w:rsidP="008574F1">
      <w:pPr>
        <w:spacing w:after="0" w:line="240" w:lineRule="auto"/>
        <w:jc w:val="both"/>
        <w:rPr>
          <w:rFonts w:ascii="Times New Roman" w:hAnsi="Times New Roman" w:cs="Times New Roman"/>
          <w:color w:val="000000"/>
          <w:sz w:val="24"/>
          <w:szCs w:val="24"/>
          <w:shd w:val="clear" w:color="auto" w:fill="FFFFFF"/>
        </w:rPr>
      </w:pPr>
      <w:r w:rsidRPr="00B52CC9">
        <w:rPr>
          <w:rFonts w:ascii="Times New Roman" w:hAnsi="Times New Roman" w:cs="Times New Roman"/>
          <w:color w:val="000000"/>
          <w:sz w:val="24"/>
          <w:szCs w:val="24"/>
          <w:shd w:val="clear" w:color="auto" w:fill="FFFFFF"/>
        </w:rPr>
        <w:t>Estos fideicomisos ejecutan gasto público pero no se hallan sometidos a la fiscalización de la Contraloría General de la República.  Para este efecto, la Superintendencia de Bancos señala que la ley le prohíbe suministrar a ese organismo de control datos sobre los fideicomisos públicos que operan en los bancos del sistema, es decir, los fideicomisos públicos no son fiscalizables.</w:t>
      </w:r>
    </w:p>
    <w:p w14:paraId="480A23ED" w14:textId="77777777" w:rsidR="00CB6A55" w:rsidRPr="00B52CC9" w:rsidRDefault="00CB6A55" w:rsidP="008574F1">
      <w:pPr>
        <w:spacing w:after="0" w:line="240" w:lineRule="auto"/>
        <w:jc w:val="both"/>
        <w:rPr>
          <w:rFonts w:ascii="Times New Roman" w:hAnsi="Times New Roman" w:cs="Times New Roman"/>
          <w:sz w:val="24"/>
          <w:szCs w:val="24"/>
        </w:rPr>
      </w:pPr>
    </w:p>
    <w:p w14:paraId="481128CB" w14:textId="77777777" w:rsidR="00CB6A55" w:rsidRPr="00B52CC9" w:rsidRDefault="00CB6A55" w:rsidP="008574F1">
      <w:pPr>
        <w:spacing w:after="0" w:line="240" w:lineRule="auto"/>
        <w:jc w:val="both"/>
        <w:rPr>
          <w:rFonts w:ascii="Times New Roman" w:hAnsi="Times New Roman" w:cs="Times New Roman"/>
          <w:color w:val="000000"/>
          <w:sz w:val="24"/>
          <w:szCs w:val="24"/>
          <w:shd w:val="clear" w:color="auto" w:fill="FFFFFF"/>
        </w:rPr>
      </w:pPr>
      <w:r w:rsidRPr="00B52CC9">
        <w:rPr>
          <w:rFonts w:ascii="Times New Roman" w:hAnsi="Times New Roman" w:cs="Times New Roman"/>
          <w:color w:val="000000"/>
          <w:sz w:val="24"/>
          <w:szCs w:val="24"/>
          <w:shd w:val="clear" w:color="auto" w:fill="FFFFFF"/>
        </w:rPr>
        <w:t xml:space="preserve">En este orden, el esquema de manejo de recursos municipales bajo el modelo de fideicomiso ha sido cuestionado desde varios estamentos, incluyendo la Contraloría General de Cuentas, ya que desde su perspectiva, esta figura impide la fiscalización directa de estos recursos públicos.   Mientras tanto, en el Congreso algunos diputados pretenden más bien fortalecer la regulación de los fideicomisos públicos.  Un problema adicional radica en las diferencias en el número de fideicomisos reportados en  las bases de datos de los organismos de control del Estado, como la Superintendencia de Bancos (SIB), el Ministerio de Finanzas, y el departamento de Fideicomisos de la Contraloría General de Cuentas.  En el centro de la polémica, que se viene dando al menos desde 2009, se encuentran la Municipalidad de Guatemala (con tres fideicomisos de los 17 fideicomisos a nivel municipal que reporta la Contraloría) y su alcalde Álvaro Arzú (como promotor de esta figura desde la Presidencia de la República 1996-2000). </w:t>
      </w:r>
    </w:p>
    <w:p w14:paraId="5556CA96" w14:textId="77777777" w:rsidR="00CB6A55" w:rsidRPr="00B52CC9" w:rsidRDefault="00CB6A55" w:rsidP="008574F1">
      <w:pPr>
        <w:spacing w:after="0" w:line="240" w:lineRule="auto"/>
        <w:jc w:val="both"/>
        <w:rPr>
          <w:rFonts w:ascii="Times New Roman" w:hAnsi="Times New Roman" w:cs="Times New Roman"/>
          <w:color w:val="000000"/>
          <w:sz w:val="24"/>
          <w:szCs w:val="24"/>
          <w:shd w:val="clear" w:color="auto" w:fill="FFFFFF"/>
        </w:rPr>
      </w:pPr>
    </w:p>
    <w:p w14:paraId="7DA6CA55" w14:textId="77777777" w:rsidR="00CB6A55" w:rsidRPr="00B52CC9" w:rsidRDefault="00CB6A55" w:rsidP="008574F1">
      <w:pPr>
        <w:spacing w:after="0" w:line="240" w:lineRule="auto"/>
        <w:jc w:val="both"/>
        <w:rPr>
          <w:rFonts w:ascii="Times New Roman" w:hAnsi="Times New Roman" w:cs="Times New Roman"/>
          <w:color w:val="000000"/>
          <w:sz w:val="24"/>
          <w:szCs w:val="24"/>
          <w:shd w:val="clear" w:color="auto" w:fill="FFFFFF"/>
        </w:rPr>
      </w:pPr>
      <w:r w:rsidRPr="00B52CC9">
        <w:rPr>
          <w:rFonts w:ascii="Times New Roman" w:hAnsi="Times New Roman" w:cs="Times New Roman"/>
          <w:color w:val="000000"/>
          <w:sz w:val="24"/>
          <w:szCs w:val="24"/>
          <w:shd w:val="clear" w:color="auto" w:fill="FFFFFF"/>
        </w:rPr>
        <w:t xml:space="preserve">Es preciso señalar que el proyecto de reforma constitucional que el Gobierno Nacional ha presentado a consideración del Congreso de la República contiene una disposición encaminada a limitar la existencia legal de los fideicomisos.  Para el efecto, señala que </w:t>
      </w:r>
      <w:r w:rsidRPr="00B52CC9">
        <w:rPr>
          <w:rFonts w:ascii="Times New Roman" w:hAnsi="Times New Roman" w:cs="Times New Roman"/>
          <w:i/>
          <w:iCs/>
          <w:color w:val="000000"/>
          <w:sz w:val="24"/>
          <w:szCs w:val="24"/>
          <w:shd w:val="clear" w:color="auto" w:fill="FFFFFF"/>
        </w:rPr>
        <w:t>s</w:t>
      </w:r>
      <w:r w:rsidRPr="00B52CC9">
        <w:rPr>
          <w:rFonts w:ascii="Times New Roman" w:hAnsi="Times New Roman" w:cs="Times New Roman"/>
          <w:i/>
          <w:iCs/>
          <w:color w:val="000000"/>
          <w:sz w:val="24"/>
          <w:szCs w:val="24"/>
        </w:rPr>
        <w:t>e delimita la figura del fideicomiso de inversión y se suprimen los fondos y los fideicomisos de ejecución de gasto público</w:t>
      </w:r>
      <w:r w:rsidRPr="00B52CC9">
        <w:rPr>
          <w:rFonts w:ascii="Times New Roman" w:hAnsi="Times New Roman" w:cs="Times New Roman"/>
          <w:color w:val="000000"/>
          <w:sz w:val="24"/>
          <w:szCs w:val="24"/>
        </w:rPr>
        <w:t>.</w:t>
      </w:r>
      <w:r w:rsidRPr="00B52CC9">
        <w:rPr>
          <w:rStyle w:val="FootnoteReference"/>
          <w:rFonts w:ascii="Times New Roman" w:hAnsi="Times New Roman" w:cs="Times New Roman"/>
          <w:color w:val="000000"/>
          <w:sz w:val="24"/>
          <w:szCs w:val="24"/>
        </w:rPr>
        <w:footnoteReference w:id="95"/>
      </w:r>
      <w:r w:rsidRPr="00B52CC9">
        <w:rPr>
          <w:rFonts w:ascii="Times New Roman" w:hAnsi="Times New Roman" w:cs="Times New Roman"/>
          <w:color w:val="000000"/>
          <w:sz w:val="24"/>
          <w:szCs w:val="24"/>
        </w:rPr>
        <w:t xml:space="preserve">  En este orden, el</w:t>
      </w:r>
      <w:r w:rsidRPr="00B52CC9">
        <w:rPr>
          <w:rFonts w:ascii="Times New Roman" w:hAnsi="Times New Roman" w:cs="Times New Roman"/>
          <w:i/>
          <w:iCs/>
          <w:color w:val="000000"/>
          <w:sz w:val="24"/>
          <w:szCs w:val="24"/>
        </w:rPr>
        <w:t xml:space="preserve"> </w:t>
      </w:r>
      <w:r w:rsidRPr="00B52CC9">
        <w:rPr>
          <w:rFonts w:ascii="Times New Roman" w:hAnsi="Times New Roman" w:cs="Times New Roman"/>
          <w:color w:val="000000"/>
          <w:sz w:val="24"/>
          <w:szCs w:val="24"/>
          <w:shd w:val="clear" w:color="auto" w:fill="FFFFFF"/>
        </w:rPr>
        <w:t>citado proyecto prevé las siguientes dos disposiciones:</w:t>
      </w:r>
    </w:p>
    <w:p w14:paraId="02AD2A06" w14:textId="77777777" w:rsidR="00CB6A55" w:rsidRPr="00B52CC9" w:rsidRDefault="00CB6A55" w:rsidP="008574F1">
      <w:pPr>
        <w:spacing w:after="0" w:line="240" w:lineRule="auto"/>
        <w:jc w:val="both"/>
        <w:rPr>
          <w:rFonts w:ascii="Times New Roman" w:hAnsi="Times New Roman" w:cs="Times New Roman"/>
          <w:color w:val="000000"/>
          <w:sz w:val="24"/>
          <w:szCs w:val="24"/>
          <w:shd w:val="clear" w:color="auto" w:fill="FFFFFF"/>
        </w:rPr>
      </w:pPr>
    </w:p>
    <w:p w14:paraId="4831E77E" w14:textId="77777777" w:rsidR="00CB6A55" w:rsidRPr="00B52CC9" w:rsidRDefault="00CB6A55" w:rsidP="008574F1">
      <w:pPr>
        <w:pStyle w:val="Pa16"/>
        <w:spacing w:line="240" w:lineRule="auto"/>
        <w:ind w:left="720"/>
        <w:jc w:val="both"/>
        <w:rPr>
          <w:rFonts w:ascii="Times New Roman" w:hAnsi="Times New Roman" w:cs="Times New Roman"/>
          <w:i/>
          <w:iCs/>
          <w:color w:val="000000"/>
          <w:lang w:val="es-CO"/>
        </w:rPr>
      </w:pPr>
      <w:r w:rsidRPr="00B52CC9">
        <w:rPr>
          <w:rFonts w:ascii="Times New Roman" w:hAnsi="Times New Roman" w:cs="Times New Roman"/>
          <w:b/>
          <w:bCs/>
          <w:i/>
          <w:iCs/>
          <w:color w:val="000000"/>
          <w:lang w:val="es-CO"/>
        </w:rPr>
        <w:t>Artículo 22</w:t>
      </w:r>
      <w:r w:rsidRPr="00B52CC9">
        <w:rPr>
          <w:rFonts w:ascii="Times New Roman" w:hAnsi="Times New Roman" w:cs="Times New Roman"/>
          <w:i/>
          <w:iCs/>
          <w:color w:val="000000"/>
          <w:lang w:val="es-CO"/>
        </w:rPr>
        <w:t xml:space="preserve">. Se adiciona un párrafo final al artículo 238, con el siguiente texto: </w:t>
      </w:r>
    </w:p>
    <w:p w14:paraId="3D8AB946" w14:textId="77777777" w:rsidR="00CB6A55" w:rsidRPr="00B52CC9" w:rsidRDefault="00CB6A55" w:rsidP="008574F1">
      <w:pPr>
        <w:spacing w:after="0" w:line="240" w:lineRule="auto"/>
        <w:ind w:left="720"/>
        <w:jc w:val="both"/>
        <w:rPr>
          <w:rFonts w:ascii="Times New Roman" w:hAnsi="Times New Roman" w:cs="Times New Roman"/>
          <w:i/>
          <w:iCs/>
          <w:color w:val="000000"/>
          <w:sz w:val="24"/>
          <w:szCs w:val="24"/>
        </w:rPr>
      </w:pPr>
    </w:p>
    <w:p w14:paraId="0DF27D83" w14:textId="77777777" w:rsidR="00CB6A55" w:rsidRPr="00B52CC9" w:rsidRDefault="00CB6A55" w:rsidP="008574F1">
      <w:pPr>
        <w:spacing w:after="0" w:line="240" w:lineRule="auto"/>
        <w:ind w:left="720"/>
        <w:jc w:val="both"/>
        <w:rPr>
          <w:rFonts w:ascii="Times New Roman" w:hAnsi="Times New Roman" w:cs="Times New Roman"/>
          <w:i/>
          <w:iCs/>
          <w:color w:val="000000"/>
          <w:sz w:val="24"/>
          <w:szCs w:val="24"/>
          <w:shd w:val="clear" w:color="auto" w:fill="FFFFFF"/>
        </w:rPr>
      </w:pPr>
      <w:r w:rsidRPr="00B52CC9">
        <w:rPr>
          <w:rFonts w:ascii="Times New Roman" w:hAnsi="Times New Roman" w:cs="Times New Roman"/>
          <w:i/>
          <w:iCs/>
          <w:color w:val="000000"/>
          <w:sz w:val="24"/>
          <w:szCs w:val="24"/>
        </w:rPr>
        <w:t>“Los recursos financieros que el Estado asigne con obligación de reembolso a los Ministerios de Estado y a las entidades descentralizadas y autónomas, para que los inviertan en la realización de proyectos específicos de beneficio social y que produzcan renta que retorne el capital invertido, podrán darse en fideicomiso.”</w:t>
      </w:r>
    </w:p>
    <w:p w14:paraId="7F1F2396" w14:textId="77777777" w:rsidR="00CB6A55" w:rsidRPr="00B52CC9" w:rsidRDefault="00CB6A55" w:rsidP="008574F1">
      <w:pPr>
        <w:spacing w:after="0" w:line="240" w:lineRule="auto"/>
        <w:jc w:val="both"/>
        <w:rPr>
          <w:rFonts w:ascii="Times New Roman" w:hAnsi="Times New Roman" w:cs="Times New Roman"/>
          <w:color w:val="000000"/>
          <w:sz w:val="24"/>
          <w:szCs w:val="24"/>
          <w:shd w:val="clear" w:color="auto" w:fill="FFFFFF"/>
        </w:rPr>
      </w:pPr>
      <w:r w:rsidRPr="00B52CC9">
        <w:rPr>
          <w:rFonts w:ascii="Times New Roman" w:hAnsi="Times New Roman" w:cs="Times New Roman"/>
          <w:color w:val="000000"/>
          <w:sz w:val="24"/>
          <w:szCs w:val="24"/>
          <w:shd w:val="clear" w:color="auto" w:fill="FFFFFF"/>
        </w:rPr>
        <w:t>Esta disposición se complementa con la contenida en el artículo 39 del proyecto, que prevé de manera textual lo siguiente:</w:t>
      </w:r>
    </w:p>
    <w:p w14:paraId="68A52900" w14:textId="77777777" w:rsidR="00CB6A55" w:rsidRPr="00B52CC9" w:rsidRDefault="00CB6A55" w:rsidP="008574F1">
      <w:pPr>
        <w:spacing w:after="0" w:line="240" w:lineRule="auto"/>
        <w:jc w:val="both"/>
        <w:rPr>
          <w:rFonts w:ascii="Times New Roman" w:hAnsi="Times New Roman" w:cs="Times New Roman"/>
          <w:color w:val="000000"/>
          <w:sz w:val="24"/>
          <w:szCs w:val="24"/>
          <w:shd w:val="clear" w:color="auto" w:fill="FFFFFF"/>
        </w:rPr>
      </w:pPr>
    </w:p>
    <w:p w14:paraId="2322DA6A" w14:textId="77777777" w:rsidR="00CB6A55" w:rsidRPr="00B52CC9" w:rsidRDefault="00CB6A55" w:rsidP="008574F1">
      <w:pPr>
        <w:pStyle w:val="Pa16"/>
        <w:spacing w:line="240" w:lineRule="auto"/>
        <w:ind w:left="720"/>
        <w:jc w:val="both"/>
        <w:rPr>
          <w:rFonts w:ascii="Times New Roman" w:hAnsi="Times New Roman" w:cs="Times New Roman"/>
          <w:i/>
          <w:iCs/>
          <w:color w:val="000000"/>
          <w:lang w:val="es-CO"/>
        </w:rPr>
      </w:pPr>
      <w:r w:rsidRPr="00B52CC9">
        <w:rPr>
          <w:rFonts w:ascii="Times New Roman" w:hAnsi="Times New Roman" w:cs="Times New Roman"/>
          <w:b/>
          <w:bCs/>
          <w:i/>
          <w:iCs/>
          <w:color w:val="000000"/>
          <w:lang w:val="es-CO"/>
        </w:rPr>
        <w:lastRenderedPageBreak/>
        <w:t xml:space="preserve">Artículo 39. </w:t>
      </w:r>
      <w:r w:rsidRPr="00B52CC9">
        <w:rPr>
          <w:rFonts w:ascii="Times New Roman" w:hAnsi="Times New Roman" w:cs="Times New Roman"/>
          <w:i/>
          <w:iCs/>
          <w:color w:val="000000"/>
          <w:lang w:val="es-CO"/>
        </w:rPr>
        <w:t xml:space="preserve">Se adiciona al Capítulo Único Disposiciones Transitorias y Finales del Título VIII, Disposiciones Transitorias, el artículo 31, con el siguiente texto: </w:t>
      </w:r>
    </w:p>
    <w:p w14:paraId="0B21E030" w14:textId="77777777" w:rsidR="00CB6A55" w:rsidRPr="00B52CC9" w:rsidRDefault="00CB6A55" w:rsidP="008574F1">
      <w:pPr>
        <w:pStyle w:val="Pa19"/>
        <w:spacing w:line="240" w:lineRule="auto"/>
        <w:ind w:left="720"/>
        <w:jc w:val="both"/>
        <w:rPr>
          <w:rFonts w:ascii="Times New Roman" w:hAnsi="Times New Roman" w:cs="Times New Roman"/>
          <w:b/>
          <w:bCs/>
          <w:i/>
          <w:iCs/>
          <w:color w:val="000000"/>
          <w:lang w:val="es-CO"/>
        </w:rPr>
      </w:pPr>
    </w:p>
    <w:p w14:paraId="2DA25673" w14:textId="77777777" w:rsidR="00CB6A55" w:rsidRPr="00B52CC9" w:rsidRDefault="00CB6A55" w:rsidP="008574F1">
      <w:pPr>
        <w:pStyle w:val="Pa19"/>
        <w:spacing w:line="240" w:lineRule="auto"/>
        <w:ind w:left="720"/>
        <w:jc w:val="both"/>
        <w:rPr>
          <w:rFonts w:ascii="Times New Roman" w:hAnsi="Times New Roman" w:cs="Times New Roman"/>
          <w:i/>
          <w:iCs/>
          <w:color w:val="000000"/>
          <w:lang w:val="es-CO"/>
        </w:rPr>
      </w:pPr>
      <w:r w:rsidRPr="00B52CC9">
        <w:rPr>
          <w:rFonts w:ascii="Times New Roman" w:hAnsi="Times New Roman" w:cs="Times New Roman"/>
          <w:b/>
          <w:bCs/>
          <w:i/>
          <w:iCs/>
          <w:color w:val="000000"/>
          <w:lang w:val="es-CO"/>
        </w:rPr>
        <w:t>“Artículo 31</w:t>
      </w:r>
      <w:r w:rsidRPr="00B52CC9">
        <w:rPr>
          <w:rFonts w:ascii="Times New Roman" w:hAnsi="Times New Roman" w:cs="Times New Roman"/>
          <w:i/>
          <w:iCs/>
          <w:color w:val="000000"/>
          <w:lang w:val="es-CO"/>
        </w:rPr>
        <w:t xml:space="preserve">. Dentro del plazo de dos años, contado a partir de la vigencia de las presentes reformas: </w:t>
      </w:r>
    </w:p>
    <w:p w14:paraId="47DB386B" w14:textId="77777777" w:rsidR="00CB6A55" w:rsidRPr="00B52CC9" w:rsidRDefault="00CB6A55" w:rsidP="008574F1">
      <w:pPr>
        <w:pStyle w:val="Default"/>
        <w:ind w:left="720"/>
        <w:jc w:val="both"/>
        <w:rPr>
          <w:rStyle w:val="A3"/>
          <w:rFonts w:ascii="Times New Roman" w:hAnsi="Times New Roman" w:cs="Times New Roman"/>
          <w:i/>
          <w:iCs/>
        </w:rPr>
      </w:pPr>
    </w:p>
    <w:p w14:paraId="40103504" w14:textId="77777777" w:rsidR="00CB6A55" w:rsidRPr="00B52CC9" w:rsidRDefault="00CB6A55" w:rsidP="008574F1">
      <w:pPr>
        <w:pStyle w:val="Default"/>
        <w:numPr>
          <w:ilvl w:val="0"/>
          <w:numId w:val="21"/>
        </w:numPr>
        <w:ind w:left="1080"/>
        <w:jc w:val="both"/>
        <w:rPr>
          <w:rFonts w:ascii="Times New Roman" w:hAnsi="Times New Roman" w:cs="Times New Roman"/>
          <w:i/>
          <w:iCs/>
        </w:rPr>
      </w:pPr>
      <w:r w:rsidRPr="00B52CC9">
        <w:rPr>
          <w:rStyle w:val="A3"/>
          <w:rFonts w:ascii="Times New Roman" w:hAnsi="Times New Roman" w:cs="Times New Roman"/>
          <w:i/>
          <w:iCs/>
        </w:rPr>
        <w:t xml:space="preserve">Los fideicomisos de inversión deberán quedar adscritos a un ministerio o a una entidad descentralizada o autónoma. </w:t>
      </w:r>
    </w:p>
    <w:p w14:paraId="48CEB39E" w14:textId="77777777" w:rsidR="00CB6A55" w:rsidRPr="00B52CC9" w:rsidRDefault="00CB6A55" w:rsidP="008574F1">
      <w:pPr>
        <w:pStyle w:val="Default"/>
        <w:numPr>
          <w:ilvl w:val="0"/>
          <w:numId w:val="21"/>
        </w:numPr>
        <w:ind w:left="1080"/>
        <w:jc w:val="both"/>
        <w:rPr>
          <w:rFonts w:ascii="Times New Roman" w:hAnsi="Times New Roman" w:cs="Times New Roman"/>
          <w:i/>
          <w:iCs/>
        </w:rPr>
      </w:pPr>
      <w:r w:rsidRPr="00B52CC9">
        <w:rPr>
          <w:rStyle w:val="A3"/>
          <w:rFonts w:ascii="Times New Roman" w:hAnsi="Times New Roman" w:cs="Times New Roman"/>
          <w:i/>
          <w:iCs/>
        </w:rPr>
        <w:t xml:space="preserve">Los fondos sociales deberán quedar adscritos o absorbidos por un ministerio o constituirse como entidades descentralizadas. </w:t>
      </w:r>
    </w:p>
    <w:p w14:paraId="3CCD9415" w14:textId="77777777" w:rsidR="00CB6A55" w:rsidRPr="00B52CC9" w:rsidRDefault="00CB6A55" w:rsidP="008574F1">
      <w:pPr>
        <w:pStyle w:val="Default"/>
        <w:numPr>
          <w:ilvl w:val="0"/>
          <w:numId w:val="21"/>
        </w:numPr>
        <w:ind w:left="1080"/>
        <w:jc w:val="both"/>
        <w:rPr>
          <w:rFonts w:ascii="Times New Roman" w:hAnsi="Times New Roman" w:cs="Times New Roman"/>
          <w:i/>
          <w:iCs/>
        </w:rPr>
      </w:pPr>
      <w:r w:rsidRPr="00B52CC9">
        <w:rPr>
          <w:rStyle w:val="A3"/>
          <w:rFonts w:ascii="Times New Roman" w:hAnsi="Times New Roman" w:cs="Times New Roman"/>
          <w:i/>
          <w:iCs/>
        </w:rPr>
        <w:t>Los fideicomisos que no sean de los previstos en el artículo 238 párrafo final de la Constitución, deberán liquidarse.”</w:t>
      </w:r>
    </w:p>
    <w:p w14:paraId="35B6C1BF" w14:textId="77777777" w:rsidR="00CB6A55" w:rsidRPr="00B52CC9" w:rsidRDefault="00CB6A55" w:rsidP="008574F1">
      <w:pPr>
        <w:spacing w:after="0" w:line="240" w:lineRule="auto"/>
        <w:jc w:val="both"/>
        <w:rPr>
          <w:rFonts w:ascii="Times New Roman" w:hAnsi="Times New Roman" w:cs="Times New Roman"/>
          <w:sz w:val="24"/>
          <w:szCs w:val="24"/>
        </w:rPr>
      </w:pPr>
    </w:p>
    <w:p w14:paraId="3F33873E" w14:textId="77777777" w:rsidR="00CB6A55" w:rsidRPr="00B52CC9" w:rsidRDefault="00CB6A55" w:rsidP="008574F1">
      <w:pPr>
        <w:spacing w:after="0" w:line="240" w:lineRule="auto"/>
        <w:jc w:val="both"/>
        <w:rPr>
          <w:rFonts w:ascii="Times New Roman" w:hAnsi="Times New Roman" w:cs="Times New Roman"/>
          <w:sz w:val="24"/>
          <w:szCs w:val="24"/>
        </w:rPr>
      </w:pPr>
      <w:r w:rsidRPr="00B52CC9">
        <w:rPr>
          <w:rFonts w:ascii="Times New Roman" w:hAnsi="Times New Roman" w:cs="Times New Roman"/>
          <w:sz w:val="24"/>
          <w:szCs w:val="24"/>
        </w:rPr>
        <w:t>Conforme la información disponible, los activos por categoría de financiamiento de los fideicomisos de Transporte de la Ciudad de Guatemala y de apoyo al sistema de servicio público de transporte colectivo urbano y extraurbano de pasajeros, son los que se señalan en el cuadro siguiente:</w:t>
      </w:r>
    </w:p>
    <w:p w14:paraId="36D81A9C" w14:textId="77777777" w:rsidR="00CB6A55" w:rsidRPr="00B52CC9" w:rsidRDefault="00CB6A55" w:rsidP="008574F1">
      <w:pPr>
        <w:spacing w:after="0" w:line="240" w:lineRule="auto"/>
        <w:jc w:val="both"/>
        <w:rPr>
          <w:rFonts w:ascii="Times New Roman" w:hAnsi="Times New Roman" w:cs="Times New Roman"/>
          <w:sz w:val="24"/>
          <w:szCs w:val="24"/>
        </w:rPr>
      </w:pPr>
    </w:p>
    <w:p w14:paraId="1B819848" w14:textId="77777777" w:rsidR="00CB6A55" w:rsidRPr="00B52CC9" w:rsidRDefault="00CB6A55" w:rsidP="008574F1">
      <w:pPr>
        <w:spacing w:after="0" w:line="240" w:lineRule="auto"/>
        <w:jc w:val="both"/>
        <w:rPr>
          <w:rFonts w:ascii="Times New Roman" w:hAnsi="Times New Roman" w:cs="Times New Roman"/>
          <w:sz w:val="24"/>
          <w:szCs w:val="24"/>
        </w:rPr>
      </w:pPr>
      <w:r w:rsidRPr="00B52CC9">
        <w:rPr>
          <w:rFonts w:ascii="Times New Roman" w:hAnsi="Times New Roman" w:cs="Times New Roman"/>
          <w:noProof/>
          <w:lang w:val="en-US" w:eastAsia="en-US"/>
        </w:rPr>
        <w:drawing>
          <wp:inline distT="0" distB="0" distL="0" distR="0" wp14:anchorId="23223FA5" wp14:editId="1D484A46">
            <wp:extent cx="5907127" cy="2978728"/>
            <wp:effectExtent l="19050" t="19050" r="17780" b="1270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2997120"/>
                    </a:xfrm>
                    <a:prstGeom prst="rect">
                      <a:avLst/>
                    </a:prstGeom>
                    <a:noFill/>
                    <a:ln>
                      <a:solidFill>
                        <a:schemeClr val="accent2">
                          <a:lumMod val="50000"/>
                        </a:schemeClr>
                      </a:solidFill>
                    </a:ln>
                  </pic:spPr>
                </pic:pic>
              </a:graphicData>
            </a:graphic>
          </wp:inline>
        </w:drawing>
      </w:r>
    </w:p>
    <w:p w14:paraId="55BBD22E" w14:textId="77777777" w:rsidR="00CB6A55" w:rsidRPr="00B52CC9" w:rsidRDefault="00CB6A55" w:rsidP="008574F1">
      <w:pPr>
        <w:spacing w:after="0" w:line="240" w:lineRule="auto"/>
        <w:jc w:val="both"/>
        <w:rPr>
          <w:rFonts w:ascii="Times New Roman" w:hAnsi="Times New Roman" w:cs="Times New Roman"/>
          <w:sz w:val="24"/>
          <w:szCs w:val="24"/>
        </w:rPr>
      </w:pPr>
    </w:p>
    <w:p w14:paraId="79561779" w14:textId="77777777" w:rsidR="007E51EE" w:rsidRPr="00B52CC9" w:rsidRDefault="007E51EE" w:rsidP="008574F1">
      <w:pPr>
        <w:spacing w:after="0" w:line="240" w:lineRule="auto"/>
        <w:jc w:val="both"/>
        <w:rPr>
          <w:rFonts w:ascii="Times New Roman" w:hAnsi="Times New Roman" w:cs="Times New Roman"/>
          <w:sz w:val="24"/>
          <w:szCs w:val="24"/>
        </w:rPr>
      </w:pPr>
    </w:p>
    <w:p w14:paraId="76CF7810" w14:textId="77777777" w:rsidR="007E51EE" w:rsidRPr="00B52CC9" w:rsidRDefault="007E51EE" w:rsidP="008574F1">
      <w:pPr>
        <w:spacing w:after="0" w:line="240" w:lineRule="auto"/>
        <w:jc w:val="both"/>
        <w:rPr>
          <w:rFonts w:ascii="Times New Roman" w:hAnsi="Times New Roman" w:cs="Times New Roman"/>
          <w:sz w:val="24"/>
          <w:szCs w:val="24"/>
        </w:rPr>
      </w:pPr>
    </w:p>
    <w:p w14:paraId="217B0841" w14:textId="616DD8B0" w:rsidR="00CB6A55" w:rsidRPr="00B52CC9" w:rsidRDefault="00CB6A55" w:rsidP="008574F1">
      <w:pPr>
        <w:spacing w:after="0" w:line="240" w:lineRule="auto"/>
        <w:jc w:val="both"/>
        <w:rPr>
          <w:rFonts w:ascii="Times New Roman" w:hAnsi="Times New Roman" w:cs="Times New Roman"/>
          <w:sz w:val="24"/>
          <w:szCs w:val="24"/>
        </w:rPr>
      </w:pPr>
      <w:r w:rsidRPr="00B52CC9">
        <w:rPr>
          <w:rFonts w:ascii="Times New Roman" w:hAnsi="Times New Roman" w:cs="Times New Roman"/>
          <w:sz w:val="24"/>
          <w:szCs w:val="24"/>
        </w:rPr>
        <w:t xml:space="preserve">De igual modo, el  patrimonio recibido por estos fideicomisos, es el que se señala en </w:t>
      </w:r>
      <w:r w:rsidR="001438E5" w:rsidRPr="00B52CC9">
        <w:rPr>
          <w:rFonts w:ascii="Times New Roman" w:hAnsi="Times New Roman" w:cs="Times New Roman"/>
          <w:sz w:val="24"/>
          <w:szCs w:val="24"/>
        </w:rPr>
        <w:t>cuadro siguiente</w:t>
      </w:r>
      <w:r w:rsidRPr="00B52CC9">
        <w:rPr>
          <w:rFonts w:ascii="Times New Roman" w:hAnsi="Times New Roman" w:cs="Times New Roman"/>
          <w:sz w:val="24"/>
          <w:szCs w:val="24"/>
        </w:rPr>
        <w:t>:</w:t>
      </w:r>
    </w:p>
    <w:p w14:paraId="07F85B6A" w14:textId="77777777" w:rsidR="00CB6A55" w:rsidRPr="00B52CC9" w:rsidRDefault="00CB6A55" w:rsidP="008574F1">
      <w:pPr>
        <w:spacing w:after="0" w:line="240" w:lineRule="auto"/>
        <w:jc w:val="both"/>
        <w:rPr>
          <w:rFonts w:ascii="Times New Roman" w:hAnsi="Times New Roman" w:cs="Times New Roman"/>
          <w:sz w:val="24"/>
          <w:szCs w:val="24"/>
        </w:rPr>
      </w:pPr>
    </w:p>
    <w:p w14:paraId="5DD7B504" w14:textId="77777777" w:rsidR="00CB6A55" w:rsidRPr="00B52CC9" w:rsidRDefault="00CB6A55" w:rsidP="008574F1">
      <w:pPr>
        <w:spacing w:after="0" w:line="240" w:lineRule="auto"/>
        <w:jc w:val="both"/>
        <w:rPr>
          <w:rFonts w:ascii="Times New Roman" w:hAnsi="Times New Roman" w:cs="Times New Roman"/>
          <w:sz w:val="24"/>
          <w:szCs w:val="24"/>
        </w:rPr>
      </w:pPr>
      <w:r w:rsidRPr="00B52CC9">
        <w:rPr>
          <w:rFonts w:ascii="Times New Roman" w:hAnsi="Times New Roman" w:cs="Times New Roman"/>
          <w:noProof/>
          <w:lang w:val="en-US" w:eastAsia="en-US"/>
        </w:rPr>
        <w:lastRenderedPageBreak/>
        <w:drawing>
          <wp:inline distT="0" distB="0" distL="0" distR="0" wp14:anchorId="6A3D9182" wp14:editId="5B8E812C">
            <wp:extent cx="5922819" cy="2854036"/>
            <wp:effectExtent l="19050" t="19050" r="20955" b="2286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2864050"/>
                    </a:xfrm>
                    <a:prstGeom prst="rect">
                      <a:avLst/>
                    </a:prstGeom>
                    <a:noFill/>
                    <a:ln>
                      <a:solidFill>
                        <a:schemeClr val="accent2">
                          <a:lumMod val="50000"/>
                        </a:schemeClr>
                      </a:solidFill>
                    </a:ln>
                  </pic:spPr>
                </pic:pic>
              </a:graphicData>
            </a:graphic>
          </wp:inline>
        </w:drawing>
      </w:r>
    </w:p>
    <w:p w14:paraId="37484D8B" w14:textId="77777777" w:rsidR="00CB6A55" w:rsidRPr="00B52CC9" w:rsidRDefault="00CB6A55" w:rsidP="008574F1">
      <w:pPr>
        <w:spacing w:after="0" w:line="240" w:lineRule="auto"/>
        <w:jc w:val="both"/>
        <w:rPr>
          <w:rFonts w:ascii="Times New Roman" w:hAnsi="Times New Roman" w:cs="Times New Roman"/>
          <w:sz w:val="24"/>
          <w:szCs w:val="24"/>
        </w:rPr>
      </w:pPr>
    </w:p>
    <w:p w14:paraId="6BD3A755" w14:textId="77777777" w:rsidR="00CB6A55" w:rsidRPr="00B52CC9" w:rsidRDefault="00CB6A55" w:rsidP="008574F1">
      <w:pPr>
        <w:spacing w:after="0" w:line="240" w:lineRule="auto"/>
        <w:jc w:val="both"/>
        <w:rPr>
          <w:rFonts w:ascii="Times New Roman" w:hAnsi="Times New Roman" w:cs="Times New Roman"/>
          <w:sz w:val="24"/>
          <w:szCs w:val="24"/>
        </w:rPr>
      </w:pPr>
      <w:r w:rsidRPr="00B52CC9">
        <w:rPr>
          <w:rFonts w:ascii="Times New Roman" w:hAnsi="Times New Roman" w:cs="Times New Roman"/>
          <w:sz w:val="24"/>
          <w:szCs w:val="24"/>
        </w:rPr>
        <w:t>Finalmente, los perfiles de estos fideicomisos son los que se señalan en el cuadro siguiente:</w:t>
      </w:r>
    </w:p>
    <w:p w14:paraId="31C75FEA" w14:textId="77777777" w:rsidR="00CB6A55" w:rsidRPr="00B52CC9" w:rsidRDefault="00CB6A55" w:rsidP="008574F1">
      <w:pPr>
        <w:spacing w:after="0" w:line="240" w:lineRule="auto"/>
        <w:jc w:val="both"/>
        <w:rPr>
          <w:rFonts w:ascii="Times New Roman" w:hAnsi="Times New Roman" w:cs="Times New Roman"/>
          <w:sz w:val="24"/>
          <w:szCs w:val="24"/>
        </w:rPr>
      </w:pPr>
    </w:p>
    <w:p w14:paraId="48B76D66" w14:textId="77777777" w:rsidR="00CB6A55" w:rsidRPr="00B52CC9" w:rsidRDefault="00CB6A55" w:rsidP="008574F1">
      <w:pPr>
        <w:spacing w:after="0" w:line="240" w:lineRule="auto"/>
        <w:jc w:val="both"/>
        <w:rPr>
          <w:rFonts w:ascii="Times New Roman" w:hAnsi="Times New Roman" w:cs="Times New Roman"/>
          <w:sz w:val="24"/>
          <w:szCs w:val="24"/>
        </w:rPr>
      </w:pPr>
    </w:p>
    <w:p w14:paraId="3FECB048" w14:textId="77777777" w:rsidR="00CB6A55" w:rsidRPr="00B52CC9" w:rsidRDefault="00CB6A55" w:rsidP="008574F1">
      <w:pPr>
        <w:spacing w:after="0" w:line="240" w:lineRule="auto"/>
        <w:jc w:val="both"/>
        <w:rPr>
          <w:rFonts w:ascii="Times New Roman" w:hAnsi="Times New Roman" w:cs="Times New Roman"/>
          <w:sz w:val="24"/>
          <w:szCs w:val="24"/>
        </w:rPr>
        <w:sectPr w:rsidR="00CB6A55" w:rsidRPr="00B52CC9" w:rsidSect="004A0D47">
          <w:footerReference w:type="even" r:id="rId27"/>
          <w:footerReference w:type="default" r:id="rId28"/>
          <w:pgSz w:w="12240" w:h="15840" w:code="1"/>
          <w:pgMar w:top="1417" w:right="1701" w:bottom="1417" w:left="1701" w:header="708" w:footer="708" w:gutter="0"/>
          <w:cols w:space="708"/>
          <w:titlePg/>
          <w:docGrid w:linePitch="360"/>
        </w:sectPr>
      </w:pPr>
    </w:p>
    <w:p w14:paraId="763385E8" w14:textId="77777777" w:rsidR="00CB6A55" w:rsidRPr="00B52CC9" w:rsidRDefault="00CB6A55" w:rsidP="008574F1">
      <w:pPr>
        <w:spacing w:after="0" w:line="240" w:lineRule="auto"/>
        <w:jc w:val="both"/>
        <w:rPr>
          <w:rFonts w:ascii="Times New Roman" w:hAnsi="Times New Roman" w:cs="Times New Roman"/>
          <w:sz w:val="24"/>
          <w:szCs w:val="24"/>
        </w:rPr>
      </w:pPr>
      <w:r w:rsidRPr="00B52CC9">
        <w:rPr>
          <w:rFonts w:ascii="Times New Roman" w:hAnsi="Times New Roman" w:cs="Times New Roman"/>
          <w:noProof/>
          <w:lang w:val="en-US" w:eastAsia="en-US"/>
        </w:rPr>
        <w:lastRenderedPageBreak/>
        <w:drawing>
          <wp:inline distT="0" distB="0" distL="0" distR="0" wp14:anchorId="535C6EFB" wp14:editId="114ADED9">
            <wp:extent cx="8181109" cy="5223164"/>
            <wp:effectExtent l="19050" t="19050" r="10795" b="1587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29600" cy="5254123"/>
                    </a:xfrm>
                    <a:prstGeom prst="rect">
                      <a:avLst/>
                    </a:prstGeom>
                    <a:noFill/>
                    <a:ln>
                      <a:solidFill>
                        <a:schemeClr val="accent2">
                          <a:lumMod val="50000"/>
                        </a:schemeClr>
                      </a:solidFill>
                    </a:ln>
                  </pic:spPr>
                </pic:pic>
              </a:graphicData>
            </a:graphic>
          </wp:inline>
        </w:drawing>
      </w:r>
    </w:p>
    <w:p w14:paraId="51BD07D3" w14:textId="77777777" w:rsidR="000C473F" w:rsidRPr="00B52CC9" w:rsidRDefault="000C473F" w:rsidP="008574F1">
      <w:pPr>
        <w:spacing w:after="0" w:line="240" w:lineRule="auto"/>
        <w:jc w:val="both"/>
        <w:rPr>
          <w:rFonts w:ascii="Times New Roman" w:hAnsi="Times New Roman" w:cs="Times New Roman"/>
          <w:b/>
          <w:bCs/>
          <w:sz w:val="24"/>
          <w:szCs w:val="24"/>
        </w:rPr>
      </w:pPr>
    </w:p>
    <w:sectPr w:rsidR="000C473F" w:rsidRPr="00B52CC9" w:rsidSect="00CB6A55">
      <w:footerReference w:type="even" r:id="rId30"/>
      <w:footerReference w:type="default" r:id="rId31"/>
      <w:pgSz w:w="15840" w:h="12240" w:orient="landscape" w:code="1"/>
      <w:pgMar w:top="1701" w:right="1417" w:bottom="1701"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523B1" w14:textId="77777777" w:rsidR="001B00B3" w:rsidRDefault="001B00B3" w:rsidP="00F17F6A">
      <w:pPr>
        <w:spacing w:after="0" w:line="240" w:lineRule="auto"/>
      </w:pPr>
      <w:r>
        <w:separator/>
      </w:r>
    </w:p>
  </w:endnote>
  <w:endnote w:type="continuationSeparator" w:id="0">
    <w:p w14:paraId="1990801C" w14:textId="77777777" w:rsidR="001B00B3" w:rsidRDefault="001B00B3" w:rsidP="00F17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undoSans">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7711A" w14:textId="77777777" w:rsidR="000A7FAA" w:rsidRDefault="000A7FAA" w:rsidP="006A37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922D237" w14:textId="77777777" w:rsidR="000A7FAA" w:rsidRDefault="000A7FAA" w:rsidP="0065561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09DDD0" w14:textId="77777777" w:rsidR="000A7FAA" w:rsidRDefault="000A7FAA" w:rsidP="006A37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26DC7">
      <w:rPr>
        <w:rStyle w:val="PageNumber"/>
        <w:noProof/>
      </w:rPr>
      <w:t>41</w:t>
    </w:r>
    <w:r>
      <w:rPr>
        <w:rStyle w:val="PageNumber"/>
      </w:rPr>
      <w:fldChar w:fldCharType="end"/>
    </w:r>
  </w:p>
  <w:p w14:paraId="4382C69A" w14:textId="77777777" w:rsidR="000A7FAA" w:rsidRDefault="000A7FAA" w:rsidP="00655612">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202FF" w14:textId="77777777" w:rsidR="000A7FAA" w:rsidRDefault="000A7FAA" w:rsidP="00C82B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C5DAA7" w14:textId="77777777" w:rsidR="000A7FAA" w:rsidRDefault="000A7FAA" w:rsidP="00A306CF">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F0370" w14:textId="77777777" w:rsidR="000A7FAA" w:rsidRDefault="000A7FAA" w:rsidP="00C82B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49</w:t>
    </w:r>
    <w:r>
      <w:rPr>
        <w:rStyle w:val="PageNumber"/>
      </w:rPr>
      <w:fldChar w:fldCharType="end"/>
    </w:r>
  </w:p>
  <w:p w14:paraId="3A8BA701" w14:textId="3A86FD4C" w:rsidR="000A7FAA" w:rsidRDefault="000A7FAA" w:rsidP="00A306CF">
    <w:pPr>
      <w:pStyle w:val="Footer"/>
      <w:ind w:right="360"/>
      <w:jc w:val="right"/>
    </w:pPr>
  </w:p>
  <w:p w14:paraId="1A92B0F9" w14:textId="77777777" w:rsidR="000A7FAA" w:rsidRDefault="000A7F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1B9E85" w14:textId="77777777" w:rsidR="001B00B3" w:rsidRDefault="001B00B3" w:rsidP="00F17F6A">
      <w:pPr>
        <w:spacing w:after="0" w:line="240" w:lineRule="auto"/>
      </w:pPr>
      <w:r>
        <w:separator/>
      </w:r>
    </w:p>
  </w:footnote>
  <w:footnote w:type="continuationSeparator" w:id="0">
    <w:p w14:paraId="12A6451C" w14:textId="77777777" w:rsidR="001B00B3" w:rsidRDefault="001B00B3" w:rsidP="00F17F6A">
      <w:pPr>
        <w:spacing w:after="0" w:line="240" w:lineRule="auto"/>
      </w:pPr>
      <w:r>
        <w:continuationSeparator/>
      </w:r>
    </w:p>
  </w:footnote>
  <w:footnote w:id="1">
    <w:p w14:paraId="33F398FB" w14:textId="365C5FDB" w:rsidR="000A7FAA" w:rsidRPr="00A81E28" w:rsidRDefault="000A7FAA" w:rsidP="00902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Filc, G. y Scartascini, C.  Los Marcos de Mediano Plazo y el Proceso Presupuestario en América Latina.  Trimestre Fiscal.  Número 90.  Septiembre de 2009.</w:t>
      </w:r>
    </w:p>
  </w:footnote>
  <w:footnote w:id="2">
    <w:p w14:paraId="7A9B533A"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Amanda Moran Mérida.  Área Metropolitana de la Ciudad de Guatemala: A propósito del proyecto de ley de creación del Distrito Metropolitano.  Boletín 37, Junio, 1998. Centro de Estudios Regionales y Urbanos, Universidad de San Carlos de Guatemala.</w:t>
      </w:r>
    </w:p>
  </w:footnote>
  <w:footnote w:id="3">
    <w:p w14:paraId="33D4C791"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Panorama Económico y Social de Guatemala.  Un insumo para el análisis ambiental.  Ministerio de Ambiente y Recursos Naturales.  2011.  Pág. 36.</w:t>
      </w:r>
    </w:p>
  </w:footnote>
  <w:footnote w:id="4">
    <w:p w14:paraId="04F8C3F2" w14:textId="77777777" w:rsidR="000A7FAA" w:rsidRPr="00A81E28" w:rsidRDefault="000A7FAA" w:rsidP="0085758B">
      <w:pPr>
        <w:autoSpaceDE w:val="0"/>
        <w:autoSpaceDN w:val="0"/>
        <w:adjustRightInd w:val="0"/>
        <w:spacing w:after="0" w:line="240" w:lineRule="auto"/>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Conforme con el Plan de Ordenamiento Territorial para el Municipio de Guatemala.  Documento de soporte.  Municipalidad de Guatemala. 2006, para el año 2000, el área metropolitana de Guatemala tenía una extensión de entre 22,500 y 35,000 ha, dependiendo la forma de medición que se utilizara.  Y en los últimos doce años se ha producido más suelo urbano que en los 218 años de ocupación urbana desde la fundación de la ciudad, siguiendo el crecimiento espacial a un ritmo proyectado del 4.4% anual.</w:t>
      </w:r>
    </w:p>
  </w:footnote>
  <w:footnote w:id="5">
    <w:p w14:paraId="5681CC37"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Banco de Guatemala.  Guatemala en cifras.  2011.</w:t>
      </w:r>
    </w:p>
  </w:footnote>
  <w:footnote w:id="6">
    <w:p w14:paraId="4C8447C0" w14:textId="116CCF09"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hyperlink r:id="rId1" w:history="1">
        <w:r w:rsidRPr="00A81E28">
          <w:rPr>
            <w:rStyle w:val="Hyperlink"/>
            <w:rFonts w:ascii="Times New Roman" w:hAnsi="Times New Roman" w:cs="Times New Roman"/>
            <w:sz w:val="16"/>
            <w:szCs w:val="18"/>
          </w:rPr>
          <w:t>http://world-gazetteer.com/wg.php?x=&amp;men=gpro&amp;lng=en&amp;des=wg&amp;geo=-2&amp;srt=pnan&amp;col=adhoq&amp;msz=1500&amp;pt=a&amp;va=&amp;geo=-1048921</w:t>
        </w:r>
      </w:hyperlink>
      <w:r w:rsidRPr="00A81E28">
        <w:rPr>
          <w:rStyle w:val="Hyperlink"/>
          <w:rFonts w:ascii="Times New Roman" w:hAnsi="Times New Roman" w:cs="Times New Roman"/>
          <w:sz w:val="18"/>
          <w:szCs w:val="18"/>
        </w:rPr>
        <w:t>.</w:t>
      </w:r>
    </w:p>
  </w:footnote>
  <w:footnote w:id="7">
    <w:p w14:paraId="09C16E90"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Plan de Ordenamiento Territorial para el Municipio de Guatemala.  Documento de soporte.  Municipalidad de Guatemala. 2006.  Pág. 1.</w:t>
      </w:r>
    </w:p>
  </w:footnote>
  <w:footnote w:id="8">
    <w:p w14:paraId="5CBB4DAC"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Plan de Ordenamiento Territorial para el Municipio de Guatemala.  Documento de soporte.  Municipalidad de Guatemala. 2006.  Pág. 1.</w:t>
      </w:r>
    </w:p>
  </w:footnote>
  <w:footnote w:id="9">
    <w:p w14:paraId="189FA4A4"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Plan de Ordenamiento Territorial para el Municipio de Guatemala.  Documento de soporte.  Municipalidad de Guatemala. 2006.  Pág. 2.</w:t>
      </w:r>
    </w:p>
  </w:footnote>
  <w:footnote w:id="10">
    <w:p w14:paraId="1E1F70BD"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Plan de Ordenamiento Territorial para el Municipio de Guatemala.  Documento de soporte.  Municipalidad de Guatemala. 2006.  Pág. 3.</w:t>
      </w:r>
    </w:p>
  </w:footnote>
  <w:footnote w:id="11">
    <w:p w14:paraId="0ECBAB89"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Para estos cálculos, el PIB corresponde al monto anual de precios corrientes por el origen de la producción, que para el 2011 se situó en Q365,136.2.</w:t>
      </w:r>
    </w:p>
  </w:footnote>
  <w:footnote w:id="12">
    <w:p w14:paraId="368060D7"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Panorama Económico y Social de Guatemala.  Un insumo para el análisis ambiental.  Ministerio de Ambiente y Recursos Naturales.  2011.  Pág. 6.</w:t>
      </w:r>
    </w:p>
  </w:footnote>
  <w:footnote w:id="13">
    <w:p w14:paraId="760FE92D"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Banco de Guatemala, Acontecer Económico Reciente y Perspectivas.  Septiembre de 2012.  Pág. 10.</w:t>
      </w:r>
    </w:p>
  </w:footnote>
  <w:footnote w:id="14">
    <w:p w14:paraId="5B7151B7"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Banco de Guatemala, Desempeño Macroeconómico Reciente y Perspectivas. 26 de julio, 202. Pág. 17.</w:t>
      </w:r>
    </w:p>
  </w:footnote>
  <w:footnote w:id="15">
    <w:p w14:paraId="2558C8C0"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Banco de Guatemala, Acontecer Económico Reciente y Perspectivas.  Septiembre de 2012.  Pág. 10.</w:t>
      </w:r>
    </w:p>
  </w:footnote>
  <w:footnote w:id="16">
    <w:p w14:paraId="5A1A3D79"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Banco de Guatemala.  Guatemala en cifras.  2011.</w:t>
      </w:r>
    </w:p>
  </w:footnote>
  <w:footnote w:id="17">
    <w:p w14:paraId="3BB52EFD"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Banco de Guatemala.  Guatemala en cifras.  2011.</w:t>
      </w:r>
    </w:p>
  </w:footnote>
  <w:footnote w:id="18">
    <w:p w14:paraId="30D86632"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Panorama Económico y Social de Guatemala.  Un insumo para el análisis ambiental.  Ministerio de Ambiente y Recursos Naturales.  2011.  Págs. 6 y 15.</w:t>
      </w:r>
    </w:p>
  </w:footnote>
  <w:footnote w:id="19">
    <w:p w14:paraId="78D54E2C"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Banco de Guatemala, Desempeño Macroeconómico Reciente y Perspectivas. 26 de julio, 202. Pág. 21.</w:t>
      </w:r>
    </w:p>
  </w:footnote>
  <w:footnote w:id="20">
    <w:p w14:paraId="2A24EF2A"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Banco de Guatemala, Acontecer Económico Reciente y Perspectivas.  Septiembre de 2012.  Pág. 16.</w:t>
      </w:r>
    </w:p>
  </w:footnote>
  <w:footnote w:id="21">
    <w:p w14:paraId="65F7D76D"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Banco de Guatemala.  Guatemala en cifras.  2011.</w:t>
      </w:r>
    </w:p>
  </w:footnote>
  <w:footnote w:id="22">
    <w:p w14:paraId="70106123"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Banco de Guatemala, Acontecer Económico Reciente y Perspectivas.  Septiembre de 2012.  Pág. 19.</w:t>
      </w:r>
    </w:p>
  </w:footnote>
  <w:footnote w:id="23">
    <w:p w14:paraId="3F6B752D"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Panorama Económico y Social de Guatemala.  Un insumo para el análisis ambiental.  Ministerio de Ambiente y Recursos Naturales.  2011.  Pág. 32.</w:t>
      </w:r>
    </w:p>
  </w:footnote>
  <w:footnote w:id="24">
    <w:p w14:paraId="187B03C3"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El Índice de Confianza de la Actividad Económica del Panel de Analistas Privados tiene el propósito de medir la percepción que sobre la situación económica actual y el ambiente para los negocios tienen los analistas económicos entrevistados, el cual se compara con el índice prevaleciente en el pasado reciente. Asimismo, persigue obtener una apreciación sobre la evolución económica del país en el futuro próximo.</w:t>
      </w:r>
    </w:p>
  </w:footnote>
  <w:footnote w:id="25">
    <w:p w14:paraId="424BFD19"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Banco de Guatemala.  Encuesta de Expectativas Económicas al Panel de Analistas Privados (EEE). Septiembre de 2012.</w:t>
      </w:r>
    </w:p>
  </w:footnote>
  <w:footnote w:id="26">
    <w:p w14:paraId="783976D4"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Banco de Guatemala.  Guatemala en cifras.  2011.</w:t>
      </w:r>
    </w:p>
  </w:footnote>
  <w:footnote w:id="27">
    <w:p w14:paraId="4F909F8C"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Banco de Guatemala.  Guatemala en cifras.  2011.</w:t>
      </w:r>
    </w:p>
  </w:footnote>
  <w:footnote w:id="28">
    <w:p w14:paraId="7A459380"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Banco de Guatemala.  Informe del Presidente del Banco de Guatemala ante el Honorable Congreso de la República.  Julio de 202.  Págs. 42 y ss.</w:t>
      </w:r>
    </w:p>
  </w:footnote>
  <w:footnote w:id="29">
    <w:p w14:paraId="5A3886F1"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w:t>
      </w:r>
      <w:r w:rsidRPr="00A81E28">
        <w:rPr>
          <w:rFonts w:ascii="Times New Roman" w:hAnsi="Times New Roman" w:cs="Times New Roman"/>
          <w:bCs/>
          <w:sz w:val="18"/>
          <w:szCs w:val="18"/>
        </w:rPr>
        <w:t>Radicada el viernes 3 de febrero 2012 con el número 4447.</w:t>
      </w:r>
    </w:p>
  </w:footnote>
  <w:footnote w:id="30">
    <w:p w14:paraId="459DA5B1"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Análisis de la propuesta de pacto fiscal 2012 - Estudio realizado por el economista Rodrigo Alfonso Ponce Chavarría en base a la iniciativa de ley presentada el viernes 3 de febrero 2012 por el Presidente de la Republica, Otto Pérez Molina, y el Ministro de Finanzas Públicas, Pavel Centeno.</w:t>
      </w:r>
    </w:p>
  </w:footnote>
  <w:footnote w:id="31">
    <w:p w14:paraId="0DC4A40E" w14:textId="02233FD3"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w:t>
      </w:r>
      <w:r w:rsidRPr="00A81E28">
        <w:rPr>
          <w:rFonts w:ascii="Times New Roman" w:hAnsi="Times New Roman" w:cs="Times New Roman"/>
          <w:i/>
          <w:iCs/>
          <w:sz w:val="18"/>
          <w:szCs w:val="18"/>
        </w:rPr>
        <w:t>Dictamen de aprobación del presupuesto, vigencia fiscal 2013</w:t>
      </w:r>
      <w:r w:rsidRPr="00A81E28">
        <w:rPr>
          <w:rFonts w:ascii="Times New Roman" w:hAnsi="Times New Roman" w:cs="Times New Roman"/>
          <w:sz w:val="18"/>
          <w:szCs w:val="18"/>
        </w:rPr>
        <w:t>, pág. 2.  Comisión de Finanzas Públicas y Moneda, Congreso de la República, octubre 23 de 2012.</w:t>
      </w:r>
    </w:p>
  </w:footnote>
  <w:footnote w:id="32">
    <w:p w14:paraId="7F070217" w14:textId="70EA585D"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Ibíd., pág. 3.</w:t>
      </w:r>
    </w:p>
  </w:footnote>
  <w:footnote w:id="33">
    <w:p w14:paraId="746BE3F3"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Calificación de Riesgo dela Municipalidad de Guatemala.  Emitida por Pacific Credit Rating (PCR).  Junio 14 de 2012.  Pág. 8.</w:t>
      </w:r>
    </w:p>
  </w:footnote>
  <w:footnote w:id="34">
    <w:p w14:paraId="61319BFA" w14:textId="77777777" w:rsidR="000A7FAA" w:rsidRPr="00A81E28" w:rsidRDefault="000A7FAA" w:rsidP="0085758B">
      <w:pPr>
        <w:autoSpaceDE w:val="0"/>
        <w:autoSpaceDN w:val="0"/>
        <w:adjustRightInd w:val="0"/>
        <w:spacing w:after="0" w:line="240" w:lineRule="auto"/>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w:t>
      </w:r>
      <w:r w:rsidRPr="00A81E28">
        <w:rPr>
          <w:rFonts w:ascii="Times New Roman" w:hAnsi="Times New Roman" w:cs="Times New Roman"/>
          <w:bCs/>
          <w:sz w:val="18"/>
          <w:szCs w:val="18"/>
        </w:rPr>
        <w:t>Financiamiento Municipal y Sistemas Tributarios Municipales en Bolivia, Paraguay y Guatemala.  Ernesto Rezk.  2000.  Pág. 28.</w:t>
      </w:r>
    </w:p>
  </w:footnote>
  <w:footnote w:id="35">
    <w:p w14:paraId="34A7A6A6"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Contenido en los Decretos 12-2002 y 22-2010.</w:t>
      </w:r>
    </w:p>
  </w:footnote>
  <w:footnote w:id="36">
    <w:p w14:paraId="1EB0F0FE"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Este impuesto se encuentra regulado en la ley de Impuesto Único Sobre Inmuebles (Decreto 15-1998), que establece un impuesto único anual, sobre el valor de los bienes inmuebles situados en el territorio de la República de Guatemala.</w:t>
      </w:r>
    </w:p>
  </w:footnote>
  <w:footnote w:id="37">
    <w:p w14:paraId="051A0D14" w14:textId="77777777" w:rsidR="000A7FAA" w:rsidRPr="00A81E28" w:rsidRDefault="000A7FAA" w:rsidP="0085758B">
      <w:pPr>
        <w:spacing w:after="0" w:line="240" w:lineRule="auto"/>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Consultoría para </w:t>
      </w:r>
      <w:bookmarkStart w:id="37" w:name="_Toc305408551"/>
      <w:r w:rsidRPr="00A81E28">
        <w:rPr>
          <w:rFonts w:ascii="Times New Roman" w:hAnsi="Times New Roman" w:cs="Times New Roman"/>
          <w:sz w:val="18"/>
          <w:szCs w:val="18"/>
        </w:rPr>
        <w:t>evaluar el marco legal de monitoreo y seguimiento al desempeño fiscal municipal</w:t>
      </w:r>
      <w:bookmarkEnd w:id="37"/>
      <w:r w:rsidRPr="00A81E28">
        <w:rPr>
          <w:rFonts w:ascii="Times New Roman" w:hAnsi="Times New Roman" w:cs="Times New Roman"/>
          <w:sz w:val="18"/>
          <w:szCs w:val="18"/>
        </w:rPr>
        <w:t xml:space="preserve"> </w:t>
      </w:r>
      <w:bookmarkStart w:id="38" w:name="_Toc305408552"/>
      <w:r w:rsidRPr="00A81E28">
        <w:rPr>
          <w:rFonts w:ascii="Times New Roman" w:hAnsi="Times New Roman" w:cs="Times New Roman"/>
          <w:sz w:val="18"/>
          <w:szCs w:val="18"/>
        </w:rPr>
        <w:t xml:space="preserve">en la Republica de </w:t>
      </w:r>
      <w:bookmarkEnd w:id="38"/>
      <w:r w:rsidRPr="00A81E28">
        <w:rPr>
          <w:rFonts w:ascii="Times New Roman" w:hAnsi="Times New Roman" w:cs="Times New Roman"/>
          <w:sz w:val="18"/>
          <w:szCs w:val="18"/>
        </w:rPr>
        <w:t>Guatemala.  Informe final.  Luis F. Linares López.  Guatemala, septiembre de 2011.</w:t>
      </w:r>
    </w:p>
  </w:footnote>
  <w:footnote w:id="38">
    <w:p w14:paraId="537472B5" w14:textId="4EE1FE7C" w:rsidR="000A7FAA" w:rsidRPr="00A81E28" w:rsidRDefault="000A7FAA" w:rsidP="0085758B">
      <w:pPr>
        <w:pStyle w:val="Defaul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Guatemala: fortalecimiento de las finanzas municipales para el combate a la pobreza.  Seminario Regional "Financiamiento municipal superación de la pobreza urbana".  CEPAL, Santiago de Chile, 5 y 6 de mayo de 2005.  Juan Carlos Gómez Sabaini.  Págs. 30 a 34.</w:t>
      </w:r>
    </w:p>
  </w:footnote>
  <w:footnote w:id="39">
    <w:p w14:paraId="35617DAB" w14:textId="67F8B040" w:rsidR="000A7FAA" w:rsidRPr="00A81E28" w:rsidRDefault="000A7FAA" w:rsidP="0085758B">
      <w:pPr>
        <w:pStyle w:val="Defaul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Guatemala: fortalecimiento de las finanzas municipales para el combate a la pobreza.  Seminario Regional "Financiamiento municipal superación de la pobreza urbana".  CEPAL, Santiago de Chile, 5 y 6 de mayo de 2005.  Juan Carlos Gómez Sabaini.  Págs. 30 a 34.</w:t>
      </w:r>
    </w:p>
  </w:footnote>
  <w:footnote w:id="40">
    <w:p w14:paraId="157CE86F" w14:textId="77777777" w:rsidR="000A7FAA" w:rsidRPr="00A81E28" w:rsidRDefault="000A7FAA" w:rsidP="00A11BD6">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Plan de Ordenamiento Territorial para el Municipio de Guatemala.  Documento de soporte.  Municipalidad de Guatemala. 2006.  Pág. 1.</w:t>
      </w:r>
    </w:p>
  </w:footnote>
  <w:footnote w:id="41">
    <w:p w14:paraId="781EE2E2" w14:textId="77777777" w:rsidR="000A7FAA" w:rsidRPr="00A81E28" w:rsidRDefault="000A7FAA" w:rsidP="0085758B">
      <w:pPr>
        <w:pStyle w:val="Defaul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Guatemala: fortalecimiento de las finanzas municipales para el combate a la pobreza.   Seminario Regional "Financiamiento municipal superación de la pobreza urbana".  CEPAL, Santiago de Chile, 5 y 6 de mayo de 2005.  Juan Carlos Gómez Sabaini.  Págs. 30 a 34.</w:t>
      </w:r>
    </w:p>
  </w:footnote>
  <w:footnote w:id="42">
    <w:p w14:paraId="65E8C3E7"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w:t>
      </w:r>
      <w:r w:rsidRPr="00A81E28">
        <w:rPr>
          <w:rFonts w:ascii="Times New Roman" w:hAnsi="Times New Roman" w:cs="Times New Roman"/>
          <w:i/>
          <w:sz w:val="18"/>
          <w:szCs w:val="18"/>
        </w:rPr>
        <w:t>Manual: El Presupuesto Municipal</w:t>
      </w:r>
      <w:r w:rsidRPr="00A81E28">
        <w:rPr>
          <w:rFonts w:ascii="Times New Roman" w:hAnsi="Times New Roman" w:cs="Times New Roman"/>
          <w:sz w:val="18"/>
          <w:szCs w:val="18"/>
        </w:rPr>
        <w:t>.  Fundación Centroamericana de Desarrollo, Fundación Soros Guatemala.  Guatemala.  Julio 2000.</w:t>
      </w:r>
    </w:p>
  </w:footnote>
  <w:footnote w:id="43">
    <w:p w14:paraId="142D4E3D" w14:textId="1AB26C5E"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El alumbrado público es un servicio público no domiciliario que se presta con el fin de iluminar lugares de libre circulación, que incluyen las vías públicas, los parques y demás espacios que se encuentren a cargo del municipio, con el fin de permitir el desarrollo de actividades nocturnas dentro del perímetro urbano y rural.  A su turno, el sistema de alumbrado público comprende el conjunto de luminarias, redes, transformadores de uso exclusivo y en general, todos los equipos necesarios para la prestación del servicio de alumbrado público, que no formen parte del sistema de distribución (</w:t>
      </w:r>
      <w:r w:rsidRPr="00A81E28">
        <w:rPr>
          <w:rFonts w:ascii="Times New Roman" w:hAnsi="Times New Roman" w:cs="Times New Roman"/>
          <w:i/>
          <w:iCs/>
          <w:sz w:val="18"/>
          <w:szCs w:val="18"/>
        </w:rPr>
        <w:t>Alumbrado Público Exterior</w:t>
      </w:r>
      <w:r w:rsidRPr="00A81E28">
        <w:rPr>
          <w:rFonts w:ascii="Times New Roman" w:hAnsi="Times New Roman" w:cs="Times New Roman"/>
          <w:sz w:val="18"/>
          <w:szCs w:val="18"/>
        </w:rPr>
        <w:t>, Universidad Nacional de Colombia, Ministerio de Minas y Energía, Unidad de Planeación Minero Energética, 2007.  Págs. 4 y 7).</w:t>
      </w:r>
    </w:p>
  </w:footnote>
  <w:footnote w:id="44">
    <w:p w14:paraId="7D438149" w14:textId="77777777" w:rsidR="000A7FAA" w:rsidRPr="00A81E28" w:rsidRDefault="000A7FAA" w:rsidP="0085758B">
      <w:pPr>
        <w:pStyle w:val="subpar"/>
        <w:numPr>
          <w:ilvl w:val="0"/>
          <w:numId w:val="0"/>
        </w:numPr>
        <w:spacing w:before="0" w:after="0"/>
        <w:rPr>
          <w:sz w:val="18"/>
          <w:szCs w:val="18"/>
        </w:rPr>
      </w:pPr>
      <w:r w:rsidRPr="00A81E28">
        <w:rPr>
          <w:rStyle w:val="FootnoteReference"/>
          <w:sz w:val="18"/>
          <w:szCs w:val="18"/>
        </w:rPr>
        <w:footnoteRef/>
      </w:r>
      <w:r w:rsidRPr="00A81E28">
        <w:rPr>
          <w:sz w:val="18"/>
          <w:szCs w:val="18"/>
        </w:rPr>
        <w:t xml:space="preserve"> Conforme con el artículo 257 de la Constitución Política, corresponde </w:t>
      </w:r>
      <w:bookmarkStart w:id="45" w:name="_Toc305408580"/>
      <w:r w:rsidRPr="00A81E28">
        <w:rPr>
          <w:sz w:val="18"/>
          <w:szCs w:val="18"/>
        </w:rPr>
        <w:t>a un porcentaje anual del 10% del Presupuesto General de Ingresos Ordinarios del Estado.</w:t>
      </w:r>
      <w:bookmarkEnd w:id="45"/>
    </w:p>
  </w:footnote>
  <w:footnote w:id="45">
    <w:p w14:paraId="21C3D119"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Para estos efectos, se entiende por ingresos propios por cápita de cada municipio, el resultado derivado de la sumatoria de los ingresos provenientes por concepto de arbitrios, tasas administrativas, servicios, rentas, empresas municipales sin contabilizar transferencias o aportes del Estado específicos, contribuciones por mejoras, frutos, productos y los impuestos recaudados por efecto de competencias atribuidas por delegación, dividida entre la población total del municipio.</w:t>
      </w:r>
    </w:p>
  </w:footnote>
  <w:footnote w:id="46">
    <w:p w14:paraId="0B28DEB6" w14:textId="77777777" w:rsidR="000A7FAA" w:rsidRPr="00A81E28" w:rsidRDefault="000A7FAA" w:rsidP="0085758B">
      <w:pPr>
        <w:pStyle w:val="Defaul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Guatemala: fortalecimiento de las finanzas municipales para el combate a la pobreza.   Seminario Regional "Financiamiento municipal superación de la pobreza urbana".  CEPAL, Santiago de Chile, 5 y 6 de mayo de 2005.  Juan Carlos Gómez Sabaini.  Págs. 30 a 34.</w:t>
      </w:r>
    </w:p>
  </w:footnote>
  <w:footnote w:id="47">
    <w:p w14:paraId="0573D6AC"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Emitida por Pacific Credit Rating (PCR) en agosto de 2012.  Pág. 8.</w:t>
      </w:r>
    </w:p>
  </w:footnote>
  <w:footnote w:id="48">
    <w:p w14:paraId="7D0AF07A"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El pasivo contingente corresponde a obligaciones pecuniarias que dependen de la ocurrencia de eventos futuros e inciertos; los pasivos contingentes se pueden dividir entre explícitos e implícitos.  Son explícitos cuando hacen referencia, por ejemplo, a garantías directas otorgadas por los gobiernos, e implícitos, cuando se trata de las obligaciones que se generan en la función general del gobierno como ente responsable del bienestar general del sistema.</w:t>
      </w:r>
    </w:p>
  </w:footnote>
  <w:footnote w:id="49">
    <w:p w14:paraId="64BAAE00"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Los pasivos exigibles son aquellos compromisos debidamente perfeccionados, que fenecen presupuestalmente por no haber sido cancelados en la vigencia en que se constituyeron como reserva presupuestal, por tanto deben pagarse con cargo al presupuesto de la vigencia en que se hagan exigibles.</w:t>
      </w:r>
    </w:p>
  </w:footnote>
  <w:footnote w:id="50">
    <w:p w14:paraId="3BBAF480" w14:textId="4B62417A" w:rsidR="000A7FAA" w:rsidRPr="008B144F" w:rsidRDefault="000A7FAA" w:rsidP="008B144F">
      <w:pPr>
        <w:pStyle w:val="FootnoteText"/>
        <w:jc w:val="both"/>
        <w:rPr>
          <w:rFonts w:ascii="Times New Roman" w:hAnsi="Times New Roman" w:cs="Times New Roman"/>
          <w:sz w:val="18"/>
          <w:szCs w:val="18"/>
          <w:lang w:val="es-ES_tradnl"/>
        </w:rPr>
      </w:pPr>
      <w:r w:rsidRPr="00A81E28">
        <w:rPr>
          <w:rStyle w:val="FootnoteReference"/>
          <w:rFonts w:ascii="Times New Roman" w:hAnsi="Times New Roman" w:cs="Times New Roman"/>
        </w:rPr>
        <w:footnoteRef/>
      </w:r>
      <w:r w:rsidRPr="00A81E28">
        <w:rPr>
          <w:rFonts w:ascii="Times New Roman" w:hAnsi="Times New Roman" w:cs="Times New Roman"/>
        </w:rPr>
        <w:t xml:space="preserve"> </w:t>
      </w:r>
      <w:r w:rsidRPr="008B144F">
        <w:rPr>
          <w:rFonts w:ascii="Times New Roman" w:hAnsi="Times New Roman" w:cs="Times New Roman"/>
          <w:sz w:val="18"/>
          <w:szCs w:val="18"/>
        </w:rPr>
        <w:t>Estos criterios de valoración incluyen la medición del logro de objetivos concretos como el cumplimiento de indicadores de disciplina fiscal; la generación de ahorro corriente y superávit; el incremento del recaudo de ingresos; la disminución y racionalización de gastos; la mejora del perfil de la deuda; y el fortalecimiento de la eficiencia en áreas de gestión de recursos financieros, administrativos y de personal.</w:t>
      </w:r>
    </w:p>
  </w:footnote>
  <w:footnote w:id="51">
    <w:p w14:paraId="18274E4E"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Aportada vía electrónica por funcionarios de la Municipalidad de Guatemala.</w:t>
      </w:r>
    </w:p>
  </w:footnote>
  <w:footnote w:id="52">
    <w:p w14:paraId="6AAC2EF3" w14:textId="66B577CA" w:rsidR="000A7FAA" w:rsidRPr="00A81E28" w:rsidRDefault="000A7FAA" w:rsidP="0085758B">
      <w:pPr>
        <w:spacing w:after="0" w:line="240" w:lineRule="auto"/>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El nivel de detalle de los análisis depende en su totalidad de las fuentes de información aportadas por la Municipalidad de Guatemala y la calidad de los datos que contienen.  La información relativa a la deuda pública: plazos, gracia, tasas, y destino, no fue aportada en detalle, por tanto las proyecciones se harán bajo ciertos supuestos.  Tampoco se tiene información sobre los pasivos de la entidad y su naturaleza.  La información de los fideicomisos también es insuficiente.</w:t>
      </w:r>
    </w:p>
  </w:footnote>
  <w:footnote w:id="53">
    <w:p w14:paraId="36F3BF82" w14:textId="77777777" w:rsidR="000A7FAA" w:rsidRPr="00A81E28" w:rsidRDefault="000A7FAA" w:rsidP="0085758B">
      <w:pPr>
        <w:pStyle w:val="FootnoteText"/>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Por concepto de alumbrado público, energía eléctrica empresas, por transporte público. </w:t>
      </w:r>
    </w:p>
  </w:footnote>
  <w:footnote w:id="54">
    <w:p w14:paraId="40E082AC" w14:textId="18DEF810" w:rsidR="000A7FAA" w:rsidRPr="00FE1F9F" w:rsidRDefault="000A7FAA">
      <w:pPr>
        <w:pStyle w:val="FootnoteText"/>
        <w:rPr>
          <w:rFonts w:ascii="Times New Roman" w:hAnsi="Times New Roman" w:cs="Times New Roman"/>
          <w:sz w:val="18"/>
          <w:szCs w:val="18"/>
          <w:lang w:val="es-ES_tradnl"/>
        </w:rPr>
      </w:pPr>
      <w:r>
        <w:rPr>
          <w:rStyle w:val="FootnoteReference"/>
        </w:rPr>
        <w:footnoteRef/>
      </w:r>
      <w:r>
        <w:t xml:space="preserve"> </w:t>
      </w:r>
      <w:r w:rsidRPr="00FE1F9F">
        <w:rPr>
          <w:rFonts w:ascii="Times New Roman" w:hAnsi="Times New Roman" w:cs="Times New Roman"/>
          <w:sz w:val="18"/>
          <w:szCs w:val="18"/>
          <w:lang w:val="es-ES_tradnl"/>
        </w:rPr>
        <w:t>Ver Anexo 3.</w:t>
      </w:r>
    </w:p>
  </w:footnote>
  <w:footnote w:id="55">
    <w:p w14:paraId="33322C13" w14:textId="77777777" w:rsidR="000A7FAA" w:rsidRPr="00B52CC9" w:rsidRDefault="000A7FAA" w:rsidP="0085758B">
      <w:pPr>
        <w:pStyle w:val="FootnoteText"/>
        <w:jc w:val="both"/>
        <w:rPr>
          <w:rFonts w:ascii="Times New Roman" w:hAnsi="Times New Roman" w:cs="Times New Roman"/>
          <w:sz w:val="18"/>
          <w:szCs w:val="18"/>
        </w:rPr>
      </w:pPr>
      <w:r w:rsidRPr="00B52CC9">
        <w:rPr>
          <w:rStyle w:val="FootnoteReference"/>
          <w:rFonts w:ascii="Times New Roman" w:hAnsi="Times New Roman" w:cs="Times New Roman"/>
          <w:sz w:val="18"/>
          <w:szCs w:val="18"/>
        </w:rPr>
        <w:footnoteRef/>
      </w:r>
      <w:r w:rsidRPr="00B52CC9">
        <w:rPr>
          <w:rFonts w:ascii="Times New Roman" w:hAnsi="Times New Roman" w:cs="Times New Roman"/>
          <w:sz w:val="18"/>
          <w:szCs w:val="18"/>
        </w:rPr>
        <w:t xml:space="preserve"> Este ítem compromete el 35% (Q126 millones) de dicho grupo de gasto.</w:t>
      </w:r>
    </w:p>
  </w:footnote>
  <w:footnote w:id="56">
    <w:p w14:paraId="2B555B6F" w14:textId="77777777" w:rsidR="000A7FAA" w:rsidRPr="00FB59AC" w:rsidRDefault="000A7FAA" w:rsidP="0085758B">
      <w:pPr>
        <w:pStyle w:val="FootnoteText"/>
        <w:jc w:val="both"/>
        <w:rPr>
          <w:rFonts w:ascii="Times New Roman" w:hAnsi="Times New Roman" w:cs="Times New Roman"/>
          <w:sz w:val="18"/>
          <w:szCs w:val="18"/>
        </w:rPr>
      </w:pPr>
      <w:r w:rsidRPr="00FB59AC">
        <w:rPr>
          <w:rStyle w:val="FootnoteReference"/>
          <w:rFonts w:ascii="Times New Roman" w:hAnsi="Times New Roman" w:cs="Times New Roman"/>
          <w:sz w:val="18"/>
          <w:szCs w:val="18"/>
        </w:rPr>
        <w:footnoteRef/>
      </w:r>
      <w:r w:rsidRPr="00FB59AC">
        <w:rPr>
          <w:rFonts w:ascii="Times New Roman" w:hAnsi="Times New Roman" w:cs="Times New Roman"/>
          <w:sz w:val="18"/>
          <w:szCs w:val="18"/>
        </w:rPr>
        <w:t xml:space="preserve"> Aunque el cálculo expuesto puede tener un sesgo por la remuneración diferenciada en contratos permanentes y temporales, el documento de calificación de deuda elaborado por PCR muestra una relación similar (de 4 a 1) al contemplar los contratos en los renglones 022 y 031, renglones que no aplican al plan de jubilaciones, contra los contratos en los renglones 011 y 029, renglones que sí generan derechos pensionales.</w:t>
      </w:r>
    </w:p>
  </w:footnote>
  <w:footnote w:id="57">
    <w:p w14:paraId="26182D61" w14:textId="77777777" w:rsidR="000A7FAA" w:rsidRPr="000A2D2E" w:rsidRDefault="000A7FAA" w:rsidP="0085758B">
      <w:pPr>
        <w:pStyle w:val="FootnoteText"/>
        <w:jc w:val="both"/>
        <w:rPr>
          <w:rFonts w:ascii="Times New Roman" w:hAnsi="Times New Roman" w:cs="Times New Roman"/>
          <w:sz w:val="18"/>
          <w:szCs w:val="18"/>
        </w:rPr>
      </w:pPr>
      <w:r w:rsidRPr="000A2D2E">
        <w:rPr>
          <w:rStyle w:val="FootnoteReference"/>
          <w:rFonts w:ascii="Times New Roman" w:hAnsi="Times New Roman" w:cs="Times New Roman"/>
          <w:sz w:val="18"/>
          <w:szCs w:val="18"/>
        </w:rPr>
        <w:footnoteRef/>
      </w:r>
      <w:r w:rsidRPr="000A2D2E">
        <w:rPr>
          <w:rFonts w:ascii="Times New Roman" w:hAnsi="Times New Roman" w:cs="Times New Roman"/>
          <w:sz w:val="18"/>
          <w:szCs w:val="18"/>
        </w:rPr>
        <w:t xml:space="preserve"> Este es el primer año que aparece en el Balance General, pero se provisiona con más de Q75 millones, lo que hace pensar que esta deuda se viene generando desde hace más de 20 años.</w:t>
      </w:r>
    </w:p>
  </w:footnote>
  <w:footnote w:id="58">
    <w:p w14:paraId="532F9775" w14:textId="77777777" w:rsidR="000A7FAA" w:rsidRPr="00B52CC9" w:rsidRDefault="000A7FAA" w:rsidP="0085758B">
      <w:pPr>
        <w:pStyle w:val="FootnoteText"/>
        <w:jc w:val="both"/>
        <w:rPr>
          <w:rFonts w:ascii="Times New Roman" w:hAnsi="Times New Roman" w:cs="Times New Roman"/>
          <w:sz w:val="18"/>
          <w:szCs w:val="18"/>
        </w:rPr>
      </w:pPr>
      <w:r w:rsidRPr="00B52CC9">
        <w:rPr>
          <w:rStyle w:val="FootnoteReference"/>
          <w:rFonts w:ascii="Times New Roman" w:hAnsi="Times New Roman" w:cs="Times New Roman"/>
          <w:sz w:val="18"/>
          <w:szCs w:val="18"/>
        </w:rPr>
        <w:footnoteRef/>
      </w:r>
      <w:r w:rsidRPr="00B52CC9">
        <w:rPr>
          <w:rFonts w:ascii="Times New Roman" w:hAnsi="Times New Roman" w:cs="Times New Roman"/>
          <w:sz w:val="18"/>
          <w:szCs w:val="18"/>
        </w:rPr>
        <w:t xml:space="preserve"> Ingreso total menos gasto total, incluyendo desembolsos del crédito y amortizaciones de la deuda.</w:t>
      </w:r>
    </w:p>
  </w:footnote>
  <w:footnote w:id="59">
    <w:p w14:paraId="63D2394C" w14:textId="77777777" w:rsidR="000A7FAA" w:rsidRPr="00B52CC9" w:rsidRDefault="000A7FAA" w:rsidP="0085758B">
      <w:pPr>
        <w:pStyle w:val="FootnoteText"/>
        <w:jc w:val="both"/>
        <w:rPr>
          <w:rFonts w:ascii="Times New Roman" w:hAnsi="Times New Roman" w:cs="Times New Roman"/>
          <w:sz w:val="18"/>
          <w:szCs w:val="18"/>
        </w:rPr>
      </w:pPr>
      <w:r w:rsidRPr="00B52CC9">
        <w:rPr>
          <w:rStyle w:val="FootnoteReference"/>
          <w:rFonts w:ascii="Times New Roman" w:hAnsi="Times New Roman" w:cs="Times New Roman"/>
          <w:sz w:val="18"/>
          <w:szCs w:val="18"/>
        </w:rPr>
        <w:footnoteRef/>
      </w:r>
      <w:r w:rsidRPr="00B52CC9">
        <w:rPr>
          <w:rFonts w:ascii="Times New Roman" w:hAnsi="Times New Roman" w:cs="Times New Roman"/>
          <w:sz w:val="18"/>
          <w:szCs w:val="18"/>
        </w:rPr>
        <w:t xml:space="preserve"> Al no estar incluidas en el presupuesto objeto de estudio, se deduce que corresponde a déficit o compromisos desfinanciados.</w:t>
      </w:r>
    </w:p>
  </w:footnote>
  <w:footnote w:id="60">
    <w:p w14:paraId="26FE58E0" w14:textId="77777777" w:rsidR="000A7FAA" w:rsidRPr="00B52CC9" w:rsidRDefault="000A7FAA" w:rsidP="0085758B">
      <w:pPr>
        <w:pStyle w:val="FootnoteText"/>
        <w:jc w:val="both"/>
        <w:rPr>
          <w:rFonts w:ascii="Times New Roman" w:hAnsi="Times New Roman" w:cs="Times New Roman"/>
          <w:sz w:val="18"/>
          <w:szCs w:val="18"/>
        </w:rPr>
      </w:pPr>
      <w:r w:rsidRPr="00B52CC9">
        <w:rPr>
          <w:rFonts w:ascii="Times New Roman" w:hAnsi="Times New Roman" w:cs="Times New Roman"/>
          <w:sz w:val="18"/>
          <w:szCs w:val="18"/>
        </w:rPr>
        <w:footnoteRef/>
      </w:r>
      <w:r w:rsidRPr="00B52CC9">
        <w:rPr>
          <w:rFonts w:ascii="Times New Roman" w:hAnsi="Times New Roman" w:cs="Times New Roman"/>
          <w:sz w:val="18"/>
          <w:szCs w:val="18"/>
        </w:rPr>
        <w:t xml:space="preserve"> Según lo indica el documento de cierre presupuestal.</w:t>
      </w:r>
    </w:p>
  </w:footnote>
  <w:footnote w:id="61">
    <w:p w14:paraId="06A44360" w14:textId="07769041" w:rsidR="000A7FAA" w:rsidRPr="00B52CC9" w:rsidRDefault="000A7FAA" w:rsidP="0085758B">
      <w:pPr>
        <w:pStyle w:val="FootnoteText"/>
        <w:jc w:val="both"/>
        <w:rPr>
          <w:rFonts w:ascii="Times New Roman" w:hAnsi="Times New Roman" w:cs="Times New Roman"/>
          <w:sz w:val="18"/>
          <w:szCs w:val="18"/>
        </w:rPr>
      </w:pPr>
      <w:r w:rsidRPr="00B52CC9">
        <w:rPr>
          <w:rStyle w:val="FootnoteReference"/>
          <w:rFonts w:ascii="Times New Roman" w:hAnsi="Times New Roman" w:cs="Times New Roman"/>
          <w:sz w:val="18"/>
          <w:szCs w:val="18"/>
        </w:rPr>
        <w:footnoteRef/>
      </w:r>
      <w:r w:rsidRPr="00B52CC9">
        <w:rPr>
          <w:rFonts w:ascii="Times New Roman" w:hAnsi="Times New Roman" w:cs="Times New Roman"/>
          <w:sz w:val="18"/>
          <w:szCs w:val="18"/>
        </w:rPr>
        <w:t xml:space="preserve"> Años sobre los que se tiene información disponible para elaborar este documento.</w:t>
      </w:r>
    </w:p>
  </w:footnote>
  <w:footnote w:id="62">
    <w:p w14:paraId="66B95D9D" w14:textId="29550BA4" w:rsidR="000A7FAA" w:rsidRPr="00B52CC9" w:rsidRDefault="000A7FAA" w:rsidP="0085758B">
      <w:pPr>
        <w:pStyle w:val="FootnoteText"/>
        <w:jc w:val="both"/>
        <w:rPr>
          <w:rFonts w:ascii="Times New Roman" w:hAnsi="Times New Roman" w:cs="Times New Roman"/>
          <w:sz w:val="18"/>
          <w:szCs w:val="18"/>
        </w:rPr>
      </w:pPr>
      <w:r w:rsidRPr="00B52CC9">
        <w:rPr>
          <w:rStyle w:val="FootnoteReference"/>
          <w:rFonts w:ascii="Times New Roman" w:hAnsi="Times New Roman" w:cs="Times New Roman"/>
          <w:sz w:val="18"/>
          <w:szCs w:val="18"/>
        </w:rPr>
        <w:footnoteRef/>
      </w:r>
      <w:r w:rsidRPr="00B52CC9">
        <w:rPr>
          <w:rFonts w:ascii="Times New Roman" w:hAnsi="Times New Roman" w:cs="Times New Roman"/>
          <w:sz w:val="18"/>
          <w:szCs w:val="18"/>
        </w:rPr>
        <w:t xml:space="preserve"> Aun cuando conforme la información disponible no se puede establecer la magnitud de las rentas comprometidas, se ven afectadas: el producto del Boleto de Ornato, intereses generados, entre otros aportes municipales no detallados.</w:t>
      </w:r>
    </w:p>
  </w:footnote>
  <w:footnote w:id="63">
    <w:p w14:paraId="70494286" w14:textId="77777777" w:rsidR="000A7FAA" w:rsidRPr="00B52CC9" w:rsidRDefault="000A7FAA" w:rsidP="0085758B">
      <w:pPr>
        <w:pStyle w:val="FootnoteText"/>
        <w:jc w:val="both"/>
        <w:rPr>
          <w:rFonts w:ascii="Times New Roman" w:hAnsi="Times New Roman" w:cs="Times New Roman"/>
          <w:sz w:val="18"/>
          <w:szCs w:val="18"/>
        </w:rPr>
      </w:pPr>
      <w:r w:rsidRPr="00B52CC9">
        <w:rPr>
          <w:rStyle w:val="FootnoteReference"/>
          <w:rFonts w:ascii="Times New Roman" w:hAnsi="Times New Roman" w:cs="Times New Roman"/>
          <w:sz w:val="18"/>
          <w:szCs w:val="18"/>
        </w:rPr>
        <w:footnoteRef/>
      </w:r>
      <w:r w:rsidRPr="00B52CC9">
        <w:rPr>
          <w:rFonts w:ascii="Times New Roman" w:hAnsi="Times New Roman" w:cs="Times New Roman"/>
          <w:sz w:val="18"/>
          <w:szCs w:val="18"/>
        </w:rPr>
        <w:t xml:space="preserve"> No se puede asegurar, puesto que no se tiene la información de las condiciones financieras de la deuda pública.</w:t>
      </w:r>
    </w:p>
  </w:footnote>
  <w:footnote w:id="64">
    <w:p w14:paraId="3232FE24" w14:textId="77777777" w:rsidR="000242DF" w:rsidRPr="00581A2E" w:rsidRDefault="000242DF" w:rsidP="000242DF">
      <w:pPr>
        <w:autoSpaceDE w:val="0"/>
        <w:autoSpaceDN w:val="0"/>
        <w:adjustRightInd w:val="0"/>
        <w:spacing w:after="0" w:line="240" w:lineRule="auto"/>
        <w:jc w:val="both"/>
        <w:rPr>
          <w:rFonts w:ascii="Times New Roman" w:hAnsi="Times New Roman" w:cs="Times New Roman"/>
          <w:sz w:val="18"/>
          <w:szCs w:val="18"/>
        </w:rPr>
      </w:pPr>
      <w:r>
        <w:rPr>
          <w:rStyle w:val="FootnoteReference"/>
        </w:rPr>
        <w:footnoteRef/>
      </w:r>
      <w:r>
        <w:t xml:space="preserve"> </w:t>
      </w:r>
      <w:r w:rsidRPr="00581A2E">
        <w:rPr>
          <w:rFonts w:ascii="Times New Roman" w:hAnsi="Times New Roman" w:cs="Times New Roman"/>
          <w:sz w:val="18"/>
          <w:szCs w:val="18"/>
        </w:rPr>
        <w:t xml:space="preserve">Conforme con el artículo 112 del Código Municipal, el endeudamiento de las municipalidades en ningún caso, deberá exceder su capacidad de pago. </w:t>
      </w:r>
      <w:r>
        <w:rPr>
          <w:rFonts w:ascii="Times New Roman" w:hAnsi="Times New Roman" w:cs="Times New Roman"/>
          <w:sz w:val="18"/>
          <w:szCs w:val="18"/>
        </w:rPr>
        <w:t xml:space="preserve"> </w:t>
      </w:r>
      <w:r w:rsidRPr="00581A2E">
        <w:rPr>
          <w:rFonts w:ascii="Times New Roman" w:hAnsi="Times New Roman" w:cs="Times New Roman"/>
          <w:sz w:val="18"/>
          <w:szCs w:val="18"/>
        </w:rPr>
        <w:t xml:space="preserve">Para el efecto, </w:t>
      </w:r>
      <w:r w:rsidRPr="00581A2E">
        <w:rPr>
          <w:rFonts w:ascii="Times New Roman" w:hAnsi="Times New Roman" w:cs="Times New Roman"/>
          <w:i/>
          <w:iCs/>
          <w:sz w:val="18"/>
          <w:szCs w:val="18"/>
        </w:rPr>
        <w:t>se entenderá por capacidad de pago para cualquier año, el límite máximo entre los recursos ordinarios obtenidos (ingresos propios y transferencias obtenidas en forma permanente) y egresos por concepto de gastos de funcionamiento y servicio de la deuda</w:t>
      </w:r>
      <w:r w:rsidRPr="00581A2E">
        <w:rPr>
          <w:rFonts w:ascii="Times New Roman" w:hAnsi="Times New Roman" w:cs="Times New Roman"/>
          <w:sz w:val="18"/>
          <w:szCs w:val="18"/>
        </w:rPr>
        <w:t>.</w:t>
      </w:r>
    </w:p>
  </w:footnote>
  <w:footnote w:id="65">
    <w:p w14:paraId="694C66CB" w14:textId="77777777" w:rsidR="000242DF" w:rsidRPr="000A2D2E" w:rsidRDefault="000242DF" w:rsidP="000242DF">
      <w:pPr>
        <w:pStyle w:val="FootnoteText"/>
        <w:jc w:val="both"/>
        <w:rPr>
          <w:rFonts w:ascii="Times New Roman" w:hAnsi="Times New Roman" w:cs="Times New Roman"/>
          <w:sz w:val="18"/>
          <w:szCs w:val="18"/>
          <w:lang w:val="es-ES_tradnl"/>
        </w:rPr>
      </w:pPr>
      <w:r w:rsidRPr="000A2D2E">
        <w:rPr>
          <w:rStyle w:val="FootnoteReference"/>
          <w:rFonts w:ascii="Times New Roman" w:hAnsi="Times New Roman" w:cs="Times New Roman"/>
          <w:sz w:val="18"/>
          <w:szCs w:val="18"/>
        </w:rPr>
        <w:footnoteRef/>
      </w:r>
      <w:r w:rsidRPr="000A2D2E">
        <w:rPr>
          <w:rFonts w:ascii="Times New Roman" w:hAnsi="Times New Roman" w:cs="Times New Roman"/>
          <w:sz w:val="18"/>
          <w:szCs w:val="18"/>
        </w:rPr>
        <w:t xml:space="preserve"> </w:t>
      </w:r>
      <w:r>
        <w:rPr>
          <w:rFonts w:ascii="Times New Roman" w:hAnsi="Times New Roman" w:cs="Times New Roman"/>
          <w:sz w:val="18"/>
          <w:szCs w:val="18"/>
          <w:lang w:val="es-ES_tradnl"/>
        </w:rPr>
        <w:t xml:space="preserve">En la información aportada por la Municipalidad </w:t>
      </w:r>
      <w:r w:rsidRPr="000A2D2E">
        <w:rPr>
          <w:rFonts w:ascii="Times New Roman" w:hAnsi="Times New Roman" w:cs="Times New Roman"/>
          <w:sz w:val="18"/>
          <w:szCs w:val="18"/>
          <w:lang w:val="es-ES_tradnl"/>
        </w:rPr>
        <w:t xml:space="preserve">se identifican </w:t>
      </w:r>
      <w:r>
        <w:rPr>
          <w:rFonts w:ascii="Times New Roman" w:hAnsi="Times New Roman" w:cs="Times New Roman"/>
          <w:sz w:val="18"/>
          <w:szCs w:val="18"/>
          <w:lang w:val="es-ES_tradnl"/>
        </w:rPr>
        <w:t xml:space="preserve">debilidades o deficiencias </w:t>
      </w:r>
      <w:r w:rsidRPr="000A2D2E">
        <w:rPr>
          <w:rFonts w:ascii="Times New Roman" w:hAnsi="Times New Roman" w:cs="Times New Roman"/>
          <w:sz w:val="18"/>
          <w:szCs w:val="18"/>
          <w:lang w:val="es-ES_tradnl"/>
        </w:rPr>
        <w:t>que hacen necesario un trabajo posterior de depuración de las cifras.  Este documento trabaja con la información que se ha consolidado a diciembre de 2012, siendo necesario continuar con la depuración de las cifras para análisis posteriores.</w:t>
      </w:r>
    </w:p>
  </w:footnote>
  <w:footnote w:id="66">
    <w:p w14:paraId="33107108" w14:textId="77777777" w:rsidR="000242DF" w:rsidRPr="000A2D2E" w:rsidRDefault="000242DF" w:rsidP="000242DF">
      <w:pPr>
        <w:pStyle w:val="FootnoteText"/>
        <w:jc w:val="both"/>
        <w:rPr>
          <w:rFonts w:ascii="Times New Roman" w:hAnsi="Times New Roman" w:cs="Times New Roman"/>
          <w:sz w:val="18"/>
          <w:szCs w:val="18"/>
          <w:lang w:val="es-ES_tradnl"/>
        </w:rPr>
      </w:pPr>
      <w:r w:rsidRPr="000A2D2E">
        <w:rPr>
          <w:rStyle w:val="FootnoteReference"/>
          <w:rFonts w:ascii="Times New Roman" w:hAnsi="Times New Roman" w:cs="Times New Roman"/>
          <w:sz w:val="18"/>
          <w:szCs w:val="18"/>
        </w:rPr>
        <w:footnoteRef/>
      </w:r>
      <w:r w:rsidRPr="000A2D2E">
        <w:rPr>
          <w:rFonts w:ascii="Times New Roman" w:hAnsi="Times New Roman" w:cs="Times New Roman"/>
          <w:sz w:val="18"/>
          <w:szCs w:val="18"/>
        </w:rPr>
        <w:t xml:space="preserve"> </w:t>
      </w:r>
      <w:r>
        <w:rPr>
          <w:rFonts w:ascii="Times New Roman" w:hAnsi="Times New Roman" w:cs="Times New Roman"/>
          <w:sz w:val="18"/>
          <w:szCs w:val="18"/>
        </w:rPr>
        <w:t xml:space="preserve">Según información aportada por la Municipalidad, la situación relativa a este crédito se halla en “revisión jurídica”.  De este modo, mientras </w:t>
      </w:r>
      <w:r w:rsidRPr="000A2D2E">
        <w:rPr>
          <w:rFonts w:ascii="Times New Roman" w:hAnsi="Times New Roman" w:cs="Times New Roman"/>
          <w:sz w:val="18"/>
          <w:szCs w:val="18"/>
          <w:lang w:val="es-ES_tradnl"/>
        </w:rPr>
        <w:t>la Municipalidad y el M</w:t>
      </w:r>
      <w:r>
        <w:rPr>
          <w:rFonts w:ascii="Times New Roman" w:hAnsi="Times New Roman" w:cs="Times New Roman"/>
          <w:sz w:val="18"/>
          <w:szCs w:val="18"/>
          <w:lang w:val="es-ES_tradnl"/>
        </w:rPr>
        <w:t xml:space="preserve">inisterio de </w:t>
      </w:r>
      <w:r w:rsidRPr="000A2D2E">
        <w:rPr>
          <w:rFonts w:ascii="Times New Roman" w:hAnsi="Times New Roman" w:cs="Times New Roman"/>
          <w:sz w:val="18"/>
          <w:szCs w:val="18"/>
          <w:lang w:val="es-ES_tradnl"/>
        </w:rPr>
        <w:t>F</w:t>
      </w:r>
      <w:r>
        <w:rPr>
          <w:rFonts w:ascii="Times New Roman" w:hAnsi="Times New Roman" w:cs="Times New Roman"/>
          <w:sz w:val="18"/>
          <w:szCs w:val="18"/>
          <w:lang w:val="es-ES_tradnl"/>
        </w:rPr>
        <w:t xml:space="preserve">inanzas </w:t>
      </w:r>
      <w:r w:rsidRPr="000A2D2E">
        <w:rPr>
          <w:rFonts w:ascii="Times New Roman" w:hAnsi="Times New Roman" w:cs="Times New Roman"/>
          <w:sz w:val="18"/>
          <w:szCs w:val="18"/>
          <w:lang w:val="es-ES_tradnl"/>
        </w:rPr>
        <w:t>P</w:t>
      </w:r>
      <w:r>
        <w:rPr>
          <w:rFonts w:ascii="Times New Roman" w:hAnsi="Times New Roman" w:cs="Times New Roman"/>
          <w:sz w:val="18"/>
          <w:szCs w:val="18"/>
          <w:lang w:val="es-ES_tradnl"/>
        </w:rPr>
        <w:t xml:space="preserve">úblicas establecen </w:t>
      </w:r>
      <w:r w:rsidRPr="000A2D2E">
        <w:rPr>
          <w:rFonts w:ascii="Times New Roman" w:hAnsi="Times New Roman" w:cs="Times New Roman"/>
          <w:sz w:val="18"/>
          <w:szCs w:val="18"/>
          <w:lang w:val="es-ES_tradnl"/>
        </w:rPr>
        <w:t xml:space="preserve">un acuerdo sobre </w:t>
      </w:r>
      <w:r>
        <w:rPr>
          <w:rFonts w:ascii="Times New Roman" w:hAnsi="Times New Roman" w:cs="Times New Roman"/>
          <w:sz w:val="18"/>
          <w:szCs w:val="18"/>
          <w:lang w:val="es-ES_tradnl"/>
        </w:rPr>
        <w:t xml:space="preserve">el pago de intereses, </w:t>
      </w:r>
      <w:r w:rsidRPr="00941D1E">
        <w:rPr>
          <w:rFonts w:ascii="Times New Roman" w:hAnsi="Times New Roman" w:cs="Times New Roman"/>
          <w:sz w:val="18"/>
          <w:szCs w:val="18"/>
          <w:lang w:val="es-ES_tradnl"/>
        </w:rPr>
        <w:t>para el ejercicio financiero contenido en este informe, se proyectan intereses causados no pagados a una tasa del 16,1% anual</w:t>
      </w:r>
      <w:r w:rsidRPr="000A2D2E">
        <w:rPr>
          <w:rFonts w:ascii="Times New Roman" w:hAnsi="Times New Roman" w:cs="Times New Roman"/>
          <w:sz w:val="18"/>
          <w:szCs w:val="18"/>
          <w:lang w:val="es-ES_tradnl"/>
        </w:rPr>
        <w:t xml:space="preserve">, </w:t>
      </w:r>
      <w:r>
        <w:rPr>
          <w:rFonts w:ascii="Times New Roman" w:hAnsi="Times New Roman" w:cs="Times New Roman"/>
          <w:sz w:val="18"/>
          <w:szCs w:val="18"/>
          <w:lang w:val="es-ES_tradnl"/>
        </w:rPr>
        <w:t xml:space="preserve">para lo cual </w:t>
      </w:r>
      <w:r w:rsidRPr="000A2D2E">
        <w:rPr>
          <w:rFonts w:ascii="Times New Roman" w:hAnsi="Times New Roman" w:cs="Times New Roman"/>
          <w:sz w:val="18"/>
          <w:szCs w:val="18"/>
          <w:lang w:val="es-ES_tradnl"/>
        </w:rPr>
        <w:t>se toma como supuesto para la proyección</w:t>
      </w:r>
      <w:r>
        <w:rPr>
          <w:rFonts w:ascii="Times New Roman" w:hAnsi="Times New Roman" w:cs="Times New Roman"/>
          <w:sz w:val="18"/>
          <w:szCs w:val="18"/>
          <w:lang w:val="es-ES_tradnl"/>
        </w:rPr>
        <w:t xml:space="preserve"> financiera, </w:t>
      </w:r>
      <w:r w:rsidRPr="000A2D2E">
        <w:rPr>
          <w:rFonts w:ascii="Times New Roman" w:hAnsi="Times New Roman" w:cs="Times New Roman"/>
          <w:sz w:val="18"/>
          <w:szCs w:val="18"/>
          <w:lang w:val="es-ES_tradnl"/>
        </w:rPr>
        <w:t xml:space="preserve">el contenido de los artículos 1946 y 1947 del Código Civil (Decreto Ley número 106), los cuales establecen una tasa de interés legal equivalente al promedio ponderado de las tasas activas del sistema bancario en moneda nacional menos dos puntos porcentuales.  Para hacer más </w:t>
      </w:r>
      <w:r>
        <w:rPr>
          <w:rFonts w:ascii="Times New Roman" w:hAnsi="Times New Roman" w:cs="Times New Roman"/>
          <w:sz w:val="18"/>
          <w:szCs w:val="18"/>
          <w:lang w:val="es-ES_tradnl"/>
        </w:rPr>
        <w:t xml:space="preserve">restrictivo </w:t>
      </w:r>
      <w:r w:rsidRPr="000A2D2E">
        <w:rPr>
          <w:rFonts w:ascii="Times New Roman" w:hAnsi="Times New Roman" w:cs="Times New Roman"/>
          <w:sz w:val="18"/>
          <w:szCs w:val="18"/>
          <w:lang w:val="es-ES_tradnl"/>
        </w:rPr>
        <w:t xml:space="preserve">el cálculo e incorporar cualquier variación sobre la tasa adoptada, se proyectan los intereses sin la reducción de los dos puntos.  Se toma como tasa de proyección 16,1% anual, siendo esta el promedio de los dos últimos años del </w:t>
      </w:r>
      <w:r w:rsidRPr="000A2D2E">
        <w:rPr>
          <w:rFonts w:ascii="Times New Roman" w:hAnsi="Times New Roman" w:cs="Times New Roman"/>
          <w:i/>
          <w:sz w:val="18"/>
          <w:szCs w:val="18"/>
          <w:lang w:val="es-ES_tradnl"/>
        </w:rPr>
        <w:t>promedio ponderado de las tasas activas del sistema bancario</w:t>
      </w:r>
      <w:r w:rsidRPr="000A2D2E">
        <w:rPr>
          <w:rFonts w:ascii="Times New Roman" w:hAnsi="Times New Roman" w:cs="Times New Roman"/>
          <w:sz w:val="18"/>
          <w:szCs w:val="18"/>
          <w:lang w:val="es-ES_tradnl"/>
        </w:rPr>
        <w:t xml:space="preserve"> publicadas por la Superintendencia de Bancos de Guatemala para el período comprendido entre diciembre 9 de 2010 y diciembre 13 de 2012.</w:t>
      </w:r>
    </w:p>
  </w:footnote>
  <w:footnote w:id="67">
    <w:p w14:paraId="18CD2057" w14:textId="77777777" w:rsidR="000242DF" w:rsidRPr="00B5403C" w:rsidRDefault="000242DF" w:rsidP="000242DF">
      <w:pPr>
        <w:pStyle w:val="FootnoteText"/>
        <w:jc w:val="both"/>
        <w:rPr>
          <w:rFonts w:ascii="Times New Roman" w:hAnsi="Times New Roman" w:cs="Times New Roman"/>
          <w:sz w:val="18"/>
          <w:szCs w:val="18"/>
          <w:lang w:val="es-ES_tradnl"/>
        </w:rPr>
      </w:pPr>
      <w:r>
        <w:rPr>
          <w:rStyle w:val="FootnoteReference"/>
        </w:rPr>
        <w:footnoteRef/>
      </w:r>
      <w:r w:rsidRPr="009E5E78">
        <w:rPr>
          <w:rFonts w:ascii="Times New Roman" w:hAnsi="Times New Roman" w:cs="Times New Roman"/>
          <w:sz w:val="18"/>
          <w:szCs w:val="18"/>
          <w:lang w:val="es-ES_tradnl"/>
        </w:rPr>
        <w:t xml:space="preserve"> La tasa de cambio vigente a diciembre de 2007 ascendía a 0,13106 dólares por Quetzal.</w:t>
      </w:r>
      <w:r>
        <w:rPr>
          <w:rFonts w:ascii="Times New Roman" w:hAnsi="Times New Roman" w:cs="Times New Roman"/>
          <w:sz w:val="18"/>
          <w:szCs w:val="18"/>
          <w:lang w:val="es-ES_tradnl"/>
        </w:rPr>
        <w:t xml:space="preserve">  Es necesario precisar que el dato de</w:t>
      </w:r>
      <w:r w:rsidRPr="00B5403C">
        <w:rPr>
          <w:rFonts w:ascii="Times New Roman" w:hAnsi="Times New Roman" w:cs="Times New Roman"/>
          <w:sz w:val="18"/>
          <w:szCs w:val="18"/>
          <w:lang w:val="es-ES_tradnl"/>
        </w:rPr>
        <w:t xml:space="preserve"> 13.479.329 lo presenta la Municipalidad como "saldo contable capital", en su relación "Detalle de los préstamos internos y externos al 31 de octubre de 2012", suscrita por Fidel Espaderos.  En las relaciones "Resumen de deuda interna/externa mes de marzo 2012", suscritas por Manuel de Jesús López, y "Deuda con organismos multilaterales/bilaterales", suscrita por Gerardo Morales, desagregan capital e intereses.  En estas relaciones, la administración municipal calcula la equivalencia del dato en dólares a quetzales y lo mantiene para todas las relaciones de deuda que aportaron para este análisis.  En este orden, en el texto se toma el saldo de capital que relaciona la administración (11.255.128Q) y se calcular el pago de intereses a la tasa de mora.</w:t>
      </w:r>
    </w:p>
  </w:footnote>
  <w:footnote w:id="68">
    <w:p w14:paraId="105E7AAE" w14:textId="77777777" w:rsidR="000242DF" w:rsidRDefault="000242DF" w:rsidP="000242DF">
      <w:pPr>
        <w:pStyle w:val="FootnoteText"/>
      </w:pPr>
      <w:r>
        <w:rPr>
          <w:rStyle w:val="FootnoteReference"/>
        </w:rPr>
        <w:footnoteRef/>
      </w:r>
      <w:r>
        <w:t xml:space="preserve"> </w:t>
      </w:r>
      <w:r>
        <w:rPr>
          <w:rFonts w:ascii="Times New Roman" w:hAnsi="Times New Roman" w:cs="Times New Roman"/>
          <w:sz w:val="18"/>
          <w:szCs w:val="18"/>
        </w:rPr>
        <w:t>Según información aportada por la Municipalidad, la situación relativa a este crédito se halla igualmente en “revisión jurídica” por parte de la administración local.</w:t>
      </w:r>
    </w:p>
  </w:footnote>
  <w:footnote w:id="69">
    <w:p w14:paraId="13952D38" w14:textId="77777777" w:rsidR="000242DF" w:rsidRPr="00E546B5" w:rsidRDefault="000242DF" w:rsidP="000242DF">
      <w:pPr>
        <w:pStyle w:val="FootnoteText"/>
        <w:jc w:val="both"/>
        <w:rPr>
          <w:rFonts w:asciiTheme="majorBidi" w:hAnsiTheme="majorBidi" w:cstheme="majorBidi"/>
          <w:sz w:val="18"/>
          <w:szCs w:val="18"/>
          <w:lang w:val="en-US"/>
        </w:rPr>
      </w:pPr>
      <w:r w:rsidRPr="00E546B5">
        <w:rPr>
          <w:rStyle w:val="FootnoteReference"/>
          <w:rFonts w:asciiTheme="majorBidi" w:hAnsiTheme="majorBidi" w:cstheme="majorBidi"/>
          <w:sz w:val="18"/>
          <w:szCs w:val="18"/>
        </w:rPr>
        <w:footnoteRef/>
      </w:r>
      <w:r w:rsidRPr="00E546B5">
        <w:rPr>
          <w:rFonts w:asciiTheme="majorBidi" w:hAnsiTheme="majorBidi" w:cstheme="majorBidi"/>
          <w:sz w:val="18"/>
          <w:szCs w:val="18"/>
          <w:lang w:val="en-US"/>
        </w:rPr>
        <w:t xml:space="preserve"> </w:t>
      </w:r>
      <w:r w:rsidRPr="00E546B5">
        <w:rPr>
          <w:rFonts w:asciiTheme="majorBidi" w:eastAsiaTheme="minorHAnsi" w:hAnsiTheme="majorBidi" w:cstheme="majorBidi"/>
          <w:sz w:val="18"/>
          <w:szCs w:val="18"/>
          <w:lang w:val="en-US" w:eastAsia="en-US"/>
        </w:rPr>
        <w:t xml:space="preserve">Public Finance Sustainability in Subnational Governments.  </w:t>
      </w:r>
      <w:r w:rsidRPr="00E546B5">
        <w:rPr>
          <w:rFonts w:asciiTheme="majorBidi" w:eastAsiaTheme="minorHAnsi" w:hAnsiTheme="majorBidi" w:cstheme="majorBidi"/>
          <w:i/>
          <w:iCs/>
          <w:sz w:val="18"/>
          <w:szCs w:val="18"/>
          <w:lang w:val="en-US" w:eastAsia="en-US"/>
        </w:rPr>
        <w:t>Debt Sustainability and Indicators</w:t>
      </w:r>
      <w:r w:rsidRPr="00E546B5">
        <w:rPr>
          <w:rFonts w:asciiTheme="majorBidi" w:eastAsiaTheme="minorHAnsi" w:hAnsiTheme="majorBidi" w:cstheme="majorBidi"/>
          <w:sz w:val="18"/>
          <w:szCs w:val="18"/>
          <w:lang w:val="en-US" w:eastAsia="en-US"/>
        </w:rPr>
        <w:t>.  Jaime Coronado Quintanilla.  Publication No 12, November 2009. Debt Relief International Ltd.</w:t>
      </w:r>
    </w:p>
  </w:footnote>
  <w:footnote w:id="70">
    <w:p w14:paraId="5CF4862C" w14:textId="77777777" w:rsidR="000242DF" w:rsidRPr="00917308" w:rsidRDefault="000242DF" w:rsidP="000242DF">
      <w:pPr>
        <w:pStyle w:val="FootnoteText"/>
        <w:jc w:val="both"/>
      </w:pPr>
      <w:r w:rsidRPr="00E546B5">
        <w:rPr>
          <w:rStyle w:val="FootnoteReference"/>
          <w:rFonts w:asciiTheme="majorBidi" w:hAnsiTheme="majorBidi" w:cstheme="majorBidi"/>
          <w:sz w:val="18"/>
          <w:szCs w:val="18"/>
        </w:rPr>
        <w:footnoteRef/>
      </w:r>
      <w:r w:rsidRPr="00E546B5">
        <w:rPr>
          <w:rFonts w:asciiTheme="majorBidi" w:hAnsiTheme="majorBidi" w:cstheme="majorBidi"/>
          <w:sz w:val="18"/>
          <w:szCs w:val="18"/>
          <w:lang w:val="en-US"/>
        </w:rPr>
        <w:t xml:space="preserve"> </w:t>
      </w:r>
      <w:r w:rsidRPr="00E546B5">
        <w:rPr>
          <w:rFonts w:asciiTheme="majorBidi" w:eastAsiaTheme="minorHAnsi" w:hAnsiTheme="majorBidi" w:cstheme="majorBidi"/>
          <w:sz w:val="18"/>
          <w:szCs w:val="18"/>
          <w:lang w:val="en-US" w:eastAsia="en-US"/>
        </w:rPr>
        <w:t xml:space="preserve">Public Finance Sustainability in Subnational Governments.  </w:t>
      </w:r>
      <w:r w:rsidRPr="000E245D">
        <w:rPr>
          <w:rFonts w:asciiTheme="majorBidi" w:eastAsiaTheme="minorHAnsi" w:hAnsiTheme="majorBidi" w:cstheme="majorBidi"/>
          <w:i/>
          <w:iCs/>
          <w:sz w:val="18"/>
          <w:szCs w:val="18"/>
          <w:lang w:val="en-US" w:eastAsia="en-US"/>
        </w:rPr>
        <w:t xml:space="preserve">Debt Sustainability and Indicators. </w:t>
      </w:r>
      <w:r w:rsidRPr="000E245D">
        <w:rPr>
          <w:rFonts w:asciiTheme="majorBidi" w:eastAsiaTheme="minorHAnsi" w:hAnsiTheme="majorBidi" w:cstheme="majorBidi"/>
          <w:sz w:val="18"/>
          <w:szCs w:val="18"/>
          <w:lang w:val="en-US" w:eastAsia="en-US"/>
        </w:rPr>
        <w:t xml:space="preserve"> Jaime Coronado Quintanilla.  </w:t>
      </w:r>
      <w:r w:rsidRPr="00917308">
        <w:rPr>
          <w:rFonts w:asciiTheme="majorBidi" w:eastAsiaTheme="minorHAnsi" w:hAnsiTheme="majorBidi" w:cstheme="majorBidi"/>
          <w:sz w:val="18"/>
          <w:szCs w:val="18"/>
          <w:lang w:eastAsia="en-US"/>
        </w:rPr>
        <w:t>Publication No 12, November 2009. Debt Relief International Ltd</w:t>
      </w:r>
      <w:r w:rsidRPr="00917308">
        <w:rPr>
          <w:rFonts w:asciiTheme="majorBidi" w:eastAsiaTheme="minorHAnsi" w:hAnsiTheme="majorBidi" w:cstheme="majorBidi"/>
          <w:lang w:eastAsia="en-US"/>
        </w:rPr>
        <w:t>.</w:t>
      </w:r>
    </w:p>
  </w:footnote>
  <w:footnote w:id="71">
    <w:p w14:paraId="2BCC351B" w14:textId="77777777" w:rsidR="000242DF" w:rsidRPr="00B52CC9" w:rsidRDefault="000242DF" w:rsidP="000242DF">
      <w:pPr>
        <w:pStyle w:val="FootnoteText"/>
        <w:jc w:val="both"/>
        <w:rPr>
          <w:rFonts w:ascii="Times New Roman" w:hAnsi="Times New Roman" w:cs="Times New Roman"/>
          <w:sz w:val="18"/>
          <w:szCs w:val="18"/>
        </w:rPr>
      </w:pPr>
      <w:r w:rsidRPr="00B52CC9">
        <w:rPr>
          <w:rStyle w:val="FootnoteReference"/>
          <w:rFonts w:ascii="Times New Roman" w:hAnsi="Times New Roman" w:cs="Times New Roman"/>
          <w:sz w:val="18"/>
          <w:szCs w:val="18"/>
        </w:rPr>
        <w:footnoteRef/>
      </w:r>
      <w:r w:rsidRPr="00B52CC9">
        <w:rPr>
          <w:rFonts w:ascii="Times New Roman" w:hAnsi="Times New Roman" w:cs="Times New Roman"/>
          <w:sz w:val="18"/>
          <w:szCs w:val="18"/>
        </w:rPr>
        <w:t xml:space="preserve"> </w:t>
      </w:r>
      <w:r w:rsidRPr="00B52CC9">
        <w:rPr>
          <w:rFonts w:ascii="Times New Roman" w:hAnsi="Times New Roman" w:cs="Times New Roman"/>
          <w:sz w:val="18"/>
          <w:szCs w:val="18"/>
          <w:lang w:val="es-ES_tradnl"/>
        </w:rPr>
        <w:t>El concepto de ahorro operacional puede definirse como el resultado de la siguiente ecuación: Ahorro Operacional = Ingresos Corrientes – Gastos de Funcionamiento – Transferencias Pagadas.</w:t>
      </w:r>
    </w:p>
  </w:footnote>
  <w:footnote w:id="72">
    <w:p w14:paraId="541E0E98" w14:textId="77777777" w:rsidR="000242DF" w:rsidRPr="00B52CC9" w:rsidRDefault="000242DF" w:rsidP="000242DF">
      <w:pPr>
        <w:pStyle w:val="FootnoteText"/>
        <w:rPr>
          <w:rFonts w:ascii="Times New Roman" w:hAnsi="Times New Roman" w:cs="Times New Roman"/>
          <w:sz w:val="18"/>
          <w:szCs w:val="18"/>
          <w:lang w:val="es-ES_tradnl"/>
        </w:rPr>
      </w:pPr>
      <w:r w:rsidRPr="00B52CC9">
        <w:rPr>
          <w:rStyle w:val="FootnoteReference"/>
          <w:rFonts w:ascii="Times New Roman" w:hAnsi="Times New Roman" w:cs="Times New Roman"/>
          <w:sz w:val="18"/>
          <w:szCs w:val="18"/>
        </w:rPr>
        <w:footnoteRef/>
      </w:r>
      <w:r w:rsidRPr="00B52CC9">
        <w:rPr>
          <w:rFonts w:ascii="Times New Roman" w:hAnsi="Times New Roman" w:cs="Times New Roman"/>
          <w:sz w:val="18"/>
          <w:szCs w:val="18"/>
        </w:rPr>
        <w:t xml:space="preserve"> </w:t>
      </w:r>
      <w:r w:rsidRPr="00B52CC9">
        <w:rPr>
          <w:rFonts w:ascii="Times New Roman" w:hAnsi="Times New Roman" w:cs="Times New Roman"/>
          <w:sz w:val="18"/>
          <w:szCs w:val="18"/>
          <w:lang w:val="es-ES_tradnl"/>
        </w:rPr>
        <w:t xml:space="preserve">Como se ha indicado, esta tasa de 16,1% corresponde al promedio de los dos últimos años del </w:t>
      </w:r>
      <w:r w:rsidRPr="00B52CC9">
        <w:rPr>
          <w:rFonts w:ascii="Times New Roman" w:hAnsi="Times New Roman" w:cs="Times New Roman"/>
          <w:i/>
          <w:sz w:val="18"/>
          <w:szCs w:val="18"/>
          <w:lang w:val="es-ES_tradnl"/>
        </w:rPr>
        <w:t>promedio ponderado de tasas activas del sistema bancario</w:t>
      </w:r>
      <w:r w:rsidRPr="00B52CC9">
        <w:rPr>
          <w:rFonts w:ascii="Times New Roman" w:hAnsi="Times New Roman" w:cs="Times New Roman"/>
          <w:sz w:val="18"/>
          <w:szCs w:val="18"/>
          <w:lang w:val="es-ES_tradnl"/>
        </w:rPr>
        <w:t xml:space="preserve"> publicados semanalmente por la Superintendencia de Bancos de Guatemala.</w:t>
      </w:r>
    </w:p>
  </w:footnote>
  <w:footnote w:id="73">
    <w:p w14:paraId="2022C97E" w14:textId="77777777" w:rsidR="000242DF" w:rsidRPr="00B52CC9" w:rsidRDefault="000242DF" w:rsidP="000242DF">
      <w:pPr>
        <w:pStyle w:val="FootnoteText"/>
        <w:rPr>
          <w:rFonts w:ascii="Times New Roman" w:hAnsi="Times New Roman" w:cs="Times New Roman"/>
          <w:sz w:val="18"/>
          <w:szCs w:val="18"/>
          <w:lang w:val="es-ES_tradnl"/>
        </w:rPr>
      </w:pPr>
      <w:r w:rsidRPr="00B52CC9">
        <w:rPr>
          <w:rStyle w:val="FootnoteReference"/>
          <w:rFonts w:ascii="Times New Roman" w:hAnsi="Times New Roman" w:cs="Times New Roman"/>
          <w:sz w:val="18"/>
          <w:szCs w:val="18"/>
        </w:rPr>
        <w:footnoteRef/>
      </w:r>
      <w:r w:rsidRPr="00B52CC9">
        <w:rPr>
          <w:rFonts w:ascii="Times New Roman" w:hAnsi="Times New Roman" w:cs="Times New Roman"/>
          <w:sz w:val="18"/>
          <w:szCs w:val="18"/>
        </w:rPr>
        <w:t xml:space="preserve"> </w:t>
      </w:r>
      <w:r w:rsidRPr="00B52CC9">
        <w:rPr>
          <w:rFonts w:ascii="Times New Roman" w:hAnsi="Times New Roman" w:cs="Times New Roman"/>
          <w:sz w:val="18"/>
          <w:szCs w:val="18"/>
          <w:lang w:val="es-ES_tradnl"/>
        </w:rPr>
        <w:t>Guatemala en Cifras.  Banco de Guatemala. Página 24.</w:t>
      </w:r>
    </w:p>
  </w:footnote>
  <w:footnote w:id="74">
    <w:p w14:paraId="7198AC4E" w14:textId="77777777" w:rsidR="000242DF" w:rsidRPr="00B52CC9" w:rsidRDefault="000242DF" w:rsidP="000242DF">
      <w:pPr>
        <w:pStyle w:val="FootnoteText"/>
        <w:rPr>
          <w:rFonts w:ascii="Times New Roman" w:hAnsi="Times New Roman" w:cs="Times New Roman"/>
          <w:sz w:val="18"/>
          <w:szCs w:val="18"/>
          <w:lang w:val="es-ES_tradnl"/>
        </w:rPr>
      </w:pPr>
      <w:r w:rsidRPr="00B52CC9">
        <w:rPr>
          <w:rStyle w:val="FootnoteReference"/>
          <w:rFonts w:ascii="Times New Roman" w:hAnsi="Times New Roman" w:cs="Times New Roman"/>
          <w:sz w:val="18"/>
          <w:szCs w:val="18"/>
        </w:rPr>
        <w:footnoteRef/>
      </w:r>
      <w:r w:rsidRPr="00B52CC9">
        <w:rPr>
          <w:rFonts w:ascii="Times New Roman" w:hAnsi="Times New Roman" w:cs="Times New Roman"/>
          <w:sz w:val="18"/>
          <w:szCs w:val="18"/>
        </w:rPr>
        <w:t xml:space="preserve"> </w:t>
      </w:r>
      <w:r w:rsidRPr="00B52CC9">
        <w:rPr>
          <w:rFonts w:ascii="Times New Roman" w:hAnsi="Times New Roman" w:cs="Times New Roman"/>
          <w:sz w:val="18"/>
          <w:szCs w:val="18"/>
          <w:lang w:val="es-ES_tradnl"/>
        </w:rPr>
        <w:t>Guatemala en Cifras.  Banco de Guatemala. Página 24.</w:t>
      </w:r>
    </w:p>
  </w:footnote>
  <w:footnote w:id="75">
    <w:p w14:paraId="09171BC2" w14:textId="77777777" w:rsidR="000242DF" w:rsidRPr="00B52CC9" w:rsidRDefault="000242DF" w:rsidP="000242DF">
      <w:pPr>
        <w:pStyle w:val="FootnoteText"/>
        <w:rPr>
          <w:rFonts w:ascii="Times New Roman" w:hAnsi="Times New Roman" w:cs="Times New Roman"/>
          <w:sz w:val="18"/>
          <w:szCs w:val="18"/>
          <w:lang w:val="es-ES_tradnl"/>
        </w:rPr>
      </w:pPr>
      <w:r w:rsidRPr="00B52CC9">
        <w:rPr>
          <w:rStyle w:val="FootnoteReference"/>
          <w:rFonts w:ascii="Times New Roman" w:hAnsi="Times New Roman" w:cs="Times New Roman"/>
          <w:sz w:val="18"/>
          <w:szCs w:val="18"/>
        </w:rPr>
        <w:footnoteRef/>
      </w:r>
      <w:r w:rsidRPr="00B52CC9">
        <w:rPr>
          <w:rFonts w:ascii="Times New Roman" w:hAnsi="Times New Roman" w:cs="Times New Roman"/>
          <w:sz w:val="18"/>
          <w:szCs w:val="18"/>
        </w:rPr>
        <w:t xml:space="preserve"> </w:t>
      </w:r>
      <w:r w:rsidRPr="00B52CC9">
        <w:rPr>
          <w:rFonts w:ascii="Times New Roman" w:hAnsi="Times New Roman" w:cs="Times New Roman"/>
          <w:sz w:val="18"/>
          <w:szCs w:val="18"/>
          <w:lang w:val="es-ES_tradnl"/>
        </w:rPr>
        <w:t>Presupuesto de Ingresos y Egresos Ejercicio Fiscal 2013.  Municipalidad de Guatemala, octubre de 2012.</w:t>
      </w:r>
    </w:p>
  </w:footnote>
  <w:footnote w:id="76">
    <w:p w14:paraId="569098D9" w14:textId="77777777" w:rsidR="000242DF" w:rsidRPr="00B52CC9" w:rsidRDefault="000242DF" w:rsidP="000242DF">
      <w:pPr>
        <w:pStyle w:val="FootnoteText"/>
        <w:rPr>
          <w:rFonts w:ascii="Times New Roman" w:hAnsi="Times New Roman" w:cs="Times New Roman"/>
          <w:sz w:val="18"/>
          <w:szCs w:val="18"/>
          <w:lang w:val="es-ES_tradnl"/>
        </w:rPr>
      </w:pPr>
      <w:r w:rsidRPr="00B52CC9">
        <w:rPr>
          <w:rStyle w:val="FootnoteReference"/>
          <w:rFonts w:ascii="Times New Roman" w:hAnsi="Times New Roman" w:cs="Times New Roman"/>
          <w:sz w:val="18"/>
          <w:szCs w:val="18"/>
        </w:rPr>
        <w:footnoteRef/>
      </w:r>
      <w:r w:rsidRPr="00B52CC9">
        <w:rPr>
          <w:rFonts w:ascii="Times New Roman" w:hAnsi="Times New Roman" w:cs="Times New Roman"/>
          <w:sz w:val="18"/>
          <w:szCs w:val="18"/>
        </w:rPr>
        <w:t xml:space="preserve"> </w:t>
      </w:r>
      <w:r w:rsidRPr="00B52CC9">
        <w:rPr>
          <w:rFonts w:ascii="Times New Roman" w:hAnsi="Times New Roman" w:cs="Times New Roman"/>
          <w:sz w:val="18"/>
          <w:szCs w:val="18"/>
          <w:lang w:val="es-ES_tradnl"/>
        </w:rPr>
        <w:t>Presupuesto de Ingresos y Egresos Ejercicio Fiscal 2013.  Municipalidad de Guatemala, octubre de 2012.</w:t>
      </w:r>
    </w:p>
  </w:footnote>
  <w:footnote w:id="77">
    <w:p w14:paraId="04449F97" w14:textId="77777777" w:rsidR="000242DF" w:rsidRPr="00B52CC9" w:rsidRDefault="000242DF" w:rsidP="000242DF">
      <w:pPr>
        <w:pStyle w:val="FootnoteText"/>
        <w:rPr>
          <w:rFonts w:ascii="Times New Roman" w:hAnsi="Times New Roman" w:cs="Times New Roman"/>
          <w:sz w:val="18"/>
          <w:szCs w:val="18"/>
          <w:lang w:val="es-ES_tradnl"/>
        </w:rPr>
      </w:pPr>
      <w:r w:rsidRPr="00B52CC9">
        <w:rPr>
          <w:rStyle w:val="FootnoteReference"/>
          <w:rFonts w:ascii="Times New Roman" w:hAnsi="Times New Roman" w:cs="Times New Roman"/>
          <w:sz w:val="18"/>
          <w:szCs w:val="18"/>
        </w:rPr>
        <w:footnoteRef/>
      </w:r>
      <w:r w:rsidRPr="00B52CC9">
        <w:rPr>
          <w:rFonts w:ascii="Times New Roman" w:hAnsi="Times New Roman" w:cs="Times New Roman"/>
          <w:sz w:val="18"/>
          <w:szCs w:val="18"/>
        </w:rPr>
        <w:t xml:space="preserve"> </w:t>
      </w:r>
      <w:r w:rsidRPr="00B52CC9">
        <w:rPr>
          <w:rFonts w:ascii="Times New Roman" w:hAnsi="Times New Roman" w:cs="Times New Roman"/>
          <w:sz w:val="18"/>
          <w:szCs w:val="18"/>
          <w:lang w:val="es-ES_tradnl"/>
        </w:rPr>
        <w:t>Cálculo matemático para la distribución de la Asignación Constitucional a las Municipalidades 2013.  Comisión encargada de realizar el cálculo matemático para la distribución de la Asignación Constitucional a las Municipalidades 2013, 4 de enero de 2013.</w:t>
      </w:r>
    </w:p>
  </w:footnote>
  <w:footnote w:id="78">
    <w:p w14:paraId="21AEA548" w14:textId="77777777" w:rsidR="000A7FAA" w:rsidRPr="00B52CC9" w:rsidRDefault="000A7FAA" w:rsidP="0085758B">
      <w:pPr>
        <w:pStyle w:val="FootnoteText"/>
        <w:jc w:val="both"/>
        <w:rPr>
          <w:rFonts w:ascii="Times New Roman" w:hAnsi="Times New Roman" w:cs="Times New Roman"/>
          <w:sz w:val="18"/>
          <w:szCs w:val="18"/>
        </w:rPr>
      </w:pPr>
      <w:r w:rsidRPr="00B52CC9">
        <w:rPr>
          <w:rStyle w:val="FootnoteReference"/>
          <w:rFonts w:ascii="Times New Roman" w:hAnsi="Times New Roman" w:cs="Times New Roman"/>
          <w:sz w:val="18"/>
          <w:szCs w:val="18"/>
        </w:rPr>
        <w:footnoteRef/>
      </w:r>
      <w:r w:rsidRPr="00B52CC9">
        <w:rPr>
          <w:rFonts w:ascii="Times New Roman" w:hAnsi="Times New Roman" w:cs="Times New Roman"/>
          <w:sz w:val="18"/>
          <w:szCs w:val="18"/>
        </w:rPr>
        <w:t xml:space="preserve"> Ley de Alianzas para el Desarrollo de la Infraestructura Económica.</w:t>
      </w:r>
    </w:p>
  </w:footnote>
  <w:footnote w:id="79">
    <w:p w14:paraId="27E46ECC" w14:textId="77777777" w:rsidR="000A7FAA" w:rsidRPr="00B52CC9" w:rsidRDefault="000A7FAA" w:rsidP="0085758B">
      <w:pPr>
        <w:pStyle w:val="FootnoteText"/>
        <w:jc w:val="both"/>
        <w:rPr>
          <w:rFonts w:ascii="Times New Roman" w:hAnsi="Times New Roman" w:cs="Times New Roman"/>
          <w:sz w:val="18"/>
          <w:szCs w:val="18"/>
        </w:rPr>
      </w:pPr>
      <w:r w:rsidRPr="00B52CC9">
        <w:rPr>
          <w:rStyle w:val="FootnoteReference"/>
          <w:rFonts w:ascii="Times New Roman" w:hAnsi="Times New Roman" w:cs="Times New Roman"/>
          <w:sz w:val="18"/>
          <w:szCs w:val="18"/>
        </w:rPr>
        <w:footnoteRef/>
      </w:r>
      <w:r w:rsidRPr="00B52CC9">
        <w:rPr>
          <w:rFonts w:ascii="Times New Roman" w:hAnsi="Times New Roman" w:cs="Times New Roman"/>
          <w:sz w:val="18"/>
          <w:szCs w:val="18"/>
        </w:rPr>
        <w:t xml:space="preserve"> Corte de Constitucionalidad, Expediente 4329-2011, junio 07 de 2012.</w:t>
      </w:r>
    </w:p>
  </w:footnote>
  <w:footnote w:id="80">
    <w:p w14:paraId="017B5943" w14:textId="77777777" w:rsidR="000A7FAA" w:rsidRPr="00B52CC9" w:rsidRDefault="000A7FAA" w:rsidP="0085758B">
      <w:pPr>
        <w:pStyle w:val="Default"/>
        <w:jc w:val="both"/>
        <w:rPr>
          <w:rFonts w:ascii="Times New Roman" w:hAnsi="Times New Roman" w:cs="Times New Roman"/>
          <w:sz w:val="18"/>
          <w:szCs w:val="18"/>
        </w:rPr>
      </w:pPr>
      <w:r w:rsidRPr="00B52CC9">
        <w:rPr>
          <w:rStyle w:val="FootnoteReference"/>
          <w:rFonts w:ascii="Times New Roman" w:hAnsi="Times New Roman" w:cs="Times New Roman"/>
          <w:sz w:val="18"/>
          <w:szCs w:val="18"/>
        </w:rPr>
        <w:footnoteRef/>
      </w:r>
      <w:r w:rsidRPr="00B52CC9">
        <w:rPr>
          <w:rFonts w:ascii="Times New Roman" w:hAnsi="Times New Roman" w:cs="Times New Roman"/>
          <w:sz w:val="18"/>
          <w:szCs w:val="18"/>
        </w:rPr>
        <w:t xml:space="preserve"> Emitida el 14 de junio de 2012.  La calificadora expresa que </w:t>
      </w:r>
      <w:r w:rsidRPr="00B52CC9">
        <w:rPr>
          <w:rFonts w:ascii="Times New Roman" w:hAnsi="Times New Roman" w:cs="Times New Roman"/>
          <w:i/>
          <w:sz w:val="18"/>
          <w:szCs w:val="18"/>
        </w:rPr>
        <w:t xml:space="preserve">con </w:t>
      </w:r>
      <w:r w:rsidRPr="00B52CC9">
        <w:rPr>
          <w:rFonts w:ascii="Times New Roman" w:hAnsi="Times New Roman" w:cs="Times New Roman"/>
          <w:i/>
          <w:iCs/>
          <w:sz w:val="18"/>
          <w:szCs w:val="18"/>
        </w:rPr>
        <w:t>el propósito de diferenciar las calificaciones domésticas de las internacionales, se ha agregado una (g) a la calificación para indicar que se refiere sólo a emisores/emisiones de carácter doméstico a efectuarse en el mercado guatemalteco.</w:t>
      </w:r>
    </w:p>
  </w:footnote>
  <w:footnote w:id="81">
    <w:p w14:paraId="741C07F3" w14:textId="77777777" w:rsidR="000A7FAA" w:rsidRPr="00B52CC9" w:rsidRDefault="000A7FAA" w:rsidP="0085758B">
      <w:pPr>
        <w:pStyle w:val="FootnoteText"/>
        <w:jc w:val="both"/>
        <w:rPr>
          <w:rFonts w:ascii="Times New Roman" w:hAnsi="Times New Roman" w:cs="Times New Roman"/>
          <w:sz w:val="18"/>
          <w:szCs w:val="18"/>
        </w:rPr>
      </w:pPr>
      <w:r w:rsidRPr="00B52CC9">
        <w:rPr>
          <w:rStyle w:val="FootnoteReference"/>
          <w:rFonts w:ascii="Times New Roman" w:hAnsi="Times New Roman" w:cs="Times New Roman"/>
          <w:sz w:val="18"/>
          <w:szCs w:val="18"/>
        </w:rPr>
        <w:footnoteRef/>
      </w:r>
      <w:r w:rsidRPr="00B52CC9">
        <w:rPr>
          <w:rFonts w:ascii="Times New Roman" w:hAnsi="Times New Roman" w:cs="Times New Roman"/>
          <w:sz w:val="18"/>
          <w:szCs w:val="18"/>
        </w:rPr>
        <w:t xml:space="preserve"> El FAPU otorga una garantía a los acreedores ya que mantiene subordinado como segundo lugar, dentro de la cascada de pagos, el repago de la deuda, la cual se descuenta mes a mes de los ingresos del fideicomiso y son transferidos a los acreedores.</w:t>
      </w:r>
    </w:p>
  </w:footnote>
  <w:footnote w:id="82">
    <w:p w14:paraId="7269E059" w14:textId="5E7AC242" w:rsidR="000A7FAA" w:rsidRPr="00B52CC9" w:rsidRDefault="000A7FAA" w:rsidP="0085758B">
      <w:pPr>
        <w:tabs>
          <w:tab w:val="left" w:pos="360"/>
          <w:tab w:val="left" w:pos="540"/>
          <w:tab w:val="center" w:pos="3600"/>
          <w:tab w:val="center" w:pos="5220"/>
          <w:tab w:val="center" w:pos="6840"/>
          <w:tab w:val="center" w:pos="8460"/>
          <w:tab w:val="center" w:pos="9900"/>
        </w:tabs>
        <w:spacing w:after="0" w:line="240" w:lineRule="auto"/>
        <w:jc w:val="both"/>
        <w:rPr>
          <w:rFonts w:ascii="Times New Roman" w:hAnsi="Times New Roman" w:cs="Times New Roman"/>
          <w:sz w:val="18"/>
          <w:szCs w:val="18"/>
        </w:rPr>
      </w:pPr>
      <w:r w:rsidRPr="00B52CC9">
        <w:rPr>
          <w:rStyle w:val="FootnoteReference"/>
          <w:rFonts w:ascii="Times New Roman" w:hAnsi="Times New Roman" w:cs="Times New Roman"/>
          <w:sz w:val="18"/>
          <w:szCs w:val="18"/>
        </w:rPr>
        <w:footnoteRef/>
      </w:r>
      <w:r w:rsidRPr="00B52CC9">
        <w:rPr>
          <w:rFonts w:ascii="Times New Roman" w:hAnsi="Times New Roman" w:cs="Times New Roman"/>
          <w:i/>
          <w:iCs/>
          <w:sz w:val="18"/>
          <w:szCs w:val="18"/>
        </w:rPr>
        <w:t xml:space="preserve"> </w:t>
      </w:r>
      <w:r w:rsidRPr="00B52CC9">
        <w:rPr>
          <w:rFonts w:ascii="Times New Roman" w:hAnsi="Times New Roman" w:cs="Times New Roman"/>
          <w:b/>
          <w:i/>
          <w:iCs/>
          <w:sz w:val="18"/>
          <w:szCs w:val="18"/>
        </w:rPr>
        <w:t>Artículo 15.</w:t>
      </w:r>
      <w:r w:rsidRPr="00B52CC9">
        <w:rPr>
          <w:rFonts w:ascii="Times New Roman" w:hAnsi="Times New Roman" w:cs="Times New Roman"/>
          <w:i/>
          <w:iCs/>
          <w:sz w:val="18"/>
          <w:szCs w:val="18"/>
        </w:rPr>
        <w:t xml:space="preserve"> </w:t>
      </w:r>
      <w:r w:rsidRPr="00B52CC9">
        <w:rPr>
          <w:rFonts w:ascii="Times New Roman" w:hAnsi="Times New Roman" w:cs="Times New Roman"/>
          <w:b/>
          <w:i/>
          <w:iCs/>
          <w:sz w:val="18"/>
          <w:szCs w:val="18"/>
        </w:rPr>
        <w:t>Fondos en Fideicomiso.</w:t>
      </w:r>
      <w:r w:rsidRPr="00B52CC9">
        <w:rPr>
          <w:rFonts w:ascii="Times New Roman" w:hAnsi="Times New Roman" w:cs="Times New Roman"/>
          <w:i/>
          <w:iCs/>
          <w:sz w:val="18"/>
          <w:szCs w:val="18"/>
        </w:rPr>
        <w:t xml:space="preserve">  La apertura de los fondos que bajo la figura de fideicomiso se sitúen y se administren en los distintos Programas y Unidades Ejecutoras Especificas, se efectuará a nivel de Actividad y Proyecto a través de los cuales se ejecutarán, así como a nivel de objeto del gasto (grupo y renglón) y fuente de financiamiento.  Para la adquisición de bienes y servicios, deben utilizar el sistema de Guatecompras.  Los procesos específicos de su ejecución serán definidos mediante los instrumentos jurídicos y mecanismos técnicos que para el efecto sean aprobados por el Comité Técnico respectivo de cada fideicomiso.  Los recursos financieros que se asignen con obligación de reembolso en la unidad responsable del manejo del fideicomiso para que lo inviertan en la realización de proyectos específicos de beneficio social se constituirán en cualquier banco del sistema.  Los responsables del manejo de los fondos en fideicomiso, deben presentar a la Dirección de Administración Financiera Integrada Municipal, informes mensuales o cuando se les solicite, de la situación financiera de los mismos y deberán registrar en el Sistema de Contabilidad Integrado -SICOIN- Web, la correspondiente liquidación de gastos a nivel de renglón.</w:t>
      </w:r>
    </w:p>
  </w:footnote>
  <w:footnote w:id="83">
    <w:p w14:paraId="6D6C6A5D" w14:textId="380F6AEA" w:rsidR="000A7FAA" w:rsidRPr="00B66337" w:rsidRDefault="000A7FAA" w:rsidP="003A7536">
      <w:pPr>
        <w:pStyle w:val="ListParagraph"/>
        <w:spacing w:after="0" w:line="240" w:lineRule="auto"/>
        <w:ind w:left="0"/>
        <w:contextualSpacing w:val="0"/>
        <w:jc w:val="both"/>
        <w:rPr>
          <w:rFonts w:ascii="Times New Roman" w:hAnsi="Times New Roman" w:cs="Times New Roman"/>
          <w:sz w:val="18"/>
          <w:szCs w:val="18"/>
        </w:rPr>
      </w:pPr>
      <w:r>
        <w:rPr>
          <w:rStyle w:val="FootnoteReference"/>
        </w:rPr>
        <w:footnoteRef/>
      </w:r>
      <w:r>
        <w:t xml:space="preserve"> </w:t>
      </w:r>
      <w:r w:rsidRPr="00B66337">
        <w:rPr>
          <w:rFonts w:ascii="Times New Roman" w:hAnsi="Times New Roman" w:cs="Times New Roman"/>
          <w:sz w:val="18"/>
          <w:szCs w:val="18"/>
        </w:rPr>
        <w:t>Las proyecciones financieras de la posición fiscal actual de la Municipalidad han tomado como referencia los siguientes supuestos:</w:t>
      </w:r>
    </w:p>
    <w:p w14:paraId="7A36525A" w14:textId="14B6069C" w:rsidR="000A7FAA" w:rsidRPr="00B66337" w:rsidRDefault="000A7FAA" w:rsidP="003A7536">
      <w:pPr>
        <w:pStyle w:val="ListParagraph"/>
        <w:numPr>
          <w:ilvl w:val="0"/>
          <w:numId w:val="4"/>
        </w:numPr>
        <w:spacing w:after="0" w:line="240" w:lineRule="auto"/>
        <w:contextualSpacing w:val="0"/>
        <w:jc w:val="both"/>
        <w:rPr>
          <w:rFonts w:ascii="Times New Roman" w:hAnsi="Times New Roman" w:cs="Times New Roman"/>
          <w:sz w:val="18"/>
          <w:szCs w:val="18"/>
        </w:rPr>
      </w:pPr>
      <w:r w:rsidRPr="00B66337">
        <w:rPr>
          <w:rFonts w:ascii="Times New Roman" w:hAnsi="Times New Roman" w:cs="Times New Roman"/>
          <w:sz w:val="18"/>
          <w:szCs w:val="18"/>
        </w:rPr>
        <w:t>Para la vigencia 2012 se hace un análisis de la dinámica histórica de cada uno de los rubros y la ejecución a septiembre frente a la apropiación definitiva.</w:t>
      </w:r>
    </w:p>
    <w:p w14:paraId="1D9ACBFF" w14:textId="3039C27E" w:rsidR="000A7FAA" w:rsidRPr="00B66337" w:rsidRDefault="000A7FAA" w:rsidP="003A7536">
      <w:pPr>
        <w:pStyle w:val="ListParagraph"/>
        <w:numPr>
          <w:ilvl w:val="0"/>
          <w:numId w:val="4"/>
        </w:numPr>
        <w:spacing w:after="0" w:line="240" w:lineRule="auto"/>
        <w:contextualSpacing w:val="0"/>
        <w:jc w:val="both"/>
        <w:rPr>
          <w:rFonts w:ascii="Times New Roman" w:hAnsi="Times New Roman" w:cs="Times New Roman"/>
          <w:sz w:val="18"/>
          <w:szCs w:val="18"/>
        </w:rPr>
      </w:pPr>
      <w:r w:rsidRPr="00B66337">
        <w:rPr>
          <w:rFonts w:ascii="Times New Roman" w:hAnsi="Times New Roman" w:cs="Times New Roman"/>
          <w:sz w:val="18"/>
          <w:szCs w:val="18"/>
        </w:rPr>
        <w:t>Entre 2013 y 2022 el crecimiento del ingreso propio es del 3% real, tomando como referencia el crecimiento promedio de ingresos durante los últimos cuatro años.</w:t>
      </w:r>
    </w:p>
    <w:p w14:paraId="08C2978B" w14:textId="1493F023" w:rsidR="000A7FAA" w:rsidRPr="00B66337" w:rsidRDefault="000A7FAA" w:rsidP="003A7536">
      <w:pPr>
        <w:pStyle w:val="ListParagraph"/>
        <w:numPr>
          <w:ilvl w:val="0"/>
          <w:numId w:val="4"/>
        </w:numPr>
        <w:spacing w:after="0" w:line="240" w:lineRule="auto"/>
        <w:contextualSpacing w:val="0"/>
        <w:jc w:val="both"/>
        <w:rPr>
          <w:rFonts w:ascii="Times New Roman" w:hAnsi="Times New Roman" w:cs="Times New Roman"/>
          <w:sz w:val="18"/>
          <w:szCs w:val="18"/>
        </w:rPr>
      </w:pPr>
      <w:r w:rsidRPr="00B66337">
        <w:rPr>
          <w:rFonts w:ascii="Times New Roman" w:hAnsi="Times New Roman" w:cs="Times New Roman"/>
          <w:sz w:val="18"/>
          <w:szCs w:val="18"/>
        </w:rPr>
        <w:t>La dinámica del gasto de funcionamiento muestra incrementos significativos superiores al 10%, de hecho el actual presupuesto prevé un incremento del 45%.  Sin embargo solo se considera una tasa real del 5%, resultado del promedio histórico de análisis.</w:t>
      </w:r>
    </w:p>
    <w:p w14:paraId="25938646" w14:textId="513AB9D3" w:rsidR="000A7FAA" w:rsidRPr="00B66337" w:rsidRDefault="000A7FAA" w:rsidP="003A7536">
      <w:pPr>
        <w:pStyle w:val="ListParagraph"/>
        <w:numPr>
          <w:ilvl w:val="0"/>
          <w:numId w:val="4"/>
        </w:numPr>
        <w:spacing w:after="0" w:line="240" w:lineRule="auto"/>
        <w:contextualSpacing w:val="0"/>
        <w:jc w:val="both"/>
        <w:rPr>
          <w:rFonts w:ascii="Times New Roman" w:hAnsi="Times New Roman" w:cs="Times New Roman"/>
          <w:sz w:val="18"/>
          <w:szCs w:val="18"/>
        </w:rPr>
      </w:pPr>
      <w:r w:rsidRPr="00B66337">
        <w:rPr>
          <w:rFonts w:ascii="Times New Roman" w:hAnsi="Times New Roman" w:cs="Times New Roman"/>
          <w:sz w:val="18"/>
          <w:szCs w:val="18"/>
        </w:rPr>
        <w:t>La inversión presenta fluctuaciones importantes.  En ese orden, es la variable de ajuste fiscal dado que obedece a la dinámica de las principales fuentes de ingreso y a los remanentes que los gastos de personal y operativos arrojan.  Sin embargo, se proyecta a una tasa del 2% real.</w:t>
      </w:r>
    </w:p>
    <w:p w14:paraId="4D49A4BB" w14:textId="5412BB36" w:rsidR="000A7FAA" w:rsidRPr="00B66337" w:rsidRDefault="000A7FAA" w:rsidP="003A7536">
      <w:pPr>
        <w:pStyle w:val="ListParagraph"/>
        <w:numPr>
          <w:ilvl w:val="0"/>
          <w:numId w:val="4"/>
        </w:numPr>
        <w:spacing w:after="0" w:line="240" w:lineRule="auto"/>
        <w:contextualSpacing w:val="0"/>
        <w:jc w:val="both"/>
        <w:rPr>
          <w:rFonts w:ascii="Times New Roman" w:hAnsi="Times New Roman" w:cs="Times New Roman"/>
          <w:sz w:val="18"/>
          <w:szCs w:val="18"/>
        </w:rPr>
      </w:pPr>
      <w:r w:rsidRPr="00B66337">
        <w:rPr>
          <w:rFonts w:ascii="Times New Roman" w:hAnsi="Times New Roman" w:cs="Times New Roman"/>
          <w:sz w:val="18"/>
          <w:szCs w:val="18"/>
        </w:rPr>
        <w:t>La deuda pública se proyecta siguiendo los supuestos contenidos en el apartado 2.3 sobre deuda pública y capacidad de endeudamiento del presente documento.</w:t>
      </w:r>
    </w:p>
    <w:p w14:paraId="73B29CB6" w14:textId="458BF997" w:rsidR="000A7FAA" w:rsidRPr="00B66337" w:rsidRDefault="000A7FAA" w:rsidP="003A7536">
      <w:pPr>
        <w:pStyle w:val="ListParagraph"/>
        <w:numPr>
          <w:ilvl w:val="0"/>
          <w:numId w:val="4"/>
        </w:numPr>
        <w:spacing w:after="0" w:line="240" w:lineRule="auto"/>
        <w:contextualSpacing w:val="0"/>
        <w:jc w:val="both"/>
        <w:rPr>
          <w:rFonts w:ascii="Times New Roman" w:hAnsi="Times New Roman" w:cs="Times New Roman"/>
          <w:sz w:val="18"/>
          <w:szCs w:val="18"/>
        </w:rPr>
      </w:pPr>
      <w:r w:rsidRPr="00B66337">
        <w:rPr>
          <w:rFonts w:ascii="Times New Roman" w:hAnsi="Times New Roman" w:cs="Times New Roman"/>
          <w:sz w:val="18"/>
          <w:szCs w:val="18"/>
        </w:rPr>
        <w:t>No se proyecta el pago del pasivo no financiero pues aún no se conoce con precisión su naturaleza y magnitud.</w:t>
      </w:r>
    </w:p>
    <w:p w14:paraId="08484AFD" w14:textId="428573BE" w:rsidR="000A7FAA" w:rsidRPr="00B66337" w:rsidRDefault="000A7FAA" w:rsidP="003A7536">
      <w:pPr>
        <w:pStyle w:val="ListParagraph"/>
        <w:numPr>
          <w:ilvl w:val="0"/>
          <w:numId w:val="4"/>
        </w:numPr>
        <w:spacing w:after="0" w:line="240" w:lineRule="auto"/>
        <w:contextualSpacing w:val="0"/>
        <w:jc w:val="both"/>
        <w:rPr>
          <w:rFonts w:ascii="Times New Roman" w:hAnsi="Times New Roman" w:cs="Times New Roman"/>
          <w:sz w:val="18"/>
          <w:szCs w:val="18"/>
        </w:rPr>
      </w:pPr>
      <w:r w:rsidRPr="00B66337">
        <w:rPr>
          <w:rFonts w:ascii="Times New Roman" w:hAnsi="Times New Roman" w:cs="Times New Roman"/>
          <w:sz w:val="18"/>
          <w:szCs w:val="18"/>
        </w:rPr>
        <w:t>No se proyecta el desembolso de nuevos recursos.</w:t>
      </w:r>
    </w:p>
    <w:p w14:paraId="58718E98" w14:textId="77777777" w:rsidR="000A7FAA" w:rsidRPr="00B66337" w:rsidRDefault="000A7FAA" w:rsidP="003A7536">
      <w:pPr>
        <w:pStyle w:val="ListParagraph"/>
        <w:numPr>
          <w:ilvl w:val="0"/>
          <w:numId w:val="4"/>
        </w:numPr>
        <w:spacing w:after="0" w:line="240" w:lineRule="auto"/>
        <w:contextualSpacing w:val="0"/>
        <w:jc w:val="both"/>
        <w:rPr>
          <w:rFonts w:ascii="Times New Roman" w:hAnsi="Times New Roman" w:cs="Times New Roman"/>
          <w:sz w:val="18"/>
          <w:szCs w:val="18"/>
        </w:rPr>
      </w:pPr>
      <w:r w:rsidRPr="00B66337">
        <w:rPr>
          <w:rFonts w:ascii="Times New Roman" w:hAnsi="Times New Roman" w:cs="Times New Roman"/>
          <w:sz w:val="18"/>
          <w:szCs w:val="18"/>
        </w:rPr>
        <w:t>No se registra la diminución de saldos de caja y bancos dado que no se dispone de este dato con precisión.</w:t>
      </w:r>
    </w:p>
    <w:p w14:paraId="652B60F6" w14:textId="73451206" w:rsidR="000A7FAA" w:rsidRPr="003A7536" w:rsidRDefault="000A7FAA">
      <w:pPr>
        <w:pStyle w:val="FootnoteText"/>
        <w:rPr>
          <w:lang w:val="es-ES_tradnl"/>
        </w:rPr>
      </w:pPr>
    </w:p>
  </w:footnote>
  <w:footnote w:id="84">
    <w:p w14:paraId="77B7F10A" w14:textId="77777777" w:rsidR="000A7FAA" w:rsidRPr="00A81E28" w:rsidRDefault="000A7FAA" w:rsidP="004C7463">
      <w:pPr>
        <w:spacing w:after="0" w:line="240" w:lineRule="auto"/>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w:t>
      </w:r>
      <w:r w:rsidRPr="00A81E28">
        <w:rPr>
          <w:rFonts w:ascii="Times New Roman" w:eastAsia="Times New Roman" w:hAnsi="Times New Roman" w:cs="Times New Roman"/>
          <w:color w:val="000000"/>
          <w:sz w:val="18"/>
          <w:szCs w:val="18"/>
          <w:bdr w:val="none" w:sz="0" w:space="0" w:color="auto" w:frame="1"/>
          <w:lang w:eastAsia="en-US"/>
        </w:rPr>
        <w:t>Ley del Impuesto Único sobre Inmuebles.</w:t>
      </w:r>
    </w:p>
  </w:footnote>
  <w:footnote w:id="85">
    <w:p w14:paraId="66A70065" w14:textId="77777777" w:rsidR="000A7FAA" w:rsidRPr="00A81E28" w:rsidRDefault="000A7FAA" w:rsidP="004C7463">
      <w:pPr>
        <w:spacing w:after="0" w:line="240" w:lineRule="auto"/>
        <w:jc w:val="both"/>
        <w:rPr>
          <w:rFonts w:ascii="Times New Roman" w:hAnsi="Times New Roman" w:cs="Times New Roman"/>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El impuesto se paga trimestralmente (abril, junio, octubre y enero del año siguiente), y para su cobro la Municipalidad envía a los contribuyentes un </w:t>
      </w:r>
      <w:r w:rsidRPr="00A81E28">
        <w:rPr>
          <w:rFonts w:ascii="Times New Roman" w:hAnsi="Times New Roman" w:cs="Times New Roman"/>
          <w:i/>
          <w:sz w:val="18"/>
          <w:szCs w:val="18"/>
        </w:rPr>
        <w:t>requerimiento de pago</w:t>
      </w:r>
      <w:r w:rsidRPr="00A81E28">
        <w:rPr>
          <w:rFonts w:ascii="Times New Roman" w:hAnsi="Times New Roman" w:cs="Times New Roman"/>
          <w:sz w:val="18"/>
          <w:szCs w:val="18"/>
        </w:rPr>
        <w:t>, el cual puede ser efectuado vía electrónica.</w:t>
      </w:r>
    </w:p>
  </w:footnote>
  <w:footnote w:id="86">
    <w:p w14:paraId="2FC714F5" w14:textId="77777777" w:rsidR="000A7FAA" w:rsidRPr="0085758B" w:rsidRDefault="000A7FAA" w:rsidP="004C7463">
      <w:pPr>
        <w:pStyle w:val="FootnoteText"/>
        <w:jc w:val="both"/>
        <w:rPr>
          <w:rFonts w:cstheme="majorBidi"/>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Es preciso señalar que el 31 de mayo de 2012 concluyó el plazo otorgado por la Municipalidad para que los</w:t>
      </w:r>
      <w:r w:rsidRPr="0085758B">
        <w:rPr>
          <w:rFonts w:cstheme="majorBidi"/>
          <w:sz w:val="18"/>
          <w:szCs w:val="18"/>
        </w:rPr>
        <w:t xml:space="preserve"> contribuyentes actualizaran sus datos y se acogieran a una condonación del 100% de la multa generada por la falta de pago del IUSI por concepto de la actualización.</w:t>
      </w:r>
    </w:p>
  </w:footnote>
  <w:footnote w:id="87">
    <w:p w14:paraId="037BD4EC" w14:textId="77777777" w:rsidR="000A7FAA" w:rsidRPr="00FB59AC" w:rsidRDefault="000A7FAA" w:rsidP="004C7463">
      <w:pPr>
        <w:autoSpaceDE w:val="0"/>
        <w:autoSpaceDN w:val="0"/>
        <w:adjustRightInd w:val="0"/>
        <w:spacing w:after="0" w:line="240" w:lineRule="auto"/>
        <w:jc w:val="both"/>
        <w:rPr>
          <w:rFonts w:ascii="Times New Roman" w:hAnsi="Times New Roman" w:cs="Times New Roman"/>
          <w:sz w:val="18"/>
          <w:szCs w:val="18"/>
        </w:rPr>
      </w:pPr>
      <w:r w:rsidRPr="00FB59AC">
        <w:rPr>
          <w:rStyle w:val="FootnoteReference"/>
          <w:rFonts w:ascii="Times New Roman" w:hAnsi="Times New Roman" w:cs="Times New Roman"/>
          <w:sz w:val="18"/>
          <w:szCs w:val="18"/>
        </w:rPr>
        <w:footnoteRef/>
      </w:r>
      <w:r w:rsidRPr="00FB59AC">
        <w:rPr>
          <w:rFonts w:ascii="Times New Roman" w:hAnsi="Times New Roman" w:cs="Times New Roman"/>
          <w:sz w:val="18"/>
          <w:szCs w:val="18"/>
        </w:rPr>
        <w:t xml:space="preserve"> Ley de impuesto a la distribución de petróleo crudo y combustibles derivados del petróleo.</w:t>
      </w:r>
    </w:p>
  </w:footnote>
  <w:footnote w:id="88">
    <w:p w14:paraId="40A41403" w14:textId="77777777" w:rsidR="000A7FAA" w:rsidRPr="00FB59AC" w:rsidRDefault="000A7FAA" w:rsidP="004C7463">
      <w:pPr>
        <w:pStyle w:val="FootnoteText"/>
        <w:jc w:val="both"/>
        <w:rPr>
          <w:rFonts w:ascii="Times New Roman" w:hAnsi="Times New Roman" w:cs="Times New Roman"/>
          <w:sz w:val="18"/>
          <w:szCs w:val="18"/>
        </w:rPr>
      </w:pPr>
      <w:r w:rsidRPr="00FB59AC">
        <w:rPr>
          <w:rStyle w:val="FootnoteReference"/>
          <w:rFonts w:ascii="Times New Roman" w:hAnsi="Times New Roman" w:cs="Times New Roman"/>
          <w:sz w:val="18"/>
          <w:szCs w:val="18"/>
        </w:rPr>
        <w:footnoteRef/>
      </w:r>
      <w:r w:rsidRPr="00FB59AC">
        <w:rPr>
          <w:rFonts w:ascii="Times New Roman" w:hAnsi="Times New Roman" w:cs="Times New Roman"/>
          <w:sz w:val="18"/>
          <w:szCs w:val="18"/>
        </w:rPr>
        <w:t xml:space="preserve"> Reformas a la ley del impuesto a la distribución de petróleo crudo y combustibles derivados del petróleo, Decreto número 38-92 del Congreso de la República.</w:t>
      </w:r>
    </w:p>
  </w:footnote>
  <w:footnote w:id="89">
    <w:p w14:paraId="71A08C5B" w14:textId="77777777" w:rsidR="000A7FAA" w:rsidRPr="00A81E28" w:rsidRDefault="000A7FAA" w:rsidP="004C7463">
      <w:pPr>
        <w:pStyle w:val="FootnoteText"/>
        <w:jc w:val="both"/>
        <w:rPr>
          <w:rFonts w:ascii="Times New Roman" w:hAnsi="Times New Roman" w:cs="Times New Roman"/>
          <w:b/>
          <w:bCs/>
          <w:sz w:val="18"/>
          <w:szCs w:val="18"/>
        </w:rPr>
      </w:pPr>
      <w:r w:rsidRPr="00A81E28">
        <w:rPr>
          <w:rStyle w:val="FootnoteReference"/>
          <w:rFonts w:ascii="Times New Roman" w:hAnsi="Times New Roman" w:cs="Times New Roman"/>
          <w:sz w:val="18"/>
          <w:szCs w:val="18"/>
        </w:rPr>
        <w:footnoteRef/>
      </w:r>
      <w:r w:rsidRPr="00A81E28">
        <w:rPr>
          <w:rFonts w:ascii="Times New Roman" w:hAnsi="Times New Roman" w:cs="Times New Roman"/>
          <w:sz w:val="18"/>
          <w:szCs w:val="18"/>
        </w:rPr>
        <w:t xml:space="preserve"> L</w:t>
      </w:r>
      <w:r w:rsidRPr="00A81E28">
        <w:rPr>
          <w:rStyle w:val="Strong"/>
          <w:rFonts w:ascii="Times New Roman" w:hAnsi="Times New Roman" w:cs="Times New Roman"/>
          <w:b w:val="0"/>
          <w:bCs w:val="0"/>
          <w:sz w:val="18"/>
          <w:szCs w:val="18"/>
          <w:shd w:val="clear" w:color="auto" w:fill="FFFFFF"/>
        </w:rPr>
        <w:t>ey del arbitrio de ornato municipal.</w:t>
      </w:r>
    </w:p>
  </w:footnote>
  <w:footnote w:id="90">
    <w:p w14:paraId="43896F1B" w14:textId="77777777" w:rsidR="000A7FAA" w:rsidRPr="00B52CC9" w:rsidRDefault="000A7FAA" w:rsidP="0085758B">
      <w:pPr>
        <w:pStyle w:val="FootnoteText"/>
        <w:jc w:val="both"/>
        <w:rPr>
          <w:rFonts w:ascii="Times New Roman" w:hAnsi="Times New Roman" w:cs="Times New Roman"/>
          <w:sz w:val="18"/>
          <w:szCs w:val="18"/>
        </w:rPr>
      </w:pPr>
      <w:r w:rsidRPr="00B52CC9">
        <w:rPr>
          <w:rStyle w:val="FootnoteReference"/>
          <w:rFonts w:ascii="Times New Roman" w:hAnsi="Times New Roman" w:cs="Times New Roman"/>
          <w:sz w:val="18"/>
          <w:szCs w:val="18"/>
        </w:rPr>
        <w:footnoteRef/>
      </w:r>
      <w:r w:rsidRPr="00B52CC9">
        <w:rPr>
          <w:rFonts w:ascii="Times New Roman" w:hAnsi="Times New Roman" w:cs="Times New Roman"/>
          <w:sz w:val="18"/>
          <w:szCs w:val="18"/>
        </w:rPr>
        <w:t xml:space="preserve"> Ingresos Varios no se encuentra discriminado en el Estado de Resultados Económicos, de manera que no es clara su naturaleza.</w:t>
      </w:r>
    </w:p>
  </w:footnote>
  <w:footnote w:id="91">
    <w:p w14:paraId="3D148E02" w14:textId="77777777" w:rsidR="000A7FAA" w:rsidRPr="00B52CC9" w:rsidRDefault="000A7FAA" w:rsidP="0085758B">
      <w:pPr>
        <w:pStyle w:val="FootnoteText"/>
        <w:jc w:val="both"/>
        <w:rPr>
          <w:rFonts w:ascii="Times New Roman" w:hAnsi="Times New Roman" w:cs="Times New Roman"/>
          <w:sz w:val="18"/>
          <w:szCs w:val="18"/>
        </w:rPr>
      </w:pPr>
      <w:r w:rsidRPr="00B52CC9">
        <w:rPr>
          <w:rStyle w:val="FootnoteReference"/>
          <w:rFonts w:ascii="Times New Roman" w:hAnsi="Times New Roman" w:cs="Times New Roman"/>
          <w:sz w:val="18"/>
          <w:szCs w:val="18"/>
        </w:rPr>
        <w:footnoteRef/>
      </w:r>
      <w:r w:rsidRPr="00B52CC9">
        <w:rPr>
          <w:rFonts w:ascii="Times New Roman" w:hAnsi="Times New Roman" w:cs="Times New Roman"/>
          <w:sz w:val="18"/>
          <w:szCs w:val="18"/>
        </w:rPr>
        <w:t xml:space="preserve"> En la relación sobre fideicomisos públicos vigentes por categoría de financiamiento, así como en el informe contractual sobre fideicomisos reportados a octubre 10 de 2012, de la Dirección de Fideicomisos, del Ministerio de Finanzas Públicas, este fideicomiso no aparece referenciado.</w:t>
      </w:r>
    </w:p>
  </w:footnote>
  <w:footnote w:id="92">
    <w:p w14:paraId="5898AE2E" w14:textId="77777777" w:rsidR="000A7FAA" w:rsidRPr="00B52CC9" w:rsidRDefault="000A7FAA" w:rsidP="0085758B">
      <w:pPr>
        <w:pStyle w:val="FootnoteText"/>
        <w:jc w:val="both"/>
        <w:rPr>
          <w:rFonts w:ascii="Times New Roman" w:hAnsi="Times New Roman" w:cs="Times New Roman"/>
          <w:i/>
          <w:iCs/>
          <w:sz w:val="18"/>
          <w:szCs w:val="18"/>
        </w:rPr>
      </w:pPr>
      <w:r w:rsidRPr="00B52CC9">
        <w:rPr>
          <w:rStyle w:val="FootnoteReference"/>
          <w:rFonts w:ascii="Times New Roman" w:hAnsi="Times New Roman" w:cs="Times New Roman"/>
          <w:sz w:val="18"/>
          <w:szCs w:val="18"/>
        </w:rPr>
        <w:footnoteRef/>
      </w:r>
      <w:r w:rsidRPr="00B52CC9">
        <w:rPr>
          <w:rFonts w:ascii="Times New Roman" w:hAnsi="Times New Roman" w:cs="Times New Roman"/>
          <w:sz w:val="18"/>
          <w:szCs w:val="18"/>
        </w:rPr>
        <w:t xml:space="preserve"> Conforme con un reporte del Ministerio de Finanzas Púbicas, al 10 de octubre de 2012, el Fideicomiso de Transporte y Tránsito de la Ciudad de Guatemala (Fidemetra), cuyo fiduciario es el Banco Industrial, aparece relacionado como </w:t>
      </w:r>
      <w:r w:rsidRPr="00B52CC9">
        <w:rPr>
          <w:rFonts w:ascii="Times New Roman" w:hAnsi="Times New Roman" w:cs="Times New Roman"/>
          <w:i/>
          <w:iCs/>
          <w:sz w:val="18"/>
          <w:szCs w:val="18"/>
        </w:rPr>
        <w:t>extinto.</w:t>
      </w:r>
    </w:p>
  </w:footnote>
  <w:footnote w:id="93">
    <w:p w14:paraId="745EF12D" w14:textId="77777777" w:rsidR="000A7FAA" w:rsidRPr="00B52CC9" w:rsidRDefault="000A7FAA" w:rsidP="0085758B">
      <w:pPr>
        <w:pStyle w:val="FootnoteText"/>
        <w:rPr>
          <w:rFonts w:ascii="Times New Roman" w:hAnsi="Times New Roman" w:cs="Times New Roman"/>
          <w:sz w:val="18"/>
          <w:szCs w:val="18"/>
        </w:rPr>
      </w:pPr>
      <w:r w:rsidRPr="00B52CC9">
        <w:rPr>
          <w:rStyle w:val="FootnoteReference"/>
          <w:rFonts w:ascii="Times New Roman" w:hAnsi="Times New Roman" w:cs="Times New Roman"/>
          <w:sz w:val="18"/>
          <w:szCs w:val="18"/>
        </w:rPr>
        <w:footnoteRef/>
      </w:r>
      <w:r w:rsidRPr="00B52CC9">
        <w:rPr>
          <w:rFonts w:ascii="Times New Roman" w:hAnsi="Times New Roman" w:cs="Times New Roman"/>
          <w:sz w:val="18"/>
          <w:szCs w:val="18"/>
        </w:rPr>
        <w:t xml:space="preserve"> Ministerio de Finanzas Públicas de Guatemala.  Dirección de Fideicomisos.  Perfiles de Fideicomisos Estatales.  Código No.23.</w:t>
      </w:r>
    </w:p>
  </w:footnote>
  <w:footnote w:id="94">
    <w:p w14:paraId="79573CB6" w14:textId="77777777" w:rsidR="000A7FAA" w:rsidRPr="00B52CC9" w:rsidRDefault="000A7FAA" w:rsidP="0085758B">
      <w:pPr>
        <w:pStyle w:val="FootnoteText"/>
        <w:rPr>
          <w:rFonts w:ascii="Times New Roman" w:hAnsi="Times New Roman" w:cs="Times New Roman"/>
          <w:sz w:val="18"/>
          <w:szCs w:val="18"/>
        </w:rPr>
      </w:pPr>
      <w:r w:rsidRPr="00B52CC9">
        <w:rPr>
          <w:rStyle w:val="FootnoteReference"/>
          <w:rFonts w:ascii="Times New Roman" w:hAnsi="Times New Roman" w:cs="Times New Roman"/>
          <w:sz w:val="18"/>
          <w:szCs w:val="18"/>
        </w:rPr>
        <w:footnoteRef/>
      </w:r>
      <w:r w:rsidRPr="00B52CC9">
        <w:rPr>
          <w:rFonts w:ascii="Times New Roman" w:hAnsi="Times New Roman" w:cs="Times New Roman"/>
          <w:sz w:val="18"/>
          <w:szCs w:val="18"/>
        </w:rPr>
        <w:t xml:space="preserve"> Contraloría General de Cuentas. Informe de Auditoría Fideicomiso de Transporte de la Ciudad de Guatemala – FIDEMUNI. Guatemala, mayo de 2010.</w:t>
      </w:r>
    </w:p>
  </w:footnote>
  <w:footnote w:id="95">
    <w:p w14:paraId="22C10B94" w14:textId="77777777" w:rsidR="000A7FAA" w:rsidRPr="00E16574" w:rsidRDefault="000A7FAA" w:rsidP="0085758B">
      <w:pPr>
        <w:pStyle w:val="FootnoteText"/>
        <w:jc w:val="both"/>
        <w:rPr>
          <w:rFonts w:asciiTheme="majorBidi" w:hAnsiTheme="majorBidi" w:cstheme="majorBidi"/>
        </w:rPr>
      </w:pPr>
      <w:r w:rsidRPr="0085758B">
        <w:rPr>
          <w:rStyle w:val="FootnoteReference"/>
          <w:rFonts w:cstheme="majorBidi"/>
          <w:sz w:val="18"/>
          <w:szCs w:val="18"/>
        </w:rPr>
        <w:footnoteRef/>
      </w:r>
      <w:r w:rsidRPr="0085758B">
        <w:rPr>
          <w:rFonts w:cstheme="majorBidi"/>
          <w:sz w:val="18"/>
          <w:szCs w:val="18"/>
        </w:rPr>
        <w:t xml:space="preserve"> Gobierno de Guatemala.  </w:t>
      </w:r>
      <w:r w:rsidRPr="0085758B">
        <w:rPr>
          <w:rFonts w:cstheme="majorBidi"/>
          <w:i/>
          <w:iCs/>
          <w:sz w:val="18"/>
          <w:szCs w:val="18"/>
        </w:rPr>
        <w:t>Propuesta de Reformas Constitucionales</w:t>
      </w:r>
      <w:r w:rsidRPr="0085758B">
        <w:rPr>
          <w:rFonts w:cstheme="majorBidi"/>
          <w:sz w:val="18"/>
          <w:szCs w:val="18"/>
        </w:rPr>
        <w:t>, agosto 2012.  Pág. 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A66F5"/>
    <w:multiLevelType w:val="hybridMultilevel"/>
    <w:tmpl w:val="7EFCE8E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5360AF0"/>
    <w:multiLevelType w:val="hybridMultilevel"/>
    <w:tmpl w:val="A95CDB4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nsid w:val="0A4C38A1"/>
    <w:multiLevelType w:val="hybridMultilevel"/>
    <w:tmpl w:val="6BD6586E"/>
    <w:lvl w:ilvl="0" w:tplc="76727894">
      <w:numFmt w:val="bullet"/>
      <w:lvlText w:val="-"/>
      <w:lvlJc w:val="left"/>
      <w:pPr>
        <w:ind w:left="360" w:hanging="360"/>
      </w:pPr>
      <w:rPr>
        <w:rFonts w:ascii="Arial Narrow" w:eastAsiaTheme="minorHAnsi" w:hAnsi="Arial Narrow" w:cstheme="minorBid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0DAB7FC9"/>
    <w:multiLevelType w:val="multilevel"/>
    <w:tmpl w:val="80B4F752"/>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hint="default"/>
        <w:b w:val="0"/>
        <w:i w:val="0"/>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
    <w:nsid w:val="0E3C459F"/>
    <w:multiLevelType w:val="hybridMultilevel"/>
    <w:tmpl w:val="293C6F3E"/>
    <w:lvl w:ilvl="0" w:tplc="C28C00EE">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33160E2"/>
    <w:multiLevelType w:val="hybridMultilevel"/>
    <w:tmpl w:val="A18604D2"/>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63E0A1F"/>
    <w:multiLevelType w:val="hybridMultilevel"/>
    <w:tmpl w:val="AF4A4C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B30B5D"/>
    <w:multiLevelType w:val="hybridMultilevel"/>
    <w:tmpl w:val="CC30C8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281503"/>
    <w:multiLevelType w:val="hybridMultilevel"/>
    <w:tmpl w:val="B1DE1B2E"/>
    <w:lvl w:ilvl="0" w:tplc="ADDC3E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522AC6"/>
    <w:multiLevelType w:val="hybridMultilevel"/>
    <w:tmpl w:val="658AD0E0"/>
    <w:lvl w:ilvl="0" w:tplc="0409000F">
      <w:start w:val="1"/>
      <w:numFmt w:val="decimal"/>
      <w:lvlText w:val="%1."/>
      <w:lvlJc w:val="left"/>
      <w:pPr>
        <w:ind w:left="1068" w:hanging="360"/>
      </w:pPr>
      <w:rPr>
        <w:rFonts w:hint="default"/>
      </w:rPr>
    </w:lvl>
    <w:lvl w:ilvl="1" w:tplc="240A0019">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0">
    <w:nsid w:val="35C17CC2"/>
    <w:multiLevelType w:val="hybridMultilevel"/>
    <w:tmpl w:val="FD16DB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C73A35"/>
    <w:multiLevelType w:val="hybridMultilevel"/>
    <w:tmpl w:val="8B2463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FD2091"/>
    <w:multiLevelType w:val="hybridMultilevel"/>
    <w:tmpl w:val="641876BC"/>
    <w:lvl w:ilvl="0" w:tplc="0409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3F19588E"/>
    <w:multiLevelType w:val="hybridMultilevel"/>
    <w:tmpl w:val="D2E08584"/>
    <w:lvl w:ilvl="0" w:tplc="7184744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41453085"/>
    <w:multiLevelType w:val="hybridMultilevel"/>
    <w:tmpl w:val="AF4A4C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4F3357"/>
    <w:multiLevelType w:val="hybridMultilevel"/>
    <w:tmpl w:val="4FE2F0C6"/>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nsid w:val="47FE2534"/>
    <w:multiLevelType w:val="hybridMultilevel"/>
    <w:tmpl w:val="CCCEA222"/>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4C2740F0"/>
    <w:multiLevelType w:val="hybridMultilevel"/>
    <w:tmpl w:val="F0AC9A50"/>
    <w:lvl w:ilvl="0" w:tplc="04090019">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8">
    <w:nsid w:val="52C2294D"/>
    <w:multiLevelType w:val="hybridMultilevel"/>
    <w:tmpl w:val="8E142F6E"/>
    <w:lvl w:ilvl="0" w:tplc="8D06B2D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5E0542AA"/>
    <w:multiLevelType w:val="hybridMultilevel"/>
    <w:tmpl w:val="41E428DC"/>
    <w:lvl w:ilvl="0" w:tplc="240A0015">
      <w:start w:val="5"/>
      <w:numFmt w:val="upperLetter"/>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0">
    <w:nsid w:val="60044CA1"/>
    <w:multiLevelType w:val="multilevel"/>
    <w:tmpl w:val="FCB8AF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632D7384"/>
    <w:multiLevelType w:val="hybridMultilevel"/>
    <w:tmpl w:val="F32C882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6A46403E"/>
    <w:multiLevelType w:val="hybridMultilevel"/>
    <w:tmpl w:val="3F9A449C"/>
    <w:lvl w:ilvl="0" w:tplc="92D4662A">
      <w:start w:val="1"/>
      <w:numFmt w:val="decimal"/>
      <w:lvlText w:val="%1."/>
      <w:lvlJc w:val="left"/>
      <w:pPr>
        <w:ind w:left="720" w:hanging="360"/>
      </w:pPr>
      <w:rPr>
        <w:rFonts w:asciiTheme="minorHAnsi" w:eastAsiaTheme="minorEastAsia" w:hAnsiTheme="minorHAnsi" w:cstheme="minorHAnsi"/>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6AD119C9"/>
    <w:multiLevelType w:val="hybridMultilevel"/>
    <w:tmpl w:val="6A6E8C0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701D6578"/>
    <w:multiLevelType w:val="hybridMultilevel"/>
    <w:tmpl w:val="AF4A4C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12F56EC"/>
    <w:multiLevelType w:val="hybridMultilevel"/>
    <w:tmpl w:val="D9D0C1EA"/>
    <w:lvl w:ilvl="0" w:tplc="002AA4C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72E34285"/>
    <w:multiLevelType w:val="hybridMultilevel"/>
    <w:tmpl w:val="E53AA250"/>
    <w:lvl w:ilvl="0" w:tplc="240A0015">
      <w:start w:val="1"/>
      <w:numFmt w:val="upperLetter"/>
      <w:lvlText w:val="%1."/>
      <w:lvlJc w:val="left"/>
      <w:pPr>
        <w:ind w:left="360" w:hanging="360"/>
      </w:pPr>
      <w:rPr>
        <w:rFonts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nsid w:val="73654CA4"/>
    <w:multiLevelType w:val="hybridMultilevel"/>
    <w:tmpl w:val="7DC0CE14"/>
    <w:lvl w:ilvl="0" w:tplc="BB2AD40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7D196CE0"/>
    <w:multiLevelType w:val="hybridMultilevel"/>
    <w:tmpl w:val="CCCEA222"/>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7E014055"/>
    <w:multiLevelType w:val="hybridMultilevel"/>
    <w:tmpl w:val="BAC6E0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6"/>
  </w:num>
  <w:num w:numId="3">
    <w:abstractNumId w:val="15"/>
  </w:num>
  <w:num w:numId="4">
    <w:abstractNumId w:val="1"/>
  </w:num>
  <w:num w:numId="5">
    <w:abstractNumId w:val="2"/>
  </w:num>
  <w:num w:numId="6">
    <w:abstractNumId w:val="22"/>
  </w:num>
  <w:num w:numId="7">
    <w:abstractNumId w:val="4"/>
  </w:num>
  <w:num w:numId="8">
    <w:abstractNumId w:val="21"/>
  </w:num>
  <w:num w:numId="9">
    <w:abstractNumId w:val="12"/>
  </w:num>
  <w:num w:numId="10">
    <w:abstractNumId w:val="9"/>
  </w:num>
  <w:num w:numId="11">
    <w:abstractNumId w:val="19"/>
  </w:num>
  <w:num w:numId="12">
    <w:abstractNumId w:val="17"/>
  </w:num>
  <w:num w:numId="13">
    <w:abstractNumId w:val="0"/>
  </w:num>
  <w:num w:numId="14">
    <w:abstractNumId w:val="23"/>
  </w:num>
  <w:num w:numId="15">
    <w:abstractNumId w:val="3"/>
  </w:num>
  <w:num w:numId="16">
    <w:abstractNumId w:val="28"/>
  </w:num>
  <w:num w:numId="17">
    <w:abstractNumId w:val="16"/>
  </w:num>
  <w:num w:numId="18">
    <w:abstractNumId w:val="25"/>
  </w:num>
  <w:num w:numId="19">
    <w:abstractNumId w:val="18"/>
  </w:num>
  <w:num w:numId="20">
    <w:abstractNumId w:val="27"/>
  </w:num>
  <w:num w:numId="21">
    <w:abstractNumId w:val="11"/>
  </w:num>
  <w:num w:numId="22">
    <w:abstractNumId w:val="13"/>
  </w:num>
  <w:num w:numId="23">
    <w:abstractNumId w:val="5"/>
  </w:num>
  <w:num w:numId="24">
    <w:abstractNumId w:val="29"/>
  </w:num>
  <w:num w:numId="25">
    <w:abstractNumId w:val="7"/>
  </w:num>
  <w:num w:numId="26">
    <w:abstractNumId w:val="6"/>
  </w:num>
  <w:num w:numId="27">
    <w:abstractNumId w:val="14"/>
  </w:num>
  <w:num w:numId="28">
    <w:abstractNumId w:val="8"/>
  </w:num>
  <w:num w:numId="29">
    <w:abstractNumId w:val="10"/>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1D0"/>
    <w:rsid w:val="00001714"/>
    <w:rsid w:val="00002A7F"/>
    <w:rsid w:val="000041AA"/>
    <w:rsid w:val="00004B11"/>
    <w:rsid w:val="00004F2A"/>
    <w:rsid w:val="00005255"/>
    <w:rsid w:val="00005A05"/>
    <w:rsid w:val="00006054"/>
    <w:rsid w:val="0000605D"/>
    <w:rsid w:val="000138F8"/>
    <w:rsid w:val="0001405F"/>
    <w:rsid w:val="00017A7F"/>
    <w:rsid w:val="00017EF9"/>
    <w:rsid w:val="000208C4"/>
    <w:rsid w:val="000242DF"/>
    <w:rsid w:val="00025067"/>
    <w:rsid w:val="00025785"/>
    <w:rsid w:val="00027416"/>
    <w:rsid w:val="00031A72"/>
    <w:rsid w:val="0004164F"/>
    <w:rsid w:val="00043939"/>
    <w:rsid w:val="000440B7"/>
    <w:rsid w:val="0004460E"/>
    <w:rsid w:val="00045660"/>
    <w:rsid w:val="00046C0D"/>
    <w:rsid w:val="0004748D"/>
    <w:rsid w:val="00051D40"/>
    <w:rsid w:val="0005426A"/>
    <w:rsid w:val="000564C3"/>
    <w:rsid w:val="00057498"/>
    <w:rsid w:val="000608DC"/>
    <w:rsid w:val="00062985"/>
    <w:rsid w:val="00063CE2"/>
    <w:rsid w:val="00063E15"/>
    <w:rsid w:val="0006740C"/>
    <w:rsid w:val="00067466"/>
    <w:rsid w:val="00067CB9"/>
    <w:rsid w:val="0007511E"/>
    <w:rsid w:val="000768B7"/>
    <w:rsid w:val="00080242"/>
    <w:rsid w:val="0008518A"/>
    <w:rsid w:val="00085336"/>
    <w:rsid w:val="00085D63"/>
    <w:rsid w:val="000865FE"/>
    <w:rsid w:val="0008764D"/>
    <w:rsid w:val="00091EC8"/>
    <w:rsid w:val="00093721"/>
    <w:rsid w:val="00093F0D"/>
    <w:rsid w:val="000946E1"/>
    <w:rsid w:val="00094D9E"/>
    <w:rsid w:val="000A1D00"/>
    <w:rsid w:val="000A21D9"/>
    <w:rsid w:val="000A2D2E"/>
    <w:rsid w:val="000A3AD9"/>
    <w:rsid w:val="000A7448"/>
    <w:rsid w:val="000A7EB6"/>
    <w:rsid w:val="000A7FAA"/>
    <w:rsid w:val="000B28BD"/>
    <w:rsid w:val="000B45D5"/>
    <w:rsid w:val="000B618A"/>
    <w:rsid w:val="000B6B86"/>
    <w:rsid w:val="000B6E9D"/>
    <w:rsid w:val="000B7045"/>
    <w:rsid w:val="000C07E4"/>
    <w:rsid w:val="000C473F"/>
    <w:rsid w:val="000D0992"/>
    <w:rsid w:val="000D11CE"/>
    <w:rsid w:val="000D19D0"/>
    <w:rsid w:val="000D4C0E"/>
    <w:rsid w:val="000D6231"/>
    <w:rsid w:val="000D7185"/>
    <w:rsid w:val="000E0D6F"/>
    <w:rsid w:val="000E231D"/>
    <w:rsid w:val="000E332E"/>
    <w:rsid w:val="000E3C1F"/>
    <w:rsid w:val="000E3D74"/>
    <w:rsid w:val="000E70AC"/>
    <w:rsid w:val="000F33DE"/>
    <w:rsid w:val="000F47AB"/>
    <w:rsid w:val="000F5AF6"/>
    <w:rsid w:val="000F785A"/>
    <w:rsid w:val="00102182"/>
    <w:rsid w:val="00104FA6"/>
    <w:rsid w:val="00105563"/>
    <w:rsid w:val="001135A8"/>
    <w:rsid w:val="00113EBA"/>
    <w:rsid w:val="00114F56"/>
    <w:rsid w:val="001159CF"/>
    <w:rsid w:val="00120985"/>
    <w:rsid w:val="00124231"/>
    <w:rsid w:val="00133020"/>
    <w:rsid w:val="00136B78"/>
    <w:rsid w:val="00137201"/>
    <w:rsid w:val="001438E5"/>
    <w:rsid w:val="00146DC8"/>
    <w:rsid w:val="00147C72"/>
    <w:rsid w:val="001519F6"/>
    <w:rsid w:val="001539E7"/>
    <w:rsid w:val="001542B9"/>
    <w:rsid w:val="00165458"/>
    <w:rsid w:val="00166498"/>
    <w:rsid w:val="00170020"/>
    <w:rsid w:val="001702B8"/>
    <w:rsid w:val="00171051"/>
    <w:rsid w:val="001739BE"/>
    <w:rsid w:val="00173CDF"/>
    <w:rsid w:val="00174F1E"/>
    <w:rsid w:val="00181DCF"/>
    <w:rsid w:val="001828FF"/>
    <w:rsid w:val="00185810"/>
    <w:rsid w:val="00185D99"/>
    <w:rsid w:val="001874E1"/>
    <w:rsid w:val="0019147B"/>
    <w:rsid w:val="00196630"/>
    <w:rsid w:val="001979A1"/>
    <w:rsid w:val="00197BE7"/>
    <w:rsid w:val="001A19A5"/>
    <w:rsid w:val="001A19D8"/>
    <w:rsid w:val="001A353F"/>
    <w:rsid w:val="001A66EF"/>
    <w:rsid w:val="001A6B37"/>
    <w:rsid w:val="001B00B3"/>
    <w:rsid w:val="001B1817"/>
    <w:rsid w:val="001B508D"/>
    <w:rsid w:val="001B5394"/>
    <w:rsid w:val="001B672B"/>
    <w:rsid w:val="001C10BE"/>
    <w:rsid w:val="001C26FA"/>
    <w:rsid w:val="001C2C17"/>
    <w:rsid w:val="001C65AF"/>
    <w:rsid w:val="001D09F9"/>
    <w:rsid w:val="001D1179"/>
    <w:rsid w:val="001D12AD"/>
    <w:rsid w:val="001D51A8"/>
    <w:rsid w:val="001E03EF"/>
    <w:rsid w:val="001E2A3F"/>
    <w:rsid w:val="001E2ACA"/>
    <w:rsid w:val="001E36CE"/>
    <w:rsid w:val="001E399D"/>
    <w:rsid w:val="001E39FC"/>
    <w:rsid w:val="001E4079"/>
    <w:rsid w:val="001F3289"/>
    <w:rsid w:val="001F4D87"/>
    <w:rsid w:val="001F72C5"/>
    <w:rsid w:val="00201155"/>
    <w:rsid w:val="0020391B"/>
    <w:rsid w:val="00204EF7"/>
    <w:rsid w:val="00205E1C"/>
    <w:rsid w:val="00206705"/>
    <w:rsid w:val="00207B7D"/>
    <w:rsid w:val="002132AD"/>
    <w:rsid w:val="002146B8"/>
    <w:rsid w:val="00215BE7"/>
    <w:rsid w:val="00215CA3"/>
    <w:rsid w:val="002203E1"/>
    <w:rsid w:val="002220E2"/>
    <w:rsid w:val="00222387"/>
    <w:rsid w:val="00223724"/>
    <w:rsid w:val="0022457C"/>
    <w:rsid w:val="00230413"/>
    <w:rsid w:val="00231967"/>
    <w:rsid w:val="00236272"/>
    <w:rsid w:val="00242F8B"/>
    <w:rsid w:val="002433BD"/>
    <w:rsid w:val="00243413"/>
    <w:rsid w:val="00251199"/>
    <w:rsid w:val="00251E1A"/>
    <w:rsid w:val="00255491"/>
    <w:rsid w:val="00261030"/>
    <w:rsid w:val="00261D4F"/>
    <w:rsid w:val="002623A4"/>
    <w:rsid w:val="00265F05"/>
    <w:rsid w:val="00266411"/>
    <w:rsid w:val="0026726A"/>
    <w:rsid w:val="00270A5E"/>
    <w:rsid w:val="002723BE"/>
    <w:rsid w:val="00272413"/>
    <w:rsid w:val="0027447E"/>
    <w:rsid w:val="0028152A"/>
    <w:rsid w:val="002829B3"/>
    <w:rsid w:val="00283D02"/>
    <w:rsid w:val="002851D1"/>
    <w:rsid w:val="00287A27"/>
    <w:rsid w:val="002902E6"/>
    <w:rsid w:val="002920DB"/>
    <w:rsid w:val="00292720"/>
    <w:rsid w:val="0029318E"/>
    <w:rsid w:val="002974E8"/>
    <w:rsid w:val="00297547"/>
    <w:rsid w:val="002A1001"/>
    <w:rsid w:val="002A3A8D"/>
    <w:rsid w:val="002A60E5"/>
    <w:rsid w:val="002B05E5"/>
    <w:rsid w:val="002B06BE"/>
    <w:rsid w:val="002B09E1"/>
    <w:rsid w:val="002B3AC5"/>
    <w:rsid w:val="002B3AFC"/>
    <w:rsid w:val="002B3B05"/>
    <w:rsid w:val="002B3C94"/>
    <w:rsid w:val="002B4703"/>
    <w:rsid w:val="002B5C27"/>
    <w:rsid w:val="002C061A"/>
    <w:rsid w:val="002C32CD"/>
    <w:rsid w:val="002C7E26"/>
    <w:rsid w:val="002D3907"/>
    <w:rsid w:val="002D3A3B"/>
    <w:rsid w:val="002D6AAC"/>
    <w:rsid w:val="002D7A8E"/>
    <w:rsid w:val="002E0432"/>
    <w:rsid w:val="002E0D64"/>
    <w:rsid w:val="002E6C42"/>
    <w:rsid w:val="002E6E97"/>
    <w:rsid w:val="002F0BCA"/>
    <w:rsid w:val="002F0C05"/>
    <w:rsid w:val="002F1ED6"/>
    <w:rsid w:val="002F3CE9"/>
    <w:rsid w:val="002F7344"/>
    <w:rsid w:val="002F7FDF"/>
    <w:rsid w:val="0030199A"/>
    <w:rsid w:val="00302994"/>
    <w:rsid w:val="00307829"/>
    <w:rsid w:val="00310B73"/>
    <w:rsid w:val="00316A29"/>
    <w:rsid w:val="003215B5"/>
    <w:rsid w:val="0032178C"/>
    <w:rsid w:val="003226EB"/>
    <w:rsid w:val="003235A3"/>
    <w:rsid w:val="0033002B"/>
    <w:rsid w:val="00331B00"/>
    <w:rsid w:val="00332DE0"/>
    <w:rsid w:val="00333883"/>
    <w:rsid w:val="0033427E"/>
    <w:rsid w:val="003357C5"/>
    <w:rsid w:val="00336E11"/>
    <w:rsid w:val="00337CC4"/>
    <w:rsid w:val="00341AD6"/>
    <w:rsid w:val="003457B7"/>
    <w:rsid w:val="0034594E"/>
    <w:rsid w:val="003471AD"/>
    <w:rsid w:val="00347CE8"/>
    <w:rsid w:val="00350AC8"/>
    <w:rsid w:val="003537E5"/>
    <w:rsid w:val="003539C5"/>
    <w:rsid w:val="003606E3"/>
    <w:rsid w:val="00360E2A"/>
    <w:rsid w:val="003660BF"/>
    <w:rsid w:val="003710FD"/>
    <w:rsid w:val="0037565C"/>
    <w:rsid w:val="0037672D"/>
    <w:rsid w:val="00377F5B"/>
    <w:rsid w:val="003808EF"/>
    <w:rsid w:val="0038179D"/>
    <w:rsid w:val="00382F58"/>
    <w:rsid w:val="003833C9"/>
    <w:rsid w:val="003836F4"/>
    <w:rsid w:val="003841C3"/>
    <w:rsid w:val="00384249"/>
    <w:rsid w:val="00385DE1"/>
    <w:rsid w:val="003876EA"/>
    <w:rsid w:val="00392300"/>
    <w:rsid w:val="00392B61"/>
    <w:rsid w:val="003934B6"/>
    <w:rsid w:val="0039745F"/>
    <w:rsid w:val="003A16C2"/>
    <w:rsid w:val="003A39CC"/>
    <w:rsid w:val="003A4107"/>
    <w:rsid w:val="003A42DE"/>
    <w:rsid w:val="003A4C17"/>
    <w:rsid w:val="003A533C"/>
    <w:rsid w:val="003A65EE"/>
    <w:rsid w:val="003A7536"/>
    <w:rsid w:val="003B05FB"/>
    <w:rsid w:val="003B2D89"/>
    <w:rsid w:val="003B566B"/>
    <w:rsid w:val="003B583A"/>
    <w:rsid w:val="003B58D7"/>
    <w:rsid w:val="003C612B"/>
    <w:rsid w:val="003D319D"/>
    <w:rsid w:val="003D4742"/>
    <w:rsid w:val="003D5285"/>
    <w:rsid w:val="003D6548"/>
    <w:rsid w:val="003D6597"/>
    <w:rsid w:val="003E2653"/>
    <w:rsid w:val="003E4E9D"/>
    <w:rsid w:val="003F217D"/>
    <w:rsid w:val="003F3414"/>
    <w:rsid w:val="003F46A2"/>
    <w:rsid w:val="003F4744"/>
    <w:rsid w:val="0040462B"/>
    <w:rsid w:val="00407A96"/>
    <w:rsid w:val="00407EAE"/>
    <w:rsid w:val="004128F8"/>
    <w:rsid w:val="00412D32"/>
    <w:rsid w:val="00412FE3"/>
    <w:rsid w:val="00416CE2"/>
    <w:rsid w:val="00416EC6"/>
    <w:rsid w:val="004226A6"/>
    <w:rsid w:val="004238DD"/>
    <w:rsid w:val="00425FE3"/>
    <w:rsid w:val="00427DC3"/>
    <w:rsid w:val="00431BFA"/>
    <w:rsid w:val="00431E2C"/>
    <w:rsid w:val="004321E7"/>
    <w:rsid w:val="0043409F"/>
    <w:rsid w:val="00434F76"/>
    <w:rsid w:val="004355A5"/>
    <w:rsid w:val="00437003"/>
    <w:rsid w:val="00437A21"/>
    <w:rsid w:val="004413C7"/>
    <w:rsid w:val="004420C0"/>
    <w:rsid w:val="00442B3F"/>
    <w:rsid w:val="00443BB3"/>
    <w:rsid w:val="00444827"/>
    <w:rsid w:val="00444C45"/>
    <w:rsid w:val="0044539A"/>
    <w:rsid w:val="00453B0D"/>
    <w:rsid w:val="004550F0"/>
    <w:rsid w:val="004558F8"/>
    <w:rsid w:val="00455F96"/>
    <w:rsid w:val="00457EB3"/>
    <w:rsid w:val="00461630"/>
    <w:rsid w:val="004620B2"/>
    <w:rsid w:val="00462E43"/>
    <w:rsid w:val="00464D84"/>
    <w:rsid w:val="00470ADA"/>
    <w:rsid w:val="0047105C"/>
    <w:rsid w:val="004713A5"/>
    <w:rsid w:val="00473340"/>
    <w:rsid w:val="00474ACD"/>
    <w:rsid w:val="00475739"/>
    <w:rsid w:val="00477027"/>
    <w:rsid w:val="00481D2F"/>
    <w:rsid w:val="00485228"/>
    <w:rsid w:val="00485339"/>
    <w:rsid w:val="00495691"/>
    <w:rsid w:val="004973F4"/>
    <w:rsid w:val="004A01D7"/>
    <w:rsid w:val="004A0D47"/>
    <w:rsid w:val="004A121E"/>
    <w:rsid w:val="004A1F28"/>
    <w:rsid w:val="004A1FB0"/>
    <w:rsid w:val="004A37A4"/>
    <w:rsid w:val="004A3F35"/>
    <w:rsid w:val="004A40A5"/>
    <w:rsid w:val="004A5671"/>
    <w:rsid w:val="004B408C"/>
    <w:rsid w:val="004B516F"/>
    <w:rsid w:val="004C2550"/>
    <w:rsid w:val="004C5902"/>
    <w:rsid w:val="004C7463"/>
    <w:rsid w:val="004E0146"/>
    <w:rsid w:val="004E2105"/>
    <w:rsid w:val="004E35A6"/>
    <w:rsid w:val="004E414C"/>
    <w:rsid w:val="004E466C"/>
    <w:rsid w:val="004E53FF"/>
    <w:rsid w:val="004F0947"/>
    <w:rsid w:val="004F66BD"/>
    <w:rsid w:val="004F7E88"/>
    <w:rsid w:val="00500DAE"/>
    <w:rsid w:val="005012B8"/>
    <w:rsid w:val="00502353"/>
    <w:rsid w:val="005028D4"/>
    <w:rsid w:val="00503459"/>
    <w:rsid w:val="005039F0"/>
    <w:rsid w:val="00512628"/>
    <w:rsid w:val="00513551"/>
    <w:rsid w:val="00515E3E"/>
    <w:rsid w:val="00516AFB"/>
    <w:rsid w:val="00516C9D"/>
    <w:rsid w:val="0052039B"/>
    <w:rsid w:val="0052058C"/>
    <w:rsid w:val="00520C31"/>
    <w:rsid w:val="00523230"/>
    <w:rsid w:val="00526DC7"/>
    <w:rsid w:val="00537797"/>
    <w:rsid w:val="00540C82"/>
    <w:rsid w:val="005414EF"/>
    <w:rsid w:val="00543AC9"/>
    <w:rsid w:val="0054451E"/>
    <w:rsid w:val="00545A0B"/>
    <w:rsid w:val="005501A7"/>
    <w:rsid w:val="00552043"/>
    <w:rsid w:val="00560405"/>
    <w:rsid w:val="005624D4"/>
    <w:rsid w:val="005714AA"/>
    <w:rsid w:val="00581E0A"/>
    <w:rsid w:val="00582406"/>
    <w:rsid w:val="0058314F"/>
    <w:rsid w:val="0059011F"/>
    <w:rsid w:val="005913C6"/>
    <w:rsid w:val="005945DD"/>
    <w:rsid w:val="00595495"/>
    <w:rsid w:val="00597F5E"/>
    <w:rsid w:val="005A0632"/>
    <w:rsid w:val="005A1412"/>
    <w:rsid w:val="005A14AA"/>
    <w:rsid w:val="005A1A36"/>
    <w:rsid w:val="005A694A"/>
    <w:rsid w:val="005B217D"/>
    <w:rsid w:val="005B309E"/>
    <w:rsid w:val="005B31BF"/>
    <w:rsid w:val="005B56D3"/>
    <w:rsid w:val="005C435D"/>
    <w:rsid w:val="005C451E"/>
    <w:rsid w:val="005C7319"/>
    <w:rsid w:val="005D0500"/>
    <w:rsid w:val="005D135B"/>
    <w:rsid w:val="005D2CE5"/>
    <w:rsid w:val="005D4CDA"/>
    <w:rsid w:val="005D5515"/>
    <w:rsid w:val="005D692B"/>
    <w:rsid w:val="005E1289"/>
    <w:rsid w:val="005E319A"/>
    <w:rsid w:val="005E4CB2"/>
    <w:rsid w:val="005E4D28"/>
    <w:rsid w:val="005E676E"/>
    <w:rsid w:val="005E6AB0"/>
    <w:rsid w:val="005E6D53"/>
    <w:rsid w:val="005F21A0"/>
    <w:rsid w:val="005F21DD"/>
    <w:rsid w:val="005F4941"/>
    <w:rsid w:val="005F5BE0"/>
    <w:rsid w:val="005F67D7"/>
    <w:rsid w:val="005F7CC8"/>
    <w:rsid w:val="00602329"/>
    <w:rsid w:val="00602E82"/>
    <w:rsid w:val="006034DA"/>
    <w:rsid w:val="006047C2"/>
    <w:rsid w:val="00606521"/>
    <w:rsid w:val="00606DBC"/>
    <w:rsid w:val="00612391"/>
    <w:rsid w:val="00612A9C"/>
    <w:rsid w:val="006131F6"/>
    <w:rsid w:val="00613BAD"/>
    <w:rsid w:val="00613F29"/>
    <w:rsid w:val="006142B7"/>
    <w:rsid w:val="00615ACE"/>
    <w:rsid w:val="00615B47"/>
    <w:rsid w:val="00621CD7"/>
    <w:rsid w:val="00623133"/>
    <w:rsid w:val="00623F57"/>
    <w:rsid w:val="0062400B"/>
    <w:rsid w:val="006252AC"/>
    <w:rsid w:val="00625701"/>
    <w:rsid w:val="00634436"/>
    <w:rsid w:val="00634835"/>
    <w:rsid w:val="00635DC4"/>
    <w:rsid w:val="006375E0"/>
    <w:rsid w:val="00640A28"/>
    <w:rsid w:val="00642CE7"/>
    <w:rsid w:val="00643E70"/>
    <w:rsid w:val="00644061"/>
    <w:rsid w:val="00644A76"/>
    <w:rsid w:val="00645CAD"/>
    <w:rsid w:val="00646DD5"/>
    <w:rsid w:val="006521DD"/>
    <w:rsid w:val="006554CC"/>
    <w:rsid w:val="00655612"/>
    <w:rsid w:val="0065637A"/>
    <w:rsid w:val="00665931"/>
    <w:rsid w:val="00667970"/>
    <w:rsid w:val="0067518D"/>
    <w:rsid w:val="0067793B"/>
    <w:rsid w:val="00682603"/>
    <w:rsid w:val="00686862"/>
    <w:rsid w:val="00690021"/>
    <w:rsid w:val="00695455"/>
    <w:rsid w:val="00695BF8"/>
    <w:rsid w:val="0069733A"/>
    <w:rsid w:val="006A1C1A"/>
    <w:rsid w:val="006A379B"/>
    <w:rsid w:val="006A5764"/>
    <w:rsid w:val="006B2E89"/>
    <w:rsid w:val="006B51EA"/>
    <w:rsid w:val="006B5345"/>
    <w:rsid w:val="006B58A3"/>
    <w:rsid w:val="006B69E6"/>
    <w:rsid w:val="006C0EA4"/>
    <w:rsid w:val="006C10C4"/>
    <w:rsid w:val="006C320C"/>
    <w:rsid w:val="006C5ED3"/>
    <w:rsid w:val="006D13CE"/>
    <w:rsid w:val="006D26B9"/>
    <w:rsid w:val="006D3513"/>
    <w:rsid w:val="006D45F5"/>
    <w:rsid w:val="006D4C33"/>
    <w:rsid w:val="006D5BB0"/>
    <w:rsid w:val="006D621E"/>
    <w:rsid w:val="006E0111"/>
    <w:rsid w:val="006E0288"/>
    <w:rsid w:val="006E0727"/>
    <w:rsid w:val="006E08EE"/>
    <w:rsid w:val="006E0AA5"/>
    <w:rsid w:val="006E4FC0"/>
    <w:rsid w:val="006E74BD"/>
    <w:rsid w:val="006F08A5"/>
    <w:rsid w:val="006F19F3"/>
    <w:rsid w:val="006F393F"/>
    <w:rsid w:val="006F3B28"/>
    <w:rsid w:val="006F40F4"/>
    <w:rsid w:val="006F482C"/>
    <w:rsid w:val="006F7232"/>
    <w:rsid w:val="0070203B"/>
    <w:rsid w:val="00706FB5"/>
    <w:rsid w:val="0070797B"/>
    <w:rsid w:val="00707E1E"/>
    <w:rsid w:val="00710D95"/>
    <w:rsid w:val="007118DB"/>
    <w:rsid w:val="00713C7C"/>
    <w:rsid w:val="00715D28"/>
    <w:rsid w:val="007227A4"/>
    <w:rsid w:val="007227E2"/>
    <w:rsid w:val="00725598"/>
    <w:rsid w:val="007259BC"/>
    <w:rsid w:val="0072637A"/>
    <w:rsid w:val="00731887"/>
    <w:rsid w:val="00731A6F"/>
    <w:rsid w:val="00731CB2"/>
    <w:rsid w:val="007429D6"/>
    <w:rsid w:val="0074351B"/>
    <w:rsid w:val="00746A9B"/>
    <w:rsid w:val="00746C94"/>
    <w:rsid w:val="00750C50"/>
    <w:rsid w:val="00751A63"/>
    <w:rsid w:val="0075259C"/>
    <w:rsid w:val="00753483"/>
    <w:rsid w:val="00755A79"/>
    <w:rsid w:val="0075725A"/>
    <w:rsid w:val="00760C25"/>
    <w:rsid w:val="00765412"/>
    <w:rsid w:val="00766888"/>
    <w:rsid w:val="0076707A"/>
    <w:rsid w:val="00772820"/>
    <w:rsid w:val="00773C4A"/>
    <w:rsid w:val="00780A1F"/>
    <w:rsid w:val="0078425F"/>
    <w:rsid w:val="007857C7"/>
    <w:rsid w:val="007863C2"/>
    <w:rsid w:val="00787C80"/>
    <w:rsid w:val="007921D5"/>
    <w:rsid w:val="00796E8C"/>
    <w:rsid w:val="00797B8A"/>
    <w:rsid w:val="007A01E0"/>
    <w:rsid w:val="007A04C6"/>
    <w:rsid w:val="007A080F"/>
    <w:rsid w:val="007A2D86"/>
    <w:rsid w:val="007A4764"/>
    <w:rsid w:val="007A4F90"/>
    <w:rsid w:val="007A5F61"/>
    <w:rsid w:val="007A65B4"/>
    <w:rsid w:val="007A6BEB"/>
    <w:rsid w:val="007B182D"/>
    <w:rsid w:val="007B2634"/>
    <w:rsid w:val="007B280A"/>
    <w:rsid w:val="007B2F37"/>
    <w:rsid w:val="007B3FAA"/>
    <w:rsid w:val="007B43DB"/>
    <w:rsid w:val="007B6831"/>
    <w:rsid w:val="007B739B"/>
    <w:rsid w:val="007B76A6"/>
    <w:rsid w:val="007C0E3C"/>
    <w:rsid w:val="007C74FA"/>
    <w:rsid w:val="007D2B43"/>
    <w:rsid w:val="007D2C2E"/>
    <w:rsid w:val="007D3AF8"/>
    <w:rsid w:val="007E51EE"/>
    <w:rsid w:val="007E5C89"/>
    <w:rsid w:val="007E6B98"/>
    <w:rsid w:val="007E7250"/>
    <w:rsid w:val="007F1CE5"/>
    <w:rsid w:val="007F2216"/>
    <w:rsid w:val="007F54C3"/>
    <w:rsid w:val="007F58A4"/>
    <w:rsid w:val="008003D4"/>
    <w:rsid w:val="00800ECB"/>
    <w:rsid w:val="00801157"/>
    <w:rsid w:val="0080158F"/>
    <w:rsid w:val="0080304A"/>
    <w:rsid w:val="00805345"/>
    <w:rsid w:val="00812D37"/>
    <w:rsid w:val="00814A77"/>
    <w:rsid w:val="00821275"/>
    <w:rsid w:val="0082161E"/>
    <w:rsid w:val="0082182F"/>
    <w:rsid w:val="00823887"/>
    <w:rsid w:val="00824E1A"/>
    <w:rsid w:val="008274F2"/>
    <w:rsid w:val="0083286D"/>
    <w:rsid w:val="00832F65"/>
    <w:rsid w:val="00833BB6"/>
    <w:rsid w:val="00834453"/>
    <w:rsid w:val="0083508B"/>
    <w:rsid w:val="0083582E"/>
    <w:rsid w:val="00837F54"/>
    <w:rsid w:val="008400F5"/>
    <w:rsid w:val="008400FC"/>
    <w:rsid w:val="0084011A"/>
    <w:rsid w:val="00844F35"/>
    <w:rsid w:val="008467C3"/>
    <w:rsid w:val="00850C1E"/>
    <w:rsid w:val="0085153C"/>
    <w:rsid w:val="00851E84"/>
    <w:rsid w:val="00854552"/>
    <w:rsid w:val="008574F1"/>
    <w:rsid w:val="0085758B"/>
    <w:rsid w:val="00860ED8"/>
    <w:rsid w:val="008659DB"/>
    <w:rsid w:val="0086738D"/>
    <w:rsid w:val="00870863"/>
    <w:rsid w:val="00871B22"/>
    <w:rsid w:val="008722F1"/>
    <w:rsid w:val="00876394"/>
    <w:rsid w:val="008770D4"/>
    <w:rsid w:val="00880041"/>
    <w:rsid w:val="00880B67"/>
    <w:rsid w:val="00882941"/>
    <w:rsid w:val="00883543"/>
    <w:rsid w:val="00884F82"/>
    <w:rsid w:val="00896445"/>
    <w:rsid w:val="00896688"/>
    <w:rsid w:val="008A09F4"/>
    <w:rsid w:val="008B144F"/>
    <w:rsid w:val="008B16BD"/>
    <w:rsid w:val="008B1B0C"/>
    <w:rsid w:val="008B24B6"/>
    <w:rsid w:val="008B43BB"/>
    <w:rsid w:val="008B47E1"/>
    <w:rsid w:val="008B5451"/>
    <w:rsid w:val="008B6F7B"/>
    <w:rsid w:val="008C28A4"/>
    <w:rsid w:val="008C5B46"/>
    <w:rsid w:val="008D0BB6"/>
    <w:rsid w:val="008D17FD"/>
    <w:rsid w:val="008D225A"/>
    <w:rsid w:val="008D4FAC"/>
    <w:rsid w:val="008D635C"/>
    <w:rsid w:val="008D6C68"/>
    <w:rsid w:val="008E0015"/>
    <w:rsid w:val="008E0B45"/>
    <w:rsid w:val="008E217F"/>
    <w:rsid w:val="008E2642"/>
    <w:rsid w:val="008E3915"/>
    <w:rsid w:val="008E3967"/>
    <w:rsid w:val="008E3A28"/>
    <w:rsid w:val="008E78C0"/>
    <w:rsid w:val="008F0C6F"/>
    <w:rsid w:val="008F1CC3"/>
    <w:rsid w:val="008F5AD1"/>
    <w:rsid w:val="008F654E"/>
    <w:rsid w:val="00901225"/>
    <w:rsid w:val="00901932"/>
    <w:rsid w:val="009024EF"/>
    <w:rsid w:val="00902DFF"/>
    <w:rsid w:val="00905326"/>
    <w:rsid w:val="009068CE"/>
    <w:rsid w:val="00906CFC"/>
    <w:rsid w:val="009110D1"/>
    <w:rsid w:val="009125AF"/>
    <w:rsid w:val="00915CCF"/>
    <w:rsid w:val="00917651"/>
    <w:rsid w:val="00920D34"/>
    <w:rsid w:val="00920F30"/>
    <w:rsid w:val="00920F61"/>
    <w:rsid w:val="0092199E"/>
    <w:rsid w:val="00925B4A"/>
    <w:rsid w:val="009267B3"/>
    <w:rsid w:val="00930E2A"/>
    <w:rsid w:val="0094033F"/>
    <w:rsid w:val="009405DC"/>
    <w:rsid w:val="009414FA"/>
    <w:rsid w:val="009424E6"/>
    <w:rsid w:val="00942629"/>
    <w:rsid w:val="00943B94"/>
    <w:rsid w:val="00943F46"/>
    <w:rsid w:val="00947838"/>
    <w:rsid w:val="00954D5C"/>
    <w:rsid w:val="00957139"/>
    <w:rsid w:val="00960070"/>
    <w:rsid w:val="00962D88"/>
    <w:rsid w:val="00964C96"/>
    <w:rsid w:val="00966768"/>
    <w:rsid w:val="0096764E"/>
    <w:rsid w:val="00971556"/>
    <w:rsid w:val="009767B3"/>
    <w:rsid w:val="00977973"/>
    <w:rsid w:val="00981BC4"/>
    <w:rsid w:val="009824C5"/>
    <w:rsid w:val="0098320E"/>
    <w:rsid w:val="00985403"/>
    <w:rsid w:val="00986B39"/>
    <w:rsid w:val="0098770F"/>
    <w:rsid w:val="00996612"/>
    <w:rsid w:val="009A00DA"/>
    <w:rsid w:val="009A02A8"/>
    <w:rsid w:val="009A2BEC"/>
    <w:rsid w:val="009A3DCB"/>
    <w:rsid w:val="009A687A"/>
    <w:rsid w:val="009A6D73"/>
    <w:rsid w:val="009B3288"/>
    <w:rsid w:val="009B3D59"/>
    <w:rsid w:val="009B4713"/>
    <w:rsid w:val="009B50A1"/>
    <w:rsid w:val="009B522D"/>
    <w:rsid w:val="009B6373"/>
    <w:rsid w:val="009C048B"/>
    <w:rsid w:val="009C0A91"/>
    <w:rsid w:val="009C131D"/>
    <w:rsid w:val="009C18C9"/>
    <w:rsid w:val="009C5A82"/>
    <w:rsid w:val="009C71FD"/>
    <w:rsid w:val="009C7F73"/>
    <w:rsid w:val="009D2C0E"/>
    <w:rsid w:val="009D38A0"/>
    <w:rsid w:val="009D4F8E"/>
    <w:rsid w:val="009D5136"/>
    <w:rsid w:val="009D7209"/>
    <w:rsid w:val="009D773B"/>
    <w:rsid w:val="009E15C7"/>
    <w:rsid w:val="009F04C5"/>
    <w:rsid w:val="009F0C96"/>
    <w:rsid w:val="009F1805"/>
    <w:rsid w:val="009F2762"/>
    <w:rsid w:val="009F62FD"/>
    <w:rsid w:val="009F6BDE"/>
    <w:rsid w:val="00A11BD6"/>
    <w:rsid w:val="00A12E7A"/>
    <w:rsid w:val="00A13D50"/>
    <w:rsid w:val="00A2085B"/>
    <w:rsid w:val="00A25AFD"/>
    <w:rsid w:val="00A26A11"/>
    <w:rsid w:val="00A301D0"/>
    <w:rsid w:val="00A306CF"/>
    <w:rsid w:val="00A31B67"/>
    <w:rsid w:val="00A31C01"/>
    <w:rsid w:val="00A3693C"/>
    <w:rsid w:val="00A41593"/>
    <w:rsid w:val="00A42EA8"/>
    <w:rsid w:val="00A43FEF"/>
    <w:rsid w:val="00A45501"/>
    <w:rsid w:val="00A45923"/>
    <w:rsid w:val="00A4613D"/>
    <w:rsid w:val="00A46544"/>
    <w:rsid w:val="00A47949"/>
    <w:rsid w:val="00A5326D"/>
    <w:rsid w:val="00A567DE"/>
    <w:rsid w:val="00A56829"/>
    <w:rsid w:val="00A61025"/>
    <w:rsid w:val="00A62198"/>
    <w:rsid w:val="00A64BAE"/>
    <w:rsid w:val="00A66ADD"/>
    <w:rsid w:val="00A679B0"/>
    <w:rsid w:val="00A707EE"/>
    <w:rsid w:val="00A70BF5"/>
    <w:rsid w:val="00A76B55"/>
    <w:rsid w:val="00A80130"/>
    <w:rsid w:val="00A81A4B"/>
    <w:rsid w:val="00A81E28"/>
    <w:rsid w:val="00A82512"/>
    <w:rsid w:val="00A8285A"/>
    <w:rsid w:val="00A83BC8"/>
    <w:rsid w:val="00A90C19"/>
    <w:rsid w:val="00A92267"/>
    <w:rsid w:val="00A95BF5"/>
    <w:rsid w:val="00A969C9"/>
    <w:rsid w:val="00AA2A44"/>
    <w:rsid w:val="00AB083B"/>
    <w:rsid w:val="00AB7338"/>
    <w:rsid w:val="00AC0B13"/>
    <w:rsid w:val="00AC371F"/>
    <w:rsid w:val="00AC415B"/>
    <w:rsid w:val="00AC4397"/>
    <w:rsid w:val="00AD3A9A"/>
    <w:rsid w:val="00AD5F00"/>
    <w:rsid w:val="00AD6988"/>
    <w:rsid w:val="00AD7A66"/>
    <w:rsid w:val="00AE1930"/>
    <w:rsid w:val="00AE20BB"/>
    <w:rsid w:val="00AE4597"/>
    <w:rsid w:val="00AE7A87"/>
    <w:rsid w:val="00AF2C1E"/>
    <w:rsid w:val="00AF3615"/>
    <w:rsid w:val="00AF4C55"/>
    <w:rsid w:val="00AF71C9"/>
    <w:rsid w:val="00AF7A5B"/>
    <w:rsid w:val="00B01AA0"/>
    <w:rsid w:val="00B04E54"/>
    <w:rsid w:val="00B058F6"/>
    <w:rsid w:val="00B05EA5"/>
    <w:rsid w:val="00B05F04"/>
    <w:rsid w:val="00B067F0"/>
    <w:rsid w:val="00B10223"/>
    <w:rsid w:val="00B124CE"/>
    <w:rsid w:val="00B14CAC"/>
    <w:rsid w:val="00B167B7"/>
    <w:rsid w:val="00B17166"/>
    <w:rsid w:val="00B179D7"/>
    <w:rsid w:val="00B20C19"/>
    <w:rsid w:val="00B25E4B"/>
    <w:rsid w:val="00B2654D"/>
    <w:rsid w:val="00B30599"/>
    <w:rsid w:val="00B31F70"/>
    <w:rsid w:val="00B3455D"/>
    <w:rsid w:val="00B34574"/>
    <w:rsid w:val="00B36655"/>
    <w:rsid w:val="00B37EA2"/>
    <w:rsid w:val="00B406DF"/>
    <w:rsid w:val="00B4073C"/>
    <w:rsid w:val="00B40CAF"/>
    <w:rsid w:val="00B440B9"/>
    <w:rsid w:val="00B45CA5"/>
    <w:rsid w:val="00B47791"/>
    <w:rsid w:val="00B47A14"/>
    <w:rsid w:val="00B52CC9"/>
    <w:rsid w:val="00B530B2"/>
    <w:rsid w:val="00B53599"/>
    <w:rsid w:val="00B53926"/>
    <w:rsid w:val="00B5647F"/>
    <w:rsid w:val="00B6294F"/>
    <w:rsid w:val="00B63D5A"/>
    <w:rsid w:val="00B654DE"/>
    <w:rsid w:val="00B66337"/>
    <w:rsid w:val="00B664AD"/>
    <w:rsid w:val="00B6666B"/>
    <w:rsid w:val="00B8008E"/>
    <w:rsid w:val="00B84FB2"/>
    <w:rsid w:val="00B85631"/>
    <w:rsid w:val="00B878EB"/>
    <w:rsid w:val="00B87C2A"/>
    <w:rsid w:val="00B9492A"/>
    <w:rsid w:val="00BA72DE"/>
    <w:rsid w:val="00BB6AAA"/>
    <w:rsid w:val="00BC1FFB"/>
    <w:rsid w:val="00BC4A4D"/>
    <w:rsid w:val="00BC5806"/>
    <w:rsid w:val="00BC6972"/>
    <w:rsid w:val="00BD0348"/>
    <w:rsid w:val="00BD28F5"/>
    <w:rsid w:val="00BD397D"/>
    <w:rsid w:val="00BD4335"/>
    <w:rsid w:val="00BD5EA3"/>
    <w:rsid w:val="00BE0561"/>
    <w:rsid w:val="00BE13ED"/>
    <w:rsid w:val="00BE184C"/>
    <w:rsid w:val="00BE3413"/>
    <w:rsid w:val="00BE35EE"/>
    <w:rsid w:val="00BE5011"/>
    <w:rsid w:val="00BE7856"/>
    <w:rsid w:val="00BF2958"/>
    <w:rsid w:val="00BF5F23"/>
    <w:rsid w:val="00BF709D"/>
    <w:rsid w:val="00C0032B"/>
    <w:rsid w:val="00C01E83"/>
    <w:rsid w:val="00C0337A"/>
    <w:rsid w:val="00C05800"/>
    <w:rsid w:val="00C05BB5"/>
    <w:rsid w:val="00C06655"/>
    <w:rsid w:val="00C122CE"/>
    <w:rsid w:val="00C1539B"/>
    <w:rsid w:val="00C179D2"/>
    <w:rsid w:val="00C2007A"/>
    <w:rsid w:val="00C204AB"/>
    <w:rsid w:val="00C233FA"/>
    <w:rsid w:val="00C24761"/>
    <w:rsid w:val="00C249BA"/>
    <w:rsid w:val="00C25669"/>
    <w:rsid w:val="00C25702"/>
    <w:rsid w:val="00C26535"/>
    <w:rsid w:val="00C3052C"/>
    <w:rsid w:val="00C339C1"/>
    <w:rsid w:val="00C358D3"/>
    <w:rsid w:val="00C35A89"/>
    <w:rsid w:val="00C47109"/>
    <w:rsid w:val="00C473B9"/>
    <w:rsid w:val="00C51828"/>
    <w:rsid w:val="00C5361F"/>
    <w:rsid w:val="00C560E3"/>
    <w:rsid w:val="00C56DA1"/>
    <w:rsid w:val="00C57089"/>
    <w:rsid w:val="00C57A76"/>
    <w:rsid w:val="00C57FA6"/>
    <w:rsid w:val="00C6066D"/>
    <w:rsid w:val="00C60E25"/>
    <w:rsid w:val="00C62E0F"/>
    <w:rsid w:val="00C72AA5"/>
    <w:rsid w:val="00C73AA3"/>
    <w:rsid w:val="00C759A7"/>
    <w:rsid w:val="00C7635F"/>
    <w:rsid w:val="00C80422"/>
    <w:rsid w:val="00C80F57"/>
    <w:rsid w:val="00C82BE1"/>
    <w:rsid w:val="00C82CB1"/>
    <w:rsid w:val="00C83306"/>
    <w:rsid w:val="00C91DB2"/>
    <w:rsid w:val="00C94905"/>
    <w:rsid w:val="00CA0365"/>
    <w:rsid w:val="00CA32AA"/>
    <w:rsid w:val="00CA78D2"/>
    <w:rsid w:val="00CA7DCF"/>
    <w:rsid w:val="00CB5E23"/>
    <w:rsid w:val="00CB6A55"/>
    <w:rsid w:val="00CB6C3A"/>
    <w:rsid w:val="00CB7F88"/>
    <w:rsid w:val="00CC11C3"/>
    <w:rsid w:val="00CC1D01"/>
    <w:rsid w:val="00CC4322"/>
    <w:rsid w:val="00CC55D5"/>
    <w:rsid w:val="00CC6F46"/>
    <w:rsid w:val="00CD07F7"/>
    <w:rsid w:val="00CD0EF7"/>
    <w:rsid w:val="00CD1D77"/>
    <w:rsid w:val="00CD2DD6"/>
    <w:rsid w:val="00CD37DF"/>
    <w:rsid w:val="00CD3EE4"/>
    <w:rsid w:val="00CD424D"/>
    <w:rsid w:val="00CD73EC"/>
    <w:rsid w:val="00CE1402"/>
    <w:rsid w:val="00CE1534"/>
    <w:rsid w:val="00CE249B"/>
    <w:rsid w:val="00CE29B8"/>
    <w:rsid w:val="00CE314A"/>
    <w:rsid w:val="00CE51DD"/>
    <w:rsid w:val="00CF0E6D"/>
    <w:rsid w:val="00CF6707"/>
    <w:rsid w:val="00CF7048"/>
    <w:rsid w:val="00CF7815"/>
    <w:rsid w:val="00D0294C"/>
    <w:rsid w:val="00D0437E"/>
    <w:rsid w:val="00D05308"/>
    <w:rsid w:val="00D12153"/>
    <w:rsid w:val="00D12956"/>
    <w:rsid w:val="00D12996"/>
    <w:rsid w:val="00D13B52"/>
    <w:rsid w:val="00D20BBF"/>
    <w:rsid w:val="00D22BD8"/>
    <w:rsid w:val="00D231E9"/>
    <w:rsid w:val="00D24193"/>
    <w:rsid w:val="00D243D7"/>
    <w:rsid w:val="00D2752E"/>
    <w:rsid w:val="00D30A4D"/>
    <w:rsid w:val="00D30D6F"/>
    <w:rsid w:val="00D33B76"/>
    <w:rsid w:val="00D402FE"/>
    <w:rsid w:val="00D406D6"/>
    <w:rsid w:val="00D4109B"/>
    <w:rsid w:val="00D449F1"/>
    <w:rsid w:val="00D463BB"/>
    <w:rsid w:val="00D46548"/>
    <w:rsid w:val="00D51283"/>
    <w:rsid w:val="00D52D4E"/>
    <w:rsid w:val="00D56707"/>
    <w:rsid w:val="00D606A2"/>
    <w:rsid w:val="00D66F78"/>
    <w:rsid w:val="00D70F02"/>
    <w:rsid w:val="00D724D9"/>
    <w:rsid w:val="00D725AA"/>
    <w:rsid w:val="00D74429"/>
    <w:rsid w:val="00D74E40"/>
    <w:rsid w:val="00D82D71"/>
    <w:rsid w:val="00D84383"/>
    <w:rsid w:val="00D86213"/>
    <w:rsid w:val="00D90245"/>
    <w:rsid w:val="00D92943"/>
    <w:rsid w:val="00D94D09"/>
    <w:rsid w:val="00D960F5"/>
    <w:rsid w:val="00D961A0"/>
    <w:rsid w:val="00D97140"/>
    <w:rsid w:val="00DA078E"/>
    <w:rsid w:val="00DA1D79"/>
    <w:rsid w:val="00DA4E8E"/>
    <w:rsid w:val="00DA51C4"/>
    <w:rsid w:val="00DA52C8"/>
    <w:rsid w:val="00DA799E"/>
    <w:rsid w:val="00DB11C1"/>
    <w:rsid w:val="00DB33A2"/>
    <w:rsid w:val="00DB3EAA"/>
    <w:rsid w:val="00DB48F7"/>
    <w:rsid w:val="00DB575C"/>
    <w:rsid w:val="00DB5D93"/>
    <w:rsid w:val="00DC074D"/>
    <w:rsid w:val="00DC0D49"/>
    <w:rsid w:val="00DC544C"/>
    <w:rsid w:val="00DC5D41"/>
    <w:rsid w:val="00DC5F78"/>
    <w:rsid w:val="00DC62CC"/>
    <w:rsid w:val="00DD0515"/>
    <w:rsid w:val="00DD355D"/>
    <w:rsid w:val="00DD57CC"/>
    <w:rsid w:val="00DD647E"/>
    <w:rsid w:val="00DE3BBF"/>
    <w:rsid w:val="00DE4A3E"/>
    <w:rsid w:val="00DE5BDE"/>
    <w:rsid w:val="00DE5D85"/>
    <w:rsid w:val="00DE7B33"/>
    <w:rsid w:val="00DF2DEB"/>
    <w:rsid w:val="00DF77A3"/>
    <w:rsid w:val="00E01470"/>
    <w:rsid w:val="00E025AE"/>
    <w:rsid w:val="00E03135"/>
    <w:rsid w:val="00E1156C"/>
    <w:rsid w:val="00E12823"/>
    <w:rsid w:val="00E12BFE"/>
    <w:rsid w:val="00E13B4D"/>
    <w:rsid w:val="00E16025"/>
    <w:rsid w:val="00E26774"/>
    <w:rsid w:val="00E27BDF"/>
    <w:rsid w:val="00E30AE7"/>
    <w:rsid w:val="00E344BF"/>
    <w:rsid w:val="00E347AF"/>
    <w:rsid w:val="00E351AD"/>
    <w:rsid w:val="00E37CFD"/>
    <w:rsid w:val="00E421F0"/>
    <w:rsid w:val="00E42DB6"/>
    <w:rsid w:val="00E46364"/>
    <w:rsid w:val="00E46FB7"/>
    <w:rsid w:val="00E51E71"/>
    <w:rsid w:val="00E540D1"/>
    <w:rsid w:val="00E55104"/>
    <w:rsid w:val="00E56B03"/>
    <w:rsid w:val="00E56D35"/>
    <w:rsid w:val="00E62764"/>
    <w:rsid w:val="00E6534B"/>
    <w:rsid w:val="00E66E43"/>
    <w:rsid w:val="00E67A74"/>
    <w:rsid w:val="00E67DDB"/>
    <w:rsid w:val="00E71875"/>
    <w:rsid w:val="00E73D30"/>
    <w:rsid w:val="00E76DB9"/>
    <w:rsid w:val="00E7738F"/>
    <w:rsid w:val="00E93F45"/>
    <w:rsid w:val="00E955AE"/>
    <w:rsid w:val="00E96088"/>
    <w:rsid w:val="00E97208"/>
    <w:rsid w:val="00E97395"/>
    <w:rsid w:val="00EA0C0E"/>
    <w:rsid w:val="00EA179B"/>
    <w:rsid w:val="00EA3477"/>
    <w:rsid w:val="00EA442E"/>
    <w:rsid w:val="00EA6C95"/>
    <w:rsid w:val="00EA7523"/>
    <w:rsid w:val="00EB37C2"/>
    <w:rsid w:val="00EB3DE7"/>
    <w:rsid w:val="00EB4B2C"/>
    <w:rsid w:val="00EC1964"/>
    <w:rsid w:val="00EC2613"/>
    <w:rsid w:val="00EC33C6"/>
    <w:rsid w:val="00EC7E56"/>
    <w:rsid w:val="00ED0EE9"/>
    <w:rsid w:val="00ED1431"/>
    <w:rsid w:val="00ED4822"/>
    <w:rsid w:val="00EE1B3B"/>
    <w:rsid w:val="00EE22C8"/>
    <w:rsid w:val="00EE2B84"/>
    <w:rsid w:val="00EE3A4C"/>
    <w:rsid w:val="00EE55F9"/>
    <w:rsid w:val="00EE5DC0"/>
    <w:rsid w:val="00EF1BE8"/>
    <w:rsid w:val="00EF3804"/>
    <w:rsid w:val="00F04655"/>
    <w:rsid w:val="00F05BE6"/>
    <w:rsid w:val="00F076BD"/>
    <w:rsid w:val="00F167B4"/>
    <w:rsid w:val="00F17E4D"/>
    <w:rsid w:val="00F17F6A"/>
    <w:rsid w:val="00F20FF0"/>
    <w:rsid w:val="00F2351C"/>
    <w:rsid w:val="00F26356"/>
    <w:rsid w:val="00F32108"/>
    <w:rsid w:val="00F36DCA"/>
    <w:rsid w:val="00F37A5F"/>
    <w:rsid w:val="00F37C22"/>
    <w:rsid w:val="00F42E1C"/>
    <w:rsid w:val="00F4324C"/>
    <w:rsid w:val="00F44A08"/>
    <w:rsid w:val="00F5090E"/>
    <w:rsid w:val="00F574D4"/>
    <w:rsid w:val="00F579E8"/>
    <w:rsid w:val="00F64660"/>
    <w:rsid w:val="00F65D44"/>
    <w:rsid w:val="00F70DB1"/>
    <w:rsid w:val="00F7379C"/>
    <w:rsid w:val="00F73F76"/>
    <w:rsid w:val="00F85004"/>
    <w:rsid w:val="00F85F86"/>
    <w:rsid w:val="00F8672A"/>
    <w:rsid w:val="00F86BEE"/>
    <w:rsid w:val="00F95724"/>
    <w:rsid w:val="00F96D03"/>
    <w:rsid w:val="00F96EC8"/>
    <w:rsid w:val="00FA1133"/>
    <w:rsid w:val="00FA13C0"/>
    <w:rsid w:val="00FA2F8D"/>
    <w:rsid w:val="00FA3FDE"/>
    <w:rsid w:val="00FA5B03"/>
    <w:rsid w:val="00FA6E6C"/>
    <w:rsid w:val="00FB2B2A"/>
    <w:rsid w:val="00FB5956"/>
    <w:rsid w:val="00FB59AC"/>
    <w:rsid w:val="00FC69CC"/>
    <w:rsid w:val="00FE0C79"/>
    <w:rsid w:val="00FE1F9F"/>
    <w:rsid w:val="00FE3660"/>
    <w:rsid w:val="00FE6AC7"/>
    <w:rsid w:val="00FE6BDC"/>
    <w:rsid w:val="00FF115E"/>
    <w:rsid w:val="00FF11CE"/>
    <w:rsid w:val="00FF23DD"/>
    <w:rsid w:val="00FF333F"/>
    <w:rsid w:val="00FF538F"/>
    <w:rsid w:val="00FF59D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FCC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37A5F"/>
    <w:pPr>
      <w:keepNext/>
      <w:keepLines/>
      <w:spacing w:after="0" w:line="240" w:lineRule="auto"/>
      <w:jc w:val="center"/>
      <w:outlineLvl w:val="0"/>
    </w:pPr>
    <w:rPr>
      <w:rFonts w:ascii="Times New Roman" w:eastAsiaTheme="majorEastAsia" w:hAnsi="Times New Roman" w:cs="Times New Roman"/>
      <w:b/>
      <w:bCs/>
      <w:color w:val="4F81BD" w:themeColor="accent1"/>
      <w:sz w:val="24"/>
      <w:szCs w:val="24"/>
    </w:rPr>
  </w:style>
  <w:style w:type="paragraph" w:styleId="Heading2">
    <w:name w:val="heading 2"/>
    <w:basedOn w:val="Normal"/>
    <w:next w:val="Normal"/>
    <w:link w:val="Heading2Char"/>
    <w:uiPriority w:val="9"/>
    <w:unhideWhenUsed/>
    <w:qFormat/>
    <w:rsid w:val="0043409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3409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6298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F37A5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01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01D0"/>
    <w:rPr>
      <w:rFonts w:ascii="Tahoma" w:hAnsi="Tahoma" w:cs="Tahoma"/>
      <w:sz w:val="16"/>
      <w:szCs w:val="16"/>
    </w:rPr>
  </w:style>
  <w:style w:type="paragraph" w:styleId="ListParagraph">
    <w:name w:val="List Paragraph"/>
    <w:basedOn w:val="Normal"/>
    <w:uiPriority w:val="99"/>
    <w:qFormat/>
    <w:rsid w:val="00CE51DD"/>
    <w:pPr>
      <w:ind w:left="720"/>
      <w:contextualSpacing/>
    </w:pPr>
  </w:style>
  <w:style w:type="paragraph" w:styleId="FootnoteText">
    <w:name w:val="footnote text"/>
    <w:basedOn w:val="Normal"/>
    <w:link w:val="FootnoteTextChar"/>
    <w:uiPriority w:val="99"/>
    <w:unhideWhenUsed/>
    <w:rsid w:val="00F17F6A"/>
    <w:pPr>
      <w:spacing w:after="0" w:line="240" w:lineRule="auto"/>
    </w:pPr>
    <w:rPr>
      <w:sz w:val="20"/>
      <w:szCs w:val="20"/>
    </w:rPr>
  </w:style>
  <w:style w:type="character" w:customStyle="1" w:styleId="FootnoteTextChar">
    <w:name w:val="Footnote Text Char"/>
    <w:basedOn w:val="DefaultParagraphFont"/>
    <w:link w:val="FootnoteText"/>
    <w:uiPriority w:val="99"/>
    <w:rsid w:val="00F17F6A"/>
    <w:rPr>
      <w:sz w:val="20"/>
      <w:szCs w:val="20"/>
    </w:rPr>
  </w:style>
  <w:style w:type="character" w:styleId="FootnoteReference">
    <w:name w:val="footnote reference"/>
    <w:basedOn w:val="DefaultParagraphFont"/>
    <w:uiPriority w:val="99"/>
    <w:unhideWhenUsed/>
    <w:rsid w:val="00F17F6A"/>
    <w:rPr>
      <w:vertAlign w:val="superscript"/>
    </w:rPr>
  </w:style>
  <w:style w:type="paragraph" w:styleId="Header">
    <w:name w:val="header"/>
    <w:basedOn w:val="Normal"/>
    <w:link w:val="HeaderChar"/>
    <w:uiPriority w:val="99"/>
    <w:unhideWhenUsed/>
    <w:rsid w:val="002B5C27"/>
    <w:pPr>
      <w:tabs>
        <w:tab w:val="center" w:pos="4419"/>
        <w:tab w:val="right" w:pos="8838"/>
      </w:tabs>
      <w:spacing w:after="0" w:line="240" w:lineRule="auto"/>
    </w:pPr>
  </w:style>
  <w:style w:type="character" w:customStyle="1" w:styleId="HeaderChar">
    <w:name w:val="Header Char"/>
    <w:basedOn w:val="DefaultParagraphFont"/>
    <w:link w:val="Header"/>
    <w:uiPriority w:val="99"/>
    <w:rsid w:val="002B5C27"/>
  </w:style>
  <w:style w:type="paragraph" w:styleId="Footer">
    <w:name w:val="footer"/>
    <w:basedOn w:val="Normal"/>
    <w:link w:val="FooterChar"/>
    <w:uiPriority w:val="99"/>
    <w:unhideWhenUsed/>
    <w:rsid w:val="002B5C27"/>
    <w:pPr>
      <w:tabs>
        <w:tab w:val="center" w:pos="4419"/>
        <w:tab w:val="right" w:pos="8838"/>
      </w:tabs>
      <w:spacing w:after="0" w:line="240" w:lineRule="auto"/>
    </w:pPr>
  </w:style>
  <w:style w:type="character" w:customStyle="1" w:styleId="FooterChar">
    <w:name w:val="Footer Char"/>
    <w:basedOn w:val="DefaultParagraphFont"/>
    <w:link w:val="Footer"/>
    <w:uiPriority w:val="99"/>
    <w:rsid w:val="002B5C27"/>
  </w:style>
  <w:style w:type="table" w:styleId="TableGrid">
    <w:name w:val="Table Grid"/>
    <w:basedOn w:val="TableNormal"/>
    <w:uiPriority w:val="59"/>
    <w:rsid w:val="00EC19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ookTitle">
    <w:name w:val="Book Title"/>
    <w:basedOn w:val="DefaultParagraphFont"/>
    <w:uiPriority w:val="33"/>
    <w:qFormat/>
    <w:rsid w:val="00CC4322"/>
    <w:rPr>
      <w:b/>
      <w:bCs/>
      <w:smallCaps/>
      <w:spacing w:val="5"/>
    </w:rPr>
  </w:style>
  <w:style w:type="paragraph" w:customStyle="1" w:styleId="Default">
    <w:name w:val="Default"/>
    <w:rsid w:val="00F4324C"/>
    <w:pPr>
      <w:autoSpaceDE w:val="0"/>
      <w:autoSpaceDN w:val="0"/>
      <w:adjustRightInd w:val="0"/>
      <w:spacing w:after="0" w:line="240" w:lineRule="auto"/>
    </w:pPr>
    <w:rPr>
      <w:rFonts w:ascii="Arial" w:hAnsi="Arial" w:cs="Arial"/>
      <w:color w:val="000000"/>
      <w:sz w:val="24"/>
      <w:szCs w:val="24"/>
    </w:rPr>
  </w:style>
  <w:style w:type="paragraph" w:styleId="BodyText">
    <w:name w:val="Body Text"/>
    <w:basedOn w:val="Normal"/>
    <w:link w:val="BodyTextChar"/>
    <w:rsid w:val="00F4324C"/>
    <w:pPr>
      <w:suppressAutoHyphens/>
      <w:spacing w:after="0" w:line="240" w:lineRule="auto"/>
    </w:pPr>
    <w:rPr>
      <w:rFonts w:ascii="Times New Roman" w:eastAsia="Times New Roman" w:hAnsi="Times New Roman" w:cs="Times New Roman"/>
      <w:sz w:val="20"/>
      <w:szCs w:val="20"/>
      <w:lang w:val="es-GT" w:eastAsia="es-MX"/>
    </w:rPr>
  </w:style>
  <w:style w:type="character" w:customStyle="1" w:styleId="BodyTextChar">
    <w:name w:val="Body Text Char"/>
    <w:basedOn w:val="DefaultParagraphFont"/>
    <w:link w:val="BodyText"/>
    <w:rsid w:val="00F4324C"/>
    <w:rPr>
      <w:rFonts w:ascii="Times New Roman" w:eastAsia="Times New Roman" w:hAnsi="Times New Roman" w:cs="Times New Roman"/>
      <w:sz w:val="20"/>
      <w:szCs w:val="20"/>
      <w:lang w:val="es-GT" w:eastAsia="es-MX"/>
    </w:rPr>
  </w:style>
  <w:style w:type="paragraph" w:customStyle="1" w:styleId="WW-Textoindependiente3">
    <w:name w:val="WW-Texto independiente 3"/>
    <w:basedOn w:val="Normal"/>
    <w:rsid w:val="00F4324C"/>
    <w:pPr>
      <w:suppressAutoHyphens/>
      <w:spacing w:after="0" w:line="240" w:lineRule="auto"/>
      <w:jc w:val="both"/>
    </w:pPr>
    <w:rPr>
      <w:rFonts w:ascii="Times New Roman" w:eastAsia="Times New Roman" w:hAnsi="Times New Roman" w:cs="Times New Roman"/>
      <w:sz w:val="24"/>
      <w:szCs w:val="20"/>
      <w:lang w:val="es-GT" w:eastAsia="es-MX"/>
    </w:rPr>
  </w:style>
  <w:style w:type="paragraph" w:customStyle="1" w:styleId="WW-Textoindependiente2">
    <w:name w:val="WW-Texto independiente 2"/>
    <w:basedOn w:val="Normal"/>
    <w:rsid w:val="00F4324C"/>
    <w:pPr>
      <w:tabs>
        <w:tab w:val="center" w:pos="6840"/>
        <w:tab w:val="center" w:pos="8460"/>
        <w:tab w:val="center" w:pos="9900"/>
      </w:tabs>
      <w:suppressAutoHyphens/>
      <w:spacing w:after="0" w:line="240" w:lineRule="auto"/>
      <w:jc w:val="both"/>
    </w:pPr>
    <w:rPr>
      <w:rFonts w:ascii="Times New Roman" w:eastAsia="Times New Roman" w:hAnsi="Times New Roman" w:cs="Times New Roman"/>
      <w:sz w:val="20"/>
      <w:szCs w:val="20"/>
      <w:lang w:val="es-GT" w:eastAsia="es-MX"/>
    </w:rPr>
  </w:style>
  <w:style w:type="paragraph" w:styleId="BodyTextIndent">
    <w:name w:val="Body Text Indent"/>
    <w:basedOn w:val="Normal"/>
    <w:link w:val="BodyTextIndentChar"/>
    <w:uiPriority w:val="99"/>
    <w:unhideWhenUsed/>
    <w:rsid w:val="00F4324C"/>
    <w:pPr>
      <w:spacing w:after="120"/>
      <w:ind w:left="360"/>
    </w:pPr>
  </w:style>
  <w:style w:type="character" w:customStyle="1" w:styleId="BodyTextIndentChar">
    <w:name w:val="Body Text Indent Char"/>
    <w:basedOn w:val="DefaultParagraphFont"/>
    <w:link w:val="BodyTextIndent"/>
    <w:uiPriority w:val="99"/>
    <w:rsid w:val="00F4324C"/>
  </w:style>
  <w:style w:type="character" w:customStyle="1" w:styleId="apple-converted-space">
    <w:name w:val="apple-converted-space"/>
    <w:basedOn w:val="DefaultParagraphFont"/>
    <w:rsid w:val="006554CC"/>
  </w:style>
  <w:style w:type="character" w:styleId="Hyperlink">
    <w:name w:val="Hyperlink"/>
    <w:basedOn w:val="DefaultParagraphFont"/>
    <w:uiPriority w:val="99"/>
    <w:unhideWhenUsed/>
    <w:rsid w:val="006554CC"/>
    <w:rPr>
      <w:color w:val="0000FF"/>
      <w:u w:val="single"/>
    </w:rPr>
  </w:style>
  <w:style w:type="paragraph" w:customStyle="1" w:styleId="Chapter">
    <w:name w:val="Chapter"/>
    <w:basedOn w:val="Normal"/>
    <w:next w:val="Normal"/>
    <w:uiPriority w:val="99"/>
    <w:rsid w:val="006554CC"/>
    <w:pPr>
      <w:numPr>
        <w:numId w:val="15"/>
      </w:numPr>
      <w:tabs>
        <w:tab w:val="left" w:pos="1440"/>
      </w:tabs>
      <w:spacing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basedOn w:val="BodyTextIndent"/>
    <w:uiPriority w:val="99"/>
    <w:rsid w:val="006554CC"/>
    <w:pPr>
      <w:numPr>
        <w:ilvl w:val="1"/>
        <w:numId w:val="15"/>
      </w:numPr>
      <w:tabs>
        <w:tab w:val="clear" w:pos="720"/>
        <w:tab w:val="num" w:pos="360"/>
      </w:tabs>
      <w:spacing w:before="120" w:line="240" w:lineRule="auto"/>
      <w:ind w:left="360" w:firstLine="0"/>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uiPriority w:val="99"/>
    <w:rsid w:val="006554CC"/>
    <w:pPr>
      <w:numPr>
        <w:ilvl w:val="2"/>
        <w:numId w:val="15"/>
      </w:numPr>
      <w:tabs>
        <w:tab w:val="clear" w:pos="1152"/>
        <w:tab w:val="num" w:pos="360"/>
      </w:tabs>
      <w:spacing w:before="120" w:line="240" w:lineRule="auto"/>
      <w:ind w:left="360"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6554CC"/>
    <w:pPr>
      <w:numPr>
        <w:ilvl w:val="3"/>
      </w:numPr>
      <w:tabs>
        <w:tab w:val="clear" w:pos="1584"/>
        <w:tab w:val="left" w:pos="0"/>
        <w:tab w:val="num" w:pos="360"/>
      </w:tabs>
      <w:ind w:left="2520" w:hanging="360"/>
    </w:pPr>
  </w:style>
  <w:style w:type="paragraph" w:styleId="BodyTextIndent3">
    <w:name w:val="Body Text Indent 3"/>
    <w:basedOn w:val="Normal"/>
    <w:link w:val="BodyTextIndent3Char"/>
    <w:uiPriority w:val="99"/>
    <w:semiHidden/>
    <w:unhideWhenUsed/>
    <w:rsid w:val="006554C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554CC"/>
    <w:rPr>
      <w:sz w:val="16"/>
      <w:szCs w:val="16"/>
    </w:rPr>
  </w:style>
  <w:style w:type="character" w:styleId="FollowedHyperlink">
    <w:name w:val="FollowedHyperlink"/>
    <w:basedOn w:val="DefaultParagraphFont"/>
    <w:uiPriority w:val="99"/>
    <w:semiHidden/>
    <w:unhideWhenUsed/>
    <w:rsid w:val="00947838"/>
    <w:rPr>
      <w:color w:val="800080" w:themeColor="followedHyperlink"/>
      <w:u w:val="single"/>
    </w:rPr>
  </w:style>
  <w:style w:type="character" w:styleId="PageNumber">
    <w:name w:val="page number"/>
    <w:basedOn w:val="DefaultParagraphFont"/>
    <w:uiPriority w:val="99"/>
    <w:semiHidden/>
    <w:unhideWhenUsed/>
    <w:rsid w:val="00D52D4E"/>
  </w:style>
  <w:style w:type="character" w:customStyle="1" w:styleId="Heading1Char">
    <w:name w:val="Heading 1 Char"/>
    <w:basedOn w:val="DefaultParagraphFont"/>
    <w:link w:val="Heading1"/>
    <w:uiPriority w:val="9"/>
    <w:rsid w:val="00F37A5F"/>
    <w:rPr>
      <w:rFonts w:ascii="Times New Roman" w:eastAsiaTheme="majorEastAsia" w:hAnsi="Times New Roman" w:cs="Times New Roman"/>
      <w:b/>
      <w:bCs/>
      <w:color w:val="4F81BD" w:themeColor="accent1"/>
      <w:sz w:val="24"/>
      <w:szCs w:val="24"/>
    </w:rPr>
  </w:style>
  <w:style w:type="paragraph" w:styleId="Title">
    <w:name w:val="Title"/>
    <w:basedOn w:val="Normal"/>
    <w:next w:val="Normal"/>
    <w:link w:val="TitleChar"/>
    <w:uiPriority w:val="10"/>
    <w:qFormat/>
    <w:rsid w:val="00B4779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47791"/>
    <w:rPr>
      <w:rFonts w:asciiTheme="majorHAnsi" w:eastAsiaTheme="majorEastAsia" w:hAnsiTheme="majorHAnsi" w:cstheme="majorBidi"/>
      <w:color w:val="17365D" w:themeColor="text2" w:themeShade="BF"/>
      <w:spacing w:val="5"/>
      <w:kern w:val="28"/>
      <w:sz w:val="52"/>
      <w:szCs w:val="52"/>
    </w:rPr>
  </w:style>
  <w:style w:type="paragraph" w:styleId="TOC1">
    <w:name w:val="toc 1"/>
    <w:basedOn w:val="Normal"/>
    <w:next w:val="Normal"/>
    <w:autoRedefine/>
    <w:uiPriority w:val="39"/>
    <w:unhideWhenUsed/>
    <w:rsid w:val="00B47791"/>
    <w:pPr>
      <w:spacing w:before="120" w:after="0"/>
    </w:pPr>
    <w:rPr>
      <w:rFonts w:asciiTheme="majorHAnsi" w:hAnsiTheme="majorHAnsi"/>
      <w:b/>
      <w:color w:val="548DD4"/>
      <w:sz w:val="24"/>
      <w:szCs w:val="24"/>
    </w:rPr>
  </w:style>
  <w:style w:type="paragraph" w:styleId="TOC2">
    <w:name w:val="toc 2"/>
    <w:basedOn w:val="Normal"/>
    <w:next w:val="Normal"/>
    <w:autoRedefine/>
    <w:uiPriority w:val="39"/>
    <w:unhideWhenUsed/>
    <w:rsid w:val="00B47791"/>
    <w:pPr>
      <w:spacing w:after="0"/>
    </w:pPr>
  </w:style>
  <w:style w:type="paragraph" w:styleId="TOC3">
    <w:name w:val="toc 3"/>
    <w:basedOn w:val="Normal"/>
    <w:next w:val="Normal"/>
    <w:autoRedefine/>
    <w:uiPriority w:val="39"/>
    <w:unhideWhenUsed/>
    <w:rsid w:val="00B47791"/>
    <w:pPr>
      <w:spacing w:after="0"/>
      <w:ind w:left="220"/>
    </w:pPr>
    <w:rPr>
      <w:i/>
    </w:rPr>
  </w:style>
  <w:style w:type="paragraph" w:styleId="TOC4">
    <w:name w:val="toc 4"/>
    <w:basedOn w:val="Normal"/>
    <w:next w:val="Normal"/>
    <w:autoRedefine/>
    <w:uiPriority w:val="39"/>
    <w:unhideWhenUsed/>
    <w:rsid w:val="00B47791"/>
    <w:pPr>
      <w:pBdr>
        <w:between w:val="double" w:sz="6" w:space="0" w:color="auto"/>
      </w:pBdr>
      <w:spacing w:after="0"/>
      <w:ind w:left="440"/>
    </w:pPr>
    <w:rPr>
      <w:sz w:val="20"/>
      <w:szCs w:val="20"/>
    </w:rPr>
  </w:style>
  <w:style w:type="paragraph" w:styleId="TOC5">
    <w:name w:val="toc 5"/>
    <w:basedOn w:val="Normal"/>
    <w:next w:val="Normal"/>
    <w:autoRedefine/>
    <w:uiPriority w:val="39"/>
    <w:unhideWhenUsed/>
    <w:rsid w:val="00B47791"/>
    <w:pPr>
      <w:pBdr>
        <w:between w:val="double" w:sz="6" w:space="0" w:color="auto"/>
      </w:pBdr>
      <w:spacing w:after="0"/>
      <w:ind w:left="660"/>
    </w:pPr>
    <w:rPr>
      <w:sz w:val="20"/>
      <w:szCs w:val="20"/>
    </w:rPr>
  </w:style>
  <w:style w:type="paragraph" w:styleId="TOC6">
    <w:name w:val="toc 6"/>
    <w:basedOn w:val="Normal"/>
    <w:next w:val="Normal"/>
    <w:autoRedefine/>
    <w:uiPriority w:val="39"/>
    <w:unhideWhenUsed/>
    <w:rsid w:val="00B47791"/>
    <w:pPr>
      <w:pBdr>
        <w:between w:val="double" w:sz="6" w:space="0" w:color="auto"/>
      </w:pBdr>
      <w:spacing w:after="0"/>
      <w:ind w:left="880"/>
    </w:pPr>
    <w:rPr>
      <w:sz w:val="20"/>
      <w:szCs w:val="20"/>
    </w:rPr>
  </w:style>
  <w:style w:type="paragraph" w:styleId="TOC7">
    <w:name w:val="toc 7"/>
    <w:basedOn w:val="Normal"/>
    <w:next w:val="Normal"/>
    <w:autoRedefine/>
    <w:uiPriority w:val="39"/>
    <w:unhideWhenUsed/>
    <w:rsid w:val="00B47791"/>
    <w:pPr>
      <w:pBdr>
        <w:between w:val="double" w:sz="6" w:space="0" w:color="auto"/>
      </w:pBdr>
      <w:spacing w:after="0"/>
      <w:ind w:left="1100"/>
    </w:pPr>
    <w:rPr>
      <w:sz w:val="20"/>
      <w:szCs w:val="20"/>
    </w:rPr>
  </w:style>
  <w:style w:type="paragraph" w:styleId="TOC8">
    <w:name w:val="toc 8"/>
    <w:basedOn w:val="Normal"/>
    <w:next w:val="Normal"/>
    <w:autoRedefine/>
    <w:uiPriority w:val="39"/>
    <w:unhideWhenUsed/>
    <w:rsid w:val="00B47791"/>
    <w:pPr>
      <w:pBdr>
        <w:between w:val="double" w:sz="6" w:space="0" w:color="auto"/>
      </w:pBdr>
      <w:spacing w:after="0"/>
      <w:ind w:left="1320"/>
    </w:pPr>
    <w:rPr>
      <w:sz w:val="20"/>
      <w:szCs w:val="20"/>
    </w:rPr>
  </w:style>
  <w:style w:type="paragraph" w:styleId="TOC9">
    <w:name w:val="toc 9"/>
    <w:basedOn w:val="Normal"/>
    <w:next w:val="Normal"/>
    <w:autoRedefine/>
    <w:uiPriority w:val="39"/>
    <w:unhideWhenUsed/>
    <w:rsid w:val="00B47791"/>
    <w:pPr>
      <w:pBdr>
        <w:between w:val="double" w:sz="6" w:space="0" w:color="auto"/>
      </w:pBdr>
      <w:spacing w:after="0"/>
      <w:ind w:left="1540"/>
    </w:pPr>
    <w:rPr>
      <w:sz w:val="20"/>
      <w:szCs w:val="20"/>
    </w:rPr>
  </w:style>
  <w:style w:type="character" w:customStyle="1" w:styleId="Heading2Char">
    <w:name w:val="Heading 2 Char"/>
    <w:basedOn w:val="DefaultParagraphFont"/>
    <w:link w:val="Heading2"/>
    <w:uiPriority w:val="9"/>
    <w:rsid w:val="0043409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3409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62985"/>
    <w:rPr>
      <w:rFonts w:asciiTheme="majorHAnsi" w:eastAsiaTheme="majorEastAsia" w:hAnsiTheme="majorHAnsi" w:cstheme="majorBidi"/>
      <w:b/>
      <w:bCs/>
      <w:i/>
      <w:iCs/>
      <w:color w:val="4F81BD" w:themeColor="accent1"/>
    </w:rPr>
  </w:style>
  <w:style w:type="character" w:customStyle="1" w:styleId="a">
    <w:name w:val="a"/>
    <w:basedOn w:val="DefaultParagraphFont"/>
    <w:rsid w:val="00597F5E"/>
  </w:style>
  <w:style w:type="character" w:styleId="Strong">
    <w:name w:val="Strong"/>
    <w:basedOn w:val="DefaultParagraphFont"/>
    <w:uiPriority w:val="22"/>
    <w:qFormat/>
    <w:rsid w:val="004558F8"/>
    <w:rPr>
      <w:b/>
      <w:bCs/>
    </w:rPr>
  </w:style>
  <w:style w:type="table" w:styleId="ColorfulList">
    <w:name w:val="Colorful List"/>
    <w:basedOn w:val="TableNormal"/>
    <w:uiPriority w:val="72"/>
    <w:rsid w:val="003B58D7"/>
    <w:pPr>
      <w:spacing w:after="0" w:line="240" w:lineRule="auto"/>
    </w:pPr>
    <w:rPr>
      <w:color w:val="000000" w:themeColor="text1"/>
      <w:sz w:val="24"/>
      <w:szCs w:val="24"/>
      <w:lang w:val="es-ES_tradnl" w:eastAsia="es-ES"/>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paragraph" w:styleId="NoSpacing">
    <w:name w:val="No Spacing"/>
    <w:uiPriority w:val="1"/>
    <w:qFormat/>
    <w:rsid w:val="000C473F"/>
    <w:pPr>
      <w:spacing w:after="0" w:line="240" w:lineRule="auto"/>
    </w:pPr>
    <w:rPr>
      <w:sz w:val="24"/>
      <w:szCs w:val="24"/>
      <w:lang w:val="es-ES_tradnl" w:eastAsia="es-ES"/>
    </w:rPr>
  </w:style>
  <w:style w:type="paragraph" w:customStyle="1" w:styleId="Pa16">
    <w:name w:val="Pa16"/>
    <w:basedOn w:val="Default"/>
    <w:next w:val="Default"/>
    <w:uiPriority w:val="99"/>
    <w:rsid w:val="00CB6A55"/>
    <w:pPr>
      <w:spacing w:line="241" w:lineRule="atLeast"/>
    </w:pPr>
    <w:rPr>
      <w:rFonts w:eastAsiaTheme="minorHAnsi"/>
      <w:color w:val="auto"/>
      <w:lang w:val="en-US" w:eastAsia="en-US"/>
    </w:rPr>
  </w:style>
  <w:style w:type="paragraph" w:customStyle="1" w:styleId="Pa19">
    <w:name w:val="Pa19"/>
    <w:basedOn w:val="Default"/>
    <w:next w:val="Default"/>
    <w:uiPriority w:val="99"/>
    <w:rsid w:val="00CB6A55"/>
    <w:pPr>
      <w:spacing w:line="241" w:lineRule="atLeast"/>
    </w:pPr>
    <w:rPr>
      <w:rFonts w:eastAsiaTheme="minorHAnsi"/>
      <w:color w:val="auto"/>
      <w:lang w:val="en-US" w:eastAsia="en-US"/>
    </w:rPr>
  </w:style>
  <w:style w:type="character" w:customStyle="1" w:styleId="A3">
    <w:name w:val="A3"/>
    <w:uiPriority w:val="99"/>
    <w:rsid w:val="00CB6A55"/>
    <w:rPr>
      <w:color w:val="000000"/>
    </w:rPr>
  </w:style>
  <w:style w:type="character" w:styleId="CommentReference">
    <w:name w:val="annotation reference"/>
    <w:basedOn w:val="DefaultParagraphFont"/>
    <w:uiPriority w:val="99"/>
    <w:semiHidden/>
    <w:unhideWhenUsed/>
    <w:rsid w:val="00CE314A"/>
    <w:rPr>
      <w:sz w:val="16"/>
      <w:szCs w:val="16"/>
    </w:rPr>
  </w:style>
  <w:style w:type="paragraph" w:styleId="CommentText">
    <w:name w:val="annotation text"/>
    <w:basedOn w:val="Normal"/>
    <w:link w:val="CommentTextChar"/>
    <w:uiPriority w:val="99"/>
    <w:semiHidden/>
    <w:unhideWhenUsed/>
    <w:rsid w:val="00CE314A"/>
    <w:pPr>
      <w:spacing w:line="240" w:lineRule="auto"/>
    </w:pPr>
    <w:rPr>
      <w:sz w:val="20"/>
      <w:szCs w:val="20"/>
    </w:rPr>
  </w:style>
  <w:style w:type="character" w:customStyle="1" w:styleId="CommentTextChar">
    <w:name w:val="Comment Text Char"/>
    <w:basedOn w:val="DefaultParagraphFont"/>
    <w:link w:val="CommentText"/>
    <w:uiPriority w:val="99"/>
    <w:semiHidden/>
    <w:rsid w:val="00CE314A"/>
    <w:rPr>
      <w:sz w:val="20"/>
      <w:szCs w:val="20"/>
    </w:rPr>
  </w:style>
  <w:style w:type="paragraph" w:styleId="CommentSubject">
    <w:name w:val="annotation subject"/>
    <w:basedOn w:val="CommentText"/>
    <w:next w:val="CommentText"/>
    <w:link w:val="CommentSubjectChar"/>
    <w:uiPriority w:val="99"/>
    <w:semiHidden/>
    <w:unhideWhenUsed/>
    <w:rsid w:val="00CE314A"/>
    <w:rPr>
      <w:b/>
      <w:bCs/>
    </w:rPr>
  </w:style>
  <w:style w:type="character" w:customStyle="1" w:styleId="CommentSubjectChar">
    <w:name w:val="Comment Subject Char"/>
    <w:basedOn w:val="CommentTextChar"/>
    <w:link w:val="CommentSubject"/>
    <w:uiPriority w:val="99"/>
    <w:semiHidden/>
    <w:rsid w:val="00CE314A"/>
    <w:rPr>
      <w:b/>
      <w:bCs/>
      <w:sz w:val="20"/>
      <w:szCs w:val="20"/>
    </w:rPr>
  </w:style>
  <w:style w:type="paragraph" w:styleId="Revision">
    <w:name w:val="Revision"/>
    <w:hidden/>
    <w:uiPriority w:val="99"/>
    <w:semiHidden/>
    <w:rsid w:val="00503459"/>
    <w:pPr>
      <w:spacing w:after="0" w:line="240" w:lineRule="auto"/>
    </w:pPr>
  </w:style>
  <w:style w:type="character" w:customStyle="1" w:styleId="Heading5Char">
    <w:name w:val="Heading 5 Char"/>
    <w:basedOn w:val="DefaultParagraphFont"/>
    <w:link w:val="Heading5"/>
    <w:uiPriority w:val="9"/>
    <w:rsid w:val="00F37A5F"/>
    <w:rPr>
      <w:rFonts w:asciiTheme="majorHAnsi" w:eastAsiaTheme="majorEastAsia" w:hAnsiTheme="majorHAnsi" w:cstheme="majorBidi"/>
      <w:color w:val="243F60" w:themeColor="accent1" w:themeShade="7F"/>
    </w:rPr>
  </w:style>
  <w:style w:type="paragraph" w:styleId="TOCHeading">
    <w:name w:val="TOC Heading"/>
    <w:basedOn w:val="Heading1"/>
    <w:next w:val="Normal"/>
    <w:uiPriority w:val="39"/>
    <w:unhideWhenUsed/>
    <w:qFormat/>
    <w:rsid w:val="00F37A5F"/>
    <w:pPr>
      <w:spacing w:before="480" w:line="276" w:lineRule="auto"/>
      <w:jc w:val="left"/>
      <w:outlineLvl w:val="9"/>
    </w:pPr>
    <w:rPr>
      <w:rFonts w:asciiTheme="majorHAnsi" w:hAnsiTheme="majorHAnsi" w:cstheme="majorBidi"/>
      <w:color w:val="365F91" w:themeColor="accent1" w:themeShade="BF"/>
      <w:sz w:val="28"/>
      <w:szCs w:val="28"/>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37A5F"/>
    <w:pPr>
      <w:keepNext/>
      <w:keepLines/>
      <w:spacing w:after="0" w:line="240" w:lineRule="auto"/>
      <w:jc w:val="center"/>
      <w:outlineLvl w:val="0"/>
    </w:pPr>
    <w:rPr>
      <w:rFonts w:ascii="Times New Roman" w:eastAsiaTheme="majorEastAsia" w:hAnsi="Times New Roman" w:cs="Times New Roman"/>
      <w:b/>
      <w:bCs/>
      <w:color w:val="4F81BD" w:themeColor="accent1"/>
      <w:sz w:val="24"/>
      <w:szCs w:val="24"/>
    </w:rPr>
  </w:style>
  <w:style w:type="paragraph" w:styleId="Heading2">
    <w:name w:val="heading 2"/>
    <w:basedOn w:val="Normal"/>
    <w:next w:val="Normal"/>
    <w:link w:val="Heading2Char"/>
    <w:uiPriority w:val="9"/>
    <w:unhideWhenUsed/>
    <w:qFormat/>
    <w:rsid w:val="0043409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3409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6298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F37A5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01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01D0"/>
    <w:rPr>
      <w:rFonts w:ascii="Tahoma" w:hAnsi="Tahoma" w:cs="Tahoma"/>
      <w:sz w:val="16"/>
      <w:szCs w:val="16"/>
    </w:rPr>
  </w:style>
  <w:style w:type="paragraph" w:styleId="ListParagraph">
    <w:name w:val="List Paragraph"/>
    <w:basedOn w:val="Normal"/>
    <w:uiPriority w:val="99"/>
    <w:qFormat/>
    <w:rsid w:val="00CE51DD"/>
    <w:pPr>
      <w:ind w:left="720"/>
      <w:contextualSpacing/>
    </w:pPr>
  </w:style>
  <w:style w:type="paragraph" w:styleId="FootnoteText">
    <w:name w:val="footnote text"/>
    <w:basedOn w:val="Normal"/>
    <w:link w:val="FootnoteTextChar"/>
    <w:uiPriority w:val="99"/>
    <w:unhideWhenUsed/>
    <w:rsid w:val="00F17F6A"/>
    <w:pPr>
      <w:spacing w:after="0" w:line="240" w:lineRule="auto"/>
    </w:pPr>
    <w:rPr>
      <w:sz w:val="20"/>
      <w:szCs w:val="20"/>
    </w:rPr>
  </w:style>
  <w:style w:type="character" w:customStyle="1" w:styleId="FootnoteTextChar">
    <w:name w:val="Footnote Text Char"/>
    <w:basedOn w:val="DefaultParagraphFont"/>
    <w:link w:val="FootnoteText"/>
    <w:uiPriority w:val="99"/>
    <w:rsid w:val="00F17F6A"/>
    <w:rPr>
      <w:sz w:val="20"/>
      <w:szCs w:val="20"/>
    </w:rPr>
  </w:style>
  <w:style w:type="character" w:styleId="FootnoteReference">
    <w:name w:val="footnote reference"/>
    <w:basedOn w:val="DefaultParagraphFont"/>
    <w:uiPriority w:val="99"/>
    <w:unhideWhenUsed/>
    <w:rsid w:val="00F17F6A"/>
    <w:rPr>
      <w:vertAlign w:val="superscript"/>
    </w:rPr>
  </w:style>
  <w:style w:type="paragraph" w:styleId="Header">
    <w:name w:val="header"/>
    <w:basedOn w:val="Normal"/>
    <w:link w:val="HeaderChar"/>
    <w:uiPriority w:val="99"/>
    <w:unhideWhenUsed/>
    <w:rsid w:val="002B5C27"/>
    <w:pPr>
      <w:tabs>
        <w:tab w:val="center" w:pos="4419"/>
        <w:tab w:val="right" w:pos="8838"/>
      </w:tabs>
      <w:spacing w:after="0" w:line="240" w:lineRule="auto"/>
    </w:pPr>
  </w:style>
  <w:style w:type="character" w:customStyle="1" w:styleId="HeaderChar">
    <w:name w:val="Header Char"/>
    <w:basedOn w:val="DefaultParagraphFont"/>
    <w:link w:val="Header"/>
    <w:uiPriority w:val="99"/>
    <w:rsid w:val="002B5C27"/>
  </w:style>
  <w:style w:type="paragraph" w:styleId="Footer">
    <w:name w:val="footer"/>
    <w:basedOn w:val="Normal"/>
    <w:link w:val="FooterChar"/>
    <w:uiPriority w:val="99"/>
    <w:unhideWhenUsed/>
    <w:rsid w:val="002B5C27"/>
    <w:pPr>
      <w:tabs>
        <w:tab w:val="center" w:pos="4419"/>
        <w:tab w:val="right" w:pos="8838"/>
      </w:tabs>
      <w:spacing w:after="0" w:line="240" w:lineRule="auto"/>
    </w:pPr>
  </w:style>
  <w:style w:type="character" w:customStyle="1" w:styleId="FooterChar">
    <w:name w:val="Footer Char"/>
    <w:basedOn w:val="DefaultParagraphFont"/>
    <w:link w:val="Footer"/>
    <w:uiPriority w:val="99"/>
    <w:rsid w:val="002B5C27"/>
  </w:style>
  <w:style w:type="table" w:styleId="TableGrid">
    <w:name w:val="Table Grid"/>
    <w:basedOn w:val="TableNormal"/>
    <w:uiPriority w:val="59"/>
    <w:rsid w:val="00EC19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ookTitle">
    <w:name w:val="Book Title"/>
    <w:basedOn w:val="DefaultParagraphFont"/>
    <w:uiPriority w:val="33"/>
    <w:qFormat/>
    <w:rsid w:val="00CC4322"/>
    <w:rPr>
      <w:b/>
      <w:bCs/>
      <w:smallCaps/>
      <w:spacing w:val="5"/>
    </w:rPr>
  </w:style>
  <w:style w:type="paragraph" w:customStyle="1" w:styleId="Default">
    <w:name w:val="Default"/>
    <w:rsid w:val="00F4324C"/>
    <w:pPr>
      <w:autoSpaceDE w:val="0"/>
      <w:autoSpaceDN w:val="0"/>
      <w:adjustRightInd w:val="0"/>
      <w:spacing w:after="0" w:line="240" w:lineRule="auto"/>
    </w:pPr>
    <w:rPr>
      <w:rFonts w:ascii="Arial" w:hAnsi="Arial" w:cs="Arial"/>
      <w:color w:val="000000"/>
      <w:sz w:val="24"/>
      <w:szCs w:val="24"/>
    </w:rPr>
  </w:style>
  <w:style w:type="paragraph" w:styleId="BodyText">
    <w:name w:val="Body Text"/>
    <w:basedOn w:val="Normal"/>
    <w:link w:val="BodyTextChar"/>
    <w:rsid w:val="00F4324C"/>
    <w:pPr>
      <w:suppressAutoHyphens/>
      <w:spacing w:after="0" w:line="240" w:lineRule="auto"/>
    </w:pPr>
    <w:rPr>
      <w:rFonts w:ascii="Times New Roman" w:eastAsia="Times New Roman" w:hAnsi="Times New Roman" w:cs="Times New Roman"/>
      <w:sz w:val="20"/>
      <w:szCs w:val="20"/>
      <w:lang w:val="es-GT" w:eastAsia="es-MX"/>
    </w:rPr>
  </w:style>
  <w:style w:type="character" w:customStyle="1" w:styleId="BodyTextChar">
    <w:name w:val="Body Text Char"/>
    <w:basedOn w:val="DefaultParagraphFont"/>
    <w:link w:val="BodyText"/>
    <w:rsid w:val="00F4324C"/>
    <w:rPr>
      <w:rFonts w:ascii="Times New Roman" w:eastAsia="Times New Roman" w:hAnsi="Times New Roman" w:cs="Times New Roman"/>
      <w:sz w:val="20"/>
      <w:szCs w:val="20"/>
      <w:lang w:val="es-GT" w:eastAsia="es-MX"/>
    </w:rPr>
  </w:style>
  <w:style w:type="paragraph" w:customStyle="1" w:styleId="WW-Textoindependiente3">
    <w:name w:val="WW-Texto independiente 3"/>
    <w:basedOn w:val="Normal"/>
    <w:rsid w:val="00F4324C"/>
    <w:pPr>
      <w:suppressAutoHyphens/>
      <w:spacing w:after="0" w:line="240" w:lineRule="auto"/>
      <w:jc w:val="both"/>
    </w:pPr>
    <w:rPr>
      <w:rFonts w:ascii="Times New Roman" w:eastAsia="Times New Roman" w:hAnsi="Times New Roman" w:cs="Times New Roman"/>
      <w:sz w:val="24"/>
      <w:szCs w:val="20"/>
      <w:lang w:val="es-GT" w:eastAsia="es-MX"/>
    </w:rPr>
  </w:style>
  <w:style w:type="paragraph" w:customStyle="1" w:styleId="WW-Textoindependiente2">
    <w:name w:val="WW-Texto independiente 2"/>
    <w:basedOn w:val="Normal"/>
    <w:rsid w:val="00F4324C"/>
    <w:pPr>
      <w:tabs>
        <w:tab w:val="center" w:pos="6840"/>
        <w:tab w:val="center" w:pos="8460"/>
        <w:tab w:val="center" w:pos="9900"/>
      </w:tabs>
      <w:suppressAutoHyphens/>
      <w:spacing w:after="0" w:line="240" w:lineRule="auto"/>
      <w:jc w:val="both"/>
    </w:pPr>
    <w:rPr>
      <w:rFonts w:ascii="Times New Roman" w:eastAsia="Times New Roman" w:hAnsi="Times New Roman" w:cs="Times New Roman"/>
      <w:sz w:val="20"/>
      <w:szCs w:val="20"/>
      <w:lang w:val="es-GT" w:eastAsia="es-MX"/>
    </w:rPr>
  </w:style>
  <w:style w:type="paragraph" w:styleId="BodyTextIndent">
    <w:name w:val="Body Text Indent"/>
    <w:basedOn w:val="Normal"/>
    <w:link w:val="BodyTextIndentChar"/>
    <w:uiPriority w:val="99"/>
    <w:unhideWhenUsed/>
    <w:rsid w:val="00F4324C"/>
    <w:pPr>
      <w:spacing w:after="120"/>
      <w:ind w:left="360"/>
    </w:pPr>
  </w:style>
  <w:style w:type="character" w:customStyle="1" w:styleId="BodyTextIndentChar">
    <w:name w:val="Body Text Indent Char"/>
    <w:basedOn w:val="DefaultParagraphFont"/>
    <w:link w:val="BodyTextIndent"/>
    <w:uiPriority w:val="99"/>
    <w:rsid w:val="00F4324C"/>
  </w:style>
  <w:style w:type="character" w:customStyle="1" w:styleId="apple-converted-space">
    <w:name w:val="apple-converted-space"/>
    <w:basedOn w:val="DefaultParagraphFont"/>
    <w:rsid w:val="006554CC"/>
  </w:style>
  <w:style w:type="character" w:styleId="Hyperlink">
    <w:name w:val="Hyperlink"/>
    <w:basedOn w:val="DefaultParagraphFont"/>
    <w:uiPriority w:val="99"/>
    <w:unhideWhenUsed/>
    <w:rsid w:val="006554CC"/>
    <w:rPr>
      <w:color w:val="0000FF"/>
      <w:u w:val="single"/>
    </w:rPr>
  </w:style>
  <w:style w:type="paragraph" w:customStyle="1" w:styleId="Chapter">
    <w:name w:val="Chapter"/>
    <w:basedOn w:val="Normal"/>
    <w:next w:val="Normal"/>
    <w:uiPriority w:val="99"/>
    <w:rsid w:val="006554CC"/>
    <w:pPr>
      <w:numPr>
        <w:numId w:val="15"/>
      </w:numPr>
      <w:tabs>
        <w:tab w:val="left" w:pos="1440"/>
      </w:tabs>
      <w:spacing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basedOn w:val="BodyTextIndent"/>
    <w:uiPriority w:val="99"/>
    <w:rsid w:val="006554CC"/>
    <w:pPr>
      <w:numPr>
        <w:ilvl w:val="1"/>
        <w:numId w:val="15"/>
      </w:numPr>
      <w:tabs>
        <w:tab w:val="clear" w:pos="720"/>
        <w:tab w:val="num" w:pos="360"/>
      </w:tabs>
      <w:spacing w:before="120" w:line="240" w:lineRule="auto"/>
      <w:ind w:left="360" w:firstLine="0"/>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uiPriority w:val="99"/>
    <w:rsid w:val="006554CC"/>
    <w:pPr>
      <w:numPr>
        <w:ilvl w:val="2"/>
        <w:numId w:val="15"/>
      </w:numPr>
      <w:tabs>
        <w:tab w:val="clear" w:pos="1152"/>
        <w:tab w:val="num" w:pos="360"/>
      </w:tabs>
      <w:spacing w:before="120" w:line="240" w:lineRule="auto"/>
      <w:ind w:left="360"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6554CC"/>
    <w:pPr>
      <w:numPr>
        <w:ilvl w:val="3"/>
      </w:numPr>
      <w:tabs>
        <w:tab w:val="clear" w:pos="1584"/>
        <w:tab w:val="left" w:pos="0"/>
        <w:tab w:val="num" w:pos="360"/>
      </w:tabs>
      <w:ind w:left="2520" w:hanging="360"/>
    </w:pPr>
  </w:style>
  <w:style w:type="paragraph" w:styleId="BodyTextIndent3">
    <w:name w:val="Body Text Indent 3"/>
    <w:basedOn w:val="Normal"/>
    <w:link w:val="BodyTextIndent3Char"/>
    <w:uiPriority w:val="99"/>
    <w:semiHidden/>
    <w:unhideWhenUsed/>
    <w:rsid w:val="006554C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554CC"/>
    <w:rPr>
      <w:sz w:val="16"/>
      <w:szCs w:val="16"/>
    </w:rPr>
  </w:style>
  <w:style w:type="character" w:styleId="FollowedHyperlink">
    <w:name w:val="FollowedHyperlink"/>
    <w:basedOn w:val="DefaultParagraphFont"/>
    <w:uiPriority w:val="99"/>
    <w:semiHidden/>
    <w:unhideWhenUsed/>
    <w:rsid w:val="00947838"/>
    <w:rPr>
      <w:color w:val="800080" w:themeColor="followedHyperlink"/>
      <w:u w:val="single"/>
    </w:rPr>
  </w:style>
  <w:style w:type="character" w:styleId="PageNumber">
    <w:name w:val="page number"/>
    <w:basedOn w:val="DefaultParagraphFont"/>
    <w:uiPriority w:val="99"/>
    <w:semiHidden/>
    <w:unhideWhenUsed/>
    <w:rsid w:val="00D52D4E"/>
  </w:style>
  <w:style w:type="character" w:customStyle="1" w:styleId="Heading1Char">
    <w:name w:val="Heading 1 Char"/>
    <w:basedOn w:val="DefaultParagraphFont"/>
    <w:link w:val="Heading1"/>
    <w:uiPriority w:val="9"/>
    <w:rsid w:val="00F37A5F"/>
    <w:rPr>
      <w:rFonts w:ascii="Times New Roman" w:eastAsiaTheme="majorEastAsia" w:hAnsi="Times New Roman" w:cs="Times New Roman"/>
      <w:b/>
      <w:bCs/>
      <w:color w:val="4F81BD" w:themeColor="accent1"/>
      <w:sz w:val="24"/>
      <w:szCs w:val="24"/>
    </w:rPr>
  </w:style>
  <w:style w:type="paragraph" w:styleId="Title">
    <w:name w:val="Title"/>
    <w:basedOn w:val="Normal"/>
    <w:next w:val="Normal"/>
    <w:link w:val="TitleChar"/>
    <w:uiPriority w:val="10"/>
    <w:qFormat/>
    <w:rsid w:val="00B4779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47791"/>
    <w:rPr>
      <w:rFonts w:asciiTheme="majorHAnsi" w:eastAsiaTheme="majorEastAsia" w:hAnsiTheme="majorHAnsi" w:cstheme="majorBidi"/>
      <w:color w:val="17365D" w:themeColor="text2" w:themeShade="BF"/>
      <w:spacing w:val="5"/>
      <w:kern w:val="28"/>
      <w:sz w:val="52"/>
      <w:szCs w:val="52"/>
    </w:rPr>
  </w:style>
  <w:style w:type="paragraph" w:styleId="TOC1">
    <w:name w:val="toc 1"/>
    <w:basedOn w:val="Normal"/>
    <w:next w:val="Normal"/>
    <w:autoRedefine/>
    <w:uiPriority w:val="39"/>
    <w:unhideWhenUsed/>
    <w:rsid w:val="00B47791"/>
    <w:pPr>
      <w:spacing w:before="120" w:after="0"/>
    </w:pPr>
    <w:rPr>
      <w:rFonts w:asciiTheme="majorHAnsi" w:hAnsiTheme="majorHAnsi"/>
      <w:b/>
      <w:color w:val="548DD4"/>
      <w:sz w:val="24"/>
      <w:szCs w:val="24"/>
    </w:rPr>
  </w:style>
  <w:style w:type="paragraph" w:styleId="TOC2">
    <w:name w:val="toc 2"/>
    <w:basedOn w:val="Normal"/>
    <w:next w:val="Normal"/>
    <w:autoRedefine/>
    <w:uiPriority w:val="39"/>
    <w:unhideWhenUsed/>
    <w:rsid w:val="00B47791"/>
    <w:pPr>
      <w:spacing w:after="0"/>
    </w:pPr>
  </w:style>
  <w:style w:type="paragraph" w:styleId="TOC3">
    <w:name w:val="toc 3"/>
    <w:basedOn w:val="Normal"/>
    <w:next w:val="Normal"/>
    <w:autoRedefine/>
    <w:uiPriority w:val="39"/>
    <w:unhideWhenUsed/>
    <w:rsid w:val="00B47791"/>
    <w:pPr>
      <w:spacing w:after="0"/>
      <w:ind w:left="220"/>
    </w:pPr>
    <w:rPr>
      <w:i/>
    </w:rPr>
  </w:style>
  <w:style w:type="paragraph" w:styleId="TOC4">
    <w:name w:val="toc 4"/>
    <w:basedOn w:val="Normal"/>
    <w:next w:val="Normal"/>
    <w:autoRedefine/>
    <w:uiPriority w:val="39"/>
    <w:unhideWhenUsed/>
    <w:rsid w:val="00B47791"/>
    <w:pPr>
      <w:pBdr>
        <w:between w:val="double" w:sz="6" w:space="0" w:color="auto"/>
      </w:pBdr>
      <w:spacing w:after="0"/>
      <w:ind w:left="440"/>
    </w:pPr>
    <w:rPr>
      <w:sz w:val="20"/>
      <w:szCs w:val="20"/>
    </w:rPr>
  </w:style>
  <w:style w:type="paragraph" w:styleId="TOC5">
    <w:name w:val="toc 5"/>
    <w:basedOn w:val="Normal"/>
    <w:next w:val="Normal"/>
    <w:autoRedefine/>
    <w:uiPriority w:val="39"/>
    <w:unhideWhenUsed/>
    <w:rsid w:val="00B47791"/>
    <w:pPr>
      <w:pBdr>
        <w:between w:val="double" w:sz="6" w:space="0" w:color="auto"/>
      </w:pBdr>
      <w:spacing w:after="0"/>
      <w:ind w:left="660"/>
    </w:pPr>
    <w:rPr>
      <w:sz w:val="20"/>
      <w:szCs w:val="20"/>
    </w:rPr>
  </w:style>
  <w:style w:type="paragraph" w:styleId="TOC6">
    <w:name w:val="toc 6"/>
    <w:basedOn w:val="Normal"/>
    <w:next w:val="Normal"/>
    <w:autoRedefine/>
    <w:uiPriority w:val="39"/>
    <w:unhideWhenUsed/>
    <w:rsid w:val="00B47791"/>
    <w:pPr>
      <w:pBdr>
        <w:between w:val="double" w:sz="6" w:space="0" w:color="auto"/>
      </w:pBdr>
      <w:spacing w:after="0"/>
      <w:ind w:left="880"/>
    </w:pPr>
    <w:rPr>
      <w:sz w:val="20"/>
      <w:szCs w:val="20"/>
    </w:rPr>
  </w:style>
  <w:style w:type="paragraph" w:styleId="TOC7">
    <w:name w:val="toc 7"/>
    <w:basedOn w:val="Normal"/>
    <w:next w:val="Normal"/>
    <w:autoRedefine/>
    <w:uiPriority w:val="39"/>
    <w:unhideWhenUsed/>
    <w:rsid w:val="00B47791"/>
    <w:pPr>
      <w:pBdr>
        <w:between w:val="double" w:sz="6" w:space="0" w:color="auto"/>
      </w:pBdr>
      <w:spacing w:after="0"/>
      <w:ind w:left="1100"/>
    </w:pPr>
    <w:rPr>
      <w:sz w:val="20"/>
      <w:szCs w:val="20"/>
    </w:rPr>
  </w:style>
  <w:style w:type="paragraph" w:styleId="TOC8">
    <w:name w:val="toc 8"/>
    <w:basedOn w:val="Normal"/>
    <w:next w:val="Normal"/>
    <w:autoRedefine/>
    <w:uiPriority w:val="39"/>
    <w:unhideWhenUsed/>
    <w:rsid w:val="00B47791"/>
    <w:pPr>
      <w:pBdr>
        <w:between w:val="double" w:sz="6" w:space="0" w:color="auto"/>
      </w:pBdr>
      <w:spacing w:after="0"/>
      <w:ind w:left="1320"/>
    </w:pPr>
    <w:rPr>
      <w:sz w:val="20"/>
      <w:szCs w:val="20"/>
    </w:rPr>
  </w:style>
  <w:style w:type="paragraph" w:styleId="TOC9">
    <w:name w:val="toc 9"/>
    <w:basedOn w:val="Normal"/>
    <w:next w:val="Normal"/>
    <w:autoRedefine/>
    <w:uiPriority w:val="39"/>
    <w:unhideWhenUsed/>
    <w:rsid w:val="00B47791"/>
    <w:pPr>
      <w:pBdr>
        <w:between w:val="double" w:sz="6" w:space="0" w:color="auto"/>
      </w:pBdr>
      <w:spacing w:after="0"/>
      <w:ind w:left="1540"/>
    </w:pPr>
    <w:rPr>
      <w:sz w:val="20"/>
      <w:szCs w:val="20"/>
    </w:rPr>
  </w:style>
  <w:style w:type="character" w:customStyle="1" w:styleId="Heading2Char">
    <w:name w:val="Heading 2 Char"/>
    <w:basedOn w:val="DefaultParagraphFont"/>
    <w:link w:val="Heading2"/>
    <w:uiPriority w:val="9"/>
    <w:rsid w:val="0043409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3409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62985"/>
    <w:rPr>
      <w:rFonts w:asciiTheme="majorHAnsi" w:eastAsiaTheme="majorEastAsia" w:hAnsiTheme="majorHAnsi" w:cstheme="majorBidi"/>
      <w:b/>
      <w:bCs/>
      <w:i/>
      <w:iCs/>
      <w:color w:val="4F81BD" w:themeColor="accent1"/>
    </w:rPr>
  </w:style>
  <w:style w:type="character" w:customStyle="1" w:styleId="a">
    <w:name w:val="a"/>
    <w:basedOn w:val="DefaultParagraphFont"/>
    <w:rsid w:val="00597F5E"/>
  </w:style>
  <w:style w:type="character" w:styleId="Strong">
    <w:name w:val="Strong"/>
    <w:basedOn w:val="DefaultParagraphFont"/>
    <w:uiPriority w:val="22"/>
    <w:qFormat/>
    <w:rsid w:val="004558F8"/>
    <w:rPr>
      <w:b/>
      <w:bCs/>
    </w:rPr>
  </w:style>
  <w:style w:type="table" w:styleId="ColorfulList">
    <w:name w:val="Colorful List"/>
    <w:basedOn w:val="TableNormal"/>
    <w:uiPriority w:val="72"/>
    <w:rsid w:val="003B58D7"/>
    <w:pPr>
      <w:spacing w:after="0" w:line="240" w:lineRule="auto"/>
    </w:pPr>
    <w:rPr>
      <w:color w:val="000000" w:themeColor="text1"/>
      <w:sz w:val="24"/>
      <w:szCs w:val="24"/>
      <w:lang w:val="es-ES_tradnl" w:eastAsia="es-ES"/>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paragraph" w:styleId="NoSpacing">
    <w:name w:val="No Spacing"/>
    <w:uiPriority w:val="1"/>
    <w:qFormat/>
    <w:rsid w:val="000C473F"/>
    <w:pPr>
      <w:spacing w:after="0" w:line="240" w:lineRule="auto"/>
    </w:pPr>
    <w:rPr>
      <w:sz w:val="24"/>
      <w:szCs w:val="24"/>
      <w:lang w:val="es-ES_tradnl" w:eastAsia="es-ES"/>
    </w:rPr>
  </w:style>
  <w:style w:type="paragraph" w:customStyle="1" w:styleId="Pa16">
    <w:name w:val="Pa16"/>
    <w:basedOn w:val="Default"/>
    <w:next w:val="Default"/>
    <w:uiPriority w:val="99"/>
    <w:rsid w:val="00CB6A55"/>
    <w:pPr>
      <w:spacing w:line="241" w:lineRule="atLeast"/>
    </w:pPr>
    <w:rPr>
      <w:rFonts w:eastAsiaTheme="minorHAnsi"/>
      <w:color w:val="auto"/>
      <w:lang w:val="en-US" w:eastAsia="en-US"/>
    </w:rPr>
  </w:style>
  <w:style w:type="paragraph" w:customStyle="1" w:styleId="Pa19">
    <w:name w:val="Pa19"/>
    <w:basedOn w:val="Default"/>
    <w:next w:val="Default"/>
    <w:uiPriority w:val="99"/>
    <w:rsid w:val="00CB6A55"/>
    <w:pPr>
      <w:spacing w:line="241" w:lineRule="atLeast"/>
    </w:pPr>
    <w:rPr>
      <w:rFonts w:eastAsiaTheme="minorHAnsi"/>
      <w:color w:val="auto"/>
      <w:lang w:val="en-US" w:eastAsia="en-US"/>
    </w:rPr>
  </w:style>
  <w:style w:type="character" w:customStyle="1" w:styleId="A3">
    <w:name w:val="A3"/>
    <w:uiPriority w:val="99"/>
    <w:rsid w:val="00CB6A55"/>
    <w:rPr>
      <w:color w:val="000000"/>
    </w:rPr>
  </w:style>
  <w:style w:type="character" w:styleId="CommentReference">
    <w:name w:val="annotation reference"/>
    <w:basedOn w:val="DefaultParagraphFont"/>
    <w:uiPriority w:val="99"/>
    <w:semiHidden/>
    <w:unhideWhenUsed/>
    <w:rsid w:val="00CE314A"/>
    <w:rPr>
      <w:sz w:val="16"/>
      <w:szCs w:val="16"/>
    </w:rPr>
  </w:style>
  <w:style w:type="paragraph" w:styleId="CommentText">
    <w:name w:val="annotation text"/>
    <w:basedOn w:val="Normal"/>
    <w:link w:val="CommentTextChar"/>
    <w:uiPriority w:val="99"/>
    <w:semiHidden/>
    <w:unhideWhenUsed/>
    <w:rsid w:val="00CE314A"/>
    <w:pPr>
      <w:spacing w:line="240" w:lineRule="auto"/>
    </w:pPr>
    <w:rPr>
      <w:sz w:val="20"/>
      <w:szCs w:val="20"/>
    </w:rPr>
  </w:style>
  <w:style w:type="character" w:customStyle="1" w:styleId="CommentTextChar">
    <w:name w:val="Comment Text Char"/>
    <w:basedOn w:val="DefaultParagraphFont"/>
    <w:link w:val="CommentText"/>
    <w:uiPriority w:val="99"/>
    <w:semiHidden/>
    <w:rsid w:val="00CE314A"/>
    <w:rPr>
      <w:sz w:val="20"/>
      <w:szCs w:val="20"/>
    </w:rPr>
  </w:style>
  <w:style w:type="paragraph" w:styleId="CommentSubject">
    <w:name w:val="annotation subject"/>
    <w:basedOn w:val="CommentText"/>
    <w:next w:val="CommentText"/>
    <w:link w:val="CommentSubjectChar"/>
    <w:uiPriority w:val="99"/>
    <w:semiHidden/>
    <w:unhideWhenUsed/>
    <w:rsid w:val="00CE314A"/>
    <w:rPr>
      <w:b/>
      <w:bCs/>
    </w:rPr>
  </w:style>
  <w:style w:type="character" w:customStyle="1" w:styleId="CommentSubjectChar">
    <w:name w:val="Comment Subject Char"/>
    <w:basedOn w:val="CommentTextChar"/>
    <w:link w:val="CommentSubject"/>
    <w:uiPriority w:val="99"/>
    <w:semiHidden/>
    <w:rsid w:val="00CE314A"/>
    <w:rPr>
      <w:b/>
      <w:bCs/>
      <w:sz w:val="20"/>
      <w:szCs w:val="20"/>
    </w:rPr>
  </w:style>
  <w:style w:type="paragraph" w:styleId="Revision">
    <w:name w:val="Revision"/>
    <w:hidden/>
    <w:uiPriority w:val="99"/>
    <w:semiHidden/>
    <w:rsid w:val="00503459"/>
    <w:pPr>
      <w:spacing w:after="0" w:line="240" w:lineRule="auto"/>
    </w:pPr>
  </w:style>
  <w:style w:type="character" w:customStyle="1" w:styleId="Heading5Char">
    <w:name w:val="Heading 5 Char"/>
    <w:basedOn w:val="DefaultParagraphFont"/>
    <w:link w:val="Heading5"/>
    <w:uiPriority w:val="9"/>
    <w:rsid w:val="00F37A5F"/>
    <w:rPr>
      <w:rFonts w:asciiTheme="majorHAnsi" w:eastAsiaTheme="majorEastAsia" w:hAnsiTheme="majorHAnsi" w:cstheme="majorBidi"/>
      <w:color w:val="243F60" w:themeColor="accent1" w:themeShade="7F"/>
    </w:rPr>
  </w:style>
  <w:style w:type="paragraph" w:styleId="TOCHeading">
    <w:name w:val="TOC Heading"/>
    <w:basedOn w:val="Heading1"/>
    <w:next w:val="Normal"/>
    <w:uiPriority w:val="39"/>
    <w:unhideWhenUsed/>
    <w:qFormat/>
    <w:rsid w:val="00F37A5F"/>
    <w:pPr>
      <w:spacing w:before="480" w:line="276" w:lineRule="auto"/>
      <w:jc w:val="left"/>
      <w:outlineLvl w:val="9"/>
    </w:pPr>
    <w:rPr>
      <w:rFonts w:asciiTheme="majorHAnsi" w:hAnsiTheme="majorHAnsi" w:cstheme="majorBidi"/>
      <w:color w:val="365F91" w:themeColor="accent1" w:themeShade="BF"/>
      <w:sz w:val="28"/>
      <w:szCs w:val="28"/>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855039">
      <w:bodyDiv w:val="1"/>
      <w:marLeft w:val="0"/>
      <w:marRight w:val="0"/>
      <w:marTop w:val="0"/>
      <w:marBottom w:val="0"/>
      <w:divBdr>
        <w:top w:val="none" w:sz="0" w:space="0" w:color="auto"/>
        <w:left w:val="none" w:sz="0" w:space="0" w:color="auto"/>
        <w:bottom w:val="none" w:sz="0" w:space="0" w:color="auto"/>
        <w:right w:val="none" w:sz="0" w:space="0" w:color="auto"/>
      </w:divBdr>
    </w:div>
    <w:div w:id="333807044">
      <w:bodyDiv w:val="1"/>
      <w:marLeft w:val="0"/>
      <w:marRight w:val="0"/>
      <w:marTop w:val="0"/>
      <w:marBottom w:val="0"/>
      <w:divBdr>
        <w:top w:val="none" w:sz="0" w:space="0" w:color="auto"/>
        <w:left w:val="none" w:sz="0" w:space="0" w:color="auto"/>
        <w:bottom w:val="none" w:sz="0" w:space="0" w:color="auto"/>
        <w:right w:val="none" w:sz="0" w:space="0" w:color="auto"/>
      </w:divBdr>
    </w:div>
    <w:div w:id="473302082">
      <w:bodyDiv w:val="1"/>
      <w:marLeft w:val="0"/>
      <w:marRight w:val="0"/>
      <w:marTop w:val="0"/>
      <w:marBottom w:val="0"/>
      <w:divBdr>
        <w:top w:val="none" w:sz="0" w:space="0" w:color="auto"/>
        <w:left w:val="none" w:sz="0" w:space="0" w:color="auto"/>
        <w:bottom w:val="none" w:sz="0" w:space="0" w:color="auto"/>
        <w:right w:val="none" w:sz="0" w:space="0" w:color="auto"/>
      </w:divBdr>
    </w:div>
    <w:div w:id="650252485">
      <w:bodyDiv w:val="1"/>
      <w:marLeft w:val="0"/>
      <w:marRight w:val="0"/>
      <w:marTop w:val="0"/>
      <w:marBottom w:val="0"/>
      <w:divBdr>
        <w:top w:val="none" w:sz="0" w:space="0" w:color="auto"/>
        <w:left w:val="none" w:sz="0" w:space="0" w:color="auto"/>
        <w:bottom w:val="none" w:sz="0" w:space="0" w:color="auto"/>
        <w:right w:val="none" w:sz="0" w:space="0" w:color="auto"/>
      </w:divBdr>
    </w:div>
    <w:div w:id="710811344">
      <w:bodyDiv w:val="1"/>
      <w:marLeft w:val="0"/>
      <w:marRight w:val="0"/>
      <w:marTop w:val="0"/>
      <w:marBottom w:val="0"/>
      <w:divBdr>
        <w:top w:val="none" w:sz="0" w:space="0" w:color="auto"/>
        <w:left w:val="none" w:sz="0" w:space="0" w:color="auto"/>
        <w:bottom w:val="none" w:sz="0" w:space="0" w:color="auto"/>
        <w:right w:val="none" w:sz="0" w:space="0" w:color="auto"/>
      </w:divBdr>
    </w:div>
    <w:div w:id="1250230804">
      <w:bodyDiv w:val="1"/>
      <w:marLeft w:val="0"/>
      <w:marRight w:val="0"/>
      <w:marTop w:val="0"/>
      <w:marBottom w:val="0"/>
      <w:divBdr>
        <w:top w:val="none" w:sz="0" w:space="0" w:color="auto"/>
        <w:left w:val="none" w:sz="0" w:space="0" w:color="auto"/>
        <w:bottom w:val="none" w:sz="0" w:space="0" w:color="auto"/>
        <w:right w:val="none" w:sz="0" w:space="0" w:color="auto"/>
      </w:divBdr>
    </w:div>
    <w:div w:id="1722750277">
      <w:bodyDiv w:val="1"/>
      <w:marLeft w:val="0"/>
      <w:marRight w:val="0"/>
      <w:marTop w:val="0"/>
      <w:marBottom w:val="0"/>
      <w:divBdr>
        <w:top w:val="none" w:sz="0" w:space="0" w:color="auto"/>
        <w:left w:val="none" w:sz="0" w:space="0" w:color="auto"/>
        <w:bottom w:val="none" w:sz="0" w:space="0" w:color="auto"/>
        <w:right w:val="none" w:sz="0" w:space="0" w:color="auto"/>
      </w:divBdr>
    </w:div>
    <w:div w:id="197756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emf"/><Relationship Id="rId26" Type="http://schemas.openxmlformats.org/officeDocument/2006/relationships/image" Target="media/image13.emf"/><Relationship Id="rId21" Type="http://schemas.openxmlformats.org/officeDocument/2006/relationships/chart" Target="charts/chart3.xml"/><Relationship Id="rId34"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image" Target="media/image8.emf"/><Relationship Id="rId25" Type="http://schemas.openxmlformats.org/officeDocument/2006/relationships/image" Target="media/image12.emf"/><Relationship Id="rId33" Type="http://schemas.openxmlformats.org/officeDocument/2006/relationships/theme" Target="theme/theme1.xml"/><Relationship Id="rId38"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0.emf"/><Relationship Id="rId29"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chart" Target="charts/chart5.xml"/><Relationship Id="rId32" Type="http://schemas.openxmlformats.org/officeDocument/2006/relationships/fontTable" Target="fontTable.xml"/><Relationship Id="rId37"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chart" Target="charts/chart4.xml"/><Relationship Id="rId28" Type="http://schemas.openxmlformats.org/officeDocument/2006/relationships/footer" Target="footer2.xml"/><Relationship Id="rId36" Type="http://schemas.openxmlformats.org/officeDocument/2006/relationships/customXml" Target="../customXml/item4.xml"/><Relationship Id="rId10" Type="http://schemas.openxmlformats.org/officeDocument/2006/relationships/image" Target="media/image2.emf"/><Relationship Id="rId19" Type="http://schemas.openxmlformats.org/officeDocument/2006/relationships/chart" Target="charts/chart2.xml"/><Relationship Id="rId31"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emf"/><Relationship Id="rId22" Type="http://schemas.openxmlformats.org/officeDocument/2006/relationships/image" Target="media/image11.emf"/><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customXml" Target="../customXml/item3.xml"/><Relationship Id="rId8" Type="http://schemas.openxmlformats.org/officeDocument/2006/relationships/endnotes" Target="endnotes.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orld-gazetteer.com/wg.php?x=&amp;men=gpro&amp;lng=en&amp;des=wg&amp;geo=-2&amp;srt=pnan&amp;col=adhoq&amp;msz=1500&amp;pt=a&amp;va=&amp;geo=-1048921"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curro:Desktop:LL:Guatemala:MFMP:Guatemal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curro:Desktop:LL:Guatemala:MFMP:Guatemal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curro:Desktop:LL:Guatemala:MFMP:Guatemala.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acintosh%20HD:Users:curro:Desktop:LL:Guatemala:MFMP:Guatemala.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Macintosh%20HD:Users:curro:Desktop:Guatemala:MFMP:Guatemal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s-ES"/>
              <a:t>Transferencias de Capital</a:t>
            </a:r>
          </a:p>
          <a:p>
            <a:pPr>
              <a:defRPr/>
            </a:pPr>
            <a:r>
              <a:rPr lang="es-ES" sz="1200" b="0" i="0"/>
              <a:t>Comportamiento Histórico</a:t>
            </a:r>
          </a:p>
          <a:p>
            <a:pPr>
              <a:defRPr/>
            </a:pPr>
            <a:r>
              <a:rPr lang="es-ES" sz="1200" b="0" i="0"/>
              <a:t>(En miles de quetzales)</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TransK!$A$5</c:f>
              <c:strCache>
                <c:ptCount val="1"/>
                <c:pt idx="0">
                  <c:v>Presupuesto</c:v>
                </c:pt>
              </c:strCache>
            </c:strRef>
          </c:tx>
          <c:invertIfNegative val="0"/>
          <c:cat>
            <c:numRef>
              <c:f>TransK!$B$4:$E$4</c:f>
              <c:numCache>
                <c:formatCode>General</c:formatCode>
                <c:ptCount val="4"/>
                <c:pt idx="0">
                  <c:v>2008</c:v>
                </c:pt>
                <c:pt idx="1">
                  <c:v>2009</c:v>
                </c:pt>
                <c:pt idx="2">
                  <c:v>2010</c:v>
                </c:pt>
                <c:pt idx="3">
                  <c:v>2011</c:v>
                </c:pt>
              </c:numCache>
            </c:numRef>
          </c:cat>
          <c:val>
            <c:numRef>
              <c:f>TransK!$B$5:$E$5</c:f>
              <c:numCache>
                <c:formatCode>#,##0\ [$Q-100A]</c:formatCode>
                <c:ptCount val="4"/>
                <c:pt idx="0">
                  <c:v>121000</c:v>
                </c:pt>
                <c:pt idx="1">
                  <c:v>129600</c:v>
                </c:pt>
                <c:pt idx="2">
                  <c:v>113528</c:v>
                </c:pt>
                <c:pt idx="3">
                  <c:v>142200</c:v>
                </c:pt>
              </c:numCache>
            </c:numRef>
          </c:val>
        </c:ser>
        <c:ser>
          <c:idx val="1"/>
          <c:order val="1"/>
          <c:tx>
            <c:strRef>
              <c:f>TransK!$A$6</c:f>
              <c:strCache>
                <c:ptCount val="1"/>
                <c:pt idx="0">
                  <c:v>Recaudado</c:v>
                </c:pt>
              </c:strCache>
            </c:strRef>
          </c:tx>
          <c:invertIfNegative val="0"/>
          <c:cat>
            <c:numRef>
              <c:f>TransK!$B$4:$E$4</c:f>
              <c:numCache>
                <c:formatCode>General</c:formatCode>
                <c:ptCount val="4"/>
                <c:pt idx="0">
                  <c:v>2008</c:v>
                </c:pt>
                <c:pt idx="1">
                  <c:v>2009</c:v>
                </c:pt>
                <c:pt idx="2">
                  <c:v>2010</c:v>
                </c:pt>
                <c:pt idx="3">
                  <c:v>2011</c:v>
                </c:pt>
              </c:numCache>
            </c:numRef>
          </c:cat>
          <c:val>
            <c:numRef>
              <c:f>TransK!$B$6:$E$6</c:f>
              <c:numCache>
                <c:formatCode>#,##0\ [$Q-100A]</c:formatCode>
                <c:ptCount val="4"/>
                <c:pt idx="0">
                  <c:v>116282.3027</c:v>
                </c:pt>
                <c:pt idx="1">
                  <c:v>105120.13214</c:v>
                </c:pt>
                <c:pt idx="2">
                  <c:v>123683.59969</c:v>
                </c:pt>
                <c:pt idx="3">
                  <c:v>154566.37552999999</c:v>
                </c:pt>
              </c:numCache>
            </c:numRef>
          </c:val>
        </c:ser>
        <c:dLbls>
          <c:showLegendKey val="0"/>
          <c:showVal val="0"/>
          <c:showCatName val="0"/>
          <c:showSerName val="0"/>
          <c:showPercent val="0"/>
          <c:showBubbleSize val="0"/>
        </c:dLbls>
        <c:gapWidth val="150"/>
        <c:shape val="box"/>
        <c:axId val="242461312"/>
        <c:axId val="85877120"/>
        <c:axId val="0"/>
      </c:bar3DChart>
      <c:catAx>
        <c:axId val="242461312"/>
        <c:scaling>
          <c:orientation val="minMax"/>
        </c:scaling>
        <c:delete val="0"/>
        <c:axPos val="b"/>
        <c:numFmt formatCode="General" sourceLinked="1"/>
        <c:majorTickMark val="none"/>
        <c:minorTickMark val="none"/>
        <c:tickLblPos val="nextTo"/>
        <c:crossAx val="85877120"/>
        <c:crosses val="autoZero"/>
        <c:auto val="1"/>
        <c:lblAlgn val="ctr"/>
        <c:lblOffset val="100"/>
        <c:noMultiLvlLbl val="0"/>
      </c:catAx>
      <c:valAx>
        <c:axId val="85877120"/>
        <c:scaling>
          <c:orientation val="minMax"/>
        </c:scaling>
        <c:delete val="0"/>
        <c:axPos val="l"/>
        <c:majorGridlines/>
        <c:numFmt formatCode="#,##0\ [$Q-100A]" sourceLinked="1"/>
        <c:majorTickMark val="none"/>
        <c:minorTickMark val="none"/>
        <c:tickLblPos val="nextTo"/>
        <c:crossAx val="242461312"/>
        <c:crosses val="autoZero"/>
        <c:crossBetween val="between"/>
      </c:valAx>
      <c:dTable>
        <c:showHorzBorder val="1"/>
        <c:showVertBorder val="1"/>
        <c:showOutline val="1"/>
        <c:showKeys val="1"/>
      </c:dTable>
    </c:plotArea>
    <c:plotVisOnly val="1"/>
    <c:dispBlanksAs val="gap"/>
    <c:showDLblsOverMax val="0"/>
  </c:chart>
  <c:spPr>
    <a:effectLst>
      <a:outerShdw blurRad="50800" dist="38100" dir="2700000" algn="tl" rotWithShape="0">
        <a:prstClr val="black">
          <a:alpha val="40000"/>
        </a:prstClr>
      </a:outerShdw>
    </a:effectLst>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s-ES"/>
              <a:t>Recaudo IUSI</a:t>
            </a:r>
          </a:p>
          <a:p>
            <a:pPr>
              <a:defRPr/>
            </a:pPr>
            <a:r>
              <a:rPr lang="es-ES" sz="1200" b="0" i="0"/>
              <a:t>Comportamiento Histórico</a:t>
            </a:r>
          </a:p>
          <a:p>
            <a:pPr>
              <a:defRPr/>
            </a:pPr>
            <a:r>
              <a:rPr lang="es-ES" sz="1200" b="0" i="0"/>
              <a:t>(En miles de quetzales)</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IUSI!$A$8</c:f>
              <c:strCache>
                <c:ptCount val="1"/>
                <c:pt idx="0">
                  <c:v>Presupuesto</c:v>
                </c:pt>
              </c:strCache>
            </c:strRef>
          </c:tx>
          <c:invertIfNegative val="0"/>
          <c:cat>
            <c:numRef>
              <c:f>IUSI!$B$7:$F$7</c:f>
              <c:numCache>
                <c:formatCode>General</c:formatCode>
                <c:ptCount val="4"/>
                <c:pt idx="0">
                  <c:v>2008</c:v>
                </c:pt>
                <c:pt idx="1">
                  <c:v>2009</c:v>
                </c:pt>
                <c:pt idx="2">
                  <c:v>2010</c:v>
                </c:pt>
                <c:pt idx="3">
                  <c:v>2011</c:v>
                </c:pt>
              </c:numCache>
            </c:numRef>
          </c:cat>
          <c:val>
            <c:numRef>
              <c:f>IUSI!$B$8:$F$8</c:f>
              <c:numCache>
                <c:formatCode>#,##0\ [$Q-100A]</c:formatCode>
                <c:ptCount val="4"/>
                <c:pt idx="0">
                  <c:v>179692</c:v>
                </c:pt>
                <c:pt idx="1">
                  <c:v>190130</c:v>
                </c:pt>
                <c:pt idx="2">
                  <c:v>220120</c:v>
                </c:pt>
                <c:pt idx="3">
                  <c:v>266916</c:v>
                </c:pt>
              </c:numCache>
            </c:numRef>
          </c:val>
        </c:ser>
        <c:ser>
          <c:idx val="1"/>
          <c:order val="1"/>
          <c:tx>
            <c:strRef>
              <c:f>IUSI!$A$9</c:f>
              <c:strCache>
                <c:ptCount val="1"/>
                <c:pt idx="0">
                  <c:v>Recaudado</c:v>
                </c:pt>
              </c:strCache>
            </c:strRef>
          </c:tx>
          <c:invertIfNegative val="0"/>
          <c:cat>
            <c:numRef>
              <c:f>IUSI!$B$7:$F$7</c:f>
              <c:numCache>
                <c:formatCode>General</c:formatCode>
                <c:ptCount val="4"/>
                <c:pt idx="0">
                  <c:v>2008</c:v>
                </c:pt>
                <c:pt idx="1">
                  <c:v>2009</c:v>
                </c:pt>
                <c:pt idx="2">
                  <c:v>2010</c:v>
                </c:pt>
                <c:pt idx="3">
                  <c:v>2011</c:v>
                </c:pt>
              </c:numCache>
            </c:numRef>
          </c:cat>
          <c:val>
            <c:numRef>
              <c:f>IUSI!$B$9:$F$9</c:f>
              <c:numCache>
                <c:formatCode>#,##0\ [$Q-100A]</c:formatCode>
                <c:ptCount val="4"/>
                <c:pt idx="0">
                  <c:v>188736.35368999999</c:v>
                </c:pt>
                <c:pt idx="1">
                  <c:v>236105.33452</c:v>
                </c:pt>
                <c:pt idx="2">
                  <c:v>255505.39303000001</c:v>
                </c:pt>
                <c:pt idx="3">
                  <c:v>267105.26815999992</c:v>
                </c:pt>
              </c:numCache>
            </c:numRef>
          </c:val>
        </c:ser>
        <c:dLbls>
          <c:showLegendKey val="0"/>
          <c:showVal val="0"/>
          <c:showCatName val="0"/>
          <c:showSerName val="0"/>
          <c:showPercent val="0"/>
          <c:showBubbleSize val="0"/>
        </c:dLbls>
        <c:gapWidth val="150"/>
        <c:shape val="box"/>
        <c:axId val="111557632"/>
        <c:axId val="111579904"/>
        <c:axId val="0"/>
      </c:bar3DChart>
      <c:catAx>
        <c:axId val="111557632"/>
        <c:scaling>
          <c:orientation val="minMax"/>
        </c:scaling>
        <c:delete val="0"/>
        <c:axPos val="b"/>
        <c:numFmt formatCode="General" sourceLinked="1"/>
        <c:majorTickMark val="none"/>
        <c:minorTickMark val="none"/>
        <c:tickLblPos val="nextTo"/>
        <c:crossAx val="111579904"/>
        <c:crosses val="autoZero"/>
        <c:auto val="1"/>
        <c:lblAlgn val="ctr"/>
        <c:lblOffset val="100"/>
        <c:noMultiLvlLbl val="0"/>
      </c:catAx>
      <c:valAx>
        <c:axId val="111579904"/>
        <c:scaling>
          <c:orientation val="minMax"/>
        </c:scaling>
        <c:delete val="0"/>
        <c:axPos val="l"/>
        <c:majorGridlines/>
        <c:numFmt formatCode="#,##0\ [$Q-100A]" sourceLinked="1"/>
        <c:majorTickMark val="none"/>
        <c:minorTickMark val="none"/>
        <c:tickLblPos val="nextTo"/>
        <c:crossAx val="111557632"/>
        <c:crosses val="autoZero"/>
        <c:crossBetween val="between"/>
      </c:valAx>
      <c:dTable>
        <c:showHorzBorder val="1"/>
        <c:showVertBorder val="1"/>
        <c:showOutline val="1"/>
        <c:showKeys val="1"/>
      </c:dTable>
    </c:plotArea>
    <c:plotVisOnly val="1"/>
    <c:dispBlanksAs val="gap"/>
    <c:showDLblsOverMax val="0"/>
  </c:chart>
  <c:spPr>
    <a:effectLst>
      <a:outerShdw blurRad="50800" dist="38100" dir="2700000" algn="tl" rotWithShape="0">
        <a:prstClr val="black">
          <a:alpha val="40000"/>
        </a:prstClr>
      </a:outerShdw>
    </a:effectLst>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s-ES"/>
              <a:t>Recaudo Impuesto sobre</a:t>
            </a:r>
          </a:p>
          <a:p>
            <a:pPr>
              <a:defRPr/>
            </a:pPr>
            <a:r>
              <a:rPr lang="es-ES"/>
              <a:t>Derivados del Petróleo</a:t>
            </a:r>
          </a:p>
          <a:p>
            <a:pPr>
              <a:defRPr/>
            </a:pPr>
            <a:r>
              <a:rPr lang="es-ES" sz="1200" b="0" i="0"/>
              <a:t>Comportamiento Histórico</a:t>
            </a:r>
          </a:p>
          <a:p>
            <a:pPr>
              <a:defRPr/>
            </a:pPr>
            <a:r>
              <a:rPr lang="es-ES" sz="1200" b="0" i="0"/>
              <a:t>(En miles de quetzales) </a:t>
            </a:r>
          </a:p>
        </c:rich>
      </c:tx>
      <c:layout>
        <c:manualLayout>
          <c:xMode val="edge"/>
          <c:yMode val="edge"/>
          <c:x val="0.25882983377077901"/>
          <c:y val="3.2407407407407399E-2"/>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Deripetro!$A$5</c:f>
              <c:strCache>
                <c:ptCount val="1"/>
                <c:pt idx="0">
                  <c:v>Presupuesto</c:v>
                </c:pt>
              </c:strCache>
            </c:strRef>
          </c:tx>
          <c:invertIfNegative val="0"/>
          <c:cat>
            <c:numRef>
              <c:f>Deripetro!$B$4:$E$4</c:f>
              <c:numCache>
                <c:formatCode>General</c:formatCode>
                <c:ptCount val="4"/>
                <c:pt idx="0">
                  <c:v>2008</c:v>
                </c:pt>
                <c:pt idx="1">
                  <c:v>2009</c:v>
                </c:pt>
                <c:pt idx="2">
                  <c:v>2010</c:v>
                </c:pt>
                <c:pt idx="3">
                  <c:v>2011</c:v>
                </c:pt>
              </c:numCache>
            </c:numRef>
          </c:cat>
          <c:val>
            <c:numRef>
              <c:f>Deripetro!$B$5:$E$5</c:f>
              <c:numCache>
                <c:formatCode>#,##0\ [$Q-100A]</c:formatCode>
                <c:ptCount val="4"/>
                <c:pt idx="0">
                  <c:v>33000</c:v>
                </c:pt>
                <c:pt idx="1">
                  <c:v>33000</c:v>
                </c:pt>
                <c:pt idx="2">
                  <c:v>35000</c:v>
                </c:pt>
                <c:pt idx="3">
                  <c:v>35465</c:v>
                </c:pt>
              </c:numCache>
            </c:numRef>
          </c:val>
        </c:ser>
        <c:ser>
          <c:idx val="1"/>
          <c:order val="1"/>
          <c:tx>
            <c:strRef>
              <c:f>Deripetro!$A$6</c:f>
              <c:strCache>
                <c:ptCount val="1"/>
                <c:pt idx="0">
                  <c:v>Recaudado</c:v>
                </c:pt>
              </c:strCache>
            </c:strRef>
          </c:tx>
          <c:invertIfNegative val="0"/>
          <c:cat>
            <c:numRef>
              <c:f>Deripetro!$B$4:$E$4</c:f>
              <c:numCache>
                <c:formatCode>General</c:formatCode>
                <c:ptCount val="4"/>
                <c:pt idx="0">
                  <c:v>2008</c:v>
                </c:pt>
                <c:pt idx="1">
                  <c:v>2009</c:v>
                </c:pt>
                <c:pt idx="2">
                  <c:v>2010</c:v>
                </c:pt>
                <c:pt idx="3">
                  <c:v>2011</c:v>
                </c:pt>
              </c:numCache>
            </c:numRef>
          </c:cat>
          <c:val>
            <c:numRef>
              <c:f>Deripetro!$B$6:$E$6</c:f>
              <c:numCache>
                <c:formatCode>#,##0\ [$Q-100A]</c:formatCode>
                <c:ptCount val="4"/>
                <c:pt idx="0">
                  <c:v>31728.21255</c:v>
                </c:pt>
                <c:pt idx="1">
                  <c:v>35158.6178</c:v>
                </c:pt>
                <c:pt idx="2">
                  <c:v>36851.104429999999</c:v>
                </c:pt>
                <c:pt idx="3">
                  <c:v>34366.145859999997</c:v>
                </c:pt>
              </c:numCache>
            </c:numRef>
          </c:val>
        </c:ser>
        <c:dLbls>
          <c:showLegendKey val="0"/>
          <c:showVal val="0"/>
          <c:showCatName val="0"/>
          <c:showSerName val="0"/>
          <c:showPercent val="0"/>
          <c:showBubbleSize val="0"/>
        </c:dLbls>
        <c:gapWidth val="150"/>
        <c:shape val="box"/>
        <c:axId val="111590400"/>
        <c:axId val="111592192"/>
        <c:axId val="0"/>
      </c:bar3DChart>
      <c:catAx>
        <c:axId val="111590400"/>
        <c:scaling>
          <c:orientation val="minMax"/>
        </c:scaling>
        <c:delete val="0"/>
        <c:axPos val="b"/>
        <c:numFmt formatCode="General" sourceLinked="1"/>
        <c:majorTickMark val="none"/>
        <c:minorTickMark val="none"/>
        <c:tickLblPos val="nextTo"/>
        <c:crossAx val="111592192"/>
        <c:crosses val="autoZero"/>
        <c:auto val="1"/>
        <c:lblAlgn val="ctr"/>
        <c:lblOffset val="100"/>
        <c:noMultiLvlLbl val="0"/>
      </c:catAx>
      <c:valAx>
        <c:axId val="111592192"/>
        <c:scaling>
          <c:orientation val="minMax"/>
        </c:scaling>
        <c:delete val="0"/>
        <c:axPos val="l"/>
        <c:majorGridlines/>
        <c:numFmt formatCode="#,##0\ [$Q-100A]" sourceLinked="1"/>
        <c:majorTickMark val="none"/>
        <c:minorTickMark val="none"/>
        <c:tickLblPos val="nextTo"/>
        <c:crossAx val="111590400"/>
        <c:crosses val="autoZero"/>
        <c:crossBetween val="between"/>
      </c:valAx>
      <c:dTable>
        <c:showHorzBorder val="1"/>
        <c:showVertBorder val="1"/>
        <c:showOutline val="1"/>
        <c:showKeys val="1"/>
      </c:dTable>
    </c:plotArea>
    <c:plotVisOnly val="1"/>
    <c:dispBlanksAs val="gap"/>
    <c:showDLblsOverMax val="0"/>
  </c:chart>
  <c:spPr>
    <a:effectLst>
      <a:outerShdw blurRad="50800" dist="38100" dir="2700000" algn="tl" rotWithShape="0">
        <a:prstClr val="black">
          <a:alpha val="40000"/>
        </a:prstClr>
      </a:outerShdw>
    </a:effectLst>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s-ES"/>
              <a:t>Recaudo Boleto de Ornato </a:t>
            </a:r>
          </a:p>
          <a:p>
            <a:pPr>
              <a:defRPr/>
            </a:pPr>
            <a:r>
              <a:rPr lang="es-ES"/>
              <a:t>y otros arbitrios</a:t>
            </a:r>
          </a:p>
          <a:p>
            <a:pPr>
              <a:defRPr/>
            </a:pPr>
            <a:r>
              <a:rPr lang="es-ES" sz="1200" b="0" i="0"/>
              <a:t>Comportamiento Histórico</a:t>
            </a:r>
          </a:p>
          <a:p>
            <a:pPr>
              <a:defRPr/>
            </a:pPr>
            <a:r>
              <a:rPr lang="es-ES" sz="1200" b="0" i="0"/>
              <a:t>(En miles de quetzales)</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Boletornato!$A$5</c:f>
              <c:strCache>
                <c:ptCount val="1"/>
                <c:pt idx="0">
                  <c:v>Presupuesto</c:v>
                </c:pt>
              </c:strCache>
            </c:strRef>
          </c:tx>
          <c:invertIfNegative val="0"/>
          <c:cat>
            <c:numRef>
              <c:f>Boletornato!$B$4:$E$4</c:f>
              <c:numCache>
                <c:formatCode>General</c:formatCode>
                <c:ptCount val="4"/>
                <c:pt idx="0">
                  <c:v>2008</c:v>
                </c:pt>
                <c:pt idx="1">
                  <c:v>2009</c:v>
                </c:pt>
                <c:pt idx="2">
                  <c:v>2010</c:v>
                </c:pt>
                <c:pt idx="3">
                  <c:v>2011</c:v>
                </c:pt>
              </c:numCache>
            </c:numRef>
          </c:cat>
          <c:val>
            <c:numRef>
              <c:f>Boletornato!$B$5:$E$5</c:f>
              <c:numCache>
                <c:formatCode>#,##0\ [$Q-100A]</c:formatCode>
                <c:ptCount val="4"/>
                <c:pt idx="0">
                  <c:v>21650</c:v>
                </c:pt>
                <c:pt idx="1">
                  <c:v>23876</c:v>
                </c:pt>
                <c:pt idx="2">
                  <c:v>23742.5</c:v>
                </c:pt>
                <c:pt idx="3">
                  <c:v>26252</c:v>
                </c:pt>
              </c:numCache>
            </c:numRef>
          </c:val>
        </c:ser>
        <c:ser>
          <c:idx val="1"/>
          <c:order val="1"/>
          <c:tx>
            <c:strRef>
              <c:f>Boletornato!$A$6</c:f>
              <c:strCache>
                <c:ptCount val="1"/>
                <c:pt idx="0">
                  <c:v>Recaudado</c:v>
                </c:pt>
              </c:strCache>
            </c:strRef>
          </c:tx>
          <c:invertIfNegative val="0"/>
          <c:cat>
            <c:numRef>
              <c:f>Boletornato!$B$4:$E$4</c:f>
              <c:numCache>
                <c:formatCode>General</c:formatCode>
                <c:ptCount val="4"/>
                <c:pt idx="0">
                  <c:v>2008</c:v>
                </c:pt>
                <c:pt idx="1">
                  <c:v>2009</c:v>
                </c:pt>
                <c:pt idx="2">
                  <c:v>2010</c:v>
                </c:pt>
                <c:pt idx="3">
                  <c:v>2011</c:v>
                </c:pt>
              </c:numCache>
            </c:numRef>
          </c:cat>
          <c:val>
            <c:numRef>
              <c:f>Boletornato!$B$6:$E$6</c:f>
              <c:numCache>
                <c:formatCode>#,##0\ [$Q-100A]</c:formatCode>
                <c:ptCount val="4"/>
                <c:pt idx="0">
                  <c:v>22112.081569999991</c:v>
                </c:pt>
                <c:pt idx="1">
                  <c:v>23323.40249</c:v>
                </c:pt>
                <c:pt idx="2">
                  <c:v>24713.37615</c:v>
                </c:pt>
                <c:pt idx="3">
                  <c:v>25386.20145</c:v>
                </c:pt>
              </c:numCache>
            </c:numRef>
          </c:val>
        </c:ser>
        <c:dLbls>
          <c:showLegendKey val="0"/>
          <c:showVal val="0"/>
          <c:showCatName val="0"/>
          <c:showSerName val="0"/>
          <c:showPercent val="0"/>
          <c:showBubbleSize val="0"/>
        </c:dLbls>
        <c:gapWidth val="150"/>
        <c:shape val="box"/>
        <c:axId val="114899968"/>
        <c:axId val="114901760"/>
        <c:axId val="0"/>
      </c:bar3DChart>
      <c:catAx>
        <c:axId val="114899968"/>
        <c:scaling>
          <c:orientation val="minMax"/>
        </c:scaling>
        <c:delete val="0"/>
        <c:axPos val="b"/>
        <c:numFmt formatCode="General" sourceLinked="1"/>
        <c:majorTickMark val="none"/>
        <c:minorTickMark val="none"/>
        <c:tickLblPos val="nextTo"/>
        <c:crossAx val="114901760"/>
        <c:crosses val="autoZero"/>
        <c:auto val="1"/>
        <c:lblAlgn val="ctr"/>
        <c:lblOffset val="100"/>
        <c:noMultiLvlLbl val="0"/>
      </c:catAx>
      <c:valAx>
        <c:axId val="114901760"/>
        <c:scaling>
          <c:orientation val="minMax"/>
        </c:scaling>
        <c:delete val="0"/>
        <c:axPos val="l"/>
        <c:majorGridlines/>
        <c:numFmt formatCode="#,##0\ [$Q-100A]" sourceLinked="1"/>
        <c:majorTickMark val="none"/>
        <c:minorTickMark val="none"/>
        <c:tickLblPos val="nextTo"/>
        <c:crossAx val="114899968"/>
        <c:crosses val="autoZero"/>
        <c:crossBetween val="between"/>
      </c:valAx>
      <c:dTable>
        <c:showHorzBorder val="1"/>
        <c:showVertBorder val="1"/>
        <c:showOutline val="1"/>
        <c:showKeys val="1"/>
      </c:dTable>
    </c:plotArea>
    <c:plotVisOnly val="1"/>
    <c:dispBlanksAs val="gap"/>
    <c:showDLblsOverMax val="0"/>
  </c:chart>
  <c:spPr>
    <a:effectLst>
      <a:outerShdw blurRad="50800" dist="38100" dir="2700000" algn="tl" rotWithShape="0">
        <a:prstClr val="black">
          <a:alpha val="40000"/>
        </a:prstClr>
      </a:outerShdw>
    </a:effectLst>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s-ES"/>
              <a:t>Ingresos</a:t>
            </a:r>
            <a:r>
              <a:rPr lang="es-ES" baseline="0"/>
              <a:t> por Tasas</a:t>
            </a:r>
            <a:endParaRPr lang="es-ES"/>
          </a:p>
        </c:rich>
      </c:tx>
      <c:overlay val="0"/>
    </c:title>
    <c:autoTitleDeleted val="0"/>
    <c:view3D>
      <c:rotX val="45"/>
      <c:rotY val="0"/>
      <c:rAngAx val="0"/>
      <c:perspective val="30"/>
    </c:view3D>
    <c:floor>
      <c:thickness val="0"/>
    </c:floor>
    <c:sideWall>
      <c:thickness val="0"/>
    </c:sideWall>
    <c:backWall>
      <c:thickness val="0"/>
    </c:backWall>
    <c:plotArea>
      <c:layout/>
      <c:pie3DChart>
        <c:varyColors val="1"/>
        <c:ser>
          <c:idx val="0"/>
          <c:order val="0"/>
          <c:spPr>
            <a:scene3d>
              <a:camera prst="orthographicFront"/>
              <a:lightRig rig="threePt" dir="t"/>
            </a:scene3d>
            <a:sp3d/>
          </c:spPr>
          <c:dLbls>
            <c:txPr>
              <a:bodyPr/>
              <a:lstStyle/>
              <a:p>
                <a:pPr>
                  <a:defRPr sz="1200" b="1" i="0"/>
                </a:pPr>
                <a:endParaRPr lang="en-US"/>
              </a:p>
            </c:txPr>
            <c:dLblPos val="outEnd"/>
            <c:showLegendKey val="0"/>
            <c:showVal val="0"/>
            <c:showCatName val="0"/>
            <c:showSerName val="0"/>
            <c:showPercent val="1"/>
            <c:showBubbleSize val="0"/>
            <c:showLeaderLines val="1"/>
          </c:dLbls>
          <c:cat>
            <c:strRef>
              <c:f>FIDEMUNI!$A$24:$A$29</c:f>
              <c:strCache>
                <c:ptCount val="6"/>
                <c:pt idx="0">
                  <c:v>Parquímetros</c:v>
                </c:pt>
                <c:pt idx="1">
                  <c:v>Estacionamientos Municipales</c:v>
                </c:pt>
                <c:pt idx="2">
                  <c:v>Ingresos Varios</c:v>
                </c:pt>
                <c:pt idx="3">
                  <c:v>Multas al Transporte</c:v>
                </c:pt>
                <c:pt idx="4">
                  <c:v>Recuperación de Cartera</c:v>
                </c:pt>
                <c:pt idx="5">
                  <c:v>Otras Tasas</c:v>
                </c:pt>
              </c:strCache>
            </c:strRef>
          </c:cat>
          <c:val>
            <c:numRef>
              <c:f>FIDEMUNI!$B$24:$B$29</c:f>
              <c:numCache>
                <c:formatCode>#,##0\ [$Q-100A]</c:formatCode>
                <c:ptCount val="6"/>
                <c:pt idx="0">
                  <c:v>14251250.15</c:v>
                </c:pt>
                <c:pt idx="1">
                  <c:v>7984120.5</c:v>
                </c:pt>
                <c:pt idx="2">
                  <c:v>25130079</c:v>
                </c:pt>
                <c:pt idx="3">
                  <c:v>40550536.32</c:v>
                </c:pt>
                <c:pt idx="4">
                  <c:v>25183038.98</c:v>
                </c:pt>
                <c:pt idx="5">
                  <c:v>7707949.7999999998</c:v>
                </c:pt>
              </c:numCache>
            </c:numRef>
          </c:val>
        </c:ser>
        <c:dLbls>
          <c:dLblPos val="outEnd"/>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8AD87E1D2007844816D6B83CAF3976E" ma:contentTypeVersion="0" ma:contentTypeDescription="A content type to manage public (operations) IDB documents" ma:contentTypeScope="" ma:versionID="2c85e4f0b514bcd7094e42282d4379e3">
  <xsd:schema xmlns:xsd="http://www.w3.org/2001/XMLSchema" xmlns:xs="http://www.w3.org/2001/XMLSchema" xmlns:p="http://schemas.microsoft.com/office/2006/metadata/properties" xmlns:ns2="9c571b2f-e523-4ab2-ba2e-09e151a03ef4" targetNamespace="http://schemas.microsoft.com/office/2006/metadata/properties" ma:root="true" ma:fieldsID="89532356fb5797cb4182f4edcbd0a9d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d79b911-70cf-4409-98f6-fec7ca466aeb}" ma:internalName="TaxCatchAll" ma:showField="CatchAllData" ma:web="a076fdd2-20f4-4b39-b3bb-48db334a0ce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d79b911-70cf-4409-98f6-fec7ca466aeb}" ma:internalName="TaxCatchAllLabel" ma:readOnly="true" ma:showField="CatchAllDataLabel" ma:web="a076fdd2-20f4-4b39-b3bb-48db334a0ce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38275646</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ATN/FI-14256-GU</Approval_x0020_Number>
    <Document_x0020_Author xmlns="9c571b2f-e523-4ab2-ba2e-09e151a03ef4">Larios, Jose I.</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GU-T1221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Approved TC document</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4DAF1E03-8625-4E08-B741-886D1D11BD5B}"/>
</file>

<file path=customXml/itemProps2.xml><?xml version="1.0" encoding="utf-8"?>
<ds:datastoreItem xmlns:ds="http://schemas.openxmlformats.org/officeDocument/2006/customXml" ds:itemID="{A47D54CC-8DCD-4C66-A77B-81914AC49D6B}"/>
</file>

<file path=customXml/itemProps3.xml><?xml version="1.0" encoding="utf-8"?>
<ds:datastoreItem xmlns:ds="http://schemas.openxmlformats.org/officeDocument/2006/customXml" ds:itemID="{527DC2B8-7500-491C-A8B0-664957820401}"/>
</file>

<file path=customXml/itemProps4.xml><?xml version="1.0" encoding="utf-8"?>
<ds:datastoreItem xmlns:ds="http://schemas.openxmlformats.org/officeDocument/2006/customXml" ds:itemID="{3369A96E-8630-4812-AE2B-CA27F1C0EB8C}"/>
</file>

<file path=customXml/itemProps5.xml><?xml version="1.0" encoding="utf-8"?>
<ds:datastoreItem xmlns:ds="http://schemas.openxmlformats.org/officeDocument/2006/customXml" ds:itemID="{4441EBE1-77C9-4155-B871-B989A892F3BD}"/>
</file>

<file path=customXml/itemProps6.xml><?xml version="1.0" encoding="utf-8"?>
<ds:datastoreItem xmlns:ds="http://schemas.openxmlformats.org/officeDocument/2006/customXml" ds:itemID="{37B01E0C-7690-457D-AD1D-3CD8B1D72EF7}"/>
</file>

<file path=docProps/app.xml><?xml version="1.0" encoding="utf-8"?>
<Properties xmlns="http://schemas.openxmlformats.org/officeDocument/2006/extended-properties" xmlns:vt="http://schemas.openxmlformats.org/officeDocument/2006/docPropsVTypes">
  <Template>Normal.dotm</Template>
  <TotalTime>1</TotalTime>
  <Pages>42</Pages>
  <Words>10537</Words>
  <Characters>60066</Characters>
  <Application>Microsoft Office Word</Application>
  <DocSecurity>4</DocSecurity>
  <Lines>500</Lines>
  <Paragraphs>140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 Company</Company>
  <LinksUpToDate>false</LinksUpToDate>
  <CharactersWithSpaces>70463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Marco Fiscal de mediano plazo </dc:title>
  <dc:creator>luis_leguizamon</dc:creator>
  <cp:lastModifiedBy>Dianela Avila</cp:lastModifiedBy>
  <cp:revision>2</cp:revision>
  <dcterms:created xsi:type="dcterms:W3CDTF">2013-12-03T15:38:00Z</dcterms:created>
  <dcterms:modified xsi:type="dcterms:W3CDTF">2013-12-03T15:38:00Z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0x01010046CF21643EE8D14686A648AA6DAD089200A8AD87E1D2007844816D6B83CAF3976E</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