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BE01A7" w14:textId="77777777" w:rsidR="00D40E66" w:rsidRPr="00073F82" w:rsidRDefault="00D40E66" w:rsidP="00D40E66">
      <w:pPr>
        <w:pStyle w:val="Title"/>
        <w:tabs>
          <w:tab w:val="clear" w:pos="1440"/>
          <w:tab w:val="clear" w:pos="3060"/>
        </w:tabs>
        <w:ind w:left="567" w:hanging="567"/>
        <w:outlineLvl w:val="9"/>
        <w:rPr>
          <w:smallCaps/>
          <w:szCs w:val="24"/>
          <w:lang w:val="es-ES"/>
        </w:rPr>
      </w:pPr>
      <w:r w:rsidRPr="00073F82">
        <w:rPr>
          <w:smallCaps/>
          <w:szCs w:val="24"/>
          <w:lang w:val="es-ES"/>
        </w:rPr>
        <w:t>Documento del Banco Interamericano de Desarrollo</w:t>
      </w:r>
    </w:p>
    <w:p w14:paraId="1752411B" w14:textId="77777777" w:rsidR="00D40E66" w:rsidRPr="00073F82" w:rsidRDefault="00D40E66" w:rsidP="00D40E66">
      <w:pPr>
        <w:pStyle w:val="ListParagraph"/>
        <w:spacing w:before="120" w:after="0" w:line="360" w:lineRule="auto"/>
        <w:ind w:left="567" w:hanging="567"/>
        <w:jc w:val="center"/>
        <w:rPr>
          <w:rFonts w:ascii="Times New Roman" w:hAnsi="Times New Roman"/>
          <w:b/>
          <w:sz w:val="24"/>
          <w:szCs w:val="24"/>
          <w:lang w:val="es-ES"/>
        </w:rPr>
      </w:pPr>
    </w:p>
    <w:p w14:paraId="49986FB1" w14:textId="77777777" w:rsidR="00D40E66" w:rsidRPr="00073F82" w:rsidRDefault="00D40E66" w:rsidP="00D40E66">
      <w:pPr>
        <w:tabs>
          <w:tab w:val="left" w:pos="1440"/>
          <w:tab w:val="left" w:pos="3060"/>
        </w:tabs>
        <w:ind w:left="567" w:hanging="567"/>
        <w:jc w:val="center"/>
        <w:rPr>
          <w:rFonts w:ascii="Times New Roman" w:hAnsi="Times New Roman"/>
          <w:b/>
          <w:smallCaps/>
          <w:sz w:val="24"/>
          <w:szCs w:val="24"/>
          <w:lang w:val="es-ES"/>
        </w:rPr>
      </w:pPr>
    </w:p>
    <w:p w14:paraId="7801ACB1" w14:textId="77777777" w:rsidR="00D40E66" w:rsidRPr="00073F82" w:rsidRDefault="00D40E66" w:rsidP="00D40E66">
      <w:pPr>
        <w:tabs>
          <w:tab w:val="left" w:pos="1440"/>
          <w:tab w:val="left" w:pos="3060"/>
        </w:tabs>
        <w:ind w:left="567" w:hanging="567"/>
        <w:jc w:val="center"/>
        <w:rPr>
          <w:rFonts w:ascii="Times New Roman" w:hAnsi="Times New Roman"/>
          <w:b/>
          <w:smallCaps/>
          <w:sz w:val="24"/>
          <w:szCs w:val="24"/>
          <w:lang w:val="es-ES"/>
        </w:rPr>
      </w:pPr>
    </w:p>
    <w:p w14:paraId="20A0358B" w14:textId="4999DEA9" w:rsidR="00D40E66" w:rsidRPr="00073F82" w:rsidRDefault="00AD7429" w:rsidP="00D40E66">
      <w:pPr>
        <w:tabs>
          <w:tab w:val="left" w:pos="1440"/>
          <w:tab w:val="left" w:pos="3060"/>
        </w:tabs>
        <w:ind w:left="567" w:hanging="567"/>
        <w:jc w:val="center"/>
        <w:rPr>
          <w:rFonts w:ascii="Times New Roman" w:hAnsi="Times New Roman"/>
          <w:b/>
          <w:smallCaps/>
          <w:sz w:val="24"/>
          <w:szCs w:val="24"/>
          <w:lang w:val="es-ES"/>
        </w:rPr>
      </w:pPr>
      <w:r w:rsidRPr="00AD7429">
        <w:rPr>
          <w:rFonts w:ascii="Times New Roman" w:hAnsi="Times New Roman"/>
          <w:b/>
          <w:smallCaps/>
          <w:sz w:val="28"/>
          <w:szCs w:val="28"/>
          <w:lang w:val="es-ES"/>
        </w:rPr>
        <w:t>COLOMBIA</w:t>
      </w:r>
    </w:p>
    <w:p w14:paraId="3D32E9F1" w14:textId="77777777" w:rsidR="00D40E66" w:rsidRPr="00073F82" w:rsidRDefault="00D40E66" w:rsidP="00D40E66">
      <w:pPr>
        <w:tabs>
          <w:tab w:val="left" w:pos="1440"/>
          <w:tab w:val="left" w:pos="3060"/>
        </w:tabs>
        <w:ind w:left="567" w:hanging="567"/>
        <w:jc w:val="center"/>
        <w:rPr>
          <w:rFonts w:ascii="Times New Roman" w:hAnsi="Times New Roman"/>
          <w:b/>
          <w:smallCaps/>
          <w:sz w:val="24"/>
          <w:szCs w:val="24"/>
          <w:lang w:val="es-ES"/>
        </w:rPr>
      </w:pPr>
    </w:p>
    <w:p w14:paraId="2501915F" w14:textId="77777777" w:rsidR="00AD7429" w:rsidRPr="00AD7429" w:rsidRDefault="00AD7429" w:rsidP="00AD7429">
      <w:pPr>
        <w:pStyle w:val="Newpage"/>
        <w:rPr>
          <w:b w:val="0"/>
          <w:caps/>
          <w:smallCaps w:val="0"/>
          <w:szCs w:val="22"/>
          <w:lang w:val="es-AR"/>
        </w:rPr>
      </w:pPr>
      <w:r w:rsidRPr="00AD7429">
        <w:rPr>
          <w:sz w:val="32"/>
          <w:szCs w:val="28"/>
          <w:lang w:val="es-AR"/>
        </w:rPr>
        <w:t>Programa para Fortalecer las Políticas de Empleo</w:t>
      </w:r>
    </w:p>
    <w:p w14:paraId="38E12D45" w14:textId="3B043703" w:rsidR="00D40E66" w:rsidRDefault="00D40E66" w:rsidP="00D40E66">
      <w:pPr>
        <w:pStyle w:val="Newpage"/>
        <w:ind w:left="567" w:hanging="567"/>
        <w:rPr>
          <w:rFonts w:cs="Times New Roman"/>
          <w:b w:val="0"/>
          <w:caps/>
          <w:smallCaps w:val="0"/>
          <w:szCs w:val="24"/>
          <w:lang w:val="es-ES"/>
        </w:rPr>
      </w:pPr>
    </w:p>
    <w:p w14:paraId="2BBF48FB" w14:textId="73BF5D69" w:rsidR="00AD7429" w:rsidRPr="00AD7429" w:rsidRDefault="00AD7429" w:rsidP="00D40E66">
      <w:pPr>
        <w:pStyle w:val="Newpage"/>
        <w:ind w:left="567" w:hanging="567"/>
        <w:rPr>
          <w:rFonts w:cs="Times New Roman"/>
          <w:bCs/>
          <w:caps/>
          <w:smallCaps w:val="0"/>
          <w:szCs w:val="24"/>
          <w:lang w:val="es-ES"/>
        </w:rPr>
      </w:pPr>
      <w:r w:rsidRPr="00AD7429">
        <w:rPr>
          <w:rFonts w:cs="Times New Roman"/>
          <w:bCs/>
          <w:caps/>
          <w:smallCaps w:val="0"/>
          <w:szCs w:val="24"/>
          <w:lang w:val="es-ES"/>
        </w:rPr>
        <w:t>(CO-L1250)</w:t>
      </w:r>
    </w:p>
    <w:p w14:paraId="319289AF" w14:textId="0F6F8D25" w:rsidR="00D40E66" w:rsidRDefault="00D40E66" w:rsidP="00D40E66">
      <w:pPr>
        <w:tabs>
          <w:tab w:val="left" w:pos="1440"/>
          <w:tab w:val="left" w:pos="3060"/>
        </w:tabs>
        <w:ind w:left="567" w:hanging="567"/>
        <w:jc w:val="center"/>
        <w:rPr>
          <w:rFonts w:ascii="Times New Roman" w:hAnsi="Times New Roman"/>
          <w:smallCaps/>
          <w:sz w:val="24"/>
          <w:szCs w:val="24"/>
          <w:lang w:val="es-ES"/>
        </w:rPr>
      </w:pPr>
    </w:p>
    <w:p w14:paraId="45866BA1" w14:textId="50DBD940" w:rsidR="00AD7429" w:rsidRDefault="00AD7429" w:rsidP="00D40E66">
      <w:pPr>
        <w:tabs>
          <w:tab w:val="left" w:pos="1440"/>
          <w:tab w:val="left" w:pos="3060"/>
        </w:tabs>
        <w:ind w:left="567" w:hanging="567"/>
        <w:jc w:val="center"/>
        <w:rPr>
          <w:rFonts w:ascii="Times New Roman" w:hAnsi="Times New Roman"/>
          <w:smallCaps/>
          <w:sz w:val="24"/>
          <w:szCs w:val="24"/>
          <w:lang w:val="es-ES"/>
        </w:rPr>
      </w:pPr>
    </w:p>
    <w:p w14:paraId="1D2A5D52" w14:textId="77777777" w:rsidR="00AD7429" w:rsidRPr="00073F82" w:rsidRDefault="00AD7429" w:rsidP="00D40E66">
      <w:pPr>
        <w:tabs>
          <w:tab w:val="left" w:pos="1440"/>
          <w:tab w:val="left" w:pos="3060"/>
        </w:tabs>
        <w:ind w:left="567" w:hanging="567"/>
        <w:jc w:val="center"/>
        <w:rPr>
          <w:rFonts w:ascii="Times New Roman" w:hAnsi="Times New Roman"/>
          <w:smallCaps/>
          <w:sz w:val="24"/>
          <w:szCs w:val="24"/>
          <w:lang w:val="es-ES"/>
        </w:rPr>
      </w:pPr>
    </w:p>
    <w:p w14:paraId="5DB8BB57" w14:textId="77777777" w:rsidR="00D40E66" w:rsidRPr="00AD7429" w:rsidRDefault="00D40E66" w:rsidP="00D40E66">
      <w:pPr>
        <w:tabs>
          <w:tab w:val="left" w:pos="1440"/>
          <w:tab w:val="left" w:pos="3060"/>
        </w:tabs>
        <w:ind w:left="567" w:hanging="567"/>
        <w:jc w:val="center"/>
        <w:outlineLvl w:val="0"/>
        <w:rPr>
          <w:rFonts w:ascii="Times New Roman" w:hAnsi="Times New Roman"/>
          <w:b/>
          <w:smallCaps/>
          <w:sz w:val="28"/>
          <w:szCs w:val="28"/>
          <w:lang w:val="es-ES"/>
        </w:rPr>
      </w:pPr>
      <w:r w:rsidRPr="00AD7429">
        <w:rPr>
          <w:rFonts w:ascii="Times New Roman" w:hAnsi="Times New Roman"/>
          <w:b/>
          <w:smallCaps/>
          <w:sz w:val="28"/>
          <w:szCs w:val="28"/>
          <w:lang w:val="es-ES"/>
        </w:rPr>
        <w:t>Análisis Económico</w:t>
      </w:r>
    </w:p>
    <w:p w14:paraId="12F7DE5C" w14:textId="77777777" w:rsidR="00D40E66" w:rsidRPr="00073F82" w:rsidRDefault="00D40E66" w:rsidP="00D40E66">
      <w:pPr>
        <w:tabs>
          <w:tab w:val="left" w:pos="1440"/>
          <w:tab w:val="left" w:pos="3060"/>
        </w:tabs>
        <w:ind w:left="567" w:hanging="567"/>
        <w:jc w:val="center"/>
        <w:outlineLvl w:val="0"/>
        <w:rPr>
          <w:rFonts w:ascii="Times New Roman" w:hAnsi="Times New Roman"/>
          <w:b/>
          <w:smallCaps/>
          <w:sz w:val="24"/>
          <w:szCs w:val="24"/>
          <w:lang w:val="es-ES"/>
        </w:rPr>
      </w:pPr>
    </w:p>
    <w:p w14:paraId="4A1A3C86" w14:textId="77777777" w:rsidR="00D40E66" w:rsidRPr="00073F82" w:rsidRDefault="00D40E66" w:rsidP="00D40E66">
      <w:pPr>
        <w:pStyle w:val="ListParagraph"/>
        <w:spacing w:before="120" w:after="0" w:line="360" w:lineRule="auto"/>
        <w:ind w:left="567" w:hanging="567"/>
        <w:jc w:val="center"/>
        <w:rPr>
          <w:rFonts w:ascii="Times New Roman" w:hAnsi="Times New Roman"/>
          <w:b/>
          <w:sz w:val="24"/>
          <w:szCs w:val="24"/>
          <w:lang w:val="es-ES"/>
        </w:rPr>
      </w:pPr>
    </w:p>
    <w:p w14:paraId="6B90B6FF" w14:textId="77777777" w:rsidR="00D40E66" w:rsidRPr="00073F82" w:rsidRDefault="00D40E66" w:rsidP="00D40E66">
      <w:pPr>
        <w:pStyle w:val="ListParagraph"/>
        <w:spacing w:before="120" w:after="0" w:line="360" w:lineRule="auto"/>
        <w:ind w:left="567" w:hanging="567"/>
        <w:jc w:val="center"/>
        <w:rPr>
          <w:rFonts w:ascii="Times New Roman" w:hAnsi="Times New Roman"/>
          <w:b/>
          <w:sz w:val="24"/>
          <w:szCs w:val="24"/>
          <w:lang w:val="es-ES"/>
        </w:rPr>
      </w:pPr>
    </w:p>
    <w:p w14:paraId="29C93811" w14:textId="77777777" w:rsidR="00D40E66" w:rsidRPr="00073F82" w:rsidRDefault="00D40E66" w:rsidP="00D40E66">
      <w:pPr>
        <w:pStyle w:val="ListParagraph"/>
        <w:spacing w:before="120" w:after="0" w:line="360" w:lineRule="auto"/>
        <w:ind w:left="567" w:hanging="567"/>
        <w:jc w:val="center"/>
        <w:rPr>
          <w:rFonts w:ascii="Times New Roman" w:hAnsi="Times New Roman"/>
          <w:b/>
          <w:sz w:val="24"/>
          <w:szCs w:val="24"/>
          <w:lang w:val="es-ES"/>
        </w:rPr>
      </w:pPr>
    </w:p>
    <w:p w14:paraId="2778BF84" w14:textId="77777777" w:rsidR="00D40E66" w:rsidRPr="00073F82" w:rsidRDefault="00D40E66" w:rsidP="00D40E66">
      <w:pPr>
        <w:pStyle w:val="ListParagraph"/>
        <w:spacing w:before="120" w:after="0" w:line="360" w:lineRule="auto"/>
        <w:ind w:left="567" w:hanging="567"/>
        <w:jc w:val="both"/>
        <w:rPr>
          <w:rFonts w:ascii="Times New Roman" w:hAnsi="Times New Roman"/>
          <w:b/>
          <w:sz w:val="24"/>
          <w:szCs w:val="24"/>
          <w:lang w:val="es-ES"/>
        </w:rPr>
      </w:pPr>
    </w:p>
    <w:p w14:paraId="5E57EE89" w14:textId="77777777" w:rsidR="00D40E66" w:rsidRDefault="00D40E66" w:rsidP="00D40E66">
      <w:pPr>
        <w:pStyle w:val="ListParagraph"/>
        <w:spacing w:before="120" w:after="0" w:line="360" w:lineRule="auto"/>
        <w:ind w:left="567" w:hanging="567"/>
        <w:jc w:val="both"/>
        <w:rPr>
          <w:rFonts w:ascii="Times New Roman" w:hAnsi="Times New Roman"/>
          <w:b/>
          <w:sz w:val="24"/>
          <w:szCs w:val="24"/>
          <w:lang w:val="es-ES"/>
        </w:rPr>
      </w:pPr>
    </w:p>
    <w:p w14:paraId="48409F8A" w14:textId="77777777" w:rsidR="00EE64AC" w:rsidRPr="00073F82" w:rsidRDefault="00EE64AC" w:rsidP="00D40E66">
      <w:pPr>
        <w:pStyle w:val="ListParagraph"/>
        <w:spacing w:before="120" w:after="0" w:line="360" w:lineRule="auto"/>
        <w:ind w:left="567" w:hanging="567"/>
        <w:jc w:val="both"/>
        <w:rPr>
          <w:rFonts w:ascii="Times New Roman" w:hAnsi="Times New Roman"/>
          <w:b/>
          <w:sz w:val="24"/>
          <w:szCs w:val="24"/>
          <w:lang w:val="es-ES"/>
        </w:rPr>
      </w:pPr>
    </w:p>
    <w:p w14:paraId="6E66F7D3" w14:textId="77777777" w:rsidR="00D40E66" w:rsidRPr="00073F82" w:rsidRDefault="00D40E66" w:rsidP="00D40E66">
      <w:pPr>
        <w:pStyle w:val="ListParagraph"/>
        <w:spacing w:before="120" w:after="0" w:line="360" w:lineRule="auto"/>
        <w:ind w:left="567" w:hanging="567"/>
        <w:jc w:val="both"/>
        <w:rPr>
          <w:rFonts w:ascii="Times New Roman" w:hAnsi="Times New Roman"/>
          <w:b/>
          <w:sz w:val="24"/>
          <w:szCs w:val="24"/>
          <w:lang w:val="es-ES"/>
        </w:rPr>
      </w:pPr>
    </w:p>
    <w:p w14:paraId="7F3E55BB" w14:textId="77777777" w:rsidR="00D40E66" w:rsidRPr="00073F82" w:rsidRDefault="00D40E66" w:rsidP="00D40E66">
      <w:pPr>
        <w:pStyle w:val="ListParagraph"/>
        <w:spacing w:before="120" w:after="0" w:line="360" w:lineRule="auto"/>
        <w:ind w:left="567" w:hanging="567"/>
        <w:jc w:val="both"/>
        <w:rPr>
          <w:rFonts w:ascii="Times New Roman" w:hAnsi="Times New Roman"/>
          <w:b/>
          <w:sz w:val="24"/>
          <w:szCs w:val="24"/>
          <w:lang w:val="es-ES"/>
        </w:rPr>
      </w:pPr>
    </w:p>
    <w:p w14:paraId="156BDF59" w14:textId="77777777" w:rsidR="00D40E66" w:rsidRPr="00073F82" w:rsidRDefault="00D40E66" w:rsidP="00D40E66">
      <w:pPr>
        <w:pStyle w:val="ListParagraph"/>
        <w:spacing w:before="120" w:after="0" w:line="360" w:lineRule="auto"/>
        <w:ind w:left="567" w:hanging="567"/>
        <w:jc w:val="both"/>
        <w:rPr>
          <w:rFonts w:ascii="Times New Roman" w:hAnsi="Times New Roman"/>
          <w:b/>
          <w:sz w:val="24"/>
          <w:szCs w:val="24"/>
          <w:lang w:val="es-ES"/>
        </w:rPr>
      </w:pPr>
    </w:p>
    <w:p w14:paraId="666408E9" w14:textId="77777777" w:rsidR="00D40E66" w:rsidRPr="00073F82" w:rsidRDefault="00D40E66" w:rsidP="00D40E66">
      <w:pPr>
        <w:pStyle w:val="ListParagraph"/>
        <w:spacing w:before="120" w:after="0" w:line="360" w:lineRule="auto"/>
        <w:ind w:left="567" w:hanging="567"/>
        <w:jc w:val="both"/>
        <w:rPr>
          <w:rFonts w:ascii="Times New Roman" w:hAnsi="Times New Roman"/>
          <w:b/>
          <w:sz w:val="24"/>
          <w:szCs w:val="24"/>
          <w:lang w:val="es-ES"/>
        </w:rPr>
      </w:pPr>
    </w:p>
    <w:p w14:paraId="26B6B999" w14:textId="77777777" w:rsidR="00D40E66" w:rsidRPr="00073F82" w:rsidRDefault="00D40E66" w:rsidP="00D40E66">
      <w:pPr>
        <w:pStyle w:val="ListParagraph"/>
        <w:spacing w:before="120" w:after="0" w:line="360" w:lineRule="auto"/>
        <w:ind w:left="567" w:hanging="567"/>
        <w:jc w:val="both"/>
        <w:rPr>
          <w:rFonts w:ascii="Times New Roman" w:hAnsi="Times New Roman"/>
          <w:b/>
          <w:sz w:val="24"/>
          <w:szCs w:val="24"/>
          <w:lang w:val="es-ES"/>
        </w:rPr>
      </w:pPr>
    </w:p>
    <w:p w14:paraId="4AFAEC16" w14:textId="77777777" w:rsidR="00D40E66" w:rsidRPr="00073F82" w:rsidRDefault="00D40E66" w:rsidP="00D40E66">
      <w:pPr>
        <w:tabs>
          <w:tab w:val="left" w:pos="1440"/>
          <w:tab w:val="left" w:pos="3060"/>
        </w:tabs>
        <w:ind w:left="567" w:hanging="567"/>
        <w:jc w:val="both"/>
        <w:rPr>
          <w:rFonts w:ascii="Times New Roman" w:hAnsi="Times New Roman"/>
          <w:sz w:val="24"/>
          <w:szCs w:val="24"/>
          <w:lang w:val="es-ES"/>
        </w:rPr>
      </w:pPr>
    </w:p>
    <w:p w14:paraId="173FE91A" w14:textId="77777777" w:rsidR="00D40E66" w:rsidRPr="00073F82" w:rsidRDefault="00D40E66" w:rsidP="00D40E66">
      <w:pPr>
        <w:tabs>
          <w:tab w:val="left" w:pos="1440"/>
          <w:tab w:val="left" w:pos="3060"/>
        </w:tabs>
        <w:ind w:left="567" w:hanging="567"/>
        <w:jc w:val="both"/>
        <w:rPr>
          <w:rFonts w:ascii="Times New Roman" w:hAnsi="Times New Roman"/>
          <w:sz w:val="24"/>
          <w:szCs w:val="24"/>
          <w:lang w:val="es-ES"/>
        </w:rPr>
      </w:pPr>
    </w:p>
    <w:p w14:paraId="09DE4D83" w14:textId="4F547BAB" w:rsidR="00D40E66" w:rsidRPr="00073F82" w:rsidRDefault="00D40E66" w:rsidP="00D40E66">
      <w:pPr>
        <w:pStyle w:val="BodyText"/>
        <w:pBdr>
          <w:top w:val="single" w:sz="4" w:space="1" w:color="auto"/>
          <w:left w:val="single" w:sz="4" w:space="4" w:color="auto"/>
          <w:bottom w:val="single" w:sz="4" w:space="1" w:color="auto"/>
          <w:right w:val="single" w:sz="4" w:space="4" w:color="auto"/>
        </w:pBdr>
        <w:tabs>
          <w:tab w:val="left" w:pos="1440"/>
        </w:tabs>
        <w:ind w:left="567" w:hanging="567"/>
        <w:jc w:val="both"/>
        <w:rPr>
          <w:b/>
          <w:szCs w:val="24"/>
          <w:lang w:val="es-ES"/>
        </w:rPr>
      </w:pPr>
      <w:r w:rsidRPr="00073F82">
        <w:rPr>
          <w:szCs w:val="24"/>
          <w:lang w:val="es-ES"/>
        </w:rPr>
        <w:t xml:space="preserve">Este documento </w:t>
      </w:r>
      <w:r w:rsidR="00AD7429">
        <w:rPr>
          <w:szCs w:val="24"/>
          <w:lang w:val="es-ES"/>
        </w:rPr>
        <w:t>fue</w:t>
      </w:r>
      <w:r w:rsidRPr="00073F82">
        <w:rPr>
          <w:szCs w:val="24"/>
          <w:lang w:val="es-ES"/>
        </w:rPr>
        <w:t xml:space="preserve"> preparado por: Martin Rossi (Consultor).</w:t>
      </w:r>
    </w:p>
    <w:p w14:paraId="30503D82" w14:textId="77777777" w:rsidR="00D40E66" w:rsidRPr="00073F82" w:rsidRDefault="00D40E66" w:rsidP="00D40E66">
      <w:pPr>
        <w:spacing w:line="240" w:lineRule="auto"/>
        <w:ind w:left="567" w:hanging="567"/>
        <w:jc w:val="both"/>
        <w:rPr>
          <w:rFonts w:ascii="Times New Roman" w:hAnsi="Times New Roman"/>
          <w:b/>
          <w:i/>
          <w:sz w:val="24"/>
          <w:szCs w:val="24"/>
          <w:lang w:val="es-ES"/>
        </w:rPr>
      </w:pPr>
      <w:r w:rsidRPr="00073F82">
        <w:rPr>
          <w:rFonts w:ascii="Times New Roman" w:hAnsi="Times New Roman"/>
          <w:b/>
          <w:sz w:val="24"/>
          <w:szCs w:val="24"/>
          <w:lang w:val="es-ES"/>
        </w:rPr>
        <w:br w:type="page"/>
      </w:r>
    </w:p>
    <w:p w14:paraId="1154706F" w14:textId="77777777" w:rsidR="00D40E66" w:rsidRDefault="00D40E66" w:rsidP="00015A71">
      <w:pPr>
        <w:spacing w:after="0" w:line="360" w:lineRule="auto"/>
        <w:jc w:val="both"/>
        <w:rPr>
          <w:rFonts w:ascii="Times New Roman" w:hAnsi="Times New Roman"/>
          <w:b/>
          <w:sz w:val="24"/>
          <w:szCs w:val="24"/>
          <w:lang w:val="es-ES"/>
        </w:rPr>
      </w:pPr>
      <w:r w:rsidRPr="00F113A8">
        <w:rPr>
          <w:rFonts w:ascii="Times New Roman" w:hAnsi="Times New Roman"/>
          <w:b/>
          <w:sz w:val="28"/>
          <w:szCs w:val="28"/>
          <w:lang w:val="es-ES"/>
        </w:rPr>
        <w:t>Introducción</w:t>
      </w:r>
    </w:p>
    <w:p w14:paraId="6F69FB62" w14:textId="53E5652C" w:rsidR="00D40E66" w:rsidRPr="008932B5" w:rsidRDefault="00D40E66" w:rsidP="00015A71">
      <w:pPr>
        <w:pStyle w:val="Paragraph"/>
        <w:numPr>
          <w:ilvl w:val="0"/>
          <w:numId w:val="0"/>
        </w:numPr>
        <w:spacing w:before="0" w:after="0" w:line="360" w:lineRule="auto"/>
        <w:rPr>
          <w:kern w:val="28"/>
          <w:szCs w:val="24"/>
        </w:rPr>
      </w:pPr>
      <w:r w:rsidRPr="008932B5">
        <w:rPr>
          <w:kern w:val="28"/>
          <w:szCs w:val="24"/>
        </w:rPr>
        <w:t xml:space="preserve">En las líneas que siguen presentamos </w:t>
      </w:r>
      <w:r w:rsidR="00AD7429">
        <w:rPr>
          <w:kern w:val="28"/>
          <w:szCs w:val="24"/>
        </w:rPr>
        <w:t>un análisis económico</w:t>
      </w:r>
      <w:r w:rsidRPr="008932B5">
        <w:rPr>
          <w:kern w:val="28"/>
          <w:szCs w:val="24"/>
        </w:rPr>
        <w:t xml:space="preserve"> del </w:t>
      </w:r>
      <w:r w:rsidR="00AD7429">
        <w:rPr>
          <w:szCs w:val="24"/>
          <w:lang w:val="es-ES_tradnl"/>
        </w:rPr>
        <w:t>programa para “Fortalecer</w:t>
      </w:r>
      <w:r w:rsidR="004650E4">
        <w:rPr>
          <w:szCs w:val="24"/>
          <w:lang w:val="es-ES_tradnl"/>
        </w:rPr>
        <w:t xml:space="preserve"> las</w:t>
      </w:r>
      <w:r w:rsidR="00AD7429">
        <w:rPr>
          <w:szCs w:val="24"/>
          <w:lang w:val="es-ES_tradnl"/>
        </w:rPr>
        <w:t xml:space="preserve"> Políticas de Empleo” </w:t>
      </w:r>
      <w:r w:rsidR="00AD7429">
        <w:rPr>
          <w:kern w:val="28"/>
          <w:szCs w:val="24"/>
        </w:rPr>
        <w:t>(CO-L1250</w:t>
      </w:r>
      <w:r w:rsidRPr="008932B5">
        <w:rPr>
          <w:kern w:val="28"/>
          <w:szCs w:val="24"/>
        </w:rPr>
        <w:t>)</w:t>
      </w:r>
      <w:r w:rsidR="003566FC">
        <w:rPr>
          <w:kern w:val="28"/>
          <w:szCs w:val="24"/>
        </w:rPr>
        <w:t xml:space="preserve"> que se realizará en </w:t>
      </w:r>
      <w:r w:rsidR="00AD7429">
        <w:rPr>
          <w:kern w:val="28"/>
          <w:szCs w:val="24"/>
        </w:rPr>
        <w:t>Colombia</w:t>
      </w:r>
      <w:r w:rsidRPr="008932B5">
        <w:rPr>
          <w:kern w:val="28"/>
          <w:szCs w:val="24"/>
        </w:rPr>
        <w:t xml:space="preserve">. Al ser un análisis ex-ante, muchas de las medidas necesarias para el cálculo de costos y beneficios fueron estimadas a partir de experiencias similares en otras regiones o aproximadas a partir de valores históricos del propio país. Asimismo, se plantean escenarios alternativos que tienen en cuenta distintos efectos de impacto además de los encontrados en la literatura. A los fines de interpretar y utilizar los resultados aquí expuestos con un fin de política se debe, por tanto, considerar que tales resultados sólo son válidos bajo la veracidad de los supuestos realizados. </w:t>
      </w:r>
    </w:p>
    <w:p w14:paraId="42E87317" w14:textId="27B8BD15" w:rsidR="00DD249F" w:rsidRPr="00015A71" w:rsidRDefault="00D40E66" w:rsidP="00015A71">
      <w:pPr>
        <w:pStyle w:val="Paragraph"/>
        <w:numPr>
          <w:ilvl w:val="0"/>
          <w:numId w:val="0"/>
        </w:numPr>
        <w:spacing w:before="0" w:after="0" w:line="360" w:lineRule="auto"/>
        <w:rPr>
          <w:kern w:val="28"/>
          <w:szCs w:val="24"/>
        </w:rPr>
      </w:pPr>
      <w:r w:rsidRPr="008932B5">
        <w:rPr>
          <w:kern w:val="28"/>
          <w:szCs w:val="24"/>
        </w:rPr>
        <w:t xml:space="preserve">El </w:t>
      </w:r>
      <w:r w:rsidR="00AD7429">
        <w:rPr>
          <w:kern w:val="28"/>
          <w:szCs w:val="24"/>
        </w:rPr>
        <w:t>p</w:t>
      </w:r>
      <w:r w:rsidRPr="008932B5">
        <w:rPr>
          <w:kern w:val="28"/>
          <w:szCs w:val="24"/>
        </w:rPr>
        <w:t xml:space="preserve">rograma </w:t>
      </w:r>
      <w:r w:rsidR="00AD7429">
        <w:rPr>
          <w:szCs w:val="24"/>
          <w:lang w:val="es-ES_tradnl"/>
        </w:rPr>
        <w:t>para “Fortalecer</w:t>
      </w:r>
      <w:r w:rsidR="004650E4">
        <w:rPr>
          <w:szCs w:val="24"/>
          <w:lang w:val="es-ES_tradnl"/>
        </w:rPr>
        <w:t xml:space="preserve"> las</w:t>
      </w:r>
      <w:r w:rsidR="00AD7429">
        <w:rPr>
          <w:szCs w:val="24"/>
          <w:lang w:val="es-ES_tradnl"/>
        </w:rPr>
        <w:t xml:space="preserve"> Políticas de Empleo” </w:t>
      </w:r>
      <w:r w:rsidRPr="008932B5">
        <w:rPr>
          <w:kern w:val="28"/>
          <w:szCs w:val="24"/>
        </w:rPr>
        <w:t xml:space="preserve">tiene como objetivo general </w:t>
      </w:r>
      <w:r w:rsidR="00AD7429" w:rsidRPr="00E73E12">
        <w:rPr>
          <w:szCs w:val="24"/>
          <w:lang w:val="es-ES_tradnl"/>
        </w:rPr>
        <w:t xml:space="preserve">aumentar la empleabilidad </w:t>
      </w:r>
      <w:r w:rsidR="00DD249F" w:rsidRPr="00015A71">
        <w:rPr>
          <w:kern w:val="28"/>
          <w:szCs w:val="24"/>
        </w:rPr>
        <w:t xml:space="preserve">de la fuerza laboral nacional y migrante. </w:t>
      </w:r>
      <w:r w:rsidR="009F77E6">
        <w:rPr>
          <w:kern w:val="28"/>
          <w:szCs w:val="24"/>
        </w:rPr>
        <w:t>P</w:t>
      </w:r>
      <w:r w:rsidR="009F77E6">
        <w:t xml:space="preserve">ara lograrlo, atenderá los siguientes objetivos específicos: (i) aumentar la cobertura y efectividad de las políticas de empleo; (ii) fortalecer las herramientas que aseguran la pertinencia y calidad de la FT y </w:t>
      </w:r>
      <w:r w:rsidR="00B220F5">
        <w:t xml:space="preserve">ampliar el alcance de </w:t>
      </w:r>
      <w:r w:rsidR="009F77E6">
        <w:t>la certificación basada en competencias.</w:t>
      </w:r>
    </w:p>
    <w:p w14:paraId="658F852C" w14:textId="04975D10" w:rsidR="00DA4569" w:rsidRPr="00DA4569" w:rsidRDefault="00DA4569" w:rsidP="00015A71">
      <w:pPr>
        <w:pStyle w:val="Paragraph"/>
        <w:numPr>
          <w:ilvl w:val="0"/>
          <w:numId w:val="0"/>
        </w:numPr>
        <w:spacing w:before="0" w:after="0" w:line="360" w:lineRule="auto"/>
        <w:rPr>
          <w:kern w:val="28"/>
          <w:szCs w:val="24"/>
          <w:lang w:val="es-ES_tradnl"/>
        </w:rPr>
      </w:pPr>
      <w:r w:rsidRPr="00DA4569">
        <w:rPr>
          <w:lang w:val="es-ES_tradnl"/>
        </w:rPr>
        <w:t xml:space="preserve">Para financiar las actividades del </w:t>
      </w:r>
      <w:r w:rsidR="00AD7429">
        <w:rPr>
          <w:lang w:val="es-ES_tradnl"/>
        </w:rPr>
        <w:t>programa</w:t>
      </w:r>
      <w:r w:rsidRPr="00DA4569">
        <w:rPr>
          <w:lang w:val="es-ES_tradnl"/>
        </w:rPr>
        <w:t>, se prevé</w:t>
      </w:r>
      <w:r w:rsidR="007B47E0">
        <w:rPr>
          <w:lang w:val="es-ES_tradnl"/>
        </w:rPr>
        <w:t xml:space="preserve"> un </w:t>
      </w:r>
      <w:r w:rsidR="00DD249F">
        <w:rPr>
          <w:lang w:val="es-ES_tradnl"/>
        </w:rPr>
        <w:t xml:space="preserve">programa con </w:t>
      </w:r>
      <w:r w:rsidR="00AD7429">
        <w:rPr>
          <w:lang w:val="es-ES_tradnl"/>
        </w:rPr>
        <w:t xml:space="preserve">Colombia </w:t>
      </w:r>
      <w:r w:rsidR="00DD249F">
        <w:rPr>
          <w:lang w:val="es-ES_tradnl"/>
        </w:rPr>
        <w:t xml:space="preserve">por un total de </w:t>
      </w:r>
      <w:r w:rsidRPr="00DA4569">
        <w:rPr>
          <w:lang w:val="es-ES_tradnl"/>
        </w:rPr>
        <w:t>US$</w:t>
      </w:r>
      <w:r w:rsidR="00AD7429">
        <w:rPr>
          <w:lang w:val="es-ES_tradnl"/>
        </w:rPr>
        <w:t xml:space="preserve"> </w:t>
      </w:r>
      <w:r w:rsidR="00AD7429" w:rsidRPr="004650E4">
        <w:rPr>
          <w:lang w:val="es-ES_tradnl"/>
        </w:rPr>
        <w:t>2</w:t>
      </w:r>
      <w:r w:rsidR="006C6377">
        <w:rPr>
          <w:lang w:val="es-ES_tradnl"/>
        </w:rPr>
        <w:t>5</w:t>
      </w:r>
      <w:r w:rsidRPr="004650E4">
        <w:rPr>
          <w:lang w:val="es-ES_tradnl"/>
        </w:rPr>
        <w:t>mill</w:t>
      </w:r>
      <w:r w:rsidR="007B47E0" w:rsidRPr="004650E4">
        <w:rPr>
          <w:lang w:val="es-ES_tradnl"/>
        </w:rPr>
        <w:t>ones</w:t>
      </w:r>
      <w:r w:rsidR="00DD249F">
        <w:rPr>
          <w:lang w:val="es-ES_tradnl"/>
        </w:rPr>
        <w:t xml:space="preserve"> (20 millones de préstam</w:t>
      </w:r>
      <w:r w:rsidR="00910CD2">
        <w:rPr>
          <w:lang w:val="es-ES_tradnl"/>
        </w:rPr>
        <w:t>o</w:t>
      </w:r>
      <w:r w:rsidR="006C6377">
        <w:rPr>
          <w:lang w:val="es-ES_tradnl"/>
        </w:rPr>
        <w:t xml:space="preserve"> y</w:t>
      </w:r>
      <w:r w:rsidR="00910CD2">
        <w:rPr>
          <w:lang w:val="es-ES_tradnl"/>
        </w:rPr>
        <w:t xml:space="preserve"> </w:t>
      </w:r>
      <w:r w:rsidR="00DD249F">
        <w:rPr>
          <w:lang w:val="es-ES_tradnl"/>
        </w:rPr>
        <w:t xml:space="preserve">5 millones de </w:t>
      </w:r>
      <w:r w:rsidR="006C6377">
        <w:rPr>
          <w:lang w:val="es-ES_tradnl"/>
        </w:rPr>
        <w:t>financiamiento no reembolsable).</w:t>
      </w:r>
      <w:r w:rsidR="00910CD2">
        <w:rPr>
          <w:lang w:val="es-ES_tradnl"/>
        </w:rPr>
        <w:t xml:space="preserve"> </w:t>
      </w:r>
      <w:r w:rsidRPr="004650E4">
        <w:rPr>
          <w:lang w:val="es-ES_tradnl"/>
        </w:rPr>
        <w:t>Se prevé que las actividades se iniciarían a inicios de 20</w:t>
      </w:r>
      <w:r w:rsidR="00AD7429" w:rsidRPr="004650E4">
        <w:rPr>
          <w:lang w:val="es-ES_tradnl"/>
        </w:rPr>
        <w:t>20</w:t>
      </w:r>
      <w:r w:rsidRPr="004650E4">
        <w:rPr>
          <w:lang w:val="es-ES_tradnl"/>
        </w:rPr>
        <w:t>, por un lapso de 5 años.</w:t>
      </w:r>
      <w:r w:rsidR="006C6377">
        <w:rPr>
          <w:lang w:val="es-ES_tradnl"/>
        </w:rPr>
        <w:t xml:space="preserve"> También se estiman costos de manutención por US $ 2 millones que debe asumir el gobierno tras el fin del programa.</w:t>
      </w:r>
    </w:p>
    <w:p w14:paraId="2155978F" w14:textId="77777777" w:rsidR="006C5D2F" w:rsidRDefault="00DA4569" w:rsidP="00015A71">
      <w:pPr>
        <w:pStyle w:val="Paragraph"/>
        <w:numPr>
          <w:ilvl w:val="0"/>
          <w:numId w:val="0"/>
        </w:numPr>
        <w:spacing w:before="0" w:after="0" w:line="360" w:lineRule="auto"/>
        <w:rPr>
          <w:lang w:val="es-ES_tradnl"/>
        </w:rPr>
      </w:pPr>
      <w:r w:rsidRPr="00DA4569">
        <w:rPr>
          <w:lang w:val="es-ES_tradnl"/>
        </w:rPr>
        <w:t xml:space="preserve">Los resultados esperados del </w:t>
      </w:r>
      <w:r w:rsidR="00AD7429">
        <w:rPr>
          <w:lang w:val="es-ES_tradnl"/>
        </w:rPr>
        <w:t>programa</w:t>
      </w:r>
      <w:r w:rsidRPr="00DA4569">
        <w:rPr>
          <w:lang w:val="es-ES_tradnl"/>
        </w:rPr>
        <w:t xml:space="preserve"> se resumen en la Matriz d</w:t>
      </w:r>
      <w:r w:rsidR="00716988">
        <w:rPr>
          <w:lang w:val="es-ES_tradnl"/>
        </w:rPr>
        <w:t>e Resultados, la cual contempla mejoras en</w:t>
      </w:r>
      <w:r w:rsidR="006C5D2F">
        <w:rPr>
          <w:lang w:val="es-ES_tradnl"/>
        </w:rPr>
        <w:t xml:space="preserve"> la formalidad laboral y en los salarios.</w:t>
      </w:r>
    </w:p>
    <w:p w14:paraId="4E5D235F" w14:textId="67ECDAEB" w:rsidR="00DA4569" w:rsidRDefault="00DA4569" w:rsidP="00015A71">
      <w:pPr>
        <w:pStyle w:val="Paragraph"/>
        <w:numPr>
          <w:ilvl w:val="0"/>
          <w:numId w:val="0"/>
        </w:numPr>
        <w:spacing w:before="0" w:after="0" w:line="360" w:lineRule="auto"/>
        <w:rPr>
          <w:kern w:val="28"/>
          <w:szCs w:val="24"/>
          <w:lang w:val="es-ES_tradnl"/>
        </w:rPr>
      </w:pPr>
      <w:r w:rsidRPr="00DA4569">
        <w:rPr>
          <w:lang w:val="es-ES_tradnl"/>
        </w:rPr>
        <w:t xml:space="preserve">Este informe presenta una estimación de los costos y los beneficios de la implementación del </w:t>
      </w:r>
      <w:r w:rsidR="00AD7429">
        <w:rPr>
          <w:lang w:val="es-ES_tradnl"/>
        </w:rPr>
        <w:t>programa</w:t>
      </w:r>
      <w:r w:rsidRPr="00DA4569">
        <w:rPr>
          <w:lang w:val="es-ES_tradnl"/>
        </w:rPr>
        <w:t>.  Lo</w:t>
      </w:r>
      <w:r w:rsidR="00716988">
        <w:rPr>
          <w:lang w:val="es-ES_tradnl"/>
        </w:rPr>
        <w:t>s</w:t>
      </w:r>
      <w:r w:rsidR="00794CAC">
        <w:rPr>
          <w:lang w:val="es-ES_tradnl"/>
        </w:rPr>
        <w:t xml:space="preserve"> costos se derivan de los US$</w:t>
      </w:r>
      <w:r w:rsidR="00AD7429">
        <w:rPr>
          <w:lang w:val="es-ES_tradnl"/>
        </w:rPr>
        <w:t xml:space="preserve"> 2</w:t>
      </w:r>
      <w:r w:rsidR="006C6377">
        <w:rPr>
          <w:lang w:val="es-ES_tradnl"/>
        </w:rPr>
        <w:t>5</w:t>
      </w:r>
      <w:r w:rsidR="00AD7429">
        <w:rPr>
          <w:lang w:val="es-ES_tradnl"/>
        </w:rPr>
        <w:t>.000.000</w:t>
      </w:r>
      <w:r w:rsidRPr="00AD7429">
        <w:rPr>
          <w:color w:val="FF0000"/>
          <w:lang w:val="es-ES_tradnl"/>
        </w:rPr>
        <w:t xml:space="preserve"> </w:t>
      </w:r>
      <w:r w:rsidRPr="00DA4569">
        <w:rPr>
          <w:lang w:val="es-ES_tradnl"/>
        </w:rPr>
        <w:t xml:space="preserve">que cuesta el </w:t>
      </w:r>
      <w:r w:rsidR="00AD7429">
        <w:rPr>
          <w:lang w:val="es-ES_tradnl"/>
        </w:rPr>
        <w:t>programa</w:t>
      </w:r>
      <w:r w:rsidRPr="00DA4569">
        <w:rPr>
          <w:lang w:val="es-ES_tradnl"/>
        </w:rPr>
        <w:t>, mientras que los beneficios tienen que ver con la cuantificación de los resultados espera</w:t>
      </w:r>
      <w:r w:rsidR="000C485E">
        <w:rPr>
          <w:lang w:val="es-ES_tradnl"/>
        </w:rPr>
        <w:t>dos en la Matriz de Resultados.</w:t>
      </w:r>
      <w:r w:rsidRPr="00DA4569">
        <w:rPr>
          <w:lang w:val="es-ES_tradnl"/>
        </w:rPr>
        <w:t xml:space="preserve"> La comparación de costos y beneficios generan flujos netos de recursos, cuyo valor presente debe ser positivo para que el </w:t>
      </w:r>
      <w:r w:rsidR="00AD7429">
        <w:rPr>
          <w:lang w:val="es-ES_tradnl"/>
        </w:rPr>
        <w:t>programa</w:t>
      </w:r>
      <w:r w:rsidRPr="00DA4569">
        <w:rPr>
          <w:lang w:val="es-ES_tradnl"/>
        </w:rPr>
        <w:t xml:space="preserve"> sea económicamente viable.</w:t>
      </w:r>
    </w:p>
    <w:p w14:paraId="1CCA9BF2" w14:textId="77777777" w:rsidR="00716988" w:rsidRDefault="00716988" w:rsidP="00C703FE">
      <w:pPr>
        <w:spacing w:after="0" w:line="360" w:lineRule="auto"/>
        <w:ind w:firstLine="357"/>
        <w:jc w:val="both"/>
        <w:rPr>
          <w:rFonts w:ascii="Times New Roman" w:hAnsi="Times New Roman"/>
          <w:b/>
          <w:sz w:val="24"/>
          <w:szCs w:val="24"/>
          <w:lang w:val="es-ES"/>
        </w:rPr>
      </w:pPr>
      <w:r w:rsidRPr="00F113A8">
        <w:rPr>
          <w:rFonts w:ascii="Times New Roman" w:hAnsi="Times New Roman"/>
          <w:b/>
          <w:sz w:val="28"/>
          <w:szCs w:val="28"/>
          <w:lang w:val="es-ES"/>
        </w:rPr>
        <w:t>Metodología</w:t>
      </w:r>
    </w:p>
    <w:p w14:paraId="604EE547" w14:textId="2FD7ADA8" w:rsidR="00716988" w:rsidRDefault="00716988" w:rsidP="00015A71">
      <w:pPr>
        <w:spacing w:after="0" w:line="360" w:lineRule="auto"/>
        <w:jc w:val="both"/>
        <w:rPr>
          <w:rFonts w:ascii="Times New Roman" w:hAnsi="Times New Roman"/>
          <w:b/>
          <w:sz w:val="24"/>
          <w:szCs w:val="24"/>
          <w:lang w:val="es-ES"/>
        </w:rPr>
      </w:pPr>
      <w:r w:rsidRPr="00716988">
        <w:rPr>
          <w:rFonts w:ascii="Times New Roman" w:eastAsia="Times New Roman" w:hAnsi="Times New Roman"/>
          <w:sz w:val="24"/>
          <w:szCs w:val="20"/>
          <w:lang w:val="es-ES_tradnl"/>
        </w:rPr>
        <w:t xml:space="preserve">Los cálculos realizados parten de la base de un grupo de Datos y de otro grupo de Supuestos, los que se describen a continuación.  Con esa información, se procede a definir los beneficios y costos del </w:t>
      </w:r>
      <w:r w:rsidR="00AD7429">
        <w:rPr>
          <w:rFonts w:ascii="Times New Roman" w:eastAsia="Times New Roman" w:hAnsi="Times New Roman"/>
          <w:sz w:val="24"/>
          <w:szCs w:val="20"/>
          <w:lang w:val="es-ES_tradnl"/>
        </w:rPr>
        <w:t>programa</w:t>
      </w:r>
      <w:r w:rsidRPr="00716988">
        <w:rPr>
          <w:rFonts w:ascii="Times New Roman" w:eastAsia="Times New Roman" w:hAnsi="Times New Roman"/>
          <w:sz w:val="24"/>
          <w:szCs w:val="20"/>
          <w:lang w:val="es-ES_tradnl"/>
        </w:rPr>
        <w:t>.</w:t>
      </w:r>
    </w:p>
    <w:p w14:paraId="0968831E" w14:textId="089E7F84" w:rsidR="00716988" w:rsidRPr="00716988" w:rsidRDefault="00716988" w:rsidP="00015A71">
      <w:pPr>
        <w:spacing w:after="0" w:line="360" w:lineRule="auto"/>
        <w:jc w:val="both"/>
        <w:rPr>
          <w:rFonts w:ascii="Times New Roman" w:hAnsi="Times New Roman"/>
          <w:b/>
          <w:sz w:val="24"/>
          <w:szCs w:val="24"/>
          <w:lang w:val="es-ES"/>
        </w:rPr>
      </w:pPr>
      <w:r>
        <w:rPr>
          <w:rFonts w:ascii="Times New Roman" w:eastAsia="Times New Roman" w:hAnsi="Times New Roman"/>
          <w:sz w:val="24"/>
          <w:szCs w:val="20"/>
          <w:lang w:val="es-ES_tradnl"/>
        </w:rPr>
        <w:t xml:space="preserve">En la Tabla 1 </w:t>
      </w:r>
      <w:r w:rsidRPr="00716988">
        <w:rPr>
          <w:rFonts w:ascii="Times New Roman" w:eastAsia="Times New Roman" w:hAnsi="Times New Roman"/>
          <w:sz w:val="24"/>
          <w:szCs w:val="20"/>
          <w:lang w:val="es-ES_tradnl"/>
        </w:rPr>
        <w:t xml:space="preserve">se resumen los datos y sus respectivas fuentes, empleados para los cálculos del costo y beneficio del </w:t>
      </w:r>
      <w:r w:rsidR="004650E4">
        <w:rPr>
          <w:rFonts w:ascii="Times New Roman" w:eastAsia="Times New Roman" w:hAnsi="Times New Roman"/>
          <w:sz w:val="24"/>
          <w:szCs w:val="20"/>
          <w:lang w:val="es-ES_tradnl"/>
        </w:rPr>
        <w:t>p</w:t>
      </w:r>
      <w:r w:rsidRPr="00716988">
        <w:rPr>
          <w:rFonts w:ascii="Times New Roman" w:eastAsia="Times New Roman" w:hAnsi="Times New Roman"/>
          <w:sz w:val="24"/>
          <w:szCs w:val="20"/>
          <w:lang w:val="es-ES_tradnl"/>
        </w:rPr>
        <w:t>royecto.</w:t>
      </w:r>
    </w:p>
    <w:p w14:paraId="03A1B90F" w14:textId="48114641" w:rsidR="00716988" w:rsidRPr="00E85794" w:rsidRDefault="00716988" w:rsidP="00AD7429">
      <w:pPr>
        <w:pStyle w:val="Caption"/>
        <w:keepNext/>
        <w:spacing w:line="360" w:lineRule="auto"/>
        <w:rPr>
          <w:rFonts w:ascii="Times New Roman" w:hAnsi="Times New Roman"/>
          <w:b/>
          <w:color w:val="auto"/>
          <w:sz w:val="20"/>
          <w:lang w:val="es-ES_tradnl"/>
        </w:rPr>
      </w:pPr>
      <w:r w:rsidRPr="00E85794">
        <w:rPr>
          <w:rFonts w:ascii="Times New Roman" w:hAnsi="Times New Roman"/>
          <w:b/>
          <w:color w:val="auto"/>
          <w:sz w:val="20"/>
          <w:lang w:val="es-ES_tradnl"/>
        </w:rPr>
        <w:t xml:space="preserve">Tabla </w:t>
      </w:r>
      <w:r w:rsidRPr="00E85794">
        <w:rPr>
          <w:rFonts w:ascii="Times New Roman" w:hAnsi="Times New Roman"/>
          <w:b/>
          <w:color w:val="auto"/>
          <w:sz w:val="20"/>
        </w:rPr>
        <w:fldChar w:fldCharType="begin"/>
      </w:r>
      <w:r w:rsidRPr="00E85794">
        <w:rPr>
          <w:rFonts w:ascii="Times New Roman" w:hAnsi="Times New Roman"/>
          <w:b/>
          <w:color w:val="auto"/>
          <w:sz w:val="20"/>
          <w:lang w:val="es-ES_tradnl"/>
        </w:rPr>
        <w:instrText xml:space="preserve"> SEQ Tabla \* ARABIC </w:instrText>
      </w:r>
      <w:r w:rsidRPr="00E85794">
        <w:rPr>
          <w:rFonts w:ascii="Times New Roman" w:hAnsi="Times New Roman"/>
          <w:b/>
          <w:color w:val="auto"/>
          <w:sz w:val="20"/>
        </w:rPr>
        <w:fldChar w:fldCharType="separate"/>
      </w:r>
      <w:r w:rsidR="00E85794" w:rsidRPr="00E85794">
        <w:rPr>
          <w:rFonts w:ascii="Times New Roman" w:hAnsi="Times New Roman"/>
          <w:b/>
          <w:noProof/>
          <w:color w:val="auto"/>
          <w:sz w:val="20"/>
          <w:lang w:val="es-ES_tradnl"/>
        </w:rPr>
        <w:t>1</w:t>
      </w:r>
      <w:r w:rsidRPr="00E85794">
        <w:rPr>
          <w:rFonts w:ascii="Times New Roman" w:hAnsi="Times New Roman"/>
          <w:b/>
          <w:color w:val="auto"/>
          <w:sz w:val="20"/>
        </w:rPr>
        <w:fldChar w:fldCharType="end"/>
      </w:r>
      <w:r w:rsidRPr="00E85794">
        <w:rPr>
          <w:rFonts w:ascii="Times New Roman" w:hAnsi="Times New Roman"/>
          <w:b/>
          <w:color w:val="auto"/>
          <w:sz w:val="20"/>
          <w:lang w:val="es-ES_tradnl"/>
        </w:rPr>
        <w:t>: Datos utilizados para el cálculo de costos y beneficios</w:t>
      </w:r>
    </w:p>
    <w:tbl>
      <w:tblPr>
        <w:tblStyle w:val="TableGrid"/>
        <w:tblW w:w="0" w:type="auto"/>
        <w:tblInd w:w="567" w:type="dxa"/>
        <w:tblLook w:val="04A0" w:firstRow="1" w:lastRow="0" w:firstColumn="1" w:lastColumn="0" w:noHBand="0" w:noVBand="1"/>
      </w:tblPr>
      <w:tblGrid>
        <w:gridCol w:w="1981"/>
        <w:gridCol w:w="1980"/>
        <w:gridCol w:w="1980"/>
        <w:gridCol w:w="1980"/>
      </w:tblGrid>
      <w:tr w:rsidR="00E23B83" w:rsidRPr="008972DC" w14:paraId="6841A01B" w14:textId="77777777" w:rsidTr="00B36DB8">
        <w:tc>
          <w:tcPr>
            <w:tcW w:w="1981" w:type="dxa"/>
            <w:shd w:val="clear" w:color="auto" w:fill="F4B083" w:themeFill="accent2" w:themeFillTint="99"/>
            <w:vAlign w:val="center"/>
          </w:tcPr>
          <w:p w14:paraId="760826B8" w14:textId="77777777" w:rsidR="00716988" w:rsidRPr="008972DC" w:rsidRDefault="00716988" w:rsidP="00AD7429">
            <w:pPr>
              <w:spacing w:after="0" w:line="240" w:lineRule="auto"/>
              <w:rPr>
                <w:rFonts w:ascii="Times New Roman" w:hAnsi="Times New Roman"/>
                <w:b/>
                <w:sz w:val="20"/>
                <w:szCs w:val="20"/>
                <w:lang w:val="es-ES"/>
              </w:rPr>
            </w:pPr>
          </w:p>
        </w:tc>
        <w:tc>
          <w:tcPr>
            <w:tcW w:w="1980" w:type="dxa"/>
            <w:shd w:val="clear" w:color="auto" w:fill="F4B083" w:themeFill="accent2" w:themeFillTint="99"/>
            <w:vAlign w:val="center"/>
          </w:tcPr>
          <w:p w14:paraId="31C24579" w14:textId="5A732212" w:rsidR="00716988" w:rsidRPr="008972DC" w:rsidRDefault="00E23B83" w:rsidP="00AD7429">
            <w:pPr>
              <w:spacing w:after="0" w:line="240" w:lineRule="auto"/>
              <w:jc w:val="center"/>
              <w:rPr>
                <w:rFonts w:ascii="Times New Roman" w:hAnsi="Times New Roman"/>
                <w:b/>
                <w:sz w:val="20"/>
                <w:szCs w:val="20"/>
                <w:lang w:val="es-ES"/>
              </w:rPr>
            </w:pPr>
            <w:r w:rsidRPr="008972DC">
              <w:rPr>
                <w:rFonts w:ascii="Times New Roman" w:hAnsi="Times New Roman"/>
                <w:b/>
                <w:sz w:val="20"/>
                <w:szCs w:val="20"/>
                <w:lang w:val="es-ES"/>
              </w:rPr>
              <w:t>Línea</w:t>
            </w:r>
            <w:r w:rsidR="00716988" w:rsidRPr="008972DC">
              <w:rPr>
                <w:rFonts w:ascii="Times New Roman" w:hAnsi="Times New Roman"/>
                <w:b/>
                <w:sz w:val="20"/>
                <w:szCs w:val="20"/>
                <w:lang w:val="es-ES"/>
              </w:rPr>
              <w:t xml:space="preserve"> de Base</w:t>
            </w:r>
          </w:p>
        </w:tc>
        <w:tc>
          <w:tcPr>
            <w:tcW w:w="1980" w:type="dxa"/>
            <w:shd w:val="clear" w:color="auto" w:fill="F4B083" w:themeFill="accent2" w:themeFillTint="99"/>
            <w:vAlign w:val="center"/>
          </w:tcPr>
          <w:p w14:paraId="04F00AB4" w14:textId="6303F858" w:rsidR="00716988" w:rsidRPr="008972DC" w:rsidRDefault="00716988" w:rsidP="00AD7429">
            <w:pPr>
              <w:spacing w:after="0" w:line="240" w:lineRule="auto"/>
              <w:jc w:val="center"/>
              <w:rPr>
                <w:rFonts w:ascii="Times New Roman" w:hAnsi="Times New Roman"/>
                <w:b/>
                <w:sz w:val="20"/>
                <w:szCs w:val="20"/>
                <w:lang w:val="es-ES"/>
              </w:rPr>
            </w:pPr>
            <w:r w:rsidRPr="008972DC">
              <w:rPr>
                <w:rFonts w:ascii="Times New Roman" w:hAnsi="Times New Roman"/>
                <w:b/>
                <w:sz w:val="20"/>
                <w:szCs w:val="20"/>
                <w:lang w:val="es-ES"/>
              </w:rPr>
              <w:t>Año</w:t>
            </w:r>
          </w:p>
        </w:tc>
        <w:tc>
          <w:tcPr>
            <w:tcW w:w="1980" w:type="dxa"/>
            <w:shd w:val="clear" w:color="auto" w:fill="F4B083" w:themeFill="accent2" w:themeFillTint="99"/>
            <w:vAlign w:val="center"/>
          </w:tcPr>
          <w:p w14:paraId="07D74368" w14:textId="2A5B3E0F" w:rsidR="00716988" w:rsidRPr="008972DC" w:rsidRDefault="00716988" w:rsidP="00AD7429">
            <w:pPr>
              <w:spacing w:after="0" w:line="240" w:lineRule="auto"/>
              <w:jc w:val="center"/>
              <w:rPr>
                <w:rFonts w:ascii="Times New Roman" w:hAnsi="Times New Roman"/>
                <w:b/>
                <w:sz w:val="20"/>
                <w:szCs w:val="20"/>
                <w:lang w:val="es-ES"/>
              </w:rPr>
            </w:pPr>
            <w:r w:rsidRPr="008972DC">
              <w:rPr>
                <w:rFonts w:ascii="Times New Roman" w:hAnsi="Times New Roman"/>
                <w:b/>
                <w:sz w:val="20"/>
                <w:szCs w:val="20"/>
                <w:lang w:val="es-ES"/>
              </w:rPr>
              <w:t>Fuente</w:t>
            </w:r>
          </w:p>
        </w:tc>
      </w:tr>
      <w:tr w:rsidR="00471F9A" w:rsidRPr="004A6604" w14:paraId="31DD444B" w14:textId="77777777" w:rsidTr="00B36DB8">
        <w:tc>
          <w:tcPr>
            <w:tcW w:w="1981" w:type="dxa"/>
            <w:vAlign w:val="center"/>
          </w:tcPr>
          <w:p w14:paraId="38A815E8" w14:textId="16F14452" w:rsidR="00471F9A" w:rsidRPr="004A6604" w:rsidRDefault="004A6604" w:rsidP="00AD7429">
            <w:pPr>
              <w:spacing w:after="0" w:line="240" w:lineRule="auto"/>
              <w:rPr>
                <w:rFonts w:ascii="Times New Roman" w:hAnsi="Times New Roman"/>
                <w:b/>
                <w:sz w:val="20"/>
                <w:szCs w:val="20"/>
                <w:lang w:val="es-ES"/>
              </w:rPr>
            </w:pPr>
            <w:r>
              <w:rPr>
                <w:rFonts w:ascii="Times New Roman" w:eastAsia="Times New Roman" w:hAnsi="Times New Roman"/>
                <w:color w:val="000000"/>
                <w:sz w:val="20"/>
                <w:szCs w:val="20"/>
                <w:lang w:val="es-ES_tradnl" w:eastAsia="es-PE"/>
              </w:rPr>
              <w:t xml:space="preserve">Cantidad de personas </w:t>
            </w:r>
            <w:r w:rsidR="00CA7FF3">
              <w:rPr>
                <w:rFonts w:ascii="Times New Roman" w:eastAsia="Times New Roman" w:hAnsi="Times New Roman"/>
                <w:color w:val="000000"/>
                <w:sz w:val="20"/>
                <w:szCs w:val="20"/>
                <w:lang w:val="es-ES_tradnl" w:eastAsia="es-PE"/>
              </w:rPr>
              <w:t>registradas en</w:t>
            </w:r>
            <w:r>
              <w:rPr>
                <w:rFonts w:ascii="Times New Roman" w:eastAsia="Times New Roman" w:hAnsi="Times New Roman"/>
                <w:color w:val="000000"/>
                <w:sz w:val="20"/>
                <w:szCs w:val="20"/>
                <w:lang w:val="es-ES_tradnl" w:eastAsia="es-PE"/>
              </w:rPr>
              <w:t xml:space="preserve"> el SPE</w:t>
            </w:r>
          </w:p>
        </w:tc>
        <w:tc>
          <w:tcPr>
            <w:tcW w:w="1980" w:type="dxa"/>
            <w:vAlign w:val="center"/>
          </w:tcPr>
          <w:p w14:paraId="235D46EA" w14:textId="794C600D" w:rsidR="00BC2A6E" w:rsidRPr="00BC2A6E" w:rsidRDefault="00E14F55" w:rsidP="00BC2A6E">
            <w:pPr>
              <w:spacing w:after="0" w:line="240" w:lineRule="auto"/>
              <w:jc w:val="center"/>
              <w:rPr>
                <w:rFonts w:ascii="Times New Roman" w:hAnsi="Times New Roman"/>
                <w:sz w:val="20"/>
                <w:szCs w:val="20"/>
              </w:rPr>
            </w:pPr>
            <w:r w:rsidRPr="00E14F55">
              <w:rPr>
                <w:rFonts w:ascii="Times New Roman" w:hAnsi="Times New Roman"/>
                <w:sz w:val="20"/>
                <w:szCs w:val="20"/>
              </w:rPr>
              <w:t>1</w:t>
            </w:r>
            <w:r w:rsidR="00BC2A6E">
              <w:rPr>
                <w:rFonts w:ascii="Times New Roman" w:hAnsi="Times New Roman"/>
                <w:sz w:val="20"/>
                <w:szCs w:val="20"/>
              </w:rPr>
              <w:t>.107.199</w:t>
            </w:r>
          </w:p>
        </w:tc>
        <w:tc>
          <w:tcPr>
            <w:tcW w:w="1980" w:type="dxa"/>
            <w:vAlign w:val="center"/>
          </w:tcPr>
          <w:p w14:paraId="4C764C7C" w14:textId="504CC00C" w:rsidR="00471F9A" w:rsidRPr="004A6604" w:rsidRDefault="00DD6969" w:rsidP="00AD7429">
            <w:pPr>
              <w:spacing w:after="0" w:line="240" w:lineRule="auto"/>
              <w:jc w:val="center"/>
              <w:rPr>
                <w:rFonts w:ascii="Times New Roman" w:hAnsi="Times New Roman"/>
                <w:sz w:val="20"/>
                <w:szCs w:val="20"/>
                <w:lang w:val="es-ES"/>
              </w:rPr>
            </w:pPr>
            <w:r w:rsidRPr="004A6604">
              <w:rPr>
                <w:rFonts w:ascii="Times New Roman" w:hAnsi="Times New Roman"/>
                <w:sz w:val="20"/>
                <w:szCs w:val="20"/>
                <w:lang w:val="es-ES"/>
              </w:rPr>
              <w:t>201</w:t>
            </w:r>
            <w:r w:rsidR="004650E4">
              <w:rPr>
                <w:rFonts w:ascii="Times New Roman" w:hAnsi="Times New Roman"/>
                <w:sz w:val="20"/>
                <w:szCs w:val="20"/>
                <w:lang w:val="es-ES"/>
              </w:rPr>
              <w:t>8</w:t>
            </w:r>
          </w:p>
        </w:tc>
        <w:tc>
          <w:tcPr>
            <w:tcW w:w="1980" w:type="dxa"/>
            <w:vAlign w:val="center"/>
          </w:tcPr>
          <w:p w14:paraId="716103D7" w14:textId="6BB075F7" w:rsidR="00471F9A" w:rsidRPr="004A6604" w:rsidRDefault="004650E4" w:rsidP="00AD7429">
            <w:pPr>
              <w:spacing w:after="0" w:line="240" w:lineRule="auto"/>
              <w:jc w:val="center"/>
              <w:rPr>
                <w:rFonts w:ascii="Times New Roman" w:hAnsi="Times New Roman"/>
                <w:sz w:val="20"/>
                <w:szCs w:val="20"/>
                <w:lang w:val="es-ES"/>
              </w:rPr>
            </w:pPr>
            <w:r w:rsidRPr="004650E4">
              <w:rPr>
                <w:rFonts w:ascii="Times New Roman" w:hAnsi="Times New Roman"/>
                <w:sz w:val="20"/>
                <w:szCs w:val="20"/>
                <w:lang w:val="es-ES"/>
              </w:rPr>
              <w:t>UASPE</w:t>
            </w:r>
          </w:p>
        </w:tc>
      </w:tr>
      <w:tr w:rsidR="00917E2B" w:rsidRPr="00917E2B" w14:paraId="2615EDD5" w14:textId="77777777" w:rsidTr="00B36DB8">
        <w:tc>
          <w:tcPr>
            <w:tcW w:w="1981" w:type="dxa"/>
            <w:vAlign w:val="center"/>
          </w:tcPr>
          <w:p w14:paraId="7032CFBC" w14:textId="62E642C3" w:rsidR="00917E2B" w:rsidRPr="004A6604" w:rsidRDefault="00917E2B" w:rsidP="00AD7429">
            <w:pPr>
              <w:spacing w:after="0" w:line="240" w:lineRule="auto"/>
              <w:rPr>
                <w:rFonts w:ascii="Times New Roman" w:eastAsia="Times New Roman" w:hAnsi="Times New Roman"/>
                <w:color w:val="000000"/>
                <w:sz w:val="20"/>
                <w:szCs w:val="20"/>
                <w:lang w:val="es-ES_tradnl" w:eastAsia="es-PE"/>
              </w:rPr>
            </w:pPr>
            <w:r>
              <w:rPr>
                <w:rFonts w:ascii="Times New Roman" w:eastAsia="Times New Roman" w:hAnsi="Times New Roman"/>
                <w:color w:val="000000"/>
                <w:sz w:val="20"/>
                <w:szCs w:val="20"/>
                <w:lang w:val="es-ES_tradnl" w:eastAsia="es-PE"/>
              </w:rPr>
              <w:t>Cantidad de personas colocadas por el SPE</w:t>
            </w:r>
          </w:p>
        </w:tc>
        <w:tc>
          <w:tcPr>
            <w:tcW w:w="1980" w:type="dxa"/>
            <w:vAlign w:val="center"/>
          </w:tcPr>
          <w:p w14:paraId="68584007" w14:textId="30EC6030" w:rsidR="00917E2B" w:rsidRDefault="00BC2A6E" w:rsidP="00AD7429">
            <w:pPr>
              <w:spacing w:after="0" w:line="240" w:lineRule="auto"/>
              <w:jc w:val="center"/>
              <w:rPr>
                <w:rFonts w:ascii="Times New Roman" w:hAnsi="Times New Roman"/>
                <w:sz w:val="20"/>
                <w:szCs w:val="20"/>
                <w:lang w:val="es-ES"/>
              </w:rPr>
            </w:pPr>
            <w:r>
              <w:rPr>
                <w:rFonts w:ascii="Times New Roman" w:hAnsi="Times New Roman"/>
                <w:sz w:val="20"/>
                <w:szCs w:val="20"/>
                <w:lang w:val="es-ES"/>
              </w:rPr>
              <w:t>243.583</w:t>
            </w:r>
          </w:p>
        </w:tc>
        <w:tc>
          <w:tcPr>
            <w:tcW w:w="1980" w:type="dxa"/>
            <w:vAlign w:val="center"/>
          </w:tcPr>
          <w:p w14:paraId="1C9D3991" w14:textId="1CF8171B" w:rsidR="00917E2B" w:rsidRPr="004A6604" w:rsidRDefault="00917E2B" w:rsidP="00AD7429">
            <w:pPr>
              <w:spacing w:after="0" w:line="240" w:lineRule="auto"/>
              <w:jc w:val="center"/>
              <w:rPr>
                <w:rFonts w:ascii="Times New Roman" w:hAnsi="Times New Roman"/>
                <w:sz w:val="20"/>
                <w:szCs w:val="20"/>
                <w:lang w:val="es-ES"/>
              </w:rPr>
            </w:pPr>
            <w:r>
              <w:rPr>
                <w:rFonts w:ascii="Times New Roman" w:hAnsi="Times New Roman"/>
                <w:sz w:val="20"/>
                <w:szCs w:val="20"/>
                <w:lang w:val="es-ES"/>
              </w:rPr>
              <w:t>2018</w:t>
            </w:r>
          </w:p>
        </w:tc>
        <w:tc>
          <w:tcPr>
            <w:tcW w:w="1980" w:type="dxa"/>
            <w:vAlign w:val="center"/>
          </w:tcPr>
          <w:p w14:paraId="56B62E2A" w14:textId="3DE2997A" w:rsidR="00917E2B" w:rsidRDefault="00917E2B" w:rsidP="00AD7429">
            <w:pPr>
              <w:spacing w:after="0" w:line="240" w:lineRule="auto"/>
              <w:jc w:val="center"/>
              <w:rPr>
                <w:rFonts w:ascii="Times New Roman" w:hAnsi="Times New Roman"/>
                <w:sz w:val="20"/>
                <w:szCs w:val="20"/>
                <w:lang w:val="es-ES"/>
              </w:rPr>
            </w:pPr>
            <w:r>
              <w:rPr>
                <w:rFonts w:ascii="Times New Roman" w:hAnsi="Times New Roman"/>
                <w:sz w:val="20"/>
                <w:szCs w:val="20"/>
                <w:lang w:val="es-ES"/>
              </w:rPr>
              <w:t>UASPE</w:t>
            </w:r>
          </w:p>
        </w:tc>
      </w:tr>
      <w:tr w:rsidR="009F2D44" w:rsidRPr="009F2D44" w14:paraId="06899E93" w14:textId="77777777" w:rsidTr="00B36DB8">
        <w:tc>
          <w:tcPr>
            <w:tcW w:w="1981" w:type="dxa"/>
            <w:vAlign w:val="center"/>
          </w:tcPr>
          <w:p w14:paraId="75F771D9" w14:textId="48D582C6" w:rsidR="009F2D44" w:rsidRPr="004A6604" w:rsidRDefault="009F2D44" w:rsidP="00AD7429">
            <w:pPr>
              <w:spacing w:after="0" w:line="240" w:lineRule="auto"/>
              <w:rPr>
                <w:rFonts w:ascii="Times New Roman" w:eastAsia="Times New Roman" w:hAnsi="Times New Roman"/>
                <w:color w:val="000000"/>
                <w:sz w:val="20"/>
                <w:szCs w:val="20"/>
                <w:lang w:val="es-ES_tradnl" w:eastAsia="es-PE"/>
              </w:rPr>
            </w:pPr>
            <w:r>
              <w:rPr>
                <w:rFonts w:ascii="Times New Roman" w:eastAsia="Times New Roman" w:hAnsi="Times New Roman"/>
                <w:color w:val="000000"/>
                <w:sz w:val="20"/>
                <w:szCs w:val="20"/>
                <w:lang w:val="es-ES_tradnl" w:eastAsia="es-PE"/>
              </w:rPr>
              <w:t>Personas con seguro de desempleo</w:t>
            </w:r>
          </w:p>
        </w:tc>
        <w:tc>
          <w:tcPr>
            <w:tcW w:w="1980" w:type="dxa"/>
            <w:vAlign w:val="center"/>
          </w:tcPr>
          <w:p w14:paraId="30D78C6A" w14:textId="238140D6" w:rsidR="009F2D44" w:rsidRPr="009F2D44" w:rsidRDefault="009F2D44" w:rsidP="00AD7429">
            <w:pPr>
              <w:spacing w:after="0" w:line="240" w:lineRule="auto"/>
              <w:jc w:val="center"/>
              <w:rPr>
                <w:rFonts w:ascii="Times New Roman" w:hAnsi="Times New Roman"/>
                <w:sz w:val="20"/>
                <w:szCs w:val="20"/>
                <w:lang w:val="es-ES_tradnl"/>
              </w:rPr>
            </w:pPr>
            <w:r>
              <w:rPr>
                <w:rFonts w:ascii="Times New Roman" w:hAnsi="Times New Roman"/>
                <w:sz w:val="20"/>
                <w:szCs w:val="20"/>
                <w:lang w:val="es-ES_tradnl"/>
              </w:rPr>
              <w:t>200</w:t>
            </w:r>
            <w:r w:rsidR="00E14F55">
              <w:rPr>
                <w:rFonts w:ascii="Times New Roman" w:hAnsi="Times New Roman"/>
                <w:sz w:val="20"/>
                <w:szCs w:val="20"/>
                <w:lang w:val="es-ES_tradnl"/>
              </w:rPr>
              <w:t>.</w:t>
            </w:r>
            <w:r>
              <w:rPr>
                <w:rFonts w:ascii="Times New Roman" w:hAnsi="Times New Roman"/>
                <w:sz w:val="20"/>
                <w:szCs w:val="20"/>
                <w:lang w:val="es-ES_tradnl"/>
              </w:rPr>
              <w:t>011</w:t>
            </w:r>
          </w:p>
        </w:tc>
        <w:tc>
          <w:tcPr>
            <w:tcW w:w="1980" w:type="dxa"/>
            <w:vAlign w:val="center"/>
          </w:tcPr>
          <w:p w14:paraId="58329EA4" w14:textId="2BC7B747" w:rsidR="009F2D44" w:rsidRPr="004A6604" w:rsidRDefault="009F2D44" w:rsidP="00AD7429">
            <w:pPr>
              <w:spacing w:after="0" w:line="240" w:lineRule="auto"/>
              <w:jc w:val="center"/>
              <w:rPr>
                <w:rFonts w:ascii="Times New Roman" w:hAnsi="Times New Roman"/>
                <w:sz w:val="20"/>
                <w:szCs w:val="20"/>
                <w:lang w:val="es-ES"/>
              </w:rPr>
            </w:pPr>
            <w:r>
              <w:rPr>
                <w:rFonts w:ascii="Times New Roman" w:hAnsi="Times New Roman"/>
                <w:sz w:val="20"/>
                <w:szCs w:val="20"/>
                <w:lang w:val="es-ES"/>
              </w:rPr>
              <w:t>2018</w:t>
            </w:r>
          </w:p>
        </w:tc>
        <w:tc>
          <w:tcPr>
            <w:tcW w:w="1980" w:type="dxa"/>
            <w:vAlign w:val="center"/>
          </w:tcPr>
          <w:p w14:paraId="28FCD524" w14:textId="10B6CB0D" w:rsidR="009F2D44" w:rsidRDefault="009F2D44" w:rsidP="00AD7429">
            <w:pPr>
              <w:spacing w:after="0" w:line="240" w:lineRule="auto"/>
              <w:jc w:val="center"/>
              <w:rPr>
                <w:rFonts w:ascii="Times New Roman" w:hAnsi="Times New Roman"/>
                <w:sz w:val="20"/>
                <w:szCs w:val="20"/>
                <w:lang w:val="es-ES"/>
              </w:rPr>
            </w:pPr>
            <w:proofErr w:type="spellStart"/>
            <w:r>
              <w:rPr>
                <w:rFonts w:ascii="Times New Roman" w:hAnsi="Times New Roman"/>
                <w:sz w:val="20"/>
                <w:szCs w:val="20"/>
                <w:lang w:val="es-ES"/>
              </w:rPr>
              <w:t>Asocajas</w:t>
            </w:r>
            <w:proofErr w:type="spellEnd"/>
          </w:p>
        </w:tc>
      </w:tr>
      <w:tr w:rsidR="00471F9A" w:rsidRPr="008972DC" w14:paraId="538E656D" w14:textId="77777777" w:rsidTr="00B36DB8">
        <w:tc>
          <w:tcPr>
            <w:tcW w:w="1981" w:type="dxa"/>
            <w:vAlign w:val="center"/>
          </w:tcPr>
          <w:p w14:paraId="0E601AA6" w14:textId="14116C3A" w:rsidR="00471F9A" w:rsidRPr="004A6604" w:rsidRDefault="00471F9A" w:rsidP="00AD7429">
            <w:pPr>
              <w:spacing w:after="0" w:line="240" w:lineRule="auto"/>
              <w:rPr>
                <w:rFonts w:ascii="Times New Roman" w:hAnsi="Times New Roman"/>
                <w:b/>
                <w:sz w:val="20"/>
                <w:szCs w:val="20"/>
                <w:lang w:val="es-ES"/>
              </w:rPr>
            </w:pPr>
            <w:r w:rsidRPr="004A6604">
              <w:rPr>
                <w:rFonts w:ascii="Times New Roman" w:eastAsia="Times New Roman" w:hAnsi="Times New Roman"/>
                <w:color w:val="000000"/>
                <w:sz w:val="20"/>
                <w:szCs w:val="20"/>
                <w:lang w:val="es-ES_tradnl" w:eastAsia="es-PE"/>
              </w:rPr>
              <w:t>Tipo de cambio</w:t>
            </w:r>
            <w:r w:rsidR="0025638B" w:rsidRPr="004A6604">
              <w:rPr>
                <w:rFonts w:ascii="Times New Roman" w:eastAsia="Times New Roman" w:hAnsi="Times New Roman"/>
                <w:color w:val="000000"/>
                <w:sz w:val="20"/>
                <w:szCs w:val="20"/>
                <w:lang w:val="es-ES_tradnl" w:eastAsia="es-PE"/>
              </w:rPr>
              <w:t xml:space="preserve"> (</w:t>
            </w:r>
            <w:r w:rsidR="004A6604">
              <w:rPr>
                <w:rFonts w:ascii="Times New Roman" w:eastAsia="Times New Roman" w:hAnsi="Times New Roman"/>
                <w:color w:val="000000"/>
                <w:sz w:val="20"/>
                <w:szCs w:val="20"/>
                <w:lang w:val="es-ES_tradnl" w:eastAsia="es-PE"/>
              </w:rPr>
              <w:t>pesos colombianos</w:t>
            </w:r>
            <w:r w:rsidRPr="004A6604">
              <w:rPr>
                <w:rFonts w:ascii="Times New Roman" w:eastAsia="Times New Roman" w:hAnsi="Times New Roman"/>
                <w:color w:val="000000"/>
                <w:sz w:val="20"/>
                <w:szCs w:val="20"/>
                <w:lang w:val="es-ES_tradnl" w:eastAsia="es-PE"/>
              </w:rPr>
              <w:t>/ por US$)</w:t>
            </w:r>
          </w:p>
        </w:tc>
        <w:tc>
          <w:tcPr>
            <w:tcW w:w="1980" w:type="dxa"/>
            <w:vAlign w:val="center"/>
          </w:tcPr>
          <w:p w14:paraId="17EAF8D2" w14:textId="2CD08154" w:rsidR="00471F9A" w:rsidRPr="004A6604" w:rsidRDefault="004A6604" w:rsidP="00AD7429">
            <w:pPr>
              <w:spacing w:after="0" w:line="240" w:lineRule="auto"/>
              <w:jc w:val="center"/>
              <w:rPr>
                <w:rFonts w:ascii="Times New Roman" w:hAnsi="Times New Roman"/>
                <w:sz w:val="20"/>
                <w:szCs w:val="20"/>
                <w:lang w:val="es-ES"/>
              </w:rPr>
            </w:pPr>
            <w:r>
              <w:rPr>
                <w:rFonts w:ascii="Times New Roman" w:hAnsi="Times New Roman"/>
                <w:sz w:val="20"/>
                <w:szCs w:val="20"/>
                <w:lang w:val="es-ES"/>
              </w:rPr>
              <w:t>3</w:t>
            </w:r>
            <w:r w:rsidR="00E14F55">
              <w:rPr>
                <w:rFonts w:ascii="Times New Roman" w:hAnsi="Times New Roman"/>
                <w:sz w:val="20"/>
                <w:szCs w:val="20"/>
                <w:lang w:val="es-ES"/>
              </w:rPr>
              <w:t>.</w:t>
            </w:r>
            <w:r>
              <w:rPr>
                <w:rFonts w:ascii="Times New Roman" w:hAnsi="Times New Roman"/>
                <w:sz w:val="20"/>
                <w:szCs w:val="20"/>
                <w:lang w:val="es-ES"/>
              </w:rPr>
              <w:t>306</w:t>
            </w:r>
          </w:p>
        </w:tc>
        <w:tc>
          <w:tcPr>
            <w:tcW w:w="1980" w:type="dxa"/>
            <w:vAlign w:val="center"/>
          </w:tcPr>
          <w:p w14:paraId="2C5851B4" w14:textId="0883FADD" w:rsidR="00471F9A" w:rsidRPr="004A6604" w:rsidRDefault="00184F91" w:rsidP="00AD7429">
            <w:pPr>
              <w:spacing w:after="0" w:line="240" w:lineRule="auto"/>
              <w:jc w:val="center"/>
              <w:rPr>
                <w:rFonts w:ascii="Times New Roman" w:hAnsi="Times New Roman"/>
                <w:sz w:val="20"/>
                <w:szCs w:val="20"/>
                <w:lang w:val="es-ES"/>
              </w:rPr>
            </w:pPr>
            <w:r w:rsidRPr="004A6604">
              <w:rPr>
                <w:rFonts w:ascii="Times New Roman" w:hAnsi="Times New Roman"/>
                <w:sz w:val="20"/>
                <w:szCs w:val="20"/>
                <w:lang w:val="es-ES"/>
              </w:rPr>
              <w:t>201</w:t>
            </w:r>
            <w:r w:rsidR="004A6604">
              <w:rPr>
                <w:rFonts w:ascii="Times New Roman" w:hAnsi="Times New Roman"/>
                <w:sz w:val="20"/>
                <w:szCs w:val="20"/>
                <w:lang w:val="es-ES"/>
              </w:rPr>
              <w:t>9</w:t>
            </w:r>
          </w:p>
        </w:tc>
        <w:tc>
          <w:tcPr>
            <w:tcW w:w="1980" w:type="dxa"/>
            <w:vAlign w:val="center"/>
          </w:tcPr>
          <w:p w14:paraId="53432FD2" w14:textId="1D80F2F5" w:rsidR="00471F9A" w:rsidRPr="004A6604" w:rsidRDefault="004A6604" w:rsidP="00AD7429">
            <w:pPr>
              <w:spacing w:after="0" w:line="240" w:lineRule="auto"/>
              <w:jc w:val="center"/>
              <w:rPr>
                <w:rFonts w:ascii="Times New Roman" w:hAnsi="Times New Roman"/>
                <w:sz w:val="20"/>
                <w:szCs w:val="20"/>
                <w:lang w:val="es-ES"/>
              </w:rPr>
            </w:pPr>
            <w:r>
              <w:rPr>
                <w:rFonts w:ascii="Times New Roman" w:hAnsi="Times New Roman"/>
                <w:sz w:val="20"/>
                <w:szCs w:val="20"/>
                <w:lang w:val="es-ES"/>
              </w:rPr>
              <w:t>Ba</w:t>
            </w:r>
            <w:r w:rsidR="00CF5B72">
              <w:rPr>
                <w:rFonts w:ascii="Times New Roman" w:hAnsi="Times New Roman"/>
                <w:sz w:val="20"/>
                <w:szCs w:val="20"/>
                <w:lang w:val="es-ES"/>
              </w:rPr>
              <w:t>nco Mundial</w:t>
            </w:r>
          </w:p>
        </w:tc>
      </w:tr>
      <w:tr w:rsidR="00CF5B72" w:rsidRPr="006C6377" w14:paraId="6D171A09" w14:textId="77777777" w:rsidTr="00B36DB8">
        <w:tc>
          <w:tcPr>
            <w:tcW w:w="1981" w:type="dxa"/>
            <w:vAlign w:val="center"/>
          </w:tcPr>
          <w:p w14:paraId="0EF6C97A" w14:textId="4DE1619B" w:rsidR="00CF5B72" w:rsidRPr="004A6604" w:rsidRDefault="00CF5B72" w:rsidP="00AD7429">
            <w:pPr>
              <w:spacing w:after="0" w:line="240" w:lineRule="auto"/>
              <w:rPr>
                <w:rFonts w:ascii="Times New Roman" w:eastAsia="Times New Roman" w:hAnsi="Times New Roman"/>
                <w:color w:val="000000"/>
                <w:sz w:val="20"/>
                <w:szCs w:val="20"/>
                <w:lang w:val="es-ES_tradnl" w:eastAsia="es-PE"/>
              </w:rPr>
            </w:pPr>
            <w:r>
              <w:rPr>
                <w:rFonts w:ascii="Times New Roman" w:eastAsia="Times New Roman" w:hAnsi="Times New Roman"/>
                <w:color w:val="000000"/>
                <w:sz w:val="20"/>
                <w:szCs w:val="20"/>
                <w:lang w:val="es-ES_tradnl" w:eastAsia="es-PE"/>
              </w:rPr>
              <w:t>Salario mínimo</w:t>
            </w:r>
            <w:r w:rsidR="00DD249F">
              <w:rPr>
                <w:rFonts w:ascii="Times New Roman" w:eastAsia="Times New Roman" w:hAnsi="Times New Roman"/>
                <w:color w:val="000000"/>
                <w:sz w:val="20"/>
                <w:szCs w:val="20"/>
                <w:lang w:val="es-ES_tradnl" w:eastAsia="es-PE"/>
              </w:rPr>
              <w:t xml:space="preserve"> en U$S</w:t>
            </w:r>
          </w:p>
        </w:tc>
        <w:tc>
          <w:tcPr>
            <w:tcW w:w="1980" w:type="dxa"/>
            <w:vAlign w:val="center"/>
          </w:tcPr>
          <w:p w14:paraId="2C9BF8C8" w14:textId="402BFD59" w:rsidR="00CF5B72" w:rsidRDefault="00CF5B72" w:rsidP="00AD7429">
            <w:pPr>
              <w:spacing w:after="0" w:line="240" w:lineRule="auto"/>
              <w:jc w:val="center"/>
              <w:rPr>
                <w:rFonts w:ascii="Times New Roman" w:hAnsi="Times New Roman"/>
                <w:sz w:val="20"/>
                <w:szCs w:val="20"/>
                <w:lang w:val="es-ES"/>
              </w:rPr>
            </w:pPr>
            <w:r>
              <w:rPr>
                <w:rFonts w:ascii="Times New Roman" w:hAnsi="Times New Roman"/>
                <w:sz w:val="20"/>
                <w:szCs w:val="20"/>
                <w:lang w:val="es-ES"/>
              </w:rPr>
              <w:t>251</w:t>
            </w:r>
          </w:p>
        </w:tc>
        <w:tc>
          <w:tcPr>
            <w:tcW w:w="1980" w:type="dxa"/>
            <w:vAlign w:val="center"/>
          </w:tcPr>
          <w:p w14:paraId="76A3D19E" w14:textId="1913F6EB" w:rsidR="00CF5B72" w:rsidRPr="004A6604" w:rsidRDefault="00CF5B72" w:rsidP="00AD7429">
            <w:pPr>
              <w:spacing w:after="0" w:line="240" w:lineRule="auto"/>
              <w:jc w:val="center"/>
              <w:rPr>
                <w:rFonts w:ascii="Times New Roman" w:hAnsi="Times New Roman"/>
                <w:sz w:val="20"/>
                <w:szCs w:val="20"/>
                <w:lang w:val="es-ES"/>
              </w:rPr>
            </w:pPr>
            <w:r>
              <w:rPr>
                <w:rFonts w:ascii="Times New Roman" w:hAnsi="Times New Roman"/>
                <w:sz w:val="20"/>
                <w:szCs w:val="20"/>
                <w:lang w:val="es-ES"/>
              </w:rPr>
              <w:t>2019</w:t>
            </w:r>
          </w:p>
        </w:tc>
        <w:tc>
          <w:tcPr>
            <w:tcW w:w="1980" w:type="dxa"/>
            <w:vAlign w:val="center"/>
          </w:tcPr>
          <w:p w14:paraId="05AD86C0" w14:textId="7F2904C3" w:rsidR="00CF5B72" w:rsidRDefault="00CF5B72" w:rsidP="00AD7429">
            <w:pPr>
              <w:spacing w:after="0" w:line="240" w:lineRule="auto"/>
              <w:jc w:val="center"/>
              <w:rPr>
                <w:rFonts w:ascii="Times New Roman" w:hAnsi="Times New Roman"/>
                <w:sz w:val="20"/>
                <w:szCs w:val="20"/>
                <w:lang w:val="es-ES"/>
              </w:rPr>
            </w:pPr>
            <w:r>
              <w:rPr>
                <w:rFonts w:ascii="Times New Roman" w:hAnsi="Times New Roman"/>
                <w:sz w:val="20"/>
                <w:szCs w:val="20"/>
                <w:lang w:val="es-ES"/>
              </w:rPr>
              <w:t>Presidencia de la República de Colombia</w:t>
            </w:r>
          </w:p>
        </w:tc>
      </w:tr>
    </w:tbl>
    <w:p w14:paraId="0DEEE089" w14:textId="1317EB56" w:rsidR="00E23B83" w:rsidRPr="00E85794" w:rsidRDefault="00E23B83" w:rsidP="00AD7429">
      <w:pPr>
        <w:spacing w:after="0" w:line="360" w:lineRule="auto"/>
        <w:ind w:left="567"/>
        <w:jc w:val="both"/>
        <w:rPr>
          <w:rFonts w:ascii="Times New Roman" w:hAnsi="Times New Roman"/>
          <w:b/>
          <w:sz w:val="24"/>
          <w:szCs w:val="24"/>
          <w:lang w:val="es-ES_tradnl"/>
        </w:rPr>
      </w:pPr>
      <w:r w:rsidRPr="00E85794">
        <w:rPr>
          <w:rFonts w:ascii="Times New Roman" w:hAnsi="Times New Roman"/>
          <w:b/>
          <w:sz w:val="24"/>
          <w:szCs w:val="24"/>
          <w:lang w:val="es-ES_tradnl"/>
        </w:rPr>
        <w:t xml:space="preserve"> </w:t>
      </w:r>
    </w:p>
    <w:p w14:paraId="4230FA0C" w14:textId="6F223F96" w:rsidR="00E23B83" w:rsidRPr="00E23B83" w:rsidRDefault="00E85794" w:rsidP="00015A71">
      <w:pPr>
        <w:spacing w:after="0" w:line="360" w:lineRule="auto"/>
        <w:jc w:val="both"/>
        <w:rPr>
          <w:rFonts w:ascii="Times New Roman" w:hAnsi="Times New Roman"/>
          <w:b/>
          <w:sz w:val="24"/>
          <w:szCs w:val="24"/>
          <w:lang w:val="es-ES"/>
        </w:rPr>
      </w:pPr>
      <w:r>
        <w:rPr>
          <w:rFonts w:ascii="Times New Roman" w:eastAsia="Times New Roman" w:hAnsi="Times New Roman"/>
          <w:sz w:val="24"/>
          <w:szCs w:val="20"/>
          <w:lang w:val="es-ES_tradnl"/>
        </w:rPr>
        <w:t>En la Tabla 2</w:t>
      </w:r>
      <w:r w:rsidR="00E23B83" w:rsidRPr="00E23B83">
        <w:rPr>
          <w:rFonts w:ascii="Times New Roman" w:eastAsia="Times New Roman" w:hAnsi="Times New Roman"/>
          <w:sz w:val="24"/>
          <w:szCs w:val="20"/>
          <w:lang w:val="es-ES_tradnl"/>
        </w:rPr>
        <w:t xml:space="preserve"> se detallan los supuestos que se han considerado para efectuar las </w:t>
      </w:r>
      <w:r w:rsidR="00E23B83" w:rsidRPr="00E23B83">
        <w:rPr>
          <w:rFonts w:ascii="Times New Roman" w:eastAsia="Times New Roman" w:hAnsi="Times New Roman"/>
          <w:sz w:val="24"/>
          <w:szCs w:val="24"/>
          <w:lang w:val="es-ES_tradnl"/>
        </w:rPr>
        <w:t>estimaciones</w:t>
      </w:r>
      <w:r w:rsidR="00E23B83" w:rsidRPr="00E23B83">
        <w:rPr>
          <w:rFonts w:ascii="Times New Roman" w:hAnsi="Times New Roman"/>
          <w:sz w:val="24"/>
          <w:szCs w:val="24"/>
          <w:lang w:val="es-ES_tradnl"/>
        </w:rPr>
        <w:t>.</w:t>
      </w:r>
    </w:p>
    <w:p w14:paraId="314D9C5A" w14:textId="6B63230D" w:rsidR="00E85794" w:rsidRPr="00E85794" w:rsidRDefault="00E85794" w:rsidP="00AD7429">
      <w:pPr>
        <w:pStyle w:val="Caption"/>
        <w:keepNext/>
        <w:rPr>
          <w:rFonts w:ascii="Times New Roman" w:hAnsi="Times New Roman"/>
          <w:b/>
          <w:color w:val="auto"/>
          <w:sz w:val="20"/>
          <w:lang w:val="es-ES_tradnl"/>
        </w:rPr>
      </w:pPr>
      <w:r w:rsidRPr="00E85794">
        <w:rPr>
          <w:rFonts w:ascii="Times New Roman" w:hAnsi="Times New Roman"/>
          <w:b/>
          <w:color w:val="auto"/>
          <w:sz w:val="20"/>
          <w:lang w:val="es-ES_tradnl"/>
        </w:rPr>
        <w:t xml:space="preserve">Tabla </w:t>
      </w:r>
      <w:r w:rsidRPr="00E85794">
        <w:rPr>
          <w:rFonts w:ascii="Times New Roman" w:hAnsi="Times New Roman"/>
          <w:b/>
          <w:color w:val="auto"/>
          <w:sz w:val="20"/>
          <w:lang w:val="es-ES_tradnl"/>
        </w:rPr>
        <w:fldChar w:fldCharType="begin"/>
      </w:r>
      <w:r w:rsidRPr="00E85794">
        <w:rPr>
          <w:rFonts w:ascii="Times New Roman" w:hAnsi="Times New Roman"/>
          <w:b/>
          <w:color w:val="auto"/>
          <w:sz w:val="20"/>
          <w:lang w:val="es-ES_tradnl"/>
        </w:rPr>
        <w:instrText xml:space="preserve"> SEQ Tabla \* ARABIC </w:instrText>
      </w:r>
      <w:r w:rsidRPr="00E85794">
        <w:rPr>
          <w:rFonts w:ascii="Times New Roman" w:hAnsi="Times New Roman"/>
          <w:b/>
          <w:color w:val="auto"/>
          <w:sz w:val="20"/>
          <w:lang w:val="es-ES_tradnl"/>
        </w:rPr>
        <w:fldChar w:fldCharType="separate"/>
      </w:r>
      <w:r w:rsidRPr="00E85794">
        <w:rPr>
          <w:rFonts w:ascii="Times New Roman" w:hAnsi="Times New Roman"/>
          <w:b/>
          <w:noProof/>
          <w:color w:val="auto"/>
          <w:sz w:val="20"/>
          <w:lang w:val="es-ES_tradnl"/>
        </w:rPr>
        <w:t>2</w:t>
      </w:r>
      <w:r w:rsidRPr="00E85794">
        <w:rPr>
          <w:rFonts w:ascii="Times New Roman" w:hAnsi="Times New Roman"/>
          <w:b/>
          <w:color w:val="auto"/>
          <w:sz w:val="20"/>
          <w:lang w:val="es-ES_tradnl"/>
        </w:rPr>
        <w:fldChar w:fldCharType="end"/>
      </w:r>
      <w:r w:rsidRPr="00E85794">
        <w:rPr>
          <w:rFonts w:ascii="Times New Roman" w:hAnsi="Times New Roman"/>
          <w:b/>
          <w:color w:val="auto"/>
          <w:sz w:val="20"/>
          <w:lang w:val="es-ES_tradnl"/>
        </w:rPr>
        <w:t>: Supuestos usados para las estimaciones</w:t>
      </w:r>
    </w:p>
    <w:tbl>
      <w:tblPr>
        <w:tblStyle w:val="TableGrid"/>
        <w:tblW w:w="0" w:type="auto"/>
        <w:tblInd w:w="567" w:type="dxa"/>
        <w:tblLook w:val="04A0" w:firstRow="1" w:lastRow="0" w:firstColumn="1" w:lastColumn="0" w:noHBand="0" w:noVBand="1"/>
      </w:tblPr>
      <w:tblGrid>
        <w:gridCol w:w="3960"/>
        <w:gridCol w:w="3961"/>
      </w:tblGrid>
      <w:tr w:rsidR="00E23B83" w:rsidRPr="008972DC" w14:paraId="3DE80789" w14:textId="77777777" w:rsidTr="000A1C2E">
        <w:trPr>
          <w:trHeight w:val="278"/>
        </w:trPr>
        <w:tc>
          <w:tcPr>
            <w:tcW w:w="3960" w:type="dxa"/>
            <w:shd w:val="clear" w:color="auto" w:fill="F4B083" w:themeFill="accent2" w:themeFillTint="99"/>
            <w:vAlign w:val="center"/>
          </w:tcPr>
          <w:p w14:paraId="2A0FA5E9" w14:textId="1D85C5AF" w:rsidR="00E23B83" w:rsidRPr="008972DC" w:rsidRDefault="00E23B83" w:rsidP="00AD7429">
            <w:pPr>
              <w:spacing w:after="0" w:line="240" w:lineRule="auto"/>
              <w:jc w:val="center"/>
              <w:rPr>
                <w:rFonts w:ascii="Times New Roman" w:hAnsi="Times New Roman"/>
                <w:b/>
                <w:sz w:val="20"/>
                <w:szCs w:val="20"/>
                <w:lang w:val="es-ES"/>
              </w:rPr>
            </w:pPr>
            <w:r w:rsidRPr="008972DC">
              <w:rPr>
                <w:rFonts w:ascii="Times New Roman" w:hAnsi="Times New Roman"/>
                <w:b/>
                <w:sz w:val="20"/>
                <w:szCs w:val="20"/>
                <w:lang w:val="es-ES"/>
              </w:rPr>
              <w:t>Variable</w:t>
            </w:r>
          </w:p>
        </w:tc>
        <w:tc>
          <w:tcPr>
            <w:tcW w:w="3961" w:type="dxa"/>
            <w:shd w:val="clear" w:color="auto" w:fill="F4B083" w:themeFill="accent2" w:themeFillTint="99"/>
            <w:vAlign w:val="center"/>
          </w:tcPr>
          <w:p w14:paraId="355CA30D" w14:textId="2FFD829F" w:rsidR="00E23B83" w:rsidRPr="008972DC" w:rsidRDefault="00E23B83" w:rsidP="00AD7429">
            <w:pPr>
              <w:spacing w:after="0" w:line="240" w:lineRule="auto"/>
              <w:jc w:val="center"/>
              <w:rPr>
                <w:rFonts w:ascii="Times New Roman" w:hAnsi="Times New Roman"/>
                <w:b/>
                <w:sz w:val="20"/>
                <w:szCs w:val="20"/>
                <w:lang w:val="es-ES"/>
              </w:rPr>
            </w:pPr>
            <w:r w:rsidRPr="008972DC">
              <w:rPr>
                <w:rFonts w:ascii="Times New Roman" w:hAnsi="Times New Roman"/>
                <w:b/>
                <w:sz w:val="20"/>
                <w:szCs w:val="20"/>
                <w:lang w:val="es-ES"/>
              </w:rPr>
              <w:t>Valor</w:t>
            </w:r>
          </w:p>
        </w:tc>
      </w:tr>
      <w:tr w:rsidR="008972DC" w:rsidRPr="008972DC" w14:paraId="4CE31D5C" w14:textId="77777777" w:rsidTr="000A1C2E">
        <w:tc>
          <w:tcPr>
            <w:tcW w:w="3960" w:type="dxa"/>
            <w:vAlign w:val="center"/>
          </w:tcPr>
          <w:p w14:paraId="6A014724" w14:textId="3FEA3148" w:rsidR="008972DC" w:rsidRPr="004A6604" w:rsidRDefault="008972DC" w:rsidP="00AD7429">
            <w:pPr>
              <w:spacing w:after="0" w:line="240" w:lineRule="auto"/>
              <w:rPr>
                <w:rFonts w:ascii="Times New Roman" w:eastAsia="Times New Roman" w:hAnsi="Times New Roman"/>
                <w:color w:val="000000"/>
                <w:sz w:val="20"/>
                <w:szCs w:val="20"/>
                <w:lang w:val="es-ES_tradnl" w:eastAsia="es-PE"/>
              </w:rPr>
            </w:pPr>
            <w:r w:rsidRPr="004A6604">
              <w:rPr>
                <w:rFonts w:ascii="Times New Roman" w:eastAsia="Times New Roman" w:hAnsi="Times New Roman"/>
                <w:color w:val="000000"/>
                <w:sz w:val="20"/>
                <w:szCs w:val="20"/>
                <w:lang w:val="es-ES_tradnl" w:eastAsia="es-PE"/>
              </w:rPr>
              <w:t>Tipo de Cambio</w:t>
            </w:r>
          </w:p>
        </w:tc>
        <w:tc>
          <w:tcPr>
            <w:tcW w:w="3961" w:type="dxa"/>
            <w:vAlign w:val="center"/>
          </w:tcPr>
          <w:p w14:paraId="4E131395" w14:textId="275F5870" w:rsidR="008972DC" w:rsidRPr="004A6604" w:rsidRDefault="00BB6BF7" w:rsidP="00AD7429">
            <w:pPr>
              <w:spacing w:after="0" w:line="240" w:lineRule="auto"/>
              <w:jc w:val="center"/>
              <w:rPr>
                <w:rFonts w:ascii="Times New Roman" w:hAnsi="Times New Roman"/>
                <w:sz w:val="20"/>
                <w:szCs w:val="20"/>
                <w:lang w:val="es-ES"/>
              </w:rPr>
            </w:pPr>
            <w:r>
              <w:rPr>
                <w:rFonts w:ascii="Times New Roman" w:hAnsi="Times New Roman"/>
                <w:sz w:val="20"/>
                <w:szCs w:val="20"/>
                <w:lang w:val="es-ES"/>
              </w:rPr>
              <w:t>3.306</w:t>
            </w:r>
            <w:r w:rsidR="00757C73" w:rsidRPr="004A6604">
              <w:rPr>
                <w:rFonts w:ascii="Times New Roman" w:hAnsi="Times New Roman"/>
                <w:sz w:val="20"/>
                <w:szCs w:val="20"/>
                <w:lang w:val="es-ES"/>
              </w:rPr>
              <w:t xml:space="preserve"> de 201</w:t>
            </w:r>
            <w:r>
              <w:rPr>
                <w:rFonts w:ascii="Times New Roman" w:hAnsi="Times New Roman"/>
                <w:sz w:val="20"/>
                <w:szCs w:val="20"/>
                <w:lang w:val="es-ES"/>
              </w:rPr>
              <w:t>9</w:t>
            </w:r>
            <w:r w:rsidR="00757C73" w:rsidRPr="004A6604">
              <w:rPr>
                <w:rFonts w:ascii="Times New Roman" w:hAnsi="Times New Roman"/>
                <w:sz w:val="20"/>
                <w:szCs w:val="20"/>
                <w:lang w:val="es-ES"/>
              </w:rPr>
              <w:t xml:space="preserve"> en adelante</w:t>
            </w:r>
          </w:p>
        </w:tc>
      </w:tr>
      <w:tr w:rsidR="008972DC" w:rsidRPr="008972DC" w14:paraId="416B0A4B" w14:textId="77777777" w:rsidTr="000A1C2E">
        <w:tc>
          <w:tcPr>
            <w:tcW w:w="3960" w:type="dxa"/>
            <w:vAlign w:val="center"/>
          </w:tcPr>
          <w:p w14:paraId="54653D3E" w14:textId="63C593D1" w:rsidR="008972DC" w:rsidRPr="00757C73" w:rsidRDefault="008972DC" w:rsidP="00AD7429">
            <w:pPr>
              <w:spacing w:after="0" w:line="240" w:lineRule="auto"/>
              <w:rPr>
                <w:rFonts w:ascii="Times New Roman" w:eastAsia="Times New Roman" w:hAnsi="Times New Roman"/>
                <w:color w:val="000000"/>
                <w:sz w:val="20"/>
                <w:szCs w:val="20"/>
                <w:lang w:val="es-ES_tradnl" w:eastAsia="es-PE"/>
              </w:rPr>
            </w:pPr>
            <w:r w:rsidRPr="00757C73">
              <w:rPr>
                <w:rFonts w:ascii="Times New Roman" w:eastAsia="Times New Roman" w:hAnsi="Times New Roman"/>
                <w:color w:val="000000"/>
                <w:sz w:val="20"/>
                <w:szCs w:val="20"/>
                <w:lang w:val="es-ES_tradnl" w:eastAsia="es-PE"/>
              </w:rPr>
              <w:t>Tasa de descuento</w:t>
            </w:r>
          </w:p>
        </w:tc>
        <w:tc>
          <w:tcPr>
            <w:tcW w:w="3961" w:type="dxa"/>
            <w:vAlign w:val="center"/>
          </w:tcPr>
          <w:p w14:paraId="4AEB56BA" w14:textId="4BE728BC" w:rsidR="008972DC" w:rsidRPr="00757C73" w:rsidRDefault="00757C73" w:rsidP="00AD7429">
            <w:pPr>
              <w:spacing w:after="0" w:line="240" w:lineRule="auto"/>
              <w:jc w:val="center"/>
              <w:rPr>
                <w:rFonts w:ascii="Times New Roman" w:hAnsi="Times New Roman"/>
                <w:sz w:val="20"/>
                <w:szCs w:val="20"/>
                <w:lang w:val="es-ES"/>
              </w:rPr>
            </w:pPr>
            <w:r>
              <w:rPr>
                <w:rFonts w:ascii="Times New Roman" w:hAnsi="Times New Roman"/>
                <w:sz w:val="20"/>
                <w:szCs w:val="20"/>
                <w:lang w:val="es-ES"/>
              </w:rPr>
              <w:t>12%</w:t>
            </w:r>
          </w:p>
        </w:tc>
      </w:tr>
    </w:tbl>
    <w:p w14:paraId="5FCF29F7" w14:textId="77777777" w:rsidR="00E23B83" w:rsidRPr="00E23B83" w:rsidRDefault="00E23B83" w:rsidP="00AD7429">
      <w:pPr>
        <w:spacing w:after="0" w:line="360" w:lineRule="auto"/>
        <w:ind w:left="567"/>
        <w:jc w:val="both"/>
        <w:rPr>
          <w:rFonts w:ascii="Times New Roman" w:hAnsi="Times New Roman"/>
          <w:b/>
          <w:sz w:val="24"/>
          <w:szCs w:val="24"/>
          <w:lang w:val="es-ES"/>
        </w:rPr>
      </w:pPr>
    </w:p>
    <w:p w14:paraId="3ED48C29" w14:textId="55FE3108" w:rsidR="00E8385E" w:rsidRPr="00E8385E" w:rsidRDefault="000C485E" w:rsidP="00015A71">
      <w:pPr>
        <w:spacing w:after="0" w:line="360" w:lineRule="auto"/>
        <w:jc w:val="both"/>
        <w:rPr>
          <w:rFonts w:ascii="Times New Roman" w:eastAsia="Times New Roman" w:hAnsi="Times New Roman"/>
          <w:sz w:val="24"/>
          <w:szCs w:val="20"/>
          <w:lang w:val="es-ES_tradnl"/>
        </w:rPr>
      </w:pPr>
      <w:r w:rsidRPr="00702210">
        <w:rPr>
          <w:rFonts w:ascii="Times New Roman" w:eastAsia="Times New Roman" w:hAnsi="Times New Roman"/>
          <w:sz w:val="24"/>
          <w:szCs w:val="20"/>
          <w:lang w:val="es-ES"/>
        </w:rPr>
        <w:t>S</w:t>
      </w:r>
      <w:r w:rsidR="00E8385E" w:rsidRPr="00702210">
        <w:rPr>
          <w:rFonts w:ascii="Times New Roman" w:eastAsia="Times New Roman" w:hAnsi="Times New Roman"/>
          <w:sz w:val="24"/>
          <w:szCs w:val="20"/>
          <w:lang w:val="es-ES_tradnl"/>
        </w:rPr>
        <w:t>e supuso que el tipo de cambio nominal se mantiene constante en el valor actual (</w:t>
      </w:r>
      <w:r w:rsidR="00702210" w:rsidRPr="00702210">
        <w:rPr>
          <w:rFonts w:ascii="Times New Roman" w:eastAsia="Times New Roman" w:hAnsi="Times New Roman"/>
          <w:sz w:val="24"/>
          <w:szCs w:val="20"/>
          <w:lang w:val="es-ES_tradnl"/>
        </w:rPr>
        <w:t>3</w:t>
      </w:r>
      <w:r w:rsidR="004650E4">
        <w:rPr>
          <w:rFonts w:ascii="Times New Roman" w:eastAsia="Times New Roman" w:hAnsi="Times New Roman"/>
          <w:sz w:val="24"/>
          <w:szCs w:val="20"/>
          <w:lang w:val="es-ES_tradnl"/>
        </w:rPr>
        <w:t>.</w:t>
      </w:r>
      <w:r w:rsidR="00702210" w:rsidRPr="00702210">
        <w:rPr>
          <w:rFonts w:ascii="Times New Roman" w:eastAsia="Times New Roman" w:hAnsi="Times New Roman"/>
          <w:sz w:val="24"/>
          <w:szCs w:val="20"/>
          <w:lang w:val="es-ES_tradnl"/>
        </w:rPr>
        <w:t>306</w:t>
      </w:r>
      <w:r w:rsidR="00E8385E" w:rsidRPr="00702210">
        <w:rPr>
          <w:rFonts w:ascii="Times New Roman" w:eastAsia="Times New Roman" w:hAnsi="Times New Roman"/>
          <w:sz w:val="24"/>
          <w:szCs w:val="20"/>
          <w:lang w:val="es-ES_tradnl"/>
        </w:rPr>
        <w:t xml:space="preserve"> </w:t>
      </w:r>
      <w:r w:rsidR="00702210" w:rsidRPr="00702210">
        <w:rPr>
          <w:rFonts w:ascii="Times New Roman" w:eastAsia="Times New Roman" w:hAnsi="Times New Roman"/>
          <w:sz w:val="24"/>
          <w:szCs w:val="20"/>
          <w:lang w:val="es-ES_tradnl"/>
        </w:rPr>
        <w:t>pesos colombianos</w:t>
      </w:r>
      <w:r w:rsidR="00E8385E" w:rsidRPr="00702210">
        <w:rPr>
          <w:rFonts w:ascii="Times New Roman" w:eastAsia="Times New Roman" w:hAnsi="Times New Roman"/>
          <w:sz w:val="24"/>
          <w:szCs w:val="20"/>
          <w:lang w:val="es-ES_tradnl"/>
        </w:rPr>
        <w:t xml:space="preserve"> por dólar). Finalmente</w:t>
      </w:r>
      <w:r w:rsidR="00E8385E" w:rsidRPr="00E8385E">
        <w:rPr>
          <w:rFonts w:ascii="Times New Roman" w:eastAsia="Times New Roman" w:hAnsi="Times New Roman"/>
          <w:sz w:val="24"/>
          <w:szCs w:val="20"/>
          <w:lang w:val="es-ES_tradnl"/>
        </w:rPr>
        <w:t>, la tasa de descuento que se utiliza para calcular los valores presentes es de 12%, que es la tasa empleada por el Banco.</w:t>
      </w:r>
    </w:p>
    <w:p w14:paraId="66C2BE8D" w14:textId="78FF0017" w:rsidR="00EC433C" w:rsidRPr="000C485E" w:rsidRDefault="00716988" w:rsidP="00C703FE">
      <w:pPr>
        <w:spacing w:after="0" w:line="360" w:lineRule="auto"/>
        <w:ind w:firstLine="357"/>
        <w:jc w:val="both"/>
        <w:rPr>
          <w:rFonts w:ascii="Times New Roman" w:hAnsi="Times New Roman"/>
          <w:b/>
          <w:sz w:val="24"/>
          <w:szCs w:val="24"/>
          <w:lang w:val="es-ES"/>
        </w:rPr>
      </w:pPr>
      <w:r w:rsidRPr="00F113A8">
        <w:rPr>
          <w:rFonts w:ascii="Times New Roman" w:hAnsi="Times New Roman"/>
          <w:b/>
          <w:sz w:val="28"/>
          <w:szCs w:val="28"/>
          <w:lang w:val="es-ES"/>
        </w:rPr>
        <w:t>Estimaciones</w:t>
      </w:r>
    </w:p>
    <w:p w14:paraId="0F4E8FF6" w14:textId="64B66322" w:rsidR="00C703FE" w:rsidRDefault="000C485E" w:rsidP="00015A71">
      <w:pPr>
        <w:pStyle w:val="Paragraph"/>
        <w:numPr>
          <w:ilvl w:val="0"/>
          <w:numId w:val="0"/>
        </w:numPr>
        <w:spacing w:before="0" w:after="0" w:line="360" w:lineRule="auto"/>
        <w:rPr>
          <w:rFonts w:eastAsia="Calibri"/>
          <w:szCs w:val="24"/>
        </w:rPr>
      </w:pPr>
      <w:r>
        <w:rPr>
          <w:szCs w:val="24"/>
        </w:rPr>
        <w:t>E</w:t>
      </w:r>
      <w:r w:rsidRPr="000C485E">
        <w:rPr>
          <w:szCs w:val="24"/>
        </w:rPr>
        <w:t>n esta sección</w:t>
      </w:r>
      <w:r>
        <w:rPr>
          <w:szCs w:val="24"/>
        </w:rPr>
        <w:t xml:space="preserve"> se presentan las estimaciones de costos y beneficios para </w:t>
      </w:r>
      <w:r w:rsidR="008B4EBD">
        <w:rPr>
          <w:szCs w:val="24"/>
        </w:rPr>
        <w:t>el</w:t>
      </w:r>
      <w:r>
        <w:rPr>
          <w:szCs w:val="24"/>
        </w:rPr>
        <w:t xml:space="preserve"> programa. </w:t>
      </w:r>
      <w:r w:rsidRPr="00E8385E">
        <w:rPr>
          <w:szCs w:val="24"/>
          <w:lang w:val="es-PE"/>
        </w:rPr>
        <w:t xml:space="preserve">Se prevé que el </w:t>
      </w:r>
      <w:r w:rsidR="001D11C5" w:rsidRPr="003763AC">
        <w:rPr>
          <w:szCs w:val="24"/>
          <w:lang w:val="es-PE"/>
        </w:rPr>
        <w:t>programa</w:t>
      </w:r>
      <w:r w:rsidRPr="003763AC">
        <w:rPr>
          <w:szCs w:val="24"/>
          <w:lang w:val="es-PE"/>
        </w:rPr>
        <w:t xml:space="preserve"> empieza en 20</w:t>
      </w:r>
      <w:r w:rsidR="001D11C5" w:rsidRPr="003763AC">
        <w:rPr>
          <w:szCs w:val="24"/>
          <w:lang w:val="es-PE"/>
        </w:rPr>
        <w:t>20</w:t>
      </w:r>
      <w:r w:rsidRPr="003763AC">
        <w:rPr>
          <w:szCs w:val="24"/>
          <w:lang w:val="es-PE"/>
        </w:rPr>
        <w:t xml:space="preserve"> (año 1), y se considera un horizonte de </w:t>
      </w:r>
      <w:r w:rsidR="003763AC" w:rsidRPr="003763AC">
        <w:rPr>
          <w:szCs w:val="24"/>
          <w:lang w:val="es-PE"/>
        </w:rPr>
        <w:t>10</w:t>
      </w:r>
      <w:r w:rsidRPr="003763AC">
        <w:rPr>
          <w:szCs w:val="24"/>
          <w:lang w:val="es-PE"/>
        </w:rPr>
        <w:t xml:space="preserve"> años (hasta 20</w:t>
      </w:r>
      <w:r w:rsidR="00C51EF2">
        <w:rPr>
          <w:szCs w:val="24"/>
          <w:lang w:val="es-PE"/>
        </w:rPr>
        <w:t>29</w:t>
      </w:r>
      <w:r w:rsidRPr="003763AC">
        <w:rPr>
          <w:szCs w:val="24"/>
          <w:lang w:val="es-PE"/>
        </w:rPr>
        <w:t xml:space="preserve">).  </w:t>
      </w:r>
      <w:r w:rsidRPr="000C485E">
        <w:rPr>
          <w:szCs w:val="24"/>
          <w:lang w:val="es-PE"/>
        </w:rPr>
        <w:t>La inversión se realiza durante los primeros cinco años (20</w:t>
      </w:r>
      <w:r w:rsidR="001D11C5">
        <w:rPr>
          <w:szCs w:val="24"/>
          <w:lang w:val="es-PE"/>
        </w:rPr>
        <w:t>20</w:t>
      </w:r>
      <w:r w:rsidRPr="000C485E">
        <w:rPr>
          <w:szCs w:val="24"/>
          <w:lang w:val="es-PE"/>
        </w:rPr>
        <w:t>-202</w:t>
      </w:r>
      <w:r w:rsidR="001D11C5">
        <w:rPr>
          <w:szCs w:val="24"/>
          <w:lang w:val="es-PE"/>
        </w:rPr>
        <w:t>4</w:t>
      </w:r>
      <w:r w:rsidRPr="000C485E">
        <w:rPr>
          <w:szCs w:val="24"/>
          <w:lang w:val="es-PE"/>
        </w:rPr>
        <w:t>) según el cronograma definido en el Plan Financiero del Proye</w:t>
      </w:r>
      <w:r w:rsidRPr="004650E4">
        <w:rPr>
          <w:szCs w:val="24"/>
          <w:lang w:val="es-PE"/>
        </w:rPr>
        <w:t>cto.</w:t>
      </w:r>
      <w:r w:rsidR="00445DA8">
        <w:rPr>
          <w:szCs w:val="24"/>
          <w:lang w:val="es-PE"/>
        </w:rPr>
        <w:t xml:space="preserve"> Luego, se consideran solo los costos de manutencion del proyecto durante el periodo 2025-2029.</w:t>
      </w:r>
      <w:r w:rsidRPr="004650E4">
        <w:rPr>
          <w:szCs w:val="24"/>
          <w:lang w:val="es-PE"/>
        </w:rPr>
        <w:t xml:space="preserve"> Se supone además que los beneficios del </w:t>
      </w:r>
      <w:r w:rsidR="001D11C5" w:rsidRPr="004650E4">
        <w:rPr>
          <w:szCs w:val="24"/>
          <w:lang w:val="es-PE"/>
        </w:rPr>
        <w:t>programa</w:t>
      </w:r>
      <w:r w:rsidRPr="004650E4">
        <w:rPr>
          <w:szCs w:val="24"/>
          <w:lang w:val="es-PE"/>
        </w:rPr>
        <w:t xml:space="preserve"> empiezan a materializarse desde el </w:t>
      </w:r>
      <w:r w:rsidR="00CB76D7" w:rsidRPr="004650E4">
        <w:rPr>
          <w:szCs w:val="24"/>
          <w:lang w:val="es-PE"/>
        </w:rPr>
        <w:t>sexto</w:t>
      </w:r>
      <w:r w:rsidRPr="004650E4">
        <w:rPr>
          <w:szCs w:val="24"/>
          <w:lang w:val="es-PE"/>
        </w:rPr>
        <w:t xml:space="preserve"> año de </w:t>
      </w:r>
      <w:r w:rsidR="00C51EF2" w:rsidRPr="004650E4">
        <w:rPr>
          <w:szCs w:val="24"/>
          <w:lang w:val="es-PE"/>
        </w:rPr>
        <w:t>implementado este y se perciben durante cinco años</w:t>
      </w:r>
      <w:r w:rsidRPr="004650E4">
        <w:rPr>
          <w:szCs w:val="24"/>
          <w:lang w:val="es-PE"/>
        </w:rPr>
        <w:t>.</w:t>
      </w:r>
    </w:p>
    <w:p w14:paraId="2F907621" w14:textId="0AD5DDE8" w:rsidR="00EC433C" w:rsidRPr="00C703FE" w:rsidRDefault="00EC433C" w:rsidP="00C703FE">
      <w:pPr>
        <w:pStyle w:val="subpar"/>
        <w:numPr>
          <w:ilvl w:val="0"/>
          <w:numId w:val="0"/>
        </w:numPr>
        <w:spacing w:before="0" w:after="0" w:line="360" w:lineRule="auto"/>
        <w:ind w:firstLine="357"/>
        <w:rPr>
          <w:rFonts w:eastAsia="Calibri"/>
          <w:szCs w:val="24"/>
          <w:lang w:val="es-ES"/>
        </w:rPr>
      </w:pPr>
      <w:r w:rsidRPr="00EC433C">
        <w:rPr>
          <w:rFonts w:eastAsia="Calibri"/>
          <w:b/>
          <w:szCs w:val="24"/>
          <w:u w:val="single"/>
        </w:rPr>
        <w:t xml:space="preserve">Beneficios esperados </w:t>
      </w:r>
    </w:p>
    <w:p w14:paraId="0A1340BB" w14:textId="53ECE015" w:rsidR="004E3859" w:rsidRPr="00AD066B" w:rsidRDefault="004E3859" w:rsidP="00015A71">
      <w:pPr>
        <w:spacing w:after="0" w:line="360" w:lineRule="auto"/>
        <w:jc w:val="both"/>
        <w:rPr>
          <w:rFonts w:ascii="Times New Roman" w:hAnsi="Times New Roman"/>
          <w:kern w:val="28"/>
          <w:sz w:val="24"/>
          <w:szCs w:val="24"/>
          <w:lang w:val="es-ES_tradnl"/>
        </w:rPr>
      </w:pPr>
      <w:r w:rsidRPr="00AD066B">
        <w:rPr>
          <w:rFonts w:ascii="Times New Roman" w:hAnsi="Times New Roman"/>
          <w:kern w:val="28"/>
          <w:sz w:val="24"/>
          <w:szCs w:val="24"/>
          <w:lang w:val="es-ES_tradnl"/>
        </w:rPr>
        <w:t xml:space="preserve">Como es tradicional en la literatura que evalúa las </w:t>
      </w:r>
      <w:r w:rsidR="008B4EBD" w:rsidRPr="00AD066B">
        <w:rPr>
          <w:rFonts w:ascii="Times New Roman" w:hAnsi="Times New Roman"/>
          <w:kern w:val="28"/>
          <w:sz w:val="24"/>
          <w:szCs w:val="24"/>
          <w:lang w:val="es-ES_tradnl"/>
        </w:rPr>
        <w:t>Políticas Activas de Mercado Laboral (</w:t>
      </w:r>
      <w:r w:rsidRPr="00AD066B">
        <w:rPr>
          <w:rFonts w:ascii="Times New Roman" w:hAnsi="Times New Roman"/>
          <w:kern w:val="28"/>
          <w:sz w:val="24"/>
          <w:szCs w:val="24"/>
          <w:lang w:val="es-ES_tradnl"/>
        </w:rPr>
        <w:t>PAML</w:t>
      </w:r>
      <w:r w:rsidR="008B4EBD" w:rsidRPr="00AD066B">
        <w:rPr>
          <w:rFonts w:ascii="Times New Roman" w:hAnsi="Times New Roman"/>
          <w:kern w:val="28"/>
          <w:sz w:val="24"/>
          <w:szCs w:val="24"/>
          <w:lang w:val="es-ES_tradnl"/>
        </w:rPr>
        <w:t>)</w:t>
      </w:r>
      <w:r w:rsidRPr="00AD066B">
        <w:rPr>
          <w:rFonts w:ascii="Times New Roman" w:hAnsi="Times New Roman"/>
          <w:kern w:val="28"/>
          <w:sz w:val="24"/>
          <w:szCs w:val="24"/>
          <w:lang w:val="es-ES_tradnl"/>
        </w:rPr>
        <w:t>, el principal beneficio a considerar es el valor monetario del incremento en el producto generado por la mayor y mejor inserción laboral de los beneficiarios.</w:t>
      </w:r>
      <w:r w:rsidR="007A1DA5">
        <w:rPr>
          <w:rStyle w:val="FootnoteReference"/>
          <w:rFonts w:ascii="Times New Roman" w:hAnsi="Times New Roman"/>
          <w:kern w:val="28"/>
          <w:sz w:val="24"/>
          <w:szCs w:val="24"/>
          <w:lang w:val="es-ES_tradnl"/>
        </w:rPr>
        <w:footnoteReference w:id="1"/>
      </w:r>
      <w:r w:rsidRPr="00AD066B">
        <w:rPr>
          <w:rFonts w:ascii="Times New Roman" w:hAnsi="Times New Roman"/>
          <w:kern w:val="28"/>
          <w:sz w:val="24"/>
          <w:szCs w:val="24"/>
          <w:lang w:val="es-ES_tradnl"/>
        </w:rPr>
        <w:t xml:space="preserve"> En el margen extensivo, las PAML pueden tener impactos positivos por el incremento en el empleo y, en particular, el empleo formal: gracias al mayor acercamiento a las empresas y la mejor identificación de sus necesidades</w:t>
      </w:r>
      <w:r w:rsidR="008B4EBD" w:rsidRPr="00AD066B">
        <w:rPr>
          <w:rFonts w:ascii="Times New Roman" w:hAnsi="Times New Roman"/>
          <w:kern w:val="28"/>
          <w:sz w:val="24"/>
          <w:szCs w:val="24"/>
          <w:lang w:val="es-ES_tradnl"/>
        </w:rPr>
        <w:t>. L</w:t>
      </w:r>
      <w:r w:rsidRPr="00AD066B">
        <w:rPr>
          <w:rFonts w:ascii="Times New Roman" w:hAnsi="Times New Roman"/>
          <w:kern w:val="28"/>
          <w:sz w:val="24"/>
          <w:szCs w:val="24"/>
          <w:lang w:val="es-ES_tradnl"/>
        </w:rPr>
        <w:t>os mecanismos de intermediación y de capacitación puede ser moldeados de manera más efectiva logrando mayor cantidad de vinculaciones laborales, reduciendo los tiempos de búsqueda en el desempleo e incrementando las duraciones de las contrataciones formales.</w:t>
      </w:r>
      <w:r w:rsidR="008B4EBD" w:rsidRPr="00AD066B">
        <w:rPr>
          <w:rFonts w:ascii="Times New Roman" w:hAnsi="Times New Roman"/>
          <w:kern w:val="28"/>
          <w:sz w:val="24"/>
          <w:szCs w:val="24"/>
          <w:lang w:val="es-ES_tradnl"/>
        </w:rPr>
        <w:t xml:space="preserve"> </w:t>
      </w:r>
      <w:r w:rsidRPr="00AD066B">
        <w:rPr>
          <w:rFonts w:ascii="Times New Roman" w:hAnsi="Times New Roman"/>
          <w:kern w:val="28"/>
          <w:sz w:val="24"/>
          <w:szCs w:val="24"/>
          <w:lang w:val="es-ES_tradnl"/>
        </w:rPr>
        <w:t xml:space="preserve">De este modo, se verían mejoras en la incidencia del empleo y la formalidad, reducciones de incidencia en desempleo e incrementos en la duración del empleo formal. Por otra parte, gracias a un mejor </w:t>
      </w:r>
      <w:proofErr w:type="spellStart"/>
      <w:r w:rsidRPr="00AD066B">
        <w:rPr>
          <w:rFonts w:ascii="Times New Roman" w:hAnsi="Times New Roman"/>
          <w:kern w:val="28"/>
          <w:sz w:val="24"/>
          <w:szCs w:val="24"/>
          <w:lang w:val="es-ES_tradnl"/>
        </w:rPr>
        <w:t>matching</w:t>
      </w:r>
      <w:proofErr w:type="spellEnd"/>
      <w:r w:rsidRPr="00AD066B">
        <w:rPr>
          <w:rFonts w:ascii="Times New Roman" w:hAnsi="Times New Roman"/>
          <w:kern w:val="28"/>
          <w:sz w:val="24"/>
          <w:szCs w:val="24"/>
          <w:lang w:val="es-ES_tradnl"/>
        </w:rPr>
        <w:t xml:space="preserve"> y/o aumentos en el capital humano a través de la capacitación, las PAML pueden traer incrementos en la productividad laboral de trabajadores que son insertados al mercado o reasignados a empleos de mejor </w:t>
      </w:r>
      <w:r w:rsidRPr="00862436">
        <w:rPr>
          <w:rFonts w:ascii="Times New Roman" w:hAnsi="Times New Roman"/>
          <w:kern w:val="28"/>
          <w:sz w:val="24"/>
          <w:szCs w:val="24"/>
          <w:lang w:val="es-ES_tradnl"/>
        </w:rPr>
        <w:t>calidad</w:t>
      </w:r>
      <w:r w:rsidR="007A1DA5" w:rsidRPr="00862436">
        <w:rPr>
          <w:rFonts w:ascii="Times New Roman" w:hAnsi="Times New Roman"/>
          <w:kern w:val="28"/>
          <w:sz w:val="24"/>
          <w:szCs w:val="24"/>
          <w:lang w:val="es-ES_tradnl"/>
        </w:rPr>
        <w:t>.</w:t>
      </w:r>
      <w:r w:rsidRPr="00862436">
        <w:rPr>
          <w:rFonts w:ascii="Times New Roman" w:hAnsi="Times New Roman"/>
          <w:kern w:val="28"/>
          <w:sz w:val="24"/>
          <w:szCs w:val="24"/>
          <w:lang w:val="es-ES_tradnl"/>
        </w:rPr>
        <w:t xml:space="preserve"> </w:t>
      </w:r>
      <w:r w:rsidR="007A1DA5" w:rsidRPr="00862436">
        <w:rPr>
          <w:rFonts w:ascii="Times New Roman" w:hAnsi="Times New Roman"/>
          <w:kern w:val="28"/>
          <w:sz w:val="24"/>
          <w:szCs w:val="24"/>
          <w:lang w:val="es-ES_tradnl"/>
        </w:rPr>
        <w:t>En este caso particular</w:t>
      </w:r>
      <w:r w:rsidR="00862436">
        <w:rPr>
          <w:rFonts w:ascii="Times New Roman" w:hAnsi="Times New Roman"/>
          <w:kern w:val="28"/>
          <w:sz w:val="24"/>
          <w:szCs w:val="24"/>
          <w:lang w:val="es-ES_tradnl"/>
        </w:rPr>
        <w:t>,</w:t>
      </w:r>
      <w:r w:rsidR="007A1DA5" w:rsidRPr="00862436">
        <w:rPr>
          <w:rFonts w:ascii="Times New Roman" w:hAnsi="Times New Roman"/>
          <w:kern w:val="28"/>
          <w:sz w:val="24"/>
          <w:szCs w:val="24"/>
          <w:lang w:val="es-ES_tradnl"/>
        </w:rPr>
        <w:t xml:space="preserve"> solo se tendrá en cuenta el margen extensivo (personas desempleadas que consiguen trabajo gracias al programa) y no el intensivo (aquellas personas que estaban empleadas y consiguen un mejor trabajo gracias al programa).</w:t>
      </w:r>
    </w:p>
    <w:p w14:paraId="75BD1A4C" w14:textId="46A85F1B" w:rsidR="004E3859" w:rsidRPr="00AD066B" w:rsidRDefault="004E3859" w:rsidP="00015A71">
      <w:pPr>
        <w:spacing w:after="0" w:line="360" w:lineRule="auto"/>
        <w:jc w:val="both"/>
        <w:rPr>
          <w:rFonts w:ascii="Times New Roman" w:hAnsi="Times New Roman"/>
          <w:kern w:val="28"/>
          <w:sz w:val="24"/>
          <w:szCs w:val="24"/>
          <w:lang w:val="es-ES_tradnl"/>
        </w:rPr>
      </w:pPr>
      <w:r w:rsidRPr="00AD066B">
        <w:rPr>
          <w:rFonts w:ascii="Times New Roman" w:hAnsi="Times New Roman"/>
          <w:kern w:val="28"/>
          <w:sz w:val="24"/>
          <w:szCs w:val="24"/>
          <w:lang w:val="es-ES_tradnl"/>
        </w:rPr>
        <w:t>La mejora de la calidad del empleo gracias las PAML se refleja en mejoras de la productividad laboral y se traduce, a su vez, en mayores ingresos laborales para los trabajadores y/o beneficios económicos para las empresas.</w:t>
      </w:r>
      <w:r w:rsidR="008B4EBD" w:rsidRPr="00AD066B">
        <w:rPr>
          <w:rFonts w:ascii="Times New Roman" w:hAnsi="Times New Roman"/>
          <w:kern w:val="28"/>
          <w:sz w:val="24"/>
          <w:szCs w:val="24"/>
          <w:lang w:val="es-ES_tradnl"/>
        </w:rPr>
        <w:t xml:space="preserve"> </w:t>
      </w:r>
      <w:r w:rsidRPr="00AD066B">
        <w:rPr>
          <w:rFonts w:ascii="Times New Roman" w:hAnsi="Times New Roman"/>
          <w:kern w:val="28"/>
          <w:sz w:val="24"/>
          <w:szCs w:val="24"/>
          <w:lang w:val="es-ES_tradnl"/>
        </w:rPr>
        <w:t>Tradicionalmente, la literatura que estudia los impactos de las PAML se limita a estimar los efectos sobre los ingresos laborales sobre los trabajadores</w:t>
      </w:r>
      <w:r w:rsidR="008B4EBD" w:rsidRPr="00AD066B">
        <w:rPr>
          <w:rFonts w:ascii="Times New Roman" w:hAnsi="Times New Roman"/>
          <w:kern w:val="28"/>
          <w:sz w:val="24"/>
          <w:szCs w:val="24"/>
          <w:lang w:val="es-ES_tradnl"/>
        </w:rPr>
        <w:t xml:space="preserve">. </w:t>
      </w:r>
      <w:r w:rsidRPr="00AD066B">
        <w:rPr>
          <w:rFonts w:ascii="Times New Roman" w:hAnsi="Times New Roman"/>
          <w:kern w:val="28"/>
          <w:sz w:val="24"/>
          <w:szCs w:val="24"/>
          <w:lang w:val="es-ES_tradnl"/>
        </w:rPr>
        <w:t>Si bien esta literatura es muy amplia, la evaluación de impactos de las PAML en medidas más directas de productividad laboral o en beneficios para la firma está notablemente ausente</w:t>
      </w:r>
      <w:r w:rsidR="008B4EBD" w:rsidRPr="00AD066B">
        <w:rPr>
          <w:rFonts w:ascii="Times New Roman" w:hAnsi="Times New Roman"/>
          <w:kern w:val="28"/>
          <w:sz w:val="24"/>
          <w:szCs w:val="24"/>
          <w:lang w:val="es-ES_tradnl"/>
        </w:rPr>
        <w:t xml:space="preserve"> </w:t>
      </w:r>
      <w:r w:rsidRPr="00AD066B">
        <w:rPr>
          <w:rFonts w:ascii="Times New Roman" w:hAnsi="Times New Roman"/>
          <w:kern w:val="28"/>
          <w:sz w:val="24"/>
          <w:szCs w:val="24"/>
          <w:lang w:val="es-ES_tradnl"/>
        </w:rPr>
        <w:t>(</w:t>
      </w:r>
      <w:r w:rsidR="00270428">
        <w:rPr>
          <w:rFonts w:ascii="Times New Roman" w:hAnsi="Times New Roman"/>
          <w:kern w:val="28"/>
          <w:sz w:val="24"/>
          <w:szCs w:val="24"/>
          <w:lang w:val="es-ES_tradnl"/>
        </w:rPr>
        <w:t>v</w:t>
      </w:r>
      <w:r w:rsidRPr="00AD066B">
        <w:rPr>
          <w:rFonts w:ascii="Times New Roman" w:hAnsi="Times New Roman"/>
          <w:kern w:val="28"/>
          <w:sz w:val="24"/>
          <w:szCs w:val="24"/>
          <w:lang w:val="es-ES_tradnl"/>
        </w:rPr>
        <w:t xml:space="preserve">er por ejemplo los </w:t>
      </w:r>
      <w:proofErr w:type="gramStart"/>
      <w:r w:rsidR="004650E4" w:rsidRPr="00AD066B">
        <w:rPr>
          <w:rFonts w:ascii="Times New Roman" w:hAnsi="Times New Roman"/>
          <w:kern w:val="28"/>
          <w:sz w:val="24"/>
          <w:szCs w:val="24"/>
          <w:lang w:val="es-ES_tradnl"/>
        </w:rPr>
        <w:t>meta</w:t>
      </w:r>
      <w:r w:rsidR="00917E2B">
        <w:rPr>
          <w:rFonts w:ascii="Times New Roman" w:hAnsi="Times New Roman"/>
          <w:kern w:val="28"/>
          <w:sz w:val="24"/>
          <w:szCs w:val="24"/>
          <w:lang w:val="es-ES_tradnl"/>
        </w:rPr>
        <w:t>-</w:t>
      </w:r>
      <w:r w:rsidR="004650E4" w:rsidRPr="00AD066B">
        <w:rPr>
          <w:rFonts w:ascii="Times New Roman" w:hAnsi="Times New Roman"/>
          <w:kern w:val="28"/>
          <w:sz w:val="24"/>
          <w:szCs w:val="24"/>
          <w:lang w:val="es-ES_tradnl"/>
        </w:rPr>
        <w:t>análisis</w:t>
      </w:r>
      <w:proofErr w:type="gramEnd"/>
      <w:r w:rsidRPr="00AD066B">
        <w:rPr>
          <w:rFonts w:ascii="Times New Roman" w:hAnsi="Times New Roman"/>
          <w:kern w:val="28"/>
          <w:sz w:val="24"/>
          <w:szCs w:val="24"/>
          <w:lang w:val="es-ES_tradnl"/>
        </w:rPr>
        <w:t xml:space="preserve"> realizados por </w:t>
      </w:r>
      <w:proofErr w:type="spellStart"/>
      <w:r w:rsidRPr="00AD066B">
        <w:rPr>
          <w:rFonts w:ascii="Times New Roman" w:hAnsi="Times New Roman"/>
          <w:kern w:val="28"/>
          <w:sz w:val="24"/>
          <w:szCs w:val="24"/>
          <w:lang w:val="es-ES_tradnl"/>
        </w:rPr>
        <w:t>Heckman</w:t>
      </w:r>
      <w:proofErr w:type="spellEnd"/>
      <w:r w:rsidRPr="00AD066B">
        <w:rPr>
          <w:rFonts w:ascii="Times New Roman" w:hAnsi="Times New Roman"/>
          <w:kern w:val="28"/>
          <w:sz w:val="24"/>
          <w:szCs w:val="24"/>
          <w:lang w:val="es-ES_tradnl"/>
        </w:rPr>
        <w:t xml:space="preserve"> et al</w:t>
      </w:r>
      <w:r w:rsidR="008B4EBD" w:rsidRPr="00AD066B">
        <w:rPr>
          <w:rFonts w:ascii="Times New Roman" w:hAnsi="Times New Roman"/>
          <w:kern w:val="28"/>
          <w:sz w:val="24"/>
          <w:szCs w:val="24"/>
          <w:lang w:val="es-ES_tradnl"/>
        </w:rPr>
        <w:t>.</w:t>
      </w:r>
      <w:r w:rsidRPr="00AD066B">
        <w:rPr>
          <w:rFonts w:ascii="Times New Roman" w:hAnsi="Times New Roman"/>
          <w:kern w:val="28"/>
          <w:sz w:val="24"/>
          <w:szCs w:val="24"/>
          <w:lang w:val="es-ES_tradnl"/>
        </w:rPr>
        <w:t xml:space="preserve"> (1999), Card et al</w:t>
      </w:r>
      <w:r w:rsidR="008B4EBD" w:rsidRPr="00AD066B">
        <w:rPr>
          <w:rFonts w:ascii="Times New Roman" w:hAnsi="Times New Roman"/>
          <w:kern w:val="28"/>
          <w:sz w:val="24"/>
          <w:szCs w:val="24"/>
          <w:lang w:val="es-ES_tradnl"/>
        </w:rPr>
        <w:t>.</w:t>
      </w:r>
      <w:r w:rsidRPr="00AD066B">
        <w:rPr>
          <w:rFonts w:ascii="Times New Roman" w:hAnsi="Times New Roman"/>
          <w:kern w:val="28"/>
          <w:sz w:val="24"/>
          <w:szCs w:val="24"/>
          <w:lang w:val="es-ES_tradnl"/>
        </w:rPr>
        <w:t xml:space="preserve"> (20</w:t>
      </w:r>
      <w:r w:rsidR="00642C76" w:rsidRPr="00AD066B">
        <w:rPr>
          <w:rFonts w:ascii="Times New Roman" w:hAnsi="Times New Roman"/>
          <w:kern w:val="28"/>
          <w:sz w:val="24"/>
          <w:szCs w:val="24"/>
          <w:lang w:val="es-ES_tradnl"/>
        </w:rPr>
        <w:t>10</w:t>
      </w:r>
      <w:r w:rsidRPr="00AD066B">
        <w:rPr>
          <w:rFonts w:ascii="Times New Roman" w:hAnsi="Times New Roman"/>
          <w:kern w:val="28"/>
          <w:sz w:val="24"/>
          <w:szCs w:val="24"/>
          <w:lang w:val="es-ES_tradnl"/>
        </w:rPr>
        <w:t>)</w:t>
      </w:r>
      <w:r w:rsidR="008B4EBD" w:rsidRPr="00AD066B">
        <w:rPr>
          <w:rFonts w:ascii="Times New Roman" w:hAnsi="Times New Roman"/>
          <w:kern w:val="28"/>
          <w:sz w:val="24"/>
          <w:szCs w:val="24"/>
          <w:lang w:val="es-ES_tradnl"/>
        </w:rPr>
        <w:t xml:space="preserve">, </w:t>
      </w:r>
      <w:r w:rsidRPr="00AD066B">
        <w:rPr>
          <w:rFonts w:ascii="Times New Roman" w:hAnsi="Times New Roman"/>
          <w:kern w:val="28"/>
          <w:sz w:val="24"/>
          <w:szCs w:val="24"/>
          <w:lang w:val="es-ES_tradnl"/>
        </w:rPr>
        <w:t xml:space="preserve">Dar y </w:t>
      </w:r>
      <w:proofErr w:type="spellStart"/>
      <w:r w:rsidRPr="00AD066B">
        <w:rPr>
          <w:rFonts w:ascii="Times New Roman" w:hAnsi="Times New Roman"/>
          <w:kern w:val="28"/>
          <w:sz w:val="24"/>
          <w:szCs w:val="24"/>
          <w:lang w:val="es-ES_tradnl"/>
        </w:rPr>
        <w:t>Tzanattos</w:t>
      </w:r>
      <w:proofErr w:type="spellEnd"/>
      <w:r w:rsidR="008B4EBD" w:rsidRPr="00AD066B">
        <w:rPr>
          <w:rFonts w:ascii="Times New Roman" w:hAnsi="Times New Roman"/>
          <w:kern w:val="28"/>
          <w:sz w:val="24"/>
          <w:szCs w:val="24"/>
          <w:lang w:val="es-ES_tradnl"/>
        </w:rPr>
        <w:t xml:space="preserve"> (1999) y Card et al. (2017)</w:t>
      </w:r>
      <w:r w:rsidRPr="00AD066B">
        <w:rPr>
          <w:rFonts w:ascii="Times New Roman" w:hAnsi="Times New Roman"/>
          <w:kern w:val="28"/>
          <w:sz w:val="24"/>
          <w:szCs w:val="24"/>
          <w:lang w:val="es-ES_tradnl"/>
        </w:rPr>
        <w:t xml:space="preserve"> para una revisión)</w:t>
      </w:r>
      <w:r w:rsidR="008B4EBD" w:rsidRPr="00AD066B">
        <w:rPr>
          <w:rFonts w:ascii="Times New Roman" w:hAnsi="Times New Roman"/>
          <w:kern w:val="28"/>
          <w:sz w:val="24"/>
          <w:szCs w:val="24"/>
          <w:lang w:val="es-ES_tradnl"/>
        </w:rPr>
        <w:t xml:space="preserve">. </w:t>
      </w:r>
      <w:r w:rsidRPr="00AD066B">
        <w:rPr>
          <w:rFonts w:ascii="Times New Roman" w:hAnsi="Times New Roman"/>
          <w:kern w:val="28"/>
          <w:sz w:val="24"/>
          <w:szCs w:val="24"/>
          <w:lang w:val="es-ES_tradnl"/>
        </w:rPr>
        <w:t xml:space="preserve">Debido a esta limitación, en esta evaluación costo-beneficio se contemplarán únicamente los beneficios de la intervención del BID sobre los ingresos laborales de los trabajadores, haciendo la salvedad de que éstos son una cota inferior de las ganancias totales en productividad. </w:t>
      </w:r>
    </w:p>
    <w:p w14:paraId="132FBE49" w14:textId="1CBDB809" w:rsidR="004E3859" w:rsidRPr="00862436" w:rsidRDefault="004E3859" w:rsidP="00015A71">
      <w:pPr>
        <w:spacing w:after="0" w:line="360" w:lineRule="auto"/>
        <w:jc w:val="both"/>
        <w:rPr>
          <w:rFonts w:ascii="Times New Roman" w:hAnsi="Times New Roman"/>
          <w:kern w:val="28"/>
          <w:sz w:val="24"/>
          <w:szCs w:val="24"/>
          <w:lang w:val="es-ES_tradnl"/>
        </w:rPr>
      </w:pPr>
      <w:r w:rsidRPr="00AD066B">
        <w:rPr>
          <w:rFonts w:ascii="Times New Roman" w:hAnsi="Times New Roman"/>
          <w:kern w:val="28"/>
          <w:sz w:val="24"/>
          <w:szCs w:val="24"/>
          <w:lang w:val="es-ES_tradnl"/>
        </w:rPr>
        <w:t xml:space="preserve">Más allá de los aumentos en productividad laboral, </w:t>
      </w:r>
      <w:r w:rsidR="008B4EBD" w:rsidRPr="00AD066B">
        <w:rPr>
          <w:rFonts w:ascii="Times New Roman" w:hAnsi="Times New Roman"/>
          <w:kern w:val="28"/>
          <w:sz w:val="24"/>
          <w:szCs w:val="24"/>
          <w:lang w:val="es-ES_tradnl"/>
        </w:rPr>
        <w:t>este programa puede</w:t>
      </w:r>
      <w:r w:rsidRPr="00AD066B">
        <w:rPr>
          <w:rFonts w:ascii="Times New Roman" w:hAnsi="Times New Roman"/>
          <w:kern w:val="28"/>
          <w:sz w:val="24"/>
          <w:szCs w:val="24"/>
          <w:lang w:val="es-ES_tradnl"/>
        </w:rPr>
        <w:t xml:space="preserve"> </w:t>
      </w:r>
      <w:r w:rsidR="008B4EBD" w:rsidRPr="00AD066B">
        <w:rPr>
          <w:rFonts w:ascii="Times New Roman" w:hAnsi="Times New Roman"/>
          <w:kern w:val="28"/>
          <w:sz w:val="24"/>
          <w:szCs w:val="24"/>
          <w:lang w:val="es-ES_tradnl"/>
        </w:rPr>
        <w:t>tener</w:t>
      </w:r>
      <w:r w:rsidRPr="00AD066B">
        <w:rPr>
          <w:rFonts w:ascii="Times New Roman" w:hAnsi="Times New Roman"/>
          <w:kern w:val="28"/>
          <w:sz w:val="24"/>
          <w:szCs w:val="24"/>
          <w:lang w:val="es-ES_tradnl"/>
        </w:rPr>
        <w:t xml:space="preserve"> otros beneficios para la sociedad. Una mejora en las perspectivas de empleo de l</w:t>
      </w:r>
      <w:r w:rsidR="008B4EBD" w:rsidRPr="00AD066B">
        <w:rPr>
          <w:rFonts w:ascii="Times New Roman" w:hAnsi="Times New Roman"/>
          <w:kern w:val="28"/>
          <w:sz w:val="24"/>
          <w:szCs w:val="24"/>
          <w:lang w:val="es-ES_tradnl"/>
        </w:rPr>
        <w:t xml:space="preserve">as personas </w:t>
      </w:r>
      <w:r w:rsidRPr="00AD066B">
        <w:rPr>
          <w:rFonts w:ascii="Times New Roman" w:hAnsi="Times New Roman"/>
          <w:kern w:val="28"/>
          <w:sz w:val="24"/>
          <w:szCs w:val="24"/>
          <w:lang w:val="es-ES_tradnl"/>
        </w:rPr>
        <w:t>beneficiari</w:t>
      </w:r>
      <w:r w:rsidR="008B4EBD" w:rsidRPr="00AD066B">
        <w:rPr>
          <w:rFonts w:ascii="Times New Roman" w:hAnsi="Times New Roman"/>
          <w:kern w:val="28"/>
          <w:sz w:val="24"/>
          <w:szCs w:val="24"/>
          <w:lang w:val="es-ES_tradnl"/>
        </w:rPr>
        <w:t>a</w:t>
      </w:r>
      <w:r w:rsidRPr="00AD066B">
        <w:rPr>
          <w:rFonts w:ascii="Times New Roman" w:hAnsi="Times New Roman"/>
          <w:kern w:val="28"/>
          <w:sz w:val="24"/>
          <w:szCs w:val="24"/>
          <w:lang w:val="es-ES_tradnl"/>
        </w:rPr>
        <w:t>s podría reducir comportamientos de riesgo</w:t>
      </w:r>
      <w:r w:rsidR="008B4EBD" w:rsidRPr="00AD066B">
        <w:rPr>
          <w:rFonts w:ascii="Times New Roman" w:hAnsi="Times New Roman"/>
          <w:kern w:val="28"/>
          <w:sz w:val="24"/>
          <w:szCs w:val="24"/>
          <w:lang w:val="es-ES_tradnl"/>
        </w:rPr>
        <w:t xml:space="preserve"> </w:t>
      </w:r>
      <w:r w:rsidRPr="00AD066B">
        <w:rPr>
          <w:rFonts w:ascii="Times New Roman" w:hAnsi="Times New Roman"/>
          <w:kern w:val="28"/>
          <w:sz w:val="24"/>
          <w:szCs w:val="24"/>
          <w:lang w:val="es-ES_tradnl"/>
        </w:rPr>
        <w:t>que tienen efectos sociales negativos (</w:t>
      </w:r>
      <w:r w:rsidR="008B4EBD" w:rsidRPr="00AD066B">
        <w:rPr>
          <w:rFonts w:ascii="Times New Roman" w:hAnsi="Times New Roman"/>
          <w:kern w:val="28"/>
          <w:sz w:val="24"/>
          <w:szCs w:val="24"/>
          <w:lang w:val="es-ES_tradnl"/>
        </w:rPr>
        <w:t xml:space="preserve">por ejemplo: </w:t>
      </w:r>
      <w:r w:rsidRPr="00AD066B">
        <w:rPr>
          <w:rFonts w:ascii="Times New Roman" w:hAnsi="Times New Roman"/>
          <w:kern w:val="28"/>
          <w:sz w:val="24"/>
          <w:szCs w:val="24"/>
          <w:lang w:val="es-ES_tradnl"/>
        </w:rPr>
        <w:t xml:space="preserve">crimen, uso de alcohol y sustancias adictivas, </w:t>
      </w:r>
      <w:r w:rsidR="008B4EBD" w:rsidRPr="00AD066B">
        <w:rPr>
          <w:rFonts w:ascii="Times New Roman" w:hAnsi="Times New Roman"/>
          <w:kern w:val="28"/>
          <w:sz w:val="24"/>
          <w:szCs w:val="24"/>
          <w:lang w:val="es-ES_tradnl"/>
        </w:rPr>
        <w:t>etc.</w:t>
      </w:r>
      <w:r w:rsidRPr="00AD066B">
        <w:rPr>
          <w:rFonts w:ascii="Times New Roman" w:hAnsi="Times New Roman"/>
          <w:kern w:val="28"/>
          <w:sz w:val="24"/>
          <w:szCs w:val="24"/>
          <w:lang w:val="es-ES_tradnl"/>
        </w:rPr>
        <w:t xml:space="preserve">).  Además, un mayor acceso a empleos formales implica menor exposición a riesgos de salud y pensión </w:t>
      </w:r>
      <w:r w:rsidR="008B4EBD" w:rsidRPr="00AD066B">
        <w:rPr>
          <w:rFonts w:ascii="Times New Roman" w:hAnsi="Times New Roman"/>
          <w:kern w:val="28"/>
          <w:sz w:val="24"/>
          <w:szCs w:val="24"/>
          <w:lang w:val="es-ES_tradnl"/>
        </w:rPr>
        <w:t>durante</w:t>
      </w:r>
      <w:r w:rsidRPr="00AD066B">
        <w:rPr>
          <w:rFonts w:ascii="Times New Roman" w:hAnsi="Times New Roman"/>
          <w:kern w:val="28"/>
          <w:sz w:val="24"/>
          <w:szCs w:val="24"/>
          <w:lang w:val="es-ES_tradnl"/>
        </w:rPr>
        <w:t xml:space="preserve"> la vejez. Estos beneficios no son tenidos en cuenta en est</w:t>
      </w:r>
      <w:r w:rsidR="008B4EBD" w:rsidRPr="00AD066B">
        <w:rPr>
          <w:rFonts w:ascii="Times New Roman" w:hAnsi="Times New Roman"/>
          <w:kern w:val="28"/>
          <w:sz w:val="24"/>
          <w:szCs w:val="24"/>
          <w:lang w:val="es-ES_tradnl"/>
        </w:rPr>
        <w:t>e</w:t>
      </w:r>
      <w:r w:rsidRPr="00AD066B">
        <w:rPr>
          <w:rFonts w:ascii="Times New Roman" w:hAnsi="Times New Roman"/>
          <w:kern w:val="28"/>
          <w:sz w:val="24"/>
          <w:szCs w:val="24"/>
          <w:lang w:val="es-ES_tradnl"/>
        </w:rPr>
        <w:t xml:space="preserve"> </w:t>
      </w:r>
      <w:r w:rsidR="008B4EBD" w:rsidRPr="00AD066B">
        <w:rPr>
          <w:rFonts w:ascii="Times New Roman" w:hAnsi="Times New Roman"/>
          <w:kern w:val="28"/>
          <w:sz w:val="24"/>
          <w:szCs w:val="24"/>
          <w:lang w:val="es-ES_tradnl"/>
        </w:rPr>
        <w:t>análisis económico</w:t>
      </w:r>
      <w:r w:rsidRPr="00AD066B">
        <w:rPr>
          <w:rFonts w:ascii="Times New Roman" w:hAnsi="Times New Roman"/>
          <w:kern w:val="28"/>
          <w:sz w:val="24"/>
          <w:szCs w:val="24"/>
          <w:lang w:val="es-ES_tradnl"/>
        </w:rPr>
        <w:t>.</w:t>
      </w:r>
      <w:r w:rsidR="008B4EBD" w:rsidRPr="00AD066B">
        <w:rPr>
          <w:rFonts w:ascii="Times New Roman" w:hAnsi="Times New Roman"/>
          <w:kern w:val="28"/>
          <w:sz w:val="24"/>
          <w:szCs w:val="24"/>
          <w:lang w:val="es-ES_tradnl"/>
        </w:rPr>
        <w:t xml:space="preserve"> Esto es así ya que </w:t>
      </w:r>
      <w:r w:rsidRPr="00AD066B">
        <w:rPr>
          <w:rFonts w:ascii="Times New Roman" w:hAnsi="Times New Roman"/>
          <w:kern w:val="28"/>
          <w:sz w:val="24"/>
          <w:szCs w:val="24"/>
          <w:lang w:val="es-ES_tradnl"/>
        </w:rPr>
        <w:t>no existe suficiente evidencia sobre la magnitud y relevancia de este tipo de impactos en la región.</w:t>
      </w:r>
      <w:r w:rsidR="008B4EBD" w:rsidRPr="00AD066B">
        <w:rPr>
          <w:rFonts w:ascii="Times New Roman" w:hAnsi="Times New Roman"/>
          <w:kern w:val="28"/>
          <w:sz w:val="24"/>
          <w:szCs w:val="24"/>
          <w:lang w:val="es-ES_tradnl"/>
        </w:rPr>
        <w:t xml:space="preserve"> Además</w:t>
      </w:r>
      <w:r w:rsidRPr="00AD066B">
        <w:rPr>
          <w:rFonts w:ascii="Times New Roman" w:hAnsi="Times New Roman"/>
          <w:kern w:val="28"/>
          <w:sz w:val="24"/>
          <w:szCs w:val="24"/>
          <w:lang w:val="es-ES_tradnl"/>
        </w:rPr>
        <w:t xml:space="preserve">, es de esperar que el impacto en estos resultados sea de segundo orden en comparación con los efectos en productividad laboral. </w:t>
      </w:r>
      <w:r w:rsidR="0083356C" w:rsidRPr="00AD066B">
        <w:rPr>
          <w:rFonts w:ascii="Times New Roman" w:hAnsi="Times New Roman"/>
          <w:kern w:val="28"/>
          <w:sz w:val="24"/>
          <w:szCs w:val="24"/>
          <w:lang w:val="es-ES_tradnl"/>
        </w:rPr>
        <w:t>E</w:t>
      </w:r>
      <w:r w:rsidRPr="00AD066B">
        <w:rPr>
          <w:rFonts w:ascii="Times New Roman" w:hAnsi="Times New Roman"/>
          <w:kern w:val="28"/>
          <w:sz w:val="24"/>
          <w:szCs w:val="24"/>
          <w:lang w:val="es-ES_tradnl"/>
        </w:rPr>
        <w:t xml:space="preserve">n una revisión de la evidencia sobre los efectos de las PAML en Estados Unidos, </w:t>
      </w:r>
      <w:proofErr w:type="spellStart"/>
      <w:r w:rsidRPr="00AD066B">
        <w:rPr>
          <w:rFonts w:ascii="Times New Roman" w:hAnsi="Times New Roman"/>
          <w:kern w:val="28"/>
          <w:sz w:val="24"/>
          <w:szCs w:val="24"/>
          <w:lang w:val="es-ES_tradnl"/>
        </w:rPr>
        <w:t>Heckman</w:t>
      </w:r>
      <w:proofErr w:type="spellEnd"/>
      <w:r w:rsidRPr="00AD066B">
        <w:rPr>
          <w:rFonts w:ascii="Times New Roman" w:hAnsi="Times New Roman"/>
          <w:kern w:val="28"/>
          <w:sz w:val="24"/>
          <w:szCs w:val="24"/>
          <w:lang w:val="es-ES_tradnl"/>
        </w:rPr>
        <w:t xml:space="preserve"> et al</w:t>
      </w:r>
      <w:r w:rsidR="0083356C" w:rsidRPr="00AD066B">
        <w:rPr>
          <w:rFonts w:ascii="Times New Roman" w:hAnsi="Times New Roman"/>
          <w:kern w:val="28"/>
          <w:sz w:val="24"/>
          <w:szCs w:val="24"/>
          <w:lang w:val="es-ES_tradnl"/>
        </w:rPr>
        <w:t>.</w:t>
      </w:r>
      <w:r w:rsidRPr="00AD066B">
        <w:rPr>
          <w:rFonts w:ascii="Times New Roman" w:hAnsi="Times New Roman"/>
          <w:kern w:val="28"/>
          <w:sz w:val="24"/>
          <w:szCs w:val="24"/>
          <w:lang w:val="es-ES_tradnl"/>
        </w:rPr>
        <w:t xml:space="preserve"> (</w:t>
      </w:r>
      <w:r w:rsidRPr="00862436">
        <w:rPr>
          <w:rFonts w:ascii="Times New Roman" w:hAnsi="Times New Roman"/>
          <w:kern w:val="28"/>
          <w:sz w:val="24"/>
          <w:szCs w:val="24"/>
          <w:lang w:val="es-ES_tradnl"/>
        </w:rPr>
        <w:t>1999) encuentra</w:t>
      </w:r>
      <w:r w:rsidR="0083356C" w:rsidRPr="00862436">
        <w:rPr>
          <w:rFonts w:ascii="Times New Roman" w:hAnsi="Times New Roman"/>
          <w:kern w:val="28"/>
          <w:sz w:val="24"/>
          <w:szCs w:val="24"/>
          <w:lang w:val="es-ES_tradnl"/>
        </w:rPr>
        <w:t>n</w:t>
      </w:r>
      <w:r w:rsidRPr="00862436">
        <w:rPr>
          <w:rFonts w:ascii="Times New Roman" w:hAnsi="Times New Roman"/>
          <w:kern w:val="28"/>
          <w:sz w:val="24"/>
          <w:szCs w:val="24"/>
          <w:lang w:val="es-ES_tradnl"/>
        </w:rPr>
        <w:t xml:space="preserve"> que los efectos en ingresos laborales son uno a dos órdenes de magnitud mayores que otros impactos estimados.</w:t>
      </w:r>
    </w:p>
    <w:p w14:paraId="68AD2F56" w14:textId="5A1D57EC" w:rsidR="007A1DA5" w:rsidRPr="00862436" w:rsidRDefault="00917E2B" w:rsidP="00015A71">
      <w:pPr>
        <w:spacing w:after="0" w:line="360" w:lineRule="auto"/>
        <w:jc w:val="both"/>
        <w:rPr>
          <w:rFonts w:ascii="Times New Roman" w:hAnsi="Times New Roman"/>
          <w:kern w:val="28"/>
          <w:sz w:val="24"/>
          <w:szCs w:val="24"/>
          <w:lang w:val="es-ES_tradnl"/>
        </w:rPr>
      </w:pPr>
      <w:r w:rsidRPr="00862436">
        <w:rPr>
          <w:rFonts w:ascii="Times New Roman" w:hAnsi="Times New Roman"/>
          <w:kern w:val="28"/>
          <w:sz w:val="24"/>
          <w:szCs w:val="24"/>
          <w:lang w:val="es-ES_tradnl"/>
        </w:rPr>
        <w:t xml:space="preserve">Otro beneficio social del programa es el ahorro para el gobierno de otros programas estatales que dejarían de utilizar los beneficiarios como resultado de una mejora en su situación laboral. Este es el caso, por ejemplo, del ahorro en el seguro de desempleo, que tradicionalmente es tenido en cuenta en evaluaciones costo beneficio de PAML en otros países. </w:t>
      </w:r>
      <w:r w:rsidR="00862436" w:rsidRPr="00862436">
        <w:rPr>
          <w:rFonts w:ascii="Times New Roman" w:hAnsi="Times New Roman"/>
          <w:kern w:val="28"/>
          <w:sz w:val="24"/>
          <w:szCs w:val="24"/>
          <w:lang w:val="es-ES_tradnl"/>
        </w:rPr>
        <w:t>E</w:t>
      </w:r>
      <w:r w:rsidRPr="00862436">
        <w:rPr>
          <w:rFonts w:ascii="Times New Roman" w:hAnsi="Times New Roman"/>
          <w:kern w:val="28"/>
          <w:sz w:val="24"/>
          <w:szCs w:val="24"/>
          <w:lang w:val="es-ES_tradnl"/>
        </w:rPr>
        <w:t xml:space="preserve">n Colombia </w:t>
      </w:r>
      <w:r w:rsidR="00862436" w:rsidRPr="00862436">
        <w:rPr>
          <w:rFonts w:ascii="Times New Roman" w:hAnsi="Times New Roman"/>
          <w:kern w:val="28"/>
          <w:sz w:val="24"/>
          <w:szCs w:val="24"/>
          <w:lang w:val="es-ES_tradnl"/>
        </w:rPr>
        <w:t>existe un</w:t>
      </w:r>
      <w:r w:rsidRPr="00862436">
        <w:rPr>
          <w:rFonts w:ascii="Times New Roman" w:hAnsi="Times New Roman"/>
          <w:kern w:val="28"/>
          <w:sz w:val="24"/>
          <w:szCs w:val="24"/>
          <w:lang w:val="es-ES_tradnl"/>
        </w:rPr>
        <w:t xml:space="preserve"> seguro de desempleo y </w:t>
      </w:r>
      <w:r w:rsidR="00862436" w:rsidRPr="00862436">
        <w:rPr>
          <w:rFonts w:ascii="Times New Roman" w:hAnsi="Times New Roman"/>
          <w:kern w:val="28"/>
          <w:sz w:val="24"/>
          <w:szCs w:val="24"/>
          <w:lang w:val="es-ES_tradnl"/>
        </w:rPr>
        <w:t>el hecho de que el gobierno no se lo deba pagar más a aquellos individuos que consiguen trabajo</w:t>
      </w:r>
      <w:r w:rsidR="0098502B">
        <w:rPr>
          <w:rFonts w:ascii="Times New Roman" w:hAnsi="Times New Roman"/>
          <w:kern w:val="28"/>
          <w:sz w:val="24"/>
          <w:szCs w:val="24"/>
          <w:lang w:val="es-ES_tradnl"/>
        </w:rPr>
        <w:t xml:space="preserve"> gracias al programa</w:t>
      </w:r>
      <w:r w:rsidR="00862436" w:rsidRPr="00862436">
        <w:rPr>
          <w:rFonts w:ascii="Times New Roman" w:hAnsi="Times New Roman"/>
          <w:kern w:val="28"/>
          <w:sz w:val="24"/>
          <w:szCs w:val="24"/>
          <w:lang w:val="es-ES_tradnl"/>
        </w:rPr>
        <w:t xml:space="preserve"> será considerado un beneficio</w:t>
      </w:r>
      <w:r w:rsidR="0098502B">
        <w:rPr>
          <w:rFonts w:ascii="Times New Roman" w:hAnsi="Times New Roman"/>
          <w:kern w:val="28"/>
          <w:sz w:val="24"/>
          <w:szCs w:val="24"/>
          <w:lang w:val="es-ES_tradnl"/>
        </w:rPr>
        <w:t xml:space="preserve"> de este</w:t>
      </w:r>
      <w:r w:rsidR="007A1DA5" w:rsidRPr="00862436">
        <w:rPr>
          <w:rFonts w:ascii="Times New Roman" w:hAnsi="Times New Roman"/>
          <w:kern w:val="28"/>
          <w:sz w:val="24"/>
          <w:szCs w:val="24"/>
          <w:lang w:val="es-ES_tradnl"/>
        </w:rPr>
        <w:t>.</w:t>
      </w:r>
    </w:p>
    <w:p w14:paraId="39F335E3" w14:textId="396EB367" w:rsidR="007A1DA5" w:rsidRPr="00862436" w:rsidRDefault="007A1DA5" w:rsidP="00015A71">
      <w:pPr>
        <w:spacing w:after="0" w:line="360" w:lineRule="auto"/>
        <w:jc w:val="both"/>
        <w:rPr>
          <w:rFonts w:ascii="Times New Roman" w:hAnsi="Times New Roman"/>
          <w:kern w:val="28"/>
          <w:sz w:val="24"/>
          <w:szCs w:val="24"/>
          <w:lang w:val="es-ES_tradnl"/>
        </w:rPr>
      </w:pPr>
      <w:r w:rsidRPr="00862436">
        <w:rPr>
          <w:rFonts w:ascii="Times New Roman" w:hAnsi="Times New Roman"/>
          <w:kern w:val="28"/>
          <w:sz w:val="24"/>
          <w:szCs w:val="24"/>
          <w:lang w:val="es-ES_tradnl"/>
        </w:rPr>
        <w:t>Otro resultado que podría tener el programa es el efecto desplazamiento que podría generarse si la inserción laboral de los beneficiarios implica una pérdida de empleo para los no beneficiarios. Si el mercado local es muy estrecho tal que la demanda laboral es inelástica, estos programas pueden resultar en una simple redistribución del empleo en el que, al mismo tiempo que los beneficiarios son insertados, los no beneficiarios pasan a una situación de desempleo. La literatura que estima los efectos desplazamiento de las PAML es escasa y tiene resultados mixtos. En un estudio reciente, en el que se estima el impacto de un programa de consejería a buscadores de empleo en Francia, los autores encuentran que, si bien hay efectos positivos sobre la inserción laboral de los beneficiarios, éstos se obtienen a expensas de una disminución en las tasas de inserción de los no beneficiarios al punto que el efecto neto sobre la población es cero (Crepón et al</w:t>
      </w:r>
      <w:r w:rsidR="00862436" w:rsidRPr="00862436">
        <w:rPr>
          <w:rFonts w:ascii="Times New Roman" w:hAnsi="Times New Roman"/>
          <w:kern w:val="28"/>
          <w:sz w:val="24"/>
          <w:szCs w:val="24"/>
          <w:lang w:val="es-ES_tradnl"/>
        </w:rPr>
        <w:t>.</w:t>
      </w:r>
      <w:r w:rsidRPr="00862436">
        <w:rPr>
          <w:rFonts w:ascii="Times New Roman" w:hAnsi="Times New Roman"/>
          <w:kern w:val="28"/>
          <w:sz w:val="24"/>
          <w:szCs w:val="24"/>
          <w:lang w:val="es-ES_tradnl"/>
        </w:rPr>
        <w:t xml:space="preserve"> 2013).</w:t>
      </w:r>
      <w:r w:rsidR="00230780" w:rsidRPr="00862436">
        <w:rPr>
          <w:rFonts w:ascii="Times New Roman" w:hAnsi="Times New Roman"/>
          <w:kern w:val="28"/>
          <w:sz w:val="24"/>
          <w:szCs w:val="24"/>
          <w:lang w:val="es-ES_tradnl"/>
        </w:rPr>
        <w:t xml:space="preserve"> </w:t>
      </w:r>
      <w:r w:rsidRPr="00862436">
        <w:rPr>
          <w:rFonts w:ascii="Times New Roman" w:hAnsi="Times New Roman"/>
          <w:kern w:val="28"/>
          <w:sz w:val="24"/>
          <w:szCs w:val="24"/>
          <w:lang w:val="es-ES_tradnl"/>
        </w:rPr>
        <w:t xml:space="preserve">En contraste, </w:t>
      </w:r>
      <w:proofErr w:type="spellStart"/>
      <w:r w:rsidRPr="00862436">
        <w:rPr>
          <w:rFonts w:ascii="Times New Roman" w:hAnsi="Times New Roman"/>
          <w:kern w:val="28"/>
          <w:sz w:val="24"/>
          <w:szCs w:val="24"/>
          <w:lang w:val="es-ES_tradnl"/>
        </w:rPr>
        <w:t>Blundell</w:t>
      </w:r>
      <w:proofErr w:type="spellEnd"/>
      <w:r w:rsidRPr="00862436">
        <w:rPr>
          <w:rFonts w:ascii="Times New Roman" w:hAnsi="Times New Roman"/>
          <w:kern w:val="28"/>
          <w:sz w:val="24"/>
          <w:szCs w:val="24"/>
          <w:lang w:val="es-ES_tradnl"/>
        </w:rPr>
        <w:t xml:space="preserve"> et al</w:t>
      </w:r>
      <w:r w:rsidR="00230780" w:rsidRPr="00862436">
        <w:rPr>
          <w:rFonts w:ascii="Times New Roman" w:hAnsi="Times New Roman"/>
          <w:kern w:val="28"/>
          <w:sz w:val="24"/>
          <w:szCs w:val="24"/>
          <w:lang w:val="es-ES_tradnl"/>
        </w:rPr>
        <w:t>.</w:t>
      </w:r>
      <w:r w:rsidRPr="00862436">
        <w:rPr>
          <w:rFonts w:ascii="Times New Roman" w:hAnsi="Times New Roman"/>
          <w:kern w:val="28"/>
          <w:sz w:val="24"/>
          <w:szCs w:val="24"/>
          <w:lang w:val="es-ES_tradnl"/>
        </w:rPr>
        <w:t xml:space="preserve"> (2004)</w:t>
      </w:r>
      <w:r w:rsidR="00230780" w:rsidRPr="00862436">
        <w:rPr>
          <w:rFonts w:ascii="Times New Roman" w:hAnsi="Times New Roman"/>
          <w:kern w:val="28"/>
          <w:sz w:val="24"/>
          <w:szCs w:val="24"/>
          <w:lang w:val="es-ES_tradnl"/>
        </w:rPr>
        <w:t xml:space="preserve"> </w:t>
      </w:r>
      <w:r w:rsidRPr="00862436">
        <w:rPr>
          <w:rFonts w:ascii="Times New Roman" w:hAnsi="Times New Roman"/>
          <w:kern w:val="28"/>
          <w:sz w:val="24"/>
          <w:szCs w:val="24"/>
          <w:lang w:val="es-ES_tradnl"/>
        </w:rPr>
        <w:t>no encuentran evidencia de efecto desplazamiento en su evaluación del programa de intermediación y consejería en el Reino Unido.</w:t>
      </w:r>
      <w:r w:rsidR="00230780" w:rsidRPr="00862436">
        <w:rPr>
          <w:rFonts w:ascii="Times New Roman" w:hAnsi="Times New Roman"/>
          <w:kern w:val="28"/>
          <w:sz w:val="24"/>
          <w:szCs w:val="24"/>
          <w:lang w:val="es-ES_tradnl"/>
        </w:rPr>
        <w:t xml:space="preserve"> Dado que la evidencia es mixta, en este caso se asume que el efecto desplazamiento es nulo. </w:t>
      </w:r>
    </w:p>
    <w:p w14:paraId="4F53E266" w14:textId="14FD835D" w:rsidR="00267213" w:rsidRPr="00AD066B" w:rsidRDefault="004E3859" w:rsidP="00015A71">
      <w:pPr>
        <w:spacing w:after="0" w:line="360" w:lineRule="auto"/>
        <w:jc w:val="both"/>
        <w:rPr>
          <w:rFonts w:ascii="Times New Roman" w:hAnsi="Times New Roman"/>
          <w:kern w:val="28"/>
          <w:sz w:val="24"/>
          <w:szCs w:val="24"/>
          <w:lang w:val="es-ES_tradnl"/>
        </w:rPr>
      </w:pPr>
      <w:r w:rsidRPr="00AD066B">
        <w:rPr>
          <w:rFonts w:ascii="Times New Roman" w:hAnsi="Times New Roman"/>
          <w:kern w:val="28"/>
          <w:sz w:val="24"/>
          <w:szCs w:val="24"/>
          <w:lang w:val="es-ES_tradnl"/>
        </w:rPr>
        <w:t xml:space="preserve">Tampoco se contabilizan los beneficios indirectos sobre los no beneficiarios o </w:t>
      </w:r>
      <w:proofErr w:type="spellStart"/>
      <w:r w:rsidRPr="00AD066B">
        <w:rPr>
          <w:rFonts w:ascii="Times New Roman" w:hAnsi="Times New Roman"/>
          <w:kern w:val="28"/>
          <w:sz w:val="24"/>
          <w:szCs w:val="24"/>
          <w:lang w:val="es-ES_tradnl"/>
        </w:rPr>
        <w:t>spillovers</w:t>
      </w:r>
      <w:proofErr w:type="spellEnd"/>
      <w:r w:rsidRPr="00AD066B">
        <w:rPr>
          <w:rFonts w:ascii="Times New Roman" w:hAnsi="Times New Roman"/>
          <w:kern w:val="28"/>
          <w:sz w:val="24"/>
          <w:szCs w:val="24"/>
          <w:lang w:val="es-ES_tradnl"/>
        </w:rPr>
        <w:t xml:space="preserve"> (</w:t>
      </w:r>
      <w:r w:rsidR="0031466F" w:rsidRPr="00AD066B">
        <w:rPr>
          <w:rFonts w:ascii="Times New Roman" w:hAnsi="Times New Roman"/>
          <w:kern w:val="28"/>
          <w:sz w:val="24"/>
          <w:szCs w:val="24"/>
          <w:lang w:val="es-ES_tradnl"/>
        </w:rPr>
        <w:t>por ejemplo:</w:t>
      </w:r>
      <w:r w:rsidRPr="00AD066B">
        <w:rPr>
          <w:rFonts w:ascii="Times New Roman" w:hAnsi="Times New Roman"/>
          <w:kern w:val="28"/>
          <w:sz w:val="24"/>
          <w:szCs w:val="24"/>
          <w:lang w:val="es-ES_tradnl"/>
        </w:rPr>
        <w:t xml:space="preserve"> aumentos en la educación y salud de los familiares dependientes o aumentos en productividad laboral de otros trabajadores por complementariedades en la función de producción).</w:t>
      </w:r>
      <w:r w:rsidR="0031466F" w:rsidRPr="00AD066B">
        <w:rPr>
          <w:rFonts w:ascii="Times New Roman" w:hAnsi="Times New Roman"/>
          <w:kern w:val="28"/>
          <w:sz w:val="24"/>
          <w:szCs w:val="24"/>
          <w:lang w:val="es-ES_tradnl"/>
        </w:rPr>
        <w:t xml:space="preserve"> </w:t>
      </w:r>
      <w:r w:rsidRPr="00AD066B">
        <w:rPr>
          <w:rFonts w:ascii="Times New Roman" w:hAnsi="Times New Roman"/>
          <w:kern w:val="28"/>
          <w:sz w:val="24"/>
          <w:szCs w:val="24"/>
          <w:lang w:val="es-ES_tradnl"/>
        </w:rPr>
        <w:t>Dado que los estudios empíricos no ofrecen suficiente evidencia sobre la magnitud y relevancia de estos impactos, se asumen como cero en todos los escenarios, haciendo así un supuesto conservador y siguiendo la práctica habitual en las evaluaciones costo beneficio de las PAML (</w:t>
      </w:r>
      <w:proofErr w:type="spellStart"/>
      <w:r w:rsidRPr="00AD066B">
        <w:rPr>
          <w:rFonts w:ascii="Times New Roman" w:hAnsi="Times New Roman"/>
          <w:kern w:val="28"/>
          <w:sz w:val="24"/>
          <w:szCs w:val="24"/>
          <w:lang w:val="es-ES_tradnl"/>
        </w:rPr>
        <w:t>Heckman</w:t>
      </w:r>
      <w:proofErr w:type="spellEnd"/>
      <w:r w:rsidRPr="00AD066B">
        <w:rPr>
          <w:rFonts w:ascii="Times New Roman" w:hAnsi="Times New Roman"/>
          <w:kern w:val="28"/>
          <w:sz w:val="24"/>
          <w:szCs w:val="24"/>
          <w:lang w:val="es-ES_tradnl"/>
        </w:rPr>
        <w:t xml:space="preserve"> et al</w:t>
      </w:r>
      <w:r w:rsidR="0031466F" w:rsidRPr="00AD066B">
        <w:rPr>
          <w:rFonts w:ascii="Times New Roman" w:hAnsi="Times New Roman"/>
          <w:kern w:val="28"/>
          <w:sz w:val="24"/>
          <w:szCs w:val="24"/>
          <w:lang w:val="es-ES_tradnl"/>
        </w:rPr>
        <w:t>.</w:t>
      </w:r>
      <w:r w:rsidRPr="00AD066B">
        <w:rPr>
          <w:rFonts w:ascii="Times New Roman" w:hAnsi="Times New Roman"/>
          <w:kern w:val="28"/>
          <w:sz w:val="24"/>
          <w:szCs w:val="24"/>
          <w:lang w:val="es-ES_tradnl"/>
        </w:rPr>
        <w:t xml:space="preserve"> 1999).</w:t>
      </w:r>
      <w:r w:rsidR="0031466F" w:rsidRPr="00AD066B">
        <w:rPr>
          <w:rFonts w:ascii="Times New Roman" w:hAnsi="Times New Roman"/>
          <w:kern w:val="28"/>
          <w:sz w:val="24"/>
          <w:szCs w:val="24"/>
          <w:lang w:val="es-ES_tradnl"/>
        </w:rPr>
        <w:t xml:space="preserve"> </w:t>
      </w:r>
      <w:r w:rsidR="009E5050" w:rsidRPr="00AD066B">
        <w:rPr>
          <w:rFonts w:ascii="Times New Roman" w:hAnsi="Times New Roman"/>
          <w:kern w:val="28"/>
          <w:sz w:val="24"/>
          <w:szCs w:val="24"/>
          <w:lang w:val="es-ES_tradnl"/>
        </w:rPr>
        <w:t>De esta forma el análisis que se presenta a continuación debe tomarse como una cota inferior, pudiendo ser los beneficios del proyecto sustancialmente mayores.</w:t>
      </w:r>
    </w:p>
    <w:p w14:paraId="12FBA471" w14:textId="46641696" w:rsidR="00C703FE" w:rsidRDefault="00EC433C" w:rsidP="00015A71">
      <w:pPr>
        <w:spacing w:after="0" w:line="360" w:lineRule="auto"/>
        <w:jc w:val="both"/>
        <w:rPr>
          <w:rFonts w:ascii="Times New Roman" w:hAnsi="Times New Roman"/>
          <w:kern w:val="28"/>
          <w:sz w:val="24"/>
          <w:szCs w:val="24"/>
          <w:lang w:val="es-ES_tradnl"/>
        </w:rPr>
      </w:pPr>
      <w:r w:rsidRPr="009E5050">
        <w:rPr>
          <w:rFonts w:ascii="Times New Roman" w:hAnsi="Times New Roman"/>
          <w:kern w:val="28"/>
          <w:sz w:val="24"/>
          <w:szCs w:val="24"/>
          <w:lang w:val="es-ES_tradnl"/>
        </w:rPr>
        <w:t>El cálculo de los beneficios se efectúa utilizando los siguientes supuestos</w:t>
      </w:r>
      <w:r w:rsidR="00CA6EE7">
        <w:rPr>
          <w:rFonts w:ascii="Times New Roman" w:hAnsi="Times New Roman"/>
          <w:kern w:val="28"/>
          <w:sz w:val="24"/>
          <w:szCs w:val="24"/>
          <w:lang w:val="es-ES_tradnl"/>
        </w:rPr>
        <w:t xml:space="preserve"> y datos</w:t>
      </w:r>
      <w:r w:rsidRPr="009E5050">
        <w:rPr>
          <w:rFonts w:ascii="Times New Roman" w:hAnsi="Times New Roman"/>
          <w:kern w:val="28"/>
          <w:sz w:val="24"/>
          <w:szCs w:val="24"/>
          <w:lang w:val="es-ES_tradnl"/>
        </w:rPr>
        <w:t>:</w:t>
      </w:r>
    </w:p>
    <w:p w14:paraId="1A583AD6" w14:textId="3E9CFDD1" w:rsidR="00C703FE" w:rsidRPr="00053F7F" w:rsidRDefault="00044248" w:rsidP="00C703FE">
      <w:pPr>
        <w:pStyle w:val="ListParagraph"/>
        <w:numPr>
          <w:ilvl w:val="0"/>
          <w:numId w:val="17"/>
        </w:numPr>
        <w:spacing w:after="0" w:line="360" w:lineRule="auto"/>
        <w:jc w:val="both"/>
        <w:rPr>
          <w:rFonts w:ascii="Times New Roman" w:hAnsi="Times New Roman"/>
          <w:kern w:val="28"/>
          <w:sz w:val="24"/>
          <w:szCs w:val="24"/>
          <w:lang w:val="es-ES_tradnl"/>
        </w:rPr>
      </w:pPr>
      <w:r w:rsidRPr="00053F7F">
        <w:rPr>
          <w:rFonts w:ascii="Times New Roman" w:hAnsi="Times New Roman"/>
          <w:kern w:val="28"/>
          <w:sz w:val="24"/>
          <w:szCs w:val="24"/>
          <w:lang w:val="es-ES_tradnl"/>
        </w:rPr>
        <w:t xml:space="preserve">La tasa de descuento utilizada es del 12%, según el estándar del </w:t>
      </w:r>
      <w:r w:rsidR="004650E4">
        <w:rPr>
          <w:rFonts w:ascii="Times New Roman" w:hAnsi="Times New Roman"/>
          <w:kern w:val="28"/>
          <w:sz w:val="24"/>
          <w:szCs w:val="24"/>
          <w:lang w:val="es-ES_tradnl"/>
        </w:rPr>
        <w:t>BID</w:t>
      </w:r>
    </w:p>
    <w:p w14:paraId="0E6E1B65" w14:textId="225B214C" w:rsidR="00353F1B" w:rsidRPr="00053F7F" w:rsidRDefault="00353F1B" w:rsidP="00C703FE">
      <w:pPr>
        <w:pStyle w:val="ListParagraph"/>
        <w:numPr>
          <w:ilvl w:val="0"/>
          <w:numId w:val="17"/>
        </w:numPr>
        <w:spacing w:after="0" w:line="360" w:lineRule="auto"/>
        <w:jc w:val="both"/>
        <w:rPr>
          <w:rFonts w:ascii="Times New Roman" w:hAnsi="Times New Roman"/>
          <w:kern w:val="28"/>
          <w:sz w:val="24"/>
          <w:szCs w:val="24"/>
          <w:lang w:val="es-ES_tradnl"/>
        </w:rPr>
      </w:pPr>
      <w:r w:rsidRPr="00053F7F">
        <w:rPr>
          <w:rFonts w:ascii="Times New Roman" w:hAnsi="Times New Roman"/>
          <w:kern w:val="28"/>
          <w:sz w:val="24"/>
          <w:szCs w:val="24"/>
          <w:lang w:val="es-AR"/>
        </w:rPr>
        <w:t xml:space="preserve">Los beneficios pueden ser computables a partir del </w:t>
      </w:r>
      <w:r w:rsidR="00CB76D7" w:rsidRPr="00053F7F">
        <w:rPr>
          <w:rFonts w:ascii="Times New Roman" w:hAnsi="Times New Roman"/>
          <w:kern w:val="28"/>
          <w:sz w:val="24"/>
          <w:szCs w:val="24"/>
          <w:lang w:val="es-AR"/>
        </w:rPr>
        <w:t>sexto</w:t>
      </w:r>
      <w:r w:rsidRPr="00053F7F">
        <w:rPr>
          <w:rFonts w:ascii="Times New Roman" w:hAnsi="Times New Roman"/>
          <w:kern w:val="28"/>
          <w:sz w:val="24"/>
          <w:szCs w:val="24"/>
          <w:lang w:val="es-AR"/>
        </w:rPr>
        <w:t xml:space="preserve"> año de ejecución</w:t>
      </w:r>
      <w:r w:rsidR="00053F7F" w:rsidRPr="00053F7F">
        <w:rPr>
          <w:rFonts w:ascii="Times New Roman" w:hAnsi="Times New Roman"/>
          <w:kern w:val="28"/>
          <w:sz w:val="24"/>
          <w:szCs w:val="24"/>
          <w:lang w:val="es-AR"/>
        </w:rPr>
        <w:t xml:space="preserve"> </w:t>
      </w:r>
      <w:r w:rsidR="00C51EF2">
        <w:rPr>
          <w:rFonts w:ascii="Times New Roman" w:hAnsi="Times New Roman"/>
          <w:kern w:val="28"/>
          <w:sz w:val="24"/>
          <w:szCs w:val="24"/>
          <w:lang w:val="es-AR"/>
        </w:rPr>
        <w:t xml:space="preserve">y se perciben durante </w:t>
      </w:r>
      <w:r w:rsidR="00810527">
        <w:rPr>
          <w:rFonts w:ascii="Times New Roman" w:hAnsi="Times New Roman"/>
          <w:kern w:val="28"/>
          <w:sz w:val="24"/>
          <w:szCs w:val="24"/>
          <w:lang w:val="es-AR"/>
        </w:rPr>
        <w:t>cinco</w:t>
      </w:r>
      <w:r w:rsidR="00C51EF2">
        <w:rPr>
          <w:rFonts w:ascii="Times New Roman" w:hAnsi="Times New Roman"/>
          <w:kern w:val="28"/>
          <w:sz w:val="24"/>
          <w:szCs w:val="24"/>
          <w:lang w:val="es-AR"/>
        </w:rPr>
        <w:t xml:space="preserve"> años</w:t>
      </w:r>
      <w:r w:rsidR="00810527">
        <w:rPr>
          <w:rFonts w:ascii="Times New Roman" w:hAnsi="Times New Roman"/>
          <w:kern w:val="28"/>
          <w:sz w:val="24"/>
          <w:szCs w:val="24"/>
          <w:lang w:val="es-AR"/>
        </w:rPr>
        <w:t xml:space="preserve"> </w:t>
      </w:r>
      <w:r w:rsidR="00053F7F" w:rsidRPr="00053F7F">
        <w:rPr>
          <w:rFonts w:ascii="Times New Roman" w:hAnsi="Times New Roman"/>
          <w:kern w:val="28"/>
          <w:sz w:val="24"/>
          <w:szCs w:val="24"/>
          <w:lang w:val="es-AR"/>
        </w:rPr>
        <w:t>(Card et al. 2017)</w:t>
      </w:r>
    </w:p>
    <w:p w14:paraId="58223114" w14:textId="39565EC5" w:rsidR="00906E92" w:rsidRDefault="00906E92" w:rsidP="00C703FE">
      <w:pPr>
        <w:pStyle w:val="ListParagraph"/>
        <w:numPr>
          <w:ilvl w:val="0"/>
          <w:numId w:val="17"/>
        </w:numPr>
        <w:spacing w:after="0" w:line="360" w:lineRule="auto"/>
        <w:jc w:val="both"/>
        <w:rPr>
          <w:rFonts w:ascii="Times New Roman" w:hAnsi="Times New Roman"/>
          <w:kern w:val="28"/>
          <w:sz w:val="24"/>
          <w:szCs w:val="24"/>
          <w:lang w:val="es-ES_tradnl"/>
        </w:rPr>
      </w:pPr>
      <w:r>
        <w:rPr>
          <w:rFonts w:ascii="Times New Roman" w:hAnsi="Times New Roman"/>
          <w:kern w:val="28"/>
          <w:sz w:val="24"/>
          <w:szCs w:val="24"/>
          <w:lang w:val="es-ES_tradnl"/>
        </w:rPr>
        <w:t>Los beneficios que se tienen en cuenta en esta evaluación corresponden a aquellos percibidos directamente por los participantes del programa</w:t>
      </w:r>
    </w:p>
    <w:p w14:paraId="417E7539" w14:textId="7B49ECDC" w:rsidR="00906E92" w:rsidRDefault="00906E92" w:rsidP="00C703FE">
      <w:pPr>
        <w:pStyle w:val="ListParagraph"/>
        <w:numPr>
          <w:ilvl w:val="0"/>
          <w:numId w:val="17"/>
        </w:numPr>
        <w:spacing w:after="0" w:line="360" w:lineRule="auto"/>
        <w:jc w:val="both"/>
        <w:rPr>
          <w:rFonts w:ascii="Times New Roman" w:hAnsi="Times New Roman"/>
          <w:kern w:val="28"/>
          <w:sz w:val="24"/>
          <w:szCs w:val="24"/>
          <w:lang w:val="es-ES_tradnl"/>
        </w:rPr>
      </w:pPr>
      <w:r>
        <w:rPr>
          <w:rFonts w:ascii="Times New Roman" w:hAnsi="Times New Roman"/>
          <w:kern w:val="28"/>
          <w:sz w:val="24"/>
          <w:szCs w:val="24"/>
          <w:lang w:val="es-ES_tradnl"/>
        </w:rPr>
        <w:t xml:space="preserve">El </w:t>
      </w:r>
      <w:r w:rsidRPr="003D3C9F">
        <w:rPr>
          <w:rFonts w:ascii="Times New Roman" w:hAnsi="Times New Roman"/>
          <w:kern w:val="28"/>
          <w:sz w:val="24"/>
          <w:szCs w:val="24"/>
          <w:lang w:val="es-ES_tradnl"/>
        </w:rPr>
        <w:t>programa aumentará</w:t>
      </w:r>
      <w:r w:rsidR="005D7B20" w:rsidRPr="003D3C9F">
        <w:rPr>
          <w:rFonts w:ascii="Times New Roman" w:hAnsi="Times New Roman"/>
          <w:kern w:val="28"/>
          <w:sz w:val="24"/>
          <w:szCs w:val="24"/>
          <w:lang w:val="es-ES_tradnl"/>
        </w:rPr>
        <w:t xml:space="preserve"> </w:t>
      </w:r>
      <w:r w:rsidR="00EA08AA">
        <w:rPr>
          <w:rFonts w:ascii="Times New Roman" w:hAnsi="Times New Roman"/>
          <w:kern w:val="28"/>
          <w:sz w:val="24"/>
          <w:szCs w:val="24"/>
          <w:lang w:val="es-ES_tradnl"/>
        </w:rPr>
        <w:t>4</w:t>
      </w:r>
      <w:r w:rsidRPr="003D3C9F">
        <w:rPr>
          <w:rFonts w:ascii="Times New Roman" w:hAnsi="Times New Roman"/>
          <w:kern w:val="28"/>
          <w:sz w:val="24"/>
          <w:szCs w:val="24"/>
          <w:lang w:val="es-ES_tradnl"/>
        </w:rPr>
        <w:t xml:space="preserve"> puntos porcentuales</w:t>
      </w:r>
      <w:r w:rsidRPr="003D3C9F">
        <w:rPr>
          <w:rFonts w:ascii="Times New Roman" w:hAnsi="Times New Roman"/>
          <w:color w:val="FF0000"/>
          <w:kern w:val="28"/>
          <w:sz w:val="24"/>
          <w:szCs w:val="24"/>
          <w:lang w:val="es-ES_tradnl"/>
        </w:rPr>
        <w:t xml:space="preserve"> </w:t>
      </w:r>
      <w:r w:rsidRPr="003D3C9F">
        <w:rPr>
          <w:rFonts w:ascii="Times New Roman" w:hAnsi="Times New Roman"/>
          <w:kern w:val="28"/>
          <w:sz w:val="24"/>
          <w:szCs w:val="24"/>
          <w:lang w:val="es-ES_tradnl"/>
        </w:rPr>
        <w:t>el impacto</w:t>
      </w:r>
      <w:r>
        <w:rPr>
          <w:rFonts w:ascii="Times New Roman" w:hAnsi="Times New Roman"/>
          <w:kern w:val="28"/>
          <w:sz w:val="24"/>
          <w:szCs w:val="24"/>
          <w:lang w:val="es-ES_tradnl"/>
        </w:rPr>
        <w:t xml:space="preserve"> del Servicio Público de Empleo sobre la </w:t>
      </w:r>
      <w:r w:rsidRPr="00BC2A6E">
        <w:rPr>
          <w:rFonts w:ascii="Times New Roman" w:hAnsi="Times New Roman"/>
          <w:kern w:val="28"/>
          <w:sz w:val="24"/>
          <w:szCs w:val="24"/>
          <w:lang w:val="es-ES_tradnl"/>
        </w:rPr>
        <w:t xml:space="preserve">probabilidad de tener un empleo </w:t>
      </w:r>
      <w:r w:rsidR="005D7B20" w:rsidRPr="00BC2A6E">
        <w:rPr>
          <w:rFonts w:ascii="Times New Roman" w:hAnsi="Times New Roman"/>
          <w:kern w:val="28"/>
          <w:sz w:val="24"/>
          <w:szCs w:val="24"/>
          <w:lang w:val="es-ES_tradnl"/>
        </w:rPr>
        <w:t>con la asistencia del SPE</w:t>
      </w:r>
      <w:r w:rsidR="00D76084" w:rsidRPr="00BC2A6E">
        <w:rPr>
          <w:rFonts w:ascii="Times New Roman" w:hAnsi="Times New Roman"/>
          <w:kern w:val="28"/>
          <w:sz w:val="24"/>
          <w:szCs w:val="24"/>
          <w:lang w:val="es-ES_tradnl"/>
        </w:rPr>
        <w:t xml:space="preserve"> (Card et al. 2017)</w:t>
      </w:r>
      <w:r w:rsidR="005D7B20" w:rsidRPr="00BC2A6E">
        <w:rPr>
          <w:rFonts w:ascii="Times New Roman" w:hAnsi="Times New Roman"/>
          <w:kern w:val="28"/>
          <w:sz w:val="24"/>
          <w:szCs w:val="24"/>
          <w:lang w:val="es-ES_tradnl"/>
        </w:rPr>
        <w:t xml:space="preserve">. Esta probabilidad fue igual a </w:t>
      </w:r>
      <w:r w:rsidR="00BC2A6E" w:rsidRPr="00BC2A6E">
        <w:rPr>
          <w:rFonts w:ascii="Times New Roman" w:hAnsi="Times New Roman"/>
          <w:kern w:val="28"/>
          <w:sz w:val="24"/>
          <w:szCs w:val="24"/>
          <w:lang w:val="es-ES_tradnl"/>
        </w:rPr>
        <w:t>22%</w:t>
      </w:r>
      <w:r w:rsidR="005D7B20" w:rsidRPr="00BC2A6E">
        <w:rPr>
          <w:rFonts w:ascii="Times New Roman" w:hAnsi="Times New Roman"/>
          <w:kern w:val="28"/>
          <w:sz w:val="24"/>
          <w:szCs w:val="24"/>
          <w:lang w:val="es-ES_tradnl"/>
        </w:rPr>
        <w:t xml:space="preserve"> en 2018.</w:t>
      </w:r>
      <w:r w:rsidRPr="00BC2A6E">
        <w:rPr>
          <w:rFonts w:ascii="Times New Roman" w:hAnsi="Times New Roman"/>
          <w:color w:val="FF0000"/>
          <w:kern w:val="28"/>
          <w:sz w:val="24"/>
          <w:szCs w:val="24"/>
          <w:lang w:val="es-ES_tradnl"/>
        </w:rPr>
        <w:t xml:space="preserve"> </w:t>
      </w:r>
      <w:r w:rsidRPr="00BC2A6E">
        <w:rPr>
          <w:rFonts w:ascii="Times New Roman" w:hAnsi="Times New Roman"/>
          <w:kern w:val="28"/>
          <w:sz w:val="24"/>
          <w:szCs w:val="24"/>
          <w:lang w:val="es-ES_tradnl"/>
        </w:rPr>
        <w:t>Esto se traduce en</w:t>
      </w:r>
      <w:r w:rsidR="00D76084" w:rsidRPr="00BC2A6E">
        <w:rPr>
          <w:rFonts w:ascii="Times New Roman" w:hAnsi="Times New Roman"/>
          <w:kern w:val="28"/>
          <w:sz w:val="24"/>
          <w:szCs w:val="24"/>
          <w:lang w:val="es-ES_tradnl"/>
        </w:rPr>
        <w:t xml:space="preserve"> </w:t>
      </w:r>
      <w:r w:rsidR="00EA08AA">
        <w:rPr>
          <w:rFonts w:ascii="Times New Roman" w:hAnsi="Times New Roman"/>
          <w:kern w:val="28"/>
          <w:sz w:val="24"/>
          <w:szCs w:val="24"/>
          <w:lang w:val="es-ES_tradnl"/>
        </w:rPr>
        <w:t>44.287</w:t>
      </w:r>
      <w:r w:rsidRPr="00BC2A6E">
        <w:rPr>
          <w:rFonts w:ascii="Times New Roman" w:hAnsi="Times New Roman"/>
          <w:kern w:val="28"/>
          <w:sz w:val="24"/>
          <w:szCs w:val="24"/>
          <w:lang w:val="es-ES_tradnl"/>
        </w:rPr>
        <w:t xml:space="preserve"> puestos</w:t>
      </w:r>
      <w:r w:rsidR="00C90F82" w:rsidRPr="00BC2A6E">
        <w:rPr>
          <w:rFonts w:ascii="Times New Roman" w:hAnsi="Times New Roman"/>
          <w:kern w:val="28"/>
          <w:sz w:val="24"/>
          <w:szCs w:val="24"/>
          <w:lang w:val="es-ES_tradnl"/>
        </w:rPr>
        <w:t xml:space="preserve"> nuevos</w:t>
      </w:r>
      <w:r w:rsidRPr="00BC2A6E">
        <w:rPr>
          <w:rFonts w:ascii="Times New Roman" w:hAnsi="Times New Roman"/>
          <w:kern w:val="28"/>
          <w:sz w:val="24"/>
          <w:szCs w:val="24"/>
          <w:lang w:val="es-ES_tradnl"/>
        </w:rPr>
        <w:t xml:space="preserve"> de trabajo</w:t>
      </w:r>
      <w:r>
        <w:rPr>
          <w:rFonts w:ascii="Times New Roman" w:hAnsi="Times New Roman"/>
          <w:kern w:val="28"/>
          <w:sz w:val="24"/>
          <w:szCs w:val="24"/>
          <w:lang w:val="es-ES_tradnl"/>
        </w:rPr>
        <w:t xml:space="preserve"> cubiertos</w:t>
      </w:r>
    </w:p>
    <w:p w14:paraId="7AD9AB4B" w14:textId="11DFC2E8" w:rsidR="00906E92" w:rsidRDefault="00906E92" w:rsidP="00C703FE">
      <w:pPr>
        <w:pStyle w:val="ListParagraph"/>
        <w:numPr>
          <w:ilvl w:val="0"/>
          <w:numId w:val="17"/>
        </w:numPr>
        <w:spacing w:after="0" w:line="360" w:lineRule="auto"/>
        <w:jc w:val="both"/>
        <w:rPr>
          <w:rFonts w:ascii="Times New Roman" w:hAnsi="Times New Roman"/>
          <w:kern w:val="28"/>
          <w:sz w:val="24"/>
          <w:szCs w:val="24"/>
          <w:lang w:val="es-ES_tradnl"/>
        </w:rPr>
      </w:pPr>
      <w:r>
        <w:rPr>
          <w:rFonts w:ascii="Times New Roman" w:hAnsi="Times New Roman"/>
          <w:kern w:val="28"/>
          <w:sz w:val="24"/>
          <w:szCs w:val="24"/>
          <w:lang w:val="es-ES_tradnl"/>
        </w:rPr>
        <w:t xml:space="preserve">El salario </w:t>
      </w:r>
      <w:r w:rsidR="00053F7F">
        <w:rPr>
          <w:rFonts w:ascii="Times New Roman" w:hAnsi="Times New Roman"/>
          <w:kern w:val="28"/>
          <w:sz w:val="24"/>
          <w:szCs w:val="24"/>
          <w:lang w:val="es-ES_tradnl"/>
        </w:rPr>
        <w:t>mínimo</w:t>
      </w:r>
      <w:r>
        <w:rPr>
          <w:rFonts w:ascii="Times New Roman" w:hAnsi="Times New Roman"/>
          <w:kern w:val="28"/>
          <w:sz w:val="24"/>
          <w:szCs w:val="24"/>
          <w:lang w:val="es-ES_tradnl"/>
        </w:rPr>
        <w:t xml:space="preserve"> en Colombia es </w:t>
      </w:r>
      <w:r w:rsidR="00053F7F">
        <w:rPr>
          <w:rFonts w:ascii="Times New Roman" w:hAnsi="Times New Roman"/>
          <w:kern w:val="28"/>
          <w:sz w:val="24"/>
          <w:szCs w:val="24"/>
          <w:lang w:val="es-ES_tradnl"/>
        </w:rPr>
        <w:t>US$ 251</w:t>
      </w:r>
    </w:p>
    <w:p w14:paraId="5044F534" w14:textId="5DF1E3B8" w:rsidR="00FA1C80" w:rsidRPr="00906E92" w:rsidRDefault="00FA1C80" w:rsidP="00C703FE">
      <w:pPr>
        <w:pStyle w:val="ListParagraph"/>
        <w:numPr>
          <w:ilvl w:val="0"/>
          <w:numId w:val="17"/>
        </w:numPr>
        <w:spacing w:after="0" w:line="360" w:lineRule="auto"/>
        <w:jc w:val="both"/>
        <w:rPr>
          <w:rFonts w:ascii="Times New Roman" w:hAnsi="Times New Roman"/>
          <w:kern w:val="28"/>
          <w:sz w:val="24"/>
          <w:szCs w:val="24"/>
          <w:lang w:val="es-ES_tradnl"/>
        </w:rPr>
      </w:pPr>
      <w:r>
        <w:rPr>
          <w:rFonts w:ascii="Times New Roman" w:hAnsi="Times New Roman"/>
          <w:kern w:val="28"/>
          <w:sz w:val="24"/>
          <w:szCs w:val="24"/>
          <w:lang w:val="es-ES_tradnl"/>
        </w:rPr>
        <w:t>El seguro de desempleo en Colombia es US$ 428,89</w:t>
      </w:r>
      <w:r w:rsidR="00515DDF">
        <w:rPr>
          <w:rFonts w:ascii="Times New Roman" w:hAnsi="Times New Roman"/>
          <w:kern w:val="28"/>
          <w:sz w:val="24"/>
          <w:szCs w:val="24"/>
          <w:lang w:val="es-ES_tradnl"/>
        </w:rPr>
        <w:t xml:space="preserve"> y lo reciben 200.001 personas de las atendidas por el SPE (</w:t>
      </w:r>
      <w:proofErr w:type="spellStart"/>
      <w:r w:rsidR="00515DDF">
        <w:rPr>
          <w:rFonts w:ascii="Times New Roman" w:hAnsi="Times New Roman"/>
          <w:kern w:val="28"/>
          <w:sz w:val="24"/>
          <w:szCs w:val="24"/>
          <w:lang w:val="es-ES_tradnl"/>
        </w:rPr>
        <w:t>Asocajas</w:t>
      </w:r>
      <w:proofErr w:type="spellEnd"/>
      <w:r w:rsidR="00515DDF">
        <w:rPr>
          <w:rFonts w:ascii="Times New Roman" w:hAnsi="Times New Roman"/>
          <w:kern w:val="28"/>
          <w:sz w:val="24"/>
          <w:szCs w:val="24"/>
          <w:lang w:val="es-ES_tradnl"/>
        </w:rPr>
        <w:t>, 2018)</w:t>
      </w:r>
    </w:p>
    <w:p w14:paraId="167B9C38" w14:textId="2F237619" w:rsidR="00EC433C" w:rsidRPr="00EC433C" w:rsidRDefault="00EC433C" w:rsidP="00C703FE">
      <w:pPr>
        <w:pStyle w:val="Paragraph"/>
        <w:numPr>
          <w:ilvl w:val="0"/>
          <w:numId w:val="0"/>
        </w:numPr>
        <w:spacing w:before="0" w:after="0" w:line="360" w:lineRule="auto"/>
        <w:ind w:firstLine="357"/>
        <w:rPr>
          <w:b/>
          <w:kern w:val="28"/>
          <w:u w:val="single"/>
        </w:rPr>
      </w:pPr>
      <w:r w:rsidRPr="00EC433C">
        <w:rPr>
          <w:b/>
          <w:kern w:val="28"/>
          <w:u w:val="single"/>
        </w:rPr>
        <w:t>Costos</w:t>
      </w:r>
    </w:p>
    <w:p w14:paraId="1115BBE2" w14:textId="77777777" w:rsidR="00C703FE" w:rsidRDefault="00EC433C" w:rsidP="00C703FE">
      <w:pPr>
        <w:pStyle w:val="Paragraph"/>
        <w:numPr>
          <w:ilvl w:val="0"/>
          <w:numId w:val="0"/>
        </w:numPr>
        <w:spacing w:before="0" w:after="0" w:line="360" w:lineRule="auto"/>
        <w:ind w:firstLine="357"/>
        <w:rPr>
          <w:kern w:val="28"/>
        </w:rPr>
      </w:pPr>
      <w:r w:rsidRPr="00974805">
        <w:rPr>
          <w:kern w:val="28"/>
        </w:rPr>
        <w:t>Para el cálculo de los costos se utilizan los siguientes supuestos:</w:t>
      </w:r>
      <w:r w:rsidR="00C703FE">
        <w:rPr>
          <w:kern w:val="28"/>
        </w:rPr>
        <w:t xml:space="preserve"> </w:t>
      </w:r>
    </w:p>
    <w:p w14:paraId="187BD8E0" w14:textId="1FCFDB0B" w:rsidR="00C703FE" w:rsidRDefault="00EC433C" w:rsidP="00C703FE">
      <w:pPr>
        <w:pStyle w:val="Paragraph"/>
        <w:numPr>
          <w:ilvl w:val="0"/>
          <w:numId w:val="18"/>
        </w:numPr>
        <w:spacing w:before="0" w:after="0" w:line="360" w:lineRule="auto"/>
      </w:pPr>
      <w:r w:rsidRPr="000B0DD0">
        <w:t xml:space="preserve">Los costos </w:t>
      </w:r>
      <w:r w:rsidR="006C6377">
        <w:t xml:space="preserve">contemplan </w:t>
      </w:r>
      <w:r w:rsidR="002972BF" w:rsidRPr="001D11C5">
        <w:rPr>
          <w:bCs/>
          <w:spacing w:val="-2"/>
          <w:szCs w:val="24"/>
        </w:rPr>
        <w:t>US$</w:t>
      </w:r>
      <w:r w:rsidR="001D11C5" w:rsidRPr="001D11C5">
        <w:rPr>
          <w:bCs/>
          <w:spacing w:val="-2"/>
          <w:szCs w:val="24"/>
        </w:rPr>
        <w:t xml:space="preserve"> </w:t>
      </w:r>
      <w:r w:rsidR="0031466F">
        <w:rPr>
          <w:bCs/>
          <w:spacing w:val="-2"/>
          <w:szCs w:val="24"/>
        </w:rPr>
        <w:t>2</w:t>
      </w:r>
      <w:r w:rsidR="006C6377">
        <w:rPr>
          <w:bCs/>
          <w:spacing w:val="-2"/>
          <w:szCs w:val="24"/>
        </w:rPr>
        <w:t>5</w:t>
      </w:r>
      <w:r w:rsidR="0031466F">
        <w:rPr>
          <w:bCs/>
          <w:spacing w:val="-2"/>
          <w:szCs w:val="24"/>
        </w:rPr>
        <w:t>.000.000</w:t>
      </w:r>
      <w:r w:rsidR="006C6377">
        <w:rPr>
          <w:bCs/>
        </w:rPr>
        <w:t xml:space="preserve"> por las inversiones del programa más US $ 2 millones de manutención de las inversiones (v.g., mantenimiento de sistemas de información y de servicios de atención al ciudadano).</w:t>
      </w:r>
    </w:p>
    <w:p w14:paraId="36E976DD" w14:textId="26588B0C" w:rsidR="0031466F" w:rsidRPr="000B0DD0" w:rsidRDefault="00310A79" w:rsidP="00B0134D">
      <w:pPr>
        <w:pStyle w:val="Paragraph"/>
        <w:numPr>
          <w:ilvl w:val="0"/>
          <w:numId w:val="18"/>
        </w:numPr>
        <w:spacing w:before="0" w:after="0" w:line="360" w:lineRule="auto"/>
      </w:pPr>
      <w:r>
        <w:t xml:space="preserve">Se </w:t>
      </w:r>
      <w:r w:rsidR="006C6377">
        <w:t>invertirán</w:t>
      </w:r>
      <w:r>
        <w:t xml:space="preserve"> US$ 5</w:t>
      </w:r>
      <w:r w:rsidR="00705D45">
        <w:t>.</w:t>
      </w:r>
      <w:r>
        <w:t>000</w:t>
      </w:r>
      <w:r w:rsidR="00705D45">
        <w:t>.</w:t>
      </w:r>
      <w:r>
        <w:t xml:space="preserve">000 por año durante los primeros cinco años (2020-2024) y luego </w:t>
      </w:r>
      <w:r w:rsidR="006C6377">
        <w:t xml:space="preserve">el gobierno invertirá </w:t>
      </w:r>
      <w:r>
        <w:t>US$ 400</w:t>
      </w:r>
      <w:r w:rsidR="00705D45">
        <w:t>.</w:t>
      </w:r>
      <w:r>
        <w:t>000</w:t>
      </w:r>
      <w:r w:rsidR="006C6377">
        <w:t xml:space="preserve"> anuales para manutención de las inversiones</w:t>
      </w:r>
      <w:r>
        <w:t xml:space="preserve"> durante los últimos cinco años (2025-2029).</w:t>
      </w:r>
      <w:r w:rsidR="00C703FE">
        <w:t xml:space="preserve"> </w:t>
      </w:r>
      <w:r w:rsidR="00044248">
        <w:t xml:space="preserve">El horizonte a partir del cual se calculan beneficios es de </w:t>
      </w:r>
      <w:r w:rsidR="00053F7F">
        <w:t>10</w:t>
      </w:r>
      <w:r w:rsidR="00044248">
        <w:t xml:space="preserve"> años. Luego de transcurrido ese período no se computarán beneficios, aunque es posible que existan. Este supuesto es conservador ya que, de no cumplirse, los beneficios finales serían mayores a los estimados en este análisis</w:t>
      </w:r>
    </w:p>
    <w:p w14:paraId="7E766EFA" w14:textId="1250B8B8" w:rsidR="00EC433C" w:rsidRPr="00EC433C" w:rsidRDefault="00EC433C" w:rsidP="00C703FE">
      <w:pPr>
        <w:pStyle w:val="Vieta"/>
        <w:numPr>
          <w:ilvl w:val="0"/>
          <w:numId w:val="0"/>
        </w:numPr>
        <w:spacing w:line="360" w:lineRule="auto"/>
        <w:ind w:firstLine="357"/>
        <w:rPr>
          <w:b/>
          <w:u w:val="single"/>
        </w:rPr>
      </w:pPr>
      <w:r w:rsidRPr="00B0134D">
        <w:rPr>
          <w:b/>
          <w:u w:val="single"/>
        </w:rPr>
        <w:t>Cálculos</w:t>
      </w:r>
    </w:p>
    <w:p w14:paraId="458A6D94" w14:textId="7ED561D6" w:rsidR="004739E2" w:rsidRPr="00BF3520" w:rsidRDefault="004739E2" w:rsidP="00015A71">
      <w:pPr>
        <w:pStyle w:val="Paragraph"/>
        <w:numPr>
          <w:ilvl w:val="0"/>
          <w:numId w:val="0"/>
        </w:numPr>
        <w:spacing w:before="0" w:after="0" w:line="360" w:lineRule="auto"/>
        <w:rPr>
          <w:kern w:val="28"/>
        </w:rPr>
      </w:pPr>
      <w:r w:rsidRPr="00974805">
        <w:rPr>
          <w:kern w:val="28"/>
        </w:rPr>
        <w:t xml:space="preserve">El primer cálculo necesario para el análisis consiste en la estimación </w:t>
      </w:r>
      <w:r>
        <w:rPr>
          <w:kern w:val="28"/>
        </w:rPr>
        <w:t xml:space="preserve">de los beneficios anuales derivados de los ahorros a causa </w:t>
      </w:r>
      <w:r w:rsidR="002E5536">
        <w:rPr>
          <w:kern w:val="28"/>
        </w:rPr>
        <w:t>del aumento en la probabilidad de encontrar empleo para aquellos individuos que forman parte del programa</w:t>
      </w:r>
      <w:r w:rsidRPr="00974805">
        <w:rPr>
          <w:kern w:val="28"/>
        </w:rPr>
        <w:t>.</w:t>
      </w:r>
      <w:r>
        <w:rPr>
          <w:kern w:val="28"/>
        </w:rPr>
        <w:t xml:space="preserve"> Luego, esta fórmula será replicada para cada año aplicándose sobre ella una tasa de descuento del 12%. </w:t>
      </w:r>
      <w:r w:rsidRPr="00BF3520">
        <w:rPr>
          <w:kern w:val="28"/>
        </w:rPr>
        <w:t xml:space="preserve">Para estimar los beneficios totales se debe tener en cuenta el supuesto </w:t>
      </w:r>
      <w:r w:rsidRPr="000808D5">
        <w:rPr>
          <w:kern w:val="28"/>
        </w:rPr>
        <w:t xml:space="preserve">de </w:t>
      </w:r>
      <w:r w:rsidR="002E5536">
        <w:rPr>
          <w:kern w:val="28"/>
        </w:rPr>
        <w:t>10</w:t>
      </w:r>
      <w:r w:rsidRPr="000808D5">
        <w:rPr>
          <w:kern w:val="28"/>
        </w:rPr>
        <w:t xml:space="preserve"> años durante</w:t>
      </w:r>
      <w:r w:rsidRPr="00BF3520">
        <w:rPr>
          <w:kern w:val="28"/>
        </w:rPr>
        <w:t xml:space="preserve"> los cuales se consideran los efectos del </w:t>
      </w:r>
      <w:r w:rsidR="002E5536">
        <w:rPr>
          <w:kern w:val="28"/>
        </w:rPr>
        <w:t>programa</w:t>
      </w:r>
      <w:r w:rsidRPr="00BF3520">
        <w:rPr>
          <w:kern w:val="28"/>
        </w:rPr>
        <w:t>. Sin embargo, a efectos de obtener el valor actual, debe tenerse en cuenta la tasa utilizada por el BID del 12%, lo que nos lleva a que los beneficios totales se deberían calcular mediante la siguiente fórmula:</w:t>
      </w:r>
    </w:p>
    <w:p w14:paraId="6A9A9716" w14:textId="3B3835B7" w:rsidR="004739E2" w:rsidRPr="00C703FE" w:rsidRDefault="004139F7" w:rsidP="00C703FE">
      <w:pPr>
        <w:spacing w:after="0" w:line="360" w:lineRule="auto"/>
        <w:ind w:left="567" w:firstLine="357"/>
        <w:jc w:val="both"/>
        <w:rPr>
          <w:rFonts w:ascii="Times New Roman" w:hAnsi="Times New Roman"/>
          <w:szCs w:val="24"/>
          <w:lang w:val="es-ES"/>
        </w:rPr>
      </w:pPr>
      <m:oMathPara>
        <m:oMath>
          <m:sSub>
            <m:sSubPr>
              <m:ctrlPr>
                <w:rPr>
                  <w:rFonts w:ascii="Cambria Math" w:hAnsi="Cambria Math"/>
                  <w:i/>
                  <w:szCs w:val="24"/>
                  <w:lang w:val="es-ES"/>
                </w:rPr>
              </m:ctrlPr>
            </m:sSubPr>
            <m:e>
              <m:r>
                <w:rPr>
                  <w:rFonts w:ascii="Cambria Math" w:hAnsi="Cambria Math"/>
                  <w:szCs w:val="24"/>
                  <w:lang w:val="es-ES"/>
                </w:rPr>
                <m:t>B</m:t>
              </m:r>
            </m:e>
            <m:sub>
              <m:r>
                <w:rPr>
                  <w:rFonts w:ascii="Cambria Math" w:hAnsi="Cambria Math"/>
                  <w:szCs w:val="24"/>
                  <w:lang w:val="es-ES"/>
                </w:rPr>
                <m:t>tI</m:t>
              </m:r>
            </m:sub>
          </m:sSub>
          <m:r>
            <w:rPr>
              <w:rFonts w:ascii="Cambria Math" w:hAnsi="Cambria Math"/>
              <w:szCs w:val="24"/>
              <w:lang w:val="es-ES"/>
            </w:rPr>
            <m:t>=</m:t>
          </m:r>
          <m:nary>
            <m:naryPr>
              <m:chr m:val="∑"/>
              <m:limLoc m:val="undOvr"/>
              <m:ctrlPr>
                <w:rPr>
                  <w:rFonts w:ascii="Cambria Math" w:hAnsi="Cambria Math"/>
                  <w:i/>
                  <w:szCs w:val="24"/>
                  <w:lang w:val="es-ES"/>
                </w:rPr>
              </m:ctrlPr>
            </m:naryPr>
            <m:sub>
              <m:r>
                <w:rPr>
                  <w:rFonts w:ascii="Cambria Math" w:hAnsi="Cambria Math"/>
                  <w:szCs w:val="24"/>
                  <w:lang w:val="es-ES"/>
                </w:rPr>
                <m:t>t=0</m:t>
              </m:r>
            </m:sub>
            <m:sup>
              <m:r>
                <w:rPr>
                  <w:rFonts w:ascii="Cambria Math" w:hAnsi="Cambria Math"/>
                  <w:szCs w:val="24"/>
                  <w:lang w:val="es-ES"/>
                </w:rPr>
                <m:t>9</m:t>
              </m:r>
            </m:sup>
            <m:e>
              <m:f>
                <m:fPr>
                  <m:ctrlPr>
                    <w:rPr>
                      <w:rFonts w:ascii="Cambria Math" w:hAnsi="Cambria Math"/>
                      <w:i/>
                      <w:szCs w:val="24"/>
                      <w:lang w:val="es-ES"/>
                    </w:rPr>
                  </m:ctrlPr>
                </m:fPr>
                <m:num>
                  <m:sSub>
                    <m:sSubPr>
                      <m:ctrlPr>
                        <w:rPr>
                          <w:rFonts w:ascii="Cambria Math" w:hAnsi="Cambria Math"/>
                          <w:i/>
                          <w:szCs w:val="24"/>
                          <w:lang w:val="es-ES"/>
                        </w:rPr>
                      </m:ctrlPr>
                    </m:sSubPr>
                    <m:e>
                      <m:r>
                        <w:rPr>
                          <w:rFonts w:ascii="Cambria Math" w:hAnsi="Cambria Math"/>
                          <w:szCs w:val="24"/>
                          <w:lang w:val="es-ES"/>
                        </w:rPr>
                        <m:t>B</m:t>
                      </m:r>
                    </m:e>
                    <m:sub>
                      <m:r>
                        <w:rPr>
                          <w:rFonts w:ascii="Cambria Math" w:hAnsi="Cambria Math"/>
                          <w:szCs w:val="24"/>
                          <w:lang w:val="es-ES"/>
                        </w:rPr>
                        <m:t>t</m:t>
                      </m:r>
                    </m:sub>
                  </m:sSub>
                </m:num>
                <m:den>
                  <m:sSup>
                    <m:sSupPr>
                      <m:ctrlPr>
                        <w:rPr>
                          <w:rFonts w:ascii="Cambria Math" w:hAnsi="Cambria Math"/>
                          <w:i/>
                          <w:szCs w:val="24"/>
                          <w:lang w:val="es-ES"/>
                        </w:rPr>
                      </m:ctrlPr>
                    </m:sSupPr>
                    <m:e>
                      <m:r>
                        <w:rPr>
                          <w:rFonts w:ascii="Cambria Math" w:hAnsi="Cambria Math"/>
                          <w:szCs w:val="24"/>
                          <w:lang w:val="es-ES"/>
                        </w:rPr>
                        <m:t>1,12</m:t>
                      </m:r>
                    </m:e>
                    <m:sup>
                      <m:r>
                        <w:rPr>
                          <w:rFonts w:ascii="Cambria Math" w:hAnsi="Cambria Math"/>
                          <w:szCs w:val="24"/>
                          <w:lang w:val="es-ES"/>
                        </w:rPr>
                        <m:t>t</m:t>
                      </m:r>
                    </m:sup>
                  </m:sSup>
                </m:den>
              </m:f>
            </m:e>
          </m:nary>
          <m:r>
            <w:rPr>
              <w:rFonts w:ascii="Cambria Math" w:hAnsi="Cambria Math"/>
              <w:szCs w:val="24"/>
              <w:lang w:val="es-ES"/>
            </w:rPr>
            <m:t>,</m:t>
          </m:r>
        </m:oMath>
      </m:oMathPara>
    </w:p>
    <w:p w14:paraId="48FAF700" w14:textId="03CA0C9E" w:rsidR="00EC433C" w:rsidRPr="004739E2" w:rsidRDefault="004739E2" w:rsidP="00C703FE">
      <w:pPr>
        <w:pStyle w:val="Paragraph"/>
        <w:numPr>
          <w:ilvl w:val="0"/>
          <w:numId w:val="0"/>
        </w:numPr>
        <w:spacing w:before="0" w:after="0" w:line="360" w:lineRule="auto"/>
        <w:rPr>
          <w:rFonts w:eastAsia="Calibri"/>
          <w:szCs w:val="24"/>
        </w:rPr>
      </w:pPr>
      <w:r w:rsidRPr="00974805">
        <w:rPr>
          <w:szCs w:val="24"/>
        </w:rPr>
        <w:t xml:space="preserve">donde </w:t>
      </w:r>
      <m:oMath>
        <m:r>
          <w:rPr>
            <w:rFonts w:ascii="Cambria Math" w:hAnsi="Cambria Math"/>
            <w:szCs w:val="24"/>
          </w:rPr>
          <m:t>I</m:t>
        </m:r>
      </m:oMath>
      <w:r>
        <w:rPr>
          <w:i/>
          <w:szCs w:val="24"/>
        </w:rPr>
        <w:t xml:space="preserve"> </w:t>
      </w:r>
      <w:r w:rsidRPr="00BC7E94">
        <w:rPr>
          <w:szCs w:val="24"/>
        </w:rPr>
        <w:t>se</w:t>
      </w:r>
      <w:r>
        <w:rPr>
          <w:i/>
          <w:szCs w:val="24"/>
        </w:rPr>
        <w:t xml:space="preserve"> </w:t>
      </w:r>
      <w:r>
        <w:rPr>
          <w:szCs w:val="24"/>
        </w:rPr>
        <w:t xml:space="preserve">refiere a que los beneficios son generados por el </w:t>
      </w:r>
      <w:r w:rsidR="002E5536">
        <w:rPr>
          <w:szCs w:val="24"/>
        </w:rPr>
        <w:t>programa</w:t>
      </w:r>
      <w:r>
        <w:rPr>
          <w:szCs w:val="24"/>
        </w:rPr>
        <w:t xml:space="preserve">, </w:t>
      </w:r>
      <m:oMath>
        <m:r>
          <w:rPr>
            <w:rFonts w:ascii="Cambria Math" w:hAnsi="Cambria Math"/>
            <w:szCs w:val="24"/>
          </w:rPr>
          <m:t>B</m:t>
        </m:r>
      </m:oMath>
      <w:r>
        <w:rPr>
          <w:szCs w:val="24"/>
        </w:rPr>
        <w:t xml:space="preserve"> denota los beneficios y </w:t>
      </w:r>
      <m:oMath>
        <m:r>
          <w:rPr>
            <w:rFonts w:ascii="Cambria Math" w:hAnsi="Cambria Math"/>
            <w:szCs w:val="24"/>
          </w:rPr>
          <m:t>t</m:t>
        </m:r>
      </m:oMath>
      <w:r w:rsidRPr="00974805">
        <w:rPr>
          <w:szCs w:val="24"/>
        </w:rPr>
        <w:t xml:space="preserve"> </w:t>
      </w:r>
      <w:r>
        <w:rPr>
          <w:szCs w:val="24"/>
        </w:rPr>
        <w:t>indica el año corriente.</w:t>
      </w:r>
    </w:p>
    <w:p w14:paraId="09C6F66B" w14:textId="77777777" w:rsidR="004739E2" w:rsidRDefault="004739E2" w:rsidP="00015A71">
      <w:pPr>
        <w:pStyle w:val="Paragraph"/>
        <w:numPr>
          <w:ilvl w:val="0"/>
          <w:numId w:val="0"/>
        </w:numPr>
        <w:spacing w:before="0" w:after="0" w:line="360" w:lineRule="auto"/>
        <w:rPr>
          <w:szCs w:val="24"/>
        </w:rPr>
      </w:pPr>
      <w:r w:rsidRPr="00974805">
        <w:rPr>
          <w:szCs w:val="24"/>
        </w:rPr>
        <w:t xml:space="preserve">Los costos de operación se calculan como el valor presente del flujo de gastos </w:t>
      </w:r>
      <w:r>
        <w:rPr>
          <w:szCs w:val="24"/>
        </w:rPr>
        <w:t>del proyecto</w:t>
      </w:r>
      <w:r w:rsidRPr="00974805">
        <w:rPr>
          <w:szCs w:val="24"/>
        </w:rPr>
        <w:t>. La fórmula utilizada es:</w:t>
      </w:r>
    </w:p>
    <w:p w14:paraId="30E81B9F" w14:textId="7952C005" w:rsidR="004739E2" w:rsidRDefault="004139F7" w:rsidP="00C703FE">
      <w:pPr>
        <w:spacing w:after="0" w:line="360" w:lineRule="auto"/>
        <w:ind w:left="567" w:firstLine="357"/>
        <w:jc w:val="both"/>
        <w:rPr>
          <w:rFonts w:ascii="Times New Roman" w:hAnsi="Times New Roman"/>
          <w:sz w:val="24"/>
          <w:szCs w:val="24"/>
          <w:lang w:val="es-ES"/>
        </w:rPr>
      </w:pPr>
      <m:oMathPara>
        <m:oMath>
          <m:sSub>
            <m:sSubPr>
              <m:ctrlPr>
                <w:rPr>
                  <w:rFonts w:ascii="Cambria Math" w:hAnsi="Cambria Math"/>
                  <w:i/>
                  <w:lang w:val="es-ES"/>
                </w:rPr>
              </m:ctrlPr>
            </m:sSubPr>
            <m:e>
              <m:r>
                <w:rPr>
                  <w:rFonts w:ascii="Cambria Math" w:hAnsi="Cambria Math"/>
                  <w:lang w:val="es-ES"/>
                </w:rPr>
                <m:t>Co</m:t>
              </m:r>
            </m:e>
            <m:sub>
              <m:r>
                <w:rPr>
                  <w:rFonts w:ascii="Cambria Math" w:hAnsi="Cambria Math"/>
                  <w:lang w:val="es-ES"/>
                </w:rPr>
                <m:t>i</m:t>
              </m:r>
            </m:sub>
          </m:sSub>
          <m:r>
            <w:rPr>
              <w:rFonts w:ascii="Cambria Math" w:hAnsi="Cambria Math"/>
              <w:lang w:val="es-ES"/>
            </w:rPr>
            <m:t>=</m:t>
          </m:r>
          <m:nary>
            <m:naryPr>
              <m:chr m:val="∑"/>
              <m:limLoc m:val="undOvr"/>
              <m:ctrlPr>
                <w:rPr>
                  <w:rFonts w:ascii="Cambria Math" w:hAnsi="Cambria Math"/>
                  <w:i/>
                  <w:lang w:val="es-ES"/>
                </w:rPr>
              </m:ctrlPr>
            </m:naryPr>
            <m:sub>
              <m:r>
                <w:rPr>
                  <w:rFonts w:ascii="Cambria Math" w:hAnsi="Cambria Math"/>
                  <w:lang w:val="es-ES"/>
                </w:rPr>
                <m:t>t=0</m:t>
              </m:r>
            </m:sub>
            <m:sup>
              <m:r>
                <w:rPr>
                  <w:rFonts w:ascii="Cambria Math" w:hAnsi="Cambria Math"/>
                  <w:lang w:val="es-ES"/>
                </w:rPr>
                <m:t>9</m:t>
              </m:r>
            </m:sup>
            <m:e>
              <m:f>
                <m:fPr>
                  <m:ctrlPr>
                    <w:rPr>
                      <w:rFonts w:ascii="Cambria Math" w:hAnsi="Cambria Math"/>
                      <w:i/>
                      <w:lang w:val="es-ES"/>
                    </w:rPr>
                  </m:ctrlPr>
                </m:fPr>
                <m:num>
                  <m:sSub>
                    <m:sSubPr>
                      <m:ctrlPr>
                        <w:rPr>
                          <w:rFonts w:ascii="Cambria Math" w:hAnsi="Cambria Math"/>
                          <w:i/>
                          <w:lang w:val="es-ES"/>
                        </w:rPr>
                      </m:ctrlPr>
                    </m:sSubPr>
                    <m:e>
                      <m:r>
                        <w:rPr>
                          <w:rFonts w:ascii="Cambria Math" w:hAnsi="Cambria Math"/>
                          <w:lang w:val="es-ES"/>
                        </w:rPr>
                        <m:t>g</m:t>
                      </m:r>
                    </m:e>
                    <m:sub>
                      <m:r>
                        <w:rPr>
                          <w:rFonts w:ascii="Cambria Math" w:hAnsi="Cambria Math"/>
                          <w:lang w:val="es-ES"/>
                        </w:rPr>
                        <m:t>t</m:t>
                      </m:r>
                    </m:sub>
                  </m:sSub>
                </m:num>
                <m:den>
                  <m:sSup>
                    <m:sSupPr>
                      <m:ctrlPr>
                        <w:rPr>
                          <w:rFonts w:ascii="Cambria Math" w:hAnsi="Cambria Math"/>
                          <w:i/>
                          <w:lang w:val="es-ES"/>
                        </w:rPr>
                      </m:ctrlPr>
                    </m:sSupPr>
                    <m:e>
                      <m:r>
                        <w:rPr>
                          <w:rFonts w:ascii="Cambria Math" w:hAnsi="Cambria Math"/>
                          <w:lang w:val="es-ES"/>
                        </w:rPr>
                        <m:t>1,12</m:t>
                      </m:r>
                    </m:e>
                    <m:sup>
                      <m:r>
                        <w:rPr>
                          <w:rFonts w:ascii="Cambria Math" w:hAnsi="Cambria Math"/>
                          <w:lang w:val="es-ES"/>
                        </w:rPr>
                        <m:t>t</m:t>
                      </m:r>
                    </m:sup>
                  </m:sSup>
                </m:den>
              </m:f>
            </m:e>
          </m:nary>
          <m:r>
            <w:rPr>
              <w:rFonts w:ascii="Cambria Math" w:hAnsi="Cambria Math"/>
              <w:lang w:val="es-ES"/>
            </w:rPr>
            <m:t>,</m:t>
          </m:r>
        </m:oMath>
      </m:oMathPara>
    </w:p>
    <w:p w14:paraId="0D501321" w14:textId="4DA1BAB1" w:rsidR="00C703FE" w:rsidRPr="00B0134D" w:rsidRDefault="004739E2" w:rsidP="00C703FE">
      <w:pPr>
        <w:pStyle w:val="Paragraph"/>
        <w:numPr>
          <w:ilvl w:val="0"/>
          <w:numId w:val="0"/>
        </w:numPr>
        <w:spacing w:before="0" w:after="0" w:line="360" w:lineRule="auto"/>
      </w:pPr>
      <w:r w:rsidRPr="00974805">
        <w:t>donde g es el gasto anual p</w:t>
      </w:r>
      <w:r>
        <w:t xml:space="preserve">ara </w:t>
      </w:r>
      <w:r w:rsidR="002E5536">
        <w:t>el programa</w:t>
      </w:r>
      <w:r w:rsidRPr="00974805">
        <w:t xml:space="preserve">, t </w:t>
      </w:r>
      <w:r>
        <w:t>denota el periodo corriente</w:t>
      </w:r>
      <w:r w:rsidRPr="00974805">
        <w:t>.</w:t>
      </w:r>
      <w:r>
        <w:t xml:space="preserve"> El costo total es de </w:t>
      </w:r>
      <w:r w:rsidR="00B64BF0">
        <w:t>US$</w:t>
      </w:r>
      <w:r w:rsidR="002E5536">
        <w:t xml:space="preserve"> 2</w:t>
      </w:r>
      <w:r w:rsidR="006C6377">
        <w:t>5</w:t>
      </w:r>
      <w:r w:rsidR="002E5536">
        <w:t>.000</w:t>
      </w:r>
      <w:r w:rsidR="00044248">
        <w:t>.000</w:t>
      </w:r>
      <w:r w:rsidR="006C6377">
        <w:t xml:space="preserve"> (costo de inversión del proyecto) más US$ 2.000.000 (manutención de las inversiones)</w:t>
      </w:r>
      <w:r w:rsidRPr="00044248">
        <w:t>.</w:t>
      </w:r>
    </w:p>
    <w:tbl>
      <w:tblPr>
        <w:tblW w:w="9377" w:type="dxa"/>
        <w:jc w:val="center"/>
        <w:tblLayout w:type="fixed"/>
        <w:tblLook w:val="04A0" w:firstRow="1" w:lastRow="0" w:firstColumn="1" w:lastColumn="0" w:noHBand="0" w:noVBand="1"/>
      </w:tblPr>
      <w:tblGrid>
        <w:gridCol w:w="236"/>
        <w:gridCol w:w="4984"/>
        <w:gridCol w:w="1710"/>
        <w:gridCol w:w="2425"/>
        <w:gridCol w:w="22"/>
      </w:tblGrid>
      <w:tr w:rsidR="00B0134D" w:rsidRPr="006C6377" w14:paraId="119B8B74" w14:textId="77777777" w:rsidTr="00DC76E3">
        <w:trPr>
          <w:trHeight w:val="280"/>
          <w:jc w:val="center"/>
        </w:trPr>
        <w:tc>
          <w:tcPr>
            <w:tcW w:w="9377" w:type="dxa"/>
            <w:gridSpan w:val="5"/>
            <w:tcBorders>
              <w:top w:val="nil"/>
              <w:left w:val="nil"/>
              <w:bottom w:val="single" w:sz="4" w:space="0" w:color="auto"/>
              <w:right w:val="nil"/>
            </w:tcBorders>
            <w:shd w:val="clear" w:color="auto" w:fill="auto"/>
            <w:noWrap/>
            <w:vAlign w:val="bottom"/>
            <w:hideMark/>
          </w:tcPr>
          <w:p w14:paraId="10791EB4" w14:textId="259A2346" w:rsidR="004739E2" w:rsidRDefault="00BA00AA" w:rsidP="00685D8F">
            <w:pPr>
              <w:pStyle w:val="TituloTabla"/>
            </w:pPr>
            <w:r>
              <w:t>Tabla 3</w:t>
            </w:r>
            <w:r w:rsidR="004739E2" w:rsidRPr="00974805">
              <w:t xml:space="preserve">. Cálculo del valor monetario en USD de </w:t>
            </w:r>
            <w:r w:rsidR="004739E2">
              <w:t xml:space="preserve">los beneficios anuales derivados del </w:t>
            </w:r>
            <w:r w:rsidR="00B0134D">
              <w:t>p</w:t>
            </w:r>
            <w:r w:rsidR="002E5536">
              <w:t>rograma</w:t>
            </w:r>
          </w:p>
        </w:tc>
      </w:tr>
      <w:tr w:rsidR="00B0134D" w:rsidRPr="00B0134D" w14:paraId="1B9614CB" w14:textId="77777777" w:rsidTr="00E139D9">
        <w:trPr>
          <w:gridAfter w:val="1"/>
          <w:wAfter w:w="22" w:type="dxa"/>
          <w:trHeight w:val="280"/>
          <w:jc w:val="center"/>
        </w:trPr>
        <w:tc>
          <w:tcPr>
            <w:tcW w:w="236" w:type="dxa"/>
            <w:tcBorders>
              <w:top w:val="nil"/>
              <w:left w:val="nil"/>
              <w:bottom w:val="nil"/>
              <w:right w:val="nil"/>
            </w:tcBorders>
            <w:shd w:val="clear" w:color="auto" w:fill="auto"/>
            <w:noWrap/>
            <w:vAlign w:val="center"/>
            <w:hideMark/>
          </w:tcPr>
          <w:p w14:paraId="17418D20" w14:textId="77777777" w:rsidR="004739E2" w:rsidRPr="00B0134D" w:rsidRDefault="004739E2" w:rsidP="00685D8F">
            <w:pPr>
              <w:spacing w:after="0" w:line="240" w:lineRule="auto"/>
              <w:ind w:left="567" w:hanging="567"/>
              <w:jc w:val="right"/>
              <w:rPr>
                <w:rFonts w:ascii="Times New Roman" w:eastAsia="Times New Roman" w:hAnsi="Times New Roman"/>
                <w:color w:val="000000"/>
                <w:lang w:val="es-ES"/>
              </w:rPr>
            </w:pPr>
            <w:r w:rsidRPr="00B0134D">
              <w:rPr>
                <w:rFonts w:ascii="Times New Roman" w:eastAsia="Times New Roman" w:hAnsi="Times New Roman"/>
                <w:color w:val="000000"/>
                <w:lang w:val="es-ES"/>
              </w:rPr>
              <w:t>1</w:t>
            </w:r>
          </w:p>
        </w:tc>
        <w:tc>
          <w:tcPr>
            <w:tcW w:w="4984" w:type="dxa"/>
            <w:tcBorders>
              <w:top w:val="nil"/>
              <w:left w:val="nil"/>
              <w:bottom w:val="nil"/>
              <w:right w:val="single" w:sz="4" w:space="0" w:color="auto"/>
            </w:tcBorders>
            <w:shd w:val="clear" w:color="auto" w:fill="auto"/>
            <w:noWrap/>
            <w:vAlign w:val="center"/>
          </w:tcPr>
          <w:p w14:paraId="48CFD001" w14:textId="554BC46E" w:rsidR="004739E2" w:rsidRPr="003D3C9F" w:rsidRDefault="00B0134D" w:rsidP="00544E47">
            <w:pPr>
              <w:spacing w:after="0" w:line="240" w:lineRule="auto"/>
              <w:ind w:left="567" w:hanging="567"/>
              <w:rPr>
                <w:rFonts w:ascii="Times New Roman" w:eastAsia="Times New Roman" w:hAnsi="Times New Roman"/>
                <w:b/>
                <w:bCs/>
                <w:color w:val="000000"/>
                <w:sz w:val="21"/>
                <w:szCs w:val="21"/>
                <w:lang w:val="es-ES"/>
              </w:rPr>
            </w:pPr>
            <w:r w:rsidRPr="003D3C9F">
              <w:rPr>
                <w:rFonts w:ascii="Times New Roman" w:eastAsia="Times New Roman" w:hAnsi="Times New Roman"/>
                <w:color w:val="000000"/>
                <w:sz w:val="21"/>
                <w:szCs w:val="21"/>
                <w:lang w:val="es-ES"/>
              </w:rPr>
              <w:t xml:space="preserve">Personas atendidas por SPE </w:t>
            </w:r>
            <w:r w:rsidR="00957AB5" w:rsidRPr="003D3C9F">
              <w:rPr>
                <w:rFonts w:ascii="Times New Roman" w:eastAsia="Times New Roman" w:hAnsi="Times New Roman"/>
                <w:color w:val="000000"/>
                <w:sz w:val="21"/>
                <w:szCs w:val="21"/>
                <w:lang w:val="es-ES"/>
              </w:rPr>
              <w:t xml:space="preserve">durante </w:t>
            </w:r>
            <w:r w:rsidR="003D3C9F" w:rsidRPr="003D3C9F">
              <w:rPr>
                <w:rFonts w:ascii="Times New Roman" w:eastAsia="Times New Roman" w:hAnsi="Times New Roman"/>
                <w:color w:val="000000"/>
                <w:sz w:val="21"/>
                <w:szCs w:val="21"/>
                <w:lang w:val="es-ES"/>
              </w:rPr>
              <w:t>2018</w:t>
            </w:r>
          </w:p>
        </w:tc>
        <w:tc>
          <w:tcPr>
            <w:tcW w:w="1710" w:type="dxa"/>
            <w:tcBorders>
              <w:top w:val="nil"/>
              <w:left w:val="nil"/>
              <w:bottom w:val="nil"/>
              <w:right w:val="single" w:sz="4" w:space="0" w:color="auto"/>
            </w:tcBorders>
            <w:shd w:val="clear" w:color="auto" w:fill="auto"/>
            <w:noWrap/>
            <w:vAlign w:val="center"/>
            <w:hideMark/>
          </w:tcPr>
          <w:p w14:paraId="676B85DC" w14:textId="42330F8B" w:rsidR="004739E2" w:rsidRPr="001416D6" w:rsidRDefault="00BC2A6E" w:rsidP="00685D8F">
            <w:pPr>
              <w:spacing w:after="0" w:line="240" w:lineRule="auto"/>
              <w:ind w:left="567" w:hanging="567"/>
              <w:jc w:val="right"/>
              <w:rPr>
                <w:rFonts w:ascii="Times New Roman" w:eastAsia="Times New Roman" w:hAnsi="Times New Roman"/>
                <w:color w:val="000000"/>
                <w:sz w:val="21"/>
                <w:szCs w:val="21"/>
                <w:highlight w:val="yellow"/>
                <w:lang w:val="es-ES"/>
              </w:rPr>
            </w:pPr>
            <w:r w:rsidRPr="00BC2A6E">
              <w:rPr>
                <w:rFonts w:ascii="Times New Roman" w:eastAsia="Times New Roman" w:hAnsi="Times New Roman"/>
                <w:color w:val="000000"/>
                <w:sz w:val="21"/>
                <w:szCs w:val="21"/>
                <w:lang w:val="es-ES"/>
              </w:rPr>
              <w:t>1.107.199</w:t>
            </w:r>
          </w:p>
        </w:tc>
        <w:tc>
          <w:tcPr>
            <w:tcW w:w="2425" w:type="dxa"/>
            <w:tcBorders>
              <w:top w:val="nil"/>
              <w:left w:val="nil"/>
              <w:bottom w:val="nil"/>
              <w:right w:val="nil"/>
            </w:tcBorders>
            <w:shd w:val="clear" w:color="auto" w:fill="auto"/>
            <w:noWrap/>
            <w:vAlign w:val="bottom"/>
            <w:hideMark/>
          </w:tcPr>
          <w:p w14:paraId="22FB3E69" w14:textId="65241F04" w:rsidR="004739E2" w:rsidRPr="00DC76E3" w:rsidRDefault="00B0134D" w:rsidP="00781172">
            <w:pPr>
              <w:pStyle w:val="Entabla"/>
              <w:ind w:right="173"/>
              <w:rPr>
                <w:sz w:val="21"/>
                <w:szCs w:val="21"/>
              </w:rPr>
            </w:pPr>
            <w:r w:rsidRPr="00DC76E3">
              <w:rPr>
                <w:sz w:val="21"/>
                <w:szCs w:val="21"/>
              </w:rPr>
              <w:t>UASPE</w:t>
            </w:r>
          </w:p>
        </w:tc>
      </w:tr>
      <w:tr w:rsidR="00B0134D" w:rsidRPr="00B0134D" w14:paraId="1D99C696" w14:textId="77777777" w:rsidTr="00E139D9">
        <w:trPr>
          <w:gridAfter w:val="1"/>
          <w:wAfter w:w="22" w:type="dxa"/>
          <w:trHeight w:val="280"/>
          <w:jc w:val="center"/>
        </w:trPr>
        <w:tc>
          <w:tcPr>
            <w:tcW w:w="236" w:type="dxa"/>
            <w:tcBorders>
              <w:top w:val="nil"/>
              <w:left w:val="nil"/>
              <w:bottom w:val="nil"/>
              <w:right w:val="nil"/>
            </w:tcBorders>
            <w:shd w:val="clear" w:color="auto" w:fill="auto"/>
            <w:noWrap/>
          </w:tcPr>
          <w:p w14:paraId="2F1D1217" w14:textId="556F8B2A" w:rsidR="00781172" w:rsidRPr="00B0134D" w:rsidRDefault="00EB2B7C" w:rsidP="00685D8F">
            <w:pPr>
              <w:spacing w:after="0" w:line="240" w:lineRule="auto"/>
              <w:ind w:left="567" w:hanging="567"/>
              <w:jc w:val="right"/>
              <w:rPr>
                <w:rFonts w:ascii="Times New Roman" w:eastAsia="Times New Roman" w:hAnsi="Times New Roman"/>
                <w:color w:val="000000"/>
                <w:lang w:val="es-ES"/>
              </w:rPr>
            </w:pPr>
            <w:r w:rsidRPr="00B0134D">
              <w:rPr>
                <w:rFonts w:ascii="Times New Roman" w:eastAsia="Times New Roman" w:hAnsi="Times New Roman"/>
                <w:color w:val="000000"/>
                <w:lang w:val="es-ES"/>
              </w:rPr>
              <w:t>2</w:t>
            </w:r>
          </w:p>
        </w:tc>
        <w:tc>
          <w:tcPr>
            <w:tcW w:w="4984" w:type="dxa"/>
            <w:tcBorders>
              <w:top w:val="nil"/>
              <w:left w:val="nil"/>
              <w:bottom w:val="nil"/>
              <w:right w:val="single" w:sz="4" w:space="0" w:color="auto"/>
            </w:tcBorders>
            <w:shd w:val="clear" w:color="auto" w:fill="auto"/>
            <w:noWrap/>
            <w:vAlign w:val="bottom"/>
          </w:tcPr>
          <w:p w14:paraId="094BCF75" w14:textId="18AC12F2" w:rsidR="00781172" w:rsidRPr="00DC76E3" w:rsidRDefault="00B0134D" w:rsidP="00EB2B7C">
            <w:pPr>
              <w:spacing w:after="0" w:line="240" w:lineRule="auto"/>
              <w:ind w:left="567" w:hanging="567"/>
              <w:rPr>
                <w:rFonts w:ascii="Times New Roman" w:eastAsia="Times New Roman" w:hAnsi="Times New Roman"/>
                <w:color w:val="000000"/>
                <w:sz w:val="21"/>
                <w:szCs w:val="21"/>
                <w:lang w:val="es-ES"/>
              </w:rPr>
            </w:pPr>
            <w:r w:rsidRPr="00DC76E3">
              <w:rPr>
                <w:rFonts w:ascii="Times New Roman" w:eastAsia="Times New Roman" w:hAnsi="Times New Roman"/>
                <w:color w:val="000000"/>
                <w:sz w:val="21"/>
                <w:szCs w:val="21"/>
                <w:lang w:val="es-ES"/>
              </w:rPr>
              <w:t xml:space="preserve">Aumento en la probabilidad de encontrar empleo en </w:t>
            </w:r>
            <w:proofErr w:type="spellStart"/>
            <w:r w:rsidRPr="00DC76E3">
              <w:rPr>
                <w:rFonts w:ascii="Times New Roman" w:eastAsia="Times New Roman" w:hAnsi="Times New Roman"/>
                <w:color w:val="000000"/>
                <w:sz w:val="21"/>
                <w:szCs w:val="21"/>
                <w:lang w:val="es-ES"/>
              </w:rPr>
              <w:t>pp</w:t>
            </w:r>
            <w:proofErr w:type="spellEnd"/>
          </w:p>
        </w:tc>
        <w:tc>
          <w:tcPr>
            <w:tcW w:w="1710" w:type="dxa"/>
            <w:tcBorders>
              <w:top w:val="nil"/>
              <w:left w:val="nil"/>
              <w:bottom w:val="nil"/>
              <w:right w:val="single" w:sz="4" w:space="0" w:color="auto"/>
            </w:tcBorders>
            <w:shd w:val="clear" w:color="auto" w:fill="auto"/>
            <w:noWrap/>
            <w:vAlign w:val="center"/>
          </w:tcPr>
          <w:p w14:paraId="3C6264FA" w14:textId="3F4B9EDC" w:rsidR="00781172" w:rsidRPr="00DC76E3" w:rsidRDefault="00EA08AA" w:rsidP="00685D8F">
            <w:pPr>
              <w:spacing w:after="0" w:line="240" w:lineRule="auto"/>
              <w:ind w:left="567" w:hanging="567"/>
              <w:jc w:val="right"/>
              <w:rPr>
                <w:rFonts w:ascii="Times New Roman" w:eastAsia="Times New Roman" w:hAnsi="Times New Roman"/>
                <w:color w:val="000000"/>
                <w:sz w:val="21"/>
                <w:szCs w:val="21"/>
                <w:lang w:val="es-ES"/>
              </w:rPr>
            </w:pPr>
            <w:r>
              <w:rPr>
                <w:rFonts w:ascii="Times New Roman" w:eastAsia="Times New Roman" w:hAnsi="Times New Roman"/>
                <w:color w:val="000000"/>
                <w:sz w:val="21"/>
                <w:szCs w:val="21"/>
                <w:lang w:val="es-ES"/>
              </w:rPr>
              <w:t>4</w:t>
            </w:r>
          </w:p>
        </w:tc>
        <w:tc>
          <w:tcPr>
            <w:tcW w:w="2425" w:type="dxa"/>
            <w:tcBorders>
              <w:top w:val="nil"/>
              <w:left w:val="nil"/>
              <w:bottom w:val="nil"/>
              <w:right w:val="nil"/>
            </w:tcBorders>
            <w:shd w:val="clear" w:color="auto" w:fill="auto"/>
            <w:noWrap/>
            <w:vAlign w:val="center"/>
          </w:tcPr>
          <w:p w14:paraId="25C8A61F" w14:textId="5DA15055" w:rsidR="00781172" w:rsidRPr="00DC76E3" w:rsidRDefault="00B0134D" w:rsidP="00685D8F">
            <w:pPr>
              <w:spacing w:after="0" w:line="240" w:lineRule="auto"/>
              <w:ind w:left="567" w:hanging="567"/>
              <w:rPr>
                <w:rFonts w:ascii="Times New Roman" w:eastAsia="Times New Roman" w:hAnsi="Times New Roman"/>
                <w:color w:val="000000"/>
                <w:sz w:val="21"/>
                <w:szCs w:val="21"/>
                <w:lang w:val="es-ES"/>
              </w:rPr>
            </w:pPr>
            <w:r w:rsidRPr="00DC76E3">
              <w:rPr>
                <w:rFonts w:ascii="Times New Roman" w:eastAsia="Times New Roman" w:hAnsi="Times New Roman"/>
                <w:color w:val="000000"/>
                <w:sz w:val="21"/>
                <w:szCs w:val="21"/>
                <w:lang w:val="es-ES"/>
              </w:rPr>
              <w:t>Card et al. (2017)</w:t>
            </w:r>
          </w:p>
        </w:tc>
      </w:tr>
      <w:tr w:rsidR="00B0134D" w:rsidRPr="00B0134D" w14:paraId="3B6FE8CF" w14:textId="77777777" w:rsidTr="00E139D9">
        <w:trPr>
          <w:gridAfter w:val="1"/>
          <w:wAfter w:w="22" w:type="dxa"/>
          <w:trHeight w:val="280"/>
          <w:jc w:val="center"/>
        </w:trPr>
        <w:tc>
          <w:tcPr>
            <w:tcW w:w="236" w:type="dxa"/>
            <w:tcBorders>
              <w:top w:val="nil"/>
              <w:left w:val="nil"/>
              <w:bottom w:val="nil"/>
              <w:right w:val="nil"/>
            </w:tcBorders>
            <w:shd w:val="clear" w:color="auto" w:fill="auto"/>
            <w:noWrap/>
            <w:hideMark/>
          </w:tcPr>
          <w:p w14:paraId="065C7508" w14:textId="77777777" w:rsidR="004739E2" w:rsidRPr="00B0134D" w:rsidRDefault="004739E2" w:rsidP="00685D8F">
            <w:pPr>
              <w:spacing w:after="0" w:line="240" w:lineRule="auto"/>
              <w:ind w:left="567" w:hanging="567"/>
              <w:jc w:val="right"/>
              <w:rPr>
                <w:rFonts w:ascii="Times New Roman" w:eastAsia="Times New Roman" w:hAnsi="Times New Roman"/>
                <w:color w:val="000000"/>
                <w:lang w:val="es-ES"/>
              </w:rPr>
            </w:pPr>
            <w:r w:rsidRPr="00B0134D">
              <w:rPr>
                <w:rFonts w:ascii="Times New Roman" w:eastAsia="Times New Roman" w:hAnsi="Times New Roman"/>
                <w:color w:val="000000"/>
                <w:lang w:val="es-ES"/>
              </w:rPr>
              <w:t>3</w:t>
            </w:r>
          </w:p>
        </w:tc>
        <w:tc>
          <w:tcPr>
            <w:tcW w:w="4984" w:type="dxa"/>
            <w:tcBorders>
              <w:top w:val="nil"/>
              <w:left w:val="nil"/>
              <w:bottom w:val="nil"/>
              <w:right w:val="single" w:sz="4" w:space="0" w:color="auto"/>
            </w:tcBorders>
            <w:shd w:val="clear" w:color="auto" w:fill="auto"/>
            <w:noWrap/>
            <w:vAlign w:val="bottom"/>
          </w:tcPr>
          <w:p w14:paraId="24026489" w14:textId="00E52AA2" w:rsidR="004739E2" w:rsidRPr="00DC76E3" w:rsidRDefault="00B0134D" w:rsidP="00685D8F">
            <w:pPr>
              <w:spacing w:after="0" w:line="240" w:lineRule="auto"/>
              <w:ind w:left="567" w:hanging="567"/>
              <w:rPr>
                <w:rFonts w:ascii="Times New Roman" w:eastAsia="Times New Roman" w:hAnsi="Times New Roman"/>
                <w:color w:val="000000"/>
                <w:sz w:val="21"/>
                <w:szCs w:val="21"/>
                <w:lang w:val="es-AR"/>
              </w:rPr>
            </w:pPr>
            <w:r w:rsidRPr="00DC76E3">
              <w:rPr>
                <w:rFonts w:ascii="Times New Roman" w:eastAsia="Times New Roman" w:hAnsi="Times New Roman"/>
                <w:color w:val="000000"/>
                <w:sz w:val="21"/>
                <w:szCs w:val="21"/>
                <w:lang w:val="es-AR"/>
              </w:rPr>
              <w:t>Personas nuevas colocadas gracias al programa</w:t>
            </w:r>
          </w:p>
        </w:tc>
        <w:tc>
          <w:tcPr>
            <w:tcW w:w="1710" w:type="dxa"/>
            <w:tcBorders>
              <w:top w:val="nil"/>
              <w:left w:val="nil"/>
              <w:bottom w:val="nil"/>
              <w:right w:val="single" w:sz="4" w:space="0" w:color="auto"/>
            </w:tcBorders>
            <w:shd w:val="clear" w:color="auto" w:fill="auto"/>
            <w:noWrap/>
            <w:vAlign w:val="center"/>
          </w:tcPr>
          <w:p w14:paraId="0AD7B131" w14:textId="06C6F7A7" w:rsidR="004739E2" w:rsidRPr="00DC76E3" w:rsidRDefault="00EA08AA" w:rsidP="00685D8F">
            <w:pPr>
              <w:spacing w:after="0" w:line="240" w:lineRule="auto"/>
              <w:ind w:left="567" w:hanging="567"/>
              <w:jc w:val="right"/>
              <w:rPr>
                <w:rFonts w:ascii="Times New Roman" w:eastAsia="Times New Roman" w:hAnsi="Times New Roman"/>
                <w:color w:val="000000"/>
                <w:sz w:val="21"/>
                <w:szCs w:val="21"/>
                <w:lang w:val="es-ES"/>
              </w:rPr>
            </w:pPr>
            <w:r>
              <w:rPr>
                <w:rFonts w:ascii="Times New Roman" w:eastAsia="Times New Roman" w:hAnsi="Times New Roman"/>
                <w:color w:val="000000"/>
                <w:sz w:val="21"/>
                <w:szCs w:val="21"/>
                <w:lang w:val="es-ES"/>
              </w:rPr>
              <w:t>44.287</w:t>
            </w:r>
          </w:p>
        </w:tc>
        <w:tc>
          <w:tcPr>
            <w:tcW w:w="2425" w:type="dxa"/>
            <w:tcBorders>
              <w:top w:val="nil"/>
              <w:left w:val="nil"/>
              <w:bottom w:val="nil"/>
              <w:right w:val="nil"/>
            </w:tcBorders>
            <w:shd w:val="clear" w:color="auto" w:fill="auto"/>
            <w:noWrap/>
            <w:vAlign w:val="center"/>
          </w:tcPr>
          <w:p w14:paraId="0FB55AFA" w14:textId="74B7E460" w:rsidR="004739E2" w:rsidRPr="00DC76E3" w:rsidRDefault="00B0134D" w:rsidP="00685D8F">
            <w:pPr>
              <w:spacing w:after="0" w:line="240" w:lineRule="auto"/>
              <w:ind w:left="567" w:hanging="567"/>
              <w:rPr>
                <w:rFonts w:ascii="Times New Roman" w:eastAsia="Times New Roman" w:hAnsi="Times New Roman"/>
                <w:color w:val="000000"/>
                <w:sz w:val="21"/>
                <w:szCs w:val="21"/>
                <w:lang w:val="es-ES"/>
              </w:rPr>
            </w:pPr>
            <w:r w:rsidRPr="00DC76E3">
              <w:rPr>
                <w:rFonts w:ascii="Times New Roman" w:eastAsia="Times New Roman" w:hAnsi="Times New Roman"/>
                <w:color w:val="000000"/>
                <w:sz w:val="21"/>
                <w:szCs w:val="21"/>
                <w:lang w:val="es-ES"/>
              </w:rPr>
              <w:t>(1) * (2)</w:t>
            </w:r>
          </w:p>
        </w:tc>
      </w:tr>
      <w:tr w:rsidR="00B0134D" w:rsidRPr="00B0134D" w14:paraId="295FA5FC" w14:textId="77777777" w:rsidTr="00E139D9">
        <w:trPr>
          <w:gridAfter w:val="1"/>
          <w:wAfter w:w="22" w:type="dxa"/>
          <w:trHeight w:val="280"/>
          <w:jc w:val="center"/>
        </w:trPr>
        <w:tc>
          <w:tcPr>
            <w:tcW w:w="236" w:type="dxa"/>
            <w:tcBorders>
              <w:top w:val="nil"/>
              <w:left w:val="nil"/>
              <w:bottom w:val="nil"/>
              <w:right w:val="nil"/>
            </w:tcBorders>
            <w:shd w:val="clear" w:color="auto" w:fill="auto"/>
            <w:noWrap/>
            <w:vAlign w:val="bottom"/>
          </w:tcPr>
          <w:p w14:paraId="4FECB97D" w14:textId="333AA333" w:rsidR="00EB2B7C" w:rsidRPr="00B0134D" w:rsidRDefault="00EB2B7C" w:rsidP="00685D8F">
            <w:pPr>
              <w:spacing w:after="0" w:line="240" w:lineRule="auto"/>
              <w:ind w:left="567" w:hanging="567"/>
              <w:jc w:val="right"/>
              <w:rPr>
                <w:rFonts w:ascii="Times New Roman" w:eastAsia="Times New Roman" w:hAnsi="Times New Roman"/>
                <w:color w:val="000000"/>
                <w:lang w:val="es-ES"/>
              </w:rPr>
            </w:pPr>
            <w:r w:rsidRPr="00B0134D">
              <w:rPr>
                <w:rFonts w:ascii="Times New Roman" w:eastAsia="Times New Roman" w:hAnsi="Times New Roman"/>
                <w:color w:val="000000"/>
                <w:lang w:val="es-ES"/>
              </w:rPr>
              <w:t>4</w:t>
            </w:r>
          </w:p>
        </w:tc>
        <w:tc>
          <w:tcPr>
            <w:tcW w:w="4984" w:type="dxa"/>
            <w:tcBorders>
              <w:top w:val="nil"/>
              <w:left w:val="nil"/>
              <w:bottom w:val="nil"/>
              <w:right w:val="single" w:sz="4" w:space="0" w:color="auto"/>
            </w:tcBorders>
            <w:shd w:val="clear" w:color="auto" w:fill="auto"/>
            <w:noWrap/>
            <w:vAlign w:val="bottom"/>
          </w:tcPr>
          <w:p w14:paraId="4794D8B6" w14:textId="4C3FF43F" w:rsidR="00EB2B7C" w:rsidRPr="00DC76E3" w:rsidRDefault="00B0134D" w:rsidP="00685D8F">
            <w:pPr>
              <w:spacing w:after="0" w:line="240" w:lineRule="auto"/>
              <w:ind w:left="567" w:hanging="567"/>
              <w:rPr>
                <w:rFonts w:ascii="Times New Roman" w:eastAsia="Times New Roman" w:hAnsi="Times New Roman"/>
                <w:color w:val="000000"/>
                <w:sz w:val="21"/>
                <w:szCs w:val="21"/>
                <w:lang w:val="es-ES"/>
              </w:rPr>
            </w:pPr>
            <w:r w:rsidRPr="00DC76E3">
              <w:rPr>
                <w:rFonts w:ascii="Times New Roman" w:eastAsia="Times New Roman" w:hAnsi="Times New Roman"/>
                <w:color w:val="000000"/>
                <w:sz w:val="21"/>
                <w:szCs w:val="21"/>
                <w:lang w:val="es-ES"/>
              </w:rPr>
              <w:t>Salario mínimo en US$</w:t>
            </w:r>
          </w:p>
        </w:tc>
        <w:tc>
          <w:tcPr>
            <w:tcW w:w="1710" w:type="dxa"/>
            <w:tcBorders>
              <w:top w:val="nil"/>
              <w:left w:val="nil"/>
              <w:bottom w:val="nil"/>
              <w:right w:val="single" w:sz="4" w:space="0" w:color="auto"/>
            </w:tcBorders>
            <w:shd w:val="clear" w:color="auto" w:fill="auto"/>
            <w:noWrap/>
            <w:vAlign w:val="center"/>
          </w:tcPr>
          <w:p w14:paraId="344A91F7" w14:textId="2B76A2A2" w:rsidR="00EB2B7C" w:rsidRPr="00DC76E3" w:rsidRDefault="00B0134D" w:rsidP="00685D8F">
            <w:pPr>
              <w:spacing w:after="0" w:line="240" w:lineRule="auto"/>
              <w:ind w:left="567" w:hanging="567"/>
              <w:jc w:val="right"/>
              <w:rPr>
                <w:rFonts w:ascii="Times New Roman" w:eastAsia="Times New Roman" w:hAnsi="Times New Roman"/>
                <w:color w:val="000000"/>
                <w:sz w:val="21"/>
                <w:szCs w:val="21"/>
                <w:lang w:val="es-ES"/>
              </w:rPr>
            </w:pPr>
            <w:r w:rsidRPr="00DC76E3">
              <w:rPr>
                <w:rFonts w:ascii="Times New Roman" w:eastAsia="Times New Roman" w:hAnsi="Times New Roman"/>
                <w:color w:val="000000"/>
                <w:sz w:val="21"/>
                <w:szCs w:val="21"/>
                <w:lang w:val="es-ES"/>
              </w:rPr>
              <w:t>251</w:t>
            </w:r>
          </w:p>
        </w:tc>
        <w:tc>
          <w:tcPr>
            <w:tcW w:w="2425" w:type="dxa"/>
            <w:tcBorders>
              <w:top w:val="nil"/>
              <w:left w:val="nil"/>
              <w:bottom w:val="nil"/>
              <w:right w:val="nil"/>
            </w:tcBorders>
            <w:shd w:val="clear" w:color="auto" w:fill="auto"/>
            <w:noWrap/>
            <w:vAlign w:val="bottom"/>
          </w:tcPr>
          <w:p w14:paraId="2BCE6E06" w14:textId="4E185737" w:rsidR="00EB2B7C" w:rsidRPr="00DC76E3" w:rsidRDefault="00B0134D" w:rsidP="00544E47">
            <w:pPr>
              <w:pStyle w:val="Entabla"/>
              <w:rPr>
                <w:sz w:val="21"/>
                <w:szCs w:val="21"/>
              </w:rPr>
            </w:pPr>
            <w:r w:rsidRPr="00DC76E3">
              <w:rPr>
                <w:sz w:val="21"/>
                <w:szCs w:val="21"/>
              </w:rPr>
              <w:t>Presidencia de Colombia</w:t>
            </w:r>
          </w:p>
        </w:tc>
      </w:tr>
      <w:tr w:rsidR="00F441F5" w:rsidRPr="00F441F5" w14:paraId="5C80E561" w14:textId="77777777" w:rsidTr="00E139D9">
        <w:trPr>
          <w:gridAfter w:val="1"/>
          <w:wAfter w:w="22" w:type="dxa"/>
          <w:trHeight w:val="232"/>
          <w:jc w:val="center"/>
        </w:trPr>
        <w:tc>
          <w:tcPr>
            <w:tcW w:w="236" w:type="dxa"/>
            <w:tcBorders>
              <w:top w:val="nil"/>
              <w:left w:val="nil"/>
              <w:bottom w:val="nil"/>
              <w:right w:val="nil"/>
            </w:tcBorders>
            <w:shd w:val="clear" w:color="auto" w:fill="auto"/>
            <w:noWrap/>
            <w:vAlign w:val="center"/>
          </w:tcPr>
          <w:p w14:paraId="6C4439CF" w14:textId="1F51AA9C" w:rsidR="00F441F5" w:rsidRDefault="00F441F5" w:rsidP="00685D8F">
            <w:pPr>
              <w:spacing w:after="0" w:line="240" w:lineRule="auto"/>
              <w:ind w:left="567" w:hanging="567"/>
              <w:jc w:val="right"/>
              <w:rPr>
                <w:rFonts w:ascii="Times New Roman" w:eastAsia="Times New Roman" w:hAnsi="Times New Roman"/>
                <w:color w:val="000000"/>
                <w:lang w:val="es-ES"/>
              </w:rPr>
            </w:pPr>
            <w:r>
              <w:rPr>
                <w:rFonts w:ascii="Times New Roman" w:eastAsia="Times New Roman" w:hAnsi="Times New Roman"/>
                <w:color w:val="000000"/>
                <w:lang w:val="es-ES"/>
              </w:rPr>
              <w:t>5</w:t>
            </w:r>
          </w:p>
        </w:tc>
        <w:tc>
          <w:tcPr>
            <w:tcW w:w="4984" w:type="dxa"/>
            <w:tcBorders>
              <w:top w:val="nil"/>
              <w:left w:val="nil"/>
              <w:bottom w:val="nil"/>
              <w:right w:val="single" w:sz="4" w:space="0" w:color="auto"/>
            </w:tcBorders>
            <w:shd w:val="clear" w:color="auto" w:fill="auto"/>
            <w:noWrap/>
            <w:vAlign w:val="center"/>
          </w:tcPr>
          <w:p w14:paraId="106AB995" w14:textId="72B33158" w:rsidR="00F441F5" w:rsidRPr="00DC76E3" w:rsidRDefault="00F441F5" w:rsidP="00544E47">
            <w:pPr>
              <w:spacing w:after="0" w:line="240" w:lineRule="auto"/>
              <w:ind w:left="567" w:hanging="567"/>
              <w:rPr>
                <w:rFonts w:ascii="Times New Roman" w:eastAsia="Times New Roman" w:hAnsi="Times New Roman"/>
                <w:color w:val="000000"/>
                <w:sz w:val="21"/>
                <w:szCs w:val="21"/>
                <w:lang w:val="es-ES"/>
              </w:rPr>
            </w:pPr>
            <w:r w:rsidRPr="00DC76E3">
              <w:rPr>
                <w:rFonts w:ascii="Times New Roman" w:eastAsia="Times New Roman" w:hAnsi="Times New Roman"/>
                <w:color w:val="000000"/>
                <w:sz w:val="21"/>
                <w:szCs w:val="21"/>
                <w:lang w:val="es-ES"/>
              </w:rPr>
              <w:t>Seguro de desempleo en US$</w:t>
            </w:r>
          </w:p>
        </w:tc>
        <w:tc>
          <w:tcPr>
            <w:tcW w:w="1710" w:type="dxa"/>
            <w:tcBorders>
              <w:top w:val="nil"/>
              <w:left w:val="nil"/>
              <w:bottom w:val="nil"/>
              <w:right w:val="single" w:sz="4" w:space="0" w:color="auto"/>
            </w:tcBorders>
            <w:shd w:val="clear" w:color="auto" w:fill="auto"/>
            <w:noWrap/>
            <w:vAlign w:val="center"/>
          </w:tcPr>
          <w:p w14:paraId="695E3483" w14:textId="49CF27BB" w:rsidR="00F441F5" w:rsidRPr="00DC76E3" w:rsidRDefault="00F441F5" w:rsidP="00E85794">
            <w:pPr>
              <w:spacing w:after="0" w:line="240" w:lineRule="auto"/>
              <w:ind w:left="567" w:hanging="567"/>
              <w:jc w:val="right"/>
              <w:rPr>
                <w:rFonts w:ascii="Times New Roman" w:eastAsia="Times New Roman" w:hAnsi="Times New Roman"/>
                <w:bCs/>
                <w:color w:val="000000"/>
                <w:sz w:val="21"/>
                <w:szCs w:val="21"/>
                <w:lang w:val="es-ES_tradnl"/>
              </w:rPr>
            </w:pPr>
            <w:r w:rsidRPr="00DC76E3">
              <w:rPr>
                <w:rFonts w:ascii="Times New Roman" w:eastAsia="Times New Roman" w:hAnsi="Times New Roman"/>
                <w:bCs/>
                <w:color w:val="000000"/>
                <w:sz w:val="21"/>
                <w:szCs w:val="21"/>
                <w:lang w:val="es-ES_tradnl"/>
              </w:rPr>
              <w:t>428,89</w:t>
            </w:r>
          </w:p>
        </w:tc>
        <w:tc>
          <w:tcPr>
            <w:tcW w:w="2425" w:type="dxa"/>
            <w:tcBorders>
              <w:top w:val="nil"/>
              <w:left w:val="nil"/>
              <w:bottom w:val="nil"/>
              <w:right w:val="nil"/>
            </w:tcBorders>
            <w:shd w:val="clear" w:color="auto" w:fill="auto"/>
            <w:noWrap/>
            <w:vAlign w:val="bottom"/>
          </w:tcPr>
          <w:p w14:paraId="5E1165F2" w14:textId="77777777" w:rsidR="00F441F5" w:rsidRPr="00DC76E3" w:rsidRDefault="00F441F5" w:rsidP="00685D8F">
            <w:pPr>
              <w:spacing w:after="0" w:line="240" w:lineRule="auto"/>
              <w:ind w:left="567" w:hanging="567"/>
              <w:rPr>
                <w:rFonts w:ascii="Times New Roman" w:eastAsia="Times New Roman" w:hAnsi="Times New Roman"/>
                <w:color w:val="000000"/>
                <w:sz w:val="21"/>
                <w:szCs w:val="21"/>
                <w:lang w:val="es-ES"/>
              </w:rPr>
            </w:pPr>
          </w:p>
        </w:tc>
      </w:tr>
      <w:tr w:rsidR="00DC76E3" w:rsidRPr="00DC76E3" w14:paraId="3E07E803" w14:textId="77777777" w:rsidTr="00E139D9">
        <w:trPr>
          <w:gridAfter w:val="1"/>
          <w:wAfter w:w="22" w:type="dxa"/>
          <w:trHeight w:val="232"/>
          <w:jc w:val="center"/>
        </w:trPr>
        <w:tc>
          <w:tcPr>
            <w:tcW w:w="236" w:type="dxa"/>
            <w:tcBorders>
              <w:top w:val="nil"/>
              <w:left w:val="nil"/>
              <w:bottom w:val="nil"/>
              <w:right w:val="nil"/>
            </w:tcBorders>
            <w:shd w:val="clear" w:color="auto" w:fill="auto"/>
            <w:noWrap/>
            <w:vAlign w:val="center"/>
          </w:tcPr>
          <w:p w14:paraId="61E3FDA7" w14:textId="505CA1DA" w:rsidR="00DC76E3" w:rsidRDefault="00DC76E3" w:rsidP="00685D8F">
            <w:pPr>
              <w:spacing w:after="0" w:line="240" w:lineRule="auto"/>
              <w:ind w:left="567" w:hanging="567"/>
              <w:jc w:val="right"/>
              <w:rPr>
                <w:rFonts w:ascii="Times New Roman" w:eastAsia="Times New Roman" w:hAnsi="Times New Roman"/>
                <w:color w:val="000000"/>
                <w:lang w:val="es-ES"/>
              </w:rPr>
            </w:pPr>
            <w:r>
              <w:rPr>
                <w:rFonts w:ascii="Times New Roman" w:eastAsia="Times New Roman" w:hAnsi="Times New Roman"/>
                <w:color w:val="000000"/>
                <w:lang w:val="es-ES"/>
              </w:rPr>
              <w:t>6</w:t>
            </w:r>
          </w:p>
        </w:tc>
        <w:tc>
          <w:tcPr>
            <w:tcW w:w="4984" w:type="dxa"/>
            <w:tcBorders>
              <w:top w:val="nil"/>
              <w:left w:val="nil"/>
              <w:bottom w:val="nil"/>
              <w:right w:val="single" w:sz="4" w:space="0" w:color="auto"/>
            </w:tcBorders>
            <w:shd w:val="clear" w:color="auto" w:fill="auto"/>
            <w:noWrap/>
            <w:vAlign w:val="center"/>
          </w:tcPr>
          <w:p w14:paraId="0286CBAF" w14:textId="10369E16" w:rsidR="00DC76E3" w:rsidRPr="00DC76E3" w:rsidRDefault="00DC76E3" w:rsidP="00DC76E3">
            <w:pPr>
              <w:spacing w:after="0" w:line="240" w:lineRule="auto"/>
              <w:ind w:left="567" w:hanging="567"/>
              <w:rPr>
                <w:rFonts w:ascii="Times New Roman" w:eastAsia="Times New Roman" w:hAnsi="Times New Roman"/>
                <w:color w:val="000000"/>
                <w:sz w:val="21"/>
                <w:szCs w:val="21"/>
                <w:lang w:val="es-ES"/>
              </w:rPr>
            </w:pPr>
            <w:r w:rsidRPr="00DC76E3">
              <w:rPr>
                <w:rFonts w:ascii="Times New Roman" w:eastAsia="Times New Roman" w:hAnsi="Times New Roman"/>
                <w:color w:val="000000"/>
                <w:sz w:val="21"/>
                <w:szCs w:val="21"/>
                <w:lang w:val="es-ES"/>
              </w:rPr>
              <w:t>Cantidad de personas que reciben el seguro de desempleo</w:t>
            </w:r>
          </w:p>
        </w:tc>
        <w:tc>
          <w:tcPr>
            <w:tcW w:w="1710" w:type="dxa"/>
            <w:tcBorders>
              <w:top w:val="nil"/>
              <w:left w:val="nil"/>
              <w:bottom w:val="nil"/>
              <w:right w:val="single" w:sz="4" w:space="0" w:color="auto"/>
            </w:tcBorders>
            <w:shd w:val="clear" w:color="auto" w:fill="auto"/>
            <w:noWrap/>
            <w:vAlign w:val="center"/>
          </w:tcPr>
          <w:p w14:paraId="0840AE27" w14:textId="6F0332F8" w:rsidR="00DC76E3" w:rsidRPr="00DC76E3" w:rsidRDefault="00DC76E3" w:rsidP="00DC76E3">
            <w:pPr>
              <w:spacing w:after="0" w:line="240" w:lineRule="auto"/>
              <w:ind w:left="567" w:hanging="567"/>
              <w:jc w:val="right"/>
              <w:rPr>
                <w:rFonts w:ascii="Times New Roman" w:eastAsia="Times New Roman" w:hAnsi="Times New Roman"/>
                <w:bCs/>
                <w:color w:val="000000"/>
                <w:sz w:val="21"/>
                <w:szCs w:val="21"/>
                <w:lang w:val="es-ES_tradnl"/>
              </w:rPr>
            </w:pPr>
            <w:r w:rsidRPr="00DC76E3">
              <w:rPr>
                <w:rFonts w:ascii="Times New Roman" w:eastAsia="Times New Roman" w:hAnsi="Times New Roman"/>
                <w:bCs/>
                <w:color w:val="000000"/>
                <w:sz w:val="21"/>
                <w:szCs w:val="21"/>
                <w:lang w:val="es-ES_tradnl"/>
              </w:rPr>
              <w:t>200.001</w:t>
            </w:r>
          </w:p>
        </w:tc>
        <w:tc>
          <w:tcPr>
            <w:tcW w:w="2425" w:type="dxa"/>
            <w:tcBorders>
              <w:top w:val="nil"/>
              <w:left w:val="nil"/>
              <w:bottom w:val="nil"/>
              <w:right w:val="nil"/>
            </w:tcBorders>
            <w:shd w:val="clear" w:color="auto" w:fill="auto"/>
            <w:noWrap/>
            <w:vAlign w:val="center"/>
          </w:tcPr>
          <w:p w14:paraId="3465BCC7" w14:textId="768310BA" w:rsidR="00DC76E3" w:rsidRPr="00DC76E3" w:rsidRDefault="00DC76E3" w:rsidP="00DC76E3">
            <w:pPr>
              <w:spacing w:after="0" w:line="240" w:lineRule="auto"/>
              <w:ind w:left="567" w:hanging="567"/>
              <w:rPr>
                <w:rFonts w:ascii="Times New Roman" w:eastAsia="Times New Roman" w:hAnsi="Times New Roman"/>
                <w:color w:val="000000"/>
                <w:sz w:val="21"/>
                <w:szCs w:val="21"/>
                <w:lang w:val="es-ES"/>
              </w:rPr>
            </w:pPr>
            <w:proofErr w:type="spellStart"/>
            <w:r w:rsidRPr="00DC76E3">
              <w:rPr>
                <w:rFonts w:ascii="Times New Roman" w:eastAsia="Times New Roman" w:hAnsi="Times New Roman"/>
                <w:color w:val="000000"/>
                <w:sz w:val="21"/>
                <w:szCs w:val="21"/>
                <w:lang w:val="es-ES"/>
              </w:rPr>
              <w:t>Asocajas</w:t>
            </w:r>
            <w:proofErr w:type="spellEnd"/>
            <w:r w:rsidRPr="00DC76E3">
              <w:rPr>
                <w:rFonts w:ascii="Times New Roman" w:eastAsia="Times New Roman" w:hAnsi="Times New Roman"/>
                <w:color w:val="000000"/>
                <w:sz w:val="21"/>
                <w:szCs w:val="21"/>
                <w:lang w:val="es-ES"/>
              </w:rPr>
              <w:t xml:space="preserve"> (2018)</w:t>
            </w:r>
          </w:p>
        </w:tc>
      </w:tr>
      <w:tr w:rsidR="00DC76E3" w:rsidRPr="00DC76E3" w14:paraId="559B0E2D" w14:textId="77777777" w:rsidTr="00E139D9">
        <w:trPr>
          <w:gridAfter w:val="1"/>
          <w:wAfter w:w="22" w:type="dxa"/>
          <w:trHeight w:val="232"/>
          <w:jc w:val="center"/>
        </w:trPr>
        <w:tc>
          <w:tcPr>
            <w:tcW w:w="236" w:type="dxa"/>
            <w:tcBorders>
              <w:top w:val="nil"/>
              <w:left w:val="nil"/>
              <w:bottom w:val="nil"/>
              <w:right w:val="nil"/>
            </w:tcBorders>
            <w:shd w:val="clear" w:color="auto" w:fill="auto"/>
            <w:noWrap/>
            <w:vAlign w:val="center"/>
          </w:tcPr>
          <w:p w14:paraId="211B0D70" w14:textId="1D259746" w:rsidR="00DC76E3" w:rsidRDefault="00DC76E3" w:rsidP="00685D8F">
            <w:pPr>
              <w:spacing w:after="0" w:line="240" w:lineRule="auto"/>
              <w:ind w:left="567" w:hanging="567"/>
              <w:jc w:val="right"/>
              <w:rPr>
                <w:rFonts w:ascii="Times New Roman" w:eastAsia="Times New Roman" w:hAnsi="Times New Roman"/>
                <w:color w:val="000000"/>
                <w:lang w:val="es-ES"/>
              </w:rPr>
            </w:pPr>
            <w:r>
              <w:rPr>
                <w:rFonts w:ascii="Times New Roman" w:eastAsia="Times New Roman" w:hAnsi="Times New Roman"/>
                <w:color w:val="000000"/>
                <w:lang w:val="es-ES"/>
              </w:rPr>
              <w:t>7</w:t>
            </w:r>
          </w:p>
        </w:tc>
        <w:tc>
          <w:tcPr>
            <w:tcW w:w="4984" w:type="dxa"/>
            <w:tcBorders>
              <w:top w:val="nil"/>
              <w:left w:val="nil"/>
              <w:bottom w:val="nil"/>
              <w:right w:val="single" w:sz="4" w:space="0" w:color="auto"/>
            </w:tcBorders>
            <w:shd w:val="clear" w:color="auto" w:fill="auto"/>
            <w:noWrap/>
            <w:vAlign w:val="center"/>
          </w:tcPr>
          <w:p w14:paraId="25DF443A" w14:textId="14A081EB" w:rsidR="00DC76E3" w:rsidRPr="00DC76E3" w:rsidRDefault="00DC76E3" w:rsidP="00DC76E3">
            <w:pPr>
              <w:spacing w:after="0" w:line="240" w:lineRule="auto"/>
              <w:ind w:left="567" w:hanging="567"/>
              <w:rPr>
                <w:rFonts w:ascii="Times New Roman" w:eastAsia="Times New Roman" w:hAnsi="Times New Roman"/>
                <w:color w:val="000000"/>
                <w:sz w:val="21"/>
                <w:szCs w:val="21"/>
                <w:lang w:val="es-ES"/>
              </w:rPr>
            </w:pPr>
            <w:r w:rsidRPr="00DC76E3">
              <w:rPr>
                <w:rFonts w:ascii="Times New Roman" w:eastAsia="Times New Roman" w:hAnsi="Times New Roman"/>
                <w:color w:val="000000"/>
                <w:sz w:val="21"/>
                <w:szCs w:val="21"/>
                <w:lang w:val="es-ES"/>
              </w:rPr>
              <w:t>Personas que dejan de recibir el seguro de desempleo gracias al programa</w:t>
            </w:r>
          </w:p>
        </w:tc>
        <w:tc>
          <w:tcPr>
            <w:tcW w:w="1710" w:type="dxa"/>
            <w:tcBorders>
              <w:top w:val="nil"/>
              <w:left w:val="nil"/>
              <w:bottom w:val="nil"/>
              <w:right w:val="single" w:sz="4" w:space="0" w:color="auto"/>
            </w:tcBorders>
            <w:shd w:val="clear" w:color="auto" w:fill="auto"/>
            <w:noWrap/>
            <w:vAlign w:val="center"/>
          </w:tcPr>
          <w:p w14:paraId="014923F0" w14:textId="0E9D1925" w:rsidR="00DC76E3" w:rsidRPr="00DC76E3" w:rsidRDefault="00EA08AA" w:rsidP="00E85794">
            <w:pPr>
              <w:spacing w:after="0" w:line="240" w:lineRule="auto"/>
              <w:ind w:left="567" w:hanging="567"/>
              <w:jc w:val="right"/>
              <w:rPr>
                <w:rFonts w:ascii="Times New Roman" w:eastAsia="Times New Roman" w:hAnsi="Times New Roman"/>
                <w:bCs/>
                <w:color w:val="000000"/>
                <w:sz w:val="21"/>
                <w:szCs w:val="21"/>
                <w:lang w:val="es-ES_tradnl"/>
              </w:rPr>
            </w:pPr>
            <w:r>
              <w:rPr>
                <w:rFonts w:ascii="Times New Roman" w:eastAsia="Times New Roman" w:hAnsi="Times New Roman"/>
                <w:bCs/>
                <w:color w:val="000000"/>
                <w:sz w:val="21"/>
                <w:szCs w:val="21"/>
                <w:lang w:val="es-ES_tradnl"/>
              </w:rPr>
              <w:t>8</w:t>
            </w:r>
            <w:r w:rsidR="00BC2A6E">
              <w:rPr>
                <w:rFonts w:ascii="Times New Roman" w:eastAsia="Times New Roman" w:hAnsi="Times New Roman"/>
                <w:bCs/>
                <w:color w:val="000000"/>
                <w:sz w:val="21"/>
                <w:szCs w:val="21"/>
                <w:lang w:val="es-ES_tradnl"/>
              </w:rPr>
              <w:t>.</w:t>
            </w:r>
            <w:r w:rsidR="00DC76E3">
              <w:rPr>
                <w:rFonts w:ascii="Times New Roman" w:eastAsia="Times New Roman" w:hAnsi="Times New Roman"/>
                <w:bCs/>
                <w:color w:val="000000"/>
                <w:sz w:val="21"/>
                <w:szCs w:val="21"/>
                <w:lang w:val="es-ES_tradnl"/>
              </w:rPr>
              <w:t>000</w:t>
            </w:r>
          </w:p>
        </w:tc>
        <w:tc>
          <w:tcPr>
            <w:tcW w:w="2425" w:type="dxa"/>
            <w:tcBorders>
              <w:top w:val="nil"/>
              <w:left w:val="nil"/>
              <w:bottom w:val="nil"/>
              <w:right w:val="nil"/>
            </w:tcBorders>
            <w:shd w:val="clear" w:color="auto" w:fill="auto"/>
            <w:noWrap/>
            <w:vAlign w:val="center"/>
          </w:tcPr>
          <w:p w14:paraId="6DF470DF" w14:textId="33AC2E65" w:rsidR="00DC76E3" w:rsidRPr="00DC76E3" w:rsidRDefault="00DC76E3" w:rsidP="000A32B5">
            <w:pPr>
              <w:spacing w:after="0" w:line="240" w:lineRule="auto"/>
              <w:ind w:left="567" w:hanging="567"/>
              <w:rPr>
                <w:rFonts w:ascii="Times New Roman" w:eastAsia="Times New Roman" w:hAnsi="Times New Roman"/>
                <w:color w:val="000000"/>
                <w:sz w:val="21"/>
                <w:szCs w:val="21"/>
                <w:lang w:val="es-ES"/>
              </w:rPr>
            </w:pPr>
            <w:r>
              <w:rPr>
                <w:rFonts w:ascii="Times New Roman" w:eastAsia="Times New Roman" w:hAnsi="Times New Roman"/>
                <w:color w:val="000000"/>
                <w:sz w:val="21"/>
                <w:szCs w:val="21"/>
                <w:lang w:val="es-ES"/>
              </w:rPr>
              <w:t>(6) * (2)</w:t>
            </w:r>
          </w:p>
        </w:tc>
      </w:tr>
      <w:tr w:rsidR="00DC76E3" w:rsidRPr="00B0134D" w14:paraId="1F3FDA09" w14:textId="77777777" w:rsidTr="00E139D9">
        <w:trPr>
          <w:gridAfter w:val="1"/>
          <w:wAfter w:w="22" w:type="dxa"/>
          <w:trHeight w:val="232"/>
          <w:jc w:val="center"/>
        </w:trPr>
        <w:tc>
          <w:tcPr>
            <w:tcW w:w="236" w:type="dxa"/>
            <w:tcBorders>
              <w:top w:val="nil"/>
              <w:left w:val="nil"/>
              <w:bottom w:val="nil"/>
              <w:right w:val="nil"/>
            </w:tcBorders>
            <w:shd w:val="clear" w:color="auto" w:fill="auto"/>
            <w:noWrap/>
            <w:vAlign w:val="center"/>
            <w:hideMark/>
          </w:tcPr>
          <w:p w14:paraId="2AC2A577" w14:textId="1C728D3F" w:rsidR="004739E2" w:rsidRPr="00B0134D" w:rsidRDefault="00DC76E3" w:rsidP="00685D8F">
            <w:pPr>
              <w:spacing w:after="0" w:line="240" w:lineRule="auto"/>
              <w:ind w:left="567" w:hanging="567"/>
              <w:jc w:val="right"/>
              <w:rPr>
                <w:rFonts w:ascii="Times New Roman" w:eastAsia="Times New Roman" w:hAnsi="Times New Roman"/>
                <w:color w:val="000000"/>
                <w:lang w:val="es-ES"/>
              </w:rPr>
            </w:pPr>
            <w:r>
              <w:rPr>
                <w:rFonts w:ascii="Times New Roman" w:eastAsia="Times New Roman" w:hAnsi="Times New Roman"/>
                <w:color w:val="000000"/>
                <w:lang w:val="es-ES"/>
              </w:rPr>
              <w:t>8</w:t>
            </w:r>
          </w:p>
        </w:tc>
        <w:tc>
          <w:tcPr>
            <w:tcW w:w="4984" w:type="dxa"/>
            <w:tcBorders>
              <w:top w:val="nil"/>
              <w:left w:val="nil"/>
              <w:bottom w:val="nil"/>
              <w:right w:val="single" w:sz="4" w:space="0" w:color="auto"/>
            </w:tcBorders>
            <w:shd w:val="clear" w:color="auto" w:fill="auto"/>
            <w:noWrap/>
            <w:vAlign w:val="center"/>
            <w:hideMark/>
          </w:tcPr>
          <w:p w14:paraId="085281CD" w14:textId="6102D97A" w:rsidR="004739E2" w:rsidRPr="00DC76E3" w:rsidRDefault="004739E2" w:rsidP="00DC76E3">
            <w:pPr>
              <w:spacing w:after="0" w:line="240" w:lineRule="auto"/>
              <w:ind w:left="567" w:hanging="567"/>
              <w:rPr>
                <w:rFonts w:ascii="Times New Roman" w:eastAsia="Times New Roman" w:hAnsi="Times New Roman"/>
                <w:b/>
                <w:bCs/>
                <w:color w:val="000000"/>
                <w:sz w:val="21"/>
                <w:szCs w:val="21"/>
                <w:lang w:val="es-ES"/>
              </w:rPr>
            </w:pPr>
            <w:r w:rsidRPr="00DC76E3">
              <w:rPr>
                <w:rFonts w:ascii="Times New Roman" w:eastAsia="Times New Roman" w:hAnsi="Times New Roman"/>
                <w:color w:val="000000"/>
                <w:sz w:val="21"/>
                <w:szCs w:val="21"/>
                <w:lang w:val="es-ES"/>
              </w:rPr>
              <w:t xml:space="preserve">Beneficios anuales </w:t>
            </w:r>
            <w:r w:rsidR="00544E47" w:rsidRPr="00DC76E3">
              <w:rPr>
                <w:rFonts w:ascii="Times New Roman" w:eastAsia="Times New Roman" w:hAnsi="Times New Roman"/>
                <w:color w:val="000000"/>
                <w:sz w:val="21"/>
                <w:szCs w:val="21"/>
                <w:lang w:val="es-ES"/>
              </w:rPr>
              <w:t xml:space="preserve">del </w:t>
            </w:r>
            <w:r w:rsidR="00B0134D" w:rsidRPr="00DC76E3">
              <w:rPr>
                <w:rFonts w:ascii="Times New Roman" w:eastAsia="Times New Roman" w:hAnsi="Times New Roman"/>
                <w:color w:val="000000"/>
                <w:sz w:val="21"/>
                <w:szCs w:val="21"/>
                <w:lang w:val="es-ES"/>
              </w:rPr>
              <w:t>programa</w:t>
            </w:r>
            <w:r w:rsidRPr="00DC76E3">
              <w:rPr>
                <w:rFonts w:ascii="Times New Roman" w:eastAsia="Times New Roman" w:hAnsi="Times New Roman"/>
                <w:color w:val="000000"/>
                <w:sz w:val="21"/>
                <w:szCs w:val="21"/>
                <w:lang w:val="es-ES"/>
              </w:rPr>
              <w:t xml:space="preserve"> US</w:t>
            </w:r>
            <w:r w:rsidR="00B0134D" w:rsidRPr="00DC76E3">
              <w:rPr>
                <w:rFonts w:ascii="Times New Roman" w:eastAsia="Times New Roman" w:hAnsi="Times New Roman"/>
                <w:color w:val="000000"/>
                <w:sz w:val="21"/>
                <w:szCs w:val="21"/>
                <w:lang w:val="es-ES"/>
              </w:rPr>
              <w:t>$</w:t>
            </w:r>
          </w:p>
        </w:tc>
        <w:tc>
          <w:tcPr>
            <w:tcW w:w="1710" w:type="dxa"/>
            <w:tcBorders>
              <w:top w:val="nil"/>
              <w:left w:val="nil"/>
              <w:bottom w:val="nil"/>
              <w:right w:val="single" w:sz="4" w:space="0" w:color="auto"/>
            </w:tcBorders>
            <w:shd w:val="clear" w:color="auto" w:fill="auto"/>
            <w:noWrap/>
            <w:vAlign w:val="center"/>
            <w:hideMark/>
          </w:tcPr>
          <w:p w14:paraId="604A5875" w14:textId="4DB3C3F7" w:rsidR="004739E2" w:rsidRPr="00DC76E3" w:rsidRDefault="00BC2A6E" w:rsidP="00E85794">
            <w:pPr>
              <w:spacing w:after="0" w:line="240" w:lineRule="auto"/>
              <w:ind w:left="567" w:hanging="567"/>
              <w:jc w:val="right"/>
              <w:rPr>
                <w:rFonts w:ascii="Times New Roman" w:eastAsia="Times New Roman" w:hAnsi="Times New Roman"/>
                <w:bCs/>
                <w:color w:val="000000"/>
                <w:sz w:val="21"/>
                <w:szCs w:val="21"/>
                <w:lang w:val="es-ES_tradnl"/>
              </w:rPr>
            </w:pPr>
            <w:r>
              <w:rPr>
                <w:rFonts w:ascii="Times New Roman" w:eastAsia="Times New Roman" w:hAnsi="Times New Roman"/>
                <w:bCs/>
                <w:color w:val="000000"/>
                <w:sz w:val="21"/>
                <w:szCs w:val="21"/>
                <w:lang w:val="es-ES_tradnl"/>
              </w:rPr>
              <w:t>1</w:t>
            </w:r>
            <w:r w:rsidR="00EA08AA">
              <w:rPr>
                <w:rFonts w:ascii="Times New Roman" w:eastAsia="Times New Roman" w:hAnsi="Times New Roman"/>
                <w:bCs/>
                <w:color w:val="000000"/>
                <w:sz w:val="21"/>
                <w:szCs w:val="21"/>
                <w:lang w:val="es-ES_tradnl"/>
              </w:rPr>
              <w:t>4.547.415</w:t>
            </w:r>
          </w:p>
        </w:tc>
        <w:tc>
          <w:tcPr>
            <w:tcW w:w="2425" w:type="dxa"/>
            <w:tcBorders>
              <w:top w:val="nil"/>
              <w:left w:val="nil"/>
              <w:bottom w:val="nil"/>
              <w:right w:val="nil"/>
            </w:tcBorders>
            <w:shd w:val="clear" w:color="auto" w:fill="auto"/>
            <w:noWrap/>
            <w:vAlign w:val="bottom"/>
            <w:hideMark/>
          </w:tcPr>
          <w:p w14:paraId="1F30692E" w14:textId="30B6C1CF" w:rsidR="004739E2" w:rsidRPr="00DC76E3" w:rsidRDefault="00E85794" w:rsidP="00685D8F">
            <w:pPr>
              <w:spacing w:after="0" w:line="240" w:lineRule="auto"/>
              <w:ind w:left="567" w:hanging="567"/>
              <w:rPr>
                <w:rFonts w:ascii="Times New Roman" w:eastAsia="Times New Roman" w:hAnsi="Times New Roman"/>
                <w:b/>
                <w:bCs/>
                <w:color w:val="000000"/>
                <w:sz w:val="21"/>
                <w:szCs w:val="21"/>
                <w:lang w:val="es-ES"/>
              </w:rPr>
            </w:pPr>
            <w:r w:rsidRPr="00DC76E3">
              <w:rPr>
                <w:rFonts w:ascii="Times New Roman" w:eastAsia="Times New Roman" w:hAnsi="Times New Roman"/>
                <w:color w:val="000000"/>
                <w:sz w:val="21"/>
                <w:szCs w:val="21"/>
                <w:lang w:val="es-ES"/>
              </w:rPr>
              <w:t>(</w:t>
            </w:r>
            <w:r w:rsidR="00B0134D" w:rsidRPr="00DC76E3">
              <w:rPr>
                <w:rFonts w:ascii="Times New Roman" w:eastAsia="Times New Roman" w:hAnsi="Times New Roman"/>
                <w:color w:val="000000"/>
                <w:sz w:val="21"/>
                <w:szCs w:val="21"/>
                <w:lang w:val="es-ES"/>
              </w:rPr>
              <w:t>3</w:t>
            </w:r>
            <w:r w:rsidRPr="00DC76E3">
              <w:rPr>
                <w:rFonts w:ascii="Times New Roman" w:eastAsia="Times New Roman" w:hAnsi="Times New Roman"/>
                <w:color w:val="000000"/>
                <w:sz w:val="21"/>
                <w:szCs w:val="21"/>
                <w:lang w:val="es-ES"/>
              </w:rPr>
              <w:t>) * (4)</w:t>
            </w:r>
            <w:r w:rsidR="006C6D3B" w:rsidRPr="00DC76E3">
              <w:rPr>
                <w:rFonts w:ascii="Times New Roman" w:eastAsia="Times New Roman" w:hAnsi="Times New Roman"/>
                <w:color w:val="000000"/>
                <w:sz w:val="21"/>
                <w:szCs w:val="21"/>
                <w:lang w:val="es-ES"/>
              </w:rPr>
              <w:t xml:space="preserve"> + (</w:t>
            </w:r>
            <w:r w:rsidR="00DC76E3">
              <w:rPr>
                <w:rFonts w:ascii="Times New Roman" w:eastAsia="Times New Roman" w:hAnsi="Times New Roman"/>
                <w:color w:val="000000"/>
                <w:sz w:val="21"/>
                <w:szCs w:val="21"/>
                <w:lang w:val="es-ES"/>
              </w:rPr>
              <w:t>5</w:t>
            </w:r>
            <w:r w:rsidR="006C6D3B" w:rsidRPr="00DC76E3">
              <w:rPr>
                <w:rFonts w:ascii="Times New Roman" w:eastAsia="Times New Roman" w:hAnsi="Times New Roman"/>
                <w:color w:val="000000"/>
                <w:sz w:val="21"/>
                <w:szCs w:val="21"/>
                <w:lang w:val="es-ES"/>
              </w:rPr>
              <w:t>) * (</w:t>
            </w:r>
            <w:r w:rsidR="00DC76E3">
              <w:rPr>
                <w:rFonts w:ascii="Times New Roman" w:eastAsia="Times New Roman" w:hAnsi="Times New Roman"/>
                <w:color w:val="000000"/>
                <w:sz w:val="21"/>
                <w:szCs w:val="21"/>
                <w:lang w:val="es-ES"/>
              </w:rPr>
              <w:t>7</w:t>
            </w:r>
            <w:r w:rsidR="006C6D3B" w:rsidRPr="00DC76E3">
              <w:rPr>
                <w:rFonts w:ascii="Times New Roman" w:eastAsia="Times New Roman" w:hAnsi="Times New Roman"/>
                <w:color w:val="000000"/>
                <w:sz w:val="21"/>
                <w:szCs w:val="21"/>
                <w:lang w:val="es-ES"/>
              </w:rPr>
              <w:t>)</w:t>
            </w:r>
          </w:p>
        </w:tc>
      </w:tr>
    </w:tbl>
    <w:p w14:paraId="4C75D3B7" w14:textId="77777777" w:rsidR="00C703FE" w:rsidRDefault="00C703FE" w:rsidP="00964F72">
      <w:pPr>
        <w:pStyle w:val="Paragraph"/>
        <w:numPr>
          <w:ilvl w:val="0"/>
          <w:numId w:val="0"/>
        </w:numPr>
        <w:spacing w:line="360" w:lineRule="auto"/>
        <w:rPr>
          <w:rFonts w:eastAsia="Calibri"/>
          <w:szCs w:val="24"/>
        </w:rPr>
      </w:pPr>
    </w:p>
    <w:p w14:paraId="01451AB9" w14:textId="20DA634B" w:rsidR="00D714CC" w:rsidRPr="00964F72" w:rsidRDefault="00D714CC" w:rsidP="00C703FE">
      <w:pPr>
        <w:spacing w:after="0" w:line="360" w:lineRule="auto"/>
        <w:ind w:firstLine="357"/>
        <w:jc w:val="both"/>
        <w:rPr>
          <w:rFonts w:ascii="Times New Roman" w:hAnsi="Times New Roman"/>
          <w:b/>
          <w:sz w:val="24"/>
          <w:szCs w:val="24"/>
          <w:lang w:val="es-ES"/>
        </w:rPr>
      </w:pPr>
      <w:r w:rsidRPr="00964F72">
        <w:rPr>
          <w:rFonts w:ascii="Times New Roman" w:hAnsi="Times New Roman"/>
          <w:b/>
          <w:sz w:val="24"/>
          <w:szCs w:val="24"/>
          <w:lang w:val="es-ES"/>
        </w:rPr>
        <w:t>Resultados, análisis de sensibilidad y discusión</w:t>
      </w:r>
    </w:p>
    <w:p w14:paraId="42607374" w14:textId="2EB4B7F5" w:rsidR="00BA00AA" w:rsidRDefault="00685D8F" w:rsidP="00015A71">
      <w:pPr>
        <w:pStyle w:val="Paragraph"/>
        <w:numPr>
          <w:ilvl w:val="0"/>
          <w:numId w:val="0"/>
        </w:numPr>
        <w:spacing w:before="0" w:after="0" w:line="360" w:lineRule="auto"/>
        <w:rPr>
          <w:szCs w:val="24"/>
        </w:rPr>
      </w:pPr>
      <w:r w:rsidRPr="00974805">
        <w:rPr>
          <w:szCs w:val="24"/>
        </w:rPr>
        <w:t xml:space="preserve">Debido a la gran cantidad de supuestos sobre los que se basa el </w:t>
      </w:r>
      <w:r>
        <w:rPr>
          <w:szCs w:val="24"/>
        </w:rPr>
        <w:t>análisis</w:t>
      </w:r>
      <w:r w:rsidRPr="00974805">
        <w:rPr>
          <w:szCs w:val="24"/>
        </w:rPr>
        <w:t xml:space="preserve">, presentamos los resultados en paralelo al </w:t>
      </w:r>
      <w:r>
        <w:rPr>
          <w:szCs w:val="24"/>
        </w:rPr>
        <w:t>análisis</w:t>
      </w:r>
      <w:r w:rsidRPr="00974805">
        <w:rPr>
          <w:szCs w:val="24"/>
        </w:rPr>
        <w:t xml:space="preserve"> de sensibilidad en la Tabla </w:t>
      </w:r>
      <w:r w:rsidR="002E5536">
        <w:rPr>
          <w:szCs w:val="24"/>
        </w:rPr>
        <w:t>4</w:t>
      </w:r>
      <w:r w:rsidRPr="00974805">
        <w:rPr>
          <w:szCs w:val="24"/>
        </w:rPr>
        <w:t>.</w:t>
      </w:r>
      <w:r w:rsidR="0098502B">
        <w:rPr>
          <w:szCs w:val="24"/>
        </w:rPr>
        <w:t xml:space="preserve"> Consideramos tres escenarios (base, conservador y favorable), los cual asumimos son igualmente probables.</w:t>
      </w:r>
      <w:r w:rsidR="00385624">
        <w:rPr>
          <w:szCs w:val="24"/>
        </w:rPr>
        <w:t xml:space="preserve"> En el escenario base, consideramos que el aumento en la probabilidad de encontrar empleo es de 4 puntos porcentuales. En el escenario conservador, consideramos un aumento en la probabilidad de encontrar empleo de 3 puntos porcentuales. Por último, en el escenario favorable, consideramos que el aumento en la probabilidad de encontrar empleo es de 5 puntos porcentuales (Card et al. 2017).</w:t>
      </w:r>
    </w:p>
    <w:tbl>
      <w:tblPr>
        <w:tblW w:w="8647" w:type="dxa"/>
        <w:jc w:val="center"/>
        <w:tblLayout w:type="fixed"/>
        <w:tblLook w:val="04A0" w:firstRow="1" w:lastRow="0" w:firstColumn="1" w:lastColumn="0" w:noHBand="0" w:noVBand="1"/>
      </w:tblPr>
      <w:tblGrid>
        <w:gridCol w:w="1843"/>
        <w:gridCol w:w="1701"/>
        <w:gridCol w:w="1559"/>
        <w:gridCol w:w="1558"/>
        <w:gridCol w:w="1134"/>
        <w:gridCol w:w="852"/>
      </w:tblGrid>
      <w:tr w:rsidR="00685D8F" w:rsidRPr="006C6377" w14:paraId="10264013" w14:textId="77777777" w:rsidTr="003921D9">
        <w:trPr>
          <w:trHeight w:val="300"/>
          <w:jc w:val="center"/>
        </w:trPr>
        <w:tc>
          <w:tcPr>
            <w:tcW w:w="7795" w:type="dxa"/>
            <w:gridSpan w:val="5"/>
            <w:tcBorders>
              <w:top w:val="nil"/>
              <w:left w:val="nil"/>
              <w:bottom w:val="single" w:sz="4" w:space="0" w:color="auto"/>
              <w:right w:val="nil"/>
            </w:tcBorders>
            <w:shd w:val="clear" w:color="auto" w:fill="auto"/>
            <w:vAlign w:val="center"/>
            <w:hideMark/>
          </w:tcPr>
          <w:p w14:paraId="4371854D" w14:textId="307C8BF6" w:rsidR="00685D8F" w:rsidRPr="00387CFC" w:rsidRDefault="00685D8F" w:rsidP="00685D8F">
            <w:pPr>
              <w:pStyle w:val="TituloTabla"/>
              <w:rPr>
                <w:b w:val="0"/>
              </w:rPr>
            </w:pPr>
            <w:r w:rsidRPr="00387CFC">
              <w:t xml:space="preserve">Tabla </w:t>
            </w:r>
            <w:r w:rsidR="002E5536" w:rsidRPr="00387CFC">
              <w:t>4</w:t>
            </w:r>
            <w:r w:rsidRPr="00387CFC">
              <w:t>. Costo-beneficio y escenarios</w:t>
            </w:r>
          </w:p>
        </w:tc>
        <w:tc>
          <w:tcPr>
            <w:tcW w:w="852" w:type="dxa"/>
            <w:tcBorders>
              <w:top w:val="nil"/>
              <w:left w:val="nil"/>
              <w:bottom w:val="single" w:sz="4" w:space="0" w:color="auto"/>
              <w:right w:val="nil"/>
            </w:tcBorders>
            <w:shd w:val="clear" w:color="auto" w:fill="auto"/>
          </w:tcPr>
          <w:p w14:paraId="7513B57C" w14:textId="77777777" w:rsidR="00685D8F" w:rsidRPr="007E6104" w:rsidRDefault="00685D8F" w:rsidP="00685D8F">
            <w:pPr>
              <w:pStyle w:val="Entabla"/>
              <w:rPr>
                <w:b/>
                <w:lang w:val="es-ES_tradnl"/>
              </w:rPr>
            </w:pPr>
          </w:p>
        </w:tc>
      </w:tr>
      <w:tr w:rsidR="00685D8F" w:rsidRPr="00BB26A9" w14:paraId="1E513B35" w14:textId="77777777" w:rsidTr="003921D9">
        <w:trPr>
          <w:trHeight w:val="720"/>
          <w:jc w:val="center"/>
        </w:trPr>
        <w:tc>
          <w:tcPr>
            <w:tcW w:w="1843" w:type="dxa"/>
            <w:tcBorders>
              <w:top w:val="nil"/>
              <w:left w:val="nil"/>
              <w:bottom w:val="single" w:sz="4" w:space="0" w:color="auto"/>
              <w:right w:val="nil"/>
            </w:tcBorders>
            <w:shd w:val="clear" w:color="auto" w:fill="auto"/>
            <w:noWrap/>
            <w:vAlign w:val="center"/>
            <w:hideMark/>
          </w:tcPr>
          <w:p w14:paraId="2674CD47" w14:textId="77777777" w:rsidR="00685D8F" w:rsidRPr="007E6104" w:rsidRDefault="00685D8F" w:rsidP="00685D8F">
            <w:pPr>
              <w:pStyle w:val="Entabla"/>
              <w:rPr>
                <w:b/>
                <w:lang w:val="es-ES_tradnl"/>
              </w:rPr>
            </w:pPr>
          </w:p>
        </w:tc>
        <w:tc>
          <w:tcPr>
            <w:tcW w:w="1701" w:type="dxa"/>
            <w:tcBorders>
              <w:top w:val="nil"/>
              <w:left w:val="nil"/>
              <w:bottom w:val="single" w:sz="4" w:space="0" w:color="auto"/>
              <w:right w:val="nil"/>
            </w:tcBorders>
            <w:shd w:val="clear" w:color="auto" w:fill="auto"/>
            <w:vAlign w:val="center"/>
            <w:hideMark/>
          </w:tcPr>
          <w:p w14:paraId="69F3F55B" w14:textId="5C3F23D3" w:rsidR="00685D8F" w:rsidRPr="007E6104" w:rsidRDefault="00685D8F" w:rsidP="00685D8F">
            <w:pPr>
              <w:pStyle w:val="Entabla"/>
              <w:rPr>
                <w:b/>
              </w:rPr>
            </w:pPr>
            <w:r w:rsidRPr="007E6104">
              <w:rPr>
                <w:b/>
              </w:rPr>
              <w:t>VP Costos (US</w:t>
            </w:r>
            <w:r w:rsidR="00964F72">
              <w:rPr>
                <w:b/>
              </w:rPr>
              <w:t>$</w:t>
            </w:r>
            <w:r w:rsidRPr="007E6104">
              <w:rPr>
                <w:b/>
              </w:rPr>
              <w:t>)</w:t>
            </w:r>
          </w:p>
        </w:tc>
        <w:tc>
          <w:tcPr>
            <w:tcW w:w="1559" w:type="dxa"/>
            <w:tcBorders>
              <w:top w:val="nil"/>
              <w:left w:val="nil"/>
              <w:bottom w:val="single" w:sz="4" w:space="0" w:color="auto"/>
              <w:right w:val="nil"/>
            </w:tcBorders>
            <w:shd w:val="clear" w:color="auto" w:fill="auto"/>
            <w:vAlign w:val="center"/>
            <w:hideMark/>
          </w:tcPr>
          <w:p w14:paraId="4F1898B9" w14:textId="77777777" w:rsidR="00685D8F" w:rsidRPr="007E6104" w:rsidRDefault="00685D8F" w:rsidP="00685D8F">
            <w:pPr>
              <w:pStyle w:val="Entabla"/>
              <w:rPr>
                <w:b/>
              </w:rPr>
            </w:pPr>
            <w:r w:rsidRPr="007E6104">
              <w:rPr>
                <w:b/>
              </w:rPr>
              <w:t>VP Beneficios</w:t>
            </w:r>
            <w:r>
              <w:rPr>
                <w:b/>
              </w:rPr>
              <w:t xml:space="preserve"> </w:t>
            </w:r>
          </w:p>
          <w:p w14:paraId="7DA7C3ED" w14:textId="3CD3F72F" w:rsidR="00685D8F" w:rsidRPr="007E6104" w:rsidRDefault="00685D8F" w:rsidP="00685D8F">
            <w:pPr>
              <w:pStyle w:val="Entabla"/>
              <w:rPr>
                <w:b/>
              </w:rPr>
            </w:pPr>
            <w:r w:rsidRPr="007E6104">
              <w:rPr>
                <w:b/>
              </w:rPr>
              <w:t>(US</w:t>
            </w:r>
            <w:r w:rsidR="00964F72">
              <w:rPr>
                <w:b/>
              </w:rPr>
              <w:t>$</w:t>
            </w:r>
            <w:r w:rsidRPr="007E6104">
              <w:rPr>
                <w:b/>
              </w:rPr>
              <w:t>)</w:t>
            </w:r>
          </w:p>
        </w:tc>
        <w:tc>
          <w:tcPr>
            <w:tcW w:w="1558" w:type="dxa"/>
            <w:tcBorders>
              <w:top w:val="nil"/>
              <w:left w:val="nil"/>
              <w:bottom w:val="single" w:sz="4" w:space="0" w:color="auto"/>
              <w:right w:val="nil"/>
            </w:tcBorders>
            <w:shd w:val="clear" w:color="auto" w:fill="auto"/>
            <w:vAlign w:val="center"/>
            <w:hideMark/>
          </w:tcPr>
          <w:p w14:paraId="28144952" w14:textId="6FD590FC" w:rsidR="00685D8F" w:rsidRPr="007E6104" w:rsidRDefault="00685D8F" w:rsidP="00685D8F">
            <w:pPr>
              <w:pStyle w:val="Entabla"/>
              <w:rPr>
                <w:b/>
              </w:rPr>
            </w:pPr>
            <w:r w:rsidRPr="007E6104">
              <w:rPr>
                <w:b/>
              </w:rPr>
              <w:t>Valor Presente Neto (US</w:t>
            </w:r>
            <w:r w:rsidR="00964F72">
              <w:rPr>
                <w:b/>
              </w:rPr>
              <w:t>$</w:t>
            </w:r>
            <w:r w:rsidRPr="007E6104">
              <w:rPr>
                <w:b/>
              </w:rPr>
              <w:t>)</w:t>
            </w:r>
          </w:p>
        </w:tc>
        <w:tc>
          <w:tcPr>
            <w:tcW w:w="1134" w:type="dxa"/>
            <w:tcBorders>
              <w:top w:val="nil"/>
              <w:left w:val="nil"/>
              <w:bottom w:val="single" w:sz="4" w:space="0" w:color="auto"/>
              <w:right w:val="nil"/>
            </w:tcBorders>
            <w:shd w:val="clear" w:color="auto" w:fill="auto"/>
            <w:vAlign w:val="center"/>
            <w:hideMark/>
          </w:tcPr>
          <w:p w14:paraId="2D4D89C2" w14:textId="77777777" w:rsidR="00685D8F" w:rsidRPr="007E6104" w:rsidRDefault="00685D8F" w:rsidP="00685D8F">
            <w:pPr>
              <w:pStyle w:val="Entabla"/>
              <w:rPr>
                <w:b/>
              </w:rPr>
            </w:pPr>
            <w:r w:rsidRPr="007E6104">
              <w:rPr>
                <w:b/>
              </w:rPr>
              <w:t>Razón Beneficio/Costo</w:t>
            </w:r>
          </w:p>
        </w:tc>
        <w:tc>
          <w:tcPr>
            <w:tcW w:w="852" w:type="dxa"/>
            <w:tcBorders>
              <w:top w:val="nil"/>
              <w:left w:val="nil"/>
              <w:bottom w:val="single" w:sz="4" w:space="0" w:color="auto"/>
              <w:right w:val="nil"/>
            </w:tcBorders>
            <w:shd w:val="clear" w:color="auto" w:fill="auto"/>
            <w:vAlign w:val="center"/>
          </w:tcPr>
          <w:p w14:paraId="12AAAF72" w14:textId="77777777" w:rsidR="00685D8F" w:rsidRDefault="00685D8F" w:rsidP="00685D8F">
            <w:pPr>
              <w:pStyle w:val="Entabla"/>
              <w:rPr>
                <w:b/>
              </w:rPr>
            </w:pPr>
            <w:r w:rsidRPr="007E6104">
              <w:rPr>
                <w:b/>
              </w:rPr>
              <w:t>T</w:t>
            </w:r>
            <w:r>
              <w:rPr>
                <w:b/>
              </w:rPr>
              <w:t>IR</w:t>
            </w:r>
          </w:p>
          <w:p w14:paraId="39196555" w14:textId="77777777" w:rsidR="00685D8F" w:rsidRPr="007E6104" w:rsidRDefault="00685D8F" w:rsidP="00685D8F">
            <w:pPr>
              <w:pStyle w:val="Entabla"/>
              <w:rPr>
                <w:b/>
              </w:rPr>
            </w:pPr>
            <w:r w:rsidRPr="007E6104">
              <w:rPr>
                <w:b/>
              </w:rPr>
              <w:t>Social</w:t>
            </w:r>
          </w:p>
        </w:tc>
      </w:tr>
      <w:tr w:rsidR="00685D8F" w:rsidRPr="00BB26A9" w14:paraId="48830957" w14:textId="77777777" w:rsidTr="003921D9">
        <w:trPr>
          <w:trHeight w:val="300"/>
          <w:jc w:val="center"/>
        </w:trPr>
        <w:tc>
          <w:tcPr>
            <w:tcW w:w="1843" w:type="dxa"/>
            <w:tcBorders>
              <w:top w:val="nil"/>
              <w:left w:val="nil"/>
              <w:bottom w:val="single" w:sz="4" w:space="0" w:color="auto"/>
              <w:right w:val="nil"/>
            </w:tcBorders>
            <w:shd w:val="clear" w:color="auto" w:fill="auto"/>
            <w:noWrap/>
            <w:vAlign w:val="center"/>
            <w:hideMark/>
          </w:tcPr>
          <w:p w14:paraId="2D59251D" w14:textId="77777777" w:rsidR="00685D8F" w:rsidRPr="007E6104" w:rsidRDefault="00685D8F" w:rsidP="00685D8F">
            <w:pPr>
              <w:pStyle w:val="Entabla"/>
              <w:rPr>
                <w:b/>
                <w:lang w:val="es-ES_tradnl"/>
              </w:rPr>
            </w:pPr>
            <w:r w:rsidRPr="007E6104">
              <w:rPr>
                <w:b/>
                <w:lang w:val="es-ES_tradnl"/>
              </w:rPr>
              <w:t>Escenario 1-Base</w:t>
            </w:r>
          </w:p>
        </w:tc>
        <w:tc>
          <w:tcPr>
            <w:tcW w:w="1701" w:type="dxa"/>
            <w:tcBorders>
              <w:top w:val="nil"/>
              <w:left w:val="nil"/>
              <w:bottom w:val="single" w:sz="4" w:space="0" w:color="auto"/>
              <w:right w:val="nil"/>
            </w:tcBorders>
            <w:shd w:val="clear" w:color="auto" w:fill="auto"/>
            <w:noWrap/>
            <w:vAlign w:val="center"/>
            <w:hideMark/>
          </w:tcPr>
          <w:p w14:paraId="4FF1A09A" w14:textId="77777777" w:rsidR="00685D8F" w:rsidRPr="007E6104" w:rsidRDefault="00685D8F" w:rsidP="00685D8F">
            <w:pPr>
              <w:pStyle w:val="Entabla"/>
              <w:rPr>
                <w:b/>
                <w:lang w:val="es-ES_tradnl"/>
              </w:rPr>
            </w:pPr>
            <w:r w:rsidRPr="007E6104">
              <w:rPr>
                <w:b/>
                <w:lang w:val="es-ES_tradnl"/>
              </w:rPr>
              <w:t> </w:t>
            </w:r>
          </w:p>
        </w:tc>
        <w:tc>
          <w:tcPr>
            <w:tcW w:w="1559" w:type="dxa"/>
            <w:tcBorders>
              <w:top w:val="nil"/>
              <w:left w:val="nil"/>
              <w:bottom w:val="single" w:sz="4" w:space="0" w:color="auto"/>
              <w:right w:val="nil"/>
            </w:tcBorders>
            <w:shd w:val="clear" w:color="auto" w:fill="auto"/>
            <w:noWrap/>
            <w:vAlign w:val="center"/>
            <w:hideMark/>
          </w:tcPr>
          <w:p w14:paraId="03AB1056" w14:textId="77777777" w:rsidR="00685D8F" w:rsidRPr="007E6104" w:rsidRDefault="00685D8F" w:rsidP="00685D8F">
            <w:pPr>
              <w:pStyle w:val="Entabla"/>
              <w:rPr>
                <w:b/>
                <w:lang w:val="es-ES_tradnl"/>
              </w:rPr>
            </w:pPr>
            <w:r w:rsidRPr="007E6104">
              <w:rPr>
                <w:b/>
                <w:lang w:val="es-ES_tradnl"/>
              </w:rPr>
              <w:t> </w:t>
            </w:r>
          </w:p>
        </w:tc>
        <w:tc>
          <w:tcPr>
            <w:tcW w:w="1558" w:type="dxa"/>
            <w:tcBorders>
              <w:top w:val="nil"/>
              <w:left w:val="nil"/>
              <w:bottom w:val="single" w:sz="4" w:space="0" w:color="auto"/>
              <w:right w:val="nil"/>
            </w:tcBorders>
            <w:shd w:val="clear" w:color="auto" w:fill="auto"/>
            <w:noWrap/>
            <w:vAlign w:val="center"/>
            <w:hideMark/>
          </w:tcPr>
          <w:p w14:paraId="549E654B" w14:textId="77777777" w:rsidR="00685D8F" w:rsidRPr="007E6104" w:rsidRDefault="00685D8F" w:rsidP="00685D8F">
            <w:pPr>
              <w:pStyle w:val="Entabla"/>
              <w:rPr>
                <w:b/>
                <w:lang w:val="es-ES_tradnl"/>
              </w:rPr>
            </w:pPr>
            <w:r w:rsidRPr="007E6104">
              <w:rPr>
                <w:b/>
                <w:lang w:val="es-ES_tradnl"/>
              </w:rPr>
              <w:t> </w:t>
            </w:r>
          </w:p>
        </w:tc>
        <w:tc>
          <w:tcPr>
            <w:tcW w:w="1134" w:type="dxa"/>
            <w:tcBorders>
              <w:top w:val="nil"/>
              <w:left w:val="nil"/>
              <w:bottom w:val="single" w:sz="4" w:space="0" w:color="auto"/>
              <w:right w:val="nil"/>
            </w:tcBorders>
            <w:shd w:val="clear" w:color="auto" w:fill="auto"/>
            <w:noWrap/>
            <w:vAlign w:val="center"/>
            <w:hideMark/>
          </w:tcPr>
          <w:p w14:paraId="5BA0D4F9" w14:textId="77777777" w:rsidR="00685D8F" w:rsidRPr="007E6104" w:rsidRDefault="00685D8F" w:rsidP="00685D8F">
            <w:pPr>
              <w:pStyle w:val="Entabla"/>
              <w:rPr>
                <w:b/>
                <w:lang w:val="es-ES_tradnl"/>
              </w:rPr>
            </w:pPr>
            <w:r w:rsidRPr="007E6104">
              <w:rPr>
                <w:b/>
                <w:lang w:val="es-ES_tradnl"/>
              </w:rPr>
              <w:t> </w:t>
            </w:r>
          </w:p>
        </w:tc>
        <w:tc>
          <w:tcPr>
            <w:tcW w:w="852" w:type="dxa"/>
            <w:tcBorders>
              <w:top w:val="nil"/>
              <w:left w:val="nil"/>
              <w:bottom w:val="single" w:sz="4" w:space="0" w:color="auto"/>
              <w:right w:val="nil"/>
            </w:tcBorders>
            <w:shd w:val="clear" w:color="auto" w:fill="auto"/>
          </w:tcPr>
          <w:p w14:paraId="44172F6C" w14:textId="77777777" w:rsidR="00685D8F" w:rsidRPr="007E6104" w:rsidRDefault="00685D8F" w:rsidP="00685D8F">
            <w:pPr>
              <w:pStyle w:val="Entabla"/>
              <w:rPr>
                <w:b/>
                <w:lang w:val="es-ES_tradnl"/>
              </w:rPr>
            </w:pPr>
          </w:p>
        </w:tc>
      </w:tr>
      <w:tr w:rsidR="00387CFC" w:rsidRPr="00207204" w14:paraId="787CB461" w14:textId="77777777" w:rsidTr="00DD0CF1">
        <w:trPr>
          <w:trHeight w:val="300"/>
          <w:jc w:val="center"/>
        </w:trPr>
        <w:tc>
          <w:tcPr>
            <w:tcW w:w="1843" w:type="dxa"/>
            <w:tcBorders>
              <w:top w:val="nil"/>
              <w:left w:val="nil"/>
              <w:bottom w:val="nil"/>
              <w:right w:val="nil"/>
            </w:tcBorders>
            <w:shd w:val="clear" w:color="auto" w:fill="auto"/>
            <w:noWrap/>
            <w:vAlign w:val="center"/>
            <w:hideMark/>
          </w:tcPr>
          <w:p w14:paraId="5EA7A4E1" w14:textId="4B9A88F0" w:rsidR="00387CFC" w:rsidRPr="00863291" w:rsidRDefault="00387CFC" w:rsidP="00387CFC">
            <w:pPr>
              <w:pStyle w:val="Entabla"/>
            </w:pPr>
          </w:p>
        </w:tc>
        <w:tc>
          <w:tcPr>
            <w:tcW w:w="1701" w:type="dxa"/>
            <w:tcBorders>
              <w:top w:val="nil"/>
              <w:left w:val="nil"/>
              <w:bottom w:val="nil"/>
              <w:right w:val="nil"/>
            </w:tcBorders>
            <w:shd w:val="clear" w:color="auto" w:fill="auto"/>
            <w:noWrap/>
            <w:vAlign w:val="center"/>
            <w:hideMark/>
          </w:tcPr>
          <w:p w14:paraId="606D3490" w14:textId="64E03674" w:rsidR="00387CFC" w:rsidRPr="00863291" w:rsidRDefault="00387CFC" w:rsidP="00387CFC">
            <w:pPr>
              <w:pStyle w:val="Entabla"/>
            </w:pPr>
            <w:r>
              <w:t>2</w:t>
            </w:r>
            <w:r w:rsidR="00705D45">
              <w:t>1.103.</w:t>
            </w:r>
            <w:r w:rsidR="00380680">
              <w:t>107</w:t>
            </w:r>
          </w:p>
        </w:tc>
        <w:tc>
          <w:tcPr>
            <w:tcW w:w="1559" w:type="dxa"/>
            <w:tcBorders>
              <w:top w:val="nil"/>
              <w:left w:val="nil"/>
              <w:bottom w:val="nil"/>
              <w:right w:val="nil"/>
            </w:tcBorders>
            <w:shd w:val="clear" w:color="auto" w:fill="auto"/>
            <w:noWrap/>
            <w:vAlign w:val="center"/>
          </w:tcPr>
          <w:p w14:paraId="58865692" w14:textId="2FE158E2" w:rsidR="00387CFC" w:rsidRPr="00BC2A6E" w:rsidRDefault="00DD0CF1" w:rsidP="00387CFC">
            <w:pPr>
              <w:pStyle w:val="Entabla"/>
              <w:rPr>
                <w:lang w:val="es-AR"/>
              </w:rPr>
            </w:pPr>
            <w:r w:rsidRPr="00DD0CF1">
              <w:rPr>
                <w:lang w:val="en-US"/>
              </w:rPr>
              <w:t>33</w:t>
            </w:r>
            <w:r>
              <w:rPr>
                <w:lang w:val="en-US"/>
              </w:rPr>
              <w:t>.</w:t>
            </w:r>
            <w:r w:rsidRPr="00DD0CF1">
              <w:rPr>
                <w:lang w:val="en-US"/>
              </w:rPr>
              <w:t>326</w:t>
            </w:r>
            <w:r>
              <w:rPr>
                <w:lang w:val="en-US"/>
              </w:rPr>
              <w:t>.</w:t>
            </w:r>
            <w:r w:rsidRPr="00DD0CF1">
              <w:rPr>
                <w:lang w:val="en-US"/>
              </w:rPr>
              <w:t>680</w:t>
            </w:r>
          </w:p>
        </w:tc>
        <w:tc>
          <w:tcPr>
            <w:tcW w:w="1558" w:type="dxa"/>
            <w:tcBorders>
              <w:top w:val="nil"/>
              <w:left w:val="nil"/>
              <w:bottom w:val="nil"/>
              <w:right w:val="nil"/>
            </w:tcBorders>
            <w:shd w:val="clear" w:color="auto" w:fill="auto"/>
            <w:noWrap/>
            <w:vAlign w:val="center"/>
          </w:tcPr>
          <w:p w14:paraId="34B40C36" w14:textId="5CABF21C" w:rsidR="00387CFC" w:rsidRPr="00DD0CF1" w:rsidRDefault="00DD0CF1" w:rsidP="00387CFC">
            <w:pPr>
              <w:pStyle w:val="Entabla"/>
              <w:rPr>
                <w:lang w:val="es-AR"/>
              </w:rPr>
            </w:pPr>
            <w:r w:rsidRPr="00DD0CF1">
              <w:rPr>
                <w:lang w:val="en-US"/>
              </w:rPr>
              <w:t>1</w:t>
            </w:r>
            <w:r w:rsidR="00705D45">
              <w:rPr>
                <w:lang w:val="en-US"/>
              </w:rPr>
              <w:t>2.223.573</w:t>
            </w:r>
          </w:p>
        </w:tc>
        <w:tc>
          <w:tcPr>
            <w:tcW w:w="1134" w:type="dxa"/>
            <w:tcBorders>
              <w:top w:val="nil"/>
              <w:left w:val="nil"/>
              <w:bottom w:val="nil"/>
              <w:right w:val="nil"/>
            </w:tcBorders>
            <w:shd w:val="clear" w:color="auto" w:fill="auto"/>
            <w:noWrap/>
            <w:vAlign w:val="center"/>
          </w:tcPr>
          <w:p w14:paraId="7A45400A" w14:textId="4B740525" w:rsidR="00387CFC" w:rsidRPr="00863291" w:rsidRDefault="00DD0CF1" w:rsidP="00387CFC">
            <w:pPr>
              <w:pStyle w:val="Entabla"/>
              <w:rPr>
                <w:bCs/>
              </w:rPr>
            </w:pPr>
            <w:r>
              <w:rPr>
                <w:bCs/>
              </w:rPr>
              <w:t>1.</w:t>
            </w:r>
            <w:r w:rsidR="00705D45">
              <w:rPr>
                <w:bCs/>
              </w:rPr>
              <w:t>58</w:t>
            </w:r>
          </w:p>
        </w:tc>
        <w:tc>
          <w:tcPr>
            <w:tcW w:w="852" w:type="dxa"/>
            <w:tcBorders>
              <w:top w:val="nil"/>
              <w:left w:val="nil"/>
              <w:bottom w:val="nil"/>
              <w:right w:val="nil"/>
            </w:tcBorders>
            <w:shd w:val="clear" w:color="auto" w:fill="auto"/>
            <w:vAlign w:val="center"/>
          </w:tcPr>
          <w:p w14:paraId="4DB6CA53" w14:textId="3CF648A3" w:rsidR="00387CFC" w:rsidRPr="00863291" w:rsidRDefault="00DD0CF1" w:rsidP="00387CFC">
            <w:pPr>
              <w:pStyle w:val="Entabla"/>
              <w:rPr>
                <w:bCs/>
              </w:rPr>
            </w:pPr>
            <w:r>
              <w:rPr>
                <w:bCs/>
              </w:rPr>
              <w:t>2</w:t>
            </w:r>
            <w:r w:rsidR="00136C99">
              <w:rPr>
                <w:bCs/>
              </w:rPr>
              <w:t>3</w:t>
            </w:r>
            <w:r>
              <w:rPr>
                <w:bCs/>
              </w:rPr>
              <w:t>%</w:t>
            </w:r>
          </w:p>
        </w:tc>
      </w:tr>
      <w:tr w:rsidR="00685D8F" w:rsidRPr="00BB26A9" w14:paraId="595B25FD" w14:textId="77777777" w:rsidTr="00FA0365">
        <w:trPr>
          <w:trHeight w:val="531"/>
          <w:jc w:val="center"/>
        </w:trPr>
        <w:tc>
          <w:tcPr>
            <w:tcW w:w="1843" w:type="dxa"/>
            <w:tcBorders>
              <w:top w:val="single" w:sz="4" w:space="0" w:color="auto"/>
              <w:left w:val="nil"/>
              <w:bottom w:val="single" w:sz="4" w:space="0" w:color="auto"/>
              <w:right w:val="nil"/>
            </w:tcBorders>
            <w:shd w:val="clear" w:color="auto" w:fill="auto"/>
            <w:noWrap/>
            <w:vAlign w:val="center"/>
            <w:hideMark/>
          </w:tcPr>
          <w:p w14:paraId="0C45DF6B" w14:textId="77777777" w:rsidR="00685D8F" w:rsidRPr="007E6104" w:rsidRDefault="00685D8F" w:rsidP="00685D8F">
            <w:pPr>
              <w:pStyle w:val="Entabla"/>
              <w:rPr>
                <w:b/>
                <w:lang w:val="es-ES_tradnl"/>
              </w:rPr>
            </w:pPr>
            <w:r w:rsidRPr="007E6104">
              <w:rPr>
                <w:b/>
                <w:lang w:val="es-ES_tradnl"/>
              </w:rPr>
              <w:t>Escenario 2-Conservador</w:t>
            </w:r>
          </w:p>
        </w:tc>
        <w:tc>
          <w:tcPr>
            <w:tcW w:w="1701" w:type="dxa"/>
            <w:tcBorders>
              <w:top w:val="single" w:sz="4" w:space="0" w:color="auto"/>
              <w:left w:val="nil"/>
              <w:bottom w:val="single" w:sz="4" w:space="0" w:color="auto"/>
              <w:right w:val="nil"/>
            </w:tcBorders>
            <w:shd w:val="clear" w:color="auto" w:fill="auto"/>
            <w:noWrap/>
            <w:vAlign w:val="center"/>
            <w:hideMark/>
          </w:tcPr>
          <w:p w14:paraId="6F98D0A7" w14:textId="77777777" w:rsidR="00685D8F" w:rsidRPr="007E6104" w:rsidRDefault="00685D8F" w:rsidP="00685D8F">
            <w:pPr>
              <w:pStyle w:val="Entabla"/>
              <w:rPr>
                <w:b/>
                <w:lang w:val="es-ES_tradnl"/>
              </w:rPr>
            </w:pPr>
            <w:r w:rsidRPr="007E6104">
              <w:rPr>
                <w:b/>
                <w:lang w:val="es-ES_tradnl"/>
              </w:rPr>
              <w:t> </w:t>
            </w:r>
          </w:p>
        </w:tc>
        <w:tc>
          <w:tcPr>
            <w:tcW w:w="1559" w:type="dxa"/>
            <w:tcBorders>
              <w:top w:val="single" w:sz="4" w:space="0" w:color="auto"/>
              <w:left w:val="nil"/>
              <w:bottom w:val="single" w:sz="4" w:space="0" w:color="auto"/>
              <w:right w:val="nil"/>
            </w:tcBorders>
            <w:shd w:val="clear" w:color="auto" w:fill="auto"/>
            <w:noWrap/>
            <w:vAlign w:val="center"/>
            <w:hideMark/>
          </w:tcPr>
          <w:p w14:paraId="54898D21" w14:textId="77777777" w:rsidR="00685D8F" w:rsidRPr="007E6104" w:rsidRDefault="00685D8F" w:rsidP="00685D8F">
            <w:pPr>
              <w:pStyle w:val="Entabla"/>
              <w:rPr>
                <w:b/>
                <w:lang w:val="es-ES_tradnl"/>
              </w:rPr>
            </w:pPr>
            <w:r w:rsidRPr="007E6104">
              <w:rPr>
                <w:b/>
                <w:lang w:val="es-ES_tradnl"/>
              </w:rPr>
              <w:t> </w:t>
            </w:r>
          </w:p>
        </w:tc>
        <w:tc>
          <w:tcPr>
            <w:tcW w:w="1558" w:type="dxa"/>
            <w:tcBorders>
              <w:top w:val="single" w:sz="4" w:space="0" w:color="auto"/>
              <w:left w:val="nil"/>
              <w:bottom w:val="single" w:sz="4" w:space="0" w:color="auto"/>
              <w:right w:val="nil"/>
            </w:tcBorders>
            <w:shd w:val="clear" w:color="auto" w:fill="auto"/>
            <w:noWrap/>
            <w:vAlign w:val="center"/>
          </w:tcPr>
          <w:p w14:paraId="3BF80B92" w14:textId="69F8F660" w:rsidR="00685D8F" w:rsidRPr="007E6104" w:rsidRDefault="00685D8F" w:rsidP="00685D8F">
            <w:pPr>
              <w:pStyle w:val="Entabla"/>
              <w:rPr>
                <w:b/>
                <w:lang w:val="es-ES_tradnl"/>
              </w:rPr>
            </w:pPr>
          </w:p>
        </w:tc>
        <w:tc>
          <w:tcPr>
            <w:tcW w:w="1134" w:type="dxa"/>
            <w:tcBorders>
              <w:top w:val="single" w:sz="4" w:space="0" w:color="auto"/>
              <w:left w:val="nil"/>
              <w:bottom w:val="single" w:sz="4" w:space="0" w:color="auto"/>
              <w:right w:val="nil"/>
            </w:tcBorders>
            <w:shd w:val="clear" w:color="auto" w:fill="auto"/>
            <w:noWrap/>
            <w:vAlign w:val="center"/>
          </w:tcPr>
          <w:p w14:paraId="35E0BF0D" w14:textId="3E44A19E" w:rsidR="00685D8F" w:rsidRPr="007E6104" w:rsidRDefault="00685D8F" w:rsidP="00685D8F">
            <w:pPr>
              <w:pStyle w:val="Entabla"/>
              <w:rPr>
                <w:b/>
                <w:lang w:val="es-ES_tradnl"/>
              </w:rPr>
            </w:pPr>
          </w:p>
        </w:tc>
        <w:tc>
          <w:tcPr>
            <w:tcW w:w="852" w:type="dxa"/>
            <w:tcBorders>
              <w:top w:val="single" w:sz="4" w:space="0" w:color="auto"/>
              <w:left w:val="nil"/>
              <w:bottom w:val="single" w:sz="4" w:space="0" w:color="auto"/>
              <w:right w:val="nil"/>
            </w:tcBorders>
            <w:shd w:val="clear" w:color="auto" w:fill="auto"/>
          </w:tcPr>
          <w:p w14:paraId="0A0E157E" w14:textId="77777777" w:rsidR="00685D8F" w:rsidRPr="007E6104" w:rsidRDefault="00685D8F" w:rsidP="00685D8F">
            <w:pPr>
              <w:pStyle w:val="Entabla"/>
              <w:rPr>
                <w:b/>
                <w:lang w:val="es-ES_tradnl"/>
              </w:rPr>
            </w:pPr>
          </w:p>
        </w:tc>
      </w:tr>
      <w:tr w:rsidR="00380680" w:rsidRPr="00207204" w14:paraId="1DDDCDDE" w14:textId="77777777" w:rsidTr="00387CFC">
        <w:trPr>
          <w:trHeight w:val="300"/>
          <w:jc w:val="center"/>
        </w:trPr>
        <w:tc>
          <w:tcPr>
            <w:tcW w:w="1843" w:type="dxa"/>
            <w:tcBorders>
              <w:top w:val="nil"/>
              <w:left w:val="nil"/>
              <w:bottom w:val="nil"/>
              <w:right w:val="nil"/>
            </w:tcBorders>
            <w:shd w:val="clear" w:color="auto" w:fill="auto"/>
            <w:noWrap/>
            <w:vAlign w:val="center"/>
            <w:hideMark/>
          </w:tcPr>
          <w:p w14:paraId="0BAF188D" w14:textId="0284391B" w:rsidR="00380680" w:rsidRPr="00863291" w:rsidRDefault="00380680" w:rsidP="00380680">
            <w:pPr>
              <w:pStyle w:val="Entabla"/>
            </w:pPr>
          </w:p>
        </w:tc>
        <w:tc>
          <w:tcPr>
            <w:tcW w:w="1701" w:type="dxa"/>
            <w:tcBorders>
              <w:top w:val="nil"/>
              <w:left w:val="nil"/>
              <w:bottom w:val="nil"/>
              <w:right w:val="nil"/>
            </w:tcBorders>
            <w:shd w:val="clear" w:color="auto" w:fill="auto"/>
            <w:noWrap/>
            <w:vAlign w:val="center"/>
            <w:hideMark/>
          </w:tcPr>
          <w:p w14:paraId="574D7EC3" w14:textId="26C54CB0" w:rsidR="00380680" w:rsidRPr="00863291" w:rsidRDefault="00380680" w:rsidP="00380680">
            <w:pPr>
              <w:pStyle w:val="Entabla"/>
            </w:pPr>
            <w:r>
              <w:t>21.103.107</w:t>
            </w:r>
          </w:p>
        </w:tc>
        <w:tc>
          <w:tcPr>
            <w:tcW w:w="1559" w:type="dxa"/>
            <w:tcBorders>
              <w:top w:val="nil"/>
              <w:left w:val="nil"/>
              <w:bottom w:val="nil"/>
              <w:right w:val="nil"/>
            </w:tcBorders>
            <w:shd w:val="clear" w:color="auto" w:fill="auto"/>
            <w:noWrap/>
            <w:vAlign w:val="center"/>
          </w:tcPr>
          <w:p w14:paraId="5304D8C1" w14:textId="33B3D908" w:rsidR="00380680" w:rsidRPr="00863291" w:rsidRDefault="00380680" w:rsidP="00380680">
            <w:pPr>
              <w:pStyle w:val="Entabla"/>
              <w:ind w:left="34"/>
            </w:pPr>
            <w:r w:rsidRPr="00BC2A6E">
              <w:rPr>
                <w:lang w:val="en-US"/>
              </w:rPr>
              <w:t>24</w:t>
            </w:r>
            <w:r>
              <w:rPr>
                <w:lang w:val="en-US"/>
              </w:rPr>
              <w:t>.</w:t>
            </w:r>
            <w:r w:rsidRPr="00BC2A6E">
              <w:rPr>
                <w:lang w:val="en-US"/>
              </w:rPr>
              <w:t>995</w:t>
            </w:r>
            <w:r>
              <w:rPr>
                <w:lang w:val="en-US"/>
              </w:rPr>
              <w:t>.</w:t>
            </w:r>
            <w:r w:rsidRPr="00BC2A6E">
              <w:rPr>
                <w:lang w:val="en-US"/>
              </w:rPr>
              <w:t>010</w:t>
            </w:r>
          </w:p>
        </w:tc>
        <w:tc>
          <w:tcPr>
            <w:tcW w:w="1558" w:type="dxa"/>
            <w:tcBorders>
              <w:top w:val="nil"/>
              <w:left w:val="nil"/>
              <w:bottom w:val="nil"/>
              <w:right w:val="nil"/>
            </w:tcBorders>
            <w:shd w:val="clear" w:color="auto" w:fill="auto"/>
            <w:noWrap/>
            <w:vAlign w:val="center"/>
          </w:tcPr>
          <w:p w14:paraId="7BFC3CC0" w14:textId="58E5FE10" w:rsidR="00380680" w:rsidRPr="00863291" w:rsidRDefault="00380680" w:rsidP="00380680">
            <w:pPr>
              <w:pStyle w:val="Entabla"/>
              <w:ind w:left="34"/>
            </w:pPr>
            <w:r>
              <w:rPr>
                <w:lang w:val="en-US"/>
              </w:rPr>
              <w:t>3.891.903</w:t>
            </w:r>
          </w:p>
        </w:tc>
        <w:tc>
          <w:tcPr>
            <w:tcW w:w="1134" w:type="dxa"/>
            <w:tcBorders>
              <w:top w:val="nil"/>
              <w:left w:val="nil"/>
              <w:bottom w:val="nil"/>
              <w:right w:val="nil"/>
            </w:tcBorders>
            <w:shd w:val="clear" w:color="auto" w:fill="auto"/>
            <w:noWrap/>
            <w:vAlign w:val="center"/>
          </w:tcPr>
          <w:p w14:paraId="16B38D62" w14:textId="0A509684" w:rsidR="00380680" w:rsidRPr="00863291" w:rsidRDefault="00380680" w:rsidP="00380680">
            <w:pPr>
              <w:pStyle w:val="Entabla"/>
              <w:rPr>
                <w:bCs/>
              </w:rPr>
            </w:pPr>
            <w:r>
              <w:rPr>
                <w:bCs/>
              </w:rPr>
              <w:t>1,18</w:t>
            </w:r>
          </w:p>
        </w:tc>
        <w:tc>
          <w:tcPr>
            <w:tcW w:w="852" w:type="dxa"/>
            <w:tcBorders>
              <w:top w:val="nil"/>
              <w:left w:val="nil"/>
              <w:bottom w:val="nil"/>
              <w:right w:val="nil"/>
            </w:tcBorders>
            <w:shd w:val="clear" w:color="auto" w:fill="auto"/>
            <w:vAlign w:val="center"/>
          </w:tcPr>
          <w:p w14:paraId="0143B75B" w14:textId="50AAEC3E" w:rsidR="00380680" w:rsidRPr="00863291" w:rsidRDefault="00380680" w:rsidP="00380680">
            <w:pPr>
              <w:pStyle w:val="Entabla"/>
              <w:ind w:left="34"/>
              <w:rPr>
                <w:bCs/>
              </w:rPr>
            </w:pPr>
            <w:r>
              <w:rPr>
                <w:bCs/>
              </w:rPr>
              <w:t>16%</w:t>
            </w:r>
          </w:p>
        </w:tc>
      </w:tr>
      <w:tr w:rsidR="00380680" w:rsidRPr="00BB26A9" w14:paraId="69D4C27C" w14:textId="77777777" w:rsidTr="002E5536">
        <w:trPr>
          <w:trHeight w:val="287"/>
          <w:jc w:val="center"/>
        </w:trPr>
        <w:tc>
          <w:tcPr>
            <w:tcW w:w="1843" w:type="dxa"/>
            <w:tcBorders>
              <w:top w:val="single" w:sz="4" w:space="0" w:color="auto"/>
              <w:left w:val="nil"/>
              <w:bottom w:val="single" w:sz="4" w:space="0" w:color="auto"/>
              <w:right w:val="nil"/>
            </w:tcBorders>
            <w:shd w:val="clear" w:color="auto" w:fill="auto"/>
            <w:vAlign w:val="center"/>
          </w:tcPr>
          <w:p w14:paraId="386AAEC0" w14:textId="77777777" w:rsidR="00380680" w:rsidRPr="007E6104" w:rsidRDefault="00380680" w:rsidP="00380680">
            <w:pPr>
              <w:pStyle w:val="Entabla"/>
              <w:rPr>
                <w:b/>
                <w:lang w:val="es-ES_tradnl"/>
              </w:rPr>
            </w:pPr>
            <w:r w:rsidRPr="007E6104">
              <w:rPr>
                <w:b/>
                <w:lang w:val="es-ES_tradnl"/>
              </w:rPr>
              <w:t>Escenario 3-Favorable</w:t>
            </w:r>
          </w:p>
        </w:tc>
        <w:tc>
          <w:tcPr>
            <w:tcW w:w="1701" w:type="dxa"/>
            <w:tcBorders>
              <w:top w:val="single" w:sz="4" w:space="0" w:color="auto"/>
              <w:left w:val="nil"/>
              <w:bottom w:val="single" w:sz="4" w:space="0" w:color="auto"/>
              <w:right w:val="nil"/>
            </w:tcBorders>
            <w:shd w:val="clear" w:color="auto" w:fill="auto"/>
            <w:noWrap/>
            <w:vAlign w:val="center"/>
          </w:tcPr>
          <w:p w14:paraId="6FBEC567" w14:textId="77777777" w:rsidR="00380680" w:rsidRPr="007E6104" w:rsidRDefault="00380680" w:rsidP="00380680">
            <w:pPr>
              <w:pStyle w:val="Entabla"/>
              <w:rPr>
                <w:b/>
                <w:lang w:val="es-ES_tradnl"/>
              </w:rPr>
            </w:pPr>
            <w:r w:rsidRPr="007E6104">
              <w:rPr>
                <w:b/>
                <w:lang w:val="es-ES_tradnl"/>
              </w:rPr>
              <w:t> </w:t>
            </w:r>
          </w:p>
        </w:tc>
        <w:tc>
          <w:tcPr>
            <w:tcW w:w="1559" w:type="dxa"/>
            <w:tcBorders>
              <w:top w:val="single" w:sz="4" w:space="0" w:color="auto"/>
              <w:left w:val="nil"/>
              <w:bottom w:val="single" w:sz="4" w:space="0" w:color="auto"/>
              <w:right w:val="nil"/>
            </w:tcBorders>
            <w:shd w:val="clear" w:color="auto" w:fill="auto"/>
            <w:noWrap/>
            <w:vAlign w:val="center"/>
          </w:tcPr>
          <w:p w14:paraId="04A7EF77" w14:textId="77777777" w:rsidR="00380680" w:rsidRPr="007E6104" w:rsidRDefault="00380680" w:rsidP="00380680">
            <w:pPr>
              <w:pStyle w:val="Entabla"/>
              <w:rPr>
                <w:b/>
                <w:lang w:val="es-ES_tradnl"/>
              </w:rPr>
            </w:pPr>
            <w:r w:rsidRPr="007E6104">
              <w:rPr>
                <w:b/>
                <w:lang w:val="es-ES_tradnl"/>
              </w:rPr>
              <w:t> </w:t>
            </w:r>
          </w:p>
        </w:tc>
        <w:tc>
          <w:tcPr>
            <w:tcW w:w="1558" w:type="dxa"/>
            <w:tcBorders>
              <w:top w:val="single" w:sz="4" w:space="0" w:color="auto"/>
              <w:left w:val="nil"/>
              <w:bottom w:val="single" w:sz="4" w:space="0" w:color="auto"/>
              <w:right w:val="nil"/>
            </w:tcBorders>
            <w:shd w:val="clear" w:color="auto" w:fill="auto"/>
            <w:noWrap/>
            <w:vAlign w:val="center"/>
          </w:tcPr>
          <w:p w14:paraId="399A6333" w14:textId="649153EF" w:rsidR="00380680" w:rsidRPr="007E6104" w:rsidRDefault="00380680" w:rsidP="00380680">
            <w:pPr>
              <w:pStyle w:val="Entabla"/>
              <w:rPr>
                <w:b/>
                <w:lang w:val="es-ES_tradnl"/>
              </w:rPr>
            </w:pPr>
          </w:p>
        </w:tc>
        <w:tc>
          <w:tcPr>
            <w:tcW w:w="1134" w:type="dxa"/>
            <w:tcBorders>
              <w:top w:val="single" w:sz="4" w:space="0" w:color="auto"/>
              <w:left w:val="nil"/>
              <w:bottom w:val="single" w:sz="4" w:space="0" w:color="auto"/>
              <w:right w:val="nil"/>
            </w:tcBorders>
            <w:shd w:val="clear" w:color="auto" w:fill="auto"/>
            <w:noWrap/>
            <w:vAlign w:val="center"/>
          </w:tcPr>
          <w:p w14:paraId="72DC737E" w14:textId="6939AC3B" w:rsidR="00380680" w:rsidRPr="007E6104" w:rsidRDefault="00380680" w:rsidP="00380680">
            <w:pPr>
              <w:pStyle w:val="Entabla"/>
              <w:rPr>
                <w:b/>
                <w:lang w:val="es-ES_tradnl"/>
              </w:rPr>
            </w:pPr>
          </w:p>
        </w:tc>
        <w:tc>
          <w:tcPr>
            <w:tcW w:w="852" w:type="dxa"/>
            <w:tcBorders>
              <w:top w:val="single" w:sz="4" w:space="0" w:color="auto"/>
              <w:left w:val="nil"/>
              <w:bottom w:val="single" w:sz="4" w:space="0" w:color="auto"/>
              <w:right w:val="nil"/>
            </w:tcBorders>
            <w:shd w:val="clear" w:color="auto" w:fill="auto"/>
          </w:tcPr>
          <w:p w14:paraId="0E478C0F" w14:textId="77777777" w:rsidR="00380680" w:rsidRPr="007E6104" w:rsidRDefault="00380680" w:rsidP="00380680">
            <w:pPr>
              <w:pStyle w:val="Entabla"/>
              <w:rPr>
                <w:b/>
                <w:lang w:val="es-ES_tradnl"/>
              </w:rPr>
            </w:pPr>
          </w:p>
        </w:tc>
      </w:tr>
      <w:tr w:rsidR="00380680" w:rsidRPr="00207204" w14:paraId="1EDBDDB4" w14:textId="77777777" w:rsidTr="00FA0365">
        <w:trPr>
          <w:trHeight w:val="300"/>
          <w:jc w:val="center"/>
        </w:trPr>
        <w:tc>
          <w:tcPr>
            <w:tcW w:w="1843" w:type="dxa"/>
            <w:tcBorders>
              <w:top w:val="single" w:sz="4" w:space="0" w:color="auto"/>
              <w:left w:val="nil"/>
              <w:bottom w:val="single" w:sz="4" w:space="0" w:color="auto"/>
              <w:right w:val="nil"/>
            </w:tcBorders>
            <w:shd w:val="clear" w:color="auto" w:fill="auto"/>
            <w:noWrap/>
            <w:vAlign w:val="center"/>
            <w:hideMark/>
          </w:tcPr>
          <w:p w14:paraId="62A3BCFB" w14:textId="258F7316" w:rsidR="00380680" w:rsidRPr="00863291" w:rsidRDefault="00380680" w:rsidP="00380680">
            <w:pPr>
              <w:pStyle w:val="Entabla"/>
            </w:pPr>
          </w:p>
        </w:tc>
        <w:tc>
          <w:tcPr>
            <w:tcW w:w="1701" w:type="dxa"/>
            <w:tcBorders>
              <w:top w:val="single" w:sz="4" w:space="0" w:color="auto"/>
              <w:left w:val="nil"/>
              <w:bottom w:val="single" w:sz="4" w:space="0" w:color="auto"/>
              <w:right w:val="nil"/>
            </w:tcBorders>
            <w:shd w:val="clear" w:color="auto" w:fill="auto"/>
            <w:noWrap/>
            <w:vAlign w:val="center"/>
            <w:hideMark/>
          </w:tcPr>
          <w:p w14:paraId="3E95C951" w14:textId="7594E70F" w:rsidR="00380680" w:rsidRPr="00863291" w:rsidRDefault="00380680" w:rsidP="00380680">
            <w:pPr>
              <w:pStyle w:val="Entabla"/>
            </w:pPr>
            <w:r>
              <w:t>21.103.107</w:t>
            </w:r>
          </w:p>
        </w:tc>
        <w:tc>
          <w:tcPr>
            <w:tcW w:w="1559" w:type="dxa"/>
            <w:tcBorders>
              <w:top w:val="single" w:sz="4" w:space="0" w:color="auto"/>
              <w:left w:val="nil"/>
              <w:bottom w:val="single" w:sz="4" w:space="0" w:color="auto"/>
              <w:right w:val="nil"/>
            </w:tcBorders>
            <w:shd w:val="clear" w:color="auto" w:fill="auto"/>
            <w:noWrap/>
            <w:vAlign w:val="center"/>
          </w:tcPr>
          <w:p w14:paraId="135903FE" w14:textId="272B7A33" w:rsidR="00380680" w:rsidRPr="00DD0CF1" w:rsidRDefault="00380680" w:rsidP="00380680">
            <w:pPr>
              <w:pStyle w:val="Entabla"/>
              <w:ind w:left="34"/>
              <w:rPr>
                <w:lang w:val="es-AR"/>
              </w:rPr>
            </w:pPr>
            <w:r w:rsidRPr="00DD0CF1">
              <w:rPr>
                <w:lang w:val="en-US"/>
              </w:rPr>
              <w:t>41</w:t>
            </w:r>
            <w:r>
              <w:rPr>
                <w:lang w:val="en-US"/>
              </w:rPr>
              <w:t>.</w:t>
            </w:r>
            <w:r w:rsidRPr="00DD0CF1">
              <w:rPr>
                <w:lang w:val="en-US"/>
              </w:rPr>
              <w:t>658</w:t>
            </w:r>
            <w:r>
              <w:rPr>
                <w:lang w:val="en-US"/>
              </w:rPr>
              <w:t>.</w:t>
            </w:r>
            <w:r w:rsidRPr="00DD0CF1">
              <w:rPr>
                <w:lang w:val="en-US"/>
              </w:rPr>
              <w:t>350</w:t>
            </w:r>
          </w:p>
        </w:tc>
        <w:tc>
          <w:tcPr>
            <w:tcW w:w="1558" w:type="dxa"/>
            <w:tcBorders>
              <w:top w:val="single" w:sz="4" w:space="0" w:color="auto"/>
              <w:left w:val="nil"/>
              <w:bottom w:val="single" w:sz="4" w:space="0" w:color="auto"/>
              <w:right w:val="nil"/>
            </w:tcBorders>
            <w:shd w:val="clear" w:color="auto" w:fill="auto"/>
            <w:noWrap/>
            <w:vAlign w:val="center"/>
          </w:tcPr>
          <w:p w14:paraId="58FAD966" w14:textId="171388C0" w:rsidR="00380680" w:rsidRPr="00DD0CF1" w:rsidRDefault="00380680" w:rsidP="00380680">
            <w:pPr>
              <w:pStyle w:val="Entabla"/>
              <w:ind w:left="34"/>
              <w:rPr>
                <w:lang w:val="es-AR"/>
              </w:rPr>
            </w:pPr>
            <w:r w:rsidRPr="00DD0CF1">
              <w:rPr>
                <w:lang w:val="en-US"/>
              </w:rPr>
              <w:t>2</w:t>
            </w:r>
            <w:r>
              <w:rPr>
                <w:lang w:val="en-US"/>
              </w:rPr>
              <w:t>0.555.24</w:t>
            </w:r>
            <w:r w:rsidRPr="00DD0CF1">
              <w:rPr>
                <w:lang w:val="en-US"/>
              </w:rPr>
              <w:t>3</w:t>
            </w:r>
          </w:p>
        </w:tc>
        <w:tc>
          <w:tcPr>
            <w:tcW w:w="1134" w:type="dxa"/>
            <w:tcBorders>
              <w:top w:val="single" w:sz="4" w:space="0" w:color="auto"/>
              <w:left w:val="nil"/>
              <w:bottom w:val="single" w:sz="4" w:space="0" w:color="auto"/>
              <w:right w:val="nil"/>
            </w:tcBorders>
            <w:shd w:val="clear" w:color="auto" w:fill="auto"/>
            <w:noWrap/>
            <w:vAlign w:val="center"/>
          </w:tcPr>
          <w:p w14:paraId="2A730BC0" w14:textId="6371FCB9" w:rsidR="00380680" w:rsidRPr="00863291" w:rsidRDefault="00090CB8" w:rsidP="00380680">
            <w:pPr>
              <w:pStyle w:val="Entabla"/>
              <w:rPr>
                <w:bCs/>
              </w:rPr>
            </w:pPr>
            <w:r>
              <w:rPr>
                <w:bCs/>
              </w:rPr>
              <w:t>1.97</w:t>
            </w:r>
          </w:p>
        </w:tc>
        <w:tc>
          <w:tcPr>
            <w:tcW w:w="852" w:type="dxa"/>
            <w:tcBorders>
              <w:top w:val="single" w:sz="4" w:space="0" w:color="auto"/>
              <w:left w:val="nil"/>
              <w:bottom w:val="single" w:sz="4" w:space="0" w:color="auto"/>
              <w:right w:val="nil"/>
            </w:tcBorders>
            <w:shd w:val="clear" w:color="auto" w:fill="auto"/>
            <w:vAlign w:val="center"/>
          </w:tcPr>
          <w:p w14:paraId="1A969B98" w14:textId="3A98BD41" w:rsidR="00380680" w:rsidRPr="00863291" w:rsidRDefault="00380680" w:rsidP="00380680">
            <w:pPr>
              <w:pStyle w:val="Entabla"/>
              <w:ind w:left="34"/>
            </w:pPr>
            <w:r>
              <w:t>29%</w:t>
            </w:r>
          </w:p>
        </w:tc>
      </w:tr>
    </w:tbl>
    <w:p w14:paraId="56C8C734" w14:textId="77777777" w:rsidR="00685D8F" w:rsidRDefault="00685D8F" w:rsidP="00685D8F">
      <w:pPr>
        <w:pStyle w:val="Paragraph"/>
        <w:numPr>
          <w:ilvl w:val="0"/>
          <w:numId w:val="0"/>
        </w:numPr>
        <w:spacing w:before="0" w:after="0" w:line="480" w:lineRule="auto"/>
        <w:ind w:left="567"/>
        <w:rPr>
          <w:szCs w:val="24"/>
        </w:rPr>
      </w:pPr>
    </w:p>
    <w:p w14:paraId="2E0010FF" w14:textId="56C04578" w:rsidR="001F7D40" w:rsidRPr="00235E1C" w:rsidRDefault="00685D8F" w:rsidP="001F7D40">
      <w:pPr>
        <w:pStyle w:val="Paragraph"/>
        <w:numPr>
          <w:ilvl w:val="0"/>
          <w:numId w:val="0"/>
        </w:numPr>
        <w:spacing w:before="0" w:after="0" w:line="360" w:lineRule="auto"/>
        <w:rPr>
          <w:szCs w:val="24"/>
        </w:rPr>
      </w:pPr>
      <w:r w:rsidRPr="00235E1C">
        <w:rPr>
          <w:szCs w:val="24"/>
        </w:rPr>
        <w:t xml:space="preserve">En el escenario base, la relación costo beneficio para el programa </w:t>
      </w:r>
      <w:r w:rsidR="00243949" w:rsidRPr="00235E1C">
        <w:rPr>
          <w:szCs w:val="24"/>
        </w:rPr>
        <w:t xml:space="preserve">resulta ser de </w:t>
      </w:r>
      <w:r w:rsidR="00387CFC" w:rsidRPr="00235E1C">
        <w:rPr>
          <w:szCs w:val="24"/>
        </w:rPr>
        <w:t>1,</w:t>
      </w:r>
      <w:r w:rsidR="00090CB8">
        <w:rPr>
          <w:szCs w:val="24"/>
        </w:rPr>
        <w:t>58</w:t>
      </w:r>
      <w:r w:rsidRPr="00235E1C">
        <w:rPr>
          <w:szCs w:val="24"/>
        </w:rPr>
        <w:t>. Esto signif</w:t>
      </w:r>
      <w:r w:rsidR="00243949" w:rsidRPr="00235E1C">
        <w:rPr>
          <w:szCs w:val="24"/>
        </w:rPr>
        <w:t xml:space="preserve">ica que se espera recuperar </w:t>
      </w:r>
      <w:r w:rsidR="00387CFC" w:rsidRPr="00235E1C">
        <w:rPr>
          <w:szCs w:val="24"/>
        </w:rPr>
        <w:t>1,</w:t>
      </w:r>
      <w:r w:rsidR="00090CB8">
        <w:rPr>
          <w:szCs w:val="24"/>
        </w:rPr>
        <w:t>58</w:t>
      </w:r>
      <w:r w:rsidRPr="00235E1C">
        <w:rPr>
          <w:szCs w:val="24"/>
        </w:rPr>
        <w:t xml:space="preserve"> dólares por cada dólar invertido en el proyecto. </w:t>
      </w:r>
      <w:r w:rsidR="00243949" w:rsidRPr="00235E1C">
        <w:rPr>
          <w:szCs w:val="24"/>
        </w:rPr>
        <w:t xml:space="preserve">La TIR social resulta ser del </w:t>
      </w:r>
      <w:r w:rsidR="00235E1C" w:rsidRPr="00235E1C">
        <w:rPr>
          <w:szCs w:val="24"/>
        </w:rPr>
        <w:t>2</w:t>
      </w:r>
      <w:r w:rsidR="00090CB8">
        <w:rPr>
          <w:szCs w:val="24"/>
        </w:rPr>
        <w:t>3</w:t>
      </w:r>
      <w:r w:rsidRPr="00235E1C">
        <w:rPr>
          <w:szCs w:val="24"/>
        </w:rPr>
        <w:t>%</w:t>
      </w:r>
      <w:r w:rsidR="006653E8" w:rsidRPr="00235E1C">
        <w:rPr>
          <w:szCs w:val="24"/>
        </w:rPr>
        <w:t xml:space="preserve">. </w:t>
      </w:r>
      <w:r w:rsidRPr="00235E1C">
        <w:rPr>
          <w:szCs w:val="24"/>
        </w:rPr>
        <w:t xml:space="preserve">En el escenario más conservador, </w:t>
      </w:r>
      <w:r w:rsidR="00EE64AC" w:rsidRPr="00235E1C">
        <w:rPr>
          <w:szCs w:val="24"/>
        </w:rPr>
        <w:t>donde se toma un valor menor de la variable</w:t>
      </w:r>
      <w:r w:rsidR="006653E8" w:rsidRPr="00235E1C">
        <w:rPr>
          <w:szCs w:val="24"/>
        </w:rPr>
        <w:t xml:space="preserve"> “aumento en la probabilidad de encontrar empleo” </w:t>
      </w:r>
      <w:r w:rsidR="00EE64AC" w:rsidRPr="00235E1C">
        <w:rPr>
          <w:szCs w:val="24"/>
        </w:rPr>
        <w:t xml:space="preserve">respecto del escenario base, </w:t>
      </w:r>
      <w:r w:rsidRPr="00235E1C">
        <w:rPr>
          <w:szCs w:val="24"/>
        </w:rPr>
        <w:t>resulta un</w:t>
      </w:r>
      <w:r w:rsidR="00243949" w:rsidRPr="00235E1C">
        <w:rPr>
          <w:szCs w:val="24"/>
        </w:rPr>
        <w:t xml:space="preserve">a TIR social del </w:t>
      </w:r>
      <w:r w:rsidR="00235E1C" w:rsidRPr="00235E1C">
        <w:rPr>
          <w:szCs w:val="24"/>
        </w:rPr>
        <w:t>1</w:t>
      </w:r>
      <w:r w:rsidR="00090CB8">
        <w:rPr>
          <w:szCs w:val="24"/>
        </w:rPr>
        <w:t>6</w:t>
      </w:r>
      <w:r w:rsidRPr="00235E1C">
        <w:rPr>
          <w:szCs w:val="24"/>
        </w:rPr>
        <w:t>% para el program</w:t>
      </w:r>
      <w:r w:rsidR="006653E8" w:rsidRPr="00235E1C">
        <w:rPr>
          <w:szCs w:val="24"/>
        </w:rPr>
        <w:t>a</w:t>
      </w:r>
      <w:r w:rsidRPr="00235E1C">
        <w:rPr>
          <w:szCs w:val="24"/>
        </w:rPr>
        <w:t xml:space="preserve">. En un escenario más favorable, </w:t>
      </w:r>
      <w:r w:rsidR="00EE64AC" w:rsidRPr="00235E1C">
        <w:rPr>
          <w:szCs w:val="24"/>
        </w:rPr>
        <w:t xml:space="preserve">donde se toma un valor mayor de </w:t>
      </w:r>
      <w:r w:rsidR="006653E8" w:rsidRPr="00235E1C">
        <w:rPr>
          <w:szCs w:val="24"/>
        </w:rPr>
        <w:t>la variable “aumento en la probabilidad de encontrar empleo”</w:t>
      </w:r>
      <w:r w:rsidR="00EE64AC" w:rsidRPr="00235E1C">
        <w:rPr>
          <w:szCs w:val="24"/>
        </w:rPr>
        <w:t xml:space="preserve"> respecto del escenario base, </w:t>
      </w:r>
      <w:r w:rsidR="00243949" w:rsidRPr="00235E1C">
        <w:rPr>
          <w:szCs w:val="24"/>
        </w:rPr>
        <w:t xml:space="preserve">se obtiene una TIR social del </w:t>
      </w:r>
      <w:r w:rsidR="00387CFC" w:rsidRPr="00235E1C">
        <w:rPr>
          <w:szCs w:val="24"/>
        </w:rPr>
        <w:t>2</w:t>
      </w:r>
      <w:r w:rsidR="0006243A">
        <w:rPr>
          <w:szCs w:val="24"/>
        </w:rPr>
        <w:t>9</w:t>
      </w:r>
      <w:r w:rsidRPr="00235E1C">
        <w:rPr>
          <w:szCs w:val="24"/>
        </w:rPr>
        <w:t>%.</w:t>
      </w:r>
    </w:p>
    <w:p w14:paraId="621E721C" w14:textId="39877042" w:rsidR="001F7D40" w:rsidRPr="001F7D40" w:rsidRDefault="00685D8F" w:rsidP="001F7D40">
      <w:pPr>
        <w:pStyle w:val="Paragraph"/>
        <w:numPr>
          <w:ilvl w:val="0"/>
          <w:numId w:val="0"/>
        </w:numPr>
        <w:spacing w:before="0" w:after="0" w:line="360" w:lineRule="auto"/>
        <w:rPr>
          <w:szCs w:val="24"/>
          <w:highlight w:val="yellow"/>
        </w:rPr>
      </w:pPr>
      <w:r w:rsidRPr="00235E1C">
        <w:rPr>
          <w:szCs w:val="24"/>
        </w:rPr>
        <w:t xml:space="preserve">Como </w:t>
      </w:r>
      <w:r w:rsidR="00C703FE" w:rsidRPr="00235E1C">
        <w:rPr>
          <w:szCs w:val="24"/>
        </w:rPr>
        <w:t>conclusión</w:t>
      </w:r>
      <w:r w:rsidRPr="00235E1C">
        <w:rPr>
          <w:szCs w:val="24"/>
        </w:rPr>
        <w:t>, puede afirmarse que el programa posee una alta rentabilidad social</w:t>
      </w:r>
      <w:r w:rsidR="001F7D40" w:rsidRPr="00235E1C">
        <w:rPr>
          <w:szCs w:val="24"/>
        </w:rPr>
        <w:t xml:space="preserve"> </w:t>
      </w:r>
      <w:r w:rsidR="00235E1C" w:rsidRPr="00235E1C">
        <w:rPr>
          <w:szCs w:val="24"/>
        </w:rPr>
        <w:t>aun en escenarios conservadores</w:t>
      </w:r>
      <w:r w:rsidRPr="00235E1C">
        <w:rPr>
          <w:szCs w:val="24"/>
        </w:rPr>
        <w:t xml:space="preserve">. </w:t>
      </w:r>
      <w:r w:rsidR="001F7D40" w:rsidRPr="00235E1C">
        <w:rPr>
          <w:kern w:val="28"/>
          <w:szCs w:val="24"/>
          <w:lang w:val="es-ES_tradnl"/>
        </w:rPr>
        <w:t>Muchos de los efectos del programa podrían corresponder a beneficios de difícil cuantificación</w:t>
      </w:r>
      <w:r w:rsidR="001F7D40">
        <w:rPr>
          <w:kern w:val="28"/>
          <w:szCs w:val="24"/>
          <w:lang w:val="es-ES_tradnl"/>
        </w:rPr>
        <w:t>. De esta forma el análisis que se presentó debe tomarse como una cota inferior, pudiendo ser los beneficios del programa sustancialmente mayores.</w:t>
      </w:r>
    </w:p>
    <w:p w14:paraId="0BE63A48" w14:textId="7A258519" w:rsidR="001D11C5" w:rsidRPr="00C408C3" w:rsidRDefault="001D11C5" w:rsidP="00015A71">
      <w:pPr>
        <w:pStyle w:val="Paragraph"/>
        <w:numPr>
          <w:ilvl w:val="0"/>
          <w:numId w:val="0"/>
        </w:numPr>
        <w:spacing w:before="0" w:after="0" w:line="360" w:lineRule="auto"/>
        <w:rPr>
          <w:szCs w:val="24"/>
        </w:rPr>
      </w:pPr>
      <w:r w:rsidRPr="00C408C3">
        <w:rPr>
          <w:szCs w:val="24"/>
          <w:lang w:val="es-AR"/>
        </w:rPr>
        <w:br w:type="page"/>
      </w:r>
    </w:p>
    <w:p w14:paraId="0C497B21" w14:textId="72842535" w:rsidR="00C703FE" w:rsidRPr="00CF5B72" w:rsidRDefault="003A7B94" w:rsidP="00C408C3">
      <w:pPr>
        <w:spacing w:after="0" w:line="360" w:lineRule="auto"/>
        <w:jc w:val="both"/>
        <w:rPr>
          <w:rFonts w:ascii="Times New Roman" w:hAnsi="Times New Roman"/>
          <w:b/>
          <w:sz w:val="24"/>
          <w:szCs w:val="24"/>
          <w:lang w:val="es-AR"/>
        </w:rPr>
      </w:pPr>
      <w:r w:rsidRPr="00CF5B72">
        <w:rPr>
          <w:rFonts w:ascii="Times New Roman" w:eastAsia="Times New Roman" w:hAnsi="Times New Roman"/>
          <w:b/>
          <w:kern w:val="28"/>
          <w:sz w:val="24"/>
          <w:szCs w:val="24"/>
          <w:lang w:val="es-AR"/>
        </w:rPr>
        <w:t>Referencias</w:t>
      </w:r>
    </w:p>
    <w:p w14:paraId="04BBD234" w14:textId="5BD20252" w:rsidR="00230780" w:rsidRPr="00230780" w:rsidRDefault="00230780" w:rsidP="00C408C3">
      <w:pPr>
        <w:spacing w:after="0" w:line="360" w:lineRule="auto"/>
        <w:ind w:firstLine="357"/>
        <w:rPr>
          <w:rFonts w:ascii="Times New Roman" w:eastAsia="Times New Roman" w:hAnsi="Times New Roman"/>
          <w:sz w:val="24"/>
          <w:szCs w:val="24"/>
          <w:lang w:eastAsia="es-ES_tradnl"/>
        </w:rPr>
      </w:pPr>
      <w:r w:rsidRPr="00230780">
        <w:rPr>
          <w:rFonts w:ascii="Times New Roman" w:eastAsia="Times New Roman" w:hAnsi="Times New Roman"/>
          <w:sz w:val="24"/>
          <w:szCs w:val="24"/>
          <w:lang w:val="es-AR" w:eastAsia="es-ES_tradnl"/>
        </w:rPr>
        <w:t>Blundell, R., C</w:t>
      </w:r>
      <w:r>
        <w:rPr>
          <w:rFonts w:ascii="Times New Roman" w:eastAsia="Times New Roman" w:hAnsi="Times New Roman"/>
          <w:sz w:val="24"/>
          <w:szCs w:val="24"/>
          <w:lang w:val="es-AR" w:eastAsia="es-ES_tradnl"/>
        </w:rPr>
        <w:t xml:space="preserve">. </w:t>
      </w:r>
      <w:r w:rsidRPr="00230780">
        <w:rPr>
          <w:rFonts w:ascii="Times New Roman" w:eastAsia="Times New Roman" w:hAnsi="Times New Roman"/>
          <w:sz w:val="24"/>
          <w:szCs w:val="24"/>
          <w:lang w:val="es-AR" w:eastAsia="es-ES_tradnl"/>
        </w:rPr>
        <w:t xml:space="preserve">Meghir, y J. Van Reenen. </w:t>
      </w:r>
      <w:r w:rsidRPr="00230780">
        <w:rPr>
          <w:rFonts w:ascii="Times New Roman" w:eastAsia="Times New Roman" w:hAnsi="Times New Roman"/>
          <w:sz w:val="24"/>
          <w:szCs w:val="24"/>
          <w:lang w:eastAsia="es-ES_tradnl"/>
        </w:rPr>
        <w:t>(2014</w:t>
      </w:r>
      <w:r>
        <w:rPr>
          <w:rFonts w:ascii="Times New Roman" w:eastAsia="Times New Roman" w:hAnsi="Times New Roman"/>
          <w:sz w:val="24"/>
          <w:szCs w:val="24"/>
          <w:lang w:eastAsia="es-ES_tradnl"/>
        </w:rPr>
        <w:t>)</w:t>
      </w:r>
      <w:r w:rsidRPr="00230780">
        <w:rPr>
          <w:rFonts w:ascii="Times New Roman" w:eastAsia="Times New Roman" w:hAnsi="Times New Roman"/>
          <w:sz w:val="24"/>
          <w:szCs w:val="24"/>
          <w:lang w:eastAsia="es-ES_tradnl"/>
        </w:rPr>
        <w:t xml:space="preserve"> “Evaluating the Employment </w:t>
      </w:r>
      <w:proofErr w:type="spellStart"/>
      <w:r w:rsidRPr="00230780">
        <w:rPr>
          <w:rFonts w:ascii="Times New Roman" w:eastAsia="Times New Roman" w:hAnsi="Times New Roman"/>
          <w:sz w:val="24"/>
          <w:szCs w:val="24"/>
          <w:lang w:eastAsia="es-ES_tradnl"/>
        </w:rPr>
        <w:t>Impacto</w:t>
      </w:r>
      <w:proofErr w:type="spellEnd"/>
      <w:r w:rsidRPr="00230780">
        <w:rPr>
          <w:rFonts w:ascii="Times New Roman" w:eastAsia="Times New Roman" w:hAnsi="Times New Roman"/>
          <w:sz w:val="24"/>
          <w:szCs w:val="24"/>
          <w:lang w:eastAsia="es-ES_tradnl"/>
        </w:rPr>
        <w:t xml:space="preserve"> of a Mandatory Job Search Assistance Program</w:t>
      </w:r>
      <w:r>
        <w:rPr>
          <w:rFonts w:ascii="Times New Roman" w:eastAsia="Times New Roman" w:hAnsi="Times New Roman"/>
          <w:sz w:val="24"/>
          <w:szCs w:val="24"/>
          <w:lang w:eastAsia="es-ES_tradnl"/>
        </w:rPr>
        <w:t>.</w:t>
      </w:r>
      <w:r w:rsidRPr="00230780">
        <w:rPr>
          <w:rFonts w:ascii="Times New Roman" w:eastAsia="Times New Roman" w:hAnsi="Times New Roman"/>
          <w:sz w:val="24"/>
          <w:szCs w:val="24"/>
          <w:lang w:eastAsia="es-ES_tradnl"/>
        </w:rPr>
        <w:t xml:space="preserve">” </w:t>
      </w:r>
      <w:r w:rsidRPr="00230780">
        <w:rPr>
          <w:rFonts w:ascii="Times New Roman" w:eastAsia="Times New Roman" w:hAnsi="Times New Roman"/>
          <w:i/>
          <w:iCs/>
          <w:sz w:val="24"/>
          <w:szCs w:val="24"/>
          <w:lang w:eastAsia="es-ES_tradnl"/>
        </w:rPr>
        <w:t>The Institute for Fiscal Studies WP01/20</w:t>
      </w:r>
    </w:p>
    <w:p w14:paraId="5515EDFF" w14:textId="6C5B46E6" w:rsidR="00C408C3" w:rsidRPr="00C408C3" w:rsidRDefault="00C408C3" w:rsidP="00C408C3">
      <w:pPr>
        <w:spacing w:after="0" w:line="360" w:lineRule="auto"/>
        <w:ind w:firstLine="357"/>
        <w:rPr>
          <w:rFonts w:ascii="Times New Roman" w:eastAsia="Times New Roman" w:hAnsi="Times New Roman"/>
          <w:sz w:val="24"/>
          <w:szCs w:val="24"/>
          <w:lang w:eastAsia="es-ES_tradnl"/>
        </w:rPr>
      </w:pPr>
      <w:r w:rsidRPr="00230780">
        <w:rPr>
          <w:rFonts w:ascii="Times New Roman" w:eastAsia="Times New Roman" w:hAnsi="Times New Roman"/>
          <w:sz w:val="24"/>
          <w:szCs w:val="24"/>
          <w:lang w:eastAsia="es-ES_tradnl"/>
        </w:rPr>
        <w:t xml:space="preserve">Card D., J. </w:t>
      </w:r>
      <w:proofErr w:type="spellStart"/>
      <w:r w:rsidRPr="00230780">
        <w:rPr>
          <w:rFonts w:ascii="Times New Roman" w:eastAsia="Times New Roman" w:hAnsi="Times New Roman"/>
          <w:sz w:val="24"/>
          <w:szCs w:val="24"/>
          <w:lang w:eastAsia="es-ES_tradnl"/>
        </w:rPr>
        <w:t>Kluve</w:t>
      </w:r>
      <w:proofErr w:type="spellEnd"/>
      <w:r w:rsidRPr="00230780">
        <w:rPr>
          <w:rFonts w:ascii="Times New Roman" w:eastAsia="Times New Roman" w:hAnsi="Times New Roman"/>
          <w:sz w:val="24"/>
          <w:szCs w:val="24"/>
          <w:lang w:eastAsia="es-ES_tradnl"/>
        </w:rPr>
        <w:t xml:space="preserve"> y A. Weber. </w:t>
      </w:r>
      <w:r w:rsidRPr="00C408C3">
        <w:rPr>
          <w:rFonts w:ascii="Times New Roman" w:eastAsia="Times New Roman" w:hAnsi="Times New Roman"/>
          <w:sz w:val="24"/>
          <w:szCs w:val="24"/>
          <w:lang w:eastAsia="es-ES_tradnl"/>
        </w:rPr>
        <w:t xml:space="preserve">(2010) “Active </w:t>
      </w:r>
      <w:proofErr w:type="spellStart"/>
      <w:r w:rsidRPr="00C408C3">
        <w:rPr>
          <w:rFonts w:ascii="Times New Roman" w:eastAsia="Times New Roman" w:hAnsi="Times New Roman"/>
          <w:sz w:val="24"/>
          <w:szCs w:val="24"/>
          <w:lang w:eastAsia="es-ES_tradnl"/>
        </w:rPr>
        <w:t>Labour</w:t>
      </w:r>
      <w:proofErr w:type="spellEnd"/>
      <w:r w:rsidRPr="00C408C3">
        <w:rPr>
          <w:rFonts w:ascii="Times New Roman" w:eastAsia="Times New Roman" w:hAnsi="Times New Roman"/>
          <w:sz w:val="24"/>
          <w:szCs w:val="24"/>
          <w:lang w:eastAsia="es-ES_tradnl"/>
        </w:rPr>
        <w:t xml:space="preserve"> Market Policy Evaluations: A Meta-Analysis.” </w:t>
      </w:r>
      <w:r w:rsidRPr="00C408C3">
        <w:rPr>
          <w:rFonts w:ascii="Times New Roman" w:eastAsia="Times New Roman" w:hAnsi="Times New Roman"/>
          <w:i/>
          <w:iCs/>
          <w:sz w:val="24"/>
          <w:szCs w:val="24"/>
          <w:lang w:eastAsia="es-ES_tradnl"/>
        </w:rPr>
        <w:t xml:space="preserve">The </w:t>
      </w:r>
      <w:r w:rsidR="006653E8">
        <w:rPr>
          <w:rFonts w:ascii="Times New Roman" w:eastAsia="Times New Roman" w:hAnsi="Times New Roman"/>
          <w:i/>
          <w:iCs/>
          <w:sz w:val="24"/>
          <w:szCs w:val="24"/>
          <w:lang w:eastAsia="es-ES_tradnl"/>
        </w:rPr>
        <w:t>E</w:t>
      </w:r>
      <w:r w:rsidRPr="00C408C3">
        <w:rPr>
          <w:rFonts w:ascii="Times New Roman" w:eastAsia="Times New Roman" w:hAnsi="Times New Roman"/>
          <w:i/>
          <w:iCs/>
          <w:sz w:val="24"/>
          <w:szCs w:val="24"/>
          <w:lang w:eastAsia="es-ES_tradnl"/>
        </w:rPr>
        <w:t xml:space="preserve">conomic Journal </w:t>
      </w:r>
      <w:r w:rsidRPr="00C408C3">
        <w:rPr>
          <w:rFonts w:ascii="Times New Roman" w:eastAsia="Times New Roman" w:hAnsi="Times New Roman"/>
          <w:sz w:val="24"/>
          <w:szCs w:val="24"/>
          <w:lang w:eastAsia="es-ES_tradnl"/>
        </w:rPr>
        <w:t>120</w:t>
      </w:r>
      <w:r w:rsidR="00977FA7">
        <w:rPr>
          <w:rFonts w:ascii="Times New Roman" w:eastAsia="Times New Roman" w:hAnsi="Times New Roman"/>
          <w:sz w:val="24"/>
          <w:szCs w:val="24"/>
          <w:lang w:eastAsia="es-ES_tradnl"/>
        </w:rPr>
        <w:t xml:space="preserve"> </w:t>
      </w:r>
      <w:r w:rsidRPr="00C408C3">
        <w:rPr>
          <w:rFonts w:ascii="Times New Roman" w:eastAsia="Times New Roman" w:hAnsi="Times New Roman"/>
          <w:sz w:val="24"/>
          <w:szCs w:val="24"/>
          <w:lang w:eastAsia="es-ES_tradnl"/>
        </w:rPr>
        <w:t>(548), 452-477</w:t>
      </w:r>
    </w:p>
    <w:p w14:paraId="6D7EDD6D" w14:textId="59578240" w:rsidR="00C408C3" w:rsidRDefault="00C408C3" w:rsidP="00C408C3">
      <w:pPr>
        <w:spacing w:after="0" w:line="360" w:lineRule="auto"/>
        <w:ind w:firstLine="357"/>
        <w:rPr>
          <w:rFonts w:ascii="Times New Roman" w:eastAsia="Times New Roman" w:hAnsi="Times New Roman"/>
          <w:sz w:val="24"/>
          <w:szCs w:val="24"/>
          <w:lang w:eastAsia="es-ES_tradnl"/>
        </w:rPr>
      </w:pPr>
      <w:r w:rsidRPr="00C408C3">
        <w:rPr>
          <w:rFonts w:ascii="Times New Roman" w:eastAsia="Times New Roman" w:hAnsi="Times New Roman"/>
          <w:sz w:val="24"/>
          <w:szCs w:val="24"/>
          <w:lang w:eastAsia="es-ES_tradnl"/>
        </w:rPr>
        <w:t xml:space="preserve">Card D., J. </w:t>
      </w:r>
      <w:proofErr w:type="spellStart"/>
      <w:r w:rsidRPr="00C408C3">
        <w:rPr>
          <w:rFonts w:ascii="Times New Roman" w:eastAsia="Times New Roman" w:hAnsi="Times New Roman"/>
          <w:sz w:val="24"/>
          <w:szCs w:val="24"/>
          <w:lang w:eastAsia="es-ES_tradnl"/>
        </w:rPr>
        <w:t>Kluve</w:t>
      </w:r>
      <w:proofErr w:type="spellEnd"/>
      <w:r w:rsidRPr="00C408C3">
        <w:rPr>
          <w:rFonts w:ascii="Times New Roman" w:eastAsia="Times New Roman" w:hAnsi="Times New Roman"/>
          <w:sz w:val="24"/>
          <w:szCs w:val="24"/>
          <w:lang w:eastAsia="es-ES_tradnl"/>
        </w:rPr>
        <w:t xml:space="preserve"> y A. Weber. (2017) “What Works? A Meta-Analysis of Recent Active Labor Market Program Evaluations.” </w:t>
      </w:r>
      <w:r w:rsidRPr="00C408C3">
        <w:rPr>
          <w:rFonts w:ascii="Times New Roman" w:eastAsia="Times New Roman" w:hAnsi="Times New Roman"/>
          <w:i/>
          <w:iCs/>
          <w:sz w:val="24"/>
          <w:szCs w:val="24"/>
          <w:lang w:eastAsia="es-ES_tradnl"/>
        </w:rPr>
        <w:t xml:space="preserve">National Bureau of Economic Research </w:t>
      </w:r>
      <w:r w:rsidRPr="00C408C3">
        <w:rPr>
          <w:rFonts w:ascii="Times New Roman" w:eastAsia="Times New Roman" w:hAnsi="Times New Roman"/>
          <w:sz w:val="24"/>
          <w:szCs w:val="24"/>
          <w:lang w:eastAsia="es-ES_tradnl"/>
        </w:rPr>
        <w:t>Working paper Nº 21431</w:t>
      </w:r>
    </w:p>
    <w:p w14:paraId="0D2CC192" w14:textId="38E59D58" w:rsidR="00230780" w:rsidRPr="00C408C3" w:rsidRDefault="00230780" w:rsidP="00C408C3">
      <w:pPr>
        <w:spacing w:after="0" w:line="360" w:lineRule="auto"/>
        <w:ind w:firstLine="357"/>
        <w:rPr>
          <w:rFonts w:ascii="Times New Roman" w:eastAsia="Times New Roman" w:hAnsi="Times New Roman"/>
          <w:sz w:val="24"/>
          <w:szCs w:val="24"/>
          <w:lang w:eastAsia="es-ES_tradnl"/>
        </w:rPr>
      </w:pPr>
      <w:proofErr w:type="spellStart"/>
      <w:r w:rsidRPr="003853FC">
        <w:rPr>
          <w:rFonts w:ascii="Times New Roman" w:eastAsia="Times New Roman" w:hAnsi="Times New Roman"/>
          <w:sz w:val="24"/>
          <w:szCs w:val="24"/>
          <w:lang w:eastAsia="es-ES_tradnl"/>
        </w:rPr>
        <w:t>Crepón</w:t>
      </w:r>
      <w:proofErr w:type="spellEnd"/>
      <w:r w:rsidRPr="003853FC">
        <w:rPr>
          <w:rFonts w:ascii="Times New Roman" w:eastAsia="Times New Roman" w:hAnsi="Times New Roman"/>
          <w:sz w:val="24"/>
          <w:szCs w:val="24"/>
          <w:lang w:eastAsia="es-ES_tradnl"/>
        </w:rPr>
        <w:t>, B.,</w:t>
      </w:r>
      <w:r w:rsidR="0091746B" w:rsidRPr="003853FC">
        <w:rPr>
          <w:rFonts w:ascii="Times New Roman" w:eastAsia="Times New Roman" w:hAnsi="Times New Roman"/>
          <w:sz w:val="24"/>
          <w:szCs w:val="24"/>
          <w:lang w:eastAsia="es-ES_tradnl"/>
        </w:rPr>
        <w:t xml:space="preserve"> E.</w:t>
      </w:r>
      <w:r w:rsidRPr="003853FC">
        <w:rPr>
          <w:rFonts w:ascii="Times New Roman" w:eastAsia="Times New Roman" w:hAnsi="Times New Roman"/>
          <w:sz w:val="24"/>
          <w:szCs w:val="24"/>
          <w:lang w:eastAsia="es-ES_tradnl"/>
        </w:rPr>
        <w:t xml:space="preserve"> </w:t>
      </w:r>
      <w:proofErr w:type="spellStart"/>
      <w:r w:rsidRPr="003853FC">
        <w:rPr>
          <w:rFonts w:ascii="Times New Roman" w:eastAsia="Times New Roman" w:hAnsi="Times New Roman"/>
          <w:sz w:val="24"/>
          <w:szCs w:val="24"/>
          <w:lang w:eastAsia="es-ES_tradnl"/>
        </w:rPr>
        <w:t>Duflo</w:t>
      </w:r>
      <w:proofErr w:type="spellEnd"/>
      <w:r w:rsidR="0091746B" w:rsidRPr="003853FC">
        <w:rPr>
          <w:rFonts w:ascii="Times New Roman" w:eastAsia="Times New Roman" w:hAnsi="Times New Roman"/>
          <w:sz w:val="24"/>
          <w:szCs w:val="24"/>
          <w:lang w:eastAsia="es-ES_tradnl"/>
        </w:rPr>
        <w:t xml:space="preserve">, M. </w:t>
      </w:r>
      <w:proofErr w:type="spellStart"/>
      <w:r w:rsidRPr="003853FC">
        <w:rPr>
          <w:rFonts w:ascii="Times New Roman" w:eastAsia="Times New Roman" w:hAnsi="Times New Roman"/>
          <w:sz w:val="24"/>
          <w:szCs w:val="24"/>
          <w:lang w:eastAsia="es-ES_tradnl"/>
        </w:rPr>
        <w:t>Gurgand</w:t>
      </w:r>
      <w:proofErr w:type="spellEnd"/>
      <w:r w:rsidRPr="003853FC">
        <w:rPr>
          <w:rFonts w:ascii="Times New Roman" w:eastAsia="Times New Roman" w:hAnsi="Times New Roman"/>
          <w:sz w:val="24"/>
          <w:szCs w:val="24"/>
          <w:lang w:eastAsia="es-ES_tradnl"/>
        </w:rPr>
        <w:t xml:space="preserve">, </w:t>
      </w:r>
      <w:r w:rsidR="0091746B" w:rsidRPr="003853FC">
        <w:rPr>
          <w:rFonts w:ascii="Times New Roman" w:eastAsia="Times New Roman" w:hAnsi="Times New Roman"/>
          <w:sz w:val="24"/>
          <w:szCs w:val="24"/>
          <w:lang w:eastAsia="es-ES_tradnl"/>
        </w:rPr>
        <w:t xml:space="preserve">R. </w:t>
      </w:r>
      <w:proofErr w:type="spellStart"/>
      <w:r w:rsidRPr="003853FC">
        <w:rPr>
          <w:rFonts w:ascii="Times New Roman" w:eastAsia="Times New Roman" w:hAnsi="Times New Roman"/>
          <w:sz w:val="24"/>
          <w:szCs w:val="24"/>
          <w:lang w:eastAsia="es-ES_tradnl"/>
        </w:rPr>
        <w:t>Rathelot</w:t>
      </w:r>
      <w:proofErr w:type="spellEnd"/>
      <w:r w:rsidRPr="003853FC">
        <w:rPr>
          <w:rFonts w:ascii="Times New Roman" w:eastAsia="Times New Roman" w:hAnsi="Times New Roman"/>
          <w:sz w:val="24"/>
          <w:szCs w:val="24"/>
          <w:lang w:eastAsia="es-ES_tradnl"/>
        </w:rPr>
        <w:t xml:space="preserve">, </w:t>
      </w:r>
      <w:r w:rsidR="0091746B" w:rsidRPr="003853FC">
        <w:rPr>
          <w:rFonts w:ascii="Times New Roman" w:eastAsia="Times New Roman" w:hAnsi="Times New Roman"/>
          <w:sz w:val="24"/>
          <w:szCs w:val="24"/>
          <w:lang w:eastAsia="es-ES_tradnl"/>
        </w:rPr>
        <w:t>y P.</w:t>
      </w:r>
      <w:r w:rsidRPr="003853FC">
        <w:rPr>
          <w:rFonts w:ascii="Times New Roman" w:eastAsia="Times New Roman" w:hAnsi="Times New Roman"/>
          <w:sz w:val="24"/>
          <w:szCs w:val="24"/>
          <w:lang w:eastAsia="es-ES_tradnl"/>
        </w:rPr>
        <w:t xml:space="preserve"> Zamora. </w:t>
      </w:r>
      <w:r w:rsidRPr="0091746B">
        <w:rPr>
          <w:rFonts w:ascii="Times New Roman" w:eastAsia="Times New Roman" w:hAnsi="Times New Roman"/>
          <w:sz w:val="24"/>
          <w:szCs w:val="24"/>
          <w:lang w:eastAsia="es-ES_tradnl"/>
        </w:rPr>
        <w:t xml:space="preserve">(2013) </w:t>
      </w:r>
      <w:r w:rsidRPr="00230780">
        <w:rPr>
          <w:rFonts w:ascii="Times New Roman" w:eastAsia="Times New Roman" w:hAnsi="Times New Roman"/>
          <w:sz w:val="24"/>
          <w:szCs w:val="24"/>
          <w:lang w:eastAsia="es-ES_tradnl"/>
        </w:rPr>
        <w:t xml:space="preserve">“Do </w:t>
      </w:r>
      <w:proofErr w:type="spellStart"/>
      <w:r w:rsidRPr="00230780">
        <w:rPr>
          <w:rFonts w:ascii="Times New Roman" w:eastAsia="Times New Roman" w:hAnsi="Times New Roman"/>
          <w:sz w:val="24"/>
          <w:szCs w:val="24"/>
          <w:lang w:eastAsia="es-ES_tradnl"/>
        </w:rPr>
        <w:t>Labour</w:t>
      </w:r>
      <w:proofErr w:type="spellEnd"/>
      <w:r w:rsidRPr="00230780">
        <w:rPr>
          <w:rFonts w:ascii="Times New Roman" w:eastAsia="Times New Roman" w:hAnsi="Times New Roman"/>
          <w:sz w:val="24"/>
          <w:szCs w:val="24"/>
          <w:lang w:eastAsia="es-ES_tradnl"/>
        </w:rPr>
        <w:t xml:space="preserve"> Market Policies Have Displacement Effects? Evidence from a Clustered Randomized Experiment” </w:t>
      </w:r>
      <w:r w:rsidRPr="0091746B">
        <w:rPr>
          <w:rFonts w:ascii="Times New Roman" w:eastAsia="Times New Roman" w:hAnsi="Times New Roman"/>
          <w:i/>
          <w:iCs/>
          <w:sz w:val="24"/>
          <w:szCs w:val="24"/>
          <w:lang w:eastAsia="es-ES_tradnl"/>
        </w:rPr>
        <w:t>Quarterly Journal of Economics</w:t>
      </w:r>
      <w:r w:rsidR="0091746B">
        <w:rPr>
          <w:rFonts w:ascii="Times New Roman" w:eastAsia="Times New Roman" w:hAnsi="Times New Roman"/>
          <w:sz w:val="24"/>
          <w:szCs w:val="24"/>
          <w:lang w:eastAsia="es-ES_tradnl"/>
        </w:rPr>
        <w:t xml:space="preserve"> </w:t>
      </w:r>
      <w:r w:rsidRPr="00230780">
        <w:rPr>
          <w:rFonts w:ascii="Times New Roman" w:eastAsia="Times New Roman" w:hAnsi="Times New Roman"/>
          <w:sz w:val="24"/>
          <w:szCs w:val="24"/>
          <w:lang w:eastAsia="es-ES_tradnl"/>
        </w:rPr>
        <w:t>128(2)</w:t>
      </w:r>
      <w:r w:rsidR="0091746B">
        <w:rPr>
          <w:rFonts w:ascii="Times New Roman" w:eastAsia="Times New Roman" w:hAnsi="Times New Roman"/>
          <w:sz w:val="24"/>
          <w:szCs w:val="24"/>
          <w:lang w:eastAsia="es-ES_tradnl"/>
        </w:rPr>
        <w:t>, 531-580</w:t>
      </w:r>
    </w:p>
    <w:p w14:paraId="5CC620A4" w14:textId="03023A49" w:rsidR="00C408C3" w:rsidRPr="006C6377" w:rsidRDefault="00C703FE" w:rsidP="00C408C3">
      <w:pPr>
        <w:pStyle w:val="ColorfulList-Accent11"/>
        <w:tabs>
          <w:tab w:val="left" w:pos="0"/>
        </w:tabs>
        <w:spacing w:line="360" w:lineRule="auto"/>
        <w:ind w:left="0" w:firstLine="357"/>
        <w:contextualSpacing w:val="0"/>
        <w:jc w:val="both"/>
        <w:rPr>
          <w:rFonts w:ascii="Times New Roman" w:hAnsi="Times New Roman"/>
          <w:sz w:val="24"/>
          <w:szCs w:val="24"/>
        </w:rPr>
      </w:pPr>
      <w:r w:rsidRPr="003853FC">
        <w:rPr>
          <w:rFonts w:ascii="Times New Roman" w:hAnsi="Times New Roman"/>
          <w:sz w:val="24"/>
          <w:szCs w:val="24"/>
          <w:lang w:val="es-AR"/>
        </w:rPr>
        <w:t>Dar, A</w:t>
      </w:r>
      <w:r w:rsidR="00C408C3" w:rsidRPr="003853FC">
        <w:rPr>
          <w:rFonts w:ascii="Times New Roman" w:hAnsi="Times New Roman"/>
          <w:sz w:val="24"/>
          <w:szCs w:val="24"/>
          <w:lang w:val="es-AR"/>
        </w:rPr>
        <w:t>.</w:t>
      </w:r>
      <w:r w:rsidRPr="003853FC">
        <w:rPr>
          <w:rFonts w:ascii="Times New Roman" w:hAnsi="Times New Roman"/>
          <w:sz w:val="24"/>
          <w:szCs w:val="24"/>
          <w:lang w:val="es-AR"/>
        </w:rPr>
        <w:t>, y P.</w:t>
      </w:r>
      <w:r w:rsidR="00C408C3" w:rsidRPr="003853FC">
        <w:rPr>
          <w:rFonts w:ascii="Times New Roman" w:hAnsi="Times New Roman"/>
          <w:sz w:val="24"/>
          <w:szCs w:val="24"/>
          <w:lang w:val="es-AR"/>
        </w:rPr>
        <w:t xml:space="preserve"> </w:t>
      </w:r>
      <w:r w:rsidRPr="003853FC">
        <w:rPr>
          <w:rFonts w:ascii="Times New Roman" w:hAnsi="Times New Roman"/>
          <w:sz w:val="24"/>
          <w:szCs w:val="24"/>
          <w:lang w:val="es-AR"/>
        </w:rPr>
        <w:t xml:space="preserve">Z. Tzannatos. </w:t>
      </w:r>
      <w:r w:rsidR="00C408C3" w:rsidRPr="00C408C3">
        <w:rPr>
          <w:rFonts w:ascii="Times New Roman" w:hAnsi="Times New Roman"/>
          <w:sz w:val="24"/>
          <w:szCs w:val="24"/>
          <w:lang w:val="en-US"/>
        </w:rPr>
        <w:t xml:space="preserve">(1999) </w:t>
      </w:r>
      <w:r w:rsidRPr="00C408C3">
        <w:rPr>
          <w:rFonts w:ascii="Times New Roman" w:hAnsi="Times New Roman"/>
          <w:sz w:val="24"/>
          <w:szCs w:val="24"/>
          <w:lang w:val="en-US"/>
        </w:rPr>
        <w:t>“Active Labor Market Programs: A Review of the Evidence from Evaluations”.</w:t>
      </w:r>
      <w:r w:rsidR="00C408C3">
        <w:rPr>
          <w:rFonts w:ascii="Times New Roman" w:hAnsi="Times New Roman"/>
          <w:sz w:val="24"/>
          <w:szCs w:val="24"/>
          <w:lang w:val="en-US"/>
        </w:rPr>
        <w:t xml:space="preserve"> </w:t>
      </w:r>
      <w:r w:rsidR="00C408C3" w:rsidRPr="006C6377">
        <w:rPr>
          <w:rFonts w:ascii="Times New Roman" w:hAnsi="Times New Roman"/>
          <w:i/>
          <w:iCs/>
          <w:sz w:val="24"/>
          <w:szCs w:val="24"/>
        </w:rPr>
        <w:t>Banco Mundial</w:t>
      </w:r>
      <w:r w:rsidRPr="006C6377">
        <w:rPr>
          <w:rFonts w:ascii="Times New Roman" w:hAnsi="Times New Roman"/>
          <w:sz w:val="24"/>
          <w:szCs w:val="24"/>
        </w:rPr>
        <w:t xml:space="preserve"> Social </w:t>
      </w:r>
      <w:proofErr w:type="spellStart"/>
      <w:r w:rsidRPr="006C6377">
        <w:rPr>
          <w:rFonts w:ascii="Times New Roman" w:hAnsi="Times New Roman"/>
          <w:sz w:val="24"/>
          <w:szCs w:val="24"/>
        </w:rPr>
        <w:t>Protection</w:t>
      </w:r>
      <w:proofErr w:type="spellEnd"/>
      <w:r w:rsidRPr="006C6377">
        <w:rPr>
          <w:rFonts w:ascii="Times New Roman" w:hAnsi="Times New Roman"/>
          <w:sz w:val="24"/>
          <w:szCs w:val="24"/>
        </w:rPr>
        <w:t xml:space="preserve"> </w:t>
      </w:r>
      <w:proofErr w:type="spellStart"/>
      <w:r w:rsidRPr="006C6377">
        <w:rPr>
          <w:rFonts w:ascii="Times New Roman" w:hAnsi="Times New Roman"/>
          <w:sz w:val="24"/>
          <w:szCs w:val="24"/>
        </w:rPr>
        <w:t>Discussion</w:t>
      </w:r>
      <w:proofErr w:type="spellEnd"/>
      <w:r w:rsidRPr="006C6377">
        <w:rPr>
          <w:rFonts w:ascii="Times New Roman" w:hAnsi="Times New Roman"/>
          <w:sz w:val="24"/>
          <w:szCs w:val="24"/>
        </w:rPr>
        <w:t xml:space="preserve"> </w:t>
      </w:r>
      <w:proofErr w:type="spellStart"/>
      <w:r w:rsidRPr="006C6377">
        <w:rPr>
          <w:rFonts w:ascii="Times New Roman" w:hAnsi="Times New Roman"/>
          <w:sz w:val="24"/>
          <w:szCs w:val="24"/>
        </w:rPr>
        <w:t>Paper</w:t>
      </w:r>
      <w:proofErr w:type="spellEnd"/>
      <w:r w:rsidRPr="006C6377">
        <w:rPr>
          <w:rFonts w:ascii="Times New Roman" w:hAnsi="Times New Roman"/>
          <w:sz w:val="24"/>
          <w:szCs w:val="24"/>
        </w:rPr>
        <w:t xml:space="preserve"> </w:t>
      </w:r>
      <w:proofErr w:type="spellStart"/>
      <w:r w:rsidR="00C408C3" w:rsidRPr="006C6377">
        <w:rPr>
          <w:rFonts w:ascii="Times New Roman" w:hAnsi="Times New Roman"/>
          <w:sz w:val="24"/>
          <w:szCs w:val="24"/>
        </w:rPr>
        <w:t>Nº</w:t>
      </w:r>
      <w:proofErr w:type="spellEnd"/>
      <w:r w:rsidRPr="006C6377">
        <w:rPr>
          <w:rFonts w:ascii="Times New Roman" w:hAnsi="Times New Roman"/>
          <w:sz w:val="24"/>
          <w:szCs w:val="24"/>
        </w:rPr>
        <w:t xml:space="preserve"> 9901</w:t>
      </w:r>
    </w:p>
    <w:p w14:paraId="677DAA84" w14:textId="3B7C3793" w:rsidR="00C703FE" w:rsidRPr="00C408C3" w:rsidRDefault="00C703FE" w:rsidP="00C408C3">
      <w:pPr>
        <w:pStyle w:val="ColorfulList-Accent11"/>
        <w:spacing w:line="360" w:lineRule="auto"/>
        <w:ind w:left="0" w:firstLine="357"/>
        <w:contextualSpacing w:val="0"/>
        <w:jc w:val="both"/>
        <w:rPr>
          <w:rFonts w:ascii="Times New Roman" w:hAnsi="Times New Roman"/>
          <w:sz w:val="24"/>
          <w:szCs w:val="24"/>
          <w:lang w:val="en-US"/>
        </w:rPr>
      </w:pPr>
      <w:proofErr w:type="spellStart"/>
      <w:r w:rsidRPr="006C6377">
        <w:rPr>
          <w:rFonts w:ascii="Times New Roman" w:hAnsi="Times New Roman"/>
          <w:sz w:val="24"/>
          <w:szCs w:val="24"/>
        </w:rPr>
        <w:t>Heckman</w:t>
      </w:r>
      <w:proofErr w:type="spellEnd"/>
      <w:r w:rsidRPr="006C6377">
        <w:rPr>
          <w:rFonts w:ascii="Times New Roman" w:hAnsi="Times New Roman"/>
          <w:sz w:val="24"/>
          <w:szCs w:val="24"/>
        </w:rPr>
        <w:t>, J.,</w:t>
      </w:r>
      <w:r w:rsidR="00C408C3" w:rsidRPr="006C6377">
        <w:rPr>
          <w:rFonts w:ascii="Times New Roman" w:hAnsi="Times New Roman"/>
          <w:sz w:val="24"/>
          <w:szCs w:val="24"/>
        </w:rPr>
        <w:t xml:space="preserve"> R.</w:t>
      </w:r>
      <w:r w:rsidRPr="006C6377">
        <w:rPr>
          <w:rFonts w:ascii="Times New Roman" w:hAnsi="Times New Roman"/>
          <w:sz w:val="24"/>
          <w:szCs w:val="24"/>
        </w:rPr>
        <w:t xml:space="preserve"> </w:t>
      </w:r>
      <w:proofErr w:type="spellStart"/>
      <w:r w:rsidRPr="006C6377">
        <w:rPr>
          <w:rFonts w:ascii="Times New Roman" w:hAnsi="Times New Roman"/>
          <w:sz w:val="24"/>
          <w:szCs w:val="24"/>
        </w:rPr>
        <w:t>LaLonde</w:t>
      </w:r>
      <w:proofErr w:type="spellEnd"/>
      <w:r w:rsidRPr="006C6377">
        <w:rPr>
          <w:rFonts w:ascii="Times New Roman" w:hAnsi="Times New Roman"/>
          <w:sz w:val="24"/>
          <w:szCs w:val="24"/>
        </w:rPr>
        <w:t xml:space="preserve">, </w:t>
      </w:r>
      <w:r w:rsidR="00C408C3" w:rsidRPr="006C6377">
        <w:rPr>
          <w:rFonts w:ascii="Times New Roman" w:hAnsi="Times New Roman"/>
          <w:sz w:val="24"/>
          <w:szCs w:val="24"/>
        </w:rPr>
        <w:t xml:space="preserve">y </w:t>
      </w:r>
      <w:r w:rsidRPr="006C6377">
        <w:rPr>
          <w:rFonts w:ascii="Times New Roman" w:hAnsi="Times New Roman"/>
          <w:sz w:val="24"/>
          <w:szCs w:val="24"/>
        </w:rPr>
        <w:t xml:space="preserve">J. Smith. </w:t>
      </w:r>
      <w:r w:rsidR="00C408C3" w:rsidRPr="00C408C3">
        <w:rPr>
          <w:rFonts w:ascii="Times New Roman" w:hAnsi="Times New Roman"/>
          <w:sz w:val="24"/>
          <w:szCs w:val="24"/>
          <w:lang w:val="en-US"/>
        </w:rPr>
        <w:t xml:space="preserve">(1999) </w:t>
      </w:r>
      <w:r w:rsidRPr="00C408C3">
        <w:rPr>
          <w:rFonts w:ascii="Times New Roman" w:hAnsi="Times New Roman"/>
          <w:sz w:val="24"/>
          <w:szCs w:val="24"/>
          <w:lang w:val="en-US"/>
        </w:rPr>
        <w:t xml:space="preserve">“The Economics and Econometrics of Active Labor Market Programs”. </w:t>
      </w:r>
      <w:r w:rsidRPr="00C408C3">
        <w:rPr>
          <w:rFonts w:ascii="Times New Roman" w:hAnsi="Times New Roman"/>
          <w:i/>
          <w:iCs/>
          <w:sz w:val="24"/>
          <w:szCs w:val="24"/>
          <w:lang w:val="en-US"/>
        </w:rPr>
        <w:t>Handbook of Labor Economics</w:t>
      </w:r>
      <w:r w:rsidRPr="006653E8">
        <w:rPr>
          <w:rFonts w:ascii="Times New Roman" w:hAnsi="Times New Roman"/>
          <w:i/>
          <w:iCs/>
          <w:sz w:val="24"/>
          <w:szCs w:val="24"/>
          <w:lang w:val="en-US"/>
        </w:rPr>
        <w:t xml:space="preserve"> 3</w:t>
      </w:r>
      <w:r w:rsidRPr="00C408C3">
        <w:rPr>
          <w:rFonts w:ascii="Times New Roman" w:hAnsi="Times New Roman"/>
          <w:sz w:val="24"/>
          <w:szCs w:val="24"/>
          <w:lang w:val="en-US"/>
        </w:rPr>
        <w:t xml:space="preserve"> (Chapter 31)</w:t>
      </w:r>
      <w:r w:rsidR="006653E8">
        <w:rPr>
          <w:rFonts w:ascii="Times New Roman" w:hAnsi="Times New Roman"/>
          <w:sz w:val="24"/>
          <w:szCs w:val="24"/>
          <w:lang w:val="en-US"/>
        </w:rPr>
        <w:t>,</w:t>
      </w:r>
      <w:r w:rsidRPr="00C408C3">
        <w:rPr>
          <w:rFonts w:ascii="Times New Roman" w:hAnsi="Times New Roman"/>
          <w:sz w:val="24"/>
          <w:szCs w:val="24"/>
          <w:lang w:val="en-US"/>
        </w:rPr>
        <w:t xml:space="preserve"> 1865-2097</w:t>
      </w:r>
    </w:p>
    <w:p w14:paraId="062C0CDE" w14:textId="77777777" w:rsidR="00C703FE" w:rsidRPr="005B7A16" w:rsidRDefault="00C703FE" w:rsidP="00C703FE">
      <w:pPr>
        <w:pStyle w:val="ColorfulList-Accent11"/>
        <w:ind w:left="0"/>
        <w:jc w:val="both"/>
        <w:rPr>
          <w:rFonts w:ascii="Gotham Book" w:hAnsi="Gotham Book" w:cstheme="minorHAnsi"/>
          <w:sz w:val="20"/>
          <w:szCs w:val="20"/>
          <w:lang w:val="en-US"/>
        </w:rPr>
      </w:pPr>
    </w:p>
    <w:p w14:paraId="4B49C2E6" w14:textId="77777777" w:rsidR="00716988" w:rsidRPr="005B7A16" w:rsidRDefault="00716988" w:rsidP="004739E2">
      <w:pPr>
        <w:pStyle w:val="Paragraph"/>
        <w:numPr>
          <w:ilvl w:val="0"/>
          <w:numId w:val="0"/>
        </w:numPr>
        <w:spacing w:after="0" w:line="360" w:lineRule="auto"/>
        <w:rPr>
          <w:kern w:val="28"/>
          <w:szCs w:val="24"/>
          <w:lang w:val="en-US"/>
        </w:rPr>
      </w:pPr>
    </w:p>
    <w:sectPr w:rsidR="00716988" w:rsidRPr="005B7A16" w:rsidSect="00555605">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478E8" w14:textId="77777777" w:rsidR="004139F7" w:rsidRDefault="004139F7" w:rsidP="00EC433C">
      <w:pPr>
        <w:spacing w:after="0" w:line="240" w:lineRule="auto"/>
      </w:pPr>
      <w:r>
        <w:separator/>
      </w:r>
    </w:p>
  </w:endnote>
  <w:endnote w:type="continuationSeparator" w:id="0">
    <w:p w14:paraId="2AFB0579" w14:textId="77777777" w:rsidR="004139F7" w:rsidRDefault="004139F7" w:rsidP="00EC43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Gotham Book">
    <w:panose1 w:val="00000000000000000000"/>
    <w:charset w:val="00"/>
    <w:family w:val="modern"/>
    <w:notTrueType/>
    <w:pitch w:val="variable"/>
    <w:sig w:usb0="A10000FF" w:usb1="4000005B" w:usb2="00000000" w:usb3="00000000" w:csb0="0000009B"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396CAF" w14:textId="77777777" w:rsidR="004139F7" w:rsidRDefault="004139F7" w:rsidP="00EC433C">
      <w:pPr>
        <w:spacing w:after="0" w:line="240" w:lineRule="auto"/>
      </w:pPr>
      <w:r>
        <w:separator/>
      </w:r>
    </w:p>
  </w:footnote>
  <w:footnote w:type="continuationSeparator" w:id="0">
    <w:p w14:paraId="18FC62E0" w14:textId="77777777" w:rsidR="004139F7" w:rsidRDefault="004139F7" w:rsidP="00EC433C">
      <w:pPr>
        <w:spacing w:after="0" w:line="240" w:lineRule="auto"/>
      </w:pPr>
      <w:r>
        <w:continuationSeparator/>
      </w:r>
    </w:p>
  </w:footnote>
  <w:footnote w:id="1">
    <w:p w14:paraId="4D63AE5F" w14:textId="6C7A8B19" w:rsidR="007A1DA5" w:rsidRPr="007A1DA5" w:rsidRDefault="007A1DA5" w:rsidP="00E139D9">
      <w:pPr>
        <w:pStyle w:val="FootnoteText"/>
        <w:ind w:left="0" w:firstLine="0"/>
      </w:pPr>
      <w:r>
        <w:rPr>
          <w:rStyle w:val="FootnoteReference"/>
        </w:rPr>
        <w:footnoteRef/>
      </w:r>
      <w:r>
        <w:t xml:space="preserve"> </w:t>
      </w:r>
      <w:r w:rsidRPr="00550DBC">
        <w:t>Basado en el Análisis Económico del programa “Mejoramiento de la efectividad de los servicios de la ventanilla única de promoción del empleo (ce) para la inserción laboral formal de los jóvenes en el Perú urbano (PE-l1152), elaborado por Carolina González-Velosa</w:t>
      </w:r>
      <w:r>
        <w:t xml:space="preserve"> para el BID.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B7FC9"/>
    <w:multiLevelType w:val="multilevel"/>
    <w:tmpl w:val="A2B2F9A6"/>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b w:val="0"/>
        <w:color w:val="auto"/>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15:restartNumberingAfterBreak="0">
    <w:nsid w:val="197F5EE9"/>
    <w:multiLevelType w:val="multilevel"/>
    <w:tmpl w:val="8C04D886"/>
    <w:lvl w:ilvl="0">
      <w:start w:val="3"/>
      <w:numFmt w:val="upperRoman"/>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 w15:restartNumberingAfterBreak="0">
    <w:nsid w:val="19EC1D39"/>
    <w:multiLevelType w:val="hybridMultilevel"/>
    <w:tmpl w:val="892AA60E"/>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79533A"/>
    <w:multiLevelType w:val="multilevel"/>
    <w:tmpl w:val="6AE423CE"/>
    <w:lvl w:ilvl="0">
      <w:start w:val="1"/>
      <w:numFmt w:val="upperRoman"/>
      <w:lvlText w:val="Article %1."/>
      <w:lvlJc w:val="left"/>
      <w:pPr>
        <w:ind w:left="0" w:firstLine="0"/>
      </w:pPr>
    </w:lvl>
    <w:lvl w:ilvl="1">
      <w:start w:val="1"/>
      <w:numFmt w:val="decimalZero"/>
      <w:isLgl/>
      <w:lvlText w:val="Section %1.%2"/>
      <w:lvlJc w:val="left"/>
      <w:pPr>
        <w:ind w:left="0" w:firstLine="0"/>
      </w:pPr>
      <w:rPr>
        <w:b/>
      </w:rPr>
    </w:lvl>
    <w:lvl w:ilvl="2">
      <w:start w:val="1"/>
      <w:numFmt w:val="lowerLetter"/>
      <w:lvlText w:val="(%3)"/>
      <w:lvlJc w:val="left"/>
      <w:pPr>
        <w:ind w:left="720" w:hanging="432"/>
      </w:pPr>
      <w:rPr>
        <w:b/>
      </w:rPr>
    </w:lvl>
    <w:lvl w:ilvl="3">
      <w:start w:val="1"/>
      <w:numFmt w:val="lowerRoman"/>
      <w:lvlText w:val="(%4)"/>
      <w:lvlJc w:val="right"/>
      <w:pPr>
        <w:ind w:left="864" w:hanging="144"/>
      </w:pPr>
      <w:rPr>
        <w:b/>
      </w:r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15:restartNumberingAfterBreak="0">
    <w:nsid w:val="1D9E6B0D"/>
    <w:multiLevelType w:val="hybridMultilevel"/>
    <w:tmpl w:val="6414BEEC"/>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29A1402E"/>
    <w:multiLevelType w:val="multilevel"/>
    <w:tmpl w:val="CE40E602"/>
    <w:lvl w:ilvl="0">
      <w:start w:val="1"/>
      <w:numFmt w:val="upperRoman"/>
      <w:lvlText w:val="%1."/>
      <w:lvlJc w:val="left"/>
      <w:pPr>
        <w:ind w:left="360" w:hanging="360"/>
      </w:pPr>
      <w:rPr>
        <w:rFonts w:ascii="Times New Roman" w:hAnsi="Times New Roman" w:cs="Times New Roman" w:hint="default"/>
        <w:b/>
      </w:rPr>
    </w:lvl>
    <w:lvl w:ilvl="1">
      <w:start w:val="1"/>
      <w:numFmt w:val="decimal"/>
      <w:isLgl/>
      <w:lvlText w:val="%1.%2"/>
      <w:lvlJc w:val="left"/>
      <w:pPr>
        <w:ind w:left="567" w:hanging="567"/>
      </w:pPr>
      <w:rPr>
        <w:rFonts w:ascii="Times New Roman" w:hAnsi="Times New Roman" w:cs="Times New Roman" w:hint="default"/>
        <w:b w:val="0"/>
        <w:sz w:val="24"/>
        <w:szCs w:val="24"/>
      </w:rPr>
    </w:lvl>
    <w:lvl w:ilvl="2">
      <w:start w:val="1"/>
      <w:numFmt w:val="bullet"/>
      <w:lvlText w:val=""/>
      <w:lvlJc w:val="left"/>
      <w:pPr>
        <w:ind w:left="1080" w:hanging="360"/>
      </w:pPr>
      <w:rPr>
        <w:rFonts w:ascii="Symbol" w:hAnsi="Symbol"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6" w15:restartNumberingAfterBreak="0">
    <w:nsid w:val="2B21467A"/>
    <w:multiLevelType w:val="multilevel"/>
    <w:tmpl w:val="FCB20498"/>
    <w:lvl w:ilvl="0">
      <w:start w:val="1"/>
      <w:numFmt w:val="upperRoman"/>
      <w:lvlText w:val="%1."/>
      <w:lvlJc w:val="left"/>
      <w:pPr>
        <w:ind w:left="360" w:hanging="360"/>
      </w:pPr>
      <w:rPr>
        <w:rFonts w:hint="default"/>
      </w:rPr>
    </w:lvl>
    <w:lvl w:ilvl="1">
      <w:start w:val="1"/>
      <w:numFmt w:val="bullet"/>
      <w:pStyle w:val="Vieta"/>
      <w:lvlText w:val=""/>
      <w:lvlJc w:val="left"/>
      <w:pPr>
        <w:ind w:left="720"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7" w15:restartNumberingAfterBreak="0">
    <w:nsid w:val="2D2C1C79"/>
    <w:multiLevelType w:val="hybridMultilevel"/>
    <w:tmpl w:val="EB7A67A4"/>
    <w:lvl w:ilvl="0" w:tplc="040A0001">
      <w:start w:val="1"/>
      <w:numFmt w:val="bullet"/>
      <w:lvlText w:val=""/>
      <w:lvlJc w:val="left"/>
      <w:pPr>
        <w:tabs>
          <w:tab w:val="num" w:pos="1426"/>
        </w:tabs>
        <w:ind w:left="1426" w:hanging="360"/>
      </w:pPr>
      <w:rPr>
        <w:rFonts w:ascii="Symbol" w:hAnsi="Symbol" w:hint="default"/>
      </w:rPr>
    </w:lvl>
    <w:lvl w:ilvl="1" w:tplc="040A0003" w:tentative="1">
      <w:start w:val="1"/>
      <w:numFmt w:val="bullet"/>
      <w:lvlText w:val="o"/>
      <w:lvlJc w:val="left"/>
      <w:pPr>
        <w:tabs>
          <w:tab w:val="num" w:pos="2146"/>
        </w:tabs>
        <w:ind w:left="2146" w:hanging="360"/>
      </w:pPr>
      <w:rPr>
        <w:rFonts w:ascii="Courier New" w:hAnsi="Courier New" w:cs="Courier New" w:hint="default"/>
      </w:rPr>
    </w:lvl>
    <w:lvl w:ilvl="2" w:tplc="040A0005" w:tentative="1">
      <w:start w:val="1"/>
      <w:numFmt w:val="bullet"/>
      <w:lvlText w:val=""/>
      <w:lvlJc w:val="left"/>
      <w:pPr>
        <w:tabs>
          <w:tab w:val="num" w:pos="2866"/>
        </w:tabs>
        <w:ind w:left="2866" w:hanging="360"/>
      </w:pPr>
      <w:rPr>
        <w:rFonts w:ascii="Wingdings" w:hAnsi="Wingdings" w:hint="default"/>
      </w:rPr>
    </w:lvl>
    <w:lvl w:ilvl="3" w:tplc="040A0001" w:tentative="1">
      <w:start w:val="1"/>
      <w:numFmt w:val="bullet"/>
      <w:lvlText w:val=""/>
      <w:lvlJc w:val="left"/>
      <w:pPr>
        <w:tabs>
          <w:tab w:val="num" w:pos="3586"/>
        </w:tabs>
        <w:ind w:left="3586" w:hanging="360"/>
      </w:pPr>
      <w:rPr>
        <w:rFonts w:ascii="Symbol" w:hAnsi="Symbol" w:hint="default"/>
      </w:rPr>
    </w:lvl>
    <w:lvl w:ilvl="4" w:tplc="040A0003" w:tentative="1">
      <w:start w:val="1"/>
      <w:numFmt w:val="bullet"/>
      <w:lvlText w:val="o"/>
      <w:lvlJc w:val="left"/>
      <w:pPr>
        <w:tabs>
          <w:tab w:val="num" w:pos="4306"/>
        </w:tabs>
        <w:ind w:left="4306" w:hanging="360"/>
      </w:pPr>
      <w:rPr>
        <w:rFonts w:ascii="Courier New" w:hAnsi="Courier New" w:cs="Courier New" w:hint="default"/>
      </w:rPr>
    </w:lvl>
    <w:lvl w:ilvl="5" w:tplc="040A0005" w:tentative="1">
      <w:start w:val="1"/>
      <w:numFmt w:val="bullet"/>
      <w:lvlText w:val=""/>
      <w:lvlJc w:val="left"/>
      <w:pPr>
        <w:tabs>
          <w:tab w:val="num" w:pos="5026"/>
        </w:tabs>
        <w:ind w:left="5026" w:hanging="360"/>
      </w:pPr>
      <w:rPr>
        <w:rFonts w:ascii="Wingdings" w:hAnsi="Wingdings" w:hint="default"/>
      </w:rPr>
    </w:lvl>
    <w:lvl w:ilvl="6" w:tplc="040A0001" w:tentative="1">
      <w:start w:val="1"/>
      <w:numFmt w:val="bullet"/>
      <w:lvlText w:val=""/>
      <w:lvlJc w:val="left"/>
      <w:pPr>
        <w:tabs>
          <w:tab w:val="num" w:pos="5746"/>
        </w:tabs>
        <w:ind w:left="5746" w:hanging="360"/>
      </w:pPr>
      <w:rPr>
        <w:rFonts w:ascii="Symbol" w:hAnsi="Symbol" w:hint="default"/>
      </w:rPr>
    </w:lvl>
    <w:lvl w:ilvl="7" w:tplc="040A0003" w:tentative="1">
      <w:start w:val="1"/>
      <w:numFmt w:val="bullet"/>
      <w:lvlText w:val="o"/>
      <w:lvlJc w:val="left"/>
      <w:pPr>
        <w:tabs>
          <w:tab w:val="num" w:pos="6466"/>
        </w:tabs>
        <w:ind w:left="6466" w:hanging="360"/>
      </w:pPr>
      <w:rPr>
        <w:rFonts w:ascii="Courier New" w:hAnsi="Courier New" w:cs="Courier New" w:hint="default"/>
      </w:rPr>
    </w:lvl>
    <w:lvl w:ilvl="8" w:tplc="040A0005" w:tentative="1">
      <w:start w:val="1"/>
      <w:numFmt w:val="bullet"/>
      <w:lvlText w:val=""/>
      <w:lvlJc w:val="left"/>
      <w:pPr>
        <w:tabs>
          <w:tab w:val="num" w:pos="7186"/>
        </w:tabs>
        <w:ind w:left="7186" w:hanging="360"/>
      </w:pPr>
      <w:rPr>
        <w:rFonts w:ascii="Wingdings" w:hAnsi="Wingdings" w:hint="default"/>
      </w:rPr>
    </w:lvl>
  </w:abstractNum>
  <w:abstractNum w:abstractNumId="8" w15:restartNumberingAfterBreak="0">
    <w:nsid w:val="359B4991"/>
    <w:multiLevelType w:val="multilevel"/>
    <w:tmpl w:val="A4F4C8E6"/>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15:restartNumberingAfterBreak="0">
    <w:nsid w:val="37713672"/>
    <w:multiLevelType w:val="hybridMultilevel"/>
    <w:tmpl w:val="DBA4D980"/>
    <w:lvl w:ilvl="0" w:tplc="040A0001">
      <w:start w:val="1"/>
      <w:numFmt w:val="bullet"/>
      <w:lvlText w:val=""/>
      <w:lvlJc w:val="left"/>
      <w:pPr>
        <w:ind w:left="1077" w:hanging="360"/>
      </w:pPr>
      <w:rPr>
        <w:rFonts w:ascii="Symbol" w:hAnsi="Symbol" w:hint="default"/>
      </w:rPr>
    </w:lvl>
    <w:lvl w:ilvl="1" w:tplc="040A0003" w:tentative="1">
      <w:start w:val="1"/>
      <w:numFmt w:val="bullet"/>
      <w:lvlText w:val="o"/>
      <w:lvlJc w:val="left"/>
      <w:pPr>
        <w:ind w:left="1797" w:hanging="360"/>
      </w:pPr>
      <w:rPr>
        <w:rFonts w:ascii="Courier New" w:hAnsi="Courier New" w:cs="Courier New" w:hint="default"/>
      </w:rPr>
    </w:lvl>
    <w:lvl w:ilvl="2" w:tplc="040A0005" w:tentative="1">
      <w:start w:val="1"/>
      <w:numFmt w:val="bullet"/>
      <w:lvlText w:val=""/>
      <w:lvlJc w:val="left"/>
      <w:pPr>
        <w:ind w:left="2517" w:hanging="360"/>
      </w:pPr>
      <w:rPr>
        <w:rFonts w:ascii="Wingdings" w:hAnsi="Wingdings" w:hint="default"/>
      </w:rPr>
    </w:lvl>
    <w:lvl w:ilvl="3" w:tplc="040A0001" w:tentative="1">
      <w:start w:val="1"/>
      <w:numFmt w:val="bullet"/>
      <w:lvlText w:val=""/>
      <w:lvlJc w:val="left"/>
      <w:pPr>
        <w:ind w:left="3237" w:hanging="360"/>
      </w:pPr>
      <w:rPr>
        <w:rFonts w:ascii="Symbol" w:hAnsi="Symbol" w:hint="default"/>
      </w:rPr>
    </w:lvl>
    <w:lvl w:ilvl="4" w:tplc="040A0003" w:tentative="1">
      <w:start w:val="1"/>
      <w:numFmt w:val="bullet"/>
      <w:lvlText w:val="o"/>
      <w:lvlJc w:val="left"/>
      <w:pPr>
        <w:ind w:left="3957" w:hanging="360"/>
      </w:pPr>
      <w:rPr>
        <w:rFonts w:ascii="Courier New" w:hAnsi="Courier New" w:cs="Courier New" w:hint="default"/>
      </w:rPr>
    </w:lvl>
    <w:lvl w:ilvl="5" w:tplc="040A0005" w:tentative="1">
      <w:start w:val="1"/>
      <w:numFmt w:val="bullet"/>
      <w:lvlText w:val=""/>
      <w:lvlJc w:val="left"/>
      <w:pPr>
        <w:ind w:left="4677" w:hanging="360"/>
      </w:pPr>
      <w:rPr>
        <w:rFonts w:ascii="Wingdings" w:hAnsi="Wingdings" w:hint="default"/>
      </w:rPr>
    </w:lvl>
    <w:lvl w:ilvl="6" w:tplc="040A0001" w:tentative="1">
      <w:start w:val="1"/>
      <w:numFmt w:val="bullet"/>
      <w:lvlText w:val=""/>
      <w:lvlJc w:val="left"/>
      <w:pPr>
        <w:ind w:left="5397" w:hanging="360"/>
      </w:pPr>
      <w:rPr>
        <w:rFonts w:ascii="Symbol" w:hAnsi="Symbol" w:hint="default"/>
      </w:rPr>
    </w:lvl>
    <w:lvl w:ilvl="7" w:tplc="040A0003" w:tentative="1">
      <w:start w:val="1"/>
      <w:numFmt w:val="bullet"/>
      <w:lvlText w:val="o"/>
      <w:lvlJc w:val="left"/>
      <w:pPr>
        <w:ind w:left="6117" w:hanging="360"/>
      </w:pPr>
      <w:rPr>
        <w:rFonts w:ascii="Courier New" w:hAnsi="Courier New" w:cs="Courier New" w:hint="default"/>
      </w:rPr>
    </w:lvl>
    <w:lvl w:ilvl="8" w:tplc="040A0005" w:tentative="1">
      <w:start w:val="1"/>
      <w:numFmt w:val="bullet"/>
      <w:lvlText w:val=""/>
      <w:lvlJc w:val="left"/>
      <w:pPr>
        <w:ind w:left="6837" w:hanging="360"/>
      </w:pPr>
      <w:rPr>
        <w:rFonts w:ascii="Wingdings" w:hAnsi="Wingdings" w:hint="default"/>
      </w:rPr>
    </w:lvl>
  </w:abstractNum>
  <w:abstractNum w:abstractNumId="10" w15:restartNumberingAfterBreak="0">
    <w:nsid w:val="3B51601E"/>
    <w:multiLevelType w:val="hybridMultilevel"/>
    <w:tmpl w:val="6596A4E0"/>
    <w:lvl w:ilvl="0" w:tplc="040A0001">
      <w:start w:val="1"/>
      <w:numFmt w:val="bullet"/>
      <w:lvlText w:val=""/>
      <w:lvlJc w:val="left"/>
      <w:pPr>
        <w:tabs>
          <w:tab w:val="num" w:pos="1426"/>
        </w:tabs>
        <w:ind w:left="1426" w:hanging="360"/>
      </w:pPr>
      <w:rPr>
        <w:rFonts w:ascii="Symbol" w:hAnsi="Symbol" w:hint="default"/>
      </w:rPr>
    </w:lvl>
    <w:lvl w:ilvl="1" w:tplc="040A0003" w:tentative="1">
      <w:start w:val="1"/>
      <w:numFmt w:val="bullet"/>
      <w:lvlText w:val="o"/>
      <w:lvlJc w:val="left"/>
      <w:pPr>
        <w:tabs>
          <w:tab w:val="num" w:pos="2146"/>
        </w:tabs>
        <w:ind w:left="2146" w:hanging="360"/>
      </w:pPr>
      <w:rPr>
        <w:rFonts w:ascii="Courier New" w:hAnsi="Courier New" w:cs="Courier New" w:hint="default"/>
      </w:rPr>
    </w:lvl>
    <w:lvl w:ilvl="2" w:tplc="040A0005" w:tentative="1">
      <w:start w:val="1"/>
      <w:numFmt w:val="bullet"/>
      <w:lvlText w:val=""/>
      <w:lvlJc w:val="left"/>
      <w:pPr>
        <w:tabs>
          <w:tab w:val="num" w:pos="2866"/>
        </w:tabs>
        <w:ind w:left="2866" w:hanging="360"/>
      </w:pPr>
      <w:rPr>
        <w:rFonts w:ascii="Wingdings" w:hAnsi="Wingdings" w:hint="default"/>
      </w:rPr>
    </w:lvl>
    <w:lvl w:ilvl="3" w:tplc="040A0001" w:tentative="1">
      <w:start w:val="1"/>
      <w:numFmt w:val="bullet"/>
      <w:lvlText w:val=""/>
      <w:lvlJc w:val="left"/>
      <w:pPr>
        <w:tabs>
          <w:tab w:val="num" w:pos="3586"/>
        </w:tabs>
        <w:ind w:left="3586" w:hanging="360"/>
      </w:pPr>
      <w:rPr>
        <w:rFonts w:ascii="Symbol" w:hAnsi="Symbol" w:hint="default"/>
      </w:rPr>
    </w:lvl>
    <w:lvl w:ilvl="4" w:tplc="040A0003" w:tentative="1">
      <w:start w:val="1"/>
      <w:numFmt w:val="bullet"/>
      <w:lvlText w:val="o"/>
      <w:lvlJc w:val="left"/>
      <w:pPr>
        <w:tabs>
          <w:tab w:val="num" w:pos="4306"/>
        </w:tabs>
        <w:ind w:left="4306" w:hanging="360"/>
      </w:pPr>
      <w:rPr>
        <w:rFonts w:ascii="Courier New" w:hAnsi="Courier New" w:cs="Courier New" w:hint="default"/>
      </w:rPr>
    </w:lvl>
    <w:lvl w:ilvl="5" w:tplc="040A0005" w:tentative="1">
      <w:start w:val="1"/>
      <w:numFmt w:val="bullet"/>
      <w:lvlText w:val=""/>
      <w:lvlJc w:val="left"/>
      <w:pPr>
        <w:tabs>
          <w:tab w:val="num" w:pos="5026"/>
        </w:tabs>
        <w:ind w:left="5026" w:hanging="360"/>
      </w:pPr>
      <w:rPr>
        <w:rFonts w:ascii="Wingdings" w:hAnsi="Wingdings" w:hint="default"/>
      </w:rPr>
    </w:lvl>
    <w:lvl w:ilvl="6" w:tplc="040A0001" w:tentative="1">
      <w:start w:val="1"/>
      <w:numFmt w:val="bullet"/>
      <w:lvlText w:val=""/>
      <w:lvlJc w:val="left"/>
      <w:pPr>
        <w:tabs>
          <w:tab w:val="num" w:pos="5746"/>
        </w:tabs>
        <w:ind w:left="5746" w:hanging="360"/>
      </w:pPr>
      <w:rPr>
        <w:rFonts w:ascii="Symbol" w:hAnsi="Symbol" w:hint="default"/>
      </w:rPr>
    </w:lvl>
    <w:lvl w:ilvl="7" w:tplc="040A0003" w:tentative="1">
      <w:start w:val="1"/>
      <w:numFmt w:val="bullet"/>
      <w:lvlText w:val="o"/>
      <w:lvlJc w:val="left"/>
      <w:pPr>
        <w:tabs>
          <w:tab w:val="num" w:pos="6466"/>
        </w:tabs>
        <w:ind w:left="6466" w:hanging="360"/>
      </w:pPr>
      <w:rPr>
        <w:rFonts w:ascii="Courier New" w:hAnsi="Courier New" w:cs="Courier New" w:hint="default"/>
      </w:rPr>
    </w:lvl>
    <w:lvl w:ilvl="8" w:tplc="040A0005" w:tentative="1">
      <w:start w:val="1"/>
      <w:numFmt w:val="bullet"/>
      <w:lvlText w:val=""/>
      <w:lvlJc w:val="left"/>
      <w:pPr>
        <w:tabs>
          <w:tab w:val="num" w:pos="7186"/>
        </w:tabs>
        <w:ind w:left="7186" w:hanging="360"/>
      </w:pPr>
      <w:rPr>
        <w:rFonts w:ascii="Wingdings" w:hAnsi="Wingdings" w:hint="default"/>
      </w:rPr>
    </w:lvl>
  </w:abstractNum>
  <w:abstractNum w:abstractNumId="11" w15:restartNumberingAfterBreak="0">
    <w:nsid w:val="4C69171B"/>
    <w:multiLevelType w:val="hybridMultilevel"/>
    <w:tmpl w:val="1A9C573E"/>
    <w:lvl w:ilvl="0" w:tplc="040A0001">
      <w:start w:val="1"/>
      <w:numFmt w:val="bullet"/>
      <w:lvlText w:val=""/>
      <w:lvlJc w:val="left"/>
      <w:pPr>
        <w:ind w:left="1077" w:hanging="360"/>
      </w:pPr>
      <w:rPr>
        <w:rFonts w:ascii="Symbol" w:hAnsi="Symbol" w:hint="default"/>
      </w:rPr>
    </w:lvl>
    <w:lvl w:ilvl="1" w:tplc="040A0003" w:tentative="1">
      <w:start w:val="1"/>
      <w:numFmt w:val="bullet"/>
      <w:lvlText w:val="o"/>
      <w:lvlJc w:val="left"/>
      <w:pPr>
        <w:ind w:left="1797" w:hanging="360"/>
      </w:pPr>
      <w:rPr>
        <w:rFonts w:ascii="Courier New" w:hAnsi="Courier New" w:hint="default"/>
      </w:rPr>
    </w:lvl>
    <w:lvl w:ilvl="2" w:tplc="040A0005" w:tentative="1">
      <w:start w:val="1"/>
      <w:numFmt w:val="bullet"/>
      <w:lvlText w:val=""/>
      <w:lvlJc w:val="left"/>
      <w:pPr>
        <w:ind w:left="2517" w:hanging="360"/>
      </w:pPr>
      <w:rPr>
        <w:rFonts w:ascii="Wingdings" w:hAnsi="Wingdings" w:hint="default"/>
      </w:rPr>
    </w:lvl>
    <w:lvl w:ilvl="3" w:tplc="040A0001" w:tentative="1">
      <w:start w:val="1"/>
      <w:numFmt w:val="bullet"/>
      <w:lvlText w:val=""/>
      <w:lvlJc w:val="left"/>
      <w:pPr>
        <w:ind w:left="3237" w:hanging="360"/>
      </w:pPr>
      <w:rPr>
        <w:rFonts w:ascii="Symbol" w:hAnsi="Symbol" w:hint="default"/>
      </w:rPr>
    </w:lvl>
    <w:lvl w:ilvl="4" w:tplc="040A0003" w:tentative="1">
      <w:start w:val="1"/>
      <w:numFmt w:val="bullet"/>
      <w:lvlText w:val="o"/>
      <w:lvlJc w:val="left"/>
      <w:pPr>
        <w:ind w:left="3957" w:hanging="360"/>
      </w:pPr>
      <w:rPr>
        <w:rFonts w:ascii="Courier New" w:hAnsi="Courier New" w:hint="default"/>
      </w:rPr>
    </w:lvl>
    <w:lvl w:ilvl="5" w:tplc="040A0005" w:tentative="1">
      <w:start w:val="1"/>
      <w:numFmt w:val="bullet"/>
      <w:lvlText w:val=""/>
      <w:lvlJc w:val="left"/>
      <w:pPr>
        <w:ind w:left="4677" w:hanging="360"/>
      </w:pPr>
      <w:rPr>
        <w:rFonts w:ascii="Wingdings" w:hAnsi="Wingdings" w:hint="default"/>
      </w:rPr>
    </w:lvl>
    <w:lvl w:ilvl="6" w:tplc="040A0001" w:tentative="1">
      <w:start w:val="1"/>
      <w:numFmt w:val="bullet"/>
      <w:lvlText w:val=""/>
      <w:lvlJc w:val="left"/>
      <w:pPr>
        <w:ind w:left="5397" w:hanging="360"/>
      </w:pPr>
      <w:rPr>
        <w:rFonts w:ascii="Symbol" w:hAnsi="Symbol" w:hint="default"/>
      </w:rPr>
    </w:lvl>
    <w:lvl w:ilvl="7" w:tplc="040A0003" w:tentative="1">
      <w:start w:val="1"/>
      <w:numFmt w:val="bullet"/>
      <w:lvlText w:val="o"/>
      <w:lvlJc w:val="left"/>
      <w:pPr>
        <w:ind w:left="6117" w:hanging="360"/>
      </w:pPr>
      <w:rPr>
        <w:rFonts w:ascii="Courier New" w:hAnsi="Courier New" w:hint="default"/>
      </w:rPr>
    </w:lvl>
    <w:lvl w:ilvl="8" w:tplc="040A0005" w:tentative="1">
      <w:start w:val="1"/>
      <w:numFmt w:val="bullet"/>
      <w:lvlText w:val=""/>
      <w:lvlJc w:val="left"/>
      <w:pPr>
        <w:ind w:left="6837" w:hanging="360"/>
      </w:pPr>
      <w:rPr>
        <w:rFonts w:ascii="Wingdings" w:hAnsi="Wingdings" w:hint="default"/>
      </w:rPr>
    </w:lvl>
  </w:abstractNum>
  <w:abstractNum w:abstractNumId="12" w15:restartNumberingAfterBreak="0">
    <w:nsid w:val="515915DF"/>
    <w:multiLevelType w:val="multilevel"/>
    <w:tmpl w:val="CE40E602"/>
    <w:lvl w:ilvl="0">
      <w:start w:val="1"/>
      <w:numFmt w:val="upperRoman"/>
      <w:lvlText w:val="%1."/>
      <w:lvlJc w:val="left"/>
      <w:pPr>
        <w:ind w:left="360" w:hanging="360"/>
      </w:pPr>
      <w:rPr>
        <w:rFonts w:ascii="Times New Roman" w:hAnsi="Times New Roman" w:cs="Times New Roman" w:hint="default"/>
        <w:b/>
      </w:rPr>
    </w:lvl>
    <w:lvl w:ilvl="1">
      <w:start w:val="1"/>
      <w:numFmt w:val="decimal"/>
      <w:isLgl/>
      <w:lvlText w:val="%1.%2"/>
      <w:lvlJc w:val="left"/>
      <w:pPr>
        <w:ind w:left="567" w:hanging="567"/>
      </w:pPr>
      <w:rPr>
        <w:rFonts w:ascii="Times New Roman" w:hAnsi="Times New Roman" w:cs="Times New Roman" w:hint="default"/>
        <w:b w:val="0"/>
        <w:sz w:val="24"/>
        <w:szCs w:val="24"/>
      </w:rPr>
    </w:lvl>
    <w:lvl w:ilvl="2">
      <w:start w:val="1"/>
      <w:numFmt w:val="bullet"/>
      <w:lvlText w:val=""/>
      <w:lvlJc w:val="left"/>
      <w:pPr>
        <w:ind w:left="1080" w:hanging="360"/>
      </w:pPr>
      <w:rPr>
        <w:rFonts w:ascii="Symbol" w:hAnsi="Symbol"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3" w15:restartNumberingAfterBreak="0">
    <w:nsid w:val="5CE75E72"/>
    <w:multiLevelType w:val="hybridMultilevel"/>
    <w:tmpl w:val="ED1ABABA"/>
    <w:lvl w:ilvl="0" w:tplc="040A0001">
      <w:start w:val="1"/>
      <w:numFmt w:val="bullet"/>
      <w:lvlText w:val=""/>
      <w:lvlJc w:val="left"/>
      <w:pPr>
        <w:ind w:left="1077" w:hanging="360"/>
      </w:pPr>
      <w:rPr>
        <w:rFonts w:ascii="Symbol" w:hAnsi="Symbol" w:hint="default"/>
      </w:rPr>
    </w:lvl>
    <w:lvl w:ilvl="1" w:tplc="040A0003" w:tentative="1">
      <w:start w:val="1"/>
      <w:numFmt w:val="bullet"/>
      <w:lvlText w:val="o"/>
      <w:lvlJc w:val="left"/>
      <w:pPr>
        <w:ind w:left="1797" w:hanging="360"/>
      </w:pPr>
      <w:rPr>
        <w:rFonts w:ascii="Courier New" w:hAnsi="Courier New" w:hint="default"/>
      </w:rPr>
    </w:lvl>
    <w:lvl w:ilvl="2" w:tplc="040A0005" w:tentative="1">
      <w:start w:val="1"/>
      <w:numFmt w:val="bullet"/>
      <w:lvlText w:val=""/>
      <w:lvlJc w:val="left"/>
      <w:pPr>
        <w:ind w:left="2517" w:hanging="360"/>
      </w:pPr>
      <w:rPr>
        <w:rFonts w:ascii="Wingdings" w:hAnsi="Wingdings" w:hint="default"/>
      </w:rPr>
    </w:lvl>
    <w:lvl w:ilvl="3" w:tplc="040A0001" w:tentative="1">
      <w:start w:val="1"/>
      <w:numFmt w:val="bullet"/>
      <w:lvlText w:val=""/>
      <w:lvlJc w:val="left"/>
      <w:pPr>
        <w:ind w:left="3237" w:hanging="360"/>
      </w:pPr>
      <w:rPr>
        <w:rFonts w:ascii="Symbol" w:hAnsi="Symbol" w:hint="default"/>
      </w:rPr>
    </w:lvl>
    <w:lvl w:ilvl="4" w:tplc="040A0003" w:tentative="1">
      <w:start w:val="1"/>
      <w:numFmt w:val="bullet"/>
      <w:lvlText w:val="o"/>
      <w:lvlJc w:val="left"/>
      <w:pPr>
        <w:ind w:left="3957" w:hanging="360"/>
      </w:pPr>
      <w:rPr>
        <w:rFonts w:ascii="Courier New" w:hAnsi="Courier New" w:hint="default"/>
      </w:rPr>
    </w:lvl>
    <w:lvl w:ilvl="5" w:tplc="040A0005" w:tentative="1">
      <w:start w:val="1"/>
      <w:numFmt w:val="bullet"/>
      <w:lvlText w:val=""/>
      <w:lvlJc w:val="left"/>
      <w:pPr>
        <w:ind w:left="4677" w:hanging="360"/>
      </w:pPr>
      <w:rPr>
        <w:rFonts w:ascii="Wingdings" w:hAnsi="Wingdings" w:hint="default"/>
      </w:rPr>
    </w:lvl>
    <w:lvl w:ilvl="6" w:tplc="040A0001" w:tentative="1">
      <w:start w:val="1"/>
      <w:numFmt w:val="bullet"/>
      <w:lvlText w:val=""/>
      <w:lvlJc w:val="left"/>
      <w:pPr>
        <w:ind w:left="5397" w:hanging="360"/>
      </w:pPr>
      <w:rPr>
        <w:rFonts w:ascii="Symbol" w:hAnsi="Symbol" w:hint="default"/>
      </w:rPr>
    </w:lvl>
    <w:lvl w:ilvl="7" w:tplc="040A0003" w:tentative="1">
      <w:start w:val="1"/>
      <w:numFmt w:val="bullet"/>
      <w:lvlText w:val="o"/>
      <w:lvlJc w:val="left"/>
      <w:pPr>
        <w:ind w:left="6117" w:hanging="360"/>
      </w:pPr>
      <w:rPr>
        <w:rFonts w:ascii="Courier New" w:hAnsi="Courier New" w:hint="default"/>
      </w:rPr>
    </w:lvl>
    <w:lvl w:ilvl="8" w:tplc="040A0005" w:tentative="1">
      <w:start w:val="1"/>
      <w:numFmt w:val="bullet"/>
      <w:lvlText w:val=""/>
      <w:lvlJc w:val="left"/>
      <w:pPr>
        <w:ind w:left="6837" w:hanging="360"/>
      </w:pPr>
      <w:rPr>
        <w:rFonts w:ascii="Wingdings" w:hAnsi="Wingdings" w:hint="default"/>
      </w:rPr>
    </w:lvl>
  </w:abstractNum>
  <w:abstractNum w:abstractNumId="14" w15:restartNumberingAfterBreak="0">
    <w:nsid w:val="636A279D"/>
    <w:multiLevelType w:val="hybridMultilevel"/>
    <w:tmpl w:val="CE1C8FA4"/>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69FB20EA"/>
    <w:multiLevelType w:val="hybridMultilevel"/>
    <w:tmpl w:val="E0E42ADE"/>
    <w:lvl w:ilvl="0" w:tplc="040A0001">
      <w:start w:val="1"/>
      <w:numFmt w:val="bullet"/>
      <w:lvlText w:val=""/>
      <w:lvlJc w:val="left"/>
      <w:pPr>
        <w:ind w:left="1077" w:hanging="360"/>
      </w:pPr>
      <w:rPr>
        <w:rFonts w:ascii="Symbol" w:hAnsi="Symbol" w:hint="default"/>
      </w:rPr>
    </w:lvl>
    <w:lvl w:ilvl="1" w:tplc="040A0003" w:tentative="1">
      <w:start w:val="1"/>
      <w:numFmt w:val="bullet"/>
      <w:lvlText w:val="o"/>
      <w:lvlJc w:val="left"/>
      <w:pPr>
        <w:ind w:left="1797" w:hanging="360"/>
      </w:pPr>
      <w:rPr>
        <w:rFonts w:ascii="Courier New" w:hAnsi="Courier New" w:hint="default"/>
      </w:rPr>
    </w:lvl>
    <w:lvl w:ilvl="2" w:tplc="040A0005" w:tentative="1">
      <w:start w:val="1"/>
      <w:numFmt w:val="bullet"/>
      <w:lvlText w:val=""/>
      <w:lvlJc w:val="left"/>
      <w:pPr>
        <w:ind w:left="2517" w:hanging="360"/>
      </w:pPr>
      <w:rPr>
        <w:rFonts w:ascii="Wingdings" w:hAnsi="Wingdings" w:hint="default"/>
      </w:rPr>
    </w:lvl>
    <w:lvl w:ilvl="3" w:tplc="040A0001" w:tentative="1">
      <w:start w:val="1"/>
      <w:numFmt w:val="bullet"/>
      <w:lvlText w:val=""/>
      <w:lvlJc w:val="left"/>
      <w:pPr>
        <w:ind w:left="3237" w:hanging="360"/>
      </w:pPr>
      <w:rPr>
        <w:rFonts w:ascii="Symbol" w:hAnsi="Symbol" w:hint="default"/>
      </w:rPr>
    </w:lvl>
    <w:lvl w:ilvl="4" w:tplc="040A0003" w:tentative="1">
      <w:start w:val="1"/>
      <w:numFmt w:val="bullet"/>
      <w:lvlText w:val="o"/>
      <w:lvlJc w:val="left"/>
      <w:pPr>
        <w:ind w:left="3957" w:hanging="360"/>
      </w:pPr>
      <w:rPr>
        <w:rFonts w:ascii="Courier New" w:hAnsi="Courier New" w:hint="default"/>
      </w:rPr>
    </w:lvl>
    <w:lvl w:ilvl="5" w:tplc="040A0005" w:tentative="1">
      <w:start w:val="1"/>
      <w:numFmt w:val="bullet"/>
      <w:lvlText w:val=""/>
      <w:lvlJc w:val="left"/>
      <w:pPr>
        <w:ind w:left="4677" w:hanging="360"/>
      </w:pPr>
      <w:rPr>
        <w:rFonts w:ascii="Wingdings" w:hAnsi="Wingdings" w:hint="default"/>
      </w:rPr>
    </w:lvl>
    <w:lvl w:ilvl="6" w:tplc="040A0001" w:tentative="1">
      <w:start w:val="1"/>
      <w:numFmt w:val="bullet"/>
      <w:lvlText w:val=""/>
      <w:lvlJc w:val="left"/>
      <w:pPr>
        <w:ind w:left="5397" w:hanging="360"/>
      </w:pPr>
      <w:rPr>
        <w:rFonts w:ascii="Symbol" w:hAnsi="Symbol" w:hint="default"/>
      </w:rPr>
    </w:lvl>
    <w:lvl w:ilvl="7" w:tplc="040A0003" w:tentative="1">
      <w:start w:val="1"/>
      <w:numFmt w:val="bullet"/>
      <w:lvlText w:val="o"/>
      <w:lvlJc w:val="left"/>
      <w:pPr>
        <w:ind w:left="6117" w:hanging="360"/>
      </w:pPr>
      <w:rPr>
        <w:rFonts w:ascii="Courier New" w:hAnsi="Courier New" w:hint="default"/>
      </w:rPr>
    </w:lvl>
    <w:lvl w:ilvl="8" w:tplc="040A0005" w:tentative="1">
      <w:start w:val="1"/>
      <w:numFmt w:val="bullet"/>
      <w:lvlText w:val=""/>
      <w:lvlJc w:val="left"/>
      <w:pPr>
        <w:ind w:left="6837" w:hanging="360"/>
      </w:pPr>
      <w:rPr>
        <w:rFonts w:ascii="Wingdings" w:hAnsi="Wingdings" w:hint="default"/>
      </w:rPr>
    </w:lvl>
  </w:abstractNum>
  <w:abstractNum w:abstractNumId="16" w15:restartNumberingAfterBreak="0">
    <w:nsid w:val="6B420D04"/>
    <w:multiLevelType w:val="hybridMultilevel"/>
    <w:tmpl w:val="774E5184"/>
    <w:lvl w:ilvl="0" w:tplc="040A0001">
      <w:start w:val="1"/>
      <w:numFmt w:val="bullet"/>
      <w:lvlText w:val=""/>
      <w:lvlJc w:val="left"/>
      <w:pPr>
        <w:tabs>
          <w:tab w:val="num" w:pos="1429"/>
        </w:tabs>
        <w:ind w:left="1429" w:hanging="360"/>
      </w:pPr>
      <w:rPr>
        <w:rFonts w:ascii="Symbol" w:hAnsi="Symbol" w:hint="default"/>
      </w:rPr>
    </w:lvl>
    <w:lvl w:ilvl="1" w:tplc="040A0003" w:tentative="1">
      <w:start w:val="1"/>
      <w:numFmt w:val="bullet"/>
      <w:lvlText w:val="o"/>
      <w:lvlJc w:val="left"/>
      <w:pPr>
        <w:tabs>
          <w:tab w:val="num" w:pos="2149"/>
        </w:tabs>
        <w:ind w:left="2149" w:hanging="360"/>
      </w:pPr>
      <w:rPr>
        <w:rFonts w:ascii="Courier New" w:hAnsi="Courier New" w:cs="Courier New" w:hint="default"/>
      </w:rPr>
    </w:lvl>
    <w:lvl w:ilvl="2" w:tplc="040A0005" w:tentative="1">
      <w:start w:val="1"/>
      <w:numFmt w:val="bullet"/>
      <w:lvlText w:val=""/>
      <w:lvlJc w:val="left"/>
      <w:pPr>
        <w:tabs>
          <w:tab w:val="num" w:pos="2869"/>
        </w:tabs>
        <w:ind w:left="2869" w:hanging="360"/>
      </w:pPr>
      <w:rPr>
        <w:rFonts w:ascii="Wingdings" w:hAnsi="Wingdings" w:hint="default"/>
      </w:rPr>
    </w:lvl>
    <w:lvl w:ilvl="3" w:tplc="040A0001" w:tentative="1">
      <w:start w:val="1"/>
      <w:numFmt w:val="bullet"/>
      <w:lvlText w:val=""/>
      <w:lvlJc w:val="left"/>
      <w:pPr>
        <w:tabs>
          <w:tab w:val="num" w:pos="3589"/>
        </w:tabs>
        <w:ind w:left="3589" w:hanging="360"/>
      </w:pPr>
      <w:rPr>
        <w:rFonts w:ascii="Symbol" w:hAnsi="Symbol" w:hint="default"/>
      </w:rPr>
    </w:lvl>
    <w:lvl w:ilvl="4" w:tplc="040A0003" w:tentative="1">
      <w:start w:val="1"/>
      <w:numFmt w:val="bullet"/>
      <w:lvlText w:val="o"/>
      <w:lvlJc w:val="left"/>
      <w:pPr>
        <w:tabs>
          <w:tab w:val="num" w:pos="4309"/>
        </w:tabs>
        <w:ind w:left="4309" w:hanging="360"/>
      </w:pPr>
      <w:rPr>
        <w:rFonts w:ascii="Courier New" w:hAnsi="Courier New" w:cs="Courier New" w:hint="default"/>
      </w:rPr>
    </w:lvl>
    <w:lvl w:ilvl="5" w:tplc="040A0005" w:tentative="1">
      <w:start w:val="1"/>
      <w:numFmt w:val="bullet"/>
      <w:lvlText w:val=""/>
      <w:lvlJc w:val="left"/>
      <w:pPr>
        <w:tabs>
          <w:tab w:val="num" w:pos="5029"/>
        </w:tabs>
        <w:ind w:left="5029" w:hanging="360"/>
      </w:pPr>
      <w:rPr>
        <w:rFonts w:ascii="Wingdings" w:hAnsi="Wingdings" w:hint="default"/>
      </w:rPr>
    </w:lvl>
    <w:lvl w:ilvl="6" w:tplc="040A0001" w:tentative="1">
      <w:start w:val="1"/>
      <w:numFmt w:val="bullet"/>
      <w:lvlText w:val=""/>
      <w:lvlJc w:val="left"/>
      <w:pPr>
        <w:tabs>
          <w:tab w:val="num" w:pos="5749"/>
        </w:tabs>
        <w:ind w:left="5749" w:hanging="360"/>
      </w:pPr>
      <w:rPr>
        <w:rFonts w:ascii="Symbol" w:hAnsi="Symbol" w:hint="default"/>
      </w:rPr>
    </w:lvl>
    <w:lvl w:ilvl="7" w:tplc="040A0003" w:tentative="1">
      <w:start w:val="1"/>
      <w:numFmt w:val="bullet"/>
      <w:lvlText w:val="o"/>
      <w:lvlJc w:val="left"/>
      <w:pPr>
        <w:tabs>
          <w:tab w:val="num" w:pos="6469"/>
        </w:tabs>
        <w:ind w:left="6469" w:hanging="360"/>
      </w:pPr>
      <w:rPr>
        <w:rFonts w:ascii="Courier New" w:hAnsi="Courier New" w:cs="Courier New" w:hint="default"/>
      </w:rPr>
    </w:lvl>
    <w:lvl w:ilvl="8" w:tplc="040A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73FD7C6E"/>
    <w:multiLevelType w:val="hybridMultilevel"/>
    <w:tmpl w:val="C850258E"/>
    <w:lvl w:ilvl="0" w:tplc="040A0001">
      <w:start w:val="1"/>
      <w:numFmt w:val="bullet"/>
      <w:lvlText w:val=""/>
      <w:lvlJc w:val="left"/>
      <w:pPr>
        <w:ind w:left="1077" w:hanging="360"/>
      </w:pPr>
      <w:rPr>
        <w:rFonts w:ascii="Symbol" w:hAnsi="Symbol" w:hint="default"/>
      </w:rPr>
    </w:lvl>
    <w:lvl w:ilvl="1" w:tplc="040A0003" w:tentative="1">
      <w:start w:val="1"/>
      <w:numFmt w:val="bullet"/>
      <w:lvlText w:val="o"/>
      <w:lvlJc w:val="left"/>
      <w:pPr>
        <w:ind w:left="1797" w:hanging="360"/>
      </w:pPr>
      <w:rPr>
        <w:rFonts w:ascii="Courier New" w:hAnsi="Courier New" w:hint="default"/>
      </w:rPr>
    </w:lvl>
    <w:lvl w:ilvl="2" w:tplc="040A0005" w:tentative="1">
      <w:start w:val="1"/>
      <w:numFmt w:val="bullet"/>
      <w:lvlText w:val=""/>
      <w:lvlJc w:val="left"/>
      <w:pPr>
        <w:ind w:left="2517" w:hanging="360"/>
      </w:pPr>
      <w:rPr>
        <w:rFonts w:ascii="Wingdings" w:hAnsi="Wingdings" w:hint="default"/>
      </w:rPr>
    </w:lvl>
    <w:lvl w:ilvl="3" w:tplc="040A0001" w:tentative="1">
      <w:start w:val="1"/>
      <w:numFmt w:val="bullet"/>
      <w:lvlText w:val=""/>
      <w:lvlJc w:val="left"/>
      <w:pPr>
        <w:ind w:left="3237" w:hanging="360"/>
      </w:pPr>
      <w:rPr>
        <w:rFonts w:ascii="Symbol" w:hAnsi="Symbol" w:hint="default"/>
      </w:rPr>
    </w:lvl>
    <w:lvl w:ilvl="4" w:tplc="040A0003" w:tentative="1">
      <w:start w:val="1"/>
      <w:numFmt w:val="bullet"/>
      <w:lvlText w:val="o"/>
      <w:lvlJc w:val="left"/>
      <w:pPr>
        <w:ind w:left="3957" w:hanging="360"/>
      </w:pPr>
      <w:rPr>
        <w:rFonts w:ascii="Courier New" w:hAnsi="Courier New" w:hint="default"/>
      </w:rPr>
    </w:lvl>
    <w:lvl w:ilvl="5" w:tplc="040A0005" w:tentative="1">
      <w:start w:val="1"/>
      <w:numFmt w:val="bullet"/>
      <w:lvlText w:val=""/>
      <w:lvlJc w:val="left"/>
      <w:pPr>
        <w:ind w:left="4677" w:hanging="360"/>
      </w:pPr>
      <w:rPr>
        <w:rFonts w:ascii="Wingdings" w:hAnsi="Wingdings" w:hint="default"/>
      </w:rPr>
    </w:lvl>
    <w:lvl w:ilvl="6" w:tplc="040A0001" w:tentative="1">
      <w:start w:val="1"/>
      <w:numFmt w:val="bullet"/>
      <w:lvlText w:val=""/>
      <w:lvlJc w:val="left"/>
      <w:pPr>
        <w:ind w:left="5397" w:hanging="360"/>
      </w:pPr>
      <w:rPr>
        <w:rFonts w:ascii="Symbol" w:hAnsi="Symbol" w:hint="default"/>
      </w:rPr>
    </w:lvl>
    <w:lvl w:ilvl="7" w:tplc="040A0003" w:tentative="1">
      <w:start w:val="1"/>
      <w:numFmt w:val="bullet"/>
      <w:lvlText w:val="o"/>
      <w:lvlJc w:val="left"/>
      <w:pPr>
        <w:ind w:left="6117" w:hanging="360"/>
      </w:pPr>
      <w:rPr>
        <w:rFonts w:ascii="Courier New" w:hAnsi="Courier New" w:hint="default"/>
      </w:rPr>
    </w:lvl>
    <w:lvl w:ilvl="8" w:tplc="040A0005" w:tentative="1">
      <w:start w:val="1"/>
      <w:numFmt w:val="bullet"/>
      <w:lvlText w:val=""/>
      <w:lvlJc w:val="left"/>
      <w:pPr>
        <w:ind w:left="6837" w:hanging="360"/>
      </w:pPr>
      <w:rPr>
        <w:rFonts w:ascii="Wingdings" w:hAnsi="Wingdings" w:hint="default"/>
      </w:rPr>
    </w:lvl>
  </w:abstractNum>
  <w:abstractNum w:abstractNumId="18" w15:restartNumberingAfterBreak="0">
    <w:nsid w:val="7B083FB4"/>
    <w:multiLevelType w:val="hybridMultilevel"/>
    <w:tmpl w:val="C0C6F110"/>
    <w:lvl w:ilvl="0" w:tplc="BD863ABC">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9" w15:restartNumberingAfterBreak="0">
    <w:nsid w:val="7F8A12A7"/>
    <w:multiLevelType w:val="hybridMultilevel"/>
    <w:tmpl w:val="9C5045B2"/>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12"/>
  </w:num>
  <w:num w:numId="2">
    <w:abstractNumId w:val="0"/>
  </w:num>
  <w:num w:numId="3">
    <w:abstractNumId w:val="3"/>
  </w:num>
  <w:num w:numId="4">
    <w:abstractNumId w:val="8"/>
  </w:num>
  <w:num w:numId="5">
    <w:abstractNumId w:val="6"/>
  </w:num>
  <w:num w:numId="6">
    <w:abstractNumId w:val="18"/>
  </w:num>
  <w:num w:numId="7">
    <w:abstractNumId w:val="14"/>
  </w:num>
  <w:num w:numId="8">
    <w:abstractNumId w:val="19"/>
  </w:num>
  <w:num w:numId="9">
    <w:abstractNumId w:val="4"/>
  </w:num>
  <w:num w:numId="10">
    <w:abstractNumId w:val="16"/>
  </w:num>
  <w:num w:numId="11">
    <w:abstractNumId w:val="10"/>
  </w:num>
  <w:num w:numId="12">
    <w:abstractNumId w:val="7"/>
  </w:num>
  <w:num w:numId="13">
    <w:abstractNumId w:val="2"/>
  </w:num>
  <w:num w:numId="14">
    <w:abstractNumId w:val="5"/>
  </w:num>
  <w:num w:numId="15">
    <w:abstractNumId w:val="1"/>
  </w:num>
  <w:num w:numId="16">
    <w:abstractNumId w:val="9"/>
  </w:num>
  <w:num w:numId="17">
    <w:abstractNumId w:val="15"/>
  </w:num>
  <w:num w:numId="18">
    <w:abstractNumId w:val="13"/>
  </w:num>
  <w:num w:numId="19">
    <w:abstractNumId w:val="11"/>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265"/>
    <w:rsid w:val="0000187D"/>
    <w:rsid w:val="00007214"/>
    <w:rsid w:val="00015A71"/>
    <w:rsid w:val="00017EDE"/>
    <w:rsid w:val="0002012C"/>
    <w:rsid w:val="00021DBE"/>
    <w:rsid w:val="00022BAD"/>
    <w:rsid w:val="00023C4D"/>
    <w:rsid w:val="00033E27"/>
    <w:rsid w:val="00044248"/>
    <w:rsid w:val="000527EE"/>
    <w:rsid w:val="00053F7F"/>
    <w:rsid w:val="0006243A"/>
    <w:rsid w:val="00063580"/>
    <w:rsid w:val="0006676E"/>
    <w:rsid w:val="000808D5"/>
    <w:rsid w:val="00081881"/>
    <w:rsid w:val="00090CB8"/>
    <w:rsid w:val="000A1C2E"/>
    <w:rsid w:val="000A32B5"/>
    <w:rsid w:val="000C0553"/>
    <w:rsid w:val="000C485E"/>
    <w:rsid w:val="000C6326"/>
    <w:rsid w:val="0010641D"/>
    <w:rsid w:val="00112856"/>
    <w:rsid w:val="0011456B"/>
    <w:rsid w:val="00124F24"/>
    <w:rsid w:val="001338E9"/>
    <w:rsid w:val="0013698D"/>
    <w:rsid w:val="00136C99"/>
    <w:rsid w:val="001416D6"/>
    <w:rsid w:val="00163F53"/>
    <w:rsid w:val="001644E3"/>
    <w:rsid w:val="00180690"/>
    <w:rsid w:val="001824D3"/>
    <w:rsid w:val="00183971"/>
    <w:rsid w:val="00184F91"/>
    <w:rsid w:val="001A1C80"/>
    <w:rsid w:val="001A3895"/>
    <w:rsid w:val="001A64C0"/>
    <w:rsid w:val="001D0103"/>
    <w:rsid w:val="001D11C5"/>
    <w:rsid w:val="001E533C"/>
    <w:rsid w:val="001F681F"/>
    <w:rsid w:val="001F7D40"/>
    <w:rsid w:val="002058B2"/>
    <w:rsid w:val="00206F2E"/>
    <w:rsid w:val="0021362C"/>
    <w:rsid w:val="00215D2B"/>
    <w:rsid w:val="00222960"/>
    <w:rsid w:val="00230780"/>
    <w:rsid w:val="002329FA"/>
    <w:rsid w:val="00235E1C"/>
    <w:rsid w:val="00243949"/>
    <w:rsid w:val="002467AB"/>
    <w:rsid w:val="0025638B"/>
    <w:rsid w:val="00267213"/>
    <w:rsid w:val="00270428"/>
    <w:rsid w:val="00290090"/>
    <w:rsid w:val="0029278A"/>
    <w:rsid w:val="002972BF"/>
    <w:rsid w:val="002B7ACD"/>
    <w:rsid w:val="002C21BB"/>
    <w:rsid w:val="002C6E1D"/>
    <w:rsid w:val="002E5536"/>
    <w:rsid w:val="002F5DFA"/>
    <w:rsid w:val="00303646"/>
    <w:rsid w:val="00310A79"/>
    <w:rsid w:val="0031466F"/>
    <w:rsid w:val="00324F9F"/>
    <w:rsid w:val="00343D52"/>
    <w:rsid w:val="00353F1B"/>
    <w:rsid w:val="003566FC"/>
    <w:rsid w:val="003625D9"/>
    <w:rsid w:val="00371EAA"/>
    <w:rsid w:val="003763AC"/>
    <w:rsid w:val="00380680"/>
    <w:rsid w:val="0038279A"/>
    <w:rsid w:val="003853FC"/>
    <w:rsid w:val="00385624"/>
    <w:rsid w:val="00387CFC"/>
    <w:rsid w:val="003921D9"/>
    <w:rsid w:val="003A3D41"/>
    <w:rsid w:val="003A7B94"/>
    <w:rsid w:val="003B5747"/>
    <w:rsid w:val="003C1281"/>
    <w:rsid w:val="003C2747"/>
    <w:rsid w:val="003C40C5"/>
    <w:rsid w:val="003D3136"/>
    <w:rsid w:val="003D3C9F"/>
    <w:rsid w:val="003F5B6B"/>
    <w:rsid w:val="004139F7"/>
    <w:rsid w:val="00424642"/>
    <w:rsid w:val="00431453"/>
    <w:rsid w:val="00433918"/>
    <w:rsid w:val="00445DA8"/>
    <w:rsid w:val="004650E4"/>
    <w:rsid w:val="0046611B"/>
    <w:rsid w:val="00471F9A"/>
    <w:rsid w:val="004739E2"/>
    <w:rsid w:val="004933C9"/>
    <w:rsid w:val="004A4256"/>
    <w:rsid w:val="004A6604"/>
    <w:rsid w:val="004A670E"/>
    <w:rsid w:val="004B32D3"/>
    <w:rsid w:val="004E1625"/>
    <w:rsid w:val="004E3859"/>
    <w:rsid w:val="004F37B3"/>
    <w:rsid w:val="004F7AFE"/>
    <w:rsid w:val="0050688E"/>
    <w:rsid w:val="00515DDF"/>
    <w:rsid w:val="0052319D"/>
    <w:rsid w:val="005238C0"/>
    <w:rsid w:val="0054077D"/>
    <w:rsid w:val="00544E47"/>
    <w:rsid w:val="00550DBC"/>
    <w:rsid w:val="00555605"/>
    <w:rsid w:val="00562546"/>
    <w:rsid w:val="005664B5"/>
    <w:rsid w:val="00575018"/>
    <w:rsid w:val="00576335"/>
    <w:rsid w:val="00591555"/>
    <w:rsid w:val="00592476"/>
    <w:rsid w:val="005B7A16"/>
    <w:rsid w:val="005D151F"/>
    <w:rsid w:val="005D60B3"/>
    <w:rsid w:val="005D7B20"/>
    <w:rsid w:val="005F5CBB"/>
    <w:rsid w:val="006042AB"/>
    <w:rsid w:val="00606B71"/>
    <w:rsid w:val="00642C76"/>
    <w:rsid w:val="006507C1"/>
    <w:rsid w:val="006653E8"/>
    <w:rsid w:val="00676249"/>
    <w:rsid w:val="00685D8F"/>
    <w:rsid w:val="006A3BDD"/>
    <w:rsid w:val="006B54E1"/>
    <w:rsid w:val="006B6B12"/>
    <w:rsid w:val="006C5D2F"/>
    <w:rsid w:val="006C6377"/>
    <w:rsid w:val="006C6D3B"/>
    <w:rsid w:val="006C7F81"/>
    <w:rsid w:val="006D180C"/>
    <w:rsid w:val="006D45A0"/>
    <w:rsid w:val="006E4C25"/>
    <w:rsid w:val="006F5906"/>
    <w:rsid w:val="00702210"/>
    <w:rsid w:val="00705D45"/>
    <w:rsid w:val="007157D7"/>
    <w:rsid w:val="00716988"/>
    <w:rsid w:val="00723A10"/>
    <w:rsid w:val="0073018F"/>
    <w:rsid w:val="00755294"/>
    <w:rsid w:val="00755D64"/>
    <w:rsid w:val="00757C73"/>
    <w:rsid w:val="0077634F"/>
    <w:rsid w:val="00781172"/>
    <w:rsid w:val="00794CAC"/>
    <w:rsid w:val="007A1DA5"/>
    <w:rsid w:val="007A661F"/>
    <w:rsid w:val="007B3265"/>
    <w:rsid w:val="007B3563"/>
    <w:rsid w:val="007B3B8A"/>
    <w:rsid w:val="007B47E0"/>
    <w:rsid w:val="007C16F5"/>
    <w:rsid w:val="007D5D46"/>
    <w:rsid w:val="0080252F"/>
    <w:rsid w:val="00810527"/>
    <w:rsid w:val="008124F8"/>
    <w:rsid w:val="00820EC5"/>
    <w:rsid w:val="0082664F"/>
    <w:rsid w:val="00831A96"/>
    <w:rsid w:val="0083356C"/>
    <w:rsid w:val="008351AA"/>
    <w:rsid w:val="00860CF8"/>
    <w:rsid w:val="00862436"/>
    <w:rsid w:val="00863291"/>
    <w:rsid w:val="00884667"/>
    <w:rsid w:val="0088602D"/>
    <w:rsid w:val="00891FC4"/>
    <w:rsid w:val="008972DC"/>
    <w:rsid w:val="008B4EBD"/>
    <w:rsid w:val="008B7C8D"/>
    <w:rsid w:val="008C2137"/>
    <w:rsid w:val="008D29B3"/>
    <w:rsid w:val="008D6F8F"/>
    <w:rsid w:val="008F7234"/>
    <w:rsid w:val="00906E92"/>
    <w:rsid w:val="00910CD2"/>
    <w:rsid w:val="00911522"/>
    <w:rsid w:val="0091746B"/>
    <w:rsid w:val="00917E2B"/>
    <w:rsid w:val="00943CF3"/>
    <w:rsid w:val="0095587D"/>
    <w:rsid w:val="00957AB5"/>
    <w:rsid w:val="00964F72"/>
    <w:rsid w:val="00971931"/>
    <w:rsid w:val="00977FA7"/>
    <w:rsid w:val="0098502B"/>
    <w:rsid w:val="00991BF3"/>
    <w:rsid w:val="009940E1"/>
    <w:rsid w:val="00996E8B"/>
    <w:rsid w:val="009A7C20"/>
    <w:rsid w:val="009C55CE"/>
    <w:rsid w:val="009E2C54"/>
    <w:rsid w:val="009E5050"/>
    <w:rsid w:val="009E68D7"/>
    <w:rsid w:val="009F0DFE"/>
    <w:rsid w:val="009F2D44"/>
    <w:rsid w:val="009F77E6"/>
    <w:rsid w:val="00A109C5"/>
    <w:rsid w:val="00A15BBC"/>
    <w:rsid w:val="00A16F2D"/>
    <w:rsid w:val="00A377F9"/>
    <w:rsid w:val="00A37B1D"/>
    <w:rsid w:val="00A405B9"/>
    <w:rsid w:val="00A561A5"/>
    <w:rsid w:val="00A639C9"/>
    <w:rsid w:val="00A63EAF"/>
    <w:rsid w:val="00A65733"/>
    <w:rsid w:val="00A70BB2"/>
    <w:rsid w:val="00A7743F"/>
    <w:rsid w:val="00A77C0E"/>
    <w:rsid w:val="00A95480"/>
    <w:rsid w:val="00AB08BA"/>
    <w:rsid w:val="00AB4E25"/>
    <w:rsid w:val="00AD066B"/>
    <w:rsid w:val="00AD7429"/>
    <w:rsid w:val="00AE7344"/>
    <w:rsid w:val="00AF3BD5"/>
    <w:rsid w:val="00B00DD6"/>
    <w:rsid w:val="00B0134D"/>
    <w:rsid w:val="00B04196"/>
    <w:rsid w:val="00B10BD5"/>
    <w:rsid w:val="00B13BD8"/>
    <w:rsid w:val="00B220F5"/>
    <w:rsid w:val="00B24C73"/>
    <w:rsid w:val="00B36DB8"/>
    <w:rsid w:val="00B4740B"/>
    <w:rsid w:val="00B57FC8"/>
    <w:rsid w:val="00B64BF0"/>
    <w:rsid w:val="00BA00AA"/>
    <w:rsid w:val="00BA1012"/>
    <w:rsid w:val="00BA5B30"/>
    <w:rsid w:val="00BB1A8F"/>
    <w:rsid w:val="00BB317A"/>
    <w:rsid w:val="00BB6BF7"/>
    <w:rsid w:val="00BC2A6E"/>
    <w:rsid w:val="00BE69ED"/>
    <w:rsid w:val="00C00652"/>
    <w:rsid w:val="00C06ADB"/>
    <w:rsid w:val="00C408C3"/>
    <w:rsid w:val="00C47A92"/>
    <w:rsid w:val="00C51EF2"/>
    <w:rsid w:val="00C703FE"/>
    <w:rsid w:val="00C73779"/>
    <w:rsid w:val="00C759D6"/>
    <w:rsid w:val="00C84B21"/>
    <w:rsid w:val="00C900EF"/>
    <w:rsid w:val="00C90F82"/>
    <w:rsid w:val="00CA1FE4"/>
    <w:rsid w:val="00CA6EE7"/>
    <w:rsid w:val="00CA7FF3"/>
    <w:rsid w:val="00CB76D7"/>
    <w:rsid w:val="00CC098F"/>
    <w:rsid w:val="00CC3626"/>
    <w:rsid w:val="00CD1F96"/>
    <w:rsid w:val="00CD489E"/>
    <w:rsid w:val="00CD5FB5"/>
    <w:rsid w:val="00CE2CA3"/>
    <w:rsid w:val="00CF3FCB"/>
    <w:rsid w:val="00CF5B72"/>
    <w:rsid w:val="00D33C64"/>
    <w:rsid w:val="00D40E66"/>
    <w:rsid w:val="00D606AD"/>
    <w:rsid w:val="00D6083E"/>
    <w:rsid w:val="00D714CC"/>
    <w:rsid w:val="00D76084"/>
    <w:rsid w:val="00DA4569"/>
    <w:rsid w:val="00DC76E3"/>
    <w:rsid w:val="00DC7E17"/>
    <w:rsid w:val="00DD0CF1"/>
    <w:rsid w:val="00DD249F"/>
    <w:rsid w:val="00DD3B7E"/>
    <w:rsid w:val="00DD6969"/>
    <w:rsid w:val="00DE68CB"/>
    <w:rsid w:val="00DE77A9"/>
    <w:rsid w:val="00E10DB9"/>
    <w:rsid w:val="00E139D9"/>
    <w:rsid w:val="00E14F55"/>
    <w:rsid w:val="00E1754D"/>
    <w:rsid w:val="00E23B83"/>
    <w:rsid w:val="00E30CFC"/>
    <w:rsid w:val="00E32A26"/>
    <w:rsid w:val="00E43864"/>
    <w:rsid w:val="00E8385E"/>
    <w:rsid w:val="00E85794"/>
    <w:rsid w:val="00EA08AA"/>
    <w:rsid w:val="00EB17D0"/>
    <w:rsid w:val="00EB2B7C"/>
    <w:rsid w:val="00EC433C"/>
    <w:rsid w:val="00ED3B98"/>
    <w:rsid w:val="00EE376F"/>
    <w:rsid w:val="00EE64AC"/>
    <w:rsid w:val="00EE78D8"/>
    <w:rsid w:val="00F014EF"/>
    <w:rsid w:val="00F101F9"/>
    <w:rsid w:val="00F113A8"/>
    <w:rsid w:val="00F13223"/>
    <w:rsid w:val="00F2001B"/>
    <w:rsid w:val="00F441F5"/>
    <w:rsid w:val="00F72133"/>
    <w:rsid w:val="00F7406B"/>
    <w:rsid w:val="00F84737"/>
    <w:rsid w:val="00FA0365"/>
    <w:rsid w:val="00FA1C80"/>
    <w:rsid w:val="00FB1523"/>
    <w:rsid w:val="00FC3F8D"/>
    <w:rsid w:val="00FC67AF"/>
    <w:rsid w:val="00FE193B"/>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D1F8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sdException w:name="Smart Link Error" w:semiHidden="1" w:unhideWhenUsed="1"/>
  </w:latentStyles>
  <w:style w:type="paragraph" w:default="1" w:styleId="Normal">
    <w:name w:val="Normal"/>
    <w:qFormat/>
    <w:rsid w:val="00D40E66"/>
    <w:pPr>
      <w:spacing w:after="200" w:line="276" w:lineRule="auto"/>
    </w:pPr>
    <w:rPr>
      <w:rFonts w:ascii="Calibri" w:eastAsia="Calibri" w:hAnsi="Calibri" w:cs="Times New Roman"/>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0E66"/>
    <w:pPr>
      <w:ind w:left="720"/>
      <w:contextualSpacing/>
    </w:pPr>
  </w:style>
  <w:style w:type="paragraph" w:styleId="Title">
    <w:name w:val="Title"/>
    <w:basedOn w:val="Normal"/>
    <w:link w:val="TitleChar"/>
    <w:qFormat/>
    <w:rsid w:val="00D40E66"/>
    <w:pPr>
      <w:tabs>
        <w:tab w:val="left" w:pos="1440"/>
        <w:tab w:val="left" w:pos="3060"/>
      </w:tabs>
      <w:spacing w:after="0" w:line="240" w:lineRule="auto"/>
      <w:jc w:val="center"/>
      <w:outlineLvl w:val="0"/>
    </w:pPr>
    <w:rPr>
      <w:rFonts w:ascii="Times New Roman" w:eastAsia="Times New Roman" w:hAnsi="Times New Roman"/>
      <w:sz w:val="24"/>
      <w:szCs w:val="20"/>
    </w:rPr>
  </w:style>
  <w:style w:type="character" w:customStyle="1" w:styleId="TitleChar">
    <w:name w:val="Title Char"/>
    <w:basedOn w:val="DefaultParagraphFont"/>
    <w:link w:val="Title"/>
    <w:rsid w:val="00D40E66"/>
    <w:rPr>
      <w:rFonts w:ascii="Times New Roman" w:eastAsia="Times New Roman" w:hAnsi="Times New Roman" w:cs="Times New Roman"/>
      <w:szCs w:val="20"/>
      <w:lang w:val="en-US"/>
    </w:rPr>
  </w:style>
  <w:style w:type="paragraph" w:customStyle="1" w:styleId="Newpage">
    <w:name w:val="Newpage"/>
    <w:basedOn w:val="Normal"/>
    <w:rsid w:val="00D40E66"/>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styleId="BodyText">
    <w:name w:val="Body Text"/>
    <w:basedOn w:val="Normal"/>
    <w:link w:val="BodyTextChar"/>
    <w:rsid w:val="00D40E66"/>
    <w:pPr>
      <w:tabs>
        <w:tab w:val="left" w:pos="3060"/>
      </w:tabs>
      <w:spacing w:after="0" w:line="240" w:lineRule="auto"/>
      <w:jc w:val="center"/>
    </w:pPr>
    <w:rPr>
      <w:rFonts w:ascii="Times New Roman" w:eastAsia="Times New Roman" w:hAnsi="Times New Roman"/>
      <w:sz w:val="24"/>
      <w:szCs w:val="20"/>
    </w:rPr>
  </w:style>
  <w:style w:type="character" w:customStyle="1" w:styleId="BodyTextChar">
    <w:name w:val="Body Text Char"/>
    <w:basedOn w:val="DefaultParagraphFont"/>
    <w:link w:val="BodyText"/>
    <w:rsid w:val="00D40E66"/>
    <w:rPr>
      <w:rFonts w:ascii="Times New Roman" w:eastAsia="Times New Roman" w:hAnsi="Times New Roman" w:cs="Times New Roman"/>
      <w:szCs w:val="20"/>
      <w:lang w:val="en-US"/>
    </w:rPr>
  </w:style>
  <w:style w:type="paragraph" w:customStyle="1" w:styleId="Chapter">
    <w:name w:val="Chapter"/>
    <w:basedOn w:val="Normal"/>
    <w:next w:val="Normal"/>
    <w:rsid w:val="00D40E66"/>
    <w:pPr>
      <w:numPr>
        <w:numId w:val="2"/>
      </w:numPr>
      <w:tabs>
        <w:tab w:val="left" w:pos="1440"/>
      </w:tabs>
      <w:spacing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D40E66"/>
    <w:pPr>
      <w:numPr>
        <w:ilvl w:val="1"/>
        <w:numId w:val="2"/>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D40E66"/>
    <w:pPr>
      <w:numPr>
        <w:ilvl w:val="2"/>
        <w:numId w:val="2"/>
      </w:numPr>
      <w:tabs>
        <w:tab w:val="clear" w:pos="1152"/>
        <w:tab w:val="num" w:pos="360"/>
      </w:tabs>
      <w:spacing w:before="120" w:line="240" w:lineRule="auto"/>
      <w:ind w:left="2160" w:hanging="36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D40E66"/>
    <w:pPr>
      <w:numPr>
        <w:ilvl w:val="3"/>
      </w:numPr>
      <w:tabs>
        <w:tab w:val="clear" w:pos="1584"/>
        <w:tab w:val="left" w:pos="0"/>
        <w:tab w:val="num" w:pos="360"/>
      </w:tabs>
      <w:ind w:left="2880" w:hanging="360"/>
    </w:pPr>
  </w:style>
  <w:style w:type="character" w:customStyle="1" w:styleId="ParagraphChar">
    <w:name w:val="Paragraph Char"/>
    <w:aliases w:val="paragraph Char,p Char,PARAGRAPH Char,PG Char,pa Char,at Char"/>
    <w:link w:val="Paragraph"/>
    <w:rsid w:val="00D40E66"/>
    <w:rPr>
      <w:rFonts w:ascii="Times New Roman" w:eastAsia="Times New Roman" w:hAnsi="Times New Roman" w:cs="Times New Roman"/>
      <w:szCs w:val="20"/>
      <w:lang w:val="es-ES"/>
    </w:rPr>
  </w:style>
  <w:style w:type="paragraph" w:styleId="BodyTextIndent">
    <w:name w:val="Body Text Indent"/>
    <w:basedOn w:val="Normal"/>
    <w:link w:val="BodyTextIndentChar"/>
    <w:uiPriority w:val="99"/>
    <w:semiHidden/>
    <w:unhideWhenUsed/>
    <w:rsid w:val="00D40E66"/>
    <w:pPr>
      <w:spacing w:after="120"/>
      <w:ind w:left="283"/>
    </w:pPr>
  </w:style>
  <w:style w:type="character" w:customStyle="1" w:styleId="BodyTextIndentChar">
    <w:name w:val="Body Text Indent Char"/>
    <w:basedOn w:val="DefaultParagraphFont"/>
    <w:link w:val="BodyTextIndent"/>
    <w:uiPriority w:val="99"/>
    <w:semiHidden/>
    <w:rsid w:val="00D40E66"/>
    <w:rPr>
      <w:rFonts w:ascii="Calibri" w:eastAsia="Calibri" w:hAnsi="Calibri" w:cs="Times New Roman"/>
      <w:sz w:val="22"/>
      <w:szCs w:val="22"/>
      <w:lang w:val="en-US"/>
    </w:rPr>
  </w:style>
  <w:style w:type="paragraph" w:styleId="BodyTextIndent3">
    <w:name w:val="Body Text Indent 3"/>
    <w:basedOn w:val="Normal"/>
    <w:link w:val="BodyTextIndent3Char"/>
    <w:uiPriority w:val="99"/>
    <w:semiHidden/>
    <w:unhideWhenUsed/>
    <w:rsid w:val="00D40E66"/>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D40E66"/>
    <w:rPr>
      <w:rFonts w:ascii="Calibri" w:eastAsia="Calibri" w:hAnsi="Calibri" w:cs="Times New Roman"/>
      <w:sz w:val="16"/>
      <w:szCs w:val="16"/>
      <w:lang w:val="en-US"/>
    </w:rPr>
  </w:style>
  <w:style w:type="table" w:styleId="TableGrid">
    <w:name w:val="Table Grid"/>
    <w:basedOn w:val="TableNormal"/>
    <w:uiPriority w:val="39"/>
    <w:rsid w:val="007169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16988"/>
    <w:pPr>
      <w:spacing w:line="240" w:lineRule="auto"/>
    </w:pPr>
    <w:rPr>
      <w:i/>
      <w:iCs/>
      <w:color w:val="44546A" w:themeColor="text2"/>
      <w:sz w:val="18"/>
      <w:szCs w:val="18"/>
    </w:rPr>
  </w:style>
  <w:style w:type="paragraph" w:styleId="FootnoteText">
    <w:name w:val="footnote text"/>
    <w:aliases w:val="fn,Footnote Text Char Char,Car,footnote,foottextfra,F,Footnote Text Char Char Char,Footnote Text Char Char Char Char Char Char Char,Footnote Text Char Char Char Char Char,Footnote Text Char Char Char Char Char Char,ft,Footnote reference,f"/>
    <w:basedOn w:val="Normal"/>
    <w:link w:val="FootnoteTextChar"/>
    <w:qFormat/>
    <w:rsid w:val="00EC433C"/>
    <w:pPr>
      <w:keepNext/>
      <w:keepLines/>
      <w:spacing w:after="120" w:line="240" w:lineRule="auto"/>
      <w:ind w:left="288" w:hanging="288"/>
      <w:jc w:val="both"/>
    </w:pPr>
    <w:rPr>
      <w:rFonts w:ascii="Times New Roman" w:eastAsia="Times New Roman" w:hAnsi="Times New Roman"/>
      <w:spacing w:val="-3"/>
      <w:sz w:val="20"/>
      <w:szCs w:val="20"/>
      <w:lang w:val="es-ES_tradnl"/>
    </w:rPr>
  </w:style>
  <w:style w:type="character" w:customStyle="1" w:styleId="FootnoteTextChar">
    <w:name w:val="Footnote Text Char"/>
    <w:aliases w:val="fn Char,Footnote Text Char Char Char1,Car Char,footnote Char,foottextfra Char,F Char,Footnote Text Char Char Char Char,Footnote Text Char Char Char Char Char Char Char Char,Footnote Text Char Char Char Char Char Char1,ft Char,f Char"/>
    <w:basedOn w:val="DefaultParagraphFont"/>
    <w:link w:val="FootnoteText"/>
    <w:uiPriority w:val="99"/>
    <w:rsid w:val="00EC433C"/>
    <w:rPr>
      <w:rFonts w:ascii="Times New Roman" w:eastAsia="Times New Roman" w:hAnsi="Times New Roman" w:cs="Times New Roman"/>
      <w:spacing w:val="-3"/>
      <w:sz w:val="20"/>
      <w:szCs w:val="20"/>
    </w:rPr>
  </w:style>
  <w:style w:type="character" w:styleId="FootnoteReference">
    <w:name w:val="footnote reference"/>
    <w:aliases w:val="referencia nota al pie,FC,titulo 2,Style 24,pie pddes,Fußnotenzeichen DISS,16 Point,Superscript 6 Point,ftref,Texto de nota al pie,Footnote Referencefra,BVI fnr,Знак сноски 1,Ref,de nota al pie,Footnote Reference.SES,Nota de pie"/>
    <w:basedOn w:val="DefaultParagraphFont"/>
    <w:qFormat/>
    <w:rsid w:val="00EC433C"/>
    <w:rPr>
      <w:vertAlign w:val="superscript"/>
    </w:rPr>
  </w:style>
  <w:style w:type="paragraph" w:customStyle="1" w:styleId="Vieta">
    <w:name w:val="Viñeta"/>
    <w:basedOn w:val="Paragraph"/>
    <w:link w:val="VietaCar"/>
    <w:qFormat/>
    <w:rsid w:val="00EC433C"/>
    <w:pPr>
      <w:numPr>
        <w:numId w:val="5"/>
      </w:numPr>
      <w:spacing w:before="0" w:after="0" w:line="480" w:lineRule="auto"/>
      <w:ind w:left="993" w:hanging="426"/>
    </w:pPr>
    <w:rPr>
      <w:kern w:val="28"/>
    </w:rPr>
  </w:style>
  <w:style w:type="character" w:customStyle="1" w:styleId="VietaCar">
    <w:name w:val="Viñeta Car"/>
    <w:basedOn w:val="ParagraphChar"/>
    <w:link w:val="Vieta"/>
    <w:rsid w:val="00EC433C"/>
    <w:rPr>
      <w:rFonts w:ascii="Times New Roman" w:eastAsia="Times New Roman" w:hAnsi="Times New Roman" w:cs="Times New Roman"/>
      <w:kern w:val="28"/>
      <w:szCs w:val="20"/>
      <w:lang w:val="es-ES"/>
    </w:rPr>
  </w:style>
  <w:style w:type="paragraph" w:styleId="Header">
    <w:name w:val="header"/>
    <w:basedOn w:val="Normal"/>
    <w:link w:val="HeaderChar"/>
    <w:uiPriority w:val="99"/>
    <w:unhideWhenUsed/>
    <w:rsid w:val="004739E2"/>
    <w:pPr>
      <w:tabs>
        <w:tab w:val="center" w:pos="4320"/>
        <w:tab w:val="right" w:pos="8640"/>
      </w:tabs>
      <w:spacing w:after="0" w:line="240" w:lineRule="auto"/>
    </w:pPr>
  </w:style>
  <w:style w:type="character" w:customStyle="1" w:styleId="HeaderChar">
    <w:name w:val="Header Char"/>
    <w:basedOn w:val="DefaultParagraphFont"/>
    <w:link w:val="Header"/>
    <w:uiPriority w:val="99"/>
    <w:rsid w:val="004739E2"/>
    <w:rPr>
      <w:rFonts w:ascii="Calibri" w:eastAsia="Calibri" w:hAnsi="Calibri" w:cs="Times New Roman"/>
      <w:sz w:val="22"/>
      <w:szCs w:val="22"/>
      <w:lang w:val="en-US"/>
    </w:rPr>
  </w:style>
  <w:style w:type="paragraph" w:customStyle="1" w:styleId="Entabla">
    <w:name w:val="Entabla"/>
    <w:basedOn w:val="Normal"/>
    <w:link w:val="EntablaCar"/>
    <w:qFormat/>
    <w:rsid w:val="004739E2"/>
    <w:pPr>
      <w:spacing w:after="0" w:line="240" w:lineRule="auto"/>
    </w:pPr>
    <w:rPr>
      <w:rFonts w:ascii="Times New Roman" w:eastAsia="Times New Roman" w:hAnsi="Times New Roman"/>
      <w:color w:val="000000"/>
      <w:lang w:val="es-ES"/>
    </w:rPr>
  </w:style>
  <w:style w:type="paragraph" w:customStyle="1" w:styleId="TituloTabla">
    <w:name w:val="Titulo Tabla"/>
    <w:basedOn w:val="Normal"/>
    <w:link w:val="TituloTablaCar"/>
    <w:qFormat/>
    <w:rsid w:val="004739E2"/>
    <w:pPr>
      <w:spacing w:after="0" w:line="240" w:lineRule="auto"/>
      <w:ind w:left="34"/>
    </w:pPr>
    <w:rPr>
      <w:rFonts w:ascii="Times New Roman" w:eastAsia="Times New Roman" w:hAnsi="Times New Roman"/>
      <w:b/>
      <w:bCs/>
      <w:color w:val="000000"/>
      <w:lang w:val="es-ES"/>
    </w:rPr>
  </w:style>
  <w:style w:type="character" w:customStyle="1" w:styleId="EntablaCar">
    <w:name w:val="Entabla Car"/>
    <w:basedOn w:val="DefaultParagraphFont"/>
    <w:link w:val="Entabla"/>
    <w:rsid w:val="004739E2"/>
    <w:rPr>
      <w:rFonts w:ascii="Times New Roman" w:eastAsia="Times New Roman" w:hAnsi="Times New Roman" w:cs="Times New Roman"/>
      <w:color w:val="000000"/>
      <w:sz w:val="22"/>
      <w:szCs w:val="22"/>
      <w:lang w:val="es-ES"/>
    </w:rPr>
  </w:style>
  <w:style w:type="character" w:customStyle="1" w:styleId="TituloTablaCar">
    <w:name w:val="Titulo Tabla Car"/>
    <w:basedOn w:val="DefaultParagraphFont"/>
    <w:link w:val="TituloTabla"/>
    <w:rsid w:val="004739E2"/>
    <w:rPr>
      <w:rFonts w:ascii="Times New Roman" w:eastAsia="Times New Roman" w:hAnsi="Times New Roman" w:cs="Times New Roman"/>
      <w:b/>
      <w:bCs/>
      <w:color w:val="000000"/>
      <w:sz w:val="22"/>
      <w:szCs w:val="22"/>
      <w:lang w:val="es-ES"/>
    </w:rPr>
  </w:style>
  <w:style w:type="paragraph" w:styleId="BodyText2">
    <w:name w:val="Body Text 2"/>
    <w:basedOn w:val="Normal"/>
    <w:link w:val="BodyText2Char"/>
    <w:uiPriority w:val="99"/>
    <w:unhideWhenUsed/>
    <w:rsid w:val="00EE78D8"/>
    <w:pPr>
      <w:spacing w:after="120" w:line="480" w:lineRule="auto"/>
    </w:pPr>
  </w:style>
  <w:style w:type="character" w:customStyle="1" w:styleId="BodyText2Char">
    <w:name w:val="Body Text 2 Char"/>
    <w:basedOn w:val="DefaultParagraphFont"/>
    <w:link w:val="BodyText2"/>
    <w:uiPriority w:val="99"/>
    <w:rsid w:val="00EE78D8"/>
    <w:rPr>
      <w:rFonts w:ascii="Calibri" w:eastAsia="Calibri" w:hAnsi="Calibri" w:cs="Times New Roman"/>
      <w:sz w:val="22"/>
      <w:szCs w:val="22"/>
      <w:lang w:val="en-US"/>
    </w:rPr>
  </w:style>
  <w:style w:type="paragraph" w:styleId="BodyText3">
    <w:name w:val="Body Text 3"/>
    <w:basedOn w:val="Normal"/>
    <w:link w:val="BodyText3Char"/>
    <w:uiPriority w:val="99"/>
    <w:unhideWhenUsed/>
    <w:rsid w:val="00EE78D8"/>
    <w:pPr>
      <w:spacing w:after="120"/>
    </w:pPr>
    <w:rPr>
      <w:sz w:val="16"/>
      <w:szCs w:val="16"/>
    </w:rPr>
  </w:style>
  <w:style w:type="character" w:customStyle="1" w:styleId="BodyText3Char">
    <w:name w:val="Body Text 3 Char"/>
    <w:basedOn w:val="DefaultParagraphFont"/>
    <w:link w:val="BodyText3"/>
    <w:uiPriority w:val="99"/>
    <w:rsid w:val="00EE78D8"/>
    <w:rPr>
      <w:rFonts w:ascii="Calibri" w:eastAsia="Calibri" w:hAnsi="Calibri" w:cs="Times New Roman"/>
      <w:sz w:val="16"/>
      <w:szCs w:val="16"/>
      <w:lang w:val="en-US"/>
    </w:rPr>
  </w:style>
  <w:style w:type="character" w:styleId="Hyperlink">
    <w:name w:val="Hyperlink"/>
    <w:basedOn w:val="DefaultParagraphFont"/>
    <w:uiPriority w:val="99"/>
    <w:unhideWhenUsed/>
    <w:rsid w:val="003A7B94"/>
    <w:rPr>
      <w:color w:val="0563C1" w:themeColor="hyperlink"/>
      <w:u w:val="single"/>
    </w:rPr>
  </w:style>
  <w:style w:type="character" w:styleId="CommentReference">
    <w:name w:val="annotation reference"/>
    <w:basedOn w:val="DefaultParagraphFont"/>
    <w:uiPriority w:val="99"/>
    <w:semiHidden/>
    <w:unhideWhenUsed/>
    <w:rsid w:val="005D60B3"/>
    <w:rPr>
      <w:sz w:val="16"/>
      <w:szCs w:val="16"/>
    </w:rPr>
  </w:style>
  <w:style w:type="paragraph" w:styleId="CommentText">
    <w:name w:val="annotation text"/>
    <w:basedOn w:val="Normal"/>
    <w:link w:val="CommentTextChar"/>
    <w:uiPriority w:val="99"/>
    <w:semiHidden/>
    <w:unhideWhenUsed/>
    <w:rsid w:val="005D60B3"/>
    <w:pPr>
      <w:spacing w:line="240" w:lineRule="auto"/>
    </w:pPr>
    <w:rPr>
      <w:sz w:val="20"/>
      <w:szCs w:val="20"/>
    </w:rPr>
  </w:style>
  <w:style w:type="character" w:customStyle="1" w:styleId="CommentTextChar">
    <w:name w:val="Comment Text Char"/>
    <w:basedOn w:val="DefaultParagraphFont"/>
    <w:link w:val="CommentText"/>
    <w:uiPriority w:val="99"/>
    <w:semiHidden/>
    <w:rsid w:val="005D60B3"/>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5D60B3"/>
    <w:rPr>
      <w:b/>
      <w:bCs/>
    </w:rPr>
  </w:style>
  <w:style w:type="character" w:customStyle="1" w:styleId="CommentSubjectChar">
    <w:name w:val="Comment Subject Char"/>
    <w:basedOn w:val="CommentTextChar"/>
    <w:link w:val="CommentSubject"/>
    <w:uiPriority w:val="99"/>
    <w:semiHidden/>
    <w:rsid w:val="005D60B3"/>
    <w:rPr>
      <w:rFonts w:ascii="Calibri" w:eastAsia="Calibri" w:hAnsi="Calibri" w:cs="Times New Roman"/>
      <w:b/>
      <w:bCs/>
      <w:sz w:val="20"/>
      <w:szCs w:val="20"/>
      <w:lang w:val="en-US"/>
    </w:rPr>
  </w:style>
  <w:style w:type="paragraph" w:styleId="BalloonText">
    <w:name w:val="Balloon Text"/>
    <w:basedOn w:val="Normal"/>
    <w:link w:val="BalloonTextChar"/>
    <w:uiPriority w:val="99"/>
    <w:semiHidden/>
    <w:unhideWhenUsed/>
    <w:rsid w:val="005D60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60B3"/>
    <w:rPr>
      <w:rFonts w:ascii="Segoe UI" w:eastAsia="Calibri" w:hAnsi="Segoe UI" w:cs="Segoe UI"/>
      <w:sz w:val="18"/>
      <w:szCs w:val="18"/>
      <w:lang w:val="en-US"/>
    </w:rPr>
  </w:style>
  <w:style w:type="character" w:styleId="UnresolvedMention">
    <w:name w:val="Unresolved Mention"/>
    <w:basedOn w:val="DefaultParagraphFont"/>
    <w:uiPriority w:val="99"/>
    <w:rsid w:val="00C703FE"/>
    <w:rPr>
      <w:color w:val="605E5C"/>
      <w:shd w:val="clear" w:color="auto" w:fill="E1DFDD"/>
    </w:rPr>
  </w:style>
  <w:style w:type="paragraph" w:customStyle="1" w:styleId="ColorfulList-Accent11">
    <w:name w:val="Colorful List - Accent 11"/>
    <w:basedOn w:val="Normal"/>
    <w:link w:val="ColorfulList-Accent1Char"/>
    <w:uiPriority w:val="34"/>
    <w:qFormat/>
    <w:rsid w:val="00C703FE"/>
    <w:pPr>
      <w:spacing w:after="0" w:line="240" w:lineRule="auto"/>
      <w:ind w:left="720"/>
      <w:contextualSpacing/>
    </w:pPr>
    <w:rPr>
      <w:lang w:val="es-ES_tradnl"/>
    </w:rPr>
  </w:style>
  <w:style w:type="character" w:customStyle="1" w:styleId="ColorfulList-Accent1Char">
    <w:name w:val="Colorful List - Accent 1 Char"/>
    <w:link w:val="ColorfulList-Accent11"/>
    <w:uiPriority w:val="34"/>
    <w:rsid w:val="00C703FE"/>
    <w:rPr>
      <w:rFonts w:ascii="Calibri" w:eastAsia="Calibri" w:hAnsi="Calibri" w:cs="Times New Roman"/>
      <w:sz w:val="22"/>
      <w:szCs w:val="22"/>
    </w:rPr>
  </w:style>
  <w:style w:type="paragraph" w:styleId="NormalWeb">
    <w:name w:val="Normal (Web)"/>
    <w:basedOn w:val="Normal"/>
    <w:uiPriority w:val="99"/>
    <w:semiHidden/>
    <w:unhideWhenUsed/>
    <w:rsid w:val="00C703FE"/>
    <w:pPr>
      <w:spacing w:before="100" w:beforeAutospacing="1" w:after="100" w:afterAutospacing="1" w:line="240" w:lineRule="auto"/>
    </w:pPr>
    <w:rPr>
      <w:rFonts w:ascii="Garamond" w:eastAsia="Times New Roman" w:hAnsi="Garamon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59217">
      <w:bodyDiv w:val="1"/>
      <w:marLeft w:val="0"/>
      <w:marRight w:val="0"/>
      <w:marTop w:val="0"/>
      <w:marBottom w:val="0"/>
      <w:divBdr>
        <w:top w:val="none" w:sz="0" w:space="0" w:color="auto"/>
        <w:left w:val="none" w:sz="0" w:space="0" w:color="auto"/>
        <w:bottom w:val="none" w:sz="0" w:space="0" w:color="auto"/>
        <w:right w:val="none" w:sz="0" w:space="0" w:color="auto"/>
      </w:divBdr>
    </w:div>
    <w:div w:id="75254387">
      <w:bodyDiv w:val="1"/>
      <w:marLeft w:val="0"/>
      <w:marRight w:val="0"/>
      <w:marTop w:val="0"/>
      <w:marBottom w:val="0"/>
      <w:divBdr>
        <w:top w:val="none" w:sz="0" w:space="0" w:color="auto"/>
        <w:left w:val="none" w:sz="0" w:space="0" w:color="auto"/>
        <w:bottom w:val="none" w:sz="0" w:space="0" w:color="auto"/>
        <w:right w:val="none" w:sz="0" w:space="0" w:color="auto"/>
      </w:divBdr>
      <w:divsChild>
        <w:div w:id="2001886888">
          <w:marLeft w:val="0"/>
          <w:marRight w:val="0"/>
          <w:marTop w:val="0"/>
          <w:marBottom w:val="0"/>
          <w:divBdr>
            <w:top w:val="none" w:sz="0" w:space="0" w:color="auto"/>
            <w:left w:val="none" w:sz="0" w:space="0" w:color="auto"/>
            <w:bottom w:val="none" w:sz="0" w:space="0" w:color="auto"/>
            <w:right w:val="none" w:sz="0" w:space="0" w:color="auto"/>
          </w:divBdr>
          <w:divsChild>
            <w:div w:id="236212650">
              <w:marLeft w:val="0"/>
              <w:marRight w:val="0"/>
              <w:marTop w:val="0"/>
              <w:marBottom w:val="0"/>
              <w:divBdr>
                <w:top w:val="none" w:sz="0" w:space="0" w:color="auto"/>
                <w:left w:val="none" w:sz="0" w:space="0" w:color="auto"/>
                <w:bottom w:val="none" w:sz="0" w:space="0" w:color="auto"/>
                <w:right w:val="none" w:sz="0" w:space="0" w:color="auto"/>
              </w:divBdr>
              <w:divsChild>
                <w:div w:id="8997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95296">
      <w:bodyDiv w:val="1"/>
      <w:marLeft w:val="0"/>
      <w:marRight w:val="0"/>
      <w:marTop w:val="0"/>
      <w:marBottom w:val="0"/>
      <w:divBdr>
        <w:top w:val="none" w:sz="0" w:space="0" w:color="auto"/>
        <w:left w:val="none" w:sz="0" w:space="0" w:color="auto"/>
        <w:bottom w:val="none" w:sz="0" w:space="0" w:color="auto"/>
        <w:right w:val="none" w:sz="0" w:space="0" w:color="auto"/>
      </w:divBdr>
    </w:div>
    <w:div w:id="99104833">
      <w:bodyDiv w:val="1"/>
      <w:marLeft w:val="0"/>
      <w:marRight w:val="0"/>
      <w:marTop w:val="0"/>
      <w:marBottom w:val="0"/>
      <w:divBdr>
        <w:top w:val="none" w:sz="0" w:space="0" w:color="auto"/>
        <w:left w:val="none" w:sz="0" w:space="0" w:color="auto"/>
        <w:bottom w:val="none" w:sz="0" w:space="0" w:color="auto"/>
        <w:right w:val="none" w:sz="0" w:space="0" w:color="auto"/>
      </w:divBdr>
      <w:divsChild>
        <w:div w:id="182861542">
          <w:marLeft w:val="480"/>
          <w:marRight w:val="0"/>
          <w:marTop w:val="0"/>
          <w:marBottom w:val="0"/>
          <w:divBdr>
            <w:top w:val="none" w:sz="0" w:space="0" w:color="auto"/>
            <w:left w:val="none" w:sz="0" w:space="0" w:color="auto"/>
            <w:bottom w:val="none" w:sz="0" w:space="0" w:color="auto"/>
            <w:right w:val="none" w:sz="0" w:space="0" w:color="auto"/>
          </w:divBdr>
          <w:divsChild>
            <w:div w:id="289285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504349">
      <w:bodyDiv w:val="1"/>
      <w:marLeft w:val="0"/>
      <w:marRight w:val="0"/>
      <w:marTop w:val="0"/>
      <w:marBottom w:val="0"/>
      <w:divBdr>
        <w:top w:val="none" w:sz="0" w:space="0" w:color="auto"/>
        <w:left w:val="none" w:sz="0" w:space="0" w:color="auto"/>
        <w:bottom w:val="none" w:sz="0" w:space="0" w:color="auto"/>
        <w:right w:val="none" w:sz="0" w:space="0" w:color="auto"/>
      </w:divBdr>
    </w:div>
    <w:div w:id="245575758">
      <w:bodyDiv w:val="1"/>
      <w:marLeft w:val="0"/>
      <w:marRight w:val="0"/>
      <w:marTop w:val="0"/>
      <w:marBottom w:val="0"/>
      <w:divBdr>
        <w:top w:val="none" w:sz="0" w:space="0" w:color="auto"/>
        <w:left w:val="none" w:sz="0" w:space="0" w:color="auto"/>
        <w:bottom w:val="none" w:sz="0" w:space="0" w:color="auto"/>
        <w:right w:val="none" w:sz="0" w:space="0" w:color="auto"/>
      </w:divBdr>
      <w:divsChild>
        <w:div w:id="1248996565">
          <w:marLeft w:val="0"/>
          <w:marRight w:val="0"/>
          <w:marTop w:val="0"/>
          <w:marBottom w:val="0"/>
          <w:divBdr>
            <w:top w:val="none" w:sz="0" w:space="0" w:color="auto"/>
            <w:left w:val="none" w:sz="0" w:space="0" w:color="auto"/>
            <w:bottom w:val="none" w:sz="0" w:space="0" w:color="auto"/>
            <w:right w:val="none" w:sz="0" w:space="0" w:color="auto"/>
          </w:divBdr>
          <w:divsChild>
            <w:div w:id="324096077">
              <w:marLeft w:val="0"/>
              <w:marRight w:val="0"/>
              <w:marTop w:val="0"/>
              <w:marBottom w:val="0"/>
              <w:divBdr>
                <w:top w:val="none" w:sz="0" w:space="0" w:color="auto"/>
                <w:left w:val="none" w:sz="0" w:space="0" w:color="auto"/>
                <w:bottom w:val="none" w:sz="0" w:space="0" w:color="auto"/>
                <w:right w:val="none" w:sz="0" w:space="0" w:color="auto"/>
              </w:divBdr>
              <w:divsChild>
                <w:div w:id="418256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8103644">
      <w:bodyDiv w:val="1"/>
      <w:marLeft w:val="0"/>
      <w:marRight w:val="0"/>
      <w:marTop w:val="0"/>
      <w:marBottom w:val="0"/>
      <w:divBdr>
        <w:top w:val="none" w:sz="0" w:space="0" w:color="auto"/>
        <w:left w:val="none" w:sz="0" w:space="0" w:color="auto"/>
        <w:bottom w:val="none" w:sz="0" w:space="0" w:color="auto"/>
        <w:right w:val="none" w:sz="0" w:space="0" w:color="auto"/>
      </w:divBdr>
      <w:divsChild>
        <w:div w:id="2105690294">
          <w:marLeft w:val="480"/>
          <w:marRight w:val="0"/>
          <w:marTop w:val="0"/>
          <w:marBottom w:val="0"/>
          <w:divBdr>
            <w:top w:val="none" w:sz="0" w:space="0" w:color="auto"/>
            <w:left w:val="none" w:sz="0" w:space="0" w:color="auto"/>
            <w:bottom w:val="none" w:sz="0" w:space="0" w:color="auto"/>
            <w:right w:val="none" w:sz="0" w:space="0" w:color="auto"/>
          </w:divBdr>
          <w:divsChild>
            <w:div w:id="108934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294793">
      <w:bodyDiv w:val="1"/>
      <w:marLeft w:val="0"/>
      <w:marRight w:val="0"/>
      <w:marTop w:val="0"/>
      <w:marBottom w:val="0"/>
      <w:divBdr>
        <w:top w:val="none" w:sz="0" w:space="0" w:color="auto"/>
        <w:left w:val="none" w:sz="0" w:space="0" w:color="auto"/>
        <w:bottom w:val="none" w:sz="0" w:space="0" w:color="auto"/>
        <w:right w:val="none" w:sz="0" w:space="0" w:color="auto"/>
      </w:divBdr>
    </w:div>
    <w:div w:id="298803759">
      <w:bodyDiv w:val="1"/>
      <w:marLeft w:val="0"/>
      <w:marRight w:val="0"/>
      <w:marTop w:val="0"/>
      <w:marBottom w:val="0"/>
      <w:divBdr>
        <w:top w:val="none" w:sz="0" w:space="0" w:color="auto"/>
        <w:left w:val="none" w:sz="0" w:space="0" w:color="auto"/>
        <w:bottom w:val="none" w:sz="0" w:space="0" w:color="auto"/>
        <w:right w:val="none" w:sz="0" w:space="0" w:color="auto"/>
      </w:divBdr>
    </w:div>
    <w:div w:id="309285648">
      <w:bodyDiv w:val="1"/>
      <w:marLeft w:val="0"/>
      <w:marRight w:val="0"/>
      <w:marTop w:val="0"/>
      <w:marBottom w:val="0"/>
      <w:divBdr>
        <w:top w:val="none" w:sz="0" w:space="0" w:color="auto"/>
        <w:left w:val="none" w:sz="0" w:space="0" w:color="auto"/>
        <w:bottom w:val="none" w:sz="0" w:space="0" w:color="auto"/>
        <w:right w:val="none" w:sz="0" w:space="0" w:color="auto"/>
      </w:divBdr>
    </w:div>
    <w:div w:id="316419413">
      <w:bodyDiv w:val="1"/>
      <w:marLeft w:val="0"/>
      <w:marRight w:val="0"/>
      <w:marTop w:val="0"/>
      <w:marBottom w:val="0"/>
      <w:divBdr>
        <w:top w:val="none" w:sz="0" w:space="0" w:color="auto"/>
        <w:left w:val="none" w:sz="0" w:space="0" w:color="auto"/>
        <w:bottom w:val="none" w:sz="0" w:space="0" w:color="auto"/>
        <w:right w:val="none" w:sz="0" w:space="0" w:color="auto"/>
      </w:divBdr>
    </w:div>
    <w:div w:id="336199706">
      <w:bodyDiv w:val="1"/>
      <w:marLeft w:val="0"/>
      <w:marRight w:val="0"/>
      <w:marTop w:val="0"/>
      <w:marBottom w:val="0"/>
      <w:divBdr>
        <w:top w:val="none" w:sz="0" w:space="0" w:color="auto"/>
        <w:left w:val="none" w:sz="0" w:space="0" w:color="auto"/>
        <w:bottom w:val="none" w:sz="0" w:space="0" w:color="auto"/>
        <w:right w:val="none" w:sz="0" w:space="0" w:color="auto"/>
      </w:divBdr>
    </w:div>
    <w:div w:id="414282916">
      <w:bodyDiv w:val="1"/>
      <w:marLeft w:val="0"/>
      <w:marRight w:val="0"/>
      <w:marTop w:val="0"/>
      <w:marBottom w:val="0"/>
      <w:divBdr>
        <w:top w:val="none" w:sz="0" w:space="0" w:color="auto"/>
        <w:left w:val="none" w:sz="0" w:space="0" w:color="auto"/>
        <w:bottom w:val="none" w:sz="0" w:space="0" w:color="auto"/>
        <w:right w:val="none" w:sz="0" w:space="0" w:color="auto"/>
      </w:divBdr>
    </w:div>
    <w:div w:id="441917213">
      <w:bodyDiv w:val="1"/>
      <w:marLeft w:val="0"/>
      <w:marRight w:val="0"/>
      <w:marTop w:val="0"/>
      <w:marBottom w:val="0"/>
      <w:divBdr>
        <w:top w:val="none" w:sz="0" w:space="0" w:color="auto"/>
        <w:left w:val="none" w:sz="0" w:space="0" w:color="auto"/>
        <w:bottom w:val="none" w:sz="0" w:space="0" w:color="auto"/>
        <w:right w:val="none" w:sz="0" w:space="0" w:color="auto"/>
      </w:divBdr>
    </w:div>
    <w:div w:id="475728535">
      <w:bodyDiv w:val="1"/>
      <w:marLeft w:val="0"/>
      <w:marRight w:val="0"/>
      <w:marTop w:val="0"/>
      <w:marBottom w:val="0"/>
      <w:divBdr>
        <w:top w:val="none" w:sz="0" w:space="0" w:color="auto"/>
        <w:left w:val="none" w:sz="0" w:space="0" w:color="auto"/>
        <w:bottom w:val="none" w:sz="0" w:space="0" w:color="auto"/>
        <w:right w:val="none" w:sz="0" w:space="0" w:color="auto"/>
      </w:divBdr>
    </w:div>
    <w:div w:id="590896115">
      <w:bodyDiv w:val="1"/>
      <w:marLeft w:val="0"/>
      <w:marRight w:val="0"/>
      <w:marTop w:val="0"/>
      <w:marBottom w:val="0"/>
      <w:divBdr>
        <w:top w:val="none" w:sz="0" w:space="0" w:color="auto"/>
        <w:left w:val="none" w:sz="0" w:space="0" w:color="auto"/>
        <w:bottom w:val="none" w:sz="0" w:space="0" w:color="auto"/>
        <w:right w:val="none" w:sz="0" w:space="0" w:color="auto"/>
      </w:divBdr>
    </w:div>
    <w:div w:id="609432121">
      <w:bodyDiv w:val="1"/>
      <w:marLeft w:val="0"/>
      <w:marRight w:val="0"/>
      <w:marTop w:val="0"/>
      <w:marBottom w:val="0"/>
      <w:divBdr>
        <w:top w:val="none" w:sz="0" w:space="0" w:color="auto"/>
        <w:left w:val="none" w:sz="0" w:space="0" w:color="auto"/>
        <w:bottom w:val="none" w:sz="0" w:space="0" w:color="auto"/>
        <w:right w:val="none" w:sz="0" w:space="0" w:color="auto"/>
      </w:divBdr>
    </w:div>
    <w:div w:id="638919378">
      <w:bodyDiv w:val="1"/>
      <w:marLeft w:val="0"/>
      <w:marRight w:val="0"/>
      <w:marTop w:val="0"/>
      <w:marBottom w:val="0"/>
      <w:divBdr>
        <w:top w:val="none" w:sz="0" w:space="0" w:color="auto"/>
        <w:left w:val="none" w:sz="0" w:space="0" w:color="auto"/>
        <w:bottom w:val="none" w:sz="0" w:space="0" w:color="auto"/>
        <w:right w:val="none" w:sz="0" w:space="0" w:color="auto"/>
      </w:divBdr>
    </w:div>
    <w:div w:id="704794369">
      <w:bodyDiv w:val="1"/>
      <w:marLeft w:val="0"/>
      <w:marRight w:val="0"/>
      <w:marTop w:val="0"/>
      <w:marBottom w:val="0"/>
      <w:divBdr>
        <w:top w:val="none" w:sz="0" w:space="0" w:color="auto"/>
        <w:left w:val="none" w:sz="0" w:space="0" w:color="auto"/>
        <w:bottom w:val="none" w:sz="0" w:space="0" w:color="auto"/>
        <w:right w:val="none" w:sz="0" w:space="0" w:color="auto"/>
      </w:divBdr>
    </w:div>
    <w:div w:id="744843853">
      <w:bodyDiv w:val="1"/>
      <w:marLeft w:val="0"/>
      <w:marRight w:val="0"/>
      <w:marTop w:val="0"/>
      <w:marBottom w:val="0"/>
      <w:divBdr>
        <w:top w:val="none" w:sz="0" w:space="0" w:color="auto"/>
        <w:left w:val="none" w:sz="0" w:space="0" w:color="auto"/>
        <w:bottom w:val="none" w:sz="0" w:space="0" w:color="auto"/>
        <w:right w:val="none" w:sz="0" w:space="0" w:color="auto"/>
      </w:divBdr>
    </w:div>
    <w:div w:id="819808501">
      <w:bodyDiv w:val="1"/>
      <w:marLeft w:val="0"/>
      <w:marRight w:val="0"/>
      <w:marTop w:val="0"/>
      <w:marBottom w:val="0"/>
      <w:divBdr>
        <w:top w:val="none" w:sz="0" w:space="0" w:color="auto"/>
        <w:left w:val="none" w:sz="0" w:space="0" w:color="auto"/>
        <w:bottom w:val="none" w:sz="0" w:space="0" w:color="auto"/>
        <w:right w:val="none" w:sz="0" w:space="0" w:color="auto"/>
      </w:divBdr>
    </w:div>
    <w:div w:id="846745774">
      <w:bodyDiv w:val="1"/>
      <w:marLeft w:val="0"/>
      <w:marRight w:val="0"/>
      <w:marTop w:val="0"/>
      <w:marBottom w:val="0"/>
      <w:divBdr>
        <w:top w:val="none" w:sz="0" w:space="0" w:color="auto"/>
        <w:left w:val="none" w:sz="0" w:space="0" w:color="auto"/>
        <w:bottom w:val="none" w:sz="0" w:space="0" w:color="auto"/>
        <w:right w:val="none" w:sz="0" w:space="0" w:color="auto"/>
      </w:divBdr>
    </w:div>
    <w:div w:id="908349352">
      <w:bodyDiv w:val="1"/>
      <w:marLeft w:val="0"/>
      <w:marRight w:val="0"/>
      <w:marTop w:val="0"/>
      <w:marBottom w:val="0"/>
      <w:divBdr>
        <w:top w:val="none" w:sz="0" w:space="0" w:color="auto"/>
        <w:left w:val="none" w:sz="0" w:space="0" w:color="auto"/>
        <w:bottom w:val="none" w:sz="0" w:space="0" w:color="auto"/>
        <w:right w:val="none" w:sz="0" w:space="0" w:color="auto"/>
      </w:divBdr>
    </w:div>
    <w:div w:id="975137972">
      <w:bodyDiv w:val="1"/>
      <w:marLeft w:val="0"/>
      <w:marRight w:val="0"/>
      <w:marTop w:val="0"/>
      <w:marBottom w:val="0"/>
      <w:divBdr>
        <w:top w:val="none" w:sz="0" w:space="0" w:color="auto"/>
        <w:left w:val="none" w:sz="0" w:space="0" w:color="auto"/>
        <w:bottom w:val="none" w:sz="0" w:space="0" w:color="auto"/>
        <w:right w:val="none" w:sz="0" w:space="0" w:color="auto"/>
      </w:divBdr>
    </w:div>
    <w:div w:id="1034235679">
      <w:bodyDiv w:val="1"/>
      <w:marLeft w:val="0"/>
      <w:marRight w:val="0"/>
      <w:marTop w:val="0"/>
      <w:marBottom w:val="0"/>
      <w:divBdr>
        <w:top w:val="none" w:sz="0" w:space="0" w:color="auto"/>
        <w:left w:val="none" w:sz="0" w:space="0" w:color="auto"/>
        <w:bottom w:val="none" w:sz="0" w:space="0" w:color="auto"/>
        <w:right w:val="none" w:sz="0" w:space="0" w:color="auto"/>
      </w:divBdr>
    </w:div>
    <w:div w:id="1076586350">
      <w:bodyDiv w:val="1"/>
      <w:marLeft w:val="0"/>
      <w:marRight w:val="0"/>
      <w:marTop w:val="0"/>
      <w:marBottom w:val="0"/>
      <w:divBdr>
        <w:top w:val="none" w:sz="0" w:space="0" w:color="auto"/>
        <w:left w:val="none" w:sz="0" w:space="0" w:color="auto"/>
        <w:bottom w:val="none" w:sz="0" w:space="0" w:color="auto"/>
        <w:right w:val="none" w:sz="0" w:space="0" w:color="auto"/>
      </w:divBdr>
    </w:div>
    <w:div w:id="1085960909">
      <w:bodyDiv w:val="1"/>
      <w:marLeft w:val="0"/>
      <w:marRight w:val="0"/>
      <w:marTop w:val="0"/>
      <w:marBottom w:val="0"/>
      <w:divBdr>
        <w:top w:val="none" w:sz="0" w:space="0" w:color="auto"/>
        <w:left w:val="none" w:sz="0" w:space="0" w:color="auto"/>
        <w:bottom w:val="none" w:sz="0" w:space="0" w:color="auto"/>
        <w:right w:val="none" w:sz="0" w:space="0" w:color="auto"/>
      </w:divBdr>
    </w:div>
    <w:div w:id="1141117231">
      <w:bodyDiv w:val="1"/>
      <w:marLeft w:val="0"/>
      <w:marRight w:val="0"/>
      <w:marTop w:val="0"/>
      <w:marBottom w:val="0"/>
      <w:divBdr>
        <w:top w:val="none" w:sz="0" w:space="0" w:color="auto"/>
        <w:left w:val="none" w:sz="0" w:space="0" w:color="auto"/>
        <w:bottom w:val="none" w:sz="0" w:space="0" w:color="auto"/>
        <w:right w:val="none" w:sz="0" w:space="0" w:color="auto"/>
      </w:divBdr>
    </w:div>
    <w:div w:id="1159075731">
      <w:bodyDiv w:val="1"/>
      <w:marLeft w:val="0"/>
      <w:marRight w:val="0"/>
      <w:marTop w:val="0"/>
      <w:marBottom w:val="0"/>
      <w:divBdr>
        <w:top w:val="none" w:sz="0" w:space="0" w:color="auto"/>
        <w:left w:val="none" w:sz="0" w:space="0" w:color="auto"/>
        <w:bottom w:val="none" w:sz="0" w:space="0" w:color="auto"/>
        <w:right w:val="none" w:sz="0" w:space="0" w:color="auto"/>
      </w:divBdr>
    </w:div>
    <w:div w:id="1204706705">
      <w:bodyDiv w:val="1"/>
      <w:marLeft w:val="0"/>
      <w:marRight w:val="0"/>
      <w:marTop w:val="0"/>
      <w:marBottom w:val="0"/>
      <w:divBdr>
        <w:top w:val="none" w:sz="0" w:space="0" w:color="auto"/>
        <w:left w:val="none" w:sz="0" w:space="0" w:color="auto"/>
        <w:bottom w:val="none" w:sz="0" w:space="0" w:color="auto"/>
        <w:right w:val="none" w:sz="0" w:space="0" w:color="auto"/>
      </w:divBdr>
    </w:div>
    <w:div w:id="1214657357">
      <w:bodyDiv w:val="1"/>
      <w:marLeft w:val="0"/>
      <w:marRight w:val="0"/>
      <w:marTop w:val="0"/>
      <w:marBottom w:val="0"/>
      <w:divBdr>
        <w:top w:val="none" w:sz="0" w:space="0" w:color="auto"/>
        <w:left w:val="none" w:sz="0" w:space="0" w:color="auto"/>
        <w:bottom w:val="none" w:sz="0" w:space="0" w:color="auto"/>
        <w:right w:val="none" w:sz="0" w:space="0" w:color="auto"/>
      </w:divBdr>
    </w:div>
    <w:div w:id="1344235905">
      <w:bodyDiv w:val="1"/>
      <w:marLeft w:val="0"/>
      <w:marRight w:val="0"/>
      <w:marTop w:val="0"/>
      <w:marBottom w:val="0"/>
      <w:divBdr>
        <w:top w:val="none" w:sz="0" w:space="0" w:color="auto"/>
        <w:left w:val="none" w:sz="0" w:space="0" w:color="auto"/>
        <w:bottom w:val="none" w:sz="0" w:space="0" w:color="auto"/>
        <w:right w:val="none" w:sz="0" w:space="0" w:color="auto"/>
      </w:divBdr>
    </w:div>
    <w:div w:id="1365445129">
      <w:bodyDiv w:val="1"/>
      <w:marLeft w:val="0"/>
      <w:marRight w:val="0"/>
      <w:marTop w:val="0"/>
      <w:marBottom w:val="0"/>
      <w:divBdr>
        <w:top w:val="none" w:sz="0" w:space="0" w:color="auto"/>
        <w:left w:val="none" w:sz="0" w:space="0" w:color="auto"/>
        <w:bottom w:val="none" w:sz="0" w:space="0" w:color="auto"/>
        <w:right w:val="none" w:sz="0" w:space="0" w:color="auto"/>
      </w:divBdr>
      <w:divsChild>
        <w:div w:id="1852990773">
          <w:marLeft w:val="0"/>
          <w:marRight w:val="0"/>
          <w:marTop w:val="0"/>
          <w:marBottom w:val="0"/>
          <w:divBdr>
            <w:top w:val="none" w:sz="0" w:space="0" w:color="auto"/>
            <w:left w:val="none" w:sz="0" w:space="0" w:color="auto"/>
            <w:bottom w:val="none" w:sz="0" w:space="0" w:color="auto"/>
            <w:right w:val="none" w:sz="0" w:space="0" w:color="auto"/>
          </w:divBdr>
          <w:divsChild>
            <w:div w:id="1069309998">
              <w:marLeft w:val="0"/>
              <w:marRight w:val="0"/>
              <w:marTop w:val="0"/>
              <w:marBottom w:val="0"/>
              <w:divBdr>
                <w:top w:val="none" w:sz="0" w:space="0" w:color="auto"/>
                <w:left w:val="none" w:sz="0" w:space="0" w:color="auto"/>
                <w:bottom w:val="none" w:sz="0" w:space="0" w:color="auto"/>
                <w:right w:val="none" w:sz="0" w:space="0" w:color="auto"/>
              </w:divBdr>
              <w:divsChild>
                <w:div w:id="41805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8550894">
      <w:bodyDiv w:val="1"/>
      <w:marLeft w:val="0"/>
      <w:marRight w:val="0"/>
      <w:marTop w:val="0"/>
      <w:marBottom w:val="0"/>
      <w:divBdr>
        <w:top w:val="none" w:sz="0" w:space="0" w:color="auto"/>
        <w:left w:val="none" w:sz="0" w:space="0" w:color="auto"/>
        <w:bottom w:val="none" w:sz="0" w:space="0" w:color="auto"/>
        <w:right w:val="none" w:sz="0" w:space="0" w:color="auto"/>
      </w:divBdr>
    </w:div>
    <w:div w:id="1427657463">
      <w:bodyDiv w:val="1"/>
      <w:marLeft w:val="0"/>
      <w:marRight w:val="0"/>
      <w:marTop w:val="0"/>
      <w:marBottom w:val="0"/>
      <w:divBdr>
        <w:top w:val="none" w:sz="0" w:space="0" w:color="auto"/>
        <w:left w:val="none" w:sz="0" w:space="0" w:color="auto"/>
        <w:bottom w:val="none" w:sz="0" w:space="0" w:color="auto"/>
        <w:right w:val="none" w:sz="0" w:space="0" w:color="auto"/>
      </w:divBdr>
    </w:div>
    <w:div w:id="1438015851">
      <w:bodyDiv w:val="1"/>
      <w:marLeft w:val="0"/>
      <w:marRight w:val="0"/>
      <w:marTop w:val="0"/>
      <w:marBottom w:val="0"/>
      <w:divBdr>
        <w:top w:val="none" w:sz="0" w:space="0" w:color="auto"/>
        <w:left w:val="none" w:sz="0" w:space="0" w:color="auto"/>
        <w:bottom w:val="none" w:sz="0" w:space="0" w:color="auto"/>
        <w:right w:val="none" w:sz="0" w:space="0" w:color="auto"/>
      </w:divBdr>
    </w:div>
    <w:div w:id="1504776915">
      <w:bodyDiv w:val="1"/>
      <w:marLeft w:val="0"/>
      <w:marRight w:val="0"/>
      <w:marTop w:val="0"/>
      <w:marBottom w:val="0"/>
      <w:divBdr>
        <w:top w:val="none" w:sz="0" w:space="0" w:color="auto"/>
        <w:left w:val="none" w:sz="0" w:space="0" w:color="auto"/>
        <w:bottom w:val="none" w:sz="0" w:space="0" w:color="auto"/>
        <w:right w:val="none" w:sz="0" w:space="0" w:color="auto"/>
      </w:divBdr>
    </w:div>
    <w:div w:id="1529178813">
      <w:bodyDiv w:val="1"/>
      <w:marLeft w:val="0"/>
      <w:marRight w:val="0"/>
      <w:marTop w:val="0"/>
      <w:marBottom w:val="0"/>
      <w:divBdr>
        <w:top w:val="none" w:sz="0" w:space="0" w:color="auto"/>
        <w:left w:val="none" w:sz="0" w:space="0" w:color="auto"/>
        <w:bottom w:val="none" w:sz="0" w:space="0" w:color="auto"/>
        <w:right w:val="none" w:sz="0" w:space="0" w:color="auto"/>
      </w:divBdr>
    </w:div>
    <w:div w:id="1561405603">
      <w:bodyDiv w:val="1"/>
      <w:marLeft w:val="0"/>
      <w:marRight w:val="0"/>
      <w:marTop w:val="0"/>
      <w:marBottom w:val="0"/>
      <w:divBdr>
        <w:top w:val="none" w:sz="0" w:space="0" w:color="auto"/>
        <w:left w:val="none" w:sz="0" w:space="0" w:color="auto"/>
        <w:bottom w:val="none" w:sz="0" w:space="0" w:color="auto"/>
        <w:right w:val="none" w:sz="0" w:space="0" w:color="auto"/>
      </w:divBdr>
    </w:div>
    <w:div w:id="1766730364">
      <w:bodyDiv w:val="1"/>
      <w:marLeft w:val="0"/>
      <w:marRight w:val="0"/>
      <w:marTop w:val="0"/>
      <w:marBottom w:val="0"/>
      <w:divBdr>
        <w:top w:val="none" w:sz="0" w:space="0" w:color="auto"/>
        <w:left w:val="none" w:sz="0" w:space="0" w:color="auto"/>
        <w:bottom w:val="none" w:sz="0" w:space="0" w:color="auto"/>
        <w:right w:val="none" w:sz="0" w:space="0" w:color="auto"/>
      </w:divBdr>
    </w:div>
    <w:div w:id="1770587426">
      <w:bodyDiv w:val="1"/>
      <w:marLeft w:val="0"/>
      <w:marRight w:val="0"/>
      <w:marTop w:val="0"/>
      <w:marBottom w:val="0"/>
      <w:divBdr>
        <w:top w:val="none" w:sz="0" w:space="0" w:color="auto"/>
        <w:left w:val="none" w:sz="0" w:space="0" w:color="auto"/>
        <w:bottom w:val="none" w:sz="0" w:space="0" w:color="auto"/>
        <w:right w:val="none" w:sz="0" w:space="0" w:color="auto"/>
      </w:divBdr>
      <w:divsChild>
        <w:div w:id="972560468">
          <w:marLeft w:val="480"/>
          <w:marRight w:val="0"/>
          <w:marTop w:val="0"/>
          <w:marBottom w:val="0"/>
          <w:divBdr>
            <w:top w:val="none" w:sz="0" w:space="0" w:color="auto"/>
            <w:left w:val="none" w:sz="0" w:space="0" w:color="auto"/>
            <w:bottom w:val="none" w:sz="0" w:space="0" w:color="auto"/>
            <w:right w:val="none" w:sz="0" w:space="0" w:color="auto"/>
          </w:divBdr>
          <w:divsChild>
            <w:div w:id="1636566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518813">
      <w:bodyDiv w:val="1"/>
      <w:marLeft w:val="0"/>
      <w:marRight w:val="0"/>
      <w:marTop w:val="0"/>
      <w:marBottom w:val="0"/>
      <w:divBdr>
        <w:top w:val="none" w:sz="0" w:space="0" w:color="auto"/>
        <w:left w:val="none" w:sz="0" w:space="0" w:color="auto"/>
        <w:bottom w:val="none" w:sz="0" w:space="0" w:color="auto"/>
        <w:right w:val="none" w:sz="0" w:space="0" w:color="auto"/>
      </w:divBdr>
      <w:divsChild>
        <w:div w:id="1876844683">
          <w:marLeft w:val="480"/>
          <w:marRight w:val="0"/>
          <w:marTop w:val="0"/>
          <w:marBottom w:val="0"/>
          <w:divBdr>
            <w:top w:val="none" w:sz="0" w:space="0" w:color="auto"/>
            <w:left w:val="none" w:sz="0" w:space="0" w:color="auto"/>
            <w:bottom w:val="none" w:sz="0" w:space="0" w:color="auto"/>
            <w:right w:val="none" w:sz="0" w:space="0" w:color="auto"/>
          </w:divBdr>
          <w:divsChild>
            <w:div w:id="177524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09458">
      <w:bodyDiv w:val="1"/>
      <w:marLeft w:val="0"/>
      <w:marRight w:val="0"/>
      <w:marTop w:val="0"/>
      <w:marBottom w:val="0"/>
      <w:divBdr>
        <w:top w:val="none" w:sz="0" w:space="0" w:color="auto"/>
        <w:left w:val="none" w:sz="0" w:space="0" w:color="auto"/>
        <w:bottom w:val="none" w:sz="0" w:space="0" w:color="auto"/>
        <w:right w:val="none" w:sz="0" w:space="0" w:color="auto"/>
      </w:divBdr>
    </w:div>
    <w:div w:id="1902594978">
      <w:bodyDiv w:val="1"/>
      <w:marLeft w:val="0"/>
      <w:marRight w:val="0"/>
      <w:marTop w:val="0"/>
      <w:marBottom w:val="0"/>
      <w:divBdr>
        <w:top w:val="none" w:sz="0" w:space="0" w:color="auto"/>
        <w:left w:val="none" w:sz="0" w:space="0" w:color="auto"/>
        <w:bottom w:val="none" w:sz="0" w:space="0" w:color="auto"/>
        <w:right w:val="none" w:sz="0" w:space="0" w:color="auto"/>
      </w:divBdr>
    </w:div>
    <w:div w:id="1926525506">
      <w:bodyDiv w:val="1"/>
      <w:marLeft w:val="0"/>
      <w:marRight w:val="0"/>
      <w:marTop w:val="0"/>
      <w:marBottom w:val="0"/>
      <w:divBdr>
        <w:top w:val="none" w:sz="0" w:space="0" w:color="auto"/>
        <w:left w:val="none" w:sz="0" w:space="0" w:color="auto"/>
        <w:bottom w:val="none" w:sz="0" w:space="0" w:color="auto"/>
        <w:right w:val="none" w:sz="0" w:space="0" w:color="auto"/>
      </w:divBdr>
    </w:div>
    <w:div w:id="2028209191">
      <w:bodyDiv w:val="1"/>
      <w:marLeft w:val="0"/>
      <w:marRight w:val="0"/>
      <w:marTop w:val="0"/>
      <w:marBottom w:val="0"/>
      <w:divBdr>
        <w:top w:val="none" w:sz="0" w:space="0" w:color="auto"/>
        <w:left w:val="none" w:sz="0" w:space="0" w:color="auto"/>
        <w:bottom w:val="none" w:sz="0" w:space="0" w:color="auto"/>
        <w:right w:val="none" w:sz="0" w:space="0" w:color="auto"/>
      </w:divBdr>
    </w:div>
    <w:div w:id="205156564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customXml" Target="../customXml/item7.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 Id="rId14" Type="http://schemas.openxmlformats.org/officeDocument/2006/relationships/customXml" Target="../customXml/item6.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63DE74B35437E541A32CFB1BD85A546D" ma:contentTypeVersion="2403" ma:contentTypeDescription="A content type to manage public (operations) IDB documents" ma:contentTypeScope="" ma:versionID="ab9b6ae77e77150eb4f0444042892f55">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SCL/LMK</Division_x0020_or_x0020_Unit>
    <IDBDocs_x0020_Number xmlns="cdc7663a-08f0-4737-9e8c-148ce897a09c" xsi:nil="true"/>
    <_dlc_DocId xmlns="cdc7663a-08f0-4737-9e8c-148ce897a09c">EZSHARE-659572234-18</_dlc_DocId>
    <Document_x0020_Author xmlns="cdc7663a-08f0-4737-9e8c-148ce897a09c">Gonzalez Velosa, Carolina</Document_x0020_Author>
    <TaxCatchAll xmlns="cdc7663a-08f0-4737-9e8c-148ce897a09c">
      <Value>48</Value>
      <Value>27</Value>
      <Value>31</Value>
      <Value>1</Value>
      <Value>357</Value>
    </TaxCatchAll>
    <Fiscal_x0020_Year_x0020_IDB xmlns="cdc7663a-08f0-4737-9e8c-148ce897a09c">2019</Fiscal_x0020_Year_x0020_IDB>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TermName>
          <TermId xmlns="http://schemas.microsoft.com/office/infopath/2007/PartnerControls">c7d386d6-75f3-4fc0-bde8-e021ccd68f5c</TermId>
        </TermInfo>
      </Terms>
    </ic46d7e087fd4a108fb86518ca413cc6>
    <Operation_x0020_Type xmlns="cdc7663a-08f0-4737-9e8c-148ce897a09c">LON</Operation_x0020_Type>
    <b26cdb1da78c4bb4b1c1bac2f6ac5911 xmlns="cdc7663a-08f0-4737-9e8c-148ce897a09c">
      <Terms xmlns="http://schemas.microsoft.com/office/infopath/2007/PartnerControls"/>
    </b26cdb1da78c4bb4b1c1bac2f6ac5911>
    <Project_x0020_Number xmlns="cdc7663a-08f0-4737-9e8c-148ce897a09c">CO-L1250</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IS-LPO</TermName>
          <TermId xmlns="http://schemas.microsoft.com/office/infopath/2007/PartnerControls">e71f91eb-7c75-452b-8d19-3a449ce1e247</TermId>
        </TermInfo>
      </Terms>
    </b2ec7cfb18674cb8803df6b262e8b107>
    <Document_x0020_Language_x0020_IDB xmlns="cdc7663a-08f0-4737-9e8c-148ce897a09c">Spanish</Document_x0020_Language_x0020_IDB>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IS</TermName>
          <TermId xmlns="http://schemas.microsoft.com/office/infopath/2007/PartnerControls">3f908695-d5b5-49f6-941f-76876b39564f</TermId>
        </TermInfo>
      </Terms>
    </nddeef1749674d76abdbe4b239a70bc6>
    <_dlc_DocIdUrl xmlns="cdc7663a-08f0-4737-9e8c-148ce897a09c">
      <Url>https://idbg.sharepoint.com/teams/EZ-CO-LON/CO-L1250/_layouts/15/DocIdRedir.aspx?ID=EZSHARE-659572234-18</Url>
      <Description>EZSHARE-659572234-18</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Labor and Economics;</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0CB36170-33AE-42B7-A55D-F39725C96B5D}">
  <ds:schemaRefs>
    <ds:schemaRef ds:uri="http://schemas.openxmlformats.org/officeDocument/2006/bibliography"/>
  </ds:schemaRefs>
</ds:datastoreItem>
</file>

<file path=customXml/itemProps2.xml><?xml version="1.0" encoding="utf-8"?>
<ds:datastoreItem xmlns:ds="http://schemas.openxmlformats.org/officeDocument/2006/customXml" ds:itemID="{EAD5A3C0-4ED6-4766-90B1-1A0CC9F5F437}"/>
</file>

<file path=customXml/itemProps3.xml><?xml version="1.0" encoding="utf-8"?>
<ds:datastoreItem xmlns:ds="http://schemas.openxmlformats.org/officeDocument/2006/customXml" ds:itemID="{6713BD93-DADA-4A3C-90B6-312E13AFA1AC}"/>
</file>

<file path=customXml/itemProps4.xml><?xml version="1.0" encoding="utf-8"?>
<ds:datastoreItem xmlns:ds="http://schemas.openxmlformats.org/officeDocument/2006/customXml" ds:itemID="{6B4D98DA-BC18-49FF-9475-4864027BEB97}"/>
</file>

<file path=customXml/itemProps5.xml><?xml version="1.0" encoding="utf-8"?>
<ds:datastoreItem xmlns:ds="http://schemas.openxmlformats.org/officeDocument/2006/customXml" ds:itemID="{2C661B41-BEB6-4567-8348-9F3899E71A56}"/>
</file>

<file path=customXml/itemProps6.xml><?xml version="1.0" encoding="utf-8"?>
<ds:datastoreItem xmlns:ds="http://schemas.openxmlformats.org/officeDocument/2006/customXml" ds:itemID="{EF3A1761-5DF2-4E5D-A662-E0D9825F9626}"/>
</file>

<file path=customXml/itemProps7.xml><?xml version="1.0" encoding="utf-8"?>
<ds:datastoreItem xmlns:ds="http://schemas.openxmlformats.org/officeDocument/2006/customXml" ds:itemID="{61623736-39F6-4504-8FCC-636CFA7AD73B}"/>
</file>

<file path=docProps/app.xml><?xml version="1.0" encoding="utf-8"?>
<Properties xmlns="http://schemas.openxmlformats.org/officeDocument/2006/extended-properties" xmlns:vt="http://schemas.openxmlformats.org/officeDocument/2006/docPropsVTypes">
  <Template>Normal.dotm</Template>
  <TotalTime>0</TotalTime>
  <Pages>1</Pages>
  <Words>2504</Words>
  <Characters>14276</Characters>
  <Application>Microsoft Office Word</Application>
  <DocSecurity>0</DocSecurity>
  <Lines>118</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Antonia Vazquez</dc:creator>
  <cp:keywords/>
  <dc:description/>
  <cp:lastModifiedBy>Gonzalez Velosa, Carolina</cp:lastModifiedBy>
  <cp:revision>2</cp:revision>
  <dcterms:created xsi:type="dcterms:W3CDTF">2019-09-10T06:15:00Z</dcterms:created>
  <dcterms:modified xsi:type="dcterms:W3CDTF">2019-09-10T06:15:00Z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357;#IS-LPO|e71f91eb-7c75-452b-8d19-3a449ce1e247</vt:lpwstr>
  </property>
  <property fmtid="{D5CDD505-2E9C-101B-9397-08002B2CF9AE}" pid="7" name="Country">
    <vt:lpwstr>27;#CO|c7d386d6-75f3-4fc0-bde8-e021ccd68f5c</vt:lpwstr>
  </property>
  <property fmtid="{D5CDD505-2E9C-101B-9397-08002B2CF9AE}" pid="8" name="_dlc_DocIdItemGuid">
    <vt:lpwstr>738cbf20-edcb-4035-9493-ebc3188ce094</vt:lpwstr>
  </property>
  <property fmtid="{D5CDD505-2E9C-101B-9397-08002B2CF9AE}" pid="9" name="Fund IDB">
    <vt:lpwstr>31;#ORC|c028a4b2-ad8b-4cf4-9cac-a2ae6a778e23</vt:lpwstr>
  </property>
  <property fmtid="{D5CDD505-2E9C-101B-9397-08002B2CF9AE}" pid="10" name="Sector IDB">
    <vt:lpwstr>48;#IS|3f908695-d5b5-49f6-941f-76876b39564f</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0x0101001A458A224826124E8B45B1D613300CFC0063DE74B35437E541A32CFB1BD85A546D</vt:lpwstr>
  </property>
</Properties>
</file>