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A9A28" w14:textId="1B7A2757" w:rsidR="003B5778" w:rsidRPr="00CA2203" w:rsidRDefault="357B20AE" w:rsidP="357B20AE">
      <w:pPr>
        <w:jc w:val="center"/>
        <w:rPr>
          <w:rFonts w:ascii="Arial" w:hAnsi="Arial" w:cs="Arial"/>
          <w:b/>
          <w:bCs/>
          <w:smallCaps/>
          <w:lang w:val="es-ES"/>
        </w:rPr>
      </w:pPr>
      <w:bookmarkStart w:id="0" w:name="_GoBack"/>
      <w:bookmarkEnd w:id="0"/>
      <w:r w:rsidRPr="357B20AE">
        <w:rPr>
          <w:rFonts w:ascii="Arial" w:hAnsi="Arial" w:cs="Arial"/>
          <w:b/>
          <w:bCs/>
          <w:smallCaps/>
          <w:lang w:val="es-ES"/>
        </w:rPr>
        <w:t>COLOMBIA</w:t>
      </w:r>
    </w:p>
    <w:p w14:paraId="60F89F23" w14:textId="4D95DC26" w:rsidR="003B5778" w:rsidRPr="00CA2203" w:rsidRDefault="003B5778" w:rsidP="00A250E5">
      <w:pPr>
        <w:jc w:val="center"/>
        <w:rPr>
          <w:rFonts w:ascii="Arial" w:hAnsi="Arial" w:cs="Arial"/>
          <w:b/>
          <w:smallCaps/>
          <w:lang w:val="es-ES_tradnl"/>
        </w:rPr>
      </w:pPr>
      <w:r w:rsidRPr="00CA2203">
        <w:rPr>
          <w:rFonts w:ascii="Arial" w:hAnsi="Arial" w:cs="Arial"/>
          <w:b/>
          <w:smallCaps/>
          <w:lang w:val="es-ES_tradnl"/>
        </w:rPr>
        <w:t xml:space="preserve">Programa </w:t>
      </w:r>
      <w:r w:rsidR="00A12C19" w:rsidRPr="00CA2203">
        <w:rPr>
          <w:rFonts w:ascii="Arial" w:hAnsi="Arial" w:cs="Arial"/>
          <w:b/>
          <w:smallCaps/>
          <w:lang w:val="es-ES_tradnl"/>
        </w:rPr>
        <w:t xml:space="preserve">Nacional </w:t>
      </w:r>
      <w:r w:rsidRPr="00CA2203">
        <w:rPr>
          <w:rFonts w:ascii="Arial" w:hAnsi="Arial" w:cs="Arial"/>
          <w:b/>
          <w:smallCaps/>
          <w:lang w:val="es-ES_tradnl"/>
        </w:rPr>
        <w:t>para Asegurar un Suministro de Energía Sostenible y Eficiente</w:t>
      </w:r>
      <w:r w:rsidR="00603261">
        <w:rPr>
          <w:rFonts w:ascii="Arial" w:hAnsi="Arial" w:cs="Arial"/>
          <w:b/>
          <w:smallCaps/>
          <w:lang w:val="es-ES_tradnl"/>
        </w:rPr>
        <w:t>, Fase</w:t>
      </w:r>
      <w:r w:rsidR="00CA2203">
        <w:rPr>
          <w:rFonts w:ascii="Arial" w:hAnsi="Arial" w:cs="Arial"/>
          <w:b/>
          <w:smallCaps/>
          <w:lang w:val="es-ES_tradnl"/>
        </w:rPr>
        <w:t xml:space="preserve"> II</w:t>
      </w:r>
    </w:p>
    <w:p w14:paraId="71BFE98C" w14:textId="77777777" w:rsidR="00EB1C29" w:rsidRPr="00686040" w:rsidRDefault="00EB1C29" w:rsidP="00CA2203">
      <w:pPr>
        <w:spacing w:before="120" w:after="120"/>
        <w:jc w:val="center"/>
        <w:rPr>
          <w:rFonts w:ascii="Arial" w:hAnsi="Arial" w:cs="Arial"/>
          <w:b/>
          <w:lang w:val="es-ES_tradnl"/>
        </w:rPr>
      </w:pPr>
      <w:r w:rsidRPr="00CA2203">
        <w:rPr>
          <w:rFonts w:ascii="Arial" w:hAnsi="Arial" w:cs="Arial"/>
          <w:b/>
          <w:smallCaps/>
          <w:lang w:val="es-ES_tradnl"/>
        </w:rPr>
        <w:t>Matriz de Medios de Verificación</w:t>
      </w:r>
    </w:p>
    <w:p w14:paraId="6A6FA275" w14:textId="77777777" w:rsidR="00C43FCA" w:rsidRPr="00A250E5" w:rsidRDefault="00C43FCA" w:rsidP="00A250E5">
      <w:pPr>
        <w:jc w:val="center"/>
        <w:rPr>
          <w:rFonts w:ascii="Arial" w:hAnsi="Arial" w:cs="Arial"/>
          <w:b/>
          <w:lang w:val="es-ES_tradnl"/>
        </w:rPr>
      </w:pPr>
    </w:p>
    <w:p w14:paraId="556525CF" w14:textId="16870814" w:rsidR="00E67280" w:rsidRDefault="00641350" w:rsidP="00A250E5">
      <w:pPr>
        <w:jc w:val="both"/>
        <w:rPr>
          <w:rFonts w:ascii="Arial" w:hAnsi="Arial" w:cs="Arial"/>
          <w:sz w:val="22"/>
          <w:szCs w:val="22"/>
          <w:lang w:val="es-ES_tradnl"/>
        </w:rPr>
      </w:pPr>
      <w:r w:rsidRPr="00641350">
        <w:rPr>
          <w:rFonts w:ascii="Arial" w:hAnsi="Arial" w:cs="Arial"/>
          <w:sz w:val="22"/>
          <w:szCs w:val="22"/>
          <w:lang w:val="es-ES_tradnl"/>
        </w:rPr>
        <w:t>Objetivo: El objetivo general del programa es contribuir a la sostenibilidad del sector energético del país a través de un proceso de reformas de políticas que permitan asegurar la oferta eficiente de energía eléctrica en el SIN y las ZNI, a fin de reducir la vulnerabilidad del sector frente a los efectos del cambio climático y aumentar el acceso eléctrico. Los objetivos específicos son: (i) asegurar un contexto macroeconómico congruente con los objetivos del programa; (</w:t>
      </w:r>
      <w:proofErr w:type="spellStart"/>
      <w:r w:rsidRPr="00641350">
        <w:rPr>
          <w:rFonts w:ascii="Arial" w:hAnsi="Arial" w:cs="Arial"/>
          <w:sz w:val="22"/>
          <w:szCs w:val="22"/>
          <w:lang w:val="es-ES_tradnl"/>
        </w:rPr>
        <w:t>ii</w:t>
      </w:r>
      <w:proofErr w:type="spellEnd"/>
      <w:r w:rsidRPr="00641350">
        <w:rPr>
          <w:rFonts w:ascii="Arial" w:hAnsi="Arial" w:cs="Arial"/>
          <w:sz w:val="22"/>
          <w:szCs w:val="22"/>
          <w:lang w:val="es-ES_tradnl"/>
        </w:rPr>
        <w:t>) contribuir a garantizar el abastecimiento de energía del SIN mediante la diversificación de la matriz energética con FNCER y el incremento de los intercambios energía a nivel internacional; y establecer medidas que permitan aumentar y garantizar la oferta de GN para generación, administrar la demanda energética y optimizar el funcionamiento del MEM; y (</w:t>
      </w:r>
      <w:proofErr w:type="spellStart"/>
      <w:r w:rsidRPr="00641350">
        <w:rPr>
          <w:rFonts w:ascii="Arial" w:hAnsi="Arial" w:cs="Arial"/>
          <w:sz w:val="22"/>
          <w:szCs w:val="22"/>
          <w:lang w:val="es-ES_tradnl"/>
        </w:rPr>
        <w:t>iii</w:t>
      </w:r>
      <w:proofErr w:type="spellEnd"/>
      <w:r w:rsidRPr="00641350">
        <w:rPr>
          <w:rFonts w:ascii="Arial" w:hAnsi="Arial" w:cs="Arial"/>
          <w:sz w:val="22"/>
          <w:szCs w:val="22"/>
          <w:lang w:val="es-ES_tradnl"/>
        </w:rPr>
        <w:t>) promover el acceso a la energía en las ZNI mediante el uso de FNCER.</w:t>
      </w:r>
    </w:p>
    <w:p w14:paraId="554DA0A9" w14:textId="77777777" w:rsidR="00641350" w:rsidRPr="00A250E5" w:rsidRDefault="00641350" w:rsidP="00A250E5">
      <w:pPr>
        <w:jc w:val="both"/>
        <w:rPr>
          <w:rFonts w:ascii="Arial" w:hAnsi="Arial" w:cs="Arial"/>
          <w:sz w:val="22"/>
          <w:szCs w:val="22"/>
          <w:lang w:val="es-ES_tradnl"/>
        </w:rPr>
      </w:pPr>
    </w:p>
    <w:tbl>
      <w:tblPr>
        <w:tblStyle w:val="TableGrid"/>
        <w:tblW w:w="5000" w:type="pct"/>
        <w:tblLayout w:type="fixed"/>
        <w:tblLook w:val="04A0" w:firstRow="1" w:lastRow="0" w:firstColumn="1" w:lastColumn="0" w:noHBand="0" w:noVBand="1"/>
      </w:tblPr>
      <w:tblGrid>
        <w:gridCol w:w="1974"/>
        <w:gridCol w:w="3131"/>
        <w:gridCol w:w="3239"/>
        <w:gridCol w:w="2973"/>
        <w:gridCol w:w="1633"/>
      </w:tblGrid>
      <w:tr w:rsidR="00654657" w:rsidRPr="00654657" w14:paraId="03DCB3A1" w14:textId="24812188" w:rsidTr="0004797C">
        <w:trPr>
          <w:trHeight w:val="644"/>
          <w:tblHeader/>
        </w:trPr>
        <w:tc>
          <w:tcPr>
            <w:tcW w:w="1975" w:type="dxa"/>
            <w:tcBorders>
              <w:bottom w:val="single" w:sz="4" w:space="0" w:color="auto"/>
            </w:tcBorders>
            <w:shd w:val="clear" w:color="auto" w:fill="548DD4" w:themeFill="text2" w:themeFillTint="99"/>
            <w:vAlign w:val="center"/>
          </w:tcPr>
          <w:p w14:paraId="24684C4B" w14:textId="77777777" w:rsidR="00654657" w:rsidRPr="00EF7D30" w:rsidRDefault="00654657" w:rsidP="00C457B7">
            <w:pPr>
              <w:jc w:val="center"/>
              <w:rPr>
                <w:rFonts w:ascii="Arial" w:hAnsi="Arial" w:cs="Arial"/>
                <w:b/>
                <w:lang w:val="es-ES_tradnl"/>
              </w:rPr>
            </w:pPr>
            <w:r w:rsidRPr="00EF7D30">
              <w:rPr>
                <w:rFonts w:ascii="Arial" w:hAnsi="Arial" w:cs="Arial"/>
                <w:b/>
                <w:lang w:val="es-ES_tradnl"/>
              </w:rPr>
              <w:t>Objetivos</w:t>
            </w:r>
          </w:p>
        </w:tc>
        <w:tc>
          <w:tcPr>
            <w:tcW w:w="3132" w:type="dxa"/>
            <w:tcBorders>
              <w:bottom w:val="single" w:sz="4" w:space="0" w:color="auto"/>
            </w:tcBorders>
            <w:shd w:val="clear" w:color="auto" w:fill="548DD4" w:themeFill="text2" w:themeFillTint="99"/>
            <w:vAlign w:val="center"/>
          </w:tcPr>
          <w:p w14:paraId="5043A7C5" w14:textId="77777777" w:rsidR="00654657" w:rsidRPr="00EF7D30" w:rsidRDefault="00654657" w:rsidP="00C457B7">
            <w:pPr>
              <w:jc w:val="center"/>
              <w:rPr>
                <w:rFonts w:ascii="Arial" w:hAnsi="Arial" w:cs="Arial"/>
                <w:b/>
                <w:lang w:val="es-ES_tradnl"/>
              </w:rPr>
            </w:pPr>
            <w:r w:rsidRPr="00EF7D30">
              <w:rPr>
                <w:rFonts w:ascii="Arial" w:hAnsi="Arial" w:cs="Arial"/>
                <w:b/>
                <w:lang w:val="es-ES_tradnl"/>
              </w:rPr>
              <w:t>Compromisos</w:t>
            </w:r>
          </w:p>
          <w:p w14:paraId="4E881831" w14:textId="77777777" w:rsidR="00654657" w:rsidRPr="00EF7D30" w:rsidRDefault="00654657" w:rsidP="00C457B7">
            <w:pPr>
              <w:jc w:val="center"/>
              <w:rPr>
                <w:rFonts w:ascii="Arial" w:hAnsi="Arial" w:cs="Arial"/>
                <w:b/>
                <w:lang w:val="es-ES_tradnl"/>
              </w:rPr>
            </w:pPr>
            <w:r w:rsidRPr="00EF7D30">
              <w:rPr>
                <w:rFonts w:ascii="Arial" w:hAnsi="Arial" w:cs="Arial"/>
                <w:b/>
                <w:lang w:val="es-ES_tradnl"/>
              </w:rPr>
              <w:t>Programático I</w:t>
            </w:r>
          </w:p>
        </w:tc>
        <w:tc>
          <w:tcPr>
            <w:tcW w:w="3240" w:type="dxa"/>
            <w:tcBorders>
              <w:bottom w:val="single" w:sz="4" w:space="0" w:color="auto"/>
            </w:tcBorders>
            <w:shd w:val="clear" w:color="auto" w:fill="548DD4" w:themeFill="text2" w:themeFillTint="99"/>
            <w:vAlign w:val="center"/>
          </w:tcPr>
          <w:p w14:paraId="5614F1A8" w14:textId="77777777" w:rsidR="00654657" w:rsidRPr="00EF7D30" w:rsidRDefault="00654657" w:rsidP="00C457B7">
            <w:pPr>
              <w:jc w:val="center"/>
              <w:rPr>
                <w:rFonts w:ascii="Arial" w:hAnsi="Arial" w:cs="Arial"/>
                <w:b/>
                <w:lang w:val="es-ES_tradnl"/>
              </w:rPr>
            </w:pPr>
            <w:r w:rsidRPr="00EF7D30">
              <w:rPr>
                <w:rFonts w:ascii="Arial" w:hAnsi="Arial" w:cs="Arial"/>
                <w:b/>
                <w:lang w:val="es-ES_tradnl"/>
              </w:rPr>
              <w:t>Mecanismos Activadores</w:t>
            </w:r>
          </w:p>
          <w:p w14:paraId="7C879C69" w14:textId="77777777" w:rsidR="00654657" w:rsidRPr="00EF7D30" w:rsidRDefault="00654657" w:rsidP="00C457B7">
            <w:pPr>
              <w:jc w:val="center"/>
              <w:rPr>
                <w:rFonts w:ascii="Arial" w:hAnsi="Arial" w:cs="Arial"/>
                <w:b/>
                <w:lang w:val="es-ES_tradnl"/>
              </w:rPr>
            </w:pPr>
            <w:r w:rsidRPr="00EF7D30">
              <w:rPr>
                <w:rFonts w:ascii="Arial" w:hAnsi="Arial" w:cs="Arial"/>
                <w:b/>
                <w:lang w:val="es-ES_tradnl"/>
              </w:rPr>
              <w:t>Programático II</w:t>
            </w:r>
          </w:p>
        </w:tc>
        <w:tc>
          <w:tcPr>
            <w:tcW w:w="2970" w:type="dxa"/>
            <w:tcBorders>
              <w:bottom w:val="single" w:sz="4" w:space="0" w:color="auto"/>
            </w:tcBorders>
            <w:shd w:val="clear" w:color="auto" w:fill="548DD4" w:themeFill="text2" w:themeFillTint="99"/>
            <w:vAlign w:val="center"/>
          </w:tcPr>
          <w:p w14:paraId="1E8588C5" w14:textId="0E3EB065" w:rsidR="00654657" w:rsidRPr="00EF7D30" w:rsidRDefault="00654657">
            <w:pPr>
              <w:jc w:val="center"/>
              <w:rPr>
                <w:rFonts w:ascii="Arial" w:hAnsi="Arial" w:cs="Arial"/>
                <w:b/>
                <w:lang w:val="es-ES_tradnl"/>
              </w:rPr>
            </w:pPr>
            <w:r w:rsidRPr="00EF7D30">
              <w:rPr>
                <w:rFonts w:ascii="Arial" w:hAnsi="Arial" w:cs="Arial"/>
                <w:b/>
                <w:lang w:val="es-ES_tradnl"/>
              </w:rPr>
              <w:t>Medios de Verificación/Responsable</w:t>
            </w:r>
          </w:p>
        </w:tc>
        <w:tc>
          <w:tcPr>
            <w:tcW w:w="1634" w:type="dxa"/>
            <w:tcBorders>
              <w:bottom w:val="single" w:sz="4" w:space="0" w:color="auto"/>
            </w:tcBorders>
            <w:shd w:val="clear" w:color="auto" w:fill="548DD4" w:themeFill="text2" w:themeFillTint="99"/>
            <w:vAlign w:val="center"/>
          </w:tcPr>
          <w:p w14:paraId="08F01422" w14:textId="633703C7" w:rsidR="00654657" w:rsidRPr="001A670C" w:rsidRDefault="00654657">
            <w:pPr>
              <w:jc w:val="center"/>
              <w:rPr>
                <w:rFonts w:ascii="Arial" w:hAnsi="Arial" w:cs="Arial"/>
                <w:b/>
                <w:bCs/>
                <w:lang w:val="es-ES"/>
              </w:rPr>
            </w:pPr>
            <w:r w:rsidRPr="001A670C">
              <w:rPr>
                <w:rFonts w:ascii="Arial" w:hAnsi="Arial" w:cs="Arial"/>
                <w:b/>
                <w:bCs/>
                <w:lang w:val="es-ES"/>
              </w:rPr>
              <w:t>Responsable</w:t>
            </w:r>
          </w:p>
        </w:tc>
      </w:tr>
      <w:tr w:rsidR="00654657" w:rsidRPr="00A250E5" w14:paraId="735FB264" w14:textId="7D4118E4" w:rsidTr="0004797C">
        <w:trPr>
          <w:trHeight w:val="438"/>
        </w:trPr>
        <w:tc>
          <w:tcPr>
            <w:tcW w:w="11321" w:type="dxa"/>
            <w:gridSpan w:val="4"/>
            <w:shd w:val="clear" w:color="auto" w:fill="D9D9D9" w:themeFill="background1" w:themeFillShade="D9"/>
            <w:vAlign w:val="center"/>
          </w:tcPr>
          <w:p w14:paraId="44E3D498" w14:textId="77777777" w:rsidR="00654657" w:rsidRPr="00A250E5" w:rsidRDefault="00654657" w:rsidP="00A250E5">
            <w:pPr>
              <w:jc w:val="both"/>
              <w:rPr>
                <w:rFonts w:ascii="Arial" w:hAnsi="Arial" w:cs="Arial"/>
                <w:b/>
                <w:lang w:val="es-ES_tradnl"/>
              </w:rPr>
            </w:pPr>
            <w:r w:rsidRPr="00A250E5">
              <w:rPr>
                <w:rFonts w:ascii="Arial" w:hAnsi="Arial" w:cs="Arial"/>
                <w:b/>
                <w:lang w:val="es-ES_tradnl"/>
              </w:rPr>
              <w:t>Componente I. Estabilidad macroeconómica</w:t>
            </w:r>
          </w:p>
        </w:tc>
        <w:tc>
          <w:tcPr>
            <w:tcW w:w="1634" w:type="dxa"/>
            <w:shd w:val="clear" w:color="auto" w:fill="D9D9D9" w:themeFill="background1" w:themeFillShade="D9"/>
          </w:tcPr>
          <w:p w14:paraId="4564DA0A" w14:textId="77777777" w:rsidR="00654657" w:rsidRPr="00A250E5" w:rsidRDefault="00654657" w:rsidP="00A250E5">
            <w:pPr>
              <w:jc w:val="both"/>
              <w:rPr>
                <w:rFonts w:ascii="Arial" w:hAnsi="Arial" w:cs="Arial"/>
                <w:b/>
                <w:lang w:val="es-ES_tradnl"/>
              </w:rPr>
            </w:pPr>
          </w:p>
        </w:tc>
      </w:tr>
      <w:tr w:rsidR="00654657" w:rsidRPr="00D06A82" w14:paraId="406B4D3D" w14:textId="490D8B2C" w:rsidTr="0004797C">
        <w:trPr>
          <w:trHeight w:val="1125"/>
        </w:trPr>
        <w:tc>
          <w:tcPr>
            <w:tcW w:w="1975" w:type="dxa"/>
            <w:tcBorders>
              <w:bottom w:val="single" w:sz="4" w:space="0" w:color="auto"/>
            </w:tcBorders>
          </w:tcPr>
          <w:p w14:paraId="394BAB1A" w14:textId="77777777" w:rsidR="00654657" w:rsidRPr="00A250E5" w:rsidRDefault="00654657" w:rsidP="00A250E5">
            <w:pPr>
              <w:jc w:val="both"/>
              <w:rPr>
                <w:rFonts w:ascii="Arial" w:hAnsi="Arial" w:cs="Arial"/>
                <w:highlight w:val="yellow"/>
                <w:lang w:val="es-ES_tradnl"/>
              </w:rPr>
            </w:pPr>
            <w:r w:rsidRPr="00A250E5">
              <w:rPr>
                <w:rFonts w:ascii="Arial" w:hAnsi="Arial" w:cs="Arial"/>
                <w:lang w:val="es-ES_tradnl"/>
              </w:rPr>
              <w:t>Estabilidad del Marco General de Políticas Macroeconómicas.</w:t>
            </w:r>
          </w:p>
        </w:tc>
        <w:tc>
          <w:tcPr>
            <w:tcW w:w="3132" w:type="dxa"/>
            <w:tcBorders>
              <w:bottom w:val="single" w:sz="4" w:space="0" w:color="auto"/>
            </w:tcBorders>
          </w:tcPr>
          <w:p w14:paraId="26EFD931" w14:textId="34CC52AF" w:rsidR="00654657" w:rsidRPr="00A250E5" w:rsidRDefault="00654657" w:rsidP="00A250E5">
            <w:pPr>
              <w:jc w:val="both"/>
              <w:rPr>
                <w:rFonts w:ascii="Arial" w:hAnsi="Arial" w:cs="Arial"/>
                <w:highlight w:val="yellow"/>
                <w:lang w:val="es-ES_tradnl"/>
              </w:rPr>
            </w:pPr>
            <w:r w:rsidRPr="00A250E5">
              <w:rPr>
                <w:rFonts w:ascii="Arial" w:hAnsi="Arial" w:cs="Arial"/>
                <w:lang w:val="es-ES_tradnl"/>
              </w:rPr>
              <w:t xml:space="preserve">Marco macroeconómico estable y conducente al logro de los objetivos del programa y </w:t>
            </w:r>
            <w:r w:rsidR="00D14EB3">
              <w:rPr>
                <w:rFonts w:ascii="Arial" w:hAnsi="Arial" w:cs="Arial"/>
                <w:lang w:val="es-ES_tradnl"/>
              </w:rPr>
              <w:t>que sea consistentes con los</w:t>
            </w:r>
            <w:r w:rsidRPr="00A250E5">
              <w:rPr>
                <w:rFonts w:ascii="Arial" w:hAnsi="Arial" w:cs="Arial"/>
                <w:lang w:val="es-ES_tradnl"/>
              </w:rPr>
              <w:t xml:space="preserve"> lineamientos establecidos en la Carta de Política Sectorial</w:t>
            </w:r>
            <w:r w:rsidR="001620F6">
              <w:rPr>
                <w:rFonts w:ascii="Arial" w:hAnsi="Arial" w:cs="Arial"/>
                <w:lang w:val="es-ES_tradnl"/>
              </w:rPr>
              <w:t>.</w:t>
            </w:r>
          </w:p>
        </w:tc>
        <w:tc>
          <w:tcPr>
            <w:tcW w:w="3240" w:type="dxa"/>
            <w:tcBorders>
              <w:bottom w:val="single" w:sz="4" w:space="0" w:color="auto"/>
            </w:tcBorders>
          </w:tcPr>
          <w:p w14:paraId="5A6BF0FC" w14:textId="022CE59F" w:rsidR="00654657" w:rsidRPr="00A250E5" w:rsidRDefault="00654657" w:rsidP="00A250E5">
            <w:pPr>
              <w:jc w:val="both"/>
              <w:rPr>
                <w:rFonts w:ascii="Arial" w:hAnsi="Arial" w:cs="Arial"/>
                <w:highlight w:val="yellow"/>
                <w:lang w:val="es-ES_tradnl"/>
              </w:rPr>
            </w:pPr>
            <w:r w:rsidRPr="00A250E5">
              <w:rPr>
                <w:rFonts w:ascii="Arial" w:hAnsi="Arial" w:cs="Arial"/>
                <w:lang w:val="es-ES_tradnl"/>
              </w:rPr>
              <w:t>Marco macroeconómico estable y conducente al logro de los objetivos del programa y</w:t>
            </w:r>
            <w:r w:rsidR="00D14EB3">
              <w:rPr>
                <w:rFonts w:ascii="Arial" w:hAnsi="Arial" w:cs="Arial"/>
                <w:lang w:val="es-ES_tradnl"/>
              </w:rPr>
              <w:t xml:space="preserve"> que sea consistente con</w:t>
            </w:r>
            <w:r w:rsidRPr="00A250E5">
              <w:rPr>
                <w:rFonts w:ascii="Arial" w:hAnsi="Arial" w:cs="Arial"/>
                <w:lang w:val="es-ES_tradnl"/>
              </w:rPr>
              <w:t xml:space="preserve"> los lineamientos establecidos en la Carta de Política Sectorial.</w:t>
            </w:r>
          </w:p>
        </w:tc>
        <w:tc>
          <w:tcPr>
            <w:tcW w:w="2970" w:type="dxa"/>
            <w:tcBorders>
              <w:bottom w:val="single" w:sz="4" w:space="0" w:color="auto"/>
            </w:tcBorders>
          </w:tcPr>
          <w:p w14:paraId="7A08D89F" w14:textId="77777777" w:rsidR="00654657" w:rsidRPr="00A250E5" w:rsidRDefault="00654657" w:rsidP="00A250E5">
            <w:pPr>
              <w:jc w:val="both"/>
              <w:rPr>
                <w:rFonts w:ascii="Arial" w:hAnsi="Arial" w:cs="Arial"/>
                <w:lang w:val="es-ES_tradnl"/>
              </w:rPr>
            </w:pPr>
            <w:r w:rsidRPr="00A250E5">
              <w:rPr>
                <w:rFonts w:ascii="Arial" w:hAnsi="Arial" w:cs="Arial"/>
                <w:lang w:val="es-ES_tradnl"/>
              </w:rPr>
              <w:t>Evaluación Independiente de Condiciones Macroeconómicas vigente al momento de solicitar el desembolso.</w:t>
            </w:r>
          </w:p>
        </w:tc>
        <w:tc>
          <w:tcPr>
            <w:tcW w:w="1634" w:type="dxa"/>
            <w:tcBorders>
              <w:bottom w:val="single" w:sz="4" w:space="0" w:color="auto"/>
            </w:tcBorders>
          </w:tcPr>
          <w:p w14:paraId="27A0F326" w14:textId="77777777" w:rsidR="00654657" w:rsidRPr="00A250E5" w:rsidRDefault="00654657" w:rsidP="00A250E5">
            <w:pPr>
              <w:jc w:val="both"/>
              <w:rPr>
                <w:rFonts w:ascii="Arial" w:hAnsi="Arial" w:cs="Arial"/>
                <w:lang w:val="es-ES_tradnl"/>
              </w:rPr>
            </w:pPr>
          </w:p>
        </w:tc>
      </w:tr>
      <w:tr w:rsidR="00654657" w:rsidRPr="00D06A82" w14:paraId="741E94F2" w14:textId="649CBC50" w:rsidTr="0004797C">
        <w:trPr>
          <w:trHeight w:val="221"/>
        </w:trPr>
        <w:tc>
          <w:tcPr>
            <w:tcW w:w="11321" w:type="dxa"/>
            <w:gridSpan w:val="4"/>
            <w:shd w:val="clear" w:color="auto" w:fill="D9D9D9" w:themeFill="background1" w:themeFillShade="D9"/>
          </w:tcPr>
          <w:p w14:paraId="6F7EF234" w14:textId="3D28958D" w:rsidR="00D14EB3" w:rsidRPr="00A250E5" w:rsidRDefault="00654657">
            <w:pPr>
              <w:jc w:val="both"/>
              <w:rPr>
                <w:rFonts w:ascii="Arial" w:hAnsi="Arial" w:cs="Arial"/>
                <w:b/>
                <w:lang w:val="es-ES_tradnl"/>
              </w:rPr>
            </w:pPr>
            <w:r w:rsidRPr="00A250E5">
              <w:rPr>
                <w:rFonts w:ascii="Arial" w:hAnsi="Arial" w:cs="Arial"/>
                <w:b/>
                <w:lang w:val="es-ES_tradnl"/>
              </w:rPr>
              <w:t xml:space="preserve">Componente II. Apoyo a la </w:t>
            </w:r>
            <w:r w:rsidR="00D14EB3">
              <w:rPr>
                <w:rFonts w:ascii="Arial" w:hAnsi="Arial" w:cs="Arial"/>
                <w:b/>
                <w:lang w:val="es-ES_tradnl"/>
              </w:rPr>
              <w:t>confiabilidad del abastecimiento eléctrico del SIN</w:t>
            </w:r>
          </w:p>
        </w:tc>
        <w:tc>
          <w:tcPr>
            <w:tcW w:w="1634" w:type="dxa"/>
            <w:shd w:val="clear" w:color="auto" w:fill="D9D9D9" w:themeFill="background1" w:themeFillShade="D9"/>
          </w:tcPr>
          <w:p w14:paraId="6BF13C26" w14:textId="77777777" w:rsidR="00654657" w:rsidRPr="00A250E5" w:rsidRDefault="00654657" w:rsidP="00A250E5">
            <w:pPr>
              <w:jc w:val="both"/>
              <w:rPr>
                <w:rFonts w:ascii="Arial" w:hAnsi="Arial" w:cs="Arial"/>
                <w:b/>
                <w:lang w:val="es-ES_tradnl"/>
              </w:rPr>
            </w:pPr>
          </w:p>
        </w:tc>
      </w:tr>
      <w:tr w:rsidR="00914812" w:rsidRPr="00D06A82" w14:paraId="61C99CB5" w14:textId="77777777" w:rsidTr="0004797C">
        <w:trPr>
          <w:trHeight w:val="221"/>
        </w:trPr>
        <w:tc>
          <w:tcPr>
            <w:tcW w:w="11321" w:type="dxa"/>
            <w:gridSpan w:val="4"/>
            <w:shd w:val="clear" w:color="auto" w:fill="D9D9D9" w:themeFill="background1" w:themeFillShade="D9"/>
          </w:tcPr>
          <w:p w14:paraId="7D64412F" w14:textId="0BBB85B8" w:rsidR="00914812" w:rsidRPr="00A250E5" w:rsidRDefault="00914812" w:rsidP="00A250E5">
            <w:pPr>
              <w:jc w:val="both"/>
              <w:rPr>
                <w:rFonts w:ascii="Arial" w:hAnsi="Arial" w:cs="Arial"/>
                <w:b/>
                <w:lang w:val="es-ES_tradnl"/>
              </w:rPr>
            </w:pPr>
            <w:r>
              <w:rPr>
                <w:rFonts w:ascii="Arial" w:hAnsi="Arial" w:cs="Arial"/>
                <w:b/>
                <w:lang w:val="es-ES_tradnl"/>
              </w:rPr>
              <w:t>Subcomponente 2.1 Apoyo a la diversificación de la matriz energética y a la integración eléctrica regional</w:t>
            </w:r>
          </w:p>
        </w:tc>
        <w:tc>
          <w:tcPr>
            <w:tcW w:w="1634" w:type="dxa"/>
            <w:shd w:val="clear" w:color="auto" w:fill="D9D9D9" w:themeFill="background1" w:themeFillShade="D9"/>
          </w:tcPr>
          <w:p w14:paraId="0A25A8CE" w14:textId="77777777" w:rsidR="00914812" w:rsidRPr="00A250E5" w:rsidRDefault="00914812" w:rsidP="00A250E5">
            <w:pPr>
              <w:jc w:val="both"/>
              <w:rPr>
                <w:rFonts w:ascii="Arial" w:hAnsi="Arial" w:cs="Arial"/>
                <w:b/>
                <w:lang w:val="es-ES_tradnl"/>
              </w:rPr>
            </w:pPr>
          </w:p>
        </w:tc>
      </w:tr>
      <w:tr w:rsidR="00654657" w:rsidRPr="00D06A82" w14:paraId="50B6D1BC" w14:textId="209D7E02" w:rsidTr="0004797C">
        <w:trPr>
          <w:trHeight w:val="303"/>
        </w:trPr>
        <w:tc>
          <w:tcPr>
            <w:tcW w:w="1975" w:type="dxa"/>
            <w:vMerge w:val="restart"/>
          </w:tcPr>
          <w:p w14:paraId="54450305" w14:textId="77777777" w:rsidR="00654657" w:rsidRPr="00A250E5" w:rsidRDefault="00654657" w:rsidP="00A250E5">
            <w:pPr>
              <w:jc w:val="both"/>
              <w:rPr>
                <w:rFonts w:ascii="Arial" w:hAnsi="Arial" w:cs="Arial"/>
                <w:lang w:val="es-ES_tradnl"/>
              </w:rPr>
            </w:pPr>
            <w:r w:rsidRPr="00A250E5">
              <w:rPr>
                <w:rFonts w:ascii="Arial" w:hAnsi="Arial" w:cs="Arial"/>
                <w:lang w:val="es-ES_tradnl"/>
              </w:rPr>
              <w:t>Contribuir a garantizar el abastecimiento de energía median-te la diversificación de la matriz energética con FNCER y el incremento de los intercambios de energía a nivel nacional.</w:t>
            </w:r>
          </w:p>
        </w:tc>
        <w:tc>
          <w:tcPr>
            <w:tcW w:w="9342" w:type="dxa"/>
            <w:gridSpan w:val="3"/>
          </w:tcPr>
          <w:p w14:paraId="7691C170" w14:textId="77777777" w:rsidR="00654657" w:rsidRPr="00822A49" w:rsidRDefault="00654657" w:rsidP="00A250E5">
            <w:pPr>
              <w:jc w:val="both"/>
              <w:rPr>
                <w:rFonts w:ascii="Arial" w:hAnsi="Arial" w:cs="Arial"/>
                <w:b/>
                <w:lang w:val="es-ES_tradnl"/>
              </w:rPr>
            </w:pPr>
            <w:r w:rsidRPr="00822A49">
              <w:rPr>
                <w:rFonts w:ascii="Arial" w:hAnsi="Arial" w:cs="Arial"/>
                <w:b/>
                <w:lang w:val="es-ES_tradnl"/>
              </w:rPr>
              <w:t>Fuentes No Convencionales de Energía Renovable (FNCER)</w:t>
            </w:r>
          </w:p>
        </w:tc>
        <w:tc>
          <w:tcPr>
            <w:tcW w:w="1634" w:type="dxa"/>
          </w:tcPr>
          <w:p w14:paraId="54F7E479" w14:textId="77777777" w:rsidR="00654657" w:rsidRPr="00822A49" w:rsidRDefault="00654657" w:rsidP="00A250E5">
            <w:pPr>
              <w:jc w:val="both"/>
              <w:rPr>
                <w:rFonts w:ascii="Arial" w:hAnsi="Arial" w:cs="Arial"/>
                <w:b/>
                <w:lang w:val="es-ES_tradnl"/>
              </w:rPr>
            </w:pPr>
          </w:p>
        </w:tc>
      </w:tr>
      <w:tr w:rsidR="00654657" w:rsidRPr="001F7E57" w14:paraId="471CEC0C" w14:textId="4504D651" w:rsidTr="0004797C">
        <w:trPr>
          <w:trHeight w:val="307"/>
        </w:trPr>
        <w:tc>
          <w:tcPr>
            <w:tcW w:w="1975" w:type="dxa"/>
            <w:vMerge/>
          </w:tcPr>
          <w:p w14:paraId="1098F071" w14:textId="77777777" w:rsidR="00654657" w:rsidRPr="00A250E5" w:rsidRDefault="00654657" w:rsidP="00A250E5">
            <w:pPr>
              <w:jc w:val="both"/>
              <w:rPr>
                <w:rFonts w:ascii="Arial" w:hAnsi="Arial" w:cs="Arial"/>
                <w:lang w:val="es-ES_tradnl"/>
              </w:rPr>
            </w:pPr>
          </w:p>
        </w:tc>
        <w:tc>
          <w:tcPr>
            <w:tcW w:w="3132" w:type="dxa"/>
          </w:tcPr>
          <w:p w14:paraId="564CDC0B" w14:textId="77777777" w:rsidR="00654657" w:rsidRPr="00A250E5" w:rsidRDefault="00654657" w:rsidP="00A250E5">
            <w:pPr>
              <w:jc w:val="both"/>
              <w:rPr>
                <w:rFonts w:ascii="Arial" w:hAnsi="Arial" w:cs="Arial"/>
                <w:lang w:val="es-ES_tradnl"/>
              </w:rPr>
            </w:pPr>
            <w:r w:rsidRPr="00A250E5">
              <w:rPr>
                <w:rFonts w:ascii="Arial" w:hAnsi="Arial" w:cs="Arial"/>
                <w:lang w:val="es-ES_tradnl"/>
              </w:rPr>
              <w:t>Reglamentación de la Ley 1715 de 2014 (cuyo objeto es promover el desarrollo y la utilización de fuentes no convencionales de energía renovable, FNCER en el sistema energético nacional), para:</w:t>
            </w:r>
          </w:p>
          <w:p w14:paraId="5DA2664A" w14:textId="77777777" w:rsidR="00654657" w:rsidRPr="00A250E5" w:rsidRDefault="00654657" w:rsidP="00C43FCA">
            <w:pPr>
              <w:jc w:val="both"/>
              <w:rPr>
                <w:rFonts w:ascii="Arial" w:hAnsi="Arial" w:cs="Arial"/>
                <w:lang w:val="es-ES_tradnl"/>
              </w:rPr>
            </w:pPr>
          </w:p>
          <w:p w14:paraId="3A3B0BFC" w14:textId="77777777" w:rsidR="00654657" w:rsidRPr="00A250E5" w:rsidRDefault="00654657" w:rsidP="00C43FCA">
            <w:pPr>
              <w:jc w:val="both"/>
              <w:rPr>
                <w:rFonts w:ascii="Arial" w:hAnsi="Arial" w:cs="Arial"/>
                <w:lang w:val="es-ES_tradnl"/>
              </w:rPr>
            </w:pPr>
          </w:p>
          <w:p w14:paraId="064799FE" w14:textId="039AE397" w:rsidR="00654657" w:rsidRPr="00A250E5" w:rsidRDefault="00654657" w:rsidP="00A250E5">
            <w:pPr>
              <w:jc w:val="both"/>
              <w:rPr>
                <w:rFonts w:ascii="Arial" w:hAnsi="Arial" w:cs="Arial"/>
                <w:lang w:val="es-ES_tradnl"/>
              </w:rPr>
            </w:pPr>
            <w:r w:rsidRPr="00A250E5">
              <w:rPr>
                <w:rFonts w:ascii="Arial" w:hAnsi="Arial" w:cs="Arial"/>
                <w:lang w:val="es-ES_tradnl"/>
              </w:rPr>
              <w:t xml:space="preserve">Definición de los lineamientos para la aplicación de los “Incentivos a la inversión en </w:t>
            </w:r>
            <w:r w:rsidRPr="00A250E5">
              <w:rPr>
                <w:rFonts w:ascii="Arial" w:hAnsi="Arial" w:cs="Arial"/>
                <w:lang w:val="es-ES_tradnl"/>
              </w:rPr>
              <w:lastRenderedPageBreak/>
              <w:t>proyectos de Fuentes No Convencionales de Energía (FNCE)” (Capítulo III de la Ley 1715 de 2014)</w:t>
            </w:r>
            <w:r w:rsidR="001620F6">
              <w:rPr>
                <w:rFonts w:ascii="Arial" w:hAnsi="Arial" w:cs="Arial"/>
                <w:lang w:val="es-ES_tradnl"/>
              </w:rPr>
              <w:t>.</w:t>
            </w:r>
          </w:p>
        </w:tc>
        <w:tc>
          <w:tcPr>
            <w:tcW w:w="3240" w:type="dxa"/>
          </w:tcPr>
          <w:p w14:paraId="03EB57C7" w14:textId="6EC002A2" w:rsidR="00654657" w:rsidRPr="00A250E5" w:rsidRDefault="00654657" w:rsidP="00A250E5">
            <w:pPr>
              <w:jc w:val="both"/>
              <w:rPr>
                <w:rFonts w:ascii="Arial" w:hAnsi="Arial" w:cs="Arial"/>
                <w:lang w:val="es-ES_tradnl"/>
              </w:rPr>
            </w:pPr>
            <w:r>
              <w:rPr>
                <w:rFonts w:ascii="Arial" w:hAnsi="Arial" w:cs="Arial"/>
                <w:lang w:val="es-ES_tradnl"/>
              </w:rPr>
              <w:lastRenderedPageBreak/>
              <w:t>Que se haya r</w:t>
            </w:r>
            <w:r w:rsidRPr="00A250E5">
              <w:rPr>
                <w:rFonts w:ascii="Arial" w:hAnsi="Arial" w:cs="Arial"/>
                <w:lang w:val="es-ES_tradnl"/>
              </w:rPr>
              <w:t>eglamenta</w:t>
            </w:r>
            <w:r>
              <w:rPr>
                <w:rFonts w:ascii="Arial" w:hAnsi="Arial" w:cs="Arial"/>
                <w:lang w:val="es-ES_tradnl"/>
              </w:rPr>
              <w:t xml:space="preserve">do adicionalmente </w:t>
            </w:r>
            <w:r w:rsidRPr="00A250E5">
              <w:rPr>
                <w:rFonts w:ascii="Arial" w:hAnsi="Arial" w:cs="Arial"/>
                <w:lang w:val="es-ES_tradnl"/>
              </w:rPr>
              <w:t>la Ley 1715 de 2014</w:t>
            </w:r>
            <w:r>
              <w:rPr>
                <w:rFonts w:ascii="Arial" w:hAnsi="Arial" w:cs="Arial"/>
                <w:lang w:val="es-ES_tradnl"/>
              </w:rPr>
              <w:t xml:space="preserve"> de FNCER</w:t>
            </w:r>
            <w:r w:rsidRPr="00A250E5">
              <w:rPr>
                <w:rFonts w:ascii="Arial" w:hAnsi="Arial" w:cs="Arial"/>
                <w:lang w:val="es-ES_tradnl"/>
              </w:rPr>
              <w:t>, para:</w:t>
            </w:r>
          </w:p>
          <w:p w14:paraId="7693311A" w14:textId="77777777" w:rsidR="00654657" w:rsidRPr="00A250E5" w:rsidRDefault="00654657" w:rsidP="00C43FCA">
            <w:pPr>
              <w:jc w:val="both"/>
              <w:rPr>
                <w:rFonts w:ascii="Arial" w:hAnsi="Arial" w:cs="Arial"/>
                <w:lang w:val="es-ES_tradnl"/>
              </w:rPr>
            </w:pPr>
          </w:p>
          <w:p w14:paraId="07CF9B0D" w14:textId="5731EAB9" w:rsidR="00654657" w:rsidRPr="002466F1" w:rsidRDefault="00654657" w:rsidP="00185ADA">
            <w:pPr>
              <w:pStyle w:val="ListParagraph"/>
              <w:numPr>
                <w:ilvl w:val="0"/>
                <w:numId w:val="2"/>
              </w:numPr>
              <w:ind w:left="344" w:hanging="344"/>
              <w:jc w:val="both"/>
              <w:rPr>
                <w:rFonts w:ascii="Arial" w:hAnsi="Arial" w:cs="Arial"/>
                <w:lang w:val="es-ES_tradnl"/>
              </w:rPr>
            </w:pPr>
            <w:r>
              <w:rPr>
                <w:rFonts w:ascii="Arial" w:hAnsi="Arial" w:cs="Arial"/>
                <w:lang w:val="es-ES_tradnl"/>
              </w:rPr>
              <w:t>Definir l</w:t>
            </w:r>
            <w:r w:rsidRPr="002466F1">
              <w:rPr>
                <w:rFonts w:ascii="Arial" w:hAnsi="Arial" w:cs="Arial"/>
                <w:lang w:val="es-ES_tradnl"/>
              </w:rPr>
              <w:t xml:space="preserve">ineamientos de política y mecanismos para la contratación a largo plazo de </w:t>
            </w:r>
            <w:r>
              <w:rPr>
                <w:rFonts w:ascii="Arial" w:hAnsi="Arial" w:cs="Arial"/>
                <w:lang w:val="es-ES_tradnl"/>
              </w:rPr>
              <w:t xml:space="preserve">energías </w:t>
            </w:r>
            <w:r w:rsidRPr="002466F1">
              <w:rPr>
                <w:rFonts w:ascii="Arial" w:hAnsi="Arial" w:cs="Arial"/>
                <w:lang w:val="es-ES_tradnl"/>
              </w:rPr>
              <w:t>renovables no convencionales.</w:t>
            </w:r>
          </w:p>
          <w:p w14:paraId="427BE4B7" w14:textId="77777777" w:rsidR="00654657" w:rsidRPr="00A250E5" w:rsidRDefault="00654657" w:rsidP="00C43FCA">
            <w:pPr>
              <w:jc w:val="both"/>
              <w:rPr>
                <w:rFonts w:ascii="Arial" w:hAnsi="Arial" w:cs="Arial"/>
                <w:lang w:val="es-ES_tradnl"/>
              </w:rPr>
            </w:pPr>
          </w:p>
          <w:p w14:paraId="260213A7" w14:textId="3A481FF8" w:rsidR="00654657" w:rsidRPr="00A250E5" w:rsidRDefault="00654657" w:rsidP="00E05080">
            <w:pPr>
              <w:pStyle w:val="ListParagraph"/>
              <w:numPr>
                <w:ilvl w:val="0"/>
                <w:numId w:val="2"/>
              </w:numPr>
              <w:ind w:left="344" w:hanging="344"/>
              <w:jc w:val="both"/>
              <w:rPr>
                <w:rFonts w:ascii="Arial" w:hAnsi="Arial" w:cs="Arial"/>
                <w:lang w:val="es-ES_tradnl"/>
              </w:rPr>
            </w:pPr>
            <w:r w:rsidRPr="00A250E5">
              <w:rPr>
                <w:rFonts w:ascii="Arial" w:hAnsi="Arial" w:cs="Arial"/>
                <w:lang w:val="es-ES_tradnl"/>
              </w:rPr>
              <w:lastRenderedPageBreak/>
              <w:t>Convoca</w:t>
            </w:r>
            <w:r>
              <w:rPr>
                <w:rFonts w:ascii="Arial" w:hAnsi="Arial" w:cs="Arial"/>
                <w:lang w:val="es-ES_tradnl"/>
              </w:rPr>
              <w:t xml:space="preserve">r la </w:t>
            </w:r>
            <w:r w:rsidRPr="00A250E5">
              <w:rPr>
                <w:rFonts w:ascii="Arial" w:hAnsi="Arial" w:cs="Arial"/>
                <w:lang w:val="es-ES_tradnl"/>
              </w:rPr>
              <w:t>primera subasta de energías renovables no convencionales.</w:t>
            </w:r>
          </w:p>
          <w:p w14:paraId="38B8B8F9" w14:textId="77777777" w:rsidR="00654657" w:rsidRPr="00A250E5" w:rsidRDefault="00654657" w:rsidP="00C43FCA">
            <w:pPr>
              <w:jc w:val="both"/>
              <w:rPr>
                <w:rFonts w:ascii="Arial" w:hAnsi="Arial" w:cs="Arial"/>
                <w:lang w:val="es-ES_tradnl"/>
              </w:rPr>
            </w:pPr>
          </w:p>
          <w:p w14:paraId="71F1F974" w14:textId="70321CE1" w:rsidR="00654657" w:rsidRDefault="00654657">
            <w:pPr>
              <w:jc w:val="both"/>
              <w:rPr>
                <w:rFonts w:ascii="Arial" w:hAnsi="Arial" w:cs="Arial"/>
                <w:lang w:val="es-ES"/>
              </w:rPr>
            </w:pPr>
          </w:p>
          <w:p w14:paraId="532CE6F6" w14:textId="77777777" w:rsidR="00D64882" w:rsidRDefault="00D64882">
            <w:pPr>
              <w:jc w:val="both"/>
              <w:rPr>
                <w:rFonts w:ascii="Arial" w:hAnsi="Arial" w:cs="Arial"/>
                <w:lang w:val="es-ES"/>
              </w:rPr>
            </w:pPr>
          </w:p>
          <w:p w14:paraId="5650ED07" w14:textId="77777777" w:rsidR="00654657" w:rsidRDefault="00654657">
            <w:pPr>
              <w:jc w:val="both"/>
              <w:rPr>
                <w:rFonts w:ascii="Arial" w:hAnsi="Arial" w:cs="Arial"/>
                <w:lang w:val="es-ES"/>
              </w:rPr>
            </w:pPr>
          </w:p>
          <w:p w14:paraId="593C0856" w14:textId="77777777" w:rsidR="00654657" w:rsidRDefault="00654657">
            <w:pPr>
              <w:jc w:val="both"/>
              <w:rPr>
                <w:rFonts w:ascii="Arial" w:hAnsi="Arial" w:cs="Arial"/>
                <w:lang w:val="es-ES"/>
              </w:rPr>
            </w:pPr>
          </w:p>
          <w:p w14:paraId="240B340E" w14:textId="77777777" w:rsidR="00654657" w:rsidRDefault="00654657">
            <w:pPr>
              <w:jc w:val="both"/>
              <w:rPr>
                <w:rFonts w:ascii="Arial" w:hAnsi="Arial" w:cs="Arial"/>
                <w:lang w:val="es-ES"/>
              </w:rPr>
            </w:pPr>
          </w:p>
          <w:p w14:paraId="50C885FA" w14:textId="337391A8" w:rsidR="00654657" w:rsidRPr="00A250E5" w:rsidRDefault="00654657">
            <w:pPr>
              <w:jc w:val="both"/>
              <w:rPr>
                <w:rFonts w:ascii="Arial" w:hAnsi="Arial" w:cs="Arial"/>
                <w:lang w:val="es-ES_tradnl"/>
              </w:rPr>
            </w:pPr>
            <w:r>
              <w:rPr>
                <w:rFonts w:ascii="Arial" w:hAnsi="Arial" w:cs="Arial"/>
                <w:lang w:val="es-ES"/>
              </w:rPr>
              <w:t xml:space="preserve">Que se haya reglamentado el </w:t>
            </w:r>
            <w:r w:rsidRPr="00A250E5">
              <w:rPr>
                <w:rFonts w:ascii="Arial" w:hAnsi="Arial" w:cs="Arial"/>
                <w:lang w:val="es-ES"/>
              </w:rPr>
              <w:t>Fondo de Energías No Convencionales y Gestión de la Energía (FENOGE).</w:t>
            </w:r>
          </w:p>
        </w:tc>
        <w:tc>
          <w:tcPr>
            <w:tcW w:w="2970" w:type="dxa"/>
          </w:tcPr>
          <w:p w14:paraId="37C89DFD" w14:textId="026097AB" w:rsidR="00654657" w:rsidRPr="001A670C" w:rsidRDefault="00654657">
            <w:pPr>
              <w:jc w:val="both"/>
              <w:rPr>
                <w:rFonts w:ascii="Arial" w:hAnsi="Arial" w:cs="Arial"/>
                <w:lang w:val="es-ES"/>
              </w:rPr>
            </w:pPr>
            <w:r w:rsidRPr="001A670C">
              <w:rPr>
                <w:rFonts w:ascii="Arial" w:hAnsi="Arial" w:cs="Arial"/>
                <w:lang w:val="es-ES"/>
              </w:rPr>
              <w:lastRenderedPageBreak/>
              <w:t xml:space="preserve">Diario Oficial No. 50.544 del 23 de marzo de 2018 que contiene el Decreto 570 del MME por el cual se dan los lineamientos de política y mecanismos para la contratación a largo plazo de proyectos de generación de energía eléctrica, incluyendo las fuentes no convencionales. </w:t>
            </w:r>
          </w:p>
          <w:p w14:paraId="2661C868" w14:textId="77777777" w:rsidR="00654657" w:rsidRPr="0006685B" w:rsidRDefault="00654657" w:rsidP="00E15A35">
            <w:pPr>
              <w:jc w:val="both"/>
              <w:rPr>
                <w:rFonts w:ascii="Arial" w:hAnsi="Arial" w:cs="Arial"/>
                <w:lang w:val="es-ES_tradnl"/>
              </w:rPr>
            </w:pPr>
          </w:p>
          <w:p w14:paraId="1051FAED" w14:textId="4EA73770" w:rsidR="00654657" w:rsidRPr="001A670C" w:rsidRDefault="00654657">
            <w:pPr>
              <w:jc w:val="both"/>
              <w:rPr>
                <w:rFonts w:ascii="Arial" w:hAnsi="Arial" w:cs="Arial"/>
                <w:lang w:val="es-ES"/>
              </w:rPr>
            </w:pPr>
            <w:r w:rsidRPr="001A670C">
              <w:rPr>
                <w:rFonts w:ascii="Arial" w:hAnsi="Arial" w:cs="Arial"/>
                <w:lang w:val="es-ES"/>
              </w:rPr>
              <w:t xml:space="preserve">Diario Oficial No. 50.673 del 2 de agosto de 2018 que </w:t>
            </w:r>
            <w:r w:rsidRPr="001A670C">
              <w:rPr>
                <w:rFonts w:ascii="Arial" w:hAnsi="Arial" w:cs="Arial"/>
                <w:lang w:val="es-ES"/>
              </w:rPr>
              <w:lastRenderedPageBreak/>
              <w:t>contiene la Resolución del MME 4 0795 por la cual se ordena la convocatoria para la subasta de la contratación de largo plazo, incluyendo las energías renovables no convencionales.</w:t>
            </w:r>
          </w:p>
          <w:p w14:paraId="7F5D37BC" w14:textId="77777777" w:rsidR="00654657" w:rsidRPr="00E15A35" w:rsidRDefault="00654657" w:rsidP="00E15A35">
            <w:pPr>
              <w:jc w:val="both"/>
              <w:rPr>
                <w:rFonts w:ascii="Arial" w:hAnsi="Arial" w:cs="Arial"/>
                <w:lang w:val="es-ES_tradnl"/>
              </w:rPr>
            </w:pPr>
          </w:p>
          <w:p w14:paraId="01020F98" w14:textId="5EC5383D" w:rsidR="00654657" w:rsidRPr="001A670C" w:rsidRDefault="00654657">
            <w:pPr>
              <w:jc w:val="both"/>
              <w:rPr>
                <w:rFonts w:ascii="Arial" w:hAnsi="Arial" w:cs="Arial"/>
                <w:lang w:val="es-ES"/>
              </w:rPr>
            </w:pPr>
            <w:r w:rsidRPr="001A670C">
              <w:rPr>
                <w:rFonts w:ascii="Arial" w:hAnsi="Arial" w:cs="Arial"/>
                <w:lang w:val="es-ES"/>
              </w:rPr>
              <w:t>Diario Oficial No. 50.358 del 16 de septiembre de 2017 que contiene Decreto del MME-No. 1543: por el cual se reglamenta el Fondo de Energías No Convencionales y Gestión Eficiente de la Energía, FENOGE.</w:t>
            </w:r>
          </w:p>
        </w:tc>
        <w:tc>
          <w:tcPr>
            <w:tcW w:w="1634" w:type="dxa"/>
          </w:tcPr>
          <w:p w14:paraId="69B926CE" w14:textId="015D789C" w:rsidR="00654657" w:rsidRPr="001A670C" w:rsidRDefault="00D64882">
            <w:pPr>
              <w:jc w:val="both"/>
              <w:rPr>
                <w:rFonts w:ascii="Arial" w:hAnsi="Arial" w:cs="Arial"/>
                <w:lang w:val="es-ES"/>
              </w:rPr>
            </w:pPr>
            <w:r w:rsidRPr="001A670C">
              <w:rPr>
                <w:rFonts w:ascii="Arial" w:hAnsi="Arial" w:cs="Arial"/>
                <w:lang w:val="es-ES"/>
              </w:rPr>
              <w:lastRenderedPageBreak/>
              <w:t>MME</w:t>
            </w:r>
          </w:p>
          <w:p w14:paraId="79E89B96" w14:textId="77777777" w:rsidR="00D64882" w:rsidRDefault="00D64882" w:rsidP="00E15A35">
            <w:pPr>
              <w:jc w:val="both"/>
              <w:rPr>
                <w:rFonts w:ascii="Arial" w:hAnsi="Arial" w:cs="Arial"/>
                <w:lang w:val="es-ES_tradnl"/>
              </w:rPr>
            </w:pPr>
          </w:p>
          <w:p w14:paraId="08A24009" w14:textId="77777777" w:rsidR="00D64882" w:rsidRDefault="00D64882" w:rsidP="00E15A35">
            <w:pPr>
              <w:jc w:val="both"/>
              <w:rPr>
                <w:rFonts w:ascii="Arial" w:hAnsi="Arial" w:cs="Arial"/>
                <w:lang w:val="es-ES_tradnl"/>
              </w:rPr>
            </w:pPr>
          </w:p>
          <w:p w14:paraId="55E98A79" w14:textId="77777777" w:rsidR="00D64882" w:rsidRDefault="00D64882" w:rsidP="00E15A35">
            <w:pPr>
              <w:jc w:val="both"/>
              <w:rPr>
                <w:rFonts w:ascii="Arial" w:hAnsi="Arial" w:cs="Arial"/>
                <w:lang w:val="es-ES_tradnl"/>
              </w:rPr>
            </w:pPr>
          </w:p>
          <w:p w14:paraId="63023762" w14:textId="77777777" w:rsidR="00D64882" w:rsidRDefault="00D64882" w:rsidP="00E15A35">
            <w:pPr>
              <w:jc w:val="both"/>
              <w:rPr>
                <w:rFonts w:ascii="Arial" w:hAnsi="Arial" w:cs="Arial"/>
                <w:lang w:val="es-ES_tradnl"/>
              </w:rPr>
            </w:pPr>
          </w:p>
          <w:p w14:paraId="77617FF4" w14:textId="77777777" w:rsidR="00D64882" w:rsidRDefault="00D64882" w:rsidP="00E15A35">
            <w:pPr>
              <w:jc w:val="both"/>
              <w:rPr>
                <w:rFonts w:ascii="Arial" w:hAnsi="Arial" w:cs="Arial"/>
                <w:lang w:val="es-ES_tradnl"/>
              </w:rPr>
            </w:pPr>
          </w:p>
          <w:p w14:paraId="4FC9EC9C" w14:textId="77777777" w:rsidR="00D64882" w:rsidRDefault="00D64882" w:rsidP="00E15A35">
            <w:pPr>
              <w:jc w:val="both"/>
              <w:rPr>
                <w:rFonts w:ascii="Arial" w:hAnsi="Arial" w:cs="Arial"/>
                <w:lang w:val="es-ES_tradnl"/>
              </w:rPr>
            </w:pPr>
          </w:p>
          <w:p w14:paraId="26C27935" w14:textId="77777777" w:rsidR="00D64882" w:rsidRDefault="00D64882" w:rsidP="00E15A35">
            <w:pPr>
              <w:jc w:val="both"/>
              <w:rPr>
                <w:rFonts w:ascii="Arial" w:hAnsi="Arial" w:cs="Arial"/>
                <w:lang w:val="es-ES_tradnl"/>
              </w:rPr>
            </w:pPr>
          </w:p>
          <w:p w14:paraId="50D1A9DF" w14:textId="77777777" w:rsidR="00D64882" w:rsidRDefault="00D64882" w:rsidP="00E15A35">
            <w:pPr>
              <w:jc w:val="both"/>
              <w:rPr>
                <w:rFonts w:ascii="Arial" w:hAnsi="Arial" w:cs="Arial"/>
                <w:lang w:val="es-ES_tradnl"/>
              </w:rPr>
            </w:pPr>
          </w:p>
          <w:p w14:paraId="31ACFCE2" w14:textId="77777777" w:rsidR="00D64882" w:rsidRDefault="00D64882" w:rsidP="00E15A35">
            <w:pPr>
              <w:jc w:val="both"/>
              <w:rPr>
                <w:rFonts w:ascii="Arial" w:hAnsi="Arial" w:cs="Arial"/>
                <w:lang w:val="es-ES_tradnl"/>
              </w:rPr>
            </w:pPr>
          </w:p>
          <w:p w14:paraId="20F876DA" w14:textId="77777777" w:rsidR="00D64882" w:rsidRDefault="00D64882" w:rsidP="00E15A35">
            <w:pPr>
              <w:jc w:val="both"/>
              <w:rPr>
                <w:rFonts w:ascii="Arial" w:hAnsi="Arial" w:cs="Arial"/>
                <w:lang w:val="es-ES_tradnl"/>
              </w:rPr>
            </w:pPr>
          </w:p>
          <w:p w14:paraId="14F60B12" w14:textId="77777777" w:rsidR="00D64882" w:rsidRDefault="00D64882" w:rsidP="00E15A35">
            <w:pPr>
              <w:jc w:val="both"/>
              <w:rPr>
                <w:rFonts w:ascii="Arial" w:hAnsi="Arial" w:cs="Arial"/>
                <w:lang w:val="es-ES_tradnl"/>
              </w:rPr>
            </w:pPr>
          </w:p>
          <w:p w14:paraId="2B70E494" w14:textId="066F1240" w:rsidR="00D64882" w:rsidRPr="001A670C" w:rsidRDefault="00D64882">
            <w:pPr>
              <w:jc w:val="both"/>
              <w:rPr>
                <w:rFonts w:ascii="Arial" w:hAnsi="Arial" w:cs="Arial"/>
                <w:lang w:val="es-ES"/>
              </w:rPr>
            </w:pPr>
            <w:r w:rsidRPr="001A670C">
              <w:rPr>
                <w:rFonts w:ascii="Arial" w:hAnsi="Arial" w:cs="Arial"/>
                <w:lang w:val="es-ES"/>
              </w:rPr>
              <w:lastRenderedPageBreak/>
              <w:t>MME</w:t>
            </w:r>
          </w:p>
          <w:p w14:paraId="3518F1F2" w14:textId="6E1BD9AB" w:rsidR="00D64882" w:rsidRDefault="00D64882" w:rsidP="00E15A35">
            <w:pPr>
              <w:jc w:val="both"/>
              <w:rPr>
                <w:rFonts w:ascii="Arial" w:hAnsi="Arial" w:cs="Arial"/>
                <w:lang w:val="es-ES_tradnl"/>
              </w:rPr>
            </w:pPr>
          </w:p>
          <w:p w14:paraId="3D7A6CB5" w14:textId="77777777" w:rsidR="00D64882" w:rsidRDefault="00D64882" w:rsidP="00E15A35">
            <w:pPr>
              <w:jc w:val="both"/>
              <w:rPr>
                <w:rFonts w:ascii="Arial" w:hAnsi="Arial" w:cs="Arial"/>
                <w:lang w:val="es-ES_tradnl"/>
              </w:rPr>
            </w:pPr>
          </w:p>
          <w:p w14:paraId="2DC37774" w14:textId="77777777" w:rsidR="00D64882" w:rsidRDefault="00D64882" w:rsidP="00E15A35">
            <w:pPr>
              <w:jc w:val="both"/>
              <w:rPr>
                <w:rFonts w:ascii="Arial" w:hAnsi="Arial" w:cs="Arial"/>
                <w:lang w:val="es-ES_tradnl"/>
              </w:rPr>
            </w:pPr>
          </w:p>
          <w:p w14:paraId="763B0443" w14:textId="77777777" w:rsidR="00D64882" w:rsidRDefault="00D64882" w:rsidP="00E15A35">
            <w:pPr>
              <w:jc w:val="both"/>
              <w:rPr>
                <w:rFonts w:ascii="Arial" w:hAnsi="Arial" w:cs="Arial"/>
                <w:lang w:val="es-ES_tradnl"/>
              </w:rPr>
            </w:pPr>
          </w:p>
          <w:p w14:paraId="3D01F1CD" w14:textId="77777777" w:rsidR="00D64882" w:rsidRDefault="00D64882" w:rsidP="00E15A35">
            <w:pPr>
              <w:jc w:val="both"/>
              <w:rPr>
                <w:rFonts w:ascii="Arial" w:hAnsi="Arial" w:cs="Arial"/>
                <w:lang w:val="es-ES_tradnl"/>
              </w:rPr>
            </w:pPr>
          </w:p>
          <w:p w14:paraId="17792150" w14:textId="77777777" w:rsidR="00D64882" w:rsidRDefault="00D64882" w:rsidP="00E15A35">
            <w:pPr>
              <w:jc w:val="both"/>
              <w:rPr>
                <w:rFonts w:ascii="Arial" w:hAnsi="Arial" w:cs="Arial"/>
                <w:lang w:val="es-ES_tradnl"/>
              </w:rPr>
            </w:pPr>
          </w:p>
          <w:p w14:paraId="06013835" w14:textId="77777777" w:rsidR="00D64882" w:rsidRDefault="00D64882" w:rsidP="00E15A35">
            <w:pPr>
              <w:jc w:val="both"/>
              <w:rPr>
                <w:rFonts w:ascii="Arial" w:hAnsi="Arial" w:cs="Arial"/>
                <w:lang w:val="es-ES_tradnl"/>
              </w:rPr>
            </w:pPr>
          </w:p>
          <w:p w14:paraId="659EAB87" w14:textId="59BC0180" w:rsidR="00D64882" w:rsidRPr="001A670C" w:rsidRDefault="00D64882">
            <w:pPr>
              <w:jc w:val="both"/>
              <w:rPr>
                <w:rFonts w:ascii="Arial" w:hAnsi="Arial" w:cs="Arial"/>
                <w:lang w:val="es-ES"/>
              </w:rPr>
            </w:pPr>
            <w:r w:rsidRPr="001A670C">
              <w:rPr>
                <w:rFonts w:ascii="Arial" w:hAnsi="Arial" w:cs="Arial"/>
                <w:lang w:val="es-ES"/>
              </w:rPr>
              <w:t>MME</w:t>
            </w:r>
          </w:p>
        </w:tc>
      </w:tr>
      <w:tr w:rsidR="00654657" w:rsidRPr="001F7E57" w14:paraId="126E4339" w14:textId="13274C89" w:rsidTr="0004797C">
        <w:trPr>
          <w:trHeight w:val="307"/>
        </w:trPr>
        <w:tc>
          <w:tcPr>
            <w:tcW w:w="1975" w:type="dxa"/>
            <w:vMerge/>
          </w:tcPr>
          <w:p w14:paraId="3B985A2F" w14:textId="77777777" w:rsidR="00654657" w:rsidRPr="00A250E5" w:rsidRDefault="00654657" w:rsidP="005D7F6D">
            <w:pPr>
              <w:jc w:val="both"/>
              <w:rPr>
                <w:rFonts w:ascii="Arial" w:hAnsi="Arial" w:cs="Arial"/>
                <w:lang w:val="es-ES_tradnl"/>
              </w:rPr>
            </w:pPr>
          </w:p>
        </w:tc>
        <w:tc>
          <w:tcPr>
            <w:tcW w:w="3132" w:type="dxa"/>
          </w:tcPr>
          <w:p w14:paraId="5EC88980" w14:textId="6819BC6B" w:rsidR="00654657" w:rsidRPr="00A250E5" w:rsidRDefault="00654657" w:rsidP="005D7F6D">
            <w:pPr>
              <w:jc w:val="both"/>
              <w:rPr>
                <w:rFonts w:ascii="Arial" w:hAnsi="Arial" w:cs="Arial"/>
                <w:lang w:val="es-ES_tradnl"/>
              </w:rPr>
            </w:pPr>
            <w:r w:rsidRPr="00A250E5">
              <w:rPr>
                <w:rFonts w:ascii="Arial" w:hAnsi="Arial" w:cs="Arial"/>
                <w:lang w:val="es-ES_tradnl"/>
              </w:rPr>
              <w:t>Regulación que establezca procedimientos y requisitos para avalar proyectos y acceder a los incentivos de la inversión en proyectos de FNCER</w:t>
            </w:r>
            <w:r w:rsidR="001620F6">
              <w:rPr>
                <w:rFonts w:ascii="Arial" w:hAnsi="Arial" w:cs="Arial"/>
                <w:lang w:val="es-ES_tradnl"/>
              </w:rPr>
              <w:t>.</w:t>
            </w:r>
          </w:p>
        </w:tc>
        <w:tc>
          <w:tcPr>
            <w:tcW w:w="3240" w:type="dxa"/>
          </w:tcPr>
          <w:p w14:paraId="4E4FD7D4" w14:textId="77777777" w:rsidR="00654657" w:rsidRPr="00A250E5" w:rsidRDefault="00654657" w:rsidP="00F1387B">
            <w:pPr>
              <w:jc w:val="both"/>
              <w:rPr>
                <w:rFonts w:ascii="Arial" w:hAnsi="Arial" w:cs="Arial"/>
                <w:lang w:val="es-ES"/>
              </w:rPr>
            </w:pPr>
            <w:r w:rsidRPr="00A250E5">
              <w:rPr>
                <w:rFonts w:ascii="Arial" w:hAnsi="Arial" w:cs="Arial"/>
                <w:lang w:val="es-ES"/>
              </w:rPr>
              <w:t>Que el FENOGE se encuentre en funcionamiento y con los recursos financieros asignados.</w:t>
            </w:r>
          </w:p>
          <w:p w14:paraId="6817C22B" w14:textId="77777777" w:rsidR="00654657" w:rsidRPr="00A250E5" w:rsidRDefault="00654657" w:rsidP="00F1387B">
            <w:pPr>
              <w:jc w:val="both"/>
              <w:rPr>
                <w:rFonts w:ascii="Arial" w:hAnsi="Arial" w:cs="Arial"/>
                <w:color w:val="FF0000"/>
                <w:lang w:val="es-ES_tradnl"/>
              </w:rPr>
            </w:pPr>
          </w:p>
          <w:p w14:paraId="7A00DB5D" w14:textId="4F0B5A4A" w:rsidR="00654657" w:rsidRPr="001A670C" w:rsidRDefault="00654657">
            <w:pPr>
              <w:jc w:val="both"/>
              <w:rPr>
                <w:rFonts w:ascii="Arial" w:hAnsi="Arial" w:cs="Arial"/>
                <w:color w:val="FF0000"/>
                <w:lang w:val="es-ES"/>
              </w:rPr>
            </w:pPr>
            <w:r>
              <w:rPr>
                <w:rFonts w:ascii="Arial" w:hAnsi="Arial" w:cs="Arial"/>
                <w:lang w:val="es-ES"/>
              </w:rPr>
              <w:t xml:space="preserve">Que se haya puesto en </w:t>
            </w:r>
            <w:r w:rsidR="00546E2B" w:rsidRPr="00A250E5">
              <w:rPr>
                <w:rFonts w:ascii="Arial" w:hAnsi="Arial" w:cs="Arial"/>
                <w:lang w:val="es-ES"/>
              </w:rPr>
              <w:t>marcha un</w:t>
            </w:r>
            <w:r w:rsidRPr="00A250E5">
              <w:rPr>
                <w:rFonts w:ascii="Arial" w:hAnsi="Arial" w:cs="Arial"/>
                <w:lang w:val="es-ES"/>
              </w:rPr>
              <w:t xml:space="preserve"> sistema de información que presente los proyectos beneficiados con el programa de incentivos tributarios para FNCER.</w:t>
            </w:r>
          </w:p>
        </w:tc>
        <w:tc>
          <w:tcPr>
            <w:tcW w:w="2970" w:type="dxa"/>
          </w:tcPr>
          <w:p w14:paraId="4288FBD6" w14:textId="77777777" w:rsidR="00654657" w:rsidRPr="00E15A35" w:rsidRDefault="00654657" w:rsidP="00E15A35">
            <w:pPr>
              <w:jc w:val="both"/>
              <w:rPr>
                <w:rFonts w:ascii="Arial" w:hAnsi="Arial" w:cs="Arial"/>
                <w:lang w:val="es-ES_tradnl"/>
              </w:rPr>
            </w:pPr>
            <w:r w:rsidRPr="00E15A35">
              <w:rPr>
                <w:rFonts w:ascii="Arial" w:hAnsi="Arial" w:cs="Arial"/>
                <w:lang w:val="es-ES_tradnl"/>
              </w:rPr>
              <w:t xml:space="preserve">Contrato actual de Fiducia Mercantil suscrito y en ejecución. </w:t>
            </w:r>
          </w:p>
          <w:p w14:paraId="08781F49" w14:textId="0354EDAB" w:rsidR="00654657" w:rsidRPr="00E15A35" w:rsidRDefault="00654657" w:rsidP="00E15A35">
            <w:pPr>
              <w:pStyle w:val="ListParagraph"/>
              <w:ind w:left="0"/>
              <w:jc w:val="both"/>
              <w:rPr>
                <w:rFonts w:ascii="Arial" w:hAnsi="Arial" w:cs="Arial"/>
                <w:lang w:val="es-ES_tradnl"/>
              </w:rPr>
            </w:pPr>
          </w:p>
          <w:p w14:paraId="44026F06" w14:textId="77777777" w:rsidR="00654657" w:rsidRDefault="00654657" w:rsidP="00E15A35">
            <w:pPr>
              <w:jc w:val="both"/>
              <w:rPr>
                <w:rFonts w:ascii="Arial" w:hAnsi="Arial" w:cs="Arial"/>
                <w:lang w:val="es-ES_tradnl"/>
              </w:rPr>
            </w:pPr>
          </w:p>
          <w:p w14:paraId="7A14FE57" w14:textId="79F014F0" w:rsidR="00654657" w:rsidRPr="00E15A35" w:rsidRDefault="00654657" w:rsidP="00E15A35">
            <w:pPr>
              <w:jc w:val="both"/>
              <w:rPr>
                <w:rFonts w:ascii="Arial" w:hAnsi="Arial" w:cs="Arial"/>
                <w:lang w:val="es-ES_tradnl"/>
              </w:rPr>
            </w:pPr>
            <w:r w:rsidRPr="00E15A35">
              <w:rPr>
                <w:rFonts w:ascii="Arial" w:hAnsi="Arial" w:cs="Arial"/>
                <w:lang w:val="es-ES_tradnl"/>
              </w:rPr>
              <w:t>Informes UPME con los proyectos de FNCER beneficiados con los incentivos</w:t>
            </w:r>
            <w:r>
              <w:rPr>
                <w:rFonts w:ascii="Arial" w:hAnsi="Arial" w:cs="Arial"/>
                <w:lang w:val="es-ES_tradnl"/>
              </w:rPr>
              <w:t>.</w:t>
            </w:r>
          </w:p>
        </w:tc>
        <w:tc>
          <w:tcPr>
            <w:tcW w:w="1634" w:type="dxa"/>
          </w:tcPr>
          <w:p w14:paraId="65AFEC39" w14:textId="1E985A99" w:rsidR="00654657" w:rsidRPr="001A670C" w:rsidRDefault="00D64882">
            <w:pPr>
              <w:jc w:val="both"/>
              <w:rPr>
                <w:rFonts w:ascii="Arial" w:hAnsi="Arial" w:cs="Arial"/>
                <w:lang w:val="es-ES"/>
              </w:rPr>
            </w:pPr>
            <w:r w:rsidRPr="001A670C">
              <w:rPr>
                <w:rFonts w:ascii="Arial" w:hAnsi="Arial" w:cs="Arial"/>
                <w:lang w:val="es-ES"/>
              </w:rPr>
              <w:t>MME</w:t>
            </w:r>
          </w:p>
        </w:tc>
      </w:tr>
      <w:tr w:rsidR="00654657" w:rsidRPr="001F7E57" w14:paraId="58F5ADF4" w14:textId="29063959" w:rsidTr="0004797C">
        <w:trPr>
          <w:trHeight w:val="231"/>
        </w:trPr>
        <w:tc>
          <w:tcPr>
            <w:tcW w:w="1975" w:type="dxa"/>
            <w:vMerge/>
          </w:tcPr>
          <w:p w14:paraId="2B159FAD" w14:textId="77777777" w:rsidR="00654657" w:rsidRPr="00A250E5" w:rsidRDefault="00654657" w:rsidP="005D7F6D">
            <w:pPr>
              <w:jc w:val="both"/>
              <w:rPr>
                <w:rFonts w:ascii="Arial" w:hAnsi="Arial" w:cs="Arial"/>
                <w:lang w:val="es-ES_tradnl"/>
              </w:rPr>
            </w:pPr>
          </w:p>
        </w:tc>
        <w:tc>
          <w:tcPr>
            <w:tcW w:w="3132" w:type="dxa"/>
          </w:tcPr>
          <w:p w14:paraId="207D4A79" w14:textId="3F2C2D3B" w:rsidR="00654657" w:rsidRPr="00A250E5" w:rsidRDefault="00654657">
            <w:pPr>
              <w:jc w:val="both"/>
              <w:rPr>
                <w:rFonts w:ascii="Arial" w:hAnsi="Arial" w:cs="Arial"/>
                <w:lang w:val="es-ES_tradnl"/>
              </w:rPr>
            </w:pPr>
            <w:r w:rsidRPr="00A250E5">
              <w:rPr>
                <w:rFonts w:ascii="Arial" w:hAnsi="Arial" w:cs="Arial"/>
                <w:lang w:val="es-ES_tradnl"/>
              </w:rPr>
              <w:t xml:space="preserve">Regulación que establezca las condiciones para el proceso de conexión, medida y entrega de excedentes del </w:t>
            </w:r>
            <w:proofErr w:type="spellStart"/>
            <w:r w:rsidRPr="00A250E5">
              <w:rPr>
                <w:rFonts w:ascii="Arial" w:hAnsi="Arial" w:cs="Arial"/>
                <w:lang w:val="es-ES_tradnl"/>
              </w:rPr>
              <w:t>autogenerador</w:t>
            </w:r>
            <w:proofErr w:type="spellEnd"/>
            <w:r w:rsidRPr="00A250E5">
              <w:rPr>
                <w:rFonts w:ascii="Arial" w:hAnsi="Arial" w:cs="Arial"/>
                <w:lang w:val="es-ES_tradnl"/>
              </w:rPr>
              <w:t xml:space="preserve"> a gran escala al Sistema Interconectado Nacional (SIN).</w:t>
            </w:r>
          </w:p>
        </w:tc>
        <w:tc>
          <w:tcPr>
            <w:tcW w:w="3240" w:type="dxa"/>
          </w:tcPr>
          <w:p w14:paraId="019EB9FC" w14:textId="0CBF34B5" w:rsidR="00654657" w:rsidRPr="00A250E5" w:rsidRDefault="00654657" w:rsidP="00F1387B">
            <w:pPr>
              <w:jc w:val="both"/>
              <w:rPr>
                <w:rFonts w:ascii="Arial" w:hAnsi="Arial" w:cs="Arial"/>
                <w:lang w:val="es-ES"/>
              </w:rPr>
            </w:pPr>
            <w:r>
              <w:rPr>
                <w:rFonts w:ascii="Arial" w:hAnsi="Arial" w:cs="Arial"/>
                <w:lang w:val="es-ES"/>
              </w:rPr>
              <w:t>Que se haya expedido la r</w:t>
            </w:r>
            <w:r w:rsidRPr="00A250E5">
              <w:rPr>
                <w:rFonts w:ascii="Arial" w:hAnsi="Arial" w:cs="Arial"/>
                <w:lang w:val="es-ES"/>
              </w:rPr>
              <w:t xml:space="preserve">egulación necesaria para </w:t>
            </w:r>
            <w:r>
              <w:rPr>
                <w:rFonts w:ascii="Arial" w:hAnsi="Arial" w:cs="Arial"/>
                <w:lang w:val="es-ES"/>
              </w:rPr>
              <w:t xml:space="preserve">establecer </w:t>
            </w:r>
            <w:r w:rsidRPr="00A250E5">
              <w:rPr>
                <w:rFonts w:ascii="Arial" w:hAnsi="Arial" w:cs="Arial"/>
                <w:lang w:val="es-ES"/>
              </w:rPr>
              <w:t>la</w:t>
            </w:r>
            <w:r>
              <w:rPr>
                <w:rFonts w:ascii="Arial" w:hAnsi="Arial" w:cs="Arial"/>
                <w:lang w:val="es-ES"/>
              </w:rPr>
              <w:t>s condiciones de</w:t>
            </w:r>
            <w:r w:rsidRPr="00A250E5">
              <w:rPr>
                <w:rFonts w:ascii="Arial" w:hAnsi="Arial" w:cs="Arial"/>
                <w:lang w:val="es-ES"/>
              </w:rPr>
              <w:t xml:space="preserve"> conexión de las FNCER al SIN y ZNI</w:t>
            </w:r>
            <w:r>
              <w:rPr>
                <w:rFonts w:ascii="Arial" w:hAnsi="Arial" w:cs="Arial"/>
                <w:lang w:val="es-ES"/>
              </w:rPr>
              <w:t>, que incluya:</w:t>
            </w:r>
          </w:p>
          <w:p w14:paraId="4151AA99" w14:textId="77777777" w:rsidR="00654657" w:rsidRPr="00A250E5" w:rsidRDefault="00654657" w:rsidP="00F1387B">
            <w:pPr>
              <w:jc w:val="both"/>
              <w:rPr>
                <w:rFonts w:ascii="Arial" w:hAnsi="Arial" w:cs="Arial"/>
                <w:lang w:val="es-ES"/>
              </w:rPr>
            </w:pPr>
          </w:p>
          <w:p w14:paraId="750A964F" w14:textId="77777777" w:rsidR="00654657" w:rsidRPr="00686040" w:rsidRDefault="00654657" w:rsidP="00185ADA">
            <w:pPr>
              <w:pStyle w:val="ListParagraph"/>
              <w:numPr>
                <w:ilvl w:val="0"/>
                <w:numId w:val="3"/>
              </w:numPr>
              <w:ind w:left="254" w:hanging="270"/>
              <w:jc w:val="both"/>
              <w:rPr>
                <w:rFonts w:ascii="Arial" w:hAnsi="Arial" w:cs="Arial"/>
                <w:lang w:val="es-ES"/>
              </w:rPr>
            </w:pPr>
            <w:r w:rsidRPr="00686040">
              <w:rPr>
                <w:rFonts w:ascii="Arial" w:hAnsi="Arial" w:cs="Arial"/>
                <w:lang w:val="es-ES"/>
              </w:rPr>
              <w:t xml:space="preserve">Establecimiento de los requerimientos técnicos de las instalaciones que usen FNCER para la generación eléctrica (solar, eólica, geotérmica) y los </w:t>
            </w:r>
            <w:r w:rsidRPr="00686040">
              <w:rPr>
                <w:rFonts w:ascii="Arial" w:hAnsi="Arial" w:cs="Arial"/>
                <w:lang w:val="es-ES"/>
              </w:rPr>
              <w:lastRenderedPageBreak/>
              <w:t xml:space="preserve">procedimientos para la conexión y operación de los </w:t>
            </w:r>
            <w:proofErr w:type="spellStart"/>
            <w:r w:rsidRPr="00686040">
              <w:rPr>
                <w:rFonts w:ascii="Arial" w:hAnsi="Arial" w:cs="Arial"/>
                <w:lang w:val="es-ES"/>
              </w:rPr>
              <w:t>autogeneradores</w:t>
            </w:r>
            <w:proofErr w:type="spellEnd"/>
            <w:r w:rsidRPr="00686040">
              <w:rPr>
                <w:rFonts w:ascii="Arial" w:hAnsi="Arial" w:cs="Arial"/>
                <w:lang w:val="es-ES"/>
              </w:rPr>
              <w:t xml:space="preserve">. </w:t>
            </w:r>
          </w:p>
          <w:p w14:paraId="32353B21" w14:textId="21F72E2E" w:rsidR="00654657" w:rsidRDefault="00654657" w:rsidP="005D7F6D">
            <w:pPr>
              <w:jc w:val="both"/>
              <w:rPr>
                <w:rFonts w:ascii="Arial" w:hAnsi="Arial" w:cs="Arial"/>
                <w:lang w:val="es-ES"/>
              </w:rPr>
            </w:pPr>
          </w:p>
          <w:p w14:paraId="22B36079" w14:textId="5688B98E" w:rsidR="00D64882" w:rsidRDefault="00D64882" w:rsidP="005D7F6D">
            <w:pPr>
              <w:jc w:val="both"/>
              <w:rPr>
                <w:rFonts w:ascii="Arial" w:hAnsi="Arial" w:cs="Arial"/>
                <w:lang w:val="es-ES"/>
              </w:rPr>
            </w:pPr>
          </w:p>
          <w:p w14:paraId="4879B9EC" w14:textId="77777777" w:rsidR="00D64882" w:rsidRPr="00A250E5" w:rsidRDefault="00D64882" w:rsidP="005D7F6D">
            <w:pPr>
              <w:jc w:val="both"/>
              <w:rPr>
                <w:rFonts w:ascii="Arial" w:hAnsi="Arial" w:cs="Arial"/>
                <w:lang w:val="es-ES"/>
              </w:rPr>
            </w:pPr>
          </w:p>
          <w:p w14:paraId="3F2A2027" w14:textId="77777777" w:rsidR="00654657" w:rsidRPr="00A250E5" w:rsidRDefault="00654657" w:rsidP="00185ADA">
            <w:pPr>
              <w:pStyle w:val="ListParagraph"/>
              <w:numPr>
                <w:ilvl w:val="0"/>
                <w:numId w:val="3"/>
              </w:numPr>
              <w:ind w:left="254" w:hanging="270"/>
              <w:jc w:val="both"/>
              <w:rPr>
                <w:rFonts w:ascii="Arial" w:hAnsi="Arial" w:cs="Arial"/>
                <w:lang w:val="es-ES_tradnl"/>
              </w:rPr>
            </w:pPr>
            <w:r w:rsidRPr="00A250E5">
              <w:rPr>
                <w:rFonts w:ascii="Arial" w:hAnsi="Arial" w:cs="Arial"/>
                <w:lang w:val="es-ES"/>
              </w:rPr>
              <w:t xml:space="preserve">Establecimiento de los procedimientos para la        comercialización de la energía proveniente de los </w:t>
            </w:r>
            <w:proofErr w:type="spellStart"/>
            <w:r w:rsidRPr="00A250E5">
              <w:rPr>
                <w:rFonts w:ascii="Arial" w:hAnsi="Arial" w:cs="Arial"/>
                <w:lang w:val="es-ES"/>
              </w:rPr>
              <w:t>autogeneradores</w:t>
            </w:r>
            <w:proofErr w:type="spellEnd"/>
            <w:r w:rsidRPr="00A250E5">
              <w:rPr>
                <w:rFonts w:ascii="Arial" w:hAnsi="Arial" w:cs="Arial"/>
                <w:lang w:val="es-ES"/>
              </w:rPr>
              <w:t xml:space="preserve"> a pequeña escala.</w:t>
            </w:r>
          </w:p>
        </w:tc>
        <w:tc>
          <w:tcPr>
            <w:tcW w:w="2970" w:type="dxa"/>
          </w:tcPr>
          <w:p w14:paraId="4E2056BA" w14:textId="77777777" w:rsidR="00654657" w:rsidRPr="00E15A35" w:rsidRDefault="00654657" w:rsidP="00E15A35">
            <w:pPr>
              <w:jc w:val="both"/>
              <w:rPr>
                <w:rFonts w:ascii="Arial" w:hAnsi="Arial" w:cs="Arial"/>
                <w:lang w:val="es-ES_tradnl"/>
              </w:rPr>
            </w:pPr>
          </w:p>
          <w:p w14:paraId="49AC0040" w14:textId="77777777" w:rsidR="00654657" w:rsidRDefault="00654657" w:rsidP="00E15A35">
            <w:pPr>
              <w:jc w:val="both"/>
              <w:rPr>
                <w:rFonts w:ascii="Arial" w:hAnsi="Arial" w:cs="Arial"/>
                <w:lang w:val="es-ES_tradnl"/>
              </w:rPr>
            </w:pPr>
          </w:p>
          <w:p w14:paraId="6692798E" w14:textId="77777777" w:rsidR="00654657" w:rsidRDefault="00654657" w:rsidP="00E15A35">
            <w:pPr>
              <w:jc w:val="both"/>
              <w:rPr>
                <w:rFonts w:ascii="Arial" w:hAnsi="Arial" w:cs="Arial"/>
                <w:lang w:val="es-ES_tradnl"/>
              </w:rPr>
            </w:pPr>
          </w:p>
          <w:p w14:paraId="1C4E226A" w14:textId="6BA5BC0E" w:rsidR="00654657" w:rsidRDefault="00654657" w:rsidP="00E15A35">
            <w:pPr>
              <w:jc w:val="both"/>
              <w:rPr>
                <w:rFonts w:ascii="Arial" w:hAnsi="Arial" w:cs="Arial"/>
                <w:lang w:val="es-ES_tradnl"/>
              </w:rPr>
            </w:pPr>
          </w:p>
          <w:p w14:paraId="502C667D" w14:textId="5264978F" w:rsidR="00D64882" w:rsidRDefault="00D64882" w:rsidP="00E15A35">
            <w:pPr>
              <w:jc w:val="both"/>
              <w:rPr>
                <w:rFonts w:ascii="Arial" w:hAnsi="Arial" w:cs="Arial"/>
                <w:lang w:val="es-ES_tradnl"/>
              </w:rPr>
            </w:pPr>
          </w:p>
          <w:p w14:paraId="7C8B1093" w14:textId="77777777" w:rsidR="00654657" w:rsidRDefault="00654657" w:rsidP="00E15A35">
            <w:pPr>
              <w:jc w:val="both"/>
              <w:rPr>
                <w:rFonts w:ascii="Arial" w:hAnsi="Arial" w:cs="Arial"/>
                <w:lang w:val="es-ES_tradnl"/>
              </w:rPr>
            </w:pPr>
          </w:p>
          <w:p w14:paraId="7E07CFF5" w14:textId="0EF461C1" w:rsidR="00654657" w:rsidRPr="001A670C" w:rsidRDefault="00654657">
            <w:pPr>
              <w:jc w:val="both"/>
              <w:rPr>
                <w:rFonts w:ascii="Arial" w:hAnsi="Arial" w:cs="Arial"/>
                <w:lang w:val="es-ES"/>
              </w:rPr>
            </w:pPr>
            <w:r w:rsidRPr="001A670C">
              <w:rPr>
                <w:rFonts w:ascii="Arial" w:hAnsi="Arial" w:cs="Arial"/>
                <w:lang w:val="es-ES"/>
              </w:rPr>
              <w:t xml:space="preserve">Diario Oficial No. 50.583 del 9 de abril de 2018 que contiene la Resolución de la CREG No. 038 por la cual se regula la actividad de autogeneración en </w:t>
            </w:r>
            <w:r w:rsidRPr="001A670C">
              <w:rPr>
                <w:rFonts w:ascii="Arial" w:hAnsi="Arial" w:cs="Arial"/>
                <w:lang w:val="es-ES"/>
              </w:rPr>
              <w:lastRenderedPageBreak/>
              <w:t>las ZNI y se dictan algunas disposiciones sobre la generación distribuida en ZNI.</w:t>
            </w:r>
          </w:p>
          <w:p w14:paraId="0CC1F440" w14:textId="77777777" w:rsidR="00654657" w:rsidRPr="00E15A35" w:rsidRDefault="00654657" w:rsidP="00E15A35">
            <w:pPr>
              <w:jc w:val="both"/>
              <w:rPr>
                <w:rFonts w:ascii="Arial" w:hAnsi="Arial" w:cs="Arial"/>
                <w:lang w:val="es-ES_tradnl"/>
              </w:rPr>
            </w:pPr>
          </w:p>
          <w:p w14:paraId="0367DEB6" w14:textId="77777777" w:rsidR="00654657" w:rsidRPr="00E15A35" w:rsidRDefault="00654657" w:rsidP="00E15A35">
            <w:pPr>
              <w:jc w:val="both"/>
              <w:rPr>
                <w:rFonts w:ascii="Arial" w:hAnsi="Arial" w:cs="Arial"/>
                <w:lang w:val="es-ES_tradnl"/>
              </w:rPr>
            </w:pPr>
          </w:p>
          <w:p w14:paraId="42D79BB2" w14:textId="77777777" w:rsidR="00654657" w:rsidRPr="00E15A35" w:rsidRDefault="00654657" w:rsidP="00E15A35">
            <w:pPr>
              <w:jc w:val="both"/>
              <w:rPr>
                <w:rFonts w:ascii="Arial" w:hAnsi="Arial" w:cs="Arial"/>
                <w:lang w:val="es-ES_tradnl"/>
              </w:rPr>
            </w:pPr>
          </w:p>
          <w:p w14:paraId="635542EF" w14:textId="70EF7B26" w:rsidR="00654657" w:rsidRPr="001A670C" w:rsidRDefault="00654657">
            <w:pPr>
              <w:jc w:val="both"/>
              <w:rPr>
                <w:rFonts w:ascii="Arial" w:hAnsi="Arial" w:cs="Arial"/>
                <w:lang w:val="es-ES"/>
              </w:rPr>
            </w:pPr>
            <w:r w:rsidRPr="001A670C">
              <w:rPr>
                <w:rFonts w:ascii="Arial" w:hAnsi="Arial" w:cs="Arial"/>
                <w:lang w:val="es-ES"/>
              </w:rPr>
              <w:t>Diario Oficial No. 50.522 del 01 de marzo de 2018 que contiene la Resolución CREG 030 por la cual se regulan aspectos operativos y comerciales para permitir la integración de la autogeneración a pequeña escala y de la generación distribuida al SIN.</w:t>
            </w:r>
          </w:p>
        </w:tc>
        <w:tc>
          <w:tcPr>
            <w:tcW w:w="1634" w:type="dxa"/>
          </w:tcPr>
          <w:p w14:paraId="602BF841" w14:textId="77777777" w:rsidR="00654657" w:rsidRDefault="00654657" w:rsidP="00E15A35">
            <w:pPr>
              <w:jc w:val="both"/>
              <w:rPr>
                <w:rFonts w:ascii="Arial" w:hAnsi="Arial" w:cs="Arial"/>
                <w:lang w:val="es-ES_tradnl"/>
              </w:rPr>
            </w:pPr>
          </w:p>
          <w:p w14:paraId="4F32319A" w14:textId="77777777" w:rsidR="00D64882" w:rsidRDefault="00D64882" w:rsidP="00E15A35">
            <w:pPr>
              <w:jc w:val="both"/>
              <w:rPr>
                <w:rFonts w:ascii="Arial" w:hAnsi="Arial" w:cs="Arial"/>
                <w:lang w:val="es-ES_tradnl"/>
              </w:rPr>
            </w:pPr>
          </w:p>
          <w:p w14:paraId="1A1DAA1F" w14:textId="77777777" w:rsidR="00D64882" w:rsidRDefault="00D64882" w:rsidP="00E15A35">
            <w:pPr>
              <w:jc w:val="both"/>
              <w:rPr>
                <w:rFonts w:ascii="Arial" w:hAnsi="Arial" w:cs="Arial"/>
                <w:lang w:val="es-ES_tradnl"/>
              </w:rPr>
            </w:pPr>
          </w:p>
          <w:p w14:paraId="44A5700D" w14:textId="77777777" w:rsidR="00D64882" w:rsidRDefault="00D64882" w:rsidP="00E15A35">
            <w:pPr>
              <w:jc w:val="both"/>
              <w:rPr>
                <w:rFonts w:ascii="Arial" w:hAnsi="Arial" w:cs="Arial"/>
                <w:lang w:val="es-ES_tradnl"/>
              </w:rPr>
            </w:pPr>
          </w:p>
          <w:p w14:paraId="3C7EE50D" w14:textId="77777777" w:rsidR="00D64882" w:rsidRDefault="00D64882" w:rsidP="00E15A35">
            <w:pPr>
              <w:jc w:val="both"/>
              <w:rPr>
                <w:rFonts w:ascii="Arial" w:hAnsi="Arial" w:cs="Arial"/>
                <w:lang w:val="es-ES_tradnl"/>
              </w:rPr>
            </w:pPr>
          </w:p>
          <w:p w14:paraId="2CE77EB1" w14:textId="77777777" w:rsidR="00D64882" w:rsidRDefault="00D64882" w:rsidP="00E15A35">
            <w:pPr>
              <w:jc w:val="both"/>
              <w:rPr>
                <w:rFonts w:ascii="Arial" w:hAnsi="Arial" w:cs="Arial"/>
                <w:lang w:val="es-ES_tradnl"/>
              </w:rPr>
            </w:pPr>
          </w:p>
          <w:p w14:paraId="1EA57DB7" w14:textId="77777777" w:rsidR="00D64882" w:rsidRPr="001A670C" w:rsidRDefault="00D64882">
            <w:pPr>
              <w:jc w:val="both"/>
              <w:rPr>
                <w:rFonts w:ascii="Arial" w:hAnsi="Arial" w:cs="Arial"/>
                <w:lang w:val="es-ES"/>
              </w:rPr>
            </w:pPr>
            <w:r w:rsidRPr="001A670C">
              <w:rPr>
                <w:rFonts w:ascii="Arial" w:hAnsi="Arial" w:cs="Arial"/>
                <w:lang w:val="es-ES"/>
              </w:rPr>
              <w:t>CREG</w:t>
            </w:r>
          </w:p>
          <w:p w14:paraId="6D017766" w14:textId="77777777" w:rsidR="00D64882" w:rsidRDefault="00D64882" w:rsidP="00E15A35">
            <w:pPr>
              <w:jc w:val="both"/>
              <w:rPr>
                <w:rFonts w:ascii="Arial" w:hAnsi="Arial" w:cs="Arial"/>
                <w:lang w:val="es-ES_tradnl"/>
              </w:rPr>
            </w:pPr>
          </w:p>
          <w:p w14:paraId="18C205EB" w14:textId="77777777" w:rsidR="00D64882" w:rsidRDefault="00D64882" w:rsidP="00E15A35">
            <w:pPr>
              <w:jc w:val="both"/>
              <w:rPr>
                <w:rFonts w:ascii="Arial" w:hAnsi="Arial" w:cs="Arial"/>
                <w:lang w:val="es-ES_tradnl"/>
              </w:rPr>
            </w:pPr>
          </w:p>
          <w:p w14:paraId="04BC5E74" w14:textId="77777777" w:rsidR="00D64882" w:rsidRDefault="00D64882" w:rsidP="00E15A35">
            <w:pPr>
              <w:jc w:val="both"/>
              <w:rPr>
                <w:rFonts w:ascii="Arial" w:hAnsi="Arial" w:cs="Arial"/>
                <w:lang w:val="es-ES_tradnl"/>
              </w:rPr>
            </w:pPr>
          </w:p>
          <w:p w14:paraId="54E10C13" w14:textId="77777777" w:rsidR="00D64882" w:rsidRDefault="00D64882" w:rsidP="00E15A35">
            <w:pPr>
              <w:jc w:val="both"/>
              <w:rPr>
                <w:rFonts w:ascii="Arial" w:hAnsi="Arial" w:cs="Arial"/>
                <w:lang w:val="es-ES_tradnl"/>
              </w:rPr>
            </w:pPr>
          </w:p>
          <w:p w14:paraId="025326A6" w14:textId="77777777" w:rsidR="00D64882" w:rsidRDefault="00D64882" w:rsidP="00E15A35">
            <w:pPr>
              <w:jc w:val="both"/>
              <w:rPr>
                <w:rFonts w:ascii="Arial" w:hAnsi="Arial" w:cs="Arial"/>
                <w:lang w:val="es-ES_tradnl"/>
              </w:rPr>
            </w:pPr>
          </w:p>
          <w:p w14:paraId="1B928BFD" w14:textId="77777777" w:rsidR="00D64882" w:rsidRDefault="00D64882" w:rsidP="00E15A35">
            <w:pPr>
              <w:jc w:val="both"/>
              <w:rPr>
                <w:rFonts w:ascii="Arial" w:hAnsi="Arial" w:cs="Arial"/>
                <w:lang w:val="es-ES_tradnl"/>
              </w:rPr>
            </w:pPr>
          </w:p>
          <w:p w14:paraId="0E189582" w14:textId="77777777" w:rsidR="00D64882" w:rsidRDefault="00D64882" w:rsidP="00E15A35">
            <w:pPr>
              <w:jc w:val="both"/>
              <w:rPr>
                <w:rFonts w:ascii="Arial" w:hAnsi="Arial" w:cs="Arial"/>
                <w:lang w:val="es-ES_tradnl"/>
              </w:rPr>
            </w:pPr>
          </w:p>
          <w:p w14:paraId="1EBE20C8" w14:textId="77777777" w:rsidR="00D64882" w:rsidRDefault="00D64882" w:rsidP="00E15A35">
            <w:pPr>
              <w:jc w:val="both"/>
              <w:rPr>
                <w:rFonts w:ascii="Arial" w:hAnsi="Arial" w:cs="Arial"/>
                <w:lang w:val="es-ES_tradnl"/>
              </w:rPr>
            </w:pPr>
          </w:p>
          <w:p w14:paraId="3168D5DC" w14:textId="77777777" w:rsidR="00D64882" w:rsidRDefault="00D64882" w:rsidP="00E15A35">
            <w:pPr>
              <w:jc w:val="both"/>
              <w:rPr>
                <w:rFonts w:ascii="Arial" w:hAnsi="Arial" w:cs="Arial"/>
                <w:lang w:val="es-ES_tradnl"/>
              </w:rPr>
            </w:pPr>
          </w:p>
          <w:p w14:paraId="60E1517B" w14:textId="77777777" w:rsidR="00D64882" w:rsidRDefault="00D64882" w:rsidP="00E15A35">
            <w:pPr>
              <w:jc w:val="both"/>
              <w:rPr>
                <w:rFonts w:ascii="Arial" w:hAnsi="Arial" w:cs="Arial"/>
                <w:lang w:val="es-ES_tradnl"/>
              </w:rPr>
            </w:pPr>
          </w:p>
          <w:p w14:paraId="6ED2E1B9" w14:textId="0D5ED5D8" w:rsidR="00D64882" w:rsidRPr="00E15A35" w:rsidRDefault="00D64882" w:rsidP="00E15A35">
            <w:pPr>
              <w:jc w:val="both"/>
              <w:rPr>
                <w:rFonts w:ascii="Arial" w:hAnsi="Arial" w:cs="Arial"/>
                <w:lang w:val="es-ES_tradnl"/>
              </w:rPr>
            </w:pPr>
            <w:r w:rsidRPr="001A670C">
              <w:rPr>
                <w:rFonts w:ascii="Arial" w:hAnsi="Arial" w:cs="Arial"/>
                <w:lang w:val="es-ES"/>
              </w:rPr>
              <w:t>CREG</w:t>
            </w:r>
          </w:p>
        </w:tc>
      </w:tr>
      <w:tr w:rsidR="00654657" w:rsidRPr="00A250E5" w14:paraId="44B31C10" w14:textId="2B2A609B" w:rsidTr="0004797C">
        <w:trPr>
          <w:trHeight w:val="294"/>
        </w:trPr>
        <w:tc>
          <w:tcPr>
            <w:tcW w:w="1975" w:type="dxa"/>
            <w:vMerge/>
          </w:tcPr>
          <w:p w14:paraId="641F4F64" w14:textId="77777777" w:rsidR="00654657" w:rsidRPr="00A250E5" w:rsidRDefault="00654657" w:rsidP="00A250E5">
            <w:pPr>
              <w:jc w:val="both"/>
              <w:rPr>
                <w:rFonts w:ascii="Arial" w:hAnsi="Arial" w:cs="Arial"/>
                <w:lang w:val="es-ES_tradnl"/>
              </w:rPr>
            </w:pPr>
          </w:p>
        </w:tc>
        <w:tc>
          <w:tcPr>
            <w:tcW w:w="9342" w:type="dxa"/>
            <w:gridSpan w:val="3"/>
            <w:shd w:val="clear" w:color="auto" w:fill="auto"/>
            <w:vAlign w:val="center"/>
          </w:tcPr>
          <w:p w14:paraId="2035A2CB" w14:textId="77777777" w:rsidR="00654657" w:rsidRPr="00E15A35" w:rsidRDefault="00654657" w:rsidP="00E15A35">
            <w:pPr>
              <w:jc w:val="both"/>
              <w:rPr>
                <w:rFonts w:ascii="Arial" w:hAnsi="Arial" w:cs="Arial"/>
                <w:b/>
                <w:lang w:val="es-ES_tradnl"/>
              </w:rPr>
            </w:pPr>
            <w:r w:rsidRPr="00E15A35">
              <w:rPr>
                <w:rFonts w:ascii="Arial" w:hAnsi="Arial" w:cs="Arial"/>
                <w:b/>
                <w:lang w:val="es-ES_tradnl"/>
              </w:rPr>
              <w:t>Integración Energética Regional</w:t>
            </w:r>
          </w:p>
        </w:tc>
        <w:tc>
          <w:tcPr>
            <w:tcW w:w="1634" w:type="dxa"/>
          </w:tcPr>
          <w:p w14:paraId="13C8F174" w14:textId="77777777" w:rsidR="00654657" w:rsidRPr="00E15A35" w:rsidRDefault="00654657" w:rsidP="00E15A35">
            <w:pPr>
              <w:jc w:val="both"/>
              <w:rPr>
                <w:rFonts w:ascii="Arial" w:hAnsi="Arial" w:cs="Arial"/>
                <w:b/>
                <w:lang w:val="es-ES_tradnl"/>
              </w:rPr>
            </w:pPr>
          </w:p>
        </w:tc>
      </w:tr>
      <w:tr w:rsidR="00654657" w:rsidRPr="001F7E57" w14:paraId="69B6EB22" w14:textId="1EE3AC22" w:rsidTr="0004797C">
        <w:trPr>
          <w:trHeight w:val="307"/>
        </w:trPr>
        <w:tc>
          <w:tcPr>
            <w:tcW w:w="1975" w:type="dxa"/>
            <w:vMerge/>
          </w:tcPr>
          <w:p w14:paraId="2648753F" w14:textId="77777777" w:rsidR="00654657" w:rsidRPr="00A250E5" w:rsidRDefault="00654657" w:rsidP="00A250E5">
            <w:pPr>
              <w:jc w:val="both"/>
              <w:rPr>
                <w:rFonts w:ascii="Arial" w:hAnsi="Arial" w:cs="Arial"/>
                <w:lang w:val="es-ES_tradnl"/>
              </w:rPr>
            </w:pPr>
          </w:p>
        </w:tc>
        <w:tc>
          <w:tcPr>
            <w:tcW w:w="3132" w:type="dxa"/>
            <w:shd w:val="clear" w:color="auto" w:fill="auto"/>
          </w:tcPr>
          <w:p w14:paraId="44C6A6C9" w14:textId="3E5E4749" w:rsidR="00654657" w:rsidRPr="00A250E5" w:rsidRDefault="00654657" w:rsidP="00A250E5">
            <w:pPr>
              <w:jc w:val="both"/>
              <w:rPr>
                <w:rFonts w:ascii="Arial" w:hAnsi="Arial" w:cs="Arial"/>
                <w:lang w:val="es-ES_tradnl"/>
              </w:rPr>
            </w:pPr>
            <w:r w:rsidRPr="00A250E5">
              <w:rPr>
                <w:rFonts w:ascii="Arial" w:hAnsi="Arial" w:cs="Arial"/>
                <w:lang w:val="es-ES_tradnl"/>
              </w:rPr>
              <w:t>Diseño del Proyecto de Decisión del Marco Regulatorio para la interconexión Subregional de los Sistemas Eléctricos e Intercambio Comunitario de Electricidad</w:t>
            </w:r>
            <w:r w:rsidR="001620F6">
              <w:rPr>
                <w:rFonts w:ascii="Arial" w:hAnsi="Arial" w:cs="Arial"/>
                <w:lang w:val="es-ES_tradnl"/>
              </w:rPr>
              <w:t>.</w:t>
            </w:r>
          </w:p>
        </w:tc>
        <w:tc>
          <w:tcPr>
            <w:tcW w:w="3240" w:type="dxa"/>
            <w:shd w:val="clear" w:color="auto" w:fill="auto"/>
          </w:tcPr>
          <w:p w14:paraId="42217280" w14:textId="338F330B" w:rsidR="00654657" w:rsidRDefault="00654657" w:rsidP="00A250E5">
            <w:pPr>
              <w:jc w:val="both"/>
              <w:rPr>
                <w:rFonts w:ascii="Arial" w:hAnsi="Arial" w:cs="Arial"/>
                <w:lang w:val="es-ES_tradnl"/>
              </w:rPr>
            </w:pPr>
            <w:r w:rsidRPr="00704CA3">
              <w:rPr>
                <w:rFonts w:ascii="Arial" w:hAnsi="Arial" w:cs="Arial"/>
                <w:lang w:val="es-ES"/>
              </w:rPr>
              <w:t>Que se haya avanzado en la implementación de las acciones de la Hoja de Ruta del Sistema de Integración Energético Andino (SINEA</w:t>
            </w:r>
            <w:r w:rsidRPr="0088552F">
              <w:rPr>
                <w:rFonts w:ascii="Arial" w:hAnsi="Arial" w:cs="Arial"/>
                <w:lang w:val="es-ES"/>
              </w:rPr>
              <w:t xml:space="preserve">), </w:t>
            </w:r>
            <w:r>
              <w:rPr>
                <w:rFonts w:ascii="Arial" w:hAnsi="Arial" w:cs="Arial"/>
                <w:lang w:val="es-ES"/>
              </w:rPr>
              <w:t>mediante el ajuste a la regulación a las</w:t>
            </w:r>
            <w:r w:rsidRPr="0088552F">
              <w:rPr>
                <w:rFonts w:ascii="Arial" w:hAnsi="Arial" w:cs="Arial"/>
                <w:lang w:val="es-ES"/>
              </w:rPr>
              <w:t>.</w:t>
            </w:r>
            <w:r w:rsidRPr="00E15A35">
              <w:rPr>
                <w:rFonts w:ascii="Arial" w:hAnsi="Arial" w:cs="Arial"/>
                <w:lang w:val="es-ES_tradnl"/>
              </w:rPr>
              <w:t xml:space="preserve"> Transacciones Internacionales de Electricidad de Corto Plazo, TIE</w:t>
            </w:r>
            <w:r w:rsidR="007E2286">
              <w:rPr>
                <w:rFonts w:ascii="Arial" w:hAnsi="Arial" w:cs="Arial"/>
                <w:lang w:val="es-ES_tradnl"/>
              </w:rPr>
              <w:t>.</w:t>
            </w:r>
          </w:p>
          <w:p w14:paraId="59352E20" w14:textId="5CCDB02C" w:rsidR="00D64882" w:rsidRDefault="00D64882" w:rsidP="00A250E5">
            <w:pPr>
              <w:jc w:val="both"/>
              <w:rPr>
                <w:rFonts w:ascii="Arial" w:hAnsi="Arial" w:cs="Arial"/>
                <w:lang w:val="es-ES"/>
              </w:rPr>
            </w:pPr>
          </w:p>
          <w:p w14:paraId="59EC64AB" w14:textId="77777777" w:rsidR="0099259B" w:rsidRDefault="0099259B" w:rsidP="00A250E5">
            <w:pPr>
              <w:jc w:val="both"/>
              <w:rPr>
                <w:rFonts w:ascii="Arial" w:hAnsi="Arial" w:cs="Arial"/>
                <w:lang w:val="es-ES"/>
              </w:rPr>
            </w:pPr>
          </w:p>
          <w:p w14:paraId="4070EDB1" w14:textId="77777777" w:rsidR="00654657" w:rsidRPr="00704CA3" w:rsidRDefault="00654657" w:rsidP="00A250E5">
            <w:pPr>
              <w:jc w:val="both"/>
              <w:rPr>
                <w:rFonts w:ascii="Arial" w:hAnsi="Arial" w:cs="Arial"/>
                <w:lang w:val="es-ES"/>
              </w:rPr>
            </w:pPr>
          </w:p>
          <w:p w14:paraId="13F95001" w14:textId="481DAAAE" w:rsidR="00654657" w:rsidRPr="001F7E57" w:rsidRDefault="00654657" w:rsidP="00A250E5">
            <w:pPr>
              <w:jc w:val="both"/>
              <w:rPr>
                <w:rFonts w:ascii="Arial" w:hAnsi="Arial" w:cs="Arial"/>
                <w:lang w:val="es-ES"/>
              </w:rPr>
            </w:pPr>
            <w:r w:rsidRPr="00704CA3">
              <w:rPr>
                <w:rFonts w:ascii="Arial" w:hAnsi="Arial" w:cs="Arial"/>
                <w:lang w:val="es-ES"/>
              </w:rPr>
              <w:t xml:space="preserve">Que el </w:t>
            </w:r>
            <w:r w:rsidRPr="001F7E57">
              <w:rPr>
                <w:rFonts w:ascii="Arial" w:hAnsi="Arial" w:cs="Arial"/>
                <w:lang w:val="es-ES"/>
              </w:rPr>
              <w:t>Plan de Expansión de Generación y Transmisión de Energía Eléctrica</w:t>
            </w:r>
            <w:r w:rsidRPr="00704CA3">
              <w:rPr>
                <w:rFonts w:ascii="Arial" w:hAnsi="Arial" w:cs="Arial"/>
                <w:lang w:val="es-ES"/>
              </w:rPr>
              <w:t xml:space="preserve"> incluya un análisis de la interconexión Colombia</w:t>
            </w:r>
            <w:r>
              <w:rPr>
                <w:rFonts w:ascii="Arial" w:hAnsi="Arial" w:cs="Arial"/>
                <w:lang w:val="es-ES"/>
              </w:rPr>
              <w:t>-</w:t>
            </w:r>
            <w:r w:rsidRPr="00704CA3">
              <w:rPr>
                <w:rFonts w:ascii="Arial" w:hAnsi="Arial" w:cs="Arial"/>
                <w:lang w:val="es-ES"/>
              </w:rPr>
              <w:t xml:space="preserve"> Ecuador para atender de forma confiable y segura la demanda de energía en el mediano y largo plazo</w:t>
            </w:r>
            <w:r w:rsidR="001620F6">
              <w:rPr>
                <w:rFonts w:ascii="Arial" w:hAnsi="Arial" w:cs="Arial"/>
                <w:lang w:val="es-ES"/>
              </w:rPr>
              <w:t>.</w:t>
            </w:r>
            <w:r w:rsidRPr="00704CA3">
              <w:rPr>
                <w:rFonts w:ascii="Arial" w:hAnsi="Arial" w:cs="Arial"/>
                <w:lang w:val="es-ES"/>
              </w:rPr>
              <w:t xml:space="preserve"> </w:t>
            </w:r>
          </w:p>
        </w:tc>
        <w:tc>
          <w:tcPr>
            <w:tcW w:w="2970" w:type="dxa"/>
          </w:tcPr>
          <w:p w14:paraId="5E7EE7D0" w14:textId="07FAF684" w:rsidR="00654657" w:rsidRPr="001A670C" w:rsidRDefault="00654657">
            <w:pPr>
              <w:jc w:val="both"/>
              <w:rPr>
                <w:rFonts w:ascii="Arial" w:hAnsi="Arial" w:cs="Arial"/>
                <w:lang w:val="es-ES"/>
              </w:rPr>
            </w:pPr>
            <w:r w:rsidRPr="001A670C">
              <w:rPr>
                <w:rFonts w:ascii="Arial" w:hAnsi="Arial" w:cs="Arial"/>
                <w:lang w:val="es-ES"/>
              </w:rPr>
              <w:t>Diario Oficial No. 50.576 del 26 de abril de 2018 que contiene la resolución de la CREG 049 por la cual se modifica y adiciona la Resolución CREG 004 de 2003 que establece la regulación aplicable a las Transacciones Internacionales de Electricidad de Corto Plazo, TIE.</w:t>
            </w:r>
          </w:p>
          <w:p w14:paraId="45901245" w14:textId="30D5E32F" w:rsidR="00654657" w:rsidRPr="00B86CED" w:rsidRDefault="00654657" w:rsidP="00E15A35">
            <w:pPr>
              <w:jc w:val="both"/>
              <w:rPr>
                <w:rFonts w:ascii="Arial" w:hAnsi="Arial" w:cs="Arial"/>
                <w:color w:val="4F81BD" w:themeColor="accent1"/>
                <w:lang w:val="es-ES_tradnl"/>
              </w:rPr>
            </w:pPr>
          </w:p>
          <w:p w14:paraId="06D30D6E" w14:textId="5D90CEED" w:rsidR="00654657" w:rsidRPr="001A670C" w:rsidRDefault="00654657">
            <w:pPr>
              <w:jc w:val="both"/>
              <w:rPr>
                <w:rFonts w:ascii="Arial" w:hAnsi="Arial" w:cs="Arial"/>
                <w:color w:val="4F81BD" w:themeColor="accent1"/>
                <w:lang w:val="es-ES"/>
              </w:rPr>
            </w:pPr>
            <w:r w:rsidRPr="001A670C">
              <w:rPr>
                <w:rFonts w:ascii="Arial" w:hAnsi="Arial" w:cs="Arial"/>
                <w:lang w:val="es-ES"/>
              </w:rPr>
              <w:t xml:space="preserve">Diario Oficial No. 50.675 del 4 de agosto de 2018 que contiene la </w:t>
            </w:r>
            <w:bookmarkStart w:id="1" w:name="_Hlk526502081"/>
            <w:r w:rsidRPr="001A670C">
              <w:rPr>
                <w:rFonts w:ascii="Arial" w:hAnsi="Arial" w:cs="Arial"/>
                <w:lang w:val="es-ES"/>
              </w:rPr>
              <w:t xml:space="preserve">Resolución </w:t>
            </w:r>
            <w:r w:rsidR="00D64882" w:rsidRPr="001A670C">
              <w:rPr>
                <w:rFonts w:ascii="Arial" w:hAnsi="Arial" w:cs="Arial"/>
                <w:lang w:val="es-ES"/>
              </w:rPr>
              <w:t xml:space="preserve">del MME </w:t>
            </w:r>
            <w:r w:rsidRPr="001A670C">
              <w:rPr>
                <w:rFonts w:ascii="Arial" w:hAnsi="Arial" w:cs="Arial"/>
                <w:lang w:val="es-ES"/>
              </w:rPr>
              <w:t xml:space="preserve">No. 40790 </w:t>
            </w:r>
            <w:bookmarkEnd w:id="1"/>
            <w:r w:rsidRPr="001A670C">
              <w:rPr>
                <w:rFonts w:ascii="Arial" w:hAnsi="Arial" w:cs="Arial"/>
                <w:lang w:val="es-ES"/>
              </w:rPr>
              <w:t>por la cual se adopta e</w:t>
            </w:r>
            <w:r w:rsidR="006A24C9">
              <w:rPr>
                <w:rFonts w:ascii="Arial" w:hAnsi="Arial" w:cs="Arial"/>
                <w:lang w:val="es-ES"/>
              </w:rPr>
              <w:t>l</w:t>
            </w:r>
            <w:r w:rsidRPr="001A670C">
              <w:rPr>
                <w:rFonts w:ascii="Arial" w:hAnsi="Arial" w:cs="Arial"/>
                <w:lang w:val="es-ES"/>
              </w:rPr>
              <w:t xml:space="preserve"> Plan de Expansión de Generación y Transmisión de Energía Eléctrica, que incluye un análisis de alternativas de interconexión Colombia – Ecuador.</w:t>
            </w:r>
          </w:p>
        </w:tc>
        <w:tc>
          <w:tcPr>
            <w:tcW w:w="1634" w:type="dxa"/>
          </w:tcPr>
          <w:p w14:paraId="454ED319" w14:textId="77777777" w:rsidR="00654657" w:rsidRPr="001A670C" w:rsidRDefault="00D64882">
            <w:pPr>
              <w:jc w:val="both"/>
              <w:rPr>
                <w:rFonts w:ascii="Arial" w:hAnsi="Arial" w:cs="Arial"/>
                <w:lang w:val="es-ES"/>
              </w:rPr>
            </w:pPr>
            <w:r w:rsidRPr="001A670C">
              <w:rPr>
                <w:rFonts w:ascii="Arial" w:hAnsi="Arial" w:cs="Arial"/>
                <w:lang w:val="es-ES"/>
              </w:rPr>
              <w:t>CREG</w:t>
            </w:r>
          </w:p>
          <w:p w14:paraId="71DF21FB" w14:textId="77777777" w:rsidR="00D64882" w:rsidRDefault="00D64882" w:rsidP="00E15A35">
            <w:pPr>
              <w:jc w:val="both"/>
              <w:rPr>
                <w:rFonts w:ascii="Arial" w:hAnsi="Arial" w:cs="Arial"/>
                <w:lang w:val="es-ES_tradnl"/>
              </w:rPr>
            </w:pPr>
          </w:p>
          <w:p w14:paraId="3E9A84E8" w14:textId="77777777" w:rsidR="00D64882" w:rsidRDefault="00D64882" w:rsidP="00E15A35">
            <w:pPr>
              <w:jc w:val="both"/>
              <w:rPr>
                <w:rFonts w:ascii="Arial" w:hAnsi="Arial" w:cs="Arial"/>
                <w:lang w:val="es-ES_tradnl"/>
              </w:rPr>
            </w:pPr>
          </w:p>
          <w:p w14:paraId="43DF5DB3" w14:textId="77777777" w:rsidR="00D64882" w:rsidRDefault="00D64882" w:rsidP="00E15A35">
            <w:pPr>
              <w:jc w:val="both"/>
              <w:rPr>
                <w:rFonts w:ascii="Arial" w:hAnsi="Arial" w:cs="Arial"/>
                <w:lang w:val="es-ES_tradnl"/>
              </w:rPr>
            </w:pPr>
          </w:p>
          <w:p w14:paraId="72E62346" w14:textId="77777777" w:rsidR="00D64882" w:rsidRDefault="00D64882" w:rsidP="00E15A35">
            <w:pPr>
              <w:jc w:val="both"/>
              <w:rPr>
                <w:rFonts w:ascii="Arial" w:hAnsi="Arial" w:cs="Arial"/>
                <w:lang w:val="es-ES_tradnl"/>
              </w:rPr>
            </w:pPr>
          </w:p>
          <w:p w14:paraId="26F86850" w14:textId="77777777" w:rsidR="00D64882" w:rsidRDefault="00D64882" w:rsidP="00E15A35">
            <w:pPr>
              <w:jc w:val="both"/>
              <w:rPr>
                <w:rFonts w:ascii="Arial" w:hAnsi="Arial" w:cs="Arial"/>
                <w:lang w:val="es-ES_tradnl"/>
              </w:rPr>
            </w:pPr>
          </w:p>
          <w:p w14:paraId="35CB6F20" w14:textId="77777777" w:rsidR="00D64882" w:rsidRDefault="00D64882" w:rsidP="00E15A35">
            <w:pPr>
              <w:jc w:val="both"/>
              <w:rPr>
                <w:rFonts w:ascii="Arial" w:hAnsi="Arial" w:cs="Arial"/>
                <w:lang w:val="es-ES_tradnl"/>
              </w:rPr>
            </w:pPr>
          </w:p>
          <w:p w14:paraId="4A712468" w14:textId="77777777" w:rsidR="00D64882" w:rsidRDefault="00D64882" w:rsidP="00E15A35">
            <w:pPr>
              <w:jc w:val="both"/>
              <w:rPr>
                <w:rFonts w:ascii="Arial" w:hAnsi="Arial" w:cs="Arial"/>
                <w:lang w:val="es-ES_tradnl"/>
              </w:rPr>
            </w:pPr>
          </w:p>
          <w:p w14:paraId="042B3320" w14:textId="77777777" w:rsidR="00D64882" w:rsidRDefault="00D64882" w:rsidP="00E15A35">
            <w:pPr>
              <w:jc w:val="both"/>
              <w:rPr>
                <w:rFonts w:ascii="Arial" w:hAnsi="Arial" w:cs="Arial"/>
                <w:lang w:val="es-ES_tradnl"/>
              </w:rPr>
            </w:pPr>
          </w:p>
          <w:p w14:paraId="4253540C" w14:textId="77777777" w:rsidR="00D64882" w:rsidRDefault="00D64882" w:rsidP="00E15A35">
            <w:pPr>
              <w:jc w:val="both"/>
              <w:rPr>
                <w:rFonts w:ascii="Arial" w:hAnsi="Arial" w:cs="Arial"/>
                <w:lang w:val="es-ES_tradnl"/>
              </w:rPr>
            </w:pPr>
          </w:p>
          <w:p w14:paraId="5F6204DF" w14:textId="77777777" w:rsidR="00D64882" w:rsidRDefault="00D64882" w:rsidP="00E15A35">
            <w:pPr>
              <w:jc w:val="both"/>
              <w:rPr>
                <w:rFonts w:ascii="Arial" w:hAnsi="Arial" w:cs="Arial"/>
                <w:lang w:val="es-ES_tradnl"/>
              </w:rPr>
            </w:pPr>
          </w:p>
          <w:p w14:paraId="30E0DD64" w14:textId="6AD2B66B" w:rsidR="00D64882" w:rsidRDefault="00D64882" w:rsidP="00E15A35">
            <w:pPr>
              <w:jc w:val="both"/>
              <w:rPr>
                <w:rFonts w:ascii="Arial" w:hAnsi="Arial" w:cs="Arial"/>
                <w:lang w:val="es-ES_tradnl"/>
              </w:rPr>
            </w:pPr>
            <w:r w:rsidRPr="001A670C">
              <w:rPr>
                <w:rFonts w:ascii="Arial" w:hAnsi="Arial" w:cs="Arial"/>
                <w:lang w:val="es-ES"/>
              </w:rPr>
              <w:t>MME</w:t>
            </w:r>
          </w:p>
          <w:p w14:paraId="1F4F68A6" w14:textId="6B4AD52C" w:rsidR="00D64882" w:rsidRDefault="00D64882" w:rsidP="00E15A35">
            <w:pPr>
              <w:jc w:val="both"/>
              <w:rPr>
                <w:rFonts w:ascii="Arial" w:hAnsi="Arial" w:cs="Arial"/>
                <w:lang w:val="es-ES_tradnl"/>
              </w:rPr>
            </w:pPr>
          </w:p>
        </w:tc>
      </w:tr>
      <w:tr w:rsidR="00654657" w:rsidRPr="001F7E57" w14:paraId="28E4CD53" w14:textId="446E690B" w:rsidTr="0004797C">
        <w:trPr>
          <w:trHeight w:val="143"/>
        </w:trPr>
        <w:tc>
          <w:tcPr>
            <w:tcW w:w="1975" w:type="dxa"/>
            <w:shd w:val="clear" w:color="auto" w:fill="auto"/>
          </w:tcPr>
          <w:p w14:paraId="29675DB5" w14:textId="77777777" w:rsidR="00654657" w:rsidRPr="00A250E5" w:rsidRDefault="00654657" w:rsidP="005D7F6D">
            <w:pPr>
              <w:jc w:val="both"/>
              <w:rPr>
                <w:rFonts w:ascii="Arial" w:hAnsi="Arial" w:cs="Arial"/>
                <w:lang w:val="es-ES_tradnl"/>
              </w:rPr>
            </w:pPr>
          </w:p>
        </w:tc>
        <w:tc>
          <w:tcPr>
            <w:tcW w:w="3132" w:type="dxa"/>
            <w:shd w:val="clear" w:color="auto" w:fill="auto"/>
          </w:tcPr>
          <w:p w14:paraId="7D82A0DF" w14:textId="77777777" w:rsidR="00654657" w:rsidRPr="00A250E5" w:rsidRDefault="00654657" w:rsidP="005D7F6D">
            <w:pPr>
              <w:jc w:val="both"/>
              <w:rPr>
                <w:rFonts w:ascii="Arial" w:hAnsi="Arial" w:cs="Arial"/>
                <w:lang w:val="es-ES_tradnl"/>
              </w:rPr>
            </w:pPr>
          </w:p>
        </w:tc>
        <w:tc>
          <w:tcPr>
            <w:tcW w:w="3240" w:type="dxa"/>
            <w:shd w:val="clear" w:color="auto" w:fill="auto"/>
          </w:tcPr>
          <w:p w14:paraId="17628D17" w14:textId="641AD8C6" w:rsidR="00654657" w:rsidRPr="00A250E5" w:rsidRDefault="00654657" w:rsidP="00F14AF5">
            <w:pPr>
              <w:rPr>
                <w:rFonts w:ascii="Arial" w:hAnsi="Arial" w:cs="Arial"/>
                <w:lang w:val="es-ES_tradnl"/>
              </w:rPr>
            </w:pPr>
            <w:r w:rsidRPr="00A250E5">
              <w:rPr>
                <w:rFonts w:ascii="Arial" w:hAnsi="Arial" w:cs="Arial"/>
                <w:lang w:val="es-ES"/>
              </w:rPr>
              <w:t>Que se haya</w:t>
            </w:r>
            <w:r>
              <w:rPr>
                <w:rFonts w:ascii="Arial" w:hAnsi="Arial" w:cs="Arial"/>
                <w:lang w:val="es-ES"/>
              </w:rPr>
              <w:t>n</w:t>
            </w:r>
            <w:r w:rsidRPr="00A250E5">
              <w:rPr>
                <w:rFonts w:ascii="Arial" w:hAnsi="Arial" w:cs="Arial"/>
                <w:lang w:val="es-ES"/>
              </w:rPr>
              <w:t xml:space="preserve"> </w:t>
            </w:r>
            <w:r>
              <w:rPr>
                <w:rFonts w:ascii="Arial" w:hAnsi="Arial" w:cs="Arial"/>
                <w:lang w:val="es-ES"/>
              </w:rPr>
              <w:t xml:space="preserve">revisado las opciones de remuneración de la </w:t>
            </w:r>
            <w:r w:rsidRPr="00A250E5">
              <w:rPr>
                <w:rFonts w:ascii="Arial" w:hAnsi="Arial" w:cs="Arial"/>
                <w:lang w:val="es-ES"/>
              </w:rPr>
              <w:t>Interconexión Colombia-Panamá</w:t>
            </w:r>
            <w:r>
              <w:rPr>
                <w:rFonts w:ascii="Arial" w:hAnsi="Arial" w:cs="Arial"/>
                <w:lang w:val="es-ES"/>
              </w:rPr>
              <w:t>, a fin de recomendar un esquema que permita la viabilidad financiera y eficiencia económica del proyecto.</w:t>
            </w:r>
          </w:p>
        </w:tc>
        <w:tc>
          <w:tcPr>
            <w:tcW w:w="2970" w:type="dxa"/>
            <w:shd w:val="clear" w:color="auto" w:fill="auto"/>
          </w:tcPr>
          <w:p w14:paraId="4A52271B" w14:textId="15CFCED7" w:rsidR="00654657" w:rsidRDefault="00654657" w:rsidP="00F14AF5">
            <w:pPr>
              <w:jc w:val="both"/>
              <w:rPr>
                <w:rFonts w:ascii="Arial" w:hAnsi="Arial" w:cs="Arial"/>
                <w:lang w:val="es-ES_tradnl"/>
              </w:rPr>
            </w:pPr>
            <w:r>
              <w:rPr>
                <w:rFonts w:ascii="Arial" w:hAnsi="Arial" w:cs="Arial"/>
                <w:lang w:val="es-ES_tradnl"/>
              </w:rPr>
              <w:t>Declaración conjunta de los presidentes de Colombia y Panamá con ocasión de la visita oficial del 10 septiembre de 2018.</w:t>
            </w:r>
          </w:p>
          <w:p w14:paraId="0F2A841B" w14:textId="3885AF8E" w:rsidR="00654657" w:rsidRDefault="00654657" w:rsidP="00F14AF5">
            <w:pPr>
              <w:jc w:val="both"/>
              <w:rPr>
                <w:rFonts w:ascii="Arial" w:hAnsi="Arial" w:cs="Arial"/>
                <w:lang w:val="es-ES_tradnl"/>
              </w:rPr>
            </w:pPr>
          </w:p>
          <w:p w14:paraId="7BACA164" w14:textId="1C5D4855" w:rsidR="00654657" w:rsidRDefault="00654657" w:rsidP="00F14AF5">
            <w:pPr>
              <w:jc w:val="both"/>
              <w:rPr>
                <w:rFonts w:ascii="Arial" w:hAnsi="Arial" w:cs="Arial"/>
                <w:lang w:val="es-ES_tradnl"/>
              </w:rPr>
            </w:pPr>
          </w:p>
          <w:p w14:paraId="41AC9728" w14:textId="77777777" w:rsidR="00D64882" w:rsidRDefault="00D64882" w:rsidP="00F14AF5">
            <w:pPr>
              <w:jc w:val="both"/>
              <w:rPr>
                <w:rFonts w:ascii="Arial" w:hAnsi="Arial" w:cs="Arial"/>
                <w:lang w:val="es-ES_tradnl"/>
              </w:rPr>
            </w:pPr>
          </w:p>
          <w:p w14:paraId="46189F3A" w14:textId="77777777" w:rsidR="00654657" w:rsidRDefault="00654657" w:rsidP="00F14AF5">
            <w:pPr>
              <w:jc w:val="both"/>
              <w:rPr>
                <w:rFonts w:ascii="Arial" w:hAnsi="Arial" w:cs="Arial"/>
                <w:lang w:val="es-ES_tradnl"/>
              </w:rPr>
            </w:pPr>
          </w:p>
          <w:p w14:paraId="3ACB6B6B" w14:textId="6151BD12" w:rsidR="00654657" w:rsidRPr="00F14AF5" w:rsidRDefault="00654657" w:rsidP="00E15A35">
            <w:pPr>
              <w:jc w:val="both"/>
              <w:rPr>
                <w:rFonts w:ascii="Arial" w:hAnsi="Arial" w:cs="Arial"/>
                <w:lang w:val="es-ES_tradnl"/>
              </w:rPr>
            </w:pPr>
            <w:r w:rsidRPr="00E15A35">
              <w:rPr>
                <w:rFonts w:ascii="Arial" w:hAnsi="Arial" w:cs="Arial"/>
                <w:lang w:val="es-ES_tradnl"/>
              </w:rPr>
              <w:t>Estudio de la Revisión de Criterios Básicos y del Marco Normativo Resultante para el Desarrollo de la Interconexión Eléctrica y el Intercambio de Energía y Potencia Firme entre Colombia y Panamá</w:t>
            </w:r>
            <w:r>
              <w:rPr>
                <w:rFonts w:ascii="Arial" w:hAnsi="Arial" w:cs="Arial"/>
                <w:lang w:val="es-ES_tradnl"/>
              </w:rPr>
              <w:t>.</w:t>
            </w:r>
          </w:p>
        </w:tc>
        <w:tc>
          <w:tcPr>
            <w:tcW w:w="1634" w:type="dxa"/>
          </w:tcPr>
          <w:p w14:paraId="6B5095EE" w14:textId="77777777" w:rsidR="00654657" w:rsidRPr="001A670C" w:rsidRDefault="00D64882">
            <w:pPr>
              <w:jc w:val="both"/>
              <w:rPr>
                <w:rFonts w:ascii="Arial" w:hAnsi="Arial" w:cs="Arial"/>
                <w:lang w:val="es-ES"/>
              </w:rPr>
            </w:pPr>
            <w:r w:rsidRPr="001A670C">
              <w:rPr>
                <w:rFonts w:ascii="Arial" w:hAnsi="Arial" w:cs="Arial"/>
                <w:lang w:val="es-ES"/>
              </w:rPr>
              <w:t>MME-DNP</w:t>
            </w:r>
          </w:p>
          <w:p w14:paraId="1C063C2B" w14:textId="77777777" w:rsidR="00D64882" w:rsidRDefault="00D64882" w:rsidP="00F14AF5">
            <w:pPr>
              <w:jc w:val="both"/>
              <w:rPr>
                <w:rFonts w:ascii="Arial" w:hAnsi="Arial" w:cs="Arial"/>
                <w:lang w:val="es-ES_tradnl"/>
              </w:rPr>
            </w:pPr>
          </w:p>
          <w:p w14:paraId="2A1E21F3" w14:textId="77777777" w:rsidR="00D64882" w:rsidRDefault="00D64882" w:rsidP="00F14AF5">
            <w:pPr>
              <w:jc w:val="both"/>
              <w:rPr>
                <w:rFonts w:ascii="Arial" w:hAnsi="Arial" w:cs="Arial"/>
                <w:lang w:val="es-ES_tradnl"/>
              </w:rPr>
            </w:pPr>
          </w:p>
          <w:p w14:paraId="3A75D4AF" w14:textId="77777777" w:rsidR="00D64882" w:rsidRDefault="00D64882" w:rsidP="00F14AF5">
            <w:pPr>
              <w:jc w:val="both"/>
              <w:rPr>
                <w:rFonts w:ascii="Arial" w:hAnsi="Arial" w:cs="Arial"/>
                <w:lang w:val="es-ES_tradnl"/>
              </w:rPr>
            </w:pPr>
          </w:p>
          <w:p w14:paraId="548FB608" w14:textId="77777777" w:rsidR="00D64882" w:rsidRDefault="00D64882" w:rsidP="00F14AF5">
            <w:pPr>
              <w:jc w:val="both"/>
              <w:rPr>
                <w:rFonts w:ascii="Arial" w:hAnsi="Arial" w:cs="Arial"/>
                <w:lang w:val="es-ES_tradnl"/>
              </w:rPr>
            </w:pPr>
          </w:p>
          <w:p w14:paraId="512AE5EC" w14:textId="77777777" w:rsidR="00D64882" w:rsidRDefault="00D64882" w:rsidP="00F14AF5">
            <w:pPr>
              <w:jc w:val="both"/>
              <w:rPr>
                <w:rFonts w:ascii="Arial" w:hAnsi="Arial" w:cs="Arial"/>
                <w:lang w:val="es-ES_tradnl"/>
              </w:rPr>
            </w:pPr>
          </w:p>
          <w:p w14:paraId="676CA018" w14:textId="77777777" w:rsidR="00D64882" w:rsidRDefault="00D64882" w:rsidP="00F14AF5">
            <w:pPr>
              <w:jc w:val="both"/>
              <w:rPr>
                <w:rFonts w:ascii="Arial" w:hAnsi="Arial" w:cs="Arial"/>
                <w:lang w:val="es-ES_tradnl"/>
              </w:rPr>
            </w:pPr>
          </w:p>
          <w:p w14:paraId="2AE0E20D" w14:textId="77777777" w:rsidR="00D64882" w:rsidRDefault="00D64882" w:rsidP="00F14AF5">
            <w:pPr>
              <w:jc w:val="both"/>
              <w:rPr>
                <w:rFonts w:ascii="Arial" w:hAnsi="Arial" w:cs="Arial"/>
                <w:lang w:val="es-ES_tradnl"/>
              </w:rPr>
            </w:pPr>
          </w:p>
          <w:p w14:paraId="6C22AE70" w14:textId="77777777" w:rsidR="00D64882" w:rsidRDefault="00D64882" w:rsidP="00F14AF5">
            <w:pPr>
              <w:jc w:val="both"/>
              <w:rPr>
                <w:rFonts w:ascii="Arial" w:hAnsi="Arial" w:cs="Arial"/>
                <w:lang w:val="es-ES_tradnl"/>
              </w:rPr>
            </w:pPr>
          </w:p>
          <w:p w14:paraId="5AC0A270" w14:textId="42590D58" w:rsidR="00D64882" w:rsidRPr="001A670C" w:rsidRDefault="00D64882">
            <w:pPr>
              <w:jc w:val="both"/>
              <w:rPr>
                <w:rFonts w:ascii="Arial" w:hAnsi="Arial" w:cs="Arial"/>
                <w:lang w:val="es-ES"/>
              </w:rPr>
            </w:pPr>
            <w:r w:rsidRPr="001A670C">
              <w:rPr>
                <w:rFonts w:ascii="Arial" w:hAnsi="Arial" w:cs="Arial"/>
                <w:lang w:val="es-ES"/>
              </w:rPr>
              <w:t>CREG</w:t>
            </w:r>
          </w:p>
        </w:tc>
      </w:tr>
      <w:tr w:rsidR="00654657" w:rsidRPr="00D06A82" w14:paraId="2DE01FD4" w14:textId="2B247B8E" w:rsidTr="0004797C">
        <w:trPr>
          <w:trHeight w:val="221"/>
        </w:trPr>
        <w:tc>
          <w:tcPr>
            <w:tcW w:w="11321" w:type="dxa"/>
            <w:gridSpan w:val="4"/>
            <w:shd w:val="clear" w:color="auto" w:fill="D9D9D9" w:themeFill="background1" w:themeFillShade="D9"/>
          </w:tcPr>
          <w:p w14:paraId="6CA5C0BE" w14:textId="7CB2A1CD" w:rsidR="00654657" w:rsidRPr="00D06A82" w:rsidRDefault="00D14EB3" w:rsidP="00E15A35">
            <w:pPr>
              <w:jc w:val="both"/>
              <w:rPr>
                <w:rFonts w:ascii="Arial" w:hAnsi="Arial" w:cs="Arial"/>
                <w:b/>
                <w:lang w:val="es-ES_tradnl"/>
              </w:rPr>
            </w:pPr>
            <w:r w:rsidRPr="00D06A82">
              <w:rPr>
                <w:rFonts w:ascii="Arial" w:hAnsi="Arial" w:cs="Arial"/>
                <w:b/>
                <w:lang w:val="es-ES_tradnl"/>
              </w:rPr>
              <w:t>Subc</w:t>
            </w:r>
            <w:r w:rsidR="00654657" w:rsidRPr="00D06A82">
              <w:rPr>
                <w:rFonts w:ascii="Arial" w:hAnsi="Arial" w:cs="Arial"/>
                <w:b/>
                <w:lang w:val="es-ES_tradnl"/>
              </w:rPr>
              <w:t xml:space="preserve">omponente </w:t>
            </w:r>
            <w:r w:rsidR="00914812">
              <w:rPr>
                <w:rFonts w:ascii="Arial" w:hAnsi="Arial" w:cs="Arial"/>
                <w:b/>
                <w:lang w:val="es-ES_tradnl"/>
              </w:rPr>
              <w:t>2</w:t>
            </w:r>
            <w:r w:rsidR="00654657" w:rsidRPr="00D06A82">
              <w:rPr>
                <w:rFonts w:ascii="Arial" w:hAnsi="Arial" w:cs="Arial"/>
                <w:b/>
                <w:lang w:val="es-ES_tradnl"/>
              </w:rPr>
              <w:t xml:space="preserve">.2. </w:t>
            </w:r>
            <w:bookmarkStart w:id="2" w:name="_Hlk526502294"/>
            <w:r w:rsidR="00654657" w:rsidRPr="00D06A82">
              <w:rPr>
                <w:rFonts w:ascii="Arial" w:hAnsi="Arial" w:cs="Arial"/>
                <w:b/>
                <w:lang w:val="es-ES_tradnl"/>
              </w:rPr>
              <w:t>Fortalecimiento del mercado eléctrico</w:t>
            </w:r>
            <w:bookmarkEnd w:id="2"/>
          </w:p>
        </w:tc>
        <w:tc>
          <w:tcPr>
            <w:tcW w:w="1634" w:type="dxa"/>
            <w:shd w:val="clear" w:color="auto" w:fill="D9D9D9" w:themeFill="background1" w:themeFillShade="D9"/>
          </w:tcPr>
          <w:p w14:paraId="31A4BA66" w14:textId="77777777" w:rsidR="00654657" w:rsidRPr="00E15A35" w:rsidRDefault="00654657" w:rsidP="00E15A35">
            <w:pPr>
              <w:jc w:val="both"/>
              <w:rPr>
                <w:rFonts w:ascii="Arial" w:hAnsi="Arial" w:cs="Arial"/>
                <w:lang w:val="es-ES_tradnl"/>
              </w:rPr>
            </w:pPr>
          </w:p>
        </w:tc>
      </w:tr>
      <w:tr w:rsidR="00654657" w:rsidRPr="00A250E5" w14:paraId="6D0374FE" w14:textId="178F9D4B" w:rsidTr="0004797C">
        <w:trPr>
          <w:trHeight w:val="221"/>
        </w:trPr>
        <w:tc>
          <w:tcPr>
            <w:tcW w:w="1975" w:type="dxa"/>
            <w:vMerge w:val="restart"/>
          </w:tcPr>
          <w:p w14:paraId="0A31C396" w14:textId="77777777" w:rsidR="00654657" w:rsidRPr="00A250E5" w:rsidRDefault="00654657" w:rsidP="00A250E5">
            <w:pPr>
              <w:jc w:val="both"/>
              <w:rPr>
                <w:rFonts w:ascii="Arial" w:hAnsi="Arial" w:cs="Arial"/>
                <w:lang w:val="es-ES_tradnl"/>
              </w:rPr>
            </w:pPr>
            <w:r w:rsidRPr="00A250E5">
              <w:rPr>
                <w:rFonts w:ascii="Arial" w:hAnsi="Arial" w:cs="Arial"/>
                <w:lang w:val="es-ES_tradnl"/>
              </w:rPr>
              <w:t>Fortalecer el MEM con medidas que permitan aumentar y garantizar la oferta de GN para generación y administrar la demanda de energía.</w:t>
            </w:r>
          </w:p>
        </w:tc>
        <w:tc>
          <w:tcPr>
            <w:tcW w:w="9342" w:type="dxa"/>
            <w:gridSpan w:val="3"/>
          </w:tcPr>
          <w:p w14:paraId="3229147B" w14:textId="77777777" w:rsidR="00654657" w:rsidRPr="004452F1" w:rsidRDefault="00654657" w:rsidP="00E15A35">
            <w:pPr>
              <w:jc w:val="both"/>
              <w:rPr>
                <w:rFonts w:ascii="Arial" w:hAnsi="Arial" w:cs="Arial"/>
                <w:b/>
                <w:lang w:val="es-ES_tradnl"/>
              </w:rPr>
            </w:pPr>
            <w:r w:rsidRPr="004452F1">
              <w:rPr>
                <w:rFonts w:ascii="Arial" w:hAnsi="Arial" w:cs="Arial"/>
                <w:b/>
                <w:lang w:val="es-ES_tradnl"/>
              </w:rPr>
              <w:t>Gas Natural (GN)</w:t>
            </w:r>
          </w:p>
        </w:tc>
        <w:tc>
          <w:tcPr>
            <w:tcW w:w="1634" w:type="dxa"/>
          </w:tcPr>
          <w:p w14:paraId="7B920F99" w14:textId="77777777" w:rsidR="00654657" w:rsidRPr="004452F1" w:rsidRDefault="00654657" w:rsidP="00E15A35">
            <w:pPr>
              <w:jc w:val="both"/>
              <w:rPr>
                <w:rFonts w:ascii="Arial" w:hAnsi="Arial" w:cs="Arial"/>
                <w:b/>
                <w:lang w:val="es-ES_tradnl"/>
              </w:rPr>
            </w:pPr>
          </w:p>
        </w:tc>
      </w:tr>
      <w:tr w:rsidR="00C42BA4" w:rsidRPr="001F7E57" w14:paraId="160FF3DF" w14:textId="2D6D5A1E" w:rsidTr="0004797C">
        <w:trPr>
          <w:trHeight w:val="221"/>
        </w:trPr>
        <w:tc>
          <w:tcPr>
            <w:tcW w:w="1975" w:type="dxa"/>
            <w:vMerge/>
          </w:tcPr>
          <w:p w14:paraId="38AC2AF6" w14:textId="77777777" w:rsidR="00C42BA4" w:rsidRPr="00A250E5" w:rsidRDefault="00C42BA4" w:rsidP="00C42BA4">
            <w:pPr>
              <w:jc w:val="both"/>
              <w:rPr>
                <w:rFonts w:ascii="Arial" w:hAnsi="Arial" w:cs="Arial"/>
                <w:lang w:val="es-ES_tradnl"/>
              </w:rPr>
            </w:pPr>
          </w:p>
        </w:tc>
        <w:tc>
          <w:tcPr>
            <w:tcW w:w="3132" w:type="dxa"/>
          </w:tcPr>
          <w:p w14:paraId="3FF8EE6B" w14:textId="3529BB30" w:rsidR="00C42BA4" w:rsidRPr="00A250E5" w:rsidRDefault="00C42BA4" w:rsidP="00C42BA4">
            <w:pPr>
              <w:jc w:val="both"/>
              <w:rPr>
                <w:rFonts w:ascii="Arial" w:hAnsi="Arial" w:cs="Arial"/>
                <w:lang w:val="es-ES_tradnl"/>
              </w:rPr>
            </w:pPr>
            <w:r w:rsidRPr="00A250E5">
              <w:rPr>
                <w:rFonts w:ascii="Arial" w:hAnsi="Arial" w:cs="Arial"/>
                <w:lang w:val="es-ES_tradnl"/>
              </w:rPr>
              <w:t>Diseño de los criterios de ejecución bajo los cuales se implementarán ajustes al esquema de comercialización mayorista de GN</w:t>
            </w:r>
            <w:r w:rsidR="001620F6">
              <w:rPr>
                <w:rFonts w:ascii="Arial" w:hAnsi="Arial" w:cs="Arial"/>
                <w:lang w:val="es-ES_tradnl"/>
              </w:rPr>
              <w:t>.</w:t>
            </w:r>
          </w:p>
          <w:p w14:paraId="4BDF4A8C" w14:textId="77777777" w:rsidR="00C42BA4" w:rsidRPr="00A250E5" w:rsidRDefault="00C42BA4" w:rsidP="00C42BA4">
            <w:pPr>
              <w:jc w:val="both"/>
              <w:rPr>
                <w:rFonts w:ascii="Arial" w:hAnsi="Arial" w:cs="Arial"/>
                <w:lang w:val="es-ES_tradnl"/>
              </w:rPr>
            </w:pPr>
          </w:p>
        </w:tc>
        <w:tc>
          <w:tcPr>
            <w:tcW w:w="3240" w:type="dxa"/>
          </w:tcPr>
          <w:p w14:paraId="503BC83B" w14:textId="6869B020" w:rsidR="00C42BA4" w:rsidRPr="001A670C" w:rsidRDefault="00C42BA4">
            <w:pPr>
              <w:jc w:val="both"/>
              <w:rPr>
                <w:rFonts w:ascii="Arial" w:hAnsi="Arial" w:cs="Arial"/>
                <w:lang w:val="es-ES"/>
              </w:rPr>
            </w:pPr>
            <w:r w:rsidRPr="001A670C">
              <w:rPr>
                <w:rFonts w:ascii="Arial" w:hAnsi="Arial" w:cs="Arial"/>
                <w:lang w:val="es-ES"/>
              </w:rPr>
              <w:t>Que se haya puesto en consulta la regulación que incorpore ajustes a los mecanismos de comercialización del GN.</w:t>
            </w:r>
          </w:p>
        </w:tc>
        <w:tc>
          <w:tcPr>
            <w:tcW w:w="2970" w:type="dxa"/>
          </w:tcPr>
          <w:p w14:paraId="4CF2B4D3" w14:textId="5CEBE40B" w:rsidR="00C42BA4" w:rsidRPr="001A670C" w:rsidRDefault="00C42BA4">
            <w:pPr>
              <w:jc w:val="both"/>
              <w:rPr>
                <w:rFonts w:ascii="Arial" w:hAnsi="Arial" w:cs="Arial"/>
                <w:lang w:val="es-ES"/>
              </w:rPr>
            </w:pPr>
            <w:bookmarkStart w:id="3" w:name="_Hlk526502132"/>
            <w:r w:rsidRPr="001A670C">
              <w:rPr>
                <w:rFonts w:ascii="Arial" w:hAnsi="Arial" w:cs="Arial"/>
                <w:lang w:val="es-ES"/>
              </w:rPr>
              <w:t>Diario Oficial No. 50.638 del 28 de junio de 2018 que contiene la Resolución en Consulta de la CREG No. 072 por el cual se ajustan disposiciones del mercado mayorista de GN contenidas en la RES CREG 114 de 2017.</w:t>
            </w:r>
            <w:bookmarkEnd w:id="3"/>
          </w:p>
        </w:tc>
        <w:tc>
          <w:tcPr>
            <w:tcW w:w="1634" w:type="dxa"/>
          </w:tcPr>
          <w:p w14:paraId="21291DFA" w14:textId="77777777" w:rsidR="00C42BA4" w:rsidRPr="001A670C" w:rsidRDefault="00C42BA4">
            <w:pPr>
              <w:jc w:val="both"/>
              <w:rPr>
                <w:rFonts w:ascii="Arial" w:hAnsi="Arial" w:cs="Arial"/>
                <w:lang w:val="es-ES"/>
              </w:rPr>
            </w:pPr>
            <w:r w:rsidRPr="001A670C">
              <w:rPr>
                <w:rFonts w:ascii="Arial" w:hAnsi="Arial" w:cs="Arial"/>
                <w:lang w:val="es-ES"/>
              </w:rPr>
              <w:t>CREG</w:t>
            </w:r>
          </w:p>
          <w:p w14:paraId="798E0A9E" w14:textId="77777777" w:rsidR="00C42BA4" w:rsidRDefault="00C42BA4" w:rsidP="00C42BA4">
            <w:pPr>
              <w:jc w:val="both"/>
              <w:rPr>
                <w:rFonts w:ascii="Arial" w:hAnsi="Arial" w:cs="Arial"/>
                <w:lang w:val="es-ES_tradnl"/>
              </w:rPr>
            </w:pPr>
          </w:p>
          <w:p w14:paraId="2B8B6A06" w14:textId="77777777" w:rsidR="00C42BA4" w:rsidRDefault="00C42BA4" w:rsidP="00C42BA4">
            <w:pPr>
              <w:jc w:val="both"/>
              <w:rPr>
                <w:rFonts w:ascii="Arial" w:hAnsi="Arial" w:cs="Arial"/>
                <w:lang w:val="es-ES_tradnl"/>
              </w:rPr>
            </w:pPr>
          </w:p>
          <w:p w14:paraId="2AC38854" w14:textId="77777777" w:rsidR="00C42BA4" w:rsidRDefault="00C42BA4" w:rsidP="00C42BA4">
            <w:pPr>
              <w:jc w:val="both"/>
              <w:rPr>
                <w:rFonts w:ascii="Arial" w:hAnsi="Arial" w:cs="Arial"/>
                <w:lang w:val="es-ES_tradnl"/>
              </w:rPr>
            </w:pPr>
          </w:p>
          <w:p w14:paraId="2092907C" w14:textId="77777777" w:rsidR="00C42BA4" w:rsidRDefault="00C42BA4" w:rsidP="00C42BA4">
            <w:pPr>
              <w:jc w:val="both"/>
              <w:rPr>
                <w:rFonts w:ascii="Arial" w:hAnsi="Arial" w:cs="Arial"/>
                <w:lang w:val="es-ES_tradnl"/>
              </w:rPr>
            </w:pPr>
          </w:p>
          <w:p w14:paraId="5229777F" w14:textId="77777777" w:rsidR="00C42BA4" w:rsidRDefault="00C42BA4" w:rsidP="00C42BA4">
            <w:pPr>
              <w:jc w:val="both"/>
              <w:rPr>
                <w:rFonts w:ascii="Arial" w:hAnsi="Arial" w:cs="Arial"/>
                <w:lang w:val="es-ES_tradnl"/>
              </w:rPr>
            </w:pPr>
          </w:p>
          <w:p w14:paraId="1B4880F7" w14:textId="77777777" w:rsidR="00C42BA4" w:rsidRDefault="00C42BA4" w:rsidP="00C42BA4">
            <w:pPr>
              <w:jc w:val="both"/>
              <w:rPr>
                <w:rFonts w:ascii="Arial" w:hAnsi="Arial" w:cs="Arial"/>
                <w:lang w:val="es-ES_tradnl"/>
              </w:rPr>
            </w:pPr>
          </w:p>
          <w:p w14:paraId="54246B1A" w14:textId="77777777" w:rsidR="00C42BA4" w:rsidRDefault="00C42BA4" w:rsidP="00C42BA4">
            <w:pPr>
              <w:jc w:val="both"/>
              <w:rPr>
                <w:rFonts w:ascii="Arial" w:hAnsi="Arial" w:cs="Arial"/>
                <w:lang w:val="es-ES_tradnl"/>
              </w:rPr>
            </w:pPr>
          </w:p>
          <w:p w14:paraId="5726FC5A" w14:textId="325F7933" w:rsidR="00C42BA4" w:rsidRDefault="00C42BA4" w:rsidP="00C42BA4">
            <w:pPr>
              <w:jc w:val="both"/>
              <w:rPr>
                <w:rFonts w:ascii="Arial" w:hAnsi="Arial" w:cs="Arial"/>
                <w:lang w:val="es-ES_tradnl"/>
              </w:rPr>
            </w:pPr>
          </w:p>
        </w:tc>
      </w:tr>
      <w:tr w:rsidR="00654657" w:rsidRPr="001F7E57" w14:paraId="0DE04DAC" w14:textId="0DABDF2A" w:rsidTr="0004797C">
        <w:trPr>
          <w:trHeight w:val="221"/>
        </w:trPr>
        <w:tc>
          <w:tcPr>
            <w:tcW w:w="1975" w:type="dxa"/>
            <w:vMerge/>
          </w:tcPr>
          <w:p w14:paraId="7D0B7718" w14:textId="77777777" w:rsidR="00654657" w:rsidRPr="00A250E5" w:rsidRDefault="00654657" w:rsidP="00A250E5">
            <w:pPr>
              <w:jc w:val="both"/>
              <w:rPr>
                <w:rFonts w:ascii="Arial" w:hAnsi="Arial" w:cs="Arial"/>
                <w:lang w:val="es-ES_tradnl"/>
              </w:rPr>
            </w:pPr>
          </w:p>
        </w:tc>
        <w:tc>
          <w:tcPr>
            <w:tcW w:w="3132" w:type="dxa"/>
          </w:tcPr>
          <w:p w14:paraId="3BE4BFB1" w14:textId="1CFF0272" w:rsidR="00654657" w:rsidRPr="00A250E5" w:rsidRDefault="00654657" w:rsidP="00A250E5">
            <w:pPr>
              <w:jc w:val="both"/>
              <w:rPr>
                <w:rFonts w:ascii="Arial" w:hAnsi="Arial" w:cs="Arial"/>
                <w:lang w:val="es-ES_tradnl"/>
              </w:rPr>
            </w:pPr>
            <w:r w:rsidRPr="00A250E5">
              <w:rPr>
                <w:rFonts w:ascii="Arial" w:hAnsi="Arial" w:cs="Arial"/>
                <w:lang w:val="es-ES_tradnl"/>
              </w:rPr>
              <w:t>Adopción del Plan Transitorio de Abastecimiento de GN</w:t>
            </w:r>
            <w:r w:rsidR="001620F6">
              <w:rPr>
                <w:rFonts w:ascii="Arial" w:hAnsi="Arial" w:cs="Arial"/>
                <w:lang w:val="es-ES_tradnl"/>
              </w:rPr>
              <w:t>.</w:t>
            </w:r>
          </w:p>
        </w:tc>
        <w:tc>
          <w:tcPr>
            <w:tcW w:w="3240" w:type="dxa"/>
          </w:tcPr>
          <w:p w14:paraId="37C75E90" w14:textId="661782AB" w:rsidR="00654657" w:rsidRPr="00A250E5" w:rsidRDefault="00654657">
            <w:pPr>
              <w:jc w:val="both"/>
              <w:rPr>
                <w:rFonts w:ascii="Arial" w:hAnsi="Arial" w:cs="Arial"/>
                <w:lang w:val="es-ES_tradnl"/>
              </w:rPr>
            </w:pPr>
            <w:r>
              <w:rPr>
                <w:rFonts w:ascii="Arial" w:hAnsi="Arial" w:cs="Arial"/>
                <w:lang w:val="es-ES_tradnl"/>
              </w:rPr>
              <w:t xml:space="preserve">Que esté en proceso de implementación </w:t>
            </w:r>
            <w:r w:rsidRPr="00A250E5">
              <w:rPr>
                <w:rFonts w:ascii="Arial" w:hAnsi="Arial" w:cs="Arial"/>
                <w:lang w:val="es-ES_tradnl"/>
              </w:rPr>
              <w:t xml:space="preserve">el plan transitorio de abastecimiento de GN adoptado en 2017. </w:t>
            </w:r>
          </w:p>
        </w:tc>
        <w:tc>
          <w:tcPr>
            <w:tcW w:w="2970" w:type="dxa"/>
          </w:tcPr>
          <w:p w14:paraId="7683925A" w14:textId="4CCA4E9D" w:rsidR="00654657" w:rsidRPr="007F28AC" w:rsidRDefault="00654657" w:rsidP="00E15A35">
            <w:pPr>
              <w:jc w:val="both"/>
              <w:rPr>
                <w:rFonts w:ascii="Arial" w:hAnsi="Arial" w:cs="Arial"/>
                <w:lang w:val="es-ES_tradnl"/>
              </w:rPr>
            </w:pPr>
            <w:r w:rsidRPr="007F28AC">
              <w:rPr>
                <w:rFonts w:ascii="Arial" w:hAnsi="Arial" w:cs="Arial"/>
                <w:lang w:val="es-ES_tradnl"/>
              </w:rPr>
              <w:t xml:space="preserve">Circular Externa de la UPME No. 009-2018, por la cual se publican los </w:t>
            </w:r>
            <w:proofErr w:type="spellStart"/>
            <w:proofErr w:type="gramStart"/>
            <w:r w:rsidRPr="007F28AC">
              <w:rPr>
                <w:rFonts w:ascii="Arial" w:hAnsi="Arial" w:cs="Arial"/>
                <w:lang w:val="es-ES_tradnl"/>
              </w:rPr>
              <w:t>pre-pliegos</w:t>
            </w:r>
            <w:proofErr w:type="spellEnd"/>
            <w:proofErr w:type="gramEnd"/>
            <w:r w:rsidRPr="007F28AC">
              <w:rPr>
                <w:rFonts w:ascii="Arial" w:hAnsi="Arial" w:cs="Arial"/>
                <w:lang w:val="es-ES_tradnl"/>
              </w:rPr>
              <w:t xml:space="preserve"> de licitación de la planta </w:t>
            </w:r>
            <w:proofErr w:type="spellStart"/>
            <w:r w:rsidRPr="007F28AC">
              <w:rPr>
                <w:rFonts w:ascii="Arial" w:hAnsi="Arial" w:cs="Arial"/>
                <w:lang w:val="es-ES_tradnl"/>
              </w:rPr>
              <w:t>regasificadora</w:t>
            </w:r>
            <w:proofErr w:type="spellEnd"/>
            <w:r w:rsidRPr="007F28AC">
              <w:rPr>
                <w:rFonts w:ascii="Arial" w:hAnsi="Arial" w:cs="Arial"/>
                <w:lang w:val="es-ES_tradnl"/>
              </w:rPr>
              <w:t xml:space="preserve"> del Pacífico y Gasoducto Buenaventura Yumbo.</w:t>
            </w:r>
          </w:p>
          <w:p w14:paraId="309270F2" w14:textId="77777777" w:rsidR="00654657" w:rsidRPr="007F28AC" w:rsidRDefault="00654657" w:rsidP="00E15A35">
            <w:pPr>
              <w:jc w:val="both"/>
              <w:rPr>
                <w:rFonts w:ascii="Arial" w:hAnsi="Arial" w:cs="Arial"/>
                <w:lang w:val="es-ES_tradnl"/>
              </w:rPr>
            </w:pPr>
          </w:p>
          <w:p w14:paraId="1380D33D" w14:textId="609856D5" w:rsidR="00654657" w:rsidRPr="007F28AC" w:rsidRDefault="00654657" w:rsidP="00E15A35">
            <w:pPr>
              <w:jc w:val="both"/>
              <w:rPr>
                <w:rFonts w:ascii="Arial" w:hAnsi="Arial" w:cs="Arial"/>
                <w:lang w:val="es-ES_tradnl"/>
              </w:rPr>
            </w:pPr>
            <w:r>
              <w:rPr>
                <w:rFonts w:ascii="Arial" w:hAnsi="Arial" w:cs="Arial"/>
                <w:lang w:val="es-ES_tradnl"/>
              </w:rPr>
              <w:t xml:space="preserve">Diario Oficial No. 50.685 del 14 de agosto de 2018 que </w:t>
            </w:r>
            <w:r>
              <w:rPr>
                <w:rFonts w:ascii="Arial" w:hAnsi="Arial" w:cs="Arial"/>
                <w:lang w:val="es-ES_tradnl"/>
              </w:rPr>
              <w:lastRenderedPageBreak/>
              <w:t xml:space="preserve">contiene la </w:t>
            </w:r>
            <w:r w:rsidRPr="007F28AC">
              <w:rPr>
                <w:rFonts w:ascii="Arial" w:hAnsi="Arial" w:cs="Arial"/>
                <w:lang w:val="es-ES_tradnl"/>
              </w:rPr>
              <w:t>Resolución</w:t>
            </w:r>
            <w:r>
              <w:rPr>
                <w:rFonts w:ascii="Arial" w:hAnsi="Arial" w:cs="Arial"/>
                <w:lang w:val="es-ES_tradnl"/>
              </w:rPr>
              <w:t xml:space="preserve"> de la</w:t>
            </w:r>
            <w:r w:rsidRPr="007F28AC">
              <w:rPr>
                <w:rFonts w:ascii="Arial" w:hAnsi="Arial" w:cs="Arial"/>
                <w:lang w:val="es-ES_tradnl"/>
              </w:rPr>
              <w:t xml:space="preserve"> CREG </w:t>
            </w:r>
            <w:r>
              <w:rPr>
                <w:rFonts w:ascii="Arial" w:hAnsi="Arial" w:cs="Arial"/>
                <w:lang w:val="es-ES_tradnl"/>
              </w:rPr>
              <w:t xml:space="preserve">No. </w:t>
            </w:r>
            <w:r w:rsidRPr="007F28AC">
              <w:rPr>
                <w:rFonts w:ascii="Arial" w:hAnsi="Arial" w:cs="Arial"/>
                <w:lang w:val="es-ES_tradnl"/>
              </w:rPr>
              <w:t xml:space="preserve">113 por la cual se reglamenta la participación de los agentes para participar en la convocatoria de la planta </w:t>
            </w:r>
            <w:proofErr w:type="spellStart"/>
            <w:r w:rsidRPr="007F28AC">
              <w:rPr>
                <w:rFonts w:ascii="Arial" w:hAnsi="Arial" w:cs="Arial"/>
                <w:lang w:val="es-ES_tradnl"/>
              </w:rPr>
              <w:t>regasificadora</w:t>
            </w:r>
            <w:proofErr w:type="spellEnd"/>
            <w:r w:rsidRPr="007F28AC">
              <w:rPr>
                <w:rFonts w:ascii="Arial" w:hAnsi="Arial" w:cs="Arial"/>
                <w:lang w:val="es-ES_tradnl"/>
              </w:rPr>
              <w:t>.</w:t>
            </w:r>
          </w:p>
          <w:p w14:paraId="77400260" w14:textId="77777777" w:rsidR="00654657" w:rsidRPr="007F28AC" w:rsidRDefault="00654657" w:rsidP="00E15A35">
            <w:pPr>
              <w:jc w:val="both"/>
              <w:rPr>
                <w:rFonts w:ascii="Arial" w:hAnsi="Arial" w:cs="Arial"/>
                <w:lang w:val="es-ES_tradnl"/>
              </w:rPr>
            </w:pPr>
          </w:p>
          <w:p w14:paraId="1A9CF3DA" w14:textId="4F48053E" w:rsidR="00654657" w:rsidRPr="001A670C" w:rsidRDefault="00654657">
            <w:pPr>
              <w:jc w:val="both"/>
              <w:rPr>
                <w:rFonts w:ascii="Arial" w:hAnsi="Arial" w:cs="Arial"/>
                <w:lang w:val="es-ES"/>
              </w:rPr>
            </w:pPr>
            <w:r w:rsidRPr="001A670C">
              <w:rPr>
                <w:rFonts w:ascii="Arial" w:hAnsi="Arial" w:cs="Arial"/>
                <w:lang w:val="es-ES"/>
              </w:rPr>
              <w:t>Resolución UPME 801 de 2018 que define Inversiones en proyectos prioritarios del plan de abastecimiento en un sistema de transporte (IPAT) susceptible de ser desarrollado en primera instancia por el transportador incúmbete PROMIGAS S.A. ESP.</w:t>
            </w:r>
          </w:p>
          <w:p w14:paraId="49935982" w14:textId="6CEF5D77" w:rsidR="00654657" w:rsidRDefault="00654657" w:rsidP="00E15A35">
            <w:pPr>
              <w:pStyle w:val="ListParagraph"/>
              <w:ind w:left="0"/>
              <w:jc w:val="both"/>
              <w:rPr>
                <w:rFonts w:ascii="Arial" w:hAnsi="Arial" w:cs="Arial"/>
                <w:highlight w:val="yellow"/>
                <w:lang w:val="es-ES_tradnl"/>
              </w:rPr>
            </w:pPr>
          </w:p>
          <w:p w14:paraId="132BAEDF" w14:textId="18FDE987" w:rsidR="00654657" w:rsidRPr="001A670C" w:rsidRDefault="00654657">
            <w:pPr>
              <w:jc w:val="both"/>
              <w:rPr>
                <w:rFonts w:ascii="Arial" w:hAnsi="Arial" w:cs="Arial"/>
                <w:lang w:val="es-ES"/>
              </w:rPr>
            </w:pPr>
            <w:r w:rsidRPr="001A670C">
              <w:rPr>
                <w:rFonts w:ascii="Arial" w:hAnsi="Arial" w:cs="Arial"/>
                <w:lang w:val="es-ES"/>
              </w:rPr>
              <w:t>Resolución UPME 803 de 2018 que define Inversiones en proyectos prioritarios del plan de abastecimiento en un sistema de transporte (IPAT) susceptible de ser desarrollado en primera instancia por el transportador incúmbete TGI S.A. ESP.</w:t>
            </w:r>
          </w:p>
        </w:tc>
        <w:tc>
          <w:tcPr>
            <w:tcW w:w="1634" w:type="dxa"/>
          </w:tcPr>
          <w:p w14:paraId="717BD1B4" w14:textId="77777777" w:rsidR="00654657" w:rsidRPr="001A670C" w:rsidRDefault="00D64882">
            <w:pPr>
              <w:jc w:val="both"/>
              <w:rPr>
                <w:rFonts w:ascii="Arial" w:hAnsi="Arial" w:cs="Arial"/>
                <w:lang w:val="es-ES"/>
              </w:rPr>
            </w:pPr>
            <w:r w:rsidRPr="001A670C">
              <w:rPr>
                <w:rFonts w:ascii="Arial" w:hAnsi="Arial" w:cs="Arial"/>
                <w:lang w:val="es-ES"/>
              </w:rPr>
              <w:lastRenderedPageBreak/>
              <w:t>UPME</w:t>
            </w:r>
          </w:p>
          <w:p w14:paraId="55EA5797" w14:textId="77777777" w:rsidR="00D64882" w:rsidRDefault="00D64882" w:rsidP="00E15A35">
            <w:pPr>
              <w:jc w:val="both"/>
              <w:rPr>
                <w:rFonts w:ascii="Arial" w:hAnsi="Arial" w:cs="Arial"/>
                <w:lang w:val="es-ES_tradnl"/>
              </w:rPr>
            </w:pPr>
          </w:p>
          <w:p w14:paraId="1E991A39" w14:textId="77777777" w:rsidR="00D64882" w:rsidRDefault="00D64882" w:rsidP="00E15A35">
            <w:pPr>
              <w:jc w:val="both"/>
              <w:rPr>
                <w:rFonts w:ascii="Arial" w:hAnsi="Arial" w:cs="Arial"/>
                <w:lang w:val="es-ES_tradnl"/>
              </w:rPr>
            </w:pPr>
          </w:p>
          <w:p w14:paraId="0E4FA246" w14:textId="77777777" w:rsidR="00D64882" w:rsidRDefault="00D64882" w:rsidP="00E15A35">
            <w:pPr>
              <w:jc w:val="both"/>
              <w:rPr>
                <w:rFonts w:ascii="Arial" w:hAnsi="Arial" w:cs="Arial"/>
                <w:lang w:val="es-ES_tradnl"/>
              </w:rPr>
            </w:pPr>
          </w:p>
          <w:p w14:paraId="4A85A4D0" w14:textId="77777777" w:rsidR="00D64882" w:rsidRDefault="00D64882" w:rsidP="00E15A35">
            <w:pPr>
              <w:jc w:val="both"/>
              <w:rPr>
                <w:rFonts w:ascii="Arial" w:hAnsi="Arial" w:cs="Arial"/>
                <w:lang w:val="es-ES_tradnl"/>
              </w:rPr>
            </w:pPr>
          </w:p>
          <w:p w14:paraId="0C5E1025" w14:textId="77777777" w:rsidR="00D64882" w:rsidRDefault="00D64882" w:rsidP="00E15A35">
            <w:pPr>
              <w:jc w:val="both"/>
              <w:rPr>
                <w:rFonts w:ascii="Arial" w:hAnsi="Arial" w:cs="Arial"/>
                <w:lang w:val="es-ES_tradnl"/>
              </w:rPr>
            </w:pPr>
          </w:p>
          <w:p w14:paraId="3DF41BF1" w14:textId="77777777" w:rsidR="00D64882" w:rsidRDefault="00D64882" w:rsidP="00E15A35">
            <w:pPr>
              <w:jc w:val="both"/>
              <w:rPr>
                <w:rFonts w:ascii="Arial" w:hAnsi="Arial" w:cs="Arial"/>
                <w:lang w:val="es-ES_tradnl"/>
              </w:rPr>
            </w:pPr>
          </w:p>
          <w:p w14:paraId="3EC3A30F" w14:textId="77777777" w:rsidR="00D64882" w:rsidRDefault="00D64882" w:rsidP="00E15A35">
            <w:pPr>
              <w:jc w:val="both"/>
              <w:rPr>
                <w:rFonts w:ascii="Arial" w:hAnsi="Arial" w:cs="Arial"/>
                <w:lang w:val="es-ES_tradnl"/>
              </w:rPr>
            </w:pPr>
          </w:p>
          <w:p w14:paraId="6918B91C" w14:textId="77777777" w:rsidR="00D64882" w:rsidRPr="001A670C" w:rsidRDefault="00D64882">
            <w:pPr>
              <w:jc w:val="both"/>
              <w:rPr>
                <w:rFonts w:ascii="Arial" w:hAnsi="Arial" w:cs="Arial"/>
                <w:lang w:val="es-ES"/>
              </w:rPr>
            </w:pPr>
            <w:r w:rsidRPr="001A670C">
              <w:rPr>
                <w:rFonts w:ascii="Arial" w:hAnsi="Arial" w:cs="Arial"/>
                <w:lang w:val="es-ES"/>
              </w:rPr>
              <w:t>CREG</w:t>
            </w:r>
          </w:p>
          <w:p w14:paraId="47A557FD" w14:textId="77777777" w:rsidR="00D64882" w:rsidRDefault="00D64882" w:rsidP="00E15A35">
            <w:pPr>
              <w:jc w:val="both"/>
              <w:rPr>
                <w:rFonts w:ascii="Arial" w:hAnsi="Arial" w:cs="Arial"/>
                <w:lang w:val="es-ES_tradnl"/>
              </w:rPr>
            </w:pPr>
          </w:p>
          <w:p w14:paraId="4247EA06" w14:textId="77777777" w:rsidR="00D64882" w:rsidRDefault="00D64882" w:rsidP="00E15A35">
            <w:pPr>
              <w:jc w:val="both"/>
              <w:rPr>
                <w:rFonts w:ascii="Arial" w:hAnsi="Arial" w:cs="Arial"/>
                <w:lang w:val="es-ES_tradnl"/>
              </w:rPr>
            </w:pPr>
          </w:p>
          <w:p w14:paraId="310D13C4" w14:textId="77777777" w:rsidR="00D64882" w:rsidRDefault="00D64882" w:rsidP="00E15A35">
            <w:pPr>
              <w:jc w:val="both"/>
              <w:rPr>
                <w:rFonts w:ascii="Arial" w:hAnsi="Arial" w:cs="Arial"/>
                <w:lang w:val="es-ES_tradnl"/>
              </w:rPr>
            </w:pPr>
          </w:p>
          <w:p w14:paraId="145CE0B9" w14:textId="77777777" w:rsidR="00D64882" w:rsidRDefault="00D64882" w:rsidP="00E15A35">
            <w:pPr>
              <w:jc w:val="both"/>
              <w:rPr>
                <w:rFonts w:ascii="Arial" w:hAnsi="Arial" w:cs="Arial"/>
                <w:lang w:val="es-ES_tradnl"/>
              </w:rPr>
            </w:pPr>
          </w:p>
          <w:p w14:paraId="2A15859F" w14:textId="77777777" w:rsidR="00D64882" w:rsidRDefault="00D64882" w:rsidP="00E15A35">
            <w:pPr>
              <w:jc w:val="both"/>
              <w:rPr>
                <w:rFonts w:ascii="Arial" w:hAnsi="Arial" w:cs="Arial"/>
                <w:lang w:val="es-ES_tradnl"/>
              </w:rPr>
            </w:pPr>
          </w:p>
          <w:p w14:paraId="129167BE" w14:textId="77777777" w:rsidR="00D64882" w:rsidRDefault="00D64882" w:rsidP="00E15A35">
            <w:pPr>
              <w:jc w:val="both"/>
              <w:rPr>
                <w:rFonts w:ascii="Arial" w:hAnsi="Arial" w:cs="Arial"/>
                <w:lang w:val="es-ES_tradnl"/>
              </w:rPr>
            </w:pPr>
          </w:p>
          <w:p w14:paraId="5A78EAB1" w14:textId="77777777" w:rsidR="00D64882" w:rsidRDefault="00D64882" w:rsidP="00E15A35">
            <w:pPr>
              <w:jc w:val="both"/>
              <w:rPr>
                <w:rFonts w:ascii="Arial" w:hAnsi="Arial" w:cs="Arial"/>
                <w:lang w:val="es-ES_tradnl"/>
              </w:rPr>
            </w:pPr>
          </w:p>
          <w:p w14:paraId="33A55883" w14:textId="77777777" w:rsidR="00D64882" w:rsidRDefault="00D64882" w:rsidP="00E15A35">
            <w:pPr>
              <w:jc w:val="both"/>
              <w:rPr>
                <w:rFonts w:ascii="Arial" w:hAnsi="Arial" w:cs="Arial"/>
                <w:lang w:val="es-ES_tradnl"/>
              </w:rPr>
            </w:pPr>
          </w:p>
          <w:p w14:paraId="50BC0A02" w14:textId="77777777" w:rsidR="00D64882" w:rsidRPr="001A670C" w:rsidRDefault="00D64882">
            <w:pPr>
              <w:jc w:val="both"/>
              <w:rPr>
                <w:rFonts w:ascii="Arial" w:hAnsi="Arial" w:cs="Arial"/>
                <w:lang w:val="es-ES"/>
              </w:rPr>
            </w:pPr>
            <w:r w:rsidRPr="001A670C">
              <w:rPr>
                <w:rFonts w:ascii="Arial" w:hAnsi="Arial" w:cs="Arial"/>
                <w:lang w:val="es-ES"/>
              </w:rPr>
              <w:t>UPME</w:t>
            </w:r>
          </w:p>
          <w:p w14:paraId="11733EC1" w14:textId="77777777" w:rsidR="00D64882" w:rsidRDefault="00D64882" w:rsidP="00E15A35">
            <w:pPr>
              <w:jc w:val="both"/>
              <w:rPr>
                <w:rFonts w:ascii="Arial" w:hAnsi="Arial" w:cs="Arial"/>
                <w:lang w:val="es-ES_tradnl"/>
              </w:rPr>
            </w:pPr>
          </w:p>
          <w:p w14:paraId="3165C04C" w14:textId="77777777" w:rsidR="00D64882" w:rsidRDefault="00D64882" w:rsidP="00E15A35">
            <w:pPr>
              <w:jc w:val="both"/>
              <w:rPr>
                <w:rFonts w:ascii="Arial" w:hAnsi="Arial" w:cs="Arial"/>
                <w:lang w:val="es-ES_tradnl"/>
              </w:rPr>
            </w:pPr>
          </w:p>
          <w:p w14:paraId="02572E76" w14:textId="77777777" w:rsidR="00D64882" w:rsidRDefault="00D64882" w:rsidP="00E15A35">
            <w:pPr>
              <w:jc w:val="both"/>
              <w:rPr>
                <w:rFonts w:ascii="Arial" w:hAnsi="Arial" w:cs="Arial"/>
                <w:lang w:val="es-ES_tradnl"/>
              </w:rPr>
            </w:pPr>
          </w:p>
          <w:p w14:paraId="7F6BBEDE" w14:textId="77777777" w:rsidR="00D64882" w:rsidRDefault="00D64882" w:rsidP="00E15A35">
            <w:pPr>
              <w:jc w:val="both"/>
              <w:rPr>
                <w:rFonts w:ascii="Arial" w:hAnsi="Arial" w:cs="Arial"/>
                <w:lang w:val="es-ES_tradnl"/>
              </w:rPr>
            </w:pPr>
          </w:p>
          <w:p w14:paraId="33F7C7AA" w14:textId="77777777" w:rsidR="00D64882" w:rsidRDefault="00D64882" w:rsidP="00E15A35">
            <w:pPr>
              <w:jc w:val="both"/>
              <w:rPr>
                <w:rFonts w:ascii="Arial" w:hAnsi="Arial" w:cs="Arial"/>
                <w:lang w:val="es-ES_tradnl"/>
              </w:rPr>
            </w:pPr>
          </w:p>
          <w:p w14:paraId="5BE3D03F" w14:textId="77777777" w:rsidR="00D64882" w:rsidRDefault="00D64882" w:rsidP="00E15A35">
            <w:pPr>
              <w:jc w:val="both"/>
              <w:rPr>
                <w:rFonts w:ascii="Arial" w:hAnsi="Arial" w:cs="Arial"/>
                <w:lang w:val="es-ES_tradnl"/>
              </w:rPr>
            </w:pPr>
          </w:p>
          <w:p w14:paraId="485B3B5A" w14:textId="77777777" w:rsidR="00D64882" w:rsidRDefault="00D64882" w:rsidP="00E15A35">
            <w:pPr>
              <w:jc w:val="both"/>
              <w:rPr>
                <w:rFonts w:ascii="Arial" w:hAnsi="Arial" w:cs="Arial"/>
                <w:lang w:val="es-ES_tradnl"/>
              </w:rPr>
            </w:pPr>
          </w:p>
          <w:p w14:paraId="0E27ED9B" w14:textId="77777777" w:rsidR="00D64882" w:rsidRDefault="00D64882" w:rsidP="00E15A35">
            <w:pPr>
              <w:jc w:val="both"/>
              <w:rPr>
                <w:rFonts w:ascii="Arial" w:hAnsi="Arial" w:cs="Arial"/>
                <w:lang w:val="es-ES_tradnl"/>
              </w:rPr>
            </w:pPr>
          </w:p>
          <w:p w14:paraId="36EBDC5D" w14:textId="77777777" w:rsidR="00D64882" w:rsidRDefault="00D64882" w:rsidP="00E15A35">
            <w:pPr>
              <w:jc w:val="both"/>
              <w:rPr>
                <w:rFonts w:ascii="Arial" w:hAnsi="Arial" w:cs="Arial"/>
                <w:lang w:val="es-ES_tradnl"/>
              </w:rPr>
            </w:pPr>
          </w:p>
          <w:p w14:paraId="02F1EB84" w14:textId="77777777" w:rsidR="00D64882" w:rsidRPr="001A670C" w:rsidRDefault="00D64882">
            <w:pPr>
              <w:jc w:val="both"/>
              <w:rPr>
                <w:rFonts w:ascii="Arial" w:hAnsi="Arial" w:cs="Arial"/>
                <w:lang w:val="es-ES"/>
              </w:rPr>
            </w:pPr>
            <w:r w:rsidRPr="001A670C">
              <w:rPr>
                <w:rFonts w:ascii="Arial" w:hAnsi="Arial" w:cs="Arial"/>
                <w:lang w:val="es-ES"/>
              </w:rPr>
              <w:t>UPME</w:t>
            </w:r>
          </w:p>
          <w:p w14:paraId="05075D62" w14:textId="77777777" w:rsidR="00D64882" w:rsidRDefault="00D64882" w:rsidP="00E15A35">
            <w:pPr>
              <w:jc w:val="both"/>
              <w:rPr>
                <w:rFonts w:ascii="Arial" w:hAnsi="Arial" w:cs="Arial"/>
                <w:lang w:val="es-ES_tradnl"/>
              </w:rPr>
            </w:pPr>
          </w:p>
          <w:p w14:paraId="4BD7D969" w14:textId="77777777" w:rsidR="00D64882" w:rsidRDefault="00D64882" w:rsidP="00E15A35">
            <w:pPr>
              <w:jc w:val="both"/>
              <w:rPr>
                <w:rFonts w:ascii="Arial" w:hAnsi="Arial" w:cs="Arial"/>
                <w:lang w:val="es-ES_tradnl"/>
              </w:rPr>
            </w:pPr>
          </w:p>
          <w:p w14:paraId="000B069D" w14:textId="77777777" w:rsidR="00D64882" w:rsidRDefault="00D64882" w:rsidP="00E15A35">
            <w:pPr>
              <w:jc w:val="both"/>
              <w:rPr>
                <w:rFonts w:ascii="Arial" w:hAnsi="Arial" w:cs="Arial"/>
                <w:lang w:val="es-ES_tradnl"/>
              </w:rPr>
            </w:pPr>
          </w:p>
          <w:p w14:paraId="7CAAEA64" w14:textId="77777777" w:rsidR="00D64882" w:rsidRDefault="00D64882" w:rsidP="00E15A35">
            <w:pPr>
              <w:jc w:val="both"/>
              <w:rPr>
                <w:rFonts w:ascii="Arial" w:hAnsi="Arial" w:cs="Arial"/>
                <w:lang w:val="es-ES_tradnl"/>
              </w:rPr>
            </w:pPr>
          </w:p>
          <w:p w14:paraId="42261F0C" w14:textId="77777777" w:rsidR="00D64882" w:rsidRDefault="00D64882" w:rsidP="00E15A35">
            <w:pPr>
              <w:jc w:val="both"/>
              <w:rPr>
                <w:rFonts w:ascii="Arial" w:hAnsi="Arial" w:cs="Arial"/>
                <w:lang w:val="es-ES_tradnl"/>
              </w:rPr>
            </w:pPr>
          </w:p>
          <w:p w14:paraId="52ED2EEA" w14:textId="77777777" w:rsidR="00D64882" w:rsidRDefault="00D64882" w:rsidP="00E15A35">
            <w:pPr>
              <w:jc w:val="both"/>
              <w:rPr>
                <w:rFonts w:ascii="Arial" w:hAnsi="Arial" w:cs="Arial"/>
                <w:lang w:val="es-ES_tradnl"/>
              </w:rPr>
            </w:pPr>
          </w:p>
          <w:p w14:paraId="204164DC" w14:textId="77777777" w:rsidR="00D64882" w:rsidRDefault="00D64882" w:rsidP="00E15A35">
            <w:pPr>
              <w:jc w:val="both"/>
              <w:rPr>
                <w:rFonts w:ascii="Arial" w:hAnsi="Arial" w:cs="Arial"/>
                <w:lang w:val="es-ES_tradnl"/>
              </w:rPr>
            </w:pPr>
          </w:p>
          <w:p w14:paraId="159D1944" w14:textId="7F74F6C9" w:rsidR="00D64882" w:rsidRPr="007F28AC" w:rsidRDefault="00D64882" w:rsidP="00E15A35">
            <w:pPr>
              <w:jc w:val="both"/>
              <w:rPr>
                <w:rFonts w:ascii="Arial" w:hAnsi="Arial" w:cs="Arial"/>
                <w:lang w:val="es-ES_tradnl"/>
              </w:rPr>
            </w:pPr>
          </w:p>
        </w:tc>
      </w:tr>
      <w:tr w:rsidR="00654657" w:rsidRPr="001F7E57" w14:paraId="59A5353F" w14:textId="46DEF25C" w:rsidTr="0004797C">
        <w:trPr>
          <w:trHeight w:val="221"/>
        </w:trPr>
        <w:tc>
          <w:tcPr>
            <w:tcW w:w="1975" w:type="dxa"/>
            <w:vMerge/>
          </w:tcPr>
          <w:p w14:paraId="71107CD9" w14:textId="77777777" w:rsidR="00654657" w:rsidRPr="00A250E5" w:rsidRDefault="00654657" w:rsidP="00A250E5">
            <w:pPr>
              <w:jc w:val="both"/>
              <w:rPr>
                <w:rFonts w:ascii="Arial" w:hAnsi="Arial" w:cs="Arial"/>
                <w:lang w:val="es-ES_tradnl"/>
              </w:rPr>
            </w:pPr>
          </w:p>
        </w:tc>
        <w:tc>
          <w:tcPr>
            <w:tcW w:w="3132" w:type="dxa"/>
          </w:tcPr>
          <w:p w14:paraId="209287F8" w14:textId="4FE527F8" w:rsidR="00654657" w:rsidRPr="00A250E5" w:rsidRDefault="00654657" w:rsidP="00A250E5">
            <w:pPr>
              <w:jc w:val="both"/>
              <w:rPr>
                <w:rFonts w:ascii="Arial" w:hAnsi="Arial" w:cs="Arial"/>
                <w:lang w:val="es-ES_tradnl"/>
              </w:rPr>
            </w:pPr>
            <w:r w:rsidRPr="00A250E5">
              <w:rPr>
                <w:rFonts w:ascii="Arial" w:hAnsi="Arial" w:cs="Arial"/>
                <w:lang w:val="es-ES_tradnl"/>
              </w:rPr>
              <w:t>Que esté en operación el Gestor del Mercado de GN, encargado de gestionar los mercados primario y secundario de GN, y responsable de recopilar, centralizar y hacer pública la información transaccional y operativa del sector.</w:t>
            </w:r>
          </w:p>
        </w:tc>
        <w:tc>
          <w:tcPr>
            <w:tcW w:w="3240" w:type="dxa"/>
          </w:tcPr>
          <w:p w14:paraId="307707BE" w14:textId="3BC7E46F" w:rsidR="00654657" w:rsidRPr="00A250E5" w:rsidRDefault="00654657" w:rsidP="00A250E5">
            <w:pPr>
              <w:jc w:val="both"/>
              <w:rPr>
                <w:rFonts w:ascii="Arial" w:hAnsi="Arial" w:cs="Arial"/>
                <w:lang w:val="es-ES_tradnl"/>
              </w:rPr>
            </w:pPr>
            <w:r w:rsidRPr="00A250E5">
              <w:rPr>
                <w:rFonts w:ascii="Arial" w:hAnsi="Arial" w:cs="Arial"/>
                <w:lang w:val="es-ES_tradnl"/>
              </w:rPr>
              <w:t>Que el Gestor de</w:t>
            </w:r>
            <w:r>
              <w:rPr>
                <w:rFonts w:ascii="Arial" w:hAnsi="Arial" w:cs="Arial"/>
                <w:lang w:val="es-ES_tradnl"/>
              </w:rPr>
              <w:t>l</w:t>
            </w:r>
            <w:r w:rsidRPr="00A250E5">
              <w:rPr>
                <w:rFonts w:ascii="Arial" w:hAnsi="Arial" w:cs="Arial"/>
                <w:lang w:val="es-ES_tradnl"/>
              </w:rPr>
              <w:t xml:space="preserve"> Mercado</w:t>
            </w:r>
            <w:r>
              <w:rPr>
                <w:rFonts w:ascii="Arial" w:hAnsi="Arial" w:cs="Arial"/>
                <w:lang w:val="es-ES_tradnl"/>
              </w:rPr>
              <w:t xml:space="preserve"> de GN</w:t>
            </w:r>
            <w:r w:rsidRPr="00A250E5">
              <w:rPr>
                <w:rFonts w:ascii="Arial" w:hAnsi="Arial" w:cs="Arial"/>
                <w:lang w:val="es-ES_tradnl"/>
              </w:rPr>
              <w:t xml:space="preserve"> haya estabilizado </w:t>
            </w:r>
            <w:r>
              <w:rPr>
                <w:rFonts w:ascii="Arial" w:hAnsi="Arial" w:cs="Arial"/>
                <w:lang w:val="es-ES_tradnl"/>
              </w:rPr>
              <w:t>su</w:t>
            </w:r>
            <w:r w:rsidRPr="00A250E5">
              <w:rPr>
                <w:rFonts w:ascii="Arial" w:hAnsi="Arial" w:cs="Arial"/>
                <w:lang w:val="es-ES_tradnl"/>
              </w:rPr>
              <w:t xml:space="preserve"> operación y esté generando indicadores de mercado.</w:t>
            </w:r>
          </w:p>
        </w:tc>
        <w:tc>
          <w:tcPr>
            <w:tcW w:w="2970" w:type="dxa"/>
          </w:tcPr>
          <w:p w14:paraId="096FD0A1" w14:textId="77777777" w:rsidR="00654657" w:rsidRDefault="00F523C5" w:rsidP="00E15A35">
            <w:pPr>
              <w:jc w:val="both"/>
              <w:rPr>
                <w:rFonts w:ascii="Arial" w:hAnsi="Arial" w:cs="Arial"/>
                <w:lang w:val="es-ES_tradnl"/>
              </w:rPr>
            </w:pPr>
            <w:r>
              <w:fldChar w:fldCharType="begin"/>
            </w:r>
            <w:r w:rsidRPr="00D06A82">
              <w:rPr>
                <w:lang w:val="es-ES_tradnl"/>
              </w:rPr>
              <w:instrText xml:space="preserve"> HYPERLINK "http://www.bmcbec.com.co" </w:instrText>
            </w:r>
            <w:r>
              <w:fldChar w:fldCharType="separate"/>
            </w:r>
            <w:r w:rsidR="00654657" w:rsidRPr="007F28AC">
              <w:rPr>
                <w:rStyle w:val="Hyperlink"/>
                <w:rFonts w:ascii="Arial" w:hAnsi="Arial" w:cs="Arial"/>
                <w:color w:val="auto"/>
                <w:lang w:val="es-ES_tradnl"/>
              </w:rPr>
              <w:t>Boletín Electrónico Central</w:t>
            </w:r>
            <w:r>
              <w:rPr>
                <w:rStyle w:val="Hyperlink"/>
                <w:rFonts w:ascii="Arial" w:hAnsi="Arial" w:cs="Arial"/>
                <w:color w:val="auto"/>
                <w:lang w:val="es-ES_tradnl"/>
              </w:rPr>
              <w:fldChar w:fldCharType="end"/>
            </w:r>
            <w:r w:rsidR="00654657" w:rsidRPr="007F28AC">
              <w:rPr>
                <w:rFonts w:ascii="Arial" w:hAnsi="Arial" w:cs="Arial"/>
                <w:lang w:val="es-ES_tradnl"/>
              </w:rPr>
              <w:t xml:space="preserve"> del Gestor del Mercado de GN con informes periódicos del funcionamiento del mercado (anual, semestral, trimestral). </w:t>
            </w:r>
          </w:p>
          <w:p w14:paraId="1278A0D7" w14:textId="77777777" w:rsidR="00654657" w:rsidRDefault="00654657" w:rsidP="00E15A35">
            <w:pPr>
              <w:jc w:val="both"/>
              <w:rPr>
                <w:rFonts w:ascii="Arial" w:hAnsi="Arial" w:cs="Arial"/>
                <w:lang w:val="es-ES_tradnl"/>
              </w:rPr>
            </w:pPr>
          </w:p>
          <w:p w14:paraId="13F2A764" w14:textId="5CDEE869" w:rsidR="00654657" w:rsidRDefault="00654657" w:rsidP="00E15A35">
            <w:pPr>
              <w:jc w:val="both"/>
              <w:rPr>
                <w:rFonts w:ascii="Arial" w:hAnsi="Arial" w:cs="Arial"/>
                <w:lang w:val="es-ES_tradnl"/>
              </w:rPr>
            </w:pPr>
          </w:p>
          <w:p w14:paraId="6E86DA62" w14:textId="4674E46D" w:rsidR="0099259B" w:rsidRDefault="0099259B" w:rsidP="00E15A35">
            <w:pPr>
              <w:jc w:val="both"/>
              <w:rPr>
                <w:rFonts w:ascii="Arial" w:hAnsi="Arial" w:cs="Arial"/>
                <w:lang w:val="es-ES_tradnl"/>
              </w:rPr>
            </w:pPr>
          </w:p>
          <w:p w14:paraId="0D6C0922" w14:textId="04A72789" w:rsidR="0099259B" w:rsidRDefault="0099259B" w:rsidP="00E15A35">
            <w:pPr>
              <w:jc w:val="both"/>
              <w:rPr>
                <w:rFonts w:ascii="Arial" w:hAnsi="Arial" w:cs="Arial"/>
                <w:lang w:val="es-ES_tradnl"/>
              </w:rPr>
            </w:pPr>
          </w:p>
          <w:p w14:paraId="1BA45F81" w14:textId="77777777" w:rsidR="0099259B" w:rsidRDefault="0099259B" w:rsidP="00E15A35">
            <w:pPr>
              <w:jc w:val="both"/>
              <w:rPr>
                <w:rFonts w:ascii="Arial" w:hAnsi="Arial" w:cs="Arial"/>
                <w:lang w:val="es-ES_tradnl"/>
              </w:rPr>
            </w:pPr>
          </w:p>
          <w:p w14:paraId="5998E565" w14:textId="0284E2F7" w:rsidR="00654657" w:rsidRPr="007F28AC" w:rsidRDefault="00654657" w:rsidP="00E15A35">
            <w:pPr>
              <w:jc w:val="both"/>
              <w:rPr>
                <w:rFonts w:ascii="Arial" w:hAnsi="Arial" w:cs="Arial"/>
                <w:lang w:val="es-ES_tradnl"/>
              </w:rPr>
            </w:pPr>
          </w:p>
        </w:tc>
        <w:tc>
          <w:tcPr>
            <w:tcW w:w="1634" w:type="dxa"/>
          </w:tcPr>
          <w:p w14:paraId="72049726" w14:textId="26145C34" w:rsidR="00D64882" w:rsidRPr="001A670C" w:rsidRDefault="00D64882" w:rsidP="00D06A82">
            <w:pPr>
              <w:jc w:val="both"/>
            </w:pPr>
            <w:r w:rsidRPr="001A670C">
              <w:rPr>
                <w:rStyle w:val="Hyperlink"/>
                <w:rFonts w:ascii="Arial" w:hAnsi="Arial" w:cs="Arial"/>
                <w:color w:val="auto"/>
                <w:lang w:val="es-ES"/>
              </w:rPr>
              <w:t>MME</w:t>
            </w:r>
          </w:p>
        </w:tc>
      </w:tr>
      <w:tr w:rsidR="00654657" w:rsidRPr="00D06A82" w14:paraId="5CC5A424" w14:textId="352783F1" w:rsidTr="0004797C">
        <w:trPr>
          <w:trHeight w:val="267"/>
        </w:trPr>
        <w:tc>
          <w:tcPr>
            <w:tcW w:w="1975" w:type="dxa"/>
            <w:vMerge/>
          </w:tcPr>
          <w:p w14:paraId="31F89EC2" w14:textId="77777777" w:rsidR="00654657" w:rsidRPr="00A250E5" w:rsidRDefault="00654657" w:rsidP="00A250E5">
            <w:pPr>
              <w:jc w:val="both"/>
              <w:rPr>
                <w:rFonts w:ascii="Arial" w:hAnsi="Arial" w:cs="Arial"/>
                <w:lang w:val="es-ES_tradnl"/>
              </w:rPr>
            </w:pPr>
          </w:p>
        </w:tc>
        <w:tc>
          <w:tcPr>
            <w:tcW w:w="9342" w:type="dxa"/>
            <w:gridSpan w:val="3"/>
            <w:vAlign w:val="center"/>
          </w:tcPr>
          <w:p w14:paraId="29EF4F65" w14:textId="77777777" w:rsidR="00654657" w:rsidRPr="00B446D7" w:rsidRDefault="00654657" w:rsidP="00E15A35">
            <w:pPr>
              <w:jc w:val="both"/>
              <w:rPr>
                <w:rFonts w:ascii="Arial" w:hAnsi="Arial" w:cs="Arial"/>
                <w:b/>
                <w:lang w:val="es-ES_tradnl"/>
              </w:rPr>
            </w:pPr>
            <w:bookmarkStart w:id="4" w:name="_Hlk526502427"/>
            <w:r w:rsidRPr="00B446D7">
              <w:rPr>
                <w:rFonts w:ascii="Arial" w:hAnsi="Arial" w:cs="Arial"/>
                <w:b/>
                <w:lang w:val="es-ES_tradnl"/>
              </w:rPr>
              <w:t>Gestión Eficiente Demanda Energética (GEDE)</w:t>
            </w:r>
            <w:bookmarkEnd w:id="4"/>
          </w:p>
        </w:tc>
        <w:tc>
          <w:tcPr>
            <w:tcW w:w="1634" w:type="dxa"/>
          </w:tcPr>
          <w:p w14:paraId="47FD8732" w14:textId="77777777" w:rsidR="00654657" w:rsidRPr="00B446D7" w:rsidRDefault="00654657" w:rsidP="00E15A35">
            <w:pPr>
              <w:jc w:val="both"/>
              <w:rPr>
                <w:rFonts w:ascii="Arial" w:hAnsi="Arial" w:cs="Arial"/>
                <w:b/>
                <w:lang w:val="es-ES_tradnl"/>
              </w:rPr>
            </w:pPr>
          </w:p>
        </w:tc>
      </w:tr>
      <w:tr w:rsidR="00654657" w:rsidRPr="001F7E57" w14:paraId="769B5F39" w14:textId="6438706A" w:rsidTr="0004797C">
        <w:trPr>
          <w:trHeight w:val="221"/>
        </w:trPr>
        <w:tc>
          <w:tcPr>
            <w:tcW w:w="1975" w:type="dxa"/>
            <w:vMerge/>
          </w:tcPr>
          <w:p w14:paraId="2536D9BD" w14:textId="77777777" w:rsidR="00654657" w:rsidRPr="00A250E5" w:rsidRDefault="00654657" w:rsidP="00A250E5">
            <w:pPr>
              <w:jc w:val="both"/>
              <w:rPr>
                <w:rFonts w:ascii="Arial" w:hAnsi="Arial" w:cs="Arial"/>
                <w:lang w:val="es-ES_tradnl"/>
              </w:rPr>
            </w:pPr>
          </w:p>
        </w:tc>
        <w:tc>
          <w:tcPr>
            <w:tcW w:w="3132" w:type="dxa"/>
          </w:tcPr>
          <w:p w14:paraId="444BE746" w14:textId="77777777" w:rsidR="00654657" w:rsidRPr="00A250E5" w:rsidRDefault="00654657" w:rsidP="00A250E5">
            <w:pPr>
              <w:jc w:val="both"/>
              <w:rPr>
                <w:rFonts w:ascii="Arial" w:hAnsi="Arial" w:cs="Arial"/>
                <w:lang w:val="es-ES_tradnl"/>
              </w:rPr>
            </w:pPr>
            <w:r w:rsidRPr="00A250E5">
              <w:rPr>
                <w:rFonts w:ascii="Arial" w:hAnsi="Arial" w:cs="Arial"/>
                <w:lang w:val="es-ES_tradnl"/>
              </w:rPr>
              <w:t xml:space="preserve">Desarrollo de los instrumentos técnicos, jurídicos, económico-financieros, de planificación y de información para el Programa de Uso Racional y Eficiente de Energía (PROURE) para el período 2016-2021, que incluya: </w:t>
            </w:r>
          </w:p>
          <w:p w14:paraId="2EF44A70" w14:textId="77777777" w:rsidR="00654657" w:rsidRPr="00A250E5" w:rsidRDefault="00654657" w:rsidP="00A250E5">
            <w:pPr>
              <w:jc w:val="both"/>
              <w:rPr>
                <w:rFonts w:ascii="Arial" w:hAnsi="Arial" w:cs="Arial"/>
                <w:lang w:val="es-ES_tradnl"/>
              </w:rPr>
            </w:pPr>
          </w:p>
          <w:p w14:paraId="6CD874A4" w14:textId="7E0D995D" w:rsidR="00654657" w:rsidRPr="00A250E5" w:rsidRDefault="00654657" w:rsidP="00A250E5">
            <w:pPr>
              <w:jc w:val="both"/>
              <w:rPr>
                <w:rFonts w:ascii="Arial" w:hAnsi="Arial" w:cs="Arial"/>
                <w:lang w:val="es-ES_tradnl"/>
              </w:rPr>
            </w:pPr>
            <w:r w:rsidRPr="00A250E5">
              <w:rPr>
                <w:rFonts w:ascii="Arial" w:hAnsi="Arial" w:cs="Arial"/>
                <w:lang w:val="es-ES_tradnl"/>
              </w:rPr>
              <w:t>Adopción de un Plan de Acción Indicativo para el desarrollo del PROURE, con sus recursos asociados</w:t>
            </w:r>
            <w:r w:rsidR="001620F6">
              <w:rPr>
                <w:rFonts w:ascii="Arial" w:hAnsi="Arial" w:cs="Arial"/>
                <w:lang w:val="es-ES_tradnl"/>
              </w:rPr>
              <w:t>.</w:t>
            </w:r>
          </w:p>
        </w:tc>
        <w:tc>
          <w:tcPr>
            <w:tcW w:w="3240" w:type="dxa"/>
          </w:tcPr>
          <w:p w14:paraId="0FCD024E" w14:textId="152DEE09" w:rsidR="00654657" w:rsidRPr="00A250E5" w:rsidRDefault="00654657" w:rsidP="00A250E5">
            <w:pPr>
              <w:jc w:val="both"/>
              <w:rPr>
                <w:rFonts w:ascii="Arial" w:hAnsi="Arial" w:cs="Arial"/>
                <w:lang w:val="es-ES_tradnl"/>
              </w:rPr>
            </w:pPr>
            <w:r w:rsidRPr="001F7E57">
              <w:rPr>
                <w:rFonts w:ascii="Arial" w:hAnsi="Arial" w:cs="Arial"/>
                <w:lang w:val="es-ES"/>
              </w:rPr>
              <w:t>Que se haya actualizado el marco normativo para que los proyectos de eficiencia energética puedan acceder a incentivos tributarios.</w:t>
            </w:r>
          </w:p>
        </w:tc>
        <w:tc>
          <w:tcPr>
            <w:tcW w:w="2970" w:type="dxa"/>
          </w:tcPr>
          <w:p w14:paraId="46DE175E" w14:textId="0C6DC658" w:rsidR="00654657" w:rsidRPr="001A670C" w:rsidRDefault="00654657">
            <w:pPr>
              <w:jc w:val="both"/>
              <w:rPr>
                <w:rFonts w:ascii="Arial" w:hAnsi="Arial" w:cs="Arial"/>
                <w:lang w:val="es-ES"/>
              </w:rPr>
            </w:pPr>
            <w:r w:rsidRPr="001A670C">
              <w:rPr>
                <w:rFonts w:ascii="Arial" w:hAnsi="Arial" w:cs="Arial"/>
                <w:lang w:val="es-ES"/>
              </w:rPr>
              <w:t xml:space="preserve">Diario Oficial No. 50.700 del 29 de agosto de 2018 que contiene la Resolución UPME No. 463 que establece el procedimiento para que la UPME evalué y emita concepto técnico para que los proyectos de eficiencia energética puedan acceder a los incentivos tributarios. </w:t>
            </w:r>
          </w:p>
          <w:p w14:paraId="5133515B" w14:textId="77777777" w:rsidR="00654657" w:rsidRPr="007F28AC" w:rsidRDefault="00654657" w:rsidP="00E15A35">
            <w:pPr>
              <w:jc w:val="both"/>
              <w:rPr>
                <w:rFonts w:ascii="Arial" w:hAnsi="Arial" w:cs="Arial"/>
                <w:lang w:val="es-ES_tradnl"/>
              </w:rPr>
            </w:pPr>
          </w:p>
          <w:p w14:paraId="38C4F297" w14:textId="175F549C" w:rsidR="00654657" w:rsidRPr="001A670C" w:rsidRDefault="00654657">
            <w:pPr>
              <w:jc w:val="both"/>
              <w:rPr>
                <w:rFonts w:ascii="Arial" w:hAnsi="Arial" w:cs="Arial"/>
                <w:color w:val="4F81BD" w:themeColor="accent1"/>
                <w:lang w:val="es-ES"/>
              </w:rPr>
            </w:pPr>
            <w:r w:rsidRPr="001A670C">
              <w:rPr>
                <w:rFonts w:ascii="Arial" w:hAnsi="Arial" w:cs="Arial"/>
                <w:lang w:val="es-ES"/>
              </w:rPr>
              <w:t xml:space="preserve">Diario Oficial No. 50.554 del 04 de abril de 2018 que contiene la Resolución del </w:t>
            </w:r>
            <w:r w:rsidR="00DD440D">
              <w:rPr>
                <w:rFonts w:ascii="Arial" w:hAnsi="Arial" w:cs="Arial"/>
                <w:lang w:val="es-ES"/>
              </w:rPr>
              <w:t>Ministerio de Ambiente y Desarrollo Sostenible</w:t>
            </w:r>
            <w:r w:rsidR="00DD440D" w:rsidRPr="001A670C">
              <w:rPr>
                <w:rFonts w:ascii="Arial" w:hAnsi="Arial" w:cs="Arial"/>
                <w:lang w:val="es-ES"/>
              </w:rPr>
              <w:t xml:space="preserve"> </w:t>
            </w:r>
            <w:r w:rsidRPr="001A670C">
              <w:rPr>
                <w:rFonts w:ascii="Arial" w:hAnsi="Arial" w:cs="Arial"/>
                <w:lang w:val="es-ES"/>
              </w:rPr>
              <w:t>No. 0509 por la cual se establecen los requisitos para recibir descuento de renta según estatuto tributario.</w:t>
            </w:r>
          </w:p>
        </w:tc>
        <w:tc>
          <w:tcPr>
            <w:tcW w:w="1634" w:type="dxa"/>
          </w:tcPr>
          <w:p w14:paraId="3BFC5D31" w14:textId="77777777" w:rsidR="00654657" w:rsidRPr="001A670C" w:rsidRDefault="00D64882">
            <w:pPr>
              <w:jc w:val="both"/>
              <w:rPr>
                <w:rFonts w:ascii="Arial" w:hAnsi="Arial" w:cs="Arial"/>
                <w:lang w:val="es-ES"/>
              </w:rPr>
            </w:pPr>
            <w:r w:rsidRPr="001A670C">
              <w:rPr>
                <w:rFonts w:ascii="Arial" w:hAnsi="Arial" w:cs="Arial"/>
                <w:lang w:val="es-ES"/>
              </w:rPr>
              <w:t>UPME</w:t>
            </w:r>
          </w:p>
          <w:p w14:paraId="3E4A0ED8" w14:textId="77777777" w:rsidR="00D64882" w:rsidRDefault="00D64882" w:rsidP="00E15A35">
            <w:pPr>
              <w:jc w:val="both"/>
              <w:rPr>
                <w:rFonts w:ascii="Arial" w:hAnsi="Arial" w:cs="Arial"/>
                <w:lang w:val="es-ES_tradnl"/>
              </w:rPr>
            </w:pPr>
          </w:p>
          <w:p w14:paraId="37599DFC" w14:textId="77777777" w:rsidR="00D64882" w:rsidRDefault="00D64882" w:rsidP="00E15A35">
            <w:pPr>
              <w:jc w:val="both"/>
              <w:rPr>
                <w:rFonts w:ascii="Arial" w:hAnsi="Arial" w:cs="Arial"/>
                <w:lang w:val="es-ES_tradnl"/>
              </w:rPr>
            </w:pPr>
          </w:p>
          <w:p w14:paraId="3F266BC0" w14:textId="77777777" w:rsidR="00D64882" w:rsidRDefault="00D64882" w:rsidP="00E15A35">
            <w:pPr>
              <w:jc w:val="both"/>
              <w:rPr>
                <w:rFonts w:ascii="Arial" w:hAnsi="Arial" w:cs="Arial"/>
                <w:lang w:val="es-ES_tradnl"/>
              </w:rPr>
            </w:pPr>
          </w:p>
          <w:p w14:paraId="701340DC" w14:textId="77777777" w:rsidR="00D64882" w:rsidRDefault="00D64882" w:rsidP="00E15A35">
            <w:pPr>
              <w:jc w:val="both"/>
              <w:rPr>
                <w:rFonts w:ascii="Arial" w:hAnsi="Arial" w:cs="Arial"/>
                <w:lang w:val="es-ES_tradnl"/>
              </w:rPr>
            </w:pPr>
          </w:p>
          <w:p w14:paraId="3F1801A8" w14:textId="77777777" w:rsidR="00D64882" w:rsidRDefault="00D64882" w:rsidP="00E15A35">
            <w:pPr>
              <w:jc w:val="both"/>
              <w:rPr>
                <w:rFonts w:ascii="Arial" w:hAnsi="Arial" w:cs="Arial"/>
                <w:lang w:val="es-ES_tradnl"/>
              </w:rPr>
            </w:pPr>
          </w:p>
          <w:p w14:paraId="1D83DEAE" w14:textId="77777777" w:rsidR="00D64882" w:rsidRDefault="00D64882" w:rsidP="00E15A35">
            <w:pPr>
              <w:jc w:val="both"/>
              <w:rPr>
                <w:rFonts w:ascii="Arial" w:hAnsi="Arial" w:cs="Arial"/>
                <w:lang w:val="es-ES_tradnl"/>
              </w:rPr>
            </w:pPr>
          </w:p>
          <w:p w14:paraId="63BFC5B8" w14:textId="77777777" w:rsidR="00D64882" w:rsidRDefault="00D64882" w:rsidP="00E15A35">
            <w:pPr>
              <w:jc w:val="both"/>
              <w:rPr>
                <w:rFonts w:ascii="Arial" w:hAnsi="Arial" w:cs="Arial"/>
                <w:lang w:val="es-ES_tradnl"/>
              </w:rPr>
            </w:pPr>
          </w:p>
          <w:p w14:paraId="5C61F768" w14:textId="77777777" w:rsidR="00D64882" w:rsidRDefault="00D64882" w:rsidP="00E15A35">
            <w:pPr>
              <w:jc w:val="both"/>
              <w:rPr>
                <w:rFonts w:ascii="Arial" w:hAnsi="Arial" w:cs="Arial"/>
                <w:lang w:val="es-ES_tradnl"/>
              </w:rPr>
            </w:pPr>
          </w:p>
          <w:p w14:paraId="5269C53C" w14:textId="77777777" w:rsidR="00D64882" w:rsidRDefault="00D64882" w:rsidP="00E15A35">
            <w:pPr>
              <w:jc w:val="both"/>
              <w:rPr>
                <w:rFonts w:ascii="Arial" w:hAnsi="Arial" w:cs="Arial"/>
                <w:lang w:val="es-ES_tradnl"/>
              </w:rPr>
            </w:pPr>
          </w:p>
          <w:p w14:paraId="55C59F9D" w14:textId="77777777" w:rsidR="00D64882" w:rsidRDefault="00D64882" w:rsidP="00E15A35">
            <w:pPr>
              <w:jc w:val="both"/>
              <w:rPr>
                <w:rFonts w:ascii="Arial" w:hAnsi="Arial" w:cs="Arial"/>
                <w:lang w:val="es-ES_tradnl"/>
              </w:rPr>
            </w:pPr>
          </w:p>
          <w:p w14:paraId="643D77E2" w14:textId="74B67FB9" w:rsidR="00D64882" w:rsidRPr="001A670C" w:rsidRDefault="00D64882">
            <w:pPr>
              <w:jc w:val="both"/>
              <w:rPr>
                <w:rFonts w:ascii="Arial" w:hAnsi="Arial" w:cs="Arial"/>
                <w:lang w:val="es-ES"/>
              </w:rPr>
            </w:pPr>
            <w:r w:rsidRPr="001A670C">
              <w:rPr>
                <w:rFonts w:ascii="Arial" w:hAnsi="Arial" w:cs="Arial"/>
                <w:lang w:val="es-ES"/>
              </w:rPr>
              <w:t>MADS</w:t>
            </w:r>
          </w:p>
        </w:tc>
      </w:tr>
      <w:tr w:rsidR="00654657" w:rsidRPr="001F7E57" w14:paraId="4A4A21E7" w14:textId="252D1017" w:rsidTr="0004797C">
        <w:trPr>
          <w:trHeight w:val="221"/>
        </w:trPr>
        <w:tc>
          <w:tcPr>
            <w:tcW w:w="1975" w:type="dxa"/>
            <w:vMerge/>
          </w:tcPr>
          <w:p w14:paraId="41A0FBC7" w14:textId="77777777" w:rsidR="00654657" w:rsidRPr="00A250E5" w:rsidRDefault="00654657" w:rsidP="00A250E5">
            <w:pPr>
              <w:jc w:val="both"/>
              <w:rPr>
                <w:rFonts w:ascii="Arial" w:hAnsi="Arial" w:cs="Arial"/>
                <w:lang w:val="es-ES_tradnl"/>
              </w:rPr>
            </w:pPr>
          </w:p>
        </w:tc>
        <w:tc>
          <w:tcPr>
            <w:tcW w:w="3132" w:type="dxa"/>
          </w:tcPr>
          <w:p w14:paraId="57E7D4B0" w14:textId="679B3242" w:rsidR="00654657" w:rsidRPr="00A250E5" w:rsidRDefault="00654657" w:rsidP="00A250E5">
            <w:pPr>
              <w:jc w:val="both"/>
              <w:rPr>
                <w:rFonts w:ascii="Arial" w:hAnsi="Arial" w:cs="Arial"/>
                <w:lang w:val="es-ES_tradnl"/>
              </w:rPr>
            </w:pPr>
            <w:r w:rsidRPr="00A250E5">
              <w:rPr>
                <w:rFonts w:ascii="Arial" w:hAnsi="Arial" w:cs="Arial"/>
                <w:lang w:val="es-ES_tradnl"/>
              </w:rPr>
              <w:t>Elaboración de la guía para la formulación e implementación de planes de gestión eficiente de la energía en entidades públicas</w:t>
            </w:r>
            <w:r w:rsidR="00776020">
              <w:rPr>
                <w:rFonts w:ascii="Arial" w:hAnsi="Arial" w:cs="Arial"/>
                <w:lang w:val="es-ES_tradnl"/>
              </w:rPr>
              <w:t>.</w:t>
            </w:r>
          </w:p>
        </w:tc>
        <w:tc>
          <w:tcPr>
            <w:tcW w:w="3240" w:type="dxa"/>
          </w:tcPr>
          <w:p w14:paraId="73D74425" w14:textId="7988885C" w:rsidR="00654657" w:rsidRPr="001F7E57" w:rsidRDefault="00654657" w:rsidP="00A250E5">
            <w:pPr>
              <w:jc w:val="both"/>
              <w:rPr>
                <w:rFonts w:ascii="Arial" w:hAnsi="Arial" w:cs="Arial"/>
                <w:lang w:val="es-ES"/>
              </w:rPr>
            </w:pPr>
            <w:r>
              <w:rPr>
                <w:rFonts w:ascii="Arial" w:hAnsi="Arial" w:cs="Arial"/>
                <w:lang w:val="es-ES"/>
              </w:rPr>
              <w:t>Que se haya aprobado</w:t>
            </w:r>
            <w:r w:rsidRPr="00A250E5">
              <w:rPr>
                <w:rFonts w:ascii="Arial" w:hAnsi="Arial" w:cs="Arial"/>
                <w:lang w:val="es-ES"/>
              </w:rPr>
              <w:t xml:space="preserve"> una política pública para impulsar la inclusión de criterios de uso eficiente de la energía dentro del ciclo de vida de las edificaciones</w:t>
            </w:r>
            <w:r>
              <w:rPr>
                <w:rFonts w:ascii="Arial" w:hAnsi="Arial" w:cs="Arial"/>
                <w:lang w:val="es-ES"/>
              </w:rPr>
              <w:t>.</w:t>
            </w:r>
          </w:p>
        </w:tc>
        <w:tc>
          <w:tcPr>
            <w:tcW w:w="2970" w:type="dxa"/>
          </w:tcPr>
          <w:p w14:paraId="245E21F9" w14:textId="77777777" w:rsidR="00654657" w:rsidRPr="007F28AC" w:rsidRDefault="00654657" w:rsidP="00E15A35">
            <w:pPr>
              <w:jc w:val="both"/>
              <w:rPr>
                <w:rFonts w:ascii="Arial" w:hAnsi="Arial" w:cs="Arial"/>
                <w:lang w:val="es-ES_tradnl"/>
              </w:rPr>
            </w:pPr>
            <w:r w:rsidRPr="007F28AC">
              <w:rPr>
                <w:rFonts w:ascii="Arial" w:hAnsi="Arial" w:cs="Arial"/>
                <w:lang w:val="es-ES_tradnl"/>
              </w:rPr>
              <w:t>Documento CONPES 3919 del 23 de marzo del 2018: “Política Nacional de Edificaciones Sostenibles”.</w:t>
            </w:r>
          </w:p>
        </w:tc>
        <w:tc>
          <w:tcPr>
            <w:tcW w:w="1634" w:type="dxa"/>
          </w:tcPr>
          <w:p w14:paraId="4CCF06EA" w14:textId="025810D5" w:rsidR="00654657" w:rsidRPr="001A670C" w:rsidRDefault="00D64882">
            <w:pPr>
              <w:jc w:val="both"/>
              <w:rPr>
                <w:rFonts w:ascii="Arial" w:hAnsi="Arial" w:cs="Arial"/>
                <w:lang w:val="es-ES"/>
              </w:rPr>
            </w:pPr>
            <w:r w:rsidRPr="001A670C">
              <w:rPr>
                <w:rFonts w:ascii="Arial" w:hAnsi="Arial" w:cs="Arial"/>
                <w:lang w:val="es-ES"/>
              </w:rPr>
              <w:t>DNP</w:t>
            </w:r>
          </w:p>
        </w:tc>
      </w:tr>
      <w:tr w:rsidR="00654657" w:rsidRPr="0099259B" w14:paraId="3C23B7E1" w14:textId="3D492091" w:rsidTr="0004797C">
        <w:trPr>
          <w:trHeight w:val="221"/>
        </w:trPr>
        <w:tc>
          <w:tcPr>
            <w:tcW w:w="1975" w:type="dxa"/>
            <w:vMerge/>
          </w:tcPr>
          <w:p w14:paraId="19036998" w14:textId="77777777" w:rsidR="00654657" w:rsidRPr="00A250E5" w:rsidRDefault="00654657" w:rsidP="00A250E5">
            <w:pPr>
              <w:jc w:val="both"/>
              <w:rPr>
                <w:rFonts w:ascii="Arial" w:hAnsi="Arial" w:cs="Arial"/>
                <w:lang w:val="es-ES_tradnl"/>
              </w:rPr>
            </w:pPr>
          </w:p>
        </w:tc>
        <w:tc>
          <w:tcPr>
            <w:tcW w:w="3132" w:type="dxa"/>
          </w:tcPr>
          <w:p w14:paraId="32F6BB6B" w14:textId="77777777" w:rsidR="00654657" w:rsidRPr="00A250E5" w:rsidRDefault="00654657" w:rsidP="00A250E5">
            <w:pPr>
              <w:jc w:val="both"/>
              <w:rPr>
                <w:rFonts w:ascii="Arial" w:hAnsi="Arial" w:cs="Arial"/>
                <w:lang w:val="es-ES_tradnl"/>
              </w:rPr>
            </w:pPr>
            <w:r w:rsidRPr="00A250E5">
              <w:rPr>
                <w:rFonts w:ascii="Arial" w:hAnsi="Arial" w:cs="Arial"/>
                <w:lang w:val="es-ES_tradnl"/>
              </w:rPr>
              <w:t>Adopción del sistema de etiquetado e información al consumidor sobre eficiencia energética.</w:t>
            </w:r>
          </w:p>
        </w:tc>
        <w:tc>
          <w:tcPr>
            <w:tcW w:w="3240" w:type="dxa"/>
          </w:tcPr>
          <w:p w14:paraId="3E80D17C" w14:textId="05E424F7" w:rsidR="00654657" w:rsidRDefault="00654657">
            <w:pPr>
              <w:tabs>
                <w:tab w:val="left" w:pos="3012"/>
              </w:tabs>
              <w:ind w:left="-14"/>
              <w:jc w:val="both"/>
              <w:rPr>
                <w:rFonts w:ascii="Arial" w:hAnsi="Arial" w:cs="Arial"/>
                <w:lang w:val="es-ES"/>
              </w:rPr>
            </w:pPr>
            <w:r>
              <w:rPr>
                <w:rFonts w:ascii="Arial" w:hAnsi="Arial" w:cs="Arial"/>
                <w:lang w:val="es-ES"/>
              </w:rPr>
              <w:t>Que se hayan diseñado</w:t>
            </w:r>
            <w:r w:rsidRPr="00A250E5">
              <w:rPr>
                <w:rFonts w:ascii="Arial" w:hAnsi="Arial" w:cs="Arial"/>
                <w:lang w:val="es-ES"/>
              </w:rPr>
              <w:t xml:space="preserve"> herramientas (divulgación, capacitación) para hacer efectiv</w:t>
            </w:r>
            <w:r>
              <w:rPr>
                <w:rFonts w:ascii="Arial" w:hAnsi="Arial" w:cs="Arial"/>
                <w:lang w:val="es-ES"/>
              </w:rPr>
              <w:t>a</w:t>
            </w:r>
            <w:r w:rsidRPr="00A250E5">
              <w:rPr>
                <w:rFonts w:ascii="Arial" w:hAnsi="Arial" w:cs="Arial"/>
                <w:lang w:val="es-ES"/>
              </w:rPr>
              <w:t xml:space="preserve"> la implementación del mecanismo de etiquetado</w:t>
            </w:r>
            <w:r>
              <w:rPr>
                <w:rFonts w:ascii="Arial" w:hAnsi="Arial" w:cs="Arial"/>
                <w:lang w:val="es-ES"/>
              </w:rPr>
              <w:t xml:space="preserve"> de eficiencia energética para electrodomésticos</w:t>
            </w:r>
            <w:r w:rsidRPr="00A250E5">
              <w:rPr>
                <w:rFonts w:ascii="Arial" w:hAnsi="Arial" w:cs="Arial"/>
                <w:lang w:val="es-ES"/>
              </w:rPr>
              <w:t xml:space="preserve">. </w:t>
            </w:r>
          </w:p>
          <w:p w14:paraId="6EF1652D" w14:textId="008EEF7B" w:rsidR="00654657" w:rsidRDefault="00654657" w:rsidP="008940FB">
            <w:pPr>
              <w:tabs>
                <w:tab w:val="left" w:pos="3012"/>
              </w:tabs>
              <w:ind w:left="-14"/>
              <w:jc w:val="both"/>
              <w:rPr>
                <w:rFonts w:ascii="Arial" w:hAnsi="Arial" w:cs="Arial"/>
                <w:lang w:val="es-ES"/>
              </w:rPr>
            </w:pPr>
          </w:p>
          <w:p w14:paraId="09A493B3" w14:textId="41B32469" w:rsidR="00654657" w:rsidRPr="001A670C" w:rsidRDefault="00654657" w:rsidP="001A670C">
            <w:pPr>
              <w:ind w:left="-14"/>
              <w:jc w:val="both"/>
              <w:rPr>
                <w:rFonts w:ascii="Arial" w:hAnsi="Arial" w:cs="Arial"/>
                <w:lang w:val="es-ES"/>
              </w:rPr>
            </w:pPr>
            <w:r>
              <w:rPr>
                <w:rFonts w:ascii="Arial" w:hAnsi="Arial" w:cs="Arial"/>
                <w:lang w:val="es-ES"/>
              </w:rPr>
              <w:t xml:space="preserve">Que se hayan preparado estudios para la implementación de la segunda etapa del sistema de etiquetado de eficiencia </w:t>
            </w:r>
            <w:r>
              <w:rPr>
                <w:rFonts w:ascii="Arial" w:hAnsi="Arial" w:cs="Arial"/>
                <w:lang w:val="es-ES"/>
              </w:rPr>
              <w:lastRenderedPageBreak/>
              <w:t>energética para: vehículos livianos</w:t>
            </w:r>
            <w:r w:rsidR="009E32D0">
              <w:rPr>
                <w:rFonts w:ascii="Arial" w:hAnsi="Arial" w:cs="Arial"/>
                <w:lang w:val="es-ES"/>
              </w:rPr>
              <w:t xml:space="preserve"> </w:t>
            </w:r>
            <w:r>
              <w:rPr>
                <w:rFonts w:ascii="Arial" w:hAnsi="Arial" w:cs="Arial"/>
                <w:lang w:val="es-ES"/>
              </w:rPr>
              <w:t>y calderas</w:t>
            </w:r>
            <w:r w:rsidR="46062FE4">
              <w:rPr>
                <w:rFonts w:ascii="Arial" w:hAnsi="Arial" w:cs="Arial"/>
                <w:lang w:val="es-ES"/>
              </w:rPr>
              <w:t xml:space="preserve"> y que se haya expedido</w:t>
            </w:r>
            <w:r w:rsidR="001676A3">
              <w:rPr>
                <w:rFonts w:ascii="Arial" w:hAnsi="Arial" w:cs="Arial"/>
                <w:lang w:val="es-ES"/>
              </w:rPr>
              <w:t xml:space="preserve"> </w:t>
            </w:r>
            <w:r w:rsidR="00EE30AF">
              <w:rPr>
                <w:rFonts w:ascii="Arial" w:hAnsi="Arial" w:cs="Arial"/>
                <w:lang w:val="es-ES"/>
              </w:rPr>
              <w:t>la reglamentación del servicio de alumbrado público</w:t>
            </w:r>
            <w:r w:rsidR="00887C27">
              <w:rPr>
                <w:rFonts w:ascii="Arial" w:hAnsi="Arial" w:cs="Arial"/>
                <w:lang w:val="es-ES"/>
              </w:rPr>
              <w:t xml:space="preserve"> que incluya la obligación de establecer mejoras de eficiencia energética en la prestación del servicio. </w:t>
            </w:r>
          </w:p>
        </w:tc>
        <w:tc>
          <w:tcPr>
            <w:tcW w:w="2970" w:type="dxa"/>
          </w:tcPr>
          <w:p w14:paraId="17ADCD90" w14:textId="65E83A7A" w:rsidR="00654657" w:rsidRPr="001A670C" w:rsidRDefault="3E231D8B">
            <w:pPr>
              <w:jc w:val="both"/>
              <w:rPr>
                <w:rFonts w:ascii="Arial" w:hAnsi="Arial" w:cs="Arial"/>
                <w:lang w:val="es-ES"/>
              </w:rPr>
            </w:pPr>
            <w:r w:rsidRPr="001A670C">
              <w:rPr>
                <w:rFonts w:ascii="Arial" w:hAnsi="Arial" w:cs="Arial"/>
                <w:lang w:val="es-ES"/>
              </w:rPr>
              <w:lastRenderedPageBreak/>
              <w:t xml:space="preserve">Documento UPME </w:t>
            </w:r>
            <w:r w:rsidR="01DE3FF9" w:rsidRPr="001A670C">
              <w:rPr>
                <w:rFonts w:ascii="Arial" w:hAnsi="Arial" w:cs="Arial"/>
                <w:lang w:val="es-ES"/>
              </w:rPr>
              <w:t>que</w:t>
            </w:r>
            <w:r w:rsidRPr="001A670C">
              <w:rPr>
                <w:rFonts w:ascii="Arial" w:hAnsi="Arial" w:cs="Arial"/>
                <w:lang w:val="es-ES"/>
              </w:rPr>
              <w:t xml:space="preserve"> </w:t>
            </w:r>
            <w:r w:rsidR="01DE3FF9" w:rsidRPr="001A670C">
              <w:rPr>
                <w:rFonts w:ascii="Arial" w:hAnsi="Arial" w:cs="Arial"/>
                <w:lang w:val="es-ES"/>
              </w:rPr>
              <w:t xml:space="preserve">tiene </w:t>
            </w:r>
            <w:r w:rsidR="00654657" w:rsidRPr="001A670C">
              <w:rPr>
                <w:rFonts w:ascii="Arial" w:hAnsi="Arial" w:cs="Arial"/>
                <w:lang w:val="es-ES"/>
              </w:rPr>
              <w:t xml:space="preserve">Guía para la implementación de ensayos de eficiencia energética. </w:t>
            </w:r>
          </w:p>
          <w:p w14:paraId="4D97B9ED" w14:textId="40BA4F78" w:rsidR="00654657" w:rsidRPr="001A670C" w:rsidRDefault="00654657">
            <w:pPr>
              <w:jc w:val="both"/>
              <w:rPr>
                <w:rFonts w:ascii="Arial" w:hAnsi="Arial" w:cs="Arial"/>
                <w:lang w:val="es-ES"/>
              </w:rPr>
            </w:pPr>
          </w:p>
          <w:p w14:paraId="3B3CFCCE" w14:textId="0FE023FD" w:rsidR="01DE3FF9" w:rsidRPr="001A670C" w:rsidRDefault="01DE3FF9" w:rsidP="001A670C">
            <w:pPr>
              <w:jc w:val="both"/>
              <w:rPr>
                <w:rFonts w:ascii="Arial" w:hAnsi="Arial" w:cs="Arial"/>
                <w:lang w:val="es-ES"/>
              </w:rPr>
            </w:pPr>
          </w:p>
          <w:p w14:paraId="00EC5D1E" w14:textId="3161C29C" w:rsidR="01DE3FF9" w:rsidRPr="001A670C" w:rsidRDefault="01DE3FF9" w:rsidP="001A670C">
            <w:pPr>
              <w:jc w:val="both"/>
              <w:rPr>
                <w:rFonts w:ascii="Arial" w:hAnsi="Arial" w:cs="Arial"/>
                <w:lang w:val="es-ES"/>
              </w:rPr>
            </w:pPr>
          </w:p>
          <w:p w14:paraId="46877E3E" w14:textId="77777777" w:rsidR="00654657" w:rsidRPr="0088552F" w:rsidRDefault="00654657">
            <w:pPr>
              <w:jc w:val="both"/>
              <w:rPr>
                <w:rFonts w:ascii="Arial" w:hAnsi="Arial" w:cs="Arial"/>
                <w:lang w:val="es-ES_tradnl"/>
              </w:rPr>
            </w:pPr>
          </w:p>
          <w:p w14:paraId="755D3249" w14:textId="47E40231" w:rsidR="009E32D0" w:rsidRPr="001A670C" w:rsidRDefault="00654657">
            <w:pPr>
              <w:jc w:val="both"/>
              <w:rPr>
                <w:rFonts w:ascii="Arial" w:hAnsi="Arial" w:cs="Arial"/>
                <w:b/>
                <w:bCs/>
                <w:lang w:val="es-ES"/>
              </w:rPr>
            </w:pPr>
            <w:r w:rsidRPr="001A670C">
              <w:rPr>
                <w:rFonts w:ascii="Arial" w:hAnsi="Arial" w:cs="Arial"/>
                <w:lang w:val="es-ES"/>
              </w:rPr>
              <w:t xml:space="preserve">Estudio de </w:t>
            </w:r>
            <w:r w:rsidR="009E32D0" w:rsidRPr="001A670C">
              <w:rPr>
                <w:rFonts w:ascii="Arial" w:hAnsi="Arial" w:cs="Arial"/>
                <w:lang w:val="es-ES"/>
              </w:rPr>
              <w:t xml:space="preserve">Justificación Técnica para la Aplicación de Límites Mínimos en el Rendimiento de consumo de </w:t>
            </w:r>
            <w:r w:rsidR="009E32D0" w:rsidRPr="001A670C">
              <w:rPr>
                <w:rFonts w:ascii="Arial" w:hAnsi="Arial" w:cs="Arial"/>
                <w:lang w:val="es-ES"/>
              </w:rPr>
              <w:lastRenderedPageBreak/>
              <w:t>combustible en Vehículos Ligeros de Colombia</w:t>
            </w:r>
            <w:r w:rsidR="00776020">
              <w:rPr>
                <w:rFonts w:ascii="Arial" w:hAnsi="Arial" w:cs="Arial"/>
                <w:lang w:val="es-ES"/>
              </w:rPr>
              <w:t>.</w:t>
            </w:r>
            <w:r w:rsidR="009E32D0" w:rsidRPr="001A670C" w:rsidDel="009E32D0">
              <w:rPr>
                <w:rFonts w:ascii="Arial" w:hAnsi="Arial" w:cs="Arial"/>
                <w:lang w:val="es-ES"/>
              </w:rPr>
              <w:t xml:space="preserve"> </w:t>
            </w:r>
          </w:p>
          <w:p w14:paraId="4226A1D0" w14:textId="77777777" w:rsidR="009E32D0" w:rsidRPr="0088552F" w:rsidRDefault="009E32D0">
            <w:pPr>
              <w:jc w:val="both"/>
              <w:rPr>
                <w:rFonts w:ascii="Arial" w:hAnsi="Arial" w:cs="Arial"/>
                <w:b/>
                <w:lang w:val="es-ES_tradnl"/>
              </w:rPr>
            </w:pPr>
          </w:p>
          <w:p w14:paraId="6AECDAEF" w14:textId="2C2D496B" w:rsidR="00654657" w:rsidRPr="001A670C" w:rsidRDefault="00654657">
            <w:pPr>
              <w:jc w:val="both"/>
              <w:rPr>
                <w:rFonts w:ascii="Arial" w:hAnsi="Arial" w:cs="Arial"/>
                <w:b/>
                <w:bCs/>
                <w:color w:val="FF0000"/>
                <w:lang w:val="es-ES"/>
              </w:rPr>
            </w:pPr>
            <w:r w:rsidRPr="001A670C">
              <w:rPr>
                <w:rFonts w:ascii="Arial" w:hAnsi="Arial" w:cs="Arial"/>
                <w:lang w:val="es-ES"/>
              </w:rPr>
              <w:t xml:space="preserve">Estudio </w:t>
            </w:r>
            <w:r w:rsidR="009E32D0" w:rsidRPr="001A670C">
              <w:rPr>
                <w:rFonts w:ascii="Arial" w:hAnsi="Arial" w:cs="Arial"/>
                <w:lang w:val="es-ES"/>
              </w:rPr>
              <w:t>de Guía Técnica para la Selección de Caldera</w:t>
            </w:r>
            <w:r w:rsidRPr="001A670C">
              <w:rPr>
                <w:rFonts w:ascii="Arial" w:hAnsi="Arial" w:cs="Arial"/>
                <w:lang w:val="es-ES"/>
              </w:rPr>
              <w:t xml:space="preserve">. </w:t>
            </w:r>
          </w:p>
          <w:p w14:paraId="7FBB3F61" w14:textId="0F669FD2" w:rsidR="00654657" w:rsidRPr="001A670C" w:rsidRDefault="00654657">
            <w:pPr>
              <w:jc w:val="both"/>
              <w:rPr>
                <w:rFonts w:ascii="Arial" w:hAnsi="Arial" w:cs="Arial"/>
                <w:lang w:val="es-ES"/>
              </w:rPr>
            </w:pPr>
          </w:p>
          <w:p w14:paraId="28D63108" w14:textId="00C66FAB" w:rsidR="00654657" w:rsidRPr="001A670C" w:rsidRDefault="00C72A42">
            <w:pPr>
              <w:jc w:val="both"/>
              <w:rPr>
                <w:rFonts w:ascii="Arial" w:hAnsi="Arial" w:cs="Arial"/>
                <w:lang w:val="es-ES"/>
              </w:rPr>
            </w:pPr>
            <w:r>
              <w:rPr>
                <w:rFonts w:ascii="Arial" w:hAnsi="Arial" w:cs="Arial"/>
                <w:lang w:val="es-ES"/>
              </w:rPr>
              <w:t xml:space="preserve">Diario Oficial No. 50.609 del 30 de mayo de 2018 que contiene el </w:t>
            </w:r>
            <w:r w:rsidR="009208B5">
              <w:rPr>
                <w:rFonts w:ascii="Arial" w:hAnsi="Arial" w:cs="Arial"/>
                <w:lang w:val="es-ES"/>
              </w:rPr>
              <w:t xml:space="preserve">Decreto No. 943 del MME que regula el servicio de alumbrado público y establece condiciones de eficiencia. </w:t>
            </w:r>
          </w:p>
        </w:tc>
        <w:tc>
          <w:tcPr>
            <w:tcW w:w="1634" w:type="dxa"/>
          </w:tcPr>
          <w:p w14:paraId="75273162" w14:textId="77777777" w:rsidR="00654657" w:rsidRPr="001A670C" w:rsidRDefault="00D64882" w:rsidP="008940FB">
            <w:pPr>
              <w:jc w:val="both"/>
              <w:rPr>
                <w:rFonts w:ascii="Arial" w:hAnsi="Arial" w:cs="Arial"/>
              </w:rPr>
            </w:pPr>
            <w:r w:rsidRPr="001A670C">
              <w:rPr>
                <w:rFonts w:ascii="Arial" w:hAnsi="Arial" w:cs="Arial"/>
              </w:rPr>
              <w:lastRenderedPageBreak/>
              <w:t>UPME</w:t>
            </w:r>
          </w:p>
          <w:p w14:paraId="08CDCC1B" w14:textId="77777777" w:rsidR="00D64882" w:rsidRPr="001A670C" w:rsidRDefault="00D64882" w:rsidP="008940FB">
            <w:pPr>
              <w:jc w:val="both"/>
              <w:rPr>
                <w:rFonts w:ascii="Arial" w:hAnsi="Arial" w:cs="Arial"/>
              </w:rPr>
            </w:pPr>
          </w:p>
          <w:p w14:paraId="7A144D0D" w14:textId="77777777" w:rsidR="00D64882" w:rsidRPr="001A670C" w:rsidRDefault="00D64882" w:rsidP="008940FB">
            <w:pPr>
              <w:jc w:val="both"/>
              <w:rPr>
                <w:rFonts w:ascii="Arial" w:hAnsi="Arial" w:cs="Arial"/>
              </w:rPr>
            </w:pPr>
          </w:p>
          <w:p w14:paraId="6EBE9296" w14:textId="77777777" w:rsidR="00D64882" w:rsidRPr="001A670C" w:rsidRDefault="00D64882" w:rsidP="008940FB">
            <w:pPr>
              <w:jc w:val="both"/>
              <w:rPr>
                <w:rFonts w:ascii="Arial" w:hAnsi="Arial" w:cs="Arial"/>
              </w:rPr>
            </w:pPr>
          </w:p>
          <w:p w14:paraId="4DDF3A6E" w14:textId="77777777" w:rsidR="00D64882" w:rsidRPr="001A670C" w:rsidRDefault="00D64882" w:rsidP="008940FB">
            <w:pPr>
              <w:jc w:val="both"/>
              <w:rPr>
                <w:rFonts w:ascii="Arial" w:hAnsi="Arial" w:cs="Arial"/>
              </w:rPr>
            </w:pPr>
          </w:p>
          <w:p w14:paraId="068DE066" w14:textId="77777777" w:rsidR="00D64882" w:rsidRPr="001A670C" w:rsidRDefault="00D64882" w:rsidP="008940FB">
            <w:pPr>
              <w:jc w:val="both"/>
              <w:rPr>
                <w:rFonts w:ascii="Arial" w:hAnsi="Arial" w:cs="Arial"/>
              </w:rPr>
            </w:pPr>
          </w:p>
          <w:p w14:paraId="216428F7" w14:textId="77777777" w:rsidR="00D64882" w:rsidRPr="001A670C" w:rsidRDefault="00D64882" w:rsidP="008940FB">
            <w:pPr>
              <w:jc w:val="both"/>
              <w:rPr>
                <w:rFonts w:ascii="Arial" w:hAnsi="Arial" w:cs="Arial"/>
              </w:rPr>
            </w:pPr>
          </w:p>
          <w:p w14:paraId="19DC3E6A" w14:textId="77777777" w:rsidR="00D64882" w:rsidRPr="001A670C" w:rsidRDefault="00D64882" w:rsidP="008940FB">
            <w:pPr>
              <w:jc w:val="both"/>
              <w:rPr>
                <w:rFonts w:ascii="Arial" w:hAnsi="Arial" w:cs="Arial"/>
              </w:rPr>
            </w:pPr>
          </w:p>
          <w:p w14:paraId="44744D42" w14:textId="77777777" w:rsidR="00D64882" w:rsidRPr="001A670C" w:rsidRDefault="00D64882" w:rsidP="008940FB">
            <w:pPr>
              <w:jc w:val="both"/>
              <w:rPr>
                <w:rFonts w:ascii="Arial" w:hAnsi="Arial" w:cs="Arial"/>
              </w:rPr>
            </w:pPr>
            <w:r w:rsidRPr="001A670C">
              <w:rPr>
                <w:rFonts w:ascii="Arial" w:hAnsi="Arial" w:cs="Arial"/>
              </w:rPr>
              <w:t>DNP-UPME</w:t>
            </w:r>
          </w:p>
          <w:p w14:paraId="63BCE98B" w14:textId="77777777" w:rsidR="00D64882" w:rsidRPr="001A670C" w:rsidRDefault="00D64882" w:rsidP="008940FB">
            <w:pPr>
              <w:jc w:val="both"/>
              <w:rPr>
                <w:rFonts w:ascii="Arial" w:hAnsi="Arial" w:cs="Arial"/>
              </w:rPr>
            </w:pPr>
          </w:p>
          <w:p w14:paraId="148D5B66" w14:textId="77777777" w:rsidR="00D64882" w:rsidRPr="001A670C" w:rsidRDefault="00D64882" w:rsidP="008940FB">
            <w:pPr>
              <w:jc w:val="both"/>
              <w:rPr>
                <w:rFonts w:ascii="Arial" w:hAnsi="Arial" w:cs="Arial"/>
              </w:rPr>
            </w:pPr>
          </w:p>
          <w:p w14:paraId="03154D18" w14:textId="77777777" w:rsidR="00D64882" w:rsidRPr="001A670C" w:rsidRDefault="00D64882" w:rsidP="008940FB">
            <w:pPr>
              <w:jc w:val="both"/>
              <w:rPr>
                <w:rFonts w:ascii="Arial" w:hAnsi="Arial" w:cs="Arial"/>
              </w:rPr>
            </w:pPr>
          </w:p>
          <w:p w14:paraId="2FB25123" w14:textId="4F269770" w:rsidR="00D64882" w:rsidRDefault="00D64882" w:rsidP="008940FB">
            <w:pPr>
              <w:jc w:val="both"/>
              <w:rPr>
                <w:rFonts w:ascii="Arial" w:hAnsi="Arial" w:cs="Arial"/>
              </w:rPr>
            </w:pPr>
          </w:p>
          <w:p w14:paraId="168C8C84" w14:textId="77777777" w:rsidR="009E32D0" w:rsidRPr="001A670C" w:rsidRDefault="009E32D0" w:rsidP="008940FB">
            <w:pPr>
              <w:jc w:val="both"/>
              <w:rPr>
                <w:rFonts w:ascii="Arial" w:hAnsi="Arial" w:cs="Arial"/>
              </w:rPr>
            </w:pPr>
          </w:p>
          <w:p w14:paraId="0051FCCC" w14:textId="77777777" w:rsidR="00D64882" w:rsidRPr="001A670C" w:rsidRDefault="00D64882" w:rsidP="008940FB">
            <w:pPr>
              <w:jc w:val="both"/>
              <w:rPr>
                <w:rFonts w:ascii="Arial" w:hAnsi="Arial" w:cs="Arial"/>
              </w:rPr>
            </w:pPr>
          </w:p>
          <w:p w14:paraId="46B11697" w14:textId="77777777" w:rsidR="00D64882" w:rsidRDefault="00D64882" w:rsidP="008940FB">
            <w:pPr>
              <w:jc w:val="both"/>
              <w:rPr>
                <w:rFonts w:ascii="Arial" w:hAnsi="Arial" w:cs="Arial"/>
              </w:rPr>
            </w:pPr>
            <w:r w:rsidRPr="001A670C">
              <w:rPr>
                <w:rFonts w:ascii="Arial" w:hAnsi="Arial" w:cs="Arial"/>
              </w:rPr>
              <w:t>DNP-UPME</w:t>
            </w:r>
          </w:p>
          <w:p w14:paraId="6371F634" w14:textId="77777777" w:rsidR="00B9020F" w:rsidRDefault="00B9020F" w:rsidP="008940FB">
            <w:pPr>
              <w:jc w:val="both"/>
              <w:rPr>
                <w:rFonts w:ascii="Arial" w:hAnsi="Arial" w:cs="Arial"/>
              </w:rPr>
            </w:pPr>
          </w:p>
          <w:p w14:paraId="4828F747" w14:textId="77777777" w:rsidR="00B9020F" w:rsidRDefault="00B9020F" w:rsidP="008940FB">
            <w:pPr>
              <w:jc w:val="both"/>
              <w:rPr>
                <w:rFonts w:ascii="Arial" w:hAnsi="Arial" w:cs="Arial"/>
              </w:rPr>
            </w:pPr>
          </w:p>
          <w:p w14:paraId="3973212F" w14:textId="29DA31C9" w:rsidR="00B9020F" w:rsidRPr="001A670C" w:rsidRDefault="00B9020F" w:rsidP="008940FB">
            <w:pPr>
              <w:jc w:val="both"/>
              <w:rPr>
                <w:rFonts w:ascii="Arial" w:hAnsi="Arial" w:cs="Arial"/>
              </w:rPr>
            </w:pPr>
            <w:r>
              <w:rPr>
                <w:rFonts w:ascii="Arial" w:hAnsi="Arial" w:cs="Arial"/>
              </w:rPr>
              <w:t>MME</w:t>
            </w:r>
          </w:p>
        </w:tc>
      </w:tr>
      <w:tr w:rsidR="00654657" w:rsidRPr="001F7E57" w14:paraId="06598624" w14:textId="10CCDEFF" w:rsidTr="0004797C">
        <w:trPr>
          <w:trHeight w:val="221"/>
        </w:trPr>
        <w:tc>
          <w:tcPr>
            <w:tcW w:w="1975" w:type="dxa"/>
            <w:vMerge/>
          </w:tcPr>
          <w:p w14:paraId="41520084" w14:textId="77777777" w:rsidR="00654657" w:rsidRPr="001A670C" w:rsidRDefault="00654657" w:rsidP="00A250E5">
            <w:pPr>
              <w:jc w:val="both"/>
              <w:rPr>
                <w:rFonts w:ascii="Arial" w:hAnsi="Arial" w:cs="Arial"/>
              </w:rPr>
            </w:pPr>
          </w:p>
        </w:tc>
        <w:tc>
          <w:tcPr>
            <w:tcW w:w="3132" w:type="dxa"/>
            <w:tcBorders>
              <w:bottom w:val="single" w:sz="4" w:space="0" w:color="auto"/>
            </w:tcBorders>
          </w:tcPr>
          <w:p w14:paraId="01EA9043" w14:textId="77777777" w:rsidR="00654657" w:rsidRPr="00A250E5" w:rsidRDefault="00654657" w:rsidP="00A250E5">
            <w:pPr>
              <w:jc w:val="both"/>
              <w:rPr>
                <w:rFonts w:ascii="Arial" w:hAnsi="Arial" w:cs="Arial"/>
                <w:lang w:val="es-ES_tradnl"/>
              </w:rPr>
            </w:pPr>
            <w:r w:rsidRPr="00A250E5">
              <w:rPr>
                <w:rFonts w:ascii="Arial" w:hAnsi="Arial" w:cs="Arial"/>
                <w:lang w:val="es-ES_tradnl"/>
              </w:rPr>
              <w:t>Publicación del Mapa de Ruta para la Implementación de Redes Inteligentes que inducen al ahorro energético.</w:t>
            </w:r>
          </w:p>
          <w:p w14:paraId="1EAD18AF" w14:textId="77777777" w:rsidR="00654657" w:rsidRPr="00A250E5" w:rsidRDefault="00654657" w:rsidP="00A250E5">
            <w:pPr>
              <w:jc w:val="both"/>
              <w:rPr>
                <w:rFonts w:ascii="Arial" w:hAnsi="Arial" w:cs="Arial"/>
                <w:lang w:val="es-ES_tradnl"/>
              </w:rPr>
            </w:pPr>
          </w:p>
        </w:tc>
        <w:tc>
          <w:tcPr>
            <w:tcW w:w="3240" w:type="dxa"/>
            <w:tcBorders>
              <w:bottom w:val="single" w:sz="4" w:space="0" w:color="auto"/>
            </w:tcBorders>
          </w:tcPr>
          <w:p w14:paraId="7198A9D8" w14:textId="1252AEE4" w:rsidR="00654657" w:rsidRPr="00A250E5" w:rsidRDefault="00654657" w:rsidP="00A250E5">
            <w:pPr>
              <w:jc w:val="both"/>
              <w:rPr>
                <w:rFonts w:ascii="Arial" w:hAnsi="Arial" w:cs="Arial"/>
                <w:lang w:val="es-ES_tradnl"/>
              </w:rPr>
            </w:pPr>
            <w:r>
              <w:rPr>
                <w:rFonts w:ascii="Arial" w:hAnsi="Arial" w:cs="Arial"/>
                <w:lang w:val="es-ES"/>
              </w:rPr>
              <w:t xml:space="preserve">Que se haya expedido la regulación que establece los </w:t>
            </w:r>
            <w:r w:rsidRPr="00A250E5">
              <w:rPr>
                <w:rFonts w:ascii="Arial" w:hAnsi="Arial" w:cs="Arial"/>
                <w:lang w:val="es-ES"/>
              </w:rPr>
              <w:t>mecanismos para implementar la Infraestructura de Medición Avanzada para la energía eléctrica.</w:t>
            </w:r>
          </w:p>
          <w:p w14:paraId="08B8C420" w14:textId="77777777" w:rsidR="00654657" w:rsidRPr="00A250E5" w:rsidRDefault="00654657" w:rsidP="00A250E5">
            <w:pPr>
              <w:jc w:val="both"/>
              <w:rPr>
                <w:rFonts w:ascii="Arial" w:hAnsi="Arial" w:cs="Arial"/>
                <w:lang w:val="es-ES_tradnl"/>
              </w:rPr>
            </w:pPr>
          </w:p>
        </w:tc>
        <w:tc>
          <w:tcPr>
            <w:tcW w:w="2970" w:type="dxa"/>
            <w:tcBorders>
              <w:bottom w:val="single" w:sz="4" w:space="0" w:color="auto"/>
            </w:tcBorders>
          </w:tcPr>
          <w:p w14:paraId="3348AE75" w14:textId="27DF66D3" w:rsidR="00654657" w:rsidRPr="001A670C" w:rsidRDefault="00654657">
            <w:pPr>
              <w:jc w:val="both"/>
              <w:rPr>
                <w:rFonts w:ascii="Arial" w:hAnsi="Arial" w:cs="Arial"/>
                <w:lang w:val="es-ES"/>
              </w:rPr>
            </w:pPr>
            <w:r w:rsidRPr="001A670C">
              <w:rPr>
                <w:rFonts w:ascii="Arial" w:hAnsi="Arial" w:cs="Arial"/>
                <w:lang w:val="es-ES"/>
              </w:rPr>
              <w:t>Diario Oficial No. 50.492 del 30 de enero de 2018 que contiene la Resolución MME No. 40072 por la cual se establecen los mecanismos para implementar la Infraestructura de Medición Avanzada en el servicio público de energía eléctrica.</w:t>
            </w:r>
          </w:p>
        </w:tc>
        <w:tc>
          <w:tcPr>
            <w:tcW w:w="1634" w:type="dxa"/>
            <w:tcBorders>
              <w:bottom w:val="single" w:sz="4" w:space="0" w:color="auto"/>
            </w:tcBorders>
          </w:tcPr>
          <w:p w14:paraId="1E9384BA" w14:textId="38C9015F" w:rsidR="00654657" w:rsidRPr="001A670C" w:rsidRDefault="00D64882">
            <w:pPr>
              <w:jc w:val="both"/>
              <w:rPr>
                <w:rFonts w:ascii="Arial" w:hAnsi="Arial" w:cs="Arial"/>
                <w:lang w:val="es-ES"/>
              </w:rPr>
            </w:pPr>
            <w:r w:rsidRPr="001A670C">
              <w:rPr>
                <w:rFonts w:ascii="Arial" w:hAnsi="Arial" w:cs="Arial"/>
                <w:lang w:val="es-ES"/>
              </w:rPr>
              <w:t>MME</w:t>
            </w:r>
          </w:p>
        </w:tc>
      </w:tr>
      <w:tr w:rsidR="00654657" w:rsidRPr="001F7E57" w14:paraId="096BB050" w14:textId="1C578DDE" w:rsidTr="0004797C">
        <w:trPr>
          <w:trHeight w:val="221"/>
        </w:trPr>
        <w:tc>
          <w:tcPr>
            <w:tcW w:w="1975" w:type="dxa"/>
            <w:vMerge/>
          </w:tcPr>
          <w:p w14:paraId="337BB911" w14:textId="77777777" w:rsidR="00654657" w:rsidRPr="00A250E5" w:rsidRDefault="00654657" w:rsidP="00A250E5">
            <w:pPr>
              <w:jc w:val="both"/>
              <w:rPr>
                <w:rFonts w:ascii="Arial" w:hAnsi="Arial" w:cs="Arial"/>
                <w:lang w:val="es-ES_tradnl"/>
              </w:rPr>
            </w:pPr>
          </w:p>
        </w:tc>
        <w:tc>
          <w:tcPr>
            <w:tcW w:w="3132" w:type="dxa"/>
            <w:tcBorders>
              <w:bottom w:val="single" w:sz="4" w:space="0" w:color="auto"/>
            </w:tcBorders>
          </w:tcPr>
          <w:p w14:paraId="2C779E8A" w14:textId="77777777" w:rsidR="00654657" w:rsidRPr="00A250E5" w:rsidRDefault="00654657" w:rsidP="00A250E5">
            <w:pPr>
              <w:jc w:val="both"/>
              <w:rPr>
                <w:rFonts w:ascii="Arial" w:hAnsi="Arial" w:cs="Arial"/>
                <w:lang w:val="es-ES_tradnl"/>
              </w:rPr>
            </w:pPr>
            <w:r w:rsidRPr="00A250E5">
              <w:rPr>
                <w:rFonts w:ascii="Arial" w:hAnsi="Arial" w:cs="Arial"/>
                <w:lang w:val="es-ES_tradnl"/>
              </w:rPr>
              <w:t>Adopción de disposiciones en materia de implementación de mecanismos de respuesta de la demanda.</w:t>
            </w:r>
          </w:p>
        </w:tc>
        <w:tc>
          <w:tcPr>
            <w:tcW w:w="3240" w:type="dxa"/>
            <w:tcBorders>
              <w:bottom w:val="single" w:sz="4" w:space="0" w:color="auto"/>
            </w:tcBorders>
          </w:tcPr>
          <w:p w14:paraId="0409D40D" w14:textId="28BA50D9" w:rsidR="00654657" w:rsidRPr="0006685B" w:rsidRDefault="00654657" w:rsidP="00A250E5">
            <w:pPr>
              <w:jc w:val="both"/>
              <w:rPr>
                <w:rFonts w:ascii="Arial" w:hAnsi="Arial" w:cs="Arial"/>
                <w:color w:val="FF0000"/>
                <w:highlight w:val="yellow"/>
                <w:lang w:val="es-ES_tradnl"/>
              </w:rPr>
            </w:pPr>
            <w:r w:rsidRPr="00337C4E">
              <w:rPr>
                <w:rFonts w:ascii="Arial" w:hAnsi="Arial" w:cs="Arial"/>
                <w:lang w:val="es-ES"/>
              </w:rPr>
              <w:t>Que se haya realizado un estudio que evalúe los criterios regulatorios para la implementación de infraestructura de medición avanzada que permita facilitar esquemas de eficiencia energética, respuesta de la demanda y modelos de tarificación horaria.</w:t>
            </w:r>
          </w:p>
        </w:tc>
        <w:tc>
          <w:tcPr>
            <w:tcW w:w="2970" w:type="dxa"/>
            <w:tcBorders>
              <w:bottom w:val="single" w:sz="4" w:space="0" w:color="auto"/>
            </w:tcBorders>
          </w:tcPr>
          <w:p w14:paraId="0760034F" w14:textId="3F3D9779" w:rsidR="00654657" w:rsidRPr="007F28AC" w:rsidRDefault="00654657" w:rsidP="00E15A35">
            <w:pPr>
              <w:jc w:val="both"/>
              <w:rPr>
                <w:rFonts w:ascii="Arial" w:hAnsi="Arial" w:cs="Arial"/>
                <w:lang w:val="es-ES_tradnl"/>
              </w:rPr>
            </w:pPr>
            <w:r w:rsidRPr="007F28AC">
              <w:rPr>
                <w:rFonts w:ascii="Arial" w:hAnsi="Arial" w:cs="Arial"/>
                <w:lang w:val="es-ES_tradnl"/>
              </w:rPr>
              <w:t>Documento CREG 077 de 2018 por el cual se analizan los criterios regulatorios para la implementación de Infraestructura de Medición Avanzada que facilita esquemas de eficiencia energética, respuesta de la demanda y modelos de tarificación horaria.</w:t>
            </w:r>
          </w:p>
        </w:tc>
        <w:tc>
          <w:tcPr>
            <w:tcW w:w="1634" w:type="dxa"/>
            <w:tcBorders>
              <w:bottom w:val="single" w:sz="4" w:space="0" w:color="auto"/>
            </w:tcBorders>
          </w:tcPr>
          <w:p w14:paraId="65EA3D43" w14:textId="0C06C44A" w:rsidR="00654657" w:rsidRPr="001A670C" w:rsidRDefault="00D64882">
            <w:pPr>
              <w:jc w:val="both"/>
              <w:rPr>
                <w:rFonts w:ascii="Arial" w:hAnsi="Arial" w:cs="Arial"/>
                <w:lang w:val="es-ES"/>
              </w:rPr>
            </w:pPr>
            <w:r w:rsidRPr="001A670C">
              <w:rPr>
                <w:rFonts w:ascii="Arial" w:hAnsi="Arial" w:cs="Arial"/>
                <w:lang w:val="es-ES"/>
              </w:rPr>
              <w:t>CREG</w:t>
            </w:r>
          </w:p>
        </w:tc>
      </w:tr>
      <w:tr w:rsidR="00654657" w:rsidRPr="001F7E57" w14:paraId="410AF4D7" w14:textId="663D1558" w:rsidTr="0004797C">
        <w:trPr>
          <w:trHeight w:val="413"/>
        </w:trPr>
        <w:tc>
          <w:tcPr>
            <w:tcW w:w="1975" w:type="dxa"/>
            <w:vMerge/>
          </w:tcPr>
          <w:p w14:paraId="0357B2E6" w14:textId="77777777" w:rsidR="00654657" w:rsidRPr="00337C4E" w:rsidRDefault="00654657" w:rsidP="00A250E5">
            <w:pPr>
              <w:jc w:val="both"/>
              <w:rPr>
                <w:rFonts w:ascii="Arial" w:hAnsi="Arial" w:cs="Arial"/>
                <w:lang w:val="es-ES_tradnl"/>
              </w:rPr>
            </w:pPr>
          </w:p>
        </w:tc>
        <w:tc>
          <w:tcPr>
            <w:tcW w:w="3132" w:type="dxa"/>
            <w:tcBorders>
              <w:top w:val="single" w:sz="4" w:space="0" w:color="auto"/>
              <w:bottom w:val="single" w:sz="4" w:space="0" w:color="auto"/>
            </w:tcBorders>
          </w:tcPr>
          <w:p w14:paraId="5676E01E" w14:textId="1134E114" w:rsidR="00654657" w:rsidRPr="00A250E5" w:rsidRDefault="00654657" w:rsidP="00A250E5">
            <w:pPr>
              <w:jc w:val="both"/>
              <w:rPr>
                <w:rFonts w:ascii="Arial" w:hAnsi="Arial" w:cs="Arial"/>
                <w:lang w:val="es-ES_tradnl"/>
              </w:rPr>
            </w:pPr>
            <w:r w:rsidRPr="00A250E5">
              <w:rPr>
                <w:rFonts w:ascii="Arial" w:hAnsi="Arial" w:cs="Arial"/>
                <w:lang w:val="es-ES_tradnl"/>
              </w:rPr>
              <w:t xml:space="preserve">Diseño de los mecanismos para la desconexión voluntaria de la demanda como medio para dar </w:t>
            </w:r>
            <w:bookmarkStart w:id="5" w:name="_Hlk526505619"/>
            <w:r w:rsidRPr="00A250E5">
              <w:rPr>
                <w:rFonts w:ascii="Arial" w:hAnsi="Arial" w:cs="Arial"/>
                <w:lang w:val="es-ES_tradnl"/>
              </w:rPr>
              <w:t>confiabilidad al SIN</w:t>
            </w:r>
            <w:bookmarkEnd w:id="5"/>
            <w:r w:rsidR="00776020">
              <w:rPr>
                <w:rFonts w:ascii="Arial" w:hAnsi="Arial" w:cs="Arial"/>
                <w:lang w:val="es-ES_tradnl"/>
              </w:rPr>
              <w:t>.</w:t>
            </w:r>
          </w:p>
          <w:p w14:paraId="2980D271" w14:textId="77777777" w:rsidR="00654657" w:rsidRPr="00A250E5" w:rsidRDefault="00654657" w:rsidP="00A250E5">
            <w:pPr>
              <w:jc w:val="both"/>
              <w:rPr>
                <w:rFonts w:ascii="Arial" w:hAnsi="Arial" w:cs="Arial"/>
                <w:lang w:val="es-ES_tradnl"/>
              </w:rPr>
            </w:pPr>
          </w:p>
        </w:tc>
        <w:tc>
          <w:tcPr>
            <w:tcW w:w="3240" w:type="dxa"/>
            <w:tcBorders>
              <w:top w:val="single" w:sz="4" w:space="0" w:color="auto"/>
              <w:bottom w:val="single" w:sz="4" w:space="0" w:color="auto"/>
            </w:tcBorders>
          </w:tcPr>
          <w:p w14:paraId="4E15EFF9" w14:textId="3346AEBA" w:rsidR="00654657" w:rsidRPr="00A250E5" w:rsidRDefault="00654657" w:rsidP="00A250E5">
            <w:pPr>
              <w:jc w:val="both"/>
              <w:rPr>
                <w:rFonts w:ascii="Arial" w:hAnsi="Arial" w:cs="Arial"/>
                <w:lang w:val="es-ES_tradnl"/>
              </w:rPr>
            </w:pPr>
            <w:r>
              <w:rPr>
                <w:rFonts w:ascii="Arial" w:hAnsi="Arial" w:cs="Arial"/>
                <w:lang w:val="es-ES"/>
              </w:rPr>
              <w:t xml:space="preserve">Que se haya expedido la regulación que establece los </w:t>
            </w:r>
            <w:r w:rsidRPr="00A250E5">
              <w:rPr>
                <w:rFonts w:ascii="Arial" w:hAnsi="Arial" w:cs="Arial"/>
                <w:lang w:val="es-ES"/>
              </w:rPr>
              <w:t>mecanismos para la desconexión voluntaria de la demanda</w:t>
            </w:r>
            <w:r>
              <w:rPr>
                <w:rFonts w:ascii="Arial" w:hAnsi="Arial" w:cs="Arial"/>
                <w:lang w:val="es-ES"/>
              </w:rPr>
              <w:t xml:space="preserve"> de los grandes consumidores</w:t>
            </w:r>
            <w:r w:rsidRPr="00A250E5">
              <w:rPr>
                <w:rFonts w:ascii="Arial" w:hAnsi="Arial" w:cs="Arial"/>
                <w:lang w:val="es-ES"/>
              </w:rPr>
              <w:t xml:space="preserve"> como medio para dar confiabilidad al SIN.</w:t>
            </w:r>
          </w:p>
        </w:tc>
        <w:tc>
          <w:tcPr>
            <w:tcW w:w="2970" w:type="dxa"/>
            <w:tcBorders>
              <w:top w:val="single" w:sz="4" w:space="0" w:color="auto"/>
              <w:bottom w:val="single" w:sz="4" w:space="0" w:color="auto"/>
            </w:tcBorders>
          </w:tcPr>
          <w:p w14:paraId="3AA402C4" w14:textId="40786B98" w:rsidR="00654657" w:rsidRPr="007F28AC" w:rsidRDefault="00654657" w:rsidP="00E15A35">
            <w:pPr>
              <w:jc w:val="both"/>
              <w:rPr>
                <w:rFonts w:ascii="Arial" w:hAnsi="Arial" w:cs="Arial"/>
                <w:lang w:val="es-ES_tradnl"/>
              </w:rPr>
            </w:pPr>
            <w:r>
              <w:rPr>
                <w:rFonts w:ascii="Arial" w:hAnsi="Arial" w:cs="Arial"/>
                <w:lang w:val="es-ES_tradnl"/>
              </w:rPr>
              <w:t xml:space="preserve">Diario Oficial No. 50.686 del 15 de agosto de 2018 que contiene la </w:t>
            </w:r>
            <w:r w:rsidRPr="007F28AC">
              <w:rPr>
                <w:rFonts w:ascii="Arial" w:hAnsi="Arial" w:cs="Arial"/>
                <w:lang w:val="es-ES_tradnl"/>
              </w:rPr>
              <w:t xml:space="preserve">Resolución </w:t>
            </w:r>
            <w:r>
              <w:rPr>
                <w:rFonts w:ascii="Arial" w:hAnsi="Arial" w:cs="Arial"/>
                <w:lang w:val="es-ES_tradnl"/>
              </w:rPr>
              <w:t xml:space="preserve">de la </w:t>
            </w:r>
            <w:r w:rsidRPr="007F28AC">
              <w:rPr>
                <w:rFonts w:ascii="Arial" w:hAnsi="Arial" w:cs="Arial"/>
                <w:lang w:val="es-ES_tradnl"/>
              </w:rPr>
              <w:t xml:space="preserve">CREG 098 por la cual se adoptan las normas para regular las pruebas de </w:t>
            </w:r>
            <w:r w:rsidRPr="007F28AC">
              <w:rPr>
                <w:rFonts w:ascii="Arial" w:hAnsi="Arial" w:cs="Arial"/>
                <w:lang w:val="es-ES_tradnl"/>
              </w:rPr>
              <w:lastRenderedPageBreak/>
              <w:t xml:space="preserve">disponibilidad de la demanda </w:t>
            </w:r>
            <w:proofErr w:type="spellStart"/>
            <w:r w:rsidRPr="007F28AC">
              <w:rPr>
                <w:rFonts w:ascii="Arial" w:hAnsi="Arial" w:cs="Arial"/>
                <w:lang w:val="es-ES_tradnl"/>
              </w:rPr>
              <w:t>desconectable</w:t>
            </w:r>
            <w:proofErr w:type="spellEnd"/>
            <w:r w:rsidRPr="007F28AC">
              <w:rPr>
                <w:rFonts w:ascii="Arial" w:hAnsi="Arial" w:cs="Arial"/>
                <w:lang w:val="es-ES_tradnl"/>
              </w:rPr>
              <w:t xml:space="preserve"> voluntaria.</w:t>
            </w:r>
          </w:p>
        </w:tc>
        <w:tc>
          <w:tcPr>
            <w:tcW w:w="1634" w:type="dxa"/>
            <w:tcBorders>
              <w:top w:val="single" w:sz="4" w:space="0" w:color="auto"/>
              <w:bottom w:val="single" w:sz="4" w:space="0" w:color="auto"/>
            </w:tcBorders>
          </w:tcPr>
          <w:p w14:paraId="5068C149" w14:textId="478A1EB7" w:rsidR="00654657" w:rsidRPr="001A670C" w:rsidRDefault="00D64882">
            <w:pPr>
              <w:jc w:val="both"/>
              <w:rPr>
                <w:rFonts w:ascii="Arial" w:hAnsi="Arial" w:cs="Arial"/>
                <w:lang w:val="es-ES"/>
              </w:rPr>
            </w:pPr>
            <w:r w:rsidRPr="001A670C">
              <w:rPr>
                <w:rFonts w:ascii="Arial" w:hAnsi="Arial" w:cs="Arial"/>
                <w:lang w:val="es-ES"/>
              </w:rPr>
              <w:lastRenderedPageBreak/>
              <w:t>CREG</w:t>
            </w:r>
          </w:p>
        </w:tc>
      </w:tr>
      <w:tr w:rsidR="00654657" w:rsidRPr="00D06A82" w14:paraId="4E7D17AE" w14:textId="5DCBF212" w:rsidTr="0004797C">
        <w:trPr>
          <w:trHeight w:val="267"/>
        </w:trPr>
        <w:tc>
          <w:tcPr>
            <w:tcW w:w="1975" w:type="dxa"/>
            <w:vMerge/>
          </w:tcPr>
          <w:p w14:paraId="5C5FBB90" w14:textId="77777777" w:rsidR="00654657" w:rsidRPr="00A250E5" w:rsidRDefault="00654657" w:rsidP="00A250E5">
            <w:pPr>
              <w:jc w:val="both"/>
              <w:rPr>
                <w:rFonts w:ascii="Arial" w:hAnsi="Arial" w:cs="Arial"/>
                <w:lang w:val="es-ES_tradnl"/>
              </w:rPr>
            </w:pPr>
          </w:p>
        </w:tc>
        <w:tc>
          <w:tcPr>
            <w:tcW w:w="9342" w:type="dxa"/>
            <w:gridSpan w:val="3"/>
            <w:tcBorders>
              <w:bottom w:val="single" w:sz="4" w:space="0" w:color="auto"/>
            </w:tcBorders>
            <w:vAlign w:val="center"/>
          </w:tcPr>
          <w:p w14:paraId="5FAB6CE3" w14:textId="77777777" w:rsidR="00654657" w:rsidRPr="007F28AC" w:rsidRDefault="00654657" w:rsidP="00E15A35">
            <w:pPr>
              <w:jc w:val="both"/>
              <w:rPr>
                <w:rFonts w:ascii="Arial" w:hAnsi="Arial" w:cs="Arial"/>
                <w:b/>
                <w:lang w:val="es-ES_tradnl"/>
              </w:rPr>
            </w:pPr>
            <w:bookmarkStart w:id="6" w:name="_Hlk526505650"/>
            <w:r w:rsidRPr="007F28AC">
              <w:rPr>
                <w:rFonts w:ascii="Arial" w:hAnsi="Arial" w:cs="Arial"/>
                <w:b/>
                <w:lang w:val="es-ES_tradnl"/>
              </w:rPr>
              <w:t>Funcionamiento del Mercado Eléctrico Mayorista</w:t>
            </w:r>
            <w:bookmarkEnd w:id="6"/>
          </w:p>
        </w:tc>
        <w:tc>
          <w:tcPr>
            <w:tcW w:w="1634" w:type="dxa"/>
            <w:tcBorders>
              <w:bottom w:val="single" w:sz="4" w:space="0" w:color="auto"/>
            </w:tcBorders>
          </w:tcPr>
          <w:p w14:paraId="74129399" w14:textId="77777777" w:rsidR="00654657" w:rsidRPr="007F28AC" w:rsidRDefault="00654657" w:rsidP="00E15A35">
            <w:pPr>
              <w:jc w:val="both"/>
              <w:rPr>
                <w:rFonts w:ascii="Arial" w:hAnsi="Arial" w:cs="Arial"/>
                <w:b/>
                <w:lang w:val="es-ES_tradnl"/>
              </w:rPr>
            </w:pPr>
          </w:p>
        </w:tc>
      </w:tr>
      <w:tr w:rsidR="00654657" w:rsidRPr="001F7E57" w14:paraId="472CC37F" w14:textId="07B5467A" w:rsidTr="0004797C">
        <w:trPr>
          <w:trHeight w:val="221"/>
        </w:trPr>
        <w:tc>
          <w:tcPr>
            <w:tcW w:w="1975" w:type="dxa"/>
            <w:vMerge/>
          </w:tcPr>
          <w:p w14:paraId="30025889" w14:textId="77777777" w:rsidR="00654657" w:rsidRPr="00A250E5" w:rsidRDefault="00654657" w:rsidP="00CD4FDC">
            <w:pPr>
              <w:jc w:val="both"/>
              <w:rPr>
                <w:rFonts w:ascii="Arial" w:hAnsi="Arial" w:cs="Arial"/>
                <w:lang w:val="es-ES_tradnl"/>
              </w:rPr>
            </w:pPr>
          </w:p>
        </w:tc>
        <w:tc>
          <w:tcPr>
            <w:tcW w:w="3132" w:type="dxa"/>
            <w:vMerge w:val="restart"/>
          </w:tcPr>
          <w:p w14:paraId="650B4FF1" w14:textId="77777777" w:rsidR="00654657" w:rsidRPr="00A250E5" w:rsidRDefault="00654657" w:rsidP="00CD4FDC">
            <w:pPr>
              <w:jc w:val="both"/>
              <w:rPr>
                <w:rFonts w:ascii="Arial" w:hAnsi="Arial" w:cs="Arial"/>
                <w:highlight w:val="yellow"/>
                <w:lang w:val="es-ES_tradnl"/>
              </w:rPr>
            </w:pPr>
            <w:r w:rsidRPr="00A250E5">
              <w:rPr>
                <w:rFonts w:ascii="Arial" w:hAnsi="Arial" w:cs="Arial"/>
                <w:lang w:val="es-ES_tradnl"/>
              </w:rPr>
              <w:t xml:space="preserve">Publicación de los estudios de diagnóstico, análisis y propuestas de modificación sobre el funcionamiento del MEM colombiano. </w:t>
            </w:r>
          </w:p>
        </w:tc>
        <w:tc>
          <w:tcPr>
            <w:tcW w:w="3240" w:type="dxa"/>
            <w:tcBorders>
              <w:bottom w:val="single" w:sz="4" w:space="0" w:color="auto"/>
            </w:tcBorders>
          </w:tcPr>
          <w:p w14:paraId="62CEB876" w14:textId="1D33C3A4" w:rsidR="00654657" w:rsidRPr="00D30920" w:rsidRDefault="00654657" w:rsidP="00CD4FDC">
            <w:pPr>
              <w:jc w:val="both"/>
              <w:rPr>
                <w:rFonts w:ascii="Arial" w:hAnsi="Arial" w:cs="Arial"/>
                <w:lang w:val="es-ES_tradnl"/>
              </w:rPr>
            </w:pPr>
            <w:r>
              <w:rPr>
                <w:rFonts w:ascii="Arial" w:hAnsi="Arial" w:cs="Arial"/>
                <w:lang w:val="es-ES"/>
              </w:rPr>
              <w:t>Que se haya publicado l</w:t>
            </w:r>
            <w:r w:rsidRPr="00BF3DF5">
              <w:rPr>
                <w:rFonts w:ascii="Arial" w:hAnsi="Arial" w:cs="Arial"/>
                <w:lang w:val="es-ES"/>
              </w:rPr>
              <w:t xml:space="preserve">a </w:t>
            </w:r>
            <w:r w:rsidRPr="00B22EFA">
              <w:rPr>
                <w:rFonts w:ascii="Arial" w:hAnsi="Arial" w:cs="Arial"/>
                <w:lang w:val="es-ES"/>
              </w:rPr>
              <w:t>Agenda Regulatoria 201</w:t>
            </w:r>
            <w:r>
              <w:rPr>
                <w:rFonts w:ascii="Arial" w:hAnsi="Arial" w:cs="Arial"/>
                <w:lang w:val="es-ES"/>
              </w:rPr>
              <w:t>9</w:t>
            </w:r>
            <w:r w:rsidRPr="00B22EFA">
              <w:rPr>
                <w:rFonts w:ascii="Arial" w:hAnsi="Arial" w:cs="Arial"/>
                <w:lang w:val="es-ES"/>
              </w:rPr>
              <w:t xml:space="preserve"> de la CREG</w:t>
            </w:r>
            <w:r w:rsidRPr="00BF3DF5">
              <w:rPr>
                <w:rFonts w:ascii="Arial" w:hAnsi="Arial" w:cs="Arial"/>
                <w:lang w:val="es-ES"/>
              </w:rPr>
              <w:t>, (la cual contiene los proyectos regulatorios de mayor prioridad) incluye regulación para la implementación de las recomendaciones de reforma en el MEM.</w:t>
            </w:r>
          </w:p>
        </w:tc>
        <w:tc>
          <w:tcPr>
            <w:tcW w:w="2970" w:type="dxa"/>
            <w:tcBorders>
              <w:bottom w:val="single" w:sz="4" w:space="0" w:color="auto"/>
            </w:tcBorders>
          </w:tcPr>
          <w:p w14:paraId="7A19B474" w14:textId="6E6947A7" w:rsidR="00654657" w:rsidRPr="001A670C" w:rsidRDefault="00654657" w:rsidP="00CD4FDC">
            <w:pPr>
              <w:jc w:val="both"/>
              <w:rPr>
                <w:rFonts w:ascii="Arial" w:hAnsi="Arial" w:cs="Arial"/>
                <w:highlight w:val="yellow"/>
                <w:lang w:val="es-ES_tradnl"/>
              </w:rPr>
            </w:pPr>
            <w:r w:rsidRPr="008940FB">
              <w:rPr>
                <w:rFonts w:ascii="Arial" w:hAnsi="Arial" w:cs="Arial"/>
                <w:lang w:val="es-ES_tradnl"/>
              </w:rPr>
              <w:t>Circular CREG 104 de 2018 que pone en conocimiento el Documento CREG 109 de 2018, el cual contiene los temas que conforman la Agenda Regulatoria indicativa de la CREG para la vigencia 2019.</w:t>
            </w:r>
          </w:p>
        </w:tc>
        <w:tc>
          <w:tcPr>
            <w:tcW w:w="1634" w:type="dxa"/>
            <w:tcBorders>
              <w:bottom w:val="single" w:sz="4" w:space="0" w:color="auto"/>
            </w:tcBorders>
          </w:tcPr>
          <w:p w14:paraId="505D6D64" w14:textId="55B888DF" w:rsidR="00654657" w:rsidRPr="001A670C" w:rsidRDefault="00D64882">
            <w:pPr>
              <w:jc w:val="both"/>
              <w:rPr>
                <w:rFonts w:ascii="Arial" w:hAnsi="Arial" w:cs="Arial"/>
                <w:lang w:val="es-ES"/>
              </w:rPr>
            </w:pPr>
            <w:r w:rsidRPr="001A670C">
              <w:rPr>
                <w:rFonts w:ascii="Arial" w:hAnsi="Arial" w:cs="Arial"/>
                <w:lang w:val="es-ES"/>
              </w:rPr>
              <w:t>CREG</w:t>
            </w:r>
          </w:p>
        </w:tc>
      </w:tr>
      <w:tr w:rsidR="00654657" w:rsidRPr="001F7E57" w14:paraId="5C0A81C6" w14:textId="2B3A8293" w:rsidTr="0004797C">
        <w:trPr>
          <w:trHeight w:val="5273"/>
        </w:trPr>
        <w:tc>
          <w:tcPr>
            <w:tcW w:w="1975" w:type="dxa"/>
          </w:tcPr>
          <w:p w14:paraId="2698E6EA" w14:textId="77777777" w:rsidR="00654657" w:rsidRPr="00A250E5" w:rsidRDefault="00654657" w:rsidP="00CD4FDC">
            <w:pPr>
              <w:jc w:val="both"/>
              <w:rPr>
                <w:rFonts w:ascii="Arial" w:hAnsi="Arial" w:cs="Arial"/>
                <w:lang w:val="es-ES_tradnl"/>
              </w:rPr>
            </w:pPr>
          </w:p>
        </w:tc>
        <w:tc>
          <w:tcPr>
            <w:tcW w:w="3132" w:type="dxa"/>
            <w:vMerge/>
          </w:tcPr>
          <w:p w14:paraId="52DF5C00" w14:textId="77777777" w:rsidR="00654657" w:rsidRPr="00A250E5" w:rsidRDefault="00654657" w:rsidP="00CD4FDC">
            <w:pPr>
              <w:jc w:val="both"/>
              <w:rPr>
                <w:rFonts w:ascii="Arial" w:hAnsi="Arial" w:cs="Arial"/>
                <w:lang w:val="es-ES_tradnl"/>
              </w:rPr>
            </w:pPr>
          </w:p>
        </w:tc>
        <w:tc>
          <w:tcPr>
            <w:tcW w:w="3240" w:type="dxa"/>
            <w:tcBorders>
              <w:bottom w:val="single" w:sz="4" w:space="0" w:color="auto"/>
            </w:tcBorders>
          </w:tcPr>
          <w:p w14:paraId="1F687DBD" w14:textId="77777777" w:rsidR="00654657" w:rsidRPr="00704CA3" w:rsidRDefault="00654657" w:rsidP="00CD4FDC">
            <w:pPr>
              <w:jc w:val="both"/>
              <w:rPr>
                <w:rFonts w:ascii="Arial" w:hAnsi="Arial" w:cs="Arial"/>
                <w:lang w:val="es-ES"/>
              </w:rPr>
            </w:pPr>
            <w:r w:rsidRPr="00704CA3">
              <w:rPr>
                <w:rFonts w:ascii="Arial" w:hAnsi="Arial" w:cs="Arial"/>
                <w:lang w:val="es-ES"/>
              </w:rPr>
              <w:t>Que se hayan establecido las condiciones para incrementar la oferta de energía en el mercado de energía mayorista, a través de:</w:t>
            </w:r>
          </w:p>
          <w:p w14:paraId="06AC87CB" w14:textId="77777777" w:rsidR="00654657" w:rsidRPr="00704CA3" w:rsidRDefault="00654657" w:rsidP="00CD4FDC">
            <w:pPr>
              <w:jc w:val="both"/>
              <w:rPr>
                <w:rFonts w:ascii="Arial" w:hAnsi="Arial" w:cs="Arial"/>
                <w:lang w:val="es-ES"/>
              </w:rPr>
            </w:pPr>
          </w:p>
          <w:p w14:paraId="23E218D7" w14:textId="77777777" w:rsidR="00654657" w:rsidRPr="00704CA3" w:rsidRDefault="00654657" w:rsidP="00CD4FDC">
            <w:pPr>
              <w:pStyle w:val="ListParagraph"/>
              <w:numPr>
                <w:ilvl w:val="0"/>
                <w:numId w:val="6"/>
              </w:numPr>
              <w:contextualSpacing w:val="0"/>
              <w:jc w:val="both"/>
              <w:rPr>
                <w:rFonts w:ascii="Arial" w:hAnsi="Arial" w:cs="Arial"/>
                <w:lang w:val="es-ES"/>
              </w:rPr>
            </w:pPr>
            <w:r w:rsidRPr="00704CA3">
              <w:rPr>
                <w:rFonts w:ascii="Arial" w:hAnsi="Arial" w:cs="Arial"/>
                <w:lang w:val="es-ES_tradnl"/>
              </w:rPr>
              <w:t>Convocatoria a subasta para asignar obligaciones de energía del cargo por confiabilidad.</w:t>
            </w:r>
          </w:p>
          <w:p w14:paraId="33DFBC62" w14:textId="6F954C7E" w:rsidR="00654657" w:rsidRDefault="00654657" w:rsidP="00CD4FDC">
            <w:pPr>
              <w:pStyle w:val="ListParagraph"/>
              <w:ind w:left="360"/>
              <w:contextualSpacing w:val="0"/>
              <w:jc w:val="both"/>
              <w:rPr>
                <w:rFonts w:ascii="Arial" w:hAnsi="Arial" w:cs="Arial"/>
                <w:lang w:val="es-ES"/>
              </w:rPr>
            </w:pPr>
          </w:p>
          <w:p w14:paraId="4DA47309" w14:textId="38DE0473" w:rsidR="00654657" w:rsidRDefault="00654657" w:rsidP="00CD4FDC">
            <w:pPr>
              <w:pStyle w:val="ListParagraph"/>
              <w:ind w:left="360"/>
              <w:contextualSpacing w:val="0"/>
              <w:jc w:val="both"/>
              <w:rPr>
                <w:rFonts w:ascii="Arial" w:hAnsi="Arial" w:cs="Arial"/>
                <w:lang w:val="es-ES"/>
              </w:rPr>
            </w:pPr>
          </w:p>
          <w:p w14:paraId="385D83FF" w14:textId="77777777" w:rsidR="00654657" w:rsidRPr="00704CA3" w:rsidRDefault="00654657" w:rsidP="00CD4FDC">
            <w:pPr>
              <w:pStyle w:val="ListParagraph"/>
              <w:ind w:left="360"/>
              <w:contextualSpacing w:val="0"/>
              <w:jc w:val="both"/>
              <w:rPr>
                <w:rFonts w:ascii="Arial" w:hAnsi="Arial" w:cs="Arial"/>
                <w:lang w:val="es-ES"/>
              </w:rPr>
            </w:pPr>
          </w:p>
          <w:p w14:paraId="294AD1FF" w14:textId="77777777" w:rsidR="00654657" w:rsidRPr="00704CA3" w:rsidRDefault="00654657" w:rsidP="00CD4FDC">
            <w:pPr>
              <w:pStyle w:val="ListParagraph"/>
              <w:ind w:left="360"/>
              <w:contextualSpacing w:val="0"/>
              <w:jc w:val="both"/>
              <w:rPr>
                <w:rFonts w:ascii="Arial" w:hAnsi="Arial" w:cs="Arial"/>
                <w:lang w:val="es-ES"/>
              </w:rPr>
            </w:pPr>
          </w:p>
          <w:p w14:paraId="3666E7AC" w14:textId="77777777" w:rsidR="00654657" w:rsidRPr="00704CA3" w:rsidRDefault="00654657" w:rsidP="00CD4FDC">
            <w:pPr>
              <w:pStyle w:val="ListParagraph"/>
              <w:numPr>
                <w:ilvl w:val="0"/>
                <w:numId w:val="6"/>
              </w:numPr>
              <w:contextualSpacing w:val="0"/>
              <w:jc w:val="both"/>
              <w:rPr>
                <w:rFonts w:ascii="Arial" w:hAnsi="Arial" w:cs="Arial"/>
                <w:lang w:val="es-ES"/>
              </w:rPr>
            </w:pPr>
            <w:r w:rsidRPr="00704CA3">
              <w:rPr>
                <w:rFonts w:ascii="Arial" w:hAnsi="Arial" w:cs="Arial"/>
                <w:lang w:val="es-ES"/>
              </w:rPr>
              <w:t>Regulación que establezca los requisitos que deben cumplir los comercializadores para que sus precios sean reconocidos en la tarifa eléctrica.</w:t>
            </w:r>
          </w:p>
          <w:p w14:paraId="24D288A1" w14:textId="77777777" w:rsidR="00654657" w:rsidRDefault="00654657" w:rsidP="00CD4FDC">
            <w:pPr>
              <w:jc w:val="both"/>
              <w:rPr>
                <w:rFonts w:ascii="Arial" w:hAnsi="Arial" w:cs="Arial"/>
                <w:highlight w:val="yellow"/>
                <w:lang w:val="es-ES"/>
              </w:rPr>
            </w:pPr>
          </w:p>
          <w:p w14:paraId="3BD0457B" w14:textId="77777777" w:rsidR="00654657" w:rsidRDefault="00654657" w:rsidP="00CD4FDC">
            <w:pPr>
              <w:jc w:val="both"/>
              <w:rPr>
                <w:rFonts w:ascii="Arial" w:hAnsi="Arial" w:cs="Arial"/>
                <w:highlight w:val="yellow"/>
                <w:lang w:val="es-ES"/>
              </w:rPr>
            </w:pPr>
          </w:p>
          <w:p w14:paraId="400653FA" w14:textId="77777777" w:rsidR="00654657" w:rsidRDefault="00654657" w:rsidP="00CD4FDC">
            <w:pPr>
              <w:jc w:val="both"/>
              <w:rPr>
                <w:rFonts w:ascii="Arial" w:hAnsi="Arial" w:cs="Arial"/>
                <w:highlight w:val="yellow"/>
                <w:lang w:val="es-ES"/>
              </w:rPr>
            </w:pPr>
          </w:p>
          <w:p w14:paraId="4DD084EC" w14:textId="77777777" w:rsidR="00654657" w:rsidRDefault="00654657" w:rsidP="00CD4FDC">
            <w:pPr>
              <w:jc w:val="both"/>
              <w:rPr>
                <w:rFonts w:ascii="Arial" w:hAnsi="Arial" w:cs="Arial"/>
                <w:highlight w:val="yellow"/>
                <w:lang w:val="es-ES"/>
              </w:rPr>
            </w:pPr>
          </w:p>
          <w:p w14:paraId="5DD9404B" w14:textId="77777777" w:rsidR="00654657" w:rsidRPr="00704CA3" w:rsidRDefault="00654657" w:rsidP="00CD4FDC">
            <w:pPr>
              <w:jc w:val="both"/>
              <w:rPr>
                <w:rFonts w:ascii="Arial" w:hAnsi="Arial" w:cs="Arial"/>
                <w:lang w:val="es-ES"/>
              </w:rPr>
            </w:pPr>
          </w:p>
        </w:tc>
        <w:tc>
          <w:tcPr>
            <w:tcW w:w="2970" w:type="dxa"/>
            <w:tcBorders>
              <w:bottom w:val="single" w:sz="4" w:space="0" w:color="auto"/>
            </w:tcBorders>
          </w:tcPr>
          <w:p w14:paraId="0CCA0DCB" w14:textId="77777777" w:rsidR="00654657" w:rsidRPr="007F28AC" w:rsidRDefault="00654657" w:rsidP="00CD4FDC">
            <w:pPr>
              <w:jc w:val="both"/>
              <w:rPr>
                <w:rFonts w:ascii="Arial" w:hAnsi="Arial" w:cs="Arial"/>
                <w:lang w:val="es-ES_tradnl"/>
              </w:rPr>
            </w:pPr>
          </w:p>
          <w:p w14:paraId="3E7FE6FC" w14:textId="77777777" w:rsidR="00654657" w:rsidRPr="007F28AC" w:rsidRDefault="00654657" w:rsidP="00CD4FDC">
            <w:pPr>
              <w:jc w:val="both"/>
              <w:rPr>
                <w:rFonts w:ascii="Arial" w:hAnsi="Arial" w:cs="Arial"/>
                <w:lang w:val="es-ES_tradnl"/>
              </w:rPr>
            </w:pPr>
          </w:p>
          <w:p w14:paraId="4BCD1AE7" w14:textId="77777777" w:rsidR="00654657" w:rsidRPr="007F28AC" w:rsidRDefault="00654657" w:rsidP="00CD4FDC">
            <w:pPr>
              <w:jc w:val="both"/>
              <w:rPr>
                <w:rFonts w:ascii="Arial" w:hAnsi="Arial" w:cs="Arial"/>
                <w:lang w:val="es-ES_tradnl"/>
              </w:rPr>
            </w:pPr>
          </w:p>
          <w:p w14:paraId="168DE317" w14:textId="2367ACC7" w:rsidR="00654657" w:rsidRDefault="00654657" w:rsidP="00CD4FDC">
            <w:pPr>
              <w:jc w:val="both"/>
              <w:rPr>
                <w:rFonts w:ascii="Arial" w:hAnsi="Arial" w:cs="Arial"/>
                <w:lang w:val="es-ES_tradnl"/>
              </w:rPr>
            </w:pPr>
          </w:p>
          <w:p w14:paraId="5B5C18FF" w14:textId="7737CC25" w:rsidR="00D64882" w:rsidRDefault="00D64882" w:rsidP="00CD4FDC">
            <w:pPr>
              <w:jc w:val="both"/>
              <w:rPr>
                <w:rFonts w:ascii="Arial" w:hAnsi="Arial" w:cs="Arial"/>
                <w:lang w:val="es-ES_tradnl"/>
              </w:rPr>
            </w:pPr>
          </w:p>
          <w:p w14:paraId="2C187FED" w14:textId="6FF12C3D" w:rsidR="00654657" w:rsidRPr="001A670C" w:rsidRDefault="00654657">
            <w:pPr>
              <w:jc w:val="both"/>
              <w:rPr>
                <w:rFonts w:ascii="Arial" w:hAnsi="Arial" w:cs="Arial"/>
                <w:lang w:val="es-ES"/>
              </w:rPr>
            </w:pPr>
            <w:r w:rsidRPr="001A670C">
              <w:rPr>
                <w:rFonts w:ascii="Arial" w:hAnsi="Arial" w:cs="Arial"/>
                <w:lang w:val="es-ES"/>
              </w:rPr>
              <w:t>Diario Oficial No. 50.677 del 27 de julio de 2018 que contiene las Resoluciones CREG No. 083 y 084 por las cuales se fija la oportunidad para asignar obligaciones de energía del cargo por confiabilidad.</w:t>
            </w:r>
          </w:p>
          <w:p w14:paraId="42F07A58" w14:textId="77777777" w:rsidR="00654657" w:rsidRPr="007F28AC" w:rsidRDefault="00654657" w:rsidP="00CD4FDC">
            <w:pPr>
              <w:jc w:val="both"/>
              <w:rPr>
                <w:rFonts w:ascii="Arial" w:hAnsi="Arial" w:cs="Arial"/>
                <w:lang w:val="es-ES_tradnl"/>
              </w:rPr>
            </w:pPr>
          </w:p>
          <w:p w14:paraId="72846458" w14:textId="38E8DCA4" w:rsidR="00654657" w:rsidRPr="001A670C" w:rsidRDefault="00654657">
            <w:pPr>
              <w:jc w:val="both"/>
              <w:rPr>
                <w:rFonts w:ascii="Arial" w:hAnsi="Arial" w:cs="Arial"/>
                <w:lang w:val="es-ES"/>
              </w:rPr>
            </w:pPr>
            <w:r w:rsidRPr="001A670C">
              <w:rPr>
                <w:rFonts w:ascii="Arial" w:hAnsi="Arial" w:cs="Arial"/>
                <w:lang w:val="es-ES"/>
              </w:rPr>
              <w:t>Diario Oficial No. 50.713 del 11 de septiembre de 2018 que contiene la Resolución CREG N</w:t>
            </w:r>
            <w:r w:rsidR="000A7B26">
              <w:rPr>
                <w:rFonts w:ascii="Arial" w:hAnsi="Arial" w:cs="Arial"/>
                <w:lang w:val="es-ES"/>
              </w:rPr>
              <w:t>o</w:t>
            </w:r>
            <w:r w:rsidRPr="001A670C">
              <w:rPr>
                <w:rFonts w:ascii="Arial" w:hAnsi="Arial" w:cs="Arial"/>
                <w:lang w:val="es-ES"/>
              </w:rPr>
              <w:t>. 114 por la cual se determinan los principios y condiciones generales que deben cumplir los mecanismos para la comercialización de energía eléctrica para que sus precios sean reconocidos en el componente de costos de compras de energía al usuario regulado.</w:t>
            </w:r>
          </w:p>
        </w:tc>
        <w:tc>
          <w:tcPr>
            <w:tcW w:w="1634" w:type="dxa"/>
            <w:tcBorders>
              <w:bottom w:val="single" w:sz="4" w:space="0" w:color="auto"/>
            </w:tcBorders>
          </w:tcPr>
          <w:p w14:paraId="550FAFCA" w14:textId="77777777" w:rsidR="00654657" w:rsidRDefault="00654657" w:rsidP="00CD4FDC">
            <w:pPr>
              <w:jc w:val="both"/>
              <w:rPr>
                <w:rFonts w:ascii="Arial" w:hAnsi="Arial" w:cs="Arial"/>
                <w:lang w:val="es-ES_tradnl"/>
              </w:rPr>
            </w:pPr>
          </w:p>
          <w:p w14:paraId="4F054491" w14:textId="77777777" w:rsidR="00D64882" w:rsidRDefault="00D64882" w:rsidP="00CD4FDC">
            <w:pPr>
              <w:jc w:val="both"/>
              <w:rPr>
                <w:rFonts w:ascii="Arial" w:hAnsi="Arial" w:cs="Arial"/>
                <w:lang w:val="es-ES_tradnl"/>
              </w:rPr>
            </w:pPr>
          </w:p>
          <w:p w14:paraId="4CFCD801" w14:textId="77777777" w:rsidR="00D64882" w:rsidRDefault="00D64882" w:rsidP="00CD4FDC">
            <w:pPr>
              <w:jc w:val="both"/>
              <w:rPr>
                <w:rFonts w:ascii="Arial" w:hAnsi="Arial" w:cs="Arial"/>
                <w:lang w:val="es-ES_tradnl"/>
              </w:rPr>
            </w:pPr>
          </w:p>
          <w:p w14:paraId="247A612A" w14:textId="77777777" w:rsidR="00D64882" w:rsidRDefault="00D64882" w:rsidP="00CD4FDC">
            <w:pPr>
              <w:jc w:val="both"/>
              <w:rPr>
                <w:rFonts w:ascii="Arial" w:hAnsi="Arial" w:cs="Arial"/>
                <w:lang w:val="es-ES_tradnl"/>
              </w:rPr>
            </w:pPr>
          </w:p>
          <w:p w14:paraId="1A12F7AA" w14:textId="77777777" w:rsidR="00D64882" w:rsidRDefault="00D64882" w:rsidP="00CD4FDC">
            <w:pPr>
              <w:jc w:val="both"/>
              <w:rPr>
                <w:rFonts w:ascii="Arial" w:hAnsi="Arial" w:cs="Arial"/>
                <w:lang w:val="es-ES_tradnl"/>
              </w:rPr>
            </w:pPr>
          </w:p>
          <w:p w14:paraId="70B58167" w14:textId="77777777" w:rsidR="00D64882" w:rsidRPr="001A670C" w:rsidRDefault="00D64882">
            <w:pPr>
              <w:jc w:val="both"/>
              <w:rPr>
                <w:rFonts w:ascii="Arial" w:hAnsi="Arial" w:cs="Arial"/>
                <w:lang w:val="es-ES"/>
              </w:rPr>
            </w:pPr>
            <w:r w:rsidRPr="001A670C">
              <w:rPr>
                <w:rFonts w:ascii="Arial" w:hAnsi="Arial" w:cs="Arial"/>
                <w:lang w:val="es-ES"/>
              </w:rPr>
              <w:t>CREG</w:t>
            </w:r>
          </w:p>
          <w:p w14:paraId="673FC922" w14:textId="77777777" w:rsidR="00D64882" w:rsidRDefault="00D64882" w:rsidP="00CD4FDC">
            <w:pPr>
              <w:jc w:val="both"/>
              <w:rPr>
                <w:rFonts w:ascii="Arial" w:hAnsi="Arial" w:cs="Arial"/>
                <w:lang w:val="es-ES_tradnl"/>
              </w:rPr>
            </w:pPr>
          </w:p>
          <w:p w14:paraId="3F90A454" w14:textId="77777777" w:rsidR="00D64882" w:rsidRDefault="00D64882" w:rsidP="00CD4FDC">
            <w:pPr>
              <w:jc w:val="both"/>
              <w:rPr>
                <w:rFonts w:ascii="Arial" w:hAnsi="Arial" w:cs="Arial"/>
                <w:lang w:val="es-ES_tradnl"/>
              </w:rPr>
            </w:pPr>
          </w:p>
          <w:p w14:paraId="45EDBC21" w14:textId="77777777" w:rsidR="00D64882" w:rsidRDefault="00D64882" w:rsidP="00CD4FDC">
            <w:pPr>
              <w:jc w:val="both"/>
              <w:rPr>
                <w:rFonts w:ascii="Arial" w:hAnsi="Arial" w:cs="Arial"/>
                <w:lang w:val="es-ES_tradnl"/>
              </w:rPr>
            </w:pPr>
          </w:p>
          <w:p w14:paraId="1DBA9D49" w14:textId="77777777" w:rsidR="00D64882" w:rsidRDefault="00D64882" w:rsidP="00CD4FDC">
            <w:pPr>
              <w:jc w:val="both"/>
              <w:rPr>
                <w:rFonts w:ascii="Arial" w:hAnsi="Arial" w:cs="Arial"/>
                <w:lang w:val="es-ES_tradnl"/>
              </w:rPr>
            </w:pPr>
          </w:p>
          <w:p w14:paraId="3A5A4B68" w14:textId="77777777" w:rsidR="00D64882" w:rsidRDefault="00D64882" w:rsidP="00CD4FDC">
            <w:pPr>
              <w:jc w:val="both"/>
              <w:rPr>
                <w:rFonts w:ascii="Arial" w:hAnsi="Arial" w:cs="Arial"/>
                <w:lang w:val="es-ES_tradnl"/>
              </w:rPr>
            </w:pPr>
          </w:p>
          <w:p w14:paraId="1A9EADCD" w14:textId="77777777" w:rsidR="00D64882" w:rsidRDefault="00D64882" w:rsidP="00CD4FDC">
            <w:pPr>
              <w:jc w:val="both"/>
              <w:rPr>
                <w:rFonts w:ascii="Arial" w:hAnsi="Arial" w:cs="Arial"/>
                <w:lang w:val="es-ES_tradnl"/>
              </w:rPr>
            </w:pPr>
          </w:p>
          <w:p w14:paraId="0C8C5FEB" w14:textId="77777777" w:rsidR="00D64882" w:rsidRDefault="00D64882" w:rsidP="00CD4FDC">
            <w:pPr>
              <w:jc w:val="both"/>
              <w:rPr>
                <w:rFonts w:ascii="Arial" w:hAnsi="Arial" w:cs="Arial"/>
                <w:lang w:val="es-ES_tradnl"/>
              </w:rPr>
            </w:pPr>
          </w:p>
          <w:p w14:paraId="7EB014CB" w14:textId="7296B4D4" w:rsidR="00D64882" w:rsidRPr="001A670C" w:rsidRDefault="00D64882">
            <w:pPr>
              <w:jc w:val="both"/>
              <w:rPr>
                <w:rFonts w:ascii="Arial" w:hAnsi="Arial" w:cs="Arial"/>
                <w:lang w:val="es-ES"/>
              </w:rPr>
            </w:pPr>
            <w:r w:rsidRPr="001A670C">
              <w:rPr>
                <w:rFonts w:ascii="Arial" w:hAnsi="Arial" w:cs="Arial"/>
                <w:lang w:val="es-ES"/>
              </w:rPr>
              <w:t>CREG</w:t>
            </w:r>
          </w:p>
        </w:tc>
      </w:tr>
      <w:tr w:rsidR="00654657" w:rsidRPr="001F7E57" w14:paraId="12BB1D67" w14:textId="441AB651" w:rsidTr="0004797C">
        <w:trPr>
          <w:trHeight w:val="1364"/>
        </w:trPr>
        <w:tc>
          <w:tcPr>
            <w:tcW w:w="1975" w:type="dxa"/>
            <w:vMerge w:val="restart"/>
          </w:tcPr>
          <w:p w14:paraId="1B54B4A2" w14:textId="77777777" w:rsidR="00654657" w:rsidRPr="00A250E5" w:rsidRDefault="00654657" w:rsidP="00CD4FDC">
            <w:pPr>
              <w:jc w:val="both"/>
              <w:rPr>
                <w:rFonts w:ascii="Arial" w:hAnsi="Arial" w:cs="Arial"/>
                <w:lang w:val="es-ES_tradnl"/>
              </w:rPr>
            </w:pPr>
          </w:p>
        </w:tc>
        <w:tc>
          <w:tcPr>
            <w:tcW w:w="3132" w:type="dxa"/>
            <w:vMerge/>
          </w:tcPr>
          <w:p w14:paraId="1BA267FF" w14:textId="77777777" w:rsidR="00654657" w:rsidRPr="00A250E5" w:rsidRDefault="00654657" w:rsidP="00CD4FDC">
            <w:pPr>
              <w:jc w:val="both"/>
              <w:rPr>
                <w:rFonts w:ascii="Arial" w:hAnsi="Arial" w:cs="Arial"/>
                <w:lang w:val="es-ES_tradnl"/>
              </w:rPr>
            </w:pPr>
          </w:p>
        </w:tc>
        <w:tc>
          <w:tcPr>
            <w:tcW w:w="3240" w:type="dxa"/>
            <w:tcBorders>
              <w:bottom w:val="single" w:sz="4" w:space="0" w:color="auto"/>
            </w:tcBorders>
          </w:tcPr>
          <w:p w14:paraId="407C5D81" w14:textId="488C7BB8" w:rsidR="00654657" w:rsidRPr="001F7E57" w:rsidDel="00F1387B" w:rsidRDefault="00654657" w:rsidP="00CD4FDC">
            <w:pPr>
              <w:jc w:val="both"/>
              <w:rPr>
                <w:rFonts w:ascii="Arial" w:hAnsi="Arial" w:cs="Arial"/>
                <w:lang w:val="es-ES"/>
              </w:rPr>
            </w:pPr>
            <w:r>
              <w:rPr>
                <w:rFonts w:ascii="Arial" w:hAnsi="Arial" w:cs="Arial"/>
                <w:lang w:val="es-ES"/>
              </w:rPr>
              <w:t>Que se haya adoptado el</w:t>
            </w:r>
            <w:r w:rsidRPr="00A250E5">
              <w:rPr>
                <w:rFonts w:ascii="Arial" w:hAnsi="Arial" w:cs="Arial"/>
                <w:lang w:val="es-ES"/>
              </w:rPr>
              <w:t xml:space="preserve"> Plan de Expansión de Generación y Transmisión del Sector Eléctrico 2017-2031.</w:t>
            </w:r>
          </w:p>
        </w:tc>
        <w:tc>
          <w:tcPr>
            <w:tcW w:w="2970" w:type="dxa"/>
            <w:tcBorders>
              <w:bottom w:val="single" w:sz="4" w:space="0" w:color="auto"/>
            </w:tcBorders>
          </w:tcPr>
          <w:p w14:paraId="7E1BFCB8" w14:textId="586557B1" w:rsidR="00654657" w:rsidRPr="001A670C" w:rsidRDefault="00654657">
            <w:pPr>
              <w:jc w:val="both"/>
              <w:rPr>
                <w:rFonts w:ascii="Arial" w:hAnsi="Arial" w:cs="Arial"/>
                <w:lang w:val="es-ES"/>
              </w:rPr>
            </w:pPr>
            <w:r w:rsidRPr="001A670C">
              <w:rPr>
                <w:rFonts w:ascii="Arial" w:hAnsi="Arial" w:cs="Arial"/>
                <w:lang w:val="es-ES"/>
              </w:rPr>
              <w:t>Diario Oficial No. 50.675 del 4 de agosto de 2018 que contiene la Resolución</w:t>
            </w:r>
            <w:r w:rsidR="0099259B" w:rsidRPr="001A670C">
              <w:rPr>
                <w:rFonts w:ascii="Arial" w:hAnsi="Arial" w:cs="Arial"/>
                <w:lang w:val="es-ES"/>
              </w:rPr>
              <w:t xml:space="preserve"> del MME</w:t>
            </w:r>
            <w:r w:rsidRPr="001A670C">
              <w:rPr>
                <w:rFonts w:ascii="Arial" w:hAnsi="Arial" w:cs="Arial"/>
                <w:lang w:val="es-ES"/>
              </w:rPr>
              <w:t xml:space="preserve"> No. 40790 por la cual se adopta de Plan de Expansión de Generación y Transmisión de Energía Eléctrica 2017 - 2031.</w:t>
            </w:r>
          </w:p>
        </w:tc>
        <w:tc>
          <w:tcPr>
            <w:tcW w:w="1634" w:type="dxa"/>
            <w:tcBorders>
              <w:bottom w:val="single" w:sz="4" w:space="0" w:color="auto"/>
            </w:tcBorders>
          </w:tcPr>
          <w:p w14:paraId="4FD123F5" w14:textId="1D7A6833" w:rsidR="00654657" w:rsidRPr="001A670C" w:rsidRDefault="0099259B">
            <w:pPr>
              <w:jc w:val="both"/>
              <w:rPr>
                <w:rFonts w:ascii="Arial" w:hAnsi="Arial" w:cs="Arial"/>
                <w:lang w:val="es-ES"/>
              </w:rPr>
            </w:pPr>
            <w:r w:rsidRPr="001A670C">
              <w:rPr>
                <w:rFonts w:ascii="Arial" w:hAnsi="Arial" w:cs="Arial"/>
                <w:lang w:val="es-ES"/>
              </w:rPr>
              <w:t>MME</w:t>
            </w:r>
          </w:p>
        </w:tc>
      </w:tr>
      <w:tr w:rsidR="00654657" w:rsidRPr="00A250E5" w14:paraId="30B1BC44" w14:textId="255D4260" w:rsidTr="0004797C">
        <w:trPr>
          <w:trHeight w:val="238"/>
        </w:trPr>
        <w:tc>
          <w:tcPr>
            <w:tcW w:w="1975" w:type="dxa"/>
            <w:vMerge/>
          </w:tcPr>
          <w:p w14:paraId="2F63A3F4" w14:textId="77777777" w:rsidR="00654657" w:rsidRPr="00A250E5" w:rsidRDefault="00654657" w:rsidP="00CD4FDC">
            <w:pPr>
              <w:jc w:val="both"/>
              <w:rPr>
                <w:rFonts w:ascii="Arial" w:hAnsi="Arial" w:cs="Arial"/>
                <w:lang w:val="es-ES_tradnl"/>
              </w:rPr>
            </w:pPr>
          </w:p>
        </w:tc>
        <w:tc>
          <w:tcPr>
            <w:tcW w:w="9342" w:type="dxa"/>
            <w:gridSpan w:val="3"/>
            <w:tcBorders>
              <w:bottom w:val="single" w:sz="4" w:space="0" w:color="auto"/>
            </w:tcBorders>
          </w:tcPr>
          <w:p w14:paraId="1C958F93" w14:textId="77777777" w:rsidR="00654657" w:rsidRPr="007F28AC" w:rsidRDefault="00654657" w:rsidP="00CD4FDC">
            <w:pPr>
              <w:jc w:val="both"/>
              <w:rPr>
                <w:rFonts w:ascii="Arial" w:hAnsi="Arial" w:cs="Arial"/>
                <w:lang w:val="es-ES"/>
              </w:rPr>
            </w:pPr>
            <w:r w:rsidRPr="007F28AC">
              <w:rPr>
                <w:rFonts w:ascii="Arial" w:hAnsi="Arial" w:cs="Arial"/>
                <w:b/>
                <w:lang w:val="es-ES"/>
              </w:rPr>
              <w:t>Género y Diversidad</w:t>
            </w:r>
          </w:p>
        </w:tc>
        <w:tc>
          <w:tcPr>
            <w:tcW w:w="1634" w:type="dxa"/>
            <w:tcBorders>
              <w:bottom w:val="single" w:sz="4" w:space="0" w:color="auto"/>
            </w:tcBorders>
          </w:tcPr>
          <w:p w14:paraId="05C82496" w14:textId="77777777" w:rsidR="00654657" w:rsidRPr="007F28AC" w:rsidRDefault="00654657" w:rsidP="00CD4FDC">
            <w:pPr>
              <w:jc w:val="both"/>
              <w:rPr>
                <w:rFonts w:ascii="Arial" w:hAnsi="Arial" w:cs="Arial"/>
                <w:b/>
                <w:lang w:val="es-ES"/>
              </w:rPr>
            </w:pPr>
          </w:p>
        </w:tc>
      </w:tr>
      <w:tr w:rsidR="00654657" w:rsidRPr="001F7E57" w14:paraId="0A2B586C" w14:textId="6A303B72" w:rsidTr="0004797C">
        <w:trPr>
          <w:trHeight w:val="1143"/>
        </w:trPr>
        <w:tc>
          <w:tcPr>
            <w:tcW w:w="1975" w:type="dxa"/>
            <w:vMerge/>
          </w:tcPr>
          <w:p w14:paraId="2D904995" w14:textId="77777777" w:rsidR="00654657" w:rsidRPr="00A250E5" w:rsidRDefault="00654657" w:rsidP="00CD4FDC">
            <w:pPr>
              <w:jc w:val="both"/>
              <w:rPr>
                <w:rFonts w:ascii="Arial" w:hAnsi="Arial" w:cs="Arial"/>
                <w:lang w:val="es-ES_tradnl"/>
              </w:rPr>
            </w:pPr>
          </w:p>
        </w:tc>
        <w:tc>
          <w:tcPr>
            <w:tcW w:w="3132" w:type="dxa"/>
            <w:tcBorders>
              <w:bottom w:val="single" w:sz="4" w:space="0" w:color="auto"/>
            </w:tcBorders>
          </w:tcPr>
          <w:p w14:paraId="13639A8B" w14:textId="77777777" w:rsidR="00654657" w:rsidRPr="00A250E5" w:rsidRDefault="00654657" w:rsidP="00CD4FDC">
            <w:pPr>
              <w:jc w:val="both"/>
              <w:rPr>
                <w:rFonts w:ascii="Arial" w:hAnsi="Arial" w:cs="Arial"/>
                <w:lang w:val="es-ES_tradnl"/>
              </w:rPr>
            </w:pPr>
          </w:p>
        </w:tc>
        <w:tc>
          <w:tcPr>
            <w:tcW w:w="3240" w:type="dxa"/>
            <w:tcBorders>
              <w:bottom w:val="single" w:sz="4" w:space="0" w:color="auto"/>
            </w:tcBorders>
          </w:tcPr>
          <w:p w14:paraId="6F2C8FEC" w14:textId="5073153D" w:rsidR="00654657" w:rsidRPr="00A250E5" w:rsidRDefault="00654657" w:rsidP="00CD4FDC">
            <w:pPr>
              <w:jc w:val="both"/>
              <w:rPr>
                <w:rFonts w:ascii="Arial" w:hAnsi="Arial" w:cs="Arial"/>
                <w:lang w:val="es-ES"/>
              </w:rPr>
            </w:pPr>
            <w:r>
              <w:rPr>
                <w:rFonts w:ascii="Arial" w:hAnsi="Arial" w:cs="Arial"/>
                <w:lang w:val="es-ES"/>
              </w:rPr>
              <w:t>Que se haya adoptado</w:t>
            </w:r>
            <w:r w:rsidRPr="00A250E5">
              <w:rPr>
                <w:rFonts w:ascii="Arial" w:hAnsi="Arial" w:cs="Arial"/>
                <w:lang w:val="es-ES"/>
              </w:rPr>
              <w:t xml:space="preserve"> una política </w:t>
            </w:r>
            <w:r>
              <w:rPr>
                <w:rFonts w:ascii="Arial" w:hAnsi="Arial" w:cs="Arial"/>
                <w:lang w:val="es-ES"/>
              </w:rPr>
              <w:t xml:space="preserve">pública sectorial </w:t>
            </w:r>
            <w:r w:rsidRPr="00A250E5">
              <w:rPr>
                <w:rFonts w:ascii="Arial" w:hAnsi="Arial" w:cs="Arial"/>
                <w:lang w:val="es-ES"/>
              </w:rPr>
              <w:t>que contemple el enfoque de género en el sector minero energético.</w:t>
            </w:r>
          </w:p>
        </w:tc>
        <w:tc>
          <w:tcPr>
            <w:tcW w:w="2970" w:type="dxa"/>
            <w:tcBorders>
              <w:bottom w:val="single" w:sz="4" w:space="0" w:color="auto"/>
            </w:tcBorders>
          </w:tcPr>
          <w:p w14:paraId="1B9A513D" w14:textId="000DE576" w:rsidR="00654657" w:rsidRPr="001A670C" w:rsidRDefault="00654657">
            <w:pPr>
              <w:jc w:val="both"/>
              <w:rPr>
                <w:rFonts w:ascii="Arial" w:hAnsi="Arial" w:cs="Arial"/>
                <w:lang w:val="es-ES"/>
              </w:rPr>
            </w:pPr>
            <w:r w:rsidRPr="001A670C">
              <w:rPr>
                <w:rFonts w:ascii="Arial" w:hAnsi="Arial" w:cs="Arial"/>
                <w:lang w:val="es-ES"/>
              </w:rPr>
              <w:t>Diario Oficial No. 50.673 del 2 de agosto de 2018 que contiene la Resolución MME No. 40796 por la cual se adopta la política de derechos humanos del sector minero energético que tiene un enfoque diferencial de género para el sector minero energético.</w:t>
            </w:r>
          </w:p>
        </w:tc>
        <w:tc>
          <w:tcPr>
            <w:tcW w:w="1634" w:type="dxa"/>
            <w:tcBorders>
              <w:bottom w:val="single" w:sz="4" w:space="0" w:color="auto"/>
            </w:tcBorders>
          </w:tcPr>
          <w:p w14:paraId="57658404" w14:textId="64FFEE2A" w:rsidR="00654657" w:rsidRPr="001A670C" w:rsidRDefault="0099259B">
            <w:pPr>
              <w:jc w:val="both"/>
              <w:rPr>
                <w:rFonts w:ascii="Arial" w:hAnsi="Arial" w:cs="Arial"/>
                <w:lang w:val="es-ES"/>
              </w:rPr>
            </w:pPr>
            <w:r w:rsidRPr="001A670C">
              <w:rPr>
                <w:rFonts w:ascii="Arial" w:hAnsi="Arial" w:cs="Arial"/>
                <w:lang w:val="es-ES"/>
              </w:rPr>
              <w:t>MME</w:t>
            </w:r>
          </w:p>
        </w:tc>
      </w:tr>
      <w:tr w:rsidR="00654657" w:rsidRPr="00D06A82" w14:paraId="60B3FAFD" w14:textId="6C86741A" w:rsidTr="0004797C">
        <w:trPr>
          <w:trHeight w:val="402"/>
        </w:trPr>
        <w:tc>
          <w:tcPr>
            <w:tcW w:w="11321" w:type="dxa"/>
            <w:gridSpan w:val="4"/>
            <w:shd w:val="clear" w:color="auto" w:fill="D9D9D9" w:themeFill="background1" w:themeFillShade="D9"/>
            <w:vAlign w:val="center"/>
          </w:tcPr>
          <w:p w14:paraId="3BEBD0BF" w14:textId="2EDE85A1" w:rsidR="00654657" w:rsidRPr="007F28AC" w:rsidRDefault="00654657" w:rsidP="00CD4FDC">
            <w:pPr>
              <w:jc w:val="both"/>
              <w:rPr>
                <w:rFonts w:ascii="Arial" w:hAnsi="Arial" w:cs="Arial"/>
                <w:b/>
                <w:lang w:val="es-ES_tradnl"/>
              </w:rPr>
            </w:pPr>
            <w:r w:rsidRPr="007F28AC">
              <w:rPr>
                <w:rFonts w:ascii="Arial" w:hAnsi="Arial" w:cs="Arial"/>
                <w:b/>
                <w:lang w:val="es-ES_tradnl"/>
              </w:rPr>
              <w:t>Componente III. Promoción del acceso a la energía en ZNI</w:t>
            </w:r>
            <w:r w:rsidR="00CE6B13">
              <w:rPr>
                <w:rFonts w:ascii="Arial" w:hAnsi="Arial" w:cs="Arial"/>
                <w:b/>
                <w:lang w:val="es-ES_tradnl"/>
              </w:rPr>
              <w:t xml:space="preserve"> con FNCER</w:t>
            </w:r>
          </w:p>
        </w:tc>
        <w:tc>
          <w:tcPr>
            <w:tcW w:w="1634" w:type="dxa"/>
            <w:shd w:val="clear" w:color="auto" w:fill="D9D9D9" w:themeFill="background1" w:themeFillShade="D9"/>
          </w:tcPr>
          <w:p w14:paraId="7D2103CD" w14:textId="77777777" w:rsidR="00654657" w:rsidRPr="007F28AC" w:rsidRDefault="00654657" w:rsidP="00CD4FDC">
            <w:pPr>
              <w:jc w:val="both"/>
              <w:rPr>
                <w:rFonts w:ascii="Arial" w:hAnsi="Arial" w:cs="Arial"/>
                <w:b/>
                <w:lang w:val="es-ES_tradnl"/>
              </w:rPr>
            </w:pPr>
          </w:p>
        </w:tc>
      </w:tr>
      <w:tr w:rsidR="00654657" w:rsidRPr="001F7E57" w14:paraId="647243D2" w14:textId="769BC123" w:rsidTr="0004797C">
        <w:trPr>
          <w:trHeight w:val="1364"/>
        </w:trPr>
        <w:tc>
          <w:tcPr>
            <w:tcW w:w="1975" w:type="dxa"/>
            <w:vMerge w:val="restart"/>
          </w:tcPr>
          <w:p w14:paraId="73B0A050" w14:textId="77777777" w:rsidR="00654657" w:rsidRPr="00A250E5" w:rsidRDefault="00654657" w:rsidP="00CD4FDC">
            <w:pPr>
              <w:jc w:val="both"/>
              <w:rPr>
                <w:rFonts w:ascii="Arial" w:hAnsi="Arial" w:cs="Arial"/>
                <w:lang w:val="es-ES_tradnl"/>
              </w:rPr>
            </w:pPr>
            <w:r w:rsidRPr="00A250E5">
              <w:rPr>
                <w:rFonts w:ascii="Arial" w:hAnsi="Arial" w:cs="Arial"/>
                <w:lang w:val="es-ES_tradnl"/>
              </w:rPr>
              <w:t>Promover el acceso a la energía en las ZNI mediante el uso de FNCER.</w:t>
            </w:r>
          </w:p>
        </w:tc>
        <w:tc>
          <w:tcPr>
            <w:tcW w:w="3132" w:type="dxa"/>
          </w:tcPr>
          <w:p w14:paraId="5A030630" w14:textId="77777777" w:rsidR="00654657" w:rsidRPr="00A250E5" w:rsidRDefault="00654657" w:rsidP="00CD4FDC">
            <w:pPr>
              <w:jc w:val="both"/>
              <w:rPr>
                <w:rFonts w:ascii="Arial" w:hAnsi="Arial" w:cs="Arial"/>
                <w:lang w:val="es-ES_tradnl"/>
              </w:rPr>
            </w:pPr>
            <w:r w:rsidRPr="00A250E5">
              <w:rPr>
                <w:rFonts w:ascii="Arial" w:hAnsi="Arial" w:cs="Arial"/>
                <w:lang w:val="es-ES_tradnl"/>
              </w:rPr>
              <w:t>Reglamentación de la Ley 1715 de 2014, referente al uso de FCNER en las ZNI:</w:t>
            </w:r>
          </w:p>
          <w:p w14:paraId="41113348" w14:textId="3F845F9D" w:rsidR="00654657" w:rsidRPr="00A250E5" w:rsidRDefault="00654657" w:rsidP="00CD4FDC">
            <w:pPr>
              <w:jc w:val="both"/>
              <w:rPr>
                <w:rFonts w:ascii="Arial" w:hAnsi="Arial" w:cs="Arial"/>
                <w:lang w:val="es-ES_tradnl"/>
              </w:rPr>
            </w:pPr>
            <w:r w:rsidRPr="00A250E5">
              <w:rPr>
                <w:rFonts w:ascii="Arial" w:hAnsi="Arial" w:cs="Arial"/>
                <w:lang w:val="es-ES_tradnl"/>
              </w:rPr>
              <w:t>Registro de Proyectos de Generación con FNCER conectables a la red y en ZNI reglamentado</w:t>
            </w:r>
            <w:r w:rsidR="00112FAD">
              <w:rPr>
                <w:rFonts w:ascii="Arial" w:hAnsi="Arial" w:cs="Arial"/>
                <w:lang w:val="es-ES_tradnl"/>
              </w:rPr>
              <w:t>.</w:t>
            </w:r>
          </w:p>
        </w:tc>
        <w:tc>
          <w:tcPr>
            <w:tcW w:w="3240" w:type="dxa"/>
          </w:tcPr>
          <w:p w14:paraId="4C9BD95E" w14:textId="719F0E23" w:rsidR="00654657" w:rsidRPr="00AC6250" w:rsidRDefault="00654657" w:rsidP="00CD4FDC">
            <w:pPr>
              <w:jc w:val="both"/>
              <w:rPr>
                <w:rFonts w:ascii="Arial" w:hAnsi="Arial" w:cs="Arial"/>
                <w:lang w:val="es-ES"/>
              </w:rPr>
            </w:pPr>
            <w:r>
              <w:rPr>
                <w:rFonts w:ascii="Arial" w:hAnsi="Arial" w:cs="Arial"/>
                <w:lang w:val="es-ES"/>
              </w:rPr>
              <w:t>Que se haya creado y esté en operación el r</w:t>
            </w:r>
            <w:r w:rsidRPr="00A250E5">
              <w:rPr>
                <w:rFonts w:ascii="Arial" w:hAnsi="Arial" w:cs="Arial"/>
                <w:lang w:val="es-ES"/>
              </w:rPr>
              <w:t>egistro de Proyectos de Generación con FNCER conectables a la red y en ZNI</w:t>
            </w:r>
            <w:r>
              <w:rPr>
                <w:rFonts w:ascii="Arial" w:hAnsi="Arial" w:cs="Arial"/>
                <w:lang w:val="es-ES"/>
              </w:rPr>
              <w:t>.</w:t>
            </w:r>
          </w:p>
          <w:p w14:paraId="11EEC1C5" w14:textId="77777777" w:rsidR="00654657" w:rsidRPr="00AC6250" w:rsidRDefault="00654657" w:rsidP="00CD4FDC">
            <w:pPr>
              <w:jc w:val="both"/>
              <w:rPr>
                <w:rFonts w:ascii="Arial" w:hAnsi="Arial" w:cs="Arial"/>
                <w:lang w:val="es-ES"/>
              </w:rPr>
            </w:pPr>
          </w:p>
        </w:tc>
        <w:tc>
          <w:tcPr>
            <w:tcW w:w="2970" w:type="dxa"/>
          </w:tcPr>
          <w:p w14:paraId="20CE7E9F" w14:textId="30289D76" w:rsidR="00654657" w:rsidRPr="001A670C" w:rsidRDefault="00654657">
            <w:pPr>
              <w:jc w:val="both"/>
              <w:rPr>
                <w:rFonts w:ascii="Arial" w:hAnsi="Arial" w:cs="Arial"/>
                <w:lang w:val="es-ES"/>
              </w:rPr>
            </w:pPr>
            <w:r w:rsidRPr="001A670C">
              <w:rPr>
                <w:rFonts w:ascii="Arial" w:hAnsi="Arial" w:cs="Arial"/>
                <w:lang w:val="es-ES"/>
              </w:rPr>
              <w:t>Registro de proyectos de generación de energía eléctrica en página WEB de la UPME.</w:t>
            </w:r>
          </w:p>
          <w:p w14:paraId="15AB3739" w14:textId="03B096F3" w:rsidR="00654657" w:rsidRPr="007F28AC" w:rsidRDefault="00F523C5" w:rsidP="00CD4FDC">
            <w:pPr>
              <w:jc w:val="both"/>
              <w:rPr>
                <w:rFonts w:ascii="Arial" w:hAnsi="Arial" w:cs="Arial"/>
                <w:b/>
                <w:lang w:val="es-ES_tradnl"/>
              </w:rPr>
            </w:pPr>
            <w:hyperlink r:id="rId15" w:history="1">
              <w:r w:rsidR="00BA2F7D" w:rsidRPr="00AE153B">
                <w:rPr>
                  <w:rStyle w:val="Hyperlink"/>
                  <w:rFonts w:ascii="Arial" w:hAnsi="Arial" w:cs="Arial"/>
                  <w:lang w:val="es-ES_tradnl"/>
                </w:rPr>
                <w:t>http://www1.upme.gov.co/Paginas/Inscripcionproyectogenelec.aspx</w:t>
              </w:r>
            </w:hyperlink>
          </w:p>
        </w:tc>
        <w:tc>
          <w:tcPr>
            <w:tcW w:w="1634" w:type="dxa"/>
          </w:tcPr>
          <w:p w14:paraId="504D4AAF" w14:textId="694B353E" w:rsidR="00654657" w:rsidRPr="001A670C" w:rsidRDefault="0099259B">
            <w:pPr>
              <w:jc w:val="both"/>
              <w:rPr>
                <w:rFonts w:ascii="Arial" w:hAnsi="Arial" w:cs="Arial"/>
                <w:lang w:val="es-ES"/>
              </w:rPr>
            </w:pPr>
            <w:r w:rsidRPr="001A670C">
              <w:rPr>
                <w:rFonts w:ascii="Arial" w:hAnsi="Arial" w:cs="Arial"/>
                <w:lang w:val="es-ES"/>
              </w:rPr>
              <w:t>UPME</w:t>
            </w:r>
          </w:p>
        </w:tc>
      </w:tr>
      <w:tr w:rsidR="00654657" w:rsidRPr="001F7E57" w14:paraId="5A3D3F32" w14:textId="4036F5DD" w:rsidTr="0004797C">
        <w:trPr>
          <w:trHeight w:val="79"/>
        </w:trPr>
        <w:tc>
          <w:tcPr>
            <w:tcW w:w="1975" w:type="dxa"/>
            <w:vMerge/>
          </w:tcPr>
          <w:p w14:paraId="0EA0BF63" w14:textId="77777777" w:rsidR="00654657" w:rsidRPr="00A250E5" w:rsidRDefault="00654657" w:rsidP="00CD4FDC">
            <w:pPr>
              <w:jc w:val="both"/>
              <w:rPr>
                <w:rFonts w:ascii="Arial" w:hAnsi="Arial" w:cs="Arial"/>
                <w:lang w:val="es-ES_tradnl"/>
              </w:rPr>
            </w:pPr>
          </w:p>
        </w:tc>
        <w:tc>
          <w:tcPr>
            <w:tcW w:w="3132" w:type="dxa"/>
            <w:vMerge w:val="restart"/>
          </w:tcPr>
          <w:p w14:paraId="47DAE240" w14:textId="5454DCFB" w:rsidR="00654657" w:rsidRPr="00A250E5" w:rsidRDefault="00654657" w:rsidP="00CD4FDC">
            <w:pPr>
              <w:jc w:val="both"/>
              <w:rPr>
                <w:rFonts w:ascii="Arial" w:hAnsi="Arial" w:cs="Arial"/>
                <w:lang w:val="es-ES_tradnl"/>
              </w:rPr>
            </w:pPr>
            <w:r w:rsidRPr="00A250E5">
              <w:rPr>
                <w:rFonts w:ascii="Arial" w:hAnsi="Arial" w:cs="Arial"/>
                <w:lang w:val="es-ES_tradnl"/>
              </w:rPr>
              <w:t>Adopción de los lineamientos de política para la expansión de la cobertura del servicio de energía eléctrica en el SIN y en las ZNI con FNCER</w:t>
            </w:r>
            <w:r w:rsidR="00112FAD">
              <w:rPr>
                <w:rFonts w:ascii="Arial" w:hAnsi="Arial" w:cs="Arial"/>
                <w:lang w:val="es-ES_tradnl"/>
              </w:rPr>
              <w:t>.</w:t>
            </w:r>
          </w:p>
        </w:tc>
        <w:tc>
          <w:tcPr>
            <w:tcW w:w="3240" w:type="dxa"/>
          </w:tcPr>
          <w:p w14:paraId="4E3D5351" w14:textId="212D772F" w:rsidR="00654657" w:rsidRDefault="00654657" w:rsidP="00CD4FDC">
            <w:pPr>
              <w:jc w:val="both"/>
              <w:rPr>
                <w:rFonts w:ascii="Arial" w:hAnsi="Arial" w:cs="Arial"/>
                <w:lang w:val="es-ES"/>
              </w:rPr>
            </w:pPr>
            <w:r w:rsidRPr="0088552F">
              <w:rPr>
                <w:rFonts w:ascii="Arial" w:hAnsi="Arial" w:cs="Arial"/>
                <w:lang w:val="es-ES"/>
              </w:rPr>
              <w:t>Que se hayan desarrollado mecanismos para expansión de cobertura de usuarios conectables</w:t>
            </w:r>
            <w:r w:rsidRPr="00AC6250">
              <w:rPr>
                <w:rFonts w:ascii="Arial" w:hAnsi="Arial" w:cs="Arial"/>
                <w:lang w:val="es-ES"/>
              </w:rPr>
              <w:t xml:space="preserve"> </w:t>
            </w:r>
            <w:r w:rsidR="000950F6">
              <w:rPr>
                <w:rFonts w:ascii="Arial" w:hAnsi="Arial" w:cs="Arial"/>
                <w:lang w:val="es-ES"/>
              </w:rPr>
              <w:t>a la red.</w:t>
            </w:r>
          </w:p>
          <w:p w14:paraId="4D539D3D" w14:textId="7E073335" w:rsidR="00654657" w:rsidRDefault="00654657" w:rsidP="00CD4FDC">
            <w:pPr>
              <w:jc w:val="both"/>
              <w:rPr>
                <w:rFonts w:ascii="Arial" w:hAnsi="Arial" w:cs="Arial"/>
                <w:lang w:val="es-ES"/>
              </w:rPr>
            </w:pPr>
          </w:p>
          <w:p w14:paraId="75447BAD" w14:textId="1721A594" w:rsidR="00654657" w:rsidRDefault="00654657" w:rsidP="00CD4FDC">
            <w:pPr>
              <w:jc w:val="both"/>
              <w:rPr>
                <w:rFonts w:ascii="Arial" w:hAnsi="Arial" w:cs="Arial"/>
                <w:lang w:val="es-ES"/>
              </w:rPr>
            </w:pPr>
          </w:p>
          <w:p w14:paraId="00D9DE02" w14:textId="4126B1E4" w:rsidR="00654657" w:rsidRDefault="00654657" w:rsidP="00CD4FDC">
            <w:pPr>
              <w:jc w:val="both"/>
              <w:rPr>
                <w:rFonts w:ascii="Arial" w:hAnsi="Arial" w:cs="Arial"/>
                <w:lang w:val="es-ES"/>
              </w:rPr>
            </w:pPr>
          </w:p>
          <w:p w14:paraId="04835665" w14:textId="77777777" w:rsidR="00654657" w:rsidRDefault="00654657" w:rsidP="00CD4FDC">
            <w:pPr>
              <w:jc w:val="both"/>
              <w:rPr>
                <w:rFonts w:ascii="Arial" w:hAnsi="Arial" w:cs="Arial"/>
                <w:lang w:val="es-ES"/>
              </w:rPr>
            </w:pPr>
          </w:p>
          <w:p w14:paraId="33268E50" w14:textId="21412DD3" w:rsidR="00654657" w:rsidRPr="00AC6250" w:rsidRDefault="00654657" w:rsidP="00CD4FDC">
            <w:pPr>
              <w:jc w:val="both"/>
              <w:rPr>
                <w:rFonts w:ascii="Arial" w:hAnsi="Arial" w:cs="Arial"/>
                <w:lang w:val="es-ES"/>
              </w:rPr>
            </w:pPr>
            <w:r>
              <w:rPr>
                <w:rFonts w:ascii="Arial" w:hAnsi="Arial" w:cs="Arial"/>
                <w:lang w:val="es-ES"/>
              </w:rPr>
              <w:lastRenderedPageBreak/>
              <w:t>Que se haya estructurado la primera APP para ZNI.</w:t>
            </w:r>
          </w:p>
        </w:tc>
        <w:tc>
          <w:tcPr>
            <w:tcW w:w="2970" w:type="dxa"/>
          </w:tcPr>
          <w:p w14:paraId="5B9A6436" w14:textId="2BF20752" w:rsidR="00654657" w:rsidRPr="001A670C" w:rsidRDefault="00654657">
            <w:pPr>
              <w:jc w:val="both"/>
              <w:rPr>
                <w:rFonts w:ascii="Arial" w:hAnsi="Arial" w:cs="Arial"/>
                <w:lang w:val="es-ES"/>
              </w:rPr>
            </w:pPr>
            <w:r w:rsidRPr="001A670C">
              <w:rPr>
                <w:rFonts w:ascii="Arial" w:hAnsi="Arial" w:cs="Arial"/>
                <w:lang w:val="es-ES"/>
              </w:rPr>
              <w:lastRenderedPageBreak/>
              <w:t xml:space="preserve">Diario Oficial No. 50.860 del 7 de febrero de 2018 que contiene la Resolución CREG No. 015 que otorga incentivos a los operadores de red para que expanda la cobertura </w:t>
            </w:r>
            <w:r w:rsidR="004E2EEC">
              <w:rPr>
                <w:rFonts w:ascii="Arial" w:hAnsi="Arial" w:cs="Arial"/>
                <w:lang w:val="es-ES"/>
              </w:rPr>
              <w:t xml:space="preserve">eléctrica </w:t>
            </w:r>
            <w:r w:rsidRPr="001A670C">
              <w:rPr>
                <w:rFonts w:ascii="Arial" w:hAnsi="Arial" w:cs="Arial"/>
                <w:lang w:val="es-ES"/>
              </w:rPr>
              <w:t>a usuarios no conectados.</w:t>
            </w:r>
          </w:p>
          <w:p w14:paraId="132498D1" w14:textId="2C691612" w:rsidR="00654657" w:rsidRPr="007F28AC" w:rsidRDefault="00654657" w:rsidP="00CD4FDC">
            <w:pPr>
              <w:pStyle w:val="ListParagraph"/>
              <w:ind w:left="0"/>
              <w:contextualSpacing w:val="0"/>
              <w:jc w:val="both"/>
              <w:rPr>
                <w:rFonts w:ascii="Arial" w:hAnsi="Arial" w:cs="Arial"/>
                <w:lang w:val="es-ES_tradnl"/>
              </w:rPr>
            </w:pPr>
          </w:p>
          <w:p w14:paraId="4727BAFC" w14:textId="25020779" w:rsidR="00654657" w:rsidRPr="007F28AC" w:rsidRDefault="00654657" w:rsidP="00CD4FDC">
            <w:pPr>
              <w:jc w:val="both"/>
              <w:rPr>
                <w:rFonts w:ascii="Arial" w:hAnsi="Arial" w:cs="Arial"/>
                <w:lang w:val="es-ES_tradnl"/>
              </w:rPr>
            </w:pPr>
            <w:r w:rsidRPr="007F28AC">
              <w:rPr>
                <w:rFonts w:ascii="Arial" w:hAnsi="Arial" w:cs="Arial"/>
                <w:lang w:val="es-ES_tradnl"/>
              </w:rPr>
              <w:lastRenderedPageBreak/>
              <w:t>Estudio de estructuración de la APP para ZNI.</w:t>
            </w:r>
          </w:p>
        </w:tc>
        <w:tc>
          <w:tcPr>
            <w:tcW w:w="1634" w:type="dxa"/>
          </w:tcPr>
          <w:p w14:paraId="1782F468" w14:textId="0F1FC0B1" w:rsidR="00654657" w:rsidRPr="001A670C" w:rsidRDefault="0099259B">
            <w:pPr>
              <w:jc w:val="both"/>
              <w:rPr>
                <w:rFonts w:ascii="Arial" w:hAnsi="Arial" w:cs="Arial"/>
                <w:lang w:val="es-ES"/>
              </w:rPr>
            </w:pPr>
            <w:r w:rsidRPr="001A670C">
              <w:rPr>
                <w:rFonts w:ascii="Arial" w:hAnsi="Arial" w:cs="Arial"/>
                <w:lang w:val="es-ES"/>
              </w:rPr>
              <w:lastRenderedPageBreak/>
              <w:t>CREG</w:t>
            </w:r>
          </w:p>
        </w:tc>
      </w:tr>
      <w:tr w:rsidR="00654657" w:rsidRPr="001F7E57" w14:paraId="54322A84" w14:textId="15E6FA72" w:rsidTr="0004797C">
        <w:trPr>
          <w:trHeight w:val="1825"/>
        </w:trPr>
        <w:tc>
          <w:tcPr>
            <w:tcW w:w="1975" w:type="dxa"/>
            <w:vMerge/>
          </w:tcPr>
          <w:p w14:paraId="2CA29DE2" w14:textId="77777777" w:rsidR="00654657" w:rsidRPr="00A250E5" w:rsidRDefault="00654657" w:rsidP="00CD4FDC">
            <w:pPr>
              <w:jc w:val="both"/>
              <w:rPr>
                <w:rFonts w:ascii="Arial" w:hAnsi="Arial" w:cs="Arial"/>
                <w:lang w:val="es-ES_tradnl"/>
              </w:rPr>
            </w:pPr>
          </w:p>
        </w:tc>
        <w:tc>
          <w:tcPr>
            <w:tcW w:w="3132" w:type="dxa"/>
            <w:vMerge/>
          </w:tcPr>
          <w:p w14:paraId="758FA43D" w14:textId="77777777" w:rsidR="00654657" w:rsidRPr="00A250E5" w:rsidRDefault="00654657" w:rsidP="00CD4FDC">
            <w:pPr>
              <w:jc w:val="both"/>
              <w:rPr>
                <w:rFonts w:ascii="Arial" w:hAnsi="Arial" w:cs="Arial"/>
                <w:lang w:val="es-ES_tradnl"/>
              </w:rPr>
            </w:pPr>
          </w:p>
        </w:tc>
        <w:tc>
          <w:tcPr>
            <w:tcW w:w="3240" w:type="dxa"/>
            <w:tcBorders>
              <w:bottom w:val="single" w:sz="4" w:space="0" w:color="auto"/>
            </w:tcBorders>
          </w:tcPr>
          <w:p w14:paraId="229CC0C2" w14:textId="37D04C80" w:rsidR="00654657" w:rsidRPr="00871191" w:rsidRDefault="00654657" w:rsidP="00CD4FDC">
            <w:pPr>
              <w:jc w:val="both"/>
              <w:rPr>
                <w:rFonts w:ascii="Arial" w:hAnsi="Arial" w:cs="Arial"/>
                <w:highlight w:val="yellow"/>
                <w:lang w:val="es-ES"/>
              </w:rPr>
            </w:pPr>
            <w:r>
              <w:rPr>
                <w:rFonts w:ascii="Arial" w:hAnsi="Arial" w:cs="Arial"/>
                <w:lang w:val="es-ES"/>
              </w:rPr>
              <w:t xml:space="preserve">Que se hayan </w:t>
            </w:r>
            <w:r w:rsidRPr="00812470">
              <w:rPr>
                <w:rFonts w:ascii="Arial" w:hAnsi="Arial" w:cs="Arial"/>
                <w:lang w:val="es-ES"/>
              </w:rPr>
              <w:t>adop</w:t>
            </w:r>
            <w:r>
              <w:rPr>
                <w:rFonts w:ascii="Arial" w:hAnsi="Arial" w:cs="Arial"/>
                <w:lang w:val="es-ES"/>
              </w:rPr>
              <w:t>tado</w:t>
            </w:r>
            <w:r w:rsidRPr="00812470">
              <w:rPr>
                <w:rFonts w:ascii="Arial" w:hAnsi="Arial" w:cs="Arial"/>
                <w:lang w:val="es-ES"/>
              </w:rPr>
              <w:t xml:space="preserve"> </w:t>
            </w:r>
            <w:r>
              <w:rPr>
                <w:rFonts w:ascii="Arial" w:hAnsi="Arial" w:cs="Arial"/>
                <w:lang w:val="es-ES"/>
              </w:rPr>
              <w:t>los</w:t>
            </w:r>
            <w:r w:rsidRPr="00812470">
              <w:rPr>
                <w:rFonts w:ascii="Arial" w:hAnsi="Arial" w:cs="Arial"/>
                <w:lang w:val="es-ES"/>
              </w:rPr>
              <w:t xml:space="preserve"> lineamientos del Plan Nacional de Electrificación Rural 2018-2031 que busca la universalización del servicio de energía eléctrica a nivel nacional en 2031, con un especial énfasis en las </w:t>
            </w:r>
            <w:r w:rsidR="00533F4D">
              <w:rPr>
                <w:rFonts w:ascii="Arial" w:hAnsi="Arial" w:cs="Arial"/>
                <w:lang w:val="es-ES"/>
              </w:rPr>
              <w:t>zonas</w:t>
            </w:r>
            <w:r w:rsidR="00533F4D" w:rsidRPr="00812470">
              <w:rPr>
                <w:rFonts w:ascii="Arial" w:hAnsi="Arial" w:cs="Arial"/>
                <w:lang w:val="es-ES"/>
              </w:rPr>
              <w:t xml:space="preserve"> </w:t>
            </w:r>
            <w:r w:rsidRPr="00812470">
              <w:rPr>
                <w:rFonts w:ascii="Arial" w:hAnsi="Arial" w:cs="Arial"/>
                <w:lang w:val="es-ES"/>
              </w:rPr>
              <w:t xml:space="preserve">de </w:t>
            </w:r>
            <w:r w:rsidR="00393B74">
              <w:rPr>
                <w:rFonts w:ascii="Arial" w:hAnsi="Arial" w:cs="Arial"/>
                <w:lang w:val="es-ES"/>
              </w:rPr>
              <w:t>estabilizació</w:t>
            </w:r>
            <w:r w:rsidR="00EF44E9">
              <w:rPr>
                <w:rFonts w:ascii="Arial" w:hAnsi="Arial" w:cs="Arial"/>
                <w:lang w:val="es-ES"/>
              </w:rPr>
              <w:t>n</w:t>
            </w:r>
            <w:r>
              <w:rPr>
                <w:rFonts w:ascii="Arial" w:hAnsi="Arial" w:cs="Arial"/>
                <w:lang w:val="es-ES"/>
              </w:rPr>
              <w:t>.</w:t>
            </w:r>
          </w:p>
        </w:tc>
        <w:tc>
          <w:tcPr>
            <w:tcW w:w="2970" w:type="dxa"/>
            <w:tcBorders>
              <w:bottom w:val="single" w:sz="4" w:space="0" w:color="auto"/>
            </w:tcBorders>
          </w:tcPr>
          <w:p w14:paraId="729B8B0B" w14:textId="069163E7" w:rsidR="00654657" w:rsidRPr="00995D4F" w:rsidRDefault="00654657" w:rsidP="00CD4FDC">
            <w:pPr>
              <w:jc w:val="both"/>
              <w:rPr>
                <w:rFonts w:ascii="Arial" w:hAnsi="Arial" w:cs="Arial"/>
                <w:highlight w:val="yellow"/>
                <w:lang w:val="es-ES"/>
              </w:rPr>
            </w:pPr>
            <w:r>
              <w:rPr>
                <w:rFonts w:ascii="Arial" w:hAnsi="Arial" w:cs="Arial"/>
                <w:lang w:val="es-ES"/>
              </w:rPr>
              <w:t xml:space="preserve">Diario Oficial No. 50677 del 6 de agosto de 2018 que contiene la </w:t>
            </w:r>
            <w:r w:rsidRPr="007E3969">
              <w:rPr>
                <w:rFonts w:ascii="Arial" w:hAnsi="Arial" w:cs="Arial"/>
                <w:lang w:val="es-ES"/>
              </w:rPr>
              <w:t>Resolución</w:t>
            </w:r>
            <w:r>
              <w:rPr>
                <w:rFonts w:ascii="Arial" w:hAnsi="Arial" w:cs="Arial"/>
                <w:lang w:val="es-ES"/>
              </w:rPr>
              <w:t xml:space="preserve"> del</w:t>
            </w:r>
            <w:r w:rsidRPr="007E3969">
              <w:rPr>
                <w:rFonts w:ascii="Arial" w:hAnsi="Arial" w:cs="Arial"/>
                <w:lang w:val="es-ES"/>
              </w:rPr>
              <w:t xml:space="preserve"> MME </w:t>
            </w:r>
            <w:r>
              <w:rPr>
                <w:rFonts w:ascii="Arial" w:hAnsi="Arial" w:cs="Arial"/>
                <w:lang w:val="es-ES"/>
              </w:rPr>
              <w:t xml:space="preserve">No. </w:t>
            </w:r>
            <w:r w:rsidRPr="007E3969">
              <w:rPr>
                <w:rFonts w:ascii="Arial" w:hAnsi="Arial" w:cs="Arial"/>
                <w:lang w:val="es-ES"/>
              </w:rPr>
              <w:t xml:space="preserve">40809 </w:t>
            </w:r>
            <w:r>
              <w:rPr>
                <w:rFonts w:ascii="Arial" w:hAnsi="Arial" w:cs="Arial"/>
                <w:lang w:val="es-ES"/>
              </w:rPr>
              <w:t xml:space="preserve">por </w:t>
            </w:r>
            <w:r w:rsidRPr="007E3969">
              <w:rPr>
                <w:rFonts w:ascii="Arial" w:hAnsi="Arial" w:cs="Arial"/>
                <w:lang w:val="es-ES"/>
              </w:rPr>
              <w:t xml:space="preserve">la cual se adoptan los lineamientos del Plan Nacional de Electrificación Rural 2018 - 2031 con focalización en las </w:t>
            </w:r>
            <w:r w:rsidR="00533F4D">
              <w:rPr>
                <w:rFonts w:ascii="Arial" w:hAnsi="Arial" w:cs="Arial"/>
                <w:lang w:val="es-ES"/>
              </w:rPr>
              <w:t>zonas</w:t>
            </w:r>
            <w:r w:rsidR="00533F4D" w:rsidRPr="007E3969">
              <w:rPr>
                <w:rFonts w:ascii="Arial" w:hAnsi="Arial" w:cs="Arial"/>
                <w:lang w:val="es-ES"/>
              </w:rPr>
              <w:t xml:space="preserve"> </w:t>
            </w:r>
            <w:r w:rsidRPr="007E3969">
              <w:rPr>
                <w:rFonts w:ascii="Arial" w:hAnsi="Arial" w:cs="Arial"/>
                <w:lang w:val="es-ES"/>
              </w:rPr>
              <w:t xml:space="preserve">de </w:t>
            </w:r>
            <w:r w:rsidR="00EF44E9">
              <w:rPr>
                <w:rFonts w:ascii="Arial" w:hAnsi="Arial" w:cs="Arial"/>
                <w:lang w:val="es-ES"/>
              </w:rPr>
              <w:t>estabilización</w:t>
            </w:r>
            <w:r w:rsidRPr="007E3969">
              <w:rPr>
                <w:rFonts w:ascii="Arial" w:hAnsi="Arial" w:cs="Arial"/>
                <w:lang w:val="es-ES"/>
              </w:rPr>
              <w:t>.</w:t>
            </w:r>
          </w:p>
        </w:tc>
        <w:tc>
          <w:tcPr>
            <w:tcW w:w="1634" w:type="dxa"/>
            <w:tcBorders>
              <w:bottom w:val="single" w:sz="4" w:space="0" w:color="auto"/>
            </w:tcBorders>
          </w:tcPr>
          <w:p w14:paraId="5922B7E3" w14:textId="1F718196" w:rsidR="00654657" w:rsidRDefault="0099259B" w:rsidP="00CD4FDC">
            <w:pPr>
              <w:jc w:val="both"/>
              <w:rPr>
                <w:rFonts w:ascii="Arial" w:hAnsi="Arial" w:cs="Arial"/>
                <w:lang w:val="es-ES"/>
              </w:rPr>
            </w:pPr>
            <w:r>
              <w:rPr>
                <w:rFonts w:ascii="Arial" w:hAnsi="Arial" w:cs="Arial"/>
                <w:lang w:val="es-ES"/>
              </w:rPr>
              <w:t>MME</w:t>
            </w:r>
          </w:p>
        </w:tc>
      </w:tr>
    </w:tbl>
    <w:p w14:paraId="7AAE3F58" w14:textId="77777777" w:rsidR="002906C2" w:rsidRPr="00A250E5" w:rsidRDefault="002906C2" w:rsidP="00A250E5">
      <w:pPr>
        <w:jc w:val="both"/>
        <w:rPr>
          <w:rFonts w:ascii="Arial" w:hAnsi="Arial" w:cs="Arial"/>
          <w:lang w:val="es-ES_tradnl"/>
        </w:rPr>
      </w:pPr>
    </w:p>
    <w:sectPr w:rsidR="002906C2" w:rsidRPr="00A250E5" w:rsidSect="00812FBF">
      <w:head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A2BCB" w14:textId="77777777" w:rsidR="00F523C5" w:rsidRDefault="00F523C5">
      <w:r>
        <w:separator/>
      </w:r>
    </w:p>
  </w:endnote>
  <w:endnote w:type="continuationSeparator" w:id="0">
    <w:p w14:paraId="11A44146" w14:textId="77777777" w:rsidR="00F523C5" w:rsidRDefault="00F523C5">
      <w:r>
        <w:continuationSeparator/>
      </w:r>
    </w:p>
  </w:endnote>
  <w:endnote w:type="continuationNotice" w:id="1">
    <w:p w14:paraId="037EAEA0" w14:textId="77777777" w:rsidR="00F523C5" w:rsidRDefault="00F52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auto"/>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D6CC8" w14:textId="77777777" w:rsidR="00F523C5" w:rsidRDefault="00F523C5">
      <w:r>
        <w:separator/>
      </w:r>
    </w:p>
  </w:footnote>
  <w:footnote w:type="continuationSeparator" w:id="0">
    <w:p w14:paraId="3797F3D6" w14:textId="77777777" w:rsidR="00F523C5" w:rsidRDefault="00F523C5">
      <w:r>
        <w:continuationSeparator/>
      </w:r>
    </w:p>
  </w:footnote>
  <w:footnote w:type="continuationNotice" w:id="1">
    <w:p w14:paraId="441FF16D" w14:textId="77777777" w:rsidR="00F523C5" w:rsidRDefault="00F523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lang w:val="es-ES_tradnl"/>
      </w:rPr>
      <w:id w:val="-1318336367"/>
      <w:docPartObj>
        <w:docPartGallery w:val="Page Numbers (Top of Page)"/>
        <w:docPartUnique/>
      </w:docPartObj>
    </w:sdtPr>
    <w:sdtEndPr/>
    <w:sdtContent>
      <w:p w14:paraId="1A9B049E" w14:textId="77777777" w:rsidR="00A250E5" w:rsidRPr="00CA2203" w:rsidRDefault="00A250E5">
        <w:pPr>
          <w:pStyle w:val="Header"/>
          <w:jc w:val="right"/>
          <w:rPr>
            <w:rFonts w:ascii="Arial" w:hAnsi="Arial" w:cs="Arial"/>
            <w:sz w:val="18"/>
            <w:szCs w:val="18"/>
            <w:lang w:val="pt-BR"/>
          </w:rPr>
        </w:pPr>
        <w:r w:rsidRPr="00CA2203">
          <w:rPr>
            <w:rFonts w:ascii="Arial" w:hAnsi="Arial" w:cs="Arial"/>
            <w:sz w:val="18"/>
            <w:szCs w:val="18"/>
            <w:lang w:val="pt-BR"/>
          </w:rPr>
          <w:t>CO-L1237</w:t>
        </w:r>
      </w:p>
      <w:p w14:paraId="480CED27" w14:textId="77777777" w:rsidR="00A250E5" w:rsidRPr="00CA2203" w:rsidRDefault="00A250E5">
        <w:pPr>
          <w:pStyle w:val="Header"/>
          <w:jc w:val="right"/>
          <w:rPr>
            <w:rFonts w:ascii="Arial" w:hAnsi="Arial" w:cs="Arial"/>
            <w:sz w:val="18"/>
            <w:szCs w:val="18"/>
            <w:lang w:val="pt-BR"/>
          </w:rPr>
        </w:pPr>
        <w:r w:rsidRPr="00CA2203">
          <w:rPr>
            <w:rFonts w:ascii="Arial" w:hAnsi="Arial" w:cs="Arial"/>
            <w:sz w:val="18"/>
            <w:szCs w:val="18"/>
            <w:lang w:val="pt-BR"/>
          </w:rPr>
          <w:t xml:space="preserve">Página </w:t>
        </w:r>
        <w:r w:rsidRPr="00CA2203">
          <w:rPr>
            <w:rFonts w:ascii="Arial" w:hAnsi="Arial" w:cs="Arial"/>
            <w:bCs/>
            <w:sz w:val="18"/>
            <w:szCs w:val="18"/>
            <w:lang w:val="es-ES_tradnl"/>
          </w:rPr>
          <w:fldChar w:fldCharType="begin"/>
        </w:r>
        <w:r w:rsidRPr="00CA2203">
          <w:rPr>
            <w:rFonts w:ascii="Arial" w:hAnsi="Arial" w:cs="Arial"/>
            <w:bCs/>
            <w:sz w:val="18"/>
            <w:szCs w:val="18"/>
            <w:lang w:val="pt-BR"/>
          </w:rPr>
          <w:instrText xml:space="preserve"> PAGE </w:instrText>
        </w:r>
        <w:r w:rsidRPr="00CA2203">
          <w:rPr>
            <w:rFonts w:ascii="Arial" w:hAnsi="Arial" w:cs="Arial"/>
            <w:bCs/>
            <w:sz w:val="18"/>
            <w:szCs w:val="18"/>
            <w:lang w:val="es-ES_tradnl"/>
          </w:rPr>
          <w:fldChar w:fldCharType="separate"/>
        </w:r>
        <w:r w:rsidRPr="00CA2203">
          <w:rPr>
            <w:rFonts w:ascii="Arial" w:hAnsi="Arial" w:cs="Arial"/>
            <w:bCs/>
            <w:noProof/>
            <w:sz w:val="18"/>
            <w:szCs w:val="18"/>
            <w:lang w:val="pt-BR"/>
          </w:rPr>
          <w:t>2</w:t>
        </w:r>
        <w:r w:rsidRPr="00CA2203">
          <w:rPr>
            <w:rFonts w:ascii="Arial" w:hAnsi="Arial" w:cs="Arial"/>
            <w:bCs/>
            <w:sz w:val="18"/>
            <w:szCs w:val="18"/>
            <w:lang w:val="es-ES_tradnl"/>
          </w:rPr>
          <w:fldChar w:fldCharType="end"/>
        </w:r>
        <w:r w:rsidRPr="00CA2203">
          <w:rPr>
            <w:rFonts w:ascii="Arial" w:hAnsi="Arial" w:cs="Arial"/>
            <w:sz w:val="18"/>
            <w:szCs w:val="18"/>
            <w:lang w:val="pt-BR"/>
          </w:rPr>
          <w:t xml:space="preserve"> de </w:t>
        </w:r>
        <w:r w:rsidRPr="00CA2203">
          <w:rPr>
            <w:rFonts w:ascii="Arial" w:hAnsi="Arial" w:cs="Arial"/>
            <w:bCs/>
            <w:sz w:val="18"/>
            <w:szCs w:val="18"/>
            <w:lang w:val="es-ES_tradnl"/>
          </w:rPr>
          <w:fldChar w:fldCharType="begin"/>
        </w:r>
        <w:r w:rsidRPr="00CA2203">
          <w:rPr>
            <w:rFonts w:ascii="Arial" w:hAnsi="Arial" w:cs="Arial"/>
            <w:bCs/>
            <w:sz w:val="18"/>
            <w:szCs w:val="18"/>
            <w:lang w:val="pt-BR"/>
          </w:rPr>
          <w:instrText xml:space="preserve"> NUMPAGES  </w:instrText>
        </w:r>
        <w:r w:rsidRPr="00CA2203">
          <w:rPr>
            <w:rFonts w:ascii="Arial" w:hAnsi="Arial" w:cs="Arial"/>
            <w:bCs/>
            <w:sz w:val="18"/>
            <w:szCs w:val="18"/>
            <w:lang w:val="es-ES_tradnl"/>
          </w:rPr>
          <w:fldChar w:fldCharType="separate"/>
        </w:r>
        <w:r w:rsidRPr="00CA2203">
          <w:rPr>
            <w:rFonts w:ascii="Arial" w:hAnsi="Arial" w:cs="Arial"/>
            <w:bCs/>
            <w:noProof/>
            <w:sz w:val="18"/>
            <w:szCs w:val="18"/>
            <w:lang w:val="pt-BR"/>
          </w:rPr>
          <w:t>2</w:t>
        </w:r>
        <w:r w:rsidRPr="00CA2203">
          <w:rPr>
            <w:rFonts w:ascii="Arial" w:hAnsi="Arial" w:cs="Arial"/>
            <w:bCs/>
            <w:sz w:val="18"/>
            <w:szCs w:val="18"/>
            <w:lang w:val="es-ES_tradnl"/>
          </w:rPr>
          <w:fldChar w:fldCharType="end"/>
        </w:r>
      </w:p>
    </w:sdtContent>
  </w:sdt>
  <w:p w14:paraId="32F2BD25" w14:textId="77777777" w:rsidR="00894C18" w:rsidRPr="00686040" w:rsidRDefault="00894C18" w:rsidP="00A3582C">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023A0"/>
    <w:multiLevelType w:val="hybridMultilevel"/>
    <w:tmpl w:val="E6D4F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25CD596A"/>
    <w:multiLevelType w:val="hybridMultilevel"/>
    <w:tmpl w:val="E6A29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6DB1460"/>
    <w:multiLevelType w:val="hybridMultilevel"/>
    <w:tmpl w:val="A4F01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AB1AA8"/>
    <w:multiLevelType w:val="hybridMultilevel"/>
    <w:tmpl w:val="C4547F58"/>
    <w:lvl w:ilvl="0" w:tplc="74682C0A">
      <w:start w:val="1"/>
      <w:numFmt w:val="decimal"/>
      <w:lvlText w:val="%1."/>
      <w:lvlJc w:val="left"/>
      <w:pPr>
        <w:ind w:left="360" w:hanging="360"/>
      </w:pPr>
      <w:rPr>
        <w:rFonts w:hint="default"/>
        <w:b w:val="0"/>
        <w:color w:val="4F81BD" w:themeColor="accen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3DC3530"/>
    <w:multiLevelType w:val="hybridMultilevel"/>
    <w:tmpl w:val="50A4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98"/>
    <w:rsid w:val="00000531"/>
    <w:rsid w:val="00000608"/>
    <w:rsid w:val="000011B1"/>
    <w:rsid w:val="00002B34"/>
    <w:rsid w:val="00002D15"/>
    <w:rsid w:val="00003612"/>
    <w:rsid w:val="000053F5"/>
    <w:rsid w:val="000062D5"/>
    <w:rsid w:val="000069D4"/>
    <w:rsid w:val="00011552"/>
    <w:rsid w:val="00013B28"/>
    <w:rsid w:val="00017D38"/>
    <w:rsid w:val="00020A03"/>
    <w:rsid w:val="00025356"/>
    <w:rsid w:val="0003105A"/>
    <w:rsid w:val="0003171A"/>
    <w:rsid w:val="0003206E"/>
    <w:rsid w:val="0003235E"/>
    <w:rsid w:val="00032B5B"/>
    <w:rsid w:val="00034A08"/>
    <w:rsid w:val="00035F14"/>
    <w:rsid w:val="00040206"/>
    <w:rsid w:val="00041117"/>
    <w:rsid w:val="00042CDF"/>
    <w:rsid w:val="000461E0"/>
    <w:rsid w:val="0004797C"/>
    <w:rsid w:val="00051470"/>
    <w:rsid w:val="0005379B"/>
    <w:rsid w:val="00053BEF"/>
    <w:rsid w:val="00054E89"/>
    <w:rsid w:val="000556A8"/>
    <w:rsid w:val="00055F4F"/>
    <w:rsid w:val="00056198"/>
    <w:rsid w:val="00056F23"/>
    <w:rsid w:val="00057A56"/>
    <w:rsid w:val="0006072C"/>
    <w:rsid w:val="000612F6"/>
    <w:rsid w:val="00061C92"/>
    <w:rsid w:val="00064111"/>
    <w:rsid w:val="0006685B"/>
    <w:rsid w:val="000669A6"/>
    <w:rsid w:val="00066B68"/>
    <w:rsid w:val="00066B7B"/>
    <w:rsid w:val="00067D40"/>
    <w:rsid w:val="00067F44"/>
    <w:rsid w:val="000717FE"/>
    <w:rsid w:val="00072106"/>
    <w:rsid w:val="00073326"/>
    <w:rsid w:val="0007538D"/>
    <w:rsid w:val="00077961"/>
    <w:rsid w:val="00077DB1"/>
    <w:rsid w:val="0008081A"/>
    <w:rsid w:val="00081C7E"/>
    <w:rsid w:val="00082F86"/>
    <w:rsid w:val="00083F05"/>
    <w:rsid w:val="00084B52"/>
    <w:rsid w:val="0009095A"/>
    <w:rsid w:val="00091396"/>
    <w:rsid w:val="00093545"/>
    <w:rsid w:val="00093DDA"/>
    <w:rsid w:val="00094614"/>
    <w:rsid w:val="000950F6"/>
    <w:rsid w:val="0009563E"/>
    <w:rsid w:val="00095E3A"/>
    <w:rsid w:val="000A20F8"/>
    <w:rsid w:val="000A3D4A"/>
    <w:rsid w:val="000A77B1"/>
    <w:rsid w:val="000A7B26"/>
    <w:rsid w:val="000A7B47"/>
    <w:rsid w:val="000B09DC"/>
    <w:rsid w:val="000B2795"/>
    <w:rsid w:val="000B409C"/>
    <w:rsid w:val="000B4645"/>
    <w:rsid w:val="000B4D4E"/>
    <w:rsid w:val="000B4DBB"/>
    <w:rsid w:val="000B5BE9"/>
    <w:rsid w:val="000C005D"/>
    <w:rsid w:val="000C08ED"/>
    <w:rsid w:val="000C3F84"/>
    <w:rsid w:val="000C42A3"/>
    <w:rsid w:val="000C49A7"/>
    <w:rsid w:val="000D15F1"/>
    <w:rsid w:val="000D4B8E"/>
    <w:rsid w:val="000D75A6"/>
    <w:rsid w:val="000D7709"/>
    <w:rsid w:val="000D7D6B"/>
    <w:rsid w:val="000E0DDC"/>
    <w:rsid w:val="000E18D2"/>
    <w:rsid w:val="000E1EFB"/>
    <w:rsid w:val="000E4887"/>
    <w:rsid w:val="000E4F50"/>
    <w:rsid w:val="000E54B7"/>
    <w:rsid w:val="000E6B1C"/>
    <w:rsid w:val="000E704B"/>
    <w:rsid w:val="000E73C2"/>
    <w:rsid w:val="000F1C75"/>
    <w:rsid w:val="000F4345"/>
    <w:rsid w:val="000F563D"/>
    <w:rsid w:val="00102019"/>
    <w:rsid w:val="001021FE"/>
    <w:rsid w:val="00102DDA"/>
    <w:rsid w:val="001074CF"/>
    <w:rsid w:val="001075E3"/>
    <w:rsid w:val="00107706"/>
    <w:rsid w:val="00110090"/>
    <w:rsid w:val="00110910"/>
    <w:rsid w:val="00112FAD"/>
    <w:rsid w:val="001130F8"/>
    <w:rsid w:val="001146B9"/>
    <w:rsid w:val="0011593B"/>
    <w:rsid w:val="00117F9F"/>
    <w:rsid w:val="00120214"/>
    <w:rsid w:val="00121650"/>
    <w:rsid w:val="001226D1"/>
    <w:rsid w:val="001233D4"/>
    <w:rsid w:val="0012346A"/>
    <w:rsid w:val="001309F5"/>
    <w:rsid w:val="001317B5"/>
    <w:rsid w:val="00134AE5"/>
    <w:rsid w:val="001350B4"/>
    <w:rsid w:val="0013762B"/>
    <w:rsid w:val="00137948"/>
    <w:rsid w:val="00141143"/>
    <w:rsid w:val="001413B5"/>
    <w:rsid w:val="001415E7"/>
    <w:rsid w:val="00143C21"/>
    <w:rsid w:val="00145A68"/>
    <w:rsid w:val="00146AF7"/>
    <w:rsid w:val="00146CFF"/>
    <w:rsid w:val="00150684"/>
    <w:rsid w:val="00150F64"/>
    <w:rsid w:val="00154C24"/>
    <w:rsid w:val="00160D60"/>
    <w:rsid w:val="001620F6"/>
    <w:rsid w:val="00162F71"/>
    <w:rsid w:val="001636CE"/>
    <w:rsid w:val="001676A3"/>
    <w:rsid w:val="0017077E"/>
    <w:rsid w:val="00170DF0"/>
    <w:rsid w:val="00171550"/>
    <w:rsid w:val="001718A3"/>
    <w:rsid w:val="00171A51"/>
    <w:rsid w:val="00171F9C"/>
    <w:rsid w:val="00174232"/>
    <w:rsid w:val="001774D0"/>
    <w:rsid w:val="0018023C"/>
    <w:rsid w:val="00182722"/>
    <w:rsid w:val="00182C77"/>
    <w:rsid w:val="001841FC"/>
    <w:rsid w:val="00184201"/>
    <w:rsid w:val="001846E0"/>
    <w:rsid w:val="001848BC"/>
    <w:rsid w:val="00184F98"/>
    <w:rsid w:val="0018568B"/>
    <w:rsid w:val="00185ADA"/>
    <w:rsid w:val="001878DB"/>
    <w:rsid w:val="00190573"/>
    <w:rsid w:val="00191E78"/>
    <w:rsid w:val="00194D31"/>
    <w:rsid w:val="00197265"/>
    <w:rsid w:val="00197DCD"/>
    <w:rsid w:val="001A109A"/>
    <w:rsid w:val="001A1732"/>
    <w:rsid w:val="001A23C3"/>
    <w:rsid w:val="001A260B"/>
    <w:rsid w:val="001A284C"/>
    <w:rsid w:val="001A35E0"/>
    <w:rsid w:val="001A40D5"/>
    <w:rsid w:val="001A670C"/>
    <w:rsid w:val="001A712B"/>
    <w:rsid w:val="001B14CC"/>
    <w:rsid w:val="001B2699"/>
    <w:rsid w:val="001B420D"/>
    <w:rsid w:val="001B61FB"/>
    <w:rsid w:val="001B6DCB"/>
    <w:rsid w:val="001B7917"/>
    <w:rsid w:val="001C18A8"/>
    <w:rsid w:val="001C30FD"/>
    <w:rsid w:val="001C3A3F"/>
    <w:rsid w:val="001C4076"/>
    <w:rsid w:val="001C46DE"/>
    <w:rsid w:val="001C4B2C"/>
    <w:rsid w:val="001C6067"/>
    <w:rsid w:val="001D0054"/>
    <w:rsid w:val="001D0F3D"/>
    <w:rsid w:val="001D11D7"/>
    <w:rsid w:val="001D1698"/>
    <w:rsid w:val="001D2DDF"/>
    <w:rsid w:val="001D3A32"/>
    <w:rsid w:val="001D4BBD"/>
    <w:rsid w:val="001D6045"/>
    <w:rsid w:val="001D641E"/>
    <w:rsid w:val="001E1021"/>
    <w:rsid w:val="001E1721"/>
    <w:rsid w:val="001E3DCB"/>
    <w:rsid w:val="001E4084"/>
    <w:rsid w:val="001E5A27"/>
    <w:rsid w:val="001E5F63"/>
    <w:rsid w:val="001E78B4"/>
    <w:rsid w:val="001E7E92"/>
    <w:rsid w:val="001F17D1"/>
    <w:rsid w:val="001F1963"/>
    <w:rsid w:val="001F1BC7"/>
    <w:rsid w:val="001F1FAE"/>
    <w:rsid w:val="001F2716"/>
    <w:rsid w:val="001F282E"/>
    <w:rsid w:val="001F396F"/>
    <w:rsid w:val="001F4940"/>
    <w:rsid w:val="001F5FAF"/>
    <w:rsid w:val="001F74B5"/>
    <w:rsid w:val="001F7E57"/>
    <w:rsid w:val="00200C1C"/>
    <w:rsid w:val="00202F4A"/>
    <w:rsid w:val="0020563D"/>
    <w:rsid w:val="00205B61"/>
    <w:rsid w:val="002100C8"/>
    <w:rsid w:val="00210197"/>
    <w:rsid w:val="00210B73"/>
    <w:rsid w:val="00213257"/>
    <w:rsid w:val="002137F8"/>
    <w:rsid w:val="00213C12"/>
    <w:rsid w:val="00214892"/>
    <w:rsid w:val="00214A5C"/>
    <w:rsid w:val="0021583A"/>
    <w:rsid w:val="00215D6F"/>
    <w:rsid w:val="002173F4"/>
    <w:rsid w:val="00217E72"/>
    <w:rsid w:val="00220A57"/>
    <w:rsid w:val="00220E0F"/>
    <w:rsid w:val="00221061"/>
    <w:rsid w:val="002216C7"/>
    <w:rsid w:val="00225A6D"/>
    <w:rsid w:val="00226037"/>
    <w:rsid w:val="0022636B"/>
    <w:rsid w:val="00226C80"/>
    <w:rsid w:val="0022718E"/>
    <w:rsid w:val="002272E6"/>
    <w:rsid w:val="002277F5"/>
    <w:rsid w:val="00227DF6"/>
    <w:rsid w:val="00231DB5"/>
    <w:rsid w:val="00234BE0"/>
    <w:rsid w:val="0023615E"/>
    <w:rsid w:val="00236F1B"/>
    <w:rsid w:val="00237C52"/>
    <w:rsid w:val="0024125C"/>
    <w:rsid w:val="00241321"/>
    <w:rsid w:val="0024174B"/>
    <w:rsid w:val="00241FFD"/>
    <w:rsid w:val="0024207C"/>
    <w:rsid w:val="00243F4C"/>
    <w:rsid w:val="002449A3"/>
    <w:rsid w:val="00244C10"/>
    <w:rsid w:val="00244DB4"/>
    <w:rsid w:val="00244E10"/>
    <w:rsid w:val="002466F1"/>
    <w:rsid w:val="00251628"/>
    <w:rsid w:val="00252C9A"/>
    <w:rsid w:val="002545F7"/>
    <w:rsid w:val="00254C2C"/>
    <w:rsid w:val="00254FC2"/>
    <w:rsid w:val="00255341"/>
    <w:rsid w:val="002556DC"/>
    <w:rsid w:val="00255C7E"/>
    <w:rsid w:val="002601FE"/>
    <w:rsid w:val="002607C4"/>
    <w:rsid w:val="00262DB0"/>
    <w:rsid w:val="00262E1D"/>
    <w:rsid w:val="0026412E"/>
    <w:rsid w:val="002645D5"/>
    <w:rsid w:val="002646C8"/>
    <w:rsid w:val="0026516F"/>
    <w:rsid w:val="00266E8A"/>
    <w:rsid w:val="00267EBA"/>
    <w:rsid w:val="00272ABD"/>
    <w:rsid w:val="0027389E"/>
    <w:rsid w:val="002750B1"/>
    <w:rsid w:val="00275BB3"/>
    <w:rsid w:val="0027653B"/>
    <w:rsid w:val="00280B14"/>
    <w:rsid w:val="00281DBD"/>
    <w:rsid w:val="002830F4"/>
    <w:rsid w:val="002847CF"/>
    <w:rsid w:val="00286682"/>
    <w:rsid w:val="00286F91"/>
    <w:rsid w:val="002877F7"/>
    <w:rsid w:val="002906C2"/>
    <w:rsid w:val="002908BA"/>
    <w:rsid w:val="00291082"/>
    <w:rsid w:val="00293DA0"/>
    <w:rsid w:val="00295E60"/>
    <w:rsid w:val="002960C7"/>
    <w:rsid w:val="0029794C"/>
    <w:rsid w:val="002A3458"/>
    <w:rsid w:val="002A5556"/>
    <w:rsid w:val="002A7BCA"/>
    <w:rsid w:val="002B0182"/>
    <w:rsid w:val="002B0EF0"/>
    <w:rsid w:val="002B3FD2"/>
    <w:rsid w:val="002B4AA6"/>
    <w:rsid w:val="002B5BE1"/>
    <w:rsid w:val="002B6ABE"/>
    <w:rsid w:val="002B6B86"/>
    <w:rsid w:val="002B7BC9"/>
    <w:rsid w:val="002C2C98"/>
    <w:rsid w:val="002C43F6"/>
    <w:rsid w:val="002C79D4"/>
    <w:rsid w:val="002D07D2"/>
    <w:rsid w:val="002D1631"/>
    <w:rsid w:val="002D3379"/>
    <w:rsid w:val="002D3725"/>
    <w:rsid w:val="002D670E"/>
    <w:rsid w:val="002D68F7"/>
    <w:rsid w:val="002D7605"/>
    <w:rsid w:val="002D7B0D"/>
    <w:rsid w:val="002E231B"/>
    <w:rsid w:val="002E243E"/>
    <w:rsid w:val="002E2547"/>
    <w:rsid w:val="002E2608"/>
    <w:rsid w:val="002E2F31"/>
    <w:rsid w:val="002E4F8E"/>
    <w:rsid w:val="002E55D8"/>
    <w:rsid w:val="002E6E62"/>
    <w:rsid w:val="002E71B1"/>
    <w:rsid w:val="002E76B8"/>
    <w:rsid w:val="002E78CC"/>
    <w:rsid w:val="002E7A5C"/>
    <w:rsid w:val="002F116A"/>
    <w:rsid w:val="002F3CED"/>
    <w:rsid w:val="002F449F"/>
    <w:rsid w:val="002F4C3F"/>
    <w:rsid w:val="002F50FA"/>
    <w:rsid w:val="00300249"/>
    <w:rsid w:val="00301778"/>
    <w:rsid w:val="00301994"/>
    <w:rsid w:val="00302A94"/>
    <w:rsid w:val="00304A43"/>
    <w:rsid w:val="0030524F"/>
    <w:rsid w:val="00306E6E"/>
    <w:rsid w:val="00307C69"/>
    <w:rsid w:val="00307CC4"/>
    <w:rsid w:val="00310115"/>
    <w:rsid w:val="003175C9"/>
    <w:rsid w:val="0032099F"/>
    <w:rsid w:val="00320C13"/>
    <w:rsid w:val="00321638"/>
    <w:rsid w:val="00322B06"/>
    <w:rsid w:val="00323BB2"/>
    <w:rsid w:val="00323D5F"/>
    <w:rsid w:val="00324155"/>
    <w:rsid w:val="003241EF"/>
    <w:rsid w:val="003253D1"/>
    <w:rsid w:val="003259FB"/>
    <w:rsid w:val="003277DE"/>
    <w:rsid w:val="00327C05"/>
    <w:rsid w:val="00330A06"/>
    <w:rsid w:val="003313DB"/>
    <w:rsid w:val="003318CE"/>
    <w:rsid w:val="00332E86"/>
    <w:rsid w:val="003336C1"/>
    <w:rsid w:val="00335B6A"/>
    <w:rsid w:val="00337C4E"/>
    <w:rsid w:val="00337FA9"/>
    <w:rsid w:val="00341082"/>
    <w:rsid w:val="003427D0"/>
    <w:rsid w:val="00342ADA"/>
    <w:rsid w:val="00342E17"/>
    <w:rsid w:val="00344234"/>
    <w:rsid w:val="00345E5A"/>
    <w:rsid w:val="0034648C"/>
    <w:rsid w:val="0034688C"/>
    <w:rsid w:val="003468C2"/>
    <w:rsid w:val="00347CAD"/>
    <w:rsid w:val="003514A2"/>
    <w:rsid w:val="00353623"/>
    <w:rsid w:val="003548ED"/>
    <w:rsid w:val="00355501"/>
    <w:rsid w:val="003567EA"/>
    <w:rsid w:val="00356D2D"/>
    <w:rsid w:val="00356EEB"/>
    <w:rsid w:val="003572CC"/>
    <w:rsid w:val="003575B6"/>
    <w:rsid w:val="003576A5"/>
    <w:rsid w:val="003611FC"/>
    <w:rsid w:val="003612E2"/>
    <w:rsid w:val="0036131E"/>
    <w:rsid w:val="00361A69"/>
    <w:rsid w:val="003628B8"/>
    <w:rsid w:val="003631CC"/>
    <w:rsid w:val="00363B08"/>
    <w:rsid w:val="00364864"/>
    <w:rsid w:val="003662E4"/>
    <w:rsid w:val="003671CA"/>
    <w:rsid w:val="00370260"/>
    <w:rsid w:val="0037061B"/>
    <w:rsid w:val="00370DC9"/>
    <w:rsid w:val="00372386"/>
    <w:rsid w:val="00373A0C"/>
    <w:rsid w:val="00375122"/>
    <w:rsid w:val="00376C12"/>
    <w:rsid w:val="00380F57"/>
    <w:rsid w:val="003813E0"/>
    <w:rsid w:val="003824CA"/>
    <w:rsid w:val="0038280E"/>
    <w:rsid w:val="00385412"/>
    <w:rsid w:val="00385D35"/>
    <w:rsid w:val="003873BC"/>
    <w:rsid w:val="003900FE"/>
    <w:rsid w:val="00391A62"/>
    <w:rsid w:val="00393B74"/>
    <w:rsid w:val="00395888"/>
    <w:rsid w:val="00395BBB"/>
    <w:rsid w:val="003A0749"/>
    <w:rsid w:val="003A2977"/>
    <w:rsid w:val="003A2A52"/>
    <w:rsid w:val="003A3BF7"/>
    <w:rsid w:val="003A4DDE"/>
    <w:rsid w:val="003A68FE"/>
    <w:rsid w:val="003A7444"/>
    <w:rsid w:val="003B4039"/>
    <w:rsid w:val="003B5778"/>
    <w:rsid w:val="003B5EC8"/>
    <w:rsid w:val="003B7215"/>
    <w:rsid w:val="003C25EB"/>
    <w:rsid w:val="003C325B"/>
    <w:rsid w:val="003C351F"/>
    <w:rsid w:val="003C508A"/>
    <w:rsid w:val="003C5DF5"/>
    <w:rsid w:val="003C6586"/>
    <w:rsid w:val="003C6F0A"/>
    <w:rsid w:val="003D09AB"/>
    <w:rsid w:val="003D19DE"/>
    <w:rsid w:val="003D27EA"/>
    <w:rsid w:val="003D6753"/>
    <w:rsid w:val="003D6F26"/>
    <w:rsid w:val="003E0840"/>
    <w:rsid w:val="003E13D9"/>
    <w:rsid w:val="003E1E99"/>
    <w:rsid w:val="003E3A0D"/>
    <w:rsid w:val="003E4117"/>
    <w:rsid w:val="003E4ECF"/>
    <w:rsid w:val="003E5BB3"/>
    <w:rsid w:val="003E6C1D"/>
    <w:rsid w:val="003E6D6F"/>
    <w:rsid w:val="003E7C85"/>
    <w:rsid w:val="003F12D8"/>
    <w:rsid w:val="003F26BF"/>
    <w:rsid w:val="003F3B0C"/>
    <w:rsid w:val="003F4A69"/>
    <w:rsid w:val="003F4DD2"/>
    <w:rsid w:val="003F75C3"/>
    <w:rsid w:val="00401C87"/>
    <w:rsid w:val="0040345F"/>
    <w:rsid w:val="00403F77"/>
    <w:rsid w:val="0040454F"/>
    <w:rsid w:val="004047EA"/>
    <w:rsid w:val="00405D4A"/>
    <w:rsid w:val="00406369"/>
    <w:rsid w:val="00406B81"/>
    <w:rsid w:val="00406E2F"/>
    <w:rsid w:val="004078FF"/>
    <w:rsid w:val="00410BE6"/>
    <w:rsid w:val="00413ADB"/>
    <w:rsid w:val="004146B9"/>
    <w:rsid w:val="00414E8E"/>
    <w:rsid w:val="0041553F"/>
    <w:rsid w:val="004165C2"/>
    <w:rsid w:val="00416CBA"/>
    <w:rsid w:val="00420100"/>
    <w:rsid w:val="00422B8E"/>
    <w:rsid w:val="00424DC4"/>
    <w:rsid w:val="00424E77"/>
    <w:rsid w:val="00426256"/>
    <w:rsid w:val="00430573"/>
    <w:rsid w:val="00430D7F"/>
    <w:rsid w:val="00430DFA"/>
    <w:rsid w:val="00430FC5"/>
    <w:rsid w:val="004315B7"/>
    <w:rsid w:val="00431D2B"/>
    <w:rsid w:val="00432FCE"/>
    <w:rsid w:val="004344E7"/>
    <w:rsid w:val="004350AD"/>
    <w:rsid w:val="004359C5"/>
    <w:rsid w:val="00435DFD"/>
    <w:rsid w:val="00436C37"/>
    <w:rsid w:val="004378D6"/>
    <w:rsid w:val="004379B4"/>
    <w:rsid w:val="00442B41"/>
    <w:rsid w:val="00442B77"/>
    <w:rsid w:val="0044301B"/>
    <w:rsid w:val="004452F1"/>
    <w:rsid w:val="00445BFD"/>
    <w:rsid w:val="00446109"/>
    <w:rsid w:val="00447A44"/>
    <w:rsid w:val="00447E34"/>
    <w:rsid w:val="0045058E"/>
    <w:rsid w:val="00452C63"/>
    <w:rsid w:val="00454AB5"/>
    <w:rsid w:val="00454CE5"/>
    <w:rsid w:val="004551F8"/>
    <w:rsid w:val="00460093"/>
    <w:rsid w:val="00460879"/>
    <w:rsid w:val="00460E64"/>
    <w:rsid w:val="00460F00"/>
    <w:rsid w:val="00465AF7"/>
    <w:rsid w:val="00466383"/>
    <w:rsid w:val="004703DC"/>
    <w:rsid w:val="00470BF1"/>
    <w:rsid w:val="00470C5A"/>
    <w:rsid w:val="00470F56"/>
    <w:rsid w:val="004764DF"/>
    <w:rsid w:val="00477192"/>
    <w:rsid w:val="00480156"/>
    <w:rsid w:val="0048049B"/>
    <w:rsid w:val="00480B10"/>
    <w:rsid w:val="00480F6C"/>
    <w:rsid w:val="00481F56"/>
    <w:rsid w:val="00482F9F"/>
    <w:rsid w:val="00485C26"/>
    <w:rsid w:val="00486585"/>
    <w:rsid w:val="0049177F"/>
    <w:rsid w:val="00496C07"/>
    <w:rsid w:val="004A0922"/>
    <w:rsid w:val="004A0EF9"/>
    <w:rsid w:val="004A0F70"/>
    <w:rsid w:val="004A105C"/>
    <w:rsid w:val="004A26FC"/>
    <w:rsid w:val="004A27B8"/>
    <w:rsid w:val="004A30D6"/>
    <w:rsid w:val="004A3F2E"/>
    <w:rsid w:val="004B0663"/>
    <w:rsid w:val="004B2E5A"/>
    <w:rsid w:val="004C06FC"/>
    <w:rsid w:val="004C07F5"/>
    <w:rsid w:val="004C12DA"/>
    <w:rsid w:val="004C3EAC"/>
    <w:rsid w:val="004C5118"/>
    <w:rsid w:val="004C54C7"/>
    <w:rsid w:val="004C57AD"/>
    <w:rsid w:val="004C70C7"/>
    <w:rsid w:val="004D0183"/>
    <w:rsid w:val="004D0218"/>
    <w:rsid w:val="004D051C"/>
    <w:rsid w:val="004D1B69"/>
    <w:rsid w:val="004D24AD"/>
    <w:rsid w:val="004D309E"/>
    <w:rsid w:val="004D3E6E"/>
    <w:rsid w:val="004D5E6B"/>
    <w:rsid w:val="004D6663"/>
    <w:rsid w:val="004D6C11"/>
    <w:rsid w:val="004E06FB"/>
    <w:rsid w:val="004E071E"/>
    <w:rsid w:val="004E1EFB"/>
    <w:rsid w:val="004E29FC"/>
    <w:rsid w:val="004E2EEC"/>
    <w:rsid w:val="004F05CF"/>
    <w:rsid w:val="004F16BC"/>
    <w:rsid w:val="004F17FA"/>
    <w:rsid w:val="004F1C9F"/>
    <w:rsid w:val="004F21B5"/>
    <w:rsid w:val="004F2396"/>
    <w:rsid w:val="004F3612"/>
    <w:rsid w:val="004F50CF"/>
    <w:rsid w:val="004F52FD"/>
    <w:rsid w:val="004F60B6"/>
    <w:rsid w:val="004F60D3"/>
    <w:rsid w:val="004F6AFC"/>
    <w:rsid w:val="004F7DDA"/>
    <w:rsid w:val="00502383"/>
    <w:rsid w:val="0050367A"/>
    <w:rsid w:val="00505201"/>
    <w:rsid w:val="005073B9"/>
    <w:rsid w:val="005134CF"/>
    <w:rsid w:val="00514DF0"/>
    <w:rsid w:val="005154BE"/>
    <w:rsid w:val="00515B72"/>
    <w:rsid w:val="00516986"/>
    <w:rsid w:val="00516B2D"/>
    <w:rsid w:val="00517C43"/>
    <w:rsid w:val="00520852"/>
    <w:rsid w:val="00520C95"/>
    <w:rsid w:val="005250AF"/>
    <w:rsid w:val="00526678"/>
    <w:rsid w:val="0052711C"/>
    <w:rsid w:val="00527A37"/>
    <w:rsid w:val="005315AC"/>
    <w:rsid w:val="00531CBD"/>
    <w:rsid w:val="00533417"/>
    <w:rsid w:val="00533F4D"/>
    <w:rsid w:val="00534D96"/>
    <w:rsid w:val="00535928"/>
    <w:rsid w:val="005365D2"/>
    <w:rsid w:val="00537449"/>
    <w:rsid w:val="0053785D"/>
    <w:rsid w:val="00537F06"/>
    <w:rsid w:val="005400E5"/>
    <w:rsid w:val="00540F60"/>
    <w:rsid w:val="00542336"/>
    <w:rsid w:val="0054313C"/>
    <w:rsid w:val="0054378D"/>
    <w:rsid w:val="0054425A"/>
    <w:rsid w:val="005447C9"/>
    <w:rsid w:val="0054491A"/>
    <w:rsid w:val="00545770"/>
    <w:rsid w:val="00546E2B"/>
    <w:rsid w:val="005507E7"/>
    <w:rsid w:val="00553206"/>
    <w:rsid w:val="005532B2"/>
    <w:rsid w:val="005553AA"/>
    <w:rsid w:val="0055599B"/>
    <w:rsid w:val="005568C3"/>
    <w:rsid w:val="00556F40"/>
    <w:rsid w:val="005573D0"/>
    <w:rsid w:val="00557916"/>
    <w:rsid w:val="005617C7"/>
    <w:rsid w:val="00561AF6"/>
    <w:rsid w:val="00562001"/>
    <w:rsid w:val="005622C2"/>
    <w:rsid w:val="00562A1D"/>
    <w:rsid w:val="00562A53"/>
    <w:rsid w:val="00563B1C"/>
    <w:rsid w:val="00563BAC"/>
    <w:rsid w:val="005645A3"/>
    <w:rsid w:val="00564BB1"/>
    <w:rsid w:val="00565336"/>
    <w:rsid w:val="005660A5"/>
    <w:rsid w:val="00566EFC"/>
    <w:rsid w:val="005674CF"/>
    <w:rsid w:val="00571029"/>
    <w:rsid w:val="00572B4A"/>
    <w:rsid w:val="00577735"/>
    <w:rsid w:val="005802ED"/>
    <w:rsid w:val="00581327"/>
    <w:rsid w:val="00582DCE"/>
    <w:rsid w:val="005849A6"/>
    <w:rsid w:val="00585241"/>
    <w:rsid w:val="0058763B"/>
    <w:rsid w:val="00590110"/>
    <w:rsid w:val="00591414"/>
    <w:rsid w:val="00593657"/>
    <w:rsid w:val="00594721"/>
    <w:rsid w:val="00597076"/>
    <w:rsid w:val="00597B57"/>
    <w:rsid w:val="005A0E5C"/>
    <w:rsid w:val="005A2D45"/>
    <w:rsid w:val="005A47CF"/>
    <w:rsid w:val="005A4847"/>
    <w:rsid w:val="005A55B6"/>
    <w:rsid w:val="005A61C8"/>
    <w:rsid w:val="005A77C7"/>
    <w:rsid w:val="005A7A9E"/>
    <w:rsid w:val="005B2CB2"/>
    <w:rsid w:val="005B3DD2"/>
    <w:rsid w:val="005B4039"/>
    <w:rsid w:val="005B542B"/>
    <w:rsid w:val="005B665F"/>
    <w:rsid w:val="005B7D07"/>
    <w:rsid w:val="005C2663"/>
    <w:rsid w:val="005C2935"/>
    <w:rsid w:val="005C3F51"/>
    <w:rsid w:val="005C3FB5"/>
    <w:rsid w:val="005C47DA"/>
    <w:rsid w:val="005C5147"/>
    <w:rsid w:val="005C6F18"/>
    <w:rsid w:val="005C7387"/>
    <w:rsid w:val="005D08C8"/>
    <w:rsid w:val="005D092B"/>
    <w:rsid w:val="005D0D25"/>
    <w:rsid w:val="005D0F04"/>
    <w:rsid w:val="005D36F1"/>
    <w:rsid w:val="005D3F1A"/>
    <w:rsid w:val="005D6014"/>
    <w:rsid w:val="005D659F"/>
    <w:rsid w:val="005D67D9"/>
    <w:rsid w:val="005D6ECB"/>
    <w:rsid w:val="005D7637"/>
    <w:rsid w:val="005D7F6D"/>
    <w:rsid w:val="005E0097"/>
    <w:rsid w:val="005E0A65"/>
    <w:rsid w:val="005E13DE"/>
    <w:rsid w:val="005E1788"/>
    <w:rsid w:val="005E18D5"/>
    <w:rsid w:val="005E1C07"/>
    <w:rsid w:val="005E2627"/>
    <w:rsid w:val="005E2C31"/>
    <w:rsid w:val="005E3A82"/>
    <w:rsid w:val="005E46C3"/>
    <w:rsid w:val="005F2DBC"/>
    <w:rsid w:val="005F372C"/>
    <w:rsid w:val="005F3EBC"/>
    <w:rsid w:val="005F66FF"/>
    <w:rsid w:val="005F7A63"/>
    <w:rsid w:val="006003D1"/>
    <w:rsid w:val="00602D43"/>
    <w:rsid w:val="00603261"/>
    <w:rsid w:val="00603818"/>
    <w:rsid w:val="0060477E"/>
    <w:rsid w:val="00604EFB"/>
    <w:rsid w:val="00610013"/>
    <w:rsid w:val="006144D1"/>
    <w:rsid w:val="00616A99"/>
    <w:rsid w:val="00616D18"/>
    <w:rsid w:val="006200A8"/>
    <w:rsid w:val="006237DC"/>
    <w:rsid w:val="00625C22"/>
    <w:rsid w:val="00626520"/>
    <w:rsid w:val="0062734D"/>
    <w:rsid w:val="00627457"/>
    <w:rsid w:val="00627C5B"/>
    <w:rsid w:val="00630C94"/>
    <w:rsid w:val="0063186E"/>
    <w:rsid w:val="00631D26"/>
    <w:rsid w:val="0063491B"/>
    <w:rsid w:val="0063519E"/>
    <w:rsid w:val="00636153"/>
    <w:rsid w:val="006368CB"/>
    <w:rsid w:val="006369C1"/>
    <w:rsid w:val="00637DBC"/>
    <w:rsid w:val="00637FF7"/>
    <w:rsid w:val="00641258"/>
    <w:rsid w:val="00641350"/>
    <w:rsid w:val="0064289F"/>
    <w:rsid w:val="00644E67"/>
    <w:rsid w:val="006452DD"/>
    <w:rsid w:val="0064547B"/>
    <w:rsid w:val="00645D0C"/>
    <w:rsid w:val="00646D5C"/>
    <w:rsid w:val="0064703B"/>
    <w:rsid w:val="006507F2"/>
    <w:rsid w:val="00651772"/>
    <w:rsid w:val="00651942"/>
    <w:rsid w:val="00652214"/>
    <w:rsid w:val="00653BC8"/>
    <w:rsid w:val="00654657"/>
    <w:rsid w:val="00656858"/>
    <w:rsid w:val="00656C69"/>
    <w:rsid w:val="006573F6"/>
    <w:rsid w:val="00657DA9"/>
    <w:rsid w:val="006614BB"/>
    <w:rsid w:val="0066183F"/>
    <w:rsid w:val="006624DC"/>
    <w:rsid w:val="00662966"/>
    <w:rsid w:val="006652F2"/>
    <w:rsid w:val="006678DE"/>
    <w:rsid w:val="00670E7E"/>
    <w:rsid w:val="00671A67"/>
    <w:rsid w:val="00671AAA"/>
    <w:rsid w:val="00673704"/>
    <w:rsid w:val="00674313"/>
    <w:rsid w:val="0067502E"/>
    <w:rsid w:val="00677632"/>
    <w:rsid w:val="006776AF"/>
    <w:rsid w:val="0068098D"/>
    <w:rsid w:val="0068247B"/>
    <w:rsid w:val="006837A4"/>
    <w:rsid w:val="00686040"/>
    <w:rsid w:val="00687E90"/>
    <w:rsid w:val="00693AAE"/>
    <w:rsid w:val="00693E72"/>
    <w:rsid w:val="00694434"/>
    <w:rsid w:val="006949BB"/>
    <w:rsid w:val="00696B81"/>
    <w:rsid w:val="006975C4"/>
    <w:rsid w:val="006A24C9"/>
    <w:rsid w:val="006A48F9"/>
    <w:rsid w:val="006A5370"/>
    <w:rsid w:val="006A5936"/>
    <w:rsid w:val="006A64DC"/>
    <w:rsid w:val="006A66A5"/>
    <w:rsid w:val="006B0611"/>
    <w:rsid w:val="006B190E"/>
    <w:rsid w:val="006B2085"/>
    <w:rsid w:val="006B52BF"/>
    <w:rsid w:val="006B5396"/>
    <w:rsid w:val="006B6E3E"/>
    <w:rsid w:val="006B74FA"/>
    <w:rsid w:val="006C0807"/>
    <w:rsid w:val="006C097A"/>
    <w:rsid w:val="006C0C7C"/>
    <w:rsid w:val="006C1096"/>
    <w:rsid w:val="006C22B7"/>
    <w:rsid w:val="006C2C60"/>
    <w:rsid w:val="006C2E06"/>
    <w:rsid w:val="006C424D"/>
    <w:rsid w:val="006C61F3"/>
    <w:rsid w:val="006C70FB"/>
    <w:rsid w:val="006C7A17"/>
    <w:rsid w:val="006C7A25"/>
    <w:rsid w:val="006C7B08"/>
    <w:rsid w:val="006D1358"/>
    <w:rsid w:val="006D16AD"/>
    <w:rsid w:val="006D1E0D"/>
    <w:rsid w:val="006D2460"/>
    <w:rsid w:val="006D2466"/>
    <w:rsid w:val="006D5023"/>
    <w:rsid w:val="006D569D"/>
    <w:rsid w:val="006D5B84"/>
    <w:rsid w:val="006D5DCD"/>
    <w:rsid w:val="006D5E9B"/>
    <w:rsid w:val="006E1444"/>
    <w:rsid w:val="006E3C16"/>
    <w:rsid w:val="006E4C3F"/>
    <w:rsid w:val="006E5437"/>
    <w:rsid w:val="006E5EFF"/>
    <w:rsid w:val="006E6736"/>
    <w:rsid w:val="006E70B1"/>
    <w:rsid w:val="006E7E90"/>
    <w:rsid w:val="006F1E57"/>
    <w:rsid w:val="006F2755"/>
    <w:rsid w:val="006F3781"/>
    <w:rsid w:val="006F6BB2"/>
    <w:rsid w:val="007000AA"/>
    <w:rsid w:val="00700910"/>
    <w:rsid w:val="00700F76"/>
    <w:rsid w:val="00701279"/>
    <w:rsid w:val="00701B57"/>
    <w:rsid w:val="00702219"/>
    <w:rsid w:val="00703CC1"/>
    <w:rsid w:val="00704CA3"/>
    <w:rsid w:val="00705B25"/>
    <w:rsid w:val="00707592"/>
    <w:rsid w:val="007078CF"/>
    <w:rsid w:val="00707ED4"/>
    <w:rsid w:val="00711F93"/>
    <w:rsid w:val="00715AA1"/>
    <w:rsid w:val="00725003"/>
    <w:rsid w:val="00725C83"/>
    <w:rsid w:val="007273FF"/>
    <w:rsid w:val="0073010F"/>
    <w:rsid w:val="0073023E"/>
    <w:rsid w:val="00730337"/>
    <w:rsid w:val="00731B0C"/>
    <w:rsid w:val="00732FD1"/>
    <w:rsid w:val="00736A91"/>
    <w:rsid w:val="007373C2"/>
    <w:rsid w:val="00737BDA"/>
    <w:rsid w:val="00737C11"/>
    <w:rsid w:val="00740630"/>
    <w:rsid w:val="00740D0E"/>
    <w:rsid w:val="0074146F"/>
    <w:rsid w:val="00741D2C"/>
    <w:rsid w:val="00742D20"/>
    <w:rsid w:val="00742DC3"/>
    <w:rsid w:val="00743695"/>
    <w:rsid w:val="007437C1"/>
    <w:rsid w:val="00744007"/>
    <w:rsid w:val="00750319"/>
    <w:rsid w:val="00750BA6"/>
    <w:rsid w:val="007520B5"/>
    <w:rsid w:val="00755980"/>
    <w:rsid w:val="007566FF"/>
    <w:rsid w:val="00756F88"/>
    <w:rsid w:val="00757520"/>
    <w:rsid w:val="007615F8"/>
    <w:rsid w:val="00761AF8"/>
    <w:rsid w:val="00761CE6"/>
    <w:rsid w:val="00762BA0"/>
    <w:rsid w:val="007647CD"/>
    <w:rsid w:val="00765145"/>
    <w:rsid w:val="0076531D"/>
    <w:rsid w:val="00766333"/>
    <w:rsid w:val="00766CBF"/>
    <w:rsid w:val="007674EA"/>
    <w:rsid w:val="007676C0"/>
    <w:rsid w:val="00772274"/>
    <w:rsid w:val="00775AB5"/>
    <w:rsid w:val="00775B3A"/>
    <w:rsid w:val="00775DAD"/>
    <w:rsid w:val="00776020"/>
    <w:rsid w:val="007771FB"/>
    <w:rsid w:val="0077767B"/>
    <w:rsid w:val="00780E32"/>
    <w:rsid w:val="00781DC5"/>
    <w:rsid w:val="007849A2"/>
    <w:rsid w:val="0078581D"/>
    <w:rsid w:val="00785F88"/>
    <w:rsid w:val="007918E4"/>
    <w:rsid w:val="00791E10"/>
    <w:rsid w:val="00792F66"/>
    <w:rsid w:val="00793BAB"/>
    <w:rsid w:val="00794007"/>
    <w:rsid w:val="00794385"/>
    <w:rsid w:val="00795C9B"/>
    <w:rsid w:val="00795FC1"/>
    <w:rsid w:val="007972EF"/>
    <w:rsid w:val="007977D7"/>
    <w:rsid w:val="007A03D4"/>
    <w:rsid w:val="007A05F6"/>
    <w:rsid w:val="007A157F"/>
    <w:rsid w:val="007A1815"/>
    <w:rsid w:val="007A23C6"/>
    <w:rsid w:val="007A2764"/>
    <w:rsid w:val="007A36F6"/>
    <w:rsid w:val="007A3A05"/>
    <w:rsid w:val="007A7DFD"/>
    <w:rsid w:val="007B565D"/>
    <w:rsid w:val="007B6573"/>
    <w:rsid w:val="007B6C94"/>
    <w:rsid w:val="007B730A"/>
    <w:rsid w:val="007C0FBB"/>
    <w:rsid w:val="007C4AC1"/>
    <w:rsid w:val="007C5E61"/>
    <w:rsid w:val="007C6132"/>
    <w:rsid w:val="007D1199"/>
    <w:rsid w:val="007D1441"/>
    <w:rsid w:val="007D234C"/>
    <w:rsid w:val="007D3396"/>
    <w:rsid w:val="007D5721"/>
    <w:rsid w:val="007D5762"/>
    <w:rsid w:val="007D60E4"/>
    <w:rsid w:val="007D64A8"/>
    <w:rsid w:val="007E1D6F"/>
    <w:rsid w:val="007E2286"/>
    <w:rsid w:val="007E2CA5"/>
    <w:rsid w:val="007E3969"/>
    <w:rsid w:val="007E4811"/>
    <w:rsid w:val="007E52EE"/>
    <w:rsid w:val="007E5810"/>
    <w:rsid w:val="007E5AA6"/>
    <w:rsid w:val="007E7F9F"/>
    <w:rsid w:val="007F28AC"/>
    <w:rsid w:val="007F3273"/>
    <w:rsid w:val="007F3585"/>
    <w:rsid w:val="007F3AA2"/>
    <w:rsid w:val="007F5572"/>
    <w:rsid w:val="00801A17"/>
    <w:rsid w:val="00805535"/>
    <w:rsid w:val="008065CE"/>
    <w:rsid w:val="008066FB"/>
    <w:rsid w:val="00807166"/>
    <w:rsid w:val="0080721E"/>
    <w:rsid w:val="0081087D"/>
    <w:rsid w:val="0081186B"/>
    <w:rsid w:val="00811BF0"/>
    <w:rsid w:val="00812470"/>
    <w:rsid w:val="00812FBF"/>
    <w:rsid w:val="0081496D"/>
    <w:rsid w:val="00815F77"/>
    <w:rsid w:val="00820C18"/>
    <w:rsid w:val="00820D02"/>
    <w:rsid w:val="008214CC"/>
    <w:rsid w:val="00821BBA"/>
    <w:rsid w:val="00822A49"/>
    <w:rsid w:val="00824087"/>
    <w:rsid w:val="00824331"/>
    <w:rsid w:val="0082644A"/>
    <w:rsid w:val="0083050C"/>
    <w:rsid w:val="008308EF"/>
    <w:rsid w:val="00831956"/>
    <w:rsid w:val="008322E9"/>
    <w:rsid w:val="00833055"/>
    <w:rsid w:val="008336D6"/>
    <w:rsid w:val="0083400B"/>
    <w:rsid w:val="008342B2"/>
    <w:rsid w:val="00834A95"/>
    <w:rsid w:val="00835088"/>
    <w:rsid w:val="00835382"/>
    <w:rsid w:val="008359D6"/>
    <w:rsid w:val="00837B24"/>
    <w:rsid w:val="008411D2"/>
    <w:rsid w:val="00842B12"/>
    <w:rsid w:val="00842B76"/>
    <w:rsid w:val="008432FE"/>
    <w:rsid w:val="00846D78"/>
    <w:rsid w:val="0085124B"/>
    <w:rsid w:val="00856426"/>
    <w:rsid w:val="008606EB"/>
    <w:rsid w:val="008610F5"/>
    <w:rsid w:val="008613D7"/>
    <w:rsid w:val="008619E2"/>
    <w:rsid w:val="008644A1"/>
    <w:rsid w:val="008646FA"/>
    <w:rsid w:val="008669AE"/>
    <w:rsid w:val="00870C38"/>
    <w:rsid w:val="00871191"/>
    <w:rsid w:val="00871DAD"/>
    <w:rsid w:val="00875627"/>
    <w:rsid w:val="00877657"/>
    <w:rsid w:val="00877C8F"/>
    <w:rsid w:val="00877D81"/>
    <w:rsid w:val="00877DD5"/>
    <w:rsid w:val="00881A9B"/>
    <w:rsid w:val="00881C1B"/>
    <w:rsid w:val="00883099"/>
    <w:rsid w:val="00883428"/>
    <w:rsid w:val="00884E75"/>
    <w:rsid w:val="0088552F"/>
    <w:rsid w:val="008857B2"/>
    <w:rsid w:val="00886609"/>
    <w:rsid w:val="008868A1"/>
    <w:rsid w:val="00887C27"/>
    <w:rsid w:val="00890049"/>
    <w:rsid w:val="00890617"/>
    <w:rsid w:val="00890B26"/>
    <w:rsid w:val="00890C81"/>
    <w:rsid w:val="00891458"/>
    <w:rsid w:val="00891D09"/>
    <w:rsid w:val="008940FB"/>
    <w:rsid w:val="008946B1"/>
    <w:rsid w:val="00894C18"/>
    <w:rsid w:val="00896294"/>
    <w:rsid w:val="008965A8"/>
    <w:rsid w:val="008A03C2"/>
    <w:rsid w:val="008A1E18"/>
    <w:rsid w:val="008A26B3"/>
    <w:rsid w:val="008A3447"/>
    <w:rsid w:val="008A3540"/>
    <w:rsid w:val="008A3E0D"/>
    <w:rsid w:val="008A4420"/>
    <w:rsid w:val="008A5056"/>
    <w:rsid w:val="008A657A"/>
    <w:rsid w:val="008A7628"/>
    <w:rsid w:val="008B0E29"/>
    <w:rsid w:val="008B1294"/>
    <w:rsid w:val="008B20DE"/>
    <w:rsid w:val="008B20FC"/>
    <w:rsid w:val="008B25A8"/>
    <w:rsid w:val="008B6786"/>
    <w:rsid w:val="008B6822"/>
    <w:rsid w:val="008B6B1F"/>
    <w:rsid w:val="008B75AA"/>
    <w:rsid w:val="008C08C2"/>
    <w:rsid w:val="008C1541"/>
    <w:rsid w:val="008C24A9"/>
    <w:rsid w:val="008C2594"/>
    <w:rsid w:val="008C30BF"/>
    <w:rsid w:val="008C427C"/>
    <w:rsid w:val="008C513E"/>
    <w:rsid w:val="008C5611"/>
    <w:rsid w:val="008C5D36"/>
    <w:rsid w:val="008C6C0B"/>
    <w:rsid w:val="008D0433"/>
    <w:rsid w:val="008D110E"/>
    <w:rsid w:val="008D1715"/>
    <w:rsid w:val="008D1733"/>
    <w:rsid w:val="008D28D9"/>
    <w:rsid w:val="008D28DB"/>
    <w:rsid w:val="008D33EB"/>
    <w:rsid w:val="008D383E"/>
    <w:rsid w:val="008D400A"/>
    <w:rsid w:val="008D57FE"/>
    <w:rsid w:val="008D74C8"/>
    <w:rsid w:val="008D79CB"/>
    <w:rsid w:val="008E4D50"/>
    <w:rsid w:val="008E58AA"/>
    <w:rsid w:val="008E6E93"/>
    <w:rsid w:val="008E73E1"/>
    <w:rsid w:val="008E7BAE"/>
    <w:rsid w:val="008F08BE"/>
    <w:rsid w:val="008F0F83"/>
    <w:rsid w:val="008F14A6"/>
    <w:rsid w:val="008F1B9E"/>
    <w:rsid w:val="008F1F13"/>
    <w:rsid w:val="008F206C"/>
    <w:rsid w:val="008F24FA"/>
    <w:rsid w:val="008F3941"/>
    <w:rsid w:val="008F51CE"/>
    <w:rsid w:val="008F5FB2"/>
    <w:rsid w:val="009005E4"/>
    <w:rsid w:val="009011E4"/>
    <w:rsid w:val="00901EFC"/>
    <w:rsid w:val="00902525"/>
    <w:rsid w:val="00903B6B"/>
    <w:rsid w:val="009046AA"/>
    <w:rsid w:val="00904BF5"/>
    <w:rsid w:val="009055F0"/>
    <w:rsid w:val="00905DE1"/>
    <w:rsid w:val="00906519"/>
    <w:rsid w:val="00906D67"/>
    <w:rsid w:val="00910036"/>
    <w:rsid w:val="00910797"/>
    <w:rsid w:val="00911E71"/>
    <w:rsid w:val="009131BB"/>
    <w:rsid w:val="00913B9D"/>
    <w:rsid w:val="00914812"/>
    <w:rsid w:val="009149F5"/>
    <w:rsid w:val="009163B3"/>
    <w:rsid w:val="00916D37"/>
    <w:rsid w:val="0092006D"/>
    <w:rsid w:val="0092033F"/>
    <w:rsid w:val="009208B5"/>
    <w:rsid w:val="00921157"/>
    <w:rsid w:val="0092295D"/>
    <w:rsid w:val="00922EF2"/>
    <w:rsid w:val="00922F7F"/>
    <w:rsid w:val="00923DBD"/>
    <w:rsid w:val="00926AFA"/>
    <w:rsid w:val="00930092"/>
    <w:rsid w:val="00930709"/>
    <w:rsid w:val="009308C7"/>
    <w:rsid w:val="00933F36"/>
    <w:rsid w:val="0093579B"/>
    <w:rsid w:val="00935BDF"/>
    <w:rsid w:val="00935E10"/>
    <w:rsid w:val="009361C1"/>
    <w:rsid w:val="00936BAA"/>
    <w:rsid w:val="0094011C"/>
    <w:rsid w:val="009403EB"/>
    <w:rsid w:val="00941396"/>
    <w:rsid w:val="00943A37"/>
    <w:rsid w:val="009463A8"/>
    <w:rsid w:val="00946AB6"/>
    <w:rsid w:val="00947795"/>
    <w:rsid w:val="00947F56"/>
    <w:rsid w:val="00951D27"/>
    <w:rsid w:val="00952A10"/>
    <w:rsid w:val="00954070"/>
    <w:rsid w:val="00954EF0"/>
    <w:rsid w:val="00954FFD"/>
    <w:rsid w:val="009554EE"/>
    <w:rsid w:val="00956873"/>
    <w:rsid w:val="009569BF"/>
    <w:rsid w:val="00956D88"/>
    <w:rsid w:val="0096071C"/>
    <w:rsid w:val="009611F7"/>
    <w:rsid w:val="009620D5"/>
    <w:rsid w:val="00962245"/>
    <w:rsid w:val="0096268B"/>
    <w:rsid w:val="00962A51"/>
    <w:rsid w:val="00967102"/>
    <w:rsid w:val="00967C14"/>
    <w:rsid w:val="00970AA8"/>
    <w:rsid w:val="00971FC9"/>
    <w:rsid w:val="009723D1"/>
    <w:rsid w:val="00973A9E"/>
    <w:rsid w:val="00977C72"/>
    <w:rsid w:val="009800E9"/>
    <w:rsid w:val="009804AB"/>
    <w:rsid w:val="009820C4"/>
    <w:rsid w:val="00982BA2"/>
    <w:rsid w:val="00983576"/>
    <w:rsid w:val="0098685C"/>
    <w:rsid w:val="00987294"/>
    <w:rsid w:val="009907A5"/>
    <w:rsid w:val="00991062"/>
    <w:rsid w:val="009912C9"/>
    <w:rsid w:val="009918BC"/>
    <w:rsid w:val="0099250F"/>
    <w:rsid w:val="0099259B"/>
    <w:rsid w:val="00993326"/>
    <w:rsid w:val="0099354B"/>
    <w:rsid w:val="00993C6A"/>
    <w:rsid w:val="00994653"/>
    <w:rsid w:val="00995D4F"/>
    <w:rsid w:val="009961EB"/>
    <w:rsid w:val="00996839"/>
    <w:rsid w:val="00996FBC"/>
    <w:rsid w:val="00997E27"/>
    <w:rsid w:val="009A37AC"/>
    <w:rsid w:val="009A57EC"/>
    <w:rsid w:val="009A6BB1"/>
    <w:rsid w:val="009B2FF8"/>
    <w:rsid w:val="009B37CF"/>
    <w:rsid w:val="009B585C"/>
    <w:rsid w:val="009B5AA9"/>
    <w:rsid w:val="009C03F3"/>
    <w:rsid w:val="009C09EE"/>
    <w:rsid w:val="009C0AC7"/>
    <w:rsid w:val="009C0E0B"/>
    <w:rsid w:val="009C1FED"/>
    <w:rsid w:val="009C25B1"/>
    <w:rsid w:val="009C2E77"/>
    <w:rsid w:val="009C3D82"/>
    <w:rsid w:val="009C4085"/>
    <w:rsid w:val="009C427D"/>
    <w:rsid w:val="009C4DA0"/>
    <w:rsid w:val="009C6C3F"/>
    <w:rsid w:val="009C6DCB"/>
    <w:rsid w:val="009C6E53"/>
    <w:rsid w:val="009C70D0"/>
    <w:rsid w:val="009C77C9"/>
    <w:rsid w:val="009C7DA3"/>
    <w:rsid w:val="009D0289"/>
    <w:rsid w:val="009D0D4A"/>
    <w:rsid w:val="009D0FEC"/>
    <w:rsid w:val="009D1451"/>
    <w:rsid w:val="009D3234"/>
    <w:rsid w:val="009D4A76"/>
    <w:rsid w:val="009D5E2B"/>
    <w:rsid w:val="009D5F1A"/>
    <w:rsid w:val="009D65AC"/>
    <w:rsid w:val="009E00DE"/>
    <w:rsid w:val="009E026C"/>
    <w:rsid w:val="009E11A9"/>
    <w:rsid w:val="009E32D0"/>
    <w:rsid w:val="009E3DE4"/>
    <w:rsid w:val="009E4608"/>
    <w:rsid w:val="009E585F"/>
    <w:rsid w:val="009E6027"/>
    <w:rsid w:val="009E7213"/>
    <w:rsid w:val="009E7358"/>
    <w:rsid w:val="009F1B73"/>
    <w:rsid w:val="009F2D67"/>
    <w:rsid w:val="009F3F47"/>
    <w:rsid w:val="009F47D6"/>
    <w:rsid w:val="009F4944"/>
    <w:rsid w:val="009F4DD5"/>
    <w:rsid w:val="009F551C"/>
    <w:rsid w:val="009F62BB"/>
    <w:rsid w:val="009F6D12"/>
    <w:rsid w:val="00A02B79"/>
    <w:rsid w:val="00A02C91"/>
    <w:rsid w:val="00A03B7B"/>
    <w:rsid w:val="00A04807"/>
    <w:rsid w:val="00A04B23"/>
    <w:rsid w:val="00A04FBA"/>
    <w:rsid w:val="00A05007"/>
    <w:rsid w:val="00A05B72"/>
    <w:rsid w:val="00A05C82"/>
    <w:rsid w:val="00A06FBD"/>
    <w:rsid w:val="00A07EBD"/>
    <w:rsid w:val="00A110DD"/>
    <w:rsid w:val="00A12C19"/>
    <w:rsid w:val="00A14C18"/>
    <w:rsid w:val="00A15B09"/>
    <w:rsid w:val="00A1632B"/>
    <w:rsid w:val="00A17253"/>
    <w:rsid w:val="00A20677"/>
    <w:rsid w:val="00A211D7"/>
    <w:rsid w:val="00A2225E"/>
    <w:rsid w:val="00A225D8"/>
    <w:rsid w:val="00A2397C"/>
    <w:rsid w:val="00A250E5"/>
    <w:rsid w:val="00A26295"/>
    <w:rsid w:val="00A27B66"/>
    <w:rsid w:val="00A30234"/>
    <w:rsid w:val="00A31C52"/>
    <w:rsid w:val="00A35231"/>
    <w:rsid w:val="00A3582C"/>
    <w:rsid w:val="00A37413"/>
    <w:rsid w:val="00A37747"/>
    <w:rsid w:val="00A37D1B"/>
    <w:rsid w:val="00A43CE7"/>
    <w:rsid w:val="00A4495C"/>
    <w:rsid w:val="00A45B8F"/>
    <w:rsid w:val="00A45E6E"/>
    <w:rsid w:val="00A50AC0"/>
    <w:rsid w:val="00A52648"/>
    <w:rsid w:val="00A54475"/>
    <w:rsid w:val="00A54EB1"/>
    <w:rsid w:val="00A57029"/>
    <w:rsid w:val="00A57121"/>
    <w:rsid w:val="00A57F2C"/>
    <w:rsid w:val="00A61619"/>
    <w:rsid w:val="00A61EC4"/>
    <w:rsid w:val="00A64FD0"/>
    <w:rsid w:val="00A655ED"/>
    <w:rsid w:val="00A66043"/>
    <w:rsid w:val="00A66496"/>
    <w:rsid w:val="00A67A8C"/>
    <w:rsid w:val="00A722E3"/>
    <w:rsid w:val="00A7433B"/>
    <w:rsid w:val="00A7764C"/>
    <w:rsid w:val="00A77FF7"/>
    <w:rsid w:val="00A80FE3"/>
    <w:rsid w:val="00A80FEC"/>
    <w:rsid w:val="00A81DFA"/>
    <w:rsid w:val="00A822EF"/>
    <w:rsid w:val="00A82BB2"/>
    <w:rsid w:val="00A84B8D"/>
    <w:rsid w:val="00A85254"/>
    <w:rsid w:val="00A855E8"/>
    <w:rsid w:val="00A86090"/>
    <w:rsid w:val="00A901E0"/>
    <w:rsid w:val="00A9094D"/>
    <w:rsid w:val="00A92193"/>
    <w:rsid w:val="00A93F44"/>
    <w:rsid w:val="00A94E86"/>
    <w:rsid w:val="00A9519D"/>
    <w:rsid w:val="00A966F3"/>
    <w:rsid w:val="00AA11D5"/>
    <w:rsid w:val="00AA2A2A"/>
    <w:rsid w:val="00AA40E0"/>
    <w:rsid w:val="00AA4B1A"/>
    <w:rsid w:val="00AA4D95"/>
    <w:rsid w:val="00AA5B5A"/>
    <w:rsid w:val="00AA5C63"/>
    <w:rsid w:val="00AA7238"/>
    <w:rsid w:val="00AB01A4"/>
    <w:rsid w:val="00AB0A20"/>
    <w:rsid w:val="00AB0EE4"/>
    <w:rsid w:val="00AB335B"/>
    <w:rsid w:val="00AB371B"/>
    <w:rsid w:val="00AC1AEF"/>
    <w:rsid w:val="00AC2713"/>
    <w:rsid w:val="00AC3391"/>
    <w:rsid w:val="00AC6250"/>
    <w:rsid w:val="00AC625D"/>
    <w:rsid w:val="00AC6B62"/>
    <w:rsid w:val="00AC75B7"/>
    <w:rsid w:val="00AD35EB"/>
    <w:rsid w:val="00AD45AE"/>
    <w:rsid w:val="00AD6189"/>
    <w:rsid w:val="00AD75D0"/>
    <w:rsid w:val="00AE2481"/>
    <w:rsid w:val="00AE325F"/>
    <w:rsid w:val="00AE38AA"/>
    <w:rsid w:val="00AE3C60"/>
    <w:rsid w:val="00AE3DFF"/>
    <w:rsid w:val="00AE5638"/>
    <w:rsid w:val="00AE691D"/>
    <w:rsid w:val="00AE7161"/>
    <w:rsid w:val="00AF01CC"/>
    <w:rsid w:val="00AF08FD"/>
    <w:rsid w:val="00AF25A4"/>
    <w:rsid w:val="00AF431D"/>
    <w:rsid w:val="00AF6161"/>
    <w:rsid w:val="00AF64F3"/>
    <w:rsid w:val="00AF65F9"/>
    <w:rsid w:val="00AF6F28"/>
    <w:rsid w:val="00AF75E0"/>
    <w:rsid w:val="00AF7D3A"/>
    <w:rsid w:val="00B00204"/>
    <w:rsid w:val="00B007A1"/>
    <w:rsid w:val="00B01757"/>
    <w:rsid w:val="00B02BDD"/>
    <w:rsid w:val="00B04255"/>
    <w:rsid w:val="00B065B4"/>
    <w:rsid w:val="00B1074E"/>
    <w:rsid w:val="00B10F35"/>
    <w:rsid w:val="00B13025"/>
    <w:rsid w:val="00B14059"/>
    <w:rsid w:val="00B14ADD"/>
    <w:rsid w:val="00B14EC1"/>
    <w:rsid w:val="00B16CAD"/>
    <w:rsid w:val="00B17239"/>
    <w:rsid w:val="00B17BD2"/>
    <w:rsid w:val="00B20486"/>
    <w:rsid w:val="00B20FD7"/>
    <w:rsid w:val="00B21061"/>
    <w:rsid w:val="00B229F6"/>
    <w:rsid w:val="00B23D74"/>
    <w:rsid w:val="00B25E8C"/>
    <w:rsid w:val="00B279DD"/>
    <w:rsid w:val="00B30286"/>
    <w:rsid w:val="00B31588"/>
    <w:rsid w:val="00B3237A"/>
    <w:rsid w:val="00B3250E"/>
    <w:rsid w:val="00B33407"/>
    <w:rsid w:val="00B35947"/>
    <w:rsid w:val="00B36A9E"/>
    <w:rsid w:val="00B36E0A"/>
    <w:rsid w:val="00B37688"/>
    <w:rsid w:val="00B41216"/>
    <w:rsid w:val="00B4138D"/>
    <w:rsid w:val="00B416AE"/>
    <w:rsid w:val="00B42C3E"/>
    <w:rsid w:val="00B446D7"/>
    <w:rsid w:val="00B4581D"/>
    <w:rsid w:val="00B50C60"/>
    <w:rsid w:val="00B51A14"/>
    <w:rsid w:val="00B51B2E"/>
    <w:rsid w:val="00B52D18"/>
    <w:rsid w:val="00B533A6"/>
    <w:rsid w:val="00B537FF"/>
    <w:rsid w:val="00B557D3"/>
    <w:rsid w:val="00B55E63"/>
    <w:rsid w:val="00B55FB9"/>
    <w:rsid w:val="00B5633C"/>
    <w:rsid w:val="00B565E5"/>
    <w:rsid w:val="00B56948"/>
    <w:rsid w:val="00B60A83"/>
    <w:rsid w:val="00B6120D"/>
    <w:rsid w:val="00B61935"/>
    <w:rsid w:val="00B6313B"/>
    <w:rsid w:val="00B64D19"/>
    <w:rsid w:val="00B66493"/>
    <w:rsid w:val="00B66661"/>
    <w:rsid w:val="00B6688F"/>
    <w:rsid w:val="00B67A19"/>
    <w:rsid w:val="00B70EDB"/>
    <w:rsid w:val="00B721F2"/>
    <w:rsid w:val="00B72FD4"/>
    <w:rsid w:val="00B73DBD"/>
    <w:rsid w:val="00B76E9A"/>
    <w:rsid w:val="00B7734E"/>
    <w:rsid w:val="00B7787F"/>
    <w:rsid w:val="00B805E1"/>
    <w:rsid w:val="00B815C6"/>
    <w:rsid w:val="00B81958"/>
    <w:rsid w:val="00B850E2"/>
    <w:rsid w:val="00B86832"/>
    <w:rsid w:val="00B86CED"/>
    <w:rsid w:val="00B8773E"/>
    <w:rsid w:val="00B90204"/>
    <w:rsid w:val="00B9020F"/>
    <w:rsid w:val="00B90457"/>
    <w:rsid w:val="00B9058E"/>
    <w:rsid w:val="00B93269"/>
    <w:rsid w:val="00B93C13"/>
    <w:rsid w:val="00B93F13"/>
    <w:rsid w:val="00B94991"/>
    <w:rsid w:val="00B94DE5"/>
    <w:rsid w:val="00B96262"/>
    <w:rsid w:val="00B96B0B"/>
    <w:rsid w:val="00BA1878"/>
    <w:rsid w:val="00BA2412"/>
    <w:rsid w:val="00BA2F7D"/>
    <w:rsid w:val="00BA40C9"/>
    <w:rsid w:val="00BA534B"/>
    <w:rsid w:val="00BA563E"/>
    <w:rsid w:val="00BA5ABE"/>
    <w:rsid w:val="00BA5AC8"/>
    <w:rsid w:val="00BA7034"/>
    <w:rsid w:val="00BA70CB"/>
    <w:rsid w:val="00BA74DC"/>
    <w:rsid w:val="00BA7672"/>
    <w:rsid w:val="00BA7774"/>
    <w:rsid w:val="00BA7AFA"/>
    <w:rsid w:val="00BB11C7"/>
    <w:rsid w:val="00BB344C"/>
    <w:rsid w:val="00BB40C6"/>
    <w:rsid w:val="00BB4255"/>
    <w:rsid w:val="00BB48C6"/>
    <w:rsid w:val="00BB5F04"/>
    <w:rsid w:val="00BB65CC"/>
    <w:rsid w:val="00BC05B4"/>
    <w:rsid w:val="00BC1A32"/>
    <w:rsid w:val="00BC282A"/>
    <w:rsid w:val="00BC4B75"/>
    <w:rsid w:val="00BC4F4D"/>
    <w:rsid w:val="00BC671D"/>
    <w:rsid w:val="00BC7F9B"/>
    <w:rsid w:val="00BD013D"/>
    <w:rsid w:val="00BD2D99"/>
    <w:rsid w:val="00BD3A65"/>
    <w:rsid w:val="00BD3C45"/>
    <w:rsid w:val="00BD46FE"/>
    <w:rsid w:val="00BD50E9"/>
    <w:rsid w:val="00BD6070"/>
    <w:rsid w:val="00BD68FB"/>
    <w:rsid w:val="00BE0EE5"/>
    <w:rsid w:val="00BE29AA"/>
    <w:rsid w:val="00BE468D"/>
    <w:rsid w:val="00BE4AEA"/>
    <w:rsid w:val="00BE4E7C"/>
    <w:rsid w:val="00BE6500"/>
    <w:rsid w:val="00BE6AA3"/>
    <w:rsid w:val="00BE6B28"/>
    <w:rsid w:val="00BE72D5"/>
    <w:rsid w:val="00BE7556"/>
    <w:rsid w:val="00BF1F69"/>
    <w:rsid w:val="00BF3275"/>
    <w:rsid w:val="00BF3650"/>
    <w:rsid w:val="00BF45B4"/>
    <w:rsid w:val="00BF4617"/>
    <w:rsid w:val="00BF4962"/>
    <w:rsid w:val="00BF69F3"/>
    <w:rsid w:val="00BF7E5D"/>
    <w:rsid w:val="00C00565"/>
    <w:rsid w:val="00C01307"/>
    <w:rsid w:val="00C04AA5"/>
    <w:rsid w:val="00C062C9"/>
    <w:rsid w:val="00C0781E"/>
    <w:rsid w:val="00C124E3"/>
    <w:rsid w:val="00C13C8A"/>
    <w:rsid w:val="00C16899"/>
    <w:rsid w:val="00C16DFD"/>
    <w:rsid w:val="00C17B47"/>
    <w:rsid w:val="00C17C40"/>
    <w:rsid w:val="00C227C1"/>
    <w:rsid w:val="00C237AA"/>
    <w:rsid w:val="00C25F50"/>
    <w:rsid w:val="00C264A8"/>
    <w:rsid w:val="00C267D9"/>
    <w:rsid w:val="00C30035"/>
    <w:rsid w:val="00C302B1"/>
    <w:rsid w:val="00C30A28"/>
    <w:rsid w:val="00C319CE"/>
    <w:rsid w:val="00C32064"/>
    <w:rsid w:val="00C35F76"/>
    <w:rsid w:val="00C3603B"/>
    <w:rsid w:val="00C362BC"/>
    <w:rsid w:val="00C4101F"/>
    <w:rsid w:val="00C41F2E"/>
    <w:rsid w:val="00C42BA4"/>
    <w:rsid w:val="00C432E0"/>
    <w:rsid w:val="00C43FCA"/>
    <w:rsid w:val="00C449E2"/>
    <w:rsid w:val="00C450AF"/>
    <w:rsid w:val="00C45536"/>
    <w:rsid w:val="00C457B7"/>
    <w:rsid w:val="00C45EE2"/>
    <w:rsid w:val="00C4621F"/>
    <w:rsid w:val="00C4777B"/>
    <w:rsid w:val="00C51902"/>
    <w:rsid w:val="00C51C09"/>
    <w:rsid w:val="00C5251A"/>
    <w:rsid w:val="00C529A6"/>
    <w:rsid w:val="00C52DB3"/>
    <w:rsid w:val="00C542A5"/>
    <w:rsid w:val="00C55ECF"/>
    <w:rsid w:val="00C574E9"/>
    <w:rsid w:val="00C62E92"/>
    <w:rsid w:val="00C6608E"/>
    <w:rsid w:val="00C669E0"/>
    <w:rsid w:val="00C703D1"/>
    <w:rsid w:val="00C70F04"/>
    <w:rsid w:val="00C72A42"/>
    <w:rsid w:val="00C72CA7"/>
    <w:rsid w:val="00C72D8C"/>
    <w:rsid w:val="00C72E05"/>
    <w:rsid w:val="00C73AE6"/>
    <w:rsid w:val="00C73FA5"/>
    <w:rsid w:val="00C74283"/>
    <w:rsid w:val="00C756DB"/>
    <w:rsid w:val="00C76A4C"/>
    <w:rsid w:val="00C76B61"/>
    <w:rsid w:val="00C770C1"/>
    <w:rsid w:val="00C80775"/>
    <w:rsid w:val="00C80FEF"/>
    <w:rsid w:val="00C81543"/>
    <w:rsid w:val="00C8176D"/>
    <w:rsid w:val="00C846A3"/>
    <w:rsid w:val="00C85BEC"/>
    <w:rsid w:val="00C8682A"/>
    <w:rsid w:val="00C87271"/>
    <w:rsid w:val="00C90517"/>
    <w:rsid w:val="00C91156"/>
    <w:rsid w:val="00C92CEF"/>
    <w:rsid w:val="00CA0ED5"/>
    <w:rsid w:val="00CA2203"/>
    <w:rsid w:val="00CA5F1A"/>
    <w:rsid w:val="00CA64F4"/>
    <w:rsid w:val="00CB16EC"/>
    <w:rsid w:val="00CB2FCA"/>
    <w:rsid w:val="00CB499D"/>
    <w:rsid w:val="00CC09C7"/>
    <w:rsid w:val="00CC1913"/>
    <w:rsid w:val="00CC551C"/>
    <w:rsid w:val="00CC67E0"/>
    <w:rsid w:val="00CD0C59"/>
    <w:rsid w:val="00CD2776"/>
    <w:rsid w:val="00CD4FDC"/>
    <w:rsid w:val="00CD578B"/>
    <w:rsid w:val="00CD6F26"/>
    <w:rsid w:val="00CD75F3"/>
    <w:rsid w:val="00CE15D8"/>
    <w:rsid w:val="00CE3433"/>
    <w:rsid w:val="00CE4FCE"/>
    <w:rsid w:val="00CE54FF"/>
    <w:rsid w:val="00CE6B13"/>
    <w:rsid w:val="00CF1048"/>
    <w:rsid w:val="00CF3E8E"/>
    <w:rsid w:val="00CF3FF8"/>
    <w:rsid w:val="00CF45A5"/>
    <w:rsid w:val="00CF4937"/>
    <w:rsid w:val="00CF5BD7"/>
    <w:rsid w:val="00CF647A"/>
    <w:rsid w:val="00CF6E92"/>
    <w:rsid w:val="00CF79DF"/>
    <w:rsid w:val="00D00EB6"/>
    <w:rsid w:val="00D01ACF"/>
    <w:rsid w:val="00D01E8B"/>
    <w:rsid w:val="00D034B6"/>
    <w:rsid w:val="00D064A5"/>
    <w:rsid w:val="00D06A82"/>
    <w:rsid w:val="00D06FF7"/>
    <w:rsid w:val="00D112E4"/>
    <w:rsid w:val="00D11682"/>
    <w:rsid w:val="00D14EB3"/>
    <w:rsid w:val="00D14F48"/>
    <w:rsid w:val="00D152C1"/>
    <w:rsid w:val="00D157D1"/>
    <w:rsid w:val="00D177F1"/>
    <w:rsid w:val="00D2168B"/>
    <w:rsid w:val="00D23E72"/>
    <w:rsid w:val="00D262D4"/>
    <w:rsid w:val="00D26F2B"/>
    <w:rsid w:val="00D30920"/>
    <w:rsid w:val="00D312D3"/>
    <w:rsid w:val="00D359BD"/>
    <w:rsid w:val="00D36A4A"/>
    <w:rsid w:val="00D36C17"/>
    <w:rsid w:val="00D42A9A"/>
    <w:rsid w:val="00D43503"/>
    <w:rsid w:val="00D43DD7"/>
    <w:rsid w:val="00D4604E"/>
    <w:rsid w:val="00D46FBB"/>
    <w:rsid w:val="00D47676"/>
    <w:rsid w:val="00D476A1"/>
    <w:rsid w:val="00D513B8"/>
    <w:rsid w:val="00D51A36"/>
    <w:rsid w:val="00D54AB6"/>
    <w:rsid w:val="00D54CC6"/>
    <w:rsid w:val="00D560C3"/>
    <w:rsid w:val="00D56E40"/>
    <w:rsid w:val="00D574C3"/>
    <w:rsid w:val="00D57847"/>
    <w:rsid w:val="00D62F58"/>
    <w:rsid w:val="00D63DEF"/>
    <w:rsid w:val="00D64882"/>
    <w:rsid w:val="00D659D5"/>
    <w:rsid w:val="00D6750B"/>
    <w:rsid w:val="00D6788E"/>
    <w:rsid w:val="00D704B9"/>
    <w:rsid w:val="00D72C5E"/>
    <w:rsid w:val="00D72CCF"/>
    <w:rsid w:val="00D7311A"/>
    <w:rsid w:val="00D74065"/>
    <w:rsid w:val="00D758E3"/>
    <w:rsid w:val="00D766E4"/>
    <w:rsid w:val="00D8166F"/>
    <w:rsid w:val="00D819D5"/>
    <w:rsid w:val="00D84A67"/>
    <w:rsid w:val="00D8685A"/>
    <w:rsid w:val="00D86BD7"/>
    <w:rsid w:val="00D870D3"/>
    <w:rsid w:val="00D87E3C"/>
    <w:rsid w:val="00D91C6A"/>
    <w:rsid w:val="00D954C1"/>
    <w:rsid w:val="00D9564E"/>
    <w:rsid w:val="00D95973"/>
    <w:rsid w:val="00D976C1"/>
    <w:rsid w:val="00DA1D40"/>
    <w:rsid w:val="00DA3086"/>
    <w:rsid w:val="00DA3977"/>
    <w:rsid w:val="00DA4B08"/>
    <w:rsid w:val="00DA4DBE"/>
    <w:rsid w:val="00DA71F0"/>
    <w:rsid w:val="00DA7C9F"/>
    <w:rsid w:val="00DB186A"/>
    <w:rsid w:val="00DB293A"/>
    <w:rsid w:val="00DB5814"/>
    <w:rsid w:val="00DB65B0"/>
    <w:rsid w:val="00DC0D2F"/>
    <w:rsid w:val="00DC0DDD"/>
    <w:rsid w:val="00DC0DEE"/>
    <w:rsid w:val="00DC2244"/>
    <w:rsid w:val="00DC4EB5"/>
    <w:rsid w:val="00DC509E"/>
    <w:rsid w:val="00DC5CD4"/>
    <w:rsid w:val="00DC69F4"/>
    <w:rsid w:val="00DC70EC"/>
    <w:rsid w:val="00DD0F37"/>
    <w:rsid w:val="00DD1005"/>
    <w:rsid w:val="00DD1512"/>
    <w:rsid w:val="00DD16E2"/>
    <w:rsid w:val="00DD1F33"/>
    <w:rsid w:val="00DD22DC"/>
    <w:rsid w:val="00DD2F25"/>
    <w:rsid w:val="00DD42B7"/>
    <w:rsid w:val="00DD440D"/>
    <w:rsid w:val="00DD4DBA"/>
    <w:rsid w:val="00DD6BBE"/>
    <w:rsid w:val="00DD7A9D"/>
    <w:rsid w:val="00DD7FA8"/>
    <w:rsid w:val="00DE1608"/>
    <w:rsid w:val="00DE245A"/>
    <w:rsid w:val="00DE3DF5"/>
    <w:rsid w:val="00DE4353"/>
    <w:rsid w:val="00DE58F0"/>
    <w:rsid w:val="00DE5E5D"/>
    <w:rsid w:val="00DE66CF"/>
    <w:rsid w:val="00DE6996"/>
    <w:rsid w:val="00DE6B96"/>
    <w:rsid w:val="00DE7EC9"/>
    <w:rsid w:val="00DF0ECD"/>
    <w:rsid w:val="00DF1E19"/>
    <w:rsid w:val="00DF34AA"/>
    <w:rsid w:val="00DF5B72"/>
    <w:rsid w:val="00DF637B"/>
    <w:rsid w:val="00DF63CD"/>
    <w:rsid w:val="00DF6666"/>
    <w:rsid w:val="00E00277"/>
    <w:rsid w:val="00E006F6"/>
    <w:rsid w:val="00E017E8"/>
    <w:rsid w:val="00E0180B"/>
    <w:rsid w:val="00E03706"/>
    <w:rsid w:val="00E05080"/>
    <w:rsid w:val="00E05180"/>
    <w:rsid w:val="00E101F6"/>
    <w:rsid w:val="00E105EC"/>
    <w:rsid w:val="00E109F1"/>
    <w:rsid w:val="00E10A36"/>
    <w:rsid w:val="00E10AED"/>
    <w:rsid w:val="00E114F2"/>
    <w:rsid w:val="00E11CE3"/>
    <w:rsid w:val="00E12100"/>
    <w:rsid w:val="00E12168"/>
    <w:rsid w:val="00E12B46"/>
    <w:rsid w:val="00E13AB0"/>
    <w:rsid w:val="00E14562"/>
    <w:rsid w:val="00E15755"/>
    <w:rsid w:val="00E15A35"/>
    <w:rsid w:val="00E16074"/>
    <w:rsid w:val="00E175C4"/>
    <w:rsid w:val="00E17D10"/>
    <w:rsid w:val="00E21D45"/>
    <w:rsid w:val="00E23909"/>
    <w:rsid w:val="00E25C34"/>
    <w:rsid w:val="00E271D7"/>
    <w:rsid w:val="00E272A6"/>
    <w:rsid w:val="00E31563"/>
    <w:rsid w:val="00E329B2"/>
    <w:rsid w:val="00E33EF5"/>
    <w:rsid w:val="00E3476B"/>
    <w:rsid w:val="00E34DAC"/>
    <w:rsid w:val="00E35744"/>
    <w:rsid w:val="00E40077"/>
    <w:rsid w:val="00E404DE"/>
    <w:rsid w:val="00E405C7"/>
    <w:rsid w:val="00E40BAB"/>
    <w:rsid w:val="00E40EA4"/>
    <w:rsid w:val="00E4342D"/>
    <w:rsid w:val="00E454FE"/>
    <w:rsid w:val="00E46889"/>
    <w:rsid w:val="00E47E03"/>
    <w:rsid w:val="00E504EF"/>
    <w:rsid w:val="00E54E8A"/>
    <w:rsid w:val="00E55A2E"/>
    <w:rsid w:val="00E5691E"/>
    <w:rsid w:val="00E62524"/>
    <w:rsid w:val="00E63D2A"/>
    <w:rsid w:val="00E645A5"/>
    <w:rsid w:val="00E66396"/>
    <w:rsid w:val="00E67280"/>
    <w:rsid w:val="00E6752F"/>
    <w:rsid w:val="00E721AE"/>
    <w:rsid w:val="00E72ED9"/>
    <w:rsid w:val="00E74289"/>
    <w:rsid w:val="00E749E0"/>
    <w:rsid w:val="00E8035B"/>
    <w:rsid w:val="00E809A9"/>
    <w:rsid w:val="00E81F12"/>
    <w:rsid w:val="00E82055"/>
    <w:rsid w:val="00E830FF"/>
    <w:rsid w:val="00E8311C"/>
    <w:rsid w:val="00E846D4"/>
    <w:rsid w:val="00E84AE8"/>
    <w:rsid w:val="00E856C1"/>
    <w:rsid w:val="00E85CC5"/>
    <w:rsid w:val="00E9163C"/>
    <w:rsid w:val="00E9424E"/>
    <w:rsid w:val="00E9638C"/>
    <w:rsid w:val="00E96681"/>
    <w:rsid w:val="00E97183"/>
    <w:rsid w:val="00E9798D"/>
    <w:rsid w:val="00EA0330"/>
    <w:rsid w:val="00EA1127"/>
    <w:rsid w:val="00EA6655"/>
    <w:rsid w:val="00EA784A"/>
    <w:rsid w:val="00EB1791"/>
    <w:rsid w:val="00EB1AA3"/>
    <w:rsid w:val="00EB1C29"/>
    <w:rsid w:val="00EB40FF"/>
    <w:rsid w:val="00EB4A88"/>
    <w:rsid w:val="00EB7327"/>
    <w:rsid w:val="00EB7B03"/>
    <w:rsid w:val="00EC1A3A"/>
    <w:rsid w:val="00EC1DFD"/>
    <w:rsid w:val="00EC2032"/>
    <w:rsid w:val="00EC3327"/>
    <w:rsid w:val="00EC3345"/>
    <w:rsid w:val="00EC3397"/>
    <w:rsid w:val="00ED07C4"/>
    <w:rsid w:val="00ED30A9"/>
    <w:rsid w:val="00ED4DA2"/>
    <w:rsid w:val="00EE0282"/>
    <w:rsid w:val="00EE17D7"/>
    <w:rsid w:val="00EE22AB"/>
    <w:rsid w:val="00EE29DB"/>
    <w:rsid w:val="00EE2D22"/>
    <w:rsid w:val="00EE30AF"/>
    <w:rsid w:val="00EE41E6"/>
    <w:rsid w:val="00EE4233"/>
    <w:rsid w:val="00EE4C1D"/>
    <w:rsid w:val="00EE5332"/>
    <w:rsid w:val="00EE5EDA"/>
    <w:rsid w:val="00EE63FC"/>
    <w:rsid w:val="00EF0F44"/>
    <w:rsid w:val="00EF1BF6"/>
    <w:rsid w:val="00EF1C17"/>
    <w:rsid w:val="00EF1FD8"/>
    <w:rsid w:val="00EF3BBC"/>
    <w:rsid w:val="00EF3C36"/>
    <w:rsid w:val="00EF4267"/>
    <w:rsid w:val="00EF44E9"/>
    <w:rsid w:val="00EF4A41"/>
    <w:rsid w:val="00EF4F85"/>
    <w:rsid w:val="00EF5933"/>
    <w:rsid w:val="00EF5FA3"/>
    <w:rsid w:val="00EF7D30"/>
    <w:rsid w:val="00F00562"/>
    <w:rsid w:val="00F01219"/>
    <w:rsid w:val="00F04B23"/>
    <w:rsid w:val="00F058CA"/>
    <w:rsid w:val="00F0673E"/>
    <w:rsid w:val="00F07509"/>
    <w:rsid w:val="00F078AC"/>
    <w:rsid w:val="00F1387B"/>
    <w:rsid w:val="00F14AF5"/>
    <w:rsid w:val="00F17906"/>
    <w:rsid w:val="00F205BD"/>
    <w:rsid w:val="00F21C69"/>
    <w:rsid w:val="00F226C5"/>
    <w:rsid w:val="00F22751"/>
    <w:rsid w:val="00F23EA4"/>
    <w:rsid w:val="00F25416"/>
    <w:rsid w:val="00F25BA4"/>
    <w:rsid w:val="00F277AB"/>
    <w:rsid w:val="00F3257C"/>
    <w:rsid w:val="00F363ED"/>
    <w:rsid w:val="00F3650D"/>
    <w:rsid w:val="00F407E8"/>
    <w:rsid w:val="00F410A5"/>
    <w:rsid w:val="00F41D18"/>
    <w:rsid w:val="00F43847"/>
    <w:rsid w:val="00F444F5"/>
    <w:rsid w:val="00F455FF"/>
    <w:rsid w:val="00F4578C"/>
    <w:rsid w:val="00F46265"/>
    <w:rsid w:val="00F4640E"/>
    <w:rsid w:val="00F500C9"/>
    <w:rsid w:val="00F50C31"/>
    <w:rsid w:val="00F523C5"/>
    <w:rsid w:val="00F53981"/>
    <w:rsid w:val="00F5432A"/>
    <w:rsid w:val="00F551F1"/>
    <w:rsid w:val="00F57517"/>
    <w:rsid w:val="00F619AF"/>
    <w:rsid w:val="00F62AA6"/>
    <w:rsid w:val="00F6416E"/>
    <w:rsid w:val="00F642C0"/>
    <w:rsid w:val="00F647F3"/>
    <w:rsid w:val="00F66661"/>
    <w:rsid w:val="00F674B9"/>
    <w:rsid w:val="00F71711"/>
    <w:rsid w:val="00F71DD9"/>
    <w:rsid w:val="00F72691"/>
    <w:rsid w:val="00F72DD9"/>
    <w:rsid w:val="00F73C90"/>
    <w:rsid w:val="00F741D1"/>
    <w:rsid w:val="00F74BFD"/>
    <w:rsid w:val="00F75A87"/>
    <w:rsid w:val="00F776C4"/>
    <w:rsid w:val="00F80623"/>
    <w:rsid w:val="00F80AD0"/>
    <w:rsid w:val="00F847B6"/>
    <w:rsid w:val="00F84EFE"/>
    <w:rsid w:val="00F86083"/>
    <w:rsid w:val="00F866AF"/>
    <w:rsid w:val="00F87872"/>
    <w:rsid w:val="00F923D4"/>
    <w:rsid w:val="00F92AF7"/>
    <w:rsid w:val="00F92B10"/>
    <w:rsid w:val="00F93153"/>
    <w:rsid w:val="00F93A18"/>
    <w:rsid w:val="00F9502A"/>
    <w:rsid w:val="00F9748B"/>
    <w:rsid w:val="00FA11F7"/>
    <w:rsid w:val="00FA2376"/>
    <w:rsid w:val="00FA4638"/>
    <w:rsid w:val="00FA799A"/>
    <w:rsid w:val="00FB04F8"/>
    <w:rsid w:val="00FB06EA"/>
    <w:rsid w:val="00FB08EB"/>
    <w:rsid w:val="00FB3375"/>
    <w:rsid w:val="00FB36E2"/>
    <w:rsid w:val="00FB4746"/>
    <w:rsid w:val="00FB49C0"/>
    <w:rsid w:val="00FB6748"/>
    <w:rsid w:val="00FB6B12"/>
    <w:rsid w:val="00FB7C81"/>
    <w:rsid w:val="00FC210F"/>
    <w:rsid w:val="00FC396C"/>
    <w:rsid w:val="00FC3BFB"/>
    <w:rsid w:val="00FC3F21"/>
    <w:rsid w:val="00FC46BA"/>
    <w:rsid w:val="00FC4A3C"/>
    <w:rsid w:val="00FC5FA6"/>
    <w:rsid w:val="00FC7891"/>
    <w:rsid w:val="00FC7960"/>
    <w:rsid w:val="00FC7999"/>
    <w:rsid w:val="00FD010D"/>
    <w:rsid w:val="00FD07C8"/>
    <w:rsid w:val="00FD194B"/>
    <w:rsid w:val="00FD2D38"/>
    <w:rsid w:val="00FD33C5"/>
    <w:rsid w:val="00FD43CA"/>
    <w:rsid w:val="00FD4B18"/>
    <w:rsid w:val="00FD66C2"/>
    <w:rsid w:val="00FD66C3"/>
    <w:rsid w:val="00FE0176"/>
    <w:rsid w:val="00FE0405"/>
    <w:rsid w:val="00FE07EE"/>
    <w:rsid w:val="00FE2265"/>
    <w:rsid w:val="00FE38E6"/>
    <w:rsid w:val="00FE661E"/>
    <w:rsid w:val="00FF1046"/>
    <w:rsid w:val="00FF1BC9"/>
    <w:rsid w:val="00FF2105"/>
    <w:rsid w:val="00FF23E0"/>
    <w:rsid w:val="00FF3E54"/>
    <w:rsid w:val="00FF4CED"/>
    <w:rsid w:val="00FF5D17"/>
    <w:rsid w:val="00FF6EDA"/>
    <w:rsid w:val="01DE3FF9"/>
    <w:rsid w:val="0ABC36D7"/>
    <w:rsid w:val="0ECD8147"/>
    <w:rsid w:val="12070C1B"/>
    <w:rsid w:val="22C1CCFC"/>
    <w:rsid w:val="357B20AE"/>
    <w:rsid w:val="3D5FB609"/>
    <w:rsid w:val="3E231D8B"/>
    <w:rsid w:val="4154814C"/>
    <w:rsid w:val="42C53CE6"/>
    <w:rsid w:val="46062FE4"/>
    <w:rsid w:val="4F76E457"/>
    <w:rsid w:val="5E7AED5B"/>
    <w:rsid w:val="63191C64"/>
    <w:rsid w:val="6CE5389E"/>
    <w:rsid w:val="6E45F576"/>
    <w:rsid w:val="7C2A004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EDCAF1"/>
  <w15:docId w15:val="{FA87E4BC-7598-4A23-B714-9414820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A52"/>
  </w:style>
  <w:style w:type="paragraph" w:styleId="Heading1">
    <w:name w:val="heading 1"/>
    <w:basedOn w:val="Normal"/>
    <w:next w:val="Normal"/>
    <w:qFormat/>
    <w:rsid w:val="003A2A52"/>
    <w:pPr>
      <w:keepNext/>
      <w:jc w:val="right"/>
      <w:outlineLvl w:val="0"/>
    </w:pPr>
    <w:rPr>
      <w:rFonts w:ascii="Arial" w:hAnsi="Arial" w:cs="Arial"/>
      <w:b/>
      <w:bCs/>
      <w:sz w:val="18"/>
      <w:szCs w:val="18"/>
    </w:rPr>
  </w:style>
  <w:style w:type="paragraph" w:styleId="Heading2">
    <w:name w:val="heading 2"/>
    <w:basedOn w:val="Normal"/>
    <w:next w:val="Normal"/>
    <w:qFormat/>
    <w:rsid w:val="003A2A52"/>
    <w:pPr>
      <w:keepNext/>
      <w:autoSpaceDE w:val="0"/>
      <w:autoSpaceDN w:val="0"/>
      <w:adjustRightInd w:val="0"/>
      <w:outlineLvl w:val="1"/>
    </w:pPr>
    <w:rPr>
      <w:rFonts w:ascii="Arial" w:hAnsi="Arial" w:cs="Arial"/>
      <w:b/>
      <w:bCs/>
      <w:color w:val="000000"/>
      <w:sz w:val="18"/>
      <w:szCs w:val="18"/>
    </w:rPr>
  </w:style>
  <w:style w:type="paragraph" w:styleId="Heading3">
    <w:name w:val="heading 3"/>
    <w:basedOn w:val="Normal"/>
    <w:next w:val="Normal"/>
    <w:qFormat/>
    <w:rsid w:val="003A2A52"/>
    <w:pPr>
      <w:keepNext/>
      <w:autoSpaceDE w:val="0"/>
      <w:autoSpaceDN w:val="0"/>
      <w:adjustRightInd w:val="0"/>
      <w:jc w:val="both"/>
      <w:outlineLvl w:val="2"/>
    </w:pPr>
    <w:rPr>
      <w:rFonts w:ascii="Arial" w:hAnsi="Arial" w:cs="Arial"/>
      <w:b/>
      <w:bCs/>
      <w:color w:val="000000"/>
      <w:sz w:val="18"/>
      <w:szCs w:val="18"/>
    </w:rPr>
  </w:style>
  <w:style w:type="paragraph" w:styleId="Heading4">
    <w:name w:val="heading 4"/>
    <w:basedOn w:val="Normal"/>
    <w:next w:val="Normal"/>
    <w:qFormat/>
    <w:rsid w:val="003A2A52"/>
    <w:pPr>
      <w:keepNext/>
      <w:autoSpaceDE w:val="0"/>
      <w:autoSpaceDN w:val="0"/>
      <w:adjustRightInd w:val="0"/>
      <w:jc w:val="both"/>
      <w:outlineLvl w:val="3"/>
    </w:pPr>
    <w:rPr>
      <w:rFonts w:ascii="Arial" w:hAnsi="Arial" w:cs="Arial"/>
      <w:b/>
      <w:bCs/>
      <w:lang w:val="es-ES_tradnl"/>
    </w:rPr>
  </w:style>
  <w:style w:type="paragraph" w:styleId="Heading5">
    <w:name w:val="heading 5"/>
    <w:basedOn w:val="Normal"/>
    <w:next w:val="Normal"/>
    <w:qFormat/>
    <w:rsid w:val="003A2A52"/>
    <w:pPr>
      <w:keepNext/>
      <w:autoSpaceDE w:val="0"/>
      <w:autoSpaceDN w:val="0"/>
      <w:adjustRightInd w:val="0"/>
      <w:outlineLvl w:val="4"/>
    </w:pPr>
    <w:rPr>
      <w:rFonts w:ascii="Geneva" w:hAnsi="Geneva" w:cs="Arial"/>
      <w:b/>
      <w:bCs/>
      <w:i/>
      <w:iCs/>
      <w:color w:val="000000"/>
      <w:sz w:val="18"/>
      <w:szCs w:val="18"/>
      <w:lang w:val="es-ES_tradnl"/>
    </w:rPr>
  </w:style>
  <w:style w:type="paragraph" w:styleId="Heading6">
    <w:name w:val="heading 6"/>
    <w:basedOn w:val="Normal"/>
    <w:next w:val="Normal"/>
    <w:qFormat/>
    <w:rsid w:val="003A2A52"/>
    <w:pPr>
      <w:keepNext/>
      <w:autoSpaceDE w:val="0"/>
      <w:autoSpaceDN w:val="0"/>
      <w:adjustRightInd w:val="0"/>
      <w:outlineLvl w:val="5"/>
    </w:pPr>
    <w:rPr>
      <w:b/>
      <w:bCs/>
      <w:sz w:val="18"/>
      <w:szCs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2A52"/>
    <w:pPr>
      <w:tabs>
        <w:tab w:val="center" w:pos="4320"/>
        <w:tab w:val="right" w:pos="8640"/>
      </w:tabs>
    </w:pPr>
  </w:style>
  <w:style w:type="paragraph" w:styleId="Footer">
    <w:name w:val="footer"/>
    <w:basedOn w:val="Normal"/>
    <w:link w:val="FooterChar"/>
    <w:uiPriority w:val="99"/>
    <w:rsid w:val="003A2A52"/>
    <w:pPr>
      <w:tabs>
        <w:tab w:val="center" w:pos="4320"/>
        <w:tab w:val="right" w:pos="8640"/>
      </w:tabs>
    </w:pPr>
  </w:style>
  <w:style w:type="character" w:styleId="PageNumber">
    <w:name w:val="page number"/>
    <w:basedOn w:val="DefaultParagraphFont"/>
    <w:rsid w:val="003A2A52"/>
  </w:style>
  <w:style w:type="paragraph" w:customStyle="1" w:styleId="Textodeglobo2">
    <w:name w:val="Texto de globo2"/>
    <w:basedOn w:val="Normal"/>
    <w:semiHidden/>
    <w:rsid w:val="003A2A52"/>
    <w:rPr>
      <w:rFonts w:ascii="Tahoma" w:hAnsi="Tahoma" w:cs="Tahoma"/>
      <w:sz w:val="16"/>
      <w:szCs w:val="16"/>
    </w:rPr>
  </w:style>
  <w:style w:type="character" w:styleId="CommentReference">
    <w:name w:val="annotation reference"/>
    <w:basedOn w:val="DefaultParagraphFont"/>
    <w:semiHidden/>
    <w:rsid w:val="003A2A52"/>
    <w:rPr>
      <w:sz w:val="16"/>
      <w:szCs w:val="16"/>
    </w:rPr>
  </w:style>
  <w:style w:type="paragraph" w:styleId="CommentText">
    <w:name w:val="annotation text"/>
    <w:basedOn w:val="Normal"/>
    <w:link w:val="CommentTextChar"/>
    <w:uiPriority w:val="99"/>
    <w:semiHidden/>
    <w:rsid w:val="003A2A52"/>
  </w:style>
  <w:style w:type="paragraph" w:customStyle="1" w:styleId="Asuntodelcomentario1">
    <w:name w:val="Asunto del comentario1"/>
    <w:basedOn w:val="CommentText"/>
    <w:next w:val="CommentText"/>
    <w:semiHidden/>
    <w:rsid w:val="003A2A52"/>
    <w:rPr>
      <w:b/>
      <w:bCs/>
    </w:rPr>
  </w:style>
  <w:style w:type="paragraph" w:styleId="BodyText">
    <w:name w:val="Body Text"/>
    <w:basedOn w:val="Normal"/>
    <w:rsid w:val="003A2A52"/>
    <w:pPr>
      <w:autoSpaceDE w:val="0"/>
      <w:autoSpaceDN w:val="0"/>
      <w:adjustRightInd w:val="0"/>
      <w:jc w:val="both"/>
    </w:pPr>
    <w:rPr>
      <w:rFonts w:ascii="Arial" w:hAnsi="Arial" w:cs="Arial"/>
      <w:color w:val="000000"/>
      <w:sz w:val="18"/>
      <w:szCs w:val="18"/>
    </w:rPr>
  </w:style>
  <w:style w:type="paragraph" w:styleId="BodyText2">
    <w:name w:val="Body Text 2"/>
    <w:basedOn w:val="Normal"/>
    <w:rsid w:val="003A2A52"/>
    <w:pPr>
      <w:autoSpaceDE w:val="0"/>
      <w:autoSpaceDN w:val="0"/>
      <w:adjustRightInd w:val="0"/>
      <w:jc w:val="both"/>
    </w:pPr>
    <w:rPr>
      <w:rFonts w:ascii="Arial" w:hAnsi="Arial" w:cs="Arial"/>
      <w:sz w:val="18"/>
      <w:szCs w:val="18"/>
    </w:rPr>
  </w:style>
  <w:style w:type="paragraph" w:styleId="BodyText3">
    <w:name w:val="Body Text 3"/>
    <w:basedOn w:val="Normal"/>
    <w:rsid w:val="003A2A52"/>
    <w:pPr>
      <w:autoSpaceDE w:val="0"/>
      <w:autoSpaceDN w:val="0"/>
      <w:adjustRightInd w:val="0"/>
    </w:pPr>
    <w:rPr>
      <w:rFonts w:ascii="Geneva" w:hAnsi="Geneva" w:cs="Arial"/>
      <w:b/>
      <w:bCs/>
      <w:i/>
      <w:iCs/>
      <w:color w:val="000000"/>
      <w:sz w:val="18"/>
      <w:szCs w:val="18"/>
      <w:lang w:val="es-ES_tradnl"/>
    </w:rPr>
  </w:style>
  <w:style w:type="paragraph" w:customStyle="1" w:styleId="Textodeglobo1">
    <w:name w:val="Texto de globo1"/>
    <w:basedOn w:val="Normal"/>
    <w:semiHidden/>
    <w:rsid w:val="003A2A52"/>
    <w:rPr>
      <w:rFonts w:ascii="Tahoma" w:hAnsi="Tahoma" w:cs="Tahoma"/>
      <w:sz w:val="16"/>
      <w:szCs w:val="16"/>
    </w:rPr>
  </w:style>
  <w:style w:type="paragraph" w:customStyle="1" w:styleId="Chapter">
    <w:name w:val="Chapter"/>
    <w:basedOn w:val="Normal"/>
    <w:next w:val="Normal"/>
    <w:rsid w:val="003A2A52"/>
    <w:pPr>
      <w:numPr>
        <w:numId w:val="1"/>
      </w:numPr>
      <w:tabs>
        <w:tab w:val="left" w:pos="1440"/>
      </w:tabs>
      <w:spacing w:before="240" w:after="240"/>
      <w:jc w:val="center"/>
    </w:pPr>
    <w:rPr>
      <w:b/>
      <w:smallCaps/>
      <w:sz w:val="24"/>
      <w:lang w:val="es-ES"/>
    </w:rPr>
  </w:style>
  <w:style w:type="paragraph" w:customStyle="1" w:styleId="Paragraph">
    <w:name w:val="Paragraph"/>
    <w:basedOn w:val="BodyTextIndent"/>
    <w:rsid w:val="003A2A52"/>
    <w:pPr>
      <w:numPr>
        <w:ilvl w:val="1"/>
        <w:numId w:val="1"/>
      </w:numPr>
      <w:spacing w:before="120"/>
      <w:jc w:val="both"/>
      <w:outlineLvl w:val="1"/>
    </w:pPr>
    <w:rPr>
      <w:sz w:val="24"/>
      <w:lang w:val="es-ES"/>
    </w:rPr>
  </w:style>
  <w:style w:type="paragraph" w:customStyle="1" w:styleId="subpar">
    <w:name w:val="subpar"/>
    <w:basedOn w:val="BodyTextIndent3"/>
    <w:rsid w:val="003A2A52"/>
    <w:pPr>
      <w:numPr>
        <w:ilvl w:val="2"/>
        <w:numId w:val="1"/>
      </w:numPr>
      <w:spacing w:before="120"/>
      <w:jc w:val="both"/>
      <w:outlineLvl w:val="2"/>
    </w:pPr>
    <w:rPr>
      <w:sz w:val="24"/>
      <w:szCs w:val="20"/>
      <w:lang w:val="es-ES_tradnl"/>
    </w:rPr>
  </w:style>
  <w:style w:type="paragraph" w:customStyle="1" w:styleId="SubSubPar">
    <w:name w:val="SubSubPar"/>
    <w:basedOn w:val="subpar"/>
    <w:rsid w:val="003A2A52"/>
    <w:pPr>
      <w:numPr>
        <w:ilvl w:val="3"/>
      </w:numPr>
      <w:tabs>
        <w:tab w:val="left" w:pos="0"/>
      </w:tabs>
    </w:pPr>
  </w:style>
  <w:style w:type="paragraph" w:styleId="BodyTextIndent">
    <w:name w:val="Body Text Indent"/>
    <w:basedOn w:val="Normal"/>
    <w:rsid w:val="003A2A52"/>
    <w:pPr>
      <w:spacing w:after="120"/>
      <w:ind w:left="360"/>
    </w:pPr>
  </w:style>
  <w:style w:type="paragraph" w:styleId="BodyTextIndent3">
    <w:name w:val="Body Text Indent 3"/>
    <w:basedOn w:val="Normal"/>
    <w:rsid w:val="003A2A52"/>
    <w:pPr>
      <w:spacing w:after="120"/>
      <w:ind w:left="360"/>
    </w:pPr>
    <w:rPr>
      <w:sz w:val="16"/>
      <w:szCs w:val="16"/>
    </w:rPr>
  </w:style>
  <w:style w:type="paragraph" w:styleId="FootnoteText">
    <w:name w:val="footnote text"/>
    <w:basedOn w:val="Normal"/>
    <w:semiHidden/>
    <w:rsid w:val="003A2A52"/>
  </w:style>
  <w:style w:type="character" w:styleId="FootnoteReference">
    <w:name w:val="footnote reference"/>
    <w:basedOn w:val="DefaultParagraphFont"/>
    <w:semiHidden/>
    <w:rsid w:val="003A2A52"/>
    <w:rPr>
      <w:vertAlign w:val="superscript"/>
    </w:rPr>
  </w:style>
  <w:style w:type="paragraph" w:styleId="BalloonText">
    <w:name w:val="Balloon Text"/>
    <w:basedOn w:val="Normal"/>
    <w:semiHidden/>
    <w:rsid w:val="001D1698"/>
    <w:rPr>
      <w:rFonts w:ascii="Tahoma" w:hAnsi="Tahoma" w:cs="Tahoma"/>
      <w:sz w:val="16"/>
      <w:szCs w:val="16"/>
    </w:rPr>
  </w:style>
  <w:style w:type="character" w:customStyle="1" w:styleId="FooterChar">
    <w:name w:val="Footer Char"/>
    <w:basedOn w:val="DefaultParagraphFont"/>
    <w:link w:val="Footer"/>
    <w:uiPriority w:val="99"/>
    <w:rsid w:val="00E21D45"/>
    <w:rPr>
      <w:lang w:val="en-US" w:eastAsia="en-US"/>
    </w:rPr>
  </w:style>
  <w:style w:type="character" w:styleId="Emphasis">
    <w:name w:val="Emphasis"/>
    <w:basedOn w:val="DefaultParagraphFont"/>
    <w:uiPriority w:val="20"/>
    <w:qFormat/>
    <w:rsid w:val="00D36C17"/>
    <w:rPr>
      <w:i/>
      <w:iCs/>
    </w:rPr>
  </w:style>
  <w:style w:type="character" w:customStyle="1" w:styleId="HeaderChar">
    <w:name w:val="Header Char"/>
    <w:basedOn w:val="DefaultParagraphFont"/>
    <w:link w:val="Header"/>
    <w:uiPriority w:val="99"/>
    <w:rsid w:val="00A31C52"/>
  </w:style>
  <w:style w:type="table" w:styleId="TableGrid">
    <w:name w:val="Table Grid"/>
    <w:basedOn w:val="TableNormal"/>
    <w:uiPriority w:val="59"/>
    <w:rsid w:val="001F4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F4940"/>
    <w:pPr>
      <w:ind w:left="720"/>
      <w:contextualSpacing/>
    </w:pPr>
  </w:style>
  <w:style w:type="character" w:customStyle="1" w:styleId="ListParagraphChar">
    <w:name w:val="List Paragraph Char"/>
    <w:basedOn w:val="DefaultParagraphFont"/>
    <w:link w:val="ListParagraph"/>
    <w:uiPriority w:val="34"/>
    <w:rsid w:val="00B67A19"/>
  </w:style>
  <w:style w:type="character" w:customStyle="1" w:styleId="CommentTextChar">
    <w:name w:val="Comment Text Char"/>
    <w:basedOn w:val="DefaultParagraphFont"/>
    <w:link w:val="CommentText"/>
    <w:uiPriority w:val="99"/>
    <w:semiHidden/>
    <w:rsid w:val="00E12168"/>
  </w:style>
  <w:style w:type="paragraph" w:customStyle="1" w:styleId="Default">
    <w:name w:val="Default"/>
    <w:rsid w:val="00E12168"/>
    <w:pPr>
      <w:autoSpaceDE w:val="0"/>
      <w:autoSpaceDN w:val="0"/>
      <w:adjustRightInd w:val="0"/>
    </w:pPr>
    <w:rPr>
      <w:color w:val="000000"/>
      <w:sz w:val="24"/>
      <w:szCs w:val="24"/>
      <w:lang w:val="es-CO" w:eastAsia="es-CO"/>
    </w:rPr>
  </w:style>
  <w:style w:type="character" w:styleId="Hyperlink">
    <w:name w:val="Hyperlink"/>
    <w:basedOn w:val="DefaultParagraphFont"/>
    <w:rsid w:val="006624DC"/>
    <w:rPr>
      <w:color w:val="0000FF" w:themeColor="hyperlink"/>
      <w:u w:val="single"/>
    </w:rPr>
  </w:style>
  <w:style w:type="paragraph" w:styleId="CommentSubject">
    <w:name w:val="annotation subject"/>
    <w:basedOn w:val="CommentText"/>
    <w:next w:val="CommentText"/>
    <w:link w:val="CommentSubjectChar"/>
    <w:semiHidden/>
    <w:unhideWhenUsed/>
    <w:rsid w:val="00051470"/>
    <w:rPr>
      <w:b/>
      <w:bCs/>
    </w:rPr>
  </w:style>
  <w:style w:type="character" w:customStyle="1" w:styleId="CommentSubjectChar">
    <w:name w:val="Comment Subject Char"/>
    <w:basedOn w:val="CommentTextChar"/>
    <w:link w:val="CommentSubject"/>
    <w:semiHidden/>
    <w:rsid w:val="00051470"/>
    <w:rPr>
      <w:b/>
      <w:bCs/>
    </w:rPr>
  </w:style>
  <w:style w:type="character" w:styleId="FollowedHyperlink">
    <w:name w:val="FollowedHyperlink"/>
    <w:basedOn w:val="DefaultParagraphFont"/>
    <w:semiHidden/>
    <w:unhideWhenUsed/>
    <w:rsid w:val="00943A37"/>
    <w:rPr>
      <w:color w:val="800080" w:themeColor="followedHyperlink"/>
      <w:u w:val="single"/>
    </w:rPr>
  </w:style>
  <w:style w:type="paragraph" w:styleId="NormalWeb">
    <w:name w:val="Normal (Web)"/>
    <w:basedOn w:val="Normal"/>
    <w:uiPriority w:val="99"/>
    <w:semiHidden/>
    <w:unhideWhenUsed/>
    <w:rsid w:val="00B5633C"/>
    <w:pPr>
      <w:spacing w:before="100" w:beforeAutospacing="1" w:after="100" w:afterAutospacing="1"/>
    </w:pPr>
    <w:rPr>
      <w:rFonts w:eastAsiaTheme="minorEastAsia"/>
      <w:sz w:val="24"/>
      <w:szCs w:val="24"/>
      <w:lang w:val="es-CO" w:eastAsia="es-CO"/>
    </w:rPr>
  </w:style>
  <w:style w:type="paragraph" w:styleId="Revision">
    <w:name w:val="Revision"/>
    <w:hidden/>
    <w:uiPriority w:val="99"/>
    <w:semiHidden/>
    <w:rsid w:val="009C77C9"/>
  </w:style>
  <w:style w:type="character" w:styleId="UnresolvedMention">
    <w:name w:val="Unresolved Mention"/>
    <w:basedOn w:val="DefaultParagraphFont"/>
    <w:uiPriority w:val="99"/>
    <w:semiHidden/>
    <w:unhideWhenUsed/>
    <w:rsid w:val="00395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8979">
      <w:bodyDiv w:val="1"/>
      <w:marLeft w:val="0"/>
      <w:marRight w:val="0"/>
      <w:marTop w:val="0"/>
      <w:marBottom w:val="0"/>
      <w:divBdr>
        <w:top w:val="none" w:sz="0" w:space="0" w:color="auto"/>
        <w:left w:val="none" w:sz="0" w:space="0" w:color="auto"/>
        <w:bottom w:val="none" w:sz="0" w:space="0" w:color="auto"/>
        <w:right w:val="none" w:sz="0" w:space="0" w:color="auto"/>
      </w:divBdr>
    </w:div>
    <w:div w:id="201551880">
      <w:bodyDiv w:val="1"/>
      <w:marLeft w:val="0"/>
      <w:marRight w:val="0"/>
      <w:marTop w:val="0"/>
      <w:marBottom w:val="0"/>
      <w:divBdr>
        <w:top w:val="none" w:sz="0" w:space="0" w:color="auto"/>
        <w:left w:val="none" w:sz="0" w:space="0" w:color="auto"/>
        <w:bottom w:val="none" w:sz="0" w:space="0" w:color="auto"/>
        <w:right w:val="none" w:sz="0" w:space="0" w:color="auto"/>
      </w:divBdr>
    </w:div>
    <w:div w:id="253782206">
      <w:bodyDiv w:val="1"/>
      <w:marLeft w:val="0"/>
      <w:marRight w:val="0"/>
      <w:marTop w:val="0"/>
      <w:marBottom w:val="0"/>
      <w:divBdr>
        <w:top w:val="none" w:sz="0" w:space="0" w:color="auto"/>
        <w:left w:val="none" w:sz="0" w:space="0" w:color="auto"/>
        <w:bottom w:val="none" w:sz="0" w:space="0" w:color="auto"/>
        <w:right w:val="none" w:sz="0" w:space="0" w:color="auto"/>
      </w:divBdr>
      <w:divsChild>
        <w:div w:id="769543214">
          <w:marLeft w:val="446"/>
          <w:marRight w:val="0"/>
          <w:marTop w:val="0"/>
          <w:marBottom w:val="0"/>
          <w:divBdr>
            <w:top w:val="none" w:sz="0" w:space="0" w:color="auto"/>
            <w:left w:val="none" w:sz="0" w:space="0" w:color="auto"/>
            <w:bottom w:val="none" w:sz="0" w:space="0" w:color="auto"/>
            <w:right w:val="none" w:sz="0" w:space="0" w:color="auto"/>
          </w:divBdr>
        </w:div>
      </w:divsChild>
    </w:div>
    <w:div w:id="427850673">
      <w:bodyDiv w:val="1"/>
      <w:marLeft w:val="0"/>
      <w:marRight w:val="0"/>
      <w:marTop w:val="0"/>
      <w:marBottom w:val="0"/>
      <w:divBdr>
        <w:top w:val="none" w:sz="0" w:space="0" w:color="auto"/>
        <w:left w:val="none" w:sz="0" w:space="0" w:color="auto"/>
        <w:bottom w:val="none" w:sz="0" w:space="0" w:color="auto"/>
        <w:right w:val="none" w:sz="0" w:space="0" w:color="auto"/>
      </w:divBdr>
    </w:div>
    <w:div w:id="441992939">
      <w:bodyDiv w:val="1"/>
      <w:marLeft w:val="0"/>
      <w:marRight w:val="0"/>
      <w:marTop w:val="0"/>
      <w:marBottom w:val="0"/>
      <w:divBdr>
        <w:top w:val="none" w:sz="0" w:space="0" w:color="auto"/>
        <w:left w:val="none" w:sz="0" w:space="0" w:color="auto"/>
        <w:bottom w:val="none" w:sz="0" w:space="0" w:color="auto"/>
        <w:right w:val="none" w:sz="0" w:space="0" w:color="auto"/>
      </w:divBdr>
    </w:div>
    <w:div w:id="823472576">
      <w:bodyDiv w:val="1"/>
      <w:marLeft w:val="0"/>
      <w:marRight w:val="0"/>
      <w:marTop w:val="0"/>
      <w:marBottom w:val="0"/>
      <w:divBdr>
        <w:top w:val="none" w:sz="0" w:space="0" w:color="auto"/>
        <w:left w:val="none" w:sz="0" w:space="0" w:color="auto"/>
        <w:bottom w:val="none" w:sz="0" w:space="0" w:color="auto"/>
        <w:right w:val="none" w:sz="0" w:space="0" w:color="auto"/>
      </w:divBdr>
      <w:divsChild>
        <w:div w:id="636909424">
          <w:marLeft w:val="446"/>
          <w:marRight w:val="0"/>
          <w:marTop w:val="0"/>
          <w:marBottom w:val="0"/>
          <w:divBdr>
            <w:top w:val="none" w:sz="0" w:space="0" w:color="auto"/>
            <w:left w:val="none" w:sz="0" w:space="0" w:color="auto"/>
            <w:bottom w:val="none" w:sz="0" w:space="0" w:color="auto"/>
            <w:right w:val="none" w:sz="0" w:space="0" w:color="auto"/>
          </w:divBdr>
        </w:div>
      </w:divsChild>
    </w:div>
    <w:div w:id="931207124">
      <w:bodyDiv w:val="1"/>
      <w:marLeft w:val="0"/>
      <w:marRight w:val="0"/>
      <w:marTop w:val="0"/>
      <w:marBottom w:val="0"/>
      <w:divBdr>
        <w:top w:val="none" w:sz="0" w:space="0" w:color="auto"/>
        <w:left w:val="none" w:sz="0" w:space="0" w:color="auto"/>
        <w:bottom w:val="none" w:sz="0" w:space="0" w:color="auto"/>
        <w:right w:val="none" w:sz="0" w:space="0" w:color="auto"/>
      </w:divBdr>
    </w:div>
    <w:div w:id="1065373709">
      <w:bodyDiv w:val="1"/>
      <w:marLeft w:val="0"/>
      <w:marRight w:val="0"/>
      <w:marTop w:val="0"/>
      <w:marBottom w:val="0"/>
      <w:divBdr>
        <w:top w:val="none" w:sz="0" w:space="0" w:color="auto"/>
        <w:left w:val="none" w:sz="0" w:space="0" w:color="auto"/>
        <w:bottom w:val="none" w:sz="0" w:space="0" w:color="auto"/>
        <w:right w:val="none" w:sz="0" w:space="0" w:color="auto"/>
      </w:divBdr>
    </w:div>
    <w:div w:id="1109010921">
      <w:bodyDiv w:val="1"/>
      <w:marLeft w:val="0"/>
      <w:marRight w:val="0"/>
      <w:marTop w:val="0"/>
      <w:marBottom w:val="0"/>
      <w:divBdr>
        <w:top w:val="none" w:sz="0" w:space="0" w:color="auto"/>
        <w:left w:val="none" w:sz="0" w:space="0" w:color="auto"/>
        <w:bottom w:val="none" w:sz="0" w:space="0" w:color="auto"/>
        <w:right w:val="none" w:sz="0" w:space="0" w:color="auto"/>
      </w:divBdr>
    </w:div>
    <w:div w:id="1193106549">
      <w:bodyDiv w:val="1"/>
      <w:marLeft w:val="0"/>
      <w:marRight w:val="0"/>
      <w:marTop w:val="0"/>
      <w:marBottom w:val="0"/>
      <w:divBdr>
        <w:top w:val="none" w:sz="0" w:space="0" w:color="auto"/>
        <w:left w:val="none" w:sz="0" w:space="0" w:color="auto"/>
        <w:bottom w:val="none" w:sz="0" w:space="0" w:color="auto"/>
        <w:right w:val="none" w:sz="0" w:space="0" w:color="auto"/>
      </w:divBdr>
      <w:divsChild>
        <w:div w:id="156191157">
          <w:marLeft w:val="446"/>
          <w:marRight w:val="0"/>
          <w:marTop w:val="72"/>
          <w:marBottom w:val="0"/>
          <w:divBdr>
            <w:top w:val="none" w:sz="0" w:space="0" w:color="auto"/>
            <w:left w:val="none" w:sz="0" w:space="0" w:color="auto"/>
            <w:bottom w:val="none" w:sz="0" w:space="0" w:color="auto"/>
            <w:right w:val="none" w:sz="0" w:space="0" w:color="auto"/>
          </w:divBdr>
        </w:div>
      </w:divsChild>
    </w:div>
    <w:div w:id="1262494767">
      <w:bodyDiv w:val="1"/>
      <w:marLeft w:val="0"/>
      <w:marRight w:val="0"/>
      <w:marTop w:val="0"/>
      <w:marBottom w:val="0"/>
      <w:divBdr>
        <w:top w:val="none" w:sz="0" w:space="0" w:color="auto"/>
        <w:left w:val="none" w:sz="0" w:space="0" w:color="auto"/>
        <w:bottom w:val="none" w:sz="0" w:space="0" w:color="auto"/>
        <w:right w:val="none" w:sz="0" w:space="0" w:color="auto"/>
      </w:divBdr>
    </w:div>
    <w:div w:id="1265653382">
      <w:bodyDiv w:val="1"/>
      <w:marLeft w:val="0"/>
      <w:marRight w:val="0"/>
      <w:marTop w:val="0"/>
      <w:marBottom w:val="0"/>
      <w:divBdr>
        <w:top w:val="none" w:sz="0" w:space="0" w:color="auto"/>
        <w:left w:val="none" w:sz="0" w:space="0" w:color="auto"/>
        <w:bottom w:val="none" w:sz="0" w:space="0" w:color="auto"/>
        <w:right w:val="none" w:sz="0" w:space="0" w:color="auto"/>
      </w:divBdr>
    </w:div>
    <w:div w:id="1367099648">
      <w:bodyDiv w:val="1"/>
      <w:marLeft w:val="0"/>
      <w:marRight w:val="0"/>
      <w:marTop w:val="0"/>
      <w:marBottom w:val="0"/>
      <w:divBdr>
        <w:top w:val="none" w:sz="0" w:space="0" w:color="auto"/>
        <w:left w:val="none" w:sz="0" w:space="0" w:color="auto"/>
        <w:bottom w:val="none" w:sz="0" w:space="0" w:color="auto"/>
        <w:right w:val="none" w:sz="0" w:space="0" w:color="auto"/>
      </w:divBdr>
      <w:divsChild>
        <w:div w:id="1299922523">
          <w:marLeft w:val="446"/>
          <w:marRight w:val="0"/>
          <w:marTop w:val="0"/>
          <w:marBottom w:val="0"/>
          <w:divBdr>
            <w:top w:val="none" w:sz="0" w:space="0" w:color="auto"/>
            <w:left w:val="none" w:sz="0" w:space="0" w:color="auto"/>
            <w:bottom w:val="none" w:sz="0" w:space="0" w:color="auto"/>
            <w:right w:val="none" w:sz="0" w:space="0" w:color="auto"/>
          </w:divBdr>
        </w:div>
      </w:divsChild>
    </w:div>
    <w:div w:id="1761752828">
      <w:bodyDiv w:val="1"/>
      <w:marLeft w:val="0"/>
      <w:marRight w:val="0"/>
      <w:marTop w:val="0"/>
      <w:marBottom w:val="0"/>
      <w:divBdr>
        <w:top w:val="none" w:sz="0" w:space="0" w:color="auto"/>
        <w:left w:val="none" w:sz="0" w:space="0" w:color="auto"/>
        <w:bottom w:val="none" w:sz="0" w:space="0" w:color="auto"/>
        <w:right w:val="none" w:sz="0" w:space="0" w:color="auto"/>
      </w:divBdr>
      <w:divsChild>
        <w:div w:id="1905286957">
          <w:marLeft w:val="446"/>
          <w:marRight w:val="0"/>
          <w:marTop w:val="0"/>
          <w:marBottom w:val="0"/>
          <w:divBdr>
            <w:top w:val="none" w:sz="0" w:space="0" w:color="auto"/>
            <w:left w:val="none" w:sz="0" w:space="0" w:color="auto"/>
            <w:bottom w:val="none" w:sz="0" w:space="0" w:color="auto"/>
            <w:right w:val="none" w:sz="0" w:space="0" w:color="auto"/>
          </w:divBdr>
        </w:div>
      </w:divsChild>
    </w:div>
    <w:div w:id="1829516605">
      <w:bodyDiv w:val="1"/>
      <w:marLeft w:val="0"/>
      <w:marRight w:val="0"/>
      <w:marTop w:val="0"/>
      <w:marBottom w:val="0"/>
      <w:divBdr>
        <w:top w:val="none" w:sz="0" w:space="0" w:color="auto"/>
        <w:left w:val="none" w:sz="0" w:space="0" w:color="auto"/>
        <w:bottom w:val="none" w:sz="0" w:space="0" w:color="auto"/>
        <w:right w:val="none" w:sz="0" w:space="0" w:color="auto"/>
      </w:divBdr>
      <w:divsChild>
        <w:div w:id="2074693704">
          <w:marLeft w:val="418"/>
          <w:marRight w:val="0"/>
          <w:marTop w:val="72"/>
          <w:marBottom w:val="0"/>
          <w:divBdr>
            <w:top w:val="none" w:sz="0" w:space="0" w:color="auto"/>
            <w:left w:val="none" w:sz="0" w:space="0" w:color="auto"/>
            <w:bottom w:val="none" w:sz="0" w:space="0" w:color="auto"/>
            <w:right w:val="none" w:sz="0" w:space="0" w:color="auto"/>
          </w:divBdr>
        </w:div>
      </w:divsChild>
    </w:div>
    <w:div w:id="2051106848">
      <w:bodyDiv w:val="1"/>
      <w:marLeft w:val="0"/>
      <w:marRight w:val="0"/>
      <w:marTop w:val="0"/>
      <w:marBottom w:val="0"/>
      <w:divBdr>
        <w:top w:val="none" w:sz="0" w:space="0" w:color="auto"/>
        <w:left w:val="none" w:sz="0" w:space="0" w:color="auto"/>
        <w:bottom w:val="none" w:sz="0" w:space="0" w:color="auto"/>
        <w:right w:val="none" w:sz="0" w:space="0" w:color="auto"/>
      </w:divBdr>
      <w:divsChild>
        <w:div w:id="1091851426">
          <w:marLeft w:val="446"/>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1" Type="http://schemas.openxmlformats.org/officeDocument/2006/relationships/settings" Target="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www1.upme.gov.co/Paginas/Inscripcionproyectogenelec.aspx" TargetMode="External"/><Relationship Id="rId10" Type="http://schemas.openxmlformats.org/officeDocument/2006/relationships/styles" Target="style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4773/OC-CO;</Approval_x0020_Number>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178</Value>
      <Value>39</Value>
      <Value>31</Value>
      <Value>1</Value>
      <Value>27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EZSHARE-661587386-2</_dlc_DocId>
    <_dlc_DocIdUrl xmlns="cdc7663a-08f0-4737-9e8c-148ce897a09c">
      <Url>https://idbg.sharepoint.com/teams/EZ-CO-LON/CO-L1237/_layouts/15/DocIdRedir.aspx?ID=EZSHARE-661587386-2</Url>
      <Description>EZSHARE-661587386-2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747F26F6C93F4EA513C0E2139DAFE2" ma:contentTypeVersion="1695" ma:contentTypeDescription="A content type to manage public (operations) IDB documents" ma:contentTypeScope="" ma:versionID="90c66f737c2ed59b768ff68623cad987">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2142C65-6561-4F82-A90E-443BE4546B63}">
  <ds:schemaRefs>
    <ds:schemaRef ds:uri="http://schemas.microsoft.com/sharepoint/v3/contenttype/forms/url"/>
  </ds:schemaRefs>
</ds:datastoreItem>
</file>

<file path=customXml/itemProps2.xml><?xml version="1.0" encoding="utf-8"?>
<ds:datastoreItem xmlns:ds="http://schemas.openxmlformats.org/officeDocument/2006/customXml" ds:itemID="{EB289794-2180-492F-8049-E449DC00CBE2}"/>
</file>

<file path=customXml/itemProps3.xml><?xml version="1.0" encoding="utf-8"?>
<ds:datastoreItem xmlns:ds="http://schemas.openxmlformats.org/officeDocument/2006/customXml" ds:itemID="{59F84AA6-12AB-4121-BF71-7D0CCCE42A8B}">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B10C729-7CAF-49BB-9F1C-5C1CFD1A01A9}">
  <ds:schemaRefs>
    <ds:schemaRef ds:uri="http://schemas.microsoft.com/sharepoint/v3/contenttype/forms"/>
  </ds:schemaRefs>
</ds:datastoreItem>
</file>

<file path=customXml/itemProps5.xml><?xml version="1.0" encoding="utf-8"?>
<ds:datastoreItem xmlns:ds="http://schemas.openxmlformats.org/officeDocument/2006/customXml" ds:itemID="{3DB26E38-8F4C-4E4E-BE36-E96FA3C06213}">
  <ds:schemaRefs>
    <ds:schemaRef ds:uri="http://schemas.microsoft.com/sharepoint/events"/>
  </ds:schemaRefs>
</ds:datastoreItem>
</file>

<file path=customXml/itemProps6.xml><?xml version="1.0" encoding="utf-8"?>
<ds:datastoreItem xmlns:ds="http://schemas.openxmlformats.org/officeDocument/2006/customXml" ds:itemID="{15CE146D-D4E3-44CE-BDBD-9109A84A7CA1}">
  <ds:schemaRefs>
    <ds:schemaRef ds:uri="http://schemas.openxmlformats.org/officeDocument/2006/bibliography"/>
  </ds:schemaRefs>
</ds:datastoreItem>
</file>

<file path=customXml/itemProps7.xml><?xml version="1.0" encoding="utf-8"?>
<ds:datastoreItem xmlns:ds="http://schemas.openxmlformats.org/officeDocument/2006/customXml" ds:itemID="{FDEA757C-C43B-48E6-8C3E-1D1F163F0282}"/>
</file>

<file path=customXml/itemProps8.xml><?xml version="1.0" encoding="utf-8"?>
<ds:datastoreItem xmlns:ds="http://schemas.openxmlformats.org/officeDocument/2006/customXml" ds:itemID="{F161E3CB-6F0B-428A-A821-01DF4376B84C}">
  <ds:schemaRefs>
    <ds:schemaRef ds:uri="http://schemas.openxmlformats.org/officeDocument/2006/bibliography"/>
  </ds:schemaRefs>
</ds:datastoreItem>
</file>

<file path=customXml/itemProps9.xml><?xml version="1.0" encoding="utf-8"?>
<ds:datastoreItem xmlns:ds="http://schemas.openxmlformats.org/officeDocument/2006/customXml" ds:itemID="{D97E90EE-907F-4341-B9C0-92FB91EFBE0A}"/>
</file>

<file path=docProps/app.xml><?xml version="1.0" encoding="utf-8"?>
<Properties xmlns="http://schemas.openxmlformats.org/officeDocument/2006/extended-properties" xmlns:vt="http://schemas.openxmlformats.org/officeDocument/2006/docPropsVTypes">
  <Template>Normal.dotm</Template>
  <TotalTime>7</TotalTime>
  <Pages>10</Pages>
  <Words>2609</Words>
  <Characters>14875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PE-L1061</vt:lpstr>
    </vt:vector>
  </TitlesOfParts>
  <Company>Inter-American Development Bank</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PE-L1061</dc:title>
  <dc:subject>Matriz de Políticas</dc:subject>
  <dc:creator>Administrator</dc:creator>
  <cp:keywords/>
  <cp:lastModifiedBy>Seminario, Ana Cecilia</cp:lastModifiedBy>
  <cp:revision>3</cp:revision>
  <cp:lastPrinted>2019-02-04T09:57:00Z</cp:lastPrinted>
  <dcterms:created xsi:type="dcterms:W3CDTF">2019-03-19T20:05:00Z</dcterms:created>
  <dcterms:modified xsi:type="dcterms:W3CDTF">2019-04-25T15:26:00Z</dcterms:modified>
  <cp:category>Borrador de Trabajo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178;#ENERGY INSTITUTIONAL STRENGTHENING AND CAPACITY BUILDING|83f37b93-89a4-4e9a-88eb-1c116bee7b97</vt:lpwstr>
  </property>
  <property fmtid="{D5CDD505-2E9C-101B-9397-08002B2CF9AE}" pid="7" name="Fund IDB">
    <vt:lpwstr>31;#ORC|c028a4b2-ad8b-4cf4-9cac-a2ae6a778e23</vt:lpwstr>
  </property>
  <property fmtid="{D5CDD505-2E9C-101B-9397-08002B2CF9AE}" pid="8" name="Country">
    <vt:lpwstr>27;#Colombia|c7d386d6-75f3-4fc0-bde8-e021ccd68f5c</vt:lpwstr>
  </property>
  <property fmtid="{D5CDD505-2E9C-101B-9397-08002B2CF9AE}" pid="9" name="Sector IDB">
    <vt:lpwstr>39;#ENERGY|4fed196a-cd0b-4970-87de-42da17f9b203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190fcc5e-214b-4611-8beb-c9e4170631e6</vt:lpwstr>
  </property>
  <property fmtid="{D5CDD505-2E9C-101B-9397-08002B2CF9AE}" pid="12" name="AuthorIds_UIVersion_9">
    <vt:lpwstr>1186</vt:lpwstr>
  </property>
  <property fmtid="{D5CDD505-2E9C-101B-9397-08002B2CF9AE}" pid="13" name="AuthorIds_UIVersion_10">
    <vt:lpwstr>970</vt:lpwstr>
  </property>
  <property fmtid="{D5CDD505-2E9C-101B-9397-08002B2CF9AE}" pid="14" name="AuthorIds_UIVersion_11">
    <vt:lpwstr>248</vt:lpwstr>
  </property>
  <property fmtid="{D5CDD505-2E9C-101B-9397-08002B2CF9AE}" pid="15" name="AuthorIds_UIVersion_12">
    <vt:lpwstr>1186</vt:lpwstr>
  </property>
  <property fmtid="{D5CDD505-2E9C-101B-9397-08002B2CF9AE}" pid="16" name="AuthorIds_UIVersion_13">
    <vt:lpwstr>248</vt:lpwstr>
  </property>
  <property fmtid="{D5CDD505-2E9C-101B-9397-08002B2CF9AE}" pid="17" name="AuthorIds_UIVersion_18">
    <vt:lpwstr>248</vt:lpwstr>
  </property>
  <property fmtid="{D5CDD505-2E9C-101B-9397-08002B2CF9AE}" pid="18" name="AuthorIds_UIVersion_22">
    <vt:lpwstr>1132</vt:lpwstr>
  </property>
  <property fmtid="{D5CDD505-2E9C-101B-9397-08002B2CF9AE}" pid="19" name="AuthorIds_UIVersion_23">
    <vt:lpwstr>970</vt:lpwstr>
  </property>
  <property fmtid="{D5CDD505-2E9C-101B-9397-08002B2CF9AE}" pid="20" name="AuthorIds_UIVersion_24">
    <vt:lpwstr>970</vt:lpwstr>
  </property>
  <property fmtid="{D5CDD505-2E9C-101B-9397-08002B2CF9AE}" pid="21" name="AuthorIds_UIVersion_25">
    <vt:lpwstr>207</vt:lpwstr>
  </property>
  <property fmtid="{D5CDD505-2E9C-101B-9397-08002B2CF9AE}" pid="22" name="AuthorIds_UIVersion_26">
    <vt:lpwstr>207</vt:lpwstr>
  </property>
  <property fmtid="{D5CDD505-2E9C-101B-9397-08002B2CF9AE}" pid="23" name="AuthorIds_UIVersion_28">
    <vt:lpwstr>248</vt:lpwstr>
  </property>
  <property fmtid="{D5CDD505-2E9C-101B-9397-08002B2CF9AE}" pid="24" name="AuthorIds_UIVersion_31">
    <vt:lpwstr>970</vt:lpwstr>
  </property>
  <property fmtid="{D5CDD505-2E9C-101B-9397-08002B2CF9AE}" pid="25" name="AuthorIds_UIVersion_37">
    <vt:lpwstr>1186</vt:lpwstr>
  </property>
  <property fmtid="{D5CDD505-2E9C-101B-9397-08002B2CF9AE}" pid="26" name="AuthorIds_UIVersion_38">
    <vt:lpwstr>1186</vt:lpwstr>
  </property>
  <property fmtid="{D5CDD505-2E9C-101B-9397-08002B2CF9AE}" pid="27" name="ContentTypeId">
    <vt:lpwstr>0x0101001A458A224826124E8B45B1D613300CFC0013747F26F6C93F4EA513C0E2139DAFE2</vt:lpwstr>
  </property>
</Properties>
</file>