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customXml/itemProps8.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2AA8D" w14:textId="77777777" w:rsidR="00460407" w:rsidRDefault="00460407" w:rsidP="00F24F82">
      <w:pPr>
        <w:spacing w:after="120"/>
        <w:jc w:val="center"/>
        <w:rPr>
          <w:rStyle w:val="BookTitle"/>
          <w:rFonts w:ascii="Arial" w:hAnsi="Arial" w:cs="Arial"/>
          <w:sz w:val="24"/>
          <w:lang w:val="es-ES_tradnl"/>
        </w:rPr>
      </w:pPr>
      <w:r>
        <w:rPr>
          <w:rStyle w:val="BookTitle"/>
          <w:rFonts w:ascii="Arial" w:hAnsi="Arial" w:cs="Arial"/>
          <w:sz w:val="24"/>
          <w:lang w:val="es-ES_tradnl"/>
        </w:rPr>
        <w:t>Colombia</w:t>
      </w:r>
    </w:p>
    <w:p w14:paraId="094D2B0A" w14:textId="63572ADD" w:rsidR="00EB1C29" w:rsidRPr="008421B6" w:rsidRDefault="00EB1C29" w:rsidP="00F24F82">
      <w:pPr>
        <w:spacing w:after="120"/>
        <w:jc w:val="center"/>
        <w:rPr>
          <w:rStyle w:val="BookTitle"/>
          <w:rFonts w:ascii="Arial" w:hAnsi="Arial" w:cs="Arial"/>
          <w:sz w:val="24"/>
          <w:lang w:val="es-ES_tradnl"/>
        </w:rPr>
      </w:pPr>
      <w:r w:rsidRPr="008421B6">
        <w:rPr>
          <w:rStyle w:val="BookTitle"/>
          <w:rFonts w:ascii="Arial" w:hAnsi="Arial" w:cs="Arial"/>
          <w:sz w:val="24"/>
          <w:lang w:val="es-ES_tradnl"/>
        </w:rPr>
        <w:t xml:space="preserve">Matriz </w:t>
      </w:r>
      <w:r w:rsidR="0042445D">
        <w:rPr>
          <w:rStyle w:val="BookTitle"/>
          <w:rFonts w:ascii="Arial" w:hAnsi="Arial" w:cs="Arial"/>
          <w:sz w:val="24"/>
          <w:lang w:val="es-ES_tradnl"/>
        </w:rPr>
        <w:t xml:space="preserve">Comparativa </w:t>
      </w:r>
      <w:r w:rsidRPr="008421B6">
        <w:rPr>
          <w:rStyle w:val="BookTitle"/>
          <w:rFonts w:ascii="Arial" w:hAnsi="Arial" w:cs="Arial"/>
          <w:sz w:val="24"/>
          <w:lang w:val="es-ES_tradnl"/>
        </w:rPr>
        <w:t>de</w:t>
      </w:r>
      <w:r w:rsidR="0042445D">
        <w:rPr>
          <w:rStyle w:val="BookTitle"/>
          <w:rFonts w:ascii="Arial" w:hAnsi="Arial" w:cs="Arial"/>
          <w:sz w:val="24"/>
          <w:lang w:val="es-ES_tradnl"/>
        </w:rPr>
        <w:t xml:space="preserve"> Cambios a Las Condiciones de</w:t>
      </w:r>
      <w:r w:rsidRPr="008421B6">
        <w:rPr>
          <w:rStyle w:val="BookTitle"/>
          <w:rFonts w:ascii="Arial" w:hAnsi="Arial" w:cs="Arial"/>
          <w:sz w:val="24"/>
          <w:lang w:val="es-ES_tradnl"/>
        </w:rPr>
        <w:t xml:space="preserve"> </w:t>
      </w:r>
      <w:r w:rsidR="00A05D0D" w:rsidRPr="008421B6">
        <w:rPr>
          <w:rStyle w:val="BookTitle"/>
          <w:rFonts w:ascii="Arial" w:hAnsi="Arial" w:cs="Arial"/>
          <w:sz w:val="24"/>
          <w:lang w:val="es-ES_tradnl"/>
        </w:rPr>
        <w:t>Política</w:t>
      </w:r>
      <w:r w:rsidR="0027193B" w:rsidRPr="008421B6">
        <w:rPr>
          <w:rStyle w:val="BookTitle"/>
          <w:rFonts w:ascii="Arial" w:hAnsi="Arial" w:cs="Arial"/>
          <w:sz w:val="24"/>
          <w:lang w:val="es-ES_tradnl"/>
        </w:rPr>
        <w:t>s</w:t>
      </w:r>
    </w:p>
    <w:p w14:paraId="672A6659" w14:textId="1CDB3591" w:rsidR="00F24F82" w:rsidRPr="00BF3DF5" w:rsidRDefault="00F24F82" w:rsidP="00A95FD4">
      <w:pPr>
        <w:pBdr>
          <w:top w:val="single" w:sz="4" w:space="1" w:color="auto"/>
          <w:left w:val="single" w:sz="4" w:space="0" w:color="auto"/>
          <w:bottom w:val="single" w:sz="4" w:space="1" w:color="auto"/>
          <w:right w:val="single" w:sz="4" w:space="0" w:color="auto"/>
        </w:pBdr>
        <w:jc w:val="both"/>
        <w:rPr>
          <w:rStyle w:val="BookTitle"/>
          <w:rFonts w:ascii="Arial" w:hAnsi="Arial" w:cs="Arial"/>
          <w:sz w:val="24"/>
          <w:lang w:val="es-ES_tradnl"/>
        </w:rPr>
      </w:pPr>
      <w:r w:rsidRPr="00BF3DF5">
        <w:rPr>
          <w:rFonts w:ascii="Arial" w:hAnsi="Arial" w:cs="Arial"/>
          <w:b/>
          <w:lang w:val="es-ES"/>
        </w:rPr>
        <w:t>Objetivo:</w:t>
      </w:r>
      <w:r w:rsidRPr="00BF3DF5">
        <w:rPr>
          <w:rFonts w:ascii="Arial" w:hAnsi="Arial" w:cs="Arial"/>
          <w:lang w:val="es-ES"/>
        </w:rPr>
        <w:t xml:space="preserve"> </w:t>
      </w:r>
      <w:r w:rsidR="0095714E">
        <w:rPr>
          <w:rFonts w:ascii="Arial" w:hAnsi="Arial" w:cs="Arial"/>
          <w:lang w:val="es-ES"/>
        </w:rPr>
        <w:t>C</w:t>
      </w:r>
      <w:r w:rsidR="00E77F19" w:rsidRPr="00E77F19">
        <w:rPr>
          <w:rFonts w:ascii="Arial" w:hAnsi="Arial" w:cs="Arial"/>
          <w:lang w:val="es-ES"/>
        </w:rPr>
        <w:t>ontribuir a la sostenibilidad del sector energético del país a través de un proceso de reformas de políticas que permitan asegurar la oferta eficiente de energía eléctrica en el SIN y las ZNI, a fin de reducir la vulnerabilidad del sector frente a los efectos del cambio climático y aumentar el acceso eléctrico. Los objetivos específicos son: (i) asegurar un contexto macroeconómico congruente con los objetivos del programa; (</w:t>
      </w:r>
      <w:proofErr w:type="spellStart"/>
      <w:r w:rsidR="00E77F19" w:rsidRPr="00E77F19">
        <w:rPr>
          <w:rFonts w:ascii="Arial" w:hAnsi="Arial" w:cs="Arial"/>
          <w:lang w:val="es-ES"/>
        </w:rPr>
        <w:t>ii</w:t>
      </w:r>
      <w:proofErr w:type="spellEnd"/>
      <w:r w:rsidR="00E77F19" w:rsidRPr="00E77F19">
        <w:rPr>
          <w:rFonts w:ascii="Arial" w:hAnsi="Arial" w:cs="Arial"/>
          <w:lang w:val="es-ES"/>
        </w:rPr>
        <w:t>) contribuir a garantizar el abastecimiento de energía del SIN mediante la diversificación de la matriz energética con FNCER y el incremento de los intercambios energía a nivel internacional; y establecer medidas que permitan aumentar y garantizar la oferta de GN para generación, administrar la demanda energética y optimizar el funcionamiento del MEM; y (</w:t>
      </w:r>
      <w:proofErr w:type="spellStart"/>
      <w:r w:rsidR="00E77F19" w:rsidRPr="00E77F19">
        <w:rPr>
          <w:rFonts w:ascii="Arial" w:hAnsi="Arial" w:cs="Arial"/>
          <w:lang w:val="es-ES"/>
        </w:rPr>
        <w:t>iii</w:t>
      </w:r>
      <w:proofErr w:type="spellEnd"/>
      <w:r w:rsidR="00E77F19" w:rsidRPr="00E77F19">
        <w:rPr>
          <w:rFonts w:ascii="Arial" w:hAnsi="Arial" w:cs="Arial"/>
          <w:lang w:val="es-ES"/>
        </w:rPr>
        <w:t>) promover el acceso a la energía en las ZNI mediante el uso de FNCER.</w:t>
      </w:r>
    </w:p>
    <w:tbl>
      <w:tblPr>
        <w:tblStyle w:val="TableGrid"/>
        <w:tblW w:w="5002" w:type="pct"/>
        <w:tblInd w:w="-5" w:type="dxa"/>
        <w:tblLook w:val="04A0" w:firstRow="1" w:lastRow="0" w:firstColumn="1" w:lastColumn="0" w:noHBand="0" w:noVBand="1"/>
      </w:tblPr>
      <w:tblGrid>
        <w:gridCol w:w="2504"/>
        <w:gridCol w:w="3393"/>
        <w:gridCol w:w="3565"/>
        <w:gridCol w:w="3493"/>
      </w:tblGrid>
      <w:tr w:rsidR="00F97C09" w:rsidRPr="00BF3DF5" w14:paraId="1E142187" w14:textId="77777777" w:rsidTr="00015359">
        <w:trPr>
          <w:trHeight w:val="109"/>
          <w:tblHeader/>
        </w:trPr>
        <w:tc>
          <w:tcPr>
            <w:tcW w:w="2504" w:type="dxa"/>
            <w:tcBorders>
              <w:bottom w:val="single" w:sz="4" w:space="0" w:color="auto"/>
            </w:tcBorders>
            <w:shd w:val="clear" w:color="auto" w:fill="548DD4" w:themeFill="text2" w:themeFillTint="99"/>
            <w:vAlign w:val="center"/>
          </w:tcPr>
          <w:p w14:paraId="024AAE2C" w14:textId="77777777" w:rsidR="00F97C09" w:rsidRPr="00BF3DF5" w:rsidRDefault="00F97C09" w:rsidP="00F97C09">
            <w:pPr>
              <w:jc w:val="center"/>
              <w:rPr>
                <w:rFonts w:ascii="Arial" w:hAnsi="Arial" w:cs="Arial"/>
                <w:b/>
                <w:lang w:val="es-ES"/>
              </w:rPr>
            </w:pPr>
            <w:r w:rsidRPr="00BF3DF5">
              <w:rPr>
                <w:rFonts w:ascii="Arial" w:hAnsi="Arial" w:cs="Arial"/>
                <w:b/>
                <w:lang w:val="es-ES"/>
              </w:rPr>
              <w:t>Objetivos</w:t>
            </w:r>
          </w:p>
        </w:tc>
        <w:tc>
          <w:tcPr>
            <w:tcW w:w="3393" w:type="dxa"/>
            <w:tcBorders>
              <w:bottom w:val="single" w:sz="4" w:space="0" w:color="auto"/>
            </w:tcBorders>
            <w:shd w:val="clear" w:color="auto" w:fill="548DD4" w:themeFill="text2" w:themeFillTint="99"/>
            <w:vAlign w:val="center"/>
          </w:tcPr>
          <w:p w14:paraId="4590B0D1" w14:textId="77777777" w:rsidR="00F97C09" w:rsidRPr="00BF3DF5" w:rsidRDefault="00F97C09" w:rsidP="00F97C09">
            <w:pPr>
              <w:jc w:val="center"/>
              <w:rPr>
                <w:rFonts w:ascii="Arial" w:hAnsi="Arial" w:cs="Arial"/>
                <w:b/>
                <w:lang w:val="es-ES"/>
              </w:rPr>
            </w:pPr>
            <w:r w:rsidRPr="00BF3DF5">
              <w:rPr>
                <w:rFonts w:ascii="Arial" w:hAnsi="Arial" w:cs="Arial"/>
                <w:b/>
                <w:lang w:val="es-ES_tradnl"/>
              </w:rPr>
              <w:t>Condiciones de política indicativas para la segunda operación, acordadas en la primera operación</w:t>
            </w:r>
          </w:p>
        </w:tc>
        <w:tc>
          <w:tcPr>
            <w:tcW w:w="3565" w:type="dxa"/>
            <w:tcBorders>
              <w:bottom w:val="single" w:sz="4" w:space="0" w:color="auto"/>
            </w:tcBorders>
            <w:shd w:val="clear" w:color="auto" w:fill="548DD4" w:themeFill="text2" w:themeFillTint="99"/>
            <w:vAlign w:val="center"/>
          </w:tcPr>
          <w:p w14:paraId="4F2A6589" w14:textId="77777777" w:rsidR="00F97C09" w:rsidRPr="00BF3DF5" w:rsidRDefault="00F97C09" w:rsidP="00F97C09">
            <w:pPr>
              <w:jc w:val="center"/>
              <w:rPr>
                <w:rFonts w:ascii="Arial" w:hAnsi="Arial" w:cs="Arial"/>
                <w:b/>
                <w:lang w:val="es-ES"/>
              </w:rPr>
            </w:pPr>
            <w:r w:rsidRPr="00BF3DF5">
              <w:rPr>
                <w:rFonts w:ascii="Arial" w:hAnsi="Arial" w:cs="Arial"/>
                <w:b/>
                <w:sz w:val="18"/>
                <w:szCs w:val="18"/>
                <w:lang w:val="es-ES"/>
              </w:rPr>
              <w:t xml:space="preserve">Condiciones revisadas y acordadas para la </w:t>
            </w:r>
            <w:r w:rsidR="004D2D5C" w:rsidRPr="00BF3DF5">
              <w:rPr>
                <w:rFonts w:ascii="Arial" w:hAnsi="Arial" w:cs="Arial"/>
                <w:b/>
                <w:sz w:val="18"/>
                <w:szCs w:val="18"/>
                <w:lang w:val="es-ES"/>
              </w:rPr>
              <w:t>segunda</w:t>
            </w:r>
            <w:r w:rsidRPr="00BF3DF5">
              <w:rPr>
                <w:rFonts w:ascii="Arial" w:hAnsi="Arial" w:cs="Arial"/>
                <w:b/>
                <w:sz w:val="18"/>
                <w:szCs w:val="18"/>
                <w:lang w:val="es-ES"/>
              </w:rPr>
              <w:t xml:space="preserve"> operación</w:t>
            </w:r>
          </w:p>
        </w:tc>
        <w:tc>
          <w:tcPr>
            <w:tcW w:w="3493" w:type="dxa"/>
            <w:tcBorders>
              <w:bottom w:val="single" w:sz="4" w:space="0" w:color="auto"/>
            </w:tcBorders>
            <w:shd w:val="clear" w:color="auto" w:fill="548DD4" w:themeFill="text2" w:themeFillTint="99"/>
            <w:vAlign w:val="center"/>
          </w:tcPr>
          <w:p w14:paraId="18963129" w14:textId="77777777" w:rsidR="00F97C09" w:rsidRPr="00BF3DF5" w:rsidRDefault="00F97C09" w:rsidP="00F97C09">
            <w:pPr>
              <w:jc w:val="center"/>
              <w:rPr>
                <w:rFonts w:ascii="Arial" w:hAnsi="Arial" w:cs="Arial"/>
                <w:b/>
                <w:lang w:val="es-ES"/>
              </w:rPr>
            </w:pPr>
            <w:r w:rsidRPr="00BF3DF5">
              <w:rPr>
                <w:rFonts w:ascii="Arial" w:hAnsi="Arial" w:cs="Arial"/>
                <w:b/>
                <w:sz w:val="18"/>
                <w:szCs w:val="18"/>
                <w:lang w:val="es-ES"/>
              </w:rPr>
              <w:t>Comentarios</w:t>
            </w:r>
          </w:p>
        </w:tc>
      </w:tr>
      <w:tr w:rsidR="00460407" w:rsidRPr="00460407" w14:paraId="3908F4B5" w14:textId="77777777" w:rsidTr="00015359">
        <w:trPr>
          <w:trHeight w:val="164"/>
        </w:trPr>
        <w:tc>
          <w:tcPr>
            <w:tcW w:w="2504" w:type="dxa"/>
            <w:tcBorders>
              <w:bottom w:val="single" w:sz="4" w:space="0" w:color="auto"/>
            </w:tcBorders>
          </w:tcPr>
          <w:p w14:paraId="18392D9F" w14:textId="77777777" w:rsidR="00460407" w:rsidRPr="00BF3DF5" w:rsidRDefault="00460407" w:rsidP="00CC1809">
            <w:pPr>
              <w:rPr>
                <w:rFonts w:ascii="Arial" w:hAnsi="Arial" w:cs="Arial"/>
                <w:b/>
                <w:lang w:val="es-ES"/>
              </w:rPr>
            </w:pPr>
            <w:r>
              <w:rPr>
                <w:rFonts w:ascii="Arial" w:hAnsi="Arial" w:cs="Arial"/>
                <w:b/>
                <w:lang w:val="es-ES"/>
              </w:rPr>
              <w:t>Componente I.</w:t>
            </w:r>
          </w:p>
        </w:tc>
        <w:tc>
          <w:tcPr>
            <w:tcW w:w="3393" w:type="dxa"/>
            <w:tcBorders>
              <w:bottom w:val="single" w:sz="4" w:space="0" w:color="auto"/>
            </w:tcBorders>
          </w:tcPr>
          <w:p w14:paraId="0A37501D" w14:textId="77777777" w:rsidR="00460407" w:rsidRPr="00BF3DF5" w:rsidRDefault="00460407" w:rsidP="00CC1809">
            <w:pPr>
              <w:jc w:val="both"/>
              <w:rPr>
                <w:rFonts w:ascii="Arial" w:hAnsi="Arial" w:cs="Arial"/>
                <w:lang w:val="es-ES"/>
              </w:rPr>
            </w:pPr>
          </w:p>
        </w:tc>
        <w:tc>
          <w:tcPr>
            <w:tcW w:w="3565" w:type="dxa"/>
            <w:tcBorders>
              <w:bottom w:val="single" w:sz="4" w:space="0" w:color="auto"/>
            </w:tcBorders>
          </w:tcPr>
          <w:p w14:paraId="5DAB6C7B" w14:textId="77777777" w:rsidR="00460407" w:rsidRPr="00BF3DF5" w:rsidRDefault="00460407" w:rsidP="00CC1809">
            <w:pPr>
              <w:jc w:val="both"/>
              <w:rPr>
                <w:rFonts w:ascii="Arial" w:hAnsi="Arial" w:cs="Arial"/>
                <w:lang w:val="es-ES"/>
              </w:rPr>
            </w:pPr>
          </w:p>
        </w:tc>
        <w:tc>
          <w:tcPr>
            <w:tcW w:w="3493" w:type="dxa"/>
            <w:tcBorders>
              <w:bottom w:val="single" w:sz="4" w:space="0" w:color="auto"/>
            </w:tcBorders>
          </w:tcPr>
          <w:p w14:paraId="02EB378F" w14:textId="77777777" w:rsidR="00460407" w:rsidRPr="00BF3DF5" w:rsidRDefault="00460407" w:rsidP="00CC1809">
            <w:pPr>
              <w:jc w:val="both"/>
              <w:rPr>
                <w:rFonts w:ascii="Arial" w:hAnsi="Arial" w:cs="Arial"/>
                <w:lang w:val="es-ES"/>
              </w:rPr>
            </w:pPr>
          </w:p>
        </w:tc>
      </w:tr>
      <w:tr w:rsidR="00CC1809" w:rsidRPr="00754EB0" w14:paraId="2FC37FA4" w14:textId="77777777" w:rsidTr="00015359">
        <w:trPr>
          <w:trHeight w:val="164"/>
        </w:trPr>
        <w:tc>
          <w:tcPr>
            <w:tcW w:w="2504" w:type="dxa"/>
            <w:tcBorders>
              <w:bottom w:val="single" w:sz="4" w:space="0" w:color="auto"/>
            </w:tcBorders>
          </w:tcPr>
          <w:p w14:paraId="2E9F97A6" w14:textId="77777777" w:rsidR="00CC1809" w:rsidRPr="00BF3DF5" w:rsidRDefault="00CC1809" w:rsidP="00CC1809">
            <w:pPr>
              <w:rPr>
                <w:rFonts w:ascii="Arial" w:hAnsi="Arial" w:cs="Arial"/>
                <w:b/>
                <w:lang w:val="es-ES"/>
              </w:rPr>
            </w:pPr>
            <w:r w:rsidRPr="00BF3DF5">
              <w:rPr>
                <w:rFonts w:ascii="Arial" w:hAnsi="Arial" w:cs="Arial"/>
                <w:b/>
                <w:lang w:val="es-ES"/>
              </w:rPr>
              <w:t xml:space="preserve">Estabilidad del Marco General de Políticas </w:t>
            </w:r>
            <w:proofErr w:type="spellStart"/>
            <w:proofErr w:type="gramStart"/>
            <w:r w:rsidRPr="00BF3DF5">
              <w:rPr>
                <w:rFonts w:ascii="Arial" w:hAnsi="Arial" w:cs="Arial"/>
                <w:b/>
                <w:lang w:val="es-ES"/>
              </w:rPr>
              <w:t>Macro-económicas</w:t>
            </w:r>
            <w:proofErr w:type="spellEnd"/>
            <w:proofErr w:type="gramEnd"/>
            <w:r w:rsidRPr="00BF3DF5">
              <w:rPr>
                <w:rFonts w:ascii="Arial" w:hAnsi="Arial" w:cs="Arial"/>
                <w:b/>
                <w:lang w:val="es-ES"/>
              </w:rPr>
              <w:t>.</w:t>
            </w:r>
          </w:p>
        </w:tc>
        <w:tc>
          <w:tcPr>
            <w:tcW w:w="3393" w:type="dxa"/>
            <w:tcBorders>
              <w:bottom w:val="single" w:sz="4" w:space="0" w:color="auto"/>
            </w:tcBorders>
          </w:tcPr>
          <w:p w14:paraId="2C19EF66" w14:textId="77777777" w:rsidR="00CC1809" w:rsidRPr="00BF3DF5" w:rsidRDefault="00CC1809" w:rsidP="00CC1809">
            <w:pPr>
              <w:jc w:val="both"/>
              <w:rPr>
                <w:rFonts w:ascii="Arial" w:hAnsi="Arial" w:cs="Arial"/>
                <w:lang w:val="es-ES"/>
              </w:rPr>
            </w:pPr>
            <w:r w:rsidRPr="00BF3DF5">
              <w:rPr>
                <w:rFonts w:ascii="Arial" w:hAnsi="Arial" w:cs="Arial"/>
                <w:lang w:val="es-ES"/>
              </w:rPr>
              <w:t>Marco macroeconómico congruente con los objetivos del programa según lo establecido en la Matriz de Políticas y en la Carta de Política Sectorial.</w:t>
            </w:r>
          </w:p>
        </w:tc>
        <w:tc>
          <w:tcPr>
            <w:tcW w:w="3565" w:type="dxa"/>
            <w:tcBorders>
              <w:bottom w:val="single" w:sz="4" w:space="0" w:color="auto"/>
            </w:tcBorders>
          </w:tcPr>
          <w:p w14:paraId="03559B32" w14:textId="453C7E77" w:rsidR="00CC1809" w:rsidRPr="00BF3DF5" w:rsidRDefault="008421B6" w:rsidP="00CC1809">
            <w:pPr>
              <w:jc w:val="both"/>
              <w:rPr>
                <w:rFonts w:ascii="Arial" w:hAnsi="Arial" w:cs="Arial"/>
                <w:lang w:val="es-ES_tradnl"/>
              </w:rPr>
            </w:pPr>
            <w:r w:rsidRPr="008421B6">
              <w:rPr>
                <w:rFonts w:ascii="Arial" w:hAnsi="Arial" w:cs="Arial"/>
                <w:lang w:val="es-ES"/>
              </w:rPr>
              <w:t>Marco macroeconómico estable y conducente al logro de los objetivos del programa y los lineamientos establecidos en la Carta de Política Sectorial.</w:t>
            </w:r>
          </w:p>
        </w:tc>
        <w:tc>
          <w:tcPr>
            <w:tcW w:w="3493" w:type="dxa"/>
            <w:tcBorders>
              <w:bottom w:val="single" w:sz="4" w:space="0" w:color="auto"/>
            </w:tcBorders>
          </w:tcPr>
          <w:p w14:paraId="6A05A809" w14:textId="77777777" w:rsidR="00CC1809" w:rsidRPr="00BF3DF5" w:rsidRDefault="00CC1809" w:rsidP="00CC1809">
            <w:pPr>
              <w:jc w:val="both"/>
              <w:rPr>
                <w:rFonts w:ascii="Arial" w:hAnsi="Arial" w:cs="Arial"/>
                <w:lang w:val="es-ES"/>
              </w:rPr>
            </w:pPr>
          </w:p>
        </w:tc>
      </w:tr>
      <w:tr w:rsidR="00460407" w:rsidRPr="00460407" w14:paraId="7DA13FAD" w14:textId="77777777" w:rsidTr="00015359">
        <w:trPr>
          <w:trHeight w:val="54"/>
        </w:trPr>
        <w:tc>
          <w:tcPr>
            <w:tcW w:w="2504" w:type="dxa"/>
          </w:tcPr>
          <w:p w14:paraId="49D57D00" w14:textId="77777777" w:rsidR="00460407" w:rsidRPr="00BF3DF5" w:rsidRDefault="00460407" w:rsidP="00CC1809">
            <w:pPr>
              <w:rPr>
                <w:rFonts w:ascii="Arial" w:hAnsi="Arial" w:cs="Arial"/>
                <w:b/>
                <w:lang w:val="es-ES_tradnl"/>
              </w:rPr>
            </w:pPr>
            <w:r>
              <w:rPr>
                <w:rFonts w:ascii="Arial" w:hAnsi="Arial" w:cs="Arial"/>
                <w:b/>
                <w:lang w:val="es-ES_tradnl"/>
              </w:rPr>
              <w:t>Componente II</w:t>
            </w:r>
          </w:p>
        </w:tc>
        <w:tc>
          <w:tcPr>
            <w:tcW w:w="10451" w:type="dxa"/>
            <w:gridSpan w:val="3"/>
          </w:tcPr>
          <w:p w14:paraId="5A39BBE3" w14:textId="77777777" w:rsidR="00460407" w:rsidRPr="00BF3DF5" w:rsidRDefault="00460407" w:rsidP="00CC1809">
            <w:pPr>
              <w:pStyle w:val="Default"/>
              <w:jc w:val="both"/>
              <w:rPr>
                <w:rFonts w:ascii="Arial" w:hAnsi="Arial" w:cs="Arial"/>
                <w:b/>
                <w:sz w:val="20"/>
                <w:lang w:val="es-ES"/>
              </w:rPr>
            </w:pPr>
          </w:p>
        </w:tc>
      </w:tr>
      <w:tr w:rsidR="00CC1809" w:rsidRPr="00754EB0" w14:paraId="053BD85F" w14:textId="77777777" w:rsidTr="00015359">
        <w:trPr>
          <w:trHeight w:val="54"/>
        </w:trPr>
        <w:tc>
          <w:tcPr>
            <w:tcW w:w="2504" w:type="dxa"/>
            <w:vMerge w:val="restart"/>
          </w:tcPr>
          <w:p w14:paraId="223084BF" w14:textId="77777777" w:rsidR="00CC1809" w:rsidRPr="00BF3DF5" w:rsidRDefault="00CC1809" w:rsidP="00CC1809">
            <w:pPr>
              <w:rPr>
                <w:rFonts w:ascii="Arial" w:hAnsi="Arial" w:cs="Arial"/>
                <w:b/>
                <w:lang w:val="es-ES_tradnl"/>
              </w:rPr>
            </w:pPr>
            <w:r w:rsidRPr="00BF3DF5">
              <w:rPr>
                <w:rFonts w:ascii="Arial" w:hAnsi="Arial" w:cs="Arial"/>
                <w:b/>
                <w:lang w:val="es-ES_tradnl"/>
              </w:rPr>
              <w:t>Contribuir a garantizar el abastecimiento de energía mediante la diversificación de la matriz energética con FNCER y el incremento de los intercambios energía a nivel internacional.</w:t>
            </w:r>
          </w:p>
        </w:tc>
        <w:tc>
          <w:tcPr>
            <w:tcW w:w="10451" w:type="dxa"/>
            <w:gridSpan w:val="3"/>
          </w:tcPr>
          <w:p w14:paraId="1DF9A2E7" w14:textId="77777777" w:rsidR="00CC1809" w:rsidRPr="00BF3DF5" w:rsidRDefault="00CC1809" w:rsidP="00CC1809">
            <w:pPr>
              <w:pStyle w:val="Default"/>
              <w:jc w:val="both"/>
              <w:rPr>
                <w:rFonts w:ascii="Arial" w:hAnsi="Arial" w:cs="Arial"/>
                <w:b/>
                <w:sz w:val="20"/>
                <w:lang w:val="es-ES"/>
              </w:rPr>
            </w:pPr>
            <w:r w:rsidRPr="00BF3DF5">
              <w:rPr>
                <w:rFonts w:ascii="Arial" w:hAnsi="Arial" w:cs="Arial"/>
                <w:b/>
                <w:sz w:val="20"/>
                <w:lang w:val="es-ES"/>
              </w:rPr>
              <w:t>Fuentes No Convencionales de Energía Renovable (FNCER)</w:t>
            </w:r>
          </w:p>
        </w:tc>
      </w:tr>
      <w:tr w:rsidR="00CC1809" w:rsidRPr="00754EB0" w14:paraId="4A780E10" w14:textId="77777777" w:rsidTr="00015359">
        <w:trPr>
          <w:trHeight w:val="32"/>
        </w:trPr>
        <w:tc>
          <w:tcPr>
            <w:tcW w:w="2504" w:type="dxa"/>
            <w:vMerge/>
          </w:tcPr>
          <w:p w14:paraId="41C8F396" w14:textId="77777777" w:rsidR="00CC1809" w:rsidRPr="00BF3DF5" w:rsidRDefault="00CC1809" w:rsidP="00CC1809">
            <w:pPr>
              <w:rPr>
                <w:rFonts w:ascii="Arial" w:hAnsi="Arial" w:cs="Arial"/>
                <w:b/>
                <w:lang w:val="es-ES_tradnl"/>
              </w:rPr>
            </w:pPr>
          </w:p>
        </w:tc>
        <w:tc>
          <w:tcPr>
            <w:tcW w:w="3393" w:type="dxa"/>
          </w:tcPr>
          <w:p w14:paraId="5DB2C172" w14:textId="77777777" w:rsidR="00CC1809" w:rsidRPr="00BF3DF5" w:rsidRDefault="00CC1809" w:rsidP="00CC1809">
            <w:pPr>
              <w:pStyle w:val="Default"/>
              <w:spacing w:before="60" w:after="60"/>
              <w:jc w:val="both"/>
              <w:rPr>
                <w:rFonts w:ascii="Arial" w:hAnsi="Arial" w:cs="Arial"/>
                <w:color w:val="auto"/>
                <w:sz w:val="20"/>
                <w:szCs w:val="20"/>
                <w:lang w:val="es-ES" w:eastAsia="en-US"/>
              </w:rPr>
            </w:pPr>
            <w:r w:rsidRPr="00BF3DF5">
              <w:rPr>
                <w:rFonts w:ascii="Arial" w:hAnsi="Arial" w:cs="Arial"/>
                <w:color w:val="auto"/>
                <w:sz w:val="20"/>
                <w:szCs w:val="20"/>
                <w:lang w:val="es-ES" w:eastAsia="en-US"/>
              </w:rPr>
              <w:t>Reglamentación adicional de la Ley 1715 de 2014, para:</w:t>
            </w:r>
          </w:p>
          <w:p w14:paraId="3ADDDA14" w14:textId="77777777" w:rsidR="00CC1809" w:rsidRPr="00BF3DF5" w:rsidRDefault="00CC1809" w:rsidP="00CC1809">
            <w:pPr>
              <w:pStyle w:val="ListParagraph"/>
              <w:numPr>
                <w:ilvl w:val="0"/>
                <w:numId w:val="40"/>
              </w:numPr>
              <w:ind w:left="252" w:hanging="270"/>
              <w:jc w:val="both"/>
              <w:rPr>
                <w:rFonts w:ascii="Arial" w:hAnsi="Arial" w:cs="Arial"/>
                <w:lang w:val="es-ES"/>
              </w:rPr>
            </w:pPr>
            <w:r w:rsidRPr="00BF3DF5">
              <w:rPr>
                <w:rFonts w:ascii="Arial" w:hAnsi="Arial" w:cs="Arial"/>
                <w:lang w:val="es-ES"/>
              </w:rPr>
              <w:t>Implementación y puesta en marcha de un sistema informático para realizar los trámites de incentivos contenidos en la Ley 1715 de 2014.</w:t>
            </w:r>
          </w:p>
          <w:p w14:paraId="72A3D3EC" w14:textId="77777777" w:rsidR="00CC1809" w:rsidRPr="00BF3DF5" w:rsidRDefault="00CC1809" w:rsidP="00CC1809">
            <w:pPr>
              <w:pStyle w:val="Default"/>
              <w:spacing w:before="60" w:after="60"/>
              <w:jc w:val="both"/>
              <w:rPr>
                <w:rFonts w:ascii="Arial" w:hAnsi="Arial" w:cs="Arial"/>
                <w:sz w:val="20"/>
                <w:szCs w:val="20"/>
                <w:lang w:val="es-ES"/>
              </w:rPr>
            </w:pPr>
          </w:p>
          <w:p w14:paraId="0D0B940D" w14:textId="5386D3D8" w:rsidR="00CC1809" w:rsidRDefault="00CC1809" w:rsidP="00CC1809">
            <w:pPr>
              <w:pStyle w:val="Default"/>
              <w:spacing w:before="60" w:after="60"/>
              <w:jc w:val="both"/>
              <w:rPr>
                <w:rFonts w:ascii="Arial" w:hAnsi="Arial" w:cs="Arial"/>
                <w:sz w:val="20"/>
                <w:szCs w:val="20"/>
                <w:lang w:val="es-ES"/>
              </w:rPr>
            </w:pPr>
          </w:p>
          <w:p w14:paraId="7679EEBD" w14:textId="3EC8D0BB" w:rsidR="00F74C5C" w:rsidRDefault="00F74C5C" w:rsidP="00CC1809">
            <w:pPr>
              <w:pStyle w:val="Default"/>
              <w:spacing w:before="60" w:after="60"/>
              <w:jc w:val="both"/>
              <w:rPr>
                <w:rFonts w:ascii="Arial" w:hAnsi="Arial" w:cs="Arial"/>
                <w:sz w:val="20"/>
                <w:szCs w:val="20"/>
                <w:lang w:val="es-ES"/>
              </w:rPr>
            </w:pPr>
          </w:p>
          <w:p w14:paraId="38FC6A61" w14:textId="4689D9EA" w:rsidR="00F74C5C" w:rsidRDefault="00F74C5C" w:rsidP="00CC1809">
            <w:pPr>
              <w:pStyle w:val="Default"/>
              <w:spacing w:before="60" w:after="60"/>
              <w:jc w:val="both"/>
              <w:rPr>
                <w:rFonts w:ascii="Arial" w:hAnsi="Arial" w:cs="Arial"/>
                <w:sz w:val="20"/>
                <w:szCs w:val="20"/>
                <w:lang w:val="es-ES"/>
              </w:rPr>
            </w:pPr>
          </w:p>
          <w:p w14:paraId="05E5B504" w14:textId="77777777" w:rsidR="00CC1809" w:rsidRPr="00BF3DF5" w:rsidRDefault="00CC1809" w:rsidP="00CC1809">
            <w:pPr>
              <w:pStyle w:val="Default"/>
              <w:spacing w:before="60" w:after="60"/>
              <w:jc w:val="both"/>
              <w:rPr>
                <w:rFonts w:ascii="Arial" w:hAnsi="Arial" w:cs="Arial"/>
                <w:color w:val="auto"/>
                <w:sz w:val="20"/>
                <w:szCs w:val="20"/>
                <w:lang w:val="es-ES" w:eastAsia="en-US"/>
              </w:rPr>
            </w:pPr>
            <w:bookmarkStart w:id="0" w:name="_GoBack"/>
            <w:bookmarkEnd w:id="0"/>
            <w:r w:rsidRPr="00BF3DF5">
              <w:rPr>
                <w:rFonts w:ascii="Arial" w:hAnsi="Arial" w:cs="Arial"/>
                <w:sz w:val="20"/>
                <w:szCs w:val="20"/>
                <w:lang w:val="es-ES"/>
              </w:rPr>
              <w:t>Reglamentación del Fondo de Energías No Convencionales y Gestión de la Energía (FENOGE).</w:t>
            </w:r>
          </w:p>
        </w:tc>
        <w:tc>
          <w:tcPr>
            <w:tcW w:w="3565" w:type="dxa"/>
          </w:tcPr>
          <w:p w14:paraId="56203795" w14:textId="77777777" w:rsidR="009E644C" w:rsidRPr="009E644C" w:rsidRDefault="009E644C" w:rsidP="009E644C">
            <w:pPr>
              <w:jc w:val="both"/>
              <w:rPr>
                <w:rFonts w:ascii="Arial" w:hAnsi="Arial" w:cs="Arial"/>
                <w:lang w:val="es-ES_tradnl"/>
              </w:rPr>
            </w:pPr>
            <w:r w:rsidRPr="009E644C">
              <w:rPr>
                <w:rFonts w:ascii="Arial" w:hAnsi="Arial" w:cs="Arial"/>
                <w:lang w:val="es-ES_tradnl"/>
              </w:rPr>
              <w:t>Que se haya reglamentado adicionalmente la Ley 1715 de 2014 de FNCER, para:</w:t>
            </w:r>
          </w:p>
          <w:p w14:paraId="23D1FE22" w14:textId="77777777" w:rsidR="009E644C" w:rsidRPr="002466F1" w:rsidRDefault="009E644C" w:rsidP="005B7C54">
            <w:pPr>
              <w:pStyle w:val="ListParagraph"/>
              <w:numPr>
                <w:ilvl w:val="0"/>
                <w:numId w:val="40"/>
              </w:numPr>
              <w:ind w:left="252" w:hanging="270"/>
              <w:jc w:val="both"/>
              <w:rPr>
                <w:rFonts w:ascii="Arial" w:hAnsi="Arial" w:cs="Arial"/>
                <w:lang w:val="es-ES_tradnl"/>
              </w:rPr>
            </w:pPr>
            <w:r>
              <w:rPr>
                <w:rFonts w:ascii="Arial" w:hAnsi="Arial" w:cs="Arial"/>
                <w:lang w:val="es-ES_tradnl"/>
              </w:rPr>
              <w:t>Definir l</w:t>
            </w:r>
            <w:r w:rsidRPr="002466F1">
              <w:rPr>
                <w:rFonts w:ascii="Arial" w:hAnsi="Arial" w:cs="Arial"/>
                <w:lang w:val="es-ES_tradnl"/>
              </w:rPr>
              <w:t xml:space="preserve">ineamientos de política y mecanismos para la contratación a largo plazo de </w:t>
            </w:r>
            <w:r>
              <w:rPr>
                <w:rFonts w:ascii="Arial" w:hAnsi="Arial" w:cs="Arial"/>
                <w:lang w:val="es-ES_tradnl"/>
              </w:rPr>
              <w:t xml:space="preserve">energías </w:t>
            </w:r>
            <w:r w:rsidRPr="002466F1">
              <w:rPr>
                <w:rFonts w:ascii="Arial" w:hAnsi="Arial" w:cs="Arial"/>
                <w:lang w:val="es-ES_tradnl"/>
              </w:rPr>
              <w:t>renovables no convencionales.</w:t>
            </w:r>
          </w:p>
          <w:p w14:paraId="4A0F2DC6" w14:textId="77777777" w:rsidR="009E644C" w:rsidRPr="00A250E5" w:rsidRDefault="009E644C" w:rsidP="009E644C">
            <w:pPr>
              <w:pStyle w:val="ListParagraph"/>
              <w:ind w:left="344"/>
              <w:jc w:val="both"/>
              <w:rPr>
                <w:rFonts w:ascii="Arial" w:hAnsi="Arial" w:cs="Arial"/>
                <w:lang w:val="es-ES_tradnl"/>
              </w:rPr>
            </w:pPr>
          </w:p>
          <w:p w14:paraId="435BF373" w14:textId="0CF17F92" w:rsidR="009E644C" w:rsidRPr="00A250E5" w:rsidRDefault="009E644C" w:rsidP="005B7C54">
            <w:pPr>
              <w:pStyle w:val="ListParagraph"/>
              <w:numPr>
                <w:ilvl w:val="0"/>
                <w:numId w:val="40"/>
              </w:numPr>
              <w:ind w:left="252" w:hanging="270"/>
              <w:jc w:val="both"/>
              <w:rPr>
                <w:rFonts w:ascii="Arial" w:hAnsi="Arial" w:cs="Arial"/>
                <w:lang w:val="es-ES_tradnl"/>
              </w:rPr>
            </w:pPr>
            <w:r w:rsidRPr="00A250E5">
              <w:rPr>
                <w:rFonts w:ascii="Arial" w:hAnsi="Arial" w:cs="Arial"/>
                <w:lang w:val="es-ES_tradnl"/>
              </w:rPr>
              <w:t>Convocar</w:t>
            </w:r>
            <w:r w:rsidR="00821C79">
              <w:rPr>
                <w:rFonts w:ascii="Arial" w:hAnsi="Arial" w:cs="Arial"/>
                <w:lang w:val="es-ES_tradnl"/>
              </w:rPr>
              <w:t xml:space="preserve"> la</w:t>
            </w:r>
            <w:r w:rsidRPr="00A250E5">
              <w:rPr>
                <w:rFonts w:ascii="Arial" w:hAnsi="Arial" w:cs="Arial"/>
                <w:lang w:val="es-ES_tradnl"/>
              </w:rPr>
              <w:t xml:space="preserve"> primera subasta de energías renovables no convencionales.</w:t>
            </w:r>
          </w:p>
          <w:p w14:paraId="016DD367" w14:textId="77777777" w:rsidR="00477FDE" w:rsidRDefault="00477FDE" w:rsidP="00477FDE">
            <w:pPr>
              <w:jc w:val="both"/>
              <w:rPr>
                <w:rFonts w:ascii="Arial" w:hAnsi="Arial" w:cs="Arial"/>
                <w:lang w:val="es-ES_tradnl"/>
              </w:rPr>
            </w:pPr>
          </w:p>
          <w:p w14:paraId="55E5774E" w14:textId="77777777" w:rsidR="00F74C5C" w:rsidRDefault="00F74C5C" w:rsidP="009E644C">
            <w:pPr>
              <w:pStyle w:val="ListParagraph"/>
              <w:ind w:left="344"/>
              <w:jc w:val="both"/>
              <w:rPr>
                <w:rFonts w:ascii="Arial" w:hAnsi="Arial" w:cs="Arial"/>
                <w:lang w:val="es-ES_tradnl"/>
              </w:rPr>
            </w:pPr>
          </w:p>
          <w:p w14:paraId="60061E4C" w14:textId="5F1ED6DB" w:rsidR="00CC1809" w:rsidRPr="00F74C5C" w:rsidRDefault="00F74C5C" w:rsidP="00F74C5C">
            <w:pPr>
              <w:jc w:val="both"/>
              <w:rPr>
                <w:rFonts w:ascii="Arial" w:hAnsi="Arial" w:cs="Arial"/>
                <w:lang w:val="es-ES_tradnl"/>
              </w:rPr>
            </w:pPr>
            <w:r w:rsidRPr="00F74C5C">
              <w:rPr>
                <w:rFonts w:ascii="Arial" w:hAnsi="Arial" w:cs="Arial"/>
                <w:lang w:val="es-ES_tradnl"/>
              </w:rPr>
              <w:t>Que se haya reglamentado el Fondo de Energías No Convencionales y Gestión de la Energía (FENOGE).</w:t>
            </w:r>
          </w:p>
        </w:tc>
        <w:tc>
          <w:tcPr>
            <w:tcW w:w="3493" w:type="dxa"/>
          </w:tcPr>
          <w:p w14:paraId="483BA7DB" w14:textId="2AA72D97" w:rsidR="00CC1809" w:rsidRPr="00BF3DF5" w:rsidRDefault="00E94580" w:rsidP="00CC1809">
            <w:pPr>
              <w:pStyle w:val="Default"/>
              <w:spacing w:before="60" w:after="60"/>
              <w:jc w:val="both"/>
              <w:rPr>
                <w:rFonts w:ascii="Arial" w:hAnsi="Arial" w:cs="Arial"/>
                <w:color w:val="auto"/>
                <w:sz w:val="20"/>
                <w:szCs w:val="20"/>
                <w:lang w:val="es-ES" w:eastAsia="en-US"/>
              </w:rPr>
            </w:pPr>
            <w:r>
              <w:rPr>
                <w:rFonts w:ascii="Arial" w:hAnsi="Arial" w:cs="Arial"/>
                <w:color w:val="auto"/>
                <w:sz w:val="20"/>
                <w:szCs w:val="20"/>
                <w:lang w:val="es-ES" w:eastAsia="en-US"/>
              </w:rPr>
              <w:t>Se</w:t>
            </w:r>
            <w:r w:rsidR="00AA1729" w:rsidRPr="00BF3DF5">
              <w:rPr>
                <w:rFonts w:ascii="Arial" w:hAnsi="Arial" w:cs="Arial"/>
                <w:color w:val="auto"/>
                <w:sz w:val="20"/>
                <w:szCs w:val="20"/>
                <w:lang w:val="es-ES" w:eastAsia="en-US"/>
              </w:rPr>
              <w:t xml:space="preserve"> focaliza el compromiso en acciones de política e infraestructura física, con los cual se fortalecen los instrumentos para garantizar la diversificación de la matriz energética con FNCER.</w:t>
            </w:r>
          </w:p>
          <w:p w14:paraId="44EAFD9C" w14:textId="77777777" w:rsidR="00AA1729" w:rsidRPr="00BF3DF5" w:rsidRDefault="00AA1729" w:rsidP="00CC1809">
            <w:pPr>
              <w:pStyle w:val="Default"/>
              <w:spacing w:before="60" w:after="60"/>
              <w:jc w:val="both"/>
              <w:rPr>
                <w:rFonts w:ascii="Arial" w:hAnsi="Arial" w:cs="Arial"/>
                <w:color w:val="auto"/>
                <w:sz w:val="20"/>
                <w:szCs w:val="20"/>
                <w:lang w:val="es-ES" w:eastAsia="en-US"/>
              </w:rPr>
            </w:pPr>
          </w:p>
          <w:p w14:paraId="4B94D5A5" w14:textId="77777777" w:rsidR="00AA1729" w:rsidRPr="00BF3DF5" w:rsidRDefault="00AA1729" w:rsidP="00CC1809">
            <w:pPr>
              <w:pStyle w:val="Default"/>
              <w:spacing w:before="60" w:after="60"/>
              <w:jc w:val="both"/>
              <w:rPr>
                <w:rFonts w:ascii="Arial" w:hAnsi="Arial" w:cs="Arial"/>
                <w:color w:val="auto"/>
                <w:sz w:val="20"/>
                <w:szCs w:val="20"/>
                <w:lang w:val="es-ES" w:eastAsia="en-US"/>
              </w:rPr>
            </w:pPr>
          </w:p>
          <w:p w14:paraId="3DEEC669" w14:textId="77777777" w:rsidR="00AA1729" w:rsidRPr="00BF3DF5" w:rsidRDefault="00AA1729" w:rsidP="00CC1809">
            <w:pPr>
              <w:pStyle w:val="Default"/>
              <w:spacing w:before="60" w:after="60"/>
              <w:jc w:val="both"/>
              <w:rPr>
                <w:rFonts w:ascii="Arial" w:hAnsi="Arial" w:cs="Arial"/>
                <w:color w:val="auto"/>
                <w:sz w:val="20"/>
                <w:szCs w:val="20"/>
                <w:lang w:val="es-ES" w:eastAsia="en-US"/>
              </w:rPr>
            </w:pPr>
          </w:p>
          <w:p w14:paraId="3656B9AB" w14:textId="77777777" w:rsidR="00AA1729" w:rsidRPr="00BF3DF5" w:rsidRDefault="00AA1729" w:rsidP="00CC1809">
            <w:pPr>
              <w:pStyle w:val="Default"/>
              <w:spacing w:before="60" w:after="60"/>
              <w:jc w:val="both"/>
              <w:rPr>
                <w:rFonts w:ascii="Arial" w:hAnsi="Arial" w:cs="Arial"/>
                <w:color w:val="auto"/>
                <w:sz w:val="20"/>
                <w:szCs w:val="20"/>
                <w:lang w:val="es-ES" w:eastAsia="en-US"/>
              </w:rPr>
            </w:pPr>
          </w:p>
        </w:tc>
      </w:tr>
      <w:tr w:rsidR="00232AA5" w:rsidRPr="00754EB0" w14:paraId="24FEB038" w14:textId="77777777" w:rsidTr="00015359">
        <w:trPr>
          <w:trHeight w:val="3000"/>
        </w:trPr>
        <w:tc>
          <w:tcPr>
            <w:tcW w:w="2504" w:type="dxa"/>
            <w:vMerge/>
          </w:tcPr>
          <w:p w14:paraId="45FB0818" w14:textId="77777777" w:rsidR="00232AA5" w:rsidRPr="00BF3DF5" w:rsidRDefault="00232AA5" w:rsidP="00CC1809">
            <w:pPr>
              <w:rPr>
                <w:rFonts w:ascii="Arial" w:hAnsi="Arial" w:cs="Arial"/>
                <w:b/>
                <w:lang w:val="es-ES_tradnl"/>
              </w:rPr>
            </w:pPr>
          </w:p>
        </w:tc>
        <w:tc>
          <w:tcPr>
            <w:tcW w:w="3393" w:type="dxa"/>
          </w:tcPr>
          <w:p w14:paraId="24624378" w14:textId="77777777" w:rsidR="00232AA5" w:rsidRDefault="00232AA5" w:rsidP="00232AA5">
            <w:pPr>
              <w:pStyle w:val="Default"/>
              <w:jc w:val="both"/>
              <w:rPr>
                <w:rFonts w:ascii="Arial" w:hAnsi="Arial" w:cs="Arial"/>
                <w:sz w:val="20"/>
                <w:szCs w:val="20"/>
                <w:lang w:val="es-ES"/>
              </w:rPr>
            </w:pPr>
            <w:r w:rsidRPr="00BF3DF5">
              <w:rPr>
                <w:rFonts w:ascii="Arial" w:hAnsi="Arial" w:cs="Arial"/>
                <w:sz w:val="20"/>
                <w:szCs w:val="20"/>
                <w:lang w:val="es-ES"/>
              </w:rPr>
              <w:t>Que el FENOGE se encuentre en funcionamiento y con los recursos financieros asignados.</w:t>
            </w:r>
          </w:p>
          <w:p w14:paraId="1E1FE2F4" w14:textId="77777777" w:rsidR="00232AA5" w:rsidRDefault="00232AA5" w:rsidP="00232AA5">
            <w:pPr>
              <w:pStyle w:val="Default"/>
              <w:jc w:val="both"/>
              <w:rPr>
                <w:rFonts w:ascii="Arial" w:hAnsi="Arial" w:cs="Arial"/>
                <w:color w:val="auto"/>
                <w:sz w:val="20"/>
                <w:szCs w:val="20"/>
                <w:lang w:val="es-ES" w:eastAsia="en-US"/>
              </w:rPr>
            </w:pPr>
          </w:p>
          <w:p w14:paraId="3D5A7CF3" w14:textId="7514DFBE" w:rsidR="00232AA5" w:rsidRPr="00BF3DF5" w:rsidRDefault="00232AA5" w:rsidP="00232AA5">
            <w:pPr>
              <w:pStyle w:val="ListParagraph"/>
              <w:numPr>
                <w:ilvl w:val="0"/>
                <w:numId w:val="40"/>
              </w:numPr>
              <w:ind w:left="252" w:hanging="270"/>
              <w:contextualSpacing w:val="0"/>
              <w:jc w:val="both"/>
              <w:rPr>
                <w:rFonts w:ascii="Arial" w:hAnsi="Arial" w:cs="Arial"/>
                <w:lang w:val="es-ES"/>
              </w:rPr>
            </w:pPr>
            <w:r w:rsidRPr="00232AA5">
              <w:rPr>
                <w:rFonts w:ascii="Arial" w:hAnsi="Arial" w:cs="Arial"/>
                <w:lang w:val="es-ES"/>
              </w:rPr>
              <w:t>Reglamentación y vigencia de un programa de incentivos tributarios para FNCER</w:t>
            </w:r>
            <w:r>
              <w:rPr>
                <w:rFonts w:ascii="Arial" w:hAnsi="Arial" w:cs="Arial"/>
                <w:lang w:val="es-ES"/>
              </w:rPr>
              <w:t>.</w:t>
            </w:r>
          </w:p>
        </w:tc>
        <w:tc>
          <w:tcPr>
            <w:tcW w:w="3565" w:type="dxa"/>
          </w:tcPr>
          <w:p w14:paraId="7558FF35" w14:textId="77777777" w:rsidR="00232AA5" w:rsidRDefault="00232AA5" w:rsidP="00232AA5">
            <w:pPr>
              <w:pStyle w:val="Default"/>
              <w:jc w:val="both"/>
              <w:rPr>
                <w:rFonts w:ascii="Arial" w:hAnsi="Arial" w:cs="Arial"/>
                <w:sz w:val="20"/>
                <w:szCs w:val="20"/>
                <w:lang w:val="es-ES"/>
              </w:rPr>
            </w:pPr>
            <w:r w:rsidRPr="00232AA5">
              <w:rPr>
                <w:rFonts w:ascii="Arial" w:hAnsi="Arial" w:cs="Arial"/>
                <w:sz w:val="20"/>
                <w:szCs w:val="20"/>
                <w:lang w:val="es-ES"/>
              </w:rPr>
              <w:t>Que el FENOGE se encuentre en funcionamiento y con los recursos financieros asignados.</w:t>
            </w:r>
          </w:p>
          <w:p w14:paraId="2607B9CD" w14:textId="77777777" w:rsidR="00232AA5" w:rsidRDefault="00232AA5" w:rsidP="00232AA5">
            <w:pPr>
              <w:pStyle w:val="Default"/>
              <w:jc w:val="both"/>
              <w:rPr>
                <w:rFonts w:ascii="Arial" w:hAnsi="Arial" w:cs="Arial"/>
                <w:sz w:val="20"/>
                <w:szCs w:val="20"/>
                <w:lang w:val="es-ES"/>
              </w:rPr>
            </w:pPr>
          </w:p>
          <w:p w14:paraId="2D544D91" w14:textId="6FF063CC" w:rsidR="00232AA5" w:rsidRPr="00232AA5" w:rsidRDefault="00232AA5" w:rsidP="00232AA5">
            <w:pPr>
              <w:pStyle w:val="ListParagraph"/>
              <w:numPr>
                <w:ilvl w:val="0"/>
                <w:numId w:val="40"/>
              </w:numPr>
              <w:ind w:left="252" w:hanging="270"/>
              <w:contextualSpacing w:val="0"/>
              <w:jc w:val="both"/>
              <w:rPr>
                <w:rFonts w:ascii="Arial" w:hAnsi="Arial" w:cs="Arial"/>
                <w:lang w:val="es-ES"/>
              </w:rPr>
            </w:pPr>
            <w:r w:rsidRPr="00232AA5">
              <w:rPr>
                <w:rFonts w:ascii="Arial" w:hAnsi="Arial" w:cs="Arial"/>
                <w:lang w:val="es-ES"/>
              </w:rPr>
              <w:t>Que se haya puesto en marcha un sistema de información que presente los proyectos beneficiados con el programa de incentivos tributarios para FNCER.</w:t>
            </w:r>
          </w:p>
        </w:tc>
        <w:tc>
          <w:tcPr>
            <w:tcW w:w="3493" w:type="dxa"/>
          </w:tcPr>
          <w:p w14:paraId="1B70B926" w14:textId="77777777" w:rsidR="00232AA5" w:rsidRDefault="00232AA5" w:rsidP="00232AA5">
            <w:pPr>
              <w:pStyle w:val="Default"/>
              <w:jc w:val="both"/>
              <w:rPr>
                <w:rFonts w:ascii="Arial" w:hAnsi="Arial" w:cs="Arial"/>
                <w:color w:val="auto"/>
                <w:sz w:val="20"/>
                <w:szCs w:val="20"/>
                <w:lang w:val="es-ES" w:eastAsia="en-US"/>
              </w:rPr>
            </w:pPr>
            <w:r w:rsidRPr="00232AA5">
              <w:rPr>
                <w:rFonts w:ascii="Arial" w:hAnsi="Arial" w:cs="Arial"/>
                <w:color w:val="auto"/>
                <w:sz w:val="20"/>
                <w:szCs w:val="20"/>
                <w:lang w:val="es-ES" w:eastAsia="en-US"/>
              </w:rPr>
              <w:t>La acción de política se mantiene inalterada.</w:t>
            </w:r>
          </w:p>
          <w:p w14:paraId="769B50AC" w14:textId="77777777" w:rsidR="00232AA5" w:rsidRDefault="00232AA5" w:rsidP="00232AA5">
            <w:pPr>
              <w:pStyle w:val="Default"/>
              <w:jc w:val="both"/>
              <w:rPr>
                <w:rFonts w:ascii="Arial" w:hAnsi="Arial" w:cs="Arial"/>
                <w:color w:val="auto"/>
                <w:sz w:val="20"/>
                <w:szCs w:val="20"/>
                <w:lang w:val="es-ES" w:eastAsia="en-US"/>
              </w:rPr>
            </w:pPr>
          </w:p>
          <w:p w14:paraId="2FE89A9F" w14:textId="77777777" w:rsidR="00232AA5" w:rsidRDefault="00232AA5" w:rsidP="00232AA5">
            <w:pPr>
              <w:pStyle w:val="Default"/>
              <w:jc w:val="both"/>
              <w:rPr>
                <w:rFonts w:ascii="Arial" w:hAnsi="Arial" w:cs="Arial"/>
                <w:color w:val="auto"/>
                <w:sz w:val="20"/>
                <w:szCs w:val="20"/>
                <w:lang w:val="es-ES" w:eastAsia="en-US"/>
              </w:rPr>
            </w:pPr>
          </w:p>
          <w:p w14:paraId="65168D89" w14:textId="0980993C" w:rsidR="00232AA5" w:rsidRPr="00232AA5" w:rsidRDefault="00232AA5" w:rsidP="00232AA5">
            <w:pPr>
              <w:pStyle w:val="ListParagraph"/>
              <w:numPr>
                <w:ilvl w:val="0"/>
                <w:numId w:val="40"/>
              </w:numPr>
              <w:ind w:left="252" w:hanging="270"/>
              <w:contextualSpacing w:val="0"/>
              <w:jc w:val="both"/>
              <w:rPr>
                <w:rFonts w:ascii="Arial" w:hAnsi="Arial" w:cs="Arial"/>
                <w:lang w:val="es-ES"/>
              </w:rPr>
            </w:pPr>
            <w:r w:rsidRPr="00BF3DF5">
              <w:rPr>
                <w:rFonts w:ascii="Arial" w:hAnsi="Arial" w:cs="Arial"/>
                <w:lang w:val="es-ES"/>
              </w:rPr>
              <w:t>La reglamentación y vigencia del programa de incentivos tributarios para FNCER se cumplió a finales de 2017, por lo tanto, se ajustó la condición para exigir un reporte sistematizado de los proyectos beneficiados con los incentivos tributarios.</w:t>
            </w:r>
          </w:p>
        </w:tc>
      </w:tr>
      <w:tr w:rsidR="00CC1809" w:rsidRPr="00754EB0" w14:paraId="1E7EA7BD" w14:textId="77777777" w:rsidTr="00015359">
        <w:trPr>
          <w:trHeight w:val="32"/>
        </w:trPr>
        <w:tc>
          <w:tcPr>
            <w:tcW w:w="2504" w:type="dxa"/>
            <w:vMerge/>
          </w:tcPr>
          <w:p w14:paraId="53128261" w14:textId="77777777" w:rsidR="00CC1809" w:rsidRPr="00BF3DF5" w:rsidRDefault="00CC1809" w:rsidP="00CC1809">
            <w:pPr>
              <w:rPr>
                <w:rFonts w:ascii="Arial" w:hAnsi="Arial" w:cs="Arial"/>
                <w:b/>
                <w:lang w:val="es-ES_tradnl"/>
              </w:rPr>
            </w:pPr>
          </w:p>
        </w:tc>
        <w:tc>
          <w:tcPr>
            <w:tcW w:w="3393" w:type="dxa"/>
          </w:tcPr>
          <w:p w14:paraId="0A5C02DB" w14:textId="77777777" w:rsidR="00CC1809" w:rsidRPr="00BF3DF5" w:rsidRDefault="00CC1809" w:rsidP="00CC1809">
            <w:pPr>
              <w:jc w:val="both"/>
              <w:rPr>
                <w:rFonts w:ascii="Arial" w:hAnsi="Arial" w:cs="Arial"/>
                <w:lang w:val="es-ES"/>
              </w:rPr>
            </w:pPr>
            <w:r w:rsidRPr="00BF3DF5">
              <w:rPr>
                <w:rFonts w:ascii="Arial" w:hAnsi="Arial" w:cs="Arial"/>
                <w:lang w:val="es-ES"/>
              </w:rPr>
              <w:t xml:space="preserve">Regulación que establezca las condiciones necesarias para la conexión de las </w:t>
            </w:r>
            <w:r w:rsidRPr="00644528">
              <w:rPr>
                <w:rFonts w:ascii="Arial" w:hAnsi="Arial" w:cs="Arial"/>
                <w:lang w:val="es-ES"/>
              </w:rPr>
              <w:t>FNCER</w:t>
            </w:r>
            <w:r w:rsidRPr="00BF3DF5">
              <w:rPr>
                <w:rFonts w:ascii="Arial" w:hAnsi="Arial" w:cs="Arial"/>
                <w:lang w:val="es-ES"/>
              </w:rPr>
              <w:t xml:space="preserve"> al SIN mediante:</w:t>
            </w:r>
          </w:p>
          <w:p w14:paraId="5C86D757" w14:textId="0B9D0355" w:rsidR="00CC1809" w:rsidRDefault="00CC1809" w:rsidP="00CC1809">
            <w:pPr>
              <w:pStyle w:val="ListParagraph"/>
              <w:numPr>
                <w:ilvl w:val="0"/>
                <w:numId w:val="40"/>
              </w:numPr>
              <w:ind w:left="252" w:hanging="270"/>
              <w:jc w:val="both"/>
              <w:rPr>
                <w:rFonts w:ascii="Arial" w:hAnsi="Arial" w:cs="Arial"/>
                <w:lang w:val="es-ES"/>
              </w:rPr>
            </w:pPr>
            <w:r w:rsidRPr="00BF3DF5">
              <w:rPr>
                <w:rFonts w:ascii="Arial" w:hAnsi="Arial" w:cs="Arial"/>
                <w:lang w:val="es-ES"/>
              </w:rPr>
              <w:t xml:space="preserve">Establecimiento de los requerimientos técnicos de las instalaciones que usen FNCER para la generación eléctrica (solar, eólica, geotérmica) y los procedimientos para la conexión y operación de los </w:t>
            </w:r>
            <w:proofErr w:type="spellStart"/>
            <w:r w:rsidRPr="00BF3DF5">
              <w:rPr>
                <w:rFonts w:ascii="Arial" w:hAnsi="Arial" w:cs="Arial"/>
                <w:lang w:val="es-ES"/>
              </w:rPr>
              <w:t>autogeneradores</w:t>
            </w:r>
            <w:proofErr w:type="spellEnd"/>
            <w:r w:rsidRPr="00BF3DF5">
              <w:rPr>
                <w:rFonts w:ascii="Arial" w:hAnsi="Arial" w:cs="Arial"/>
                <w:lang w:val="es-ES"/>
              </w:rPr>
              <w:t>.</w:t>
            </w:r>
          </w:p>
          <w:p w14:paraId="21959358" w14:textId="77777777" w:rsidR="000F7BBB" w:rsidRPr="00BF3DF5" w:rsidRDefault="000F7BBB" w:rsidP="006D2B68">
            <w:pPr>
              <w:pStyle w:val="ListParagraph"/>
              <w:ind w:left="252"/>
              <w:jc w:val="both"/>
              <w:rPr>
                <w:rFonts w:ascii="Arial" w:hAnsi="Arial" w:cs="Arial"/>
                <w:lang w:val="es-ES"/>
              </w:rPr>
            </w:pPr>
          </w:p>
          <w:p w14:paraId="292C80F0" w14:textId="77777777" w:rsidR="00CC1809" w:rsidRPr="00BF3DF5" w:rsidRDefault="00CC1809" w:rsidP="00CC1809">
            <w:pPr>
              <w:pStyle w:val="ListParagraph"/>
              <w:numPr>
                <w:ilvl w:val="0"/>
                <w:numId w:val="40"/>
              </w:numPr>
              <w:ind w:left="252" w:hanging="270"/>
              <w:jc w:val="both"/>
              <w:rPr>
                <w:rFonts w:ascii="Arial" w:hAnsi="Arial" w:cs="Arial"/>
                <w:lang w:val="es-ES"/>
              </w:rPr>
            </w:pPr>
            <w:r w:rsidRPr="00BF3DF5">
              <w:rPr>
                <w:rFonts w:ascii="Arial" w:hAnsi="Arial" w:cs="Arial"/>
                <w:lang w:val="es-ES"/>
              </w:rPr>
              <w:t xml:space="preserve">Establecimiento de los procedimientos para la        comercialización de la energía proveniente de los </w:t>
            </w:r>
            <w:proofErr w:type="spellStart"/>
            <w:r w:rsidRPr="00BF3DF5">
              <w:rPr>
                <w:rFonts w:ascii="Arial" w:hAnsi="Arial" w:cs="Arial"/>
                <w:lang w:val="es-ES"/>
              </w:rPr>
              <w:t>autogeneradores</w:t>
            </w:r>
            <w:proofErr w:type="spellEnd"/>
            <w:r w:rsidRPr="00BF3DF5">
              <w:rPr>
                <w:rFonts w:ascii="Arial" w:hAnsi="Arial" w:cs="Arial"/>
                <w:lang w:val="es-ES"/>
              </w:rPr>
              <w:t>.</w:t>
            </w:r>
          </w:p>
        </w:tc>
        <w:tc>
          <w:tcPr>
            <w:tcW w:w="3565" w:type="dxa"/>
          </w:tcPr>
          <w:p w14:paraId="56D4C2CE" w14:textId="77777777" w:rsidR="00A426BB" w:rsidRPr="005539D2" w:rsidRDefault="00A426BB" w:rsidP="005539D2">
            <w:pPr>
              <w:ind w:left="-18"/>
              <w:jc w:val="both"/>
              <w:rPr>
                <w:rFonts w:ascii="Arial" w:hAnsi="Arial" w:cs="Arial"/>
                <w:lang w:val="es-ES"/>
              </w:rPr>
            </w:pPr>
            <w:r w:rsidRPr="005539D2">
              <w:rPr>
                <w:rFonts w:ascii="Arial" w:hAnsi="Arial" w:cs="Arial"/>
                <w:lang w:val="es-ES"/>
              </w:rPr>
              <w:t>Que se haya expedido la regulación necesaria para establecer las condiciones de conexión de las FNCER al SIN y ZNI, que incluya:</w:t>
            </w:r>
          </w:p>
          <w:p w14:paraId="34EA1E4F" w14:textId="591DB037" w:rsidR="00795D97" w:rsidRPr="00795D97" w:rsidRDefault="00795D97" w:rsidP="00795D97">
            <w:pPr>
              <w:pStyle w:val="ListParagraph"/>
              <w:numPr>
                <w:ilvl w:val="0"/>
                <w:numId w:val="40"/>
              </w:numPr>
              <w:ind w:left="360"/>
              <w:jc w:val="both"/>
              <w:rPr>
                <w:rFonts w:ascii="Arial" w:hAnsi="Arial" w:cs="Arial"/>
                <w:lang w:val="es-ES"/>
              </w:rPr>
            </w:pPr>
            <w:r w:rsidRPr="00795D97">
              <w:rPr>
                <w:rFonts w:ascii="Arial" w:hAnsi="Arial" w:cs="Arial"/>
                <w:lang w:val="es-ES"/>
              </w:rPr>
              <w:t>Establecimiento de los requerimientos técnicos de las instalaciones que usen FNCER para la generación eléctrica (solar, eólica</w:t>
            </w:r>
            <w:r w:rsidR="00232AA5">
              <w:rPr>
                <w:rFonts w:ascii="Arial" w:hAnsi="Arial" w:cs="Arial"/>
                <w:lang w:val="es-ES"/>
              </w:rPr>
              <w:t xml:space="preserve"> y</w:t>
            </w:r>
            <w:r w:rsidRPr="00795D97">
              <w:rPr>
                <w:rFonts w:ascii="Arial" w:hAnsi="Arial" w:cs="Arial"/>
                <w:lang w:val="es-ES"/>
              </w:rPr>
              <w:t xml:space="preserve"> geotérmica) y los procedimientos para la conexión y operación de los </w:t>
            </w:r>
            <w:proofErr w:type="spellStart"/>
            <w:r w:rsidRPr="00795D97">
              <w:rPr>
                <w:rFonts w:ascii="Arial" w:hAnsi="Arial" w:cs="Arial"/>
                <w:lang w:val="es-ES"/>
              </w:rPr>
              <w:t>autogeneradores</w:t>
            </w:r>
            <w:proofErr w:type="spellEnd"/>
            <w:r w:rsidRPr="00795D97">
              <w:rPr>
                <w:rFonts w:ascii="Arial" w:hAnsi="Arial" w:cs="Arial"/>
                <w:lang w:val="es-ES"/>
              </w:rPr>
              <w:t xml:space="preserve">. </w:t>
            </w:r>
          </w:p>
          <w:p w14:paraId="14998DB3" w14:textId="77777777" w:rsidR="00795D97" w:rsidRPr="00795D97" w:rsidRDefault="00795D97" w:rsidP="00795D97">
            <w:pPr>
              <w:pStyle w:val="ListParagraph"/>
              <w:ind w:left="360"/>
              <w:jc w:val="both"/>
              <w:rPr>
                <w:rFonts w:ascii="Arial" w:hAnsi="Arial" w:cs="Arial"/>
                <w:lang w:val="es-ES"/>
              </w:rPr>
            </w:pPr>
          </w:p>
          <w:p w14:paraId="26DCD844" w14:textId="1B327683" w:rsidR="00795D97" w:rsidRPr="00444568" w:rsidRDefault="00795D97" w:rsidP="00444568">
            <w:pPr>
              <w:pStyle w:val="ListParagraph"/>
              <w:numPr>
                <w:ilvl w:val="0"/>
                <w:numId w:val="40"/>
              </w:numPr>
              <w:ind w:left="360"/>
              <w:jc w:val="both"/>
              <w:rPr>
                <w:rFonts w:ascii="Arial" w:hAnsi="Arial" w:cs="Arial"/>
                <w:lang w:val="es-ES"/>
              </w:rPr>
            </w:pPr>
            <w:r w:rsidRPr="00795D97">
              <w:rPr>
                <w:rFonts w:ascii="Arial" w:hAnsi="Arial" w:cs="Arial"/>
                <w:lang w:val="es-ES"/>
              </w:rPr>
              <w:t xml:space="preserve">Establecimiento de los procedimientos para la        comercialización de la energía proveniente de los </w:t>
            </w:r>
            <w:proofErr w:type="spellStart"/>
            <w:r w:rsidRPr="00795D97">
              <w:rPr>
                <w:rFonts w:ascii="Arial" w:hAnsi="Arial" w:cs="Arial"/>
                <w:lang w:val="es-ES"/>
              </w:rPr>
              <w:t>autogeneradores</w:t>
            </w:r>
            <w:proofErr w:type="spellEnd"/>
            <w:r w:rsidRPr="00795D97">
              <w:rPr>
                <w:rFonts w:ascii="Arial" w:hAnsi="Arial" w:cs="Arial"/>
                <w:lang w:val="es-ES"/>
              </w:rPr>
              <w:t xml:space="preserve"> a pequeña escala.</w:t>
            </w:r>
          </w:p>
          <w:p w14:paraId="6D1F7F7D" w14:textId="6C58D47E" w:rsidR="00795D97" w:rsidRPr="00BF3DF5" w:rsidRDefault="00795D97" w:rsidP="00795D97">
            <w:pPr>
              <w:pStyle w:val="ListParagraph"/>
              <w:ind w:left="360"/>
              <w:jc w:val="both"/>
              <w:rPr>
                <w:rFonts w:ascii="Arial" w:hAnsi="Arial" w:cs="Arial"/>
                <w:lang w:val="es-ES"/>
              </w:rPr>
            </w:pPr>
          </w:p>
        </w:tc>
        <w:tc>
          <w:tcPr>
            <w:tcW w:w="3493" w:type="dxa"/>
          </w:tcPr>
          <w:p w14:paraId="753EA558" w14:textId="77777777" w:rsidR="00CC1809" w:rsidRPr="00BF3DF5" w:rsidRDefault="00C019B8" w:rsidP="00CC1809">
            <w:pPr>
              <w:pStyle w:val="ListParagraph"/>
              <w:numPr>
                <w:ilvl w:val="0"/>
                <w:numId w:val="40"/>
              </w:numPr>
              <w:ind w:left="252" w:hanging="270"/>
              <w:jc w:val="both"/>
              <w:rPr>
                <w:rFonts w:ascii="Arial" w:hAnsi="Arial" w:cs="Arial"/>
                <w:lang w:val="es-ES"/>
              </w:rPr>
            </w:pPr>
            <w:r w:rsidRPr="00BF3DF5">
              <w:rPr>
                <w:rFonts w:ascii="Arial" w:hAnsi="Arial" w:cs="Arial"/>
                <w:lang w:val="es-ES"/>
              </w:rPr>
              <w:t xml:space="preserve">El compromiso de política se mantiene y además se fortalece al incluir la regulación para los </w:t>
            </w:r>
            <w:proofErr w:type="spellStart"/>
            <w:r w:rsidRPr="00BF3DF5">
              <w:rPr>
                <w:rFonts w:ascii="Arial" w:hAnsi="Arial" w:cs="Arial"/>
                <w:lang w:val="es-ES"/>
              </w:rPr>
              <w:t>autogeneradores</w:t>
            </w:r>
            <w:proofErr w:type="spellEnd"/>
            <w:r w:rsidRPr="00BF3DF5">
              <w:rPr>
                <w:rFonts w:ascii="Arial" w:hAnsi="Arial" w:cs="Arial"/>
                <w:lang w:val="es-ES"/>
              </w:rPr>
              <w:t xml:space="preserve"> a pequeña escala en las ZNI.</w:t>
            </w:r>
          </w:p>
        </w:tc>
      </w:tr>
      <w:tr w:rsidR="00CC1809" w:rsidRPr="00BF3DF5" w14:paraId="430B0F85" w14:textId="77777777" w:rsidTr="00015359">
        <w:trPr>
          <w:trHeight w:val="32"/>
        </w:trPr>
        <w:tc>
          <w:tcPr>
            <w:tcW w:w="2504" w:type="dxa"/>
            <w:vMerge/>
          </w:tcPr>
          <w:p w14:paraId="62486C05" w14:textId="77777777" w:rsidR="00CC1809" w:rsidRPr="00BF3DF5" w:rsidRDefault="00CC1809" w:rsidP="00CC1809">
            <w:pPr>
              <w:rPr>
                <w:rFonts w:ascii="Arial" w:hAnsi="Arial" w:cs="Arial"/>
                <w:b/>
                <w:lang w:val="es-ES"/>
              </w:rPr>
            </w:pPr>
          </w:p>
        </w:tc>
        <w:tc>
          <w:tcPr>
            <w:tcW w:w="6958" w:type="dxa"/>
            <w:gridSpan w:val="2"/>
          </w:tcPr>
          <w:p w14:paraId="4B468023" w14:textId="77777777" w:rsidR="00CC1809" w:rsidRPr="00BF3DF5" w:rsidRDefault="00CC1809" w:rsidP="00CC1809">
            <w:pPr>
              <w:jc w:val="both"/>
              <w:rPr>
                <w:rFonts w:ascii="Arial" w:hAnsi="Arial" w:cs="Arial"/>
                <w:b/>
                <w:lang w:val="es-ES"/>
              </w:rPr>
            </w:pPr>
            <w:r w:rsidRPr="00BF3DF5">
              <w:rPr>
                <w:rFonts w:ascii="Arial" w:hAnsi="Arial" w:cs="Arial"/>
                <w:b/>
                <w:lang w:val="es-ES"/>
              </w:rPr>
              <w:t>Integración</w:t>
            </w:r>
            <w:r w:rsidRPr="00BF3DF5">
              <w:rPr>
                <w:rFonts w:ascii="Arial" w:hAnsi="Arial" w:cs="Arial"/>
                <w:b/>
                <w:lang w:val="es-ES_tradnl"/>
              </w:rPr>
              <w:t xml:space="preserve"> Energética Regional</w:t>
            </w:r>
          </w:p>
        </w:tc>
        <w:tc>
          <w:tcPr>
            <w:tcW w:w="3493" w:type="dxa"/>
          </w:tcPr>
          <w:p w14:paraId="4101652C" w14:textId="77777777" w:rsidR="00CC1809" w:rsidRPr="00BF3DF5" w:rsidRDefault="00CC1809" w:rsidP="00CC1809">
            <w:pPr>
              <w:jc w:val="both"/>
              <w:rPr>
                <w:rFonts w:ascii="Arial" w:hAnsi="Arial" w:cs="Arial"/>
                <w:b/>
                <w:lang w:val="es-ES"/>
              </w:rPr>
            </w:pPr>
          </w:p>
        </w:tc>
      </w:tr>
      <w:tr w:rsidR="00A11E36" w:rsidRPr="00754EB0" w14:paraId="7F8982FC" w14:textId="77777777" w:rsidTr="00015359">
        <w:trPr>
          <w:trHeight w:val="32"/>
        </w:trPr>
        <w:tc>
          <w:tcPr>
            <w:tcW w:w="2504" w:type="dxa"/>
            <w:vMerge/>
          </w:tcPr>
          <w:p w14:paraId="4B99056E" w14:textId="77777777" w:rsidR="00A11E36" w:rsidRPr="00BF3DF5" w:rsidRDefault="00A11E36" w:rsidP="00A11E36">
            <w:pPr>
              <w:rPr>
                <w:rFonts w:ascii="Arial" w:hAnsi="Arial" w:cs="Arial"/>
                <w:b/>
                <w:lang w:val="es-ES"/>
              </w:rPr>
            </w:pPr>
          </w:p>
        </w:tc>
        <w:tc>
          <w:tcPr>
            <w:tcW w:w="3393" w:type="dxa"/>
          </w:tcPr>
          <w:p w14:paraId="3B67AB75" w14:textId="02426B0B" w:rsidR="00A11E36" w:rsidRPr="00BF3DF5" w:rsidRDefault="00A11E36" w:rsidP="00A11E36">
            <w:pPr>
              <w:jc w:val="both"/>
              <w:rPr>
                <w:rFonts w:ascii="Arial" w:hAnsi="Arial" w:cs="Arial"/>
                <w:lang w:val="es-ES"/>
              </w:rPr>
            </w:pPr>
            <w:r w:rsidRPr="00BF3DF5">
              <w:rPr>
                <w:rFonts w:ascii="Arial" w:hAnsi="Arial" w:cs="Arial"/>
                <w:lang w:val="es-BO"/>
              </w:rPr>
              <w:t xml:space="preserve">Implementación de las acciones de la hoja de ruta del SINEA y diseño </w:t>
            </w:r>
            <w:r w:rsidRPr="00BF3DF5">
              <w:rPr>
                <w:rFonts w:ascii="Arial" w:hAnsi="Arial" w:cs="Arial"/>
                <w:lang w:val="es-BO"/>
              </w:rPr>
              <w:lastRenderedPageBreak/>
              <w:t>de los estudios complementarios de las Interconexiones Binacionales a que se refieren los estudios del primer Programa en el marco del SINEA</w:t>
            </w:r>
            <w:r w:rsidR="000F7BBB">
              <w:rPr>
                <w:rFonts w:ascii="Arial" w:hAnsi="Arial" w:cs="Arial"/>
                <w:lang w:val="es-BO"/>
              </w:rPr>
              <w:t>.</w:t>
            </w:r>
          </w:p>
        </w:tc>
        <w:tc>
          <w:tcPr>
            <w:tcW w:w="3565" w:type="dxa"/>
            <w:shd w:val="clear" w:color="auto" w:fill="auto"/>
          </w:tcPr>
          <w:p w14:paraId="7961A167" w14:textId="383F2AF9" w:rsidR="00873D6D" w:rsidRPr="00704CA3" w:rsidRDefault="13C65B85" w:rsidP="13C65B85">
            <w:pPr>
              <w:jc w:val="both"/>
              <w:rPr>
                <w:rFonts w:ascii="Arial" w:hAnsi="Arial" w:cs="Arial"/>
                <w:lang w:val="es-ES"/>
              </w:rPr>
            </w:pPr>
            <w:r w:rsidRPr="13C65B85">
              <w:rPr>
                <w:rFonts w:ascii="Arial" w:hAnsi="Arial" w:cs="Arial"/>
                <w:lang w:val="es-ES"/>
              </w:rPr>
              <w:lastRenderedPageBreak/>
              <w:t xml:space="preserve">Que se haya avanzado en la implementación de las acciones de la </w:t>
            </w:r>
            <w:r w:rsidRPr="13C65B85">
              <w:rPr>
                <w:rFonts w:ascii="Arial" w:hAnsi="Arial" w:cs="Arial"/>
                <w:lang w:val="es-ES"/>
              </w:rPr>
              <w:lastRenderedPageBreak/>
              <w:t>Hoja de Ruta del Sistema de Integración Energético Andino (SINEA), mediante el ajuste a la regulación a las. Transacciones Internacionales de Electricidad de Corto Plazo, TIE.</w:t>
            </w:r>
          </w:p>
          <w:p w14:paraId="2C399F16" w14:textId="77777777" w:rsidR="00136296" w:rsidRDefault="00136296" w:rsidP="00A11E36">
            <w:pPr>
              <w:jc w:val="both"/>
              <w:rPr>
                <w:rFonts w:ascii="Arial" w:hAnsi="Arial" w:cs="Arial"/>
                <w:lang w:val="es-ES"/>
              </w:rPr>
            </w:pPr>
          </w:p>
          <w:p w14:paraId="6197B7A3" w14:textId="6C757AA3" w:rsidR="00136296" w:rsidRPr="00BF3DF5" w:rsidRDefault="00C218DB" w:rsidP="00A11E36">
            <w:pPr>
              <w:jc w:val="both"/>
              <w:rPr>
                <w:rFonts w:ascii="Arial" w:hAnsi="Arial" w:cs="Arial"/>
                <w:lang w:val="es-ES"/>
              </w:rPr>
            </w:pPr>
            <w:r w:rsidRPr="00C218DB">
              <w:rPr>
                <w:rFonts w:ascii="Arial" w:hAnsi="Arial" w:cs="Arial"/>
                <w:lang w:val="es-ES"/>
              </w:rPr>
              <w:t xml:space="preserve">Que el Plan de Expansión de Generación y Transmisión de Energía Eléctrica incluya un análisis de la interconexión Colombia </w:t>
            </w:r>
            <w:r w:rsidR="009E43D4">
              <w:rPr>
                <w:rFonts w:ascii="Arial" w:hAnsi="Arial" w:cs="Arial"/>
                <w:lang w:val="es-ES"/>
              </w:rPr>
              <w:t xml:space="preserve">- </w:t>
            </w:r>
            <w:r w:rsidRPr="00C218DB">
              <w:rPr>
                <w:rFonts w:ascii="Arial" w:hAnsi="Arial" w:cs="Arial"/>
                <w:lang w:val="es-ES"/>
              </w:rPr>
              <w:t>Ecuador para atender de forma confiable y segura la demanda de energía en el mediano y largo plazo.</w:t>
            </w:r>
          </w:p>
        </w:tc>
        <w:tc>
          <w:tcPr>
            <w:tcW w:w="3493" w:type="dxa"/>
          </w:tcPr>
          <w:p w14:paraId="2FDA35A1" w14:textId="4850683D" w:rsidR="00A11E36" w:rsidRPr="00BF3DF5" w:rsidRDefault="00A11E36" w:rsidP="00A11E36">
            <w:pPr>
              <w:jc w:val="both"/>
              <w:rPr>
                <w:rFonts w:ascii="Arial" w:hAnsi="Arial" w:cs="Arial"/>
                <w:lang w:val="es-ES"/>
              </w:rPr>
            </w:pPr>
            <w:r w:rsidRPr="00BF3DF5">
              <w:rPr>
                <w:rFonts w:ascii="Arial" w:hAnsi="Arial" w:cs="Arial"/>
                <w:lang w:val="es-ES"/>
              </w:rPr>
              <w:lastRenderedPageBreak/>
              <w:t xml:space="preserve">El compromiso de política se </w:t>
            </w:r>
            <w:r w:rsidR="00257C97">
              <w:rPr>
                <w:rFonts w:ascii="Arial" w:hAnsi="Arial" w:cs="Arial"/>
                <w:lang w:val="es-ES"/>
              </w:rPr>
              <w:t xml:space="preserve">fortaleció al dividirlo en dos, para </w:t>
            </w:r>
            <w:r w:rsidR="009A5169">
              <w:rPr>
                <w:rFonts w:ascii="Arial" w:hAnsi="Arial" w:cs="Arial"/>
                <w:lang w:val="es-ES"/>
              </w:rPr>
              <w:lastRenderedPageBreak/>
              <w:t>requerir</w:t>
            </w:r>
            <w:r w:rsidR="005817CC">
              <w:rPr>
                <w:rFonts w:ascii="Arial" w:hAnsi="Arial" w:cs="Arial"/>
                <w:lang w:val="es-ES"/>
              </w:rPr>
              <w:t xml:space="preserve"> </w:t>
            </w:r>
            <w:r w:rsidR="00541E24">
              <w:rPr>
                <w:rFonts w:ascii="Arial" w:hAnsi="Arial" w:cs="Arial"/>
                <w:lang w:val="es-ES"/>
              </w:rPr>
              <w:t xml:space="preserve">avances en regulación y en </w:t>
            </w:r>
            <w:r w:rsidR="00B41E3F">
              <w:rPr>
                <w:rFonts w:ascii="Arial" w:hAnsi="Arial" w:cs="Arial"/>
                <w:lang w:val="es-ES"/>
              </w:rPr>
              <w:t xml:space="preserve">la </w:t>
            </w:r>
            <w:r w:rsidR="00541E24">
              <w:rPr>
                <w:rFonts w:ascii="Arial" w:hAnsi="Arial" w:cs="Arial"/>
                <w:lang w:val="es-ES"/>
              </w:rPr>
              <w:t>planeación de la infraestructura de interconexiones internacionales.</w:t>
            </w:r>
          </w:p>
        </w:tc>
      </w:tr>
      <w:tr w:rsidR="00B22AF7" w:rsidRPr="00754EB0" w14:paraId="17B10687" w14:textId="77777777" w:rsidTr="501E4964">
        <w:trPr>
          <w:trHeight w:val="32"/>
        </w:trPr>
        <w:tc>
          <w:tcPr>
            <w:tcW w:w="2504" w:type="dxa"/>
          </w:tcPr>
          <w:p w14:paraId="1299C43A" w14:textId="77777777" w:rsidR="00B22AF7" w:rsidRPr="00BF3DF5" w:rsidRDefault="00B22AF7" w:rsidP="00B22AF7">
            <w:pPr>
              <w:rPr>
                <w:rFonts w:ascii="Arial" w:hAnsi="Arial" w:cs="Arial"/>
                <w:b/>
                <w:lang w:val="es-ES"/>
              </w:rPr>
            </w:pPr>
          </w:p>
        </w:tc>
        <w:tc>
          <w:tcPr>
            <w:tcW w:w="3393" w:type="dxa"/>
          </w:tcPr>
          <w:p w14:paraId="4DDBEF00" w14:textId="77777777" w:rsidR="00B22AF7" w:rsidRPr="00BF3DF5" w:rsidRDefault="00B22AF7" w:rsidP="00B22AF7">
            <w:pPr>
              <w:jc w:val="both"/>
              <w:rPr>
                <w:rFonts w:ascii="Arial" w:hAnsi="Arial" w:cs="Arial"/>
                <w:lang w:val="es-BO"/>
              </w:rPr>
            </w:pPr>
          </w:p>
        </w:tc>
        <w:tc>
          <w:tcPr>
            <w:tcW w:w="3565" w:type="dxa"/>
            <w:shd w:val="clear" w:color="auto" w:fill="auto"/>
          </w:tcPr>
          <w:p w14:paraId="65877BBB" w14:textId="2A4885CE" w:rsidR="00B22AF7" w:rsidRPr="00BF3DF5" w:rsidRDefault="00B22AF7" w:rsidP="00B22AF7">
            <w:pPr>
              <w:jc w:val="both"/>
              <w:rPr>
                <w:rFonts w:ascii="Arial" w:hAnsi="Arial" w:cs="Arial"/>
                <w:lang w:val="es-ES"/>
              </w:rPr>
            </w:pPr>
            <w:r w:rsidRPr="008D1834">
              <w:rPr>
                <w:rFonts w:ascii="Arial" w:hAnsi="Arial" w:cs="Arial"/>
                <w:lang w:val="es-ES"/>
              </w:rPr>
              <w:t>Que se hayan revisado las opciones de remuneración de la Interconexión Colombia-Panamá</w:t>
            </w:r>
            <w:r>
              <w:rPr>
                <w:rFonts w:ascii="Arial" w:hAnsi="Arial" w:cs="Arial"/>
                <w:lang w:val="es-ES"/>
              </w:rPr>
              <w:t>, a fin de recomendar un esquema que permita la viabilidad financiera y eficiencia económica del proyecto</w:t>
            </w:r>
            <w:r w:rsidRPr="008D1834">
              <w:rPr>
                <w:rFonts w:ascii="Arial" w:hAnsi="Arial" w:cs="Arial"/>
                <w:lang w:val="es-ES"/>
              </w:rPr>
              <w:t>.</w:t>
            </w:r>
          </w:p>
        </w:tc>
        <w:tc>
          <w:tcPr>
            <w:tcW w:w="3493" w:type="dxa"/>
          </w:tcPr>
          <w:p w14:paraId="541FBAB9" w14:textId="77777777" w:rsidR="00B22AF7" w:rsidRPr="00BF3DF5" w:rsidRDefault="00B22AF7" w:rsidP="00B22AF7">
            <w:pPr>
              <w:jc w:val="both"/>
              <w:rPr>
                <w:rFonts w:ascii="Arial" w:hAnsi="Arial" w:cs="Arial"/>
                <w:lang w:val="es-ES"/>
              </w:rPr>
            </w:pPr>
            <w:r w:rsidRPr="00BF3DF5">
              <w:rPr>
                <w:rFonts w:ascii="Arial" w:hAnsi="Arial" w:cs="Arial"/>
                <w:lang w:val="es-ES"/>
              </w:rPr>
              <w:t>Se incluye este nuevo compromiso de política considerando el rol estratégico para las transacciones bilaterales y acceso a nuevos mercados tales como Panamá y los países de Centroamérica a través de la línea del SIEPAC.</w:t>
            </w:r>
          </w:p>
        </w:tc>
      </w:tr>
      <w:tr w:rsidR="00A11E36" w:rsidRPr="00754EB0" w14:paraId="3FC8B0A9" w14:textId="77777777" w:rsidTr="00015359">
        <w:trPr>
          <w:trHeight w:val="73"/>
        </w:trPr>
        <w:tc>
          <w:tcPr>
            <w:tcW w:w="12955" w:type="dxa"/>
            <w:gridSpan w:val="4"/>
            <w:shd w:val="clear" w:color="auto" w:fill="C6D9F1" w:themeFill="text2" w:themeFillTint="33"/>
            <w:vAlign w:val="center"/>
          </w:tcPr>
          <w:p w14:paraId="3B468A5B" w14:textId="77777777" w:rsidR="00A11E36" w:rsidRPr="00BF3DF5" w:rsidRDefault="00A11E36" w:rsidP="00460407">
            <w:pPr>
              <w:jc w:val="both"/>
              <w:rPr>
                <w:rFonts w:ascii="Arial" w:hAnsi="Arial" w:cs="Arial"/>
                <w:b/>
                <w:lang w:val="es-ES"/>
              </w:rPr>
            </w:pPr>
            <w:r w:rsidRPr="00BF3DF5">
              <w:rPr>
                <w:rFonts w:ascii="Arial" w:hAnsi="Arial" w:cs="Arial"/>
                <w:b/>
                <w:lang w:val="es-ES"/>
              </w:rPr>
              <w:t xml:space="preserve">Subcomponente </w:t>
            </w:r>
            <w:r w:rsidR="00460407">
              <w:rPr>
                <w:rFonts w:ascii="Arial" w:hAnsi="Arial" w:cs="Arial"/>
                <w:b/>
                <w:lang w:val="es-ES"/>
              </w:rPr>
              <w:t>II</w:t>
            </w:r>
            <w:r w:rsidRPr="00BF3DF5">
              <w:rPr>
                <w:rFonts w:ascii="Arial" w:hAnsi="Arial" w:cs="Arial"/>
                <w:b/>
                <w:lang w:val="es-ES"/>
              </w:rPr>
              <w:t>.2. Fortalecimiento del mercado eléctrico</w:t>
            </w:r>
          </w:p>
        </w:tc>
      </w:tr>
      <w:tr w:rsidR="00A11E36" w:rsidRPr="00BF3DF5" w14:paraId="6ACF601A" w14:textId="77777777" w:rsidTr="00015359">
        <w:trPr>
          <w:trHeight w:val="14"/>
        </w:trPr>
        <w:tc>
          <w:tcPr>
            <w:tcW w:w="2504" w:type="dxa"/>
            <w:vMerge w:val="restart"/>
          </w:tcPr>
          <w:p w14:paraId="1A9FD7FC" w14:textId="77777777" w:rsidR="00A11E36" w:rsidRPr="00BF3DF5" w:rsidRDefault="00A11E36" w:rsidP="00A11E36">
            <w:pPr>
              <w:jc w:val="both"/>
              <w:rPr>
                <w:rFonts w:ascii="Arial" w:hAnsi="Arial" w:cs="Arial"/>
                <w:b/>
                <w:lang w:val="es-BO"/>
              </w:rPr>
            </w:pPr>
            <w:r w:rsidRPr="00BF3DF5">
              <w:rPr>
                <w:rFonts w:ascii="Arial" w:hAnsi="Arial" w:cs="Arial"/>
                <w:b/>
                <w:lang w:val="es-BO"/>
              </w:rPr>
              <w:t>Fortalecer el MEM con medidas que permitan aumentar y garantizar la oferta de GN para generación y administrar la demanda de energía.</w:t>
            </w:r>
          </w:p>
        </w:tc>
        <w:tc>
          <w:tcPr>
            <w:tcW w:w="10451" w:type="dxa"/>
            <w:gridSpan w:val="3"/>
          </w:tcPr>
          <w:p w14:paraId="351D9D31" w14:textId="77777777" w:rsidR="00A11E36" w:rsidRPr="00BF3DF5" w:rsidRDefault="00A11E36" w:rsidP="00A11E36">
            <w:pPr>
              <w:jc w:val="both"/>
              <w:rPr>
                <w:rFonts w:ascii="Arial" w:hAnsi="Arial" w:cs="Arial"/>
                <w:b/>
                <w:lang w:val="es-ES"/>
              </w:rPr>
            </w:pPr>
            <w:r w:rsidRPr="00BF3DF5">
              <w:rPr>
                <w:rFonts w:ascii="Arial" w:hAnsi="Arial" w:cs="Arial"/>
                <w:b/>
                <w:lang w:val="es-ES"/>
              </w:rPr>
              <w:t>Gas Natural (GN)</w:t>
            </w:r>
          </w:p>
        </w:tc>
      </w:tr>
      <w:tr w:rsidR="00C9120E" w:rsidRPr="00754EB0" w14:paraId="19E9F0A6" w14:textId="77777777" w:rsidTr="00015359">
        <w:trPr>
          <w:trHeight w:val="32"/>
        </w:trPr>
        <w:tc>
          <w:tcPr>
            <w:tcW w:w="2504" w:type="dxa"/>
            <w:vMerge/>
          </w:tcPr>
          <w:p w14:paraId="3461D779" w14:textId="77777777" w:rsidR="00C9120E" w:rsidRPr="00BF3DF5" w:rsidRDefault="00C9120E" w:rsidP="00C9120E">
            <w:pPr>
              <w:jc w:val="both"/>
              <w:rPr>
                <w:rFonts w:ascii="Arial" w:hAnsi="Arial" w:cs="Arial"/>
                <w:b/>
                <w:lang w:val="es-ES"/>
              </w:rPr>
            </w:pPr>
          </w:p>
        </w:tc>
        <w:tc>
          <w:tcPr>
            <w:tcW w:w="3393" w:type="dxa"/>
          </w:tcPr>
          <w:p w14:paraId="5A6A6C77" w14:textId="77777777" w:rsidR="00C9120E" w:rsidRPr="00BF3DF5" w:rsidRDefault="00C9120E" w:rsidP="00C9120E">
            <w:pPr>
              <w:rPr>
                <w:rFonts w:ascii="Arial" w:hAnsi="Arial" w:cs="Arial"/>
                <w:lang w:val="es-ES_tradnl"/>
              </w:rPr>
            </w:pPr>
            <w:r w:rsidRPr="00BF3DF5">
              <w:rPr>
                <w:rFonts w:ascii="Arial" w:hAnsi="Arial" w:cs="Arial"/>
                <w:lang w:val="es-ES"/>
              </w:rPr>
              <w:t>Regulación que incorpora ajustes a los mecanismos de comercialización del GN.</w:t>
            </w:r>
          </w:p>
        </w:tc>
        <w:tc>
          <w:tcPr>
            <w:tcW w:w="3565" w:type="dxa"/>
          </w:tcPr>
          <w:p w14:paraId="660BBAB4" w14:textId="302E3700" w:rsidR="00C9120E" w:rsidRPr="00BF3DF5" w:rsidRDefault="000F4842" w:rsidP="00C9120E">
            <w:pPr>
              <w:rPr>
                <w:rFonts w:ascii="Arial" w:hAnsi="Arial" w:cs="Arial"/>
                <w:lang w:val="es-ES_tradnl"/>
              </w:rPr>
            </w:pPr>
            <w:r w:rsidRPr="000F4842">
              <w:rPr>
                <w:rFonts w:ascii="Arial" w:hAnsi="Arial" w:cs="Arial"/>
                <w:lang w:val="es-ES_tradnl"/>
              </w:rPr>
              <w:t>Que se haya puesto en consulta la regulación que incorpore ajustes a los mecanismos de comercialización del GN.</w:t>
            </w:r>
          </w:p>
        </w:tc>
        <w:tc>
          <w:tcPr>
            <w:tcW w:w="3493" w:type="dxa"/>
          </w:tcPr>
          <w:p w14:paraId="47328BD4" w14:textId="19789D53" w:rsidR="00C9120E" w:rsidRPr="00BF3DF5" w:rsidRDefault="00C9120E" w:rsidP="00C9120E">
            <w:pPr>
              <w:rPr>
                <w:rFonts w:ascii="Arial" w:hAnsi="Arial" w:cs="Arial"/>
                <w:lang w:val="es-ES_tradnl"/>
              </w:rPr>
            </w:pPr>
            <w:r w:rsidRPr="00BF3DF5">
              <w:rPr>
                <w:rFonts w:ascii="Arial" w:hAnsi="Arial" w:cs="Arial"/>
                <w:lang w:val="es-ES"/>
              </w:rPr>
              <w:t xml:space="preserve">El compromiso de política se </w:t>
            </w:r>
            <w:r w:rsidR="00506FB9" w:rsidRPr="00BF3DF5">
              <w:rPr>
                <w:rFonts w:ascii="Arial" w:hAnsi="Arial" w:cs="Arial"/>
                <w:lang w:val="es-ES"/>
              </w:rPr>
              <w:t>mantiene,</w:t>
            </w:r>
            <w:r w:rsidRPr="00BF3DF5">
              <w:rPr>
                <w:rFonts w:ascii="Arial" w:hAnsi="Arial" w:cs="Arial"/>
                <w:lang w:val="es-ES"/>
              </w:rPr>
              <w:t xml:space="preserve"> </w:t>
            </w:r>
            <w:r>
              <w:rPr>
                <w:rFonts w:ascii="Arial" w:hAnsi="Arial" w:cs="Arial"/>
                <w:lang w:val="es-ES"/>
              </w:rPr>
              <w:t xml:space="preserve">pero su redacción se </w:t>
            </w:r>
            <w:r w:rsidR="00807850">
              <w:rPr>
                <w:rFonts w:ascii="Arial" w:hAnsi="Arial" w:cs="Arial"/>
                <w:lang w:val="es-ES"/>
              </w:rPr>
              <w:t xml:space="preserve">ajustó reflejar </w:t>
            </w:r>
            <w:r w:rsidR="00F83818">
              <w:rPr>
                <w:rFonts w:ascii="Arial" w:hAnsi="Arial" w:cs="Arial"/>
                <w:lang w:val="es-ES"/>
              </w:rPr>
              <w:t>que la regulación está en consulta con los agentes del sector.</w:t>
            </w:r>
          </w:p>
        </w:tc>
      </w:tr>
      <w:tr w:rsidR="00A11E36" w:rsidRPr="00754EB0" w14:paraId="07E33646" w14:textId="77777777" w:rsidTr="00015359">
        <w:trPr>
          <w:trHeight w:val="32"/>
        </w:trPr>
        <w:tc>
          <w:tcPr>
            <w:tcW w:w="2504" w:type="dxa"/>
            <w:vMerge/>
          </w:tcPr>
          <w:p w14:paraId="3CF2D8B6" w14:textId="77777777" w:rsidR="00A11E36" w:rsidRPr="00BF3DF5" w:rsidRDefault="00A11E36" w:rsidP="00A11E36">
            <w:pPr>
              <w:rPr>
                <w:rFonts w:ascii="Arial" w:hAnsi="Arial" w:cs="Arial"/>
                <w:lang w:val="es-ES"/>
              </w:rPr>
            </w:pPr>
          </w:p>
        </w:tc>
        <w:tc>
          <w:tcPr>
            <w:tcW w:w="3393" w:type="dxa"/>
          </w:tcPr>
          <w:p w14:paraId="5300AFFF" w14:textId="77777777" w:rsidR="00A11E36" w:rsidRPr="00BF3DF5" w:rsidRDefault="00A11E36" w:rsidP="00A11E36">
            <w:pPr>
              <w:jc w:val="both"/>
              <w:rPr>
                <w:rFonts w:ascii="Arial" w:hAnsi="Arial" w:cs="Arial"/>
                <w:lang w:val="es-ES"/>
              </w:rPr>
            </w:pPr>
            <w:r w:rsidRPr="00BF3DF5">
              <w:rPr>
                <w:rFonts w:ascii="Arial" w:hAnsi="Arial" w:cs="Arial"/>
                <w:lang w:val="es-ES"/>
              </w:rPr>
              <w:t xml:space="preserve">Adopción del Plan Indicativo de Expansión de Cobertura de GN. </w:t>
            </w:r>
          </w:p>
        </w:tc>
        <w:tc>
          <w:tcPr>
            <w:tcW w:w="3565" w:type="dxa"/>
          </w:tcPr>
          <w:p w14:paraId="5565D48F" w14:textId="5F3128C2" w:rsidR="00277AAD" w:rsidRPr="00A250E5" w:rsidRDefault="00277AAD" w:rsidP="00277AAD">
            <w:pPr>
              <w:jc w:val="both"/>
              <w:rPr>
                <w:rFonts w:ascii="Arial" w:hAnsi="Arial" w:cs="Arial"/>
                <w:lang w:val="es-ES_tradnl"/>
              </w:rPr>
            </w:pPr>
            <w:r>
              <w:rPr>
                <w:rFonts w:ascii="Arial" w:hAnsi="Arial" w:cs="Arial"/>
                <w:lang w:val="es-ES_tradnl"/>
              </w:rPr>
              <w:t xml:space="preserve">Que </w:t>
            </w:r>
            <w:r w:rsidRPr="00A250E5">
              <w:rPr>
                <w:rFonts w:ascii="Arial" w:hAnsi="Arial" w:cs="Arial"/>
                <w:lang w:val="es-ES_tradnl"/>
              </w:rPr>
              <w:t>el plan transitorio de abastecimiento de GN adoptado en 2017</w:t>
            </w:r>
            <w:r w:rsidR="00340864">
              <w:rPr>
                <w:rFonts w:ascii="Arial" w:hAnsi="Arial" w:cs="Arial"/>
                <w:lang w:val="es-ES_tradnl"/>
              </w:rPr>
              <w:t xml:space="preserve"> se esté implementando</w:t>
            </w:r>
            <w:r w:rsidRPr="00A250E5">
              <w:rPr>
                <w:rFonts w:ascii="Arial" w:hAnsi="Arial" w:cs="Arial"/>
                <w:lang w:val="es-ES_tradnl"/>
              </w:rPr>
              <w:t>.</w:t>
            </w:r>
          </w:p>
          <w:p w14:paraId="524DF521" w14:textId="77777777" w:rsidR="0088515C" w:rsidRPr="00277AAD" w:rsidRDefault="0088515C" w:rsidP="0088515C">
            <w:pPr>
              <w:rPr>
                <w:rFonts w:ascii="Arial" w:hAnsi="Arial" w:cs="Arial"/>
                <w:lang w:val="es-ES_tradnl"/>
              </w:rPr>
            </w:pPr>
          </w:p>
          <w:p w14:paraId="0BB7EFC8" w14:textId="77777777" w:rsidR="0088515C" w:rsidRDefault="0088515C" w:rsidP="0088515C">
            <w:pPr>
              <w:rPr>
                <w:rFonts w:ascii="Arial" w:hAnsi="Arial" w:cs="Arial"/>
                <w:lang w:val="es-ES"/>
              </w:rPr>
            </w:pPr>
          </w:p>
          <w:p w14:paraId="163A9EA9" w14:textId="2A76777E" w:rsidR="0088515C" w:rsidRPr="0088515C" w:rsidRDefault="0088515C" w:rsidP="0088515C">
            <w:pPr>
              <w:tabs>
                <w:tab w:val="left" w:pos="1032"/>
              </w:tabs>
              <w:rPr>
                <w:rFonts w:ascii="Arial" w:hAnsi="Arial" w:cs="Arial"/>
                <w:lang w:val="es-ES"/>
              </w:rPr>
            </w:pPr>
            <w:r>
              <w:rPr>
                <w:rFonts w:ascii="Arial" w:hAnsi="Arial" w:cs="Arial"/>
                <w:lang w:val="es-ES"/>
              </w:rPr>
              <w:tab/>
            </w:r>
          </w:p>
        </w:tc>
        <w:tc>
          <w:tcPr>
            <w:tcW w:w="3493" w:type="dxa"/>
          </w:tcPr>
          <w:p w14:paraId="52D8DF26" w14:textId="50ABE90D" w:rsidR="00A11E36" w:rsidRPr="00BF3DF5" w:rsidRDefault="00A11E36" w:rsidP="00A11E36">
            <w:pPr>
              <w:jc w:val="both"/>
              <w:rPr>
                <w:rFonts w:ascii="Arial" w:hAnsi="Arial" w:cs="Arial"/>
                <w:lang w:val="es-ES"/>
              </w:rPr>
            </w:pPr>
            <w:r w:rsidRPr="00BF3DF5">
              <w:rPr>
                <w:rFonts w:ascii="Arial" w:hAnsi="Arial" w:cs="Arial"/>
                <w:lang w:val="es-ES"/>
              </w:rPr>
              <w:t xml:space="preserve">El compromiso se </w:t>
            </w:r>
            <w:r w:rsidR="00800A9F">
              <w:rPr>
                <w:rFonts w:ascii="Arial" w:hAnsi="Arial" w:cs="Arial"/>
                <w:lang w:val="es-ES"/>
              </w:rPr>
              <w:t>modificó</w:t>
            </w:r>
            <w:r w:rsidRPr="00BF3DF5">
              <w:rPr>
                <w:rFonts w:ascii="Arial" w:hAnsi="Arial" w:cs="Arial"/>
                <w:lang w:val="es-ES"/>
              </w:rPr>
              <w:t xml:space="preserve"> </w:t>
            </w:r>
            <w:r w:rsidR="00800A9F">
              <w:rPr>
                <w:rFonts w:ascii="Arial" w:hAnsi="Arial" w:cs="Arial"/>
                <w:lang w:val="es-ES"/>
              </w:rPr>
              <w:t>dado</w:t>
            </w:r>
            <w:r w:rsidRPr="00BF3DF5">
              <w:rPr>
                <w:rFonts w:ascii="Arial" w:hAnsi="Arial" w:cs="Arial"/>
                <w:lang w:val="es-ES"/>
              </w:rPr>
              <w:t xml:space="preserve"> que el Gobierno decidió no expedir un plan indicativo, sino centrar sus esfuerzos en la implementación del plan transitorio de gas adoptado en 2017. Por ello el compromiso se focaliza en las acciones para </w:t>
            </w:r>
            <w:r w:rsidRPr="00BF3DF5">
              <w:rPr>
                <w:rFonts w:ascii="Arial" w:hAnsi="Arial" w:cs="Arial"/>
                <w:lang w:val="es-ES"/>
              </w:rPr>
              <w:lastRenderedPageBreak/>
              <w:t>implementar el plan transitorio</w:t>
            </w:r>
            <w:r w:rsidR="00C019B8" w:rsidRPr="00BF3DF5">
              <w:rPr>
                <w:rFonts w:ascii="Arial" w:hAnsi="Arial" w:cs="Arial"/>
                <w:lang w:val="es-ES"/>
              </w:rPr>
              <w:t>, tales como:</w:t>
            </w:r>
          </w:p>
          <w:p w14:paraId="3CBD34A9" w14:textId="77777777" w:rsidR="00C019B8" w:rsidRPr="00BF3DF5" w:rsidRDefault="00C019B8" w:rsidP="00C019B8">
            <w:pPr>
              <w:pStyle w:val="ListParagraph"/>
              <w:numPr>
                <w:ilvl w:val="0"/>
                <w:numId w:val="44"/>
              </w:numPr>
              <w:jc w:val="both"/>
              <w:rPr>
                <w:rFonts w:ascii="Arial" w:hAnsi="Arial" w:cs="Arial"/>
                <w:lang w:val="es-ES"/>
              </w:rPr>
            </w:pPr>
            <w:r w:rsidRPr="00BF3DF5">
              <w:rPr>
                <w:rFonts w:ascii="Arial" w:hAnsi="Arial" w:cs="Arial"/>
                <w:lang w:val="es-ES"/>
              </w:rPr>
              <w:t>La planta de regasificación del pacífico.</w:t>
            </w:r>
          </w:p>
          <w:p w14:paraId="5398D710" w14:textId="77777777" w:rsidR="00C019B8" w:rsidRPr="00BF3DF5" w:rsidRDefault="00C019B8" w:rsidP="00C019B8">
            <w:pPr>
              <w:pStyle w:val="ListParagraph"/>
              <w:numPr>
                <w:ilvl w:val="0"/>
                <w:numId w:val="44"/>
              </w:numPr>
              <w:jc w:val="both"/>
              <w:rPr>
                <w:rFonts w:ascii="Arial" w:hAnsi="Arial" w:cs="Arial"/>
                <w:lang w:val="es-ES"/>
              </w:rPr>
            </w:pPr>
            <w:r w:rsidRPr="00BF3DF5">
              <w:rPr>
                <w:rFonts w:ascii="Arial" w:hAnsi="Arial" w:cs="Arial"/>
                <w:lang w:val="es-ES"/>
              </w:rPr>
              <w:t>El gasoducto Buenaventura – Yumbo.</w:t>
            </w:r>
          </w:p>
          <w:p w14:paraId="6876D60A" w14:textId="77777777" w:rsidR="00C019B8" w:rsidRPr="00BF3DF5" w:rsidRDefault="00C019B8" w:rsidP="00C019B8">
            <w:pPr>
              <w:pStyle w:val="ListParagraph"/>
              <w:numPr>
                <w:ilvl w:val="0"/>
                <w:numId w:val="44"/>
              </w:numPr>
              <w:jc w:val="both"/>
              <w:rPr>
                <w:rFonts w:ascii="Arial" w:hAnsi="Arial" w:cs="Arial"/>
                <w:lang w:val="es-ES"/>
              </w:rPr>
            </w:pPr>
            <w:r w:rsidRPr="00BF3DF5">
              <w:rPr>
                <w:rFonts w:ascii="Arial" w:hAnsi="Arial" w:cs="Arial"/>
                <w:lang w:val="es-ES"/>
              </w:rPr>
              <w:t>Cuatro adecuaciones de infraestructura para permitir la bidireccionalidad de los flujos de gas en la red de transporte.</w:t>
            </w:r>
          </w:p>
        </w:tc>
      </w:tr>
      <w:tr w:rsidR="00C019B8" w:rsidRPr="00754EB0" w14:paraId="08BCC76D" w14:textId="77777777" w:rsidTr="00015359">
        <w:trPr>
          <w:trHeight w:val="32"/>
        </w:trPr>
        <w:tc>
          <w:tcPr>
            <w:tcW w:w="2504" w:type="dxa"/>
            <w:vMerge/>
          </w:tcPr>
          <w:p w14:paraId="0FB78278" w14:textId="77777777" w:rsidR="00C019B8" w:rsidRPr="00BF3DF5" w:rsidRDefault="00C019B8" w:rsidP="00C019B8">
            <w:pPr>
              <w:rPr>
                <w:rFonts w:ascii="Arial" w:hAnsi="Arial" w:cs="Arial"/>
                <w:lang w:val="es-ES"/>
              </w:rPr>
            </w:pPr>
          </w:p>
        </w:tc>
        <w:tc>
          <w:tcPr>
            <w:tcW w:w="3393" w:type="dxa"/>
          </w:tcPr>
          <w:p w14:paraId="3E8D65CF" w14:textId="77777777" w:rsidR="00C019B8" w:rsidRPr="00BF3DF5" w:rsidRDefault="00C019B8" w:rsidP="00C019B8">
            <w:pPr>
              <w:jc w:val="both"/>
              <w:rPr>
                <w:rFonts w:ascii="Arial" w:hAnsi="Arial" w:cs="Arial"/>
                <w:lang w:val="es-ES_tradnl"/>
              </w:rPr>
            </w:pPr>
            <w:r w:rsidRPr="00BF3DF5">
              <w:rPr>
                <w:rFonts w:ascii="Arial" w:hAnsi="Arial" w:cs="Arial"/>
                <w:lang w:val="es-ES"/>
              </w:rPr>
              <w:t>Que el Gestor de Mercado haya estabilizado la operación y esté generando indicadores de mercado.</w:t>
            </w:r>
          </w:p>
        </w:tc>
        <w:tc>
          <w:tcPr>
            <w:tcW w:w="3565" w:type="dxa"/>
          </w:tcPr>
          <w:p w14:paraId="34D6EA3E" w14:textId="64BAAF9E" w:rsidR="00C019B8" w:rsidRPr="00BF3DF5" w:rsidRDefault="0088055E" w:rsidP="00C019B8">
            <w:pPr>
              <w:jc w:val="both"/>
              <w:rPr>
                <w:rFonts w:ascii="Arial" w:hAnsi="Arial" w:cs="Arial"/>
                <w:lang w:val="es-ES_tradnl"/>
              </w:rPr>
            </w:pPr>
            <w:r w:rsidRPr="0088055E">
              <w:rPr>
                <w:rFonts w:ascii="Arial" w:hAnsi="Arial" w:cs="Arial"/>
                <w:lang w:val="es-ES_tradnl"/>
              </w:rPr>
              <w:t>Que el Gestor del Mercado de GN haya estabilizado su operación y esté generando indicadores de mercado.</w:t>
            </w:r>
          </w:p>
        </w:tc>
        <w:tc>
          <w:tcPr>
            <w:tcW w:w="3493" w:type="dxa"/>
          </w:tcPr>
          <w:p w14:paraId="2452E249" w14:textId="77777777" w:rsidR="00C019B8" w:rsidRPr="00BF3DF5" w:rsidRDefault="00C019B8" w:rsidP="00C019B8">
            <w:pPr>
              <w:jc w:val="both"/>
              <w:rPr>
                <w:rFonts w:ascii="Arial" w:hAnsi="Arial" w:cs="Arial"/>
                <w:lang w:val="es-ES_tradnl"/>
              </w:rPr>
            </w:pPr>
            <w:r w:rsidRPr="00BF3DF5">
              <w:rPr>
                <w:rFonts w:ascii="Arial" w:hAnsi="Arial" w:cs="Arial"/>
                <w:lang w:val="es-ES"/>
              </w:rPr>
              <w:t>El compromiso de política se mantiene inalterado.</w:t>
            </w:r>
          </w:p>
        </w:tc>
      </w:tr>
      <w:tr w:rsidR="00A11E36" w:rsidRPr="00754EB0" w14:paraId="117C8C28" w14:textId="77777777" w:rsidTr="00015359">
        <w:trPr>
          <w:trHeight w:val="32"/>
        </w:trPr>
        <w:tc>
          <w:tcPr>
            <w:tcW w:w="2504" w:type="dxa"/>
            <w:vMerge/>
          </w:tcPr>
          <w:p w14:paraId="1FC39945" w14:textId="77777777" w:rsidR="00A11E36" w:rsidRPr="00BF3DF5" w:rsidRDefault="00A11E36" w:rsidP="00A11E36">
            <w:pPr>
              <w:rPr>
                <w:rFonts w:ascii="Arial" w:hAnsi="Arial" w:cs="Arial"/>
                <w:b/>
                <w:lang w:val="es-ES"/>
              </w:rPr>
            </w:pPr>
          </w:p>
        </w:tc>
        <w:tc>
          <w:tcPr>
            <w:tcW w:w="10451" w:type="dxa"/>
            <w:gridSpan w:val="3"/>
            <w:vAlign w:val="center"/>
          </w:tcPr>
          <w:p w14:paraId="4634E5B9" w14:textId="77777777" w:rsidR="00A11E36" w:rsidRPr="00BF3DF5" w:rsidRDefault="00A11E36" w:rsidP="00A11E36">
            <w:pPr>
              <w:jc w:val="both"/>
              <w:rPr>
                <w:rFonts w:ascii="Arial" w:hAnsi="Arial" w:cs="Arial"/>
                <w:b/>
                <w:lang w:val="es-ES"/>
              </w:rPr>
            </w:pPr>
            <w:r w:rsidRPr="00BF3DF5">
              <w:rPr>
                <w:rFonts w:ascii="Arial" w:hAnsi="Arial" w:cs="Arial"/>
                <w:b/>
                <w:lang w:val="es-ES"/>
              </w:rPr>
              <w:t>Gestión Eficiente Demanda Energética (GEDE)</w:t>
            </w:r>
          </w:p>
        </w:tc>
      </w:tr>
      <w:tr w:rsidR="00A11E36" w:rsidRPr="00754EB0" w14:paraId="0304ABF9" w14:textId="77777777" w:rsidTr="00015359">
        <w:trPr>
          <w:trHeight w:val="32"/>
        </w:trPr>
        <w:tc>
          <w:tcPr>
            <w:tcW w:w="2504" w:type="dxa"/>
            <w:vMerge/>
          </w:tcPr>
          <w:p w14:paraId="0562CB0E" w14:textId="77777777" w:rsidR="00A11E36" w:rsidRPr="00BF3DF5" w:rsidRDefault="00A11E36" w:rsidP="00A11E36">
            <w:pPr>
              <w:rPr>
                <w:rFonts w:ascii="Arial" w:hAnsi="Arial" w:cs="Arial"/>
                <w:b/>
                <w:lang w:val="es-ES"/>
              </w:rPr>
            </w:pPr>
          </w:p>
        </w:tc>
        <w:tc>
          <w:tcPr>
            <w:tcW w:w="3393" w:type="dxa"/>
          </w:tcPr>
          <w:p w14:paraId="2A581F06" w14:textId="77777777" w:rsidR="00A11E36" w:rsidRPr="00BF3DF5" w:rsidRDefault="00A11E36" w:rsidP="00A11E36">
            <w:pPr>
              <w:jc w:val="both"/>
              <w:rPr>
                <w:rFonts w:ascii="Arial" w:hAnsi="Arial" w:cs="Arial"/>
                <w:lang w:val="es-ES"/>
              </w:rPr>
            </w:pPr>
            <w:r w:rsidRPr="00BF3DF5">
              <w:rPr>
                <w:rFonts w:ascii="Arial" w:hAnsi="Arial" w:cs="Arial"/>
                <w:lang w:val="es-ES"/>
              </w:rPr>
              <w:t>Lineamientos para la actualización del marco legal para el otorgamiento de incentivos tributarios a proyectos de gestión eficiente de energía.</w:t>
            </w:r>
          </w:p>
        </w:tc>
        <w:tc>
          <w:tcPr>
            <w:tcW w:w="3565" w:type="dxa"/>
          </w:tcPr>
          <w:p w14:paraId="4EFAC6C0" w14:textId="2661984F" w:rsidR="00A11E36" w:rsidRPr="00015359" w:rsidRDefault="00AA7450">
            <w:pPr>
              <w:jc w:val="both"/>
              <w:rPr>
                <w:rFonts w:ascii="Arial" w:hAnsi="Arial" w:cs="Arial"/>
                <w:lang w:val="es-ES"/>
              </w:rPr>
            </w:pPr>
            <w:r w:rsidRPr="00015359">
              <w:rPr>
                <w:rFonts w:ascii="Arial" w:hAnsi="Arial" w:cs="Arial"/>
                <w:lang w:val="es-ES"/>
              </w:rPr>
              <w:t>Que se haya actualizado</w:t>
            </w:r>
            <w:r w:rsidR="00C54685" w:rsidRPr="00015359">
              <w:rPr>
                <w:rFonts w:ascii="Arial" w:hAnsi="Arial" w:cs="Arial"/>
                <w:lang w:val="es-ES"/>
              </w:rPr>
              <w:t xml:space="preserve"> </w:t>
            </w:r>
            <w:r w:rsidR="00DF4F4D" w:rsidRPr="00015359">
              <w:rPr>
                <w:rFonts w:ascii="Arial" w:hAnsi="Arial" w:cs="Arial"/>
                <w:lang w:val="es-ES"/>
              </w:rPr>
              <w:t>el marco normativo para que los proyectos de eficiencia energética puedan acceder a incentivos tributarios.</w:t>
            </w:r>
          </w:p>
        </w:tc>
        <w:tc>
          <w:tcPr>
            <w:tcW w:w="3493" w:type="dxa"/>
          </w:tcPr>
          <w:p w14:paraId="69EC6D77" w14:textId="287C316B" w:rsidR="00A11E36" w:rsidRPr="00BF3DF5" w:rsidRDefault="005F14D6" w:rsidP="00A11E36">
            <w:pPr>
              <w:jc w:val="both"/>
              <w:rPr>
                <w:rFonts w:ascii="Arial" w:hAnsi="Arial" w:cs="Arial"/>
                <w:lang w:val="es-ES"/>
              </w:rPr>
            </w:pPr>
            <w:r w:rsidRPr="00BF3DF5">
              <w:rPr>
                <w:rFonts w:ascii="Arial" w:hAnsi="Arial" w:cs="Arial"/>
                <w:lang w:val="es-ES"/>
              </w:rPr>
              <w:t xml:space="preserve">Se ajusta la redacción para reflejar que </w:t>
            </w:r>
            <w:r w:rsidR="00B4451B">
              <w:rPr>
                <w:rFonts w:ascii="Arial" w:hAnsi="Arial" w:cs="Arial"/>
                <w:lang w:val="es-ES"/>
              </w:rPr>
              <w:t>el nuevo marco nor</w:t>
            </w:r>
            <w:r w:rsidR="00104A9E">
              <w:rPr>
                <w:rFonts w:ascii="Arial" w:hAnsi="Arial" w:cs="Arial"/>
                <w:lang w:val="es-ES"/>
              </w:rPr>
              <w:t>m</w:t>
            </w:r>
            <w:r w:rsidR="00ED4E5E">
              <w:rPr>
                <w:rFonts w:ascii="Arial" w:hAnsi="Arial" w:cs="Arial"/>
                <w:lang w:val="es-ES"/>
              </w:rPr>
              <w:t>a</w:t>
            </w:r>
            <w:r w:rsidR="00104A9E">
              <w:rPr>
                <w:rFonts w:ascii="Arial" w:hAnsi="Arial" w:cs="Arial"/>
                <w:lang w:val="es-ES"/>
              </w:rPr>
              <w:t>ti</w:t>
            </w:r>
            <w:r w:rsidR="00B4451B">
              <w:rPr>
                <w:rFonts w:ascii="Arial" w:hAnsi="Arial" w:cs="Arial"/>
                <w:lang w:val="es-ES"/>
              </w:rPr>
              <w:t xml:space="preserve">vo </w:t>
            </w:r>
            <w:r w:rsidRPr="00BF3DF5">
              <w:rPr>
                <w:rFonts w:ascii="Arial" w:hAnsi="Arial" w:cs="Arial"/>
                <w:lang w:val="es-ES"/>
              </w:rPr>
              <w:t xml:space="preserve">es consistente con las mejores prácticas </w:t>
            </w:r>
            <w:r w:rsidR="00043E26" w:rsidRPr="00BF3DF5">
              <w:rPr>
                <w:rFonts w:ascii="Arial" w:hAnsi="Arial" w:cs="Arial"/>
                <w:lang w:val="es-ES"/>
              </w:rPr>
              <w:t>ambientales y de mercado.</w:t>
            </w:r>
          </w:p>
        </w:tc>
      </w:tr>
      <w:tr w:rsidR="00A11E36" w:rsidRPr="00754EB0" w14:paraId="4A51036B" w14:textId="77777777" w:rsidTr="00015359">
        <w:trPr>
          <w:trHeight w:val="32"/>
        </w:trPr>
        <w:tc>
          <w:tcPr>
            <w:tcW w:w="2504" w:type="dxa"/>
            <w:vMerge/>
          </w:tcPr>
          <w:p w14:paraId="34CE0A41" w14:textId="77777777" w:rsidR="00A11E36" w:rsidRPr="00BF3DF5" w:rsidRDefault="00A11E36" w:rsidP="00A11E36">
            <w:pPr>
              <w:rPr>
                <w:rFonts w:ascii="Arial" w:hAnsi="Arial" w:cs="Arial"/>
                <w:b/>
                <w:lang w:val="es-ES"/>
              </w:rPr>
            </w:pPr>
          </w:p>
        </w:tc>
        <w:tc>
          <w:tcPr>
            <w:tcW w:w="3393" w:type="dxa"/>
          </w:tcPr>
          <w:p w14:paraId="4BF71879" w14:textId="77777777" w:rsidR="00A11E36" w:rsidRPr="00015359" w:rsidRDefault="00A11E36" w:rsidP="00015359">
            <w:pPr>
              <w:tabs>
                <w:tab w:val="left" w:pos="3012"/>
              </w:tabs>
              <w:spacing w:before="60"/>
              <w:jc w:val="both"/>
              <w:rPr>
                <w:rFonts w:ascii="Arial" w:hAnsi="Arial" w:cs="Arial"/>
                <w:lang w:val="es-ES"/>
              </w:rPr>
            </w:pPr>
            <w:r w:rsidRPr="00015359">
              <w:rPr>
                <w:rFonts w:ascii="Arial" w:hAnsi="Arial" w:cs="Arial"/>
                <w:lang w:val="es-ES"/>
              </w:rPr>
              <w:t xml:space="preserve">Diseño de planes de gestión de energía, por parte de entidades públicas, de acuerdo con los lineamientos de la guía realizada por la UPME. </w:t>
            </w:r>
          </w:p>
        </w:tc>
        <w:tc>
          <w:tcPr>
            <w:tcW w:w="3565" w:type="dxa"/>
          </w:tcPr>
          <w:p w14:paraId="791936BD" w14:textId="091CD7D5" w:rsidR="00A11E36" w:rsidRPr="00015359" w:rsidRDefault="008D7837" w:rsidP="00015359">
            <w:pPr>
              <w:tabs>
                <w:tab w:val="left" w:pos="3012"/>
              </w:tabs>
              <w:spacing w:before="60" w:after="60"/>
              <w:jc w:val="both"/>
              <w:rPr>
                <w:rFonts w:ascii="Arial" w:hAnsi="Arial" w:cs="Arial"/>
                <w:lang w:val="es-ES"/>
              </w:rPr>
            </w:pPr>
            <w:r>
              <w:rPr>
                <w:rFonts w:ascii="Arial" w:hAnsi="Arial" w:cs="Arial"/>
                <w:lang w:val="es-ES"/>
              </w:rPr>
              <w:t xml:space="preserve">Que se haya aprobado </w:t>
            </w:r>
            <w:r w:rsidR="00C73B84" w:rsidRPr="00015359">
              <w:rPr>
                <w:rFonts w:ascii="Arial" w:hAnsi="Arial" w:cs="Arial"/>
                <w:lang w:val="es-ES"/>
              </w:rPr>
              <w:t>una política pública para impulsar la inclusión de criterios de uso eficiente de la energía dentro del ciclo de vida de las edificaciones.</w:t>
            </w:r>
          </w:p>
        </w:tc>
        <w:tc>
          <w:tcPr>
            <w:tcW w:w="3493" w:type="dxa"/>
          </w:tcPr>
          <w:p w14:paraId="7A2A8127" w14:textId="77777777" w:rsidR="00A11E36" w:rsidRPr="00173978" w:rsidRDefault="00043E26" w:rsidP="00173978">
            <w:pPr>
              <w:tabs>
                <w:tab w:val="left" w:pos="3012"/>
              </w:tabs>
              <w:spacing w:before="60"/>
              <w:ind w:left="-14"/>
              <w:jc w:val="both"/>
              <w:rPr>
                <w:rFonts w:ascii="Arial" w:hAnsi="Arial" w:cs="Arial"/>
                <w:lang w:val="es-ES"/>
              </w:rPr>
            </w:pPr>
            <w:r w:rsidRPr="00173978">
              <w:rPr>
                <w:rFonts w:ascii="Arial" w:hAnsi="Arial" w:cs="Arial"/>
                <w:lang w:val="es-ES"/>
              </w:rPr>
              <w:t xml:space="preserve">El compromiso </w:t>
            </w:r>
            <w:r w:rsidR="0071688F" w:rsidRPr="00173978">
              <w:rPr>
                <w:rFonts w:ascii="Arial" w:hAnsi="Arial" w:cs="Arial"/>
                <w:lang w:val="es-ES"/>
              </w:rPr>
              <w:t>se fortalece al elevar el tema de eficiencia energética en edificios a una política nacional.</w:t>
            </w:r>
          </w:p>
        </w:tc>
      </w:tr>
      <w:tr w:rsidR="00043E26" w:rsidRPr="00754EB0" w14:paraId="413533E5" w14:textId="77777777" w:rsidTr="00015359">
        <w:trPr>
          <w:trHeight w:val="32"/>
        </w:trPr>
        <w:tc>
          <w:tcPr>
            <w:tcW w:w="2504" w:type="dxa"/>
            <w:vMerge/>
          </w:tcPr>
          <w:p w14:paraId="62EBF3C5" w14:textId="77777777" w:rsidR="00043E26" w:rsidRPr="00BF3DF5" w:rsidRDefault="00043E26" w:rsidP="00043E26">
            <w:pPr>
              <w:rPr>
                <w:rFonts w:ascii="Arial" w:hAnsi="Arial" w:cs="Arial"/>
                <w:color w:val="0000FF"/>
                <w:lang w:val="es-ES"/>
              </w:rPr>
            </w:pPr>
          </w:p>
        </w:tc>
        <w:tc>
          <w:tcPr>
            <w:tcW w:w="3393" w:type="dxa"/>
          </w:tcPr>
          <w:p w14:paraId="1B3FCBC5" w14:textId="6CD7095C" w:rsidR="00043E26" w:rsidRDefault="00043E26" w:rsidP="00171511">
            <w:pPr>
              <w:jc w:val="both"/>
              <w:rPr>
                <w:rFonts w:ascii="Arial" w:hAnsi="Arial" w:cs="Arial"/>
                <w:lang w:val="es-ES"/>
              </w:rPr>
            </w:pPr>
            <w:r w:rsidRPr="00BF3DF5">
              <w:rPr>
                <w:rFonts w:ascii="Arial" w:hAnsi="Arial" w:cs="Arial"/>
                <w:lang w:val="es-ES"/>
              </w:rPr>
              <w:t>Diseño de las herramientas (divulgación y capacitación) para hacer efectivo la implementación del mecanismo de etiquetado. (Sistemas informáticos para revisar el sistema de etiquetado).</w:t>
            </w:r>
          </w:p>
          <w:p w14:paraId="108F0350" w14:textId="77777777" w:rsidR="0007386D" w:rsidRPr="00BF3DF5" w:rsidRDefault="0007386D" w:rsidP="00171511">
            <w:pPr>
              <w:jc w:val="both"/>
              <w:rPr>
                <w:rFonts w:ascii="Arial" w:hAnsi="Arial" w:cs="Arial"/>
                <w:u w:val="single"/>
                <w:lang w:val="es-ES"/>
              </w:rPr>
            </w:pPr>
          </w:p>
          <w:p w14:paraId="2FF29FE5" w14:textId="77777777" w:rsidR="00043E26" w:rsidRPr="00BF3DF5" w:rsidRDefault="00043E26" w:rsidP="00171511">
            <w:pPr>
              <w:pStyle w:val="ListParagraph"/>
              <w:numPr>
                <w:ilvl w:val="0"/>
                <w:numId w:val="40"/>
              </w:numPr>
              <w:tabs>
                <w:tab w:val="left" w:pos="3012"/>
              </w:tabs>
              <w:ind w:left="260" w:hanging="274"/>
              <w:contextualSpacing w:val="0"/>
              <w:jc w:val="both"/>
              <w:rPr>
                <w:rFonts w:ascii="Arial" w:hAnsi="Arial" w:cs="Arial"/>
                <w:lang w:val="es-ES"/>
              </w:rPr>
            </w:pPr>
            <w:r w:rsidRPr="00BF3DF5">
              <w:rPr>
                <w:rFonts w:ascii="Arial" w:hAnsi="Arial" w:cs="Arial"/>
                <w:lang w:val="es-ES"/>
              </w:rPr>
              <w:t>Adopción de la segunda etapa del sistema de etiquetado (2017).</w:t>
            </w:r>
          </w:p>
        </w:tc>
        <w:tc>
          <w:tcPr>
            <w:tcW w:w="3565" w:type="dxa"/>
          </w:tcPr>
          <w:p w14:paraId="120BE526" w14:textId="3290C4A5" w:rsidR="00043E26" w:rsidRPr="00BF3DF5" w:rsidRDefault="00F10D35" w:rsidP="00171511">
            <w:pPr>
              <w:tabs>
                <w:tab w:val="left" w:pos="3012"/>
              </w:tabs>
              <w:ind w:left="-14"/>
              <w:jc w:val="both"/>
              <w:rPr>
                <w:rFonts w:ascii="Arial" w:hAnsi="Arial" w:cs="Arial"/>
                <w:lang w:val="es-ES"/>
              </w:rPr>
            </w:pPr>
            <w:r>
              <w:rPr>
                <w:rFonts w:ascii="Arial" w:hAnsi="Arial" w:cs="Arial"/>
                <w:lang w:val="es-ES"/>
              </w:rPr>
              <w:t xml:space="preserve">Que se hayan diseñado </w:t>
            </w:r>
            <w:r w:rsidR="00043E26" w:rsidRPr="00BF3DF5">
              <w:rPr>
                <w:rFonts w:ascii="Arial" w:hAnsi="Arial" w:cs="Arial"/>
                <w:lang w:val="es-ES"/>
              </w:rPr>
              <w:t>herramientas (divulgación, capacitación) para hacer efectivo la implementación del mecanismo de etiquetado</w:t>
            </w:r>
            <w:r w:rsidR="00E54EE0">
              <w:rPr>
                <w:rFonts w:ascii="Arial" w:hAnsi="Arial" w:cs="Arial"/>
                <w:lang w:val="es-ES"/>
              </w:rPr>
              <w:t xml:space="preserve"> de eficiencia energética para electrod</w:t>
            </w:r>
            <w:r w:rsidR="00B81722">
              <w:rPr>
                <w:rFonts w:ascii="Arial" w:hAnsi="Arial" w:cs="Arial"/>
                <w:lang w:val="es-ES"/>
              </w:rPr>
              <w:t>omésticos</w:t>
            </w:r>
            <w:r w:rsidR="00043E26" w:rsidRPr="00BF3DF5">
              <w:rPr>
                <w:rFonts w:ascii="Arial" w:hAnsi="Arial" w:cs="Arial"/>
                <w:lang w:val="es-ES"/>
              </w:rPr>
              <w:t>.</w:t>
            </w:r>
          </w:p>
          <w:p w14:paraId="436AA209" w14:textId="77777777" w:rsidR="0007386D" w:rsidRDefault="0007386D" w:rsidP="00171511">
            <w:pPr>
              <w:tabs>
                <w:tab w:val="left" w:pos="3012"/>
              </w:tabs>
              <w:ind w:left="-14"/>
              <w:jc w:val="both"/>
              <w:rPr>
                <w:rFonts w:ascii="Arial" w:hAnsi="Arial" w:cs="Arial"/>
                <w:lang w:val="es-ES"/>
              </w:rPr>
            </w:pPr>
          </w:p>
          <w:p w14:paraId="62B74959" w14:textId="76D4C59B" w:rsidR="0007386D" w:rsidRPr="00A250E5" w:rsidRDefault="00ED7B75" w:rsidP="00171511">
            <w:pPr>
              <w:tabs>
                <w:tab w:val="left" w:pos="3012"/>
              </w:tabs>
              <w:ind w:left="-14"/>
              <w:jc w:val="both"/>
              <w:rPr>
                <w:rFonts w:ascii="Arial" w:hAnsi="Arial" w:cs="Arial"/>
                <w:lang w:val="es-ES"/>
              </w:rPr>
            </w:pPr>
            <w:r>
              <w:rPr>
                <w:rFonts w:ascii="Arial" w:hAnsi="Arial" w:cs="Arial"/>
                <w:lang w:val="es-ES"/>
              </w:rPr>
              <w:t xml:space="preserve">Que se hayan preparado </w:t>
            </w:r>
            <w:r w:rsidR="0007386D">
              <w:rPr>
                <w:rFonts w:ascii="Arial" w:hAnsi="Arial" w:cs="Arial"/>
                <w:lang w:val="es-ES"/>
              </w:rPr>
              <w:t>estudios para la implementación de la segunda etapa del sistema de etiquetado de eficiencia energética para: vehículos livianos, alumbrado público y calderas.</w:t>
            </w:r>
          </w:p>
          <w:p w14:paraId="653B29A3" w14:textId="00E4C070" w:rsidR="00043E26" w:rsidRPr="0007386D" w:rsidRDefault="00043E26" w:rsidP="00171511">
            <w:pPr>
              <w:tabs>
                <w:tab w:val="left" w:pos="3012"/>
              </w:tabs>
              <w:jc w:val="both"/>
              <w:rPr>
                <w:rFonts w:ascii="Arial" w:hAnsi="Arial" w:cs="Arial"/>
                <w:lang w:val="es-ES"/>
              </w:rPr>
            </w:pPr>
          </w:p>
        </w:tc>
        <w:tc>
          <w:tcPr>
            <w:tcW w:w="3493" w:type="dxa"/>
          </w:tcPr>
          <w:p w14:paraId="07740C75" w14:textId="5BADB914" w:rsidR="00043E26" w:rsidRPr="006D47CC" w:rsidRDefault="00D64CF2" w:rsidP="006D47CC">
            <w:pPr>
              <w:tabs>
                <w:tab w:val="left" w:pos="3012"/>
              </w:tabs>
              <w:spacing w:before="60"/>
              <w:ind w:left="-14"/>
              <w:jc w:val="both"/>
              <w:rPr>
                <w:rFonts w:ascii="Arial" w:hAnsi="Arial" w:cs="Arial"/>
                <w:lang w:val="es-ES"/>
              </w:rPr>
            </w:pPr>
            <w:r w:rsidRPr="006D47CC">
              <w:rPr>
                <w:rFonts w:ascii="Arial" w:hAnsi="Arial" w:cs="Arial"/>
                <w:lang w:val="es-ES"/>
              </w:rPr>
              <w:lastRenderedPageBreak/>
              <w:t>El compromiso de política se ha ajustado por que las acciones se han enfocado en fortalecer la implementación de la primera etapa del sistema de etiquetado</w:t>
            </w:r>
            <w:r w:rsidR="6947A4EA" w:rsidRPr="006D47CC">
              <w:rPr>
                <w:rFonts w:ascii="Arial" w:hAnsi="Arial" w:cs="Arial"/>
                <w:lang w:val="es-ES"/>
              </w:rPr>
              <w:t>,</w:t>
            </w:r>
            <w:r w:rsidR="132BC7BA" w:rsidRPr="006D47CC">
              <w:rPr>
                <w:rFonts w:ascii="Arial" w:hAnsi="Arial" w:cs="Arial"/>
                <w:lang w:val="es-ES"/>
              </w:rPr>
              <w:t xml:space="preserve"> fortal</w:t>
            </w:r>
            <w:r w:rsidR="132BC7BA" w:rsidRPr="00015359">
              <w:rPr>
                <w:rFonts w:ascii="Arial" w:hAnsi="Arial" w:cs="Arial"/>
                <w:lang w:val="es-ES"/>
              </w:rPr>
              <w:t xml:space="preserve">ecer a través de un decreto el servicio de alumbrado público </w:t>
            </w:r>
            <w:r w:rsidRPr="006D47CC">
              <w:rPr>
                <w:rFonts w:ascii="Arial" w:hAnsi="Arial" w:cs="Arial"/>
                <w:lang w:val="es-ES"/>
              </w:rPr>
              <w:t>y en realizar las consultas interinstitucionales relevantes para vehículos livianos y calderas.</w:t>
            </w:r>
          </w:p>
        </w:tc>
      </w:tr>
      <w:tr w:rsidR="00043E26" w:rsidRPr="00754EB0" w14:paraId="1B8D8C7D" w14:textId="77777777" w:rsidTr="00015359">
        <w:trPr>
          <w:trHeight w:val="32"/>
        </w:trPr>
        <w:tc>
          <w:tcPr>
            <w:tcW w:w="2504" w:type="dxa"/>
            <w:vMerge/>
          </w:tcPr>
          <w:p w14:paraId="6D98A12B" w14:textId="77777777" w:rsidR="00043E26" w:rsidRPr="00BF3DF5" w:rsidRDefault="00043E26" w:rsidP="00043E26">
            <w:pPr>
              <w:rPr>
                <w:rFonts w:ascii="Arial" w:hAnsi="Arial" w:cs="Arial"/>
                <w:color w:val="0000FF"/>
                <w:lang w:val="es-ES"/>
              </w:rPr>
            </w:pPr>
          </w:p>
        </w:tc>
        <w:tc>
          <w:tcPr>
            <w:tcW w:w="3393" w:type="dxa"/>
          </w:tcPr>
          <w:p w14:paraId="568AD80F" w14:textId="77777777" w:rsidR="00043E26" w:rsidRPr="00BF3DF5" w:rsidRDefault="00043E26" w:rsidP="00356051">
            <w:pPr>
              <w:pStyle w:val="ListParagraph"/>
              <w:numPr>
                <w:ilvl w:val="0"/>
                <w:numId w:val="40"/>
              </w:numPr>
              <w:tabs>
                <w:tab w:val="left" w:pos="3012"/>
              </w:tabs>
              <w:ind w:left="260" w:hanging="274"/>
              <w:contextualSpacing w:val="0"/>
              <w:jc w:val="both"/>
              <w:rPr>
                <w:rFonts w:ascii="Arial" w:hAnsi="Arial" w:cs="Arial"/>
                <w:lang w:val="es-ES"/>
              </w:rPr>
            </w:pPr>
            <w:r w:rsidRPr="00BF3DF5">
              <w:rPr>
                <w:rFonts w:ascii="Arial" w:hAnsi="Arial" w:cs="Arial"/>
                <w:lang w:val="es-ES"/>
              </w:rPr>
              <w:t>Que se haya realizado un estudio de la funcionalidad de la medición inteligente.</w:t>
            </w:r>
          </w:p>
        </w:tc>
        <w:tc>
          <w:tcPr>
            <w:tcW w:w="3565" w:type="dxa"/>
            <w:tcBorders>
              <w:bottom w:val="single" w:sz="4" w:space="0" w:color="auto"/>
            </w:tcBorders>
          </w:tcPr>
          <w:p w14:paraId="5619E920" w14:textId="77777777" w:rsidR="008B58D1" w:rsidRPr="00A250E5" w:rsidRDefault="008B58D1" w:rsidP="008B58D1">
            <w:pPr>
              <w:jc w:val="both"/>
              <w:rPr>
                <w:rFonts w:ascii="Arial" w:hAnsi="Arial" w:cs="Arial"/>
                <w:lang w:val="es-ES_tradnl"/>
              </w:rPr>
            </w:pPr>
            <w:r>
              <w:rPr>
                <w:rFonts w:ascii="Arial" w:hAnsi="Arial" w:cs="Arial"/>
                <w:lang w:val="es-ES"/>
              </w:rPr>
              <w:t xml:space="preserve">Que se haya expedido la regulación que establece los </w:t>
            </w:r>
            <w:r w:rsidRPr="00A250E5">
              <w:rPr>
                <w:rFonts w:ascii="Arial" w:hAnsi="Arial" w:cs="Arial"/>
                <w:lang w:val="es-ES"/>
              </w:rPr>
              <w:t>mecanismos para implementar la Infraestructura de Medición Avanzada para la energía eléctrica.</w:t>
            </w:r>
          </w:p>
          <w:p w14:paraId="7FCDB75A" w14:textId="106A3903" w:rsidR="00043E26" w:rsidRPr="00B36761" w:rsidRDefault="00043E26" w:rsidP="00356051">
            <w:pPr>
              <w:tabs>
                <w:tab w:val="left" w:pos="3012"/>
              </w:tabs>
              <w:ind w:left="-14"/>
              <w:jc w:val="both"/>
              <w:rPr>
                <w:rFonts w:ascii="Arial" w:hAnsi="Arial" w:cs="Arial"/>
                <w:lang w:val="es-ES_tradnl"/>
              </w:rPr>
            </w:pPr>
          </w:p>
        </w:tc>
        <w:tc>
          <w:tcPr>
            <w:tcW w:w="3493" w:type="dxa"/>
            <w:tcBorders>
              <w:bottom w:val="single" w:sz="4" w:space="0" w:color="auto"/>
            </w:tcBorders>
          </w:tcPr>
          <w:p w14:paraId="388C6EDC" w14:textId="3E65C238" w:rsidR="00043E26" w:rsidRPr="00356051" w:rsidRDefault="00356051" w:rsidP="008B58D1">
            <w:pPr>
              <w:jc w:val="both"/>
              <w:rPr>
                <w:rFonts w:ascii="Arial" w:hAnsi="Arial" w:cs="Arial"/>
                <w:lang w:val="es-ES"/>
              </w:rPr>
            </w:pPr>
            <w:r>
              <w:rPr>
                <w:rFonts w:ascii="Arial" w:hAnsi="Arial" w:cs="Arial"/>
                <w:lang w:val="es-ES"/>
              </w:rPr>
              <w:t xml:space="preserve">El compromiso de política se </w:t>
            </w:r>
            <w:r w:rsidR="009601AD">
              <w:rPr>
                <w:rFonts w:ascii="Arial" w:hAnsi="Arial" w:cs="Arial"/>
                <w:lang w:val="es-ES"/>
              </w:rPr>
              <w:t>fortaleció a</w:t>
            </w:r>
            <w:r w:rsidR="00B81722">
              <w:rPr>
                <w:rFonts w:ascii="Arial" w:hAnsi="Arial" w:cs="Arial"/>
                <w:lang w:val="es-ES"/>
              </w:rPr>
              <w:t>l</w:t>
            </w:r>
            <w:r w:rsidR="009601AD">
              <w:rPr>
                <w:rFonts w:ascii="Arial" w:hAnsi="Arial" w:cs="Arial"/>
                <w:lang w:val="es-ES"/>
              </w:rPr>
              <w:t xml:space="preserve"> requerir </w:t>
            </w:r>
            <w:r w:rsidR="00C336E5">
              <w:rPr>
                <w:rFonts w:ascii="Arial" w:hAnsi="Arial" w:cs="Arial"/>
                <w:lang w:val="es-ES"/>
              </w:rPr>
              <w:t>la</w:t>
            </w:r>
            <w:r w:rsidR="009601AD">
              <w:rPr>
                <w:rFonts w:ascii="Arial" w:hAnsi="Arial" w:cs="Arial"/>
                <w:lang w:val="es-ES"/>
              </w:rPr>
              <w:t xml:space="preserve"> </w:t>
            </w:r>
            <w:r w:rsidR="006F3FD6">
              <w:rPr>
                <w:rFonts w:ascii="Arial" w:hAnsi="Arial" w:cs="Arial"/>
                <w:lang w:val="es-ES"/>
              </w:rPr>
              <w:t>expedición</w:t>
            </w:r>
            <w:r w:rsidR="00186540">
              <w:rPr>
                <w:rFonts w:ascii="Arial" w:hAnsi="Arial" w:cs="Arial"/>
                <w:lang w:val="es-ES"/>
              </w:rPr>
              <w:t xml:space="preserve"> de</w:t>
            </w:r>
            <w:r w:rsidR="00C336E5">
              <w:rPr>
                <w:rFonts w:ascii="Arial" w:hAnsi="Arial" w:cs="Arial"/>
                <w:lang w:val="es-ES"/>
              </w:rPr>
              <w:t xml:space="preserve"> medidas regulatorias concreta</w:t>
            </w:r>
            <w:r w:rsidR="0074084D">
              <w:rPr>
                <w:rFonts w:ascii="Arial" w:hAnsi="Arial" w:cs="Arial"/>
                <w:lang w:val="es-ES"/>
              </w:rPr>
              <w:t>s</w:t>
            </w:r>
            <w:r w:rsidR="00186540">
              <w:rPr>
                <w:rFonts w:ascii="Arial" w:hAnsi="Arial" w:cs="Arial"/>
                <w:lang w:val="es-ES"/>
              </w:rPr>
              <w:t xml:space="preserve"> que</w:t>
            </w:r>
            <w:r w:rsidR="0074084D">
              <w:rPr>
                <w:rFonts w:ascii="Arial" w:hAnsi="Arial" w:cs="Arial"/>
                <w:lang w:val="es-ES"/>
              </w:rPr>
              <w:t xml:space="preserve"> </w:t>
            </w:r>
            <w:r w:rsidR="006F3FD6">
              <w:rPr>
                <w:rFonts w:ascii="Arial" w:hAnsi="Arial" w:cs="Arial"/>
                <w:lang w:val="es-ES"/>
              </w:rPr>
              <w:t xml:space="preserve">establezcan </w:t>
            </w:r>
            <w:r w:rsidR="0074084D">
              <w:rPr>
                <w:rFonts w:ascii="Arial" w:hAnsi="Arial" w:cs="Arial"/>
                <w:lang w:val="es-ES"/>
              </w:rPr>
              <w:t>mecanismo</w:t>
            </w:r>
            <w:r w:rsidR="006F3FD6">
              <w:rPr>
                <w:rFonts w:ascii="Arial" w:hAnsi="Arial" w:cs="Arial"/>
                <w:lang w:val="es-ES"/>
              </w:rPr>
              <w:t>s</w:t>
            </w:r>
            <w:r w:rsidR="0074084D">
              <w:rPr>
                <w:rFonts w:ascii="Arial" w:hAnsi="Arial" w:cs="Arial"/>
                <w:lang w:val="es-ES"/>
              </w:rPr>
              <w:t xml:space="preserve"> para implementar </w:t>
            </w:r>
            <w:r w:rsidR="006F3FD6">
              <w:rPr>
                <w:rFonts w:ascii="Arial" w:hAnsi="Arial" w:cs="Arial"/>
                <w:lang w:val="es-ES"/>
              </w:rPr>
              <w:t xml:space="preserve">la </w:t>
            </w:r>
            <w:r w:rsidR="0074084D">
              <w:rPr>
                <w:rFonts w:ascii="Arial" w:hAnsi="Arial" w:cs="Arial"/>
                <w:lang w:val="es-ES"/>
              </w:rPr>
              <w:t>infraestructura de medición avan</w:t>
            </w:r>
            <w:r w:rsidR="007E5ECB">
              <w:rPr>
                <w:rFonts w:ascii="Arial" w:hAnsi="Arial" w:cs="Arial"/>
                <w:lang w:val="es-ES"/>
              </w:rPr>
              <w:t>zada</w:t>
            </w:r>
            <w:r w:rsidR="006F3FD6">
              <w:rPr>
                <w:rFonts w:ascii="Arial" w:hAnsi="Arial" w:cs="Arial"/>
                <w:lang w:val="es-ES"/>
              </w:rPr>
              <w:t xml:space="preserve"> para energía eléctrica</w:t>
            </w:r>
            <w:r w:rsidR="007E5ECB">
              <w:rPr>
                <w:rFonts w:ascii="Arial" w:hAnsi="Arial" w:cs="Arial"/>
                <w:lang w:val="es-ES"/>
              </w:rPr>
              <w:t>.</w:t>
            </w:r>
          </w:p>
        </w:tc>
      </w:tr>
      <w:tr w:rsidR="00197854" w:rsidRPr="00754EB0" w14:paraId="34CF5958" w14:textId="77777777" w:rsidTr="00015359">
        <w:trPr>
          <w:trHeight w:val="32"/>
        </w:trPr>
        <w:tc>
          <w:tcPr>
            <w:tcW w:w="2504" w:type="dxa"/>
            <w:vMerge/>
          </w:tcPr>
          <w:p w14:paraId="2946DB82" w14:textId="77777777" w:rsidR="00197854" w:rsidRPr="00BF3DF5" w:rsidRDefault="00197854" w:rsidP="00197854">
            <w:pPr>
              <w:rPr>
                <w:rFonts w:ascii="Arial" w:hAnsi="Arial" w:cs="Arial"/>
                <w:b/>
                <w:lang w:val="es-ES"/>
              </w:rPr>
            </w:pPr>
          </w:p>
        </w:tc>
        <w:tc>
          <w:tcPr>
            <w:tcW w:w="3393" w:type="dxa"/>
          </w:tcPr>
          <w:p w14:paraId="28E91666" w14:textId="77777777" w:rsidR="00197854" w:rsidRPr="00BF3DF5" w:rsidRDefault="00197854" w:rsidP="00356051">
            <w:pPr>
              <w:jc w:val="both"/>
              <w:rPr>
                <w:rFonts w:ascii="Arial" w:hAnsi="Arial" w:cs="Arial"/>
                <w:lang w:val="es-ES"/>
              </w:rPr>
            </w:pPr>
            <w:r w:rsidRPr="00BF3DF5">
              <w:rPr>
                <w:rFonts w:ascii="Arial" w:hAnsi="Arial" w:cs="Arial"/>
                <w:lang w:val="es-ES"/>
              </w:rPr>
              <w:t>Implementación y ajustes a los mecanismos de respuesta de la demanda.</w:t>
            </w:r>
          </w:p>
        </w:tc>
        <w:tc>
          <w:tcPr>
            <w:tcW w:w="3565" w:type="dxa"/>
            <w:tcBorders>
              <w:bottom w:val="single" w:sz="4" w:space="0" w:color="auto"/>
            </w:tcBorders>
          </w:tcPr>
          <w:p w14:paraId="5997CC1D" w14:textId="6C46D4CF" w:rsidR="00197854" w:rsidRPr="00BF3DF5" w:rsidRDefault="009E3712" w:rsidP="00356051">
            <w:pPr>
              <w:jc w:val="both"/>
              <w:rPr>
                <w:rFonts w:ascii="Arial" w:hAnsi="Arial" w:cs="Arial"/>
                <w:lang w:val="es-ES"/>
              </w:rPr>
            </w:pPr>
            <w:r w:rsidRPr="009E3712">
              <w:rPr>
                <w:rFonts w:ascii="Arial" w:hAnsi="Arial" w:cs="Arial"/>
                <w:lang w:val="es-ES"/>
              </w:rPr>
              <w:t>Que se haya realizado un estudio que evalúe los criterios regulatorios para la implementación de infraestructura de medición avanzada que permita facilitar esquemas de eficiencia energética, respuesta de la demanda y modelos de tarificación horaria.</w:t>
            </w:r>
          </w:p>
        </w:tc>
        <w:tc>
          <w:tcPr>
            <w:tcW w:w="3493" w:type="dxa"/>
            <w:tcBorders>
              <w:bottom w:val="single" w:sz="4" w:space="0" w:color="auto"/>
            </w:tcBorders>
          </w:tcPr>
          <w:p w14:paraId="3E8FE282" w14:textId="42FC4C33" w:rsidR="00197854" w:rsidRPr="00BF3DF5" w:rsidRDefault="00197854" w:rsidP="00197854">
            <w:pPr>
              <w:jc w:val="both"/>
              <w:rPr>
                <w:rFonts w:ascii="Arial" w:hAnsi="Arial" w:cs="Arial"/>
                <w:b/>
                <w:lang w:val="es-ES"/>
              </w:rPr>
            </w:pPr>
            <w:r w:rsidRPr="00BF3DF5">
              <w:rPr>
                <w:rFonts w:ascii="Arial" w:hAnsi="Arial" w:cs="Arial"/>
                <w:lang w:val="es-ES"/>
              </w:rPr>
              <w:t xml:space="preserve">El compromiso de política se </w:t>
            </w:r>
            <w:r w:rsidR="009E3712">
              <w:rPr>
                <w:rFonts w:ascii="Arial" w:hAnsi="Arial" w:cs="Arial"/>
                <w:lang w:val="es-ES"/>
              </w:rPr>
              <w:t xml:space="preserve">ajustó para reflejar </w:t>
            </w:r>
            <w:r w:rsidR="00B2605F">
              <w:rPr>
                <w:rFonts w:ascii="Arial" w:hAnsi="Arial" w:cs="Arial"/>
                <w:lang w:val="es-ES"/>
              </w:rPr>
              <w:t>los avances</w:t>
            </w:r>
            <w:r w:rsidR="00FF3662">
              <w:rPr>
                <w:rFonts w:ascii="Arial" w:hAnsi="Arial" w:cs="Arial"/>
                <w:lang w:val="es-ES"/>
              </w:rPr>
              <w:t xml:space="preserve"> </w:t>
            </w:r>
            <w:r w:rsidR="002E393E">
              <w:rPr>
                <w:rFonts w:ascii="Arial" w:hAnsi="Arial" w:cs="Arial"/>
                <w:lang w:val="es-ES"/>
              </w:rPr>
              <w:t>que permitirán la adopción de mecanismo</w:t>
            </w:r>
            <w:r w:rsidR="00693A1A">
              <w:rPr>
                <w:rFonts w:ascii="Arial" w:hAnsi="Arial" w:cs="Arial"/>
                <w:lang w:val="es-ES"/>
              </w:rPr>
              <w:t>s</w:t>
            </w:r>
            <w:r w:rsidR="002E393E">
              <w:rPr>
                <w:rFonts w:ascii="Arial" w:hAnsi="Arial" w:cs="Arial"/>
                <w:lang w:val="es-ES"/>
              </w:rPr>
              <w:t xml:space="preserve"> de respuesta de la demanda.</w:t>
            </w:r>
          </w:p>
        </w:tc>
      </w:tr>
      <w:tr w:rsidR="0093092B" w:rsidRPr="00754EB0" w14:paraId="667D40BC" w14:textId="77777777" w:rsidTr="00015359">
        <w:trPr>
          <w:trHeight w:val="213"/>
        </w:trPr>
        <w:tc>
          <w:tcPr>
            <w:tcW w:w="2504" w:type="dxa"/>
            <w:vMerge/>
          </w:tcPr>
          <w:p w14:paraId="110FFD37" w14:textId="77777777" w:rsidR="0093092B" w:rsidRPr="00BF3DF5" w:rsidRDefault="0093092B" w:rsidP="0093092B">
            <w:pPr>
              <w:rPr>
                <w:rFonts w:ascii="Arial" w:hAnsi="Arial" w:cs="Arial"/>
                <w:b/>
                <w:lang w:val="es-ES"/>
              </w:rPr>
            </w:pPr>
          </w:p>
        </w:tc>
        <w:tc>
          <w:tcPr>
            <w:tcW w:w="3393" w:type="dxa"/>
            <w:tcBorders>
              <w:bottom w:val="single" w:sz="4" w:space="0" w:color="auto"/>
            </w:tcBorders>
          </w:tcPr>
          <w:p w14:paraId="51F73048" w14:textId="77777777" w:rsidR="0093092B" w:rsidRPr="00BF3DF5" w:rsidRDefault="0093092B" w:rsidP="0093092B">
            <w:pPr>
              <w:jc w:val="both"/>
              <w:rPr>
                <w:rFonts w:ascii="Arial" w:hAnsi="Arial" w:cs="Arial"/>
                <w:lang w:val="es-ES"/>
              </w:rPr>
            </w:pPr>
            <w:r w:rsidRPr="00BF3DF5">
              <w:rPr>
                <w:rFonts w:ascii="Arial" w:hAnsi="Arial" w:cs="Arial"/>
                <w:lang w:val="es-ES"/>
              </w:rPr>
              <w:t>Aprobación de los mecanismos para la desconexión voluntaria de la demanda como medio para dar confiabilidad al SIN</w:t>
            </w:r>
          </w:p>
        </w:tc>
        <w:tc>
          <w:tcPr>
            <w:tcW w:w="3565" w:type="dxa"/>
            <w:tcBorders>
              <w:top w:val="single" w:sz="4" w:space="0" w:color="auto"/>
              <w:bottom w:val="single" w:sz="4" w:space="0" w:color="auto"/>
            </w:tcBorders>
          </w:tcPr>
          <w:p w14:paraId="6B9B9C95" w14:textId="09203D41" w:rsidR="0093092B" w:rsidRPr="00BF3DF5" w:rsidRDefault="0093092B" w:rsidP="0093092B">
            <w:pPr>
              <w:jc w:val="both"/>
              <w:rPr>
                <w:rFonts w:ascii="Arial" w:hAnsi="Arial" w:cs="Arial"/>
                <w:lang w:val="es-ES"/>
              </w:rPr>
            </w:pPr>
            <w:r>
              <w:rPr>
                <w:rFonts w:ascii="Arial" w:hAnsi="Arial" w:cs="Arial"/>
                <w:lang w:val="es-ES"/>
              </w:rPr>
              <w:t xml:space="preserve">Que se haya expedido la regulación que establece los </w:t>
            </w:r>
            <w:r w:rsidRPr="00A250E5">
              <w:rPr>
                <w:rFonts w:ascii="Arial" w:hAnsi="Arial" w:cs="Arial"/>
                <w:lang w:val="es-ES"/>
              </w:rPr>
              <w:t>mecanismos para la desconexión voluntaria de la demanda</w:t>
            </w:r>
            <w:r>
              <w:rPr>
                <w:rFonts w:ascii="Arial" w:hAnsi="Arial" w:cs="Arial"/>
                <w:lang w:val="es-ES"/>
              </w:rPr>
              <w:t xml:space="preserve"> de los grandes consumidores</w:t>
            </w:r>
            <w:r w:rsidRPr="00A250E5">
              <w:rPr>
                <w:rFonts w:ascii="Arial" w:hAnsi="Arial" w:cs="Arial"/>
                <w:lang w:val="es-ES"/>
              </w:rPr>
              <w:t xml:space="preserve"> como medio para dar confiabilidad al SIN.</w:t>
            </w:r>
          </w:p>
        </w:tc>
        <w:tc>
          <w:tcPr>
            <w:tcW w:w="3493" w:type="dxa"/>
            <w:tcBorders>
              <w:top w:val="single" w:sz="4" w:space="0" w:color="auto"/>
              <w:bottom w:val="single" w:sz="4" w:space="0" w:color="auto"/>
            </w:tcBorders>
          </w:tcPr>
          <w:p w14:paraId="1052C712" w14:textId="701708B1" w:rsidR="0093092B" w:rsidRPr="00BF3DF5" w:rsidRDefault="0093092B" w:rsidP="0093092B">
            <w:pPr>
              <w:jc w:val="both"/>
              <w:rPr>
                <w:rFonts w:ascii="Arial" w:hAnsi="Arial" w:cs="Arial"/>
                <w:lang w:val="es-ES"/>
              </w:rPr>
            </w:pPr>
            <w:r w:rsidRPr="00BF3DF5">
              <w:rPr>
                <w:rFonts w:ascii="Arial" w:hAnsi="Arial" w:cs="Arial"/>
                <w:lang w:val="es-ES"/>
              </w:rPr>
              <w:t xml:space="preserve">El compromiso de política </w:t>
            </w:r>
            <w:r w:rsidR="00916CCA">
              <w:rPr>
                <w:rFonts w:ascii="Arial" w:hAnsi="Arial" w:cs="Arial"/>
                <w:lang w:val="es-ES"/>
              </w:rPr>
              <w:t>se fortaleció a</w:t>
            </w:r>
            <w:r w:rsidR="00EC30B1">
              <w:rPr>
                <w:rFonts w:ascii="Arial" w:hAnsi="Arial" w:cs="Arial"/>
                <w:lang w:val="es-ES"/>
              </w:rPr>
              <w:t>l</w:t>
            </w:r>
            <w:r w:rsidR="00916CCA">
              <w:rPr>
                <w:rFonts w:ascii="Arial" w:hAnsi="Arial" w:cs="Arial"/>
                <w:lang w:val="es-ES"/>
              </w:rPr>
              <w:t xml:space="preserve"> requerir la expedición de medidas regulatorias concretas </w:t>
            </w:r>
            <w:r w:rsidR="008531CF">
              <w:rPr>
                <w:rFonts w:ascii="Arial" w:hAnsi="Arial" w:cs="Arial"/>
                <w:lang w:val="es-ES"/>
              </w:rPr>
              <w:t>relacionad</w:t>
            </w:r>
            <w:r w:rsidR="00EC30B1">
              <w:rPr>
                <w:rFonts w:ascii="Arial" w:hAnsi="Arial" w:cs="Arial"/>
                <w:lang w:val="es-ES"/>
              </w:rPr>
              <w:t>a</w:t>
            </w:r>
            <w:r w:rsidR="008531CF">
              <w:rPr>
                <w:rFonts w:ascii="Arial" w:hAnsi="Arial" w:cs="Arial"/>
                <w:lang w:val="es-ES"/>
              </w:rPr>
              <w:t>s con la desconexión voluntaria de la demanda</w:t>
            </w:r>
            <w:r w:rsidR="00237708">
              <w:rPr>
                <w:rFonts w:ascii="Arial" w:hAnsi="Arial" w:cs="Arial"/>
                <w:lang w:val="es-ES"/>
              </w:rPr>
              <w:t xml:space="preserve"> de grandes consumidores</w:t>
            </w:r>
            <w:r w:rsidR="008531CF">
              <w:rPr>
                <w:rFonts w:ascii="Arial" w:hAnsi="Arial" w:cs="Arial"/>
                <w:lang w:val="es-ES"/>
              </w:rPr>
              <w:t>.</w:t>
            </w:r>
          </w:p>
        </w:tc>
      </w:tr>
      <w:tr w:rsidR="00C121DD" w:rsidRPr="00754EB0" w14:paraId="346AF0EC" w14:textId="77777777" w:rsidTr="00015359">
        <w:trPr>
          <w:trHeight w:val="32"/>
        </w:trPr>
        <w:tc>
          <w:tcPr>
            <w:tcW w:w="2504" w:type="dxa"/>
            <w:vMerge/>
          </w:tcPr>
          <w:p w14:paraId="6B699379" w14:textId="77777777" w:rsidR="00C121DD" w:rsidRPr="00BF3DF5" w:rsidRDefault="00C121DD" w:rsidP="00C121DD">
            <w:pPr>
              <w:rPr>
                <w:rFonts w:ascii="Arial" w:hAnsi="Arial" w:cs="Arial"/>
                <w:b/>
                <w:lang w:val="es-ES"/>
              </w:rPr>
            </w:pPr>
          </w:p>
        </w:tc>
        <w:tc>
          <w:tcPr>
            <w:tcW w:w="10451" w:type="dxa"/>
            <w:gridSpan w:val="3"/>
          </w:tcPr>
          <w:p w14:paraId="3B7090F1" w14:textId="77777777" w:rsidR="00C121DD" w:rsidRPr="00BF3DF5" w:rsidRDefault="00C121DD" w:rsidP="00C121DD">
            <w:pPr>
              <w:jc w:val="both"/>
              <w:rPr>
                <w:rFonts w:ascii="Arial" w:hAnsi="Arial" w:cs="Arial"/>
                <w:b/>
                <w:lang w:val="es-ES"/>
              </w:rPr>
            </w:pPr>
            <w:r w:rsidRPr="00BF3DF5">
              <w:rPr>
                <w:rFonts w:ascii="Arial" w:hAnsi="Arial" w:cs="Arial"/>
                <w:b/>
                <w:lang w:val="es-ES"/>
              </w:rPr>
              <w:t>Funcionamiento del Mercado Eléctrico Mayorista</w:t>
            </w:r>
          </w:p>
        </w:tc>
      </w:tr>
      <w:tr w:rsidR="00B22EFA" w:rsidRPr="00754EB0" w14:paraId="6EF25778" w14:textId="77777777" w:rsidTr="00015359">
        <w:trPr>
          <w:trHeight w:val="208"/>
        </w:trPr>
        <w:tc>
          <w:tcPr>
            <w:tcW w:w="2504" w:type="dxa"/>
            <w:vMerge/>
          </w:tcPr>
          <w:p w14:paraId="3FE9F23F" w14:textId="77777777" w:rsidR="00B22EFA" w:rsidRPr="00BF3DF5" w:rsidRDefault="00B22EFA" w:rsidP="00B22EFA">
            <w:pPr>
              <w:rPr>
                <w:rFonts w:ascii="Arial" w:hAnsi="Arial" w:cs="Arial"/>
                <w:b/>
                <w:lang w:val="es-ES"/>
              </w:rPr>
            </w:pPr>
          </w:p>
        </w:tc>
        <w:tc>
          <w:tcPr>
            <w:tcW w:w="3393" w:type="dxa"/>
          </w:tcPr>
          <w:p w14:paraId="0CC5B450" w14:textId="382068B5" w:rsidR="00B22EFA" w:rsidRPr="00BF3DF5" w:rsidRDefault="00B22EFA" w:rsidP="00B22EFA">
            <w:pPr>
              <w:jc w:val="both"/>
              <w:rPr>
                <w:rFonts w:ascii="Arial" w:hAnsi="Arial" w:cs="Arial"/>
                <w:lang w:val="es-ES"/>
              </w:rPr>
            </w:pPr>
            <w:r w:rsidRPr="00BF3DF5">
              <w:rPr>
                <w:rFonts w:ascii="Arial" w:hAnsi="Arial" w:cs="Arial"/>
                <w:lang w:val="es-ES"/>
              </w:rPr>
              <w:t xml:space="preserve">La </w:t>
            </w:r>
            <w:r w:rsidRPr="00B22EFA">
              <w:rPr>
                <w:rFonts w:ascii="Arial" w:hAnsi="Arial" w:cs="Arial"/>
                <w:lang w:val="es-ES"/>
              </w:rPr>
              <w:t>Agenda Regulatoria 2017 de la CREG</w:t>
            </w:r>
            <w:r w:rsidRPr="00BF3DF5">
              <w:rPr>
                <w:rFonts w:ascii="Arial" w:hAnsi="Arial" w:cs="Arial"/>
                <w:lang w:val="es-ES"/>
              </w:rPr>
              <w:t>, (la cual contiene los proyectos regulatorios de mayor prioridad) incluye regulación para la implementación de las recomendaciones de reforma en el MEM.</w:t>
            </w:r>
          </w:p>
        </w:tc>
        <w:tc>
          <w:tcPr>
            <w:tcW w:w="3565" w:type="dxa"/>
            <w:tcBorders>
              <w:bottom w:val="single" w:sz="4" w:space="0" w:color="auto"/>
            </w:tcBorders>
          </w:tcPr>
          <w:p w14:paraId="1F72F646" w14:textId="7DF1BD7B" w:rsidR="00B22EFA" w:rsidRPr="006362F2" w:rsidRDefault="00401F5B" w:rsidP="00B22EFA">
            <w:pPr>
              <w:jc w:val="both"/>
              <w:rPr>
                <w:rFonts w:ascii="Arial" w:hAnsi="Arial" w:cs="Arial"/>
                <w:lang w:val="es-ES"/>
              </w:rPr>
            </w:pPr>
            <w:r>
              <w:rPr>
                <w:rFonts w:ascii="Arial" w:hAnsi="Arial" w:cs="Arial"/>
                <w:lang w:val="es-ES"/>
              </w:rPr>
              <w:t>Que se haya publicado l</w:t>
            </w:r>
            <w:r w:rsidR="00B22EFA" w:rsidRPr="00BF3DF5">
              <w:rPr>
                <w:rFonts w:ascii="Arial" w:hAnsi="Arial" w:cs="Arial"/>
                <w:lang w:val="es-ES"/>
              </w:rPr>
              <w:t xml:space="preserve">a </w:t>
            </w:r>
            <w:r w:rsidR="00B22EFA" w:rsidRPr="00B22EFA">
              <w:rPr>
                <w:rFonts w:ascii="Arial" w:hAnsi="Arial" w:cs="Arial"/>
                <w:lang w:val="es-ES"/>
              </w:rPr>
              <w:t>Agenda Regulatoria 201</w:t>
            </w:r>
            <w:r w:rsidR="00B22EFA">
              <w:rPr>
                <w:rFonts w:ascii="Arial" w:hAnsi="Arial" w:cs="Arial"/>
                <w:lang w:val="es-ES"/>
              </w:rPr>
              <w:t>9</w:t>
            </w:r>
            <w:r w:rsidR="00B22EFA" w:rsidRPr="00B22EFA">
              <w:rPr>
                <w:rFonts w:ascii="Arial" w:hAnsi="Arial" w:cs="Arial"/>
                <w:lang w:val="es-ES"/>
              </w:rPr>
              <w:t xml:space="preserve"> de la CREG</w:t>
            </w:r>
            <w:r w:rsidR="00B22EFA" w:rsidRPr="00BF3DF5">
              <w:rPr>
                <w:rFonts w:ascii="Arial" w:hAnsi="Arial" w:cs="Arial"/>
                <w:lang w:val="es-ES"/>
              </w:rPr>
              <w:t>, (la cual contiene los proyectos regulatorios de mayor prioridad) incluye regulación para la implementación de las recomendaciones de reforma en el MEM.</w:t>
            </w:r>
          </w:p>
        </w:tc>
        <w:tc>
          <w:tcPr>
            <w:tcW w:w="3493" w:type="dxa"/>
            <w:tcBorders>
              <w:bottom w:val="single" w:sz="4" w:space="0" w:color="auto"/>
            </w:tcBorders>
          </w:tcPr>
          <w:p w14:paraId="5E16A42D" w14:textId="40A361DA" w:rsidR="00B22EFA" w:rsidRPr="00BF3DF5" w:rsidRDefault="00B22EFA" w:rsidP="00B22EFA">
            <w:pPr>
              <w:jc w:val="both"/>
              <w:rPr>
                <w:rFonts w:ascii="Arial" w:hAnsi="Arial" w:cs="Arial"/>
                <w:lang w:val="es-ES"/>
              </w:rPr>
            </w:pPr>
            <w:r w:rsidRPr="00BF3DF5">
              <w:rPr>
                <w:rFonts w:ascii="Arial" w:hAnsi="Arial" w:cs="Arial"/>
                <w:lang w:val="es-ES"/>
              </w:rPr>
              <w:t>El compromiso de política se mantiene inalterado</w:t>
            </w:r>
            <w:r>
              <w:rPr>
                <w:rFonts w:ascii="Arial" w:hAnsi="Arial" w:cs="Arial"/>
                <w:lang w:val="es-ES"/>
              </w:rPr>
              <w:t>, pero se actualiza el año</w:t>
            </w:r>
            <w:r w:rsidRPr="00BF3DF5">
              <w:rPr>
                <w:rFonts w:ascii="Arial" w:hAnsi="Arial" w:cs="Arial"/>
                <w:lang w:val="es-ES"/>
              </w:rPr>
              <w:t>.</w:t>
            </w:r>
          </w:p>
        </w:tc>
      </w:tr>
      <w:tr w:rsidR="00B22EFA" w:rsidRPr="00754EB0" w14:paraId="3FD96CBA" w14:textId="77777777" w:rsidTr="00015359">
        <w:trPr>
          <w:trHeight w:val="208"/>
        </w:trPr>
        <w:tc>
          <w:tcPr>
            <w:tcW w:w="2504" w:type="dxa"/>
            <w:vMerge/>
          </w:tcPr>
          <w:p w14:paraId="08919EF0" w14:textId="77777777" w:rsidR="00B22EFA" w:rsidRPr="00BF3DF5" w:rsidRDefault="00B22EFA" w:rsidP="00B22EFA">
            <w:pPr>
              <w:rPr>
                <w:rFonts w:ascii="Arial" w:hAnsi="Arial" w:cs="Arial"/>
                <w:b/>
                <w:lang w:val="es-ES"/>
              </w:rPr>
            </w:pPr>
          </w:p>
        </w:tc>
        <w:tc>
          <w:tcPr>
            <w:tcW w:w="3393" w:type="dxa"/>
          </w:tcPr>
          <w:p w14:paraId="558B1BAD" w14:textId="77777777" w:rsidR="00B22EFA" w:rsidRPr="00BF3DF5" w:rsidRDefault="00B22EFA" w:rsidP="00B22EFA">
            <w:pPr>
              <w:jc w:val="both"/>
              <w:rPr>
                <w:rFonts w:ascii="Arial" w:hAnsi="Arial" w:cs="Arial"/>
                <w:lang w:val="es-ES"/>
              </w:rPr>
            </w:pPr>
          </w:p>
        </w:tc>
        <w:tc>
          <w:tcPr>
            <w:tcW w:w="3565" w:type="dxa"/>
            <w:tcBorders>
              <w:bottom w:val="single" w:sz="4" w:space="0" w:color="auto"/>
            </w:tcBorders>
          </w:tcPr>
          <w:p w14:paraId="1B0344C6" w14:textId="77777777" w:rsidR="00B22EFA" w:rsidRPr="00704CA3" w:rsidRDefault="00B22EFA" w:rsidP="00B22EFA">
            <w:pPr>
              <w:jc w:val="both"/>
              <w:rPr>
                <w:rFonts w:ascii="Arial" w:hAnsi="Arial" w:cs="Arial"/>
                <w:lang w:val="es-ES"/>
              </w:rPr>
            </w:pPr>
            <w:r w:rsidRPr="00704CA3">
              <w:rPr>
                <w:rFonts w:ascii="Arial" w:hAnsi="Arial" w:cs="Arial"/>
                <w:lang w:val="es-ES"/>
              </w:rPr>
              <w:t>Que se hayan establecido las condiciones para incrementar la oferta de energía en el mercado de energía mayorista, a través de:</w:t>
            </w:r>
          </w:p>
          <w:p w14:paraId="67722B15" w14:textId="77777777" w:rsidR="00B22EFA" w:rsidRPr="00704CA3" w:rsidRDefault="00B22EFA" w:rsidP="00B22EFA">
            <w:pPr>
              <w:jc w:val="both"/>
              <w:rPr>
                <w:rFonts w:ascii="Arial" w:hAnsi="Arial" w:cs="Arial"/>
                <w:lang w:val="es-ES"/>
              </w:rPr>
            </w:pPr>
          </w:p>
          <w:p w14:paraId="21EBA597" w14:textId="77777777" w:rsidR="00B22EFA" w:rsidRPr="00704CA3" w:rsidRDefault="00B22EFA" w:rsidP="00015359">
            <w:pPr>
              <w:pStyle w:val="ListParagraph"/>
              <w:numPr>
                <w:ilvl w:val="0"/>
                <w:numId w:val="40"/>
              </w:numPr>
              <w:ind w:left="252" w:hanging="270"/>
              <w:jc w:val="both"/>
              <w:rPr>
                <w:rFonts w:ascii="Arial" w:hAnsi="Arial" w:cs="Arial"/>
                <w:lang w:val="es-ES"/>
              </w:rPr>
            </w:pPr>
            <w:r w:rsidRPr="00704CA3">
              <w:rPr>
                <w:rFonts w:ascii="Arial" w:hAnsi="Arial" w:cs="Arial"/>
                <w:lang w:val="es-ES_tradnl"/>
              </w:rPr>
              <w:lastRenderedPageBreak/>
              <w:t>Convocatoria a subasta para asignar obligaciones de energía del cargo por confiabilidad.</w:t>
            </w:r>
          </w:p>
          <w:p w14:paraId="683C46FA" w14:textId="77777777" w:rsidR="00B22EFA" w:rsidRPr="00704CA3" w:rsidRDefault="00B22EFA" w:rsidP="00B22EFA">
            <w:pPr>
              <w:pStyle w:val="ListParagraph"/>
              <w:ind w:left="360"/>
              <w:jc w:val="both"/>
              <w:rPr>
                <w:rFonts w:ascii="Arial" w:hAnsi="Arial" w:cs="Arial"/>
                <w:lang w:val="es-ES"/>
              </w:rPr>
            </w:pPr>
          </w:p>
          <w:p w14:paraId="54B1A86B" w14:textId="6B7BDCB4" w:rsidR="00B22EFA" w:rsidRPr="00704CA3" w:rsidRDefault="00B22EFA" w:rsidP="00015359">
            <w:pPr>
              <w:pStyle w:val="ListParagraph"/>
              <w:numPr>
                <w:ilvl w:val="0"/>
                <w:numId w:val="40"/>
              </w:numPr>
              <w:ind w:left="252" w:hanging="270"/>
              <w:jc w:val="both"/>
              <w:rPr>
                <w:rFonts w:ascii="Arial" w:hAnsi="Arial" w:cs="Arial"/>
                <w:lang w:val="es-ES"/>
              </w:rPr>
            </w:pPr>
            <w:r w:rsidRPr="00704CA3">
              <w:rPr>
                <w:rFonts w:ascii="Arial" w:hAnsi="Arial" w:cs="Arial"/>
                <w:lang w:val="es-ES"/>
              </w:rPr>
              <w:t>Regulación que establezca los requisitos que deben cumplir los comercializadores para que sus precios sean reconocidos en la tarifa eléctrica.</w:t>
            </w:r>
          </w:p>
        </w:tc>
        <w:tc>
          <w:tcPr>
            <w:tcW w:w="3493" w:type="dxa"/>
            <w:tcBorders>
              <w:bottom w:val="single" w:sz="4" w:space="0" w:color="auto"/>
            </w:tcBorders>
          </w:tcPr>
          <w:p w14:paraId="3E96F247" w14:textId="4066CE12" w:rsidR="00B22EFA" w:rsidRPr="00BF3DF5" w:rsidRDefault="00B22EFA" w:rsidP="00B22EFA">
            <w:pPr>
              <w:jc w:val="both"/>
              <w:rPr>
                <w:rFonts w:ascii="Arial" w:hAnsi="Arial" w:cs="Arial"/>
                <w:lang w:val="es-ES"/>
              </w:rPr>
            </w:pPr>
            <w:r w:rsidRPr="00BF3DF5">
              <w:rPr>
                <w:rFonts w:ascii="Arial" w:hAnsi="Arial" w:cs="Arial"/>
                <w:lang w:val="es-ES"/>
              </w:rPr>
              <w:lastRenderedPageBreak/>
              <w:t xml:space="preserve">El compromiso de política </w:t>
            </w:r>
            <w:r>
              <w:rPr>
                <w:rFonts w:ascii="Arial" w:hAnsi="Arial" w:cs="Arial"/>
                <w:lang w:val="es-ES"/>
              </w:rPr>
              <w:t xml:space="preserve">se adiciona para incluir medidas regulatorias concretas que resulten en el fortalecimiento del funcionamiento del </w:t>
            </w:r>
            <w:r w:rsidR="00693A1A">
              <w:rPr>
                <w:rFonts w:ascii="Arial" w:hAnsi="Arial" w:cs="Arial"/>
                <w:lang w:val="es-ES"/>
              </w:rPr>
              <w:t>MEM</w:t>
            </w:r>
            <w:r>
              <w:rPr>
                <w:rFonts w:ascii="Arial" w:hAnsi="Arial" w:cs="Arial"/>
                <w:lang w:val="es-ES"/>
              </w:rPr>
              <w:t xml:space="preserve"> a través del incremento de la oferta de energía.</w:t>
            </w:r>
          </w:p>
        </w:tc>
      </w:tr>
      <w:tr w:rsidR="00B22EFA" w:rsidRPr="00754EB0" w14:paraId="7974F60E" w14:textId="77777777" w:rsidTr="00015359">
        <w:trPr>
          <w:trHeight w:val="208"/>
        </w:trPr>
        <w:tc>
          <w:tcPr>
            <w:tcW w:w="2504" w:type="dxa"/>
            <w:vMerge/>
          </w:tcPr>
          <w:p w14:paraId="08CE6F91" w14:textId="77777777" w:rsidR="00B22EFA" w:rsidRPr="00BF3DF5" w:rsidRDefault="00B22EFA" w:rsidP="00B22EFA">
            <w:pPr>
              <w:rPr>
                <w:rFonts w:ascii="Arial" w:hAnsi="Arial" w:cs="Arial"/>
                <w:b/>
                <w:lang w:val="es-ES"/>
              </w:rPr>
            </w:pPr>
          </w:p>
        </w:tc>
        <w:tc>
          <w:tcPr>
            <w:tcW w:w="3393" w:type="dxa"/>
          </w:tcPr>
          <w:p w14:paraId="3A48AABB" w14:textId="77777777" w:rsidR="00B22EFA" w:rsidRPr="00BF3DF5" w:rsidRDefault="00B22EFA" w:rsidP="00B22EFA">
            <w:pPr>
              <w:jc w:val="both"/>
              <w:rPr>
                <w:rFonts w:ascii="Arial" w:hAnsi="Arial" w:cs="Arial"/>
                <w:lang w:val="es-ES"/>
              </w:rPr>
            </w:pPr>
            <w:r w:rsidRPr="00BF3DF5">
              <w:rPr>
                <w:rFonts w:ascii="Arial" w:hAnsi="Arial" w:cs="Arial"/>
                <w:lang w:val="es-ES"/>
              </w:rPr>
              <w:t>Adopción del Plan de Expansión de Generación y Transmisión del Sector Eléctrico 2017-2031.</w:t>
            </w:r>
          </w:p>
        </w:tc>
        <w:tc>
          <w:tcPr>
            <w:tcW w:w="3565" w:type="dxa"/>
            <w:tcBorders>
              <w:bottom w:val="single" w:sz="4" w:space="0" w:color="auto"/>
            </w:tcBorders>
          </w:tcPr>
          <w:p w14:paraId="6ACDB6E0" w14:textId="32A21227" w:rsidR="00B22EFA" w:rsidRPr="00BF3DF5" w:rsidRDefault="009337DA" w:rsidP="00B22EFA">
            <w:pPr>
              <w:jc w:val="both"/>
              <w:rPr>
                <w:rFonts w:ascii="Arial" w:hAnsi="Arial" w:cs="Arial"/>
                <w:lang w:val="es-ES"/>
              </w:rPr>
            </w:pPr>
            <w:r>
              <w:rPr>
                <w:rFonts w:ascii="Arial" w:hAnsi="Arial" w:cs="Arial"/>
                <w:lang w:val="es-ES"/>
              </w:rPr>
              <w:t xml:space="preserve">Que se haya adoptado el </w:t>
            </w:r>
            <w:r w:rsidR="00B22EFA" w:rsidRPr="00A250E5">
              <w:rPr>
                <w:rFonts w:ascii="Arial" w:hAnsi="Arial" w:cs="Arial"/>
                <w:lang w:val="es-ES"/>
              </w:rPr>
              <w:t>Plan de Expansión de Generación y Transmisión del Sector Eléctrico 2017-2031.</w:t>
            </w:r>
          </w:p>
        </w:tc>
        <w:tc>
          <w:tcPr>
            <w:tcW w:w="3493" w:type="dxa"/>
            <w:tcBorders>
              <w:bottom w:val="single" w:sz="4" w:space="0" w:color="auto"/>
            </w:tcBorders>
          </w:tcPr>
          <w:p w14:paraId="47866067" w14:textId="77777777" w:rsidR="00B22EFA" w:rsidRPr="00BF3DF5" w:rsidRDefault="00B22EFA" w:rsidP="00B22EFA">
            <w:pPr>
              <w:jc w:val="both"/>
              <w:rPr>
                <w:rFonts w:ascii="Arial" w:hAnsi="Arial" w:cs="Arial"/>
                <w:lang w:val="es-ES"/>
              </w:rPr>
            </w:pPr>
            <w:r w:rsidRPr="00BF3DF5">
              <w:rPr>
                <w:rFonts w:ascii="Arial" w:hAnsi="Arial" w:cs="Arial"/>
                <w:lang w:val="es-ES"/>
              </w:rPr>
              <w:t>El compromiso de política se mantiene inalterado.</w:t>
            </w:r>
          </w:p>
        </w:tc>
      </w:tr>
      <w:tr w:rsidR="00B22EFA" w:rsidRPr="00BF3DF5" w14:paraId="03E9B2E3" w14:textId="77777777" w:rsidTr="00015359">
        <w:trPr>
          <w:trHeight w:val="208"/>
        </w:trPr>
        <w:tc>
          <w:tcPr>
            <w:tcW w:w="2504" w:type="dxa"/>
            <w:vMerge/>
          </w:tcPr>
          <w:p w14:paraId="61CDCEAD" w14:textId="77777777" w:rsidR="00B22EFA" w:rsidRPr="00BF3DF5" w:rsidRDefault="00B22EFA" w:rsidP="00B22EFA">
            <w:pPr>
              <w:rPr>
                <w:rFonts w:ascii="Arial" w:hAnsi="Arial" w:cs="Arial"/>
                <w:b/>
                <w:lang w:val="es-ES"/>
              </w:rPr>
            </w:pPr>
          </w:p>
        </w:tc>
        <w:tc>
          <w:tcPr>
            <w:tcW w:w="10451" w:type="dxa"/>
            <w:gridSpan w:val="3"/>
          </w:tcPr>
          <w:p w14:paraId="509DC044" w14:textId="77777777" w:rsidR="00B22EFA" w:rsidRPr="00BF3DF5" w:rsidRDefault="00B22EFA" w:rsidP="00B22EFA">
            <w:pPr>
              <w:jc w:val="both"/>
              <w:rPr>
                <w:rFonts w:ascii="Arial" w:hAnsi="Arial" w:cs="Arial"/>
                <w:lang w:val="es-ES"/>
              </w:rPr>
            </w:pPr>
            <w:r w:rsidRPr="00BF3DF5">
              <w:rPr>
                <w:rFonts w:ascii="Arial" w:hAnsi="Arial" w:cs="Arial"/>
                <w:b/>
                <w:lang w:val="es-ES"/>
              </w:rPr>
              <w:t>Género y Diversidad</w:t>
            </w:r>
          </w:p>
        </w:tc>
      </w:tr>
      <w:tr w:rsidR="00B22EFA" w:rsidRPr="00754EB0" w14:paraId="44F6B69B" w14:textId="77777777" w:rsidTr="00015359">
        <w:trPr>
          <w:trHeight w:val="208"/>
        </w:trPr>
        <w:tc>
          <w:tcPr>
            <w:tcW w:w="2504" w:type="dxa"/>
            <w:vMerge/>
          </w:tcPr>
          <w:p w14:paraId="6BB9E253" w14:textId="77777777" w:rsidR="00B22EFA" w:rsidRPr="00BF3DF5" w:rsidRDefault="00B22EFA" w:rsidP="00B22EFA">
            <w:pPr>
              <w:rPr>
                <w:rFonts w:ascii="Arial" w:hAnsi="Arial" w:cs="Arial"/>
                <w:b/>
                <w:lang w:val="es-ES"/>
              </w:rPr>
            </w:pPr>
          </w:p>
        </w:tc>
        <w:tc>
          <w:tcPr>
            <w:tcW w:w="3393" w:type="dxa"/>
          </w:tcPr>
          <w:p w14:paraId="23DE523C" w14:textId="77777777" w:rsidR="00B22EFA" w:rsidRPr="00BF3DF5" w:rsidRDefault="00B22EFA" w:rsidP="00B22EFA">
            <w:pPr>
              <w:jc w:val="both"/>
              <w:rPr>
                <w:rFonts w:ascii="Arial" w:hAnsi="Arial" w:cs="Arial"/>
                <w:lang w:val="es-ES"/>
              </w:rPr>
            </w:pPr>
          </w:p>
        </w:tc>
        <w:tc>
          <w:tcPr>
            <w:tcW w:w="3565" w:type="dxa"/>
            <w:tcBorders>
              <w:bottom w:val="single" w:sz="4" w:space="0" w:color="auto"/>
            </w:tcBorders>
          </w:tcPr>
          <w:p w14:paraId="03AE3A57" w14:textId="1E14671C" w:rsidR="00B22EFA" w:rsidRPr="00BF3DF5" w:rsidRDefault="00CD4E4D" w:rsidP="00B22EFA">
            <w:pPr>
              <w:jc w:val="both"/>
              <w:rPr>
                <w:rFonts w:ascii="Arial" w:hAnsi="Arial" w:cs="Arial"/>
                <w:lang w:val="es-ES"/>
              </w:rPr>
            </w:pPr>
            <w:r>
              <w:rPr>
                <w:rFonts w:ascii="Arial" w:hAnsi="Arial" w:cs="Arial"/>
                <w:lang w:val="es-ES"/>
              </w:rPr>
              <w:t xml:space="preserve">Que se </w:t>
            </w:r>
            <w:r w:rsidR="00B22EFA" w:rsidRPr="00A250E5">
              <w:rPr>
                <w:rFonts w:ascii="Arial" w:hAnsi="Arial" w:cs="Arial"/>
                <w:lang w:val="es-ES"/>
              </w:rPr>
              <w:t xml:space="preserve">Adoptar una política </w:t>
            </w:r>
            <w:r w:rsidR="00B22EFA">
              <w:rPr>
                <w:rFonts w:ascii="Arial" w:hAnsi="Arial" w:cs="Arial"/>
                <w:lang w:val="es-ES"/>
              </w:rPr>
              <w:t xml:space="preserve">pública sectorial </w:t>
            </w:r>
            <w:r w:rsidR="00B22EFA" w:rsidRPr="00A250E5">
              <w:rPr>
                <w:rFonts w:ascii="Arial" w:hAnsi="Arial" w:cs="Arial"/>
                <w:lang w:val="es-ES"/>
              </w:rPr>
              <w:t>que contemple el enfoque de género en el sector minero energético.</w:t>
            </w:r>
          </w:p>
        </w:tc>
        <w:tc>
          <w:tcPr>
            <w:tcW w:w="3493" w:type="dxa"/>
            <w:tcBorders>
              <w:bottom w:val="single" w:sz="4" w:space="0" w:color="auto"/>
            </w:tcBorders>
          </w:tcPr>
          <w:p w14:paraId="40831F46" w14:textId="77777777" w:rsidR="00B22EFA" w:rsidRPr="00BF3DF5" w:rsidRDefault="00B22EFA" w:rsidP="00B22EFA">
            <w:pPr>
              <w:jc w:val="both"/>
              <w:rPr>
                <w:rFonts w:ascii="Arial" w:hAnsi="Arial" w:cs="Arial"/>
                <w:lang w:val="es-ES"/>
              </w:rPr>
            </w:pPr>
            <w:r w:rsidRPr="00BF3DF5">
              <w:rPr>
                <w:rFonts w:ascii="Arial" w:hAnsi="Arial" w:cs="Arial"/>
                <w:lang w:val="es-ES"/>
              </w:rPr>
              <w:t>El nuevo compromiso de política se incorpora por estar alineado con el objetivo del MME de reducir las brechas de desigualdad entre hombres y mujeres en el sector minero energético.</w:t>
            </w:r>
          </w:p>
        </w:tc>
      </w:tr>
      <w:tr w:rsidR="00B22EFA" w:rsidRPr="00754EB0" w14:paraId="52A9B1B1" w14:textId="77777777" w:rsidTr="00015359">
        <w:trPr>
          <w:trHeight w:val="61"/>
        </w:trPr>
        <w:tc>
          <w:tcPr>
            <w:tcW w:w="12955" w:type="dxa"/>
            <w:gridSpan w:val="4"/>
            <w:shd w:val="clear" w:color="auto" w:fill="C6D9F1" w:themeFill="text2" w:themeFillTint="33"/>
            <w:vAlign w:val="center"/>
          </w:tcPr>
          <w:p w14:paraId="478D454F" w14:textId="55725D19" w:rsidR="00B22EFA" w:rsidRPr="00BF3DF5" w:rsidRDefault="00B22EFA" w:rsidP="00B22EFA">
            <w:pPr>
              <w:jc w:val="both"/>
              <w:rPr>
                <w:rFonts w:ascii="Arial" w:hAnsi="Arial" w:cs="Arial"/>
                <w:lang w:val="es-ES"/>
              </w:rPr>
            </w:pPr>
            <w:r w:rsidRPr="00BF3DF5">
              <w:rPr>
                <w:rFonts w:ascii="Arial" w:hAnsi="Arial" w:cs="Arial"/>
                <w:b/>
                <w:lang w:val="es-ES"/>
              </w:rPr>
              <w:t xml:space="preserve">Componente </w:t>
            </w:r>
            <w:r>
              <w:rPr>
                <w:rFonts w:ascii="Arial" w:hAnsi="Arial" w:cs="Arial"/>
                <w:b/>
                <w:lang w:val="es-ES"/>
              </w:rPr>
              <w:t>III</w:t>
            </w:r>
            <w:r w:rsidRPr="00BF3DF5">
              <w:rPr>
                <w:rFonts w:ascii="Arial" w:hAnsi="Arial" w:cs="Arial"/>
                <w:b/>
                <w:lang w:val="es-ES"/>
              </w:rPr>
              <w:t>. Promoción del acceso a la energía en ZNI</w:t>
            </w:r>
            <w:r w:rsidR="00A0220F">
              <w:rPr>
                <w:rFonts w:ascii="Arial" w:hAnsi="Arial" w:cs="Arial"/>
                <w:b/>
                <w:lang w:val="es-ES"/>
              </w:rPr>
              <w:t xml:space="preserve"> con FNCER</w:t>
            </w:r>
          </w:p>
        </w:tc>
      </w:tr>
      <w:tr w:rsidR="00B22EFA" w:rsidRPr="00754EB0" w14:paraId="3C7392B1" w14:textId="77777777" w:rsidTr="00015359">
        <w:trPr>
          <w:trHeight w:val="240"/>
        </w:trPr>
        <w:tc>
          <w:tcPr>
            <w:tcW w:w="2504" w:type="dxa"/>
            <w:vMerge w:val="restart"/>
          </w:tcPr>
          <w:p w14:paraId="3E95BF3E" w14:textId="77777777" w:rsidR="00B22EFA" w:rsidRPr="00BF3DF5" w:rsidRDefault="00B22EFA" w:rsidP="00B22EFA">
            <w:pPr>
              <w:rPr>
                <w:rFonts w:ascii="Arial" w:hAnsi="Arial" w:cs="Arial"/>
                <w:b/>
                <w:lang w:val="es-ES"/>
              </w:rPr>
            </w:pPr>
            <w:r w:rsidRPr="00BF3DF5">
              <w:rPr>
                <w:rFonts w:ascii="Arial" w:hAnsi="Arial" w:cs="Arial"/>
                <w:szCs w:val="18"/>
                <w:lang w:val="es-BO"/>
              </w:rPr>
              <w:t>Promover el acceso a la energía en las ZNI mediante el uso de FNCER.</w:t>
            </w:r>
          </w:p>
        </w:tc>
        <w:tc>
          <w:tcPr>
            <w:tcW w:w="3393" w:type="dxa"/>
          </w:tcPr>
          <w:p w14:paraId="6F2249E0" w14:textId="77777777" w:rsidR="00B22EFA" w:rsidRPr="00BF3DF5" w:rsidRDefault="00B22EFA" w:rsidP="00B22EFA">
            <w:pPr>
              <w:jc w:val="both"/>
              <w:rPr>
                <w:rFonts w:ascii="Arial" w:hAnsi="Arial" w:cs="Arial"/>
                <w:lang w:val="es-ES"/>
              </w:rPr>
            </w:pPr>
            <w:r w:rsidRPr="00BF3DF5">
              <w:rPr>
                <w:rFonts w:ascii="Arial" w:hAnsi="Arial" w:cs="Arial"/>
                <w:lang w:val="es-ES"/>
              </w:rPr>
              <w:t>Reglamentación de la Ley 1715 de 2014, referente al uso de FNCER en las ZNI:</w:t>
            </w:r>
          </w:p>
          <w:p w14:paraId="52E56223" w14:textId="77777777" w:rsidR="00B22EFA" w:rsidRPr="00BF3DF5" w:rsidRDefault="00B22EFA" w:rsidP="00B22EFA">
            <w:pPr>
              <w:jc w:val="both"/>
              <w:rPr>
                <w:rFonts w:ascii="Arial" w:hAnsi="Arial" w:cs="Arial"/>
                <w:lang w:val="es-ES"/>
              </w:rPr>
            </w:pPr>
          </w:p>
          <w:p w14:paraId="532C329A" w14:textId="77777777" w:rsidR="00B22EFA" w:rsidRPr="00BF3DF5" w:rsidRDefault="00B22EFA" w:rsidP="00B22EFA">
            <w:pPr>
              <w:jc w:val="both"/>
              <w:rPr>
                <w:rFonts w:ascii="Arial" w:hAnsi="Arial" w:cs="Arial"/>
                <w:lang w:val="es-ES"/>
              </w:rPr>
            </w:pPr>
            <w:r w:rsidRPr="00BF3DF5">
              <w:rPr>
                <w:rFonts w:ascii="Arial" w:hAnsi="Arial" w:cs="Arial"/>
                <w:lang w:val="es-ES"/>
              </w:rPr>
              <w:t>Registro de Proyectos de Generación con FNCER conectables a la red y en ZNI, en operación.</w:t>
            </w:r>
          </w:p>
        </w:tc>
        <w:tc>
          <w:tcPr>
            <w:tcW w:w="3565" w:type="dxa"/>
          </w:tcPr>
          <w:p w14:paraId="1A2B528A" w14:textId="77777777" w:rsidR="00B22EFA" w:rsidRPr="00AC6250" w:rsidRDefault="00B22EFA" w:rsidP="00B22EFA">
            <w:pPr>
              <w:jc w:val="both"/>
              <w:rPr>
                <w:rFonts w:ascii="Arial" w:hAnsi="Arial" w:cs="Arial"/>
                <w:lang w:val="es-ES"/>
              </w:rPr>
            </w:pPr>
            <w:r>
              <w:rPr>
                <w:rFonts w:ascii="Arial" w:hAnsi="Arial" w:cs="Arial"/>
                <w:lang w:val="es-ES"/>
              </w:rPr>
              <w:t>Que se haya creado y esté en operación el r</w:t>
            </w:r>
            <w:r w:rsidRPr="00A250E5">
              <w:rPr>
                <w:rFonts w:ascii="Arial" w:hAnsi="Arial" w:cs="Arial"/>
                <w:lang w:val="es-ES"/>
              </w:rPr>
              <w:t>egistro de Proyectos de Generación con FNCER conectables a la red y en ZNI</w:t>
            </w:r>
            <w:r>
              <w:rPr>
                <w:rFonts w:ascii="Arial" w:hAnsi="Arial" w:cs="Arial"/>
                <w:lang w:val="es-ES"/>
              </w:rPr>
              <w:t>.</w:t>
            </w:r>
          </w:p>
          <w:p w14:paraId="2A13E3FE" w14:textId="78C0DEAC" w:rsidR="00B22EFA" w:rsidRPr="00BF3DF5" w:rsidRDefault="00B22EFA" w:rsidP="00B22EFA">
            <w:pPr>
              <w:jc w:val="both"/>
              <w:rPr>
                <w:rFonts w:ascii="Arial" w:hAnsi="Arial" w:cs="Arial"/>
                <w:lang w:val="es-ES"/>
              </w:rPr>
            </w:pPr>
          </w:p>
        </w:tc>
        <w:tc>
          <w:tcPr>
            <w:tcW w:w="3493" w:type="dxa"/>
          </w:tcPr>
          <w:p w14:paraId="56A8A706" w14:textId="676D0C1A" w:rsidR="00B22EFA" w:rsidRPr="00BF3DF5" w:rsidRDefault="00B22EFA" w:rsidP="00B22EFA">
            <w:pPr>
              <w:jc w:val="both"/>
              <w:rPr>
                <w:rFonts w:ascii="Arial" w:hAnsi="Arial" w:cs="Arial"/>
                <w:lang w:val="es-ES"/>
              </w:rPr>
            </w:pPr>
            <w:r w:rsidRPr="00BF3DF5">
              <w:rPr>
                <w:rFonts w:ascii="Arial" w:hAnsi="Arial" w:cs="Arial"/>
                <w:lang w:val="es-ES"/>
              </w:rPr>
              <w:t xml:space="preserve">El compromiso de política se mantiene, </w:t>
            </w:r>
            <w:r>
              <w:rPr>
                <w:rFonts w:ascii="Arial" w:hAnsi="Arial" w:cs="Arial"/>
                <w:lang w:val="es-ES"/>
              </w:rPr>
              <w:t>pero su redacción se ajustó para reflejar cómo espera verificarse su cumplimiento.</w:t>
            </w:r>
          </w:p>
        </w:tc>
      </w:tr>
      <w:tr w:rsidR="00B22EFA" w:rsidRPr="00754EB0" w14:paraId="1AC5D4F8" w14:textId="77777777" w:rsidTr="00015359">
        <w:trPr>
          <w:trHeight w:val="2990"/>
        </w:trPr>
        <w:tc>
          <w:tcPr>
            <w:tcW w:w="2504" w:type="dxa"/>
            <w:vMerge/>
          </w:tcPr>
          <w:p w14:paraId="5043CB0F" w14:textId="77777777" w:rsidR="00B22EFA" w:rsidRPr="00BF3DF5" w:rsidRDefault="00B22EFA" w:rsidP="00B22EFA">
            <w:pPr>
              <w:rPr>
                <w:rFonts w:ascii="Arial" w:hAnsi="Arial" w:cs="Arial"/>
                <w:b/>
                <w:lang w:val="es-ES"/>
              </w:rPr>
            </w:pPr>
          </w:p>
        </w:tc>
        <w:tc>
          <w:tcPr>
            <w:tcW w:w="3393" w:type="dxa"/>
          </w:tcPr>
          <w:p w14:paraId="57C577A9" w14:textId="77777777" w:rsidR="00B22EFA" w:rsidRPr="00BF3DF5" w:rsidRDefault="00B22EFA" w:rsidP="00B22EFA">
            <w:pPr>
              <w:jc w:val="both"/>
              <w:rPr>
                <w:rFonts w:ascii="Arial" w:hAnsi="Arial" w:cs="Arial"/>
                <w:lang w:val="es-ES"/>
              </w:rPr>
            </w:pPr>
            <w:r w:rsidRPr="00BF3DF5">
              <w:rPr>
                <w:rFonts w:ascii="Arial" w:hAnsi="Arial" w:cs="Arial"/>
                <w:lang w:val="es-ES"/>
              </w:rPr>
              <w:t>Concesión de</w:t>
            </w:r>
            <w:r w:rsidRPr="00BF3DF5">
              <w:rPr>
                <w:rFonts w:ascii="Arial" w:hAnsi="Arial" w:cs="Arial"/>
                <w:lang w:val="es-ES_tradnl"/>
              </w:rPr>
              <w:t xml:space="preserve"> al menos una ZNI como área de Servicio Exclusivo bajo un modelo de esquema empresarial.</w:t>
            </w:r>
          </w:p>
        </w:tc>
        <w:tc>
          <w:tcPr>
            <w:tcW w:w="3565" w:type="dxa"/>
          </w:tcPr>
          <w:p w14:paraId="03BC556D" w14:textId="36007999" w:rsidR="00B22EFA" w:rsidRDefault="00B22EFA" w:rsidP="00B22EFA">
            <w:pPr>
              <w:jc w:val="both"/>
              <w:rPr>
                <w:rFonts w:ascii="Arial" w:hAnsi="Arial" w:cs="Arial"/>
                <w:lang w:val="es-ES"/>
              </w:rPr>
            </w:pPr>
            <w:r>
              <w:rPr>
                <w:rFonts w:ascii="Arial" w:hAnsi="Arial" w:cs="Arial"/>
                <w:lang w:val="es-ES"/>
              </w:rPr>
              <w:t>Que se hayan d</w:t>
            </w:r>
            <w:r w:rsidRPr="00AC6250">
              <w:rPr>
                <w:rFonts w:ascii="Arial" w:hAnsi="Arial" w:cs="Arial"/>
                <w:lang w:val="es-ES"/>
              </w:rPr>
              <w:t>esarroll</w:t>
            </w:r>
            <w:r>
              <w:rPr>
                <w:rFonts w:ascii="Arial" w:hAnsi="Arial" w:cs="Arial"/>
                <w:lang w:val="es-ES"/>
              </w:rPr>
              <w:t>ado</w:t>
            </w:r>
            <w:r w:rsidRPr="00AC6250">
              <w:rPr>
                <w:rFonts w:ascii="Arial" w:hAnsi="Arial" w:cs="Arial"/>
                <w:lang w:val="es-ES"/>
              </w:rPr>
              <w:t xml:space="preserve"> mecanismos para </w:t>
            </w:r>
            <w:r w:rsidR="00A23BDB">
              <w:rPr>
                <w:rFonts w:ascii="Arial" w:hAnsi="Arial" w:cs="Arial"/>
                <w:lang w:val="es-ES"/>
              </w:rPr>
              <w:t xml:space="preserve">la </w:t>
            </w:r>
            <w:r w:rsidRPr="00AC6250">
              <w:rPr>
                <w:rFonts w:ascii="Arial" w:hAnsi="Arial" w:cs="Arial"/>
                <w:lang w:val="es-ES"/>
              </w:rPr>
              <w:t xml:space="preserve">expansión de cobertura </w:t>
            </w:r>
            <w:r w:rsidR="00A23BDB">
              <w:rPr>
                <w:rFonts w:ascii="Arial" w:hAnsi="Arial" w:cs="Arial"/>
                <w:lang w:val="es-ES"/>
              </w:rPr>
              <w:t xml:space="preserve">eléctrica </w:t>
            </w:r>
            <w:r w:rsidRPr="00AC6250">
              <w:rPr>
                <w:rFonts w:ascii="Arial" w:hAnsi="Arial" w:cs="Arial"/>
                <w:lang w:val="es-ES"/>
              </w:rPr>
              <w:t>de usuarios conectables</w:t>
            </w:r>
            <w:r w:rsidR="00735500">
              <w:rPr>
                <w:rFonts w:ascii="Arial" w:hAnsi="Arial" w:cs="Arial"/>
                <w:lang w:val="es-ES"/>
              </w:rPr>
              <w:t xml:space="preserve"> a la red.</w:t>
            </w:r>
          </w:p>
          <w:p w14:paraId="4D8015B6" w14:textId="77777777" w:rsidR="00B22EFA" w:rsidRDefault="00B22EFA" w:rsidP="00B22EFA">
            <w:pPr>
              <w:jc w:val="both"/>
              <w:rPr>
                <w:rFonts w:ascii="Arial" w:hAnsi="Arial" w:cs="Arial"/>
                <w:lang w:val="es-ES"/>
              </w:rPr>
            </w:pPr>
          </w:p>
          <w:p w14:paraId="4F594618" w14:textId="77777777" w:rsidR="00B22EFA" w:rsidRDefault="00B22EFA" w:rsidP="00B22EFA">
            <w:pPr>
              <w:jc w:val="both"/>
              <w:rPr>
                <w:rFonts w:ascii="Arial" w:hAnsi="Arial" w:cs="Arial"/>
                <w:lang w:val="es-ES"/>
              </w:rPr>
            </w:pPr>
            <w:r>
              <w:rPr>
                <w:rFonts w:ascii="Arial" w:hAnsi="Arial" w:cs="Arial"/>
                <w:lang w:val="es-ES"/>
              </w:rPr>
              <w:t>Que se haya estructurado la primera APP para ZNI.</w:t>
            </w:r>
          </w:p>
          <w:p w14:paraId="54097A60" w14:textId="77777777" w:rsidR="00600982" w:rsidRDefault="00600982" w:rsidP="00B22EFA">
            <w:pPr>
              <w:jc w:val="both"/>
              <w:rPr>
                <w:rFonts w:ascii="Arial" w:hAnsi="Arial" w:cs="Arial"/>
                <w:lang w:val="es-ES"/>
              </w:rPr>
            </w:pPr>
          </w:p>
          <w:p w14:paraId="531B0646" w14:textId="6BF1164B" w:rsidR="00600982" w:rsidRPr="009833F3" w:rsidRDefault="00600982" w:rsidP="00B22EFA">
            <w:pPr>
              <w:jc w:val="both"/>
              <w:rPr>
                <w:rFonts w:ascii="Arial" w:hAnsi="Arial" w:cs="Arial"/>
                <w:lang w:val="es-ES"/>
              </w:rPr>
            </w:pPr>
            <w:r>
              <w:rPr>
                <w:rFonts w:ascii="Arial" w:hAnsi="Arial" w:cs="Arial"/>
                <w:lang w:val="es-ES"/>
              </w:rPr>
              <w:t xml:space="preserve">Que se hayan </w:t>
            </w:r>
            <w:r w:rsidRPr="00812470">
              <w:rPr>
                <w:rFonts w:ascii="Arial" w:hAnsi="Arial" w:cs="Arial"/>
                <w:lang w:val="es-ES"/>
              </w:rPr>
              <w:t>adop</w:t>
            </w:r>
            <w:r>
              <w:rPr>
                <w:rFonts w:ascii="Arial" w:hAnsi="Arial" w:cs="Arial"/>
                <w:lang w:val="es-ES"/>
              </w:rPr>
              <w:t>tado</w:t>
            </w:r>
            <w:r w:rsidRPr="00812470">
              <w:rPr>
                <w:rFonts w:ascii="Arial" w:hAnsi="Arial" w:cs="Arial"/>
                <w:lang w:val="es-ES"/>
              </w:rPr>
              <w:t xml:space="preserve"> </w:t>
            </w:r>
            <w:r>
              <w:rPr>
                <w:rFonts w:ascii="Arial" w:hAnsi="Arial" w:cs="Arial"/>
                <w:lang w:val="es-ES"/>
              </w:rPr>
              <w:t>los</w:t>
            </w:r>
            <w:r w:rsidRPr="00812470">
              <w:rPr>
                <w:rFonts w:ascii="Arial" w:hAnsi="Arial" w:cs="Arial"/>
                <w:lang w:val="es-ES"/>
              </w:rPr>
              <w:t xml:space="preserve"> lineamientos del Plan Nacional de Electrificación Rural 2018-2031 que busca la universalización del servicio de energía eléctrica a nivel nacional en 2031, con un especial énfasis en las </w:t>
            </w:r>
            <w:r w:rsidR="00906C69">
              <w:rPr>
                <w:rFonts w:ascii="Arial" w:hAnsi="Arial" w:cs="Arial"/>
                <w:lang w:val="es-ES"/>
              </w:rPr>
              <w:t>zonas</w:t>
            </w:r>
            <w:r w:rsidR="00906C69" w:rsidRPr="00812470">
              <w:rPr>
                <w:rFonts w:ascii="Arial" w:hAnsi="Arial" w:cs="Arial"/>
                <w:lang w:val="es-ES"/>
              </w:rPr>
              <w:t xml:space="preserve"> </w:t>
            </w:r>
            <w:r w:rsidRPr="00812470">
              <w:rPr>
                <w:rFonts w:ascii="Arial" w:hAnsi="Arial" w:cs="Arial"/>
                <w:lang w:val="es-ES"/>
              </w:rPr>
              <w:t xml:space="preserve">de </w:t>
            </w:r>
            <w:r w:rsidR="005927F9">
              <w:rPr>
                <w:rFonts w:ascii="Arial" w:hAnsi="Arial" w:cs="Arial"/>
                <w:lang w:val="es-ES"/>
              </w:rPr>
              <w:t>estabilización</w:t>
            </w:r>
            <w:r>
              <w:rPr>
                <w:rFonts w:ascii="Arial" w:hAnsi="Arial" w:cs="Arial"/>
                <w:lang w:val="es-ES"/>
              </w:rPr>
              <w:t>.</w:t>
            </w:r>
          </w:p>
        </w:tc>
        <w:tc>
          <w:tcPr>
            <w:tcW w:w="3493" w:type="dxa"/>
          </w:tcPr>
          <w:p w14:paraId="3359C60F" w14:textId="0E9F2C80" w:rsidR="00B22EFA" w:rsidRDefault="00B22EFA" w:rsidP="00B22EFA">
            <w:pPr>
              <w:jc w:val="both"/>
              <w:rPr>
                <w:rFonts w:ascii="Arial" w:hAnsi="Arial" w:cs="Arial"/>
                <w:lang w:val="es-ES"/>
              </w:rPr>
            </w:pPr>
            <w:r w:rsidRPr="00BF3DF5">
              <w:rPr>
                <w:rFonts w:ascii="Arial" w:hAnsi="Arial" w:cs="Arial"/>
                <w:lang w:val="es-ES"/>
              </w:rPr>
              <w:t xml:space="preserve">El compromiso de política se ha </w:t>
            </w:r>
            <w:r>
              <w:rPr>
                <w:rFonts w:ascii="Arial" w:hAnsi="Arial" w:cs="Arial"/>
                <w:lang w:val="es-ES"/>
              </w:rPr>
              <w:t xml:space="preserve">fortalecido al requerir el desarrollo de mecanismo para expandir la cobertura de energía y que se haya estructurado la primera Asociación </w:t>
            </w:r>
            <w:r w:rsidR="00AC0D2E">
              <w:rPr>
                <w:rFonts w:ascii="Arial" w:hAnsi="Arial" w:cs="Arial"/>
                <w:lang w:val="es-ES"/>
              </w:rPr>
              <w:t>Público-Privada</w:t>
            </w:r>
            <w:r>
              <w:rPr>
                <w:rFonts w:ascii="Arial" w:hAnsi="Arial" w:cs="Arial"/>
                <w:lang w:val="es-ES"/>
              </w:rPr>
              <w:t xml:space="preserve"> </w:t>
            </w:r>
            <w:r w:rsidRPr="00BF3DF5">
              <w:rPr>
                <w:rFonts w:ascii="Arial" w:hAnsi="Arial" w:cs="Arial"/>
                <w:lang w:val="es-ES"/>
              </w:rPr>
              <w:t>para la prestación del servicio eléctrico en ZNI</w:t>
            </w:r>
            <w:r>
              <w:rPr>
                <w:rFonts w:ascii="Arial" w:hAnsi="Arial" w:cs="Arial"/>
                <w:lang w:val="es-ES"/>
              </w:rPr>
              <w:t>.</w:t>
            </w:r>
          </w:p>
        </w:tc>
      </w:tr>
    </w:tbl>
    <w:p w14:paraId="29D6B04F" w14:textId="77777777" w:rsidR="002906C2" w:rsidRPr="00E16074" w:rsidRDefault="00835DF0" w:rsidP="005E0A65">
      <w:pPr>
        <w:jc w:val="both"/>
        <w:rPr>
          <w:rFonts w:ascii="Arial" w:hAnsi="Arial" w:cs="Arial"/>
          <w:b/>
          <w:bCs/>
          <w:sz w:val="22"/>
          <w:szCs w:val="22"/>
          <w:lang w:val="es-ES"/>
        </w:rPr>
      </w:pPr>
      <w:r>
        <w:rPr>
          <w:rFonts w:ascii="Arial" w:hAnsi="Arial" w:cs="Arial"/>
          <w:b/>
          <w:bCs/>
          <w:sz w:val="22"/>
          <w:szCs w:val="22"/>
          <w:lang w:val="es-ES"/>
        </w:rPr>
        <w:t xml:space="preserve"> </w:t>
      </w:r>
    </w:p>
    <w:sectPr w:rsidR="002906C2" w:rsidRPr="00E16074" w:rsidSect="00946E39">
      <w:headerReference w:type="default" r:id="rId15"/>
      <w:pgSz w:w="15840" w:h="12240" w:orient="landscape"/>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D2CED" w14:textId="77777777" w:rsidR="00165ECB" w:rsidRDefault="00165ECB">
      <w:r>
        <w:separator/>
      </w:r>
    </w:p>
  </w:endnote>
  <w:endnote w:type="continuationSeparator" w:id="0">
    <w:p w14:paraId="0413ABE3" w14:textId="77777777" w:rsidR="00165ECB" w:rsidRDefault="0016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auto"/>
    <w:pitch w:val="variable"/>
    <w:sig w:usb0="E00002FF" w:usb1="5200205F" w:usb2="00A0C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Palatino Linotype"/>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4FC7A" w14:textId="77777777" w:rsidR="00165ECB" w:rsidRDefault="00165ECB">
      <w:r>
        <w:separator/>
      </w:r>
    </w:p>
  </w:footnote>
  <w:footnote w:type="continuationSeparator" w:id="0">
    <w:p w14:paraId="1E1617EF" w14:textId="77777777" w:rsidR="00165ECB" w:rsidRDefault="00165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18336367"/>
      <w:docPartObj>
        <w:docPartGallery w:val="Page Numbers (Top of Page)"/>
        <w:docPartUnique/>
      </w:docPartObj>
    </w:sdtPr>
    <w:sdtEndPr/>
    <w:sdtContent>
      <w:p w14:paraId="3511E430" w14:textId="146F5471" w:rsidR="009731F9" w:rsidRDefault="009731F9">
        <w:pPr>
          <w:pStyle w:val="Header"/>
          <w:jc w:val="right"/>
          <w:rPr>
            <w:rFonts w:ascii="Arial" w:hAnsi="Arial" w:cs="Arial"/>
            <w:sz w:val="18"/>
            <w:szCs w:val="18"/>
          </w:rPr>
        </w:pPr>
        <w:r>
          <w:rPr>
            <w:rFonts w:ascii="Arial" w:hAnsi="Arial" w:cs="Arial"/>
            <w:sz w:val="18"/>
            <w:szCs w:val="18"/>
          </w:rPr>
          <w:t>CO-L1237</w:t>
        </w:r>
      </w:p>
      <w:p w14:paraId="48C462FB" w14:textId="55E1088D" w:rsidR="00180570" w:rsidRPr="006D2B68" w:rsidRDefault="00180570">
        <w:pPr>
          <w:pStyle w:val="Header"/>
          <w:jc w:val="right"/>
          <w:rPr>
            <w:rFonts w:ascii="Arial" w:hAnsi="Arial" w:cs="Arial"/>
            <w:sz w:val="18"/>
            <w:szCs w:val="18"/>
          </w:rPr>
        </w:pPr>
        <w:proofErr w:type="spellStart"/>
        <w:r w:rsidRPr="006D2B68">
          <w:rPr>
            <w:rFonts w:ascii="Arial" w:hAnsi="Arial" w:cs="Arial"/>
            <w:sz w:val="18"/>
            <w:szCs w:val="18"/>
          </w:rPr>
          <w:t>Página</w:t>
        </w:r>
        <w:proofErr w:type="spellEnd"/>
        <w:r w:rsidRPr="006D2B68">
          <w:rPr>
            <w:rFonts w:ascii="Arial" w:hAnsi="Arial" w:cs="Arial"/>
            <w:sz w:val="18"/>
            <w:szCs w:val="18"/>
          </w:rPr>
          <w:t xml:space="preserve"> </w:t>
        </w:r>
        <w:r w:rsidRPr="006D2B68">
          <w:rPr>
            <w:rFonts w:ascii="Arial" w:hAnsi="Arial" w:cs="Arial"/>
            <w:bCs/>
            <w:sz w:val="18"/>
            <w:szCs w:val="18"/>
          </w:rPr>
          <w:fldChar w:fldCharType="begin"/>
        </w:r>
        <w:r w:rsidRPr="006D2B68">
          <w:rPr>
            <w:rFonts w:ascii="Arial" w:hAnsi="Arial" w:cs="Arial"/>
            <w:bCs/>
            <w:sz w:val="18"/>
            <w:szCs w:val="18"/>
          </w:rPr>
          <w:instrText xml:space="preserve"> PAGE </w:instrText>
        </w:r>
        <w:r w:rsidRPr="006D2B68">
          <w:rPr>
            <w:rFonts w:ascii="Arial" w:hAnsi="Arial" w:cs="Arial"/>
            <w:bCs/>
            <w:sz w:val="18"/>
            <w:szCs w:val="18"/>
          </w:rPr>
          <w:fldChar w:fldCharType="separate"/>
        </w:r>
        <w:r w:rsidRPr="006D2B68">
          <w:rPr>
            <w:rFonts w:ascii="Arial" w:hAnsi="Arial" w:cs="Arial"/>
            <w:bCs/>
            <w:noProof/>
            <w:sz w:val="18"/>
            <w:szCs w:val="18"/>
          </w:rPr>
          <w:t>2</w:t>
        </w:r>
        <w:r w:rsidRPr="006D2B68">
          <w:rPr>
            <w:rFonts w:ascii="Arial" w:hAnsi="Arial" w:cs="Arial"/>
            <w:bCs/>
            <w:sz w:val="18"/>
            <w:szCs w:val="18"/>
          </w:rPr>
          <w:fldChar w:fldCharType="end"/>
        </w:r>
        <w:r w:rsidRPr="006D2B68">
          <w:rPr>
            <w:rFonts w:ascii="Arial" w:hAnsi="Arial" w:cs="Arial"/>
            <w:sz w:val="18"/>
            <w:szCs w:val="18"/>
          </w:rPr>
          <w:t xml:space="preserve"> de </w:t>
        </w:r>
        <w:r w:rsidRPr="006D2B68">
          <w:rPr>
            <w:rFonts w:ascii="Arial" w:hAnsi="Arial" w:cs="Arial"/>
            <w:bCs/>
            <w:sz w:val="18"/>
            <w:szCs w:val="18"/>
          </w:rPr>
          <w:fldChar w:fldCharType="begin"/>
        </w:r>
        <w:r w:rsidRPr="006D2B68">
          <w:rPr>
            <w:rFonts w:ascii="Arial" w:hAnsi="Arial" w:cs="Arial"/>
            <w:bCs/>
            <w:sz w:val="18"/>
            <w:szCs w:val="18"/>
          </w:rPr>
          <w:instrText xml:space="preserve"> NUMPAGES  </w:instrText>
        </w:r>
        <w:r w:rsidRPr="006D2B68">
          <w:rPr>
            <w:rFonts w:ascii="Arial" w:hAnsi="Arial" w:cs="Arial"/>
            <w:bCs/>
            <w:sz w:val="18"/>
            <w:szCs w:val="18"/>
          </w:rPr>
          <w:fldChar w:fldCharType="separate"/>
        </w:r>
        <w:r w:rsidRPr="006D2B68">
          <w:rPr>
            <w:rFonts w:ascii="Arial" w:hAnsi="Arial" w:cs="Arial"/>
            <w:bCs/>
            <w:noProof/>
            <w:sz w:val="18"/>
            <w:szCs w:val="18"/>
          </w:rPr>
          <w:t>2</w:t>
        </w:r>
        <w:r w:rsidRPr="006D2B68">
          <w:rPr>
            <w:rFonts w:ascii="Arial" w:hAnsi="Arial" w:cs="Arial"/>
            <w:bCs/>
            <w:sz w:val="18"/>
            <w:szCs w:val="18"/>
          </w:rPr>
          <w:fldChar w:fldCharType="end"/>
        </w:r>
      </w:p>
    </w:sdtContent>
  </w:sdt>
  <w:p w14:paraId="57219379" w14:textId="0F8A53FA" w:rsidR="00812FBF" w:rsidRPr="00946E39" w:rsidRDefault="00812FBF">
    <w:pPr>
      <w:pStyle w:val="Header"/>
      <w:jc w:val="right"/>
      <w:rPr>
        <w:rFonts w:ascii="Arial" w:hAnsi="Arial" w:cs="Arial"/>
        <w:sz w:val="1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6EEA"/>
    <w:multiLevelType w:val="hybridMultilevel"/>
    <w:tmpl w:val="ACD263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8023A0"/>
    <w:multiLevelType w:val="hybridMultilevel"/>
    <w:tmpl w:val="E6D4F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93495"/>
    <w:multiLevelType w:val="hybridMultilevel"/>
    <w:tmpl w:val="D35E5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92B77"/>
    <w:multiLevelType w:val="hybridMultilevel"/>
    <w:tmpl w:val="9D9043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071418"/>
    <w:multiLevelType w:val="hybridMultilevel"/>
    <w:tmpl w:val="D924E68C"/>
    <w:lvl w:ilvl="0" w:tplc="C1B019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15:restartNumberingAfterBreak="0">
    <w:nsid w:val="0FE20CC9"/>
    <w:multiLevelType w:val="hybridMultilevel"/>
    <w:tmpl w:val="E86056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D43D18"/>
    <w:multiLevelType w:val="hybridMultilevel"/>
    <w:tmpl w:val="AC281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0FE1C92"/>
    <w:multiLevelType w:val="hybridMultilevel"/>
    <w:tmpl w:val="9BF20940"/>
    <w:lvl w:ilvl="0" w:tplc="360CB794">
      <w:start w:val="1"/>
      <w:numFmt w:val="bullet"/>
      <w:lvlText w:val="•"/>
      <w:lvlJc w:val="left"/>
      <w:pPr>
        <w:tabs>
          <w:tab w:val="num" w:pos="720"/>
        </w:tabs>
        <w:ind w:left="720" w:hanging="360"/>
      </w:pPr>
      <w:rPr>
        <w:rFonts w:ascii="Arial" w:hAnsi="Arial" w:hint="default"/>
      </w:rPr>
    </w:lvl>
    <w:lvl w:ilvl="1" w:tplc="19F4FD60" w:tentative="1">
      <w:start w:val="1"/>
      <w:numFmt w:val="bullet"/>
      <w:lvlText w:val="•"/>
      <w:lvlJc w:val="left"/>
      <w:pPr>
        <w:tabs>
          <w:tab w:val="num" w:pos="1440"/>
        </w:tabs>
        <w:ind w:left="1440" w:hanging="360"/>
      </w:pPr>
      <w:rPr>
        <w:rFonts w:ascii="Arial" w:hAnsi="Arial" w:hint="default"/>
      </w:rPr>
    </w:lvl>
    <w:lvl w:ilvl="2" w:tplc="00D66C38" w:tentative="1">
      <w:start w:val="1"/>
      <w:numFmt w:val="bullet"/>
      <w:lvlText w:val="•"/>
      <w:lvlJc w:val="left"/>
      <w:pPr>
        <w:tabs>
          <w:tab w:val="num" w:pos="2160"/>
        </w:tabs>
        <w:ind w:left="2160" w:hanging="360"/>
      </w:pPr>
      <w:rPr>
        <w:rFonts w:ascii="Arial" w:hAnsi="Arial" w:hint="default"/>
      </w:rPr>
    </w:lvl>
    <w:lvl w:ilvl="3" w:tplc="3CB2EE50" w:tentative="1">
      <w:start w:val="1"/>
      <w:numFmt w:val="bullet"/>
      <w:lvlText w:val="•"/>
      <w:lvlJc w:val="left"/>
      <w:pPr>
        <w:tabs>
          <w:tab w:val="num" w:pos="2880"/>
        </w:tabs>
        <w:ind w:left="2880" w:hanging="360"/>
      </w:pPr>
      <w:rPr>
        <w:rFonts w:ascii="Arial" w:hAnsi="Arial" w:hint="default"/>
      </w:rPr>
    </w:lvl>
    <w:lvl w:ilvl="4" w:tplc="3170FFAC" w:tentative="1">
      <w:start w:val="1"/>
      <w:numFmt w:val="bullet"/>
      <w:lvlText w:val="•"/>
      <w:lvlJc w:val="left"/>
      <w:pPr>
        <w:tabs>
          <w:tab w:val="num" w:pos="3600"/>
        </w:tabs>
        <w:ind w:left="3600" w:hanging="360"/>
      </w:pPr>
      <w:rPr>
        <w:rFonts w:ascii="Arial" w:hAnsi="Arial" w:hint="default"/>
      </w:rPr>
    </w:lvl>
    <w:lvl w:ilvl="5" w:tplc="0BBA5584" w:tentative="1">
      <w:start w:val="1"/>
      <w:numFmt w:val="bullet"/>
      <w:lvlText w:val="•"/>
      <w:lvlJc w:val="left"/>
      <w:pPr>
        <w:tabs>
          <w:tab w:val="num" w:pos="4320"/>
        </w:tabs>
        <w:ind w:left="4320" w:hanging="360"/>
      </w:pPr>
      <w:rPr>
        <w:rFonts w:ascii="Arial" w:hAnsi="Arial" w:hint="default"/>
      </w:rPr>
    </w:lvl>
    <w:lvl w:ilvl="6" w:tplc="0966F5F4" w:tentative="1">
      <w:start w:val="1"/>
      <w:numFmt w:val="bullet"/>
      <w:lvlText w:val="•"/>
      <w:lvlJc w:val="left"/>
      <w:pPr>
        <w:tabs>
          <w:tab w:val="num" w:pos="5040"/>
        </w:tabs>
        <w:ind w:left="5040" w:hanging="360"/>
      </w:pPr>
      <w:rPr>
        <w:rFonts w:ascii="Arial" w:hAnsi="Arial" w:hint="default"/>
      </w:rPr>
    </w:lvl>
    <w:lvl w:ilvl="7" w:tplc="1262B7C8" w:tentative="1">
      <w:start w:val="1"/>
      <w:numFmt w:val="bullet"/>
      <w:lvlText w:val="•"/>
      <w:lvlJc w:val="left"/>
      <w:pPr>
        <w:tabs>
          <w:tab w:val="num" w:pos="5760"/>
        </w:tabs>
        <w:ind w:left="5760" w:hanging="360"/>
      </w:pPr>
      <w:rPr>
        <w:rFonts w:ascii="Arial" w:hAnsi="Arial" w:hint="default"/>
      </w:rPr>
    </w:lvl>
    <w:lvl w:ilvl="8" w:tplc="F32EBC3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3765578"/>
    <w:multiLevelType w:val="hybridMultilevel"/>
    <w:tmpl w:val="2FE6E8A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14941ACB"/>
    <w:multiLevelType w:val="hybridMultilevel"/>
    <w:tmpl w:val="2CA06596"/>
    <w:lvl w:ilvl="0" w:tplc="AD2E3CA0">
      <w:start w:val="1"/>
      <w:numFmt w:val="lowerRoman"/>
      <w:lvlText w:val="%1)"/>
      <w:lvlJc w:val="left"/>
      <w:pPr>
        <w:tabs>
          <w:tab w:val="num" w:pos="765"/>
        </w:tabs>
        <w:ind w:left="765" w:hanging="720"/>
      </w:pPr>
      <w:rPr>
        <w:rFonts w:hint="default"/>
      </w:rPr>
    </w:lvl>
    <w:lvl w:ilvl="1" w:tplc="280A0019" w:tentative="1">
      <w:start w:val="1"/>
      <w:numFmt w:val="lowerLetter"/>
      <w:lvlText w:val="%2."/>
      <w:lvlJc w:val="left"/>
      <w:pPr>
        <w:tabs>
          <w:tab w:val="num" w:pos="1125"/>
        </w:tabs>
        <w:ind w:left="1125" w:hanging="360"/>
      </w:pPr>
    </w:lvl>
    <w:lvl w:ilvl="2" w:tplc="280A001B" w:tentative="1">
      <w:start w:val="1"/>
      <w:numFmt w:val="lowerRoman"/>
      <w:lvlText w:val="%3."/>
      <w:lvlJc w:val="right"/>
      <w:pPr>
        <w:tabs>
          <w:tab w:val="num" w:pos="1845"/>
        </w:tabs>
        <w:ind w:left="1845" w:hanging="180"/>
      </w:pPr>
    </w:lvl>
    <w:lvl w:ilvl="3" w:tplc="280A000F" w:tentative="1">
      <w:start w:val="1"/>
      <w:numFmt w:val="decimal"/>
      <w:lvlText w:val="%4."/>
      <w:lvlJc w:val="left"/>
      <w:pPr>
        <w:tabs>
          <w:tab w:val="num" w:pos="2565"/>
        </w:tabs>
        <w:ind w:left="2565" w:hanging="360"/>
      </w:pPr>
    </w:lvl>
    <w:lvl w:ilvl="4" w:tplc="280A0019" w:tentative="1">
      <w:start w:val="1"/>
      <w:numFmt w:val="lowerLetter"/>
      <w:lvlText w:val="%5."/>
      <w:lvlJc w:val="left"/>
      <w:pPr>
        <w:tabs>
          <w:tab w:val="num" w:pos="3285"/>
        </w:tabs>
        <w:ind w:left="3285" w:hanging="360"/>
      </w:pPr>
    </w:lvl>
    <w:lvl w:ilvl="5" w:tplc="280A001B" w:tentative="1">
      <w:start w:val="1"/>
      <w:numFmt w:val="lowerRoman"/>
      <w:lvlText w:val="%6."/>
      <w:lvlJc w:val="right"/>
      <w:pPr>
        <w:tabs>
          <w:tab w:val="num" w:pos="4005"/>
        </w:tabs>
        <w:ind w:left="4005" w:hanging="180"/>
      </w:pPr>
    </w:lvl>
    <w:lvl w:ilvl="6" w:tplc="280A000F" w:tentative="1">
      <w:start w:val="1"/>
      <w:numFmt w:val="decimal"/>
      <w:lvlText w:val="%7."/>
      <w:lvlJc w:val="left"/>
      <w:pPr>
        <w:tabs>
          <w:tab w:val="num" w:pos="4725"/>
        </w:tabs>
        <w:ind w:left="4725" w:hanging="360"/>
      </w:pPr>
    </w:lvl>
    <w:lvl w:ilvl="7" w:tplc="280A0019" w:tentative="1">
      <w:start w:val="1"/>
      <w:numFmt w:val="lowerLetter"/>
      <w:lvlText w:val="%8."/>
      <w:lvlJc w:val="left"/>
      <w:pPr>
        <w:tabs>
          <w:tab w:val="num" w:pos="5445"/>
        </w:tabs>
        <w:ind w:left="5445" w:hanging="360"/>
      </w:pPr>
    </w:lvl>
    <w:lvl w:ilvl="8" w:tplc="280A001B" w:tentative="1">
      <w:start w:val="1"/>
      <w:numFmt w:val="lowerRoman"/>
      <w:lvlText w:val="%9."/>
      <w:lvlJc w:val="right"/>
      <w:pPr>
        <w:tabs>
          <w:tab w:val="num" w:pos="6165"/>
        </w:tabs>
        <w:ind w:left="6165" w:hanging="180"/>
      </w:pPr>
    </w:lvl>
  </w:abstractNum>
  <w:abstractNum w:abstractNumId="11" w15:restartNumberingAfterBreak="0">
    <w:nsid w:val="164510C1"/>
    <w:multiLevelType w:val="hybridMultilevel"/>
    <w:tmpl w:val="F1FE5E6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19C25E9A"/>
    <w:multiLevelType w:val="hybridMultilevel"/>
    <w:tmpl w:val="F70885EE"/>
    <w:lvl w:ilvl="0" w:tplc="612414F4">
      <w:start w:val="1"/>
      <w:numFmt w:val="bullet"/>
      <w:lvlText w:val="•"/>
      <w:lvlJc w:val="left"/>
      <w:pPr>
        <w:tabs>
          <w:tab w:val="num" w:pos="720"/>
        </w:tabs>
        <w:ind w:left="720" w:hanging="360"/>
      </w:pPr>
      <w:rPr>
        <w:rFonts w:ascii="Arial" w:hAnsi="Arial" w:hint="default"/>
      </w:rPr>
    </w:lvl>
    <w:lvl w:ilvl="1" w:tplc="5268EAE2" w:tentative="1">
      <w:start w:val="1"/>
      <w:numFmt w:val="bullet"/>
      <w:lvlText w:val="•"/>
      <w:lvlJc w:val="left"/>
      <w:pPr>
        <w:tabs>
          <w:tab w:val="num" w:pos="1440"/>
        </w:tabs>
        <w:ind w:left="1440" w:hanging="360"/>
      </w:pPr>
      <w:rPr>
        <w:rFonts w:ascii="Arial" w:hAnsi="Arial" w:hint="default"/>
      </w:rPr>
    </w:lvl>
    <w:lvl w:ilvl="2" w:tplc="A7A01F4E" w:tentative="1">
      <w:start w:val="1"/>
      <w:numFmt w:val="bullet"/>
      <w:lvlText w:val="•"/>
      <w:lvlJc w:val="left"/>
      <w:pPr>
        <w:tabs>
          <w:tab w:val="num" w:pos="2160"/>
        </w:tabs>
        <w:ind w:left="2160" w:hanging="360"/>
      </w:pPr>
      <w:rPr>
        <w:rFonts w:ascii="Arial" w:hAnsi="Arial" w:hint="default"/>
      </w:rPr>
    </w:lvl>
    <w:lvl w:ilvl="3" w:tplc="6EDA0F28" w:tentative="1">
      <w:start w:val="1"/>
      <w:numFmt w:val="bullet"/>
      <w:lvlText w:val="•"/>
      <w:lvlJc w:val="left"/>
      <w:pPr>
        <w:tabs>
          <w:tab w:val="num" w:pos="2880"/>
        </w:tabs>
        <w:ind w:left="2880" w:hanging="360"/>
      </w:pPr>
      <w:rPr>
        <w:rFonts w:ascii="Arial" w:hAnsi="Arial" w:hint="default"/>
      </w:rPr>
    </w:lvl>
    <w:lvl w:ilvl="4" w:tplc="CEF8B1D0" w:tentative="1">
      <w:start w:val="1"/>
      <w:numFmt w:val="bullet"/>
      <w:lvlText w:val="•"/>
      <w:lvlJc w:val="left"/>
      <w:pPr>
        <w:tabs>
          <w:tab w:val="num" w:pos="3600"/>
        </w:tabs>
        <w:ind w:left="3600" w:hanging="360"/>
      </w:pPr>
      <w:rPr>
        <w:rFonts w:ascii="Arial" w:hAnsi="Arial" w:hint="default"/>
      </w:rPr>
    </w:lvl>
    <w:lvl w:ilvl="5" w:tplc="ED9C116E" w:tentative="1">
      <w:start w:val="1"/>
      <w:numFmt w:val="bullet"/>
      <w:lvlText w:val="•"/>
      <w:lvlJc w:val="left"/>
      <w:pPr>
        <w:tabs>
          <w:tab w:val="num" w:pos="4320"/>
        </w:tabs>
        <w:ind w:left="4320" w:hanging="360"/>
      </w:pPr>
      <w:rPr>
        <w:rFonts w:ascii="Arial" w:hAnsi="Arial" w:hint="default"/>
      </w:rPr>
    </w:lvl>
    <w:lvl w:ilvl="6" w:tplc="EE26D748" w:tentative="1">
      <w:start w:val="1"/>
      <w:numFmt w:val="bullet"/>
      <w:lvlText w:val="•"/>
      <w:lvlJc w:val="left"/>
      <w:pPr>
        <w:tabs>
          <w:tab w:val="num" w:pos="5040"/>
        </w:tabs>
        <w:ind w:left="5040" w:hanging="360"/>
      </w:pPr>
      <w:rPr>
        <w:rFonts w:ascii="Arial" w:hAnsi="Arial" w:hint="default"/>
      </w:rPr>
    </w:lvl>
    <w:lvl w:ilvl="7" w:tplc="A06499C0" w:tentative="1">
      <w:start w:val="1"/>
      <w:numFmt w:val="bullet"/>
      <w:lvlText w:val="•"/>
      <w:lvlJc w:val="left"/>
      <w:pPr>
        <w:tabs>
          <w:tab w:val="num" w:pos="5760"/>
        </w:tabs>
        <w:ind w:left="5760" w:hanging="360"/>
      </w:pPr>
      <w:rPr>
        <w:rFonts w:ascii="Arial" w:hAnsi="Arial" w:hint="default"/>
      </w:rPr>
    </w:lvl>
    <w:lvl w:ilvl="8" w:tplc="CFF2266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AF60698"/>
    <w:multiLevelType w:val="hybridMultilevel"/>
    <w:tmpl w:val="432090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CA947DD"/>
    <w:multiLevelType w:val="hybridMultilevel"/>
    <w:tmpl w:val="4224E58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CEE1FE9"/>
    <w:multiLevelType w:val="hybridMultilevel"/>
    <w:tmpl w:val="19E25654"/>
    <w:lvl w:ilvl="0" w:tplc="13366E2C">
      <w:numFmt w:val="bullet"/>
      <w:lvlText w:val="-"/>
      <w:lvlJc w:val="left"/>
      <w:pPr>
        <w:tabs>
          <w:tab w:val="num" w:pos="390"/>
        </w:tabs>
        <w:ind w:left="390" w:hanging="39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DAD1E41"/>
    <w:multiLevelType w:val="hybridMultilevel"/>
    <w:tmpl w:val="2F821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CF08CE"/>
    <w:multiLevelType w:val="hybridMultilevel"/>
    <w:tmpl w:val="DE145C06"/>
    <w:lvl w:ilvl="0" w:tplc="C510ADC4">
      <w:start w:val="1"/>
      <w:numFmt w:val="bullet"/>
      <w:lvlText w:val="•"/>
      <w:lvlJc w:val="left"/>
      <w:pPr>
        <w:tabs>
          <w:tab w:val="num" w:pos="720"/>
        </w:tabs>
        <w:ind w:left="720" w:hanging="360"/>
      </w:pPr>
      <w:rPr>
        <w:rFonts w:ascii="Arial" w:hAnsi="Arial" w:hint="default"/>
      </w:rPr>
    </w:lvl>
    <w:lvl w:ilvl="1" w:tplc="A5960D42" w:tentative="1">
      <w:start w:val="1"/>
      <w:numFmt w:val="bullet"/>
      <w:lvlText w:val="•"/>
      <w:lvlJc w:val="left"/>
      <w:pPr>
        <w:tabs>
          <w:tab w:val="num" w:pos="1440"/>
        </w:tabs>
        <w:ind w:left="1440" w:hanging="360"/>
      </w:pPr>
      <w:rPr>
        <w:rFonts w:ascii="Arial" w:hAnsi="Arial" w:hint="default"/>
      </w:rPr>
    </w:lvl>
    <w:lvl w:ilvl="2" w:tplc="237A5AD6" w:tentative="1">
      <w:start w:val="1"/>
      <w:numFmt w:val="bullet"/>
      <w:lvlText w:val="•"/>
      <w:lvlJc w:val="left"/>
      <w:pPr>
        <w:tabs>
          <w:tab w:val="num" w:pos="2160"/>
        </w:tabs>
        <w:ind w:left="2160" w:hanging="360"/>
      </w:pPr>
      <w:rPr>
        <w:rFonts w:ascii="Arial" w:hAnsi="Arial" w:hint="default"/>
      </w:rPr>
    </w:lvl>
    <w:lvl w:ilvl="3" w:tplc="5DD40CC6" w:tentative="1">
      <w:start w:val="1"/>
      <w:numFmt w:val="bullet"/>
      <w:lvlText w:val="•"/>
      <w:lvlJc w:val="left"/>
      <w:pPr>
        <w:tabs>
          <w:tab w:val="num" w:pos="2880"/>
        </w:tabs>
        <w:ind w:left="2880" w:hanging="360"/>
      </w:pPr>
      <w:rPr>
        <w:rFonts w:ascii="Arial" w:hAnsi="Arial" w:hint="default"/>
      </w:rPr>
    </w:lvl>
    <w:lvl w:ilvl="4" w:tplc="4CA24B0A" w:tentative="1">
      <w:start w:val="1"/>
      <w:numFmt w:val="bullet"/>
      <w:lvlText w:val="•"/>
      <w:lvlJc w:val="left"/>
      <w:pPr>
        <w:tabs>
          <w:tab w:val="num" w:pos="3600"/>
        </w:tabs>
        <w:ind w:left="3600" w:hanging="360"/>
      </w:pPr>
      <w:rPr>
        <w:rFonts w:ascii="Arial" w:hAnsi="Arial" w:hint="default"/>
      </w:rPr>
    </w:lvl>
    <w:lvl w:ilvl="5" w:tplc="360253BA" w:tentative="1">
      <w:start w:val="1"/>
      <w:numFmt w:val="bullet"/>
      <w:lvlText w:val="•"/>
      <w:lvlJc w:val="left"/>
      <w:pPr>
        <w:tabs>
          <w:tab w:val="num" w:pos="4320"/>
        </w:tabs>
        <w:ind w:left="4320" w:hanging="360"/>
      </w:pPr>
      <w:rPr>
        <w:rFonts w:ascii="Arial" w:hAnsi="Arial" w:hint="default"/>
      </w:rPr>
    </w:lvl>
    <w:lvl w:ilvl="6" w:tplc="78469B20" w:tentative="1">
      <w:start w:val="1"/>
      <w:numFmt w:val="bullet"/>
      <w:lvlText w:val="•"/>
      <w:lvlJc w:val="left"/>
      <w:pPr>
        <w:tabs>
          <w:tab w:val="num" w:pos="5040"/>
        </w:tabs>
        <w:ind w:left="5040" w:hanging="360"/>
      </w:pPr>
      <w:rPr>
        <w:rFonts w:ascii="Arial" w:hAnsi="Arial" w:hint="default"/>
      </w:rPr>
    </w:lvl>
    <w:lvl w:ilvl="7" w:tplc="99EA213E" w:tentative="1">
      <w:start w:val="1"/>
      <w:numFmt w:val="bullet"/>
      <w:lvlText w:val="•"/>
      <w:lvlJc w:val="left"/>
      <w:pPr>
        <w:tabs>
          <w:tab w:val="num" w:pos="5760"/>
        </w:tabs>
        <w:ind w:left="5760" w:hanging="360"/>
      </w:pPr>
      <w:rPr>
        <w:rFonts w:ascii="Arial" w:hAnsi="Arial" w:hint="default"/>
      </w:rPr>
    </w:lvl>
    <w:lvl w:ilvl="8" w:tplc="9EE2AC9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2990A08"/>
    <w:multiLevelType w:val="hybridMultilevel"/>
    <w:tmpl w:val="CBB097DE"/>
    <w:lvl w:ilvl="0" w:tplc="C1B019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F00071"/>
    <w:multiLevelType w:val="hybridMultilevel"/>
    <w:tmpl w:val="1B5013D2"/>
    <w:lvl w:ilvl="0" w:tplc="AD2A93C8">
      <w:start w:val="1"/>
      <w:numFmt w:val="bullet"/>
      <w:lvlText w:val="•"/>
      <w:lvlJc w:val="left"/>
      <w:pPr>
        <w:tabs>
          <w:tab w:val="num" w:pos="720"/>
        </w:tabs>
        <w:ind w:left="720" w:hanging="360"/>
      </w:pPr>
      <w:rPr>
        <w:rFonts w:ascii="Arial" w:hAnsi="Arial" w:hint="default"/>
      </w:rPr>
    </w:lvl>
    <w:lvl w:ilvl="1" w:tplc="DD1621CE" w:tentative="1">
      <w:start w:val="1"/>
      <w:numFmt w:val="bullet"/>
      <w:lvlText w:val="•"/>
      <w:lvlJc w:val="left"/>
      <w:pPr>
        <w:tabs>
          <w:tab w:val="num" w:pos="1440"/>
        </w:tabs>
        <w:ind w:left="1440" w:hanging="360"/>
      </w:pPr>
      <w:rPr>
        <w:rFonts w:ascii="Arial" w:hAnsi="Arial" w:hint="default"/>
      </w:rPr>
    </w:lvl>
    <w:lvl w:ilvl="2" w:tplc="513A79EC" w:tentative="1">
      <w:start w:val="1"/>
      <w:numFmt w:val="bullet"/>
      <w:lvlText w:val="•"/>
      <w:lvlJc w:val="left"/>
      <w:pPr>
        <w:tabs>
          <w:tab w:val="num" w:pos="2160"/>
        </w:tabs>
        <w:ind w:left="2160" w:hanging="360"/>
      </w:pPr>
      <w:rPr>
        <w:rFonts w:ascii="Arial" w:hAnsi="Arial" w:hint="default"/>
      </w:rPr>
    </w:lvl>
    <w:lvl w:ilvl="3" w:tplc="C07E35F6" w:tentative="1">
      <w:start w:val="1"/>
      <w:numFmt w:val="bullet"/>
      <w:lvlText w:val="•"/>
      <w:lvlJc w:val="left"/>
      <w:pPr>
        <w:tabs>
          <w:tab w:val="num" w:pos="2880"/>
        </w:tabs>
        <w:ind w:left="2880" w:hanging="360"/>
      </w:pPr>
      <w:rPr>
        <w:rFonts w:ascii="Arial" w:hAnsi="Arial" w:hint="default"/>
      </w:rPr>
    </w:lvl>
    <w:lvl w:ilvl="4" w:tplc="7B42256A" w:tentative="1">
      <w:start w:val="1"/>
      <w:numFmt w:val="bullet"/>
      <w:lvlText w:val="•"/>
      <w:lvlJc w:val="left"/>
      <w:pPr>
        <w:tabs>
          <w:tab w:val="num" w:pos="3600"/>
        </w:tabs>
        <w:ind w:left="3600" w:hanging="360"/>
      </w:pPr>
      <w:rPr>
        <w:rFonts w:ascii="Arial" w:hAnsi="Arial" w:hint="default"/>
      </w:rPr>
    </w:lvl>
    <w:lvl w:ilvl="5" w:tplc="C0C2654A" w:tentative="1">
      <w:start w:val="1"/>
      <w:numFmt w:val="bullet"/>
      <w:lvlText w:val="•"/>
      <w:lvlJc w:val="left"/>
      <w:pPr>
        <w:tabs>
          <w:tab w:val="num" w:pos="4320"/>
        </w:tabs>
        <w:ind w:left="4320" w:hanging="360"/>
      </w:pPr>
      <w:rPr>
        <w:rFonts w:ascii="Arial" w:hAnsi="Arial" w:hint="default"/>
      </w:rPr>
    </w:lvl>
    <w:lvl w:ilvl="6" w:tplc="5C0E19F2" w:tentative="1">
      <w:start w:val="1"/>
      <w:numFmt w:val="bullet"/>
      <w:lvlText w:val="•"/>
      <w:lvlJc w:val="left"/>
      <w:pPr>
        <w:tabs>
          <w:tab w:val="num" w:pos="5040"/>
        </w:tabs>
        <w:ind w:left="5040" w:hanging="360"/>
      </w:pPr>
      <w:rPr>
        <w:rFonts w:ascii="Arial" w:hAnsi="Arial" w:hint="default"/>
      </w:rPr>
    </w:lvl>
    <w:lvl w:ilvl="7" w:tplc="DD628536" w:tentative="1">
      <w:start w:val="1"/>
      <w:numFmt w:val="bullet"/>
      <w:lvlText w:val="•"/>
      <w:lvlJc w:val="left"/>
      <w:pPr>
        <w:tabs>
          <w:tab w:val="num" w:pos="5760"/>
        </w:tabs>
        <w:ind w:left="5760" w:hanging="360"/>
      </w:pPr>
      <w:rPr>
        <w:rFonts w:ascii="Arial" w:hAnsi="Arial" w:hint="default"/>
      </w:rPr>
    </w:lvl>
    <w:lvl w:ilvl="8" w:tplc="FB5ED7E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2F41277"/>
    <w:multiLevelType w:val="hybridMultilevel"/>
    <w:tmpl w:val="2872FE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5CD596A"/>
    <w:multiLevelType w:val="hybridMultilevel"/>
    <w:tmpl w:val="E6A29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8CA1712"/>
    <w:multiLevelType w:val="hybridMultilevel"/>
    <w:tmpl w:val="8006C4A0"/>
    <w:lvl w:ilvl="0" w:tplc="CEA6639E">
      <w:start w:val="1"/>
      <w:numFmt w:val="bullet"/>
      <w:lvlText w:val="•"/>
      <w:lvlJc w:val="left"/>
      <w:pPr>
        <w:tabs>
          <w:tab w:val="num" w:pos="720"/>
        </w:tabs>
        <w:ind w:left="720" w:hanging="360"/>
      </w:pPr>
      <w:rPr>
        <w:rFonts w:ascii="Arial" w:hAnsi="Arial" w:hint="default"/>
      </w:rPr>
    </w:lvl>
    <w:lvl w:ilvl="1" w:tplc="214EF16E" w:tentative="1">
      <w:start w:val="1"/>
      <w:numFmt w:val="bullet"/>
      <w:lvlText w:val="•"/>
      <w:lvlJc w:val="left"/>
      <w:pPr>
        <w:tabs>
          <w:tab w:val="num" w:pos="1440"/>
        </w:tabs>
        <w:ind w:left="1440" w:hanging="360"/>
      </w:pPr>
      <w:rPr>
        <w:rFonts w:ascii="Arial" w:hAnsi="Arial" w:hint="default"/>
      </w:rPr>
    </w:lvl>
    <w:lvl w:ilvl="2" w:tplc="CD2C965C" w:tentative="1">
      <w:start w:val="1"/>
      <w:numFmt w:val="bullet"/>
      <w:lvlText w:val="•"/>
      <w:lvlJc w:val="left"/>
      <w:pPr>
        <w:tabs>
          <w:tab w:val="num" w:pos="2160"/>
        </w:tabs>
        <w:ind w:left="2160" w:hanging="360"/>
      </w:pPr>
      <w:rPr>
        <w:rFonts w:ascii="Arial" w:hAnsi="Arial" w:hint="default"/>
      </w:rPr>
    </w:lvl>
    <w:lvl w:ilvl="3" w:tplc="C85061DE" w:tentative="1">
      <w:start w:val="1"/>
      <w:numFmt w:val="bullet"/>
      <w:lvlText w:val="•"/>
      <w:lvlJc w:val="left"/>
      <w:pPr>
        <w:tabs>
          <w:tab w:val="num" w:pos="2880"/>
        </w:tabs>
        <w:ind w:left="2880" w:hanging="360"/>
      </w:pPr>
      <w:rPr>
        <w:rFonts w:ascii="Arial" w:hAnsi="Arial" w:hint="default"/>
      </w:rPr>
    </w:lvl>
    <w:lvl w:ilvl="4" w:tplc="F1A00614" w:tentative="1">
      <w:start w:val="1"/>
      <w:numFmt w:val="bullet"/>
      <w:lvlText w:val="•"/>
      <w:lvlJc w:val="left"/>
      <w:pPr>
        <w:tabs>
          <w:tab w:val="num" w:pos="3600"/>
        </w:tabs>
        <w:ind w:left="3600" w:hanging="360"/>
      </w:pPr>
      <w:rPr>
        <w:rFonts w:ascii="Arial" w:hAnsi="Arial" w:hint="default"/>
      </w:rPr>
    </w:lvl>
    <w:lvl w:ilvl="5" w:tplc="9732057A" w:tentative="1">
      <w:start w:val="1"/>
      <w:numFmt w:val="bullet"/>
      <w:lvlText w:val="•"/>
      <w:lvlJc w:val="left"/>
      <w:pPr>
        <w:tabs>
          <w:tab w:val="num" w:pos="4320"/>
        </w:tabs>
        <w:ind w:left="4320" w:hanging="360"/>
      </w:pPr>
      <w:rPr>
        <w:rFonts w:ascii="Arial" w:hAnsi="Arial" w:hint="default"/>
      </w:rPr>
    </w:lvl>
    <w:lvl w:ilvl="6" w:tplc="5ED2F69C" w:tentative="1">
      <w:start w:val="1"/>
      <w:numFmt w:val="bullet"/>
      <w:lvlText w:val="•"/>
      <w:lvlJc w:val="left"/>
      <w:pPr>
        <w:tabs>
          <w:tab w:val="num" w:pos="5040"/>
        </w:tabs>
        <w:ind w:left="5040" w:hanging="360"/>
      </w:pPr>
      <w:rPr>
        <w:rFonts w:ascii="Arial" w:hAnsi="Arial" w:hint="default"/>
      </w:rPr>
    </w:lvl>
    <w:lvl w:ilvl="7" w:tplc="7D6C095A" w:tentative="1">
      <w:start w:val="1"/>
      <w:numFmt w:val="bullet"/>
      <w:lvlText w:val="•"/>
      <w:lvlJc w:val="left"/>
      <w:pPr>
        <w:tabs>
          <w:tab w:val="num" w:pos="5760"/>
        </w:tabs>
        <w:ind w:left="5760" w:hanging="360"/>
      </w:pPr>
      <w:rPr>
        <w:rFonts w:ascii="Arial" w:hAnsi="Arial" w:hint="default"/>
      </w:rPr>
    </w:lvl>
    <w:lvl w:ilvl="8" w:tplc="036A772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9D04355"/>
    <w:multiLevelType w:val="hybridMultilevel"/>
    <w:tmpl w:val="E9CE0E16"/>
    <w:lvl w:ilvl="0" w:tplc="394C7A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355BB6"/>
    <w:multiLevelType w:val="hybridMultilevel"/>
    <w:tmpl w:val="412C96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AC62766"/>
    <w:multiLevelType w:val="hybridMultilevel"/>
    <w:tmpl w:val="6ACCA574"/>
    <w:lvl w:ilvl="0" w:tplc="F2F680AC">
      <w:start w:val="1"/>
      <w:numFmt w:val="bullet"/>
      <w:lvlText w:val="•"/>
      <w:lvlJc w:val="left"/>
      <w:pPr>
        <w:tabs>
          <w:tab w:val="num" w:pos="720"/>
        </w:tabs>
        <w:ind w:left="720" w:hanging="360"/>
      </w:pPr>
      <w:rPr>
        <w:rFonts w:ascii="Arial" w:hAnsi="Arial" w:hint="default"/>
      </w:rPr>
    </w:lvl>
    <w:lvl w:ilvl="1" w:tplc="C8BC89B4" w:tentative="1">
      <w:start w:val="1"/>
      <w:numFmt w:val="bullet"/>
      <w:lvlText w:val="•"/>
      <w:lvlJc w:val="left"/>
      <w:pPr>
        <w:tabs>
          <w:tab w:val="num" w:pos="1440"/>
        </w:tabs>
        <w:ind w:left="1440" w:hanging="360"/>
      </w:pPr>
      <w:rPr>
        <w:rFonts w:ascii="Arial" w:hAnsi="Arial" w:hint="default"/>
      </w:rPr>
    </w:lvl>
    <w:lvl w:ilvl="2" w:tplc="2BEED78E" w:tentative="1">
      <w:start w:val="1"/>
      <w:numFmt w:val="bullet"/>
      <w:lvlText w:val="•"/>
      <w:lvlJc w:val="left"/>
      <w:pPr>
        <w:tabs>
          <w:tab w:val="num" w:pos="2160"/>
        </w:tabs>
        <w:ind w:left="2160" w:hanging="360"/>
      </w:pPr>
      <w:rPr>
        <w:rFonts w:ascii="Arial" w:hAnsi="Arial" w:hint="default"/>
      </w:rPr>
    </w:lvl>
    <w:lvl w:ilvl="3" w:tplc="E32492E2" w:tentative="1">
      <w:start w:val="1"/>
      <w:numFmt w:val="bullet"/>
      <w:lvlText w:val="•"/>
      <w:lvlJc w:val="left"/>
      <w:pPr>
        <w:tabs>
          <w:tab w:val="num" w:pos="2880"/>
        </w:tabs>
        <w:ind w:left="2880" w:hanging="360"/>
      </w:pPr>
      <w:rPr>
        <w:rFonts w:ascii="Arial" w:hAnsi="Arial" w:hint="default"/>
      </w:rPr>
    </w:lvl>
    <w:lvl w:ilvl="4" w:tplc="5666E782" w:tentative="1">
      <w:start w:val="1"/>
      <w:numFmt w:val="bullet"/>
      <w:lvlText w:val="•"/>
      <w:lvlJc w:val="left"/>
      <w:pPr>
        <w:tabs>
          <w:tab w:val="num" w:pos="3600"/>
        </w:tabs>
        <w:ind w:left="3600" w:hanging="360"/>
      </w:pPr>
      <w:rPr>
        <w:rFonts w:ascii="Arial" w:hAnsi="Arial" w:hint="default"/>
      </w:rPr>
    </w:lvl>
    <w:lvl w:ilvl="5" w:tplc="020A75CE" w:tentative="1">
      <w:start w:val="1"/>
      <w:numFmt w:val="bullet"/>
      <w:lvlText w:val="•"/>
      <w:lvlJc w:val="left"/>
      <w:pPr>
        <w:tabs>
          <w:tab w:val="num" w:pos="4320"/>
        </w:tabs>
        <w:ind w:left="4320" w:hanging="360"/>
      </w:pPr>
      <w:rPr>
        <w:rFonts w:ascii="Arial" w:hAnsi="Arial" w:hint="default"/>
      </w:rPr>
    </w:lvl>
    <w:lvl w:ilvl="6" w:tplc="F554369C" w:tentative="1">
      <w:start w:val="1"/>
      <w:numFmt w:val="bullet"/>
      <w:lvlText w:val="•"/>
      <w:lvlJc w:val="left"/>
      <w:pPr>
        <w:tabs>
          <w:tab w:val="num" w:pos="5040"/>
        </w:tabs>
        <w:ind w:left="5040" w:hanging="360"/>
      </w:pPr>
      <w:rPr>
        <w:rFonts w:ascii="Arial" w:hAnsi="Arial" w:hint="default"/>
      </w:rPr>
    </w:lvl>
    <w:lvl w:ilvl="7" w:tplc="5C82527C" w:tentative="1">
      <w:start w:val="1"/>
      <w:numFmt w:val="bullet"/>
      <w:lvlText w:val="•"/>
      <w:lvlJc w:val="left"/>
      <w:pPr>
        <w:tabs>
          <w:tab w:val="num" w:pos="5760"/>
        </w:tabs>
        <w:ind w:left="5760" w:hanging="360"/>
      </w:pPr>
      <w:rPr>
        <w:rFonts w:ascii="Arial" w:hAnsi="Arial" w:hint="default"/>
      </w:rPr>
    </w:lvl>
    <w:lvl w:ilvl="8" w:tplc="CF0ECFE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2D571D53"/>
    <w:multiLevelType w:val="hybridMultilevel"/>
    <w:tmpl w:val="47785E20"/>
    <w:lvl w:ilvl="0" w:tplc="0409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2DDF6EA8"/>
    <w:multiLevelType w:val="hybridMultilevel"/>
    <w:tmpl w:val="BE1A980C"/>
    <w:lvl w:ilvl="0" w:tplc="C1B019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D544A2"/>
    <w:multiLevelType w:val="hybridMultilevel"/>
    <w:tmpl w:val="DF2AC910"/>
    <w:lvl w:ilvl="0" w:tplc="FECC9C0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F04434"/>
    <w:multiLevelType w:val="hybridMultilevel"/>
    <w:tmpl w:val="5F7457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97D3716"/>
    <w:multiLevelType w:val="hybridMultilevel"/>
    <w:tmpl w:val="08F020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40172A"/>
    <w:multiLevelType w:val="hybridMultilevel"/>
    <w:tmpl w:val="BF523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0C0C9F"/>
    <w:multiLevelType w:val="hybridMultilevel"/>
    <w:tmpl w:val="20549D4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68478C"/>
    <w:multiLevelType w:val="hybridMultilevel"/>
    <w:tmpl w:val="F85430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75068E7"/>
    <w:multiLevelType w:val="hybridMultilevel"/>
    <w:tmpl w:val="5FE40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743207"/>
    <w:multiLevelType w:val="hybridMultilevel"/>
    <w:tmpl w:val="AA6209B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A55276A"/>
    <w:multiLevelType w:val="hybridMultilevel"/>
    <w:tmpl w:val="A4CA5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EF94223"/>
    <w:multiLevelType w:val="hybridMultilevel"/>
    <w:tmpl w:val="D91496F2"/>
    <w:lvl w:ilvl="0" w:tplc="4992F9A2">
      <w:start w:val="1"/>
      <w:numFmt w:val="bullet"/>
      <w:lvlText w:val="•"/>
      <w:lvlJc w:val="left"/>
      <w:pPr>
        <w:tabs>
          <w:tab w:val="num" w:pos="720"/>
        </w:tabs>
        <w:ind w:left="720" w:hanging="360"/>
      </w:pPr>
      <w:rPr>
        <w:rFonts w:ascii="Arial" w:hAnsi="Arial" w:hint="default"/>
      </w:rPr>
    </w:lvl>
    <w:lvl w:ilvl="1" w:tplc="591A91A6" w:tentative="1">
      <w:start w:val="1"/>
      <w:numFmt w:val="bullet"/>
      <w:lvlText w:val="•"/>
      <w:lvlJc w:val="left"/>
      <w:pPr>
        <w:tabs>
          <w:tab w:val="num" w:pos="1440"/>
        </w:tabs>
        <w:ind w:left="1440" w:hanging="360"/>
      </w:pPr>
      <w:rPr>
        <w:rFonts w:ascii="Arial" w:hAnsi="Arial" w:hint="default"/>
      </w:rPr>
    </w:lvl>
    <w:lvl w:ilvl="2" w:tplc="00F40E8E" w:tentative="1">
      <w:start w:val="1"/>
      <w:numFmt w:val="bullet"/>
      <w:lvlText w:val="•"/>
      <w:lvlJc w:val="left"/>
      <w:pPr>
        <w:tabs>
          <w:tab w:val="num" w:pos="2160"/>
        </w:tabs>
        <w:ind w:left="2160" w:hanging="360"/>
      </w:pPr>
      <w:rPr>
        <w:rFonts w:ascii="Arial" w:hAnsi="Arial" w:hint="default"/>
      </w:rPr>
    </w:lvl>
    <w:lvl w:ilvl="3" w:tplc="DEF60B98" w:tentative="1">
      <w:start w:val="1"/>
      <w:numFmt w:val="bullet"/>
      <w:lvlText w:val="•"/>
      <w:lvlJc w:val="left"/>
      <w:pPr>
        <w:tabs>
          <w:tab w:val="num" w:pos="2880"/>
        </w:tabs>
        <w:ind w:left="2880" w:hanging="360"/>
      </w:pPr>
      <w:rPr>
        <w:rFonts w:ascii="Arial" w:hAnsi="Arial" w:hint="default"/>
      </w:rPr>
    </w:lvl>
    <w:lvl w:ilvl="4" w:tplc="46C44392" w:tentative="1">
      <w:start w:val="1"/>
      <w:numFmt w:val="bullet"/>
      <w:lvlText w:val="•"/>
      <w:lvlJc w:val="left"/>
      <w:pPr>
        <w:tabs>
          <w:tab w:val="num" w:pos="3600"/>
        </w:tabs>
        <w:ind w:left="3600" w:hanging="360"/>
      </w:pPr>
      <w:rPr>
        <w:rFonts w:ascii="Arial" w:hAnsi="Arial" w:hint="default"/>
      </w:rPr>
    </w:lvl>
    <w:lvl w:ilvl="5" w:tplc="A0989568" w:tentative="1">
      <w:start w:val="1"/>
      <w:numFmt w:val="bullet"/>
      <w:lvlText w:val="•"/>
      <w:lvlJc w:val="left"/>
      <w:pPr>
        <w:tabs>
          <w:tab w:val="num" w:pos="4320"/>
        </w:tabs>
        <w:ind w:left="4320" w:hanging="360"/>
      </w:pPr>
      <w:rPr>
        <w:rFonts w:ascii="Arial" w:hAnsi="Arial" w:hint="default"/>
      </w:rPr>
    </w:lvl>
    <w:lvl w:ilvl="6" w:tplc="215418F2" w:tentative="1">
      <w:start w:val="1"/>
      <w:numFmt w:val="bullet"/>
      <w:lvlText w:val="•"/>
      <w:lvlJc w:val="left"/>
      <w:pPr>
        <w:tabs>
          <w:tab w:val="num" w:pos="5040"/>
        </w:tabs>
        <w:ind w:left="5040" w:hanging="360"/>
      </w:pPr>
      <w:rPr>
        <w:rFonts w:ascii="Arial" w:hAnsi="Arial" w:hint="default"/>
      </w:rPr>
    </w:lvl>
    <w:lvl w:ilvl="7" w:tplc="4306C792" w:tentative="1">
      <w:start w:val="1"/>
      <w:numFmt w:val="bullet"/>
      <w:lvlText w:val="•"/>
      <w:lvlJc w:val="left"/>
      <w:pPr>
        <w:tabs>
          <w:tab w:val="num" w:pos="5760"/>
        </w:tabs>
        <w:ind w:left="5760" w:hanging="360"/>
      </w:pPr>
      <w:rPr>
        <w:rFonts w:ascii="Arial" w:hAnsi="Arial" w:hint="default"/>
      </w:rPr>
    </w:lvl>
    <w:lvl w:ilvl="8" w:tplc="ACEC862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56E754E"/>
    <w:multiLevelType w:val="hybridMultilevel"/>
    <w:tmpl w:val="A10E15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6493B76"/>
    <w:multiLevelType w:val="hybridMultilevel"/>
    <w:tmpl w:val="936AA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1B447C"/>
    <w:multiLevelType w:val="hybridMultilevel"/>
    <w:tmpl w:val="CCA4641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6143CA"/>
    <w:multiLevelType w:val="hybridMultilevel"/>
    <w:tmpl w:val="49000742"/>
    <w:lvl w:ilvl="0" w:tplc="A0F43EE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F92026D"/>
    <w:multiLevelType w:val="hybridMultilevel"/>
    <w:tmpl w:val="8E48F06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789C564A"/>
    <w:multiLevelType w:val="hybridMultilevel"/>
    <w:tmpl w:val="4C8ACD4A"/>
    <w:lvl w:ilvl="0" w:tplc="0C821992">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B6A655D"/>
    <w:multiLevelType w:val="hybridMultilevel"/>
    <w:tmpl w:val="238C11EC"/>
    <w:lvl w:ilvl="0" w:tplc="08726D80">
      <w:start w:val="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912E0A"/>
    <w:multiLevelType w:val="hybridMultilevel"/>
    <w:tmpl w:val="E5F4438C"/>
    <w:lvl w:ilvl="0" w:tplc="C1B019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5"/>
  </w:num>
  <w:num w:numId="3">
    <w:abstractNumId w:val="5"/>
  </w:num>
  <w:num w:numId="4">
    <w:abstractNumId w:val="10"/>
  </w:num>
  <w:num w:numId="5">
    <w:abstractNumId w:val="41"/>
  </w:num>
  <w:num w:numId="6">
    <w:abstractNumId w:val="3"/>
  </w:num>
  <w:num w:numId="7">
    <w:abstractNumId w:val="20"/>
  </w:num>
  <w:num w:numId="8">
    <w:abstractNumId w:val="11"/>
  </w:num>
  <w:num w:numId="9">
    <w:abstractNumId w:val="42"/>
  </w:num>
  <w:num w:numId="10">
    <w:abstractNumId w:val="38"/>
  </w:num>
  <w:num w:numId="11">
    <w:abstractNumId w:val="7"/>
  </w:num>
  <w:num w:numId="12">
    <w:abstractNumId w:val="36"/>
  </w:num>
  <w:num w:numId="13">
    <w:abstractNumId w:val="33"/>
  </w:num>
  <w:num w:numId="14">
    <w:abstractNumId w:val="2"/>
  </w:num>
  <w:num w:numId="15">
    <w:abstractNumId w:val="39"/>
  </w:num>
  <w:num w:numId="16">
    <w:abstractNumId w:val="31"/>
  </w:num>
  <w:num w:numId="17">
    <w:abstractNumId w:val="30"/>
  </w:num>
  <w:num w:numId="18">
    <w:abstractNumId w:val="34"/>
  </w:num>
  <w:num w:numId="19">
    <w:abstractNumId w:val="19"/>
  </w:num>
  <w:num w:numId="20">
    <w:abstractNumId w:val="12"/>
  </w:num>
  <w:num w:numId="21">
    <w:abstractNumId w:val="25"/>
  </w:num>
  <w:num w:numId="22">
    <w:abstractNumId w:val="17"/>
  </w:num>
  <w:num w:numId="23">
    <w:abstractNumId w:val="37"/>
  </w:num>
  <w:num w:numId="24">
    <w:abstractNumId w:val="22"/>
  </w:num>
  <w:num w:numId="25">
    <w:abstractNumId w:val="8"/>
  </w:num>
  <w:num w:numId="26">
    <w:abstractNumId w:val="23"/>
  </w:num>
  <w:num w:numId="27">
    <w:abstractNumId w:val="45"/>
  </w:num>
  <w:num w:numId="28">
    <w:abstractNumId w:val="27"/>
  </w:num>
  <w:num w:numId="29">
    <w:abstractNumId w:val="4"/>
  </w:num>
  <w:num w:numId="30">
    <w:abstractNumId w:val="18"/>
  </w:num>
  <w:num w:numId="31">
    <w:abstractNumId w:val="13"/>
  </w:num>
  <w:num w:numId="32">
    <w:abstractNumId w:val="40"/>
  </w:num>
  <w:num w:numId="33">
    <w:abstractNumId w:val="16"/>
  </w:num>
  <w:num w:numId="34">
    <w:abstractNumId w:val="43"/>
  </w:num>
  <w:num w:numId="35">
    <w:abstractNumId w:val="0"/>
  </w:num>
  <w:num w:numId="36">
    <w:abstractNumId w:val="28"/>
  </w:num>
  <w:num w:numId="37">
    <w:abstractNumId w:val="32"/>
  </w:num>
  <w:num w:numId="38">
    <w:abstractNumId w:val="35"/>
  </w:num>
  <w:num w:numId="39">
    <w:abstractNumId w:val="24"/>
  </w:num>
  <w:num w:numId="40">
    <w:abstractNumId w:val="6"/>
  </w:num>
  <w:num w:numId="41">
    <w:abstractNumId w:val="26"/>
  </w:num>
  <w:num w:numId="42">
    <w:abstractNumId w:val="14"/>
  </w:num>
  <w:num w:numId="43">
    <w:abstractNumId w:val="9"/>
  </w:num>
  <w:num w:numId="44">
    <w:abstractNumId w:val="29"/>
  </w:num>
  <w:num w:numId="45">
    <w:abstractNumId w:val="1"/>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698"/>
    <w:rsid w:val="00000531"/>
    <w:rsid w:val="00000608"/>
    <w:rsid w:val="00002B34"/>
    <w:rsid w:val="00002D15"/>
    <w:rsid w:val="000053F5"/>
    <w:rsid w:val="000062D5"/>
    <w:rsid w:val="000069D4"/>
    <w:rsid w:val="00011552"/>
    <w:rsid w:val="00013B28"/>
    <w:rsid w:val="00015359"/>
    <w:rsid w:val="00017D38"/>
    <w:rsid w:val="00020A03"/>
    <w:rsid w:val="00025356"/>
    <w:rsid w:val="0003171A"/>
    <w:rsid w:val="0003235E"/>
    <w:rsid w:val="00032B5B"/>
    <w:rsid w:val="00034A08"/>
    <w:rsid w:val="00035F14"/>
    <w:rsid w:val="00040206"/>
    <w:rsid w:val="00041117"/>
    <w:rsid w:val="00042CDF"/>
    <w:rsid w:val="00043E26"/>
    <w:rsid w:val="00045C65"/>
    <w:rsid w:val="000461E0"/>
    <w:rsid w:val="00051135"/>
    <w:rsid w:val="00051470"/>
    <w:rsid w:val="0005379B"/>
    <w:rsid w:val="0005395E"/>
    <w:rsid w:val="00053BEF"/>
    <w:rsid w:val="00054E89"/>
    <w:rsid w:val="000556A8"/>
    <w:rsid w:val="00055F4F"/>
    <w:rsid w:val="00056198"/>
    <w:rsid w:val="00056F23"/>
    <w:rsid w:val="00057A56"/>
    <w:rsid w:val="0006072C"/>
    <w:rsid w:val="000612F6"/>
    <w:rsid w:val="00061C92"/>
    <w:rsid w:val="00064111"/>
    <w:rsid w:val="00066B68"/>
    <w:rsid w:val="00066B7B"/>
    <w:rsid w:val="00067D40"/>
    <w:rsid w:val="000717FE"/>
    <w:rsid w:val="00072106"/>
    <w:rsid w:val="00073326"/>
    <w:rsid w:val="0007386D"/>
    <w:rsid w:val="0007538D"/>
    <w:rsid w:val="00077961"/>
    <w:rsid w:val="00077DB1"/>
    <w:rsid w:val="0008081A"/>
    <w:rsid w:val="00081C7E"/>
    <w:rsid w:val="00083F05"/>
    <w:rsid w:val="00084B52"/>
    <w:rsid w:val="0009095A"/>
    <w:rsid w:val="00091396"/>
    <w:rsid w:val="00093545"/>
    <w:rsid w:val="00093DDA"/>
    <w:rsid w:val="00094614"/>
    <w:rsid w:val="0009563E"/>
    <w:rsid w:val="00095666"/>
    <w:rsid w:val="00095DCC"/>
    <w:rsid w:val="00095E3A"/>
    <w:rsid w:val="000A0005"/>
    <w:rsid w:val="000A20F8"/>
    <w:rsid w:val="000A7B47"/>
    <w:rsid w:val="000B09DC"/>
    <w:rsid w:val="000B2795"/>
    <w:rsid w:val="000B409C"/>
    <w:rsid w:val="000B4645"/>
    <w:rsid w:val="000B4D4E"/>
    <w:rsid w:val="000B4DBB"/>
    <w:rsid w:val="000B5BE9"/>
    <w:rsid w:val="000C005D"/>
    <w:rsid w:val="000C08ED"/>
    <w:rsid w:val="000C3F84"/>
    <w:rsid w:val="000C42A3"/>
    <w:rsid w:val="000C49A7"/>
    <w:rsid w:val="000D15F1"/>
    <w:rsid w:val="000D4B8E"/>
    <w:rsid w:val="000D75A6"/>
    <w:rsid w:val="000D7D6B"/>
    <w:rsid w:val="000E0DDC"/>
    <w:rsid w:val="000E18D2"/>
    <w:rsid w:val="000E1EFB"/>
    <w:rsid w:val="000E4887"/>
    <w:rsid w:val="000E54B7"/>
    <w:rsid w:val="000E704B"/>
    <w:rsid w:val="000E73C2"/>
    <w:rsid w:val="000F1C75"/>
    <w:rsid w:val="000F380A"/>
    <w:rsid w:val="000F4842"/>
    <w:rsid w:val="000F563D"/>
    <w:rsid w:val="000F7BBB"/>
    <w:rsid w:val="001021FE"/>
    <w:rsid w:val="00102DDA"/>
    <w:rsid w:val="00104A9E"/>
    <w:rsid w:val="001060AA"/>
    <w:rsid w:val="001074CF"/>
    <w:rsid w:val="00107706"/>
    <w:rsid w:val="00110090"/>
    <w:rsid w:val="00110910"/>
    <w:rsid w:val="001117AB"/>
    <w:rsid w:val="001146B9"/>
    <w:rsid w:val="0011593B"/>
    <w:rsid w:val="00120214"/>
    <w:rsid w:val="00121650"/>
    <w:rsid w:val="00121E51"/>
    <w:rsid w:val="001233D4"/>
    <w:rsid w:val="0012346A"/>
    <w:rsid w:val="001309F5"/>
    <w:rsid w:val="001317B5"/>
    <w:rsid w:val="001350B4"/>
    <w:rsid w:val="00136296"/>
    <w:rsid w:val="0013762B"/>
    <w:rsid w:val="00137948"/>
    <w:rsid w:val="00141143"/>
    <w:rsid w:val="001413B5"/>
    <w:rsid w:val="001415E7"/>
    <w:rsid w:val="00143C21"/>
    <w:rsid w:val="00145A68"/>
    <w:rsid w:val="00146CFF"/>
    <w:rsid w:val="00150684"/>
    <w:rsid w:val="00150F64"/>
    <w:rsid w:val="00154C24"/>
    <w:rsid w:val="00160D60"/>
    <w:rsid w:val="001636CE"/>
    <w:rsid w:val="00165ECB"/>
    <w:rsid w:val="0017077E"/>
    <w:rsid w:val="00171511"/>
    <w:rsid w:val="001718A3"/>
    <w:rsid w:val="00171A51"/>
    <w:rsid w:val="00173978"/>
    <w:rsid w:val="00174232"/>
    <w:rsid w:val="001774D0"/>
    <w:rsid w:val="0018023C"/>
    <w:rsid w:val="00180570"/>
    <w:rsid w:val="00182722"/>
    <w:rsid w:val="00182C77"/>
    <w:rsid w:val="001841FC"/>
    <w:rsid w:val="001848BC"/>
    <w:rsid w:val="00184F98"/>
    <w:rsid w:val="00186540"/>
    <w:rsid w:val="001878DB"/>
    <w:rsid w:val="00190573"/>
    <w:rsid w:val="00191E78"/>
    <w:rsid w:val="00194D31"/>
    <w:rsid w:val="00197265"/>
    <w:rsid w:val="00197854"/>
    <w:rsid w:val="001A1732"/>
    <w:rsid w:val="001A23C3"/>
    <w:rsid w:val="001A260B"/>
    <w:rsid w:val="001A284C"/>
    <w:rsid w:val="001A35E0"/>
    <w:rsid w:val="001A40D5"/>
    <w:rsid w:val="001A712B"/>
    <w:rsid w:val="001B14CC"/>
    <w:rsid w:val="001B2699"/>
    <w:rsid w:val="001B61FB"/>
    <w:rsid w:val="001B6694"/>
    <w:rsid w:val="001B6DCB"/>
    <w:rsid w:val="001B7917"/>
    <w:rsid w:val="001C18A8"/>
    <w:rsid w:val="001C30FD"/>
    <w:rsid w:val="001C3A3F"/>
    <w:rsid w:val="001C4076"/>
    <w:rsid w:val="001C4B2C"/>
    <w:rsid w:val="001C6067"/>
    <w:rsid w:val="001D0054"/>
    <w:rsid w:val="001D0F3D"/>
    <w:rsid w:val="001D11D7"/>
    <w:rsid w:val="001D1698"/>
    <w:rsid w:val="001D3A32"/>
    <w:rsid w:val="001D4BBD"/>
    <w:rsid w:val="001D6045"/>
    <w:rsid w:val="001D641E"/>
    <w:rsid w:val="001E1021"/>
    <w:rsid w:val="001E1721"/>
    <w:rsid w:val="001E3DCB"/>
    <w:rsid w:val="001E4084"/>
    <w:rsid w:val="001E5A27"/>
    <w:rsid w:val="001E7E92"/>
    <w:rsid w:val="001F17D1"/>
    <w:rsid w:val="001F1963"/>
    <w:rsid w:val="001F1BC7"/>
    <w:rsid w:val="001F1FAE"/>
    <w:rsid w:val="001F2716"/>
    <w:rsid w:val="001F282E"/>
    <w:rsid w:val="001F396F"/>
    <w:rsid w:val="001F4940"/>
    <w:rsid w:val="001F5FAF"/>
    <w:rsid w:val="001F74B5"/>
    <w:rsid w:val="00200508"/>
    <w:rsid w:val="00202F4A"/>
    <w:rsid w:val="00205B61"/>
    <w:rsid w:val="00210B73"/>
    <w:rsid w:val="00213257"/>
    <w:rsid w:val="002137F8"/>
    <w:rsid w:val="0021583A"/>
    <w:rsid w:val="002173F4"/>
    <w:rsid w:val="00220A57"/>
    <w:rsid w:val="00220E0F"/>
    <w:rsid w:val="002216C7"/>
    <w:rsid w:val="00221DF8"/>
    <w:rsid w:val="00225E8A"/>
    <w:rsid w:val="00226C80"/>
    <w:rsid w:val="0022718E"/>
    <w:rsid w:val="00231DB5"/>
    <w:rsid w:val="00232AA5"/>
    <w:rsid w:val="002351BB"/>
    <w:rsid w:val="0023615E"/>
    <w:rsid w:val="00236F1B"/>
    <w:rsid w:val="00237708"/>
    <w:rsid w:val="00237C52"/>
    <w:rsid w:val="0024125C"/>
    <w:rsid w:val="00241321"/>
    <w:rsid w:val="0024174B"/>
    <w:rsid w:val="00241FFD"/>
    <w:rsid w:val="002449A3"/>
    <w:rsid w:val="00244C10"/>
    <w:rsid w:val="00244E10"/>
    <w:rsid w:val="00252C9A"/>
    <w:rsid w:val="002545F7"/>
    <w:rsid w:val="00255341"/>
    <w:rsid w:val="002556DC"/>
    <w:rsid w:val="00257C97"/>
    <w:rsid w:val="002601FE"/>
    <w:rsid w:val="00262DB0"/>
    <w:rsid w:val="00262E1D"/>
    <w:rsid w:val="0026412E"/>
    <w:rsid w:val="002645D5"/>
    <w:rsid w:val="002646C8"/>
    <w:rsid w:val="0026516F"/>
    <w:rsid w:val="00266E8A"/>
    <w:rsid w:val="0027193B"/>
    <w:rsid w:val="0027389E"/>
    <w:rsid w:val="002750B1"/>
    <w:rsid w:val="00275BB3"/>
    <w:rsid w:val="0027653B"/>
    <w:rsid w:val="00277AAD"/>
    <w:rsid w:val="00280A05"/>
    <w:rsid w:val="00280B14"/>
    <w:rsid w:val="00281DBD"/>
    <w:rsid w:val="002830F4"/>
    <w:rsid w:val="002847CF"/>
    <w:rsid w:val="00286682"/>
    <w:rsid w:val="00286F91"/>
    <w:rsid w:val="002877F7"/>
    <w:rsid w:val="002906C2"/>
    <w:rsid w:val="002908BA"/>
    <w:rsid w:val="00291082"/>
    <w:rsid w:val="00295E60"/>
    <w:rsid w:val="002A3458"/>
    <w:rsid w:val="002A5556"/>
    <w:rsid w:val="002A7BCA"/>
    <w:rsid w:val="002B0182"/>
    <w:rsid w:val="002B0EF0"/>
    <w:rsid w:val="002B295F"/>
    <w:rsid w:val="002B3FD2"/>
    <w:rsid w:val="002B4AA6"/>
    <w:rsid w:val="002B6ABE"/>
    <w:rsid w:val="002B6B86"/>
    <w:rsid w:val="002B7BC9"/>
    <w:rsid w:val="002C2C98"/>
    <w:rsid w:val="002C43F6"/>
    <w:rsid w:val="002C79D4"/>
    <w:rsid w:val="002D07D2"/>
    <w:rsid w:val="002D1631"/>
    <w:rsid w:val="002D3379"/>
    <w:rsid w:val="002D3725"/>
    <w:rsid w:val="002D670E"/>
    <w:rsid w:val="002D68F7"/>
    <w:rsid w:val="002E231B"/>
    <w:rsid w:val="002E243E"/>
    <w:rsid w:val="002E2547"/>
    <w:rsid w:val="002E2608"/>
    <w:rsid w:val="002E2F31"/>
    <w:rsid w:val="002E393E"/>
    <w:rsid w:val="002E4F8E"/>
    <w:rsid w:val="002E55D8"/>
    <w:rsid w:val="002E71B1"/>
    <w:rsid w:val="002E76B8"/>
    <w:rsid w:val="002E78CC"/>
    <w:rsid w:val="002E7A5C"/>
    <w:rsid w:val="002F116A"/>
    <w:rsid w:val="002F3CED"/>
    <w:rsid w:val="002F449F"/>
    <w:rsid w:val="002F4C3F"/>
    <w:rsid w:val="002F50FA"/>
    <w:rsid w:val="00301778"/>
    <w:rsid w:val="00302A94"/>
    <w:rsid w:val="00304A43"/>
    <w:rsid w:val="00304CED"/>
    <w:rsid w:val="0030524F"/>
    <w:rsid w:val="00306E6E"/>
    <w:rsid w:val="00307C69"/>
    <w:rsid w:val="00307CC4"/>
    <w:rsid w:val="00310115"/>
    <w:rsid w:val="003175C9"/>
    <w:rsid w:val="0032099F"/>
    <w:rsid w:val="00320C13"/>
    <w:rsid w:val="00322B06"/>
    <w:rsid w:val="00323BB2"/>
    <w:rsid w:val="00323D5F"/>
    <w:rsid w:val="003253D1"/>
    <w:rsid w:val="003259FB"/>
    <w:rsid w:val="00330C03"/>
    <w:rsid w:val="003313DB"/>
    <w:rsid w:val="003318CE"/>
    <w:rsid w:val="00331A3D"/>
    <w:rsid w:val="00332E86"/>
    <w:rsid w:val="003336C1"/>
    <w:rsid w:val="00335B6A"/>
    <w:rsid w:val="00337FA9"/>
    <w:rsid w:val="00340864"/>
    <w:rsid w:val="00341082"/>
    <w:rsid w:val="003427D0"/>
    <w:rsid w:val="00342ADA"/>
    <w:rsid w:val="00342E17"/>
    <w:rsid w:val="00344234"/>
    <w:rsid w:val="00345E5A"/>
    <w:rsid w:val="0034688C"/>
    <w:rsid w:val="00347CAD"/>
    <w:rsid w:val="003514A2"/>
    <w:rsid w:val="00353623"/>
    <w:rsid w:val="003548ED"/>
    <w:rsid w:val="00355501"/>
    <w:rsid w:val="00356051"/>
    <w:rsid w:val="003567EA"/>
    <w:rsid w:val="00356EEB"/>
    <w:rsid w:val="003572CC"/>
    <w:rsid w:val="003575B6"/>
    <w:rsid w:val="003611FC"/>
    <w:rsid w:val="003612E2"/>
    <w:rsid w:val="0036131E"/>
    <w:rsid w:val="00361A69"/>
    <w:rsid w:val="003628B8"/>
    <w:rsid w:val="003631CC"/>
    <w:rsid w:val="00363B08"/>
    <w:rsid w:val="00364864"/>
    <w:rsid w:val="003662E4"/>
    <w:rsid w:val="003671CA"/>
    <w:rsid w:val="00370260"/>
    <w:rsid w:val="00370DC9"/>
    <w:rsid w:val="00372386"/>
    <w:rsid w:val="00375122"/>
    <w:rsid w:val="00376C12"/>
    <w:rsid w:val="00380F57"/>
    <w:rsid w:val="003813E0"/>
    <w:rsid w:val="003824CA"/>
    <w:rsid w:val="0038280E"/>
    <w:rsid w:val="00385412"/>
    <w:rsid w:val="00385D35"/>
    <w:rsid w:val="003873BC"/>
    <w:rsid w:val="003900FE"/>
    <w:rsid w:val="00391A62"/>
    <w:rsid w:val="00395BBB"/>
    <w:rsid w:val="003A0749"/>
    <w:rsid w:val="003A2977"/>
    <w:rsid w:val="003A2A52"/>
    <w:rsid w:val="003A3BF7"/>
    <w:rsid w:val="003A4DDE"/>
    <w:rsid w:val="003A68FE"/>
    <w:rsid w:val="003B4039"/>
    <w:rsid w:val="003B5778"/>
    <w:rsid w:val="003B5EC8"/>
    <w:rsid w:val="003B7215"/>
    <w:rsid w:val="003C25EB"/>
    <w:rsid w:val="003C325B"/>
    <w:rsid w:val="003C351F"/>
    <w:rsid w:val="003C508A"/>
    <w:rsid w:val="003C6586"/>
    <w:rsid w:val="003C6F0A"/>
    <w:rsid w:val="003C77BD"/>
    <w:rsid w:val="003C7F8B"/>
    <w:rsid w:val="003D09AB"/>
    <w:rsid w:val="003D19DE"/>
    <w:rsid w:val="003D27EA"/>
    <w:rsid w:val="003D6F26"/>
    <w:rsid w:val="003E0840"/>
    <w:rsid w:val="003E13D9"/>
    <w:rsid w:val="003E1E99"/>
    <w:rsid w:val="003E3A0D"/>
    <w:rsid w:val="003E4117"/>
    <w:rsid w:val="003E4ECF"/>
    <w:rsid w:val="003E5BB3"/>
    <w:rsid w:val="003E6C1D"/>
    <w:rsid w:val="003E6D6F"/>
    <w:rsid w:val="003E7C85"/>
    <w:rsid w:val="003F12D8"/>
    <w:rsid w:val="003F26BF"/>
    <w:rsid w:val="003F2ACD"/>
    <w:rsid w:val="003F3B0C"/>
    <w:rsid w:val="003F4DD2"/>
    <w:rsid w:val="003F75C3"/>
    <w:rsid w:val="00401F5B"/>
    <w:rsid w:val="0040345F"/>
    <w:rsid w:val="0040454F"/>
    <w:rsid w:val="004047EA"/>
    <w:rsid w:val="00406369"/>
    <w:rsid w:val="00406B81"/>
    <w:rsid w:val="00406E2F"/>
    <w:rsid w:val="00410BE6"/>
    <w:rsid w:val="00413ADB"/>
    <w:rsid w:val="004146B9"/>
    <w:rsid w:val="0041553F"/>
    <w:rsid w:val="00420100"/>
    <w:rsid w:val="00422B8E"/>
    <w:rsid w:val="0042445D"/>
    <w:rsid w:val="00424DC4"/>
    <w:rsid w:val="00424E77"/>
    <w:rsid w:val="00426256"/>
    <w:rsid w:val="00430D7F"/>
    <w:rsid w:val="00430DFA"/>
    <w:rsid w:val="00430FC5"/>
    <w:rsid w:val="004315B7"/>
    <w:rsid w:val="00431D2B"/>
    <w:rsid w:val="00432FCE"/>
    <w:rsid w:val="004344E7"/>
    <w:rsid w:val="004350AD"/>
    <w:rsid w:val="004359C5"/>
    <w:rsid w:val="00435DFD"/>
    <w:rsid w:val="00436C37"/>
    <w:rsid w:val="004378D6"/>
    <w:rsid w:val="004379B4"/>
    <w:rsid w:val="00442B41"/>
    <w:rsid w:val="0044301B"/>
    <w:rsid w:val="00444568"/>
    <w:rsid w:val="00445BFD"/>
    <w:rsid w:val="00446109"/>
    <w:rsid w:val="004473A8"/>
    <w:rsid w:val="00447A44"/>
    <w:rsid w:val="0045058E"/>
    <w:rsid w:val="00454AB5"/>
    <w:rsid w:val="00454CE5"/>
    <w:rsid w:val="004551F8"/>
    <w:rsid w:val="00460093"/>
    <w:rsid w:val="00460407"/>
    <w:rsid w:val="00460879"/>
    <w:rsid w:val="00460E64"/>
    <w:rsid w:val="00460F00"/>
    <w:rsid w:val="00465AF7"/>
    <w:rsid w:val="00466383"/>
    <w:rsid w:val="004703DC"/>
    <w:rsid w:val="00470C5A"/>
    <w:rsid w:val="00470F56"/>
    <w:rsid w:val="004764DF"/>
    <w:rsid w:val="00477192"/>
    <w:rsid w:val="00477FDE"/>
    <w:rsid w:val="0048049B"/>
    <w:rsid w:val="00480F6C"/>
    <w:rsid w:val="00481F56"/>
    <w:rsid w:val="004822F0"/>
    <w:rsid w:val="00485C26"/>
    <w:rsid w:val="00486585"/>
    <w:rsid w:val="00487042"/>
    <w:rsid w:val="0049177F"/>
    <w:rsid w:val="00496C07"/>
    <w:rsid w:val="004A0922"/>
    <w:rsid w:val="004A0EF9"/>
    <w:rsid w:val="004A0F70"/>
    <w:rsid w:val="004A105C"/>
    <w:rsid w:val="004A2B88"/>
    <w:rsid w:val="004A30D6"/>
    <w:rsid w:val="004A3F2E"/>
    <w:rsid w:val="004B2E5A"/>
    <w:rsid w:val="004C06FC"/>
    <w:rsid w:val="004C07F5"/>
    <w:rsid w:val="004C12DA"/>
    <w:rsid w:val="004C3EAC"/>
    <w:rsid w:val="004C5118"/>
    <w:rsid w:val="004C54C7"/>
    <w:rsid w:val="004C57AD"/>
    <w:rsid w:val="004C70C7"/>
    <w:rsid w:val="004D0183"/>
    <w:rsid w:val="004D0218"/>
    <w:rsid w:val="004D051C"/>
    <w:rsid w:val="004D24AD"/>
    <w:rsid w:val="004D2D5C"/>
    <w:rsid w:val="004D3E6E"/>
    <w:rsid w:val="004D6C11"/>
    <w:rsid w:val="004E06FB"/>
    <w:rsid w:val="004E071E"/>
    <w:rsid w:val="004E21B8"/>
    <w:rsid w:val="004F05CF"/>
    <w:rsid w:val="004F16BC"/>
    <w:rsid w:val="004F1C9F"/>
    <w:rsid w:val="004F21B5"/>
    <w:rsid w:val="004F2396"/>
    <w:rsid w:val="004F3612"/>
    <w:rsid w:val="004F50CF"/>
    <w:rsid w:val="004F52FD"/>
    <w:rsid w:val="004F60B6"/>
    <w:rsid w:val="004F6AFC"/>
    <w:rsid w:val="004F7DDA"/>
    <w:rsid w:val="00502383"/>
    <w:rsid w:val="00505201"/>
    <w:rsid w:val="00506FB9"/>
    <w:rsid w:val="005134CF"/>
    <w:rsid w:val="00514DF0"/>
    <w:rsid w:val="005154BE"/>
    <w:rsid w:val="00515B72"/>
    <w:rsid w:val="00516986"/>
    <w:rsid w:val="00517C43"/>
    <w:rsid w:val="00520C95"/>
    <w:rsid w:val="00520F92"/>
    <w:rsid w:val="005250AF"/>
    <w:rsid w:val="00526678"/>
    <w:rsid w:val="0052711C"/>
    <w:rsid w:val="00527A37"/>
    <w:rsid w:val="005315AC"/>
    <w:rsid w:val="00531CBD"/>
    <w:rsid w:val="00533417"/>
    <w:rsid w:val="00534D96"/>
    <w:rsid w:val="00535928"/>
    <w:rsid w:val="005365D2"/>
    <w:rsid w:val="00537449"/>
    <w:rsid w:val="0053785D"/>
    <w:rsid w:val="00537F06"/>
    <w:rsid w:val="005400E5"/>
    <w:rsid w:val="00540F60"/>
    <w:rsid w:val="00541E24"/>
    <w:rsid w:val="00542336"/>
    <w:rsid w:val="0054313C"/>
    <w:rsid w:val="0054378D"/>
    <w:rsid w:val="0054425A"/>
    <w:rsid w:val="005447C9"/>
    <w:rsid w:val="00545770"/>
    <w:rsid w:val="005507E7"/>
    <w:rsid w:val="005532B2"/>
    <w:rsid w:val="005539D2"/>
    <w:rsid w:val="005553AA"/>
    <w:rsid w:val="0055599B"/>
    <w:rsid w:val="00556F40"/>
    <w:rsid w:val="005573D0"/>
    <w:rsid w:val="00557916"/>
    <w:rsid w:val="00560B60"/>
    <w:rsid w:val="00561AF6"/>
    <w:rsid w:val="005622C2"/>
    <w:rsid w:val="00562A1D"/>
    <w:rsid w:val="00562A53"/>
    <w:rsid w:val="00563B1C"/>
    <w:rsid w:val="005645A3"/>
    <w:rsid w:val="00564BB1"/>
    <w:rsid w:val="00565336"/>
    <w:rsid w:val="00566EFC"/>
    <w:rsid w:val="005674CF"/>
    <w:rsid w:val="00571029"/>
    <w:rsid w:val="00572B4A"/>
    <w:rsid w:val="00576535"/>
    <w:rsid w:val="00577735"/>
    <w:rsid w:val="005802AA"/>
    <w:rsid w:val="005802ED"/>
    <w:rsid w:val="00581327"/>
    <w:rsid w:val="005817CC"/>
    <w:rsid w:val="00585241"/>
    <w:rsid w:val="0058763B"/>
    <w:rsid w:val="00590110"/>
    <w:rsid w:val="00591414"/>
    <w:rsid w:val="005927F9"/>
    <w:rsid w:val="00593657"/>
    <w:rsid w:val="00597076"/>
    <w:rsid w:val="00597B57"/>
    <w:rsid w:val="005A0E5C"/>
    <w:rsid w:val="005A47CF"/>
    <w:rsid w:val="005A4847"/>
    <w:rsid w:val="005A55B6"/>
    <w:rsid w:val="005A61C8"/>
    <w:rsid w:val="005A77C7"/>
    <w:rsid w:val="005A7A39"/>
    <w:rsid w:val="005A7A9E"/>
    <w:rsid w:val="005B2CB2"/>
    <w:rsid w:val="005B3DD2"/>
    <w:rsid w:val="005B4039"/>
    <w:rsid w:val="005B542B"/>
    <w:rsid w:val="005B665F"/>
    <w:rsid w:val="005B7C54"/>
    <w:rsid w:val="005B7D07"/>
    <w:rsid w:val="005C2663"/>
    <w:rsid w:val="005C2935"/>
    <w:rsid w:val="005C3201"/>
    <w:rsid w:val="005C3F51"/>
    <w:rsid w:val="005C3FB5"/>
    <w:rsid w:val="005C47DA"/>
    <w:rsid w:val="005C5147"/>
    <w:rsid w:val="005C6F18"/>
    <w:rsid w:val="005D08C8"/>
    <w:rsid w:val="005D092B"/>
    <w:rsid w:val="005D0D25"/>
    <w:rsid w:val="005D0F04"/>
    <w:rsid w:val="005D36F1"/>
    <w:rsid w:val="005D3F1A"/>
    <w:rsid w:val="005D659F"/>
    <w:rsid w:val="005D67D9"/>
    <w:rsid w:val="005D6ECB"/>
    <w:rsid w:val="005D7637"/>
    <w:rsid w:val="005E0097"/>
    <w:rsid w:val="005E0A65"/>
    <w:rsid w:val="005E13DE"/>
    <w:rsid w:val="005E18D5"/>
    <w:rsid w:val="005E1C07"/>
    <w:rsid w:val="005E2627"/>
    <w:rsid w:val="005F14D6"/>
    <w:rsid w:val="005F2DBC"/>
    <w:rsid w:val="005F372C"/>
    <w:rsid w:val="005F3EBC"/>
    <w:rsid w:val="005F66FF"/>
    <w:rsid w:val="005F7A63"/>
    <w:rsid w:val="006003D1"/>
    <w:rsid w:val="00600982"/>
    <w:rsid w:val="00602D43"/>
    <w:rsid w:val="00603818"/>
    <w:rsid w:val="0060477E"/>
    <w:rsid w:val="00610013"/>
    <w:rsid w:val="006200A8"/>
    <w:rsid w:val="006237DC"/>
    <w:rsid w:val="00625C22"/>
    <w:rsid w:val="00626520"/>
    <w:rsid w:val="0062734D"/>
    <w:rsid w:val="00627457"/>
    <w:rsid w:val="00627C5B"/>
    <w:rsid w:val="00630C94"/>
    <w:rsid w:val="0063186E"/>
    <w:rsid w:val="00631D26"/>
    <w:rsid w:val="0063491B"/>
    <w:rsid w:val="0063519E"/>
    <w:rsid w:val="00636153"/>
    <w:rsid w:val="006362F2"/>
    <w:rsid w:val="006368CB"/>
    <w:rsid w:val="006369C1"/>
    <w:rsid w:val="00637DBC"/>
    <w:rsid w:val="00637FF7"/>
    <w:rsid w:val="00641258"/>
    <w:rsid w:val="0064289F"/>
    <w:rsid w:val="00644528"/>
    <w:rsid w:val="00644E67"/>
    <w:rsid w:val="006452DD"/>
    <w:rsid w:val="0064547B"/>
    <w:rsid w:val="00645D0C"/>
    <w:rsid w:val="006507F2"/>
    <w:rsid w:val="00651772"/>
    <w:rsid w:val="00651BDE"/>
    <w:rsid w:val="00652214"/>
    <w:rsid w:val="00653BC8"/>
    <w:rsid w:val="00656C69"/>
    <w:rsid w:val="00656FE5"/>
    <w:rsid w:val="006573F6"/>
    <w:rsid w:val="00657DA9"/>
    <w:rsid w:val="006614BB"/>
    <w:rsid w:val="0066183F"/>
    <w:rsid w:val="006624DC"/>
    <w:rsid w:val="00662966"/>
    <w:rsid w:val="006652F2"/>
    <w:rsid w:val="006678DE"/>
    <w:rsid w:val="00670E7E"/>
    <w:rsid w:val="00671A67"/>
    <w:rsid w:val="00671AAA"/>
    <w:rsid w:val="00672C44"/>
    <w:rsid w:val="00674313"/>
    <w:rsid w:val="00677632"/>
    <w:rsid w:val="006776AF"/>
    <w:rsid w:val="0068098D"/>
    <w:rsid w:val="006837A4"/>
    <w:rsid w:val="00687E90"/>
    <w:rsid w:val="00693A1A"/>
    <w:rsid w:val="00693AAE"/>
    <w:rsid w:val="00693E72"/>
    <w:rsid w:val="00694434"/>
    <w:rsid w:val="006949BB"/>
    <w:rsid w:val="00696B81"/>
    <w:rsid w:val="006975C4"/>
    <w:rsid w:val="006A22F5"/>
    <w:rsid w:val="006A5370"/>
    <w:rsid w:val="006A544C"/>
    <w:rsid w:val="006A5936"/>
    <w:rsid w:val="006A760F"/>
    <w:rsid w:val="006B190E"/>
    <w:rsid w:val="006B2085"/>
    <w:rsid w:val="006B52BF"/>
    <w:rsid w:val="006B5396"/>
    <w:rsid w:val="006B6E3E"/>
    <w:rsid w:val="006B74FA"/>
    <w:rsid w:val="006C0807"/>
    <w:rsid w:val="006C097A"/>
    <w:rsid w:val="006C0C7C"/>
    <w:rsid w:val="006C1096"/>
    <w:rsid w:val="006C16D1"/>
    <w:rsid w:val="006C22B7"/>
    <w:rsid w:val="006C2C60"/>
    <w:rsid w:val="006C2E06"/>
    <w:rsid w:val="006C424D"/>
    <w:rsid w:val="006C61F3"/>
    <w:rsid w:val="006C7A17"/>
    <w:rsid w:val="006C7A25"/>
    <w:rsid w:val="006C7B08"/>
    <w:rsid w:val="006D16AD"/>
    <w:rsid w:val="006D1E0D"/>
    <w:rsid w:val="006D2460"/>
    <w:rsid w:val="006D2B68"/>
    <w:rsid w:val="006D47CC"/>
    <w:rsid w:val="006D5023"/>
    <w:rsid w:val="006D569D"/>
    <w:rsid w:val="006D5DCD"/>
    <w:rsid w:val="006E3C16"/>
    <w:rsid w:val="006E4C3F"/>
    <w:rsid w:val="006E5437"/>
    <w:rsid w:val="006E5EFF"/>
    <w:rsid w:val="006F1E57"/>
    <w:rsid w:val="006F2755"/>
    <w:rsid w:val="006F3781"/>
    <w:rsid w:val="006F3FD6"/>
    <w:rsid w:val="006F6BB2"/>
    <w:rsid w:val="007000AA"/>
    <w:rsid w:val="00700910"/>
    <w:rsid w:val="00700F76"/>
    <w:rsid w:val="00701279"/>
    <w:rsid w:val="00701B57"/>
    <w:rsid w:val="00703CC1"/>
    <w:rsid w:val="00704693"/>
    <w:rsid w:val="00705B25"/>
    <w:rsid w:val="00707ED4"/>
    <w:rsid w:val="00711F93"/>
    <w:rsid w:val="00715AA1"/>
    <w:rsid w:val="0071688F"/>
    <w:rsid w:val="00725003"/>
    <w:rsid w:val="00725C83"/>
    <w:rsid w:val="0073010F"/>
    <w:rsid w:val="0073023E"/>
    <w:rsid w:val="00731B0C"/>
    <w:rsid w:val="00732FD1"/>
    <w:rsid w:val="00735500"/>
    <w:rsid w:val="00736A91"/>
    <w:rsid w:val="007373C2"/>
    <w:rsid w:val="00737C11"/>
    <w:rsid w:val="00740630"/>
    <w:rsid w:val="0074084D"/>
    <w:rsid w:val="00740D0E"/>
    <w:rsid w:val="0074146F"/>
    <w:rsid w:val="00741D2C"/>
    <w:rsid w:val="00742D20"/>
    <w:rsid w:val="00742DC3"/>
    <w:rsid w:val="00743695"/>
    <w:rsid w:val="007437C1"/>
    <w:rsid w:val="00744007"/>
    <w:rsid w:val="00746077"/>
    <w:rsid w:val="00750BA6"/>
    <w:rsid w:val="00754EB0"/>
    <w:rsid w:val="00755980"/>
    <w:rsid w:val="007566FF"/>
    <w:rsid w:val="00756F88"/>
    <w:rsid w:val="00757520"/>
    <w:rsid w:val="007615F8"/>
    <w:rsid w:val="00761AF8"/>
    <w:rsid w:val="00761CE6"/>
    <w:rsid w:val="00762BA0"/>
    <w:rsid w:val="007637E8"/>
    <w:rsid w:val="007647CD"/>
    <w:rsid w:val="00765145"/>
    <w:rsid w:val="00766333"/>
    <w:rsid w:val="00766CBF"/>
    <w:rsid w:val="007674EA"/>
    <w:rsid w:val="00775AB5"/>
    <w:rsid w:val="00775B3A"/>
    <w:rsid w:val="00775DAD"/>
    <w:rsid w:val="00775E9F"/>
    <w:rsid w:val="007771FB"/>
    <w:rsid w:val="0077767B"/>
    <w:rsid w:val="00780E32"/>
    <w:rsid w:val="00782BFE"/>
    <w:rsid w:val="007849A2"/>
    <w:rsid w:val="00785F88"/>
    <w:rsid w:val="00791E10"/>
    <w:rsid w:val="00792F66"/>
    <w:rsid w:val="00793BAB"/>
    <w:rsid w:val="00794007"/>
    <w:rsid w:val="00794385"/>
    <w:rsid w:val="00795C9B"/>
    <w:rsid w:val="00795D97"/>
    <w:rsid w:val="007972EF"/>
    <w:rsid w:val="007977D7"/>
    <w:rsid w:val="007A03D4"/>
    <w:rsid w:val="007A05F6"/>
    <w:rsid w:val="007A157F"/>
    <w:rsid w:val="007A1815"/>
    <w:rsid w:val="007A23C6"/>
    <w:rsid w:val="007A7DFD"/>
    <w:rsid w:val="007B19EE"/>
    <w:rsid w:val="007B565D"/>
    <w:rsid w:val="007B6573"/>
    <w:rsid w:val="007B6C94"/>
    <w:rsid w:val="007B730A"/>
    <w:rsid w:val="007C0FBB"/>
    <w:rsid w:val="007C4AC1"/>
    <w:rsid w:val="007C5E61"/>
    <w:rsid w:val="007D055A"/>
    <w:rsid w:val="007D1199"/>
    <w:rsid w:val="007D234C"/>
    <w:rsid w:val="007D3396"/>
    <w:rsid w:val="007D5721"/>
    <w:rsid w:val="007D5762"/>
    <w:rsid w:val="007D60E4"/>
    <w:rsid w:val="007D64A8"/>
    <w:rsid w:val="007E1D6F"/>
    <w:rsid w:val="007E2CA5"/>
    <w:rsid w:val="007E37E5"/>
    <w:rsid w:val="007E4811"/>
    <w:rsid w:val="007E52EE"/>
    <w:rsid w:val="007E5AA6"/>
    <w:rsid w:val="007E5ECB"/>
    <w:rsid w:val="007E7F9F"/>
    <w:rsid w:val="007F3273"/>
    <w:rsid w:val="007F3585"/>
    <w:rsid w:val="007F3AA2"/>
    <w:rsid w:val="00800A9F"/>
    <w:rsid w:val="00801A17"/>
    <w:rsid w:val="008034E7"/>
    <w:rsid w:val="00805535"/>
    <w:rsid w:val="008065CE"/>
    <w:rsid w:val="00807166"/>
    <w:rsid w:val="0080721E"/>
    <w:rsid w:val="00807850"/>
    <w:rsid w:val="0081186B"/>
    <w:rsid w:val="00811BF0"/>
    <w:rsid w:val="00812FBF"/>
    <w:rsid w:val="0081496D"/>
    <w:rsid w:val="00815F77"/>
    <w:rsid w:val="00820C18"/>
    <w:rsid w:val="00820D02"/>
    <w:rsid w:val="008214CC"/>
    <w:rsid w:val="00821BBA"/>
    <w:rsid w:val="00821C79"/>
    <w:rsid w:val="00824331"/>
    <w:rsid w:val="0082644A"/>
    <w:rsid w:val="0083050C"/>
    <w:rsid w:val="008308EF"/>
    <w:rsid w:val="00831956"/>
    <w:rsid w:val="008322E9"/>
    <w:rsid w:val="00833055"/>
    <w:rsid w:val="008336D6"/>
    <w:rsid w:val="0083400B"/>
    <w:rsid w:val="008342B2"/>
    <w:rsid w:val="00834A95"/>
    <w:rsid w:val="00835088"/>
    <w:rsid w:val="00835382"/>
    <w:rsid w:val="008359D6"/>
    <w:rsid w:val="00835DF0"/>
    <w:rsid w:val="00837B24"/>
    <w:rsid w:val="008411D2"/>
    <w:rsid w:val="008421B6"/>
    <w:rsid w:val="00842B12"/>
    <w:rsid w:val="008432FE"/>
    <w:rsid w:val="00846D78"/>
    <w:rsid w:val="0085124B"/>
    <w:rsid w:val="008531CF"/>
    <w:rsid w:val="00856426"/>
    <w:rsid w:val="008606EB"/>
    <w:rsid w:val="008610F5"/>
    <w:rsid w:val="008619E2"/>
    <w:rsid w:val="0086310B"/>
    <w:rsid w:val="008644A1"/>
    <w:rsid w:val="008646FA"/>
    <w:rsid w:val="008669AE"/>
    <w:rsid w:val="00867459"/>
    <w:rsid w:val="008678AF"/>
    <w:rsid w:val="00870C38"/>
    <w:rsid w:val="00871DAD"/>
    <w:rsid w:val="00873D6D"/>
    <w:rsid w:val="00877657"/>
    <w:rsid w:val="00877C8F"/>
    <w:rsid w:val="00877D81"/>
    <w:rsid w:val="00877DD5"/>
    <w:rsid w:val="0088055E"/>
    <w:rsid w:val="00881A9B"/>
    <w:rsid w:val="00881C1B"/>
    <w:rsid w:val="00883099"/>
    <w:rsid w:val="00883428"/>
    <w:rsid w:val="00884E75"/>
    <w:rsid w:val="0088515C"/>
    <w:rsid w:val="008857B2"/>
    <w:rsid w:val="00886609"/>
    <w:rsid w:val="008868A1"/>
    <w:rsid w:val="00890049"/>
    <w:rsid w:val="00890617"/>
    <w:rsid w:val="00890B26"/>
    <w:rsid w:val="00890C81"/>
    <w:rsid w:val="00891458"/>
    <w:rsid w:val="00891D09"/>
    <w:rsid w:val="008946B1"/>
    <w:rsid w:val="00896294"/>
    <w:rsid w:val="008A1103"/>
    <w:rsid w:val="008A1E18"/>
    <w:rsid w:val="008A26B3"/>
    <w:rsid w:val="008A3E0D"/>
    <w:rsid w:val="008A5056"/>
    <w:rsid w:val="008A549A"/>
    <w:rsid w:val="008A657A"/>
    <w:rsid w:val="008A67BB"/>
    <w:rsid w:val="008A7628"/>
    <w:rsid w:val="008B0E29"/>
    <w:rsid w:val="008B1294"/>
    <w:rsid w:val="008B20DE"/>
    <w:rsid w:val="008B25A8"/>
    <w:rsid w:val="008B58D1"/>
    <w:rsid w:val="008B6786"/>
    <w:rsid w:val="008B6822"/>
    <w:rsid w:val="008B75AA"/>
    <w:rsid w:val="008C08C2"/>
    <w:rsid w:val="008C24A9"/>
    <w:rsid w:val="008C2594"/>
    <w:rsid w:val="008C30BF"/>
    <w:rsid w:val="008C4258"/>
    <w:rsid w:val="008C427C"/>
    <w:rsid w:val="008C513E"/>
    <w:rsid w:val="008C5611"/>
    <w:rsid w:val="008D110E"/>
    <w:rsid w:val="008D1715"/>
    <w:rsid w:val="008D1733"/>
    <w:rsid w:val="008D28D9"/>
    <w:rsid w:val="008D28DB"/>
    <w:rsid w:val="008D33EB"/>
    <w:rsid w:val="008D383E"/>
    <w:rsid w:val="008D400A"/>
    <w:rsid w:val="008D57FE"/>
    <w:rsid w:val="008D74C8"/>
    <w:rsid w:val="008D7837"/>
    <w:rsid w:val="008D79CB"/>
    <w:rsid w:val="008E4D50"/>
    <w:rsid w:val="008E58AA"/>
    <w:rsid w:val="008E6E93"/>
    <w:rsid w:val="008E73E1"/>
    <w:rsid w:val="008E7BAE"/>
    <w:rsid w:val="008F08BE"/>
    <w:rsid w:val="008F0F83"/>
    <w:rsid w:val="008F14A6"/>
    <w:rsid w:val="008F1B9E"/>
    <w:rsid w:val="008F1F13"/>
    <w:rsid w:val="008F206C"/>
    <w:rsid w:val="008F24FA"/>
    <w:rsid w:val="008F3941"/>
    <w:rsid w:val="008F5FB2"/>
    <w:rsid w:val="009011E4"/>
    <w:rsid w:val="00902525"/>
    <w:rsid w:val="00902DA3"/>
    <w:rsid w:val="00903B6B"/>
    <w:rsid w:val="009046AA"/>
    <w:rsid w:val="00904BF5"/>
    <w:rsid w:val="009055F0"/>
    <w:rsid w:val="00905DE1"/>
    <w:rsid w:val="00906519"/>
    <w:rsid w:val="00906C69"/>
    <w:rsid w:val="00906D67"/>
    <w:rsid w:val="00910036"/>
    <w:rsid w:val="00910797"/>
    <w:rsid w:val="00911E71"/>
    <w:rsid w:val="009131BB"/>
    <w:rsid w:val="00913B9D"/>
    <w:rsid w:val="009163B3"/>
    <w:rsid w:val="00916CCA"/>
    <w:rsid w:val="00916D37"/>
    <w:rsid w:val="0092006D"/>
    <w:rsid w:val="0092033F"/>
    <w:rsid w:val="00922EF2"/>
    <w:rsid w:val="00922F7F"/>
    <w:rsid w:val="00923DBD"/>
    <w:rsid w:val="00926AFA"/>
    <w:rsid w:val="00930092"/>
    <w:rsid w:val="0093055C"/>
    <w:rsid w:val="00930709"/>
    <w:rsid w:val="009308C7"/>
    <w:rsid w:val="0093092B"/>
    <w:rsid w:val="009315C9"/>
    <w:rsid w:val="009337DA"/>
    <w:rsid w:val="00933F36"/>
    <w:rsid w:val="0093579B"/>
    <w:rsid w:val="00935BDF"/>
    <w:rsid w:val="00935E10"/>
    <w:rsid w:val="009361C1"/>
    <w:rsid w:val="00936BAA"/>
    <w:rsid w:val="0094011C"/>
    <w:rsid w:val="009403EB"/>
    <w:rsid w:val="00941396"/>
    <w:rsid w:val="009414F1"/>
    <w:rsid w:val="00943A37"/>
    <w:rsid w:val="009463A8"/>
    <w:rsid w:val="00946AB6"/>
    <w:rsid w:val="00946E39"/>
    <w:rsid w:val="00947795"/>
    <w:rsid w:val="00947F56"/>
    <w:rsid w:val="00951D27"/>
    <w:rsid w:val="00952A10"/>
    <w:rsid w:val="00954070"/>
    <w:rsid w:val="00954EF0"/>
    <w:rsid w:val="009554EE"/>
    <w:rsid w:val="00956873"/>
    <w:rsid w:val="009569BF"/>
    <w:rsid w:val="00956D88"/>
    <w:rsid w:val="0095714E"/>
    <w:rsid w:val="009601AD"/>
    <w:rsid w:val="009611F7"/>
    <w:rsid w:val="009620D5"/>
    <w:rsid w:val="00962245"/>
    <w:rsid w:val="0096268B"/>
    <w:rsid w:val="00962A51"/>
    <w:rsid w:val="00967102"/>
    <w:rsid w:val="00967C14"/>
    <w:rsid w:val="00970AA8"/>
    <w:rsid w:val="00971FC9"/>
    <w:rsid w:val="0097212A"/>
    <w:rsid w:val="009731F9"/>
    <w:rsid w:val="00975120"/>
    <w:rsid w:val="00977C72"/>
    <w:rsid w:val="009800E9"/>
    <w:rsid w:val="009804AB"/>
    <w:rsid w:val="009820C4"/>
    <w:rsid w:val="00982BA2"/>
    <w:rsid w:val="009833F3"/>
    <w:rsid w:val="00983576"/>
    <w:rsid w:val="0098685C"/>
    <w:rsid w:val="00987294"/>
    <w:rsid w:val="009907A5"/>
    <w:rsid w:val="00991062"/>
    <w:rsid w:val="009918BC"/>
    <w:rsid w:val="00993326"/>
    <w:rsid w:val="0099354B"/>
    <w:rsid w:val="00993C6A"/>
    <w:rsid w:val="00994653"/>
    <w:rsid w:val="009961EB"/>
    <w:rsid w:val="00996839"/>
    <w:rsid w:val="00997E27"/>
    <w:rsid w:val="009A37AC"/>
    <w:rsid w:val="009A5169"/>
    <w:rsid w:val="009A57EC"/>
    <w:rsid w:val="009A6BB1"/>
    <w:rsid w:val="009B2FF8"/>
    <w:rsid w:val="009B37CF"/>
    <w:rsid w:val="009B585C"/>
    <w:rsid w:val="009B5B1E"/>
    <w:rsid w:val="009B7A70"/>
    <w:rsid w:val="009C03F3"/>
    <w:rsid w:val="009C09EE"/>
    <w:rsid w:val="009C0E0B"/>
    <w:rsid w:val="009C1FED"/>
    <w:rsid w:val="009C2E77"/>
    <w:rsid w:val="009C3D82"/>
    <w:rsid w:val="009C4085"/>
    <w:rsid w:val="009C4DA0"/>
    <w:rsid w:val="009C6C3F"/>
    <w:rsid w:val="009C6DCB"/>
    <w:rsid w:val="009C6E53"/>
    <w:rsid w:val="009C70D0"/>
    <w:rsid w:val="009C72B3"/>
    <w:rsid w:val="009D0289"/>
    <w:rsid w:val="009D0D4A"/>
    <w:rsid w:val="009D0FEC"/>
    <w:rsid w:val="009D1451"/>
    <w:rsid w:val="009D3234"/>
    <w:rsid w:val="009D4A76"/>
    <w:rsid w:val="009D5E2B"/>
    <w:rsid w:val="009D5F1A"/>
    <w:rsid w:val="009D65AC"/>
    <w:rsid w:val="009E026C"/>
    <w:rsid w:val="009E11A9"/>
    <w:rsid w:val="009E32E4"/>
    <w:rsid w:val="009E3712"/>
    <w:rsid w:val="009E3DE4"/>
    <w:rsid w:val="009E43D4"/>
    <w:rsid w:val="009E4608"/>
    <w:rsid w:val="009E585F"/>
    <w:rsid w:val="009E6027"/>
    <w:rsid w:val="009E644C"/>
    <w:rsid w:val="009F1B73"/>
    <w:rsid w:val="009F2D67"/>
    <w:rsid w:val="009F3248"/>
    <w:rsid w:val="009F3F47"/>
    <w:rsid w:val="009F47D6"/>
    <w:rsid w:val="009F551C"/>
    <w:rsid w:val="009F62BB"/>
    <w:rsid w:val="009F66AF"/>
    <w:rsid w:val="009F6D12"/>
    <w:rsid w:val="00A0220F"/>
    <w:rsid w:val="00A02B79"/>
    <w:rsid w:val="00A02C91"/>
    <w:rsid w:val="00A03B7B"/>
    <w:rsid w:val="00A04B23"/>
    <w:rsid w:val="00A05B72"/>
    <w:rsid w:val="00A05C82"/>
    <w:rsid w:val="00A05D0D"/>
    <w:rsid w:val="00A110DD"/>
    <w:rsid w:val="00A11E36"/>
    <w:rsid w:val="00A12C19"/>
    <w:rsid w:val="00A14C18"/>
    <w:rsid w:val="00A15B09"/>
    <w:rsid w:val="00A1632B"/>
    <w:rsid w:val="00A17253"/>
    <w:rsid w:val="00A20677"/>
    <w:rsid w:val="00A211D7"/>
    <w:rsid w:val="00A2225E"/>
    <w:rsid w:val="00A225D8"/>
    <w:rsid w:val="00A23BDB"/>
    <w:rsid w:val="00A26295"/>
    <w:rsid w:val="00A30234"/>
    <w:rsid w:val="00A31C52"/>
    <w:rsid w:val="00A35231"/>
    <w:rsid w:val="00A3582C"/>
    <w:rsid w:val="00A358C0"/>
    <w:rsid w:val="00A37413"/>
    <w:rsid w:val="00A37747"/>
    <w:rsid w:val="00A37D1B"/>
    <w:rsid w:val="00A426BB"/>
    <w:rsid w:val="00A43CE7"/>
    <w:rsid w:val="00A4495C"/>
    <w:rsid w:val="00A45B8F"/>
    <w:rsid w:val="00A45E6E"/>
    <w:rsid w:val="00A50AC0"/>
    <w:rsid w:val="00A54475"/>
    <w:rsid w:val="00A55F7C"/>
    <w:rsid w:val="00A57029"/>
    <w:rsid w:val="00A57121"/>
    <w:rsid w:val="00A57F2C"/>
    <w:rsid w:val="00A61619"/>
    <w:rsid w:val="00A61EC4"/>
    <w:rsid w:val="00A64FD0"/>
    <w:rsid w:val="00A655ED"/>
    <w:rsid w:val="00A66043"/>
    <w:rsid w:val="00A66496"/>
    <w:rsid w:val="00A6707D"/>
    <w:rsid w:val="00A67A8C"/>
    <w:rsid w:val="00A722E3"/>
    <w:rsid w:val="00A7433B"/>
    <w:rsid w:val="00A7764C"/>
    <w:rsid w:val="00A77FF7"/>
    <w:rsid w:val="00A80FE3"/>
    <w:rsid w:val="00A81DFA"/>
    <w:rsid w:val="00A84B8D"/>
    <w:rsid w:val="00A85254"/>
    <w:rsid w:val="00A855E8"/>
    <w:rsid w:val="00A901E0"/>
    <w:rsid w:val="00A9094D"/>
    <w:rsid w:val="00A92193"/>
    <w:rsid w:val="00A94E86"/>
    <w:rsid w:val="00A9519D"/>
    <w:rsid w:val="00A95FD4"/>
    <w:rsid w:val="00AA11D5"/>
    <w:rsid w:val="00AA1729"/>
    <w:rsid w:val="00AA2A2A"/>
    <w:rsid w:val="00AA40E0"/>
    <w:rsid w:val="00AA4B1A"/>
    <w:rsid w:val="00AA4D95"/>
    <w:rsid w:val="00AA5C63"/>
    <w:rsid w:val="00AA7450"/>
    <w:rsid w:val="00AB01A4"/>
    <w:rsid w:val="00AB0A20"/>
    <w:rsid w:val="00AB0EE4"/>
    <w:rsid w:val="00AB335B"/>
    <w:rsid w:val="00AB371B"/>
    <w:rsid w:val="00AC0D2E"/>
    <w:rsid w:val="00AC1AEF"/>
    <w:rsid w:val="00AC2713"/>
    <w:rsid w:val="00AC3391"/>
    <w:rsid w:val="00AC6B62"/>
    <w:rsid w:val="00AD45AE"/>
    <w:rsid w:val="00AD6189"/>
    <w:rsid w:val="00AE325F"/>
    <w:rsid w:val="00AE38AA"/>
    <w:rsid w:val="00AE5638"/>
    <w:rsid w:val="00AE7161"/>
    <w:rsid w:val="00AF01CC"/>
    <w:rsid w:val="00AF08FD"/>
    <w:rsid w:val="00AF25A4"/>
    <w:rsid w:val="00AF64F3"/>
    <w:rsid w:val="00AF65F9"/>
    <w:rsid w:val="00AF6F28"/>
    <w:rsid w:val="00AF75E0"/>
    <w:rsid w:val="00B007A1"/>
    <w:rsid w:val="00B01757"/>
    <w:rsid w:val="00B02BDD"/>
    <w:rsid w:val="00B065B4"/>
    <w:rsid w:val="00B1074E"/>
    <w:rsid w:val="00B10F35"/>
    <w:rsid w:val="00B1148F"/>
    <w:rsid w:val="00B13025"/>
    <w:rsid w:val="00B14ADD"/>
    <w:rsid w:val="00B14EC1"/>
    <w:rsid w:val="00B16CAD"/>
    <w:rsid w:val="00B17239"/>
    <w:rsid w:val="00B17BD2"/>
    <w:rsid w:val="00B20486"/>
    <w:rsid w:val="00B21061"/>
    <w:rsid w:val="00B22AF7"/>
    <w:rsid w:val="00B22EFA"/>
    <w:rsid w:val="00B23D74"/>
    <w:rsid w:val="00B25E8C"/>
    <w:rsid w:val="00B2605F"/>
    <w:rsid w:val="00B279DD"/>
    <w:rsid w:val="00B3237A"/>
    <w:rsid w:val="00B3250E"/>
    <w:rsid w:val="00B33407"/>
    <w:rsid w:val="00B35947"/>
    <w:rsid w:val="00B36761"/>
    <w:rsid w:val="00B36A9E"/>
    <w:rsid w:val="00B36E0A"/>
    <w:rsid w:val="00B41216"/>
    <w:rsid w:val="00B4138D"/>
    <w:rsid w:val="00B416AE"/>
    <w:rsid w:val="00B41E3F"/>
    <w:rsid w:val="00B42C3E"/>
    <w:rsid w:val="00B4451B"/>
    <w:rsid w:val="00B51B2E"/>
    <w:rsid w:val="00B52C2F"/>
    <w:rsid w:val="00B52D18"/>
    <w:rsid w:val="00B533A6"/>
    <w:rsid w:val="00B537FF"/>
    <w:rsid w:val="00B557D3"/>
    <w:rsid w:val="00B55E63"/>
    <w:rsid w:val="00B55FB9"/>
    <w:rsid w:val="00B565E5"/>
    <w:rsid w:val="00B56948"/>
    <w:rsid w:val="00B60A83"/>
    <w:rsid w:val="00B6120D"/>
    <w:rsid w:val="00B61935"/>
    <w:rsid w:val="00B6313B"/>
    <w:rsid w:val="00B64D19"/>
    <w:rsid w:val="00B66661"/>
    <w:rsid w:val="00B6688F"/>
    <w:rsid w:val="00B67A19"/>
    <w:rsid w:val="00B70EDB"/>
    <w:rsid w:val="00B721F2"/>
    <w:rsid w:val="00B72FD4"/>
    <w:rsid w:val="00B73DBD"/>
    <w:rsid w:val="00B76E9A"/>
    <w:rsid w:val="00B7734E"/>
    <w:rsid w:val="00B7787F"/>
    <w:rsid w:val="00B81056"/>
    <w:rsid w:val="00B815C6"/>
    <w:rsid w:val="00B81722"/>
    <w:rsid w:val="00B81958"/>
    <w:rsid w:val="00B850E2"/>
    <w:rsid w:val="00B86832"/>
    <w:rsid w:val="00B90457"/>
    <w:rsid w:val="00B9058E"/>
    <w:rsid w:val="00B93269"/>
    <w:rsid w:val="00B93C13"/>
    <w:rsid w:val="00B93F13"/>
    <w:rsid w:val="00B94991"/>
    <w:rsid w:val="00B94DE5"/>
    <w:rsid w:val="00B96262"/>
    <w:rsid w:val="00B96B0B"/>
    <w:rsid w:val="00BA1878"/>
    <w:rsid w:val="00BA2412"/>
    <w:rsid w:val="00BA40C9"/>
    <w:rsid w:val="00BA563E"/>
    <w:rsid w:val="00BA7034"/>
    <w:rsid w:val="00BA74DC"/>
    <w:rsid w:val="00BA7672"/>
    <w:rsid w:val="00BA7774"/>
    <w:rsid w:val="00BA7AFA"/>
    <w:rsid w:val="00BB11C7"/>
    <w:rsid w:val="00BB344C"/>
    <w:rsid w:val="00BB40C6"/>
    <w:rsid w:val="00BB4255"/>
    <w:rsid w:val="00BB48C6"/>
    <w:rsid w:val="00BB5F04"/>
    <w:rsid w:val="00BB65CC"/>
    <w:rsid w:val="00BC05B4"/>
    <w:rsid w:val="00BC1A32"/>
    <w:rsid w:val="00BC282A"/>
    <w:rsid w:val="00BC4B75"/>
    <w:rsid w:val="00BC4F4D"/>
    <w:rsid w:val="00BC7F9B"/>
    <w:rsid w:val="00BD013D"/>
    <w:rsid w:val="00BD2D99"/>
    <w:rsid w:val="00BD3C45"/>
    <w:rsid w:val="00BD46FE"/>
    <w:rsid w:val="00BD50E9"/>
    <w:rsid w:val="00BD6070"/>
    <w:rsid w:val="00BD63A8"/>
    <w:rsid w:val="00BD68FB"/>
    <w:rsid w:val="00BE0EE5"/>
    <w:rsid w:val="00BE29AA"/>
    <w:rsid w:val="00BE468D"/>
    <w:rsid w:val="00BE4AEA"/>
    <w:rsid w:val="00BE4E7C"/>
    <w:rsid w:val="00BE6AA3"/>
    <w:rsid w:val="00BE6B28"/>
    <w:rsid w:val="00BE72D5"/>
    <w:rsid w:val="00BE7556"/>
    <w:rsid w:val="00BF3275"/>
    <w:rsid w:val="00BF3650"/>
    <w:rsid w:val="00BF3DF5"/>
    <w:rsid w:val="00BF45B4"/>
    <w:rsid w:val="00BF4617"/>
    <w:rsid w:val="00BF4962"/>
    <w:rsid w:val="00BF69F3"/>
    <w:rsid w:val="00BF7E5D"/>
    <w:rsid w:val="00C00565"/>
    <w:rsid w:val="00C008B8"/>
    <w:rsid w:val="00C01307"/>
    <w:rsid w:val="00C019B8"/>
    <w:rsid w:val="00C04AA5"/>
    <w:rsid w:val="00C062C9"/>
    <w:rsid w:val="00C0781E"/>
    <w:rsid w:val="00C121DD"/>
    <w:rsid w:val="00C124E3"/>
    <w:rsid w:val="00C13C8A"/>
    <w:rsid w:val="00C218DB"/>
    <w:rsid w:val="00C227C1"/>
    <w:rsid w:val="00C237AA"/>
    <w:rsid w:val="00C264A8"/>
    <w:rsid w:val="00C267D9"/>
    <w:rsid w:val="00C30035"/>
    <w:rsid w:val="00C302B1"/>
    <w:rsid w:val="00C30851"/>
    <w:rsid w:val="00C30A28"/>
    <w:rsid w:val="00C319CE"/>
    <w:rsid w:val="00C32064"/>
    <w:rsid w:val="00C336E5"/>
    <w:rsid w:val="00C35F76"/>
    <w:rsid w:val="00C3603B"/>
    <w:rsid w:val="00C4101F"/>
    <w:rsid w:val="00C41F2E"/>
    <w:rsid w:val="00C44016"/>
    <w:rsid w:val="00C450AF"/>
    <w:rsid w:val="00C45536"/>
    <w:rsid w:val="00C4621F"/>
    <w:rsid w:val="00C4777B"/>
    <w:rsid w:val="00C50CA1"/>
    <w:rsid w:val="00C51902"/>
    <w:rsid w:val="00C51C09"/>
    <w:rsid w:val="00C5251A"/>
    <w:rsid w:val="00C529A6"/>
    <w:rsid w:val="00C52DB3"/>
    <w:rsid w:val="00C54685"/>
    <w:rsid w:val="00C55ECF"/>
    <w:rsid w:val="00C574E9"/>
    <w:rsid w:val="00C62E92"/>
    <w:rsid w:val="00C6608E"/>
    <w:rsid w:val="00C669E0"/>
    <w:rsid w:val="00C703D1"/>
    <w:rsid w:val="00C70F04"/>
    <w:rsid w:val="00C72CA7"/>
    <w:rsid w:val="00C72D8C"/>
    <w:rsid w:val="00C72E05"/>
    <w:rsid w:val="00C73AE6"/>
    <w:rsid w:val="00C73B84"/>
    <w:rsid w:val="00C73FA5"/>
    <w:rsid w:val="00C74283"/>
    <w:rsid w:val="00C756DB"/>
    <w:rsid w:val="00C76A4C"/>
    <w:rsid w:val="00C76B61"/>
    <w:rsid w:val="00C770C1"/>
    <w:rsid w:val="00C80775"/>
    <w:rsid w:val="00C80FEF"/>
    <w:rsid w:val="00C81543"/>
    <w:rsid w:val="00C8176D"/>
    <w:rsid w:val="00C85BEC"/>
    <w:rsid w:val="00C8682A"/>
    <w:rsid w:val="00C87271"/>
    <w:rsid w:val="00C90517"/>
    <w:rsid w:val="00C91156"/>
    <w:rsid w:val="00C9120E"/>
    <w:rsid w:val="00CB16EC"/>
    <w:rsid w:val="00CB2FCA"/>
    <w:rsid w:val="00CB36CC"/>
    <w:rsid w:val="00CB499D"/>
    <w:rsid w:val="00CC09C7"/>
    <w:rsid w:val="00CC1809"/>
    <w:rsid w:val="00CC1913"/>
    <w:rsid w:val="00CC4F1B"/>
    <w:rsid w:val="00CC551C"/>
    <w:rsid w:val="00CC67E0"/>
    <w:rsid w:val="00CD3096"/>
    <w:rsid w:val="00CD4E4D"/>
    <w:rsid w:val="00CD578B"/>
    <w:rsid w:val="00CD6F26"/>
    <w:rsid w:val="00CD75F3"/>
    <w:rsid w:val="00CD7EBE"/>
    <w:rsid w:val="00CE3433"/>
    <w:rsid w:val="00CE4FCE"/>
    <w:rsid w:val="00CE54FF"/>
    <w:rsid w:val="00CE6E48"/>
    <w:rsid w:val="00CF1048"/>
    <w:rsid w:val="00CF3E8E"/>
    <w:rsid w:val="00CF45A5"/>
    <w:rsid w:val="00CF5BD7"/>
    <w:rsid w:val="00CF647A"/>
    <w:rsid w:val="00CF79DF"/>
    <w:rsid w:val="00D00EB6"/>
    <w:rsid w:val="00D01ACF"/>
    <w:rsid w:val="00D01E8B"/>
    <w:rsid w:val="00D064A5"/>
    <w:rsid w:val="00D06FF7"/>
    <w:rsid w:val="00D112E4"/>
    <w:rsid w:val="00D11682"/>
    <w:rsid w:val="00D14F48"/>
    <w:rsid w:val="00D152C1"/>
    <w:rsid w:val="00D2168B"/>
    <w:rsid w:val="00D23E72"/>
    <w:rsid w:val="00D262D4"/>
    <w:rsid w:val="00D26F2B"/>
    <w:rsid w:val="00D312D3"/>
    <w:rsid w:val="00D36A4A"/>
    <w:rsid w:val="00D36C17"/>
    <w:rsid w:val="00D43503"/>
    <w:rsid w:val="00D43DD7"/>
    <w:rsid w:val="00D4604E"/>
    <w:rsid w:val="00D513B8"/>
    <w:rsid w:val="00D51A36"/>
    <w:rsid w:val="00D54AB6"/>
    <w:rsid w:val="00D54CC6"/>
    <w:rsid w:val="00D560C3"/>
    <w:rsid w:val="00D56E40"/>
    <w:rsid w:val="00D574C3"/>
    <w:rsid w:val="00D57847"/>
    <w:rsid w:val="00D62F58"/>
    <w:rsid w:val="00D64CF2"/>
    <w:rsid w:val="00D659D5"/>
    <w:rsid w:val="00D6750B"/>
    <w:rsid w:val="00D704B9"/>
    <w:rsid w:val="00D72C5E"/>
    <w:rsid w:val="00D72CCF"/>
    <w:rsid w:val="00D7311A"/>
    <w:rsid w:val="00D758E3"/>
    <w:rsid w:val="00D766E4"/>
    <w:rsid w:val="00D77AAD"/>
    <w:rsid w:val="00D8166F"/>
    <w:rsid w:val="00D819D5"/>
    <w:rsid w:val="00D84A67"/>
    <w:rsid w:val="00D86BD7"/>
    <w:rsid w:val="00D870D3"/>
    <w:rsid w:val="00D87E3C"/>
    <w:rsid w:val="00D954C1"/>
    <w:rsid w:val="00DA1D40"/>
    <w:rsid w:val="00DA3086"/>
    <w:rsid w:val="00DA4B08"/>
    <w:rsid w:val="00DA4DBE"/>
    <w:rsid w:val="00DA71F0"/>
    <w:rsid w:val="00DB186A"/>
    <w:rsid w:val="00DB293A"/>
    <w:rsid w:val="00DB5814"/>
    <w:rsid w:val="00DB65B0"/>
    <w:rsid w:val="00DC0DDD"/>
    <w:rsid w:val="00DC0DEE"/>
    <w:rsid w:val="00DC2244"/>
    <w:rsid w:val="00DC4EB5"/>
    <w:rsid w:val="00DC509E"/>
    <w:rsid w:val="00DC5CD4"/>
    <w:rsid w:val="00DC69F4"/>
    <w:rsid w:val="00DC70EC"/>
    <w:rsid w:val="00DD1512"/>
    <w:rsid w:val="00DD1F33"/>
    <w:rsid w:val="00DD2F25"/>
    <w:rsid w:val="00DD42B7"/>
    <w:rsid w:val="00DD4DBA"/>
    <w:rsid w:val="00DD6BBE"/>
    <w:rsid w:val="00DD7A9D"/>
    <w:rsid w:val="00DD7AD7"/>
    <w:rsid w:val="00DD7FA8"/>
    <w:rsid w:val="00DE1608"/>
    <w:rsid w:val="00DE245A"/>
    <w:rsid w:val="00DE3DF5"/>
    <w:rsid w:val="00DE4353"/>
    <w:rsid w:val="00DE4F64"/>
    <w:rsid w:val="00DE58F0"/>
    <w:rsid w:val="00DE5E5D"/>
    <w:rsid w:val="00DE66CF"/>
    <w:rsid w:val="00DE6B96"/>
    <w:rsid w:val="00DE7EC9"/>
    <w:rsid w:val="00DF0ECD"/>
    <w:rsid w:val="00DF1E19"/>
    <w:rsid w:val="00DF4F4D"/>
    <w:rsid w:val="00DF5B72"/>
    <w:rsid w:val="00E006F6"/>
    <w:rsid w:val="00E0180B"/>
    <w:rsid w:val="00E02EC3"/>
    <w:rsid w:val="00E03706"/>
    <w:rsid w:val="00E05180"/>
    <w:rsid w:val="00E101F6"/>
    <w:rsid w:val="00E105EC"/>
    <w:rsid w:val="00E109F1"/>
    <w:rsid w:val="00E10A36"/>
    <w:rsid w:val="00E10AED"/>
    <w:rsid w:val="00E12100"/>
    <w:rsid w:val="00E12168"/>
    <w:rsid w:val="00E13AB0"/>
    <w:rsid w:val="00E14562"/>
    <w:rsid w:val="00E15755"/>
    <w:rsid w:val="00E16074"/>
    <w:rsid w:val="00E17D10"/>
    <w:rsid w:val="00E21D45"/>
    <w:rsid w:val="00E23909"/>
    <w:rsid w:val="00E25C34"/>
    <w:rsid w:val="00E271D7"/>
    <w:rsid w:val="00E272A6"/>
    <w:rsid w:val="00E329B2"/>
    <w:rsid w:val="00E338B9"/>
    <w:rsid w:val="00E3476B"/>
    <w:rsid w:val="00E34DAC"/>
    <w:rsid w:val="00E35744"/>
    <w:rsid w:val="00E404DE"/>
    <w:rsid w:val="00E405C7"/>
    <w:rsid w:val="00E40BAB"/>
    <w:rsid w:val="00E40EA4"/>
    <w:rsid w:val="00E4342D"/>
    <w:rsid w:val="00E44B75"/>
    <w:rsid w:val="00E454FE"/>
    <w:rsid w:val="00E46889"/>
    <w:rsid w:val="00E504EF"/>
    <w:rsid w:val="00E54E8A"/>
    <w:rsid w:val="00E54EE0"/>
    <w:rsid w:val="00E55A2E"/>
    <w:rsid w:val="00E62524"/>
    <w:rsid w:val="00E645A5"/>
    <w:rsid w:val="00E66396"/>
    <w:rsid w:val="00E6752F"/>
    <w:rsid w:val="00E721AE"/>
    <w:rsid w:val="00E72ED9"/>
    <w:rsid w:val="00E74289"/>
    <w:rsid w:val="00E749E0"/>
    <w:rsid w:val="00E77F19"/>
    <w:rsid w:val="00E81F12"/>
    <w:rsid w:val="00E82055"/>
    <w:rsid w:val="00E830FF"/>
    <w:rsid w:val="00E846D4"/>
    <w:rsid w:val="00E84AE8"/>
    <w:rsid w:val="00E856C1"/>
    <w:rsid w:val="00E85CC5"/>
    <w:rsid w:val="00E85DC3"/>
    <w:rsid w:val="00E9163C"/>
    <w:rsid w:val="00E9424E"/>
    <w:rsid w:val="00E94580"/>
    <w:rsid w:val="00E9638C"/>
    <w:rsid w:val="00E96681"/>
    <w:rsid w:val="00E97183"/>
    <w:rsid w:val="00E9798D"/>
    <w:rsid w:val="00EA0330"/>
    <w:rsid w:val="00EA23CE"/>
    <w:rsid w:val="00EA6655"/>
    <w:rsid w:val="00EA784A"/>
    <w:rsid w:val="00EB1791"/>
    <w:rsid w:val="00EB1C29"/>
    <w:rsid w:val="00EB7327"/>
    <w:rsid w:val="00EC1A3A"/>
    <w:rsid w:val="00EC1DFD"/>
    <w:rsid w:val="00EC30B1"/>
    <w:rsid w:val="00EC3345"/>
    <w:rsid w:val="00EC3397"/>
    <w:rsid w:val="00ED07C4"/>
    <w:rsid w:val="00ED30A9"/>
    <w:rsid w:val="00ED4DA2"/>
    <w:rsid w:val="00ED4E5E"/>
    <w:rsid w:val="00ED7B75"/>
    <w:rsid w:val="00EE0282"/>
    <w:rsid w:val="00EE17D7"/>
    <w:rsid w:val="00EE22AB"/>
    <w:rsid w:val="00EE29DB"/>
    <w:rsid w:val="00EE2D22"/>
    <w:rsid w:val="00EE41E6"/>
    <w:rsid w:val="00EE4233"/>
    <w:rsid w:val="00EE4C1D"/>
    <w:rsid w:val="00EE5332"/>
    <w:rsid w:val="00EE5EDA"/>
    <w:rsid w:val="00EF0F44"/>
    <w:rsid w:val="00EF1BF6"/>
    <w:rsid w:val="00EF1FD8"/>
    <w:rsid w:val="00EF3C36"/>
    <w:rsid w:val="00EF4A41"/>
    <w:rsid w:val="00EF4F85"/>
    <w:rsid w:val="00EF5FA3"/>
    <w:rsid w:val="00F00562"/>
    <w:rsid w:val="00F01219"/>
    <w:rsid w:val="00F04B23"/>
    <w:rsid w:val="00F058CA"/>
    <w:rsid w:val="00F0673E"/>
    <w:rsid w:val="00F07509"/>
    <w:rsid w:val="00F078AC"/>
    <w:rsid w:val="00F10D35"/>
    <w:rsid w:val="00F17906"/>
    <w:rsid w:val="00F205BD"/>
    <w:rsid w:val="00F21C69"/>
    <w:rsid w:val="00F226C5"/>
    <w:rsid w:val="00F22751"/>
    <w:rsid w:val="00F23EA4"/>
    <w:rsid w:val="00F24945"/>
    <w:rsid w:val="00F24F82"/>
    <w:rsid w:val="00F25416"/>
    <w:rsid w:val="00F25BA4"/>
    <w:rsid w:val="00F277AB"/>
    <w:rsid w:val="00F3257C"/>
    <w:rsid w:val="00F407E8"/>
    <w:rsid w:val="00F410A5"/>
    <w:rsid w:val="00F41D18"/>
    <w:rsid w:val="00F43847"/>
    <w:rsid w:val="00F455FF"/>
    <w:rsid w:val="00F46265"/>
    <w:rsid w:val="00F4640E"/>
    <w:rsid w:val="00F50C31"/>
    <w:rsid w:val="00F52BB6"/>
    <w:rsid w:val="00F5306D"/>
    <w:rsid w:val="00F53981"/>
    <w:rsid w:val="00F5432A"/>
    <w:rsid w:val="00F551F1"/>
    <w:rsid w:val="00F619AF"/>
    <w:rsid w:val="00F62AA6"/>
    <w:rsid w:val="00F6416E"/>
    <w:rsid w:val="00F647F3"/>
    <w:rsid w:val="00F66661"/>
    <w:rsid w:val="00F674B9"/>
    <w:rsid w:val="00F71711"/>
    <w:rsid w:val="00F71DD9"/>
    <w:rsid w:val="00F72691"/>
    <w:rsid w:val="00F73C90"/>
    <w:rsid w:val="00F74BFD"/>
    <w:rsid w:val="00F74C5C"/>
    <w:rsid w:val="00F776C4"/>
    <w:rsid w:val="00F80623"/>
    <w:rsid w:val="00F80AD0"/>
    <w:rsid w:val="00F83818"/>
    <w:rsid w:val="00F847B6"/>
    <w:rsid w:val="00F84EFE"/>
    <w:rsid w:val="00F86083"/>
    <w:rsid w:val="00F866AF"/>
    <w:rsid w:val="00F87872"/>
    <w:rsid w:val="00F923D4"/>
    <w:rsid w:val="00F92AF7"/>
    <w:rsid w:val="00F92B10"/>
    <w:rsid w:val="00F93153"/>
    <w:rsid w:val="00F936B1"/>
    <w:rsid w:val="00F93A18"/>
    <w:rsid w:val="00F9502A"/>
    <w:rsid w:val="00F9748B"/>
    <w:rsid w:val="00F9752B"/>
    <w:rsid w:val="00F97C09"/>
    <w:rsid w:val="00FA11F7"/>
    <w:rsid w:val="00FA2376"/>
    <w:rsid w:val="00FA799A"/>
    <w:rsid w:val="00FB04F8"/>
    <w:rsid w:val="00FB06EA"/>
    <w:rsid w:val="00FB08EB"/>
    <w:rsid w:val="00FB3375"/>
    <w:rsid w:val="00FB36E2"/>
    <w:rsid w:val="00FB4746"/>
    <w:rsid w:val="00FB49C0"/>
    <w:rsid w:val="00FB6B12"/>
    <w:rsid w:val="00FB7C81"/>
    <w:rsid w:val="00FC210F"/>
    <w:rsid w:val="00FC396C"/>
    <w:rsid w:val="00FC3BFB"/>
    <w:rsid w:val="00FC46BA"/>
    <w:rsid w:val="00FC4A3C"/>
    <w:rsid w:val="00FC7891"/>
    <w:rsid w:val="00FC7960"/>
    <w:rsid w:val="00FC7999"/>
    <w:rsid w:val="00FD07C8"/>
    <w:rsid w:val="00FD194B"/>
    <w:rsid w:val="00FD2D38"/>
    <w:rsid w:val="00FD33C5"/>
    <w:rsid w:val="00FD43CA"/>
    <w:rsid w:val="00FD4B18"/>
    <w:rsid w:val="00FD66C2"/>
    <w:rsid w:val="00FE0176"/>
    <w:rsid w:val="00FE0405"/>
    <w:rsid w:val="00FE07EE"/>
    <w:rsid w:val="00FE2265"/>
    <w:rsid w:val="00FE661E"/>
    <w:rsid w:val="00FF1BC9"/>
    <w:rsid w:val="00FF23E0"/>
    <w:rsid w:val="00FF3662"/>
    <w:rsid w:val="00FF4CED"/>
    <w:rsid w:val="00FF696F"/>
    <w:rsid w:val="00FF6EDA"/>
    <w:rsid w:val="132BC7BA"/>
    <w:rsid w:val="13C65B85"/>
    <w:rsid w:val="501E4964"/>
    <w:rsid w:val="6947A4EA"/>
    <w:rsid w:val="6BD9E19D"/>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90D4EC6"/>
  <w15:docId w15:val="{A622B916-5077-4795-B1A6-3AC2AD1E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2A52"/>
  </w:style>
  <w:style w:type="paragraph" w:styleId="Heading1">
    <w:name w:val="heading 1"/>
    <w:basedOn w:val="Normal"/>
    <w:next w:val="Normal"/>
    <w:qFormat/>
    <w:rsid w:val="003A2A52"/>
    <w:pPr>
      <w:keepNext/>
      <w:jc w:val="right"/>
      <w:outlineLvl w:val="0"/>
    </w:pPr>
    <w:rPr>
      <w:rFonts w:ascii="Arial" w:hAnsi="Arial" w:cs="Arial"/>
      <w:b/>
      <w:bCs/>
      <w:sz w:val="18"/>
      <w:szCs w:val="18"/>
    </w:rPr>
  </w:style>
  <w:style w:type="paragraph" w:styleId="Heading2">
    <w:name w:val="heading 2"/>
    <w:basedOn w:val="Normal"/>
    <w:next w:val="Normal"/>
    <w:qFormat/>
    <w:rsid w:val="003A2A52"/>
    <w:pPr>
      <w:keepNext/>
      <w:autoSpaceDE w:val="0"/>
      <w:autoSpaceDN w:val="0"/>
      <w:adjustRightInd w:val="0"/>
      <w:outlineLvl w:val="1"/>
    </w:pPr>
    <w:rPr>
      <w:rFonts w:ascii="Arial" w:hAnsi="Arial" w:cs="Arial"/>
      <w:b/>
      <w:bCs/>
      <w:color w:val="000000"/>
      <w:sz w:val="18"/>
      <w:szCs w:val="18"/>
    </w:rPr>
  </w:style>
  <w:style w:type="paragraph" w:styleId="Heading3">
    <w:name w:val="heading 3"/>
    <w:basedOn w:val="Normal"/>
    <w:next w:val="Normal"/>
    <w:qFormat/>
    <w:rsid w:val="003A2A52"/>
    <w:pPr>
      <w:keepNext/>
      <w:autoSpaceDE w:val="0"/>
      <w:autoSpaceDN w:val="0"/>
      <w:adjustRightInd w:val="0"/>
      <w:jc w:val="both"/>
      <w:outlineLvl w:val="2"/>
    </w:pPr>
    <w:rPr>
      <w:rFonts w:ascii="Arial" w:hAnsi="Arial" w:cs="Arial"/>
      <w:b/>
      <w:bCs/>
      <w:color w:val="000000"/>
      <w:sz w:val="18"/>
      <w:szCs w:val="18"/>
    </w:rPr>
  </w:style>
  <w:style w:type="paragraph" w:styleId="Heading4">
    <w:name w:val="heading 4"/>
    <w:basedOn w:val="Normal"/>
    <w:next w:val="Normal"/>
    <w:qFormat/>
    <w:rsid w:val="003A2A52"/>
    <w:pPr>
      <w:keepNext/>
      <w:autoSpaceDE w:val="0"/>
      <w:autoSpaceDN w:val="0"/>
      <w:adjustRightInd w:val="0"/>
      <w:jc w:val="both"/>
      <w:outlineLvl w:val="3"/>
    </w:pPr>
    <w:rPr>
      <w:rFonts w:ascii="Arial" w:hAnsi="Arial" w:cs="Arial"/>
      <w:b/>
      <w:bCs/>
      <w:lang w:val="es-ES_tradnl"/>
    </w:rPr>
  </w:style>
  <w:style w:type="paragraph" w:styleId="Heading5">
    <w:name w:val="heading 5"/>
    <w:basedOn w:val="Normal"/>
    <w:next w:val="Normal"/>
    <w:qFormat/>
    <w:rsid w:val="003A2A52"/>
    <w:pPr>
      <w:keepNext/>
      <w:autoSpaceDE w:val="0"/>
      <w:autoSpaceDN w:val="0"/>
      <w:adjustRightInd w:val="0"/>
      <w:outlineLvl w:val="4"/>
    </w:pPr>
    <w:rPr>
      <w:rFonts w:ascii="Geneva" w:hAnsi="Geneva" w:cs="Arial"/>
      <w:b/>
      <w:bCs/>
      <w:i/>
      <w:iCs/>
      <w:color w:val="000000"/>
      <w:sz w:val="18"/>
      <w:szCs w:val="18"/>
      <w:lang w:val="es-ES_tradnl"/>
    </w:rPr>
  </w:style>
  <w:style w:type="paragraph" w:styleId="Heading6">
    <w:name w:val="heading 6"/>
    <w:basedOn w:val="Normal"/>
    <w:next w:val="Normal"/>
    <w:qFormat/>
    <w:rsid w:val="003A2A52"/>
    <w:pPr>
      <w:keepNext/>
      <w:autoSpaceDE w:val="0"/>
      <w:autoSpaceDN w:val="0"/>
      <w:adjustRightInd w:val="0"/>
      <w:outlineLvl w:val="5"/>
    </w:pPr>
    <w:rPr>
      <w:b/>
      <w:bCs/>
      <w:sz w:val="18"/>
      <w:szCs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A2A52"/>
    <w:pPr>
      <w:tabs>
        <w:tab w:val="center" w:pos="4320"/>
        <w:tab w:val="right" w:pos="8640"/>
      </w:tabs>
    </w:pPr>
  </w:style>
  <w:style w:type="paragraph" w:styleId="Footer">
    <w:name w:val="footer"/>
    <w:basedOn w:val="Normal"/>
    <w:link w:val="FooterChar"/>
    <w:uiPriority w:val="99"/>
    <w:rsid w:val="003A2A52"/>
    <w:pPr>
      <w:tabs>
        <w:tab w:val="center" w:pos="4320"/>
        <w:tab w:val="right" w:pos="8640"/>
      </w:tabs>
    </w:pPr>
  </w:style>
  <w:style w:type="character" w:styleId="PageNumber">
    <w:name w:val="page number"/>
    <w:basedOn w:val="DefaultParagraphFont"/>
    <w:rsid w:val="003A2A52"/>
  </w:style>
  <w:style w:type="paragraph" w:customStyle="1" w:styleId="Textodeglobo2">
    <w:name w:val="Texto de globo2"/>
    <w:basedOn w:val="Normal"/>
    <w:semiHidden/>
    <w:rsid w:val="003A2A52"/>
    <w:rPr>
      <w:rFonts w:ascii="Tahoma" w:hAnsi="Tahoma" w:cs="Tahoma"/>
      <w:sz w:val="16"/>
      <w:szCs w:val="16"/>
    </w:rPr>
  </w:style>
  <w:style w:type="character" w:styleId="CommentReference">
    <w:name w:val="annotation reference"/>
    <w:basedOn w:val="DefaultParagraphFont"/>
    <w:semiHidden/>
    <w:rsid w:val="003A2A52"/>
    <w:rPr>
      <w:sz w:val="16"/>
      <w:szCs w:val="16"/>
    </w:rPr>
  </w:style>
  <w:style w:type="paragraph" w:styleId="CommentText">
    <w:name w:val="annotation text"/>
    <w:basedOn w:val="Normal"/>
    <w:link w:val="CommentTextChar"/>
    <w:uiPriority w:val="99"/>
    <w:semiHidden/>
    <w:rsid w:val="003A2A52"/>
  </w:style>
  <w:style w:type="paragraph" w:customStyle="1" w:styleId="Asuntodelcomentario1">
    <w:name w:val="Asunto del comentario1"/>
    <w:basedOn w:val="CommentText"/>
    <w:next w:val="CommentText"/>
    <w:semiHidden/>
    <w:rsid w:val="003A2A52"/>
    <w:rPr>
      <w:b/>
      <w:bCs/>
    </w:rPr>
  </w:style>
  <w:style w:type="paragraph" w:styleId="BodyText">
    <w:name w:val="Body Text"/>
    <w:basedOn w:val="Normal"/>
    <w:rsid w:val="003A2A52"/>
    <w:pPr>
      <w:autoSpaceDE w:val="0"/>
      <w:autoSpaceDN w:val="0"/>
      <w:adjustRightInd w:val="0"/>
      <w:jc w:val="both"/>
    </w:pPr>
    <w:rPr>
      <w:rFonts w:ascii="Arial" w:hAnsi="Arial" w:cs="Arial"/>
      <w:color w:val="000000"/>
      <w:sz w:val="18"/>
      <w:szCs w:val="18"/>
    </w:rPr>
  </w:style>
  <w:style w:type="paragraph" w:styleId="BodyText2">
    <w:name w:val="Body Text 2"/>
    <w:basedOn w:val="Normal"/>
    <w:rsid w:val="003A2A52"/>
    <w:pPr>
      <w:autoSpaceDE w:val="0"/>
      <w:autoSpaceDN w:val="0"/>
      <w:adjustRightInd w:val="0"/>
      <w:jc w:val="both"/>
    </w:pPr>
    <w:rPr>
      <w:rFonts w:ascii="Arial" w:hAnsi="Arial" w:cs="Arial"/>
      <w:sz w:val="18"/>
      <w:szCs w:val="18"/>
    </w:rPr>
  </w:style>
  <w:style w:type="paragraph" w:styleId="BodyText3">
    <w:name w:val="Body Text 3"/>
    <w:basedOn w:val="Normal"/>
    <w:rsid w:val="003A2A52"/>
    <w:pPr>
      <w:autoSpaceDE w:val="0"/>
      <w:autoSpaceDN w:val="0"/>
      <w:adjustRightInd w:val="0"/>
    </w:pPr>
    <w:rPr>
      <w:rFonts w:ascii="Geneva" w:hAnsi="Geneva" w:cs="Arial"/>
      <w:b/>
      <w:bCs/>
      <w:i/>
      <w:iCs/>
      <w:color w:val="000000"/>
      <w:sz w:val="18"/>
      <w:szCs w:val="18"/>
      <w:lang w:val="es-ES_tradnl"/>
    </w:rPr>
  </w:style>
  <w:style w:type="paragraph" w:customStyle="1" w:styleId="Textodeglobo1">
    <w:name w:val="Texto de globo1"/>
    <w:basedOn w:val="Normal"/>
    <w:semiHidden/>
    <w:rsid w:val="003A2A52"/>
    <w:rPr>
      <w:rFonts w:ascii="Tahoma" w:hAnsi="Tahoma" w:cs="Tahoma"/>
      <w:sz w:val="16"/>
      <w:szCs w:val="16"/>
    </w:rPr>
  </w:style>
  <w:style w:type="paragraph" w:customStyle="1" w:styleId="Chapter">
    <w:name w:val="Chapter"/>
    <w:basedOn w:val="Normal"/>
    <w:next w:val="Normal"/>
    <w:rsid w:val="003A2A52"/>
    <w:pPr>
      <w:numPr>
        <w:numId w:val="3"/>
      </w:numPr>
      <w:tabs>
        <w:tab w:val="left" w:pos="1440"/>
      </w:tabs>
      <w:spacing w:before="240" w:after="240"/>
      <w:jc w:val="center"/>
    </w:pPr>
    <w:rPr>
      <w:b/>
      <w:smallCaps/>
      <w:sz w:val="24"/>
      <w:lang w:val="es-ES"/>
    </w:rPr>
  </w:style>
  <w:style w:type="paragraph" w:customStyle="1" w:styleId="Paragraph">
    <w:name w:val="Paragraph"/>
    <w:basedOn w:val="BodyTextIndent"/>
    <w:rsid w:val="003A2A52"/>
    <w:pPr>
      <w:numPr>
        <w:ilvl w:val="1"/>
        <w:numId w:val="3"/>
      </w:numPr>
      <w:spacing w:before="120"/>
      <w:jc w:val="both"/>
      <w:outlineLvl w:val="1"/>
    </w:pPr>
    <w:rPr>
      <w:sz w:val="24"/>
      <w:lang w:val="es-ES"/>
    </w:rPr>
  </w:style>
  <w:style w:type="paragraph" w:customStyle="1" w:styleId="subpar">
    <w:name w:val="subpar"/>
    <w:basedOn w:val="BodyTextIndent3"/>
    <w:rsid w:val="003A2A52"/>
    <w:pPr>
      <w:numPr>
        <w:ilvl w:val="2"/>
        <w:numId w:val="3"/>
      </w:numPr>
      <w:spacing w:before="120"/>
      <w:jc w:val="both"/>
      <w:outlineLvl w:val="2"/>
    </w:pPr>
    <w:rPr>
      <w:sz w:val="24"/>
      <w:szCs w:val="20"/>
      <w:lang w:val="es-ES_tradnl"/>
    </w:rPr>
  </w:style>
  <w:style w:type="paragraph" w:customStyle="1" w:styleId="SubSubPar">
    <w:name w:val="SubSubPar"/>
    <w:basedOn w:val="subpar"/>
    <w:rsid w:val="003A2A52"/>
    <w:pPr>
      <w:numPr>
        <w:ilvl w:val="3"/>
      </w:numPr>
      <w:tabs>
        <w:tab w:val="left" w:pos="0"/>
      </w:tabs>
    </w:pPr>
  </w:style>
  <w:style w:type="paragraph" w:styleId="BodyTextIndent">
    <w:name w:val="Body Text Indent"/>
    <w:basedOn w:val="Normal"/>
    <w:rsid w:val="003A2A52"/>
    <w:pPr>
      <w:spacing w:after="120"/>
      <w:ind w:left="360"/>
    </w:pPr>
  </w:style>
  <w:style w:type="paragraph" w:styleId="BodyTextIndent3">
    <w:name w:val="Body Text Indent 3"/>
    <w:basedOn w:val="Normal"/>
    <w:rsid w:val="003A2A52"/>
    <w:pPr>
      <w:spacing w:after="120"/>
      <w:ind w:left="360"/>
    </w:pPr>
    <w:rPr>
      <w:sz w:val="16"/>
      <w:szCs w:val="16"/>
    </w:rPr>
  </w:style>
  <w:style w:type="paragraph" w:styleId="FootnoteText">
    <w:name w:val="footnote text"/>
    <w:basedOn w:val="Normal"/>
    <w:semiHidden/>
    <w:rsid w:val="003A2A52"/>
  </w:style>
  <w:style w:type="character" w:styleId="FootnoteReference">
    <w:name w:val="footnote reference"/>
    <w:basedOn w:val="DefaultParagraphFont"/>
    <w:semiHidden/>
    <w:rsid w:val="003A2A52"/>
    <w:rPr>
      <w:vertAlign w:val="superscript"/>
    </w:rPr>
  </w:style>
  <w:style w:type="paragraph" w:styleId="BalloonText">
    <w:name w:val="Balloon Text"/>
    <w:basedOn w:val="Normal"/>
    <w:semiHidden/>
    <w:rsid w:val="001D1698"/>
    <w:rPr>
      <w:rFonts w:ascii="Tahoma" w:hAnsi="Tahoma" w:cs="Tahoma"/>
      <w:sz w:val="16"/>
      <w:szCs w:val="16"/>
    </w:rPr>
  </w:style>
  <w:style w:type="character" w:customStyle="1" w:styleId="FooterChar">
    <w:name w:val="Footer Char"/>
    <w:basedOn w:val="DefaultParagraphFont"/>
    <w:link w:val="Footer"/>
    <w:uiPriority w:val="99"/>
    <w:rsid w:val="00E21D45"/>
    <w:rPr>
      <w:lang w:val="en-US" w:eastAsia="en-US"/>
    </w:rPr>
  </w:style>
  <w:style w:type="character" w:styleId="Emphasis">
    <w:name w:val="Emphasis"/>
    <w:basedOn w:val="DefaultParagraphFont"/>
    <w:uiPriority w:val="20"/>
    <w:qFormat/>
    <w:rsid w:val="00D36C17"/>
    <w:rPr>
      <w:i/>
      <w:iCs/>
    </w:rPr>
  </w:style>
  <w:style w:type="character" w:customStyle="1" w:styleId="HeaderChar">
    <w:name w:val="Header Char"/>
    <w:basedOn w:val="DefaultParagraphFont"/>
    <w:link w:val="Header"/>
    <w:uiPriority w:val="99"/>
    <w:rsid w:val="00A31C52"/>
  </w:style>
  <w:style w:type="table" w:styleId="TableGrid">
    <w:name w:val="Table Grid"/>
    <w:basedOn w:val="TableNormal"/>
    <w:uiPriority w:val="59"/>
    <w:rsid w:val="001F4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F4940"/>
    <w:pPr>
      <w:ind w:left="720"/>
      <w:contextualSpacing/>
    </w:pPr>
  </w:style>
  <w:style w:type="character" w:customStyle="1" w:styleId="ListParagraphChar">
    <w:name w:val="List Paragraph Char"/>
    <w:basedOn w:val="DefaultParagraphFont"/>
    <w:link w:val="ListParagraph"/>
    <w:uiPriority w:val="34"/>
    <w:rsid w:val="00B67A19"/>
  </w:style>
  <w:style w:type="character" w:customStyle="1" w:styleId="CommentTextChar">
    <w:name w:val="Comment Text Char"/>
    <w:basedOn w:val="DefaultParagraphFont"/>
    <w:link w:val="CommentText"/>
    <w:uiPriority w:val="99"/>
    <w:semiHidden/>
    <w:rsid w:val="00E12168"/>
  </w:style>
  <w:style w:type="paragraph" w:customStyle="1" w:styleId="Default">
    <w:name w:val="Default"/>
    <w:rsid w:val="00E12168"/>
    <w:pPr>
      <w:autoSpaceDE w:val="0"/>
      <w:autoSpaceDN w:val="0"/>
      <w:adjustRightInd w:val="0"/>
    </w:pPr>
    <w:rPr>
      <w:color w:val="000000"/>
      <w:sz w:val="24"/>
      <w:szCs w:val="24"/>
      <w:lang w:val="es-CO" w:eastAsia="es-CO"/>
    </w:rPr>
  </w:style>
  <w:style w:type="character" w:styleId="Hyperlink">
    <w:name w:val="Hyperlink"/>
    <w:basedOn w:val="DefaultParagraphFont"/>
    <w:rsid w:val="006624DC"/>
    <w:rPr>
      <w:color w:val="0000FF" w:themeColor="hyperlink"/>
      <w:u w:val="single"/>
    </w:rPr>
  </w:style>
  <w:style w:type="paragraph" w:styleId="CommentSubject">
    <w:name w:val="annotation subject"/>
    <w:basedOn w:val="CommentText"/>
    <w:next w:val="CommentText"/>
    <w:link w:val="CommentSubjectChar"/>
    <w:semiHidden/>
    <w:unhideWhenUsed/>
    <w:rsid w:val="00051470"/>
    <w:rPr>
      <w:b/>
      <w:bCs/>
    </w:rPr>
  </w:style>
  <w:style w:type="character" w:customStyle="1" w:styleId="CommentSubjectChar">
    <w:name w:val="Comment Subject Char"/>
    <w:basedOn w:val="CommentTextChar"/>
    <w:link w:val="CommentSubject"/>
    <w:semiHidden/>
    <w:rsid w:val="00051470"/>
    <w:rPr>
      <w:b/>
      <w:bCs/>
    </w:rPr>
  </w:style>
  <w:style w:type="character" w:styleId="FollowedHyperlink">
    <w:name w:val="FollowedHyperlink"/>
    <w:basedOn w:val="DefaultParagraphFont"/>
    <w:semiHidden/>
    <w:unhideWhenUsed/>
    <w:rsid w:val="00943A37"/>
    <w:rPr>
      <w:color w:val="800080" w:themeColor="followedHyperlink"/>
      <w:u w:val="single"/>
    </w:rPr>
  </w:style>
  <w:style w:type="character" w:styleId="BookTitle">
    <w:name w:val="Book Title"/>
    <w:basedOn w:val="DefaultParagraphFont"/>
    <w:uiPriority w:val="33"/>
    <w:qFormat/>
    <w:rsid w:val="0027193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98723">
      <w:bodyDiv w:val="1"/>
      <w:marLeft w:val="0"/>
      <w:marRight w:val="0"/>
      <w:marTop w:val="0"/>
      <w:marBottom w:val="0"/>
      <w:divBdr>
        <w:top w:val="none" w:sz="0" w:space="0" w:color="auto"/>
        <w:left w:val="none" w:sz="0" w:space="0" w:color="auto"/>
        <w:bottom w:val="none" w:sz="0" w:space="0" w:color="auto"/>
        <w:right w:val="none" w:sz="0" w:space="0" w:color="auto"/>
      </w:divBdr>
    </w:div>
    <w:div w:id="253782206">
      <w:bodyDiv w:val="1"/>
      <w:marLeft w:val="0"/>
      <w:marRight w:val="0"/>
      <w:marTop w:val="0"/>
      <w:marBottom w:val="0"/>
      <w:divBdr>
        <w:top w:val="none" w:sz="0" w:space="0" w:color="auto"/>
        <w:left w:val="none" w:sz="0" w:space="0" w:color="auto"/>
        <w:bottom w:val="none" w:sz="0" w:space="0" w:color="auto"/>
        <w:right w:val="none" w:sz="0" w:space="0" w:color="auto"/>
      </w:divBdr>
      <w:divsChild>
        <w:div w:id="769543214">
          <w:marLeft w:val="446"/>
          <w:marRight w:val="0"/>
          <w:marTop w:val="0"/>
          <w:marBottom w:val="0"/>
          <w:divBdr>
            <w:top w:val="none" w:sz="0" w:space="0" w:color="auto"/>
            <w:left w:val="none" w:sz="0" w:space="0" w:color="auto"/>
            <w:bottom w:val="none" w:sz="0" w:space="0" w:color="auto"/>
            <w:right w:val="none" w:sz="0" w:space="0" w:color="auto"/>
          </w:divBdr>
        </w:div>
      </w:divsChild>
    </w:div>
    <w:div w:id="427850673">
      <w:bodyDiv w:val="1"/>
      <w:marLeft w:val="0"/>
      <w:marRight w:val="0"/>
      <w:marTop w:val="0"/>
      <w:marBottom w:val="0"/>
      <w:divBdr>
        <w:top w:val="none" w:sz="0" w:space="0" w:color="auto"/>
        <w:left w:val="none" w:sz="0" w:space="0" w:color="auto"/>
        <w:bottom w:val="none" w:sz="0" w:space="0" w:color="auto"/>
        <w:right w:val="none" w:sz="0" w:space="0" w:color="auto"/>
      </w:divBdr>
    </w:div>
    <w:div w:id="441992939">
      <w:bodyDiv w:val="1"/>
      <w:marLeft w:val="0"/>
      <w:marRight w:val="0"/>
      <w:marTop w:val="0"/>
      <w:marBottom w:val="0"/>
      <w:divBdr>
        <w:top w:val="none" w:sz="0" w:space="0" w:color="auto"/>
        <w:left w:val="none" w:sz="0" w:space="0" w:color="auto"/>
        <w:bottom w:val="none" w:sz="0" w:space="0" w:color="auto"/>
        <w:right w:val="none" w:sz="0" w:space="0" w:color="auto"/>
      </w:divBdr>
    </w:div>
    <w:div w:id="823472576">
      <w:bodyDiv w:val="1"/>
      <w:marLeft w:val="0"/>
      <w:marRight w:val="0"/>
      <w:marTop w:val="0"/>
      <w:marBottom w:val="0"/>
      <w:divBdr>
        <w:top w:val="none" w:sz="0" w:space="0" w:color="auto"/>
        <w:left w:val="none" w:sz="0" w:space="0" w:color="auto"/>
        <w:bottom w:val="none" w:sz="0" w:space="0" w:color="auto"/>
        <w:right w:val="none" w:sz="0" w:space="0" w:color="auto"/>
      </w:divBdr>
      <w:divsChild>
        <w:div w:id="636909424">
          <w:marLeft w:val="446"/>
          <w:marRight w:val="0"/>
          <w:marTop w:val="0"/>
          <w:marBottom w:val="0"/>
          <w:divBdr>
            <w:top w:val="none" w:sz="0" w:space="0" w:color="auto"/>
            <w:left w:val="none" w:sz="0" w:space="0" w:color="auto"/>
            <w:bottom w:val="none" w:sz="0" w:space="0" w:color="auto"/>
            <w:right w:val="none" w:sz="0" w:space="0" w:color="auto"/>
          </w:divBdr>
        </w:div>
      </w:divsChild>
    </w:div>
    <w:div w:id="931207124">
      <w:bodyDiv w:val="1"/>
      <w:marLeft w:val="0"/>
      <w:marRight w:val="0"/>
      <w:marTop w:val="0"/>
      <w:marBottom w:val="0"/>
      <w:divBdr>
        <w:top w:val="none" w:sz="0" w:space="0" w:color="auto"/>
        <w:left w:val="none" w:sz="0" w:space="0" w:color="auto"/>
        <w:bottom w:val="none" w:sz="0" w:space="0" w:color="auto"/>
        <w:right w:val="none" w:sz="0" w:space="0" w:color="auto"/>
      </w:divBdr>
    </w:div>
    <w:div w:id="1109010921">
      <w:bodyDiv w:val="1"/>
      <w:marLeft w:val="0"/>
      <w:marRight w:val="0"/>
      <w:marTop w:val="0"/>
      <w:marBottom w:val="0"/>
      <w:divBdr>
        <w:top w:val="none" w:sz="0" w:space="0" w:color="auto"/>
        <w:left w:val="none" w:sz="0" w:space="0" w:color="auto"/>
        <w:bottom w:val="none" w:sz="0" w:space="0" w:color="auto"/>
        <w:right w:val="none" w:sz="0" w:space="0" w:color="auto"/>
      </w:divBdr>
    </w:div>
    <w:div w:id="1193106549">
      <w:bodyDiv w:val="1"/>
      <w:marLeft w:val="0"/>
      <w:marRight w:val="0"/>
      <w:marTop w:val="0"/>
      <w:marBottom w:val="0"/>
      <w:divBdr>
        <w:top w:val="none" w:sz="0" w:space="0" w:color="auto"/>
        <w:left w:val="none" w:sz="0" w:space="0" w:color="auto"/>
        <w:bottom w:val="none" w:sz="0" w:space="0" w:color="auto"/>
        <w:right w:val="none" w:sz="0" w:space="0" w:color="auto"/>
      </w:divBdr>
      <w:divsChild>
        <w:div w:id="156191157">
          <w:marLeft w:val="446"/>
          <w:marRight w:val="0"/>
          <w:marTop w:val="72"/>
          <w:marBottom w:val="0"/>
          <w:divBdr>
            <w:top w:val="none" w:sz="0" w:space="0" w:color="auto"/>
            <w:left w:val="none" w:sz="0" w:space="0" w:color="auto"/>
            <w:bottom w:val="none" w:sz="0" w:space="0" w:color="auto"/>
            <w:right w:val="none" w:sz="0" w:space="0" w:color="auto"/>
          </w:divBdr>
        </w:div>
      </w:divsChild>
    </w:div>
    <w:div w:id="1262494767">
      <w:bodyDiv w:val="1"/>
      <w:marLeft w:val="0"/>
      <w:marRight w:val="0"/>
      <w:marTop w:val="0"/>
      <w:marBottom w:val="0"/>
      <w:divBdr>
        <w:top w:val="none" w:sz="0" w:space="0" w:color="auto"/>
        <w:left w:val="none" w:sz="0" w:space="0" w:color="auto"/>
        <w:bottom w:val="none" w:sz="0" w:space="0" w:color="auto"/>
        <w:right w:val="none" w:sz="0" w:space="0" w:color="auto"/>
      </w:divBdr>
    </w:div>
    <w:div w:id="1367099648">
      <w:bodyDiv w:val="1"/>
      <w:marLeft w:val="0"/>
      <w:marRight w:val="0"/>
      <w:marTop w:val="0"/>
      <w:marBottom w:val="0"/>
      <w:divBdr>
        <w:top w:val="none" w:sz="0" w:space="0" w:color="auto"/>
        <w:left w:val="none" w:sz="0" w:space="0" w:color="auto"/>
        <w:bottom w:val="none" w:sz="0" w:space="0" w:color="auto"/>
        <w:right w:val="none" w:sz="0" w:space="0" w:color="auto"/>
      </w:divBdr>
      <w:divsChild>
        <w:div w:id="1299922523">
          <w:marLeft w:val="446"/>
          <w:marRight w:val="0"/>
          <w:marTop w:val="0"/>
          <w:marBottom w:val="0"/>
          <w:divBdr>
            <w:top w:val="none" w:sz="0" w:space="0" w:color="auto"/>
            <w:left w:val="none" w:sz="0" w:space="0" w:color="auto"/>
            <w:bottom w:val="none" w:sz="0" w:space="0" w:color="auto"/>
            <w:right w:val="none" w:sz="0" w:space="0" w:color="auto"/>
          </w:divBdr>
        </w:div>
      </w:divsChild>
    </w:div>
    <w:div w:id="1761752828">
      <w:bodyDiv w:val="1"/>
      <w:marLeft w:val="0"/>
      <w:marRight w:val="0"/>
      <w:marTop w:val="0"/>
      <w:marBottom w:val="0"/>
      <w:divBdr>
        <w:top w:val="none" w:sz="0" w:space="0" w:color="auto"/>
        <w:left w:val="none" w:sz="0" w:space="0" w:color="auto"/>
        <w:bottom w:val="none" w:sz="0" w:space="0" w:color="auto"/>
        <w:right w:val="none" w:sz="0" w:space="0" w:color="auto"/>
      </w:divBdr>
      <w:divsChild>
        <w:div w:id="1905286957">
          <w:marLeft w:val="446"/>
          <w:marRight w:val="0"/>
          <w:marTop w:val="0"/>
          <w:marBottom w:val="0"/>
          <w:divBdr>
            <w:top w:val="none" w:sz="0" w:space="0" w:color="auto"/>
            <w:left w:val="none" w:sz="0" w:space="0" w:color="auto"/>
            <w:bottom w:val="none" w:sz="0" w:space="0" w:color="auto"/>
            <w:right w:val="none" w:sz="0" w:space="0" w:color="auto"/>
          </w:divBdr>
        </w:div>
      </w:divsChild>
    </w:div>
    <w:div w:id="1829516605">
      <w:bodyDiv w:val="1"/>
      <w:marLeft w:val="0"/>
      <w:marRight w:val="0"/>
      <w:marTop w:val="0"/>
      <w:marBottom w:val="0"/>
      <w:divBdr>
        <w:top w:val="none" w:sz="0" w:space="0" w:color="auto"/>
        <w:left w:val="none" w:sz="0" w:space="0" w:color="auto"/>
        <w:bottom w:val="none" w:sz="0" w:space="0" w:color="auto"/>
        <w:right w:val="none" w:sz="0" w:space="0" w:color="auto"/>
      </w:divBdr>
      <w:divsChild>
        <w:div w:id="2074693704">
          <w:marLeft w:val="418"/>
          <w:marRight w:val="0"/>
          <w:marTop w:val="72"/>
          <w:marBottom w:val="0"/>
          <w:divBdr>
            <w:top w:val="none" w:sz="0" w:space="0" w:color="auto"/>
            <w:left w:val="none" w:sz="0" w:space="0" w:color="auto"/>
            <w:bottom w:val="none" w:sz="0" w:space="0" w:color="auto"/>
            <w:right w:val="none" w:sz="0" w:space="0" w:color="auto"/>
          </w:divBdr>
        </w:div>
      </w:divsChild>
    </w:div>
    <w:div w:id="2051106848">
      <w:bodyDiv w:val="1"/>
      <w:marLeft w:val="0"/>
      <w:marRight w:val="0"/>
      <w:marTop w:val="0"/>
      <w:marBottom w:val="0"/>
      <w:divBdr>
        <w:top w:val="none" w:sz="0" w:space="0" w:color="auto"/>
        <w:left w:val="none" w:sz="0" w:space="0" w:color="auto"/>
        <w:bottom w:val="none" w:sz="0" w:space="0" w:color="auto"/>
        <w:right w:val="none" w:sz="0" w:space="0" w:color="auto"/>
      </w:divBdr>
      <w:divsChild>
        <w:div w:id="1091851426">
          <w:marLeft w:val="446"/>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customXml" Target="../customXml/item9.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customXml" Target="../customXml/item10.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799A172D4150B24BA8FAA1F3675267D6" ma:contentTypeVersion="1684" ma:contentTypeDescription="The base project type from which other project content types inherit their information." ma:contentTypeScope="" ma:versionID="8c74bc72efaf2e6b95964cf09184f5d2">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4773/OC-CO;</Approval_x0020_Number>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178</Value>
      <Value>39</Value>
      <Value>31</Value>
      <Value>1</Value>
      <Value>27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CO-L1237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EZSHARE-661587386-3</_dlc_DocId>
    <_dlc_DocIdUrl xmlns="cdc7663a-08f0-4737-9e8c-148ce897a09c">
      <Url>https://idbg.sharepoint.com/teams/EZ-CO-LON/CO-L1237/_layouts/15/DocIdRedir.aspx?ID=EZSHARE-661587386-3</Url>
      <Description>EZSHARE-661587386-3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3747F26F6C93F4EA513C0E2139DAFE2" ma:contentTypeVersion="1720" ma:contentTypeDescription="A content type to manage public (operations) IDB documents" ma:contentTypeScope="" ma:versionID="6d410ae2196e08b5f70ca4d2a4f7b88e">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EF4932-DE27-4BCB-ABF3-5C441795D184}">
  <ds:schemaRefs>
    <ds:schemaRef ds:uri="http://schemas.microsoft.com/sharepoint/v3/contenttype/forms"/>
  </ds:schemaRefs>
</ds:datastoreItem>
</file>

<file path=customXml/itemProps10.xml><?xml version="1.0" encoding="utf-8"?>
<ds:datastoreItem xmlns:ds="http://schemas.openxmlformats.org/officeDocument/2006/customXml" ds:itemID="{2B548EC3-E24E-498A-9B73-00D5B55BB0E9}"/>
</file>

<file path=customXml/itemProps2.xml><?xml version="1.0" encoding="utf-8"?>
<ds:datastoreItem xmlns:ds="http://schemas.openxmlformats.org/officeDocument/2006/customXml" ds:itemID="{2F40B6B0-2E40-45AF-B3EB-D1780CE2F73A}">
  <ds:schemaRefs>
    <ds:schemaRef ds:uri="http://schemas.microsoft.com/sharepoint/v3/contenttype/forms/url"/>
  </ds:schemaRefs>
</ds:datastoreItem>
</file>

<file path=customXml/itemProps3.xml><?xml version="1.0" encoding="utf-8"?>
<ds:datastoreItem xmlns:ds="http://schemas.openxmlformats.org/officeDocument/2006/customXml" ds:itemID="{72D6940E-EB96-4CE4-B4B6-174E1114D490}"/>
</file>

<file path=customXml/itemProps4.xml><?xml version="1.0" encoding="utf-8"?>
<ds:datastoreItem xmlns:ds="http://schemas.openxmlformats.org/officeDocument/2006/customXml" ds:itemID="{0E484BB7-0A94-4E47-A99E-945F4472F7A2}">
  <ds:schemaRefs>
    <ds:schemaRef ds:uri="http://schemas.microsoft.com/office/infopath/2007/PartnerControls"/>
    <ds:schemaRef ds:uri="http://purl.org/dc/terms/"/>
    <ds:schemaRef ds:uri="http://purl.org/dc/elements/1.1/"/>
    <ds:schemaRef ds:uri="http://purl.org/dc/dcmitype/"/>
    <ds:schemaRef ds:uri="http://schemas.microsoft.com/office/2006/metadata/properties"/>
    <ds:schemaRef ds:uri="http://schemas.openxmlformats.org/package/2006/metadata/core-properties"/>
    <ds:schemaRef ds:uri="http://schemas.microsoft.com/office/2006/documentManagement/types"/>
    <ds:schemaRef ds:uri="cdc7663a-08f0-4737-9e8c-148ce897a09c"/>
    <ds:schemaRef ds:uri="http://www.w3.org/XML/1998/namespace"/>
  </ds:schemaRefs>
</ds:datastoreItem>
</file>

<file path=customXml/itemProps5.xml><?xml version="1.0" encoding="utf-8"?>
<ds:datastoreItem xmlns:ds="http://schemas.openxmlformats.org/officeDocument/2006/customXml" ds:itemID="{CA56F70B-8B7C-44DC-A1B4-9BA56465185D}">
  <ds:schemaRefs>
    <ds:schemaRef ds:uri="http://schemas.microsoft.com/sharepoint/events"/>
  </ds:schemaRefs>
</ds:datastoreItem>
</file>

<file path=customXml/itemProps6.xml><?xml version="1.0" encoding="utf-8"?>
<ds:datastoreItem xmlns:ds="http://schemas.openxmlformats.org/officeDocument/2006/customXml" ds:itemID="{96AC7F3C-02D1-448A-9F45-055F1DE9BB92}"/>
</file>

<file path=customXml/itemProps7.xml><?xml version="1.0" encoding="utf-8"?>
<ds:datastoreItem xmlns:ds="http://schemas.openxmlformats.org/officeDocument/2006/customXml" ds:itemID="{EB1A16AB-9C4B-4999-BA5C-4EBEBC46FDD1}">
  <ds:schemaRefs>
    <ds:schemaRef ds:uri="http://schemas.openxmlformats.org/officeDocument/2006/bibliography"/>
  </ds:schemaRefs>
</ds:datastoreItem>
</file>

<file path=customXml/itemProps8.xml><?xml version="1.0" encoding="utf-8"?>
<ds:datastoreItem xmlns:ds="http://schemas.openxmlformats.org/officeDocument/2006/customXml" ds:itemID="{CAEDADCB-6F10-45BF-BF9E-33F854FE5004}">
  <ds:schemaRefs>
    <ds:schemaRef ds:uri="http://schemas.openxmlformats.org/officeDocument/2006/bibliography"/>
  </ds:schemaRefs>
</ds:datastoreItem>
</file>

<file path=customXml/itemProps9.xml><?xml version="1.0" encoding="utf-8"?>
<ds:datastoreItem xmlns:ds="http://schemas.openxmlformats.org/officeDocument/2006/customXml" ds:itemID="{57B3DE34-62C9-4C1B-9C2D-C737CC7E618C}"/>
</file>

<file path=docProps/app.xml><?xml version="1.0" encoding="utf-8"?>
<Properties xmlns="http://schemas.openxmlformats.org/officeDocument/2006/extended-properties" xmlns:vt="http://schemas.openxmlformats.org/officeDocument/2006/docPropsVTypes">
  <Template>Normal.dotm</Template>
  <TotalTime>9</TotalTime>
  <Pages>7</Pages>
  <Words>2000</Words>
  <Characters>11212</Characters>
  <Application>Microsoft Office Word</Application>
  <DocSecurity>0</DocSecurity>
  <Lines>93</Lines>
  <Paragraphs>26</Paragraphs>
  <ScaleCrop>false</ScaleCrop>
  <Company>Inter-American Development Bank</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PE-L1061</dc:title>
  <dc:subject>Matriz de Políticas</dc:subject>
  <dc:creator>Administrator</dc:creator>
  <cp:keywords/>
  <cp:lastModifiedBy>Seminario, Ana Cecilia</cp:lastModifiedBy>
  <cp:revision>139</cp:revision>
  <cp:lastPrinted>2017-10-04T19:00:00Z</cp:lastPrinted>
  <dcterms:created xsi:type="dcterms:W3CDTF">2018-10-30T21:26:00Z</dcterms:created>
  <dcterms:modified xsi:type="dcterms:W3CDTF">2019-04-19T16:08:00Z</dcterms:modified>
  <cp:category>Borrador de Trabajo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178;#ENERGY INSTITUTIONAL STRENGTHENING AND CAPACITY BUILDING|83f37b93-89a4-4e9a-88eb-1c116bee7b97</vt:lpwstr>
  </property>
  <property fmtid="{D5CDD505-2E9C-101B-9397-08002B2CF9AE}" pid="7" name="Fund IDB">
    <vt:lpwstr>31;#ORC|c028a4b2-ad8b-4cf4-9cac-a2ae6a778e23</vt:lpwstr>
  </property>
  <property fmtid="{D5CDD505-2E9C-101B-9397-08002B2CF9AE}" pid="8" name="Country">
    <vt:lpwstr>27;#Colombia|c7d386d6-75f3-4fc0-bde8-e021ccd68f5c</vt:lpwstr>
  </property>
  <property fmtid="{D5CDD505-2E9C-101B-9397-08002B2CF9AE}" pid="9" name="Sector IDB">
    <vt:lpwstr>39;#ENERGY|4fed196a-cd0b-4970-87de-42da17f9b203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039fbac9-2782-48a9-b90a-dd8676488b8a</vt:lpwstr>
  </property>
  <property fmtid="{D5CDD505-2E9C-101B-9397-08002B2CF9AE}" pid="12" name="AuthorIds_UIVersion_20">
    <vt:lpwstr>207</vt:lpwstr>
  </property>
  <property fmtid="{D5CDD505-2E9C-101B-9397-08002B2CF9AE}" pid="13" name="AuthorIds_UIVersion_26">
    <vt:lpwstr>1186</vt:lpwstr>
  </property>
  <property fmtid="{D5CDD505-2E9C-101B-9397-08002B2CF9AE}" pid="14" name="AuthorIds_UIVersion_28">
    <vt:lpwstr>1186</vt:lpwstr>
  </property>
  <property fmtid="{D5CDD505-2E9C-101B-9397-08002B2CF9AE}" pid="15" name="AuthorIds_UIVersion_29">
    <vt:lpwstr>1186</vt:lpwstr>
  </property>
  <property fmtid="{D5CDD505-2E9C-101B-9397-08002B2CF9AE}" pid="16" name="ContentTypeId">
    <vt:lpwstr>0x0101001A458A224826124E8B45B1D613300CFC0013747F26F6C93F4EA513C0E2139DAFE2</vt:lpwstr>
  </property>
  <property fmtid="{D5CDD505-2E9C-101B-9397-08002B2CF9AE}" pid="17" name="SharedWithUsers">
    <vt:lpwstr>144;#Suber, Stephanie Anne</vt:lpwstr>
  </property>
</Properties>
</file>