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2C8DF" w14:textId="77777777" w:rsidR="00A763AE" w:rsidRPr="00D1081B" w:rsidRDefault="00DB2EA2" w:rsidP="00F1270F">
      <w:pPr>
        <w:autoSpaceDE w:val="0"/>
        <w:autoSpaceDN w:val="0"/>
        <w:adjustRightInd w:val="0"/>
        <w:spacing w:after="120" w:line="240" w:lineRule="auto"/>
        <w:jc w:val="center"/>
        <w:rPr>
          <w:rFonts w:ascii="Arial" w:hAnsi="Arial" w:cs="Arial"/>
          <w:b/>
          <w:bCs/>
          <w:smallCaps/>
          <w:sz w:val="24"/>
          <w:szCs w:val="20"/>
          <w:lang w:val="es-CR"/>
        </w:rPr>
      </w:pPr>
      <w:r w:rsidRPr="00D1081B">
        <w:rPr>
          <w:rFonts w:ascii="Arial" w:hAnsi="Arial" w:cs="Arial"/>
          <w:b/>
          <w:bCs/>
          <w:smallCaps/>
          <w:sz w:val="24"/>
          <w:szCs w:val="20"/>
          <w:lang w:val="es-CR"/>
        </w:rPr>
        <w:t>Matriz de Resultados</w:t>
      </w:r>
    </w:p>
    <w:tbl>
      <w:tblPr>
        <w:tblStyle w:val="TableGrid"/>
        <w:tblW w:w="14400" w:type="dxa"/>
        <w:tblInd w:w="-725" w:type="dxa"/>
        <w:tblLook w:val="04A0" w:firstRow="1" w:lastRow="0" w:firstColumn="1" w:lastColumn="0" w:noHBand="0" w:noVBand="1"/>
      </w:tblPr>
      <w:tblGrid>
        <w:gridCol w:w="1553"/>
        <w:gridCol w:w="12847"/>
      </w:tblGrid>
      <w:tr w:rsidR="00795640" w:rsidRPr="003006F8" w14:paraId="7A32C8E2" w14:textId="77777777" w:rsidTr="00D6566E">
        <w:tc>
          <w:tcPr>
            <w:tcW w:w="1553" w:type="dxa"/>
            <w:vAlign w:val="center"/>
          </w:tcPr>
          <w:p w14:paraId="7A32C8E0" w14:textId="2C94A259" w:rsidR="00795640" w:rsidRPr="00D1081B" w:rsidRDefault="00DB2EA2" w:rsidP="00BF00CF">
            <w:pPr>
              <w:pStyle w:val="Paragraph"/>
              <w:numPr>
                <w:ilvl w:val="0"/>
                <w:numId w:val="0"/>
              </w:numPr>
              <w:jc w:val="left"/>
              <w:rPr>
                <w:rFonts w:ascii="Arial" w:hAnsi="Arial" w:cs="Arial"/>
                <w:b/>
                <w:sz w:val="20"/>
                <w:lang w:val="es-CR"/>
              </w:rPr>
            </w:pPr>
            <w:r w:rsidRPr="00D1081B">
              <w:rPr>
                <w:rFonts w:ascii="Arial" w:hAnsi="Arial" w:cs="Arial"/>
                <w:b/>
                <w:sz w:val="20"/>
                <w:lang w:val="es-CR"/>
              </w:rPr>
              <w:t>Objetivo</w:t>
            </w:r>
            <w:r w:rsidR="00DC4BBA">
              <w:rPr>
                <w:rFonts w:ascii="Arial" w:hAnsi="Arial" w:cs="Arial"/>
                <w:b/>
                <w:sz w:val="20"/>
                <w:lang w:val="es-CR"/>
              </w:rPr>
              <w:t>s</w:t>
            </w:r>
            <w:r w:rsidRPr="00D1081B">
              <w:rPr>
                <w:rFonts w:ascii="Arial" w:hAnsi="Arial" w:cs="Arial"/>
                <w:b/>
                <w:sz w:val="20"/>
                <w:lang w:val="es-CR"/>
              </w:rPr>
              <w:t xml:space="preserve"> del programa</w:t>
            </w:r>
            <w:r w:rsidR="00795640" w:rsidRPr="00D1081B">
              <w:rPr>
                <w:rFonts w:ascii="Arial" w:hAnsi="Arial" w:cs="Arial"/>
                <w:b/>
                <w:sz w:val="20"/>
                <w:lang w:val="es-CR"/>
              </w:rPr>
              <w:t>:</w:t>
            </w:r>
          </w:p>
        </w:tc>
        <w:tc>
          <w:tcPr>
            <w:tcW w:w="12847" w:type="dxa"/>
          </w:tcPr>
          <w:p w14:paraId="7A32C8E1" w14:textId="6502ED38" w:rsidR="00192135" w:rsidRPr="00D1081B" w:rsidRDefault="00533D15" w:rsidP="00F2098A">
            <w:pPr>
              <w:autoSpaceDE w:val="0"/>
              <w:autoSpaceDN w:val="0"/>
              <w:adjustRightInd w:val="0"/>
              <w:spacing w:after="0" w:line="240" w:lineRule="auto"/>
              <w:jc w:val="both"/>
              <w:rPr>
                <w:rFonts w:ascii="Arial" w:hAnsi="Arial" w:cs="Arial"/>
                <w:sz w:val="20"/>
                <w:szCs w:val="20"/>
                <w:lang w:val="es-CR"/>
              </w:rPr>
            </w:pPr>
            <w:r w:rsidRPr="00533D15">
              <w:rPr>
                <w:rFonts w:ascii="Arial" w:hAnsi="Arial" w:cs="Arial"/>
                <w:bCs/>
                <w:sz w:val="20"/>
                <w:szCs w:val="20"/>
                <w:lang w:val="es-CR" w:eastAsia="zh-CN"/>
              </w:rPr>
              <w:t>Contribuir a la sostenibilidad del sector energético del país a través de un proceso de reformas de políticas que permitan asegurar la oferta eficiente de energía eléctrica en el SIN y las ZNI, a fin de reducir la vulnerabilidad del sector frente a los efectos del CC y aumentar el acceso eléctrico. Los objetivos específicos son: (i) asegurar un contexto macroeconómico congruente con los objetivos del programa; (</w:t>
            </w:r>
            <w:proofErr w:type="spellStart"/>
            <w:r w:rsidRPr="00533D15">
              <w:rPr>
                <w:rFonts w:ascii="Arial" w:hAnsi="Arial" w:cs="Arial"/>
                <w:bCs/>
                <w:sz w:val="20"/>
                <w:szCs w:val="20"/>
                <w:lang w:val="es-CR" w:eastAsia="zh-CN"/>
              </w:rPr>
              <w:t>ii</w:t>
            </w:r>
            <w:proofErr w:type="spellEnd"/>
            <w:r w:rsidRPr="00533D15">
              <w:rPr>
                <w:rFonts w:ascii="Arial" w:hAnsi="Arial" w:cs="Arial"/>
                <w:bCs/>
                <w:sz w:val="20"/>
                <w:szCs w:val="20"/>
                <w:lang w:val="es-CR" w:eastAsia="zh-CN"/>
              </w:rPr>
              <w:t>) contribuir a garantizar el abastecimiento de energía del SIN mediante la diversificación de la matriz energética con FNCER y el incremento de los intercambios de energía a nivel internacional; y establecer medidas que permitan aumentar y garantizar la oferta de GN para generación, administrar la demanda energética y optimizar el funcionamiento del MEM; y (</w:t>
            </w:r>
            <w:proofErr w:type="spellStart"/>
            <w:r w:rsidRPr="00533D15">
              <w:rPr>
                <w:rFonts w:ascii="Arial" w:hAnsi="Arial" w:cs="Arial"/>
                <w:bCs/>
                <w:sz w:val="20"/>
                <w:szCs w:val="20"/>
                <w:lang w:val="es-CR" w:eastAsia="zh-CN"/>
              </w:rPr>
              <w:t>iii</w:t>
            </w:r>
            <w:proofErr w:type="spellEnd"/>
            <w:r w:rsidRPr="00533D15">
              <w:rPr>
                <w:rFonts w:ascii="Arial" w:hAnsi="Arial" w:cs="Arial"/>
                <w:bCs/>
                <w:sz w:val="20"/>
                <w:szCs w:val="20"/>
                <w:lang w:val="es-CR" w:eastAsia="zh-CN"/>
              </w:rPr>
              <w:t>) promover el acceso a la energía en las ZNI mediante el uso de FNCER.</w:t>
            </w:r>
          </w:p>
        </w:tc>
      </w:tr>
    </w:tbl>
    <w:p w14:paraId="7A32C8E4" w14:textId="77777777" w:rsidR="00FE40E8" w:rsidRPr="00533D15" w:rsidRDefault="00D37726" w:rsidP="00904BC6">
      <w:pPr>
        <w:autoSpaceDE w:val="0"/>
        <w:autoSpaceDN w:val="0"/>
        <w:adjustRightInd w:val="0"/>
        <w:spacing w:before="60" w:after="60" w:line="240" w:lineRule="auto"/>
        <w:jc w:val="center"/>
        <w:rPr>
          <w:rFonts w:ascii="Arial" w:hAnsi="Arial" w:cs="Arial"/>
          <w:b/>
          <w:smallCaps/>
          <w:lang w:val="es-BO"/>
        </w:rPr>
      </w:pPr>
      <w:r w:rsidRPr="00533D15">
        <w:rPr>
          <w:rFonts w:ascii="Arial" w:hAnsi="Arial" w:cs="Arial"/>
          <w:b/>
          <w:smallCaps/>
          <w:lang w:val="es-BO"/>
        </w:rPr>
        <w:t>Impacto E</w:t>
      </w:r>
      <w:r w:rsidR="00DB2EA2" w:rsidRPr="00533D15">
        <w:rPr>
          <w:rFonts w:ascii="Arial" w:hAnsi="Arial" w:cs="Arial"/>
          <w:b/>
          <w:smallCaps/>
          <w:lang w:val="es-BO"/>
        </w:rPr>
        <w:t>sperado</w:t>
      </w:r>
    </w:p>
    <w:tbl>
      <w:tblPr>
        <w:tblW w:w="1449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1183"/>
        <w:gridCol w:w="991"/>
        <w:gridCol w:w="1152"/>
        <w:gridCol w:w="1240"/>
        <w:gridCol w:w="1206"/>
        <w:gridCol w:w="1941"/>
        <w:gridCol w:w="2007"/>
        <w:gridCol w:w="2160"/>
      </w:tblGrid>
      <w:tr w:rsidR="00855594" w:rsidRPr="00855594" w14:paraId="7A32C8EC" w14:textId="77777777" w:rsidTr="29AE5713">
        <w:trPr>
          <w:trHeight w:val="464"/>
          <w:tblHeader/>
        </w:trPr>
        <w:tc>
          <w:tcPr>
            <w:tcW w:w="2610" w:type="dxa"/>
            <w:shd w:val="clear" w:color="auto" w:fill="D9D9D9" w:themeFill="background1" w:themeFillShade="D9"/>
            <w:vAlign w:val="center"/>
          </w:tcPr>
          <w:p w14:paraId="7A32C8E5" w14:textId="77777777" w:rsidR="00E21277" w:rsidRPr="00855594" w:rsidRDefault="00E21277" w:rsidP="00E21277">
            <w:pPr>
              <w:spacing w:after="0" w:line="240" w:lineRule="auto"/>
              <w:jc w:val="center"/>
              <w:rPr>
                <w:rFonts w:ascii="Arial" w:hAnsi="Arial" w:cs="Arial"/>
                <w:b/>
                <w:sz w:val="20"/>
                <w:szCs w:val="20"/>
                <w:lang w:val="es-BO"/>
              </w:rPr>
            </w:pPr>
            <w:r w:rsidRPr="00855594">
              <w:rPr>
                <w:rFonts w:ascii="Arial" w:hAnsi="Arial" w:cs="Arial"/>
                <w:b/>
                <w:sz w:val="20"/>
                <w:szCs w:val="20"/>
                <w:lang w:val="es-BO"/>
              </w:rPr>
              <w:t>Indicador</w:t>
            </w:r>
          </w:p>
        </w:tc>
        <w:tc>
          <w:tcPr>
            <w:tcW w:w="1183" w:type="dxa"/>
            <w:shd w:val="clear" w:color="auto" w:fill="D9D9D9" w:themeFill="background1" w:themeFillShade="D9"/>
            <w:vAlign w:val="center"/>
          </w:tcPr>
          <w:p w14:paraId="7A32C8E6" w14:textId="77777777" w:rsidR="00E21277" w:rsidRPr="00855594" w:rsidRDefault="00E21277" w:rsidP="00E21277">
            <w:pPr>
              <w:spacing w:after="0" w:line="240" w:lineRule="auto"/>
              <w:jc w:val="center"/>
              <w:rPr>
                <w:rFonts w:ascii="Arial" w:hAnsi="Arial" w:cs="Arial"/>
                <w:b/>
                <w:sz w:val="20"/>
                <w:szCs w:val="20"/>
                <w:lang w:val="es-BO"/>
              </w:rPr>
            </w:pPr>
            <w:r w:rsidRPr="00855594">
              <w:rPr>
                <w:rFonts w:ascii="Arial" w:hAnsi="Arial" w:cs="Arial"/>
                <w:b/>
                <w:sz w:val="20"/>
                <w:szCs w:val="20"/>
                <w:lang w:val="es-BO"/>
              </w:rPr>
              <w:t>Unidad de medida</w:t>
            </w:r>
          </w:p>
        </w:tc>
        <w:tc>
          <w:tcPr>
            <w:tcW w:w="991" w:type="dxa"/>
            <w:shd w:val="clear" w:color="auto" w:fill="D9D9D9" w:themeFill="background1" w:themeFillShade="D9"/>
            <w:vAlign w:val="center"/>
          </w:tcPr>
          <w:p w14:paraId="7A32C8E7" w14:textId="77777777" w:rsidR="00E21277" w:rsidRPr="00855594" w:rsidRDefault="00E21277" w:rsidP="00E21277">
            <w:pPr>
              <w:spacing w:after="0" w:line="240" w:lineRule="auto"/>
              <w:jc w:val="center"/>
              <w:rPr>
                <w:rFonts w:ascii="Arial" w:hAnsi="Arial" w:cs="Arial"/>
                <w:b/>
                <w:sz w:val="20"/>
                <w:szCs w:val="20"/>
                <w:lang w:val="es-BO"/>
              </w:rPr>
            </w:pPr>
            <w:r w:rsidRPr="00855594">
              <w:rPr>
                <w:rFonts w:ascii="Arial" w:hAnsi="Arial" w:cs="Arial"/>
                <w:b/>
                <w:sz w:val="20"/>
                <w:szCs w:val="20"/>
                <w:lang w:val="es-BO"/>
              </w:rPr>
              <w:t>Línea de base (2015)</w:t>
            </w:r>
          </w:p>
        </w:tc>
        <w:tc>
          <w:tcPr>
            <w:tcW w:w="1152" w:type="dxa"/>
            <w:shd w:val="clear" w:color="auto" w:fill="D9D9D9" w:themeFill="background1" w:themeFillShade="D9"/>
            <w:vAlign w:val="center"/>
          </w:tcPr>
          <w:p w14:paraId="03F20EB9" w14:textId="0CB708AC" w:rsidR="00E21277" w:rsidRPr="00855594" w:rsidRDefault="00E21277" w:rsidP="00E21277">
            <w:pPr>
              <w:spacing w:after="0" w:line="240" w:lineRule="auto"/>
              <w:jc w:val="center"/>
              <w:rPr>
                <w:rFonts w:ascii="Arial" w:hAnsi="Arial" w:cs="Arial"/>
                <w:b/>
                <w:sz w:val="20"/>
                <w:szCs w:val="20"/>
                <w:lang w:val="es-BO"/>
              </w:rPr>
            </w:pPr>
            <w:r w:rsidRPr="00855594">
              <w:rPr>
                <w:rFonts w:ascii="Arial" w:hAnsi="Arial" w:cs="Arial"/>
                <w:b/>
                <w:sz w:val="20"/>
                <w:szCs w:val="20"/>
                <w:lang w:val="es-BO"/>
              </w:rPr>
              <w:t>Avance Indicador (2017)</w:t>
            </w:r>
          </w:p>
        </w:tc>
        <w:tc>
          <w:tcPr>
            <w:tcW w:w="1240" w:type="dxa"/>
            <w:shd w:val="clear" w:color="auto" w:fill="D9D9D9" w:themeFill="background1" w:themeFillShade="D9"/>
            <w:vAlign w:val="center"/>
          </w:tcPr>
          <w:p w14:paraId="44BE6E9F" w14:textId="3DF1EFDA" w:rsidR="00E21277" w:rsidRPr="00855594" w:rsidRDefault="00E21277" w:rsidP="00E21277">
            <w:pPr>
              <w:spacing w:after="0" w:line="240" w:lineRule="auto"/>
              <w:jc w:val="center"/>
              <w:rPr>
                <w:rFonts w:ascii="Arial" w:hAnsi="Arial" w:cs="Arial"/>
                <w:b/>
                <w:sz w:val="20"/>
                <w:szCs w:val="20"/>
                <w:lang w:val="es-BO"/>
              </w:rPr>
            </w:pPr>
            <w:r w:rsidRPr="00855594">
              <w:rPr>
                <w:rFonts w:ascii="Arial" w:hAnsi="Arial" w:cs="Arial"/>
                <w:b/>
                <w:sz w:val="20"/>
                <w:szCs w:val="20"/>
                <w:lang w:val="es-BO"/>
              </w:rPr>
              <w:t>Meta Final Segunda Operación</w:t>
            </w:r>
            <w:r w:rsidR="007A0C72" w:rsidRPr="00855594">
              <w:rPr>
                <w:rFonts w:ascii="Arial" w:hAnsi="Arial" w:cs="Arial"/>
                <w:b/>
                <w:sz w:val="20"/>
                <w:szCs w:val="20"/>
                <w:lang w:val="es-BO"/>
              </w:rPr>
              <w:t xml:space="preserve"> </w:t>
            </w:r>
            <w:r w:rsidRPr="00855594">
              <w:rPr>
                <w:rFonts w:ascii="Arial" w:hAnsi="Arial" w:cs="Arial"/>
                <w:b/>
                <w:sz w:val="20"/>
                <w:szCs w:val="20"/>
                <w:lang w:val="es-BO"/>
              </w:rPr>
              <w:t>(2019)</w:t>
            </w:r>
            <w:r w:rsidR="00F12ECE" w:rsidRPr="00855594">
              <w:rPr>
                <w:rStyle w:val="FootnoteReference"/>
                <w:rFonts w:ascii="Arial" w:hAnsi="Arial" w:cs="Arial"/>
                <w:b/>
                <w:sz w:val="20"/>
                <w:szCs w:val="20"/>
                <w:lang w:val="es-BO"/>
              </w:rPr>
              <w:footnoteReference w:id="2"/>
            </w:r>
          </w:p>
        </w:tc>
        <w:tc>
          <w:tcPr>
            <w:tcW w:w="1206" w:type="dxa"/>
            <w:shd w:val="clear" w:color="auto" w:fill="D9D9D9" w:themeFill="background1" w:themeFillShade="D9"/>
            <w:vAlign w:val="center"/>
          </w:tcPr>
          <w:p w14:paraId="7A32C8E8" w14:textId="058B642D" w:rsidR="00E21277" w:rsidRPr="00855594" w:rsidRDefault="00E21277" w:rsidP="00E21277">
            <w:pPr>
              <w:spacing w:after="0" w:line="240" w:lineRule="auto"/>
              <w:jc w:val="center"/>
              <w:rPr>
                <w:rFonts w:ascii="Arial" w:hAnsi="Arial" w:cs="Arial"/>
                <w:b/>
                <w:sz w:val="20"/>
                <w:szCs w:val="20"/>
                <w:lang w:val="es-BO"/>
              </w:rPr>
            </w:pPr>
            <w:r w:rsidRPr="00855594">
              <w:rPr>
                <w:rFonts w:ascii="Arial" w:hAnsi="Arial" w:cs="Arial"/>
                <w:b/>
                <w:sz w:val="20"/>
                <w:szCs w:val="20"/>
                <w:lang w:val="es-BO"/>
              </w:rPr>
              <w:t>Meta Final Primera Operación</w:t>
            </w:r>
            <w:r w:rsidR="007A0C72" w:rsidRPr="00855594">
              <w:rPr>
                <w:rFonts w:ascii="Arial" w:hAnsi="Arial" w:cs="Arial"/>
                <w:b/>
                <w:sz w:val="20"/>
                <w:szCs w:val="20"/>
                <w:lang w:val="es-BO"/>
              </w:rPr>
              <w:t xml:space="preserve"> </w:t>
            </w:r>
            <w:r w:rsidRPr="00855594">
              <w:rPr>
                <w:rFonts w:ascii="Arial" w:hAnsi="Arial" w:cs="Arial"/>
                <w:b/>
                <w:sz w:val="20"/>
                <w:szCs w:val="20"/>
                <w:lang w:val="es-BO"/>
              </w:rPr>
              <w:t>(2020)</w:t>
            </w:r>
          </w:p>
        </w:tc>
        <w:tc>
          <w:tcPr>
            <w:tcW w:w="1941" w:type="dxa"/>
            <w:shd w:val="clear" w:color="auto" w:fill="D9D9D9" w:themeFill="background1" w:themeFillShade="D9"/>
            <w:vAlign w:val="center"/>
          </w:tcPr>
          <w:p w14:paraId="0E2A6C2A" w14:textId="7F0B8E18" w:rsidR="00E21277" w:rsidRPr="00855594" w:rsidRDefault="00E21277" w:rsidP="00E21277">
            <w:pPr>
              <w:spacing w:after="0" w:line="240" w:lineRule="auto"/>
              <w:jc w:val="center"/>
              <w:rPr>
                <w:rFonts w:ascii="Arial" w:hAnsi="Arial" w:cs="Arial"/>
                <w:b/>
                <w:sz w:val="20"/>
                <w:szCs w:val="20"/>
                <w:lang w:val="es-BO"/>
              </w:rPr>
            </w:pPr>
            <w:r w:rsidRPr="00855594">
              <w:rPr>
                <w:rFonts w:ascii="Arial" w:hAnsi="Arial" w:cs="Arial"/>
                <w:b/>
                <w:sz w:val="20"/>
                <w:szCs w:val="20"/>
                <w:lang w:val="es-BO"/>
              </w:rPr>
              <w:t>Meta Final Primera Operación Ajustada (2020)</w:t>
            </w:r>
            <w:r w:rsidR="00F12ECE" w:rsidRPr="00855594">
              <w:rPr>
                <w:rStyle w:val="FootnoteReference"/>
                <w:rFonts w:ascii="Arial" w:hAnsi="Arial" w:cs="Arial"/>
                <w:b/>
                <w:sz w:val="20"/>
                <w:szCs w:val="20"/>
                <w:lang w:val="es-BO"/>
              </w:rPr>
              <w:footnoteReference w:id="3"/>
            </w:r>
          </w:p>
        </w:tc>
        <w:tc>
          <w:tcPr>
            <w:tcW w:w="2007" w:type="dxa"/>
            <w:shd w:val="clear" w:color="auto" w:fill="D9D9D9" w:themeFill="background1" w:themeFillShade="D9"/>
            <w:vAlign w:val="center"/>
          </w:tcPr>
          <w:p w14:paraId="7A32C8EA" w14:textId="3447B4DA" w:rsidR="00E21277" w:rsidRPr="00855594" w:rsidRDefault="00E21277" w:rsidP="007A0C72">
            <w:pPr>
              <w:spacing w:after="0" w:line="240" w:lineRule="auto"/>
              <w:jc w:val="center"/>
              <w:rPr>
                <w:rFonts w:ascii="Arial" w:hAnsi="Arial" w:cs="Arial"/>
                <w:b/>
                <w:sz w:val="20"/>
                <w:szCs w:val="20"/>
              </w:rPr>
            </w:pPr>
            <w:r w:rsidRPr="00855594">
              <w:rPr>
                <w:rFonts w:ascii="Arial" w:hAnsi="Arial" w:cs="Arial"/>
                <w:b/>
                <w:sz w:val="20"/>
                <w:szCs w:val="20"/>
                <w:lang w:val="es-BO"/>
              </w:rPr>
              <w:t>Medios de verificación/</w:t>
            </w:r>
            <w:r w:rsidR="007A0C72" w:rsidRPr="00855594">
              <w:rPr>
                <w:rFonts w:ascii="Arial" w:hAnsi="Arial" w:cs="Arial"/>
                <w:b/>
                <w:sz w:val="20"/>
                <w:szCs w:val="20"/>
                <w:lang w:val="es-BO"/>
              </w:rPr>
              <w:t xml:space="preserve"> </w:t>
            </w:r>
            <w:r w:rsidRPr="00855594">
              <w:rPr>
                <w:rFonts w:ascii="Arial" w:hAnsi="Arial" w:cs="Arial"/>
                <w:b/>
                <w:sz w:val="20"/>
                <w:szCs w:val="20"/>
                <w:lang w:val="es-CO"/>
              </w:rPr>
              <w:t>Observaciones</w:t>
            </w:r>
          </w:p>
        </w:tc>
        <w:tc>
          <w:tcPr>
            <w:tcW w:w="2160" w:type="dxa"/>
            <w:shd w:val="clear" w:color="auto" w:fill="D9D9D9" w:themeFill="background1" w:themeFillShade="D9"/>
            <w:vAlign w:val="center"/>
          </w:tcPr>
          <w:p w14:paraId="7A32C8EB" w14:textId="77777777" w:rsidR="00E21277" w:rsidRPr="00855594" w:rsidRDefault="00E21277" w:rsidP="00E21277">
            <w:pPr>
              <w:spacing w:after="0" w:line="240" w:lineRule="auto"/>
              <w:jc w:val="center"/>
              <w:rPr>
                <w:rFonts w:ascii="Arial" w:hAnsi="Arial" w:cs="Arial"/>
                <w:b/>
                <w:sz w:val="20"/>
                <w:szCs w:val="20"/>
                <w:lang w:val="es-CO"/>
              </w:rPr>
            </w:pPr>
            <w:r w:rsidRPr="00855594">
              <w:rPr>
                <w:rFonts w:ascii="Arial" w:hAnsi="Arial" w:cs="Arial"/>
                <w:b/>
                <w:sz w:val="20"/>
                <w:szCs w:val="20"/>
                <w:lang w:val="es-CO"/>
              </w:rPr>
              <w:t>Comentarios</w:t>
            </w:r>
          </w:p>
        </w:tc>
      </w:tr>
      <w:tr w:rsidR="00855594" w:rsidRPr="003006F8" w14:paraId="7A32C8EF" w14:textId="77777777" w:rsidTr="29AE5713">
        <w:trPr>
          <w:trHeight w:val="269"/>
        </w:trPr>
        <w:tc>
          <w:tcPr>
            <w:tcW w:w="14490" w:type="dxa"/>
            <w:gridSpan w:val="9"/>
            <w:shd w:val="clear" w:color="auto" w:fill="C6D9F1" w:themeFill="text2" w:themeFillTint="33"/>
          </w:tcPr>
          <w:p w14:paraId="7A32C8EE" w14:textId="06F3FFC1" w:rsidR="00F45DA3" w:rsidRPr="00855594" w:rsidRDefault="00F45DA3" w:rsidP="00F45DA3">
            <w:pPr>
              <w:pStyle w:val="ListParagraph"/>
              <w:numPr>
                <w:ilvl w:val="0"/>
                <w:numId w:val="26"/>
              </w:numPr>
              <w:spacing w:before="40" w:after="40" w:line="240" w:lineRule="auto"/>
              <w:ind w:left="518"/>
              <w:rPr>
                <w:rFonts w:ascii="Arial" w:hAnsi="Arial" w:cs="Arial"/>
                <w:b/>
                <w:sz w:val="20"/>
                <w:szCs w:val="20"/>
                <w:lang w:val="es-BO"/>
              </w:rPr>
            </w:pPr>
            <w:r w:rsidRPr="00855594">
              <w:rPr>
                <w:rFonts w:ascii="Arial" w:hAnsi="Arial" w:cs="Arial"/>
                <w:b/>
                <w:sz w:val="20"/>
                <w:szCs w:val="20"/>
                <w:lang w:val="es-BO"/>
              </w:rPr>
              <w:t>Asegurar oferta de energía eléctrica eficiente</w:t>
            </w:r>
          </w:p>
        </w:tc>
      </w:tr>
      <w:tr w:rsidR="00855594" w:rsidRPr="003006F8" w14:paraId="7A32C8F6" w14:textId="77777777" w:rsidTr="29AE5713">
        <w:trPr>
          <w:trHeight w:val="714"/>
        </w:trPr>
        <w:tc>
          <w:tcPr>
            <w:tcW w:w="2610" w:type="dxa"/>
            <w:vAlign w:val="center"/>
          </w:tcPr>
          <w:p w14:paraId="7A32C8F0" w14:textId="5C5C507D" w:rsidR="00E21277" w:rsidRPr="00855594" w:rsidRDefault="00E21277" w:rsidP="007940CD">
            <w:pPr>
              <w:pStyle w:val="ListParagraph"/>
              <w:spacing w:after="0" w:line="240" w:lineRule="auto"/>
              <w:ind w:left="338" w:hanging="360"/>
              <w:rPr>
                <w:rFonts w:ascii="Arial" w:hAnsi="Arial" w:cs="Arial"/>
                <w:sz w:val="20"/>
                <w:szCs w:val="20"/>
                <w:lang w:val="es-BO"/>
              </w:rPr>
            </w:pPr>
            <w:r w:rsidRPr="00855594">
              <w:rPr>
                <w:rFonts w:ascii="Arial" w:hAnsi="Arial" w:cs="Arial"/>
                <w:sz w:val="20"/>
                <w:szCs w:val="20"/>
                <w:lang w:val="es-BO"/>
              </w:rPr>
              <w:t>1.1 Capacidad nominal de generación en el SIN</w:t>
            </w:r>
            <w:r w:rsidR="00F0124A" w:rsidRPr="00855594">
              <w:rPr>
                <w:rFonts w:ascii="Arial" w:hAnsi="Arial" w:cs="Arial"/>
                <w:sz w:val="20"/>
                <w:szCs w:val="20"/>
                <w:lang w:val="es-BO"/>
              </w:rPr>
              <w:t>.</w:t>
            </w:r>
          </w:p>
        </w:tc>
        <w:tc>
          <w:tcPr>
            <w:tcW w:w="1183" w:type="dxa"/>
            <w:vAlign w:val="center"/>
          </w:tcPr>
          <w:p w14:paraId="7A32C8F1" w14:textId="77777777" w:rsidR="00E21277" w:rsidRPr="00855594" w:rsidRDefault="00E21277" w:rsidP="00E21277">
            <w:pPr>
              <w:spacing w:after="0" w:line="240" w:lineRule="auto"/>
              <w:jc w:val="center"/>
              <w:rPr>
                <w:rFonts w:ascii="Arial" w:hAnsi="Arial" w:cs="Arial"/>
                <w:sz w:val="20"/>
                <w:szCs w:val="20"/>
                <w:lang w:val="es-BO"/>
              </w:rPr>
            </w:pPr>
            <w:r w:rsidRPr="00855594">
              <w:rPr>
                <w:rFonts w:ascii="Arial" w:hAnsi="Arial" w:cs="Arial"/>
                <w:sz w:val="20"/>
                <w:szCs w:val="20"/>
                <w:lang w:val="es-BO"/>
              </w:rPr>
              <w:t>MW</w:t>
            </w:r>
          </w:p>
        </w:tc>
        <w:tc>
          <w:tcPr>
            <w:tcW w:w="991" w:type="dxa"/>
            <w:vAlign w:val="center"/>
          </w:tcPr>
          <w:p w14:paraId="7A32C8F2" w14:textId="77777777" w:rsidR="00E21277" w:rsidRPr="006906C8" w:rsidRDefault="00E21277" w:rsidP="006906C8">
            <w:pPr>
              <w:spacing w:after="0" w:line="240" w:lineRule="auto"/>
              <w:ind w:left="-117"/>
              <w:jc w:val="center"/>
              <w:rPr>
                <w:rFonts w:ascii="Arial" w:hAnsi="Arial" w:cs="Arial"/>
                <w:sz w:val="20"/>
                <w:szCs w:val="20"/>
                <w:lang w:val="es-ES"/>
              </w:rPr>
            </w:pPr>
            <w:r w:rsidRPr="006906C8">
              <w:rPr>
                <w:rFonts w:ascii="Arial" w:hAnsi="Arial" w:cs="Arial"/>
                <w:sz w:val="20"/>
                <w:szCs w:val="20"/>
                <w:lang w:val="es-ES"/>
              </w:rPr>
              <w:t>16.420</w:t>
            </w:r>
          </w:p>
        </w:tc>
        <w:tc>
          <w:tcPr>
            <w:tcW w:w="1152" w:type="dxa"/>
            <w:vAlign w:val="center"/>
          </w:tcPr>
          <w:p w14:paraId="3FF9423E" w14:textId="1184DD98" w:rsidR="00E21277" w:rsidRPr="006906C8" w:rsidRDefault="00E21277" w:rsidP="006906C8">
            <w:pPr>
              <w:spacing w:after="0" w:line="240" w:lineRule="auto"/>
              <w:jc w:val="center"/>
              <w:rPr>
                <w:rFonts w:ascii="Arial" w:eastAsia="Times New Roman" w:hAnsi="Arial" w:cs="Arial"/>
                <w:sz w:val="20"/>
                <w:szCs w:val="20"/>
                <w:lang w:val="es-ES" w:eastAsia="es-CO"/>
              </w:rPr>
            </w:pPr>
            <w:r w:rsidRPr="00855594">
              <w:rPr>
                <w:rFonts w:ascii="Arial" w:eastAsia="Times New Roman" w:hAnsi="Arial" w:cs="Arial"/>
                <w:sz w:val="20"/>
                <w:szCs w:val="20"/>
                <w:lang w:val="es-ES" w:eastAsia="es-CO"/>
              </w:rPr>
              <w:t>16</w:t>
            </w:r>
            <w:r w:rsidR="249BFD26" w:rsidRPr="00855594">
              <w:rPr>
                <w:rFonts w:ascii="Arial" w:eastAsia="Times New Roman" w:hAnsi="Arial" w:cs="Arial"/>
                <w:sz w:val="20"/>
                <w:szCs w:val="20"/>
                <w:lang w:val="es-ES" w:eastAsia="es-CO"/>
              </w:rPr>
              <w:t>.8</w:t>
            </w:r>
            <w:r w:rsidR="18C1E030" w:rsidRPr="00855594">
              <w:rPr>
                <w:rFonts w:ascii="Arial" w:eastAsia="Times New Roman" w:hAnsi="Arial" w:cs="Arial"/>
                <w:sz w:val="20"/>
                <w:szCs w:val="20"/>
                <w:lang w:val="es-ES" w:eastAsia="es-CO"/>
              </w:rPr>
              <w:t>56</w:t>
            </w:r>
          </w:p>
        </w:tc>
        <w:tc>
          <w:tcPr>
            <w:tcW w:w="1240" w:type="dxa"/>
            <w:vAlign w:val="center"/>
          </w:tcPr>
          <w:p w14:paraId="7408875B" w14:textId="5527C586" w:rsidR="00E21277" w:rsidRPr="006906C8" w:rsidRDefault="1B4A2B4B"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17</w:t>
            </w:r>
            <w:r w:rsidR="325A3F5C" w:rsidRPr="006906C8">
              <w:rPr>
                <w:rFonts w:ascii="Arial" w:hAnsi="Arial" w:cs="Arial"/>
                <w:sz w:val="20"/>
                <w:szCs w:val="20"/>
                <w:lang w:val="es-ES"/>
              </w:rPr>
              <w:t>.</w:t>
            </w:r>
            <w:r w:rsidR="36501B54" w:rsidRPr="006906C8">
              <w:rPr>
                <w:rFonts w:ascii="Arial" w:hAnsi="Arial" w:cs="Arial"/>
                <w:sz w:val="20"/>
                <w:szCs w:val="20"/>
                <w:lang w:val="es-ES"/>
              </w:rPr>
              <w:t>450</w:t>
            </w:r>
          </w:p>
        </w:tc>
        <w:tc>
          <w:tcPr>
            <w:tcW w:w="1206" w:type="dxa"/>
            <w:vAlign w:val="center"/>
          </w:tcPr>
          <w:p w14:paraId="7A32C8F3" w14:textId="3E483AE7" w:rsidR="00E21277" w:rsidRPr="006906C8" w:rsidRDefault="00E21277"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20.968</w:t>
            </w:r>
          </w:p>
        </w:tc>
        <w:tc>
          <w:tcPr>
            <w:tcW w:w="1941" w:type="dxa"/>
            <w:vAlign w:val="center"/>
          </w:tcPr>
          <w:p w14:paraId="580C1C13" w14:textId="4D44D2E5" w:rsidR="00E21277" w:rsidRPr="006906C8" w:rsidRDefault="00E21277" w:rsidP="006906C8">
            <w:pPr>
              <w:spacing w:after="0"/>
              <w:jc w:val="center"/>
              <w:rPr>
                <w:rFonts w:ascii="Arial" w:eastAsia="Times New Roman" w:hAnsi="Arial" w:cs="Arial"/>
                <w:sz w:val="20"/>
                <w:szCs w:val="20"/>
                <w:lang w:val="es-ES" w:eastAsia="es-CO"/>
              </w:rPr>
            </w:pPr>
            <w:r w:rsidRPr="00855594">
              <w:rPr>
                <w:rFonts w:ascii="Arial" w:eastAsia="Times New Roman" w:hAnsi="Arial" w:cs="Arial"/>
                <w:sz w:val="20"/>
                <w:szCs w:val="20"/>
                <w:lang w:val="es-ES" w:eastAsia="es-CO"/>
              </w:rPr>
              <w:t>1</w:t>
            </w:r>
            <w:r w:rsidR="525F1914" w:rsidRPr="00855594">
              <w:rPr>
                <w:rFonts w:ascii="Arial" w:eastAsia="Times New Roman" w:hAnsi="Arial" w:cs="Arial"/>
                <w:sz w:val="20"/>
                <w:szCs w:val="20"/>
                <w:lang w:val="es-ES" w:eastAsia="es-CO"/>
              </w:rPr>
              <w:t>7.600</w:t>
            </w:r>
          </w:p>
        </w:tc>
        <w:tc>
          <w:tcPr>
            <w:tcW w:w="2007" w:type="dxa"/>
            <w:vAlign w:val="center"/>
          </w:tcPr>
          <w:p w14:paraId="7D6205F8" w14:textId="77777777" w:rsidR="00E21277" w:rsidRPr="00855594" w:rsidRDefault="00E21277" w:rsidP="00E21277">
            <w:pPr>
              <w:spacing w:after="0"/>
              <w:rPr>
                <w:rFonts w:ascii="Arial" w:hAnsi="Arial" w:cs="Arial"/>
                <w:sz w:val="20"/>
                <w:szCs w:val="20"/>
                <w:lang w:val="es-ES_tradnl"/>
              </w:rPr>
            </w:pPr>
            <w:r w:rsidRPr="00855594">
              <w:rPr>
                <w:rFonts w:ascii="Arial" w:hAnsi="Arial" w:cs="Arial"/>
                <w:sz w:val="20"/>
                <w:szCs w:val="20"/>
                <w:lang w:val="es-ES_tradnl"/>
              </w:rPr>
              <w:t xml:space="preserve">Fuente dato 2017 (dic 7-18): </w:t>
            </w:r>
            <w:proofErr w:type="spellStart"/>
            <w:r w:rsidRPr="00855594">
              <w:rPr>
                <w:rFonts w:ascii="Arial" w:hAnsi="Arial" w:cs="Arial"/>
                <w:sz w:val="20"/>
                <w:szCs w:val="20"/>
                <w:lang w:val="es-ES_tradnl"/>
              </w:rPr>
              <w:t>Paratec</w:t>
            </w:r>
            <w:proofErr w:type="spellEnd"/>
            <w:r w:rsidRPr="00855594">
              <w:rPr>
                <w:rFonts w:ascii="Arial" w:hAnsi="Arial" w:cs="Arial"/>
                <w:sz w:val="20"/>
                <w:szCs w:val="20"/>
                <w:lang w:val="es-ES_tradnl"/>
              </w:rPr>
              <w:t xml:space="preserve"> XM</w:t>
            </w:r>
          </w:p>
          <w:p w14:paraId="19920AAA" w14:textId="77777777" w:rsidR="00E21277" w:rsidRPr="00855594" w:rsidRDefault="00E21277" w:rsidP="00E21277">
            <w:pPr>
              <w:spacing w:after="0"/>
              <w:rPr>
                <w:rFonts w:ascii="Arial" w:hAnsi="Arial" w:cs="Arial"/>
                <w:sz w:val="20"/>
                <w:szCs w:val="20"/>
                <w:lang w:val="es-ES_tradnl"/>
              </w:rPr>
            </w:pPr>
          </w:p>
          <w:p w14:paraId="7A32C8F4" w14:textId="40587EFC" w:rsidR="00E21277" w:rsidRPr="006906C8" w:rsidRDefault="00E21277" w:rsidP="006906C8">
            <w:pPr>
              <w:spacing w:after="0"/>
              <w:rPr>
                <w:rFonts w:ascii="Arial" w:hAnsi="Arial" w:cs="Arial"/>
                <w:sz w:val="20"/>
                <w:szCs w:val="20"/>
                <w:lang w:val="es-ES"/>
              </w:rPr>
            </w:pPr>
            <w:r w:rsidRPr="006906C8">
              <w:rPr>
                <w:rFonts w:ascii="Arial" w:hAnsi="Arial" w:cs="Arial"/>
                <w:sz w:val="20"/>
                <w:szCs w:val="20"/>
                <w:lang w:val="es-ES"/>
              </w:rPr>
              <w:t>Fuente datos 2019 y 2020: Plan Indicativo de Expansión Generación -Transmisión UPME 2017 (Escenario 4A)</w:t>
            </w:r>
            <w:r w:rsidR="5EDDFA94" w:rsidRPr="006906C8">
              <w:rPr>
                <w:rFonts w:ascii="Arial" w:hAnsi="Arial" w:cs="Arial"/>
                <w:sz w:val="20"/>
                <w:szCs w:val="20"/>
                <w:lang w:val="es-ES"/>
              </w:rPr>
              <w:t xml:space="preserve"> </w:t>
            </w:r>
            <w:r w:rsidR="345C21C9" w:rsidRPr="006906C8">
              <w:rPr>
                <w:rFonts w:ascii="Arial" w:hAnsi="Arial" w:cs="Arial"/>
                <w:sz w:val="20"/>
                <w:szCs w:val="20"/>
                <w:lang w:val="es-ES"/>
              </w:rPr>
              <w:t>ajustado con los proyectos en construcci</w:t>
            </w:r>
            <w:r w:rsidR="79CAED2B" w:rsidRPr="006906C8">
              <w:rPr>
                <w:rFonts w:ascii="Arial" w:hAnsi="Arial" w:cs="Arial"/>
                <w:sz w:val="20"/>
                <w:szCs w:val="20"/>
                <w:lang w:val="es-ES"/>
              </w:rPr>
              <w:t xml:space="preserve">ón a finales del 2018. </w:t>
            </w:r>
          </w:p>
        </w:tc>
        <w:tc>
          <w:tcPr>
            <w:tcW w:w="2160" w:type="dxa"/>
          </w:tcPr>
          <w:p w14:paraId="1DAAEB7D" w14:textId="0E2CB672" w:rsidR="00E21277" w:rsidRPr="006906C8" w:rsidRDefault="00E21277">
            <w:pPr>
              <w:rPr>
                <w:rFonts w:ascii="Arial" w:hAnsi="Arial" w:cs="Arial"/>
                <w:sz w:val="20"/>
                <w:szCs w:val="20"/>
                <w:lang w:val="es-ES"/>
              </w:rPr>
            </w:pPr>
          </w:p>
          <w:p w14:paraId="7A32C8F5" w14:textId="47322BA2" w:rsidR="00E21277" w:rsidRPr="006906C8" w:rsidRDefault="00E21277">
            <w:pPr>
              <w:rPr>
                <w:rFonts w:ascii="Arial" w:hAnsi="Arial" w:cs="Arial"/>
                <w:sz w:val="20"/>
                <w:szCs w:val="20"/>
                <w:lang w:val="es-ES"/>
              </w:rPr>
            </w:pPr>
          </w:p>
        </w:tc>
      </w:tr>
      <w:tr w:rsidR="00855594" w:rsidRPr="003006F8" w14:paraId="7A32C906" w14:textId="77777777" w:rsidTr="29AE5713">
        <w:trPr>
          <w:trHeight w:val="2140"/>
        </w:trPr>
        <w:tc>
          <w:tcPr>
            <w:tcW w:w="2610" w:type="dxa"/>
            <w:vAlign w:val="center"/>
          </w:tcPr>
          <w:p w14:paraId="7A32C8F7" w14:textId="77777777" w:rsidR="00E21277" w:rsidRPr="00855594" w:rsidRDefault="00E21277" w:rsidP="00D93AFA">
            <w:pPr>
              <w:pStyle w:val="ListParagraph"/>
              <w:spacing w:after="0" w:line="240" w:lineRule="auto"/>
              <w:ind w:left="338" w:hanging="338"/>
              <w:rPr>
                <w:rFonts w:ascii="Arial" w:hAnsi="Arial" w:cs="Arial"/>
                <w:sz w:val="20"/>
                <w:szCs w:val="20"/>
                <w:lang w:val="es-BO"/>
              </w:rPr>
            </w:pPr>
            <w:r w:rsidRPr="00855594">
              <w:rPr>
                <w:rFonts w:ascii="Arial" w:hAnsi="Arial" w:cs="Arial"/>
                <w:sz w:val="20"/>
                <w:szCs w:val="20"/>
                <w:lang w:val="es-BO"/>
              </w:rPr>
              <w:lastRenderedPageBreak/>
              <w:t>1.2 Costo marginal de la operación del sistema a largo plazo (CMLP)</w:t>
            </w:r>
          </w:p>
        </w:tc>
        <w:tc>
          <w:tcPr>
            <w:tcW w:w="1183" w:type="dxa"/>
            <w:vAlign w:val="center"/>
          </w:tcPr>
          <w:p w14:paraId="7A32C8F9" w14:textId="0F0DF202" w:rsidR="00E21277" w:rsidRPr="00855594" w:rsidRDefault="00E21277" w:rsidP="000A5855">
            <w:pPr>
              <w:spacing w:after="0" w:line="240" w:lineRule="auto"/>
              <w:jc w:val="center"/>
              <w:rPr>
                <w:rFonts w:ascii="Arial" w:hAnsi="Arial" w:cs="Arial"/>
                <w:sz w:val="20"/>
                <w:szCs w:val="20"/>
                <w:lang w:val="es-BO"/>
              </w:rPr>
            </w:pPr>
            <w:r w:rsidRPr="00855594">
              <w:rPr>
                <w:rFonts w:ascii="Arial" w:hAnsi="Arial" w:cs="Arial"/>
                <w:sz w:val="20"/>
                <w:szCs w:val="20"/>
                <w:lang w:val="es-BO"/>
              </w:rPr>
              <w:t>US$/</w:t>
            </w:r>
            <w:proofErr w:type="spellStart"/>
            <w:r w:rsidRPr="00855594">
              <w:rPr>
                <w:rFonts w:ascii="Arial" w:hAnsi="Arial" w:cs="Arial"/>
                <w:sz w:val="20"/>
                <w:szCs w:val="20"/>
                <w:lang w:val="es-BO"/>
              </w:rPr>
              <w:t>MWh</w:t>
            </w:r>
            <w:proofErr w:type="spellEnd"/>
            <w:r w:rsidR="000A5855" w:rsidRPr="00855594">
              <w:rPr>
                <w:rFonts w:ascii="Arial" w:hAnsi="Arial" w:cs="Arial"/>
                <w:sz w:val="20"/>
                <w:szCs w:val="20"/>
                <w:lang w:val="es-BO"/>
              </w:rPr>
              <w:t xml:space="preserve"> </w:t>
            </w:r>
            <w:r w:rsidRPr="00855594">
              <w:rPr>
                <w:rFonts w:ascii="Arial" w:hAnsi="Arial" w:cs="Arial"/>
                <w:sz w:val="20"/>
                <w:szCs w:val="20"/>
                <w:lang w:val="es-BO"/>
              </w:rPr>
              <w:t xml:space="preserve">(Valores a </w:t>
            </w:r>
            <w:r w:rsidR="000A5855" w:rsidRPr="00855594">
              <w:rPr>
                <w:rFonts w:ascii="Arial" w:hAnsi="Arial" w:cs="Arial"/>
                <w:sz w:val="20"/>
                <w:szCs w:val="20"/>
                <w:lang w:val="es-BO"/>
              </w:rPr>
              <w:t>d</w:t>
            </w:r>
            <w:r w:rsidRPr="00855594">
              <w:rPr>
                <w:rFonts w:ascii="Arial" w:hAnsi="Arial" w:cs="Arial"/>
                <w:sz w:val="20"/>
                <w:szCs w:val="20"/>
                <w:lang w:val="es-BO"/>
              </w:rPr>
              <w:t>iciembre 2015)</w:t>
            </w:r>
          </w:p>
        </w:tc>
        <w:tc>
          <w:tcPr>
            <w:tcW w:w="991" w:type="dxa"/>
            <w:vAlign w:val="center"/>
          </w:tcPr>
          <w:p w14:paraId="7A32C8FB" w14:textId="5A24F246" w:rsidR="00E21277" w:rsidRPr="006906C8" w:rsidRDefault="00E21277" w:rsidP="006906C8">
            <w:pPr>
              <w:spacing w:after="0" w:line="240" w:lineRule="auto"/>
              <w:ind w:left="-117" w:right="-99"/>
              <w:jc w:val="center"/>
              <w:rPr>
                <w:rFonts w:ascii="Arial" w:hAnsi="Arial" w:cs="Arial"/>
                <w:sz w:val="20"/>
                <w:szCs w:val="20"/>
                <w:lang w:val="es-ES"/>
              </w:rPr>
            </w:pPr>
            <w:r w:rsidRPr="006906C8">
              <w:rPr>
                <w:rFonts w:ascii="Arial" w:hAnsi="Arial" w:cs="Arial"/>
                <w:sz w:val="20"/>
                <w:szCs w:val="20"/>
                <w:lang w:val="es-ES"/>
              </w:rPr>
              <w:t>64,97</w:t>
            </w:r>
            <w:r w:rsidR="000A5855" w:rsidRPr="006906C8">
              <w:rPr>
                <w:rFonts w:ascii="Arial" w:hAnsi="Arial" w:cs="Arial"/>
                <w:sz w:val="20"/>
                <w:szCs w:val="20"/>
                <w:lang w:val="es-ES"/>
              </w:rPr>
              <w:t xml:space="preserve"> </w:t>
            </w:r>
            <w:r w:rsidR="00D93AFA" w:rsidRPr="006906C8">
              <w:rPr>
                <w:rFonts w:ascii="Arial" w:hAnsi="Arial" w:cs="Arial"/>
                <w:sz w:val="20"/>
                <w:szCs w:val="20"/>
                <w:lang w:val="es-ES"/>
              </w:rPr>
              <w:t>promedio</w:t>
            </w:r>
            <w:r w:rsidRPr="006906C8">
              <w:rPr>
                <w:rFonts w:ascii="Arial" w:hAnsi="Arial" w:cs="Arial"/>
                <w:sz w:val="20"/>
                <w:szCs w:val="20"/>
                <w:lang w:val="es-ES"/>
              </w:rPr>
              <w:t xml:space="preserve"> real 2015</w:t>
            </w:r>
          </w:p>
        </w:tc>
        <w:tc>
          <w:tcPr>
            <w:tcW w:w="1152" w:type="dxa"/>
            <w:vAlign w:val="center"/>
          </w:tcPr>
          <w:p w14:paraId="3BF2102E" w14:textId="20809225" w:rsidR="00E21277" w:rsidRPr="006906C8" w:rsidRDefault="00E21277" w:rsidP="006906C8">
            <w:pPr>
              <w:spacing w:after="0" w:line="240" w:lineRule="auto"/>
              <w:jc w:val="center"/>
              <w:rPr>
                <w:rFonts w:ascii="Arial" w:hAnsi="Arial" w:cs="Arial"/>
                <w:sz w:val="20"/>
                <w:szCs w:val="20"/>
                <w:lang w:val="es-ES"/>
              </w:rPr>
            </w:pPr>
            <w:r w:rsidRPr="00855594">
              <w:rPr>
                <w:rFonts w:ascii="Arial" w:eastAsia="Times New Roman" w:hAnsi="Arial" w:cs="Arial"/>
                <w:sz w:val="20"/>
                <w:szCs w:val="20"/>
                <w:lang w:val="es-ES" w:eastAsia="es-CO"/>
              </w:rPr>
              <w:t>61,4</w:t>
            </w:r>
            <w:r w:rsidR="3D7A96B3" w:rsidRPr="00855594">
              <w:rPr>
                <w:rFonts w:ascii="Arial" w:eastAsia="Times New Roman" w:hAnsi="Arial" w:cs="Arial"/>
                <w:sz w:val="20"/>
                <w:szCs w:val="20"/>
                <w:lang w:val="es-ES" w:eastAsia="es-CO"/>
              </w:rPr>
              <w:t>0</w:t>
            </w:r>
          </w:p>
        </w:tc>
        <w:tc>
          <w:tcPr>
            <w:tcW w:w="1240" w:type="dxa"/>
            <w:vAlign w:val="center"/>
          </w:tcPr>
          <w:p w14:paraId="072DB3D9" w14:textId="645FFCC4" w:rsidR="00E21277" w:rsidRPr="006906C8" w:rsidRDefault="12B59438" w:rsidP="006906C8">
            <w:pPr>
              <w:spacing w:after="0" w:line="240" w:lineRule="auto"/>
              <w:jc w:val="center"/>
              <w:rPr>
                <w:rFonts w:ascii="Arial" w:eastAsia="Times New Roman" w:hAnsi="Arial" w:cs="Arial"/>
                <w:sz w:val="20"/>
                <w:szCs w:val="20"/>
                <w:lang w:val="es-ES" w:eastAsia="es-CO"/>
              </w:rPr>
            </w:pPr>
            <w:r w:rsidRPr="006906C8">
              <w:rPr>
                <w:rFonts w:ascii="Arial" w:eastAsia="Times New Roman" w:hAnsi="Arial" w:cs="Arial"/>
                <w:sz w:val="20"/>
                <w:szCs w:val="20"/>
                <w:lang w:val="es-ES" w:eastAsia="es-CO"/>
              </w:rPr>
              <w:t>47,35</w:t>
            </w:r>
          </w:p>
        </w:tc>
        <w:tc>
          <w:tcPr>
            <w:tcW w:w="1206" w:type="dxa"/>
            <w:vAlign w:val="center"/>
          </w:tcPr>
          <w:p w14:paraId="7A32C8FD" w14:textId="092CD771" w:rsidR="00E21277" w:rsidRPr="006906C8" w:rsidRDefault="00E21277"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 xml:space="preserve">54,79 </w:t>
            </w:r>
            <w:r w:rsidR="00D93AFA" w:rsidRPr="006906C8">
              <w:rPr>
                <w:rFonts w:ascii="Arial" w:hAnsi="Arial" w:cs="Arial"/>
                <w:sz w:val="20"/>
                <w:szCs w:val="20"/>
                <w:lang w:val="es-ES"/>
              </w:rPr>
              <w:t>valorado</w:t>
            </w:r>
            <w:r w:rsidRPr="006906C8">
              <w:rPr>
                <w:rFonts w:ascii="Arial" w:hAnsi="Arial" w:cs="Arial"/>
                <w:sz w:val="20"/>
                <w:szCs w:val="20"/>
                <w:lang w:val="es-ES"/>
              </w:rPr>
              <w:t xml:space="preserve"> a precios de diciembre 2015</w:t>
            </w:r>
          </w:p>
        </w:tc>
        <w:tc>
          <w:tcPr>
            <w:tcW w:w="1941" w:type="dxa"/>
            <w:vAlign w:val="center"/>
          </w:tcPr>
          <w:p w14:paraId="3A882FEC" w14:textId="5170E4BC" w:rsidR="00E21277" w:rsidRPr="006906C8" w:rsidRDefault="12B59438" w:rsidP="006906C8">
            <w:pPr>
              <w:spacing w:after="0"/>
              <w:jc w:val="center"/>
              <w:rPr>
                <w:rFonts w:ascii="Arial" w:eastAsia="Times New Roman" w:hAnsi="Arial" w:cs="Arial"/>
                <w:sz w:val="20"/>
                <w:szCs w:val="20"/>
                <w:lang w:val="es-ES" w:eastAsia="es-CO"/>
              </w:rPr>
            </w:pPr>
            <w:r w:rsidRPr="00855594">
              <w:rPr>
                <w:rFonts w:ascii="Arial" w:eastAsia="Times New Roman" w:hAnsi="Arial" w:cs="Arial"/>
                <w:sz w:val="20"/>
                <w:szCs w:val="20"/>
                <w:lang w:val="es-ES" w:eastAsia="es-CO"/>
              </w:rPr>
              <w:t>4</w:t>
            </w:r>
            <w:r w:rsidR="00E21277" w:rsidRPr="00855594">
              <w:rPr>
                <w:rFonts w:ascii="Arial" w:eastAsia="Times New Roman" w:hAnsi="Arial" w:cs="Arial"/>
                <w:sz w:val="20"/>
                <w:szCs w:val="20"/>
                <w:lang w:val="es-ES" w:eastAsia="es-CO"/>
              </w:rPr>
              <w:t>8,</w:t>
            </w:r>
            <w:r w:rsidRPr="00855594">
              <w:rPr>
                <w:rFonts w:ascii="Arial" w:eastAsia="Times New Roman" w:hAnsi="Arial" w:cs="Arial"/>
                <w:sz w:val="20"/>
                <w:szCs w:val="20"/>
                <w:lang w:val="es-ES" w:eastAsia="es-CO"/>
              </w:rPr>
              <w:t>53</w:t>
            </w:r>
          </w:p>
        </w:tc>
        <w:tc>
          <w:tcPr>
            <w:tcW w:w="2007" w:type="dxa"/>
          </w:tcPr>
          <w:p w14:paraId="5668FE9E" w14:textId="3BF9E506" w:rsidR="00E21277" w:rsidRPr="006906C8" w:rsidRDefault="00E21277" w:rsidP="00E21277">
            <w:pPr>
              <w:rPr>
                <w:rFonts w:ascii="Arial" w:hAnsi="Arial" w:cs="Arial"/>
                <w:sz w:val="20"/>
                <w:szCs w:val="20"/>
                <w:lang w:val="es-ES_tradnl"/>
              </w:rPr>
            </w:pPr>
            <w:r w:rsidRPr="006906C8">
              <w:rPr>
                <w:rFonts w:ascii="Arial" w:hAnsi="Arial" w:cs="Arial"/>
                <w:sz w:val="20"/>
                <w:szCs w:val="20"/>
                <w:lang w:val="es-ES"/>
              </w:rPr>
              <w:t>Costo línea base: Plan Indicativo de Expansión 2015-19</w:t>
            </w:r>
          </w:p>
          <w:p w14:paraId="7A32C900" w14:textId="7303F1F6" w:rsidR="00E21277" w:rsidRPr="006906C8" w:rsidRDefault="552F097F" w:rsidP="006906C8">
            <w:pPr>
              <w:spacing w:after="0"/>
              <w:rPr>
                <w:rFonts w:ascii="Arial" w:hAnsi="Arial" w:cs="Arial"/>
                <w:sz w:val="20"/>
                <w:szCs w:val="20"/>
                <w:lang w:val="es-ES"/>
              </w:rPr>
            </w:pPr>
            <w:r w:rsidRPr="006906C8">
              <w:rPr>
                <w:rFonts w:ascii="Arial" w:hAnsi="Arial" w:cs="Arial"/>
                <w:sz w:val="20"/>
                <w:szCs w:val="20"/>
                <w:lang w:val="es-ES"/>
              </w:rPr>
              <w:t>Fuente datos 2019 y 2020: Plan Indicativo de Expansión Generación -Transmisión UPME 2017 (Escenario 4A) ajustado con los proyectos en construcción a finales del 2018.</w:t>
            </w:r>
          </w:p>
        </w:tc>
        <w:tc>
          <w:tcPr>
            <w:tcW w:w="2160" w:type="dxa"/>
          </w:tcPr>
          <w:p w14:paraId="7A32C905" w14:textId="79665942" w:rsidR="00E21277" w:rsidRPr="00855594" w:rsidRDefault="00E21277" w:rsidP="00EF1107">
            <w:pPr>
              <w:spacing w:after="0" w:line="240" w:lineRule="auto"/>
              <w:textAlignment w:val="baseline"/>
              <w:rPr>
                <w:rFonts w:ascii="Arial" w:hAnsi="Arial" w:cs="Arial"/>
                <w:sz w:val="20"/>
                <w:szCs w:val="20"/>
                <w:lang w:val="es-ES_tradnl"/>
              </w:rPr>
            </w:pPr>
          </w:p>
        </w:tc>
      </w:tr>
      <w:tr w:rsidR="00855594" w:rsidRPr="003006F8" w14:paraId="7A32C909" w14:textId="77777777" w:rsidTr="29AE5713">
        <w:trPr>
          <w:trHeight w:val="159"/>
        </w:trPr>
        <w:tc>
          <w:tcPr>
            <w:tcW w:w="14490" w:type="dxa"/>
            <w:gridSpan w:val="9"/>
            <w:shd w:val="clear" w:color="auto" w:fill="C6D9F1" w:themeFill="text2" w:themeFillTint="33"/>
          </w:tcPr>
          <w:p w14:paraId="7A32C908" w14:textId="1F94E85C" w:rsidR="00EF1107" w:rsidRPr="006906C8" w:rsidRDefault="00EF1107" w:rsidP="00EF1107">
            <w:pPr>
              <w:pStyle w:val="ListParagraph"/>
              <w:numPr>
                <w:ilvl w:val="0"/>
                <w:numId w:val="26"/>
              </w:numPr>
              <w:spacing w:before="40" w:after="40" w:line="240" w:lineRule="auto"/>
              <w:ind w:left="518"/>
              <w:rPr>
                <w:rFonts w:ascii="Arial" w:hAnsi="Arial" w:cs="Arial"/>
                <w:b/>
                <w:sz w:val="20"/>
                <w:szCs w:val="20"/>
                <w:lang w:val="es-ES_tradnl"/>
              </w:rPr>
            </w:pPr>
            <w:r w:rsidRPr="006906C8">
              <w:rPr>
                <w:rFonts w:ascii="Arial" w:hAnsi="Arial" w:cs="Arial"/>
                <w:b/>
                <w:sz w:val="20"/>
                <w:szCs w:val="20"/>
                <w:lang w:val="es-ES_tradnl"/>
              </w:rPr>
              <w:t>Reducción de emisiones de GEI</w:t>
            </w:r>
          </w:p>
        </w:tc>
      </w:tr>
      <w:tr w:rsidR="00855594" w:rsidRPr="003006F8" w14:paraId="7A32C910" w14:textId="77777777" w:rsidTr="29AE5713">
        <w:trPr>
          <w:trHeight w:val="714"/>
        </w:trPr>
        <w:tc>
          <w:tcPr>
            <w:tcW w:w="2610" w:type="dxa"/>
            <w:vAlign w:val="center"/>
          </w:tcPr>
          <w:p w14:paraId="7A32C90A" w14:textId="2B1FF02C" w:rsidR="002F70F2" w:rsidRPr="00855594" w:rsidRDefault="002F70F2" w:rsidP="00B14338">
            <w:pPr>
              <w:pStyle w:val="ListParagraph"/>
              <w:spacing w:after="0" w:line="240" w:lineRule="auto"/>
              <w:ind w:left="338" w:hanging="338"/>
              <w:rPr>
                <w:rFonts w:ascii="Arial" w:hAnsi="Arial" w:cs="Arial"/>
                <w:sz w:val="20"/>
                <w:szCs w:val="20"/>
                <w:lang w:val="es-ES_tradnl"/>
              </w:rPr>
            </w:pPr>
            <w:r w:rsidRPr="00855594">
              <w:rPr>
                <w:rFonts w:ascii="Arial" w:hAnsi="Arial" w:cs="Arial"/>
                <w:sz w:val="20"/>
                <w:szCs w:val="20"/>
                <w:lang w:val="es-ES_tradnl"/>
              </w:rPr>
              <w:t>2.1 E</w:t>
            </w:r>
            <w:r w:rsidRPr="006906C8">
              <w:rPr>
                <w:rFonts w:ascii="Arial" w:hAnsi="Arial" w:cs="Arial"/>
                <w:sz w:val="20"/>
                <w:szCs w:val="20"/>
                <w:lang w:val="es-ES_tradnl"/>
              </w:rPr>
              <w:t>misiones de GEI</w:t>
            </w:r>
            <w:r w:rsidRPr="006906C8">
              <w:rPr>
                <w:rStyle w:val="FootnoteReference"/>
                <w:rFonts w:ascii="Arial" w:hAnsi="Arial" w:cs="Arial"/>
                <w:sz w:val="20"/>
                <w:szCs w:val="20"/>
                <w:lang w:val="es-ES_tradnl"/>
              </w:rPr>
              <w:footnoteReference w:id="4"/>
            </w:r>
            <w:r w:rsidRPr="006906C8">
              <w:rPr>
                <w:rFonts w:ascii="Arial" w:hAnsi="Arial" w:cs="Arial"/>
                <w:sz w:val="20"/>
                <w:szCs w:val="20"/>
                <w:lang w:val="es-ES_tradnl"/>
              </w:rPr>
              <w:t xml:space="preserve"> generadas por el </w:t>
            </w:r>
            <w:r w:rsidRPr="00855594">
              <w:rPr>
                <w:rFonts w:ascii="Arial" w:hAnsi="Arial" w:cs="Arial"/>
                <w:sz w:val="20"/>
                <w:szCs w:val="20"/>
                <w:lang w:val="es-ES_tradnl"/>
              </w:rPr>
              <w:t>Sector Eléctrico</w:t>
            </w:r>
          </w:p>
        </w:tc>
        <w:tc>
          <w:tcPr>
            <w:tcW w:w="1183" w:type="dxa"/>
            <w:vAlign w:val="center"/>
          </w:tcPr>
          <w:p w14:paraId="7A32C90B" w14:textId="77777777" w:rsidR="002F70F2" w:rsidRPr="00855594" w:rsidRDefault="002F70F2" w:rsidP="002F70F2">
            <w:pPr>
              <w:spacing w:after="0" w:line="240" w:lineRule="auto"/>
              <w:rPr>
                <w:rFonts w:ascii="Arial" w:hAnsi="Arial" w:cs="Arial"/>
                <w:sz w:val="20"/>
                <w:szCs w:val="20"/>
                <w:lang w:val="es-ES_tradnl"/>
              </w:rPr>
            </w:pPr>
            <w:r w:rsidRPr="00855594">
              <w:rPr>
                <w:rFonts w:ascii="Arial" w:hAnsi="Arial" w:cs="Arial"/>
                <w:sz w:val="20"/>
                <w:szCs w:val="20"/>
                <w:lang w:val="es-ES_tradnl"/>
              </w:rPr>
              <w:t>Emisiones de CO</w:t>
            </w:r>
            <w:r w:rsidRPr="00855594">
              <w:rPr>
                <w:rFonts w:ascii="Arial" w:hAnsi="Arial" w:cs="Arial"/>
                <w:sz w:val="20"/>
                <w:szCs w:val="20"/>
                <w:vertAlign w:val="subscript"/>
                <w:lang w:val="es-ES_tradnl"/>
              </w:rPr>
              <w:t>2</w:t>
            </w:r>
            <w:r w:rsidRPr="00855594">
              <w:rPr>
                <w:rFonts w:ascii="Arial" w:hAnsi="Arial" w:cs="Arial"/>
                <w:sz w:val="20"/>
                <w:szCs w:val="20"/>
                <w:lang w:val="es-ES_tradnl"/>
              </w:rPr>
              <w:t xml:space="preserve"> (tCO</w:t>
            </w:r>
            <w:r w:rsidRPr="00855594">
              <w:rPr>
                <w:rFonts w:ascii="Arial" w:hAnsi="Arial" w:cs="Arial"/>
                <w:sz w:val="20"/>
                <w:szCs w:val="20"/>
                <w:vertAlign w:val="subscript"/>
                <w:lang w:val="es-ES_tradnl"/>
              </w:rPr>
              <w:t>2</w:t>
            </w:r>
            <w:r w:rsidRPr="00855594">
              <w:rPr>
                <w:rFonts w:ascii="Arial" w:hAnsi="Arial" w:cs="Arial"/>
                <w:sz w:val="20"/>
                <w:szCs w:val="20"/>
                <w:lang w:val="es-ES_tradnl"/>
              </w:rPr>
              <w:t>e/ millones)</w:t>
            </w:r>
          </w:p>
        </w:tc>
        <w:tc>
          <w:tcPr>
            <w:tcW w:w="991" w:type="dxa"/>
            <w:vAlign w:val="center"/>
          </w:tcPr>
          <w:p w14:paraId="7A32C90C" w14:textId="77777777" w:rsidR="002F70F2" w:rsidRPr="006906C8" w:rsidRDefault="002F70F2" w:rsidP="006906C8">
            <w:pPr>
              <w:spacing w:after="0" w:line="240" w:lineRule="auto"/>
              <w:jc w:val="center"/>
              <w:rPr>
                <w:rFonts w:ascii="Arial" w:hAnsi="Arial" w:cs="Arial"/>
                <w:sz w:val="20"/>
                <w:szCs w:val="20"/>
              </w:rPr>
            </w:pPr>
            <w:r w:rsidRPr="00855594">
              <w:rPr>
                <w:rFonts w:ascii="Arial" w:hAnsi="Arial" w:cs="Arial"/>
                <w:sz w:val="20"/>
                <w:szCs w:val="20"/>
              </w:rPr>
              <w:t>14,6</w:t>
            </w:r>
          </w:p>
        </w:tc>
        <w:tc>
          <w:tcPr>
            <w:tcW w:w="1152" w:type="dxa"/>
            <w:vAlign w:val="center"/>
          </w:tcPr>
          <w:p w14:paraId="7EA46842" w14:textId="667B3295" w:rsidR="002F70F2" w:rsidRPr="006906C8" w:rsidRDefault="67DF1BEE" w:rsidP="006906C8">
            <w:pPr>
              <w:spacing w:after="0" w:line="240" w:lineRule="auto"/>
              <w:jc w:val="center"/>
              <w:rPr>
                <w:rFonts w:ascii="Arial" w:eastAsia="Times New Roman" w:hAnsi="Arial" w:cs="Arial"/>
                <w:sz w:val="20"/>
                <w:szCs w:val="20"/>
                <w:lang w:val="es-BO" w:eastAsia="es-CO"/>
              </w:rPr>
            </w:pPr>
            <w:r w:rsidRPr="00855594">
              <w:rPr>
                <w:rFonts w:ascii="Arial" w:eastAsia="Times New Roman" w:hAnsi="Arial" w:cs="Arial"/>
                <w:sz w:val="20"/>
                <w:szCs w:val="20"/>
                <w:lang w:val="es-BO" w:eastAsia="es-CO"/>
              </w:rPr>
              <w:t>11</w:t>
            </w:r>
            <w:r w:rsidR="2442F0AF" w:rsidRPr="00855594">
              <w:rPr>
                <w:rFonts w:ascii="Arial" w:eastAsia="Times New Roman" w:hAnsi="Arial" w:cs="Arial"/>
                <w:sz w:val="20"/>
                <w:szCs w:val="20"/>
                <w:lang w:val="es-BO" w:eastAsia="es-CO"/>
              </w:rPr>
              <w:t>,6</w:t>
            </w:r>
          </w:p>
        </w:tc>
        <w:tc>
          <w:tcPr>
            <w:tcW w:w="1240" w:type="dxa"/>
            <w:vAlign w:val="center"/>
          </w:tcPr>
          <w:p w14:paraId="450CA5DB" w14:textId="79D1EF6B" w:rsidR="002F70F2" w:rsidRPr="006906C8" w:rsidRDefault="4020091C" w:rsidP="006906C8">
            <w:pPr>
              <w:spacing w:after="0" w:line="240" w:lineRule="auto"/>
              <w:jc w:val="center"/>
              <w:rPr>
                <w:rFonts w:ascii="Arial" w:eastAsia="Times New Roman" w:hAnsi="Arial" w:cs="Arial"/>
                <w:sz w:val="20"/>
                <w:szCs w:val="20"/>
                <w:lang w:val="es-BO" w:eastAsia="es-CO"/>
              </w:rPr>
            </w:pPr>
            <w:r w:rsidRPr="00855594">
              <w:rPr>
                <w:rFonts w:ascii="Arial" w:eastAsia="Times New Roman" w:hAnsi="Arial" w:cs="Arial"/>
                <w:sz w:val="20"/>
                <w:szCs w:val="20"/>
                <w:lang w:val="es-BO" w:eastAsia="es-CO"/>
              </w:rPr>
              <w:t>11</w:t>
            </w:r>
            <w:r w:rsidR="30D43F71" w:rsidRPr="00855594">
              <w:rPr>
                <w:rFonts w:ascii="Arial" w:eastAsia="Times New Roman" w:hAnsi="Arial" w:cs="Arial"/>
                <w:sz w:val="20"/>
                <w:szCs w:val="20"/>
                <w:lang w:val="es-BO" w:eastAsia="es-CO"/>
              </w:rPr>
              <w:t>,0</w:t>
            </w:r>
          </w:p>
        </w:tc>
        <w:tc>
          <w:tcPr>
            <w:tcW w:w="1206" w:type="dxa"/>
            <w:vAlign w:val="center"/>
          </w:tcPr>
          <w:p w14:paraId="7A32C90D" w14:textId="6C1A3914" w:rsidR="002F70F2" w:rsidRPr="00855594" w:rsidRDefault="002F70F2" w:rsidP="002F70F2">
            <w:pPr>
              <w:spacing w:after="0" w:line="240" w:lineRule="auto"/>
              <w:jc w:val="center"/>
              <w:rPr>
                <w:rFonts w:ascii="Arial" w:hAnsi="Arial" w:cs="Arial"/>
                <w:sz w:val="20"/>
                <w:szCs w:val="20"/>
                <w:highlight w:val="yellow"/>
              </w:rPr>
            </w:pPr>
            <w:r w:rsidRPr="00855594">
              <w:rPr>
                <w:rFonts w:ascii="Arial" w:hAnsi="Arial" w:cs="Arial"/>
                <w:sz w:val="20"/>
                <w:szCs w:val="20"/>
              </w:rPr>
              <w:t>8,3</w:t>
            </w:r>
          </w:p>
        </w:tc>
        <w:tc>
          <w:tcPr>
            <w:tcW w:w="1941" w:type="dxa"/>
            <w:vAlign w:val="center"/>
          </w:tcPr>
          <w:p w14:paraId="5BA04457" w14:textId="515FAF51" w:rsidR="002F70F2" w:rsidRPr="006906C8" w:rsidRDefault="4020091C" w:rsidP="006906C8">
            <w:pPr>
              <w:spacing w:before="120" w:after="120" w:line="240" w:lineRule="auto"/>
              <w:jc w:val="center"/>
              <w:rPr>
                <w:rFonts w:ascii="Arial" w:eastAsia="Times New Roman" w:hAnsi="Arial" w:cs="Arial"/>
                <w:sz w:val="20"/>
                <w:szCs w:val="20"/>
                <w:lang w:val="es-BO" w:eastAsia="es-CO"/>
              </w:rPr>
            </w:pPr>
            <w:r w:rsidRPr="00855594">
              <w:rPr>
                <w:rFonts w:ascii="Arial" w:eastAsia="Times New Roman" w:hAnsi="Arial" w:cs="Arial"/>
                <w:sz w:val="20"/>
                <w:szCs w:val="20"/>
                <w:lang w:val="es-BO" w:eastAsia="es-CO"/>
              </w:rPr>
              <w:t>11</w:t>
            </w:r>
            <w:r w:rsidR="30D43F71" w:rsidRPr="00855594">
              <w:rPr>
                <w:rFonts w:ascii="Arial" w:eastAsia="Times New Roman" w:hAnsi="Arial" w:cs="Arial"/>
                <w:sz w:val="20"/>
                <w:szCs w:val="20"/>
                <w:lang w:val="es-BO" w:eastAsia="es-CO"/>
              </w:rPr>
              <w:t>,</w:t>
            </w:r>
            <w:r w:rsidRPr="00855594">
              <w:rPr>
                <w:rFonts w:ascii="Arial" w:eastAsia="Times New Roman" w:hAnsi="Arial" w:cs="Arial"/>
                <w:sz w:val="20"/>
                <w:szCs w:val="20"/>
                <w:lang w:val="es-BO" w:eastAsia="es-CO"/>
              </w:rPr>
              <w:t>0</w:t>
            </w:r>
          </w:p>
        </w:tc>
        <w:tc>
          <w:tcPr>
            <w:tcW w:w="2007" w:type="dxa"/>
          </w:tcPr>
          <w:p w14:paraId="7A32C90E" w14:textId="4121EE2D" w:rsidR="002F70F2" w:rsidRPr="006906C8" w:rsidRDefault="2B32B3CA" w:rsidP="006906C8">
            <w:pPr>
              <w:spacing w:before="120" w:after="120" w:line="240" w:lineRule="auto"/>
              <w:rPr>
                <w:rFonts w:ascii="Arial" w:hAnsi="Arial" w:cs="Arial"/>
                <w:sz w:val="20"/>
                <w:szCs w:val="20"/>
                <w:lang w:val="es-ES"/>
              </w:rPr>
            </w:pPr>
            <w:r w:rsidRPr="006906C8">
              <w:rPr>
                <w:rFonts w:ascii="Arial" w:hAnsi="Arial" w:cs="Arial"/>
                <w:sz w:val="20"/>
                <w:szCs w:val="20"/>
                <w:lang w:val="es-ES"/>
              </w:rPr>
              <w:t>Fuente datos 2019 y 2020: Plan Indicativo de Expansión Generación -Transmisión UPME 2017 (Escenario 4A) ajustado con los proyectos en construcción a finales del 2018.</w:t>
            </w:r>
          </w:p>
        </w:tc>
        <w:tc>
          <w:tcPr>
            <w:tcW w:w="2160" w:type="dxa"/>
          </w:tcPr>
          <w:p w14:paraId="7A32C90F" w14:textId="4DBB1874" w:rsidR="002F70F2" w:rsidRPr="00855594" w:rsidRDefault="002F70F2" w:rsidP="002F70F2">
            <w:pPr>
              <w:spacing w:after="0" w:line="240" w:lineRule="auto"/>
              <w:rPr>
                <w:rFonts w:ascii="Arial" w:hAnsi="Arial" w:cs="Arial"/>
                <w:sz w:val="20"/>
                <w:szCs w:val="20"/>
                <w:lang w:val="es-ES_tradnl"/>
              </w:rPr>
            </w:pPr>
          </w:p>
        </w:tc>
      </w:tr>
    </w:tbl>
    <w:p w14:paraId="7A32C912" w14:textId="5F18258D" w:rsidR="00646F5C" w:rsidRDefault="00646F5C">
      <w:pPr>
        <w:spacing w:after="0" w:line="240" w:lineRule="auto"/>
        <w:rPr>
          <w:rFonts w:ascii="Arial" w:hAnsi="Arial" w:cs="Arial"/>
          <w:b/>
          <w:smallCaps/>
          <w:color w:val="000000"/>
          <w:sz w:val="20"/>
          <w:szCs w:val="20"/>
          <w:lang w:val="es-ES_tradnl"/>
        </w:rPr>
      </w:pPr>
      <w:r>
        <w:rPr>
          <w:rFonts w:ascii="Arial" w:hAnsi="Arial" w:cs="Arial"/>
          <w:b/>
          <w:smallCaps/>
          <w:color w:val="000000"/>
          <w:sz w:val="20"/>
          <w:szCs w:val="20"/>
          <w:lang w:val="es-ES_tradnl"/>
        </w:rPr>
        <w:br w:type="page"/>
      </w:r>
    </w:p>
    <w:p w14:paraId="7A32C913" w14:textId="77777777" w:rsidR="00795640" w:rsidRPr="006A737D" w:rsidRDefault="00263AC6" w:rsidP="009B528D">
      <w:pPr>
        <w:autoSpaceDE w:val="0"/>
        <w:autoSpaceDN w:val="0"/>
        <w:adjustRightInd w:val="0"/>
        <w:spacing w:before="60" w:after="60" w:line="240" w:lineRule="auto"/>
        <w:jc w:val="center"/>
        <w:rPr>
          <w:rFonts w:ascii="Arial" w:hAnsi="Arial" w:cs="Arial"/>
          <w:b/>
          <w:smallCaps/>
          <w:color w:val="000000"/>
          <w:sz w:val="20"/>
          <w:szCs w:val="20"/>
        </w:rPr>
      </w:pPr>
      <w:proofErr w:type="spellStart"/>
      <w:r w:rsidRPr="006A737D">
        <w:rPr>
          <w:rFonts w:ascii="Arial" w:hAnsi="Arial" w:cs="Arial"/>
          <w:b/>
          <w:smallCaps/>
          <w:color w:val="000000"/>
          <w:sz w:val="20"/>
          <w:szCs w:val="20"/>
        </w:rPr>
        <w:lastRenderedPageBreak/>
        <w:t>Resultados</w:t>
      </w:r>
      <w:proofErr w:type="spellEnd"/>
      <w:r w:rsidRPr="006A737D">
        <w:rPr>
          <w:rFonts w:ascii="Arial" w:hAnsi="Arial" w:cs="Arial"/>
          <w:b/>
          <w:smallCaps/>
          <w:color w:val="000000"/>
          <w:sz w:val="20"/>
          <w:szCs w:val="20"/>
        </w:rPr>
        <w:t xml:space="preserve"> </w:t>
      </w:r>
      <w:proofErr w:type="spellStart"/>
      <w:r w:rsidRPr="006A737D">
        <w:rPr>
          <w:rFonts w:ascii="Arial" w:hAnsi="Arial" w:cs="Arial"/>
          <w:b/>
          <w:smallCaps/>
          <w:color w:val="000000"/>
          <w:sz w:val="20"/>
          <w:szCs w:val="20"/>
        </w:rPr>
        <w:t>Esperados</w:t>
      </w:r>
      <w:proofErr w:type="spellEnd"/>
    </w:p>
    <w:tbl>
      <w:tblPr>
        <w:tblW w:w="141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5"/>
        <w:gridCol w:w="1080"/>
        <w:gridCol w:w="990"/>
        <w:gridCol w:w="1194"/>
        <w:gridCol w:w="1425"/>
        <w:gridCol w:w="1425"/>
        <w:gridCol w:w="1425"/>
        <w:gridCol w:w="1363"/>
        <w:gridCol w:w="1538"/>
        <w:gridCol w:w="1665"/>
      </w:tblGrid>
      <w:tr w:rsidR="006906C8" w:rsidRPr="00855594" w14:paraId="7A32C91C" w14:textId="77777777" w:rsidTr="00DF40E6">
        <w:trPr>
          <w:trHeight w:val="221"/>
          <w:tblHeader/>
          <w:jc w:val="center"/>
        </w:trPr>
        <w:tc>
          <w:tcPr>
            <w:tcW w:w="2065" w:type="dxa"/>
            <w:shd w:val="clear" w:color="auto" w:fill="D9D9D9" w:themeFill="background1" w:themeFillShade="D9"/>
            <w:vAlign w:val="center"/>
          </w:tcPr>
          <w:p w14:paraId="7A32C914" w14:textId="77777777"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rPr>
              <w:t>Result</w:t>
            </w:r>
            <w:proofErr w:type="spellStart"/>
            <w:r w:rsidRPr="00855594">
              <w:rPr>
                <w:rFonts w:ascii="Arial" w:hAnsi="Arial" w:cs="Arial"/>
                <w:b/>
                <w:sz w:val="20"/>
                <w:szCs w:val="20"/>
                <w:lang w:val="es-ES"/>
              </w:rPr>
              <w:t>ado</w:t>
            </w:r>
            <w:proofErr w:type="spellEnd"/>
            <w:r w:rsidRPr="00855594">
              <w:rPr>
                <w:rFonts w:ascii="Arial" w:hAnsi="Arial" w:cs="Arial"/>
                <w:b/>
                <w:sz w:val="20"/>
                <w:szCs w:val="20"/>
                <w:lang w:val="es-ES"/>
              </w:rPr>
              <w:t xml:space="preserve"> / Indicador </w:t>
            </w:r>
          </w:p>
        </w:tc>
        <w:tc>
          <w:tcPr>
            <w:tcW w:w="1080" w:type="dxa"/>
            <w:shd w:val="clear" w:color="auto" w:fill="D9D9D9" w:themeFill="background1" w:themeFillShade="D9"/>
            <w:vAlign w:val="center"/>
          </w:tcPr>
          <w:p w14:paraId="7A32C915" w14:textId="2E49E467"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lang w:val="es-ES"/>
              </w:rPr>
              <w:t>Unidad de medida</w:t>
            </w:r>
          </w:p>
        </w:tc>
        <w:tc>
          <w:tcPr>
            <w:tcW w:w="990" w:type="dxa"/>
            <w:shd w:val="clear" w:color="auto" w:fill="D9D9D9" w:themeFill="background1" w:themeFillShade="D9"/>
            <w:vAlign w:val="center"/>
          </w:tcPr>
          <w:p w14:paraId="7A32C916" w14:textId="77777777"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lang w:val="es-ES"/>
              </w:rPr>
              <w:t>Línea de base (2015)</w:t>
            </w:r>
          </w:p>
        </w:tc>
        <w:tc>
          <w:tcPr>
            <w:tcW w:w="1194" w:type="dxa"/>
            <w:shd w:val="clear" w:color="auto" w:fill="D9D9D9" w:themeFill="background1" w:themeFillShade="D9"/>
            <w:vAlign w:val="center"/>
          </w:tcPr>
          <w:p w14:paraId="7A32C917" w14:textId="16F95E82"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lang w:val="es-ES"/>
              </w:rPr>
              <w:t>Meta de la Primera Operación (2017)</w:t>
            </w:r>
          </w:p>
        </w:tc>
        <w:tc>
          <w:tcPr>
            <w:tcW w:w="1425" w:type="dxa"/>
            <w:shd w:val="clear" w:color="auto" w:fill="D9D9D9" w:themeFill="background1" w:themeFillShade="D9"/>
          </w:tcPr>
          <w:p w14:paraId="09844D8F" w14:textId="0B68755E"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lang w:val="es-ES"/>
              </w:rPr>
              <w:t>Resultado Primera Operación / Línea de Base Segunda Operación</w:t>
            </w:r>
          </w:p>
        </w:tc>
        <w:tc>
          <w:tcPr>
            <w:tcW w:w="1425" w:type="dxa"/>
            <w:shd w:val="clear" w:color="auto" w:fill="D9D9D9" w:themeFill="background1" w:themeFillShade="D9"/>
            <w:vAlign w:val="center"/>
          </w:tcPr>
          <w:p w14:paraId="532A50E6" w14:textId="59479268"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lang w:val="es-ES"/>
              </w:rPr>
              <w:t>Meta de la Segunda Operación (201</w:t>
            </w:r>
            <w:r w:rsidR="00EF76C5" w:rsidRPr="00855594">
              <w:rPr>
                <w:rFonts w:ascii="Arial" w:hAnsi="Arial" w:cs="Arial"/>
                <w:b/>
                <w:sz w:val="20"/>
                <w:szCs w:val="20"/>
                <w:lang w:val="es-ES"/>
              </w:rPr>
              <w:t>9</w:t>
            </w:r>
            <w:r w:rsidRPr="00855594">
              <w:rPr>
                <w:rFonts w:ascii="Arial" w:hAnsi="Arial" w:cs="Arial"/>
                <w:b/>
                <w:sz w:val="20"/>
                <w:szCs w:val="20"/>
                <w:lang w:val="es-ES"/>
              </w:rPr>
              <w:t>)</w:t>
            </w:r>
          </w:p>
        </w:tc>
        <w:tc>
          <w:tcPr>
            <w:tcW w:w="1425" w:type="dxa"/>
            <w:shd w:val="clear" w:color="auto" w:fill="D9D9D9" w:themeFill="background1" w:themeFillShade="D9"/>
            <w:vAlign w:val="center"/>
          </w:tcPr>
          <w:p w14:paraId="7A32C918" w14:textId="24EAC86C"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lang w:val="es-ES"/>
              </w:rPr>
              <w:t>Meta de la Primera Operación (2020)</w:t>
            </w:r>
          </w:p>
        </w:tc>
        <w:tc>
          <w:tcPr>
            <w:tcW w:w="1363" w:type="dxa"/>
            <w:shd w:val="clear" w:color="auto" w:fill="D9D9D9" w:themeFill="background1" w:themeFillShade="D9"/>
            <w:vAlign w:val="center"/>
          </w:tcPr>
          <w:p w14:paraId="4799B080" w14:textId="63CC050E"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lang w:val="es-ES"/>
              </w:rPr>
              <w:t>Meta de la Operación Ajustada a (2020)</w:t>
            </w:r>
          </w:p>
        </w:tc>
        <w:tc>
          <w:tcPr>
            <w:tcW w:w="1538" w:type="dxa"/>
            <w:shd w:val="clear" w:color="auto" w:fill="D9D9D9" w:themeFill="background1" w:themeFillShade="D9"/>
            <w:vAlign w:val="center"/>
          </w:tcPr>
          <w:p w14:paraId="7A32C91A" w14:textId="76E54106" w:rsidR="00646F5C" w:rsidRPr="00855594" w:rsidRDefault="00646F5C" w:rsidP="009B528D">
            <w:pPr>
              <w:spacing w:after="0" w:line="240" w:lineRule="auto"/>
              <w:jc w:val="center"/>
              <w:rPr>
                <w:rFonts w:ascii="Arial" w:hAnsi="Arial" w:cs="Arial"/>
                <w:b/>
                <w:sz w:val="20"/>
                <w:szCs w:val="20"/>
                <w:lang w:val="es-ES"/>
              </w:rPr>
            </w:pPr>
            <w:r w:rsidRPr="00855594">
              <w:rPr>
                <w:rFonts w:ascii="Arial" w:hAnsi="Arial" w:cs="Arial"/>
                <w:b/>
                <w:sz w:val="20"/>
                <w:szCs w:val="20"/>
                <w:lang w:val="es-ES"/>
              </w:rPr>
              <w:t>Medios de verificación/Observaciones</w:t>
            </w:r>
          </w:p>
        </w:tc>
        <w:tc>
          <w:tcPr>
            <w:tcW w:w="1665" w:type="dxa"/>
            <w:shd w:val="clear" w:color="auto" w:fill="D9D9D9" w:themeFill="background1" w:themeFillShade="D9"/>
            <w:vAlign w:val="center"/>
          </w:tcPr>
          <w:p w14:paraId="7A32C91B" w14:textId="71D7133A" w:rsidR="00646F5C" w:rsidRPr="00855594" w:rsidRDefault="00646F5C" w:rsidP="00646F5C">
            <w:pPr>
              <w:spacing w:after="0" w:line="240" w:lineRule="auto"/>
              <w:jc w:val="center"/>
              <w:rPr>
                <w:rFonts w:ascii="Arial" w:hAnsi="Arial" w:cs="Arial"/>
                <w:b/>
                <w:sz w:val="20"/>
                <w:szCs w:val="20"/>
                <w:lang w:val="es-ES"/>
              </w:rPr>
            </w:pPr>
            <w:r w:rsidRPr="00855594">
              <w:rPr>
                <w:rFonts w:ascii="Arial" w:hAnsi="Arial" w:cs="Arial"/>
                <w:b/>
                <w:sz w:val="20"/>
                <w:szCs w:val="20"/>
                <w:lang w:val="es-ES"/>
              </w:rPr>
              <w:t>Comentarios</w:t>
            </w:r>
          </w:p>
        </w:tc>
      </w:tr>
      <w:tr w:rsidR="00855594" w:rsidRPr="003006F8" w14:paraId="7A32C933" w14:textId="77777777" w:rsidTr="006906C8">
        <w:trPr>
          <w:trHeight w:val="325"/>
          <w:jc w:val="center"/>
        </w:trPr>
        <w:tc>
          <w:tcPr>
            <w:tcW w:w="14170" w:type="dxa"/>
            <w:gridSpan w:val="10"/>
            <w:shd w:val="clear" w:color="auto" w:fill="C6D9F1" w:themeFill="text2" w:themeFillTint="33"/>
          </w:tcPr>
          <w:p w14:paraId="7A32C932" w14:textId="56BDA599" w:rsidR="00A40233" w:rsidRPr="006906C8" w:rsidRDefault="00BF5DBE" w:rsidP="00FD0A50">
            <w:pPr>
              <w:spacing w:before="40" w:after="40" w:line="240" w:lineRule="auto"/>
              <w:ind w:left="351" w:hanging="101"/>
              <w:rPr>
                <w:rFonts w:ascii="Arial" w:hAnsi="Arial" w:cs="Arial"/>
                <w:b/>
                <w:bCs/>
                <w:sz w:val="20"/>
                <w:szCs w:val="20"/>
                <w:lang w:val="es-ES_tradnl"/>
              </w:rPr>
            </w:pPr>
            <w:r w:rsidRPr="00796D4A">
              <w:rPr>
                <w:rFonts w:ascii="Arial" w:hAnsi="Arial" w:cs="Arial"/>
                <w:b/>
                <w:bCs/>
                <w:sz w:val="20"/>
                <w:szCs w:val="20"/>
                <w:lang w:val="es-ES_tradnl"/>
              </w:rPr>
              <w:t>2.</w:t>
            </w:r>
            <w:r>
              <w:rPr>
                <w:rFonts w:ascii="Arial" w:hAnsi="Arial" w:cs="Arial"/>
                <w:b/>
                <w:bCs/>
                <w:sz w:val="20"/>
                <w:szCs w:val="20"/>
                <w:lang w:val="es-ES_tradnl"/>
              </w:rPr>
              <w:t xml:space="preserve"> </w:t>
            </w:r>
            <w:r w:rsidR="00A40233" w:rsidRPr="006906C8">
              <w:rPr>
                <w:rFonts w:ascii="Arial" w:hAnsi="Arial" w:cs="Arial"/>
                <w:b/>
                <w:bCs/>
                <w:sz w:val="20"/>
                <w:szCs w:val="20"/>
                <w:lang w:val="es-ES_tradnl"/>
              </w:rPr>
              <w:t>Apoyo a la confiabilidad del abastecimiento eléctrico del SIN</w:t>
            </w:r>
          </w:p>
        </w:tc>
      </w:tr>
      <w:tr w:rsidR="00855594" w:rsidRPr="003006F8" w14:paraId="7A32C936" w14:textId="77777777" w:rsidTr="006906C8">
        <w:trPr>
          <w:trHeight w:val="325"/>
          <w:jc w:val="center"/>
        </w:trPr>
        <w:tc>
          <w:tcPr>
            <w:tcW w:w="14170" w:type="dxa"/>
            <w:gridSpan w:val="10"/>
            <w:shd w:val="clear" w:color="auto" w:fill="C6D9F1" w:themeFill="text2" w:themeFillTint="33"/>
          </w:tcPr>
          <w:p w14:paraId="7A32C935" w14:textId="251D5B7A" w:rsidR="00A40233" w:rsidRPr="00855594" w:rsidRDefault="00A40233" w:rsidP="00643A30">
            <w:pPr>
              <w:spacing w:after="0" w:line="240" w:lineRule="auto"/>
              <w:ind w:left="351" w:hanging="193"/>
              <w:rPr>
                <w:rFonts w:ascii="Arial" w:hAnsi="Arial" w:cs="Arial"/>
                <w:b/>
                <w:bCs/>
                <w:sz w:val="20"/>
                <w:szCs w:val="20"/>
                <w:lang w:val="es-ES_tradnl"/>
              </w:rPr>
            </w:pPr>
            <w:r w:rsidRPr="00855594">
              <w:rPr>
                <w:rFonts w:ascii="Arial" w:hAnsi="Arial" w:cs="Arial"/>
                <w:b/>
                <w:bCs/>
                <w:sz w:val="20"/>
                <w:szCs w:val="20"/>
                <w:lang w:val="es-ES_tradnl"/>
              </w:rPr>
              <w:t>2.1</w:t>
            </w:r>
            <w:r w:rsidRPr="00855594">
              <w:rPr>
                <w:rFonts w:ascii="Arial" w:eastAsia="Times New Roman" w:hAnsi="Arial" w:cs="Arial"/>
                <w:b/>
                <w:lang w:val="es-ES_tradnl"/>
              </w:rPr>
              <w:t xml:space="preserve"> </w:t>
            </w:r>
            <w:r w:rsidRPr="00855594">
              <w:rPr>
                <w:rFonts w:ascii="Arial" w:hAnsi="Arial" w:cs="Arial"/>
                <w:b/>
                <w:bCs/>
                <w:sz w:val="20"/>
                <w:szCs w:val="20"/>
                <w:lang w:val="es-ES_tradnl"/>
              </w:rPr>
              <w:t>Apoyo a la diversificación de la matriz energética y a la integración eléctrica regional</w:t>
            </w:r>
          </w:p>
        </w:tc>
      </w:tr>
      <w:tr w:rsidR="00855594" w:rsidRPr="003006F8" w14:paraId="7A32C93E" w14:textId="77777777" w:rsidTr="00DF40E6">
        <w:trPr>
          <w:trHeight w:val="188"/>
          <w:jc w:val="center"/>
        </w:trPr>
        <w:tc>
          <w:tcPr>
            <w:tcW w:w="2065" w:type="dxa"/>
            <w:vAlign w:val="center"/>
          </w:tcPr>
          <w:p w14:paraId="7A32C937" w14:textId="77777777" w:rsidR="00EF76C5" w:rsidRPr="00855594" w:rsidRDefault="00EF76C5" w:rsidP="009C0A92">
            <w:pPr>
              <w:spacing w:before="60" w:after="0" w:line="240" w:lineRule="auto"/>
              <w:ind w:left="338" w:hanging="338"/>
              <w:rPr>
                <w:rFonts w:ascii="Arial" w:hAnsi="Arial" w:cs="Arial"/>
                <w:sz w:val="20"/>
                <w:szCs w:val="20"/>
                <w:lang w:val="es-ES_tradnl"/>
              </w:rPr>
            </w:pPr>
            <w:r w:rsidRPr="00855594">
              <w:rPr>
                <w:rFonts w:ascii="Arial" w:hAnsi="Arial" w:cs="Arial"/>
                <w:sz w:val="20"/>
                <w:szCs w:val="20"/>
                <w:lang w:val="es-ES_tradnl"/>
              </w:rPr>
              <w:t>2.1 Capacidad instalada en FNCER en el SIN</w:t>
            </w:r>
          </w:p>
        </w:tc>
        <w:tc>
          <w:tcPr>
            <w:tcW w:w="1080" w:type="dxa"/>
            <w:vAlign w:val="center"/>
          </w:tcPr>
          <w:p w14:paraId="7A32C938" w14:textId="77777777" w:rsidR="00EF76C5" w:rsidRPr="00855594" w:rsidRDefault="00EF76C5" w:rsidP="00EF76C5">
            <w:pPr>
              <w:spacing w:before="60" w:after="0" w:line="240" w:lineRule="auto"/>
              <w:jc w:val="center"/>
              <w:rPr>
                <w:rFonts w:ascii="Arial" w:hAnsi="Arial" w:cs="Arial"/>
                <w:sz w:val="20"/>
                <w:szCs w:val="20"/>
                <w:lang w:val="es-CO"/>
              </w:rPr>
            </w:pPr>
            <w:r w:rsidRPr="00855594">
              <w:rPr>
                <w:rFonts w:ascii="Arial" w:hAnsi="Arial" w:cs="Arial"/>
                <w:sz w:val="20"/>
                <w:szCs w:val="20"/>
                <w:lang w:val="es-ES_tradnl"/>
              </w:rPr>
              <w:t>Capacidad</w:t>
            </w:r>
            <w:r w:rsidRPr="00855594">
              <w:rPr>
                <w:rFonts w:ascii="Arial" w:hAnsi="Arial" w:cs="Arial"/>
                <w:sz w:val="20"/>
                <w:szCs w:val="20"/>
                <w:lang w:val="es-CO"/>
              </w:rPr>
              <w:t xml:space="preserve"> Instalada (MW)</w:t>
            </w:r>
          </w:p>
        </w:tc>
        <w:tc>
          <w:tcPr>
            <w:tcW w:w="990" w:type="dxa"/>
            <w:vAlign w:val="center"/>
          </w:tcPr>
          <w:p w14:paraId="7A32C939" w14:textId="3687CED1" w:rsidR="00EF76C5" w:rsidRPr="006906C8" w:rsidRDefault="00EF76C5" w:rsidP="006906C8">
            <w:pPr>
              <w:spacing w:after="0" w:line="240" w:lineRule="auto"/>
              <w:jc w:val="center"/>
              <w:rPr>
                <w:rFonts w:ascii="Arial" w:hAnsi="Arial" w:cs="Arial"/>
                <w:sz w:val="20"/>
                <w:szCs w:val="20"/>
              </w:rPr>
            </w:pPr>
            <w:r w:rsidRPr="00855594">
              <w:rPr>
                <w:rFonts w:ascii="Arial" w:hAnsi="Arial" w:cs="Arial"/>
                <w:sz w:val="20"/>
                <w:szCs w:val="20"/>
              </w:rPr>
              <w:t>95</w:t>
            </w:r>
            <w:r w:rsidR="30D43F71" w:rsidRPr="00855594">
              <w:rPr>
                <w:rFonts w:ascii="Arial" w:hAnsi="Arial" w:cs="Arial"/>
                <w:sz w:val="20"/>
                <w:szCs w:val="20"/>
              </w:rPr>
              <w:t>,</w:t>
            </w:r>
            <w:r w:rsidRPr="00855594">
              <w:rPr>
                <w:rFonts w:ascii="Arial" w:hAnsi="Arial" w:cs="Arial"/>
                <w:sz w:val="20"/>
                <w:szCs w:val="20"/>
              </w:rPr>
              <w:t>7</w:t>
            </w:r>
          </w:p>
        </w:tc>
        <w:tc>
          <w:tcPr>
            <w:tcW w:w="1194" w:type="dxa"/>
            <w:vAlign w:val="center"/>
          </w:tcPr>
          <w:p w14:paraId="7A32C93A" w14:textId="1315EFC9" w:rsidR="00EF76C5" w:rsidRPr="00855594" w:rsidRDefault="00EF76C5" w:rsidP="00EF76C5">
            <w:pPr>
              <w:spacing w:after="0" w:line="240" w:lineRule="auto"/>
              <w:jc w:val="center"/>
              <w:rPr>
                <w:rFonts w:ascii="Arial" w:hAnsi="Arial" w:cs="Arial"/>
                <w:sz w:val="20"/>
                <w:szCs w:val="20"/>
                <w:highlight w:val="yellow"/>
              </w:rPr>
            </w:pPr>
            <w:r w:rsidRPr="00855594">
              <w:rPr>
                <w:rFonts w:ascii="Arial" w:hAnsi="Arial" w:cs="Arial"/>
                <w:sz w:val="20"/>
                <w:szCs w:val="20"/>
              </w:rPr>
              <w:t>204</w:t>
            </w:r>
            <w:r w:rsidR="30D43F71" w:rsidRPr="00855594">
              <w:rPr>
                <w:rFonts w:ascii="Arial" w:hAnsi="Arial" w:cs="Arial"/>
                <w:sz w:val="20"/>
                <w:szCs w:val="20"/>
              </w:rPr>
              <w:t>,</w:t>
            </w:r>
            <w:r w:rsidRPr="00855594">
              <w:rPr>
                <w:rFonts w:ascii="Arial" w:hAnsi="Arial" w:cs="Arial"/>
                <w:sz w:val="20"/>
                <w:szCs w:val="20"/>
              </w:rPr>
              <w:t>82</w:t>
            </w:r>
          </w:p>
        </w:tc>
        <w:tc>
          <w:tcPr>
            <w:tcW w:w="1425" w:type="dxa"/>
            <w:vAlign w:val="center"/>
          </w:tcPr>
          <w:p w14:paraId="56687F5C" w14:textId="5C0B0096" w:rsidR="00EF76C5" w:rsidRPr="00855594" w:rsidRDefault="00001CF3" w:rsidP="00EF76C5">
            <w:pPr>
              <w:spacing w:after="0" w:line="240" w:lineRule="auto"/>
              <w:jc w:val="center"/>
              <w:rPr>
                <w:rFonts w:ascii="Arial" w:hAnsi="Arial" w:cs="Arial"/>
                <w:sz w:val="20"/>
                <w:szCs w:val="20"/>
              </w:rPr>
            </w:pPr>
            <w:r w:rsidRPr="00855594">
              <w:rPr>
                <w:rFonts w:ascii="Arial" w:eastAsia="Times New Roman" w:hAnsi="Arial" w:cs="Arial"/>
                <w:sz w:val="20"/>
                <w:lang w:val="es-ES_tradnl" w:eastAsia="es-CO"/>
              </w:rPr>
              <w:t>146,9</w:t>
            </w:r>
          </w:p>
        </w:tc>
        <w:tc>
          <w:tcPr>
            <w:tcW w:w="1425" w:type="dxa"/>
            <w:vAlign w:val="center"/>
          </w:tcPr>
          <w:p w14:paraId="7B823A08" w14:textId="3EBD5CF5" w:rsidR="00EF76C5" w:rsidRPr="006906C8" w:rsidRDefault="2950D66F" w:rsidP="006906C8">
            <w:pPr>
              <w:spacing w:after="0" w:line="240" w:lineRule="auto"/>
              <w:jc w:val="center"/>
              <w:rPr>
                <w:rFonts w:ascii="Arial" w:eastAsia="Times New Roman" w:hAnsi="Arial" w:cs="Arial"/>
                <w:sz w:val="20"/>
                <w:szCs w:val="20"/>
                <w:lang w:eastAsia="es-CO"/>
              </w:rPr>
            </w:pPr>
            <w:r w:rsidRPr="006906C8">
              <w:rPr>
                <w:rFonts w:ascii="Arial" w:eastAsia="Times New Roman" w:hAnsi="Arial" w:cs="Arial"/>
                <w:sz w:val="20"/>
                <w:szCs w:val="20"/>
                <w:lang w:eastAsia="es-CO"/>
              </w:rPr>
              <w:t>2</w:t>
            </w:r>
            <w:r w:rsidR="6758D56B" w:rsidRPr="006906C8">
              <w:rPr>
                <w:rFonts w:ascii="Arial" w:eastAsia="Times New Roman" w:hAnsi="Arial" w:cs="Arial"/>
                <w:sz w:val="20"/>
                <w:szCs w:val="20"/>
                <w:lang w:eastAsia="es-CO"/>
              </w:rPr>
              <w:t>50,0</w:t>
            </w:r>
          </w:p>
        </w:tc>
        <w:tc>
          <w:tcPr>
            <w:tcW w:w="1425" w:type="dxa"/>
            <w:vAlign w:val="center"/>
          </w:tcPr>
          <w:p w14:paraId="7A32C93B" w14:textId="4B9CACEA" w:rsidR="00EF76C5" w:rsidRPr="006906C8" w:rsidRDefault="25FD546E" w:rsidP="006906C8">
            <w:pPr>
              <w:spacing w:after="0" w:line="240" w:lineRule="auto"/>
              <w:jc w:val="center"/>
              <w:rPr>
                <w:rFonts w:ascii="Arial" w:hAnsi="Arial" w:cs="Arial"/>
                <w:sz w:val="20"/>
                <w:szCs w:val="20"/>
                <w:highlight w:val="yellow"/>
              </w:rPr>
            </w:pPr>
            <w:r w:rsidRPr="006906C8">
              <w:rPr>
                <w:rFonts w:ascii="Arial" w:hAnsi="Arial" w:cs="Arial"/>
                <w:sz w:val="20"/>
                <w:szCs w:val="20"/>
              </w:rPr>
              <w:t>984</w:t>
            </w:r>
            <w:r w:rsidR="529832CA" w:rsidRPr="006906C8">
              <w:rPr>
                <w:rFonts w:ascii="Arial" w:hAnsi="Arial" w:cs="Arial"/>
                <w:sz w:val="20"/>
                <w:szCs w:val="20"/>
              </w:rPr>
              <w:t>,</w:t>
            </w:r>
            <w:r w:rsidRPr="006906C8">
              <w:rPr>
                <w:rFonts w:ascii="Arial" w:hAnsi="Arial" w:cs="Arial"/>
                <w:sz w:val="20"/>
                <w:szCs w:val="20"/>
              </w:rPr>
              <w:t>4</w:t>
            </w:r>
          </w:p>
        </w:tc>
        <w:tc>
          <w:tcPr>
            <w:tcW w:w="1363" w:type="dxa"/>
            <w:vAlign w:val="center"/>
          </w:tcPr>
          <w:p w14:paraId="04987C19" w14:textId="54A25E01" w:rsidR="00EF76C5" w:rsidRPr="006906C8" w:rsidRDefault="2442F0AF" w:rsidP="006906C8">
            <w:pPr>
              <w:spacing w:after="0" w:line="240" w:lineRule="auto"/>
              <w:jc w:val="center"/>
              <w:rPr>
                <w:rFonts w:ascii="Arial" w:eastAsia="Times New Roman" w:hAnsi="Arial" w:cs="Arial"/>
                <w:sz w:val="20"/>
                <w:szCs w:val="20"/>
                <w:lang w:eastAsia="es-CO"/>
              </w:rPr>
            </w:pPr>
            <w:r w:rsidRPr="006906C8">
              <w:rPr>
                <w:rFonts w:ascii="Arial" w:eastAsia="Times New Roman" w:hAnsi="Arial" w:cs="Arial"/>
                <w:sz w:val="20"/>
                <w:szCs w:val="20"/>
                <w:lang w:eastAsia="es-CO"/>
              </w:rPr>
              <w:t>400</w:t>
            </w:r>
            <w:r w:rsidR="529832CA" w:rsidRPr="006906C8">
              <w:rPr>
                <w:rFonts w:ascii="Arial" w:eastAsia="Times New Roman" w:hAnsi="Arial" w:cs="Arial"/>
                <w:sz w:val="20"/>
                <w:szCs w:val="20"/>
                <w:lang w:eastAsia="es-CO"/>
              </w:rPr>
              <w:t>,0</w:t>
            </w:r>
          </w:p>
        </w:tc>
        <w:tc>
          <w:tcPr>
            <w:tcW w:w="1538" w:type="dxa"/>
            <w:vAlign w:val="center"/>
          </w:tcPr>
          <w:p w14:paraId="133CEA8B" w14:textId="77777777" w:rsidR="00EF76C5" w:rsidRPr="006906C8" w:rsidRDefault="00EF76C5" w:rsidP="00EF76C5">
            <w:pPr>
              <w:spacing w:after="0" w:line="240" w:lineRule="auto"/>
              <w:rPr>
                <w:rFonts w:ascii="Arial" w:hAnsi="Arial" w:cs="Arial"/>
                <w:sz w:val="20"/>
                <w:szCs w:val="20"/>
                <w:lang w:val="es-ES_tradnl" w:eastAsia="es-ES"/>
              </w:rPr>
            </w:pPr>
            <w:r w:rsidRPr="006906C8">
              <w:rPr>
                <w:rFonts w:ascii="Arial" w:hAnsi="Arial" w:cs="Arial"/>
                <w:sz w:val="20"/>
                <w:szCs w:val="20"/>
                <w:lang w:val="es-ES_tradnl" w:eastAsia="es-ES"/>
              </w:rPr>
              <w:t xml:space="preserve">Fuente dato 2017: </w:t>
            </w:r>
            <w:proofErr w:type="spellStart"/>
            <w:r w:rsidRPr="006906C8">
              <w:rPr>
                <w:rFonts w:ascii="Arial" w:hAnsi="Arial" w:cs="Arial"/>
                <w:sz w:val="20"/>
                <w:szCs w:val="20"/>
                <w:lang w:val="es-ES_tradnl" w:eastAsia="es-ES"/>
              </w:rPr>
              <w:t>Paratec</w:t>
            </w:r>
            <w:proofErr w:type="spellEnd"/>
            <w:r w:rsidRPr="006906C8">
              <w:rPr>
                <w:rFonts w:ascii="Arial" w:hAnsi="Arial" w:cs="Arial"/>
                <w:sz w:val="20"/>
                <w:szCs w:val="20"/>
                <w:lang w:val="es-ES_tradnl" w:eastAsia="es-ES"/>
              </w:rPr>
              <w:t xml:space="preserve"> XM</w:t>
            </w:r>
          </w:p>
          <w:p w14:paraId="22FE8DCC" w14:textId="77777777" w:rsidR="00EF76C5" w:rsidRPr="006906C8" w:rsidRDefault="00EF76C5" w:rsidP="00EF76C5">
            <w:pPr>
              <w:spacing w:after="0" w:line="240" w:lineRule="auto"/>
              <w:rPr>
                <w:rFonts w:ascii="Arial" w:hAnsi="Arial" w:cs="Arial"/>
                <w:sz w:val="20"/>
                <w:szCs w:val="20"/>
                <w:lang w:val="es-ES_tradnl" w:eastAsia="es-ES"/>
              </w:rPr>
            </w:pPr>
          </w:p>
          <w:p w14:paraId="7A32C93C" w14:textId="53B7B327" w:rsidR="00EF76C5" w:rsidRPr="006906C8" w:rsidRDefault="2B32B3CA"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Fuente datos 2019 y 2020: Plan Indicativo de Expansión Generación -Transmisión UPME 2017 (Escenario 4A) ajustado con los proyectos en construcción a finales del 2018.</w:t>
            </w:r>
          </w:p>
        </w:tc>
        <w:tc>
          <w:tcPr>
            <w:tcW w:w="1665" w:type="dxa"/>
            <w:shd w:val="clear" w:color="auto" w:fill="auto"/>
            <w:vAlign w:val="center"/>
          </w:tcPr>
          <w:p w14:paraId="7A32C93D" w14:textId="414F7633" w:rsidR="00EF76C5" w:rsidRPr="00855594" w:rsidRDefault="00EF76C5" w:rsidP="00001CF3">
            <w:pPr>
              <w:spacing w:after="0"/>
              <w:rPr>
                <w:rFonts w:ascii="Arial" w:eastAsia="Times New Roman" w:hAnsi="Arial" w:cs="Arial"/>
                <w:sz w:val="20"/>
                <w:lang w:val="es-ES_tradnl" w:eastAsia="es-CO"/>
              </w:rPr>
            </w:pPr>
            <w:r w:rsidRPr="00855594">
              <w:rPr>
                <w:rFonts w:ascii="Arial" w:eastAsia="Times New Roman" w:hAnsi="Arial" w:cs="Arial"/>
                <w:sz w:val="20"/>
                <w:lang w:val="es-ES_tradnl" w:eastAsia="es-CO"/>
              </w:rPr>
              <w:t>El indicador ha presentado un avance positivo en su meta para el 2017. A 2017 la capacidad instalada de las fuentes no convencionales de energía renovable, alcanzaron 146,9 MW, superando en un 35% la meta establecida.</w:t>
            </w:r>
          </w:p>
        </w:tc>
      </w:tr>
      <w:tr w:rsidR="00855594" w:rsidRPr="003006F8" w14:paraId="7A32C946" w14:textId="77777777" w:rsidTr="00DF40E6">
        <w:trPr>
          <w:trHeight w:val="638"/>
          <w:jc w:val="center"/>
        </w:trPr>
        <w:tc>
          <w:tcPr>
            <w:tcW w:w="2065" w:type="dxa"/>
            <w:vAlign w:val="center"/>
          </w:tcPr>
          <w:p w14:paraId="7A32C93F" w14:textId="77777777" w:rsidR="00EF76C5" w:rsidRPr="00855594" w:rsidRDefault="00EF76C5" w:rsidP="009C0A92">
            <w:pPr>
              <w:pStyle w:val="ListParagraph"/>
              <w:spacing w:before="60" w:after="0" w:line="240" w:lineRule="auto"/>
              <w:ind w:left="338" w:hanging="338"/>
              <w:contextualSpacing w:val="0"/>
              <w:rPr>
                <w:rFonts w:ascii="Arial" w:hAnsi="Arial" w:cs="Arial"/>
                <w:sz w:val="20"/>
                <w:szCs w:val="20"/>
                <w:lang w:val="es-BO"/>
              </w:rPr>
            </w:pPr>
            <w:r w:rsidRPr="00855594">
              <w:rPr>
                <w:rFonts w:ascii="Arial" w:hAnsi="Arial" w:cs="Arial"/>
                <w:sz w:val="20"/>
                <w:szCs w:val="20"/>
                <w:lang w:val="es-BO"/>
              </w:rPr>
              <w:t>2.2 Capacidad Efectiva Neta de Cogeneración</w:t>
            </w:r>
            <w:r w:rsidRPr="00855594">
              <w:rPr>
                <w:rFonts w:ascii="Arial" w:hAnsi="Arial" w:cs="Arial"/>
                <w:sz w:val="20"/>
                <w:szCs w:val="20"/>
                <w:lang w:val="es-ES_tradnl"/>
              </w:rPr>
              <w:t xml:space="preserve"> a gran escala al Sistema Interconectado Nacional (SIN).</w:t>
            </w:r>
          </w:p>
        </w:tc>
        <w:tc>
          <w:tcPr>
            <w:tcW w:w="1080" w:type="dxa"/>
            <w:vAlign w:val="center"/>
          </w:tcPr>
          <w:p w14:paraId="7A32C940" w14:textId="77777777" w:rsidR="00EF76C5" w:rsidRPr="00855594" w:rsidRDefault="00EF76C5" w:rsidP="00EF76C5">
            <w:pPr>
              <w:spacing w:after="0" w:line="240" w:lineRule="auto"/>
              <w:jc w:val="center"/>
              <w:rPr>
                <w:rFonts w:ascii="Arial" w:hAnsi="Arial" w:cs="Arial"/>
                <w:sz w:val="20"/>
                <w:szCs w:val="20"/>
                <w:lang w:val="es-BO"/>
              </w:rPr>
            </w:pPr>
            <w:r w:rsidRPr="00855594">
              <w:rPr>
                <w:rFonts w:ascii="Arial" w:hAnsi="Arial" w:cs="Arial"/>
                <w:sz w:val="20"/>
                <w:szCs w:val="20"/>
                <w:lang w:val="es-ES_tradnl"/>
              </w:rPr>
              <w:t>MW</w:t>
            </w:r>
          </w:p>
        </w:tc>
        <w:tc>
          <w:tcPr>
            <w:tcW w:w="990" w:type="dxa"/>
            <w:vAlign w:val="center"/>
          </w:tcPr>
          <w:p w14:paraId="7A32C941" w14:textId="77777777" w:rsidR="00EF76C5" w:rsidRPr="006906C8" w:rsidRDefault="00EF76C5"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86.6</w:t>
            </w:r>
          </w:p>
        </w:tc>
        <w:tc>
          <w:tcPr>
            <w:tcW w:w="1194" w:type="dxa"/>
            <w:vAlign w:val="center"/>
          </w:tcPr>
          <w:p w14:paraId="7A32C942" w14:textId="77777777" w:rsidR="00EF76C5" w:rsidRPr="00855594" w:rsidRDefault="00EF76C5" w:rsidP="00EF76C5">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105.1</w:t>
            </w:r>
          </w:p>
        </w:tc>
        <w:tc>
          <w:tcPr>
            <w:tcW w:w="1425" w:type="dxa"/>
            <w:vAlign w:val="center"/>
          </w:tcPr>
          <w:p w14:paraId="2726859E" w14:textId="29B34FF2" w:rsidR="00EF76C5" w:rsidRPr="00855594" w:rsidRDefault="00001CF3" w:rsidP="00EF76C5">
            <w:pPr>
              <w:spacing w:after="0" w:line="240" w:lineRule="auto"/>
              <w:jc w:val="center"/>
              <w:rPr>
                <w:rFonts w:ascii="Arial" w:hAnsi="Arial" w:cs="Arial"/>
                <w:sz w:val="20"/>
                <w:szCs w:val="20"/>
                <w:lang w:val="es-ES_tradnl"/>
              </w:rPr>
            </w:pPr>
            <w:r w:rsidRPr="00855594">
              <w:rPr>
                <w:rFonts w:ascii="Arial" w:hAnsi="Arial"/>
                <w:sz w:val="20"/>
                <w:szCs w:val="20"/>
                <w:lang w:val="es-BO"/>
              </w:rPr>
              <w:t>113,1</w:t>
            </w:r>
          </w:p>
        </w:tc>
        <w:tc>
          <w:tcPr>
            <w:tcW w:w="1425" w:type="dxa"/>
            <w:vAlign w:val="center"/>
          </w:tcPr>
          <w:p w14:paraId="6CFFEA62" w14:textId="08C9000D" w:rsidR="00EF76C5" w:rsidRPr="00855594" w:rsidRDefault="00EF76C5" w:rsidP="00EF76C5">
            <w:pPr>
              <w:spacing w:after="0" w:line="240" w:lineRule="auto"/>
              <w:jc w:val="center"/>
              <w:rPr>
                <w:rFonts w:ascii="Arial" w:hAnsi="Arial" w:cs="Arial"/>
                <w:sz w:val="20"/>
                <w:szCs w:val="20"/>
                <w:lang w:val="es-ES_tradnl"/>
              </w:rPr>
            </w:pPr>
            <w:r w:rsidRPr="00855594">
              <w:rPr>
                <w:rFonts w:ascii="Arial" w:eastAsia="Times New Roman" w:hAnsi="Arial" w:cs="Arial"/>
                <w:sz w:val="20"/>
                <w:szCs w:val="20"/>
                <w:lang w:eastAsia="es-CO"/>
              </w:rPr>
              <w:t>210</w:t>
            </w:r>
          </w:p>
        </w:tc>
        <w:tc>
          <w:tcPr>
            <w:tcW w:w="1425" w:type="dxa"/>
            <w:vAlign w:val="center"/>
          </w:tcPr>
          <w:p w14:paraId="7A32C943" w14:textId="4DF938AC" w:rsidR="00EF76C5" w:rsidRPr="006906C8" w:rsidRDefault="00EF76C5"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285</w:t>
            </w:r>
          </w:p>
        </w:tc>
        <w:tc>
          <w:tcPr>
            <w:tcW w:w="1363" w:type="dxa"/>
            <w:vAlign w:val="center"/>
          </w:tcPr>
          <w:p w14:paraId="13E41A58" w14:textId="50F34EF7" w:rsidR="00EF76C5" w:rsidRPr="00855594" w:rsidRDefault="00EF76C5" w:rsidP="00EF76C5">
            <w:pPr>
              <w:spacing w:after="0" w:line="240" w:lineRule="auto"/>
              <w:jc w:val="center"/>
              <w:rPr>
                <w:rFonts w:ascii="Arial" w:hAnsi="Arial" w:cs="Arial"/>
                <w:sz w:val="20"/>
                <w:szCs w:val="20"/>
                <w:lang w:val="es-ES_tradnl"/>
              </w:rPr>
            </w:pPr>
            <w:r w:rsidRPr="00855594">
              <w:rPr>
                <w:rFonts w:ascii="Arial" w:eastAsia="Times New Roman" w:hAnsi="Arial" w:cs="Arial"/>
                <w:sz w:val="20"/>
                <w:szCs w:val="20"/>
                <w:lang w:val="es-ES" w:eastAsia="es-CO"/>
              </w:rPr>
              <w:t>290</w:t>
            </w:r>
          </w:p>
        </w:tc>
        <w:tc>
          <w:tcPr>
            <w:tcW w:w="1538" w:type="dxa"/>
            <w:vAlign w:val="center"/>
          </w:tcPr>
          <w:p w14:paraId="7A32C944" w14:textId="68DD7BD2" w:rsidR="00EF76C5" w:rsidRPr="00855594" w:rsidRDefault="00EF76C5" w:rsidP="00EF76C5">
            <w:pPr>
              <w:spacing w:after="0" w:line="240" w:lineRule="auto"/>
              <w:jc w:val="center"/>
              <w:rPr>
                <w:rFonts w:ascii="Arial" w:hAnsi="Arial" w:cs="Arial"/>
                <w:sz w:val="20"/>
                <w:szCs w:val="20"/>
                <w:lang w:val="es-BO"/>
              </w:rPr>
            </w:pPr>
            <w:r w:rsidRPr="00855594">
              <w:rPr>
                <w:rFonts w:ascii="Arial" w:hAnsi="Arial" w:cs="Arial"/>
                <w:sz w:val="20"/>
                <w:szCs w:val="20"/>
                <w:lang w:val="es-ES_tradnl"/>
              </w:rPr>
              <w:t>Informe Anual de operación del Mercado de Energía XM</w:t>
            </w:r>
          </w:p>
        </w:tc>
        <w:tc>
          <w:tcPr>
            <w:tcW w:w="1665" w:type="dxa"/>
          </w:tcPr>
          <w:p w14:paraId="7A32C945" w14:textId="1C919F03" w:rsidR="00EF76C5" w:rsidRPr="00855594" w:rsidRDefault="00EF76C5" w:rsidP="00001CF3">
            <w:pPr>
              <w:spacing w:after="0"/>
              <w:jc w:val="both"/>
              <w:rPr>
                <w:rFonts w:ascii="Arial" w:hAnsi="Arial"/>
                <w:sz w:val="20"/>
                <w:szCs w:val="20"/>
                <w:lang w:val="es-BO"/>
              </w:rPr>
            </w:pPr>
            <w:r w:rsidRPr="00855594">
              <w:rPr>
                <w:rFonts w:ascii="Arial" w:hAnsi="Arial"/>
                <w:sz w:val="20"/>
                <w:szCs w:val="20"/>
                <w:lang w:val="es-BO"/>
              </w:rPr>
              <w:t>En este indicador el avance ha sido importante. Según reporte</w:t>
            </w:r>
            <w:r w:rsidRPr="00855594">
              <w:rPr>
                <w:rStyle w:val="FootnoteReference"/>
                <w:rFonts w:ascii="Arial" w:hAnsi="Arial"/>
                <w:sz w:val="20"/>
                <w:szCs w:val="20"/>
                <w:lang w:val="es-BO"/>
              </w:rPr>
              <w:footnoteReference w:id="5"/>
            </w:r>
            <w:r w:rsidRPr="00855594">
              <w:rPr>
                <w:rFonts w:ascii="Arial" w:hAnsi="Arial"/>
                <w:sz w:val="20"/>
                <w:szCs w:val="20"/>
                <w:lang w:val="es-BO"/>
              </w:rPr>
              <w:t xml:space="preserve"> a 7 de diciembre de XM la capacidad neta de </w:t>
            </w:r>
            <w:r w:rsidRPr="00855594">
              <w:rPr>
                <w:rFonts w:ascii="Arial" w:hAnsi="Arial"/>
                <w:sz w:val="20"/>
                <w:szCs w:val="20"/>
                <w:lang w:val="es-BO"/>
              </w:rPr>
              <w:lastRenderedPageBreak/>
              <w:t>cogeneración es de 113,1 MW, superando la meta establecida en un 8%.</w:t>
            </w:r>
          </w:p>
        </w:tc>
      </w:tr>
      <w:tr w:rsidR="00855594" w:rsidRPr="003006F8" w14:paraId="7A32C94E" w14:textId="77777777" w:rsidTr="00DF40E6">
        <w:trPr>
          <w:trHeight w:val="253"/>
          <w:jc w:val="center"/>
        </w:trPr>
        <w:tc>
          <w:tcPr>
            <w:tcW w:w="2065" w:type="dxa"/>
            <w:vAlign w:val="center"/>
          </w:tcPr>
          <w:p w14:paraId="7A32C947" w14:textId="77777777" w:rsidR="00EF76C5" w:rsidRPr="00855594" w:rsidRDefault="00EF76C5" w:rsidP="00796D4A">
            <w:pPr>
              <w:pStyle w:val="ListParagraph"/>
              <w:spacing w:before="60" w:after="0" w:line="240" w:lineRule="auto"/>
              <w:ind w:left="340" w:hanging="340"/>
              <w:contextualSpacing w:val="0"/>
              <w:rPr>
                <w:rFonts w:ascii="Arial" w:hAnsi="Arial" w:cs="Arial"/>
                <w:sz w:val="20"/>
                <w:szCs w:val="20"/>
                <w:lang w:val="es-BO"/>
              </w:rPr>
            </w:pPr>
            <w:r w:rsidRPr="00855594">
              <w:rPr>
                <w:rFonts w:ascii="Arial" w:hAnsi="Arial" w:cs="Arial"/>
                <w:sz w:val="20"/>
                <w:szCs w:val="20"/>
                <w:lang w:val="es-BO"/>
              </w:rPr>
              <w:lastRenderedPageBreak/>
              <w:t>2.3 Volumen energía eléctrica transada binacionalmente con Ecuador por año</w:t>
            </w:r>
            <w:r w:rsidRPr="00855594">
              <w:t xml:space="preserve"> (</w:t>
            </w:r>
            <w:r w:rsidRPr="00855594">
              <w:rPr>
                <w:rFonts w:ascii="Arial" w:hAnsi="Arial" w:cs="Arial"/>
                <w:sz w:val="20"/>
                <w:szCs w:val="20"/>
                <w:lang w:val="es-BO"/>
              </w:rPr>
              <w:t xml:space="preserve">Exportaciones e Importaciones de Energía con Ecuador) </w:t>
            </w:r>
          </w:p>
        </w:tc>
        <w:tc>
          <w:tcPr>
            <w:tcW w:w="1080" w:type="dxa"/>
            <w:vAlign w:val="center"/>
          </w:tcPr>
          <w:p w14:paraId="7A32C948" w14:textId="77777777" w:rsidR="00EF76C5" w:rsidRPr="00855594" w:rsidRDefault="00EF76C5" w:rsidP="00EF76C5">
            <w:pPr>
              <w:spacing w:after="0" w:line="240" w:lineRule="auto"/>
              <w:jc w:val="center"/>
              <w:rPr>
                <w:rFonts w:ascii="Arial" w:hAnsi="Arial" w:cs="Arial"/>
                <w:sz w:val="20"/>
                <w:szCs w:val="20"/>
                <w:lang w:eastAsia="zh-CN"/>
              </w:rPr>
            </w:pPr>
            <w:r w:rsidRPr="00855594">
              <w:rPr>
                <w:rFonts w:ascii="Arial" w:hAnsi="Arial" w:cs="Arial"/>
                <w:sz w:val="20"/>
                <w:szCs w:val="20"/>
                <w:lang w:eastAsia="zh-CN"/>
              </w:rPr>
              <w:t>GWh/</w:t>
            </w:r>
            <w:proofErr w:type="spellStart"/>
            <w:r w:rsidRPr="00855594">
              <w:rPr>
                <w:rFonts w:ascii="Arial" w:hAnsi="Arial" w:cs="Arial"/>
                <w:sz w:val="20"/>
                <w:szCs w:val="20"/>
                <w:lang w:eastAsia="zh-CN"/>
              </w:rPr>
              <w:t>año</w:t>
            </w:r>
            <w:proofErr w:type="spellEnd"/>
          </w:p>
        </w:tc>
        <w:tc>
          <w:tcPr>
            <w:tcW w:w="990" w:type="dxa"/>
            <w:vAlign w:val="center"/>
          </w:tcPr>
          <w:p w14:paraId="7A32C949" w14:textId="77777777" w:rsidR="00EF76C5" w:rsidRPr="006906C8" w:rsidRDefault="00EF76C5"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502.4</w:t>
            </w:r>
          </w:p>
        </w:tc>
        <w:tc>
          <w:tcPr>
            <w:tcW w:w="1194" w:type="dxa"/>
            <w:vAlign w:val="center"/>
          </w:tcPr>
          <w:p w14:paraId="7A32C94A" w14:textId="77777777" w:rsidR="00EF76C5" w:rsidRPr="00855594" w:rsidRDefault="00EF76C5" w:rsidP="00EF76C5">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3.498,8</w:t>
            </w:r>
          </w:p>
        </w:tc>
        <w:tc>
          <w:tcPr>
            <w:tcW w:w="1425" w:type="dxa"/>
            <w:vAlign w:val="center"/>
          </w:tcPr>
          <w:p w14:paraId="480330CE" w14:textId="4977A317" w:rsidR="00EF76C5" w:rsidRPr="00855594" w:rsidRDefault="00EF76C5" w:rsidP="00EF76C5">
            <w:pPr>
              <w:spacing w:after="0" w:line="240" w:lineRule="auto"/>
              <w:jc w:val="center"/>
              <w:rPr>
                <w:rFonts w:ascii="Arial" w:hAnsi="Arial" w:cs="Arial"/>
                <w:sz w:val="20"/>
                <w:szCs w:val="20"/>
                <w:lang w:val="es-ES_tradnl"/>
              </w:rPr>
            </w:pPr>
            <w:r w:rsidRPr="00855594">
              <w:rPr>
                <w:rFonts w:ascii="Arial" w:eastAsia="Times New Roman" w:hAnsi="Arial" w:cs="Arial"/>
                <w:sz w:val="20"/>
                <w:szCs w:val="20"/>
                <w:lang w:val="es-ES" w:eastAsia="es-CO"/>
              </w:rPr>
              <w:t>3.498,8</w:t>
            </w:r>
            <w:r w:rsidRPr="00855594">
              <w:rPr>
                <w:rFonts w:ascii="Arial" w:eastAsia="Times New Roman" w:hAnsi="Arial" w:cs="Arial"/>
                <w:sz w:val="20"/>
                <w:szCs w:val="20"/>
                <w:lang w:eastAsia="es-CO"/>
              </w:rPr>
              <w:t> </w:t>
            </w:r>
          </w:p>
        </w:tc>
        <w:tc>
          <w:tcPr>
            <w:tcW w:w="1425" w:type="dxa"/>
            <w:vAlign w:val="center"/>
          </w:tcPr>
          <w:p w14:paraId="2AE7DD61" w14:textId="0DB874A9" w:rsidR="00EF76C5" w:rsidRPr="00855594" w:rsidRDefault="00EF76C5" w:rsidP="00EF76C5">
            <w:pPr>
              <w:spacing w:after="0" w:line="240" w:lineRule="auto"/>
              <w:jc w:val="center"/>
              <w:rPr>
                <w:rFonts w:ascii="Arial" w:hAnsi="Arial" w:cs="Arial"/>
                <w:sz w:val="20"/>
                <w:szCs w:val="20"/>
                <w:lang w:val="es-ES_tradnl"/>
              </w:rPr>
            </w:pPr>
            <w:r w:rsidRPr="006906C8">
              <w:rPr>
                <w:rFonts w:ascii="Arial" w:hAnsi="Arial" w:cs="Arial"/>
              </w:rPr>
              <w:t>3.489</w:t>
            </w:r>
          </w:p>
        </w:tc>
        <w:tc>
          <w:tcPr>
            <w:tcW w:w="1425" w:type="dxa"/>
            <w:vAlign w:val="center"/>
          </w:tcPr>
          <w:p w14:paraId="7A32C94B" w14:textId="30CFB1E1" w:rsidR="00EF76C5" w:rsidRPr="006906C8" w:rsidRDefault="00EF76C5"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3.443.3</w:t>
            </w:r>
          </w:p>
        </w:tc>
        <w:tc>
          <w:tcPr>
            <w:tcW w:w="1363" w:type="dxa"/>
            <w:vAlign w:val="center"/>
          </w:tcPr>
          <w:p w14:paraId="38DA8D0F" w14:textId="47B36FA4" w:rsidR="00EF76C5" w:rsidRPr="00855594" w:rsidRDefault="00EF76C5" w:rsidP="00EF76C5">
            <w:pPr>
              <w:spacing w:after="0" w:line="240" w:lineRule="auto"/>
              <w:jc w:val="center"/>
              <w:rPr>
                <w:rFonts w:ascii="Arial" w:hAnsi="Arial" w:cs="Arial"/>
                <w:sz w:val="20"/>
                <w:szCs w:val="20"/>
                <w:lang w:val="es-ES_tradnl"/>
              </w:rPr>
            </w:pPr>
            <w:r w:rsidRPr="00855594">
              <w:rPr>
                <w:rFonts w:ascii="Arial" w:eastAsia="Times New Roman" w:hAnsi="Arial" w:cs="Arial"/>
                <w:sz w:val="20"/>
                <w:szCs w:val="20"/>
                <w:lang w:val="es-ES" w:eastAsia="es-CO"/>
              </w:rPr>
              <w:t>3.443.3</w:t>
            </w:r>
            <w:r w:rsidRPr="00855594">
              <w:rPr>
                <w:rFonts w:ascii="Arial" w:eastAsia="Times New Roman" w:hAnsi="Arial" w:cs="Arial"/>
                <w:sz w:val="20"/>
                <w:szCs w:val="20"/>
                <w:lang w:eastAsia="es-CO"/>
              </w:rPr>
              <w:t> </w:t>
            </w:r>
          </w:p>
        </w:tc>
        <w:tc>
          <w:tcPr>
            <w:tcW w:w="1538" w:type="dxa"/>
            <w:vAlign w:val="center"/>
          </w:tcPr>
          <w:p w14:paraId="7A32C94C" w14:textId="30D3651B" w:rsidR="00EF76C5" w:rsidRPr="00855594" w:rsidRDefault="00EF76C5" w:rsidP="00EF76C5">
            <w:pPr>
              <w:spacing w:after="0" w:line="240" w:lineRule="auto"/>
              <w:jc w:val="center"/>
              <w:rPr>
                <w:rFonts w:ascii="Arial" w:hAnsi="Arial" w:cs="Arial"/>
                <w:sz w:val="20"/>
                <w:szCs w:val="20"/>
                <w:lang w:val="es-BO"/>
              </w:rPr>
            </w:pPr>
            <w:r w:rsidRPr="00855594">
              <w:rPr>
                <w:rFonts w:ascii="Arial" w:hAnsi="Arial" w:cs="Arial"/>
                <w:sz w:val="20"/>
                <w:szCs w:val="20"/>
                <w:lang w:val="es-ES_tradnl"/>
              </w:rPr>
              <w:t>Informe Anual de operación del Mercado de Energía XM</w:t>
            </w:r>
            <w:r w:rsidRPr="00855594">
              <w:rPr>
                <w:rFonts w:ascii="Arial" w:hAnsi="Arial" w:cs="Arial"/>
                <w:sz w:val="20"/>
                <w:szCs w:val="20"/>
                <w:lang w:val="es-BO"/>
              </w:rPr>
              <w:t xml:space="preserve"> </w:t>
            </w:r>
          </w:p>
        </w:tc>
        <w:tc>
          <w:tcPr>
            <w:tcW w:w="1665" w:type="dxa"/>
          </w:tcPr>
          <w:p w14:paraId="370A2604" w14:textId="77777777" w:rsidR="00EF76C5" w:rsidRPr="006906C8" w:rsidRDefault="00EF76C5" w:rsidP="00001CF3">
            <w:pPr>
              <w:rPr>
                <w:rFonts w:ascii="Arial" w:hAnsi="Arial" w:cs="Arial"/>
                <w:sz w:val="20"/>
                <w:szCs w:val="20"/>
                <w:lang w:val="es-ES_tradnl" w:eastAsia="es-ES"/>
              </w:rPr>
            </w:pPr>
            <w:r w:rsidRPr="00855594">
              <w:rPr>
                <w:rFonts w:ascii="Arial" w:hAnsi="Arial"/>
                <w:sz w:val="20"/>
                <w:szCs w:val="20"/>
                <w:lang w:val="es-ES_tradnl"/>
              </w:rPr>
              <w:t xml:space="preserve">El informe anual de XM 2017 indica que las exportaciones en el 2017 con Ecuador fueron de 18,52 GWh y las importaciones de 194,23 GWh para un total de 212,75 GWh, esto da como cumplimiento del 6,1%. </w:t>
            </w:r>
            <w:r w:rsidRPr="006906C8">
              <w:rPr>
                <w:rFonts w:ascii="Arial" w:hAnsi="Arial" w:cs="Arial"/>
                <w:sz w:val="20"/>
                <w:szCs w:val="20"/>
                <w:lang w:val="es-ES_tradnl" w:eastAsia="es-ES"/>
              </w:rPr>
              <w:t xml:space="preserve">En el PE 2017-2031 no se desarrollaron análisis de interconexión con Ecuador porque no se contaba con la información actualizada del </w:t>
            </w:r>
            <w:r w:rsidRPr="006906C8">
              <w:rPr>
                <w:rFonts w:ascii="Arial" w:hAnsi="Arial" w:cs="Arial"/>
                <w:sz w:val="20"/>
                <w:szCs w:val="20"/>
                <w:lang w:val="es-ES_tradnl" w:eastAsia="es-ES"/>
              </w:rPr>
              <w:lastRenderedPageBreak/>
              <w:t xml:space="preserve">sistema ecuatoriano. </w:t>
            </w:r>
          </w:p>
          <w:p w14:paraId="7A32C94D" w14:textId="450AD638" w:rsidR="00EF76C5" w:rsidRPr="00855594" w:rsidRDefault="00EF76C5" w:rsidP="00001CF3">
            <w:pPr>
              <w:spacing w:after="0" w:line="240" w:lineRule="auto"/>
              <w:rPr>
                <w:rFonts w:ascii="Arial" w:hAnsi="Arial" w:cs="Arial"/>
                <w:sz w:val="20"/>
                <w:szCs w:val="20"/>
                <w:lang w:val="es-BO"/>
              </w:rPr>
            </w:pPr>
            <w:r w:rsidRPr="006906C8">
              <w:rPr>
                <w:rFonts w:ascii="Arial" w:hAnsi="Arial" w:cs="Arial"/>
                <w:sz w:val="20"/>
                <w:szCs w:val="20"/>
                <w:lang w:val="es-ES_tradnl" w:eastAsia="es-ES"/>
              </w:rPr>
              <w:t>El</w:t>
            </w:r>
            <w:r w:rsidR="00001CF3" w:rsidRPr="006906C8">
              <w:rPr>
                <w:rFonts w:ascii="Arial" w:hAnsi="Arial" w:cs="Arial"/>
                <w:sz w:val="20"/>
                <w:szCs w:val="20"/>
                <w:lang w:val="es-ES_tradnl" w:eastAsia="es-ES"/>
              </w:rPr>
              <w:t xml:space="preserve"> </w:t>
            </w:r>
            <w:r w:rsidRPr="006906C8">
              <w:rPr>
                <w:rFonts w:ascii="Arial" w:hAnsi="Arial" w:cs="Arial"/>
                <w:sz w:val="20"/>
                <w:szCs w:val="20"/>
                <w:lang w:val="es-ES_tradnl" w:eastAsia="es-ES"/>
              </w:rPr>
              <w:t xml:space="preserve">cumplimiento del indicador está sujeto a las condiciones de mercado de los dos países y a la ocurrencia de un fenómeno natural que afecte considerablemente la generación de los </w:t>
            </w:r>
            <w:r w:rsidR="00001CF3" w:rsidRPr="006906C8">
              <w:rPr>
                <w:rFonts w:ascii="Arial" w:hAnsi="Arial" w:cs="Arial"/>
                <w:sz w:val="20"/>
                <w:szCs w:val="20"/>
                <w:lang w:val="es-ES_tradnl" w:eastAsia="es-ES"/>
              </w:rPr>
              <w:t>países</w:t>
            </w:r>
            <w:r w:rsidRPr="006906C8">
              <w:rPr>
                <w:rFonts w:ascii="Arial" w:hAnsi="Arial" w:cs="Arial"/>
                <w:sz w:val="20"/>
                <w:szCs w:val="20"/>
                <w:lang w:val="es-ES_tradnl" w:eastAsia="es-ES"/>
              </w:rPr>
              <w:t>.</w:t>
            </w:r>
            <w:r w:rsidRPr="00855594">
              <w:rPr>
                <w:rFonts w:ascii="Arial" w:hAnsi="Arial"/>
                <w:sz w:val="20"/>
                <w:szCs w:val="20"/>
                <w:lang w:val="es-ES_tradnl"/>
              </w:rPr>
              <w:t xml:space="preserve"> </w:t>
            </w:r>
          </w:p>
        </w:tc>
      </w:tr>
      <w:tr w:rsidR="00855594" w:rsidRPr="00855594" w14:paraId="7A32C951" w14:textId="77777777" w:rsidTr="006906C8">
        <w:trPr>
          <w:trHeight w:val="54"/>
          <w:jc w:val="center"/>
        </w:trPr>
        <w:tc>
          <w:tcPr>
            <w:tcW w:w="14170" w:type="dxa"/>
            <w:gridSpan w:val="10"/>
            <w:shd w:val="clear" w:color="auto" w:fill="C6D9F1" w:themeFill="text2" w:themeFillTint="33"/>
          </w:tcPr>
          <w:p w14:paraId="7A32C950" w14:textId="1FD2A712" w:rsidR="00EF76C5" w:rsidRPr="00855594" w:rsidRDefault="00EF76C5" w:rsidP="008E0A0A">
            <w:pPr>
              <w:spacing w:after="0" w:line="240" w:lineRule="auto"/>
              <w:ind w:left="351" w:hanging="193"/>
              <w:rPr>
                <w:rFonts w:ascii="Arial" w:hAnsi="Arial" w:cs="Arial"/>
                <w:b/>
                <w:i/>
                <w:sz w:val="20"/>
                <w:szCs w:val="20"/>
                <w:lang w:val="es-CO"/>
              </w:rPr>
            </w:pPr>
            <w:r w:rsidRPr="00855594">
              <w:rPr>
                <w:rFonts w:ascii="Arial" w:hAnsi="Arial" w:cs="Arial"/>
                <w:b/>
                <w:bCs/>
                <w:sz w:val="20"/>
                <w:szCs w:val="20"/>
                <w:lang w:val="es-ES_tradnl"/>
              </w:rPr>
              <w:lastRenderedPageBreak/>
              <w:t>2.2 Fortalecimiento del mercado eléctrico</w:t>
            </w:r>
          </w:p>
        </w:tc>
      </w:tr>
      <w:tr w:rsidR="00855594" w:rsidRPr="003006F8" w14:paraId="7A32C95A" w14:textId="77777777" w:rsidTr="00DF40E6">
        <w:trPr>
          <w:trHeight w:val="54"/>
          <w:jc w:val="center"/>
        </w:trPr>
        <w:tc>
          <w:tcPr>
            <w:tcW w:w="2065" w:type="dxa"/>
            <w:shd w:val="clear" w:color="auto" w:fill="auto"/>
            <w:vAlign w:val="center"/>
          </w:tcPr>
          <w:p w14:paraId="7A32C952" w14:textId="329C5D68" w:rsidR="00525FA1" w:rsidRPr="00855594" w:rsidRDefault="00525FA1" w:rsidP="008E0A0A">
            <w:pPr>
              <w:pStyle w:val="ListParagraph"/>
              <w:spacing w:before="60" w:after="0" w:line="240" w:lineRule="auto"/>
              <w:ind w:left="338" w:hanging="338"/>
              <w:contextualSpacing w:val="0"/>
              <w:rPr>
                <w:rFonts w:ascii="Arial" w:hAnsi="Arial" w:cs="Arial"/>
                <w:sz w:val="20"/>
                <w:szCs w:val="20"/>
                <w:lang w:val="es-BO"/>
              </w:rPr>
            </w:pPr>
            <w:r w:rsidRPr="00855594">
              <w:rPr>
                <w:rFonts w:ascii="Arial" w:hAnsi="Arial" w:cs="Arial"/>
                <w:sz w:val="20"/>
                <w:szCs w:val="20"/>
                <w:lang w:val="es-BO"/>
              </w:rPr>
              <w:t>2.4 Volumen anual de oferta de Gas Natural para generación</w:t>
            </w:r>
          </w:p>
        </w:tc>
        <w:tc>
          <w:tcPr>
            <w:tcW w:w="1080" w:type="dxa"/>
            <w:shd w:val="clear" w:color="auto" w:fill="auto"/>
            <w:vAlign w:val="center"/>
          </w:tcPr>
          <w:p w14:paraId="7A32C953" w14:textId="77777777" w:rsidR="00525FA1" w:rsidRPr="00855594" w:rsidRDefault="00525FA1" w:rsidP="00525FA1">
            <w:pPr>
              <w:spacing w:after="0" w:line="240" w:lineRule="auto"/>
              <w:jc w:val="center"/>
              <w:rPr>
                <w:rFonts w:ascii="Arial" w:hAnsi="Arial" w:cs="Arial"/>
                <w:sz w:val="20"/>
                <w:szCs w:val="20"/>
                <w:lang w:val="es-BO"/>
              </w:rPr>
            </w:pPr>
            <w:r w:rsidRPr="00855594">
              <w:rPr>
                <w:rFonts w:ascii="Arial" w:hAnsi="Arial" w:cs="Arial"/>
                <w:sz w:val="20"/>
                <w:szCs w:val="20"/>
                <w:lang w:val="es-BO"/>
              </w:rPr>
              <w:t>Millones de Pies Cúbicos Día (MMCD)</w:t>
            </w:r>
          </w:p>
        </w:tc>
        <w:tc>
          <w:tcPr>
            <w:tcW w:w="990" w:type="dxa"/>
            <w:shd w:val="clear" w:color="auto" w:fill="auto"/>
            <w:vAlign w:val="center"/>
          </w:tcPr>
          <w:p w14:paraId="484154AF" w14:textId="34FDDACA"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1.000</w:t>
            </w:r>
          </w:p>
          <w:p w14:paraId="7A32C954" w14:textId="0BA468FF" w:rsidR="00525FA1" w:rsidRPr="006906C8" w:rsidRDefault="00525FA1"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(314,8)</w:t>
            </w:r>
          </w:p>
        </w:tc>
        <w:tc>
          <w:tcPr>
            <w:tcW w:w="1194" w:type="dxa"/>
            <w:vAlign w:val="center"/>
          </w:tcPr>
          <w:p w14:paraId="215B8747" w14:textId="77777777"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1.640</w:t>
            </w:r>
          </w:p>
          <w:p w14:paraId="7A32C955" w14:textId="107DD55B"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w:t>
            </w:r>
            <w:r w:rsidR="00001CF3" w:rsidRPr="00855594">
              <w:rPr>
                <w:rFonts w:ascii="Arial" w:hAnsi="Arial" w:cs="Arial"/>
                <w:sz w:val="20"/>
                <w:szCs w:val="20"/>
                <w:lang w:val="es-ES_tradnl"/>
              </w:rPr>
              <w:t>-</w:t>
            </w:r>
            <w:r w:rsidRPr="00855594">
              <w:rPr>
                <w:rFonts w:ascii="Arial" w:hAnsi="Arial" w:cs="Arial"/>
                <w:sz w:val="20"/>
                <w:szCs w:val="20"/>
                <w:lang w:val="es-ES_tradnl"/>
              </w:rPr>
              <w:t>)</w:t>
            </w:r>
          </w:p>
        </w:tc>
        <w:tc>
          <w:tcPr>
            <w:tcW w:w="1425" w:type="dxa"/>
            <w:vAlign w:val="center"/>
          </w:tcPr>
          <w:p w14:paraId="3CD85B92" w14:textId="5F086EB3"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172,5</w:t>
            </w:r>
          </w:p>
        </w:tc>
        <w:tc>
          <w:tcPr>
            <w:tcW w:w="1425" w:type="dxa"/>
            <w:vAlign w:val="center"/>
          </w:tcPr>
          <w:p w14:paraId="04A11BA0" w14:textId="6B6B7430" w:rsidR="00525FA1" w:rsidRPr="00855594" w:rsidRDefault="00525FA1" w:rsidP="00525FA1">
            <w:pPr>
              <w:spacing w:after="0" w:line="240" w:lineRule="auto"/>
              <w:jc w:val="center"/>
              <w:rPr>
                <w:rFonts w:ascii="Arial" w:hAnsi="Arial" w:cs="Arial"/>
                <w:sz w:val="20"/>
                <w:szCs w:val="20"/>
                <w:lang w:val="es-ES_tradnl"/>
              </w:rPr>
            </w:pPr>
            <w:r w:rsidRPr="00855594">
              <w:rPr>
                <w:rFonts w:ascii="Arial" w:eastAsia="Times New Roman" w:hAnsi="Arial" w:cs="Arial"/>
                <w:sz w:val="20"/>
                <w:szCs w:val="20"/>
                <w:lang w:val="es-ES" w:eastAsia="es-CO"/>
              </w:rPr>
              <w:t>338,1</w:t>
            </w:r>
          </w:p>
        </w:tc>
        <w:tc>
          <w:tcPr>
            <w:tcW w:w="1425" w:type="dxa"/>
            <w:shd w:val="clear" w:color="auto" w:fill="auto"/>
            <w:vAlign w:val="center"/>
          </w:tcPr>
          <w:p w14:paraId="7A32C956" w14:textId="01CF3140" w:rsidR="00525FA1" w:rsidRPr="006906C8" w:rsidRDefault="00525FA1"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1.430</w:t>
            </w:r>
          </w:p>
        </w:tc>
        <w:tc>
          <w:tcPr>
            <w:tcW w:w="1363" w:type="dxa"/>
            <w:vAlign w:val="center"/>
          </w:tcPr>
          <w:p w14:paraId="64BA66FD" w14:textId="328F9880" w:rsidR="00525FA1" w:rsidRPr="00855594" w:rsidRDefault="00525FA1" w:rsidP="00525FA1">
            <w:pPr>
              <w:spacing w:after="0" w:line="240" w:lineRule="auto"/>
              <w:jc w:val="center"/>
              <w:rPr>
                <w:rFonts w:ascii="Arial" w:hAnsi="Arial" w:cs="Arial"/>
                <w:sz w:val="20"/>
                <w:szCs w:val="20"/>
                <w:lang w:val="es-BO"/>
              </w:rPr>
            </w:pPr>
            <w:r w:rsidRPr="00855594">
              <w:rPr>
                <w:rFonts w:ascii="Arial" w:eastAsia="Times New Roman" w:hAnsi="Arial" w:cs="Arial"/>
                <w:sz w:val="20"/>
                <w:szCs w:val="20"/>
                <w:lang w:val="es-ES" w:eastAsia="es-CO"/>
              </w:rPr>
              <w:t>342,9</w:t>
            </w:r>
          </w:p>
        </w:tc>
        <w:tc>
          <w:tcPr>
            <w:tcW w:w="1538" w:type="dxa"/>
            <w:shd w:val="clear" w:color="auto" w:fill="auto"/>
            <w:vAlign w:val="center"/>
          </w:tcPr>
          <w:p w14:paraId="4B06F3AD" w14:textId="77777777" w:rsidR="00525FA1" w:rsidRPr="006906C8" w:rsidRDefault="00525FA1" w:rsidP="00525FA1">
            <w:pPr>
              <w:jc w:val="center"/>
              <w:rPr>
                <w:rFonts w:ascii="Arial" w:hAnsi="Arial" w:cs="Arial"/>
                <w:sz w:val="20"/>
                <w:szCs w:val="20"/>
                <w:lang w:val="es-ES_tradnl"/>
              </w:rPr>
            </w:pPr>
            <w:r w:rsidRPr="006906C8">
              <w:rPr>
                <w:rFonts w:ascii="Arial" w:hAnsi="Arial" w:cs="Arial"/>
                <w:sz w:val="20"/>
                <w:szCs w:val="20"/>
                <w:lang w:val="es-ES_tradnl"/>
              </w:rPr>
              <w:t>Fuente datos 2015 y 2017: Concentra S.A.</w:t>
            </w:r>
          </w:p>
          <w:p w14:paraId="7A32C958" w14:textId="7427A21A" w:rsidR="00525FA1" w:rsidRPr="00855594" w:rsidRDefault="00525FA1" w:rsidP="00525FA1">
            <w:pPr>
              <w:spacing w:after="120" w:line="240" w:lineRule="auto"/>
              <w:jc w:val="center"/>
              <w:rPr>
                <w:rFonts w:ascii="Arial" w:hAnsi="Arial" w:cs="Arial"/>
                <w:sz w:val="20"/>
                <w:szCs w:val="20"/>
                <w:lang w:val="es-ES_tradnl"/>
              </w:rPr>
            </w:pPr>
            <w:r w:rsidRPr="006906C8">
              <w:rPr>
                <w:rFonts w:ascii="Arial" w:hAnsi="Arial" w:cs="Arial"/>
                <w:sz w:val="20"/>
                <w:szCs w:val="20"/>
                <w:lang w:val="es-ES_tradnl"/>
              </w:rPr>
              <w:t>Fuente datos 2019 y 2020: Proyecciones demanda de gas natural 2018-2032 UPME (Oferta incluye Plantas GNL de Caribe y Pacífico)</w:t>
            </w:r>
          </w:p>
        </w:tc>
        <w:tc>
          <w:tcPr>
            <w:tcW w:w="1665" w:type="dxa"/>
          </w:tcPr>
          <w:p w14:paraId="7A32C959" w14:textId="10C3C454" w:rsidR="00525FA1" w:rsidRPr="00855594" w:rsidRDefault="00525FA1" w:rsidP="00525FA1">
            <w:pPr>
              <w:spacing w:after="0" w:line="240" w:lineRule="auto"/>
              <w:textAlignment w:val="baseline"/>
              <w:rPr>
                <w:rFonts w:ascii="Arial" w:hAnsi="Arial" w:cs="Arial"/>
                <w:sz w:val="20"/>
                <w:szCs w:val="20"/>
                <w:lang w:val="es-ES_tradnl"/>
              </w:rPr>
            </w:pPr>
            <w:r w:rsidRPr="006906C8">
              <w:rPr>
                <w:rFonts w:ascii="Arial" w:hAnsi="Arial" w:cs="Arial"/>
                <w:sz w:val="20"/>
                <w:szCs w:val="20"/>
                <w:lang w:val="es-ES_tradnl"/>
              </w:rPr>
              <w:t xml:space="preserve">El valor de 1.000 MPCD reportado como línea base (2015) corresponde a la oferta nacional total de gas natural. Se </w:t>
            </w:r>
            <w:r w:rsidR="00001CF3" w:rsidRPr="006906C8">
              <w:rPr>
                <w:rFonts w:ascii="Arial" w:hAnsi="Arial" w:cs="Arial"/>
                <w:sz w:val="20"/>
                <w:szCs w:val="20"/>
                <w:lang w:val="es-ES_tradnl"/>
              </w:rPr>
              <w:t>actualizó el</w:t>
            </w:r>
            <w:r w:rsidRPr="006906C8">
              <w:rPr>
                <w:rFonts w:ascii="Arial" w:hAnsi="Arial" w:cs="Arial"/>
                <w:sz w:val="20"/>
                <w:szCs w:val="20"/>
                <w:lang w:val="es-ES_tradnl"/>
              </w:rPr>
              <w:t xml:space="preserve"> valor con el dato de oferta de gas natural solo para el sector </w:t>
            </w:r>
            <w:r w:rsidR="00001CF3" w:rsidRPr="006906C8">
              <w:rPr>
                <w:rFonts w:ascii="Arial" w:hAnsi="Arial" w:cs="Arial"/>
                <w:sz w:val="20"/>
                <w:szCs w:val="20"/>
                <w:lang w:val="es-ES_tradnl"/>
              </w:rPr>
              <w:t>termoeléctrico</w:t>
            </w:r>
          </w:p>
        </w:tc>
      </w:tr>
      <w:tr w:rsidR="00855594" w:rsidRPr="003006F8" w14:paraId="7A32C963" w14:textId="77777777" w:rsidTr="00DF40E6">
        <w:trPr>
          <w:trHeight w:val="679"/>
          <w:jc w:val="center"/>
        </w:trPr>
        <w:tc>
          <w:tcPr>
            <w:tcW w:w="2065" w:type="dxa"/>
            <w:tcBorders>
              <w:bottom w:val="single" w:sz="4" w:space="0" w:color="000000" w:themeColor="text1"/>
            </w:tcBorders>
            <w:shd w:val="clear" w:color="auto" w:fill="auto"/>
            <w:vAlign w:val="center"/>
          </w:tcPr>
          <w:p w14:paraId="7A32C95B" w14:textId="5979BD7D" w:rsidR="00525FA1" w:rsidRPr="00855594" w:rsidRDefault="00525FA1" w:rsidP="00471615">
            <w:pPr>
              <w:pStyle w:val="ListParagraph"/>
              <w:spacing w:after="0" w:line="240" w:lineRule="auto"/>
              <w:ind w:left="338" w:hanging="338"/>
              <w:rPr>
                <w:rFonts w:ascii="Arial" w:hAnsi="Arial" w:cs="Arial"/>
                <w:sz w:val="20"/>
                <w:szCs w:val="20"/>
                <w:lang w:val="es-ES_tradnl"/>
              </w:rPr>
            </w:pPr>
            <w:r w:rsidRPr="00855594">
              <w:rPr>
                <w:rFonts w:ascii="Arial" w:hAnsi="Arial" w:cs="Arial"/>
                <w:sz w:val="20"/>
                <w:szCs w:val="20"/>
                <w:lang w:val="es-ES_tradnl"/>
              </w:rPr>
              <w:lastRenderedPageBreak/>
              <w:t>2.5 Consumo de electricidad en sector industrial</w:t>
            </w:r>
          </w:p>
        </w:tc>
        <w:tc>
          <w:tcPr>
            <w:tcW w:w="1080" w:type="dxa"/>
            <w:tcBorders>
              <w:bottom w:val="single" w:sz="4" w:space="0" w:color="000000" w:themeColor="text1"/>
            </w:tcBorders>
            <w:shd w:val="clear" w:color="auto" w:fill="auto"/>
            <w:vAlign w:val="center"/>
          </w:tcPr>
          <w:p w14:paraId="7A32C95C" w14:textId="77777777" w:rsidR="00525FA1" w:rsidRPr="00855594" w:rsidRDefault="00525FA1" w:rsidP="00525FA1">
            <w:pPr>
              <w:spacing w:after="0" w:line="240" w:lineRule="auto"/>
              <w:jc w:val="center"/>
              <w:rPr>
                <w:rFonts w:ascii="Arial" w:hAnsi="Arial" w:cs="Arial"/>
                <w:sz w:val="20"/>
                <w:szCs w:val="20"/>
                <w:lang w:val="es-ES_tradnl" w:eastAsia="zh-CN"/>
              </w:rPr>
            </w:pPr>
            <w:r w:rsidRPr="00855594">
              <w:rPr>
                <w:rFonts w:ascii="Arial" w:hAnsi="Arial" w:cs="Arial"/>
                <w:sz w:val="20"/>
                <w:szCs w:val="20"/>
                <w:lang w:val="es-ES_tradnl" w:eastAsia="zh-CN"/>
              </w:rPr>
              <w:t>TJ/año</w:t>
            </w:r>
          </w:p>
        </w:tc>
        <w:tc>
          <w:tcPr>
            <w:tcW w:w="990" w:type="dxa"/>
            <w:tcBorders>
              <w:bottom w:val="single" w:sz="4" w:space="0" w:color="000000" w:themeColor="text1"/>
            </w:tcBorders>
            <w:shd w:val="clear" w:color="auto" w:fill="auto"/>
            <w:vAlign w:val="center"/>
          </w:tcPr>
          <w:p w14:paraId="7C9C7F26" w14:textId="77777777"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57.388</w:t>
            </w:r>
          </w:p>
          <w:p w14:paraId="7A32C95D" w14:textId="4960CDFD" w:rsidR="00525FA1" w:rsidRPr="006906C8" w:rsidRDefault="00525FA1"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w:t>
            </w:r>
            <w:r w:rsidRPr="00855594">
              <w:rPr>
                <w:rFonts w:ascii="Arial" w:eastAsia="Times New Roman" w:hAnsi="Arial" w:cs="Arial"/>
                <w:sz w:val="20"/>
                <w:szCs w:val="20"/>
                <w:lang w:val="es-ES" w:eastAsia="es-CO"/>
              </w:rPr>
              <w:t>34.168)</w:t>
            </w:r>
          </w:p>
        </w:tc>
        <w:tc>
          <w:tcPr>
            <w:tcW w:w="1194" w:type="dxa"/>
            <w:tcBorders>
              <w:bottom w:val="single" w:sz="4" w:space="0" w:color="000000" w:themeColor="text1"/>
            </w:tcBorders>
            <w:vAlign w:val="center"/>
          </w:tcPr>
          <w:p w14:paraId="2B4794DF" w14:textId="77777777"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57.455</w:t>
            </w:r>
          </w:p>
          <w:p w14:paraId="7A32C95E" w14:textId="785578E3"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w:t>
            </w:r>
            <w:r w:rsidR="00001CF3" w:rsidRPr="00855594">
              <w:rPr>
                <w:rFonts w:ascii="Arial" w:hAnsi="Arial" w:cs="Arial"/>
                <w:sz w:val="20"/>
                <w:szCs w:val="20"/>
                <w:lang w:val="es-ES_tradnl"/>
              </w:rPr>
              <w:t>-</w:t>
            </w:r>
            <w:r w:rsidRPr="00855594">
              <w:rPr>
                <w:rFonts w:ascii="Arial" w:hAnsi="Arial" w:cs="Arial"/>
                <w:sz w:val="20"/>
                <w:szCs w:val="20"/>
                <w:lang w:val="es-ES_tradnl"/>
              </w:rPr>
              <w:t>)</w:t>
            </w:r>
          </w:p>
        </w:tc>
        <w:tc>
          <w:tcPr>
            <w:tcW w:w="1425" w:type="dxa"/>
            <w:tcBorders>
              <w:bottom w:val="single" w:sz="4" w:space="0" w:color="000000" w:themeColor="text1"/>
            </w:tcBorders>
            <w:vAlign w:val="center"/>
          </w:tcPr>
          <w:p w14:paraId="02AD82FA" w14:textId="55AB0240" w:rsidR="00525FA1" w:rsidRPr="00855594" w:rsidRDefault="00525FA1" w:rsidP="00525FA1">
            <w:pPr>
              <w:spacing w:after="0" w:line="240" w:lineRule="auto"/>
              <w:jc w:val="center"/>
              <w:rPr>
                <w:rFonts w:ascii="Arial" w:hAnsi="Arial" w:cs="Arial"/>
                <w:sz w:val="20"/>
                <w:szCs w:val="20"/>
                <w:lang w:val="es-ES_tradnl"/>
              </w:rPr>
            </w:pPr>
            <w:r w:rsidRPr="00855594">
              <w:rPr>
                <w:rFonts w:ascii="Arial" w:eastAsia="Times New Roman" w:hAnsi="Arial" w:cs="Arial"/>
                <w:sz w:val="20"/>
                <w:szCs w:val="20"/>
                <w:lang w:val="es-ES" w:eastAsia="es-CO"/>
              </w:rPr>
              <w:t>33.061</w:t>
            </w:r>
          </w:p>
        </w:tc>
        <w:tc>
          <w:tcPr>
            <w:tcW w:w="1425" w:type="dxa"/>
            <w:tcBorders>
              <w:bottom w:val="single" w:sz="4" w:space="0" w:color="000000" w:themeColor="text1"/>
            </w:tcBorders>
            <w:vAlign w:val="center"/>
          </w:tcPr>
          <w:p w14:paraId="22E81939" w14:textId="1B25EA5F" w:rsidR="00525FA1" w:rsidRPr="00855594" w:rsidRDefault="00525FA1" w:rsidP="00525FA1">
            <w:pPr>
              <w:spacing w:after="0" w:line="240" w:lineRule="auto"/>
              <w:jc w:val="center"/>
              <w:rPr>
                <w:rFonts w:ascii="Arial" w:hAnsi="Arial" w:cs="Arial"/>
                <w:sz w:val="20"/>
                <w:szCs w:val="20"/>
                <w:lang w:val="es-ES_tradnl"/>
              </w:rPr>
            </w:pPr>
            <w:r w:rsidRPr="00855594">
              <w:rPr>
                <w:rFonts w:ascii="Arial" w:eastAsia="Times New Roman" w:hAnsi="Arial" w:cs="Arial"/>
                <w:sz w:val="20"/>
                <w:szCs w:val="20"/>
                <w:lang w:val="es-ES" w:eastAsia="es-CO"/>
              </w:rPr>
              <w:t>32.701</w:t>
            </w:r>
          </w:p>
        </w:tc>
        <w:tc>
          <w:tcPr>
            <w:tcW w:w="1425" w:type="dxa"/>
            <w:tcBorders>
              <w:bottom w:val="single" w:sz="4" w:space="0" w:color="000000" w:themeColor="text1"/>
            </w:tcBorders>
            <w:shd w:val="clear" w:color="auto" w:fill="auto"/>
            <w:vAlign w:val="center"/>
          </w:tcPr>
          <w:p w14:paraId="7A32C95F" w14:textId="33AD8585" w:rsidR="00525FA1" w:rsidRPr="006906C8" w:rsidRDefault="00525FA1"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53.993</w:t>
            </w:r>
          </w:p>
        </w:tc>
        <w:tc>
          <w:tcPr>
            <w:tcW w:w="1363" w:type="dxa"/>
            <w:tcBorders>
              <w:bottom w:val="single" w:sz="4" w:space="0" w:color="000000" w:themeColor="text1"/>
            </w:tcBorders>
            <w:vAlign w:val="center"/>
          </w:tcPr>
          <w:p w14:paraId="55708AAF" w14:textId="61C4453F" w:rsidR="00525FA1" w:rsidRPr="00855594" w:rsidRDefault="00525FA1" w:rsidP="00525FA1">
            <w:pPr>
              <w:spacing w:after="0" w:line="240" w:lineRule="auto"/>
              <w:jc w:val="center"/>
              <w:rPr>
                <w:rFonts w:ascii="Arial" w:hAnsi="Arial" w:cs="Arial"/>
                <w:sz w:val="20"/>
                <w:szCs w:val="20"/>
                <w:lang w:val="es-BO"/>
              </w:rPr>
            </w:pPr>
            <w:r w:rsidRPr="00855594">
              <w:rPr>
                <w:rFonts w:ascii="Arial" w:eastAsia="Times New Roman" w:hAnsi="Arial" w:cs="Arial"/>
                <w:sz w:val="20"/>
                <w:szCs w:val="20"/>
                <w:lang w:val="es-ES" w:eastAsia="es-CO"/>
              </w:rPr>
              <w:t>32.224</w:t>
            </w:r>
            <w:r w:rsidRPr="00855594">
              <w:rPr>
                <w:rFonts w:ascii="Arial" w:eastAsia="Times New Roman" w:hAnsi="Arial" w:cs="Arial"/>
                <w:sz w:val="20"/>
                <w:szCs w:val="20"/>
                <w:lang w:eastAsia="es-CO"/>
              </w:rPr>
              <w:t> </w:t>
            </w:r>
          </w:p>
        </w:tc>
        <w:tc>
          <w:tcPr>
            <w:tcW w:w="1538" w:type="dxa"/>
            <w:tcBorders>
              <w:bottom w:val="single" w:sz="4" w:space="0" w:color="000000" w:themeColor="text1"/>
            </w:tcBorders>
            <w:shd w:val="clear" w:color="auto" w:fill="auto"/>
            <w:vAlign w:val="center"/>
          </w:tcPr>
          <w:p w14:paraId="7A32C961" w14:textId="382EECFB" w:rsidR="00525FA1" w:rsidRPr="00855594" w:rsidRDefault="00525FA1" w:rsidP="00525FA1">
            <w:pPr>
              <w:spacing w:after="0" w:line="240" w:lineRule="auto"/>
              <w:jc w:val="center"/>
              <w:rPr>
                <w:rFonts w:ascii="Arial" w:hAnsi="Arial" w:cs="Arial"/>
                <w:sz w:val="20"/>
                <w:szCs w:val="20"/>
                <w:lang w:val="es-BO"/>
              </w:rPr>
            </w:pPr>
            <w:r w:rsidRPr="00855594">
              <w:rPr>
                <w:rFonts w:ascii="Arial" w:eastAsia="Times New Roman" w:hAnsi="Arial" w:cs="Arial"/>
                <w:sz w:val="20"/>
                <w:szCs w:val="20"/>
                <w:lang w:val="es-BO" w:eastAsia="es-CO"/>
              </w:rPr>
              <w:t>Informe de Operación del SIN y Administración del Mercado (datos 2015 y 2017)</w:t>
            </w:r>
          </w:p>
        </w:tc>
        <w:tc>
          <w:tcPr>
            <w:tcW w:w="1665" w:type="dxa"/>
            <w:tcBorders>
              <w:bottom w:val="single" w:sz="4" w:space="0" w:color="000000" w:themeColor="text1"/>
            </w:tcBorders>
            <w:vAlign w:val="center"/>
          </w:tcPr>
          <w:p w14:paraId="575235AD" w14:textId="1F1629F9" w:rsidR="00525FA1" w:rsidRPr="00855594" w:rsidRDefault="00525FA1" w:rsidP="00525FA1">
            <w:pPr>
              <w:spacing w:after="0"/>
              <w:jc w:val="both"/>
              <w:rPr>
                <w:rFonts w:ascii="Arial" w:hAnsi="Arial"/>
                <w:sz w:val="20"/>
                <w:lang w:val="es-ES_tradnl"/>
              </w:rPr>
            </w:pPr>
            <w:r w:rsidRPr="00855594">
              <w:rPr>
                <w:rFonts w:ascii="Arial" w:hAnsi="Arial"/>
                <w:sz w:val="20"/>
                <w:lang w:val="es-ES_tradnl"/>
              </w:rPr>
              <w:t xml:space="preserve">La </w:t>
            </w:r>
            <w:r w:rsidR="00001CF3" w:rsidRPr="00855594">
              <w:rPr>
                <w:rFonts w:ascii="Arial" w:hAnsi="Arial"/>
                <w:sz w:val="20"/>
                <w:lang w:val="es-ES_tradnl"/>
              </w:rPr>
              <w:t>línea</w:t>
            </w:r>
            <w:r w:rsidRPr="00855594">
              <w:rPr>
                <w:rFonts w:ascii="Arial" w:hAnsi="Arial"/>
                <w:sz w:val="20"/>
                <w:lang w:val="es-ES_tradnl"/>
              </w:rPr>
              <w:t xml:space="preserve"> base y metas deben ser revisadas teniendo en cuenta que el informe de XM menciona que el consumo de electricidad del sector industrial en el 2016 y 2017 fue de 33.652 TJ y 33.061 TJ respectivamente, datos que no se acercan a la </w:t>
            </w:r>
            <w:r w:rsidR="00001CF3" w:rsidRPr="00855594">
              <w:rPr>
                <w:rFonts w:ascii="Arial" w:hAnsi="Arial"/>
                <w:sz w:val="20"/>
                <w:lang w:val="es-ES_tradnl"/>
              </w:rPr>
              <w:t>línea</w:t>
            </w:r>
            <w:r w:rsidRPr="00855594">
              <w:rPr>
                <w:rFonts w:ascii="Arial" w:hAnsi="Arial"/>
                <w:sz w:val="20"/>
                <w:lang w:val="es-ES_tradnl"/>
              </w:rPr>
              <w:t xml:space="preserve"> base y meta fijada para el indicador.</w:t>
            </w:r>
          </w:p>
          <w:p w14:paraId="07E20273" w14:textId="77777777" w:rsidR="00525FA1" w:rsidRPr="00855594" w:rsidRDefault="00525FA1" w:rsidP="00001CF3">
            <w:pPr>
              <w:spacing w:after="0"/>
              <w:rPr>
                <w:rFonts w:ascii="Arial" w:hAnsi="Arial"/>
                <w:sz w:val="20"/>
                <w:lang w:val="es-ES_tradnl"/>
              </w:rPr>
            </w:pPr>
          </w:p>
          <w:p w14:paraId="04849CAB" w14:textId="21CB2F30" w:rsidR="00525FA1" w:rsidRPr="00855594" w:rsidRDefault="00525FA1" w:rsidP="00525FA1">
            <w:pPr>
              <w:spacing w:after="0"/>
              <w:jc w:val="both"/>
              <w:rPr>
                <w:rFonts w:ascii="Arial" w:hAnsi="Arial"/>
                <w:sz w:val="20"/>
                <w:lang w:val="es-ES_tradnl"/>
              </w:rPr>
            </w:pPr>
            <w:r w:rsidRPr="00855594">
              <w:rPr>
                <w:rFonts w:ascii="Arial" w:hAnsi="Arial"/>
                <w:sz w:val="20"/>
                <w:lang w:val="es-ES_tradnl"/>
              </w:rPr>
              <w:t xml:space="preserve">Los datos establecidos para la </w:t>
            </w:r>
            <w:r w:rsidR="00001CF3" w:rsidRPr="00855594">
              <w:rPr>
                <w:rFonts w:ascii="Arial" w:hAnsi="Arial"/>
                <w:sz w:val="20"/>
                <w:lang w:val="es-ES_tradnl"/>
              </w:rPr>
              <w:t>línea</w:t>
            </w:r>
            <w:r w:rsidRPr="00855594">
              <w:rPr>
                <w:rFonts w:ascii="Arial" w:hAnsi="Arial"/>
                <w:sz w:val="20"/>
                <w:lang w:val="es-ES_tradnl"/>
              </w:rPr>
              <w:t xml:space="preserve"> base y metas de 2017 y 2020</w:t>
            </w:r>
            <w:r w:rsidR="00001CF3" w:rsidRPr="00855594">
              <w:rPr>
                <w:rFonts w:ascii="Arial" w:hAnsi="Arial"/>
                <w:sz w:val="20"/>
                <w:lang w:val="es-ES_tradnl"/>
              </w:rPr>
              <w:t xml:space="preserve"> </w:t>
            </w:r>
            <w:r w:rsidRPr="00855594">
              <w:rPr>
                <w:rFonts w:ascii="Arial" w:hAnsi="Arial"/>
                <w:sz w:val="20"/>
                <w:lang w:val="es-ES_tradnl"/>
              </w:rPr>
              <w:t xml:space="preserve">corresponden al sector eléctrico y no al industrial, lo cual sugeriría </w:t>
            </w:r>
            <w:r w:rsidRPr="00855594">
              <w:rPr>
                <w:rFonts w:ascii="Arial" w:hAnsi="Arial"/>
                <w:sz w:val="20"/>
                <w:lang w:val="es-ES_tradnl"/>
              </w:rPr>
              <w:lastRenderedPageBreak/>
              <w:t xml:space="preserve">que hubo un error de digitación cuando se </w:t>
            </w:r>
            <w:r w:rsidR="00001CF3" w:rsidRPr="00855594">
              <w:rPr>
                <w:rFonts w:ascii="Arial" w:hAnsi="Arial"/>
                <w:sz w:val="20"/>
                <w:lang w:val="es-ES_tradnl"/>
              </w:rPr>
              <w:t>definió</w:t>
            </w:r>
            <w:r w:rsidRPr="00855594">
              <w:rPr>
                <w:rFonts w:ascii="Arial" w:hAnsi="Arial"/>
                <w:sz w:val="20"/>
                <w:lang w:val="es-ES_tradnl"/>
              </w:rPr>
              <w:t xml:space="preserve"> la matriz. Cabe mencionar, </w:t>
            </w:r>
            <w:proofErr w:type="gramStart"/>
            <w:r w:rsidRPr="00855594">
              <w:rPr>
                <w:rFonts w:ascii="Arial" w:hAnsi="Arial"/>
                <w:sz w:val="20"/>
                <w:lang w:val="es-ES_tradnl"/>
              </w:rPr>
              <w:t>que</w:t>
            </w:r>
            <w:proofErr w:type="gramEnd"/>
            <w:r w:rsidRPr="00855594">
              <w:rPr>
                <w:rFonts w:ascii="Arial" w:hAnsi="Arial"/>
                <w:sz w:val="20"/>
                <w:lang w:val="es-ES_tradnl"/>
              </w:rPr>
              <w:t xml:space="preserve"> en la evaluación económica de la primera fase, la proyección de beneficio costo se realizó con el sector industrial y no el eléctrico. Dado lo anterior, es pertinente modificar la </w:t>
            </w:r>
            <w:r w:rsidR="001A7AA2" w:rsidRPr="00855594">
              <w:rPr>
                <w:rFonts w:ascii="Arial" w:hAnsi="Arial"/>
                <w:sz w:val="20"/>
                <w:lang w:val="es-ES_tradnl"/>
              </w:rPr>
              <w:t>línea</w:t>
            </w:r>
            <w:r w:rsidRPr="00855594">
              <w:rPr>
                <w:rFonts w:ascii="Arial" w:hAnsi="Arial"/>
                <w:sz w:val="20"/>
                <w:lang w:val="es-ES_tradnl"/>
              </w:rPr>
              <w:t xml:space="preserve"> base y metas del indicador. </w:t>
            </w:r>
          </w:p>
          <w:p w14:paraId="43DF8040" w14:textId="77777777" w:rsidR="00525FA1" w:rsidRPr="00855594" w:rsidRDefault="00525FA1" w:rsidP="00525FA1">
            <w:pPr>
              <w:spacing w:after="0"/>
              <w:jc w:val="both"/>
              <w:rPr>
                <w:rFonts w:ascii="Arial" w:hAnsi="Arial"/>
                <w:sz w:val="20"/>
                <w:lang w:val="es-ES_tradnl"/>
              </w:rPr>
            </w:pPr>
          </w:p>
          <w:p w14:paraId="7A32C962" w14:textId="7B462D06" w:rsidR="00525FA1" w:rsidRPr="00855594" w:rsidRDefault="00525FA1" w:rsidP="00525FA1">
            <w:pPr>
              <w:spacing w:after="0"/>
              <w:jc w:val="both"/>
              <w:rPr>
                <w:rFonts w:ascii="Arial" w:hAnsi="Arial"/>
                <w:sz w:val="20"/>
                <w:szCs w:val="20"/>
                <w:lang w:val="es-ES_tradnl"/>
              </w:rPr>
            </w:pPr>
            <w:r w:rsidRPr="006906C8">
              <w:rPr>
                <w:rFonts w:ascii="Arial" w:hAnsi="Arial"/>
                <w:sz w:val="20"/>
                <w:szCs w:val="20"/>
                <w:lang w:val="es-ES_tradnl"/>
              </w:rPr>
              <w:t xml:space="preserve">La meta a 2019 y 2020 se estableció considerando el ahorro de energía indicado en el </w:t>
            </w:r>
            <w:r w:rsidRPr="006906C8">
              <w:rPr>
                <w:rFonts w:ascii="Arial" w:hAnsi="Arial"/>
                <w:sz w:val="20"/>
                <w:szCs w:val="20"/>
                <w:lang w:val="es-ES_tradnl"/>
              </w:rPr>
              <w:lastRenderedPageBreak/>
              <w:t>documento del PROURE 2017-2022, suponiendo que sea lineal el ahorro anual para lograr un acumulado aproximado de 7.08% a 2022</w:t>
            </w:r>
          </w:p>
        </w:tc>
      </w:tr>
      <w:tr w:rsidR="00855594" w:rsidRPr="003006F8" w14:paraId="7A32C966" w14:textId="77777777" w:rsidTr="006906C8">
        <w:trPr>
          <w:trHeight w:val="325"/>
          <w:jc w:val="center"/>
        </w:trPr>
        <w:tc>
          <w:tcPr>
            <w:tcW w:w="12505" w:type="dxa"/>
            <w:gridSpan w:val="9"/>
            <w:shd w:val="clear" w:color="auto" w:fill="C6D9F1" w:themeFill="text2" w:themeFillTint="33"/>
          </w:tcPr>
          <w:p w14:paraId="7A32C964" w14:textId="24F6DD17" w:rsidR="00001CF3" w:rsidRPr="00C2459A" w:rsidRDefault="00001CF3" w:rsidP="00C2459A">
            <w:pPr>
              <w:pStyle w:val="ListParagraph"/>
              <w:numPr>
                <w:ilvl w:val="0"/>
                <w:numId w:val="26"/>
              </w:numPr>
              <w:spacing w:before="60" w:after="0" w:line="240" w:lineRule="auto"/>
              <w:ind w:left="426" w:hanging="270"/>
              <w:rPr>
                <w:rFonts w:ascii="Arial" w:hAnsi="Arial" w:cs="Arial"/>
                <w:b/>
                <w:sz w:val="20"/>
                <w:szCs w:val="20"/>
                <w:lang w:val="es-BO"/>
              </w:rPr>
            </w:pPr>
            <w:r w:rsidRPr="00C2459A">
              <w:rPr>
                <w:rFonts w:ascii="Arial" w:hAnsi="Arial" w:cs="Arial"/>
                <w:b/>
                <w:sz w:val="20"/>
                <w:szCs w:val="20"/>
              </w:rPr>
              <w:lastRenderedPageBreak/>
              <w:t>Promoción del acceso a la energía en ZNI</w:t>
            </w:r>
            <w:r w:rsidR="00471B0F" w:rsidRPr="00C2459A">
              <w:rPr>
                <w:rFonts w:ascii="Arial" w:hAnsi="Arial" w:cs="Arial"/>
                <w:b/>
                <w:sz w:val="20"/>
                <w:szCs w:val="20"/>
              </w:rPr>
              <w:t xml:space="preserve"> con FNCER</w:t>
            </w:r>
          </w:p>
        </w:tc>
        <w:tc>
          <w:tcPr>
            <w:tcW w:w="1665" w:type="dxa"/>
            <w:shd w:val="clear" w:color="auto" w:fill="C6D9F1" w:themeFill="text2" w:themeFillTint="33"/>
          </w:tcPr>
          <w:p w14:paraId="7A32C965" w14:textId="77777777" w:rsidR="00001CF3" w:rsidRPr="00855594" w:rsidRDefault="00001CF3" w:rsidP="00525FA1">
            <w:pPr>
              <w:spacing w:after="0" w:line="240" w:lineRule="auto"/>
              <w:rPr>
                <w:rFonts w:ascii="Arial" w:hAnsi="Arial" w:cs="Arial"/>
                <w:b/>
                <w:sz w:val="20"/>
                <w:szCs w:val="20"/>
                <w:lang w:val="es-CO"/>
              </w:rPr>
            </w:pPr>
          </w:p>
        </w:tc>
      </w:tr>
      <w:tr w:rsidR="00855594" w:rsidRPr="003006F8" w14:paraId="7A32C96F" w14:textId="77777777" w:rsidTr="00DF40E6">
        <w:trPr>
          <w:trHeight w:val="54"/>
          <w:jc w:val="center"/>
        </w:trPr>
        <w:tc>
          <w:tcPr>
            <w:tcW w:w="2065" w:type="dxa"/>
            <w:vAlign w:val="center"/>
          </w:tcPr>
          <w:p w14:paraId="7A32C967" w14:textId="0ADE1AD5" w:rsidR="00525FA1" w:rsidRPr="00855594" w:rsidRDefault="00786139" w:rsidP="00CB2819">
            <w:pPr>
              <w:pStyle w:val="ListParagraph"/>
              <w:spacing w:after="0" w:line="240" w:lineRule="auto"/>
              <w:ind w:left="340" w:hanging="340"/>
              <w:rPr>
                <w:rFonts w:ascii="Arial" w:hAnsi="Arial" w:cs="Arial"/>
                <w:sz w:val="20"/>
                <w:szCs w:val="20"/>
                <w:lang w:val="es-ES_tradnl"/>
              </w:rPr>
            </w:pPr>
            <w:r>
              <w:rPr>
                <w:rFonts w:ascii="Arial" w:hAnsi="Arial" w:cs="Arial"/>
                <w:sz w:val="20"/>
                <w:szCs w:val="20"/>
                <w:lang w:val="es-ES_tradnl"/>
              </w:rPr>
              <w:t>3</w:t>
            </w:r>
            <w:r w:rsidR="00525FA1" w:rsidRPr="00855594">
              <w:rPr>
                <w:rFonts w:ascii="Arial" w:hAnsi="Arial" w:cs="Arial"/>
                <w:sz w:val="20"/>
                <w:szCs w:val="20"/>
                <w:lang w:val="es-ES_tradnl"/>
              </w:rPr>
              <w:t xml:space="preserve">.1 Capacidad instalada de FNCER en ZNI </w:t>
            </w:r>
          </w:p>
        </w:tc>
        <w:tc>
          <w:tcPr>
            <w:tcW w:w="1080" w:type="dxa"/>
            <w:vAlign w:val="center"/>
          </w:tcPr>
          <w:p w14:paraId="7A32C968" w14:textId="77777777"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MW</w:t>
            </w:r>
          </w:p>
        </w:tc>
        <w:tc>
          <w:tcPr>
            <w:tcW w:w="990" w:type="dxa"/>
            <w:vAlign w:val="center"/>
          </w:tcPr>
          <w:p w14:paraId="7E419A7D" w14:textId="77777777" w:rsidR="00001CF3"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 xml:space="preserve">2,8 </w:t>
            </w:r>
          </w:p>
          <w:p w14:paraId="7A32C969" w14:textId="610B0166" w:rsidR="00525FA1" w:rsidRPr="006906C8" w:rsidRDefault="00525FA1"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w:t>
            </w:r>
            <w:r w:rsidR="00001CF3" w:rsidRPr="006906C8">
              <w:rPr>
                <w:rFonts w:ascii="Arial" w:hAnsi="Arial" w:cs="Arial"/>
                <w:sz w:val="20"/>
                <w:szCs w:val="20"/>
                <w:lang w:val="es-ES"/>
              </w:rPr>
              <w:t>1,06</w:t>
            </w:r>
            <w:r w:rsidRPr="006906C8">
              <w:rPr>
                <w:rFonts w:ascii="Arial" w:hAnsi="Arial" w:cs="Arial"/>
                <w:sz w:val="20"/>
                <w:szCs w:val="20"/>
                <w:lang w:val="es-ES"/>
              </w:rPr>
              <w:t>)</w:t>
            </w:r>
          </w:p>
        </w:tc>
        <w:tc>
          <w:tcPr>
            <w:tcW w:w="1194" w:type="dxa"/>
            <w:vAlign w:val="center"/>
          </w:tcPr>
          <w:p w14:paraId="7A32C96A" w14:textId="77777777" w:rsidR="00525FA1" w:rsidRPr="00855594" w:rsidRDefault="00525FA1" w:rsidP="00525FA1">
            <w:pPr>
              <w:spacing w:after="0" w:line="240" w:lineRule="auto"/>
              <w:jc w:val="center"/>
              <w:rPr>
                <w:rFonts w:ascii="Arial" w:hAnsi="Arial" w:cs="Arial"/>
                <w:sz w:val="20"/>
                <w:szCs w:val="20"/>
                <w:lang w:val="es-ES_tradnl"/>
              </w:rPr>
            </w:pPr>
            <w:r w:rsidRPr="00855594">
              <w:rPr>
                <w:rFonts w:ascii="Arial" w:hAnsi="Arial" w:cs="Arial"/>
                <w:sz w:val="20"/>
                <w:szCs w:val="20"/>
                <w:lang w:val="es-ES_tradnl"/>
              </w:rPr>
              <w:t>-</w:t>
            </w:r>
          </w:p>
        </w:tc>
        <w:tc>
          <w:tcPr>
            <w:tcW w:w="1425" w:type="dxa"/>
            <w:vAlign w:val="center"/>
          </w:tcPr>
          <w:p w14:paraId="31AE007B" w14:textId="05B8216B" w:rsidR="00525FA1" w:rsidRPr="006906C8" w:rsidRDefault="00001CF3" w:rsidP="006906C8">
            <w:pPr>
              <w:spacing w:after="0" w:line="240" w:lineRule="auto"/>
              <w:jc w:val="center"/>
              <w:rPr>
                <w:rFonts w:ascii="Arial" w:hAnsi="Arial" w:cs="Arial"/>
                <w:sz w:val="20"/>
                <w:szCs w:val="20"/>
                <w:lang w:val="es-ES"/>
              </w:rPr>
            </w:pPr>
            <w:r w:rsidRPr="00855594">
              <w:rPr>
                <w:rFonts w:ascii="Arial" w:eastAsia="Times New Roman" w:hAnsi="Arial" w:cs="Arial"/>
                <w:sz w:val="20"/>
                <w:szCs w:val="20"/>
                <w:lang w:val="es-ES" w:eastAsia="es-CO"/>
              </w:rPr>
              <w:t>2,4</w:t>
            </w:r>
          </w:p>
        </w:tc>
        <w:tc>
          <w:tcPr>
            <w:tcW w:w="1425" w:type="dxa"/>
            <w:vAlign w:val="center"/>
          </w:tcPr>
          <w:p w14:paraId="7127A6C3" w14:textId="7BAE9C41" w:rsidR="00525FA1" w:rsidRPr="006906C8" w:rsidRDefault="29AE5713" w:rsidP="006906C8">
            <w:pPr>
              <w:spacing w:after="0" w:line="240" w:lineRule="auto"/>
              <w:jc w:val="center"/>
              <w:rPr>
                <w:rFonts w:ascii="Arial" w:eastAsia="Times New Roman" w:hAnsi="Arial" w:cs="Arial"/>
                <w:sz w:val="20"/>
                <w:szCs w:val="20"/>
                <w:lang w:val="es-ES" w:eastAsia="es-CO"/>
              </w:rPr>
            </w:pPr>
            <w:r w:rsidRPr="00855594">
              <w:rPr>
                <w:rFonts w:ascii="Arial" w:eastAsia="Times New Roman" w:hAnsi="Arial" w:cs="Arial"/>
                <w:sz w:val="20"/>
                <w:szCs w:val="20"/>
                <w:lang w:val="es-ES" w:eastAsia="es-CO"/>
              </w:rPr>
              <w:t>5,0</w:t>
            </w:r>
          </w:p>
        </w:tc>
        <w:tc>
          <w:tcPr>
            <w:tcW w:w="1425" w:type="dxa"/>
            <w:vAlign w:val="center"/>
          </w:tcPr>
          <w:p w14:paraId="7A32C96B" w14:textId="35008CD5" w:rsidR="00525FA1" w:rsidRPr="006906C8" w:rsidRDefault="00525FA1" w:rsidP="006906C8">
            <w:pPr>
              <w:spacing w:after="0" w:line="240" w:lineRule="auto"/>
              <w:jc w:val="center"/>
              <w:rPr>
                <w:rFonts w:ascii="Arial" w:hAnsi="Arial" w:cs="Arial"/>
                <w:sz w:val="20"/>
                <w:szCs w:val="20"/>
                <w:lang w:val="es-ES"/>
              </w:rPr>
            </w:pPr>
            <w:r w:rsidRPr="006906C8">
              <w:rPr>
                <w:rFonts w:ascii="Arial" w:hAnsi="Arial" w:cs="Arial"/>
                <w:sz w:val="20"/>
                <w:szCs w:val="20"/>
                <w:lang w:val="es-ES"/>
              </w:rPr>
              <w:t>9</w:t>
            </w:r>
          </w:p>
        </w:tc>
        <w:tc>
          <w:tcPr>
            <w:tcW w:w="1363" w:type="dxa"/>
            <w:vAlign w:val="center"/>
          </w:tcPr>
          <w:p w14:paraId="2E2E2623" w14:textId="03E6B6A7" w:rsidR="00525FA1" w:rsidRPr="006906C8" w:rsidRDefault="29AE5713" w:rsidP="006906C8">
            <w:pPr>
              <w:spacing w:after="0" w:line="240" w:lineRule="auto"/>
              <w:jc w:val="center"/>
              <w:rPr>
                <w:rFonts w:ascii="Arial" w:eastAsia="Times New Roman" w:hAnsi="Arial" w:cs="Arial"/>
                <w:sz w:val="20"/>
                <w:szCs w:val="20"/>
                <w:lang w:val="es-ES" w:eastAsia="es-CO"/>
              </w:rPr>
            </w:pPr>
            <w:r w:rsidRPr="00855594">
              <w:rPr>
                <w:rFonts w:ascii="Arial" w:eastAsia="Times New Roman" w:hAnsi="Arial" w:cs="Arial"/>
                <w:sz w:val="20"/>
                <w:szCs w:val="20"/>
                <w:lang w:val="es-ES" w:eastAsia="es-CO"/>
              </w:rPr>
              <w:t>9,0</w:t>
            </w:r>
          </w:p>
        </w:tc>
        <w:tc>
          <w:tcPr>
            <w:tcW w:w="1538" w:type="dxa"/>
            <w:vAlign w:val="center"/>
          </w:tcPr>
          <w:p w14:paraId="7A32C96C" w14:textId="380836E1" w:rsidR="00525FA1" w:rsidRPr="00855594" w:rsidRDefault="00525FA1" w:rsidP="00001CF3">
            <w:pPr>
              <w:spacing w:after="0" w:line="240" w:lineRule="auto"/>
              <w:jc w:val="center"/>
              <w:rPr>
                <w:rFonts w:ascii="Arial" w:hAnsi="Arial" w:cs="Arial"/>
                <w:sz w:val="20"/>
                <w:szCs w:val="20"/>
                <w:lang w:val="es-BO"/>
              </w:rPr>
            </w:pPr>
            <w:r w:rsidRPr="00855594">
              <w:rPr>
                <w:rFonts w:ascii="Arial" w:hAnsi="Arial" w:cs="Arial"/>
                <w:sz w:val="20"/>
                <w:szCs w:val="20"/>
                <w:lang w:val="es-BO"/>
              </w:rPr>
              <w:t>Capacidad instalada FNCER en ZNI</w:t>
            </w:r>
          </w:p>
          <w:p w14:paraId="7A32C96D" w14:textId="77777777" w:rsidR="00525FA1" w:rsidRPr="00855594" w:rsidRDefault="00C25380" w:rsidP="00001CF3">
            <w:pPr>
              <w:spacing w:after="0" w:line="240" w:lineRule="auto"/>
              <w:jc w:val="center"/>
              <w:rPr>
                <w:rFonts w:ascii="Arial" w:hAnsi="Arial" w:cs="Arial"/>
                <w:sz w:val="20"/>
                <w:szCs w:val="20"/>
                <w:lang w:val="es-BO"/>
              </w:rPr>
            </w:pPr>
            <w:hyperlink r:id="rId17" w:history="1">
              <w:r w:rsidR="00525FA1" w:rsidRPr="006906C8">
                <w:rPr>
                  <w:rStyle w:val="Hyperlink"/>
                  <w:rFonts w:ascii="Arial" w:hAnsi="Arial" w:cs="Arial"/>
                  <w:color w:val="auto"/>
                  <w:sz w:val="20"/>
                  <w:szCs w:val="20"/>
                  <w:lang w:val="es-BO"/>
                </w:rPr>
                <w:t>UPME PIEC 2016-20</w:t>
              </w:r>
            </w:hyperlink>
          </w:p>
        </w:tc>
        <w:tc>
          <w:tcPr>
            <w:tcW w:w="1665" w:type="dxa"/>
            <w:vAlign w:val="center"/>
          </w:tcPr>
          <w:p w14:paraId="7A32C96E" w14:textId="56E1608B" w:rsidR="00525FA1" w:rsidRPr="006906C8" w:rsidRDefault="00525FA1" w:rsidP="006906C8">
            <w:pPr>
              <w:spacing w:after="0" w:line="240" w:lineRule="auto"/>
              <w:jc w:val="both"/>
              <w:rPr>
                <w:rFonts w:ascii="Arial" w:hAnsi="Arial"/>
                <w:sz w:val="20"/>
                <w:szCs w:val="20"/>
                <w:lang w:val="es-ES"/>
              </w:rPr>
            </w:pPr>
            <w:r w:rsidRPr="00855594">
              <w:rPr>
                <w:rFonts w:ascii="Arial" w:hAnsi="Arial"/>
                <w:sz w:val="20"/>
                <w:lang w:val="es-ES_tradnl"/>
              </w:rPr>
              <w:t xml:space="preserve">Para este indicador se debe revisar la </w:t>
            </w:r>
            <w:r w:rsidR="00415BC3" w:rsidRPr="00855594">
              <w:rPr>
                <w:rFonts w:ascii="Arial" w:hAnsi="Arial"/>
                <w:sz w:val="20"/>
                <w:lang w:val="es-ES_tradnl"/>
              </w:rPr>
              <w:t>línea</w:t>
            </w:r>
            <w:r w:rsidRPr="00855594">
              <w:rPr>
                <w:rFonts w:ascii="Arial" w:hAnsi="Arial"/>
                <w:sz w:val="20"/>
                <w:lang w:val="es-ES_tradnl"/>
              </w:rPr>
              <w:t xml:space="preserve"> base. En informe de gestión 2016 del Instituto de Planificación y Promoción de Soluciones Energéticas para las Zonas No Interconectadas – IPSE (página 17) menciona que se alcanzó una capacidad instalada de FNCE en las ZNI de 1,06 MW y en la matriz se </w:t>
            </w:r>
            <w:r w:rsidRPr="00855594">
              <w:rPr>
                <w:rFonts w:ascii="Arial" w:hAnsi="Arial"/>
                <w:sz w:val="20"/>
                <w:lang w:val="es-ES_tradnl"/>
              </w:rPr>
              <w:lastRenderedPageBreak/>
              <w:t xml:space="preserve">estableció </w:t>
            </w:r>
            <w:r w:rsidR="00415BC3" w:rsidRPr="00855594">
              <w:rPr>
                <w:rFonts w:ascii="Arial" w:hAnsi="Arial"/>
                <w:sz w:val="20"/>
                <w:lang w:val="es-ES_tradnl"/>
              </w:rPr>
              <w:t>línea</w:t>
            </w:r>
            <w:r w:rsidRPr="00855594">
              <w:rPr>
                <w:rFonts w:ascii="Arial" w:hAnsi="Arial"/>
                <w:sz w:val="20"/>
                <w:lang w:val="es-ES_tradnl"/>
              </w:rPr>
              <w:t xml:space="preserve"> base a 2013 de 2,8 MW. </w:t>
            </w:r>
          </w:p>
        </w:tc>
      </w:tr>
    </w:tbl>
    <w:p w14:paraId="06A5AEEE" w14:textId="1D348DDF" w:rsidR="00E7397E" w:rsidRDefault="00E7397E" w:rsidP="00B75258">
      <w:pPr>
        <w:autoSpaceDE w:val="0"/>
        <w:autoSpaceDN w:val="0"/>
        <w:adjustRightInd w:val="0"/>
        <w:spacing w:after="120" w:line="240" w:lineRule="auto"/>
        <w:jc w:val="center"/>
        <w:rPr>
          <w:rFonts w:ascii="Arial" w:hAnsi="Arial" w:cs="Arial"/>
          <w:sz w:val="20"/>
          <w:szCs w:val="20"/>
          <w:lang w:val="es-ES_tradnl"/>
        </w:rPr>
      </w:pPr>
    </w:p>
    <w:tbl>
      <w:tblPr>
        <w:tblW w:w="13956"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0"/>
        <w:gridCol w:w="1260"/>
        <w:gridCol w:w="1440"/>
        <w:gridCol w:w="906"/>
        <w:gridCol w:w="900"/>
        <w:gridCol w:w="900"/>
        <w:gridCol w:w="2401"/>
        <w:gridCol w:w="1469"/>
      </w:tblGrid>
      <w:tr w:rsidR="00EE5F5D" w:rsidRPr="00D1081B" w14:paraId="3A2CDF2C" w14:textId="77777777" w:rsidTr="00B41376">
        <w:trPr>
          <w:trHeight w:val="1070"/>
          <w:tblHeader/>
        </w:trPr>
        <w:tc>
          <w:tcPr>
            <w:tcW w:w="4680" w:type="dxa"/>
            <w:shd w:val="clear" w:color="auto" w:fill="D9D9D9" w:themeFill="background1" w:themeFillShade="D9"/>
            <w:vAlign w:val="center"/>
          </w:tcPr>
          <w:p w14:paraId="35A19F5F" w14:textId="77777777" w:rsidR="00EE5F5D" w:rsidRPr="00D1081B" w:rsidRDefault="00EE5F5D" w:rsidP="00DF6896">
            <w:pPr>
              <w:spacing w:after="0" w:line="240" w:lineRule="auto"/>
              <w:jc w:val="center"/>
              <w:rPr>
                <w:rFonts w:ascii="Arial" w:hAnsi="Arial" w:cs="Arial"/>
                <w:b/>
                <w:sz w:val="20"/>
                <w:szCs w:val="20"/>
                <w:lang w:val="es-CR"/>
              </w:rPr>
            </w:pPr>
            <w:r w:rsidRPr="00D1081B">
              <w:rPr>
                <w:rFonts w:ascii="Arial" w:hAnsi="Arial" w:cs="Arial"/>
                <w:b/>
                <w:sz w:val="20"/>
                <w:szCs w:val="20"/>
                <w:lang w:val="es-CR"/>
              </w:rPr>
              <w:t>Indicador de Producto</w:t>
            </w:r>
          </w:p>
        </w:tc>
        <w:tc>
          <w:tcPr>
            <w:tcW w:w="1260" w:type="dxa"/>
            <w:shd w:val="clear" w:color="auto" w:fill="D9D9D9" w:themeFill="background1" w:themeFillShade="D9"/>
            <w:vAlign w:val="center"/>
          </w:tcPr>
          <w:p w14:paraId="146BD2FC" w14:textId="35E0FA90" w:rsidR="00EE5F5D" w:rsidRPr="00D1081B" w:rsidRDefault="00EE5F5D" w:rsidP="00DF6896">
            <w:pPr>
              <w:spacing w:after="0" w:line="240" w:lineRule="auto"/>
              <w:jc w:val="center"/>
              <w:rPr>
                <w:rFonts w:ascii="Arial" w:hAnsi="Arial" w:cs="Arial"/>
                <w:b/>
                <w:sz w:val="20"/>
                <w:szCs w:val="20"/>
                <w:lang w:val="es-CR"/>
              </w:rPr>
            </w:pPr>
            <w:r w:rsidRPr="00D1081B">
              <w:rPr>
                <w:rFonts w:ascii="Arial" w:hAnsi="Arial" w:cs="Arial"/>
                <w:b/>
                <w:sz w:val="20"/>
                <w:szCs w:val="20"/>
                <w:lang w:val="es-CR"/>
              </w:rPr>
              <w:t>Unidad de medida</w:t>
            </w:r>
          </w:p>
        </w:tc>
        <w:tc>
          <w:tcPr>
            <w:tcW w:w="1440" w:type="dxa"/>
            <w:shd w:val="clear" w:color="auto" w:fill="D9D9D9" w:themeFill="background1" w:themeFillShade="D9"/>
            <w:vAlign w:val="center"/>
          </w:tcPr>
          <w:p w14:paraId="62F8A81C" w14:textId="77777777" w:rsidR="00084611" w:rsidRDefault="00EE5F5D" w:rsidP="00084611">
            <w:pPr>
              <w:spacing w:after="0" w:line="240" w:lineRule="auto"/>
              <w:jc w:val="center"/>
              <w:rPr>
                <w:rFonts w:ascii="Arial" w:hAnsi="Arial" w:cs="Arial"/>
                <w:b/>
                <w:sz w:val="20"/>
                <w:szCs w:val="20"/>
                <w:lang w:val="es-CR"/>
              </w:rPr>
            </w:pPr>
            <w:r w:rsidRPr="00D1081B">
              <w:rPr>
                <w:rFonts w:ascii="Arial" w:hAnsi="Arial" w:cs="Arial"/>
                <w:b/>
                <w:sz w:val="20"/>
                <w:szCs w:val="20"/>
                <w:lang w:val="es-CR"/>
              </w:rPr>
              <w:t>Línea de base</w:t>
            </w:r>
          </w:p>
          <w:p w14:paraId="42EE291F" w14:textId="377DD995" w:rsidR="00EE5F5D" w:rsidRPr="00D1081B" w:rsidRDefault="00EE5F5D" w:rsidP="00084611">
            <w:pPr>
              <w:spacing w:after="0" w:line="240" w:lineRule="auto"/>
              <w:jc w:val="center"/>
              <w:rPr>
                <w:rFonts w:ascii="Arial" w:hAnsi="Arial" w:cs="Arial"/>
                <w:b/>
                <w:sz w:val="20"/>
                <w:szCs w:val="20"/>
                <w:lang w:val="es-CR"/>
              </w:rPr>
            </w:pPr>
            <w:r w:rsidRPr="00D1081B">
              <w:rPr>
                <w:rFonts w:ascii="Arial" w:hAnsi="Arial" w:cs="Arial"/>
                <w:b/>
                <w:sz w:val="20"/>
                <w:szCs w:val="20"/>
                <w:lang w:val="es-CR"/>
              </w:rPr>
              <w:t>1/1/201</w:t>
            </w:r>
            <w:r w:rsidR="00331736">
              <w:rPr>
                <w:rFonts w:ascii="Arial" w:hAnsi="Arial" w:cs="Arial"/>
                <w:b/>
                <w:sz w:val="20"/>
                <w:szCs w:val="20"/>
                <w:lang w:val="es-CR"/>
              </w:rPr>
              <w:t>7</w:t>
            </w:r>
          </w:p>
        </w:tc>
        <w:tc>
          <w:tcPr>
            <w:tcW w:w="906" w:type="dxa"/>
            <w:shd w:val="clear" w:color="auto" w:fill="D9D9D9" w:themeFill="background1" w:themeFillShade="D9"/>
            <w:vAlign w:val="center"/>
          </w:tcPr>
          <w:p w14:paraId="45AC74CF" w14:textId="77777777" w:rsidR="00EE5F5D" w:rsidRPr="00D1081B" w:rsidRDefault="00EE5F5D" w:rsidP="00DF6896">
            <w:pPr>
              <w:spacing w:after="0" w:line="240" w:lineRule="auto"/>
              <w:jc w:val="center"/>
              <w:rPr>
                <w:rFonts w:ascii="Arial" w:hAnsi="Arial" w:cs="Arial"/>
                <w:b/>
                <w:sz w:val="20"/>
                <w:szCs w:val="20"/>
                <w:lang w:val="es-CR"/>
              </w:rPr>
            </w:pPr>
            <w:r w:rsidRPr="00D1081B">
              <w:rPr>
                <w:rFonts w:ascii="Arial" w:hAnsi="Arial" w:cs="Arial"/>
                <w:b/>
                <w:sz w:val="20"/>
                <w:szCs w:val="20"/>
                <w:lang w:val="es-CR"/>
              </w:rPr>
              <w:t>Meta</w:t>
            </w:r>
          </w:p>
          <w:p w14:paraId="040A0E48" w14:textId="29108FBB" w:rsidR="00EE5F5D" w:rsidRPr="00D1081B" w:rsidRDefault="00EE5F5D" w:rsidP="00DF6896">
            <w:pPr>
              <w:spacing w:after="0" w:line="240" w:lineRule="auto"/>
              <w:jc w:val="center"/>
              <w:rPr>
                <w:rFonts w:ascii="Arial" w:hAnsi="Arial" w:cs="Arial"/>
                <w:b/>
                <w:sz w:val="20"/>
                <w:szCs w:val="20"/>
                <w:lang w:val="es-CR"/>
              </w:rPr>
            </w:pPr>
            <w:r w:rsidRPr="00D1081B">
              <w:rPr>
                <w:rFonts w:ascii="Arial" w:hAnsi="Arial" w:cs="Arial"/>
                <w:b/>
                <w:sz w:val="20"/>
                <w:szCs w:val="20"/>
                <w:lang w:val="es-CR"/>
              </w:rPr>
              <w:t>(201</w:t>
            </w:r>
            <w:r w:rsidR="00331736">
              <w:rPr>
                <w:rFonts w:ascii="Arial" w:hAnsi="Arial" w:cs="Arial"/>
                <w:b/>
                <w:sz w:val="20"/>
                <w:szCs w:val="20"/>
                <w:lang w:val="es-CR"/>
              </w:rPr>
              <w:t>7</w:t>
            </w:r>
            <w:r w:rsidRPr="00D1081B">
              <w:rPr>
                <w:rFonts w:ascii="Arial" w:hAnsi="Arial" w:cs="Arial"/>
                <w:b/>
                <w:sz w:val="20"/>
                <w:szCs w:val="20"/>
                <w:lang w:val="es-CR"/>
              </w:rPr>
              <w:t>)</w:t>
            </w:r>
          </w:p>
        </w:tc>
        <w:tc>
          <w:tcPr>
            <w:tcW w:w="900" w:type="dxa"/>
            <w:shd w:val="clear" w:color="auto" w:fill="D9D9D9" w:themeFill="background1" w:themeFillShade="D9"/>
            <w:vAlign w:val="center"/>
          </w:tcPr>
          <w:p w14:paraId="10D294E9" w14:textId="2FC5693A" w:rsidR="00EE5F5D" w:rsidRPr="00D1081B" w:rsidRDefault="00EE5F5D" w:rsidP="00DF6896">
            <w:pPr>
              <w:spacing w:after="0" w:line="240" w:lineRule="auto"/>
              <w:jc w:val="center"/>
              <w:rPr>
                <w:rFonts w:ascii="Arial" w:hAnsi="Arial" w:cs="Arial"/>
                <w:b/>
                <w:sz w:val="20"/>
                <w:szCs w:val="20"/>
                <w:lang w:val="es-CR"/>
              </w:rPr>
            </w:pPr>
            <w:r w:rsidRPr="00D1081B">
              <w:rPr>
                <w:rFonts w:ascii="Arial" w:hAnsi="Arial" w:cs="Arial"/>
                <w:b/>
                <w:sz w:val="20"/>
                <w:szCs w:val="20"/>
                <w:lang w:val="es-CR"/>
              </w:rPr>
              <w:t>Meta (201</w:t>
            </w:r>
            <w:r w:rsidR="00331736">
              <w:rPr>
                <w:rFonts w:ascii="Arial" w:hAnsi="Arial" w:cs="Arial"/>
                <w:b/>
                <w:sz w:val="20"/>
                <w:szCs w:val="20"/>
                <w:lang w:val="es-CR"/>
              </w:rPr>
              <w:t>8</w:t>
            </w:r>
            <w:r w:rsidRPr="00D1081B">
              <w:rPr>
                <w:rFonts w:ascii="Arial" w:hAnsi="Arial" w:cs="Arial"/>
                <w:b/>
                <w:sz w:val="20"/>
                <w:szCs w:val="20"/>
                <w:lang w:val="es-CR"/>
              </w:rPr>
              <w:t>)</w:t>
            </w:r>
          </w:p>
        </w:tc>
        <w:tc>
          <w:tcPr>
            <w:tcW w:w="900" w:type="dxa"/>
            <w:shd w:val="clear" w:color="auto" w:fill="D9D9D9" w:themeFill="background1" w:themeFillShade="D9"/>
            <w:vAlign w:val="center"/>
          </w:tcPr>
          <w:p w14:paraId="79A75D52" w14:textId="3B90547D" w:rsidR="00EE5F5D" w:rsidRPr="00D1081B" w:rsidRDefault="00EE5F5D" w:rsidP="00DF6896">
            <w:pPr>
              <w:spacing w:after="0" w:line="240" w:lineRule="auto"/>
              <w:jc w:val="center"/>
              <w:rPr>
                <w:rFonts w:ascii="Arial" w:hAnsi="Arial" w:cs="Arial"/>
                <w:b/>
                <w:sz w:val="20"/>
                <w:szCs w:val="20"/>
                <w:lang w:val="es-CR"/>
              </w:rPr>
            </w:pPr>
            <w:r w:rsidRPr="00D1081B">
              <w:rPr>
                <w:rFonts w:ascii="Arial" w:hAnsi="Arial" w:cs="Arial"/>
                <w:b/>
                <w:sz w:val="20"/>
                <w:szCs w:val="20"/>
                <w:lang w:val="es-CR"/>
              </w:rPr>
              <w:t>Meta (201</w:t>
            </w:r>
            <w:r w:rsidR="00331736">
              <w:rPr>
                <w:rFonts w:ascii="Arial" w:hAnsi="Arial" w:cs="Arial"/>
                <w:b/>
                <w:sz w:val="20"/>
                <w:szCs w:val="20"/>
                <w:lang w:val="es-CR"/>
              </w:rPr>
              <w:t>9</w:t>
            </w:r>
            <w:r w:rsidRPr="00D1081B">
              <w:rPr>
                <w:rFonts w:ascii="Arial" w:hAnsi="Arial" w:cs="Arial"/>
                <w:b/>
                <w:sz w:val="20"/>
                <w:szCs w:val="20"/>
                <w:lang w:val="es-CR"/>
              </w:rPr>
              <w:t>)</w:t>
            </w:r>
          </w:p>
        </w:tc>
        <w:tc>
          <w:tcPr>
            <w:tcW w:w="2401" w:type="dxa"/>
            <w:shd w:val="clear" w:color="auto" w:fill="D9D9D9" w:themeFill="background1" w:themeFillShade="D9"/>
            <w:vAlign w:val="center"/>
          </w:tcPr>
          <w:p w14:paraId="2C38015D" w14:textId="71712957" w:rsidR="00EE5F5D" w:rsidRPr="00D1081B" w:rsidRDefault="00EE5F5D" w:rsidP="00084611">
            <w:pPr>
              <w:spacing w:after="0" w:line="240" w:lineRule="auto"/>
              <w:jc w:val="center"/>
              <w:rPr>
                <w:rFonts w:ascii="Arial" w:hAnsi="Arial" w:cs="Arial"/>
                <w:b/>
                <w:sz w:val="20"/>
                <w:szCs w:val="20"/>
                <w:lang w:val="es-CR"/>
              </w:rPr>
            </w:pPr>
            <w:r w:rsidRPr="00D1081B">
              <w:rPr>
                <w:rFonts w:ascii="Arial" w:hAnsi="Arial" w:cs="Arial"/>
                <w:b/>
                <w:sz w:val="20"/>
                <w:szCs w:val="20"/>
                <w:lang w:val="es-CR"/>
              </w:rPr>
              <w:t>Medios de verificación /Observaciones</w:t>
            </w:r>
          </w:p>
        </w:tc>
        <w:tc>
          <w:tcPr>
            <w:tcW w:w="1469" w:type="dxa"/>
            <w:shd w:val="clear" w:color="auto" w:fill="D9D9D9" w:themeFill="background1" w:themeFillShade="D9"/>
            <w:vAlign w:val="center"/>
          </w:tcPr>
          <w:p w14:paraId="7B9910F7" w14:textId="47DCF7DA" w:rsidR="00EE5F5D" w:rsidRPr="00D1081B" w:rsidRDefault="00EE5F5D" w:rsidP="00DF6896">
            <w:pPr>
              <w:spacing w:after="0" w:line="240" w:lineRule="auto"/>
              <w:jc w:val="center"/>
              <w:rPr>
                <w:rFonts w:ascii="Arial" w:hAnsi="Arial" w:cs="Arial"/>
                <w:b/>
                <w:sz w:val="20"/>
                <w:szCs w:val="20"/>
                <w:lang w:val="es-CR"/>
              </w:rPr>
            </w:pPr>
            <w:r w:rsidRPr="00D1081B">
              <w:rPr>
                <w:rFonts w:ascii="Arial" w:hAnsi="Arial" w:cs="Arial"/>
                <w:b/>
                <w:sz w:val="20"/>
                <w:szCs w:val="20"/>
                <w:lang w:val="es-CR"/>
              </w:rPr>
              <w:t>Comentarios</w:t>
            </w:r>
          </w:p>
        </w:tc>
      </w:tr>
      <w:tr w:rsidR="00EE5F5D" w:rsidRPr="003006F8" w14:paraId="3D9A7F93" w14:textId="77777777" w:rsidTr="00B41376">
        <w:trPr>
          <w:trHeight w:val="64"/>
        </w:trPr>
        <w:tc>
          <w:tcPr>
            <w:tcW w:w="12487" w:type="dxa"/>
            <w:gridSpan w:val="7"/>
            <w:shd w:val="clear" w:color="auto" w:fill="C6D9F1" w:themeFill="text2" w:themeFillTint="33"/>
          </w:tcPr>
          <w:p w14:paraId="667A762C" w14:textId="3FC1BE36" w:rsidR="00EE5F5D" w:rsidRPr="00F1270F" w:rsidRDefault="00EE5F5D" w:rsidP="00DF6896">
            <w:pPr>
              <w:spacing w:after="0" w:line="240" w:lineRule="auto"/>
              <w:rPr>
                <w:rFonts w:ascii="Arial" w:hAnsi="Arial" w:cs="Arial"/>
                <w:b/>
                <w:sz w:val="20"/>
                <w:szCs w:val="20"/>
                <w:lang w:val="es-BO"/>
              </w:rPr>
            </w:pPr>
            <w:r w:rsidRPr="00F1270F">
              <w:rPr>
                <w:rFonts w:ascii="Arial" w:hAnsi="Arial" w:cs="Arial"/>
                <w:b/>
                <w:sz w:val="20"/>
                <w:szCs w:val="20"/>
                <w:lang w:val="es-BO"/>
              </w:rPr>
              <w:t xml:space="preserve">Componente </w:t>
            </w:r>
            <w:r w:rsidR="00445A56">
              <w:rPr>
                <w:rFonts w:ascii="Arial" w:hAnsi="Arial" w:cs="Arial"/>
                <w:b/>
                <w:sz w:val="20"/>
                <w:szCs w:val="20"/>
                <w:lang w:val="es-BO"/>
              </w:rPr>
              <w:t>II</w:t>
            </w:r>
            <w:r w:rsidRPr="00F1270F">
              <w:rPr>
                <w:rFonts w:ascii="Arial" w:hAnsi="Arial" w:cs="Arial"/>
                <w:b/>
                <w:sz w:val="20"/>
                <w:szCs w:val="20"/>
                <w:lang w:val="es-BO"/>
              </w:rPr>
              <w:t xml:space="preserve">. </w:t>
            </w:r>
            <w:r w:rsidRPr="00096006">
              <w:rPr>
                <w:rFonts w:ascii="Arial" w:hAnsi="Arial" w:cs="Arial"/>
                <w:b/>
                <w:sz w:val="20"/>
                <w:szCs w:val="20"/>
                <w:lang w:val="es-ES_tradnl"/>
              </w:rPr>
              <w:t>Apoyo a la confiabilidad del abastecimiento eléctrico del SIN</w:t>
            </w:r>
            <w:r w:rsidRPr="00F1270F">
              <w:rPr>
                <w:rFonts w:ascii="Arial" w:hAnsi="Arial" w:cs="Arial"/>
                <w:b/>
                <w:sz w:val="20"/>
                <w:szCs w:val="20"/>
                <w:lang w:val="es-BO"/>
              </w:rPr>
              <w:t>.</w:t>
            </w:r>
          </w:p>
        </w:tc>
        <w:tc>
          <w:tcPr>
            <w:tcW w:w="1469" w:type="dxa"/>
            <w:shd w:val="clear" w:color="auto" w:fill="C6D9F1" w:themeFill="text2" w:themeFillTint="33"/>
          </w:tcPr>
          <w:p w14:paraId="03145200" w14:textId="77777777" w:rsidR="00EE5F5D" w:rsidRPr="00F1270F" w:rsidRDefault="00EE5F5D" w:rsidP="00DF6896">
            <w:pPr>
              <w:spacing w:after="0" w:line="240" w:lineRule="auto"/>
              <w:rPr>
                <w:rFonts w:ascii="Arial" w:hAnsi="Arial" w:cs="Arial"/>
                <w:b/>
                <w:sz w:val="20"/>
                <w:szCs w:val="20"/>
                <w:lang w:val="es-BO"/>
              </w:rPr>
            </w:pPr>
          </w:p>
        </w:tc>
      </w:tr>
      <w:tr w:rsidR="00EE5F5D" w:rsidRPr="003006F8" w14:paraId="3F923CF5" w14:textId="77777777" w:rsidTr="00B41376">
        <w:trPr>
          <w:trHeight w:val="64"/>
        </w:trPr>
        <w:tc>
          <w:tcPr>
            <w:tcW w:w="12487" w:type="dxa"/>
            <w:gridSpan w:val="7"/>
            <w:shd w:val="clear" w:color="auto" w:fill="C6D9F1" w:themeFill="text2" w:themeFillTint="33"/>
          </w:tcPr>
          <w:p w14:paraId="6B1CFF5F" w14:textId="77777777" w:rsidR="00EE5F5D" w:rsidRPr="00096006" w:rsidRDefault="00EE5F5D" w:rsidP="00445A56">
            <w:pPr>
              <w:spacing w:after="0" w:line="240" w:lineRule="auto"/>
              <w:rPr>
                <w:rFonts w:ascii="Arial" w:hAnsi="Arial" w:cs="Arial"/>
                <w:b/>
                <w:sz w:val="20"/>
                <w:szCs w:val="20"/>
                <w:lang w:val="es-ES_tradnl"/>
              </w:rPr>
            </w:pPr>
            <w:r w:rsidRPr="00096006">
              <w:rPr>
                <w:rFonts w:ascii="Arial" w:hAnsi="Arial" w:cs="Arial"/>
                <w:b/>
                <w:sz w:val="20"/>
                <w:szCs w:val="20"/>
                <w:lang w:val="es-ES_tradnl"/>
              </w:rPr>
              <w:t>Subcomponente 2.1. Apoyo a la diversificación de la matriz energética y a la integración eléctrica regional</w:t>
            </w:r>
          </w:p>
        </w:tc>
        <w:tc>
          <w:tcPr>
            <w:tcW w:w="1469" w:type="dxa"/>
            <w:shd w:val="clear" w:color="auto" w:fill="C6D9F1" w:themeFill="text2" w:themeFillTint="33"/>
          </w:tcPr>
          <w:p w14:paraId="527DCF9B" w14:textId="77777777" w:rsidR="00EE5F5D" w:rsidRPr="00F1270F" w:rsidRDefault="00EE5F5D" w:rsidP="00DF6896">
            <w:pPr>
              <w:spacing w:after="0" w:line="240" w:lineRule="auto"/>
              <w:rPr>
                <w:rFonts w:ascii="Arial" w:hAnsi="Arial" w:cs="Arial"/>
                <w:b/>
                <w:sz w:val="20"/>
                <w:szCs w:val="20"/>
                <w:lang w:val="es-BO"/>
              </w:rPr>
            </w:pPr>
          </w:p>
        </w:tc>
      </w:tr>
      <w:tr w:rsidR="00331736" w:rsidRPr="003006F8" w14:paraId="672701A6" w14:textId="77777777" w:rsidTr="00B41376">
        <w:trPr>
          <w:trHeight w:val="58"/>
        </w:trPr>
        <w:tc>
          <w:tcPr>
            <w:tcW w:w="4680" w:type="dxa"/>
            <w:vAlign w:val="center"/>
          </w:tcPr>
          <w:p w14:paraId="68396010" w14:textId="0AB7086F" w:rsidR="00331736" w:rsidRPr="00F1270F" w:rsidRDefault="00331736" w:rsidP="00331736">
            <w:pPr>
              <w:pStyle w:val="ListParagraph"/>
              <w:numPr>
                <w:ilvl w:val="0"/>
                <w:numId w:val="22"/>
              </w:numPr>
              <w:tabs>
                <w:tab w:val="left" w:pos="354"/>
              </w:tabs>
              <w:spacing w:after="0" w:line="240" w:lineRule="auto"/>
              <w:ind w:left="360"/>
              <w:jc w:val="both"/>
              <w:rPr>
                <w:rFonts w:ascii="Arial" w:hAnsi="Arial" w:cs="Arial"/>
                <w:sz w:val="20"/>
                <w:szCs w:val="20"/>
              </w:rPr>
            </w:pPr>
            <w:r w:rsidRPr="00EE5F5D">
              <w:rPr>
                <w:rFonts w:ascii="Arial" w:hAnsi="Arial" w:cs="Arial"/>
                <w:sz w:val="20"/>
                <w:szCs w:val="20"/>
              </w:rPr>
              <w:t>Decreto MME 570 de marzo 23 2018 por el cual se dan los lineamientos de política y mecanismos para la contratación a largo plazo de proyectos de generación de energía eléctrica, incluyendo las fuentes no convencionales</w:t>
            </w:r>
          </w:p>
        </w:tc>
        <w:tc>
          <w:tcPr>
            <w:tcW w:w="1260" w:type="dxa"/>
            <w:vAlign w:val="center"/>
          </w:tcPr>
          <w:p w14:paraId="7C273694" w14:textId="0F3DF389" w:rsidR="00331736" w:rsidRPr="00F1270F" w:rsidRDefault="00331736" w:rsidP="00331736">
            <w:pPr>
              <w:spacing w:after="0" w:line="240" w:lineRule="auto"/>
              <w:jc w:val="center"/>
              <w:rPr>
                <w:rFonts w:ascii="Arial" w:hAnsi="Arial" w:cs="Arial"/>
                <w:sz w:val="20"/>
                <w:szCs w:val="20"/>
                <w:lang w:val="es-BO"/>
              </w:rPr>
            </w:pPr>
            <w:r>
              <w:rPr>
                <w:rFonts w:ascii="Arial" w:hAnsi="Arial" w:cs="Arial"/>
                <w:sz w:val="20"/>
                <w:szCs w:val="20"/>
                <w:lang w:val="es-BO"/>
              </w:rPr>
              <w:t>Decreto</w:t>
            </w:r>
          </w:p>
        </w:tc>
        <w:tc>
          <w:tcPr>
            <w:tcW w:w="1440" w:type="dxa"/>
            <w:vAlign w:val="center"/>
          </w:tcPr>
          <w:p w14:paraId="0765B3C5" w14:textId="7B88A01B" w:rsidR="00331736" w:rsidRPr="00F1270F" w:rsidRDefault="007762E4" w:rsidP="0033173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63AE4489" w14:textId="437332D4" w:rsidR="00331736" w:rsidRPr="00F1270F" w:rsidRDefault="007762E4" w:rsidP="0033173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2F882FE9" w14:textId="5B9A56FA" w:rsidR="00331736" w:rsidRPr="00F1270F" w:rsidRDefault="007762E4" w:rsidP="00331736">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16A2C5F4" w14:textId="4B078BBD" w:rsidR="00331736" w:rsidRPr="00F1270F" w:rsidRDefault="007762E4" w:rsidP="0033173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7D90DFFA" w14:textId="73A1AA54" w:rsidR="00331736" w:rsidRPr="006906C8" w:rsidRDefault="0034382B" w:rsidP="006906C8">
            <w:pPr>
              <w:spacing w:after="0" w:line="240" w:lineRule="auto"/>
              <w:rPr>
                <w:rFonts w:ascii="Arial" w:hAnsi="Arial" w:cs="Arial"/>
                <w:sz w:val="20"/>
                <w:szCs w:val="20"/>
                <w:lang w:val="es-CO"/>
              </w:rPr>
            </w:pPr>
            <w:r w:rsidRPr="006906C8">
              <w:rPr>
                <w:rFonts w:ascii="Arial" w:hAnsi="Arial" w:cs="Arial"/>
                <w:sz w:val="20"/>
                <w:szCs w:val="20"/>
                <w:lang w:val="es-CO"/>
              </w:rPr>
              <w:t xml:space="preserve">Diario Oficial No. 50.544 del 23 de marzo de 2018 que contiene el Decreto 570 del MME por el cual se dan los lineamientos de política y mecanismos para la contratación a largo plazo de proyectos de generación de energía eléctrica, incluyendo las fuentes no convencionales. </w:t>
            </w:r>
          </w:p>
        </w:tc>
        <w:tc>
          <w:tcPr>
            <w:tcW w:w="1469" w:type="dxa"/>
            <w:vAlign w:val="center"/>
          </w:tcPr>
          <w:p w14:paraId="39ED7ED2" w14:textId="77777777" w:rsidR="00331736" w:rsidRPr="00F1270F" w:rsidRDefault="00331736" w:rsidP="00331736">
            <w:pPr>
              <w:spacing w:after="0"/>
              <w:jc w:val="center"/>
              <w:rPr>
                <w:rFonts w:ascii="Arial" w:hAnsi="Arial" w:cs="Arial"/>
                <w:sz w:val="20"/>
                <w:szCs w:val="20"/>
                <w:lang w:val="es-ES_tradnl"/>
              </w:rPr>
            </w:pPr>
          </w:p>
        </w:tc>
      </w:tr>
      <w:tr w:rsidR="007762E4" w:rsidRPr="003006F8" w14:paraId="457FB609" w14:textId="77777777" w:rsidTr="00B41376">
        <w:trPr>
          <w:trHeight w:val="58"/>
        </w:trPr>
        <w:tc>
          <w:tcPr>
            <w:tcW w:w="4680" w:type="dxa"/>
            <w:vAlign w:val="center"/>
          </w:tcPr>
          <w:p w14:paraId="5E772275" w14:textId="46DF136F" w:rsidR="007762E4" w:rsidRPr="00F1270F" w:rsidRDefault="007762E4" w:rsidP="007762E4">
            <w:pPr>
              <w:pStyle w:val="ListParagraph"/>
              <w:numPr>
                <w:ilvl w:val="0"/>
                <w:numId w:val="22"/>
              </w:numPr>
              <w:tabs>
                <w:tab w:val="left" w:pos="354"/>
              </w:tabs>
              <w:spacing w:after="0" w:line="240" w:lineRule="auto"/>
              <w:ind w:left="360"/>
              <w:jc w:val="both"/>
              <w:rPr>
                <w:rFonts w:ascii="Arial" w:hAnsi="Arial" w:cs="Arial"/>
                <w:sz w:val="20"/>
                <w:szCs w:val="20"/>
                <w:lang w:val="es-BO"/>
              </w:rPr>
            </w:pPr>
            <w:r w:rsidRPr="00EE5F5D">
              <w:rPr>
                <w:rFonts w:ascii="Arial" w:hAnsi="Arial" w:cs="Arial"/>
                <w:sz w:val="20"/>
                <w:szCs w:val="20"/>
                <w:lang w:val="es-BO"/>
              </w:rPr>
              <w:t>Resolución MME 40795 de 31 julio 2018 por la cual se ordena la convocatoria para la subasta de la contratación de largo plazo, incluyendo las energías renovables no convencionales.</w:t>
            </w:r>
          </w:p>
        </w:tc>
        <w:tc>
          <w:tcPr>
            <w:tcW w:w="1260" w:type="dxa"/>
            <w:vAlign w:val="center"/>
          </w:tcPr>
          <w:p w14:paraId="1B71C496" w14:textId="3FB957CA" w:rsidR="007762E4" w:rsidRPr="00F1270F" w:rsidRDefault="007762E4" w:rsidP="007762E4">
            <w:pPr>
              <w:spacing w:after="0" w:line="240" w:lineRule="auto"/>
              <w:ind w:left="-87" w:hanging="90"/>
              <w:jc w:val="center"/>
              <w:rPr>
                <w:rFonts w:ascii="Arial" w:hAnsi="Arial" w:cs="Arial"/>
                <w:sz w:val="20"/>
                <w:szCs w:val="20"/>
                <w:lang w:val="es-ES_tradnl"/>
              </w:rPr>
            </w:pPr>
            <w:r>
              <w:rPr>
                <w:rFonts w:ascii="Arial" w:hAnsi="Arial" w:cs="Arial"/>
                <w:sz w:val="20"/>
                <w:szCs w:val="20"/>
                <w:lang w:val="es-ES_tradnl"/>
              </w:rPr>
              <w:t>Resolución</w:t>
            </w:r>
          </w:p>
        </w:tc>
        <w:tc>
          <w:tcPr>
            <w:tcW w:w="1440" w:type="dxa"/>
            <w:vAlign w:val="center"/>
          </w:tcPr>
          <w:p w14:paraId="768F7F69" w14:textId="45CEA7C9"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7A17E5F0" w14:textId="2407A19D"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01DD1FB4" w14:textId="53CFC479"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1B15E514" w14:textId="64B137E3"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3201FBF2" w14:textId="0AD6A2D4" w:rsidR="007762E4" w:rsidRPr="001C2435" w:rsidRDefault="00354CB3" w:rsidP="007762E4">
            <w:pPr>
              <w:spacing w:after="0" w:line="240" w:lineRule="auto"/>
              <w:rPr>
                <w:rFonts w:ascii="Arial" w:hAnsi="Arial" w:cs="Arial"/>
                <w:sz w:val="20"/>
                <w:szCs w:val="20"/>
                <w:lang w:val="es-BO"/>
              </w:rPr>
            </w:pPr>
            <w:r w:rsidRPr="00354CB3">
              <w:rPr>
                <w:rFonts w:ascii="Arial" w:hAnsi="Arial" w:cs="Arial"/>
                <w:sz w:val="20"/>
                <w:szCs w:val="20"/>
                <w:lang w:val="es-ES_tradnl"/>
              </w:rPr>
              <w:t xml:space="preserve">Diario Oficial No. 50.673 del 2 de agosto de 2018 que contiene la Resolución del MME 4 0795 por la cual se ordena la convocatoria para la subasta de la contratación de largo plazo, incluyendo las </w:t>
            </w:r>
            <w:r w:rsidRPr="00354CB3">
              <w:rPr>
                <w:rFonts w:ascii="Arial" w:hAnsi="Arial" w:cs="Arial"/>
                <w:sz w:val="20"/>
                <w:szCs w:val="20"/>
                <w:lang w:val="es-ES_tradnl"/>
              </w:rPr>
              <w:lastRenderedPageBreak/>
              <w:t>energías renovables no convencionales.</w:t>
            </w:r>
          </w:p>
        </w:tc>
        <w:tc>
          <w:tcPr>
            <w:tcW w:w="1469" w:type="dxa"/>
            <w:vAlign w:val="center"/>
          </w:tcPr>
          <w:p w14:paraId="112B4EEE" w14:textId="77777777" w:rsidR="007762E4" w:rsidRPr="00F1270F" w:rsidRDefault="007762E4" w:rsidP="007762E4">
            <w:pPr>
              <w:spacing w:after="0" w:line="240" w:lineRule="auto"/>
              <w:jc w:val="center"/>
              <w:rPr>
                <w:rFonts w:ascii="Arial" w:hAnsi="Arial" w:cs="Arial"/>
                <w:sz w:val="20"/>
                <w:szCs w:val="20"/>
                <w:lang w:val="es-ES_tradnl"/>
              </w:rPr>
            </w:pPr>
          </w:p>
        </w:tc>
      </w:tr>
      <w:tr w:rsidR="007762E4" w:rsidRPr="003006F8" w14:paraId="0242AE96" w14:textId="77777777" w:rsidTr="00B41376">
        <w:trPr>
          <w:trHeight w:val="58"/>
        </w:trPr>
        <w:tc>
          <w:tcPr>
            <w:tcW w:w="4680" w:type="dxa"/>
            <w:vAlign w:val="center"/>
          </w:tcPr>
          <w:p w14:paraId="4F774C3D" w14:textId="69DBDCD0" w:rsidR="007762E4" w:rsidRPr="00F1270F" w:rsidRDefault="007762E4" w:rsidP="007762E4">
            <w:pPr>
              <w:pStyle w:val="ListParagraph"/>
              <w:numPr>
                <w:ilvl w:val="0"/>
                <w:numId w:val="22"/>
              </w:numPr>
              <w:tabs>
                <w:tab w:val="left" w:pos="354"/>
              </w:tabs>
              <w:spacing w:after="0" w:line="240" w:lineRule="auto"/>
              <w:ind w:left="360"/>
              <w:jc w:val="both"/>
              <w:rPr>
                <w:rFonts w:ascii="Arial" w:hAnsi="Arial" w:cs="Arial"/>
                <w:sz w:val="20"/>
                <w:szCs w:val="20"/>
              </w:rPr>
            </w:pPr>
            <w:r w:rsidRPr="00EE5F5D">
              <w:rPr>
                <w:rFonts w:ascii="Arial" w:hAnsi="Arial" w:cs="Arial"/>
                <w:sz w:val="20"/>
                <w:szCs w:val="20"/>
              </w:rPr>
              <w:t>Decreto MME-MHCP 1543 del 16 de septiembre de 2017: “por el cual se reglamenta el Fondo de Energías No Convencionales y Gestión Eficiente de la Energía, FENOGE”.</w:t>
            </w:r>
          </w:p>
        </w:tc>
        <w:tc>
          <w:tcPr>
            <w:tcW w:w="1260" w:type="dxa"/>
            <w:vAlign w:val="center"/>
          </w:tcPr>
          <w:p w14:paraId="2EB49940" w14:textId="3F4C7A0A"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Decreto</w:t>
            </w:r>
          </w:p>
        </w:tc>
        <w:tc>
          <w:tcPr>
            <w:tcW w:w="1440" w:type="dxa"/>
            <w:vAlign w:val="center"/>
          </w:tcPr>
          <w:p w14:paraId="616804F7" w14:textId="69F83D25"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6E9353F7" w14:textId="5412E6C5"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25091B93" w14:textId="56DD4252"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69739F28" w14:textId="417C0071"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13ADA9AF" w14:textId="4D9D4010" w:rsidR="007762E4" w:rsidRPr="001C2435" w:rsidRDefault="00D85085" w:rsidP="007762E4">
            <w:pPr>
              <w:spacing w:after="0" w:line="240" w:lineRule="auto"/>
              <w:rPr>
                <w:rFonts w:ascii="Arial" w:hAnsi="Arial" w:cs="Arial"/>
                <w:sz w:val="20"/>
                <w:szCs w:val="20"/>
                <w:lang w:val="es-ES"/>
              </w:rPr>
            </w:pPr>
            <w:r w:rsidRPr="00D85085">
              <w:rPr>
                <w:rFonts w:ascii="Arial" w:hAnsi="Arial" w:cs="Arial"/>
                <w:sz w:val="20"/>
                <w:szCs w:val="20"/>
                <w:lang w:val="es-ES_tradnl"/>
              </w:rPr>
              <w:t>Diario Oficial No. 50.358 del 16 de septiembre de 2017 que contiene Decreto del MME-No. 1543: por el cual se reglamenta el Fondo de Energías No Convencionales y Gestión Eficiente de la Energía, FENOGE.</w:t>
            </w:r>
          </w:p>
        </w:tc>
        <w:tc>
          <w:tcPr>
            <w:tcW w:w="1469" w:type="dxa"/>
            <w:vAlign w:val="center"/>
          </w:tcPr>
          <w:p w14:paraId="0853647C" w14:textId="77777777" w:rsidR="007762E4" w:rsidRPr="00F1270F" w:rsidRDefault="007762E4" w:rsidP="007762E4">
            <w:pPr>
              <w:spacing w:after="0" w:line="240" w:lineRule="auto"/>
              <w:jc w:val="center"/>
              <w:rPr>
                <w:rFonts w:ascii="Arial" w:hAnsi="Arial" w:cs="Arial"/>
                <w:sz w:val="20"/>
                <w:szCs w:val="20"/>
                <w:lang w:val="es-ES_tradnl"/>
              </w:rPr>
            </w:pPr>
          </w:p>
        </w:tc>
      </w:tr>
      <w:tr w:rsidR="007762E4" w:rsidRPr="003006F8" w14:paraId="25A4402D" w14:textId="77777777" w:rsidTr="00B41376">
        <w:trPr>
          <w:trHeight w:val="64"/>
        </w:trPr>
        <w:tc>
          <w:tcPr>
            <w:tcW w:w="4680" w:type="dxa"/>
            <w:vAlign w:val="center"/>
          </w:tcPr>
          <w:p w14:paraId="5330532F" w14:textId="055141E8" w:rsidR="007762E4" w:rsidRPr="00F1270F" w:rsidRDefault="007762E4" w:rsidP="007762E4">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EE5F5D">
              <w:rPr>
                <w:rFonts w:ascii="Arial" w:hAnsi="Arial" w:cs="Arial"/>
                <w:sz w:val="20"/>
                <w:szCs w:val="20"/>
                <w:lang w:val="es-ES_tradnl"/>
              </w:rPr>
              <w:t>Contrato actual de Fiducia Mercantil suscrito y en ejecución</w:t>
            </w:r>
            <w:r>
              <w:rPr>
                <w:rFonts w:ascii="Arial" w:hAnsi="Arial" w:cs="Arial"/>
                <w:sz w:val="20"/>
                <w:szCs w:val="20"/>
                <w:lang w:val="es-ES_tradnl"/>
              </w:rPr>
              <w:t xml:space="preserve"> del FENOGE</w:t>
            </w:r>
            <w:r w:rsidRPr="00EE5F5D">
              <w:rPr>
                <w:rFonts w:ascii="Arial" w:hAnsi="Arial" w:cs="Arial"/>
                <w:sz w:val="20"/>
                <w:szCs w:val="20"/>
                <w:lang w:val="es-ES_tradnl"/>
              </w:rPr>
              <w:t>.</w:t>
            </w:r>
          </w:p>
        </w:tc>
        <w:tc>
          <w:tcPr>
            <w:tcW w:w="1260" w:type="dxa"/>
            <w:vAlign w:val="center"/>
          </w:tcPr>
          <w:p w14:paraId="7FF40FBC" w14:textId="340805ED"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Contrato</w:t>
            </w:r>
          </w:p>
        </w:tc>
        <w:tc>
          <w:tcPr>
            <w:tcW w:w="1440" w:type="dxa"/>
            <w:vAlign w:val="center"/>
          </w:tcPr>
          <w:p w14:paraId="510C9216" w14:textId="2A3A1E1E"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6A4D3A52" w14:textId="195A0A7F"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2FC33DF2" w14:textId="2E5159DE"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702C44CD" w14:textId="01F1682D"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6D586F25" w14:textId="1B6EDD4C" w:rsidR="007762E4" w:rsidRPr="00F1270F" w:rsidRDefault="007762E4" w:rsidP="007762E4">
            <w:pPr>
              <w:spacing w:after="0" w:line="240" w:lineRule="auto"/>
              <w:rPr>
                <w:rFonts w:ascii="Arial" w:hAnsi="Arial" w:cs="Arial"/>
                <w:sz w:val="20"/>
                <w:szCs w:val="20"/>
                <w:lang w:val="es-BO"/>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el </w:t>
            </w:r>
            <w:r w:rsidRPr="00EE5F5D">
              <w:rPr>
                <w:rFonts w:ascii="Arial" w:hAnsi="Arial" w:cs="Arial"/>
                <w:sz w:val="20"/>
                <w:szCs w:val="20"/>
                <w:lang w:val="es-ES_tradnl"/>
              </w:rPr>
              <w:t>Contrato actual de Fiducia Mercantil suscrito</w:t>
            </w:r>
            <w:r w:rsidR="00B56B4C">
              <w:rPr>
                <w:rFonts w:ascii="Arial" w:hAnsi="Arial" w:cs="Arial"/>
                <w:sz w:val="20"/>
                <w:szCs w:val="20"/>
                <w:lang w:val="es-ES_tradnl"/>
              </w:rPr>
              <w:t>.</w:t>
            </w:r>
          </w:p>
        </w:tc>
        <w:tc>
          <w:tcPr>
            <w:tcW w:w="1469" w:type="dxa"/>
            <w:vAlign w:val="center"/>
          </w:tcPr>
          <w:p w14:paraId="74ACD640" w14:textId="77777777" w:rsidR="007762E4" w:rsidRPr="00F1270F" w:rsidRDefault="007762E4" w:rsidP="007762E4">
            <w:pPr>
              <w:spacing w:after="0" w:line="240" w:lineRule="auto"/>
              <w:jc w:val="center"/>
              <w:rPr>
                <w:rFonts w:ascii="Arial" w:hAnsi="Arial" w:cs="Arial"/>
                <w:sz w:val="20"/>
                <w:szCs w:val="20"/>
                <w:lang w:val="es-BO"/>
              </w:rPr>
            </w:pPr>
          </w:p>
        </w:tc>
      </w:tr>
      <w:tr w:rsidR="007762E4" w:rsidRPr="003006F8" w14:paraId="071ED694" w14:textId="77777777" w:rsidTr="00B41376">
        <w:trPr>
          <w:trHeight w:val="64"/>
        </w:trPr>
        <w:tc>
          <w:tcPr>
            <w:tcW w:w="4680" w:type="dxa"/>
            <w:vAlign w:val="center"/>
          </w:tcPr>
          <w:p w14:paraId="60D8F17C" w14:textId="5B052762" w:rsidR="007762E4" w:rsidRPr="00F1270F" w:rsidRDefault="007762E4" w:rsidP="007762E4">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EE5F5D">
              <w:rPr>
                <w:rFonts w:ascii="Arial" w:hAnsi="Arial" w:cs="Arial"/>
                <w:sz w:val="20"/>
                <w:szCs w:val="20"/>
                <w:lang w:val="es-ES_tradnl"/>
              </w:rPr>
              <w:t>Acta de adjudicación del nuevo contrato de fiducia mercantil para 2018-2022.</w:t>
            </w:r>
          </w:p>
        </w:tc>
        <w:tc>
          <w:tcPr>
            <w:tcW w:w="1260" w:type="dxa"/>
            <w:vAlign w:val="center"/>
          </w:tcPr>
          <w:p w14:paraId="7DB51A9A" w14:textId="6D4B0B37"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Acta</w:t>
            </w:r>
          </w:p>
        </w:tc>
        <w:tc>
          <w:tcPr>
            <w:tcW w:w="1440" w:type="dxa"/>
            <w:vAlign w:val="center"/>
          </w:tcPr>
          <w:p w14:paraId="27CA901D" w14:textId="2E660D88"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21078047" w14:textId="1C21ED6E"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37D0F22B" w14:textId="2536479D"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65E7354F" w14:textId="5C9E5253"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71F501CC" w14:textId="6CF38157" w:rsidR="007762E4" w:rsidRPr="00F1270F" w:rsidRDefault="001D304C" w:rsidP="007762E4">
            <w:pPr>
              <w:spacing w:after="0" w:line="240" w:lineRule="auto"/>
              <w:rPr>
                <w:rFonts w:ascii="Arial" w:hAnsi="Arial" w:cs="Arial"/>
                <w:sz w:val="20"/>
                <w:szCs w:val="20"/>
                <w:lang w:val="es-BO"/>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el </w:t>
            </w:r>
            <w:r w:rsidR="007762E4" w:rsidRPr="00EE5F5D">
              <w:rPr>
                <w:rFonts w:ascii="Arial" w:hAnsi="Arial" w:cs="Arial"/>
                <w:sz w:val="20"/>
                <w:szCs w:val="20"/>
                <w:lang w:val="es-ES_tradnl"/>
              </w:rPr>
              <w:t>Acta de adjudicación del nuevo contrato de fiducia mercantil para 2018-2022.</w:t>
            </w:r>
          </w:p>
        </w:tc>
        <w:tc>
          <w:tcPr>
            <w:tcW w:w="1469" w:type="dxa"/>
            <w:vAlign w:val="center"/>
          </w:tcPr>
          <w:p w14:paraId="5F52D0BD" w14:textId="77777777" w:rsidR="007762E4" w:rsidRPr="00F1270F" w:rsidRDefault="007762E4" w:rsidP="007762E4">
            <w:pPr>
              <w:spacing w:after="0" w:line="240" w:lineRule="auto"/>
              <w:jc w:val="center"/>
              <w:rPr>
                <w:rFonts w:ascii="Arial" w:hAnsi="Arial" w:cs="Arial"/>
                <w:sz w:val="20"/>
                <w:szCs w:val="20"/>
                <w:lang w:val="es-BO"/>
              </w:rPr>
            </w:pPr>
          </w:p>
        </w:tc>
      </w:tr>
      <w:tr w:rsidR="007762E4" w:rsidRPr="003006F8" w14:paraId="2056549F" w14:textId="77777777" w:rsidTr="00B41376">
        <w:trPr>
          <w:trHeight w:val="64"/>
        </w:trPr>
        <w:tc>
          <w:tcPr>
            <w:tcW w:w="4680" w:type="dxa"/>
            <w:vAlign w:val="center"/>
          </w:tcPr>
          <w:p w14:paraId="451A9F2B" w14:textId="63284FF3" w:rsidR="007762E4" w:rsidRPr="00F1270F" w:rsidRDefault="007762E4" w:rsidP="007762E4">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EE5F5D">
              <w:rPr>
                <w:rFonts w:ascii="Arial" w:hAnsi="Arial" w:cs="Arial"/>
                <w:sz w:val="20"/>
                <w:szCs w:val="20"/>
                <w:lang w:val="es-ES_tradnl"/>
              </w:rPr>
              <w:t>Informe UPME con los proyectos de FNCER beneficiados con los incentivos:</w:t>
            </w:r>
          </w:p>
        </w:tc>
        <w:tc>
          <w:tcPr>
            <w:tcW w:w="1260" w:type="dxa"/>
            <w:vAlign w:val="center"/>
          </w:tcPr>
          <w:p w14:paraId="2958FF54" w14:textId="56A70C6B"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Informe</w:t>
            </w:r>
          </w:p>
        </w:tc>
        <w:tc>
          <w:tcPr>
            <w:tcW w:w="1440" w:type="dxa"/>
            <w:vAlign w:val="center"/>
          </w:tcPr>
          <w:p w14:paraId="5647F0A9" w14:textId="40C9314A"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20E8779C" w14:textId="0174B662"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11416AF3" w14:textId="08BFDF9C"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15B0A680" w14:textId="373B77D3"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34F03526" w14:textId="5455303C" w:rsidR="007762E4" w:rsidRPr="00F1270F" w:rsidRDefault="001D304C" w:rsidP="007762E4">
            <w:pPr>
              <w:spacing w:after="0" w:line="240" w:lineRule="auto"/>
              <w:rPr>
                <w:rFonts w:ascii="Arial" w:hAnsi="Arial" w:cs="Arial"/>
                <w:sz w:val="20"/>
                <w:szCs w:val="20"/>
                <w:lang w:val="es-BO"/>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el i</w:t>
            </w:r>
            <w:r w:rsidR="007762E4" w:rsidRPr="00EE5F5D">
              <w:rPr>
                <w:rFonts w:ascii="Arial" w:hAnsi="Arial" w:cs="Arial"/>
                <w:sz w:val="20"/>
                <w:szCs w:val="20"/>
                <w:lang w:val="es-ES_tradnl"/>
              </w:rPr>
              <w:t>nforme</w:t>
            </w:r>
            <w:r>
              <w:rPr>
                <w:rFonts w:ascii="Arial" w:hAnsi="Arial" w:cs="Arial"/>
                <w:sz w:val="20"/>
                <w:szCs w:val="20"/>
                <w:lang w:val="es-ES_tradnl"/>
              </w:rPr>
              <w:t xml:space="preserve"> </w:t>
            </w:r>
            <w:r w:rsidR="007762E4" w:rsidRPr="00EE5F5D">
              <w:rPr>
                <w:rFonts w:ascii="Arial" w:hAnsi="Arial" w:cs="Arial"/>
                <w:sz w:val="20"/>
                <w:szCs w:val="20"/>
                <w:lang w:val="es-ES_tradnl"/>
              </w:rPr>
              <w:t>UPME con los proyectos de FNCER beneficiados con los incentivos:</w:t>
            </w:r>
          </w:p>
        </w:tc>
        <w:tc>
          <w:tcPr>
            <w:tcW w:w="1469" w:type="dxa"/>
            <w:vAlign w:val="center"/>
          </w:tcPr>
          <w:p w14:paraId="7E33B291" w14:textId="77777777" w:rsidR="007762E4" w:rsidRPr="00F1270F" w:rsidRDefault="007762E4" w:rsidP="007762E4">
            <w:pPr>
              <w:spacing w:after="0" w:line="240" w:lineRule="auto"/>
              <w:jc w:val="center"/>
              <w:rPr>
                <w:rFonts w:ascii="Arial" w:hAnsi="Arial" w:cs="Arial"/>
                <w:sz w:val="20"/>
                <w:szCs w:val="20"/>
                <w:lang w:val="es-BO"/>
              </w:rPr>
            </w:pPr>
          </w:p>
        </w:tc>
      </w:tr>
      <w:tr w:rsidR="007762E4" w:rsidRPr="003006F8" w14:paraId="270A86EB" w14:textId="77777777" w:rsidTr="00B41376">
        <w:trPr>
          <w:trHeight w:val="64"/>
        </w:trPr>
        <w:tc>
          <w:tcPr>
            <w:tcW w:w="4680" w:type="dxa"/>
            <w:vAlign w:val="center"/>
          </w:tcPr>
          <w:p w14:paraId="2AF919A0" w14:textId="49CE9D83" w:rsidR="007762E4" w:rsidRPr="00F1270F" w:rsidRDefault="007762E4" w:rsidP="007762E4">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EE5F5D">
              <w:rPr>
                <w:rFonts w:ascii="Arial" w:hAnsi="Arial" w:cs="Arial"/>
                <w:sz w:val="20"/>
                <w:szCs w:val="20"/>
                <w:lang w:val="es-ES_tradnl"/>
              </w:rPr>
              <w:t>Resolución CREG 038 de 2018 por la cual se regula la actividad de autogeneración en las ZNI y se dictan algunas disposiciones sobre la generación distribuida en ZNI.</w:t>
            </w:r>
          </w:p>
        </w:tc>
        <w:tc>
          <w:tcPr>
            <w:tcW w:w="1260" w:type="dxa"/>
            <w:vAlign w:val="center"/>
          </w:tcPr>
          <w:p w14:paraId="3158DC01" w14:textId="4B6C1226"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Resolución</w:t>
            </w:r>
          </w:p>
        </w:tc>
        <w:tc>
          <w:tcPr>
            <w:tcW w:w="1440" w:type="dxa"/>
            <w:vAlign w:val="center"/>
          </w:tcPr>
          <w:p w14:paraId="38FCD3C7" w14:textId="7F70B523"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565542B9" w14:textId="21E1F79A"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1FED8D59" w14:textId="74E49A65"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77545683" w14:textId="01041187"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7987CEDB" w14:textId="164B600A" w:rsidR="007762E4" w:rsidRPr="00F1270F" w:rsidRDefault="00D42528" w:rsidP="007762E4">
            <w:pPr>
              <w:spacing w:after="0" w:line="240" w:lineRule="auto"/>
              <w:rPr>
                <w:rFonts w:ascii="Arial" w:hAnsi="Arial" w:cs="Arial"/>
                <w:sz w:val="20"/>
                <w:szCs w:val="20"/>
                <w:lang w:val="es-BO"/>
              </w:rPr>
            </w:pPr>
            <w:r w:rsidRPr="00D42528">
              <w:rPr>
                <w:rFonts w:ascii="Arial" w:hAnsi="Arial" w:cs="Arial"/>
                <w:sz w:val="20"/>
                <w:szCs w:val="20"/>
                <w:lang w:val="es-ES_tradnl"/>
              </w:rPr>
              <w:t xml:space="preserve">Diario Oficial No. 50.583 del 9 de abril de 2018 que contiene la Resolución de la CREG </w:t>
            </w:r>
            <w:r w:rsidRPr="00D42528">
              <w:rPr>
                <w:rFonts w:ascii="Arial" w:hAnsi="Arial" w:cs="Arial"/>
                <w:sz w:val="20"/>
                <w:szCs w:val="20"/>
                <w:lang w:val="es-ES_tradnl"/>
              </w:rPr>
              <w:lastRenderedPageBreak/>
              <w:t>No. 038 por la cual se regula la actividad de autogeneración en las ZNI y se dictan algunas disposiciones sobre la generación distribuida en ZNI.</w:t>
            </w:r>
          </w:p>
        </w:tc>
        <w:tc>
          <w:tcPr>
            <w:tcW w:w="1469" w:type="dxa"/>
            <w:vAlign w:val="center"/>
          </w:tcPr>
          <w:p w14:paraId="6A179DB8" w14:textId="77777777" w:rsidR="007762E4" w:rsidRPr="00F1270F" w:rsidRDefault="007762E4" w:rsidP="007762E4">
            <w:pPr>
              <w:spacing w:after="0" w:line="240" w:lineRule="auto"/>
              <w:jc w:val="center"/>
              <w:rPr>
                <w:rFonts w:ascii="Arial" w:hAnsi="Arial" w:cs="Arial"/>
                <w:sz w:val="20"/>
                <w:szCs w:val="20"/>
                <w:lang w:val="es-BO"/>
              </w:rPr>
            </w:pPr>
          </w:p>
        </w:tc>
      </w:tr>
      <w:tr w:rsidR="007762E4" w:rsidRPr="003006F8" w14:paraId="4675CAC3" w14:textId="77777777" w:rsidTr="00B41376">
        <w:trPr>
          <w:trHeight w:val="64"/>
        </w:trPr>
        <w:tc>
          <w:tcPr>
            <w:tcW w:w="4680" w:type="dxa"/>
            <w:vAlign w:val="center"/>
          </w:tcPr>
          <w:p w14:paraId="5F1DC646" w14:textId="12E76AD7" w:rsidR="007762E4" w:rsidRPr="00EE5F5D" w:rsidRDefault="007762E4" w:rsidP="007762E4">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EE5F5D">
              <w:rPr>
                <w:rFonts w:ascii="Arial" w:hAnsi="Arial" w:cs="Arial"/>
                <w:sz w:val="20"/>
                <w:szCs w:val="20"/>
                <w:lang w:val="es-ES_tradnl"/>
              </w:rPr>
              <w:t>Resolución CREG 030 de 2018 por la cual se regulan aspectos operativos y comerciales para permitir la integración de la autogeneración a pequeña escala y de la generación distribuida al SIN.</w:t>
            </w:r>
          </w:p>
        </w:tc>
        <w:tc>
          <w:tcPr>
            <w:tcW w:w="1260" w:type="dxa"/>
            <w:vAlign w:val="center"/>
          </w:tcPr>
          <w:p w14:paraId="144C5335" w14:textId="22405A40"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Resolución</w:t>
            </w:r>
          </w:p>
        </w:tc>
        <w:tc>
          <w:tcPr>
            <w:tcW w:w="1440" w:type="dxa"/>
            <w:vAlign w:val="center"/>
          </w:tcPr>
          <w:p w14:paraId="4F20E1AF" w14:textId="52F62856"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B7ED0B7" w14:textId="4876523B"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0B19C3AA" w14:textId="14210CD6"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767419A9" w14:textId="7E3D81A3"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5F095E7B" w14:textId="73AD1ACB" w:rsidR="007762E4" w:rsidRPr="00F1270F" w:rsidRDefault="00587B7D" w:rsidP="007762E4">
            <w:pPr>
              <w:spacing w:after="0" w:line="240" w:lineRule="auto"/>
              <w:rPr>
                <w:rFonts w:ascii="Arial" w:hAnsi="Arial" w:cs="Arial"/>
                <w:sz w:val="20"/>
                <w:szCs w:val="20"/>
                <w:lang w:val="es-BO"/>
              </w:rPr>
            </w:pPr>
            <w:r w:rsidRPr="00587B7D">
              <w:rPr>
                <w:rFonts w:ascii="Arial" w:hAnsi="Arial" w:cs="Arial"/>
                <w:sz w:val="20"/>
                <w:szCs w:val="20"/>
                <w:lang w:val="es-ES_tradnl"/>
              </w:rPr>
              <w:t>Diario Oficial No. 50.522 del 01 de marzo de 2018 que contiene la Resolución CREG 030 por la cual se regulan aspectos operativos y comerciales para permitir la integración de la autogeneración a pequeña escala y de la generación distribuida al SIN.</w:t>
            </w:r>
          </w:p>
        </w:tc>
        <w:tc>
          <w:tcPr>
            <w:tcW w:w="1469" w:type="dxa"/>
            <w:vAlign w:val="center"/>
          </w:tcPr>
          <w:p w14:paraId="057A78B7" w14:textId="77777777" w:rsidR="007762E4" w:rsidRPr="00F1270F" w:rsidRDefault="007762E4" w:rsidP="007762E4">
            <w:pPr>
              <w:spacing w:after="0" w:line="240" w:lineRule="auto"/>
              <w:jc w:val="center"/>
              <w:rPr>
                <w:rFonts w:ascii="Arial" w:hAnsi="Arial" w:cs="Arial"/>
                <w:sz w:val="20"/>
                <w:szCs w:val="20"/>
                <w:lang w:val="es-BO"/>
              </w:rPr>
            </w:pPr>
          </w:p>
        </w:tc>
      </w:tr>
      <w:tr w:rsidR="007762E4" w:rsidRPr="003006F8" w14:paraId="71E4BD91" w14:textId="77777777" w:rsidTr="00B41376">
        <w:trPr>
          <w:trHeight w:val="64"/>
        </w:trPr>
        <w:tc>
          <w:tcPr>
            <w:tcW w:w="4680" w:type="dxa"/>
            <w:vAlign w:val="center"/>
          </w:tcPr>
          <w:p w14:paraId="1D593C11" w14:textId="6BE55D3E" w:rsidR="007762E4" w:rsidRPr="00EE5F5D" w:rsidRDefault="007762E4" w:rsidP="007762E4">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EE5F5D">
              <w:rPr>
                <w:rFonts w:ascii="Arial" w:hAnsi="Arial" w:cs="Arial"/>
                <w:sz w:val="20"/>
                <w:szCs w:val="20"/>
                <w:lang w:val="es-ES_tradnl"/>
              </w:rPr>
              <w:t>Resolución CREG 049 de 2018 “por la cual se modifica y adiciona la Resolución CREG 004 de 2003 que establece la regulación aplicable a las Transacciones Internacionales de Electricidad de Corto Plazo, TIE”.</w:t>
            </w:r>
          </w:p>
        </w:tc>
        <w:tc>
          <w:tcPr>
            <w:tcW w:w="1260" w:type="dxa"/>
            <w:vAlign w:val="center"/>
          </w:tcPr>
          <w:p w14:paraId="03620F1A" w14:textId="19D318E7"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Resolución</w:t>
            </w:r>
          </w:p>
        </w:tc>
        <w:tc>
          <w:tcPr>
            <w:tcW w:w="1440" w:type="dxa"/>
            <w:vAlign w:val="center"/>
          </w:tcPr>
          <w:p w14:paraId="63EA1164" w14:textId="18A3531D"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25AA04F8" w14:textId="4CB82D9E"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068D5731" w14:textId="50BAD513"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7756B602" w14:textId="2A8D091A" w:rsidR="007762E4" w:rsidRPr="00F1270F" w:rsidRDefault="007762E4" w:rsidP="007762E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5491684E" w14:textId="4037F390" w:rsidR="007762E4" w:rsidRPr="00F1270F" w:rsidRDefault="00D22B15" w:rsidP="007762E4">
            <w:pPr>
              <w:spacing w:after="0" w:line="240" w:lineRule="auto"/>
              <w:rPr>
                <w:rFonts w:ascii="Arial" w:hAnsi="Arial" w:cs="Arial"/>
                <w:sz w:val="20"/>
                <w:szCs w:val="20"/>
                <w:lang w:val="es-BO"/>
              </w:rPr>
            </w:pPr>
            <w:r w:rsidRPr="00D22B15">
              <w:rPr>
                <w:rFonts w:ascii="Arial" w:hAnsi="Arial" w:cs="Arial"/>
                <w:sz w:val="20"/>
                <w:szCs w:val="20"/>
                <w:lang w:val="es-ES_tradnl"/>
              </w:rPr>
              <w:t>Diario Oficial No. 50.576 del 26 de abril de 2018 que contiene la resolución de la CREG 049 por la cual se modifica y adiciona la Resolución CREG 004 de 2003 que establece la regulación aplicable a las Transacciones Internacionales de Electricidad de Corto Plazo, TIE.</w:t>
            </w:r>
          </w:p>
        </w:tc>
        <w:tc>
          <w:tcPr>
            <w:tcW w:w="1469" w:type="dxa"/>
            <w:vAlign w:val="center"/>
          </w:tcPr>
          <w:p w14:paraId="695B62A8" w14:textId="77777777" w:rsidR="007762E4" w:rsidRPr="00F1270F" w:rsidRDefault="007762E4" w:rsidP="007762E4">
            <w:pPr>
              <w:spacing w:after="0" w:line="240" w:lineRule="auto"/>
              <w:jc w:val="center"/>
              <w:rPr>
                <w:rFonts w:ascii="Arial" w:hAnsi="Arial" w:cs="Arial"/>
                <w:sz w:val="20"/>
                <w:szCs w:val="20"/>
                <w:lang w:val="es-BO"/>
              </w:rPr>
            </w:pPr>
          </w:p>
        </w:tc>
      </w:tr>
      <w:tr w:rsidR="00AE655E" w:rsidRPr="003006F8" w14:paraId="0AA27482" w14:textId="77777777" w:rsidTr="00B41376">
        <w:trPr>
          <w:trHeight w:val="64"/>
        </w:trPr>
        <w:tc>
          <w:tcPr>
            <w:tcW w:w="4680" w:type="dxa"/>
            <w:vAlign w:val="center"/>
          </w:tcPr>
          <w:p w14:paraId="6F494B26" w14:textId="09AEDEF0" w:rsidR="00AE655E" w:rsidRPr="00EE5F5D" w:rsidRDefault="00AE655E" w:rsidP="00AE655E">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EE5F5D">
              <w:rPr>
                <w:rFonts w:ascii="Arial" w:hAnsi="Arial" w:cs="Arial"/>
                <w:sz w:val="20"/>
                <w:szCs w:val="20"/>
                <w:lang w:val="es-ES_tradnl"/>
              </w:rPr>
              <w:t>Resolución No. 40790 de julio de 2018 de Plan de Expansión de Generación y Transmisión de Energía Eléctrica, que incluye un análisis de alternativas de interconexión Colombia – Ecuador</w:t>
            </w:r>
            <w:r>
              <w:rPr>
                <w:rFonts w:ascii="Arial" w:hAnsi="Arial" w:cs="Arial"/>
                <w:sz w:val="20"/>
                <w:szCs w:val="20"/>
                <w:lang w:val="es-ES_tradnl"/>
              </w:rPr>
              <w:t>.</w:t>
            </w:r>
          </w:p>
        </w:tc>
        <w:tc>
          <w:tcPr>
            <w:tcW w:w="1260" w:type="dxa"/>
            <w:vAlign w:val="center"/>
          </w:tcPr>
          <w:p w14:paraId="69D4EB29" w14:textId="526F0C9D"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Resolución</w:t>
            </w:r>
          </w:p>
        </w:tc>
        <w:tc>
          <w:tcPr>
            <w:tcW w:w="1440" w:type="dxa"/>
            <w:vAlign w:val="center"/>
          </w:tcPr>
          <w:p w14:paraId="284E7590" w14:textId="29F6444E"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6500DDD7" w14:textId="67A728AB"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6D4B7AB6" w14:textId="12D01B24"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03AF90C1" w14:textId="54ADE096"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015100AD" w14:textId="170B15A5" w:rsidR="00AE655E" w:rsidRPr="00F1270F" w:rsidRDefault="00C66708" w:rsidP="00AE655E">
            <w:pPr>
              <w:spacing w:after="0" w:line="240" w:lineRule="auto"/>
              <w:rPr>
                <w:rFonts w:ascii="Arial" w:hAnsi="Arial" w:cs="Arial"/>
                <w:sz w:val="20"/>
                <w:szCs w:val="20"/>
                <w:lang w:val="es-BO"/>
              </w:rPr>
            </w:pPr>
            <w:r w:rsidRPr="00C66708">
              <w:rPr>
                <w:rFonts w:ascii="Arial" w:hAnsi="Arial" w:cs="Arial"/>
                <w:sz w:val="20"/>
                <w:szCs w:val="20"/>
                <w:lang w:val="es-ES_tradnl"/>
              </w:rPr>
              <w:t xml:space="preserve">Diario Oficial No. 50.675 del 4 de agosto de 2018 que contiene la Resolución del MME No. 40790 por la cual se </w:t>
            </w:r>
            <w:r w:rsidRPr="00C66708">
              <w:rPr>
                <w:rFonts w:ascii="Arial" w:hAnsi="Arial" w:cs="Arial"/>
                <w:sz w:val="20"/>
                <w:szCs w:val="20"/>
                <w:lang w:val="es-ES_tradnl"/>
              </w:rPr>
              <w:lastRenderedPageBreak/>
              <w:t>adopta de Plan de Expansión de Generación y Transmisión de Energía Eléctrica, que incluye un análisis de alternativas de interconexión Colombia – Ecuador.</w:t>
            </w:r>
          </w:p>
        </w:tc>
        <w:tc>
          <w:tcPr>
            <w:tcW w:w="1469" w:type="dxa"/>
            <w:vAlign w:val="center"/>
          </w:tcPr>
          <w:p w14:paraId="1B93A80B" w14:textId="77777777" w:rsidR="00AE655E" w:rsidRPr="00F1270F" w:rsidRDefault="00AE655E" w:rsidP="00AE655E">
            <w:pPr>
              <w:spacing w:after="0" w:line="240" w:lineRule="auto"/>
              <w:jc w:val="center"/>
              <w:rPr>
                <w:rFonts w:ascii="Arial" w:hAnsi="Arial" w:cs="Arial"/>
                <w:sz w:val="20"/>
                <w:szCs w:val="20"/>
                <w:lang w:val="es-BO"/>
              </w:rPr>
            </w:pPr>
          </w:p>
        </w:tc>
      </w:tr>
      <w:tr w:rsidR="00AE655E" w:rsidRPr="003006F8" w14:paraId="3853DB3D" w14:textId="77777777" w:rsidTr="00B41376">
        <w:trPr>
          <w:trHeight w:val="64"/>
        </w:trPr>
        <w:tc>
          <w:tcPr>
            <w:tcW w:w="4680" w:type="dxa"/>
            <w:vAlign w:val="center"/>
          </w:tcPr>
          <w:p w14:paraId="155C5B49" w14:textId="3757C0AE" w:rsidR="00AE655E" w:rsidRPr="00EE5F5D" w:rsidRDefault="00AE655E" w:rsidP="00AE655E">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EE5F5D">
              <w:rPr>
                <w:rFonts w:ascii="Arial" w:hAnsi="Arial" w:cs="Arial"/>
                <w:sz w:val="20"/>
                <w:szCs w:val="20"/>
                <w:lang w:val="es-ES_tradnl"/>
              </w:rPr>
              <w:t>Estudio de la Revisión de Criterios Básicos y del Marco Normativo Resultante para el Desarrollo de la Interconexión Eléctrica y el Intercambio de Energía y Potencia Firme entre Colombia y Panamá (</w:t>
            </w:r>
            <w:r w:rsidR="00C25069" w:rsidRPr="00EE5F5D">
              <w:rPr>
                <w:rFonts w:ascii="Arial" w:hAnsi="Arial" w:cs="Arial"/>
                <w:sz w:val="20"/>
                <w:szCs w:val="20"/>
                <w:lang w:val="es-ES_tradnl"/>
              </w:rPr>
              <w:t>agosto</w:t>
            </w:r>
            <w:r w:rsidRPr="00EE5F5D">
              <w:rPr>
                <w:rFonts w:ascii="Arial" w:hAnsi="Arial" w:cs="Arial"/>
                <w:sz w:val="20"/>
                <w:szCs w:val="20"/>
                <w:lang w:val="es-ES_tradnl"/>
              </w:rPr>
              <w:t xml:space="preserve"> de 2018).</w:t>
            </w:r>
          </w:p>
        </w:tc>
        <w:tc>
          <w:tcPr>
            <w:tcW w:w="1260" w:type="dxa"/>
            <w:vAlign w:val="center"/>
          </w:tcPr>
          <w:p w14:paraId="1326B642" w14:textId="0DE6CA06"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Acta</w:t>
            </w:r>
          </w:p>
        </w:tc>
        <w:tc>
          <w:tcPr>
            <w:tcW w:w="1440" w:type="dxa"/>
            <w:vAlign w:val="center"/>
          </w:tcPr>
          <w:p w14:paraId="4F2ABCAF" w14:textId="1BC54D2B"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5955855" w14:textId="7B2E36BF"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3D6A9370" w14:textId="36F72C35"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3CA7125E" w14:textId="4367B99B" w:rsidR="00AE655E" w:rsidRPr="00F1270F" w:rsidRDefault="00AE655E"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70788274" w14:textId="63DC8E0B" w:rsidR="00AE655E" w:rsidRPr="00F1270F" w:rsidRDefault="00731147" w:rsidP="00AE655E">
            <w:pPr>
              <w:spacing w:after="0" w:line="240" w:lineRule="auto"/>
              <w:rPr>
                <w:rFonts w:ascii="Arial" w:hAnsi="Arial" w:cs="Arial"/>
                <w:sz w:val="20"/>
                <w:szCs w:val="20"/>
                <w:lang w:val="es-BO"/>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el </w:t>
            </w:r>
            <w:r w:rsidR="00AE655E" w:rsidRPr="00EE5F5D">
              <w:rPr>
                <w:rFonts w:ascii="Arial" w:hAnsi="Arial" w:cs="Arial"/>
                <w:sz w:val="20"/>
                <w:szCs w:val="20"/>
                <w:lang w:val="es-ES_tradnl"/>
              </w:rPr>
              <w:t>Estudio de la Revisión de Criterios Básicos y del Marco Normativo Resultante para el Desarrollo de la Interconexión Eléctrica y el Intercambio de Energía y Potencia Firme entre Colombia y Panamá (</w:t>
            </w:r>
            <w:r w:rsidR="00F544EB">
              <w:rPr>
                <w:rFonts w:ascii="Arial" w:hAnsi="Arial" w:cs="Arial"/>
                <w:sz w:val="20"/>
                <w:szCs w:val="20"/>
                <w:lang w:val="es-ES_tradnl"/>
              </w:rPr>
              <w:t>a</w:t>
            </w:r>
            <w:r w:rsidR="00AE655E" w:rsidRPr="00EE5F5D">
              <w:rPr>
                <w:rFonts w:ascii="Arial" w:hAnsi="Arial" w:cs="Arial"/>
                <w:sz w:val="20"/>
                <w:szCs w:val="20"/>
                <w:lang w:val="es-ES_tradnl"/>
              </w:rPr>
              <w:t>gosto de 2018).</w:t>
            </w:r>
          </w:p>
        </w:tc>
        <w:tc>
          <w:tcPr>
            <w:tcW w:w="1469" w:type="dxa"/>
            <w:vAlign w:val="center"/>
          </w:tcPr>
          <w:p w14:paraId="5A3181F8" w14:textId="77777777" w:rsidR="00AE655E" w:rsidRPr="00F1270F" w:rsidRDefault="00AE655E" w:rsidP="00AE655E">
            <w:pPr>
              <w:spacing w:after="0" w:line="240" w:lineRule="auto"/>
              <w:jc w:val="center"/>
              <w:rPr>
                <w:rFonts w:ascii="Arial" w:hAnsi="Arial" w:cs="Arial"/>
                <w:sz w:val="20"/>
                <w:szCs w:val="20"/>
                <w:lang w:val="es-BO"/>
              </w:rPr>
            </w:pPr>
          </w:p>
        </w:tc>
      </w:tr>
      <w:tr w:rsidR="00831AFF" w:rsidRPr="003006F8" w14:paraId="26E1DD26" w14:textId="77777777" w:rsidTr="00B41376">
        <w:trPr>
          <w:trHeight w:val="64"/>
        </w:trPr>
        <w:tc>
          <w:tcPr>
            <w:tcW w:w="4680" w:type="dxa"/>
            <w:vAlign w:val="center"/>
          </w:tcPr>
          <w:p w14:paraId="329A6131" w14:textId="4A9CB90A" w:rsidR="00831AFF" w:rsidRPr="00EE5F5D" w:rsidRDefault="00AE3A2D" w:rsidP="00AE655E">
            <w:pPr>
              <w:pStyle w:val="ListParagraph"/>
              <w:numPr>
                <w:ilvl w:val="0"/>
                <w:numId w:val="22"/>
              </w:numPr>
              <w:tabs>
                <w:tab w:val="left" w:pos="354"/>
              </w:tabs>
              <w:spacing w:after="0" w:line="240" w:lineRule="auto"/>
              <w:ind w:left="360"/>
              <w:jc w:val="both"/>
              <w:rPr>
                <w:rFonts w:ascii="Arial" w:hAnsi="Arial" w:cs="Arial"/>
                <w:sz w:val="20"/>
                <w:szCs w:val="20"/>
                <w:lang w:val="es-ES_tradnl"/>
              </w:rPr>
            </w:pPr>
            <w:r w:rsidRPr="00FA128C">
              <w:rPr>
                <w:rFonts w:ascii="Arial" w:hAnsi="Arial" w:cs="Arial"/>
                <w:sz w:val="20"/>
                <w:szCs w:val="20"/>
                <w:lang w:val="es-ES_tradnl"/>
              </w:rPr>
              <w:t>Declaración conjunta de los presidentes de Colombia y Panamá con ocasión de la visita oficial del 10 septiembre de 2018.</w:t>
            </w:r>
          </w:p>
        </w:tc>
        <w:tc>
          <w:tcPr>
            <w:tcW w:w="1260" w:type="dxa"/>
            <w:vAlign w:val="center"/>
          </w:tcPr>
          <w:p w14:paraId="678F63EC" w14:textId="6133BE70" w:rsidR="00831AFF" w:rsidRDefault="00AE3A2D" w:rsidP="00AE655E">
            <w:pPr>
              <w:spacing w:after="0" w:line="240" w:lineRule="auto"/>
              <w:jc w:val="center"/>
              <w:rPr>
                <w:rFonts w:ascii="Arial" w:hAnsi="Arial" w:cs="Arial"/>
                <w:sz w:val="20"/>
                <w:szCs w:val="20"/>
                <w:lang w:val="es-BO"/>
              </w:rPr>
            </w:pPr>
            <w:r>
              <w:rPr>
                <w:rFonts w:ascii="Arial" w:hAnsi="Arial" w:cs="Arial"/>
                <w:sz w:val="20"/>
                <w:szCs w:val="20"/>
                <w:lang w:val="es-BO"/>
              </w:rPr>
              <w:t>Declaración</w:t>
            </w:r>
          </w:p>
        </w:tc>
        <w:tc>
          <w:tcPr>
            <w:tcW w:w="1440" w:type="dxa"/>
            <w:vAlign w:val="center"/>
          </w:tcPr>
          <w:p w14:paraId="02F94DBF" w14:textId="191DC60D" w:rsidR="00831AFF" w:rsidRDefault="00AE3A2D"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1285947" w14:textId="2643A1C3" w:rsidR="00831AFF" w:rsidRDefault="00AE3A2D"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73F5B7CF" w14:textId="0BA182CB" w:rsidR="00831AFF" w:rsidRDefault="00AE3A2D" w:rsidP="00AE655E">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349967D3" w14:textId="4E236E20" w:rsidR="00831AFF" w:rsidRDefault="00AE3A2D" w:rsidP="00AE655E">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7C30EB95" w14:textId="1A774D55" w:rsidR="00831AFF" w:rsidRPr="001C2435" w:rsidRDefault="00FA128C" w:rsidP="00AE655E">
            <w:pPr>
              <w:spacing w:after="0" w:line="240" w:lineRule="auto"/>
              <w:rPr>
                <w:rFonts w:ascii="Arial" w:hAnsi="Arial" w:cs="Arial"/>
                <w:sz w:val="20"/>
                <w:szCs w:val="20"/>
                <w:lang w:val="es-ES_tradnl"/>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w:t>
            </w:r>
            <w:r w:rsidR="00AE3A2D">
              <w:rPr>
                <w:rFonts w:ascii="Arial" w:hAnsi="Arial" w:cs="Arial"/>
                <w:sz w:val="20"/>
                <w:szCs w:val="20"/>
                <w:lang w:val="es-ES_tradnl"/>
              </w:rPr>
              <w:t xml:space="preserve">la </w:t>
            </w:r>
            <w:r w:rsidRPr="00FA128C">
              <w:rPr>
                <w:rFonts w:ascii="Arial" w:hAnsi="Arial" w:cs="Arial"/>
                <w:sz w:val="20"/>
                <w:szCs w:val="20"/>
                <w:lang w:val="es-ES_tradnl"/>
              </w:rPr>
              <w:t>Declaración conjunta de los presidentes de Colombia y Panamá con ocasión de la visita oficial del 10 septiembre de 2018.</w:t>
            </w:r>
          </w:p>
        </w:tc>
        <w:tc>
          <w:tcPr>
            <w:tcW w:w="1469" w:type="dxa"/>
            <w:vAlign w:val="center"/>
          </w:tcPr>
          <w:p w14:paraId="7BCA9C7A" w14:textId="77777777" w:rsidR="00831AFF" w:rsidRPr="00F1270F" w:rsidRDefault="00831AFF" w:rsidP="00AE655E">
            <w:pPr>
              <w:spacing w:after="0" w:line="240" w:lineRule="auto"/>
              <w:jc w:val="center"/>
              <w:rPr>
                <w:rFonts w:ascii="Arial" w:hAnsi="Arial" w:cs="Arial"/>
                <w:sz w:val="20"/>
                <w:szCs w:val="20"/>
                <w:lang w:val="es-BO"/>
              </w:rPr>
            </w:pPr>
          </w:p>
        </w:tc>
      </w:tr>
      <w:tr w:rsidR="00AE655E" w:rsidRPr="003006F8" w14:paraId="195EF72C" w14:textId="77777777" w:rsidTr="00B41376">
        <w:trPr>
          <w:trHeight w:val="368"/>
        </w:trPr>
        <w:tc>
          <w:tcPr>
            <w:tcW w:w="12487" w:type="dxa"/>
            <w:gridSpan w:val="7"/>
            <w:shd w:val="clear" w:color="auto" w:fill="C6D9F1" w:themeFill="text2" w:themeFillTint="33"/>
            <w:vAlign w:val="center"/>
          </w:tcPr>
          <w:p w14:paraId="293EB99E" w14:textId="77777777" w:rsidR="00AE655E" w:rsidRPr="00F1270F" w:rsidRDefault="00AE655E" w:rsidP="00AE655E">
            <w:pPr>
              <w:pStyle w:val="ListParagraph"/>
              <w:tabs>
                <w:tab w:val="left" w:pos="354"/>
              </w:tabs>
              <w:spacing w:after="0" w:line="240" w:lineRule="auto"/>
              <w:rPr>
                <w:rFonts w:ascii="Arial" w:hAnsi="Arial" w:cs="Arial"/>
                <w:b/>
                <w:sz w:val="20"/>
                <w:szCs w:val="20"/>
              </w:rPr>
            </w:pPr>
            <w:r>
              <w:rPr>
                <w:rFonts w:ascii="Arial" w:hAnsi="Arial" w:cs="Arial"/>
                <w:b/>
                <w:sz w:val="20"/>
                <w:szCs w:val="20"/>
              </w:rPr>
              <w:t>Sub</w:t>
            </w:r>
            <w:r w:rsidRPr="00F1270F">
              <w:rPr>
                <w:rFonts w:ascii="Arial" w:hAnsi="Arial" w:cs="Arial"/>
                <w:b/>
                <w:sz w:val="20"/>
                <w:szCs w:val="20"/>
              </w:rPr>
              <w:t xml:space="preserve">componente </w:t>
            </w:r>
            <w:r>
              <w:rPr>
                <w:rFonts w:ascii="Arial" w:hAnsi="Arial" w:cs="Arial"/>
                <w:b/>
                <w:sz w:val="20"/>
                <w:szCs w:val="20"/>
              </w:rPr>
              <w:t>2.2</w:t>
            </w:r>
            <w:r w:rsidRPr="00F1270F">
              <w:rPr>
                <w:rFonts w:ascii="Arial" w:hAnsi="Arial" w:cs="Arial"/>
                <w:b/>
                <w:sz w:val="20"/>
                <w:szCs w:val="20"/>
              </w:rPr>
              <w:t>. Fortalecimiento del mercado eléctrico</w:t>
            </w:r>
          </w:p>
        </w:tc>
        <w:tc>
          <w:tcPr>
            <w:tcW w:w="1469" w:type="dxa"/>
            <w:shd w:val="clear" w:color="auto" w:fill="C6D9F1" w:themeFill="text2" w:themeFillTint="33"/>
          </w:tcPr>
          <w:p w14:paraId="6663AFDF" w14:textId="77777777" w:rsidR="00AE655E" w:rsidRPr="00F1270F" w:rsidRDefault="00AE655E" w:rsidP="00AE655E">
            <w:pPr>
              <w:pStyle w:val="ListParagraph"/>
              <w:tabs>
                <w:tab w:val="left" w:pos="354"/>
              </w:tabs>
              <w:spacing w:after="0" w:line="240" w:lineRule="auto"/>
              <w:ind w:left="0"/>
              <w:rPr>
                <w:rFonts w:ascii="Arial" w:hAnsi="Arial" w:cs="Arial"/>
                <w:b/>
                <w:sz w:val="20"/>
                <w:szCs w:val="20"/>
              </w:rPr>
            </w:pPr>
          </w:p>
        </w:tc>
      </w:tr>
      <w:tr w:rsidR="00DF6896" w:rsidRPr="003006F8" w14:paraId="2AAF77BD" w14:textId="77777777" w:rsidTr="00B41376">
        <w:trPr>
          <w:trHeight w:val="58"/>
        </w:trPr>
        <w:tc>
          <w:tcPr>
            <w:tcW w:w="4680" w:type="dxa"/>
            <w:vAlign w:val="center"/>
          </w:tcPr>
          <w:p w14:paraId="6B3D21CE" w14:textId="5861C206" w:rsidR="00DF6896" w:rsidRPr="00F1270F" w:rsidRDefault="00DF6896" w:rsidP="00DF6896">
            <w:pPr>
              <w:pStyle w:val="ListParagraph"/>
              <w:numPr>
                <w:ilvl w:val="0"/>
                <w:numId w:val="22"/>
              </w:numPr>
              <w:tabs>
                <w:tab w:val="left" w:pos="354"/>
              </w:tabs>
              <w:spacing w:after="0"/>
              <w:ind w:left="360"/>
              <w:jc w:val="both"/>
              <w:rPr>
                <w:rFonts w:ascii="Arial" w:hAnsi="Arial" w:cs="Arial"/>
                <w:sz w:val="20"/>
                <w:szCs w:val="20"/>
                <w:lang w:val="es-ES"/>
              </w:rPr>
            </w:pPr>
            <w:r w:rsidRPr="0086631F">
              <w:rPr>
                <w:rFonts w:ascii="Arial" w:hAnsi="Arial" w:cs="Arial"/>
                <w:sz w:val="20"/>
                <w:szCs w:val="20"/>
                <w:lang w:val="es-ES"/>
              </w:rPr>
              <w:t xml:space="preserve">Resolución CREG en consulta 072 de 18 de junio de 2018. Por el cual se ajustan </w:t>
            </w:r>
            <w:r w:rsidRPr="0086631F">
              <w:rPr>
                <w:rFonts w:ascii="Arial" w:hAnsi="Arial" w:cs="Arial"/>
                <w:sz w:val="20"/>
                <w:szCs w:val="20"/>
                <w:lang w:val="es-ES"/>
              </w:rPr>
              <w:lastRenderedPageBreak/>
              <w:t>disposiciones del mercado mayorista de GN contenidas en la RES CREG 114 de 2017.</w:t>
            </w:r>
          </w:p>
        </w:tc>
        <w:tc>
          <w:tcPr>
            <w:tcW w:w="1260" w:type="dxa"/>
            <w:vAlign w:val="center"/>
          </w:tcPr>
          <w:p w14:paraId="2346DF56" w14:textId="4BBDBE80"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lastRenderedPageBreak/>
              <w:t>Resolución</w:t>
            </w:r>
          </w:p>
        </w:tc>
        <w:tc>
          <w:tcPr>
            <w:tcW w:w="1440" w:type="dxa"/>
            <w:vAlign w:val="center"/>
          </w:tcPr>
          <w:p w14:paraId="70F2B7B0" w14:textId="68101131"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2A7DC5C9" w14:textId="4B707CD6"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36198AC2" w14:textId="3571F722"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0CED0D0C" w14:textId="7022A193"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7D1A2D4B" w14:textId="1C5DB271" w:rsidR="00DF6896" w:rsidRPr="00F1270F" w:rsidRDefault="00B878FF" w:rsidP="00DF6896">
            <w:pPr>
              <w:spacing w:after="0" w:line="240" w:lineRule="auto"/>
              <w:rPr>
                <w:rFonts w:ascii="Arial" w:hAnsi="Arial" w:cs="Arial"/>
                <w:sz w:val="20"/>
                <w:szCs w:val="20"/>
                <w:lang w:val="es-ES_tradnl"/>
              </w:rPr>
            </w:pPr>
            <w:r w:rsidRPr="00B878FF">
              <w:rPr>
                <w:rFonts w:ascii="Arial" w:hAnsi="Arial" w:cs="Arial"/>
                <w:sz w:val="20"/>
                <w:szCs w:val="20"/>
                <w:lang w:val="es-ES_tradnl"/>
              </w:rPr>
              <w:t xml:space="preserve">Diario Oficial No. 50.638 del 28 de junio de 2018 que contiene la Resolución en Consulta </w:t>
            </w:r>
            <w:r w:rsidRPr="00B878FF">
              <w:rPr>
                <w:rFonts w:ascii="Arial" w:hAnsi="Arial" w:cs="Arial"/>
                <w:sz w:val="20"/>
                <w:szCs w:val="20"/>
                <w:lang w:val="es-ES_tradnl"/>
              </w:rPr>
              <w:lastRenderedPageBreak/>
              <w:t>de la CREG No. 072 por el cual se ajustan disposiciones del mercado mayorista de GN contenidas en la RES CREG 114 de 2017.</w:t>
            </w:r>
          </w:p>
        </w:tc>
        <w:tc>
          <w:tcPr>
            <w:tcW w:w="1469" w:type="dxa"/>
            <w:vAlign w:val="center"/>
          </w:tcPr>
          <w:p w14:paraId="70488F54" w14:textId="77777777" w:rsidR="00DF6896" w:rsidRPr="00F1270F" w:rsidRDefault="00DF6896" w:rsidP="00DF6896">
            <w:pPr>
              <w:spacing w:after="0" w:line="240" w:lineRule="auto"/>
              <w:jc w:val="center"/>
              <w:rPr>
                <w:rFonts w:ascii="Arial" w:hAnsi="Arial" w:cs="Arial"/>
                <w:sz w:val="20"/>
                <w:szCs w:val="20"/>
                <w:lang w:val="es-ES_tradnl"/>
              </w:rPr>
            </w:pPr>
          </w:p>
        </w:tc>
      </w:tr>
      <w:tr w:rsidR="00DF6896" w:rsidRPr="003006F8" w14:paraId="66CF0738" w14:textId="77777777" w:rsidTr="00B41376">
        <w:trPr>
          <w:trHeight w:val="58"/>
        </w:trPr>
        <w:tc>
          <w:tcPr>
            <w:tcW w:w="4680" w:type="dxa"/>
            <w:vAlign w:val="center"/>
          </w:tcPr>
          <w:p w14:paraId="289148A1" w14:textId="5B05F571" w:rsidR="00DF6896" w:rsidRPr="00F1270F" w:rsidRDefault="00DF6896" w:rsidP="00DF6896">
            <w:pPr>
              <w:pStyle w:val="ListParagraph"/>
              <w:numPr>
                <w:ilvl w:val="0"/>
                <w:numId w:val="22"/>
              </w:numPr>
              <w:tabs>
                <w:tab w:val="left" w:pos="354"/>
              </w:tabs>
              <w:spacing w:after="0"/>
              <w:ind w:left="360"/>
              <w:jc w:val="both"/>
              <w:rPr>
                <w:rFonts w:ascii="Arial" w:hAnsi="Arial" w:cs="Arial"/>
                <w:sz w:val="20"/>
                <w:szCs w:val="20"/>
                <w:lang w:val="es-ES"/>
              </w:rPr>
            </w:pPr>
            <w:r w:rsidRPr="0086631F">
              <w:rPr>
                <w:rFonts w:ascii="Arial" w:hAnsi="Arial" w:cs="Arial"/>
                <w:sz w:val="20"/>
                <w:szCs w:val="20"/>
                <w:lang w:val="es-ES"/>
              </w:rPr>
              <w:t xml:space="preserve">Circular Externa de la UPME No. 009-2018, por la cual se publican los </w:t>
            </w:r>
            <w:proofErr w:type="spellStart"/>
            <w:proofErr w:type="gramStart"/>
            <w:r w:rsidRPr="0086631F">
              <w:rPr>
                <w:rFonts w:ascii="Arial" w:hAnsi="Arial" w:cs="Arial"/>
                <w:sz w:val="20"/>
                <w:szCs w:val="20"/>
                <w:lang w:val="es-ES"/>
              </w:rPr>
              <w:t>pre-pliegos</w:t>
            </w:r>
            <w:proofErr w:type="spellEnd"/>
            <w:proofErr w:type="gramEnd"/>
            <w:r w:rsidRPr="0086631F">
              <w:rPr>
                <w:rFonts w:ascii="Arial" w:hAnsi="Arial" w:cs="Arial"/>
                <w:sz w:val="20"/>
                <w:szCs w:val="20"/>
                <w:lang w:val="es-ES"/>
              </w:rPr>
              <w:t xml:space="preserve"> de licitación de la planta </w:t>
            </w:r>
            <w:proofErr w:type="spellStart"/>
            <w:r w:rsidRPr="0086631F">
              <w:rPr>
                <w:rFonts w:ascii="Arial" w:hAnsi="Arial" w:cs="Arial"/>
                <w:sz w:val="20"/>
                <w:szCs w:val="20"/>
                <w:lang w:val="es-ES"/>
              </w:rPr>
              <w:t>regasificadora</w:t>
            </w:r>
            <w:proofErr w:type="spellEnd"/>
            <w:r w:rsidRPr="0086631F">
              <w:rPr>
                <w:rFonts w:ascii="Arial" w:hAnsi="Arial" w:cs="Arial"/>
                <w:sz w:val="20"/>
                <w:szCs w:val="20"/>
                <w:lang w:val="es-ES"/>
              </w:rPr>
              <w:t xml:space="preserve"> del Pacífico y Gasoducto Buenaventura Yumbo.</w:t>
            </w:r>
          </w:p>
        </w:tc>
        <w:tc>
          <w:tcPr>
            <w:tcW w:w="1260" w:type="dxa"/>
            <w:vAlign w:val="center"/>
          </w:tcPr>
          <w:p w14:paraId="689C2074" w14:textId="7EF9DEE4" w:rsidR="00DF6896" w:rsidRPr="00F1270F" w:rsidRDefault="00D979B8" w:rsidP="00DF6896">
            <w:pPr>
              <w:spacing w:after="0" w:line="240" w:lineRule="auto"/>
              <w:jc w:val="center"/>
              <w:rPr>
                <w:rFonts w:ascii="Arial" w:hAnsi="Arial" w:cs="Arial"/>
                <w:sz w:val="20"/>
                <w:szCs w:val="20"/>
                <w:lang w:val="es-BO"/>
              </w:rPr>
            </w:pPr>
            <w:r>
              <w:rPr>
                <w:rFonts w:ascii="Arial" w:hAnsi="Arial" w:cs="Arial"/>
                <w:sz w:val="20"/>
                <w:szCs w:val="20"/>
                <w:lang w:val="es-BO"/>
              </w:rPr>
              <w:t>Circular</w:t>
            </w:r>
          </w:p>
        </w:tc>
        <w:tc>
          <w:tcPr>
            <w:tcW w:w="1440" w:type="dxa"/>
            <w:vAlign w:val="center"/>
          </w:tcPr>
          <w:p w14:paraId="4895E56C" w14:textId="689C7EF6"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98F2D90" w14:textId="56BF91A9"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4D3B22C" w14:textId="0E43E8A0"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0867190E" w14:textId="5E3FE8A3"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7638E41B" w14:textId="135542A2" w:rsidR="00DF6896" w:rsidRPr="00F1270F" w:rsidRDefault="00DF6896" w:rsidP="00DF6896">
            <w:pPr>
              <w:spacing w:after="0" w:line="240" w:lineRule="auto"/>
              <w:rPr>
                <w:rFonts w:ascii="Arial" w:hAnsi="Arial" w:cs="Arial"/>
                <w:sz w:val="20"/>
                <w:szCs w:val="20"/>
                <w:lang w:val="es-ES_tradnl"/>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la </w:t>
            </w:r>
            <w:r w:rsidRPr="0086631F">
              <w:rPr>
                <w:rFonts w:ascii="Arial" w:hAnsi="Arial" w:cs="Arial"/>
                <w:sz w:val="20"/>
                <w:szCs w:val="20"/>
                <w:lang w:val="es-ES"/>
              </w:rPr>
              <w:t xml:space="preserve">Circular Externa de la UPME No. 009-2018, por la cual se publican los </w:t>
            </w:r>
            <w:proofErr w:type="spellStart"/>
            <w:proofErr w:type="gramStart"/>
            <w:r w:rsidRPr="0086631F">
              <w:rPr>
                <w:rFonts w:ascii="Arial" w:hAnsi="Arial" w:cs="Arial"/>
                <w:sz w:val="20"/>
                <w:szCs w:val="20"/>
                <w:lang w:val="es-ES"/>
              </w:rPr>
              <w:t>pre-pliegos</w:t>
            </w:r>
            <w:proofErr w:type="spellEnd"/>
            <w:proofErr w:type="gramEnd"/>
            <w:r w:rsidRPr="0086631F">
              <w:rPr>
                <w:rFonts w:ascii="Arial" w:hAnsi="Arial" w:cs="Arial"/>
                <w:sz w:val="20"/>
                <w:szCs w:val="20"/>
                <w:lang w:val="es-ES"/>
              </w:rPr>
              <w:t xml:space="preserve"> de licitación de la planta </w:t>
            </w:r>
            <w:proofErr w:type="spellStart"/>
            <w:r w:rsidRPr="0086631F">
              <w:rPr>
                <w:rFonts w:ascii="Arial" w:hAnsi="Arial" w:cs="Arial"/>
                <w:sz w:val="20"/>
                <w:szCs w:val="20"/>
                <w:lang w:val="es-ES"/>
              </w:rPr>
              <w:t>regasificadora</w:t>
            </w:r>
            <w:proofErr w:type="spellEnd"/>
            <w:r w:rsidRPr="0086631F">
              <w:rPr>
                <w:rFonts w:ascii="Arial" w:hAnsi="Arial" w:cs="Arial"/>
                <w:sz w:val="20"/>
                <w:szCs w:val="20"/>
                <w:lang w:val="es-ES"/>
              </w:rPr>
              <w:t xml:space="preserve"> del Pacífico y Gasoducto Buenaventura Yumbo.</w:t>
            </w:r>
          </w:p>
        </w:tc>
        <w:tc>
          <w:tcPr>
            <w:tcW w:w="1469" w:type="dxa"/>
            <w:vAlign w:val="center"/>
          </w:tcPr>
          <w:p w14:paraId="7F93DE95" w14:textId="77777777" w:rsidR="00DF6896" w:rsidRPr="00F1270F" w:rsidRDefault="00DF6896" w:rsidP="00DF6896">
            <w:pPr>
              <w:spacing w:after="0" w:line="240" w:lineRule="auto"/>
              <w:jc w:val="center"/>
              <w:rPr>
                <w:rFonts w:ascii="Arial" w:hAnsi="Arial" w:cs="Arial"/>
                <w:sz w:val="20"/>
                <w:szCs w:val="20"/>
                <w:lang w:val="es-ES_tradnl"/>
              </w:rPr>
            </w:pPr>
          </w:p>
        </w:tc>
      </w:tr>
      <w:tr w:rsidR="00DF6896" w:rsidRPr="003006F8" w14:paraId="4B24A8A9" w14:textId="77777777" w:rsidTr="00B41376">
        <w:trPr>
          <w:trHeight w:val="58"/>
        </w:trPr>
        <w:tc>
          <w:tcPr>
            <w:tcW w:w="4680" w:type="dxa"/>
            <w:vAlign w:val="center"/>
          </w:tcPr>
          <w:p w14:paraId="2F54CA62" w14:textId="59865F25" w:rsidR="00DF6896" w:rsidRPr="00F1270F" w:rsidRDefault="00DF6896" w:rsidP="00DF6896">
            <w:pPr>
              <w:pStyle w:val="ListParagraph"/>
              <w:numPr>
                <w:ilvl w:val="0"/>
                <w:numId w:val="22"/>
              </w:numPr>
              <w:tabs>
                <w:tab w:val="left" w:pos="354"/>
              </w:tabs>
              <w:spacing w:after="0"/>
              <w:ind w:left="360"/>
              <w:jc w:val="both"/>
              <w:rPr>
                <w:rFonts w:ascii="Arial" w:hAnsi="Arial" w:cs="Arial"/>
                <w:sz w:val="20"/>
                <w:szCs w:val="20"/>
                <w:lang w:val="es-ES"/>
              </w:rPr>
            </w:pPr>
            <w:r w:rsidRPr="0086631F">
              <w:rPr>
                <w:rFonts w:ascii="Arial" w:hAnsi="Arial" w:cs="Arial"/>
                <w:sz w:val="20"/>
                <w:szCs w:val="20"/>
                <w:lang w:val="es-ES"/>
              </w:rPr>
              <w:t xml:space="preserve">Resolución CREG 113 de 2018, por la cual se reglamenta la participación de los agentes para participar en la convocatoria de la planta </w:t>
            </w:r>
            <w:proofErr w:type="spellStart"/>
            <w:r w:rsidRPr="0086631F">
              <w:rPr>
                <w:rFonts w:ascii="Arial" w:hAnsi="Arial" w:cs="Arial"/>
                <w:sz w:val="20"/>
                <w:szCs w:val="20"/>
                <w:lang w:val="es-ES"/>
              </w:rPr>
              <w:t>regasificadora</w:t>
            </w:r>
            <w:proofErr w:type="spellEnd"/>
            <w:r w:rsidRPr="0086631F">
              <w:rPr>
                <w:rFonts w:ascii="Arial" w:hAnsi="Arial" w:cs="Arial"/>
                <w:sz w:val="20"/>
                <w:szCs w:val="20"/>
                <w:lang w:val="es-ES"/>
              </w:rPr>
              <w:t>.</w:t>
            </w:r>
          </w:p>
        </w:tc>
        <w:tc>
          <w:tcPr>
            <w:tcW w:w="1260" w:type="dxa"/>
            <w:vAlign w:val="center"/>
          </w:tcPr>
          <w:p w14:paraId="62E4DFAD" w14:textId="4E67B48F" w:rsidR="00DF6896" w:rsidRPr="00F1270F" w:rsidRDefault="00D979B8" w:rsidP="00DF6896">
            <w:pPr>
              <w:spacing w:after="0" w:line="240" w:lineRule="auto"/>
              <w:jc w:val="center"/>
              <w:rPr>
                <w:rFonts w:ascii="Arial" w:hAnsi="Arial" w:cs="Arial"/>
                <w:sz w:val="20"/>
                <w:szCs w:val="20"/>
                <w:lang w:val="es-ES"/>
              </w:rPr>
            </w:pPr>
            <w:r>
              <w:rPr>
                <w:rFonts w:ascii="Arial" w:hAnsi="Arial" w:cs="Arial"/>
                <w:sz w:val="20"/>
                <w:szCs w:val="20"/>
                <w:lang w:val="es-ES"/>
              </w:rPr>
              <w:t>Resolución</w:t>
            </w:r>
          </w:p>
        </w:tc>
        <w:tc>
          <w:tcPr>
            <w:tcW w:w="1440" w:type="dxa"/>
            <w:vAlign w:val="center"/>
          </w:tcPr>
          <w:p w14:paraId="0165D408" w14:textId="328035C3"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A83E4C3" w14:textId="7B9B498F"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70EBECF9" w14:textId="0F61FD58"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25EEF37C" w14:textId="3D40DF54"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5AFFAC98" w14:textId="27C62617" w:rsidR="00DF6896" w:rsidRPr="00F1270F" w:rsidRDefault="009C136B" w:rsidP="00DF6896">
            <w:pPr>
              <w:spacing w:after="0" w:line="240" w:lineRule="auto"/>
              <w:rPr>
                <w:rFonts w:ascii="Arial" w:hAnsi="Arial" w:cs="Arial"/>
                <w:sz w:val="20"/>
                <w:szCs w:val="20"/>
                <w:lang w:val="es-ES_tradnl"/>
              </w:rPr>
            </w:pPr>
            <w:r w:rsidRPr="009C136B">
              <w:rPr>
                <w:rFonts w:ascii="Arial" w:hAnsi="Arial" w:cs="Arial"/>
                <w:sz w:val="20"/>
                <w:szCs w:val="20"/>
                <w:lang w:val="es-ES_tradnl"/>
              </w:rPr>
              <w:t xml:space="preserve">Diario Oficial No. 50.685 del 14 de agosto de 2018 que contiene la Resolución de la CREG No. 113 por la cual se reglamenta la participación de los agentes para participar en la convocatoria de la planta </w:t>
            </w:r>
            <w:proofErr w:type="spellStart"/>
            <w:r w:rsidRPr="009C136B">
              <w:rPr>
                <w:rFonts w:ascii="Arial" w:hAnsi="Arial" w:cs="Arial"/>
                <w:sz w:val="20"/>
                <w:szCs w:val="20"/>
                <w:lang w:val="es-ES_tradnl"/>
              </w:rPr>
              <w:t>regasificadora</w:t>
            </w:r>
            <w:proofErr w:type="spellEnd"/>
            <w:r w:rsidRPr="009C136B">
              <w:rPr>
                <w:rFonts w:ascii="Arial" w:hAnsi="Arial" w:cs="Arial"/>
                <w:sz w:val="20"/>
                <w:szCs w:val="20"/>
                <w:lang w:val="es-ES_tradnl"/>
              </w:rPr>
              <w:t>.</w:t>
            </w:r>
          </w:p>
        </w:tc>
        <w:tc>
          <w:tcPr>
            <w:tcW w:w="1469" w:type="dxa"/>
            <w:vAlign w:val="center"/>
          </w:tcPr>
          <w:p w14:paraId="1D8D272D" w14:textId="77777777" w:rsidR="00DF6896" w:rsidRPr="00F1270F" w:rsidRDefault="00DF6896" w:rsidP="00DF6896">
            <w:pPr>
              <w:spacing w:after="0" w:line="240" w:lineRule="auto"/>
              <w:jc w:val="center"/>
              <w:rPr>
                <w:rFonts w:ascii="Arial" w:hAnsi="Arial" w:cs="Arial"/>
                <w:sz w:val="20"/>
                <w:szCs w:val="20"/>
                <w:lang w:val="es-ES_tradnl"/>
              </w:rPr>
            </w:pPr>
          </w:p>
        </w:tc>
      </w:tr>
      <w:tr w:rsidR="00DF6896" w:rsidRPr="003006F8" w14:paraId="137CD55A" w14:textId="77777777" w:rsidTr="00B41376">
        <w:trPr>
          <w:trHeight w:val="58"/>
        </w:trPr>
        <w:tc>
          <w:tcPr>
            <w:tcW w:w="4680" w:type="dxa"/>
            <w:vAlign w:val="center"/>
          </w:tcPr>
          <w:p w14:paraId="586747E4" w14:textId="589BC2A1" w:rsidR="00DF6896" w:rsidRPr="00F1270F" w:rsidRDefault="00DF6896" w:rsidP="00DF6896">
            <w:pPr>
              <w:pStyle w:val="ListParagraph"/>
              <w:numPr>
                <w:ilvl w:val="0"/>
                <w:numId w:val="22"/>
              </w:numPr>
              <w:tabs>
                <w:tab w:val="left" w:pos="354"/>
              </w:tabs>
              <w:spacing w:after="0"/>
              <w:ind w:left="360"/>
              <w:jc w:val="both"/>
              <w:rPr>
                <w:rFonts w:ascii="Arial" w:hAnsi="Arial" w:cs="Arial"/>
                <w:sz w:val="20"/>
                <w:szCs w:val="20"/>
                <w:lang w:val="es-ES"/>
              </w:rPr>
            </w:pPr>
            <w:r w:rsidRPr="0086631F">
              <w:rPr>
                <w:rFonts w:ascii="Arial" w:hAnsi="Arial" w:cs="Arial"/>
                <w:sz w:val="20"/>
                <w:szCs w:val="20"/>
                <w:lang w:val="es-ES"/>
              </w:rPr>
              <w:t>Resolución UPME 081 de 2018 que define Inversiones en proyectos prioritarios del plan de abastecimiento en un sistema de transporte (IPAT) susceptible de ser desarrollado en primera instancia por el transportador incúmbete PROMIGAS S.A. ESP.</w:t>
            </w:r>
          </w:p>
        </w:tc>
        <w:tc>
          <w:tcPr>
            <w:tcW w:w="1260" w:type="dxa"/>
            <w:vAlign w:val="center"/>
          </w:tcPr>
          <w:p w14:paraId="0D3DD045" w14:textId="7ACC3B48" w:rsidR="00DF6896" w:rsidRPr="00F1270F" w:rsidRDefault="00D979B8" w:rsidP="00DF6896">
            <w:pPr>
              <w:spacing w:after="0" w:line="240" w:lineRule="auto"/>
              <w:jc w:val="center"/>
              <w:rPr>
                <w:rFonts w:ascii="Arial" w:hAnsi="Arial" w:cs="Arial"/>
                <w:sz w:val="20"/>
                <w:szCs w:val="20"/>
                <w:lang w:val="es-BO"/>
              </w:rPr>
            </w:pPr>
            <w:r>
              <w:rPr>
                <w:rFonts w:ascii="Arial" w:hAnsi="Arial" w:cs="Arial"/>
                <w:sz w:val="20"/>
                <w:szCs w:val="20"/>
                <w:lang w:val="es-ES"/>
              </w:rPr>
              <w:t>Resolución</w:t>
            </w:r>
          </w:p>
        </w:tc>
        <w:tc>
          <w:tcPr>
            <w:tcW w:w="1440" w:type="dxa"/>
            <w:vAlign w:val="center"/>
          </w:tcPr>
          <w:p w14:paraId="176BA3C3" w14:textId="42E938DC"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17762843" w14:textId="08371682"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2AF36390" w14:textId="446730C0"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563F6141" w14:textId="45C60014"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3014412F" w14:textId="744FD2E3" w:rsidR="00DF6896" w:rsidRPr="00FC29CE" w:rsidRDefault="0039699F" w:rsidP="00DF6896">
            <w:pPr>
              <w:spacing w:after="0" w:line="240" w:lineRule="auto"/>
              <w:rPr>
                <w:rFonts w:ascii="Arial" w:hAnsi="Arial" w:cs="Arial"/>
                <w:b/>
                <w:sz w:val="20"/>
                <w:szCs w:val="20"/>
                <w:lang w:val="es-ES_tradnl"/>
              </w:rPr>
            </w:pPr>
            <w:r w:rsidRPr="0039699F">
              <w:rPr>
                <w:rFonts w:ascii="Arial" w:hAnsi="Arial" w:cs="Arial"/>
                <w:sz w:val="20"/>
                <w:szCs w:val="20"/>
                <w:lang w:val="es-ES_tradnl"/>
              </w:rPr>
              <w:t xml:space="preserve">Comunicación del DNP remitiendo la Resolución UPME 801 de 2018 que define Inversiones en proyectos prioritarios del plan de abastecimiento en un sistema de transporte (IPAT) </w:t>
            </w:r>
            <w:r w:rsidRPr="0039699F">
              <w:rPr>
                <w:rFonts w:ascii="Arial" w:hAnsi="Arial" w:cs="Arial"/>
                <w:sz w:val="20"/>
                <w:szCs w:val="20"/>
                <w:lang w:val="es-ES_tradnl"/>
              </w:rPr>
              <w:lastRenderedPageBreak/>
              <w:t>susceptible de ser desarrollado en primera instancia por el transportador incúmbete PROMIGAS S.A. ESP.</w:t>
            </w:r>
          </w:p>
        </w:tc>
        <w:tc>
          <w:tcPr>
            <w:tcW w:w="1469" w:type="dxa"/>
            <w:vAlign w:val="center"/>
          </w:tcPr>
          <w:p w14:paraId="141562D2" w14:textId="77777777" w:rsidR="00DF6896" w:rsidRPr="00F1270F" w:rsidRDefault="00DF6896" w:rsidP="00DF6896">
            <w:pPr>
              <w:spacing w:after="0" w:line="240" w:lineRule="auto"/>
              <w:jc w:val="center"/>
              <w:rPr>
                <w:rFonts w:ascii="Arial" w:hAnsi="Arial" w:cs="Arial"/>
                <w:sz w:val="20"/>
                <w:szCs w:val="20"/>
                <w:lang w:val="es-ES_tradnl"/>
              </w:rPr>
            </w:pPr>
          </w:p>
        </w:tc>
      </w:tr>
      <w:tr w:rsidR="00DF6896" w:rsidRPr="003006F8" w14:paraId="60796843" w14:textId="77777777" w:rsidTr="00B41376">
        <w:trPr>
          <w:trHeight w:val="58"/>
        </w:trPr>
        <w:tc>
          <w:tcPr>
            <w:tcW w:w="4680" w:type="dxa"/>
            <w:vAlign w:val="center"/>
          </w:tcPr>
          <w:p w14:paraId="3711A6FA" w14:textId="31BAA920" w:rsidR="00DF6896" w:rsidRPr="00F1270F" w:rsidRDefault="00DF6896" w:rsidP="00DF6896">
            <w:pPr>
              <w:pStyle w:val="ListParagraph"/>
              <w:numPr>
                <w:ilvl w:val="0"/>
                <w:numId w:val="22"/>
              </w:numPr>
              <w:tabs>
                <w:tab w:val="left" w:pos="354"/>
              </w:tabs>
              <w:spacing w:after="0" w:line="240" w:lineRule="auto"/>
              <w:ind w:left="360"/>
              <w:jc w:val="both"/>
              <w:rPr>
                <w:rFonts w:ascii="Arial" w:hAnsi="Arial" w:cs="Arial"/>
                <w:sz w:val="20"/>
                <w:szCs w:val="20"/>
              </w:rPr>
            </w:pPr>
            <w:r w:rsidRPr="0086631F">
              <w:rPr>
                <w:rFonts w:ascii="Arial" w:hAnsi="Arial" w:cs="Arial"/>
                <w:sz w:val="20"/>
                <w:szCs w:val="20"/>
              </w:rPr>
              <w:t>Resolución UPME 083 de 2018 que define Inversiones en proyectos prioritarios del plan de abastecimiento en un sistema de transporte (IPAT) susceptible de ser desarrollado en primera instancia por el transportador incúmbete TGI S.A. ESP.</w:t>
            </w:r>
          </w:p>
        </w:tc>
        <w:tc>
          <w:tcPr>
            <w:tcW w:w="1260" w:type="dxa"/>
            <w:vAlign w:val="center"/>
          </w:tcPr>
          <w:p w14:paraId="3B3F9106" w14:textId="080B2FEC" w:rsidR="00DF6896" w:rsidRPr="00F1270F" w:rsidRDefault="00D979B8" w:rsidP="00DF6896">
            <w:pPr>
              <w:spacing w:after="0" w:line="240" w:lineRule="auto"/>
              <w:jc w:val="center"/>
              <w:rPr>
                <w:rFonts w:ascii="Arial" w:hAnsi="Arial" w:cs="Arial"/>
                <w:sz w:val="20"/>
                <w:szCs w:val="20"/>
                <w:lang w:val="es-BO"/>
              </w:rPr>
            </w:pPr>
            <w:r>
              <w:rPr>
                <w:rFonts w:ascii="Arial" w:hAnsi="Arial" w:cs="Arial"/>
                <w:sz w:val="20"/>
                <w:szCs w:val="20"/>
                <w:lang w:val="es-ES"/>
              </w:rPr>
              <w:t>Resolución</w:t>
            </w:r>
          </w:p>
        </w:tc>
        <w:tc>
          <w:tcPr>
            <w:tcW w:w="1440" w:type="dxa"/>
            <w:vAlign w:val="center"/>
          </w:tcPr>
          <w:p w14:paraId="10AB629B" w14:textId="4E1D2E2A"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19F29C78" w14:textId="5080DE05"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0B695800" w14:textId="7AD23AB5"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6361B883" w14:textId="6E232A3C"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36F0627E" w14:textId="1EA6EDB1" w:rsidR="00DF6896" w:rsidRPr="00FC29CE" w:rsidRDefault="00831AC9" w:rsidP="00DF6896">
            <w:pPr>
              <w:spacing w:after="0" w:line="240" w:lineRule="auto"/>
              <w:rPr>
                <w:rFonts w:ascii="Arial" w:hAnsi="Arial" w:cs="Arial"/>
                <w:b/>
                <w:sz w:val="20"/>
                <w:szCs w:val="20"/>
                <w:lang w:val="es-ES_tradnl"/>
              </w:rPr>
            </w:pPr>
            <w:r w:rsidRPr="00831AC9">
              <w:rPr>
                <w:rFonts w:ascii="Arial" w:hAnsi="Arial" w:cs="Arial"/>
                <w:sz w:val="20"/>
                <w:szCs w:val="20"/>
                <w:lang w:val="es-ES_tradnl"/>
              </w:rPr>
              <w:t>Comunicación del DNP remitiendo la Resolución UPME 803 de 2018 que define Inversiones en proyectos prioritarios del plan de abastecimiento en un sistema de transporte (IPAT) susceptible de ser desarrollado en primera instancia por el transportador incúmbete TGI S.A. ESP.</w:t>
            </w:r>
          </w:p>
        </w:tc>
        <w:tc>
          <w:tcPr>
            <w:tcW w:w="1469" w:type="dxa"/>
            <w:vAlign w:val="center"/>
          </w:tcPr>
          <w:p w14:paraId="3EFF3AA3" w14:textId="77777777" w:rsidR="00DF6896" w:rsidRPr="00F1270F" w:rsidRDefault="00DF6896" w:rsidP="00DF6896">
            <w:pPr>
              <w:spacing w:after="0" w:line="240" w:lineRule="auto"/>
              <w:jc w:val="center"/>
              <w:rPr>
                <w:rFonts w:ascii="Arial" w:hAnsi="Arial" w:cs="Arial"/>
                <w:sz w:val="20"/>
                <w:szCs w:val="20"/>
                <w:lang w:val="es-ES_tradnl"/>
              </w:rPr>
            </w:pPr>
          </w:p>
        </w:tc>
      </w:tr>
      <w:tr w:rsidR="00DF6896" w:rsidRPr="003006F8" w14:paraId="04F0953A" w14:textId="77777777" w:rsidTr="00B41376">
        <w:trPr>
          <w:trHeight w:val="58"/>
        </w:trPr>
        <w:tc>
          <w:tcPr>
            <w:tcW w:w="4680" w:type="dxa"/>
            <w:vAlign w:val="center"/>
          </w:tcPr>
          <w:p w14:paraId="2CA1C582" w14:textId="31A1F98D" w:rsidR="00DF6896" w:rsidRPr="00F1270F" w:rsidRDefault="00DF6896" w:rsidP="00DF6896">
            <w:pPr>
              <w:pStyle w:val="ListParagraph"/>
              <w:numPr>
                <w:ilvl w:val="0"/>
                <w:numId w:val="22"/>
              </w:numPr>
              <w:tabs>
                <w:tab w:val="left" w:pos="354"/>
              </w:tabs>
              <w:spacing w:after="0" w:line="240" w:lineRule="auto"/>
              <w:ind w:left="360"/>
              <w:jc w:val="both"/>
              <w:rPr>
                <w:rFonts w:ascii="Arial" w:hAnsi="Arial" w:cs="Arial"/>
                <w:sz w:val="20"/>
                <w:szCs w:val="20"/>
              </w:rPr>
            </w:pPr>
            <w:r w:rsidRPr="0086631F">
              <w:rPr>
                <w:rFonts w:ascii="Arial" w:hAnsi="Arial" w:cs="Arial"/>
                <w:sz w:val="20"/>
                <w:szCs w:val="20"/>
              </w:rPr>
              <w:t>Boletín Electrónico Central del Gestor del Mercado de GN con informes periódicos del funcionamiento del mercado (anual, semestral, trimestral). www.bmcbec.com.co</w:t>
            </w:r>
          </w:p>
        </w:tc>
        <w:tc>
          <w:tcPr>
            <w:tcW w:w="1260" w:type="dxa"/>
            <w:vAlign w:val="center"/>
          </w:tcPr>
          <w:p w14:paraId="5522C6AB" w14:textId="0942CF86" w:rsidR="00DF6896" w:rsidRPr="00F1270F" w:rsidRDefault="0029482E" w:rsidP="00DF6896">
            <w:pPr>
              <w:spacing w:after="0" w:line="240" w:lineRule="auto"/>
              <w:jc w:val="center"/>
              <w:rPr>
                <w:rFonts w:ascii="Arial" w:hAnsi="Arial" w:cs="Arial"/>
                <w:sz w:val="20"/>
                <w:szCs w:val="20"/>
                <w:lang w:val="es-BO"/>
              </w:rPr>
            </w:pPr>
            <w:r>
              <w:rPr>
                <w:rFonts w:ascii="Arial" w:hAnsi="Arial" w:cs="Arial"/>
                <w:sz w:val="20"/>
                <w:szCs w:val="20"/>
                <w:lang w:val="es-BO"/>
              </w:rPr>
              <w:t>Boletín</w:t>
            </w:r>
          </w:p>
        </w:tc>
        <w:tc>
          <w:tcPr>
            <w:tcW w:w="1440" w:type="dxa"/>
            <w:vAlign w:val="center"/>
          </w:tcPr>
          <w:p w14:paraId="322C8209" w14:textId="38544567"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70856D08" w14:textId="13F7546A"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9B4BCF9" w14:textId="126E31BD"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35C27A0B" w14:textId="2876E139"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00D0CCD2" w14:textId="709C6445" w:rsidR="00DF6896" w:rsidRPr="00FC29CE" w:rsidRDefault="00DC7D6E" w:rsidP="00DF6896">
            <w:pPr>
              <w:spacing w:after="0" w:line="240" w:lineRule="auto"/>
              <w:rPr>
                <w:rFonts w:ascii="Arial" w:hAnsi="Arial" w:cs="Arial"/>
                <w:sz w:val="20"/>
                <w:szCs w:val="20"/>
                <w:lang w:val="es-ES_tradnl"/>
              </w:rPr>
            </w:pPr>
            <w:r w:rsidRPr="00DC7D6E">
              <w:rPr>
                <w:rFonts w:ascii="Arial" w:hAnsi="Arial" w:cs="Arial"/>
                <w:sz w:val="20"/>
                <w:szCs w:val="20"/>
                <w:lang w:val="es-ES_tradnl"/>
              </w:rPr>
              <w:t>Comunicación del Departamento Nacional de Planeación (DNP) remitiendo el Boletín Electrónico Central del Gestor del Mercado de GN con informes periódicos del funcionamiento del mercado (anual, semestral, trimestral).</w:t>
            </w:r>
          </w:p>
        </w:tc>
        <w:tc>
          <w:tcPr>
            <w:tcW w:w="1469" w:type="dxa"/>
            <w:vAlign w:val="center"/>
          </w:tcPr>
          <w:p w14:paraId="654E3914" w14:textId="77777777" w:rsidR="00DF6896" w:rsidRPr="00F1270F" w:rsidRDefault="00DF6896" w:rsidP="00DF6896">
            <w:pPr>
              <w:spacing w:after="0" w:line="240" w:lineRule="auto"/>
              <w:jc w:val="center"/>
              <w:rPr>
                <w:rFonts w:ascii="Arial" w:hAnsi="Arial" w:cs="Arial"/>
                <w:sz w:val="20"/>
                <w:szCs w:val="20"/>
                <w:highlight w:val="yellow"/>
                <w:lang w:val="es-ES_tradnl"/>
              </w:rPr>
            </w:pPr>
          </w:p>
        </w:tc>
      </w:tr>
      <w:tr w:rsidR="00DF6896" w:rsidRPr="003006F8" w14:paraId="7C72F816" w14:textId="77777777" w:rsidTr="00B41376">
        <w:trPr>
          <w:trHeight w:val="64"/>
        </w:trPr>
        <w:tc>
          <w:tcPr>
            <w:tcW w:w="4680" w:type="dxa"/>
            <w:vAlign w:val="center"/>
          </w:tcPr>
          <w:p w14:paraId="1C9992A9" w14:textId="0B03619B" w:rsidR="00DF6896" w:rsidRPr="00F1270F" w:rsidRDefault="00DF6896" w:rsidP="00DF6896">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Resolución UPME 463 de febrero de 2018, que establece el procedimiento para que la UPME evalué y emita concepto técnico para que los proyectos de eficiencia energética puedan acceder a los incentivos tributarios.</w:t>
            </w:r>
          </w:p>
        </w:tc>
        <w:tc>
          <w:tcPr>
            <w:tcW w:w="1260" w:type="dxa"/>
            <w:vAlign w:val="center"/>
          </w:tcPr>
          <w:p w14:paraId="4A9C26E6" w14:textId="632002A5" w:rsidR="00DF6896" w:rsidRPr="00F1270F" w:rsidRDefault="0029482E" w:rsidP="00DF6896">
            <w:pPr>
              <w:spacing w:after="0" w:line="240" w:lineRule="auto"/>
              <w:jc w:val="center"/>
              <w:rPr>
                <w:rFonts w:ascii="Arial" w:hAnsi="Arial" w:cs="Arial"/>
                <w:sz w:val="20"/>
                <w:szCs w:val="20"/>
                <w:lang w:val="es-BO"/>
              </w:rPr>
            </w:pPr>
            <w:r>
              <w:rPr>
                <w:rFonts w:ascii="Arial" w:hAnsi="Arial" w:cs="Arial"/>
                <w:sz w:val="20"/>
                <w:szCs w:val="20"/>
                <w:lang w:val="es-ES"/>
              </w:rPr>
              <w:t>Resolución</w:t>
            </w:r>
          </w:p>
        </w:tc>
        <w:tc>
          <w:tcPr>
            <w:tcW w:w="1440" w:type="dxa"/>
            <w:vAlign w:val="center"/>
          </w:tcPr>
          <w:p w14:paraId="638D26A9" w14:textId="1494ACB6"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9110AD2" w14:textId="26B283E8"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5DD8E391" w14:textId="297B2131"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649F243D" w14:textId="73B51A55" w:rsidR="00DF6896" w:rsidRPr="00F1270F" w:rsidRDefault="00DF6896" w:rsidP="00DF6896">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483E2DF2" w14:textId="2F09AB40" w:rsidR="00DF6896" w:rsidRPr="00FC29CE" w:rsidRDefault="00250B29" w:rsidP="00DF6896">
            <w:pPr>
              <w:spacing w:after="0" w:line="240" w:lineRule="auto"/>
              <w:rPr>
                <w:rFonts w:ascii="Arial" w:hAnsi="Arial" w:cs="Arial"/>
                <w:color w:val="0000FF"/>
                <w:sz w:val="20"/>
                <w:szCs w:val="20"/>
                <w:lang w:val="es-ES_tradnl"/>
              </w:rPr>
            </w:pPr>
            <w:r w:rsidRPr="00250B29">
              <w:rPr>
                <w:rFonts w:ascii="Arial" w:hAnsi="Arial" w:cs="Arial"/>
                <w:sz w:val="20"/>
                <w:szCs w:val="20"/>
                <w:lang w:val="es-ES_tradnl"/>
              </w:rPr>
              <w:t xml:space="preserve">Diario Oficial No. 50.700 del 29 de agosto de 2018 que contiene la Resolución UPME No. 463 que establece el procedimiento para que la UPME evalué y emita concepto técnico para </w:t>
            </w:r>
            <w:r w:rsidRPr="00250B29">
              <w:rPr>
                <w:rFonts w:ascii="Arial" w:hAnsi="Arial" w:cs="Arial"/>
                <w:sz w:val="20"/>
                <w:szCs w:val="20"/>
                <w:lang w:val="es-ES_tradnl"/>
              </w:rPr>
              <w:lastRenderedPageBreak/>
              <w:t>que los proyectos de eficiencia energética puedan acceder a los incentivos tributarios.</w:t>
            </w:r>
          </w:p>
        </w:tc>
        <w:tc>
          <w:tcPr>
            <w:tcW w:w="1469" w:type="dxa"/>
            <w:vAlign w:val="center"/>
          </w:tcPr>
          <w:p w14:paraId="14758B70" w14:textId="77777777" w:rsidR="00DF6896" w:rsidRPr="00F1270F" w:rsidRDefault="00DF6896" w:rsidP="00DF6896">
            <w:pPr>
              <w:spacing w:after="0" w:line="240" w:lineRule="auto"/>
              <w:jc w:val="center"/>
              <w:rPr>
                <w:rFonts w:ascii="Arial" w:hAnsi="Arial" w:cs="Arial"/>
                <w:sz w:val="20"/>
                <w:szCs w:val="20"/>
                <w:lang w:val="es-ES_tradnl"/>
              </w:rPr>
            </w:pPr>
          </w:p>
        </w:tc>
      </w:tr>
      <w:tr w:rsidR="008C6D84" w:rsidRPr="003006F8" w14:paraId="488DD59D" w14:textId="77777777" w:rsidTr="00B41376">
        <w:trPr>
          <w:trHeight w:val="58"/>
        </w:trPr>
        <w:tc>
          <w:tcPr>
            <w:tcW w:w="4680" w:type="dxa"/>
            <w:vAlign w:val="center"/>
          </w:tcPr>
          <w:p w14:paraId="61A4713B" w14:textId="151FB620" w:rsidR="008C6D84" w:rsidRPr="00F1270F"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Resolución del MADS 0509 de abril de 2018, por la cual se establecen los requisitos para recibir descuento de renta según estatuto tributario.</w:t>
            </w:r>
          </w:p>
        </w:tc>
        <w:tc>
          <w:tcPr>
            <w:tcW w:w="1260" w:type="dxa"/>
            <w:vAlign w:val="center"/>
          </w:tcPr>
          <w:p w14:paraId="7C98CD68" w14:textId="5E127245" w:rsidR="008C6D84" w:rsidRPr="00F1270F" w:rsidRDefault="0029482E" w:rsidP="008C6D84">
            <w:pPr>
              <w:spacing w:after="0" w:line="240" w:lineRule="auto"/>
              <w:jc w:val="center"/>
              <w:rPr>
                <w:rFonts w:ascii="Arial" w:hAnsi="Arial" w:cs="Arial"/>
                <w:sz w:val="20"/>
                <w:szCs w:val="20"/>
                <w:lang w:val="es-BO"/>
              </w:rPr>
            </w:pPr>
            <w:r>
              <w:rPr>
                <w:rFonts w:ascii="Arial" w:hAnsi="Arial" w:cs="Arial"/>
                <w:sz w:val="20"/>
                <w:szCs w:val="20"/>
                <w:lang w:val="es-ES"/>
              </w:rPr>
              <w:t>Resolución</w:t>
            </w:r>
          </w:p>
        </w:tc>
        <w:tc>
          <w:tcPr>
            <w:tcW w:w="1440" w:type="dxa"/>
            <w:vAlign w:val="center"/>
          </w:tcPr>
          <w:p w14:paraId="0D0CFAFB" w14:textId="16B5B2D8"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46052DC0" w14:textId="539AC53C"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FB8EBED" w14:textId="738D748C"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043FC063" w14:textId="14BD1254"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1CC44EEA" w14:textId="59FDCC4A" w:rsidR="008C6D84" w:rsidRPr="00FC29CE" w:rsidRDefault="00490E77" w:rsidP="008C6D84">
            <w:pPr>
              <w:spacing w:after="0" w:line="240" w:lineRule="auto"/>
              <w:rPr>
                <w:rFonts w:ascii="Arial" w:hAnsi="Arial" w:cs="Arial"/>
                <w:sz w:val="20"/>
                <w:szCs w:val="20"/>
                <w:lang w:val="es-MX"/>
              </w:rPr>
            </w:pPr>
            <w:r w:rsidRPr="00490E77">
              <w:rPr>
                <w:rFonts w:ascii="Arial" w:hAnsi="Arial" w:cs="Arial"/>
                <w:sz w:val="20"/>
                <w:szCs w:val="20"/>
                <w:lang w:val="es-ES_tradnl"/>
              </w:rPr>
              <w:t>Diario Oficial No. 50.554 del 04 de abril de 2018 que contiene la Resolución del MADS No. 0509 por la cual se establecen los requisitos para recibir descuento de renta según estatuto tributario.</w:t>
            </w:r>
          </w:p>
        </w:tc>
        <w:tc>
          <w:tcPr>
            <w:tcW w:w="1469" w:type="dxa"/>
            <w:vAlign w:val="center"/>
          </w:tcPr>
          <w:p w14:paraId="32141C48" w14:textId="77777777" w:rsidR="008C6D84" w:rsidRPr="00F1270F" w:rsidRDefault="008C6D84" w:rsidP="008C6D84">
            <w:pPr>
              <w:spacing w:after="0" w:line="240" w:lineRule="auto"/>
              <w:jc w:val="center"/>
              <w:rPr>
                <w:rFonts w:ascii="Arial" w:hAnsi="Arial" w:cs="Arial"/>
                <w:sz w:val="20"/>
                <w:szCs w:val="20"/>
                <w:lang w:val="es-ES_tradnl"/>
              </w:rPr>
            </w:pPr>
          </w:p>
        </w:tc>
      </w:tr>
      <w:tr w:rsidR="008C6D84" w:rsidRPr="003006F8" w14:paraId="524EEF0C" w14:textId="77777777" w:rsidTr="00B41376">
        <w:trPr>
          <w:trHeight w:val="64"/>
        </w:trPr>
        <w:tc>
          <w:tcPr>
            <w:tcW w:w="4680" w:type="dxa"/>
            <w:vAlign w:val="center"/>
          </w:tcPr>
          <w:p w14:paraId="0448D19D" w14:textId="69436EEE" w:rsidR="008C6D84" w:rsidRPr="00F1270F"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Documento CONPES 3919 del 23 de marzo del 2018: “Política Nacional de Edificaciones Sostenibles”.</w:t>
            </w:r>
          </w:p>
        </w:tc>
        <w:tc>
          <w:tcPr>
            <w:tcW w:w="1260" w:type="dxa"/>
            <w:vAlign w:val="center"/>
          </w:tcPr>
          <w:p w14:paraId="789E24E3" w14:textId="08FF6942" w:rsidR="008C6D84" w:rsidRPr="00F1270F" w:rsidRDefault="0029482E" w:rsidP="008C6D84">
            <w:pPr>
              <w:spacing w:after="0" w:line="240" w:lineRule="auto"/>
              <w:jc w:val="center"/>
              <w:rPr>
                <w:rFonts w:ascii="Arial" w:hAnsi="Arial" w:cs="Arial"/>
                <w:sz w:val="20"/>
                <w:szCs w:val="20"/>
                <w:lang w:val="es-BO"/>
              </w:rPr>
            </w:pPr>
            <w:r>
              <w:rPr>
                <w:rFonts w:ascii="Arial" w:hAnsi="Arial" w:cs="Arial"/>
                <w:sz w:val="20"/>
                <w:szCs w:val="20"/>
                <w:lang w:val="es-BO"/>
              </w:rPr>
              <w:t>Documento CONPES</w:t>
            </w:r>
          </w:p>
        </w:tc>
        <w:tc>
          <w:tcPr>
            <w:tcW w:w="1440" w:type="dxa"/>
            <w:vAlign w:val="center"/>
          </w:tcPr>
          <w:p w14:paraId="65FA02C9" w14:textId="12D9EB99"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4349CFA2" w14:textId="4D2FF59B"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01AF41F0" w14:textId="43EE1329"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3B813DA0" w14:textId="1F61F7F2"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6825E7C2" w14:textId="7B732A26" w:rsidR="008C6D84" w:rsidRPr="00DA2DF9" w:rsidRDefault="008C6D84" w:rsidP="008C6D84">
            <w:pPr>
              <w:spacing w:after="0" w:line="240" w:lineRule="auto"/>
              <w:rPr>
                <w:rFonts w:ascii="Arial" w:hAnsi="Arial" w:cs="Arial"/>
                <w:sz w:val="20"/>
                <w:szCs w:val="20"/>
                <w:lang w:val="es-BO"/>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el </w:t>
            </w:r>
            <w:r w:rsidRPr="00331736">
              <w:rPr>
                <w:rFonts w:ascii="Arial" w:hAnsi="Arial" w:cs="Arial"/>
                <w:sz w:val="20"/>
                <w:szCs w:val="20"/>
                <w:lang w:val="es-ES_tradnl"/>
              </w:rPr>
              <w:t>Documento CONPES 3919 del 23 de marzo del 2018: “Política Nacional de Edificaciones Sostenibles”.</w:t>
            </w:r>
          </w:p>
        </w:tc>
        <w:tc>
          <w:tcPr>
            <w:tcW w:w="1469" w:type="dxa"/>
            <w:vAlign w:val="center"/>
          </w:tcPr>
          <w:p w14:paraId="1138FD02" w14:textId="77777777" w:rsidR="008C6D84" w:rsidRPr="00F1270F" w:rsidRDefault="008C6D84" w:rsidP="008C6D84">
            <w:pPr>
              <w:spacing w:after="0" w:line="240" w:lineRule="auto"/>
              <w:jc w:val="center"/>
              <w:rPr>
                <w:rFonts w:ascii="Arial" w:hAnsi="Arial" w:cs="Arial"/>
                <w:sz w:val="20"/>
                <w:szCs w:val="20"/>
                <w:highlight w:val="yellow"/>
                <w:lang w:val="es-ES_tradnl"/>
              </w:rPr>
            </w:pPr>
          </w:p>
        </w:tc>
      </w:tr>
      <w:tr w:rsidR="008C6D84" w:rsidRPr="003006F8" w14:paraId="26571FE4" w14:textId="77777777" w:rsidTr="00B41376">
        <w:trPr>
          <w:trHeight w:val="64"/>
        </w:trPr>
        <w:tc>
          <w:tcPr>
            <w:tcW w:w="4680" w:type="dxa"/>
            <w:vAlign w:val="center"/>
          </w:tcPr>
          <w:p w14:paraId="3935777A" w14:textId="0C71AF8C" w:rsidR="008C6D84" w:rsidRPr="00F1270F"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lang w:val="es-ES"/>
              </w:rPr>
            </w:pPr>
            <w:r w:rsidRPr="00674DA8">
              <w:rPr>
                <w:rFonts w:ascii="Arial" w:hAnsi="Arial" w:cs="Arial"/>
                <w:sz w:val="20"/>
                <w:szCs w:val="20"/>
                <w:lang w:val="es-ES"/>
              </w:rPr>
              <w:t>Certificación de la UPME de los cursos de formación para laboratorios y una Guía para la implementación de ensayos de eficiencia energética.</w:t>
            </w:r>
          </w:p>
        </w:tc>
        <w:tc>
          <w:tcPr>
            <w:tcW w:w="1260" w:type="dxa"/>
            <w:vAlign w:val="center"/>
          </w:tcPr>
          <w:p w14:paraId="53354E2C" w14:textId="170F0152"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Guía</w:t>
            </w:r>
          </w:p>
        </w:tc>
        <w:tc>
          <w:tcPr>
            <w:tcW w:w="1440" w:type="dxa"/>
            <w:vAlign w:val="center"/>
          </w:tcPr>
          <w:p w14:paraId="3F04D96F" w14:textId="4891844F"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8163CEF" w14:textId="118D9927"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82C6CD9" w14:textId="00392777"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6B589A5E" w14:textId="2BABBFD9"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41270AAC" w14:textId="789322D3" w:rsidR="008C6D84" w:rsidRPr="00F1270F" w:rsidRDefault="008C6D84" w:rsidP="008C6D84">
            <w:pPr>
              <w:spacing w:after="0" w:line="240" w:lineRule="auto"/>
              <w:rPr>
                <w:rFonts w:ascii="Arial" w:hAnsi="Arial" w:cs="Arial"/>
                <w:sz w:val="20"/>
                <w:szCs w:val="20"/>
                <w:highlight w:val="yellow"/>
                <w:lang w:val="es-ES_tradnl"/>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la </w:t>
            </w:r>
            <w:r w:rsidRPr="00674DA8">
              <w:rPr>
                <w:rFonts w:ascii="Arial" w:hAnsi="Arial" w:cs="Arial"/>
                <w:sz w:val="20"/>
                <w:szCs w:val="20"/>
                <w:lang w:val="es-ES"/>
              </w:rPr>
              <w:t>una Guía para la implementación de ensayos de eficiencia energética.</w:t>
            </w:r>
          </w:p>
        </w:tc>
        <w:tc>
          <w:tcPr>
            <w:tcW w:w="1469" w:type="dxa"/>
            <w:vAlign w:val="center"/>
          </w:tcPr>
          <w:p w14:paraId="11D15283" w14:textId="77777777" w:rsidR="008C6D84" w:rsidRPr="00F1270F" w:rsidRDefault="008C6D84" w:rsidP="008C6D84">
            <w:pPr>
              <w:spacing w:after="0" w:line="240" w:lineRule="auto"/>
              <w:jc w:val="center"/>
              <w:rPr>
                <w:rFonts w:ascii="Arial" w:hAnsi="Arial" w:cs="Arial"/>
                <w:sz w:val="20"/>
                <w:szCs w:val="20"/>
                <w:highlight w:val="yellow"/>
                <w:lang w:val="es-ES_tradnl"/>
              </w:rPr>
            </w:pPr>
          </w:p>
        </w:tc>
      </w:tr>
      <w:tr w:rsidR="008C6D84" w:rsidRPr="003006F8" w14:paraId="09E9A77E" w14:textId="77777777" w:rsidTr="00B41376">
        <w:trPr>
          <w:trHeight w:val="58"/>
        </w:trPr>
        <w:tc>
          <w:tcPr>
            <w:tcW w:w="4680" w:type="dxa"/>
            <w:vAlign w:val="center"/>
          </w:tcPr>
          <w:p w14:paraId="776F3F6C" w14:textId="5E304C00" w:rsidR="008C6D84" w:rsidRPr="00F1270F"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Estudio de propuesta de etiqueta para vehículos livianos</w:t>
            </w:r>
          </w:p>
        </w:tc>
        <w:tc>
          <w:tcPr>
            <w:tcW w:w="1260" w:type="dxa"/>
            <w:vAlign w:val="center"/>
          </w:tcPr>
          <w:p w14:paraId="01E10B06" w14:textId="4C5D3DF5"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Estudio</w:t>
            </w:r>
          </w:p>
        </w:tc>
        <w:tc>
          <w:tcPr>
            <w:tcW w:w="1440" w:type="dxa"/>
            <w:vAlign w:val="center"/>
          </w:tcPr>
          <w:p w14:paraId="3170912A" w14:textId="3589273D"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467DC3A3" w14:textId="69B314FE"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61C72AB7" w14:textId="16393934"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30BE9AE7" w14:textId="2C544D11"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1B496364" w14:textId="62479CBF" w:rsidR="008C6D84" w:rsidRPr="00674DA8" w:rsidRDefault="008C6D84" w:rsidP="008C6D84">
            <w:pPr>
              <w:spacing w:after="0" w:line="240" w:lineRule="auto"/>
              <w:rPr>
                <w:rFonts w:ascii="Arial" w:hAnsi="Arial" w:cs="Arial"/>
                <w:b/>
                <w:sz w:val="20"/>
                <w:szCs w:val="20"/>
                <w:lang w:val="es-ES_tradnl"/>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el </w:t>
            </w:r>
            <w:r w:rsidRPr="00731147">
              <w:rPr>
                <w:rFonts w:ascii="Arial" w:hAnsi="Arial" w:cs="Arial"/>
                <w:sz w:val="20"/>
                <w:szCs w:val="20"/>
                <w:lang w:val="es-ES_tradnl"/>
              </w:rPr>
              <w:t>Estudio de propuesta de etiqueta para vehículos livianos</w:t>
            </w:r>
            <w:r w:rsidR="00525725">
              <w:rPr>
                <w:rFonts w:ascii="Arial" w:hAnsi="Arial" w:cs="Arial"/>
                <w:sz w:val="20"/>
                <w:szCs w:val="20"/>
                <w:lang w:val="es-ES_tradnl"/>
              </w:rPr>
              <w:t>.</w:t>
            </w:r>
          </w:p>
        </w:tc>
        <w:tc>
          <w:tcPr>
            <w:tcW w:w="1469" w:type="dxa"/>
            <w:vAlign w:val="center"/>
          </w:tcPr>
          <w:p w14:paraId="6976B424" w14:textId="77777777" w:rsidR="008C6D84" w:rsidRPr="00674DA8" w:rsidRDefault="008C6D84" w:rsidP="008C6D84">
            <w:pPr>
              <w:spacing w:after="0" w:line="240" w:lineRule="auto"/>
              <w:jc w:val="center"/>
              <w:rPr>
                <w:rFonts w:ascii="Arial" w:hAnsi="Arial" w:cs="Arial"/>
                <w:sz w:val="20"/>
                <w:szCs w:val="20"/>
                <w:lang w:val="es-ES_tradnl"/>
              </w:rPr>
            </w:pPr>
          </w:p>
        </w:tc>
      </w:tr>
      <w:tr w:rsidR="008C6D84" w:rsidRPr="003006F8" w14:paraId="3559C0AB" w14:textId="77777777" w:rsidTr="00B41376">
        <w:trPr>
          <w:trHeight w:val="64"/>
        </w:trPr>
        <w:tc>
          <w:tcPr>
            <w:tcW w:w="4680" w:type="dxa"/>
            <w:vAlign w:val="center"/>
          </w:tcPr>
          <w:p w14:paraId="63CB3B27" w14:textId="3FD924F3" w:rsidR="008C6D84" w:rsidRPr="00F1270F" w:rsidRDefault="009A5E6E"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9A5E6E">
              <w:rPr>
                <w:rFonts w:ascii="Arial" w:hAnsi="Arial" w:cs="Arial"/>
                <w:sz w:val="20"/>
                <w:szCs w:val="20"/>
              </w:rPr>
              <w:lastRenderedPageBreak/>
              <w:t>Decreto No. 943 del MME que regula el servicio de alumbrado público y establece condiciones de eficiencia.</w:t>
            </w:r>
          </w:p>
        </w:tc>
        <w:tc>
          <w:tcPr>
            <w:tcW w:w="1260" w:type="dxa"/>
            <w:vAlign w:val="center"/>
          </w:tcPr>
          <w:p w14:paraId="06A931B8" w14:textId="69CD5704"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Decreto</w:t>
            </w:r>
          </w:p>
        </w:tc>
        <w:tc>
          <w:tcPr>
            <w:tcW w:w="1440" w:type="dxa"/>
            <w:vAlign w:val="center"/>
          </w:tcPr>
          <w:p w14:paraId="23E51E90" w14:textId="05F02FF1"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27D22F10" w14:textId="6A6BE17A"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5644DDB" w14:textId="47B5F69D"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340BAA9E" w14:textId="2AC2B117"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4CA7226C" w14:textId="36B46B49" w:rsidR="008C6D84" w:rsidRPr="00674DA8" w:rsidRDefault="009A5E6E" w:rsidP="008C6D84">
            <w:pPr>
              <w:spacing w:after="0" w:line="240" w:lineRule="auto"/>
              <w:rPr>
                <w:rFonts w:ascii="Arial" w:hAnsi="Arial" w:cs="Arial"/>
                <w:sz w:val="20"/>
                <w:szCs w:val="20"/>
                <w:lang w:val="es-ES_tradnl"/>
              </w:rPr>
            </w:pPr>
            <w:r w:rsidRPr="009A5E6E">
              <w:rPr>
                <w:rFonts w:ascii="Arial" w:hAnsi="Arial" w:cs="Arial"/>
                <w:sz w:val="20"/>
                <w:szCs w:val="20"/>
                <w:lang w:val="es-ES_tradnl"/>
              </w:rPr>
              <w:t>Diario Oficial No. 50.609 del 30 de mayo de 2018 que contiene el Decreto No. 943 del MME que regula el servicio de alumbrado público y establece condiciones de eficiencia.</w:t>
            </w:r>
          </w:p>
        </w:tc>
        <w:tc>
          <w:tcPr>
            <w:tcW w:w="1469" w:type="dxa"/>
            <w:vAlign w:val="center"/>
          </w:tcPr>
          <w:p w14:paraId="42E06399" w14:textId="77777777" w:rsidR="008C6D84" w:rsidRPr="00674DA8" w:rsidRDefault="008C6D84" w:rsidP="008C6D84">
            <w:pPr>
              <w:spacing w:after="0" w:line="240" w:lineRule="auto"/>
              <w:jc w:val="center"/>
              <w:rPr>
                <w:rFonts w:ascii="Arial" w:hAnsi="Arial" w:cs="Arial"/>
                <w:sz w:val="20"/>
                <w:szCs w:val="20"/>
                <w:lang w:val="es-ES_tradnl"/>
              </w:rPr>
            </w:pPr>
          </w:p>
        </w:tc>
      </w:tr>
      <w:tr w:rsidR="008C6D84" w:rsidRPr="003006F8" w14:paraId="31ACCF90" w14:textId="77777777" w:rsidTr="00B41376">
        <w:trPr>
          <w:trHeight w:val="64"/>
        </w:trPr>
        <w:tc>
          <w:tcPr>
            <w:tcW w:w="4680" w:type="dxa"/>
            <w:vAlign w:val="center"/>
          </w:tcPr>
          <w:p w14:paraId="4F414307" w14:textId="45264A10" w:rsidR="008C6D84" w:rsidRPr="00F1270F"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Borrador de reglamento de calderas.</w:t>
            </w:r>
          </w:p>
        </w:tc>
        <w:tc>
          <w:tcPr>
            <w:tcW w:w="1260" w:type="dxa"/>
            <w:vAlign w:val="center"/>
          </w:tcPr>
          <w:p w14:paraId="15B53465" w14:textId="0C58BC6E"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Borrador Reglamento</w:t>
            </w:r>
          </w:p>
        </w:tc>
        <w:tc>
          <w:tcPr>
            <w:tcW w:w="1440" w:type="dxa"/>
            <w:vAlign w:val="center"/>
          </w:tcPr>
          <w:p w14:paraId="63A7B9CA" w14:textId="0A931399"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48F75F1" w14:textId="47638FDA"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7EAC662E" w14:textId="51926BAC"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36D8E56D" w14:textId="79397847"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39E66409" w14:textId="1CEDD68B" w:rsidR="008C6D84" w:rsidRPr="00674DA8" w:rsidRDefault="008C6D84" w:rsidP="008C6D84">
            <w:pPr>
              <w:spacing w:after="0" w:line="240" w:lineRule="auto"/>
              <w:rPr>
                <w:rFonts w:ascii="Arial" w:hAnsi="Arial" w:cs="Arial"/>
                <w:sz w:val="20"/>
                <w:szCs w:val="20"/>
                <w:lang w:val="es-ES_tradnl"/>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el </w:t>
            </w:r>
            <w:r w:rsidRPr="0018371D">
              <w:rPr>
                <w:rFonts w:ascii="Arial" w:hAnsi="Arial" w:cs="Arial"/>
                <w:sz w:val="20"/>
                <w:szCs w:val="20"/>
                <w:lang w:val="es-ES_tradnl"/>
              </w:rPr>
              <w:t>Borrador de reglamento de calderas.</w:t>
            </w:r>
          </w:p>
        </w:tc>
        <w:tc>
          <w:tcPr>
            <w:tcW w:w="1469" w:type="dxa"/>
            <w:vAlign w:val="center"/>
          </w:tcPr>
          <w:p w14:paraId="56987427" w14:textId="77777777" w:rsidR="008C6D84" w:rsidRPr="00674DA8" w:rsidRDefault="008C6D84" w:rsidP="008C6D84">
            <w:pPr>
              <w:spacing w:after="0" w:line="240" w:lineRule="auto"/>
              <w:jc w:val="center"/>
              <w:rPr>
                <w:rFonts w:ascii="Arial" w:hAnsi="Arial" w:cs="Arial"/>
                <w:sz w:val="20"/>
                <w:szCs w:val="20"/>
                <w:lang w:val="es-ES_tradnl"/>
              </w:rPr>
            </w:pPr>
          </w:p>
        </w:tc>
      </w:tr>
      <w:tr w:rsidR="008C6D84" w:rsidRPr="003006F8" w14:paraId="33507BB7" w14:textId="77777777" w:rsidTr="00B41376">
        <w:trPr>
          <w:trHeight w:val="64"/>
        </w:trPr>
        <w:tc>
          <w:tcPr>
            <w:tcW w:w="4680" w:type="dxa"/>
            <w:vAlign w:val="center"/>
          </w:tcPr>
          <w:p w14:paraId="34201521" w14:textId="490828D7" w:rsidR="008C6D84" w:rsidRPr="00674DA8"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Resolución MME 40072 de 2018: “por la cual se establecen los mecanismos para implementar la Infraestructura de Medición Avanzada en el servicio público de energía eléctrica”.</w:t>
            </w:r>
          </w:p>
        </w:tc>
        <w:tc>
          <w:tcPr>
            <w:tcW w:w="1260" w:type="dxa"/>
            <w:vAlign w:val="center"/>
          </w:tcPr>
          <w:p w14:paraId="4DD75E4A" w14:textId="2CEA0BB0"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Resolución</w:t>
            </w:r>
          </w:p>
        </w:tc>
        <w:tc>
          <w:tcPr>
            <w:tcW w:w="1440" w:type="dxa"/>
            <w:vAlign w:val="center"/>
          </w:tcPr>
          <w:p w14:paraId="5A492BC7" w14:textId="58F537A3"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4421448A" w14:textId="526458D5"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B4F3467" w14:textId="6EB0BD71"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389A3E31" w14:textId="0D607EA2"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1050B16D" w14:textId="5A08ECD9" w:rsidR="008C6D84" w:rsidRPr="00674DA8" w:rsidRDefault="00ED1B01" w:rsidP="008C6D84">
            <w:pPr>
              <w:spacing w:after="0" w:line="240" w:lineRule="auto"/>
              <w:rPr>
                <w:rFonts w:ascii="Arial" w:hAnsi="Arial" w:cs="Arial"/>
                <w:sz w:val="20"/>
                <w:szCs w:val="20"/>
                <w:lang w:val="es-ES_tradnl"/>
              </w:rPr>
            </w:pPr>
            <w:r w:rsidRPr="00ED1B01">
              <w:rPr>
                <w:rFonts w:ascii="Arial" w:hAnsi="Arial" w:cs="Arial"/>
                <w:sz w:val="20"/>
                <w:szCs w:val="20"/>
                <w:lang w:val="es-ES_tradnl"/>
              </w:rPr>
              <w:t>Diario Oficial No. 50.492 del 30 de enero de 2018 que contiene la Resolución MME No. 40072 por la cual se establecen los mecanismos para implementar la Infraestructura de Medición Avanzada en el servicio público de energía eléctrica.</w:t>
            </w:r>
          </w:p>
        </w:tc>
        <w:tc>
          <w:tcPr>
            <w:tcW w:w="1469" w:type="dxa"/>
            <w:vAlign w:val="center"/>
          </w:tcPr>
          <w:p w14:paraId="02B34AFD" w14:textId="77777777" w:rsidR="008C6D84" w:rsidRPr="00674DA8" w:rsidRDefault="008C6D84" w:rsidP="008C6D84">
            <w:pPr>
              <w:spacing w:after="0" w:line="240" w:lineRule="auto"/>
              <w:jc w:val="center"/>
              <w:rPr>
                <w:rFonts w:ascii="Arial" w:hAnsi="Arial" w:cs="Arial"/>
                <w:sz w:val="20"/>
                <w:szCs w:val="20"/>
                <w:lang w:val="es-ES_tradnl"/>
              </w:rPr>
            </w:pPr>
          </w:p>
        </w:tc>
      </w:tr>
      <w:tr w:rsidR="008C6D84" w:rsidRPr="003006F8" w14:paraId="4E171200" w14:textId="77777777" w:rsidTr="00B41376">
        <w:trPr>
          <w:trHeight w:val="64"/>
        </w:trPr>
        <w:tc>
          <w:tcPr>
            <w:tcW w:w="4680" w:type="dxa"/>
            <w:vAlign w:val="center"/>
          </w:tcPr>
          <w:p w14:paraId="31A6F0FA" w14:textId="404A425B" w:rsidR="008C6D84" w:rsidRPr="00674DA8"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Documento CREG 077 de 2018 por el cual se analizan los criterios regulatorios para la implementación de Infraestructura de Medición Avanzada que facilitar esquemas de eficiencia energética, respuesta de la demanda y modelos de tarificación horaria.</w:t>
            </w:r>
          </w:p>
        </w:tc>
        <w:tc>
          <w:tcPr>
            <w:tcW w:w="1260" w:type="dxa"/>
            <w:vAlign w:val="center"/>
          </w:tcPr>
          <w:p w14:paraId="6C777AF6" w14:textId="3E454810"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Documento</w:t>
            </w:r>
          </w:p>
        </w:tc>
        <w:tc>
          <w:tcPr>
            <w:tcW w:w="1440" w:type="dxa"/>
            <w:vAlign w:val="center"/>
          </w:tcPr>
          <w:p w14:paraId="3EB52EE5" w14:textId="7ACA1A8B"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47D4E706" w14:textId="366944AD"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DAFB73B" w14:textId="7F7C7630"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69153B68" w14:textId="64CF0B5E"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6E94F0FA" w14:textId="018EA04A" w:rsidR="008C6D84" w:rsidRPr="00F1270F" w:rsidRDefault="008C6D84" w:rsidP="008C6D84">
            <w:pPr>
              <w:spacing w:after="0" w:line="240" w:lineRule="auto"/>
              <w:rPr>
                <w:rFonts w:ascii="Arial" w:hAnsi="Arial" w:cs="Arial"/>
                <w:sz w:val="20"/>
                <w:szCs w:val="20"/>
                <w:lang w:val="es-ES_tradnl"/>
              </w:rPr>
            </w:pPr>
            <w:r w:rsidRPr="001C2435">
              <w:rPr>
                <w:rFonts w:ascii="Arial" w:hAnsi="Arial" w:cs="Arial"/>
                <w:sz w:val="20"/>
                <w:szCs w:val="20"/>
                <w:lang w:val="es-ES_tradnl"/>
              </w:rPr>
              <w:t>Comunicación del DNP remitiendo</w:t>
            </w:r>
            <w:r>
              <w:rPr>
                <w:rFonts w:ascii="Arial" w:hAnsi="Arial" w:cs="Arial"/>
                <w:sz w:val="20"/>
                <w:szCs w:val="20"/>
                <w:lang w:val="es-ES_tradnl"/>
              </w:rPr>
              <w:t xml:space="preserve"> el </w:t>
            </w:r>
            <w:r w:rsidRPr="00331736">
              <w:rPr>
                <w:rFonts w:ascii="Arial" w:hAnsi="Arial" w:cs="Arial"/>
                <w:sz w:val="20"/>
                <w:szCs w:val="20"/>
                <w:lang w:val="es-ES_tradnl"/>
              </w:rPr>
              <w:t xml:space="preserve">Documento CREG 077 de 2018 por el cual se analizan los criterios regulatorios para la implementación de Infraestructura de Medición Avanzada que facilitar esquemas de eficiencia energética, respuesta de la </w:t>
            </w:r>
            <w:r w:rsidRPr="00331736">
              <w:rPr>
                <w:rFonts w:ascii="Arial" w:hAnsi="Arial" w:cs="Arial"/>
                <w:sz w:val="20"/>
                <w:szCs w:val="20"/>
                <w:lang w:val="es-ES_tradnl"/>
              </w:rPr>
              <w:lastRenderedPageBreak/>
              <w:t>demanda y modelos de tarificación horaria.</w:t>
            </w:r>
          </w:p>
        </w:tc>
        <w:tc>
          <w:tcPr>
            <w:tcW w:w="1469" w:type="dxa"/>
            <w:vAlign w:val="center"/>
          </w:tcPr>
          <w:p w14:paraId="62ED8BBF" w14:textId="77777777" w:rsidR="008C6D84" w:rsidRPr="00F1270F" w:rsidRDefault="008C6D84" w:rsidP="008C6D84">
            <w:pPr>
              <w:spacing w:after="0" w:line="240" w:lineRule="auto"/>
              <w:jc w:val="center"/>
              <w:rPr>
                <w:rFonts w:ascii="Arial" w:hAnsi="Arial" w:cs="Arial"/>
                <w:sz w:val="20"/>
                <w:szCs w:val="20"/>
                <w:lang w:val="es-ES_tradnl"/>
              </w:rPr>
            </w:pPr>
          </w:p>
        </w:tc>
      </w:tr>
      <w:tr w:rsidR="008C6D84" w:rsidRPr="003006F8" w14:paraId="6210BC89" w14:textId="77777777" w:rsidTr="00B41376">
        <w:trPr>
          <w:trHeight w:val="64"/>
        </w:trPr>
        <w:tc>
          <w:tcPr>
            <w:tcW w:w="4680" w:type="dxa"/>
            <w:vAlign w:val="center"/>
          </w:tcPr>
          <w:p w14:paraId="661A6E41" w14:textId="09A4B8E7" w:rsidR="008C6D84" w:rsidRPr="00674DA8"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 xml:space="preserve">Resolución CREG 098 de julio de 2018 por la cual se adoptan las normas para regular las pruebas de disponibilidad de la demanda </w:t>
            </w:r>
            <w:proofErr w:type="spellStart"/>
            <w:r w:rsidRPr="00674DA8">
              <w:rPr>
                <w:rFonts w:ascii="Arial" w:hAnsi="Arial" w:cs="Arial"/>
                <w:sz w:val="20"/>
                <w:szCs w:val="20"/>
              </w:rPr>
              <w:t>desconectable</w:t>
            </w:r>
            <w:proofErr w:type="spellEnd"/>
            <w:r w:rsidRPr="00674DA8">
              <w:rPr>
                <w:rFonts w:ascii="Arial" w:hAnsi="Arial" w:cs="Arial"/>
                <w:sz w:val="20"/>
                <w:szCs w:val="20"/>
              </w:rPr>
              <w:t xml:space="preserve"> voluntaria.</w:t>
            </w:r>
          </w:p>
        </w:tc>
        <w:tc>
          <w:tcPr>
            <w:tcW w:w="1260" w:type="dxa"/>
            <w:vAlign w:val="center"/>
          </w:tcPr>
          <w:p w14:paraId="1F048ECE" w14:textId="753479E3"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Resolución</w:t>
            </w:r>
          </w:p>
        </w:tc>
        <w:tc>
          <w:tcPr>
            <w:tcW w:w="1440" w:type="dxa"/>
            <w:vAlign w:val="center"/>
          </w:tcPr>
          <w:p w14:paraId="0CE72A7D" w14:textId="510B7CAF"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1B55B2FD" w14:textId="40BB2CC0"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1C04284" w14:textId="67B0A028"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07C49B0C" w14:textId="7DFD19A3"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1C7CCDB7" w14:textId="55678558" w:rsidR="008C6D84" w:rsidRPr="00F1270F" w:rsidRDefault="00C406C3" w:rsidP="008C6D84">
            <w:pPr>
              <w:spacing w:after="0" w:line="240" w:lineRule="auto"/>
              <w:rPr>
                <w:rFonts w:ascii="Arial" w:hAnsi="Arial" w:cs="Arial"/>
                <w:sz w:val="20"/>
                <w:szCs w:val="20"/>
                <w:lang w:val="es-ES_tradnl"/>
              </w:rPr>
            </w:pPr>
            <w:r w:rsidRPr="00C406C3">
              <w:rPr>
                <w:rFonts w:ascii="Arial" w:hAnsi="Arial" w:cs="Arial"/>
                <w:sz w:val="20"/>
                <w:szCs w:val="20"/>
                <w:lang w:val="es-ES_tradnl"/>
              </w:rPr>
              <w:t xml:space="preserve">Diario Oficial No. 50.686 del 15 de agosto de 2018 que contiene la Resolución de la CREG 098 por la cual se adoptan las normas para regular las pruebas de disponibilidad de la demanda </w:t>
            </w:r>
            <w:proofErr w:type="spellStart"/>
            <w:r w:rsidRPr="00C406C3">
              <w:rPr>
                <w:rFonts w:ascii="Arial" w:hAnsi="Arial" w:cs="Arial"/>
                <w:sz w:val="20"/>
                <w:szCs w:val="20"/>
                <w:lang w:val="es-ES_tradnl"/>
              </w:rPr>
              <w:t>desconectable</w:t>
            </w:r>
            <w:proofErr w:type="spellEnd"/>
            <w:r w:rsidRPr="00C406C3">
              <w:rPr>
                <w:rFonts w:ascii="Arial" w:hAnsi="Arial" w:cs="Arial"/>
                <w:sz w:val="20"/>
                <w:szCs w:val="20"/>
                <w:lang w:val="es-ES_tradnl"/>
              </w:rPr>
              <w:t xml:space="preserve"> voluntaria.</w:t>
            </w:r>
          </w:p>
        </w:tc>
        <w:tc>
          <w:tcPr>
            <w:tcW w:w="1469" w:type="dxa"/>
            <w:vAlign w:val="center"/>
          </w:tcPr>
          <w:p w14:paraId="7AEC9B5A" w14:textId="77777777" w:rsidR="008C6D84" w:rsidRPr="00F1270F" w:rsidRDefault="008C6D84" w:rsidP="008C6D84">
            <w:pPr>
              <w:spacing w:after="0" w:line="240" w:lineRule="auto"/>
              <w:jc w:val="center"/>
              <w:rPr>
                <w:rFonts w:ascii="Arial" w:hAnsi="Arial" w:cs="Arial"/>
                <w:sz w:val="20"/>
                <w:szCs w:val="20"/>
                <w:lang w:val="es-ES_tradnl"/>
              </w:rPr>
            </w:pPr>
          </w:p>
        </w:tc>
      </w:tr>
      <w:tr w:rsidR="00D32B69" w:rsidRPr="003006F8" w14:paraId="1B880D58" w14:textId="77777777" w:rsidTr="00B41376">
        <w:trPr>
          <w:trHeight w:val="64"/>
        </w:trPr>
        <w:tc>
          <w:tcPr>
            <w:tcW w:w="4680" w:type="dxa"/>
            <w:vAlign w:val="center"/>
          </w:tcPr>
          <w:p w14:paraId="34CC509F" w14:textId="095257EE" w:rsidR="00D32B69" w:rsidRPr="00674DA8" w:rsidRDefault="00D32B69" w:rsidP="00D32B69">
            <w:pPr>
              <w:pStyle w:val="ListParagraph"/>
              <w:numPr>
                <w:ilvl w:val="0"/>
                <w:numId w:val="22"/>
              </w:numPr>
              <w:tabs>
                <w:tab w:val="left" w:pos="354"/>
              </w:tabs>
              <w:spacing w:after="0" w:line="240" w:lineRule="auto"/>
              <w:ind w:left="360"/>
              <w:jc w:val="both"/>
              <w:rPr>
                <w:rFonts w:ascii="Arial" w:hAnsi="Arial" w:cs="Arial"/>
                <w:sz w:val="20"/>
                <w:szCs w:val="20"/>
              </w:rPr>
            </w:pPr>
            <w:r w:rsidRPr="000265F5">
              <w:rPr>
                <w:rFonts w:ascii="Arial" w:hAnsi="Arial" w:cs="Arial"/>
                <w:sz w:val="20"/>
                <w:szCs w:val="20"/>
              </w:rPr>
              <w:t>Circular CREG 104 de 2018 que pone en conocimiento el Documento CREG 109 de 2018, el cual contiene los temas que conforman la Agenda Regulatoria indicativa de la CREG para la vigencia 2019.</w:t>
            </w:r>
          </w:p>
        </w:tc>
        <w:tc>
          <w:tcPr>
            <w:tcW w:w="1260" w:type="dxa"/>
            <w:vAlign w:val="center"/>
          </w:tcPr>
          <w:p w14:paraId="1D3DADB8" w14:textId="0DB692F1" w:rsidR="00D32B69" w:rsidRPr="00F1270F" w:rsidRDefault="00097285" w:rsidP="00D32B69">
            <w:pPr>
              <w:spacing w:after="0" w:line="240" w:lineRule="auto"/>
              <w:jc w:val="center"/>
              <w:rPr>
                <w:rFonts w:ascii="Arial" w:hAnsi="Arial" w:cs="Arial"/>
                <w:sz w:val="20"/>
                <w:szCs w:val="20"/>
                <w:lang w:val="es-BO"/>
              </w:rPr>
            </w:pPr>
            <w:r>
              <w:rPr>
                <w:rFonts w:ascii="Arial" w:hAnsi="Arial" w:cs="Arial"/>
                <w:sz w:val="20"/>
                <w:szCs w:val="20"/>
                <w:lang w:val="es-BO"/>
              </w:rPr>
              <w:t>Circular</w:t>
            </w:r>
          </w:p>
        </w:tc>
        <w:tc>
          <w:tcPr>
            <w:tcW w:w="1440" w:type="dxa"/>
            <w:vAlign w:val="center"/>
          </w:tcPr>
          <w:p w14:paraId="623E2A08" w14:textId="37040BD2" w:rsidR="00D32B69" w:rsidRDefault="00D32B69" w:rsidP="00D32B69">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05DF6BF9" w14:textId="31464045" w:rsidR="00D32B69" w:rsidRDefault="00D32B69" w:rsidP="00D32B69">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673DD49F" w14:textId="6F1C6DC2" w:rsidR="00D32B69" w:rsidRDefault="00D32B69" w:rsidP="00D32B69">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4A12B532" w14:textId="30AB8B63" w:rsidR="00D32B69" w:rsidRDefault="00D32B69" w:rsidP="00D32B69">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4ABE2C69" w14:textId="400F1B9F" w:rsidR="00D32B69" w:rsidRPr="00C406C3" w:rsidRDefault="00D32B69" w:rsidP="00D32B69">
            <w:pPr>
              <w:spacing w:after="0" w:line="240" w:lineRule="auto"/>
              <w:rPr>
                <w:rFonts w:ascii="Arial" w:hAnsi="Arial" w:cs="Arial"/>
                <w:sz w:val="20"/>
                <w:szCs w:val="20"/>
                <w:lang w:val="es-ES_tradnl"/>
              </w:rPr>
            </w:pPr>
            <w:r w:rsidRPr="003956A7">
              <w:rPr>
                <w:rFonts w:ascii="Arial" w:hAnsi="Arial" w:cs="Arial"/>
                <w:sz w:val="20"/>
                <w:szCs w:val="20"/>
                <w:lang w:val="es-ES_tradnl"/>
              </w:rPr>
              <w:t>Circular CREG 104 de 2018 que pone en conocimiento el Documento CREG 109 de 2018, el cual contiene los temas que conforman la Agenda Regulatoria indicativa de la CREG para la vigencia 2019.</w:t>
            </w:r>
          </w:p>
        </w:tc>
        <w:tc>
          <w:tcPr>
            <w:tcW w:w="1469" w:type="dxa"/>
            <w:vAlign w:val="center"/>
          </w:tcPr>
          <w:p w14:paraId="7CBA8B89" w14:textId="77777777" w:rsidR="00D32B69" w:rsidRPr="00F1270F" w:rsidRDefault="00D32B69" w:rsidP="00D32B69">
            <w:pPr>
              <w:spacing w:after="0" w:line="240" w:lineRule="auto"/>
              <w:jc w:val="center"/>
              <w:rPr>
                <w:rFonts w:ascii="Arial" w:hAnsi="Arial" w:cs="Arial"/>
                <w:sz w:val="20"/>
                <w:szCs w:val="20"/>
                <w:lang w:val="es-ES_tradnl"/>
              </w:rPr>
            </w:pPr>
          </w:p>
        </w:tc>
      </w:tr>
      <w:tr w:rsidR="008C6D84" w:rsidRPr="003006F8" w14:paraId="52B89629" w14:textId="77777777" w:rsidTr="00B41376">
        <w:trPr>
          <w:trHeight w:val="64"/>
        </w:trPr>
        <w:tc>
          <w:tcPr>
            <w:tcW w:w="4680" w:type="dxa"/>
            <w:vAlign w:val="center"/>
          </w:tcPr>
          <w:p w14:paraId="73B57D59" w14:textId="04AE5901" w:rsidR="008C6D84" w:rsidRPr="00674DA8"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Resoluciones CREG No. 083 y 084 de 2018 con que se fija la oportunidad para asignar obligaciones de energía del cargo por confiabilidad.</w:t>
            </w:r>
          </w:p>
        </w:tc>
        <w:tc>
          <w:tcPr>
            <w:tcW w:w="1260" w:type="dxa"/>
            <w:vAlign w:val="center"/>
          </w:tcPr>
          <w:p w14:paraId="1496B8F2" w14:textId="7EFE7307"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Resoluciones</w:t>
            </w:r>
          </w:p>
        </w:tc>
        <w:tc>
          <w:tcPr>
            <w:tcW w:w="1440" w:type="dxa"/>
            <w:vAlign w:val="center"/>
          </w:tcPr>
          <w:p w14:paraId="7541D648" w14:textId="3CC39D95"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79C67519" w14:textId="378126EF"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D87447B" w14:textId="70BF7570"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595AFB06" w14:textId="7C0948FD"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125CF4F1" w14:textId="21638427" w:rsidR="008C6D84" w:rsidRPr="00F1270F" w:rsidRDefault="00145663" w:rsidP="008C6D84">
            <w:pPr>
              <w:spacing w:after="0" w:line="240" w:lineRule="auto"/>
              <w:rPr>
                <w:rFonts w:ascii="Arial" w:hAnsi="Arial" w:cs="Arial"/>
                <w:sz w:val="20"/>
                <w:szCs w:val="20"/>
                <w:lang w:val="es-ES_tradnl"/>
              </w:rPr>
            </w:pPr>
            <w:r w:rsidRPr="00145663">
              <w:rPr>
                <w:rFonts w:ascii="Arial" w:hAnsi="Arial" w:cs="Arial"/>
                <w:sz w:val="20"/>
                <w:szCs w:val="20"/>
                <w:lang w:val="es-ES_tradnl"/>
              </w:rPr>
              <w:t>Diario Oficial No. 50.677 del 27 de julio de 2018 que contiene las Resoluciones CREG No. 083 y 084 por las cuales se fija la oportunidad para asignar obligaciones de energía del cargo por confiabilidad.</w:t>
            </w:r>
          </w:p>
        </w:tc>
        <w:tc>
          <w:tcPr>
            <w:tcW w:w="1469" w:type="dxa"/>
            <w:vAlign w:val="center"/>
          </w:tcPr>
          <w:p w14:paraId="132D7A46" w14:textId="77777777" w:rsidR="008C6D84" w:rsidRPr="00F1270F" w:rsidRDefault="008C6D84" w:rsidP="008C6D84">
            <w:pPr>
              <w:spacing w:after="0" w:line="240" w:lineRule="auto"/>
              <w:jc w:val="center"/>
              <w:rPr>
                <w:rFonts w:ascii="Arial" w:hAnsi="Arial" w:cs="Arial"/>
                <w:sz w:val="20"/>
                <w:szCs w:val="20"/>
                <w:lang w:val="es-ES_tradnl"/>
              </w:rPr>
            </w:pPr>
          </w:p>
        </w:tc>
      </w:tr>
      <w:tr w:rsidR="008C6D84" w:rsidRPr="003006F8" w14:paraId="1902BE70" w14:textId="77777777" w:rsidTr="00B41376">
        <w:trPr>
          <w:trHeight w:val="64"/>
        </w:trPr>
        <w:tc>
          <w:tcPr>
            <w:tcW w:w="4680" w:type="dxa"/>
            <w:vAlign w:val="center"/>
          </w:tcPr>
          <w:p w14:paraId="0E658EB8" w14:textId="050BD856" w:rsidR="008C6D84" w:rsidRPr="00674DA8"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 xml:space="preserve">Resolución CREG 114 de agosto de 2018, por la cual se determinan los principios y condiciones generales que deben cumplir los mecanismos para la comercialización de energía eléctrica para que sus precios sean </w:t>
            </w:r>
            <w:r w:rsidRPr="00674DA8">
              <w:rPr>
                <w:rFonts w:ascii="Arial" w:hAnsi="Arial" w:cs="Arial"/>
                <w:sz w:val="20"/>
                <w:szCs w:val="20"/>
              </w:rPr>
              <w:lastRenderedPageBreak/>
              <w:t>reconocidos en el componente de costos de compras de energía al usuario regulado.</w:t>
            </w:r>
          </w:p>
        </w:tc>
        <w:tc>
          <w:tcPr>
            <w:tcW w:w="1260" w:type="dxa"/>
            <w:vAlign w:val="center"/>
          </w:tcPr>
          <w:p w14:paraId="6920EAEE" w14:textId="0FD96959"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lastRenderedPageBreak/>
              <w:t>Resoluciones</w:t>
            </w:r>
          </w:p>
        </w:tc>
        <w:tc>
          <w:tcPr>
            <w:tcW w:w="1440" w:type="dxa"/>
            <w:vAlign w:val="center"/>
          </w:tcPr>
          <w:p w14:paraId="2EE18E3E" w14:textId="46589185"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1E1ABBF0" w14:textId="4ED36BB7"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02A8B0BF" w14:textId="1FD82180"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1C91389A" w14:textId="4189F30F"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0A351BAE" w14:textId="616EFE8A" w:rsidR="008C6D84" w:rsidRPr="00F1270F" w:rsidRDefault="00923EF7" w:rsidP="008C6D84">
            <w:pPr>
              <w:spacing w:after="0" w:line="240" w:lineRule="auto"/>
              <w:rPr>
                <w:rFonts w:ascii="Arial" w:hAnsi="Arial" w:cs="Arial"/>
                <w:sz w:val="20"/>
                <w:szCs w:val="20"/>
                <w:lang w:val="es-ES_tradnl"/>
              </w:rPr>
            </w:pPr>
            <w:r w:rsidRPr="00923EF7">
              <w:rPr>
                <w:rFonts w:ascii="Arial" w:hAnsi="Arial" w:cs="Arial"/>
                <w:sz w:val="20"/>
                <w:szCs w:val="20"/>
                <w:lang w:val="es-ES_tradnl"/>
              </w:rPr>
              <w:t xml:space="preserve">Diario Oficial No. 50.713 del 11 de septiembre de 2018 que contiene la Resolución CREG No. 114 por la cual se </w:t>
            </w:r>
            <w:r w:rsidRPr="00923EF7">
              <w:rPr>
                <w:rFonts w:ascii="Arial" w:hAnsi="Arial" w:cs="Arial"/>
                <w:sz w:val="20"/>
                <w:szCs w:val="20"/>
                <w:lang w:val="es-ES_tradnl"/>
              </w:rPr>
              <w:lastRenderedPageBreak/>
              <w:t>determinan los principios y condiciones generales que deben cumplir los mecanismos para la comercialización de energía eléctrica para que sus precios sean reconocidos en el componente de costos de compras de energía al usuario regulado.</w:t>
            </w:r>
          </w:p>
        </w:tc>
        <w:tc>
          <w:tcPr>
            <w:tcW w:w="1469" w:type="dxa"/>
            <w:vAlign w:val="center"/>
          </w:tcPr>
          <w:p w14:paraId="3273A160" w14:textId="77777777" w:rsidR="008C6D84" w:rsidRPr="00F1270F" w:rsidRDefault="008C6D84" w:rsidP="008C6D84">
            <w:pPr>
              <w:spacing w:after="0" w:line="240" w:lineRule="auto"/>
              <w:jc w:val="center"/>
              <w:rPr>
                <w:rFonts w:ascii="Arial" w:hAnsi="Arial" w:cs="Arial"/>
                <w:sz w:val="20"/>
                <w:szCs w:val="20"/>
                <w:lang w:val="es-ES_tradnl"/>
              </w:rPr>
            </w:pPr>
          </w:p>
        </w:tc>
      </w:tr>
      <w:tr w:rsidR="008C6D84" w:rsidRPr="003006F8" w14:paraId="7FF466AB" w14:textId="77777777" w:rsidTr="00B41376">
        <w:trPr>
          <w:trHeight w:val="64"/>
        </w:trPr>
        <w:tc>
          <w:tcPr>
            <w:tcW w:w="4680" w:type="dxa"/>
            <w:vAlign w:val="center"/>
          </w:tcPr>
          <w:p w14:paraId="19508B02" w14:textId="6AE4957C" w:rsidR="008C6D84" w:rsidRPr="00674DA8"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Resolución MME 40790 de julio de 2018: “Por la cual se adopta el plan de expansión de referencia generación - transmisión 2017 - 2031”.</w:t>
            </w:r>
          </w:p>
        </w:tc>
        <w:tc>
          <w:tcPr>
            <w:tcW w:w="1260" w:type="dxa"/>
            <w:vAlign w:val="center"/>
          </w:tcPr>
          <w:p w14:paraId="41F187AB" w14:textId="22AB44C4"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Resoluciones</w:t>
            </w:r>
          </w:p>
        </w:tc>
        <w:tc>
          <w:tcPr>
            <w:tcW w:w="1440" w:type="dxa"/>
            <w:vAlign w:val="center"/>
          </w:tcPr>
          <w:p w14:paraId="69EE90F2" w14:textId="1CB90561"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003B8E5A" w14:textId="0110180F"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07D0BE88" w14:textId="6177A54E"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6E2A24D9" w14:textId="460D8178"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61D47EF3" w14:textId="42C1D2C9" w:rsidR="008C6D84" w:rsidRPr="00F1270F" w:rsidRDefault="002D664A" w:rsidP="008C6D84">
            <w:pPr>
              <w:spacing w:after="0" w:line="240" w:lineRule="auto"/>
              <w:rPr>
                <w:rFonts w:ascii="Arial" w:hAnsi="Arial" w:cs="Arial"/>
                <w:sz w:val="20"/>
                <w:szCs w:val="20"/>
                <w:lang w:val="es-ES_tradnl"/>
              </w:rPr>
            </w:pPr>
            <w:r w:rsidRPr="002D664A">
              <w:rPr>
                <w:rFonts w:ascii="Arial" w:hAnsi="Arial" w:cs="Arial"/>
                <w:sz w:val="20"/>
                <w:szCs w:val="20"/>
                <w:lang w:val="es-ES_tradnl"/>
              </w:rPr>
              <w:t xml:space="preserve">Diario Oficial No. 50.675 del 4 de agosto de 2018 que contiene la Resolución del MME No. 40790 por la cual se adopta de Plan de Expansión de Generación y Transmisión de Energía </w:t>
            </w:r>
            <w:proofErr w:type="gramStart"/>
            <w:r w:rsidRPr="002D664A">
              <w:rPr>
                <w:rFonts w:ascii="Arial" w:hAnsi="Arial" w:cs="Arial"/>
                <w:sz w:val="20"/>
                <w:szCs w:val="20"/>
                <w:lang w:val="es-ES_tradnl"/>
              </w:rPr>
              <w:t>Eléctrica  2017</w:t>
            </w:r>
            <w:proofErr w:type="gramEnd"/>
            <w:r w:rsidRPr="002D664A">
              <w:rPr>
                <w:rFonts w:ascii="Arial" w:hAnsi="Arial" w:cs="Arial"/>
                <w:sz w:val="20"/>
                <w:szCs w:val="20"/>
                <w:lang w:val="es-ES_tradnl"/>
              </w:rPr>
              <w:t xml:space="preserve"> - 2031.</w:t>
            </w:r>
          </w:p>
        </w:tc>
        <w:tc>
          <w:tcPr>
            <w:tcW w:w="1469" w:type="dxa"/>
            <w:vAlign w:val="center"/>
          </w:tcPr>
          <w:p w14:paraId="30171103" w14:textId="77777777" w:rsidR="008C6D84" w:rsidRPr="00F1270F" w:rsidRDefault="008C6D84" w:rsidP="008C6D84">
            <w:pPr>
              <w:spacing w:after="0" w:line="240" w:lineRule="auto"/>
              <w:jc w:val="center"/>
              <w:rPr>
                <w:rFonts w:ascii="Arial" w:hAnsi="Arial" w:cs="Arial"/>
                <w:sz w:val="20"/>
                <w:szCs w:val="20"/>
                <w:lang w:val="es-ES_tradnl"/>
              </w:rPr>
            </w:pPr>
          </w:p>
        </w:tc>
      </w:tr>
      <w:tr w:rsidR="008C6D84" w:rsidRPr="003006F8" w14:paraId="384AFE85" w14:textId="77777777" w:rsidTr="00B41376">
        <w:trPr>
          <w:trHeight w:val="64"/>
        </w:trPr>
        <w:tc>
          <w:tcPr>
            <w:tcW w:w="4680" w:type="dxa"/>
            <w:vAlign w:val="center"/>
          </w:tcPr>
          <w:p w14:paraId="5E13B25E" w14:textId="67E31E9E" w:rsidR="008C6D84" w:rsidRPr="00674DA8"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674DA8">
              <w:rPr>
                <w:rFonts w:ascii="Arial" w:hAnsi="Arial" w:cs="Arial"/>
                <w:sz w:val="20"/>
                <w:szCs w:val="20"/>
              </w:rPr>
              <w:t>Resolución MME 40796 de agosto de 2018, la cual se adopta la política de derechos humanos del sector minero energético que tiene un enfoque diferencial de género para el sector minero energético.</w:t>
            </w:r>
          </w:p>
        </w:tc>
        <w:tc>
          <w:tcPr>
            <w:tcW w:w="1260" w:type="dxa"/>
            <w:vAlign w:val="center"/>
          </w:tcPr>
          <w:p w14:paraId="34AEB0EB" w14:textId="1F79C6FB"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Resoluciones</w:t>
            </w:r>
          </w:p>
        </w:tc>
        <w:tc>
          <w:tcPr>
            <w:tcW w:w="1440" w:type="dxa"/>
            <w:vAlign w:val="center"/>
          </w:tcPr>
          <w:p w14:paraId="2CC5E903" w14:textId="7B90B542"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3F88D010" w14:textId="7986A94C"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7EA2C396" w14:textId="3E19C06C"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45364029" w14:textId="7CF7B3CA"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4D4849AC" w14:textId="110D5361" w:rsidR="008C6D84" w:rsidRPr="00F1270F" w:rsidRDefault="00C11243" w:rsidP="008C6D84">
            <w:pPr>
              <w:spacing w:after="0" w:line="240" w:lineRule="auto"/>
              <w:rPr>
                <w:rFonts w:ascii="Arial" w:hAnsi="Arial" w:cs="Arial"/>
                <w:sz w:val="20"/>
                <w:szCs w:val="20"/>
                <w:lang w:val="es-ES_tradnl"/>
              </w:rPr>
            </w:pPr>
            <w:r w:rsidRPr="00C11243">
              <w:rPr>
                <w:rFonts w:ascii="Arial" w:hAnsi="Arial" w:cs="Arial"/>
                <w:sz w:val="20"/>
                <w:szCs w:val="20"/>
                <w:lang w:val="es-ES_tradnl"/>
              </w:rPr>
              <w:t>Diario Oficial No. 50.673 del 2 de agosto de 2018 que contiene la Resolución MME No. 40796 por la cual se adopta la política de derechos humanos del sector minero energético que tiene un enfoque diferencial de género para el sector minero energético.</w:t>
            </w:r>
          </w:p>
        </w:tc>
        <w:tc>
          <w:tcPr>
            <w:tcW w:w="1469" w:type="dxa"/>
            <w:vAlign w:val="center"/>
          </w:tcPr>
          <w:p w14:paraId="693F3116" w14:textId="77777777" w:rsidR="008C6D84" w:rsidRPr="00F1270F" w:rsidRDefault="008C6D84" w:rsidP="008C6D84">
            <w:pPr>
              <w:spacing w:after="0" w:line="240" w:lineRule="auto"/>
              <w:jc w:val="center"/>
              <w:rPr>
                <w:rFonts w:ascii="Arial" w:hAnsi="Arial" w:cs="Arial"/>
                <w:sz w:val="20"/>
                <w:szCs w:val="20"/>
                <w:lang w:val="es-ES_tradnl"/>
              </w:rPr>
            </w:pPr>
          </w:p>
        </w:tc>
      </w:tr>
      <w:tr w:rsidR="008C6D84" w:rsidRPr="003006F8" w14:paraId="35C20834" w14:textId="77777777" w:rsidTr="00B41376">
        <w:trPr>
          <w:trHeight w:val="278"/>
        </w:trPr>
        <w:tc>
          <w:tcPr>
            <w:tcW w:w="12487" w:type="dxa"/>
            <w:gridSpan w:val="7"/>
            <w:shd w:val="clear" w:color="auto" w:fill="C6D9F1" w:themeFill="text2" w:themeFillTint="33"/>
            <w:vAlign w:val="center"/>
          </w:tcPr>
          <w:p w14:paraId="4DA3A785" w14:textId="7997E1E5" w:rsidR="008C6D84" w:rsidRPr="00F1270F" w:rsidRDefault="008C6D84" w:rsidP="008C6D84">
            <w:pPr>
              <w:spacing w:after="0" w:line="240" w:lineRule="auto"/>
              <w:rPr>
                <w:rFonts w:ascii="Arial" w:hAnsi="Arial" w:cs="Arial"/>
                <w:b/>
                <w:sz w:val="20"/>
                <w:szCs w:val="20"/>
                <w:lang w:val="es-ES_tradnl"/>
              </w:rPr>
            </w:pPr>
            <w:r w:rsidRPr="00F1270F">
              <w:rPr>
                <w:rFonts w:ascii="Arial" w:hAnsi="Arial" w:cs="Arial"/>
                <w:b/>
                <w:sz w:val="20"/>
                <w:szCs w:val="20"/>
                <w:lang w:val="es-ES_tradnl"/>
              </w:rPr>
              <w:t xml:space="preserve">Componente </w:t>
            </w:r>
            <w:r>
              <w:rPr>
                <w:rFonts w:ascii="Arial" w:hAnsi="Arial" w:cs="Arial"/>
                <w:b/>
                <w:sz w:val="20"/>
                <w:szCs w:val="20"/>
                <w:lang w:val="es-ES_tradnl"/>
              </w:rPr>
              <w:t>3</w:t>
            </w:r>
            <w:r w:rsidRPr="00F1270F">
              <w:rPr>
                <w:rFonts w:ascii="Arial" w:hAnsi="Arial" w:cs="Arial"/>
                <w:b/>
                <w:sz w:val="20"/>
                <w:szCs w:val="20"/>
                <w:lang w:val="es-ES_tradnl"/>
              </w:rPr>
              <w:t>. Promoción del acceso a la energía en ZNI</w:t>
            </w:r>
            <w:r w:rsidR="00FC133C">
              <w:rPr>
                <w:rFonts w:ascii="Arial" w:hAnsi="Arial" w:cs="Arial"/>
                <w:b/>
                <w:sz w:val="20"/>
                <w:szCs w:val="20"/>
                <w:lang w:val="es-ES_tradnl"/>
              </w:rPr>
              <w:t xml:space="preserve"> con FNCER</w:t>
            </w:r>
          </w:p>
        </w:tc>
        <w:tc>
          <w:tcPr>
            <w:tcW w:w="1469" w:type="dxa"/>
            <w:shd w:val="clear" w:color="auto" w:fill="C6D9F1" w:themeFill="text2" w:themeFillTint="33"/>
          </w:tcPr>
          <w:p w14:paraId="1A5E7BDA" w14:textId="77777777" w:rsidR="008C6D84" w:rsidRPr="00F1270F" w:rsidRDefault="008C6D84" w:rsidP="008C6D84">
            <w:pPr>
              <w:spacing w:after="0" w:line="240" w:lineRule="auto"/>
              <w:rPr>
                <w:rFonts w:ascii="Arial" w:hAnsi="Arial" w:cs="Arial"/>
                <w:b/>
                <w:sz w:val="20"/>
                <w:szCs w:val="20"/>
                <w:lang w:val="es-ES_tradnl"/>
              </w:rPr>
            </w:pPr>
          </w:p>
        </w:tc>
      </w:tr>
      <w:tr w:rsidR="008C6D84" w:rsidRPr="003006F8" w14:paraId="46607FC1" w14:textId="77777777" w:rsidTr="00B41376">
        <w:trPr>
          <w:trHeight w:val="64"/>
        </w:trPr>
        <w:tc>
          <w:tcPr>
            <w:tcW w:w="4680" w:type="dxa"/>
            <w:vAlign w:val="center"/>
          </w:tcPr>
          <w:p w14:paraId="6FC17A98" w14:textId="6069C26E" w:rsidR="008C6D84" w:rsidRPr="00F1270F"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331736">
              <w:rPr>
                <w:rFonts w:ascii="Arial" w:hAnsi="Arial" w:cs="Arial"/>
                <w:sz w:val="20"/>
                <w:szCs w:val="20"/>
              </w:rPr>
              <w:t>Registro de proyectos de generación de energía eléctrica en página WEB de la UPME.</w:t>
            </w:r>
          </w:p>
        </w:tc>
        <w:tc>
          <w:tcPr>
            <w:tcW w:w="1260" w:type="dxa"/>
            <w:vAlign w:val="center"/>
          </w:tcPr>
          <w:p w14:paraId="6C8912E6" w14:textId="7F351F0B"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Registro</w:t>
            </w:r>
          </w:p>
        </w:tc>
        <w:tc>
          <w:tcPr>
            <w:tcW w:w="1440" w:type="dxa"/>
            <w:vAlign w:val="center"/>
          </w:tcPr>
          <w:p w14:paraId="61A70128" w14:textId="39813650"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5EE44242" w14:textId="2D0D71C2"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75CEB8F0" w14:textId="77D1D905"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1699BCA9" w14:textId="487F81D6"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22E76169" w14:textId="7F6D6179" w:rsidR="008C6D84" w:rsidRPr="00F1270F" w:rsidRDefault="008C6D84" w:rsidP="008C6D84">
            <w:pPr>
              <w:spacing w:after="0" w:line="240" w:lineRule="auto"/>
              <w:rPr>
                <w:rFonts w:ascii="Arial" w:hAnsi="Arial" w:cs="Arial"/>
                <w:sz w:val="20"/>
                <w:szCs w:val="20"/>
                <w:lang w:val="es-BO"/>
              </w:rPr>
            </w:pPr>
            <w:r w:rsidRPr="001C2435">
              <w:rPr>
                <w:rFonts w:ascii="Arial" w:hAnsi="Arial" w:cs="Arial"/>
                <w:sz w:val="20"/>
                <w:szCs w:val="20"/>
                <w:lang w:val="es-ES_tradnl"/>
              </w:rPr>
              <w:t xml:space="preserve">Comunicación del Departamento Nacional de Planeación (DNP) </w:t>
            </w:r>
            <w:r w:rsidRPr="001C2435">
              <w:rPr>
                <w:rFonts w:ascii="Arial" w:hAnsi="Arial" w:cs="Arial"/>
                <w:sz w:val="20"/>
                <w:szCs w:val="20"/>
                <w:lang w:val="es-ES_tradnl"/>
              </w:rPr>
              <w:lastRenderedPageBreak/>
              <w:t>remitiendo</w:t>
            </w:r>
            <w:r>
              <w:rPr>
                <w:rFonts w:ascii="Arial" w:hAnsi="Arial" w:cs="Arial"/>
                <w:sz w:val="20"/>
                <w:szCs w:val="20"/>
                <w:lang w:val="es-ES_tradnl"/>
              </w:rPr>
              <w:t xml:space="preserve"> el </w:t>
            </w:r>
            <w:r w:rsidRPr="00331736">
              <w:rPr>
                <w:rFonts w:ascii="Arial" w:hAnsi="Arial" w:cs="Arial"/>
                <w:sz w:val="20"/>
                <w:szCs w:val="20"/>
                <w:lang w:val="es-ES_tradnl"/>
              </w:rPr>
              <w:t>Registro de proyectos de generación de energía eléctrica en página WEB de la UPME.</w:t>
            </w:r>
          </w:p>
        </w:tc>
        <w:tc>
          <w:tcPr>
            <w:tcW w:w="1469" w:type="dxa"/>
            <w:vAlign w:val="center"/>
          </w:tcPr>
          <w:p w14:paraId="2190AD99" w14:textId="77777777" w:rsidR="008C6D84" w:rsidRPr="00F1270F" w:rsidRDefault="008C6D84" w:rsidP="008C6D84">
            <w:pPr>
              <w:spacing w:after="0" w:line="240" w:lineRule="auto"/>
              <w:jc w:val="center"/>
              <w:rPr>
                <w:rFonts w:ascii="Arial" w:hAnsi="Arial" w:cs="Arial"/>
                <w:sz w:val="20"/>
                <w:szCs w:val="20"/>
                <w:lang w:val="es-ES_tradnl"/>
              </w:rPr>
            </w:pPr>
          </w:p>
        </w:tc>
      </w:tr>
      <w:tr w:rsidR="005C3911" w:rsidRPr="003006F8" w14:paraId="328D6773" w14:textId="77777777" w:rsidTr="00B41376">
        <w:trPr>
          <w:trHeight w:val="64"/>
        </w:trPr>
        <w:tc>
          <w:tcPr>
            <w:tcW w:w="4680" w:type="dxa"/>
            <w:vAlign w:val="center"/>
          </w:tcPr>
          <w:p w14:paraId="1F198C9C" w14:textId="1B6969BB" w:rsidR="005C3911" w:rsidRPr="00331736" w:rsidRDefault="005C3911"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5C3911">
              <w:rPr>
                <w:rFonts w:ascii="Arial" w:hAnsi="Arial" w:cs="Arial"/>
                <w:sz w:val="20"/>
                <w:szCs w:val="20"/>
              </w:rPr>
              <w:t>Resolución CREG No. 015 que otorga incentivos a los operadores de red para que expanda la cobertura a usuarios no conectados.</w:t>
            </w:r>
          </w:p>
        </w:tc>
        <w:tc>
          <w:tcPr>
            <w:tcW w:w="1260" w:type="dxa"/>
            <w:vAlign w:val="center"/>
          </w:tcPr>
          <w:p w14:paraId="3233F41F" w14:textId="33F4D98A" w:rsidR="005C3911"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Resoluciones</w:t>
            </w:r>
          </w:p>
        </w:tc>
        <w:tc>
          <w:tcPr>
            <w:tcW w:w="1440" w:type="dxa"/>
            <w:vAlign w:val="center"/>
          </w:tcPr>
          <w:p w14:paraId="0E290CA0" w14:textId="3609F3D7" w:rsidR="005C3911" w:rsidRDefault="005C3911"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57D614EA" w14:textId="54505D3B" w:rsidR="005C3911" w:rsidRDefault="008F1B92"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4AED3717" w14:textId="2A1588CF" w:rsidR="005C3911" w:rsidRDefault="008F1B92"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09673E48" w14:textId="172E4804" w:rsidR="005C3911" w:rsidRDefault="008F1B92"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58CD0A39" w14:textId="3B22AEC2" w:rsidR="005C3911" w:rsidRPr="001C2435" w:rsidRDefault="00D979B8" w:rsidP="008C6D84">
            <w:pPr>
              <w:spacing w:after="0" w:line="240" w:lineRule="auto"/>
              <w:rPr>
                <w:rFonts w:ascii="Arial" w:hAnsi="Arial" w:cs="Arial"/>
                <w:sz w:val="20"/>
                <w:szCs w:val="20"/>
                <w:lang w:val="es-ES_tradnl"/>
              </w:rPr>
            </w:pPr>
            <w:r w:rsidRPr="00D979B8">
              <w:rPr>
                <w:rFonts w:ascii="Arial" w:hAnsi="Arial" w:cs="Arial"/>
                <w:sz w:val="20"/>
                <w:szCs w:val="20"/>
                <w:lang w:val="es-ES_tradnl"/>
              </w:rPr>
              <w:t>Diario Oficial No. 50.860 del 7 de febrero de 2018 que contiene la Resolución CREG No. 015 que otorga incentivos a los operadores de red para que expanda la cobertura a usuarios no conectados.</w:t>
            </w:r>
          </w:p>
        </w:tc>
        <w:tc>
          <w:tcPr>
            <w:tcW w:w="1469" w:type="dxa"/>
            <w:vAlign w:val="center"/>
          </w:tcPr>
          <w:p w14:paraId="4D0E2424" w14:textId="77777777" w:rsidR="005C3911" w:rsidRPr="00F2098A" w:rsidRDefault="005C3911" w:rsidP="008C6D84">
            <w:pPr>
              <w:spacing w:after="0" w:line="240" w:lineRule="auto"/>
              <w:jc w:val="center"/>
              <w:rPr>
                <w:rFonts w:ascii="Arial" w:hAnsi="Arial" w:cs="Arial"/>
                <w:sz w:val="20"/>
                <w:szCs w:val="20"/>
                <w:lang w:val="es-ES_tradnl"/>
              </w:rPr>
            </w:pPr>
          </w:p>
        </w:tc>
      </w:tr>
      <w:tr w:rsidR="008C6D84" w:rsidRPr="003006F8" w14:paraId="5D538D31" w14:textId="77777777" w:rsidTr="00B41376">
        <w:trPr>
          <w:trHeight w:val="64"/>
        </w:trPr>
        <w:tc>
          <w:tcPr>
            <w:tcW w:w="4680" w:type="dxa"/>
            <w:vAlign w:val="center"/>
          </w:tcPr>
          <w:p w14:paraId="7F11D94A" w14:textId="3E0DFE23" w:rsidR="008C6D84" w:rsidRPr="00F1270F" w:rsidRDefault="008C6D84" w:rsidP="008C6D84">
            <w:pPr>
              <w:pStyle w:val="ListParagraph"/>
              <w:numPr>
                <w:ilvl w:val="0"/>
                <w:numId w:val="22"/>
              </w:numPr>
              <w:tabs>
                <w:tab w:val="left" w:pos="354"/>
              </w:tabs>
              <w:spacing w:after="0" w:line="240" w:lineRule="auto"/>
              <w:ind w:left="360"/>
              <w:jc w:val="both"/>
              <w:rPr>
                <w:rFonts w:ascii="Arial" w:hAnsi="Arial" w:cs="Arial"/>
                <w:sz w:val="20"/>
                <w:szCs w:val="20"/>
              </w:rPr>
            </w:pPr>
            <w:r w:rsidRPr="00331736">
              <w:rPr>
                <w:rFonts w:ascii="Arial" w:hAnsi="Arial" w:cs="Arial"/>
                <w:sz w:val="20"/>
                <w:szCs w:val="20"/>
              </w:rPr>
              <w:t>Estudio de estructuración de la APP para ZNI.</w:t>
            </w:r>
          </w:p>
        </w:tc>
        <w:tc>
          <w:tcPr>
            <w:tcW w:w="1260" w:type="dxa"/>
            <w:vAlign w:val="center"/>
          </w:tcPr>
          <w:p w14:paraId="6AC9E557" w14:textId="23DB5EF9" w:rsidR="008C6D84" w:rsidRPr="00F1270F" w:rsidRDefault="00097285" w:rsidP="008C6D84">
            <w:pPr>
              <w:spacing w:after="0" w:line="240" w:lineRule="auto"/>
              <w:jc w:val="center"/>
              <w:rPr>
                <w:rFonts w:ascii="Arial" w:hAnsi="Arial" w:cs="Arial"/>
                <w:sz w:val="20"/>
                <w:szCs w:val="20"/>
                <w:lang w:val="es-BO"/>
              </w:rPr>
            </w:pPr>
            <w:r>
              <w:rPr>
                <w:rFonts w:ascii="Arial" w:hAnsi="Arial" w:cs="Arial"/>
                <w:sz w:val="20"/>
                <w:szCs w:val="20"/>
                <w:lang w:val="es-BO"/>
              </w:rPr>
              <w:t>Estudio</w:t>
            </w:r>
          </w:p>
        </w:tc>
        <w:tc>
          <w:tcPr>
            <w:tcW w:w="1440" w:type="dxa"/>
            <w:vAlign w:val="center"/>
          </w:tcPr>
          <w:p w14:paraId="5E702560" w14:textId="5BAF65D3"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6" w:type="dxa"/>
            <w:vAlign w:val="center"/>
          </w:tcPr>
          <w:p w14:paraId="0F56CDF0" w14:textId="72E22AFD"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900" w:type="dxa"/>
            <w:vAlign w:val="center"/>
          </w:tcPr>
          <w:p w14:paraId="10271F8C" w14:textId="699815DB"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1</w:t>
            </w:r>
          </w:p>
        </w:tc>
        <w:tc>
          <w:tcPr>
            <w:tcW w:w="900" w:type="dxa"/>
            <w:vAlign w:val="center"/>
          </w:tcPr>
          <w:p w14:paraId="47F1E98B" w14:textId="0A8B6CC5" w:rsidR="008C6D84" w:rsidRPr="00F1270F" w:rsidRDefault="008C6D84" w:rsidP="008C6D84">
            <w:pPr>
              <w:spacing w:after="0" w:line="240" w:lineRule="auto"/>
              <w:jc w:val="center"/>
              <w:rPr>
                <w:rFonts w:ascii="Arial" w:hAnsi="Arial" w:cs="Arial"/>
                <w:sz w:val="20"/>
                <w:szCs w:val="20"/>
                <w:lang w:val="es-BO"/>
              </w:rPr>
            </w:pPr>
            <w:r>
              <w:rPr>
                <w:rFonts w:ascii="Arial" w:hAnsi="Arial" w:cs="Arial"/>
                <w:sz w:val="20"/>
                <w:szCs w:val="20"/>
                <w:lang w:val="es-BO"/>
              </w:rPr>
              <w:t>0</w:t>
            </w:r>
          </w:p>
        </w:tc>
        <w:tc>
          <w:tcPr>
            <w:tcW w:w="2401" w:type="dxa"/>
          </w:tcPr>
          <w:p w14:paraId="26994F5E" w14:textId="082B47C7" w:rsidR="008C6D84" w:rsidRPr="00FC29CE" w:rsidRDefault="008C6D84" w:rsidP="008C6D84">
            <w:pPr>
              <w:spacing w:after="0" w:line="240" w:lineRule="auto"/>
              <w:rPr>
                <w:rFonts w:ascii="Arial" w:hAnsi="Arial" w:cs="Arial"/>
                <w:sz w:val="20"/>
                <w:szCs w:val="20"/>
                <w:lang w:val="es-ES_tradnl"/>
              </w:rPr>
            </w:pPr>
            <w:r w:rsidRPr="001C2435">
              <w:rPr>
                <w:rFonts w:ascii="Arial" w:hAnsi="Arial" w:cs="Arial"/>
                <w:sz w:val="20"/>
                <w:szCs w:val="20"/>
                <w:lang w:val="es-ES_tradnl"/>
              </w:rPr>
              <w:t>Comunicación del Departamento Nacional de Planeación (DNP) remitiendo</w:t>
            </w:r>
            <w:r>
              <w:rPr>
                <w:rFonts w:ascii="Arial" w:hAnsi="Arial" w:cs="Arial"/>
                <w:sz w:val="20"/>
                <w:szCs w:val="20"/>
                <w:lang w:val="es-ES_tradnl"/>
              </w:rPr>
              <w:t xml:space="preserve"> el </w:t>
            </w:r>
            <w:r w:rsidRPr="00331736">
              <w:rPr>
                <w:rFonts w:ascii="Arial" w:hAnsi="Arial" w:cs="Arial"/>
                <w:sz w:val="20"/>
                <w:szCs w:val="20"/>
                <w:lang w:val="es-ES_tradnl"/>
              </w:rPr>
              <w:t>Estudio de estructuración de la APP para ZNI.</w:t>
            </w:r>
          </w:p>
        </w:tc>
        <w:tc>
          <w:tcPr>
            <w:tcW w:w="1469" w:type="dxa"/>
            <w:vAlign w:val="center"/>
          </w:tcPr>
          <w:p w14:paraId="628682C4" w14:textId="77777777" w:rsidR="008C6D84" w:rsidRPr="00F2098A" w:rsidRDefault="008C6D84" w:rsidP="008C6D84">
            <w:pPr>
              <w:spacing w:after="0" w:line="240" w:lineRule="auto"/>
              <w:jc w:val="center"/>
              <w:rPr>
                <w:rFonts w:ascii="Arial" w:hAnsi="Arial" w:cs="Arial"/>
                <w:sz w:val="20"/>
                <w:szCs w:val="20"/>
                <w:lang w:val="es-ES_tradnl"/>
              </w:rPr>
            </w:pPr>
          </w:p>
        </w:tc>
      </w:tr>
    </w:tbl>
    <w:p w14:paraId="04335A57" w14:textId="77777777" w:rsidR="00E7397E" w:rsidRPr="00F1270F" w:rsidRDefault="00E7397E" w:rsidP="00B75258">
      <w:pPr>
        <w:autoSpaceDE w:val="0"/>
        <w:autoSpaceDN w:val="0"/>
        <w:adjustRightInd w:val="0"/>
        <w:spacing w:after="120" w:line="240" w:lineRule="auto"/>
        <w:jc w:val="center"/>
        <w:rPr>
          <w:rFonts w:ascii="Arial" w:hAnsi="Arial" w:cs="Arial"/>
          <w:sz w:val="20"/>
          <w:szCs w:val="20"/>
          <w:lang w:val="es-ES_tradnl"/>
        </w:rPr>
      </w:pPr>
      <w:bookmarkStart w:id="0" w:name="_GoBack"/>
      <w:bookmarkEnd w:id="0"/>
    </w:p>
    <w:sectPr w:rsidR="00E7397E" w:rsidRPr="00F1270F" w:rsidSect="002A4699">
      <w:headerReference w:type="even" r:id="rId18"/>
      <w:headerReference w:type="default" r:id="rId19"/>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E86A9" w14:textId="77777777" w:rsidR="00AA3458" w:rsidRDefault="00AA3458" w:rsidP="007B6ECD">
      <w:pPr>
        <w:spacing w:after="0" w:line="240" w:lineRule="auto"/>
      </w:pPr>
      <w:r>
        <w:separator/>
      </w:r>
    </w:p>
  </w:endnote>
  <w:endnote w:type="continuationSeparator" w:id="0">
    <w:p w14:paraId="04BB2AF3" w14:textId="77777777" w:rsidR="00AA3458" w:rsidRDefault="00AA3458" w:rsidP="007B6ECD">
      <w:pPr>
        <w:spacing w:after="0" w:line="240" w:lineRule="auto"/>
      </w:pPr>
      <w:r>
        <w:continuationSeparator/>
      </w:r>
    </w:p>
  </w:endnote>
  <w:endnote w:type="continuationNotice" w:id="1">
    <w:p w14:paraId="0067EABF" w14:textId="77777777" w:rsidR="00AA3458" w:rsidRDefault="00AA34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916A5" w14:textId="77777777" w:rsidR="00AA3458" w:rsidRDefault="00AA3458" w:rsidP="007B6ECD">
      <w:pPr>
        <w:spacing w:after="0" w:line="240" w:lineRule="auto"/>
      </w:pPr>
      <w:r>
        <w:separator/>
      </w:r>
    </w:p>
  </w:footnote>
  <w:footnote w:type="continuationSeparator" w:id="0">
    <w:p w14:paraId="6B36FF16" w14:textId="77777777" w:rsidR="00AA3458" w:rsidRDefault="00AA3458" w:rsidP="007B6ECD">
      <w:pPr>
        <w:spacing w:after="0" w:line="240" w:lineRule="auto"/>
      </w:pPr>
      <w:r>
        <w:continuationSeparator/>
      </w:r>
    </w:p>
  </w:footnote>
  <w:footnote w:type="continuationNotice" w:id="1">
    <w:p w14:paraId="6177886A" w14:textId="77777777" w:rsidR="00AA3458" w:rsidRDefault="00AA3458">
      <w:pPr>
        <w:spacing w:after="0" w:line="240" w:lineRule="auto"/>
      </w:pPr>
    </w:p>
  </w:footnote>
  <w:footnote w:id="2">
    <w:p w14:paraId="2191A4F7" w14:textId="29E8BCD2" w:rsidR="00DF6896" w:rsidRPr="00F0124A" w:rsidRDefault="00DF6896" w:rsidP="00F0124A">
      <w:pPr>
        <w:pStyle w:val="FootnoteText"/>
        <w:ind w:left="216" w:hanging="216"/>
        <w:jc w:val="both"/>
        <w:rPr>
          <w:rFonts w:ascii="Arial" w:hAnsi="Arial" w:cs="Arial"/>
          <w:sz w:val="18"/>
          <w:szCs w:val="18"/>
        </w:rPr>
      </w:pPr>
      <w:r w:rsidRPr="00F0124A">
        <w:rPr>
          <w:rStyle w:val="FootnoteReference"/>
          <w:rFonts w:ascii="Arial" w:hAnsi="Arial" w:cs="Arial"/>
          <w:sz w:val="18"/>
          <w:szCs w:val="18"/>
        </w:rPr>
        <w:footnoteRef/>
      </w:r>
      <w:r w:rsidRPr="00F0124A">
        <w:rPr>
          <w:rFonts w:ascii="Arial" w:hAnsi="Arial" w:cs="Arial"/>
          <w:sz w:val="18"/>
          <w:szCs w:val="18"/>
        </w:rPr>
        <w:t xml:space="preserve"> </w:t>
      </w:r>
      <w:r w:rsidRPr="00F0124A">
        <w:rPr>
          <w:rFonts w:ascii="Arial" w:hAnsi="Arial" w:cs="Arial"/>
          <w:sz w:val="18"/>
          <w:szCs w:val="18"/>
        </w:rPr>
        <w:tab/>
        <w:t>La meta final de los indicadores de la segunda operación del PBL ha sido fijada a 2019 con el fin de facilitar la evaluación de su cumplimiento siguiendo las guías de PCR 2018 aprobadas por el Banco.</w:t>
      </w:r>
    </w:p>
  </w:footnote>
  <w:footnote w:id="3">
    <w:p w14:paraId="795731FE" w14:textId="13D906F5" w:rsidR="00DF6896" w:rsidRPr="00F0124A" w:rsidRDefault="00DF6896" w:rsidP="00F0124A">
      <w:pPr>
        <w:pStyle w:val="FootnoteText"/>
        <w:ind w:left="216" w:hanging="216"/>
        <w:jc w:val="both"/>
        <w:rPr>
          <w:rFonts w:ascii="Arial" w:hAnsi="Arial" w:cs="Arial"/>
          <w:sz w:val="18"/>
          <w:szCs w:val="18"/>
          <w:lang w:val="es-ES_tradnl"/>
        </w:rPr>
      </w:pPr>
      <w:r w:rsidRPr="00F0124A">
        <w:rPr>
          <w:rStyle w:val="FootnoteReference"/>
          <w:rFonts w:ascii="Arial" w:hAnsi="Arial" w:cs="Arial"/>
          <w:sz w:val="18"/>
          <w:szCs w:val="18"/>
        </w:rPr>
        <w:footnoteRef/>
      </w:r>
      <w:r w:rsidRPr="00F0124A">
        <w:rPr>
          <w:rFonts w:ascii="Arial" w:hAnsi="Arial" w:cs="Arial"/>
          <w:sz w:val="18"/>
          <w:szCs w:val="18"/>
        </w:rPr>
        <w:t xml:space="preserve"> </w:t>
      </w:r>
      <w:r w:rsidRPr="00F0124A">
        <w:rPr>
          <w:rFonts w:ascii="Arial" w:hAnsi="Arial" w:cs="Arial"/>
          <w:sz w:val="18"/>
          <w:szCs w:val="18"/>
        </w:rPr>
        <w:tab/>
        <w:t>La meta final de los indicadores de la primera operación del PBL se ajustó para reflejar los cambios no previstos en el sector eléctrico colombiano, y se mantuvo inalterado el año final de medición.</w:t>
      </w:r>
    </w:p>
  </w:footnote>
  <w:footnote w:id="4">
    <w:p w14:paraId="7A32CA58" w14:textId="636E93B1" w:rsidR="00DF6896" w:rsidRPr="00F0124A" w:rsidRDefault="00DF6896" w:rsidP="00F0124A">
      <w:pPr>
        <w:pStyle w:val="FootnoteText"/>
        <w:ind w:left="216" w:hanging="216"/>
        <w:rPr>
          <w:rFonts w:ascii="Arial" w:hAnsi="Arial" w:cs="Arial"/>
          <w:sz w:val="18"/>
          <w:szCs w:val="18"/>
          <w:lang w:val="es-ES_tradnl"/>
        </w:rPr>
      </w:pPr>
      <w:r w:rsidRPr="00F0124A">
        <w:rPr>
          <w:rStyle w:val="FootnoteReference"/>
          <w:rFonts w:ascii="Arial" w:hAnsi="Arial" w:cs="Arial"/>
          <w:sz w:val="18"/>
          <w:szCs w:val="18"/>
        </w:rPr>
        <w:footnoteRef/>
      </w:r>
      <w:r w:rsidRPr="00F0124A">
        <w:rPr>
          <w:rFonts w:ascii="Arial" w:hAnsi="Arial" w:cs="Arial"/>
          <w:sz w:val="18"/>
          <w:szCs w:val="18"/>
          <w:lang w:val="es-ES_tradnl"/>
        </w:rPr>
        <w:t xml:space="preserve"> </w:t>
      </w:r>
      <w:r w:rsidRPr="00F0124A">
        <w:rPr>
          <w:rFonts w:ascii="Arial" w:hAnsi="Arial" w:cs="Arial"/>
          <w:sz w:val="18"/>
          <w:szCs w:val="18"/>
          <w:lang w:val="es-ES_tradnl"/>
        </w:rPr>
        <w:tab/>
      </w:r>
      <w:r w:rsidRPr="00F0124A">
        <w:rPr>
          <w:rFonts w:ascii="Arial" w:hAnsi="Arial" w:cs="Arial"/>
          <w:sz w:val="18"/>
          <w:szCs w:val="18"/>
          <w:lang w:val="es-CO"/>
        </w:rPr>
        <w:t>Emisiones de GEI calculadas en emisiones de CO</w:t>
      </w:r>
      <w:r w:rsidRPr="00F0124A">
        <w:rPr>
          <w:rFonts w:ascii="Arial" w:hAnsi="Arial" w:cs="Arial"/>
          <w:sz w:val="18"/>
          <w:szCs w:val="18"/>
          <w:vertAlign w:val="subscript"/>
          <w:lang w:val="es-CO"/>
        </w:rPr>
        <w:t>2</w:t>
      </w:r>
      <w:r w:rsidRPr="00F0124A">
        <w:rPr>
          <w:rFonts w:ascii="Arial" w:hAnsi="Arial" w:cs="Arial"/>
          <w:sz w:val="18"/>
          <w:szCs w:val="18"/>
          <w:lang w:val="es-CO"/>
        </w:rPr>
        <w:t xml:space="preserve"> </w:t>
      </w:r>
      <w:proofErr w:type="spellStart"/>
      <w:r w:rsidRPr="00F0124A">
        <w:rPr>
          <w:rFonts w:ascii="Arial" w:hAnsi="Arial" w:cs="Arial"/>
          <w:sz w:val="18"/>
          <w:szCs w:val="18"/>
          <w:lang w:val="es-CO"/>
        </w:rPr>
        <w:t>eq</w:t>
      </w:r>
      <w:proofErr w:type="spellEnd"/>
      <w:r w:rsidR="009B528D">
        <w:rPr>
          <w:rFonts w:ascii="Arial" w:hAnsi="Arial" w:cs="Arial"/>
          <w:sz w:val="18"/>
          <w:szCs w:val="18"/>
          <w:lang w:val="es-CO"/>
        </w:rPr>
        <w:t>.</w:t>
      </w:r>
    </w:p>
  </w:footnote>
  <w:footnote w:id="5">
    <w:p w14:paraId="00697C93" w14:textId="09B6530A" w:rsidR="00DF6896" w:rsidRPr="00F0124A" w:rsidRDefault="00DF6896" w:rsidP="00F0124A">
      <w:pPr>
        <w:pStyle w:val="FootnoteText"/>
        <w:ind w:left="216" w:hanging="216"/>
        <w:rPr>
          <w:rFonts w:ascii="Arial" w:hAnsi="Arial" w:cs="Arial"/>
          <w:sz w:val="18"/>
          <w:szCs w:val="18"/>
          <w:lang w:val="es-ES_tradnl"/>
        </w:rPr>
      </w:pPr>
      <w:r w:rsidRPr="00F0124A">
        <w:rPr>
          <w:rStyle w:val="FootnoteReference"/>
          <w:rFonts w:ascii="Arial" w:hAnsi="Arial" w:cs="Arial"/>
          <w:sz w:val="18"/>
          <w:szCs w:val="18"/>
        </w:rPr>
        <w:footnoteRef/>
      </w:r>
      <w:r w:rsidRPr="00F0124A">
        <w:rPr>
          <w:rFonts w:ascii="Arial" w:hAnsi="Arial" w:cs="Arial"/>
          <w:sz w:val="18"/>
          <w:szCs w:val="18"/>
        </w:rPr>
        <w:t xml:space="preserve"> </w:t>
      </w:r>
      <w:r w:rsidR="008E0A0A">
        <w:rPr>
          <w:rFonts w:ascii="Arial" w:hAnsi="Arial" w:cs="Arial"/>
          <w:sz w:val="18"/>
          <w:szCs w:val="18"/>
        </w:rPr>
        <w:tab/>
      </w:r>
      <w:hyperlink r:id="rId1" w:history="1">
        <w:r w:rsidR="008E0A0A" w:rsidRPr="002B5580">
          <w:rPr>
            <w:rStyle w:val="Hyperlink"/>
            <w:rFonts w:ascii="Arial" w:hAnsi="Arial" w:cs="Arial"/>
            <w:sz w:val="18"/>
            <w:szCs w:val="18"/>
          </w:rPr>
          <w:t>http://paratec.xm.com.co/paratec/SitePages/generacion.aspx?q=capacidad</w:t>
        </w:r>
      </w:hyperlink>
      <w:r w:rsidR="008E0A0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341398825"/>
      <w:docPartObj>
        <w:docPartGallery w:val="Page Numbers (Top of Page)"/>
        <w:docPartUnique/>
      </w:docPartObj>
    </w:sdtPr>
    <w:sdtContent>
      <w:p w14:paraId="31CA234D" w14:textId="77777777" w:rsidR="00C25380" w:rsidRDefault="00C25380" w:rsidP="00C25380">
        <w:pPr>
          <w:pStyle w:val="Header"/>
          <w:ind w:right="-720"/>
          <w:jc w:val="right"/>
          <w:rPr>
            <w:rFonts w:ascii="Arial" w:hAnsi="Arial" w:cs="Arial"/>
            <w:sz w:val="18"/>
            <w:szCs w:val="18"/>
          </w:rPr>
        </w:pPr>
        <w:r>
          <w:rPr>
            <w:rFonts w:ascii="Arial" w:hAnsi="Arial" w:cs="Arial"/>
            <w:sz w:val="18"/>
            <w:szCs w:val="18"/>
          </w:rPr>
          <w:t>CO-L1237</w:t>
        </w:r>
      </w:p>
      <w:p w14:paraId="32B917BE" w14:textId="77777777" w:rsidR="00C25380" w:rsidRDefault="00C25380" w:rsidP="00C25380">
        <w:pPr>
          <w:pStyle w:val="Header"/>
          <w:ind w:right="-720"/>
          <w:jc w:val="right"/>
          <w:rPr>
            <w:rFonts w:ascii="Arial" w:hAnsi="Arial" w:cs="Arial"/>
            <w:sz w:val="18"/>
            <w:szCs w:val="18"/>
          </w:rPr>
        </w:pPr>
        <w:proofErr w:type="spellStart"/>
        <w:r w:rsidRPr="00F57BCF">
          <w:rPr>
            <w:rFonts w:ascii="Arial" w:hAnsi="Arial" w:cs="Arial"/>
            <w:sz w:val="18"/>
            <w:szCs w:val="18"/>
          </w:rPr>
          <w:t>P</w:t>
        </w:r>
        <w:r>
          <w:rPr>
            <w:rFonts w:ascii="Arial" w:hAnsi="Arial" w:cs="Arial"/>
            <w:sz w:val="18"/>
            <w:szCs w:val="18"/>
          </w:rPr>
          <w:t>ágina</w:t>
        </w:r>
        <w:proofErr w:type="spellEnd"/>
        <w:r w:rsidRPr="00F57BCF">
          <w:rPr>
            <w:rFonts w:ascii="Arial" w:hAnsi="Arial" w:cs="Arial"/>
            <w:sz w:val="18"/>
            <w:szCs w:val="18"/>
          </w:rPr>
          <w:t xml:space="preserve"> </w:t>
        </w:r>
        <w:r w:rsidRPr="00F57BCF">
          <w:rPr>
            <w:rFonts w:ascii="Arial" w:hAnsi="Arial" w:cs="Arial"/>
            <w:bCs/>
            <w:sz w:val="18"/>
            <w:szCs w:val="18"/>
          </w:rPr>
          <w:fldChar w:fldCharType="begin"/>
        </w:r>
        <w:r w:rsidRPr="00F57BCF">
          <w:rPr>
            <w:rFonts w:ascii="Arial" w:hAnsi="Arial" w:cs="Arial"/>
            <w:bCs/>
            <w:sz w:val="18"/>
            <w:szCs w:val="18"/>
          </w:rPr>
          <w:instrText xml:space="preserve"> PAGE </w:instrText>
        </w:r>
        <w:r w:rsidRPr="00F57BCF">
          <w:rPr>
            <w:rFonts w:ascii="Arial" w:hAnsi="Arial" w:cs="Arial"/>
            <w:bCs/>
            <w:sz w:val="18"/>
            <w:szCs w:val="18"/>
          </w:rPr>
          <w:fldChar w:fldCharType="separate"/>
        </w:r>
        <w:r>
          <w:rPr>
            <w:rFonts w:ascii="Arial" w:hAnsi="Arial" w:cs="Arial"/>
            <w:bCs/>
            <w:sz w:val="18"/>
            <w:szCs w:val="18"/>
          </w:rPr>
          <w:t>1</w:t>
        </w:r>
        <w:r w:rsidRPr="00F57BCF">
          <w:rPr>
            <w:rFonts w:ascii="Arial" w:hAnsi="Arial" w:cs="Arial"/>
            <w:bCs/>
            <w:sz w:val="18"/>
            <w:szCs w:val="18"/>
          </w:rPr>
          <w:fldChar w:fldCharType="end"/>
        </w:r>
        <w:r w:rsidRPr="00F57BCF">
          <w:rPr>
            <w:rFonts w:ascii="Arial" w:hAnsi="Arial" w:cs="Arial"/>
            <w:sz w:val="18"/>
            <w:szCs w:val="18"/>
          </w:rPr>
          <w:t xml:space="preserve"> </w:t>
        </w:r>
        <w:r>
          <w:rPr>
            <w:rFonts w:ascii="Arial" w:hAnsi="Arial" w:cs="Arial"/>
            <w:sz w:val="18"/>
            <w:szCs w:val="18"/>
          </w:rPr>
          <w:t>de</w:t>
        </w:r>
        <w:r w:rsidRPr="00F57BCF">
          <w:rPr>
            <w:rFonts w:ascii="Arial" w:hAnsi="Arial" w:cs="Arial"/>
            <w:sz w:val="18"/>
            <w:szCs w:val="18"/>
          </w:rPr>
          <w:t xml:space="preserve"> </w:t>
        </w:r>
        <w:r w:rsidRPr="00F57BCF">
          <w:rPr>
            <w:rFonts w:ascii="Arial" w:hAnsi="Arial" w:cs="Arial"/>
            <w:bCs/>
            <w:sz w:val="18"/>
            <w:szCs w:val="18"/>
          </w:rPr>
          <w:fldChar w:fldCharType="begin"/>
        </w:r>
        <w:r w:rsidRPr="00F57BCF">
          <w:rPr>
            <w:rFonts w:ascii="Arial" w:hAnsi="Arial" w:cs="Arial"/>
            <w:bCs/>
            <w:sz w:val="18"/>
            <w:szCs w:val="18"/>
          </w:rPr>
          <w:instrText xml:space="preserve"> NUMPAGES  </w:instrText>
        </w:r>
        <w:r w:rsidRPr="00F57BCF">
          <w:rPr>
            <w:rFonts w:ascii="Arial" w:hAnsi="Arial" w:cs="Arial"/>
            <w:bCs/>
            <w:sz w:val="18"/>
            <w:szCs w:val="18"/>
          </w:rPr>
          <w:fldChar w:fldCharType="separate"/>
        </w:r>
        <w:r>
          <w:rPr>
            <w:rFonts w:ascii="Arial" w:hAnsi="Arial" w:cs="Arial"/>
            <w:bCs/>
            <w:sz w:val="18"/>
            <w:szCs w:val="18"/>
          </w:rPr>
          <w:t>19</w:t>
        </w:r>
        <w:r w:rsidRPr="00F57BCF">
          <w:rPr>
            <w:rFonts w:ascii="Arial" w:hAnsi="Arial" w:cs="Arial"/>
            <w:bCs/>
            <w:sz w:val="18"/>
            <w:szCs w:val="18"/>
          </w:rPr>
          <w:fldChar w:fldCharType="end"/>
        </w:r>
      </w:p>
    </w:sdtContent>
  </w:sdt>
  <w:p w14:paraId="626B54ED" w14:textId="77777777" w:rsidR="006B015F" w:rsidRPr="008F1A0F" w:rsidRDefault="006B015F" w:rsidP="006B015F">
    <w:pPr>
      <w:pStyle w:val="Header"/>
      <w:ind w:right="-720"/>
      <w:jc w:val="right"/>
      <w:rPr>
        <w:rFonts w:ascii="Arial" w:hAnsi="Arial" w:cs="Arial"/>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18336367"/>
      <w:docPartObj>
        <w:docPartGallery w:val="Page Numbers (Top of Page)"/>
        <w:docPartUnique/>
      </w:docPartObj>
    </w:sdtPr>
    <w:sdtEndPr/>
    <w:sdtContent>
      <w:p w14:paraId="087C575F" w14:textId="2E64F642" w:rsidR="00F57BCF" w:rsidRDefault="00F57BCF" w:rsidP="00F57BCF">
        <w:pPr>
          <w:pStyle w:val="Header"/>
          <w:ind w:right="-720"/>
          <w:jc w:val="right"/>
          <w:rPr>
            <w:rFonts w:ascii="Arial" w:hAnsi="Arial" w:cs="Arial"/>
            <w:sz w:val="18"/>
            <w:szCs w:val="18"/>
          </w:rPr>
        </w:pPr>
        <w:r>
          <w:rPr>
            <w:rFonts w:ascii="Arial" w:hAnsi="Arial" w:cs="Arial"/>
            <w:sz w:val="18"/>
            <w:szCs w:val="18"/>
          </w:rPr>
          <w:t>CO-L1237</w:t>
        </w:r>
      </w:p>
      <w:p w14:paraId="4E81A68E" w14:textId="6D91ABE5" w:rsidR="00F57BCF" w:rsidRPr="00F57BCF" w:rsidRDefault="00F57BCF" w:rsidP="00F57BCF">
        <w:pPr>
          <w:pStyle w:val="Header"/>
          <w:ind w:right="-720"/>
          <w:jc w:val="right"/>
          <w:rPr>
            <w:rFonts w:ascii="Arial" w:hAnsi="Arial" w:cs="Arial"/>
            <w:sz w:val="18"/>
            <w:szCs w:val="18"/>
          </w:rPr>
        </w:pPr>
        <w:proofErr w:type="spellStart"/>
        <w:r w:rsidRPr="00F57BCF">
          <w:rPr>
            <w:rFonts w:ascii="Arial" w:hAnsi="Arial" w:cs="Arial"/>
            <w:sz w:val="18"/>
            <w:szCs w:val="18"/>
          </w:rPr>
          <w:t>P</w:t>
        </w:r>
        <w:r>
          <w:rPr>
            <w:rFonts w:ascii="Arial" w:hAnsi="Arial" w:cs="Arial"/>
            <w:sz w:val="18"/>
            <w:szCs w:val="18"/>
          </w:rPr>
          <w:t>ágina</w:t>
        </w:r>
        <w:proofErr w:type="spellEnd"/>
        <w:r w:rsidRPr="00F57BCF">
          <w:rPr>
            <w:rFonts w:ascii="Arial" w:hAnsi="Arial" w:cs="Arial"/>
            <w:sz w:val="18"/>
            <w:szCs w:val="18"/>
          </w:rPr>
          <w:t xml:space="preserve"> </w:t>
        </w:r>
        <w:r w:rsidRPr="00F57BCF">
          <w:rPr>
            <w:rFonts w:ascii="Arial" w:hAnsi="Arial" w:cs="Arial"/>
            <w:bCs/>
            <w:sz w:val="18"/>
            <w:szCs w:val="18"/>
          </w:rPr>
          <w:fldChar w:fldCharType="begin"/>
        </w:r>
        <w:r w:rsidRPr="00F57BCF">
          <w:rPr>
            <w:rFonts w:ascii="Arial" w:hAnsi="Arial" w:cs="Arial"/>
            <w:bCs/>
            <w:sz w:val="18"/>
            <w:szCs w:val="18"/>
          </w:rPr>
          <w:instrText xml:space="preserve"> PAGE </w:instrText>
        </w:r>
        <w:r w:rsidRPr="00F57BCF">
          <w:rPr>
            <w:rFonts w:ascii="Arial" w:hAnsi="Arial" w:cs="Arial"/>
            <w:bCs/>
            <w:sz w:val="18"/>
            <w:szCs w:val="18"/>
          </w:rPr>
          <w:fldChar w:fldCharType="separate"/>
        </w:r>
        <w:r w:rsidRPr="00F57BCF">
          <w:rPr>
            <w:rFonts w:ascii="Arial" w:hAnsi="Arial" w:cs="Arial"/>
            <w:bCs/>
            <w:noProof/>
            <w:sz w:val="18"/>
            <w:szCs w:val="18"/>
          </w:rPr>
          <w:t>2</w:t>
        </w:r>
        <w:r w:rsidRPr="00F57BCF">
          <w:rPr>
            <w:rFonts w:ascii="Arial" w:hAnsi="Arial" w:cs="Arial"/>
            <w:bCs/>
            <w:sz w:val="18"/>
            <w:szCs w:val="18"/>
          </w:rPr>
          <w:fldChar w:fldCharType="end"/>
        </w:r>
        <w:r w:rsidRPr="00F57BCF">
          <w:rPr>
            <w:rFonts w:ascii="Arial" w:hAnsi="Arial" w:cs="Arial"/>
            <w:sz w:val="18"/>
            <w:szCs w:val="18"/>
          </w:rPr>
          <w:t xml:space="preserve"> </w:t>
        </w:r>
        <w:r>
          <w:rPr>
            <w:rFonts w:ascii="Arial" w:hAnsi="Arial" w:cs="Arial"/>
            <w:sz w:val="18"/>
            <w:szCs w:val="18"/>
          </w:rPr>
          <w:t>de</w:t>
        </w:r>
        <w:r w:rsidRPr="00F57BCF">
          <w:rPr>
            <w:rFonts w:ascii="Arial" w:hAnsi="Arial" w:cs="Arial"/>
            <w:sz w:val="18"/>
            <w:szCs w:val="18"/>
          </w:rPr>
          <w:t xml:space="preserve"> </w:t>
        </w:r>
        <w:r w:rsidRPr="00F57BCF">
          <w:rPr>
            <w:rFonts w:ascii="Arial" w:hAnsi="Arial" w:cs="Arial"/>
            <w:bCs/>
            <w:sz w:val="18"/>
            <w:szCs w:val="18"/>
          </w:rPr>
          <w:fldChar w:fldCharType="begin"/>
        </w:r>
        <w:r w:rsidRPr="00F57BCF">
          <w:rPr>
            <w:rFonts w:ascii="Arial" w:hAnsi="Arial" w:cs="Arial"/>
            <w:bCs/>
            <w:sz w:val="18"/>
            <w:szCs w:val="18"/>
          </w:rPr>
          <w:instrText xml:space="preserve"> NUMPAGES  </w:instrText>
        </w:r>
        <w:r w:rsidRPr="00F57BCF">
          <w:rPr>
            <w:rFonts w:ascii="Arial" w:hAnsi="Arial" w:cs="Arial"/>
            <w:bCs/>
            <w:sz w:val="18"/>
            <w:szCs w:val="18"/>
          </w:rPr>
          <w:fldChar w:fldCharType="separate"/>
        </w:r>
        <w:r w:rsidRPr="00F57BCF">
          <w:rPr>
            <w:rFonts w:ascii="Arial" w:hAnsi="Arial" w:cs="Arial"/>
            <w:bCs/>
            <w:noProof/>
            <w:sz w:val="18"/>
            <w:szCs w:val="18"/>
          </w:rPr>
          <w:t>2</w:t>
        </w:r>
        <w:r w:rsidRPr="00F57BCF">
          <w:rPr>
            <w:rFonts w:ascii="Arial" w:hAnsi="Arial" w:cs="Arial"/>
            <w:bCs/>
            <w:sz w:val="18"/>
            <w:szCs w:val="18"/>
          </w:rPr>
          <w:fldChar w:fldCharType="end"/>
        </w:r>
      </w:p>
    </w:sdtContent>
  </w:sdt>
  <w:p w14:paraId="7A32CA57" w14:textId="77777777" w:rsidR="00DF6896" w:rsidRPr="008F1A0F" w:rsidRDefault="00DF6896" w:rsidP="00795640">
    <w:pPr>
      <w:pStyle w:val="Header"/>
      <w:spacing w:after="120"/>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04F5"/>
    <w:multiLevelType w:val="multilevel"/>
    <w:tmpl w:val="18C21D76"/>
    <w:lvl w:ilvl="0">
      <w:start w:val="1"/>
      <w:numFmt w:val="decimal"/>
      <w:lvlText w:val="%1."/>
      <w:lvlJc w:val="left"/>
      <w:pPr>
        <w:ind w:left="720" w:hanging="360"/>
      </w:pPr>
      <w:rPr>
        <w:rFonts w:hint="default"/>
        <w:b/>
        <w:u w:val="single"/>
      </w:r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0FE20CC9"/>
    <w:multiLevelType w:val="hybridMultilevel"/>
    <w:tmpl w:val="58B229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5B24DC"/>
    <w:multiLevelType w:val="hybridMultilevel"/>
    <w:tmpl w:val="FD16D2E6"/>
    <w:lvl w:ilvl="0" w:tplc="818659E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8"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1711D"/>
    <w:multiLevelType w:val="multilevel"/>
    <w:tmpl w:val="0EF4E906"/>
    <w:lvl w:ilvl="0">
      <w:start w:val="1"/>
      <w:numFmt w:val="decimal"/>
      <w:lvlText w:val="%1."/>
      <w:lvlJc w:val="left"/>
      <w:pPr>
        <w:ind w:left="720" w:hanging="360"/>
      </w:pPr>
      <w:rPr>
        <w:rFonts w:hint="default"/>
        <w:b/>
        <w:u w:val="none"/>
      </w:r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292A6389"/>
    <w:multiLevelType w:val="hybridMultilevel"/>
    <w:tmpl w:val="914EFD84"/>
    <w:lvl w:ilvl="0" w:tplc="0409000F">
      <w:start w:val="1"/>
      <w:numFmt w:val="decimal"/>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1"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2"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257BA7"/>
    <w:multiLevelType w:val="multilevel"/>
    <w:tmpl w:val="B02AC3F2"/>
    <w:lvl w:ilvl="0">
      <w:start w:val="1"/>
      <w:numFmt w:val="decimal"/>
      <w:lvlText w:val="%1."/>
      <w:lvlJc w:val="left"/>
      <w:pPr>
        <w:ind w:left="711" w:hanging="360"/>
      </w:pPr>
      <w:rPr>
        <w:rFonts w:hint="default"/>
        <w:b/>
        <w:u w:val="none"/>
      </w:r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42FF64F7"/>
    <w:multiLevelType w:val="hybridMultilevel"/>
    <w:tmpl w:val="809EC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6" w15:restartNumberingAfterBreak="0">
    <w:nsid w:val="4DCD6C46"/>
    <w:multiLevelType w:val="hybridMultilevel"/>
    <w:tmpl w:val="5F942A36"/>
    <w:lvl w:ilvl="0" w:tplc="BE52C71E">
      <w:start w:val="1"/>
      <w:numFmt w:val="decimal"/>
      <w:lvlText w:val="%1."/>
      <w:lvlJc w:val="left"/>
      <w:pPr>
        <w:ind w:left="711" w:hanging="360"/>
      </w:pPr>
      <w:rPr>
        <w:rFonts w:hint="default"/>
      </w:rPr>
    </w:lvl>
    <w:lvl w:ilvl="1" w:tplc="04090019" w:tentative="1">
      <w:start w:val="1"/>
      <w:numFmt w:val="lowerLetter"/>
      <w:lvlText w:val="%2."/>
      <w:lvlJc w:val="left"/>
      <w:pPr>
        <w:ind w:left="1431" w:hanging="360"/>
      </w:pPr>
    </w:lvl>
    <w:lvl w:ilvl="2" w:tplc="0409001B" w:tentative="1">
      <w:start w:val="1"/>
      <w:numFmt w:val="lowerRoman"/>
      <w:lvlText w:val="%3."/>
      <w:lvlJc w:val="right"/>
      <w:pPr>
        <w:ind w:left="2151" w:hanging="180"/>
      </w:pPr>
    </w:lvl>
    <w:lvl w:ilvl="3" w:tplc="0409000F" w:tentative="1">
      <w:start w:val="1"/>
      <w:numFmt w:val="decimal"/>
      <w:lvlText w:val="%4."/>
      <w:lvlJc w:val="left"/>
      <w:pPr>
        <w:ind w:left="2871" w:hanging="360"/>
      </w:pPr>
    </w:lvl>
    <w:lvl w:ilvl="4" w:tplc="04090019" w:tentative="1">
      <w:start w:val="1"/>
      <w:numFmt w:val="lowerLetter"/>
      <w:lvlText w:val="%5."/>
      <w:lvlJc w:val="left"/>
      <w:pPr>
        <w:ind w:left="3591" w:hanging="360"/>
      </w:pPr>
    </w:lvl>
    <w:lvl w:ilvl="5" w:tplc="0409001B" w:tentative="1">
      <w:start w:val="1"/>
      <w:numFmt w:val="lowerRoman"/>
      <w:lvlText w:val="%6."/>
      <w:lvlJc w:val="right"/>
      <w:pPr>
        <w:ind w:left="4311" w:hanging="180"/>
      </w:pPr>
    </w:lvl>
    <w:lvl w:ilvl="6" w:tplc="0409000F" w:tentative="1">
      <w:start w:val="1"/>
      <w:numFmt w:val="decimal"/>
      <w:lvlText w:val="%7."/>
      <w:lvlJc w:val="left"/>
      <w:pPr>
        <w:ind w:left="5031" w:hanging="360"/>
      </w:pPr>
    </w:lvl>
    <w:lvl w:ilvl="7" w:tplc="04090019" w:tentative="1">
      <w:start w:val="1"/>
      <w:numFmt w:val="lowerLetter"/>
      <w:lvlText w:val="%8."/>
      <w:lvlJc w:val="left"/>
      <w:pPr>
        <w:ind w:left="5751" w:hanging="360"/>
      </w:pPr>
    </w:lvl>
    <w:lvl w:ilvl="8" w:tplc="0409001B" w:tentative="1">
      <w:start w:val="1"/>
      <w:numFmt w:val="lowerRoman"/>
      <w:lvlText w:val="%9."/>
      <w:lvlJc w:val="right"/>
      <w:pPr>
        <w:ind w:left="6471" w:hanging="180"/>
      </w:pPr>
    </w:lvl>
  </w:abstractNum>
  <w:abstractNum w:abstractNumId="17"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15:restartNumberingAfterBreak="0">
    <w:nsid w:val="557D6ED5"/>
    <w:multiLevelType w:val="hybridMultilevel"/>
    <w:tmpl w:val="9C865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21" w15:restartNumberingAfterBreak="0">
    <w:nsid w:val="650A7A19"/>
    <w:multiLevelType w:val="hybridMultilevel"/>
    <w:tmpl w:val="9C865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6"/>
  </w:num>
  <w:num w:numId="3">
    <w:abstractNumId w:val="12"/>
  </w:num>
  <w:num w:numId="4">
    <w:abstractNumId w:va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5"/>
  </w:num>
  <w:num w:numId="12">
    <w:abstractNumId w:val="3"/>
  </w:num>
  <w:num w:numId="13">
    <w:abstractNumId w:val="22"/>
  </w:num>
  <w:num w:numId="14">
    <w:abstractNumId w:val="17"/>
  </w:num>
  <w:num w:numId="15">
    <w:abstractNumId w:val="20"/>
    <w:lvlOverride w:ilvl="0">
      <w:startOverride w:val="1"/>
    </w:lvlOverride>
    <w:lvlOverride w:ilvl="1"/>
    <w:lvlOverride w:ilvl="2"/>
    <w:lvlOverride w:ilvl="3"/>
    <w:lvlOverride w:ilvl="4"/>
    <w:lvlOverride w:ilvl="5"/>
    <w:lvlOverride w:ilvl="6"/>
    <w:lvlOverride w:ilvl="7"/>
    <w:lvlOverride w:ilvl="8"/>
  </w:num>
  <w:num w:numId="16">
    <w:abstractNumId w:val="18"/>
  </w:num>
  <w:num w:numId="17">
    <w:abstractNumId w:val="9"/>
  </w:num>
  <w:num w:numId="18">
    <w:abstractNumId w:val="13"/>
  </w:num>
  <w:num w:numId="19">
    <w:abstractNumId w:val="14"/>
  </w:num>
  <w:num w:numId="20">
    <w:abstractNumId w:val="4"/>
  </w:num>
  <w:num w:numId="21">
    <w:abstractNumId w:val="0"/>
  </w:num>
  <w:num w:numId="22">
    <w:abstractNumId w:val="21"/>
  </w:num>
  <w:num w:numId="23">
    <w:abstractNumId w:val="19"/>
  </w:num>
  <w:num w:numId="24">
    <w:abstractNumId w:val="2"/>
  </w:num>
  <w:num w:numId="25">
    <w:abstractNumId w:val="1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C59"/>
    <w:rsid w:val="00000A82"/>
    <w:rsid w:val="00001CF3"/>
    <w:rsid w:val="00002FBE"/>
    <w:rsid w:val="0000551C"/>
    <w:rsid w:val="00005605"/>
    <w:rsid w:val="00007303"/>
    <w:rsid w:val="000077B4"/>
    <w:rsid w:val="00007FC5"/>
    <w:rsid w:val="00010667"/>
    <w:rsid w:val="0001115A"/>
    <w:rsid w:val="00013EFE"/>
    <w:rsid w:val="00016F82"/>
    <w:rsid w:val="0002055E"/>
    <w:rsid w:val="000225E8"/>
    <w:rsid w:val="00022A27"/>
    <w:rsid w:val="0002310F"/>
    <w:rsid w:val="00023C48"/>
    <w:rsid w:val="0002526D"/>
    <w:rsid w:val="000254F8"/>
    <w:rsid w:val="00026183"/>
    <w:rsid w:val="000265F5"/>
    <w:rsid w:val="00030136"/>
    <w:rsid w:val="000330F7"/>
    <w:rsid w:val="00033C6A"/>
    <w:rsid w:val="00035ED9"/>
    <w:rsid w:val="00036AE6"/>
    <w:rsid w:val="00041018"/>
    <w:rsid w:val="0004302D"/>
    <w:rsid w:val="00051DF2"/>
    <w:rsid w:val="00052936"/>
    <w:rsid w:val="00056F4C"/>
    <w:rsid w:val="00060AE9"/>
    <w:rsid w:val="000660DE"/>
    <w:rsid w:val="00066151"/>
    <w:rsid w:val="000701B1"/>
    <w:rsid w:val="000710CC"/>
    <w:rsid w:val="000751B3"/>
    <w:rsid w:val="00080701"/>
    <w:rsid w:val="00080D35"/>
    <w:rsid w:val="00084059"/>
    <w:rsid w:val="00084611"/>
    <w:rsid w:val="0008737B"/>
    <w:rsid w:val="000878A4"/>
    <w:rsid w:val="00096006"/>
    <w:rsid w:val="00097285"/>
    <w:rsid w:val="000A2132"/>
    <w:rsid w:val="000A55DE"/>
    <w:rsid w:val="000A5855"/>
    <w:rsid w:val="000B219E"/>
    <w:rsid w:val="000B254C"/>
    <w:rsid w:val="000B33EA"/>
    <w:rsid w:val="000B4FB5"/>
    <w:rsid w:val="000B7EC5"/>
    <w:rsid w:val="000C03FF"/>
    <w:rsid w:val="000C0515"/>
    <w:rsid w:val="000C128D"/>
    <w:rsid w:val="000E5438"/>
    <w:rsid w:val="000E5D75"/>
    <w:rsid w:val="000F44DF"/>
    <w:rsid w:val="000F5D84"/>
    <w:rsid w:val="0010277A"/>
    <w:rsid w:val="00110E29"/>
    <w:rsid w:val="00111FF8"/>
    <w:rsid w:val="001139F5"/>
    <w:rsid w:val="00113B4A"/>
    <w:rsid w:val="0011498A"/>
    <w:rsid w:val="0011501A"/>
    <w:rsid w:val="00115379"/>
    <w:rsid w:val="001153A2"/>
    <w:rsid w:val="00117A1F"/>
    <w:rsid w:val="00117A23"/>
    <w:rsid w:val="00121C5B"/>
    <w:rsid w:val="00122885"/>
    <w:rsid w:val="0012516F"/>
    <w:rsid w:val="00127A35"/>
    <w:rsid w:val="00127CA3"/>
    <w:rsid w:val="001318BD"/>
    <w:rsid w:val="00134095"/>
    <w:rsid w:val="00135F64"/>
    <w:rsid w:val="0014088A"/>
    <w:rsid w:val="00143BD3"/>
    <w:rsid w:val="00143CAC"/>
    <w:rsid w:val="00145663"/>
    <w:rsid w:val="00150D0B"/>
    <w:rsid w:val="001516C4"/>
    <w:rsid w:val="001539B9"/>
    <w:rsid w:val="0015401A"/>
    <w:rsid w:val="00154E58"/>
    <w:rsid w:val="001556EC"/>
    <w:rsid w:val="00163C04"/>
    <w:rsid w:val="00167DD5"/>
    <w:rsid w:val="00172054"/>
    <w:rsid w:val="00175010"/>
    <w:rsid w:val="00177249"/>
    <w:rsid w:val="00180BFF"/>
    <w:rsid w:val="0018147E"/>
    <w:rsid w:val="0018371D"/>
    <w:rsid w:val="00185228"/>
    <w:rsid w:val="00185F7B"/>
    <w:rsid w:val="00186711"/>
    <w:rsid w:val="0018775F"/>
    <w:rsid w:val="0019082E"/>
    <w:rsid w:val="00191A42"/>
    <w:rsid w:val="00192135"/>
    <w:rsid w:val="00193DB9"/>
    <w:rsid w:val="00195943"/>
    <w:rsid w:val="00195981"/>
    <w:rsid w:val="001A4F42"/>
    <w:rsid w:val="001A625A"/>
    <w:rsid w:val="001A7AA2"/>
    <w:rsid w:val="001B0BB1"/>
    <w:rsid w:val="001B4470"/>
    <w:rsid w:val="001B46BF"/>
    <w:rsid w:val="001B53CA"/>
    <w:rsid w:val="001B59EF"/>
    <w:rsid w:val="001C022D"/>
    <w:rsid w:val="001C064D"/>
    <w:rsid w:val="001C148F"/>
    <w:rsid w:val="001C231B"/>
    <w:rsid w:val="001C2435"/>
    <w:rsid w:val="001C7B29"/>
    <w:rsid w:val="001D1B01"/>
    <w:rsid w:val="001D304C"/>
    <w:rsid w:val="001D542B"/>
    <w:rsid w:val="001D5AD8"/>
    <w:rsid w:val="001D74BC"/>
    <w:rsid w:val="001E0C89"/>
    <w:rsid w:val="001E37F7"/>
    <w:rsid w:val="001E4ADF"/>
    <w:rsid w:val="001E55F3"/>
    <w:rsid w:val="001E562E"/>
    <w:rsid w:val="001E6F49"/>
    <w:rsid w:val="001E7552"/>
    <w:rsid w:val="001F470F"/>
    <w:rsid w:val="001F5546"/>
    <w:rsid w:val="002003BF"/>
    <w:rsid w:val="002010E1"/>
    <w:rsid w:val="00204410"/>
    <w:rsid w:val="002047F5"/>
    <w:rsid w:val="00205C50"/>
    <w:rsid w:val="0021583D"/>
    <w:rsid w:val="0022128F"/>
    <w:rsid w:val="00221E06"/>
    <w:rsid w:val="0022498F"/>
    <w:rsid w:val="0022614F"/>
    <w:rsid w:val="00233600"/>
    <w:rsid w:val="00233943"/>
    <w:rsid w:val="00233A74"/>
    <w:rsid w:val="00237E31"/>
    <w:rsid w:val="00242405"/>
    <w:rsid w:val="00247065"/>
    <w:rsid w:val="00250B29"/>
    <w:rsid w:val="002571E9"/>
    <w:rsid w:val="002603B8"/>
    <w:rsid w:val="0026153A"/>
    <w:rsid w:val="00263AC6"/>
    <w:rsid w:val="00263EAF"/>
    <w:rsid w:val="00266F4D"/>
    <w:rsid w:val="002703D1"/>
    <w:rsid w:val="00270FED"/>
    <w:rsid w:val="00272E5A"/>
    <w:rsid w:val="0027411D"/>
    <w:rsid w:val="002805D5"/>
    <w:rsid w:val="00284E26"/>
    <w:rsid w:val="00285D55"/>
    <w:rsid w:val="00287836"/>
    <w:rsid w:val="00291086"/>
    <w:rsid w:val="00292862"/>
    <w:rsid w:val="0029482E"/>
    <w:rsid w:val="002952DD"/>
    <w:rsid w:val="002A224E"/>
    <w:rsid w:val="002A2521"/>
    <w:rsid w:val="002A2752"/>
    <w:rsid w:val="002A460D"/>
    <w:rsid w:val="002A4699"/>
    <w:rsid w:val="002A4D3B"/>
    <w:rsid w:val="002A7688"/>
    <w:rsid w:val="002B5CA4"/>
    <w:rsid w:val="002B6A6F"/>
    <w:rsid w:val="002C32AB"/>
    <w:rsid w:val="002C6ADB"/>
    <w:rsid w:val="002C7D1C"/>
    <w:rsid w:val="002D154A"/>
    <w:rsid w:val="002D5474"/>
    <w:rsid w:val="002D664A"/>
    <w:rsid w:val="002E3153"/>
    <w:rsid w:val="002E60DE"/>
    <w:rsid w:val="002F08D6"/>
    <w:rsid w:val="002F1991"/>
    <w:rsid w:val="002F1F5B"/>
    <w:rsid w:val="002F2F27"/>
    <w:rsid w:val="002F481B"/>
    <w:rsid w:val="002F4DF5"/>
    <w:rsid w:val="002F5FD4"/>
    <w:rsid w:val="002F6435"/>
    <w:rsid w:val="002F6774"/>
    <w:rsid w:val="002F6A68"/>
    <w:rsid w:val="002F70F2"/>
    <w:rsid w:val="003006F8"/>
    <w:rsid w:val="00300C59"/>
    <w:rsid w:val="00302181"/>
    <w:rsid w:val="00306655"/>
    <w:rsid w:val="00306AC0"/>
    <w:rsid w:val="00306D38"/>
    <w:rsid w:val="003158DF"/>
    <w:rsid w:val="00316598"/>
    <w:rsid w:val="003225C8"/>
    <w:rsid w:val="00326973"/>
    <w:rsid w:val="00327308"/>
    <w:rsid w:val="0033145A"/>
    <w:rsid w:val="00331736"/>
    <w:rsid w:val="00332764"/>
    <w:rsid w:val="0033347A"/>
    <w:rsid w:val="00341A7E"/>
    <w:rsid w:val="0034382B"/>
    <w:rsid w:val="00344269"/>
    <w:rsid w:val="00347930"/>
    <w:rsid w:val="00347BBC"/>
    <w:rsid w:val="00354689"/>
    <w:rsid w:val="00354CB3"/>
    <w:rsid w:val="00354D7A"/>
    <w:rsid w:val="00355CB5"/>
    <w:rsid w:val="00355CDE"/>
    <w:rsid w:val="00361DF3"/>
    <w:rsid w:val="0037043C"/>
    <w:rsid w:val="00372642"/>
    <w:rsid w:val="00373A4F"/>
    <w:rsid w:val="003819C0"/>
    <w:rsid w:val="00386E83"/>
    <w:rsid w:val="00387B7B"/>
    <w:rsid w:val="00387E97"/>
    <w:rsid w:val="003901F3"/>
    <w:rsid w:val="003920ED"/>
    <w:rsid w:val="00393567"/>
    <w:rsid w:val="00395036"/>
    <w:rsid w:val="003956A7"/>
    <w:rsid w:val="0039699F"/>
    <w:rsid w:val="003A0439"/>
    <w:rsid w:val="003A04E0"/>
    <w:rsid w:val="003A1F08"/>
    <w:rsid w:val="003A228F"/>
    <w:rsid w:val="003A2482"/>
    <w:rsid w:val="003A273B"/>
    <w:rsid w:val="003A2ABD"/>
    <w:rsid w:val="003B0148"/>
    <w:rsid w:val="003B4026"/>
    <w:rsid w:val="003B6A72"/>
    <w:rsid w:val="003C12EB"/>
    <w:rsid w:val="003C1A3C"/>
    <w:rsid w:val="003C4263"/>
    <w:rsid w:val="003C70EB"/>
    <w:rsid w:val="003D3ACC"/>
    <w:rsid w:val="003D4B6F"/>
    <w:rsid w:val="003D5B36"/>
    <w:rsid w:val="003D692D"/>
    <w:rsid w:val="003E10CD"/>
    <w:rsid w:val="003E258D"/>
    <w:rsid w:val="003E2F4D"/>
    <w:rsid w:val="003E33B3"/>
    <w:rsid w:val="003E4BDC"/>
    <w:rsid w:val="003F58AE"/>
    <w:rsid w:val="004002FD"/>
    <w:rsid w:val="00404238"/>
    <w:rsid w:val="00404C4E"/>
    <w:rsid w:val="00404E89"/>
    <w:rsid w:val="004051F3"/>
    <w:rsid w:val="004058FE"/>
    <w:rsid w:val="00405BF1"/>
    <w:rsid w:val="0040752D"/>
    <w:rsid w:val="00407E88"/>
    <w:rsid w:val="0041093D"/>
    <w:rsid w:val="00411196"/>
    <w:rsid w:val="004139B5"/>
    <w:rsid w:val="00415BC3"/>
    <w:rsid w:val="00421EF2"/>
    <w:rsid w:val="0042362C"/>
    <w:rsid w:val="004252EA"/>
    <w:rsid w:val="0042776A"/>
    <w:rsid w:val="00432037"/>
    <w:rsid w:val="004321D9"/>
    <w:rsid w:val="00434F7D"/>
    <w:rsid w:val="00436377"/>
    <w:rsid w:val="00436E41"/>
    <w:rsid w:val="00445A56"/>
    <w:rsid w:val="0044701A"/>
    <w:rsid w:val="00456C3D"/>
    <w:rsid w:val="0046310E"/>
    <w:rsid w:val="004632FE"/>
    <w:rsid w:val="00463EB0"/>
    <w:rsid w:val="00464C85"/>
    <w:rsid w:val="004668B9"/>
    <w:rsid w:val="0046791C"/>
    <w:rsid w:val="004700D0"/>
    <w:rsid w:val="00470416"/>
    <w:rsid w:val="00470D84"/>
    <w:rsid w:val="00471615"/>
    <w:rsid w:val="004719B2"/>
    <w:rsid w:val="00471B0F"/>
    <w:rsid w:val="00472FC8"/>
    <w:rsid w:val="0047735D"/>
    <w:rsid w:val="004811BC"/>
    <w:rsid w:val="00485323"/>
    <w:rsid w:val="0048587F"/>
    <w:rsid w:val="00490E77"/>
    <w:rsid w:val="00491F1E"/>
    <w:rsid w:val="00493D21"/>
    <w:rsid w:val="004A10DB"/>
    <w:rsid w:val="004A2488"/>
    <w:rsid w:val="004B032D"/>
    <w:rsid w:val="004B11E9"/>
    <w:rsid w:val="004B2CC6"/>
    <w:rsid w:val="004B5260"/>
    <w:rsid w:val="004B6D3C"/>
    <w:rsid w:val="004B7EA8"/>
    <w:rsid w:val="004C2EFE"/>
    <w:rsid w:val="004C6A12"/>
    <w:rsid w:val="004D45A6"/>
    <w:rsid w:val="004D5D3E"/>
    <w:rsid w:val="004D7BD1"/>
    <w:rsid w:val="004E1378"/>
    <w:rsid w:val="004E3A3F"/>
    <w:rsid w:val="004E4DC5"/>
    <w:rsid w:val="004E604B"/>
    <w:rsid w:val="004F0875"/>
    <w:rsid w:val="004F0C2A"/>
    <w:rsid w:val="004F55A0"/>
    <w:rsid w:val="004F5774"/>
    <w:rsid w:val="004F5EA1"/>
    <w:rsid w:val="004F6477"/>
    <w:rsid w:val="004F7EEE"/>
    <w:rsid w:val="00500D82"/>
    <w:rsid w:val="00505E46"/>
    <w:rsid w:val="0050683E"/>
    <w:rsid w:val="00507157"/>
    <w:rsid w:val="00510EC1"/>
    <w:rsid w:val="005145CC"/>
    <w:rsid w:val="00514902"/>
    <w:rsid w:val="005153FE"/>
    <w:rsid w:val="00515A9C"/>
    <w:rsid w:val="00516CE4"/>
    <w:rsid w:val="00516F11"/>
    <w:rsid w:val="00516F98"/>
    <w:rsid w:val="00523B0F"/>
    <w:rsid w:val="00524650"/>
    <w:rsid w:val="00524F25"/>
    <w:rsid w:val="00525725"/>
    <w:rsid w:val="00525FA1"/>
    <w:rsid w:val="00530E5D"/>
    <w:rsid w:val="00532D99"/>
    <w:rsid w:val="00533D15"/>
    <w:rsid w:val="0053473D"/>
    <w:rsid w:val="00535810"/>
    <w:rsid w:val="00536BC4"/>
    <w:rsid w:val="00541D84"/>
    <w:rsid w:val="00545B84"/>
    <w:rsid w:val="005509E6"/>
    <w:rsid w:val="0055329E"/>
    <w:rsid w:val="00560B63"/>
    <w:rsid w:val="00562981"/>
    <w:rsid w:val="00562D13"/>
    <w:rsid w:val="005645B1"/>
    <w:rsid w:val="00566057"/>
    <w:rsid w:val="00566117"/>
    <w:rsid w:val="00576594"/>
    <w:rsid w:val="00577C26"/>
    <w:rsid w:val="005808DF"/>
    <w:rsid w:val="00586AB5"/>
    <w:rsid w:val="00587B7D"/>
    <w:rsid w:val="00591F0C"/>
    <w:rsid w:val="00596969"/>
    <w:rsid w:val="00597251"/>
    <w:rsid w:val="005A07F9"/>
    <w:rsid w:val="005A0CDB"/>
    <w:rsid w:val="005A11A0"/>
    <w:rsid w:val="005A169E"/>
    <w:rsid w:val="005A4237"/>
    <w:rsid w:val="005A5CAF"/>
    <w:rsid w:val="005A6480"/>
    <w:rsid w:val="005A6C85"/>
    <w:rsid w:val="005A70FC"/>
    <w:rsid w:val="005A7AFD"/>
    <w:rsid w:val="005A7EE1"/>
    <w:rsid w:val="005B1138"/>
    <w:rsid w:val="005B238B"/>
    <w:rsid w:val="005B2468"/>
    <w:rsid w:val="005B4612"/>
    <w:rsid w:val="005B474D"/>
    <w:rsid w:val="005B47E8"/>
    <w:rsid w:val="005B4808"/>
    <w:rsid w:val="005B7039"/>
    <w:rsid w:val="005B780E"/>
    <w:rsid w:val="005C0113"/>
    <w:rsid w:val="005C03B1"/>
    <w:rsid w:val="005C1F47"/>
    <w:rsid w:val="005C29E5"/>
    <w:rsid w:val="005C34EC"/>
    <w:rsid w:val="005C3911"/>
    <w:rsid w:val="005D087F"/>
    <w:rsid w:val="005D2112"/>
    <w:rsid w:val="005D3C08"/>
    <w:rsid w:val="005D443D"/>
    <w:rsid w:val="005D4CAA"/>
    <w:rsid w:val="005E23F8"/>
    <w:rsid w:val="005E464B"/>
    <w:rsid w:val="005E5075"/>
    <w:rsid w:val="005E7E65"/>
    <w:rsid w:val="005F095E"/>
    <w:rsid w:val="005F0F86"/>
    <w:rsid w:val="005F115D"/>
    <w:rsid w:val="005F2D4C"/>
    <w:rsid w:val="005F7EAB"/>
    <w:rsid w:val="00604287"/>
    <w:rsid w:val="0061249A"/>
    <w:rsid w:val="006224BC"/>
    <w:rsid w:val="00623016"/>
    <w:rsid w:val="00624474"/>
    <w:rsid w:val="00626B6F"/>
    <w:rsid w:val="00634F78"/>
    <w:rsid w:val="0063793A"/>
    <w:rsid w:val="00637F8D"/>
    <w:rsid w:val="006416F5"/>
    <w:rsid w:val="00643A30"/>
    <w:rsid w:val="00646F5C"/>
    <w:rsid w:val="00651678"/>
    <w:rsid w:val="006617D1"/>
    <w:rsid w:val="00665161"/>
    <w:rsid w:val="00666567"/>
    <w:rsid w:val="00666C17"/>
    <w:rsid w:val="006716B2"/>
    <w:rsid w:val="0067482D"/>
    <w:rsid w:val="00674DA8"/>
    <w:rsid w:val="00674EE0"/>
    <w:rsid w:val="00674F2E"/>
    <w:rsid w:val="00681A01"/>
    <w:rsid w:val="0068730F"/>
    <w:rsid w:val="00687723"/>
    <w:rsid w:val="006906C8"/>
    <w:rsid w:val="00694ABD"/>
    <w:rsid w:val="00697BC0"/>
    <w:rsid w:val="006A40A3"/>
    <w:rsid w:val="006A43E0"/>
    <w:rsid w:val="006A480C"/>
    <w:rsid w:val="006A70A8"/>
    <w:rsid w:val="006A737D"/>
    <w:rsid w:val="006B015F"/>
    <w:rsid w:val="006B5844"/>
    <w:rsid w:val="006B6810"/>
    <w:rsid w:val="006B7266"/>
    <w:rsid w:val="006C0AF9"/>
    <w:rsid w:val="006C6CE5"/>
    <w:rsid w:val="006D02BD"/>
    <w:rsid w:val="006D0A00"/>
    <w:rsid w:val="006D1FD2"/>
    <w:rsid w:val="006D2D68"/>
    <w:rsid w:val="006D3787"/>
    <w:rsid w:val="006D48CA"/>
    <w:rsid w:val="006D5012"/>
    <w:rsid w:val="006D53A5"/>
    <w:rsid w:val="006E45D5"/>
    <w:rsid w:val="006E4629"/>
    <w:rsid w:val="006E6637"/>
    <w:rsid w:val="006F1AF9"/>
    <w:rsid w:val="006F407F"/>
    <w:rsid w:val="006F4B96"/>
    <w:rsid w:val="006F5BF6"/>
    <w:rsid w:val="006F5C64"/>
    <w:rsid w:val="007002E7"/>
    <w:rsid w:val="00701B72"/>
    <w:rsid w:val="0070351A"/>
    <w:rsid w:val="00704028"/>
    <w:rsid w:val="00713D10"/>
    <w:rsid w:val="00715517"/>
    <w:rsid w:val="0071643F"/>
    <w:rsid w:val="00720EF4"/>
    <w:rsid w:val="00721F27"/>
    <w:rsid w:val="00722B27"/>
    <w:rsid w:val="00723569"/>
    <w:rsid w:val="00730197"/>
    <w:rsid w:val="007305F6"/>
    <w:rsid w:val="00731147"/>
    <w:rsid w:val="00732FFD"/>
    <w:rsid w:val="00733023"/>
    <w:rsid w:val="00736466"/>
    <w:rsid w:val="007364A3"/>
    <w:rsid w:val="00743411"/>
    <w:rsid w:val="00745D26"/>
    <w:rsid w:val="00747F22"/>
    <w:rsid w:val="00750D2C"/>
    <w:rsid w:val="00754CC9"/>
    <w:rsid w:val="00756C05"/>
    <w:rsid w:val="0076121D"/>
    <w:rsid w:val="00764B2C"/>
    <w:rsid w:val="00765098"/>
    <w:rsid w:val="00766693"/>
    <w:rsid w:val="00767CDB"/>
    <w:rsid w:val="00770D03"/>
    <w:rsid w:val="00772EF7"/>
    <w:rsid w:val="00774118"/>
    <w:rsid w:val="0077533F"/>
    <w:rsid w:val="007762E4"/>
    <w:rsid w:val="00781455"/>
    <w:rsid w:val="00781A89"/>
    <w:rsid w:val="00783608"/>
    <w:rsid w:val="00784B5E"/>
    <w:rsid w:val="00785013"/>
    <w:rsid w:val="00786139"/>
    <w:rsid w:val="007940CD"/>
    <w:rsid w:val="00795640"/>
    <w:rsid w:val="00796D4A"/>
    <w:rsid w:val="007A0C72"/>
    <w:rsid w:val="007A1DF2"/>
    <w:rsid w:val="007A1E69"/>
    <w:rsid w:val="007A2E03"/>
    <w:rsid w:val="007A4E9B"/>
    <w:rsid w:val="007A657D"/>
    <w:rsid w:val="007A6F03"/>
    <w:rsid w:val="007A7B29"/>
    <w:rsid w:val="007B3567"/>
    <w:rsid w:val="007B6ECD"/>
    <w:rsid w:val="007B7C28"/>
    <w:rsid w:val="007C461C"/>
    <w:rsid w:val="007C784D"/>
    <w:rsid w:val="007D1607"/>
    <w:rsid w:val="007D1A17"/>
    <w:rsid w:val="007D3773"/>
    <w:rsid w:val="007E22A3"/>
    <w:rsid w:val="007E4F27"/>
    <w:rsid w:val="007E630F"/>
    <w:rsid w:val="007F0B43"/>
    <w:rsid w:val="007F7953"/>
    <w:rsid w:val="008072AB"/>
    <w:rsid w:val="00813903"/>
    <w:rsid w:val="00817B08"/>
    <w:rsid w:val="00820824"/>
    <w:rsid w:val="00820C9F"/>
    <w:rsid w:val="00821D17"/>
    <w:rsid w:val="00821FAD"/>
    <w:rsid w:val="008234FA"/>
    <w:rsid w:val="00831349"/>
    <w:rsid w:val="00831AC9"/>
    <w:rsid w:val="00831AFF"/>
    <w:rsid w:val="00834D4C"/>
    <w:rsid w:val="00836D22"/>
    <w:rsid w:val="00837182"/>
    <w:rsid w:val="00842EB8"/>
    <w:rsid w:val="00850431"/>
    <w:rsid w:val="00850D7E"/>
    <w:rsid w:val="00851ABF"/>
    <w:rsid w:val="00855594"/>
    <w:rsid w:val="00857D67"/>
    <w:rsid w:val="008662D9"/>
    <w:rsid w:val="0086631F"/>
    <w:rsid w:val="00870C92"/>
    <w:rsid w:val="00873F19"/>
    <w:rsid w:val="00873FD0"/>
    <w:rsid w:val="00874FB2"/>
    <w:rsid w:val="008755DD"/>
    <w:rsid w:val="00877287"/>
    <w:rsid w:val="00877CFA"/>
    <w:rsid w:val="0088146E"/>
    <w:rsid w:val="00882047"/>
    <w:rsid w:val="00883361"/>
    <w:rsid w:val="00884339"/>
    <w:rsid w:val="00885AB3"/>
    <w:rsid w:val="00885B75"/>
    <w:rsid w:val="00886201"/>
    <w:rsid w:val="00891167"/>
    <w:rsid w:val="00891C03"/>
    <w:rsid w:val="008925A6"/>
    <w:rsid w:val="00895C43"/>
    <w:rsid w:val="008A080B"/>
    <w:rsid w:val="008A41E7"/>
    <w:rsid w:val="008A44CF"/>
    <w:rsid w:val="008B438B"/>
    <w:rsid w:val="008B5B2C"/>
    <w:rsid w:val="008C30B6"/>
    <w:rsid w:val="008C6D84"/>
    <w:rsid w:val="008C765B"/>
    <w:rsid w:val="008E0A0A"/>
    <w:rsid w:val="008E6F03"/>
    <w:rsid w:val="008E7A42"/>
    <w:rsid w:val="008F0FE4"/>
    <w:rsid w:val="008F1A0F"/>
    <w:rsid w:val="008F1B92"/>
    <w:rsid w:val="008F2E3F"/>
    <w:rsid w:val="008F782C"/>
    <w:rsid w:val="00901604"/>
    <w:rsid w:val="00901707"/>
    <w:rsid w:val="0090269B"/>
    <w:rsid w:val="00903211"/>
    <w:rsid w:val="00904BC6"/>
    <w:rsid w:val="009101D7"/>
    <w:rsid w:val="009102B2"/>
    <w:rsid w:val="00912ED1"/>
    <w:rsid w:val="00914313"/>
    <w:rsid w:val="00922991"/>
    <w:rsid w:val="00923EF7"/>
    <w:rsid w:val="009249FE"/>
    <w:rsid w:val="00924ADD"/>
    <w:rsid w:val="009256A7"/>
    <w:rsid w:val="0093137F"/>
    <w:rsid w:val="00932D09"/>
    <w:rsid w:val="00935D46"/>
    <w:rsid w:val="00940EEA"/>
    <w:rsid w:val="00943CCF"/>
    <w:rsid w:val="00947693"/>
    <w:rsid w:val="00951AB0"/>
    <w:rsid w:val="009522E5"/>
    <w:rsid w:val="00952E20"/>
    <w:rsid w:val="009532F3"/>
    <w:rsid w:val="00953774"/>
    <w:rsid w:val="009559D9"/>
    <w:rsid w:val="00955D6B"/>
    <w:rsid w:val="00962137"/>
    <w:rsid w:val="0096655F"/>
    <w:rsid w:val="009676D9"/>
    <w:rsid w:val="00967DA8"/>
    <w:rsid w:val="00973240"/>
    <w:rsid w:val="00973F36"/>
    <w:rsid w:val="00983093"/>
    <w:rsid w:val="00985A94"/>
    <w:rsid w:val="00987DD8"/>
    <w:rsid w:val="009901BC"/>
    <w:rsid w:val="00993340"/>
    <w:rsid w:val="00993883"/>
    <w:rsid w:val="00993D17"/>
    <w:rsid w:val="009962DF"/>
    <w:rsid w:val="00996C8B"/>
    <w:rsid w:val="009A139B"/>
    <w:rsid w:val="009A5E6E"/>
    <w:rsid w:val="009A6506"/>
    <w:rsid w:val="009A6879"/>
    <w:rsid w:val="009A7DA5"/>
    <w:rsid w:val="009B0293"/>
    <w:rsid w:val="009B05D6"/>
    <w:rsid w:val="009B062C"/>
    <w:rsid w:val="009B454F"/>
    <w:rsid w:val="009B45D1"/>
    <w:rsid w:val="009B528D"/>
    <w:rsid w:val="009B6433"/>
    <w:rsid w:val="009C0378"/>
    <w:rsid w:val="009C0A92"/>
    <w:rsid w:val="009C136B"/>
    <w:rsid w:val="009C18E9"/>
    <w:rsid w:val="009C2619"/>
    <w:rsid w:val="009C2676"/>
    <w:rsid w:val="009C3484"/>
    <w:rsid w:val="009C47EE"/>
    <w:rsid w:val="009C52A2"/>
    <w:rsid w:val="009C79A5"/>
    <w:rsid w:val="009D0086"/>
    <w:rsid w:val="009D376C"/>
    <w:rsid w:val="009D5047"/>
    <w:rsid w:val="009D696D"/>
    <w:rsid w:val="009E2787"/>
    <w:rsid w:val="009E3A64"/>
    <w:rsid w:val="009E3BD1"/>
    <w:rsid w:val="009E4142"/>
    <w:rsid w:val="009F778C"/>
    <w:rsid w:val="00A04244"/>
    <w:rsid w:val="00A046D9"/>
    <w:rsid w:val="00A051A8"/>
    <w:rsid w:val="00A11028"/>
    <w:rsid w:val="00A13929"/>
    <w:rsid w:val="00A15177"/>
    <w:rsid w:val="00A16624"/>
    <w:rsid w:val="00A17EC7"/>
    <w:rsid w:val="00A2161F"/>
    <w:rsid w:val="00A2577D"/>
    <w:rsid w:val="00A31476"/>
    <w:rsid w:val="00A32A31"/>
    <w:rsid w:val="00A33AB7"/>
    <w:rsid w:val="00A349DE"/>
    <w:rsid w:val="00A356F9"/>
    <w:rsid w:val="00A40233"/>
    <w:rsid w:val="00A430BF"/>
    <w:rsid w:val="00A431B5"/>
    <w:rsid w:val="00A46CB3"/>
    <w:rsid w:val="00A47C25"/>
    <w:rsid w:val="00A53E24"/>
    <w:rsid w:val="00A61E8A"/>
    <w:rsid w:val="00A665DC"/>
    <w:rsid w:val="00A708A9"/>
    <w:rsid w:val="00A71582"/>
    <w:rsid w:val="00A763AE"/>
    <w:rsid w:val="00A773BA"/>
    <w:rsid w:val="00A80B02"/>
    <w:rsid w:val="00A82307"/>
    <w:rsid w:val="00A850A4"/>
    <w:rsid w:val="00A87960"/>
    <w:rsid w:val="00A92B62"/>
    <w:rsid w:val="00A95DF4"/>
    <w:rsid w:val="00AA0C38"/>
    <w:rsid w:val="00AA3458"/>
    <w:rsid w:val="00AA36F0"/>
    <w:rsid w:val="00AA4685"/>
    <w:rsid w:val="00AA4B04"/>
    <w:rsid w:val="00AA4C42"/>
    <w:rsid w:val="00AA5B7B"/>
    <w:rsid w:val="00AA5FB7"/>
    <w:rsid w:val="00AB1710"/>
    <w:rsid w:val="00AB5544"/>
    <w:rsid w:val="00AC0E00"/>
    <w:rsid w:val="00AC1B6D"/>
    <w:rsid w:val="00AD0687"/>
    <w:rsid w:val="00AD0943"/>
    <w:rsid w:val="00AD4407"/>
    <w:rsid w:val="00AD4A31"/>
    <w:rsid w:val="00AE0E83"/>
    <w:rsid w:val="00AE371C"/>
    <w:rsid w:val="00AE3A2D"/>
    <w:rsid w:val="00AE617E"/>
    <w:rsid w:val="00AE655E"/>
    <w:rsid w:val="00AF4DDC"/>
    <w:rsid w:val="00B033BD"/>
    <w:rsid w:val="00B03495"/>
    <w:rsid w:val="00B04319"/>
    <w:rsid w:val="00B062FA"/>
    <w:rsid w:val="00B06375"/>
    <w:rsid w:val="00B100F6"/>
    <w:rsid w:val="00B137CB"/>
    <w:rsid w:val="00B14338"/>
    <w:rsid w:val="00B161CA"/>
    <w:rsid w:val="00B16590"/>
    <w:rsid w:val="00B22035"/>
    <w:rsid w:val="00B23601"/>
    <w:rsid w:val="00B2657F"/>
    <w:rsid w:val="00B32010"/>
    <w:rsid w:val="00B363AA"/>
    <w:rsid w:val="00B36B75"/>
    <w:rsid w:val="00B407EC"/>
    <w:rsid w:val="00B40B5D"/>
    <w:rsid w:val="00B41376"/>
    <w:rsid w:val="00B42606"/>
    <w:rsid w:val="00B43FAE"/>
    <w:rsid w:val="00B47C8A"/>
    <w:rsid w:val="00B52CA9"/>
    <w:rsid w:val="00B54055"/>
    <w:rsid w:val="00B56B4C"/>
    <w:rsid w:val="00B60ECD"/>
    <w:rsid w:val="00B65902"/>
    <w:rsid w:val="00B670E6"/>
    <w:rsid w:val="00B6757D"/>
    <w:rsid w:val="00B70ABD"/>
    <w:rsid w:val="00B715AA"/>
    <w:rsid w:val="00B71CE2"/>
    <w:rsid w:val="00B73EE1"/>
    <w:rsid w:val="00B75258"/>
    <w:rsid w:val="00B752D5"/>
    <w:rsid w:val="00B75835"/>
    <w:rsid w:val="00B75BF3"/>
    <w:rsid w:val="00B75F7A"/>
    <w:rsid w:val="00B812E8"/>
    <w:rsid w:val="00B815D5"/>
    <w:rsid w:val="00B843E3"/>
    <w:rsid w:val="00B872B3"/>
    <w:rsid w:val="00B878FF"/>
    <w:rsid w:val="00B94074"/>
    <w:rsid w:val="00B95455"/>
    <w:rsid w:val="00B965B8"/>
    <w:rsid w:val="00BA0C88"/>
    <w:rsid w:val="00BA1485"/>
    <w:rsid w:val="00BB123C"/>
    <w:rsid w:val="00BC3D7B"/>
    <w:rsid w:val="00BC47C1"/>
    <w:rsid w:val="00BC4908"/>
    <w:rsid w:val="00BC5588"/>
    <w:rsid w:val="00BC7AC9"/>
    <w:rsid w:val="00BC7E0B"/>
    <w:rsid w:val="00BD313A"/>
    <w:rsid w:val="00BD39F0"/>
    <w:rsid w:val="00BD6FEB"/>
    <w:rsid w:val="00BE00D4"/>
    <w:rsid w:val="00BE520A"/>
    <w:rsid w:val="00BE6903"/>
    <w:rsid w:val="00BF00CF"/>
    <w:rsid w:val="00BF0EDD"/>
    <w:rsid w:val="00BF1D07"/>
    <w:rsid w:val="00BF5DBE"/>
    <w:rsid w:val="00BF788C"/>
    <w:rsid w:val="00C01001"/>
    <w:rsid w:val="00C022E2"/>
    <w:rsid w:val="00C02654"/>
    <w:rsid w:val="00C10A28"/>
    <w:rsid w:val="00C10FD9"/>
    <w:rsid w:val="00C11243"/>
    <w:rsid w:val="00C15792"/>
    <w:rsid w:val="00C22C8F"/>
    <w:rsid w:val="00C243AA"/>
    <w:rsid w:val="00C2459A"/>
    <w:rsid w:val="00C25069"/>
    <w:rsid w:val="00C25380"/>
    <w:rsid w:val="00C3010A"/>
    <w:rsid w:val="00C30C70"/>
    <w:rsid w:val="00C3455E"/>
    <w:rsid w:val="00C37547"/>
    <w:rsid w:val="00C406C3"/>
    <w:rsid w:val="00C407D5"/>
    <w:rsid w:val="00C4082B"/>
    <w:rsid w:val="00C43E84"/>
    <w:rsid w:val="00C43FF9"/>
    <w:rsid w:val="00C51662"/>
    <w:rsid w:val="00C52A59"/>
    <w:rsid w:val="00C54CC9"/>
    <w:rsid w:val="00C609A1"/>
    <w:rsid w:val="00C60EE2"/>
    <w:rsid w:val="00C62BDF"/>
    <w:rsid w:val="00C64754"/>
    <w:rsid w:val="00C666AE"/>
    <w:rsid w:val="00C66708"/>
    <w:rsid w:val="00C81324"/>
    <w:rsid w:val="00C849AC"/>
    <w:rsid w:val="00C85925"/>
    <w:rsid w:val="00C86439"/>
    <w:rsid w:val="00C91B93"/>
    <w:rsid w:val="00C92B26"/>
    <w:rsid w:val="00C947FE"/>
    <w:rsid w:val="00C956C6"/>
    <w:rsid w:val="00C95DC5"/>
    <w:rsid w:val="00C96046"/>
    <w:rsid w:val="00CA25B4"/>
    <w:rsid w:val="00CA610F"/>
    <w:rsid w:val="00CB0208"/>
    <w:rsid w:val="00CB1465"/>
    <w:rsid w:val="00CB1E5A"/>
    <w:rsid w:val="00CB26A2"/>
    <w:rsid w:val="00CB2819"/>
    <w:rsid w:val="00CB3963"/>
    <w:rsid w:val="00CB3F45"/>
    <w:rsid w:val="00CB6769"/>
    <w:rsid w:val="00CB67B0"/>
    <w:rsid w:val="00CB6BDB"/>
    <w:rsid w:val="00CB77DE"/>
    <w:rsid w:val="00CC1E3B"/>
    <w:rsid w:val="00CC213E"/>
    <w:rsid w:val="00CC3B1F"/>
    <w:rsid w:val="00CC587B"/>
    <w:rsid w:val="00CD6B46"/>
    <w:rsid w:val="00CD743B"/>
    <w:rsid w:val="00CE3F34"/>
    <w:rsid w:val="00CE643A"/>
    <w:rsid w:val="00CF1633"/>
    <w:rsid w:val="00CF1F74"/>
    <w:rsid w:val="00CF2028"/>
    <w:rsid w:val="00CF6712"/>
    <w:rsid w:val="00D00CD7"/>
    <w:rsid w:val="00D01744"/>
    <w:rsid w:val="00D02610"/>
    <w:rsid w:val="00D04F88"/>
    <w:rsid w:val="00D1081B"/>
    <w:rsid w:val="00D1137F"/>
    <w:rsid w:val="00D12C64"/>
    <w:rsid w:val="00D169CB"/>
    <w:rsid w:val="00D17366"/>
    <w:rsid w:val="00D17F85"/>
    <w:rsid w:val="00D22B15"/>
    <w:rsid w:val="00D23FA1"/>
    <w:rsid w:val="00D2462F"/>
    <w:rsid w:val="00D26C6F"/>
    <w:rsid w:val="00D3148B"/>
    <w:rsid w:val="00D32324"/>
    <w:rsid w:val="00D32B69"/>
    <w:rsid w:val="00D35C2E"/>
    <w:rsid w:val="00D37726"/>
    <w:rsid w:val="00D37ACE"/>
    <w:rsid w:val="00D42528"/>
    <w:rsid w:val="00D42AFA"/>
    <w:rsid w:val="00D43EFD"/>
    <w:rsid w:val="00D44FAB"/>
    <w:rsid w:val="00D45496"/>
    <w:rsid w:val="00D45B7D"/>
    <w:rsid w:val="00D53902"/>
    <w:rsid w:val="00D53FD6"/>
    <w:rsid w:val="00D54A67"/>
    <w:rsid w:val="00D57B86"/>
    <w:rsid w:val="00D62E88"/>
    <w:rsid w:val="00D6566E"/>
    <w:rsid w:val="00D71E13"/>
    <w:rsid w:val="00D74CB7"/>
    <w:rsid w:val="00D75B6D"/>
    <w:rsid w:val="00D76CD0"/>
    <w:rsid w:val="00D813F4"/>
    <w:rsid w:val="00D83A39"/>
    <w:rsid w:val="00D841C0"/>
    <w:rsid w:val="00D85085"/>
    <w:rsid w:val="00D850F0"/>
    <w:rsid w:val="00D9004F"/>
    <w:rsid w:val="00D909AB"/>
    <w:rsid w:val="00D93AFA"/>
    <w:rsid w:val="00D93B00"/>
    <w:rsid w:val="00D9454C"/>
    <w:rsid w:val="00D959B3"/>
    <w:rsid w:val="00D95B7E"/>
    <w:rsid w:val="00D967A6"/>
    <w:rsid w:val="00D9684B"/>
    <w:rsid w:val="00D979B8"/>
    <w:rsid w:val="00D97B13"/>
    <w:rsid w:val="00DA2B97"/>
    <w:rsid w:val="00DA2DF9"/>
    <w:rsid w:val="00DA6665"/>
    <w:rsid w:val="00DA75E2"/>
    <w:rsid w:val="00DA75FB"/>
    <w:rsid w:val="00DB0B8A"/>
    <w:rsid w:val="00DB1987"/>
    <w:rsid w:val="00DB2EA2"/>
    <w:rsid w:val="00DB4667"/>
    <w:rsid w:val="00DB4CCB"/>
    <w:rsid w:val="00DB6331"/>
    <w:rsid w:val="00DC02C9"/>
    <w:rsid w:val="00DC4BBA"/>
    <w:rsid w:val="00DC579E"/>
    <w:rsid w:val="00DC6A59"/>
    <w:rsid w:val="00DC7D6E"/>
    <w:rsid w:val="00DD1691"/>
    <w:rsid w:val="00DD40B6"/>
    <w:rsid w:val="00DD4E53"/>
    <w:rsid w:val="00DD7FC2"/>
    <w:rsid w:val="00DE33FF"/>
    <w:rsid w:val="00DE41F3"/>
    <w:rsid w:val="00DF40E6"/>
    <w:rsid w:val="00DF4DA1"/>
    <w:rsid w:val="00DF6896"/>
    <w:rsid w:val="00E01C28"/>
    <w:rsid w:val="00E0457D"/>
    <w:rsid w:val="00E0466A"/>
    <w:rsid w:val="00E046D0"/>
    <w:rsid w:val="00E05C22"/>
    <w:rsid w:val="00E10B72"/>
    <w:rsid w:val="00E114FE"/>
    <w:rsid w:val="00E1626C"/>
    <w:rsid w:val="00E2119F"/>
    <w:rsid w:val="00E21277"/>
    <w:rsid w:val="00E21736"/>
    <w:rsid w:val="00E2213D"/>
    <w:rsid w:val="00E339CA"/>
    <w:rsid w:val="00E36DFD"/>
    <w:rsid w:val="00E410B2"/>
    <w:rsid w:val="00E46733"/>
    <w:rsid w:val="00E52DD0"/>
    <w:rsid w:val="00E576D4"/>
    <w:rsid w:val="00E64C9F"/>
    <w:rsid w:val="00E67FA5"/>
    <w:rsid w:val="00E7397E"/>
    <w:rsid w:val="00E7413C"/>
    <w:rsid w:val="00E74320"/>
    <w:rsid w:val="00E74E2A"/>
    <w:rsid w:val="00E7523E"/>
    <w:rsid w:val="00E764A0"/>
    <w:rsid w:val="00E817E5"/>
    <w:rsid w:val="00E81FDD"/>
    <w:rsid w:val="00E82204"/>
    <w:rsid w:val="00E8264E"/>
    <w:rsid w:val="00E83C46"/>
    <w:rsid w:val="00E91FCD"/>
    <w:rsid w:val="00E92D07"/>
    <w:rsid w:val="00E93B45"/>
    <w:rsid w:val="00E94175"/>
    <w:rsid w:val="00E967E2"/>
    <w:rsid w:val="00E97EF2"/>
    <w:rsid w:val="00EA044B"/>
    <w:rsid w:val="00EA125A"/>
    <w:rsid w:val="00EA456F"/>
    <w:rsid w:val="00EA510F"/>
    <w:rsid w:val="00EA5EE9"/>
    <w:rsid w:val="00EB7191"/>
    <w:rsid w:val="00EC3981"/>
    <w:rsid w:val="00ED0DCC"/>
    <w:rsid w:val="00ED1B01"/>
    <w:rsid w:val="00ED2DBD"/>
    <w:rsid w:val="00ED4070"/>
    <w:rsid w:val="00ED44A2"/>
    <w:rsid w:val="00ED5B6F"/>
    <w:rsid w:val="00ED6D0E"/>
    <w:rsid w:val="00ED75A7"/>
    <w:rsid w:val="00EE4D96"/>
    <w:rsid w:val="00EE5764"/>
    <w:rsid w:val="00EE5F5D"/>
    <w:rsid w:val="00EF08D1"/>
    <w:rsid w:val="00EF0FD4"/>
    <w:rsid w:val="00EF1107"/>
    <w:rsid w:val="00EF4283"/>
    <w:rsid w:val="00EF6CB0"/>
    <w:rsid w:val="00EF76C5"/>
    <w:rsid w:val="00F0124A"/>
    <w:rsid w:val="00F0219F"/>
    <w:rsid w:val="00F022F3"/>
    <w:rsid w:val="00F0461C"/>
    <w:rsid w:val="00F06A80"/>
    <w:rsid w:val="00F078BA"/>
    <w:rsid w:val="00F1191C"/>
    <w:rsid w:val="00F1213B"/>
    <w:rsid w:val="00F1270F"/>
    <w:rsid w:val="00F12DA0"/>
    <w:rsid w:val="00F12E23"/>
    <w:rsid w:val="00F12ECE"/>
    <w:rsid w:val="00F133CB"/>
    <w:rsid w:val="00F160C2"/>
    <w:rsid w:val="00F2098A"/>
    <w:rsid w:val="00F2144A"/>
    <w:rsid w:val="00F225E7"/>
    <w:rsid w:val="00F2603F"/>
    <w:rsid w:val="00F27887"/>
    <w:rsid w:val="00F27E50"/>
    <w:rsid w:val="00F311F0"/>
    <w:rsid w:val="00F351D5"/>
    <w:rsid w:val="00F42F9A"/>
    <w:rsid w:val="00F43DD0"/>
    <w:rsid w:val="00F449D4"/>
    <w:rsid w:val="00F45011"/>
    <w:rsid w:val="00F4544B"/>
    <w:rsid w:val="00F45DA3"/>
    <w:rsid w:val="00F469E9"/>
    <w:rsid w:val="00F510E9"/>
    <w:rsid w:val="00F51376"/>
    <w:rsid w:val="00F51F1C"/>
    <w:rsid w:val="00F544EB"/>
    <w:rsid w:val="00F56DA7"/>
    <w:rsid w:val="00F57B2A"/>
    <w:rsid w:val="00F57BCF"/>
    <w:rsid w:val="00F61D62"/>
    <w:rsid w:val="00F645E1"/>
    <w:rsid w:val="00F72549"/>
    <w:rsid w:val="00F74030"/>
    <w:rsid w:val="00F76EFA"/>
    <w:rsid w:val="00F83DBB"/>
    <w:rsid w:val="00F971DA"/>
    <w:rsid w:val="00F972B0"/>
    <w:rsid w:val="00FA128C"/>
    <w:rsid w:val="00FA247B"/>
    <w:rsid w:val="00FA758A"/>
    <w:rsid w:val="00FB1C95"/>
    <w:rsid w:val="00FB200A"/>
    <w:rsid w:val="00FB4A4B"/>
    <w:rsid w:val="00FB555B"/>
    <w:rsid w:val="00FC11BC"/>
    <w:rsid w:val="00FC133C"/>
    <w:rsid w:val="00FC29CE"/>
    <w:rsid w:val="00FC3E88"/>
    <w:rsid w:val="00FC3F4C"/>
    <w:rsid w:val="00FC552D"/>
    <w:rsid w:val="00FC5988"/>
    <w:rsid w:val="00FC63F8"/>
    <w:rsid w:val="00FC65DE"/>
    <w:rsid w:val="00FC7A5A"/>
    <w:rsid w:val="00FD0163"/>
    <w:rsid w:val="00FD0A50"/>
    <w:rsid w:val="00FD21EF"/>
    <w:rsid w:val="00FD6517"/>
    <w:rsid w:val="00FE00D0"/>
    <w:rsid w:val="00FE1BA4"/>
    <w:rsid w:val="00FE40E8"/>
    <w:rsid w:val="00FE58C6"/>
    <w:rsid w:val="00FE615C"/>
    <w:rsid w:val="00FE64A6"/>
    <w:rsid w:val="00FF229D"/>
    <w:rsid w:val="00FF716E"/>
    <w:rsid w:val="01066499"/>
    <w:rsid w:val="09505438"/>
    <w:rsid w:val="0AC53DBC"/>
    <w:rsid w:val="0D6C4C14"/>
    <w:rsid w:val="0EB6DBF0"/>
    <w:rsid w:val="0EC28578"/>
    <w:rsid w:val="1131E3A3"/>
    <w:rsid w:val="11866327"/>
    <w:rsid w:val="12B59438"/>
    <w:rsid w:val="1357FB0C"/>
    <w:rsid w:val="1558DFE1"/>
    <w:rsid w:val="1768CAAA"/>
    <w:rsid w:val="188E8C26"/>
    <w:rsid w:val="18C1E030"/>
    <w:rsid w:val="1B4A2B4B"/>
    <w:rsid w:val="212AFBCA"/>
    <w:rsid w:val="219DC01D"/>
    <w:rsid w:val="2442F0AF"/>
    <w:rsid w:val="249BFD26"/>
    <w:rsid w:val="25FD546E"/>
    <w:rsid w:val="28EADAE5"/>
    <w:rsid w:val="2950D66F"/>
    <w:rsid w:val="29AE5713"/>
    <w:rsid w:val="2B32B3CA"/>
    <w:rsid w:val="2C7C6ABE"/>
    <w:rsid w:val="2E910F45"/>
    <w:rsid w:val="2F360331"/>
    <w:rsid w:val="30D43F71"/>
    <w:rsid w:val="3250064C"/>
    <w:rsid w:val="325A3F5C"/>
    <w:rsid w:val="345C21C9"/>
    <w:rsid w:val="35C0E2ED"/>
    <w:rsid w:val="36501B54"/>
    <w:rsid w:val="3A809D90"/>
    <w:rsid w:val="3AC8544C"/>
    <w:rsid w:val="3BF46767"/>
    <w:rsid w:val="3C068EF0"/>
    <w:rsid w:val="3D7A96B3"/>
    <w:rsid w:val="4020091C"/>
    <w:rsid w:val="407EDB8B"/>
    <w:rsid w:val="45FE50BF"/>
    <w:rsid w:val="4EA0300F"/>
    <w:rsid w:val="5122ECD9"/>
    <w:rsid w:val="525F1914"/>
    <w:rsid w:val="529832CA"/>
    <w:rsid w:val="552F097F"/>
    <w:rsid w:val="5BF3167B"/>
    <w:rsid w:val="5C8BC549"/>
    <w:rsid w:val="5EDDFA94"/>
    <w:rsid w:val="61EB515B"/>
    <w:rsid w:val="64D2985A"/>
    <w:rsid w:val="6758D56B"/>
    <w:rsid w:val="67DF1BEE"/>
    <w:rsid w:val="69871956"/>
    <w:rsid w:val="6B2AE975"/>
    <w:rsid w:val="6F2E23D3"/>
    <w:rsid w:val="71AF394F"/>
    <w:rsid w:val="72AF2B1E"/>
    <w:rsid w:val="78497067"/>
    <w:rsid w:val="79CAED2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A32C8DF"/>
  <w15:docId w15:val="{BBF2ED07-6EEA-4F21-87AB-68DF6ABA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unhideWhenUsed/>
    <w:rsid w:val="008E6F03"/>
    <w:rPr>
      <w:sz w:val="20"/>
      <w:szCs w:val="20"/>
    </w:rPr>
  </w:style>
  <w:style w:type="character" w:customStyle="1" w:styleId="CommentTextChar">
    <w:name w:val="Comment Text Char"/>
    <w:basedOn w:val="DefaultParagraphFont"/>
    <w:link w:val="CommentText"/>
    <w:uiPriority w:val="99"/>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Texto de rodapé,nota_rodapé"/>
    <w:basedOn w:val="Normal"/>
    <w:link w:val="FootnoteTextChar"/>
    <w:uiPriority w:val="99"/>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aliases w:val="ftref,16 Point,Superscript 6 Point"/>
    <w:uiPriority w:val="99"/>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nhideWhenUsed/>
    <w:rsid w:val="00472FC8"/>
    <w:rPr>
      <w:color w:val="0000FF" w:themeColor="hyperlink"/>
      <w:u w:val="single"/>
    </w:rPr>
  </w:style>
  <w:style w:type="character" w:styleId="FollowedHyperlink">
    <w:name w:val="FollowedHyperlink"/>
    <w:basedOn w:val="DefaultParagraphFont"/>
    <w:uiPriority w:val="99"/>
    <w:semiHidden/>
    <w:unhideWhenUsed/>
    <w:rsid w:val="00EB7191"/>
    <w:rPr>
      <w:color w:val="800080" w:themeColor="followedHyperlink"/>
      <w:u w:val="single"/>
    </w:rPr>
  </w:style>
  <w:style w:type="character" w:styleId="UnresolvedMention">
    <w:name w:val="Unresolved Mention"/>
    <w:basedOn w:val="DefaultParagraphFont"/>
    <w:uiPriority w:val="99"/>
    <w:semiHidden/>
    <w:unhideWhenUsed/>
    <w:rsid w:val="00FC29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746458837">
      <w:bodyDiv w:val="1"/>
      <w:marLeft w:val="0"/>
      <w:marRight w:val="0"/>
      <w:marTop w:val="0"/>
      <w:marBottom w:val="0"/>
      <w:divBdr>
        <w:top w:val="none" w:sz="0" w:space="0" w:color="auto"/>
        <w:left w:val="none" w:sz="0" w:space="0" w:color="auto"/>
        <w:bottom w:val="none" w:sz="0" w:space="0" w:color="auto"/>
        <w:right w:val="none" w:sz="0" w:space="0" w:color="auto"/>
      </w:divBdr>
    </w:div>
    <w:div w:id="822887379">
      <w:bodyDiv w:val="1"/>
      <w:marLeft w:val="0"/>
      <w:marRight w:val="0"/>
      <w:marTop w:val="0"/>
      <w:marBottom w:val="0"/>
      <w:divBdr>
        <w:top w:val="none" w:sz="0" w:space="0" w:color="auto"/>
        <w:left w:val="none" w:sz="0" w:space="0" w:color="auto"/>
        <w:bottom w:val="none" w:sz="0" w:space="0" w:color="auto"/>
        <w:right w:val="none" w:sz="0" w:space="0" w:color="auto"/>
      </w:divBdr>
    </w:div>
    <w:div w:id="1052853163">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576278306">
      <w:bodyDiv w:val="1"/>
      <w:marLeft w:val="0"/>
      <w:marRight w:val="0"/>
      <w:marTop w:val="0"/>
      <w:marBottom w:val="0"/>
      <w:divBdr>
        <w:top w:val="none" w:sz="0" w:space="0" w:color="auto"/>
        <w:left w:val="none" w:sz="0" w:space="0" w:color="auto"/>
        <w:bottom w:val="none" w:sz="0" w:space="0" w:color="auto"/>
        <w:right w:val="none" w:sz="0" w:space="0" w:color="auto"/>
      </w:divBdr>
    </w:div>
    <w:div w:id="1600522757">
      <w:bodyDiv w:val="1"/>
      <w:marLeft w:val="0"/>
      <w:marRight w:val="0"/>
      <w:marTop w:val="0"/>
      <w:marBottom w:val="0"/>
      <w:divBdr>
        <w:top w:val="none" w:sz="0" w:space="0" w:color="auto"/>
        <w:left w:val="none" w:sz="0" w:space="0" w:color="auto"/>
        <w:bottom w:val="none" w:sz="0" w:space="0" w:color="auto"/>
        <w:right w:val="none" w:sz="0" w:space="0" w:color="auto"/>
      </w:divBdr>
    </w:div>
    <w:div w:id="174719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www.upme.gov.co/Siel/Siel/Portals/0/Piec/PIEC_2016-2020_PublicarDic202016.pdf" TargetMode="Externa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15"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paratec.xm.com.co/paratec/SitePages/generacion.aspx?q=capacid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INE/ENE</Division_x0020_or_x0020_Unit>
    <Other_x0020_Author xmlns="cdc7663a-08f0-4737-9e8c-148ce897a09c" xsi:nil="true"/>
    <IDBDocs_x0020_Number xmlns="cdc7663a-08f0-4737-9e8c-148ce897a09c" xsi:nil="true"/>
    <Document_x0020_Author xmlns="cdc7663a-08f0-4737-9e8c-148ce897a09c">Suber, Stephanie Anne</Document_x0020_Author>
    <Operation_x0020_Type xmlns="cdc7663a-08f0-4737-9e8c-148ce897a09c">Loan Operation</Operation_x0020_Type>
    <TaxCatchAll xmlns="cdc7663a-08f0-4737-9e8c-148ce897a09c">
      <Value>27</Value>
      <Value>39</Value>
      <Value>178</Value>
      <Value>2</Value>
    </TaxCatchAll>
    <Fiscal_x0020_Year_x0020_IDB xmlns="cdc7663a-08f0-4737-9e8c-148ce897a09c">2019</Fiscal_x0020_Year_x0020_IDB>
    <Project_x0020_Number xmlns="cdc7663a-08f0-4737-9e8c-148ce897a09c">CO-L1237</Project_x0020_Number>
    <Package_x0020_Code xmlns="cdc7663a-08f0-4737-9e8c-148ce897a09c" xsi:nil="true"/>
    <Migration_x0020_Info xmlns="cdc7663a-08f0-4737-9e8c-148ce897a09c" xsi:nil="true"/>
    <Approval_x0020_Number xmlns="cdc7663a-08f0-4737-9e8c-148ce897a09c">4773/OC-CO;</Approval_x0020_Number>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lated_x0020_SisCor_x0020_Number xmlns="cdc7663a-08f0-4737-9e8c-148ce897a09c" xsi:nil="true"/>
    <Record_x0020_Number xmlns="cdc7663a-08f0-4737-9e8c-148ce897a09c" xsi:nil="true"/>
    <_dlc_DocId xmlns="cdc7663a-08f0-4737-9e8c-148ce897a09c">EZSHARE-661587386-5</_dlc_DocId>
    <_dlc_DocIdUrl xmlns="cdc7663a-08f0-4737-9e8c-148ce897a09c">
      <Url>https://idbg.sharepoint.com/teams/EZ-CO-LON/CO-L1237/_layouts/15/DocIdRedir.aspx?ID=EZSHARE-661587386-5</Url>
      <Description>EZSHARE-661587386-5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799A172D4150B24BA8FAA1F3675267D6" ma:contentTypeVersion="1690" ma:contentTypeDescription="The base project type from which other project content types inherit their information." ma:contentTypeScope="" ma:versionID="b881fc73366497d6cb883947ea392f33">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3747F26F6C93F4EA513C0E2139DAFE2" ma:contentTypeVersion="1690" ma:contentTypeDescription="A content type to manage public (operations) IDB documents" ma:contentTypeScope="" ma:versionID="d6e86f7a7d8b218a68b063aa8ffaf8c9">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54528-BC17-49AA-8ABB-C348A2022400}">
  <ds:schemaRefs>
    <ds:schemaRef ds:uri="http://schemas.microsoft.com/sharepoint/events"/>
  </ds:schemaRefs>
</ds:datastoreItem>
</file>

<file path=customXml/itemProps10.xml><?xml version="1.0" encoding="utf-8"?>
<ds:datastoreItem xmlns:ds="http://schemas.openxmlformats.org/officeDocument/2006/customXml" ds:itemID="{2D248A62-BD19-41FD-A2CE-744DC6583EDD}">
  <ds:schemaRefs>
    <ds:schemaRef ds:uri="http://schemas.openxmlformats.org/officeDocument/2006/bibliography"/>
  </ds:schemaRefs>
</ds:datastoreItem>
</file>

<file path=customXml/itemProps2.xml><?xml version="1.0" encoding="utf-8"?>
<ds:datastoreItem xmlns:ds="http://schemas.openxmlformats.org/officeDocument/2006/customXml" ds:itemID="{8ED9B5F9-9F9A-4AAE-B1DC-C12C33074EB9}">
  <ds:schemaRefs>
    <ds:schemaRef ds:uri="http://schemas.microsoft.com/office/2006/documentManagement/types"/>
    <ds:schemaRef ds:uri="cdc7663a-08f0-4737-9e8c-148ce897a09c"/>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F220CE07-406F-4B4F-B537-5AED12314DB9}"/>
</file>

<file path=customXml/itemProps4.xml><?xml version="1.0" encoding="utf-8"?>
<ds:datastoreItem xmlns:ds="http://schemas.openxmlformats.org/officeDocument/2006/customXml" ds:itemID="{C03F7451-25EF-4106-8A69-89765003D812}">
  <ds:schemaRefs>
    <ds:schemaRef ds:uri="http://schemas.openxmlformats.org/officeDocument/2006/bibliography"/>
  </ds:schemaRefs>
</ds:datastoreItem>
</file>

<file path=customXml/itemProps5.xml><?xml version="1.0" encoding="utf-8"?>
<ds:datastoreItem xmlns:ds="http://schemas.openxmlformats.org/officeDocument/2006/customXml" ds:itemID="{F36A9AE1-9EF1-424A-B14D-230451BE5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35E71A0-4B00-4670-B9D0-B82BF4698488}">
  <ds:schemaRefs>
    <ds:schemaRef ds:uri="http://schemas.microsoft.com/sharepoint/v3/contenttype/forms"/>
  </ds:schemaRefs>
</ds:datastoreItem>
</file>

<file path=customXml/itemProps7.xml><?xml version="1.0" encoding="utf-8"?>
<ds:datastoreItem xmlns:ds="http://schemas.openxmlformats.org/officeDocument/2006/customXml" ds:itemID="{E9715D5D-5F69-4890-ABC6-C0DDD8810875}">
  <ds:schemaRefs>
    <ds:schemaRef ds:uri="http://schemas.openxmlformats.org/officeDocument/2006/bibliography"/>
  </ds:schemaRefs>
</ds:datastoreItem>
</file>

<file path=customXml/itemProps8.xml><?xml version="1.0" encoding="utf-8"?>
<ds:datastoreItem xmlns:ds="http://schemas.openxmlformats.org/officeDocument/2006/customXml" ds:itemID="{0797EA3C-52BC-41C4-BD12-E65A83137352}"/>
</file>

<file path=customXml/itemProps9.xml><?xml version="1.0" encoding="utf-8"?>
<ds:datastoreItem xmlns:ds="http://schemas.openxmlformats.org/officeDocument/2006/customXml" ds:itemID="{C51D8A8F-8DF9-400E-8E67-7ABABBFB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19</Pages>
  <Words>3148</Words>
  <Characters>17944</Characters>
  <Application>Microsoft Office Word</Application>
  <DocSecurity>0</DocSecurity>
  <Lines>149</Lines>
  <Paragraphs>42</Paragraphs>
  <ScaleCrop>false</ScaleCrop>
  <Company>Inter-American Development Bank</Company>
  <LinksUpToDate>false</LinksUpToDate>
  <CharactersWithSpaces>21050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CO-L1217-Matriz_de_Resultados POD</dc:title>
  <dc:subject/>
  <dc:creator>TeodoroZ</dc:creator>
  <cp:keywords/>
  <dc:description/>
  <cp:lastModifiedBy>Seminario, Ana Cecilia</cp:lastModifiedBy>
  <cp:revision>166</cp:revision>
  <cp:lastPrinted>2013-12-03T02:23:00Z</cp:lastPrinted>
  <dcterms:created xsi:type="dcterms:W3CDTF">2018-12-12T21:07:00Z</dcterms:created>
  <dcterms:modified xsi:type="dcterms:W3CDTF">2019-04-25T15:30:00Z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-1;#Unclassified|a6dff32e-d477-44cd-a56b-85efe9e0a56c</vt:lpwstr>
  </property>
  <property fmtid="{D5CDD505-2E9C-101B-9397-08002B2CF9AE}" pid="7" name="Sub-Sector">
    <vt:lpwstr>178;#ENERGY INSTITUTIONAL STRENGTHENING AND CAPACITY BUILDING|83f37b93-89a4-4e9a-88eb-1c116bee7b97</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-1;#Unclassified|a6dff32e-d477-44cd-a56b-85efe9e0a56c</vt:lpwstr>
  </property>
  <property fmtid="{D5CDD505-2E9C-101B-9397-08002B2CF9AE}" pid="11" name="Webtopic">
    <vt:lpwstr/>
  </property>
  <property fmtid="{D5CDD505-2E9C-101B-9397-08002B2CF9AE}" pid="12" name="Sector IDB">
    <vt:lpwstr/>
  </property>
  <property fmtid="{D5CDD505-2E9C-101B-9397-08002B2CF9AE}" pid="13" name="Function Operations IDB">
    <vt:lpwstr>-1;#IDBDocs|cca77002-e150-4b2d-ab1f-1d7a7cdcae16</vt:lpwstr>
  </property>
  <property fmtid="{D5CDD505-2E9C-101B-9397-08002B2CF9AE}" pid="14" name="Publication_x0020_Type">
    <vt:lpwstr/>
  </property>
  <property fmtid="{D5CDD505-2E9C-101B-9397-08002B2CF9AE}" pid="15" name="Publishing_x0020_House">
    <vt:lpwstr/>
  </property>
  <property fmtid="{D5CDD505-2E9C-101B-9397-08002B2CF9AE}" pid="16" name="Abstract">
    <vt:lpwstr/>
  </property>
  <property fmtid="{D5CDD505-2E9C-101B-9397-08002B2CF9AE}" pid="17" name="Disclosure Activity">
    <vt:lpwstr/>
  </property>
  <property fmtid="{D5CDD505-2E9C-101B-9397-08002B2CF9AE}" pid="18" name="Function_x0020_Operations_x0020_IDB">
    <vt:lpwstr>-1;#IDBDocs|cca77002-e150-4b2d-ab1f-1d7a7cdcae16</vt:lpwstr>
  </property>
  <property fmtid="{D5CDD505-2E9C-101B-9397-08002B2CF9AE}" pid="19" name="Region">
    <vt:lpwstr/>
  </property>
  <property fmtid="{D5CDD505-2E9C-101B-9397-08002B2CF9AE}" pid="20" name="Disclosure_x0020_Activity">
    <vt:lpwstr/>
  </property>
  <property fmtid="{D5CDD505-2E9C-101B-9397-08002B2CF9AE}" pid="21" name="Fund_x0020_IDB">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Sector_x0020_IDB">
    <vt:lpwstr/>
  </property>
  <property fmtid="{D5CDD505-2E9C-101B-9397-08002B2CF9AE}" pid="28" name="Publication Type">
    <vt:lpwstr/>
  </property>
  <property fmtid="{D5CDD505-2E9C-101B-9397-08002B2CF9AE}" pid="29" name="_dlc_DocIdItemGuid">
    <vt:lpwstr>b87a12e7-d2e7-41d8-87cc-d2f700e14e68</vt:lpwstr>
  </property>
  <property fmtid="{D5CDD505-2E9C-101B-9397-08002B2CF9AE}" pid="30" name="AuthorIds_UIVersion_6">
    <vt:lpwstr>1186</vt:lpwstr>
  </property>
  <property fmtid="{D5CDD505-2E9C-101B-9397-08002B2CF9AE}" pid="31" name="AuthorIds_UIVersion_8">
    <vt:lpwstr>207</vt:lpwstr>
  </property>
  <property fmtid="{D5CDD505-2E9C-101B-9397-08002B2CF9AE}" pid="32" name="AuthorIds_UIVersion_23">
    <vt:lpwstr>207</vt:lpwstr>
  </property>
  <property fmtid="{D5CDD505-2E9C-101B-9397-08002B2CF9AE}" pid="33" name="ContentTypeId">
    <vt:lpwstr>0x0101001A458A224826124E8B45B1D613300CFC0013747F26F6C93F4EA513C0E2139DAFE2</vt:lpwstr>
  </property>
</Properties>
</file>