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DA" w:rsidRPr="00D573DA" w:rsidRDefault="00D573DA" w:rsidP="00D573DA">
      <w:pPr>
        <w:pStyle w:val="Paragraph"/>
        <w:numPr>
          <w:ilvl w:val="0"/>
          <w:numId w:val="0"/>
        </w:numPr>
        <w:shd w:val="clear" w:color="auto" w:fill="FFFFFF" w:themeFill="background1"/>
        <w:spacing w:after="0"/>
        <w:ind w:left="720"/>
        <w:jc w:val="center"/>
        <w:rPr>
          <w:b/>
          <w:szCs w:val="22"/>
          <w:lang w:val="en-GB"/>
        </w:rPr>
      </w:pPr>
      <w:r>
        <w:rPr>
          <w:b/>
          <w:szCs w:val="22"/>
          <w:lang w:val="en-GB"/>
        </w:rPr>
        <w:t>Table: Selected E</w:t>
      </w:r>
      <w:r w:rsidRPr="00D573DA">
        <w:rPr>
          <w:b/>
          <w:szCs w:val="22"/>
          <w:lang w:val="en-GB"/>
        </w:rPr>
        <w:t>conomic and</w:t>
      </w:r>
      <w:r>
        <w:rPr>
          <w:b/>
          <w:szCs w:val="22"/>
          <w:lang w:val="en-GB"/>
        </w:rPr>
        <w:t xml:space="preserve"> Fiscal I</w:t>
      </w:r>
      <w:r w:rsidRPr="00D573DA">
        <w:rPr>
          <w:b/>
          <w:szCs w:val="22"/>
          <w:lang w:val="en-GB"/>
        </w:rPr>
        <w:t>ndicators (fiscal years)</w:t>
      </w:r>
    </w:p>
    <w:p w:rsidR="00D573DA" w:rsidRPr="0098273A" w:rsidRDefault="00D573DA" w:rsidP="00D573DA">
      <w:pPr>
        <w:pStyle w:val="Paragraph"/>
        <w:numPr>
          <w:ilvl w:val="0"/>
          <w:numId w:val="0"/>
        </w:numPr>
        <w:shd w:val="clear" w:color="auto" w:fill="FFFFFF" w:themeFill="background1"/>
        <w:spacing w:after="0"/>
        <w:ind w:left="720"/>
        <w:jc w:val="center"/>
        <w:rPr>
          <w:b/>
          <w:sz w:val="22"/>
          <w:szCs w:val="22"/>
          <w:lang w:val="en-GB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0"/>
        <w:gridCol w:w="1251"/>
        <w:gridCol w:w="1252"/>
        <w:gridCol w:w="1252"/>
        <w:gridCol w:w="905"/>
        <w:gridCol w:w="1165"/>
        <w:gridCol w:w="1165"/>
        <w:gridCol w:w="1165"/>
        <w:gridCol w:w="1453"/>
      </w:tblGrid>
      <w:tr w:rsidR="00D573DA" w:rsidRPr="0098273A" w:rsidTr="00D573DA">
        <w:trPr>
          <w:trHeight w:val="207"/>
        </w:trPr>
        <w:tc>
          <w:tcPr>
            <w:tcW w:w="0" w:type="auto"/>
            <w:shd w:val="clear" w:color="auto" w:fill="BFBFBF" w:themeFill="background1" w:themeFillShade="BF"/>
            <w:noWrap/>
            <w:vAlign w:val="center"/>
          </w:tcPr>
          <w:p w:rsidR="00D573DA" w:rsidRPr="0098273A" w:rsidRDefault="00D573DA" w:rsidP="00902B29">
            <w:pPr>
              <w:tabs>
                <w:tab w:val="left" w:pos="1440"/>
                <w:tab w:val="left" w:pos="3060"/>
              </w:tabs>
              <w:jc w:val="both"/>
              <w:rPr>
                <w:color w:val="000000"/>
                <w:sz w:val="4"/>
                <w:szCs w:val="4"/>
                <w:lang w:val="en-GB"/>
              </w:rPr>
            </w:pPr>
          </w:p>
        </w:tc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87"/>
              <w:jc w:val="both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05/06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96"/>
              <w:jc w:val="both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06/07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93"/>
              <w:jc w:val="both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07/08</w:t>
            </w:r>
          </w:p>
        </w:tc>
        <w:tc>
          <w:tcPr>
            <w:tcW w:w="861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139" w:right="-81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08/09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101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09/10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123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10/11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100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11/12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:rsidR="00D573DA" w:rsidRPr="0098273A" w:rsidRDefault="00D573DA" w:rsidP="00902B29">
            <w:pPr>
              <w:ind w:left="-134" w:right="-90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12/13*</w:t>
            </w:r>
          </w:p>
        </w:tc>
      </w:tr>
      <w:tr w:rsidR="00D573DA" w:rsidRPr="0098273A" w:rsidTr="00D573DA">
        <w:trPr>
          <w:trHeight w:val="24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Nominal GDP (J$ billion)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714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815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923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1037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1,071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1,172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1,260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1,336</w:t>
            </w:r>
          </w:p>
        </w:tc>
      </w:tr>
      <w:tr w:rsidR="00D573DA" w:rsidRPr="0098273A" w:rsidTr="00D573DA">
        <w:trPr>
          <w:trHeight w:val="25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Real GDP growth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1.2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3.2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0.6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-1.7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-3.5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-0.6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0.9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-0.7</w:t>
            </w:r>
          </w:p>
        </w:tc>
      </w:tr>
      <w:tr w:rsidR="00D573DA" w:rsidRPr="0098273A" w:rsidTr="00D573DA">
        <w:trPr>
          <w:trHeight w:val="25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Exchange rate (average, J$/US$)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63.2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66.3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69.7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76.3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88.9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90.6</w:t>
            </w:r>
          </w:p>
        </w:tc>
      </w:tr>
      <w:tr w:rsidR="00D573DA" w:rsidRPr="0098273A" w:rsidTr="00D573DA">
        <w:trPr>
          <w:trHeight w:val="160"/>
        </w:trPr>
        <w:tc>
          <w:tcPr>
            <w:tcW w:w="12348" w:type="dxa"/>
            <w:gridSpan w:val="9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         </w:t>
            </w:r>
            <w:r w:rsidRPr="0098273A">
              <w:rPr>
                <w:bCs/>
                <w:color w:val="000000"/>
                <w:sz w:val="18"/>
                <w:szCs w:val="18"/>
                <w:lang w:val="en-GB"/>
              </w:rPr>
              <w:t>As percent of GDP</w:t>
            </w:r>
          </w:p>
        </w:tc>
      </w:tr>
      <w:tr w:rsidR="00D573DA" w:rsidRPr="0098273A" w:rsidTr="00D573DA">
        <w:trPr>
          <w:trHeight w:val="196"/>
        </w:trPr>
        <w:tc>
          <w:tcPr>
            <w:tcW w:w="0" w:type="auto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Total revenue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26.1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25.9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27.3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26.9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26.8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25.6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25.8</w:t>
            </w:r>
          </w:p>
        </w:tc>
      </w:tr>
      <w:tr w:rsidR="00D573DA" w:rsidRPr="0098273A" w:rsidTr="00D573DA">
        <w:trPr>
          <w:trHeight w:val="261"/>
        </w:trPr>
        <w:tc>
          <w:tcPr>
            <w:tcW w:w="0" w:type="auto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   Tax revenue</w:t>
            </w:r>
          </w:p>
        </w:tc>
        <w:tc>
          <w:tcPr>
            <w:tcW w:w="1190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23.2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23.6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24.3</w:t>
            </w:r>
          </w:p>
        </w:tc>
        <w:tc>
          <w:tcPr>
            <w:tcW w:w="86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24.4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24.1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23.9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23.1</w:t>
            </w:r>
          </w:p>
        </w:tc>
        <w:tc>
          <w:tcPr>
            <w:tcW w:w="1383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24</w:t>
            </w:r>
          </w:p>
        </w:tc>
      </w:tr>
      <w:tr w:rsidR="00D573DA" w:rsidRPr="0098273A" w:rsidTr="00D573DA">
        <w:trPr>
          <w:trHeight w:val="270"/>
        </w:trPr>
        <w:tc>
          <w:tcPr>
            <w:tcW w:w="0" w:type="auto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   Non-tax revenue and grants</w:t>
            </w:r>
          </w:p>
        </w:tc>
        <w:tc>
          <w:tcPr>
            <w:tcW w:w="1190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2.9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2.3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86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2.5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2.9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2.9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2.5</w:t>
            </w:r>
          </w:p>
        </w:tc>
        <w:tc>
          <w:tcPr>
            <w:tcW w:w="1383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1.8</w:t>
            </w:r>
          </w:p>
        </w:tc>
      </w:tr>
      <w:tr w:rsidR="00D573DA" w:rsidRPr="0098273A" w:rsidTr="00D573DA">
        <w:trPr>
          <w:trHeight w:val="180"/>
        </w:trPr>
        <w:tc>
          <w:tcPr>
            <w:tcW w:w="0" w:type="auto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Total expenditure  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29.5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30.7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31.0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34.3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37.9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33.2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29.9</w:t>
            </w:r>
          </w:p>
        </w:tc>
      </w:tr>
      <w:tr w:rsidR="00D573DA" w:rsidRPr="0098273A" w:rsidTr="00D573DA">
        <w:trPr>
          <w:trHeight w:val="243"/>
        </w:trPr>
        <w:tc>
          <w:tcPr>
            <w:tcW w:w="0" w:type="auto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   Current expenditure</w:t>
            </w:r>
          </w:p>
        </w:tc>
        <w:tc>
          <w:tcPr>
            <w:tcW w:w="1190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27.8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27.4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27.9</w:t>
            </w:r>
          </w:p>
        </w:tc>
        <w:tc>
          <w:tcPr>
            <w:tcW w:w="86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30.3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34.8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28.5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27.8</w:t>
            </w:r>
          </w:p>
        </w:tc>
        <w:tc>
          <w:tcPr>
            <w:tcW w:w="1383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27.1</w:t>
            </w:r>
          </w:p>
        </w:tc>
      </w:tr>
      <w:tr w:rsidR="00D573DA" w:rsidRPr="0098273A" w:rsidTr="00D573DA">
        <w:trPr>
          <w:trHeight w:val="270"/>
        </w:trPr>
        <w:tc>
          <w:tcPr>
            <w:tcW w:w="0" w:type="auto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     </w:t>
            </w:r>
            <w:r w:rsidRPr="0098273A">
              <w:rPr>
                <w:i/>
                <w:iCs/>
                <w:color w:val="000000"/>
                <w:sz w:val="18"/>
                <w:szCs w:val="18"/>
                <w:lang w:val="en-GB"/>
              </w:rPr>
              <w:t>of which: interest payments</w:t>
            </w:r>
          </w:p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i/>
                <w:iCs/>
                <w:color w:val="000000"/>
                <w:sz w:val="18"/>
                <w:szCs w:val="18"/>
                <w:lang w:val="en-GB"/>
              </w:rPr>
              <w:t xml:space="preserve">                        wage and salaries</w:t>
            </w:r>
          </w:p>
        </w:tc>
        <w:tc>
          <w:tcPr>
            <w:tcW w:w="1190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13.2</w:t>
            </w:r>
          </w:p>
          <w:p w:rsidR="00D573DA" w:rsidRPr="0098273A" w:rsidRDefault="00D573DA" w:rsidP="00902B29">
            <w:pPr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8.8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11.9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9.7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11.6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9.3</w:t>
            </w:r>
          </w:p>
        </w:tc>
        <w:tc>
          <w:tcPr>
            <w:tcW w:w="86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12.3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10.8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17.1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11.8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10.9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10.9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9.6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11.1</w:t>
            </w:r>
          </w:p>
        </w:tc>
        <w:tc>
          <w:tcPr>
            <w:tcW w:w="1383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9.5</w:t>
            </w:r>
          </w:p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11.0</w:t>
            </w:r>
          </w:p>
        </w:tc>
      </w:tr>
      <w:tr w:rsidR="00D573DA" w:rsidRPr="0098273A" w:rsidTr="00D573DA">
        <w:trPr>
          <w:trHeight w:val="180"/>
        </w:trPr>
        <w:tc>
          <w:tcPr>
            <w:tcW w:w="0" w:type="auto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 xml:space="preserve">      Capital expenditure</w:t>
            </w:r>
          </w:p>
        </w:tc>
        <w:tc>
          <w:tcPr>
            <w:tcW w:w="1190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1.7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3.3</w:t>
            </w:r>
          </w:p>
        </w:tc>
        <w:tc>
          <w:tcPr>
            <w:tcW w:w="119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3.1</w:t>
            </w:r>
          </w:p>
        </w:tc>
        <w:tc>
          <w:tcPr>
            <w:tcW w:w="861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3.1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4.7</w:t>
            </w:r>
          </w:p>
        </w:tc>
        <w:tc>
          <w:tcPr>
            <w:tcW w:w="1109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4.2</w:t>
            </w:r>
          </w:p>
        </w:tc>
        <w:tc>
          <w:tcPr>
            <w:tcW w:w="1383" w:type="dxa"/>
            <w:shd w:val="clear" w:color="000000" w:fill="C6D9F1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color w:val="000000"/>
                <w:sz w:val="18"/>
                <w:szCs w:val="18"/>
                <w:lang w:val="en-GB"/>
              </w:rPr>
              <w:t>2.8</w:t>
            </w:r>
          </w:p>
        </w:tc>
      </w:tr>
      <w:tr w:rsidR="00D573DA" w:rsidRPr="0098273A" w:rsidTr="00D573DA">
        <w:trPr>
          <w:trHeight w:val="216"/>
        </w:trPr>
        <w:tc>
          <w:tcPr>
            <w:tcW w:w="0" w:type="auto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Budget balance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-3.3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-4.8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-3.8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-7.4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-10.9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-6.3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-6.4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-4.1</w:t>
            </w:r>
          </w:p>
        </w:tc>
      </w:tr>
      <w:tr w:rsidR="00D573DA" w:rsidRPr="0098273A" w:rsidTr="00D573DA">
        <w:trPr>
          <w:trHeight w:val="270"/>
        </w:trPr>
        <w:tc>
          <w:tcPr>
            <w:tcW w:w="0" w:type="auto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Total public sector debt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119.9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116.5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113.5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126.1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139.8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143.2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141.6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146.1</w:t>
            </w:r>
          </w:p>
        </w:tc>
      </w:tr>
      <w:tr w:rsidR="00D573DA" w:rsidRPr="0098273A" w:rsidTr="00D573DA">
        <w:trPr>
          <w:trHeight w:val="2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both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Gross financing needs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23.3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13.6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17.7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19.6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15.1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16.6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3DA" w:rsidRPr="0098273A" w:rsidRDefault="00D573DA" w:rsidP="00902B29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98273A">
              <w:rPr>
                <w:b/>
                <w:bCs/>
                <w:color w:val="000000"/>
                <w:sz w:val="18"/>
                <w:szCs w:val="18"/>
                <w:lang w:val="en-GB"/>
              </w:rPr>
              <w:t>10.9</w:t>
            </w:r>
          </w:p>
        </w:tc>
      </w:tr>
      <w:tr w:rsidR="00D573DA" w:rsidRPr="0098273A" w:rsidTr="00D573DA">
        <w:trPr>
          <w:trHeight w:val="269"/>
        </w:trPr>
        <w:tc>
          <w:tcPr>
            <w:tcW w:w="12348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DA" w:rsidRPr="0098273A" w:rsidRDefault="00D573DA" w:rsidP="00902B29">
            <w:pPr>
              <w:spacing w:after="240"/>
              <w:rPr>
                <w:color w:val="000000"/>
                <w:sz w:val="16"/>
                <w:szCs w:val="16"/>
                <w:lang w:val="en-GB"/>
              </w:rPr>
            </w:pPr>
            <w:r w:rsidRPr="0098273A">
              <w:rPr>
                <w:color w:val="000000"/>
                <w:sz w:val="16"/>
                <w:szCs w:val="16"/>
                <w:lang w:val="en-GB"/>
              </w:rPr>
              <w:t>* Preliminary data. Source: Bank estimates based on IMF, World Economic Outlook (WEO) and Article IV.</w:t>
            </w:r>
          </w:p>
        </w:tc>
      </w:tr>
    </w:tbl>
    <w:p w:rsidR="007648D1" w:rsidRDefault="007648D1"/>
    <w:tbl>
      <w:tblPr>
        <w:tblStyle w:val="TableGrid"/>
        <w:tblW w:w="4679" w:type="pct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2757"/>
        <w:gridCol w:w="4434"/>
      </w:tblGrid>
      <w:tr w:rsidR="00D573DA" w:rsidRPr="000007CB" w:rsidTr="00D573DA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Table:</w:t>
            </w:r>
            <w:r w:rsidRPr="00D573DA">
              <w:rPr>
                <w:b/>
                <w:szCs w:val="20"/>
              </w:rPr>
              <w:t xml:space="preserve"> Revenue Impact of the Tax Reform Proposal</w:t>
            </w:r>
          </w:p>
          <w:p w:rsidR="00D573DA" w:rsidRPr="000007CB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D573DA" w:rsidRPr="00D8497D" w:rsidTr="00D573DA">
        <w:trPr>
          <w:trHeight w:val="116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Categories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Net Impact (JD$)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ind w:left="-106" w:right="-162"/>
              <w:jc w:val="center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Percent of GDP</w:t>
            </w:r>
          </w:p>
        </w:tc>
      </w:tr>
      <w:tr w:rsidR="00D573DA" w:rsidRPr="00D8497D" w:rsidTr="00D573DA">
        <w:trPr>
          <w:trHeight w:val="215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Charities Act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188.06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0.01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Tax Incentives Law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2,315.93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0.18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CIT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3,681.02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0.29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PIT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319.21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0.03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GCT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3,629.49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0.29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Tariff Reform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-590.99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-0.04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Special Consumption Tax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1,493.02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0.12</w:t>
            </w:r>
          </w:p>
        </w:tc>
      </w:tr>
      <w:tr w:rsidR="00D573DA" w:rsidRPr="00D8497D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Customs User Fee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1,347.59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18"/>
              </w:rPr>
            </w:pPr>
            <w:r w:rsidRPr="00D573DA">
              <w:rPr>
                <w:sz w:val="20"/>
                <w:szCs w:val="18"/>
              </w:rPr>
              <w:t>0.11</w:t>
            </w:r>
          </w:p>
        </w:tc>
      </w:tr>
      <w:tr w:rsidR="00D573DA" w:rsidRPr="000007CB" w:rsidTr="00D573DA"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Total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right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12,453.33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DA" w:rsidRPr="00D573DA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sz w:val="20"/>
                <w:szCs w:val="18"/>
              </w:rPr>
            </w:pPr>
            <w:r w:rsidRPr="00D573DA">
              <w:rPr>
                <w:b/>
                <w:sz w:val="20"/>
                <w:szCs w:val="18"/>
              </w:rPr>
              <w:t>0.99</w:t>
            </w:r>
          </w:p>
        </w:tc>
      </w:tr>
      <w:tr w:rsidR="00D573DA" w:rsidRPr="00D8497D" w:rsidTr="00D573DA">
        <w:trPr>
          <w:trHeight w:val="233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D573DA" w:rsidRPr="00D8497D" w:rsidRDefault="00D573DA" w:rsidP="00902B29">
            <w:pPr>
              <w:pStyle w:val="ListBullet0"/>
              <w:keepNext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D8497D">
              <w:rPr>
                <w:sz w:val="18"/>
                <w:szCs w:val="18"/>
              </w:rPr>
              <w:t>Source:  IDB staff calculations</w:t>
            </w:r>
          </w:p>
        </w:tc>
      </w:tr>
    </w:tbl>
    <w:p w:rsidR="005E3B77" w:rsidRDefault="005E3B77"/>
    <w:p w:rsidR="005E3B77" w:rsidRDefault="005E3B77">
      <w:pPr>
        <w:spacing w:after="200" w:line="276" w:lineRule="auto"/>
      </w:pPr>
      <w:r>
        <w:br w:type="page"/>
      </w:r>
    </w:p>
    <w:p w:rsidR="005E3B77" w:rsidRPr="005E3B77" w:rsidRDefault="005E3B77" w:rsidP="005E3B77">
      <w:pPr>
        <w:pStyle w:val="Paragraph"/>
        <w:numPr>
          <w:ilvl w:val="0"/>
          <w:numId w:val="0"/>
        </w:numPr>
        <w:shd w:val="clear" w:color="auto" w:fill="FFFFFF" w:themeFill="background1"/>
        <w:ind w:left="720"/>
        <w:jc w:val="center"/>
        <w:rPr>
          <w:b/>
          <w:szCs w:val="22"/>
          <w:lang w:val="en-GB"/>
        </w:rPr>
      </w:pPr>
      <w:r w:rsidRPr="005E3B77">
        <w:rPr>
          <w:b/>
          <w:szCs w:val="22"/>
          <w:lang w:val="en-GB"/>
        </w:rPr>
        <w:lastRenderedPageBreak/>
        <w:t xml:space="preserve">Table: </w:t>
      </w:r>
      <w:r w:rsidRPr="005E3B77">
        <w:rPr>
          <w:b/>
          <w:szCs w:val="22"/>
          <w:lang w:val="en-GB"/>
        </w:rPr>
        <w:t>Tax Expenditures in selected countries (as percent of GDP 2006-09)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1710"/>
        <w:gridCol w:w="1517"/>
        <w:gridCol w:w="1517"/>
        <w:gridCol w:w="1517"/>
        <w:gridCol w:w="1517"/>
        <w:gridCol w:w="1517"/>
        <w:gridCol w:w="1517"/>
        <w:gridCol w:w="1518"/>
      </w:tblGrid>
      <w:tr w:rsidR="005E3B77" w:rsidRPr="0098273A" w:rsidTr="005E3B77">
        <w:tc>
          <w:tcPr>
            <w:tcW w:w="1710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Jamaica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center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7.1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Canada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righ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6.5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Barbados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5.6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ind w:right="-108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United States</w:t>
            </w:r>
          </w:p>
        </w:tc>
        <w:tc>
          <w:tcPr>
            <w:tcW w:w="1518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3.4</w:t>
            </w:r>
          </w:p>
        </w:tc>
      </w:tr>
      <w:tr w:rsidR="005E3B77" w:rsidRPr="0098273A" w:rsidTr="005E3B77">
        <w:trPr>
          <w:trHeight w:val="323"/>
        </w:trPr>
        <w:tc>
          <w:tcPr>
            <w:tcW w:w="1710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United Kingdom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center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4.0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Spain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righ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3.4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Korea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1.7</w:t>
            </w:r>
          </w:p>
        </w:tc>
        <w:tc>
          <w:tcPr>
            <w:tcW w:w="1517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Germany</w:t>
            </w:r>
          </w:p>
        </w:tc>
        <w:tc>
          <w:tcPr>
            <w:tcW w:w="1518" w:type="dxa"/>
            <w:vAlign w:val="center"/>
          </w:tcPr>
          <w:p w:rsidR="005E3B77" w:rsidRPr="0098273A" w:rsidRDefault="005E3B77" w:rsidP="00902B29">
            <w:pPr>
              <w:pStyle w:val="SubSubPar"/>
              <w:numPr>
                <w:ilvl w:val="0"/>
                <w:numId w:val="0"/>
              </w:numPr>
              <w:tabs>
                <w:tab w:val="clear" w:pos="0"/>
              </w:tabs>
              <w:spacing w:before="0" w:after="0"/>
              <w:jc w:val="left"/>
              <w:rPr>
                <w:sz w:val="20"/>
                <w:lang w:val="en-GB"/>
              </w:rPr>
            </w:pPr>
            <w:r w:rsidRPr="0098273A">
              <w:rPr>
                <w:sz w:val="20"/>
                <w:lang w:val="en-GB"/>
              </w:rPr>
              <w:t>0.3</w:t>
            </w:r>
          </w:p>
        </w:tc>
      </w:tr>
    </w:tbl>
    <w:p w:rsidR="005E3B77" w:rsidRPr="0098273A" w:rsidRDefault="005E3B77" w:rsidP="005E3B77">
      <w:pPr>
        <w:ind w:firstLine="720"/>
        <w:rPr>
          <w:sz w:val="18"/>
          <w:szCs w:val="18"/>
          <w:lang w:val="en-GB"/>
        </w:rPr>
      </w:pPr>
      <w:r w:rsidRPr="0098273A">
        <w:rPr>
          <w:sz w:val="18"/>
          <w:szCs w:val="18"/>
          <w:lang w:val="en-GB"/>
        </w:rPr>
        <w:t>Source: OECD Tax Expenditures Report 2010; Jamaica Incentive and Waivers Assessment (IADB 2012)</w:t>
      </w:r>
    </w:p>
    <w:p w:rsidR="00D573DA" w:rsidRPr="005E3B77" w:rsidRDefault="00D573DA">
      <w:pPr>
        <w:rPr>
          <w:lang w:val="en-GB"/>
        </w:rPr>
      </w:pPr>
      <w:bookmarkStart w:id="0" w:name="_GoBack"/>
      <w:bookmarkEnd w:id="0"/>
    </w:p>
    <w:sectPr w:rsidR="00D573DA" w:rsidRPr="005E3B77" w:rsidSect="00D573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Tahoma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C6442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>
    <w:nsid w:val="56350218"/>
    <w:multiLevelType w:val="multilevel"/>
    <w:tmpl w:val="45C629F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3DA"/>
    <w:rsid w:val="000516B9"/>
    <w:rsid w:val="002345F1"/>
    <w:rsid w:val="002E6C02"/>
    <w:rsid w:val="0033169D"/>
    <w:rsid w:val="0049172A"/>
    <w:rsid w:val="00515EEF"/>
    <w:rsid w:val="005339A9"/>
    <w:rsid w:val="00593983"/>
    <w:rsid w:val="005D05F5"/>
    <w:rsid w:val="005E3B77"/>
    <w:rsid w:val="0061405D"/>
    <w:rsid w:val="007355B3"/>
    <w:rsid w:val="007648D1"/>
    <w:rsid w:val="00874733"/>
    <w:rsid w:val="00A563F3"/>
    <w:rsid w:val="00A96045"/>
    <w:rsid w:val="00AF39F7"/>
    <w:rsid w:val="00B26533"/>
    <w:rsid w:val="00B3111A"/>
    <w:rsid w:val="00B53D88"/>
    <w:rsid w:val="00C90B54"/>
    <w:rsid w:val="00C9499C"/>
    <w:rsid w:val="00D573DA"/>
    <w:rsid w:val="00DC23E2"/>
    <w:rsid w:val="00E21973"/>
    <w:rsid w:val="00E56C92"/>
    <w:rsid w:val="00E6541C"/>
    <w:rsid w:val="00E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D573DA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aliases w:val="p,PARAGRAPH,PG,pa,at,paragraph"/>
    <w:basedOn w:val="BodyTextIndent"/>
    <w:link w:val="ParagraphChar"/>
    <w:rsid w:val="00D573DA"/>
    <w:pPr>
      <w:numPr>
        <w:ilvl w:val="1"/>
        <w:numId w:val="1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D573DA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D573D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rsid w:val="00D573DA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573D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73DA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573D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573DA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rsid w:val="00D573D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aliases w:val="List Bullet Char1,List Bullet Char Char,List Bullet Char"/>
    <w:basedOn w:val="Normal"/>
    <w:uiPriority w:val="99"/>
    <w:qFormat/>
    <w:rsid w:val="00D573DA"/>
    <w:pPr>
      <w:numPr>
        <w:numId w:val="2"/>
      </w:numPr>
      <w:spacing w:after="240" w:line="300" w:lineRule="exact"/>
    </w:pPr>
    <w:rPr>
      <w:rFonts w:ascii="Segoe UI" w:eastAsia="MS Mincho" w:hAnsi="Segoe UI"/>
      <w:sz w:val="21"/>
      <w:szCs w:val="24"/>
    </w:rPr>
  </w:style>
  <w:style w:type="paragraph" w:customStyle="1" w:styleId="ListBullet0">
    <w:name w:val="#List Bullet"/>
    <w:basedOn w:val="ListBullet"/>
    <w:link w:val="ListBulletChar"/>
    <w:qFormat/>
    <w:rsid w:val="00D573DA"/>
    <w:pPr>
      <w:tabs>
        <w:tab w:val="clear" w:pos="720"/>
      </w:tabs>
      <w:spacing w:after="120" w:line="240" w:lineRule="auto"/>
      <w:ind w:left="1080" w:hanging="360"/>
      <w:jc w:val="both"/>
    </w:pPr>
    <w:rPr>
      <w:rFonts w:ascii="Times New Roman" w:eastAsia="Times New Roman" w:hAnsi="Times New Roman"/>
      <w:sz w:val="24"/>
    </w:rPr>
  </w:style>
  <w:style w:type="character" w:customStyle="1" w:styleId="ListBulletChar">
    <w:name w:val="#List Bullet Char"/>
    <w:basedOn w:val="DefaultParagraphFont"/>
    <w:link w:val="ListBullet0"/>
    <w:rsid w:val="00D573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D573DA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aliases w:val="p,PARAGRAPH,PG,pa,at,paragraph"/>
    <w:basedOn w:val="BodyTextIndent"/>
    <w:link w:val="ParagraphChar"/>
    <w:rsid w:val="00D573DA"/>
    <w:pPr>
      <w:numPr>
        <w:ilvl w:val="1"/>
        <w:numId w:val="1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D573DA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D573D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rsid w:val="00D573DA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573D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73DA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573D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573DA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rsid w:val="00D573D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aliases w:val="List Bullet Char1,List Bullet Char Char,List Bullet Char"/>
    <w:basedOn w:val="Normal"/>
    <w:uiPriority w:val="99"/>
    <w:qFormat/>
    <w:rsid w:val="00D573DA"/>
    <w:pPr>
      <w:numPr>
        <w:numId w:val="2"/>
      </w:numPr>
      <w:spacing w:after="240" w:line="300" w:lineRule="exact"/>
    </w:pPr>
    <w:rPr>
      <w:rFonts w:ascii="Segoe UI" w:eastAsia="MS Mincho" w:hAnsi="Segoe UI"/>
      <w:sz w:val="21"/>
      <w:szCs w:val="24"/>
    </w:rPr>
  </w:style>
  <w:style w:type="paragraph" w:customStyle="1" w:styleId="ListBullet0">
    <w:name w:val="#List Bullet"/>
    <w:basedOn w:val="ListBullet"/>
    <w:link w:val="ListBulletChar"/>
    <w:qFormat/>
    <w:rsid w:val="00D573DA"/>
    <w:pPr>
      <w:tabs>
        <w:tab w:val="clear" w:pos="720"/>
      </w:tabs>
      <w:spacing w:after="120" w:line="240" w:lineRule="auto"/>
      <w:ind w:left="1080" w:hanging="360"/>
      <w:jc w:val="both"/>
    </w:pPr>
    <w:rPr>
      <w:rFonts w:ascii="Times New Roman" w:eastAsia="Times New Roman" w:hAnsi="Times New Roman"/>
      <w:sz w:val="24"/>
    </w:rPr>
  </w:style>
  <w:style w:type="character" w:customStyle="1" w:styleId="ListBulletChar">
    <w:name w:val="#List Bullet Char"/>
    <w:basedOn w:val="DefaultParagraphFont"/>
    <w:link w:val="ListBullet0"/>
    <w:rsid w:val="00D573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38248184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3148/OC-JA</Approval_x0020_Number>
    <Document_x0020_Author xmlns="cdc7663a-08f0-4737-9e8c-148ce897a09c">Reyes-Tagle, Gerardo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JA-L1038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>R0002761216</Record_x0020_Number>
    <Document_x0020_Language_x0020_IDB xmlns="cdc7663a-08f0-4737-9e8c-148ce897a09c">English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EZSHARE-66712852-62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https://idbg.sharepoint.com/teams/EZ-JA-LON/JA-L1038/_layouts/15/DocIdRedir.aspx?ID=EZSHARE-66712852-62</Url>
      <Description>EZSHARE-66712852-62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C88958106DCDC4E8876C95A6A2A7BDF" ma:contentTypeVersion="423" ma:contentTypeDescription="The base project type from which other project content types inherit their information." ma:contentTypeScope="" ma:versionID="205e280b7470d059edf1a62ae0b8805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2613F516-1132-48BC-8664-8F75273368F1}"/>
</file>

<file path=customXml/itemProps2.xml><?xml version="1.0" encoding="utf-8"?>
<ds:datastoreItem xmlns:ds="http://schemas.openxmlformats.org/officeDocument/2006/customXml" ds:itemID="{DAD0AADE-0BC5-4445-9D24-7DAE0AEA2C44}"/>
</file>

<file path=customXml/itemProps3.xml><?xml version="1.0" encoding="utf-8"?>
<ds:datastoreItem xmlns:ds="http://schemas.openxmlformats.org/officeDocument/2006/customXml" ds:itemID="{510207F1-F007-4AC5-A17E-996B87277006}"/>
</file>

<file path=customXml/itemProps4.xml><?xml version="1.0" encoding="utf-8"?>
<ds:datastoreItem xmlns:ds="http://schemas.openxmlformats.org/officeDocument/2006/customXml" ds:itemID="{340011EA-BFF9-4B8A-A8EB-540863CF2989}"/>
</file>

<file path=customXml/itemProps5.xml><?xml version="1.0" encoding="utf-8"?>
<ds:datastoreItem xmlns:ds="http://schemas.openxmlformats.org/officeDocument/2006/customXml" ds:itemID="{49D3CE8B-875D-454D-B806-2D84CBF42A94}"/>
</file>

<file path=customXml/itemProps6.xml><?xml version="1.0" encoding="utf-8"?>
<ds:datastoreItem xmlns:ds="http://schemas.openxmlformats.org/officeDocument/2006/customXml" ds:itemID="{F7450CB6-9046-4B4D-B969-7A7D7AECCA68}"/>
</file>

<file path=customXml/itemProps7.xml><?xml version="1.0" encoding="utf-8"?>
<ds:datastoreItem xmlns:ds="http://schemas.openxmlformats.org/officeDocument/2006/customXml" ds:itemID="{F632085F-630A-4B8D-A61C-942B352AE0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Data Tables</dc:title>
  <dc:subject/>
  <dc:creator>marinam</dc:creator>
  <cp:keywords/>
  <dc:description/>
  <cp:lastModifiedBy>marinam</cp:lastModifiedBy>
  <cp:revision>2</cp:revision>
  <dcterms:created xsi:type="dcterms:W3CDTF">2013-11-20T21:16:00Z</dcterms:created>
  <dcterms:modified xsi:type="dcterms:W3CDTF">2013-11-20T21:36:00Z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0x010100ACF722E9F6B0B149B0CD8BE2560A6672007C88958106DCDC4E8876C95A6A2A7BDF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6200</vt:r8>
  </property>
  <property fmtid="{D5CDD505-2E9C-101B-9397-08002B2CF9AE}" pid="18" name="Disclosure Activity">
    <vt:lpwstr>Loan Proposal</vt:lpwstr>
  </property>
  <property fmtid="{D5CDD505-2E9C-101B-9397-08002B2CF9AE}" pid="22" name="Webtopic">
    <vt:lpwstr>Fiscal Issues and Public Finance</vt:lpwstr>
  </property>
  <property fmtid="{D5CDD505-2E9C-101B-9397-08002B2CF9AE}" pid="24" name="Disclosed">
    <vt:bool>true</vt:bool>
  </property>
  <property fmtid="{D5CDD505-2E9C-101B-9397-08002B2CF9AE}" pid="28" name="_dlc_DocIdItemGuid">
    <vt:lpwstr>fd0a1b85-8e9f-49d7-ac8a-3377b30d380b</vt:lpwstr>
  </property>
</Properties>
</file>