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9CD" w:rsidRPr="0041524B" w:rsidRDefault="007E4DCB" w:rsidP="00CD651B">
      <w:pPr>
        <w:jc w:val="center"/>
        <w:rPr>
          <w:rFonts w:ascii="Times New Roman" w:hAnsi="Times New Roman" w:cs="Times New Roman"/>
          <w:b/>
          <w:smallCaps/>
          <w:sz w:val="28"/>
          <w:szCs w:val="28"/>
        </w:rPr>
      </w:pPr>
      <w:r w:rsidRPr="0041524B">
        <w:rPr>
          <w:rFonts w:ascii="Times New Roman" w:hAnsi="Times New Roman" w:cs="Times New Roman"/>
          <w:b/>
          <w:smallCaps/>
          <w:sz w:val="28"/>
          <w:szCs w:val="28"/>
        </w:rPr>
        <w:t xml:space="preserve">Seychelles: A </w:t>
      </w:r>
      <w:r w:rsidR="003800CA" w:rsidRPr="0041524B">
        <w:rPr>
          <w:rFonts w:ascii="Times New Roman" w:hAnsi="Times New Roman" w:cs="Times New Roman"/>
          <w:b/>
          <w:smallCaps/>
          <w:sz w:val="28"/>
          <w:szCs w:val="28"/>
        </w:rPr>
        <w:t>Successf</w:t>
      </w:r>
      <w:r w:rsidRPr="0041524B">
        <w:rPr>
          <w:rFonts w:ascii="Times New Roman" w:hAnsi="Times New Roman" w:cs="Times New Roman"/>
          <w:b/>
          <w:smallCaps/>
          <w:sz w:val="28"/>
          <w:szCs w:val="28"/>
        </w:rPr>
        <w:t>ul Fiscal Consolidation Program</w:t>
      </w:r>
      <w:r w:rsidR="003800CA" w:rsidRPr="0041524B">
        <w:rPr>
          <w:rFonts w:ascii="Times New Roman" w:hAnsi="Times New Roman" w:cs="Times New Roman"/>
          <w:b/>
          <w:smallCaps/>
          <w:sz w:val="28"/>
          <w:szCs w:val="28"/>
        </w:rPr>
        <w:t xml:space="preserve"> compatible with the Jamaican case</w:t>
      </w:r>
    </w:p>
    <w:p w:rsidR="00AC2C9F" w:rsidRPr="00CD651B" w:rsidRDefault="003800CA" w:rsidP="00BF49CD">
      <w:pPr>
        <w:jc w:val="both"/>
        <w:rPr>
          <w:rFonts w:ascii="Times New Roman" w:hAnsi="Times New Roman" w:cs="Times New Roman"/>
          <w:b/>
          <w:sz w:val="24"/>
          <w:szCs w:val="24"/>
        </w:rPr>
      </w:pPr>
      <w:r w:rsidRPr="00CD651B">
        <w:rPr>
          <w:rFonts w:ascii="Times New Roman" w:hAnsi="Times New Roman" w:cs="Times New Roman"/>
          <w:b/>
          <w:sz w:val="24"/>
          <w:szCs w:val="24"/>
        </w:rPr>
        <w:t>Seychelles</w:t>
      </w:r>
    </w:p>
    <w:p w:rsidR="003800CA" w:rsidRPr="0041524B" w:rsidRDefault="003800CA" w:rsidP="00D92A4F">
      <w:pPr>
        <w:spacing w:line="240" w:lineRule="auto"/>
        <w:jc w:val="both"/>
        <w:rPr>
          <w:rFonts w:ascii="Times New Roman" w:hAnsi="Times New Roman" w:cs="Times New Roman"/>
          <w:b/>
          <w:sz w:val="24"/>
        </w:rPr>
      </w:pPr>
      <w:r w:rsidRPr="0041524B">
        <w:rPr>
          <w:rFonts w:ascii="Times New Roman" w:hAnsi="Times New Roman" w:cs="Times New Roman"/>
          <w:b/>
          <w:sz w:val="24"/>
        </w:rPr>
        <w:t>Initial situation</w:t>
      </w:r>
    </w:p>
    <w:p w:rsidR="00CD651B" w:rsidRPr="00D92A4F" w:rsidRDefault="003800CA" w:rsidP="00D92A4F">
      <w:pPr>
        <w:spacing w:line="240" w:lineRule="auto"/>
        <w:jc w:val="both"/>
        <w:rPr>
          <w:rFonts w:ascii="Times New Roman" w:hAnsi="Times New Roman" w:cs="Times New Roman"/>
          <w:sz w:val="24"/>
        </w:rPr>
      </w:pPr>
      <w:r w:rsidRPr="00D92A4F">
        <w:rPr>
          <w:rFonts w:ascii="Times New Roman" w:hAnsi="Times New Roman" w:cs="Times New Roman"/>
          <w:sz w:val="24"/>
        </w:rPr>
        <w:t>In the years</w:t>
      </w:r>
      <w:r w:rsidR="00A0070A" w:rsidRPr="00D92A4F">
        <w:rPr>
          <w:rFonts w:ascii="Times New Roman" w:hAnsi="Times New Roman" w:cs="Times New Roman"/>
          <w:sz w:val="24"/>
        </w:rPr>
        <w:t xml:space="preserve"> 2007-08</w:t>
      </w:r>
      <w:r w:rsidRPr="00D92A4F">
        <w:rPr>
          <w:rFonts w:ascii="Times New Roman" w:hAnsi="Times New Roman" w:cs="Times New Roman"/>
          <w:sz w:val="24"/>
        </w:rPr>
        <w:t xml:space="preserve"> Seychelles was in the midst of an acute balance of payments and public debt crisis</w:t>
      </w:r>
      <w:r w:rsidR="00266A80">
        <w:rPr>
          <w:rFonts w:ascii="Times New Roman" w:hAnsi="Times New Roman" w:cs="Times New Roman"/>
          <w:sz w:val="24"/>
        </w:rPr>
        <w:t xml:space="preserve"> (see Table 1)</w:t>
      </w:r>
      <w:r w:rsidRPr="00D92A4F">
        <w:rPr>
          <w:rFonts w:ascii="Times New Roman" w:hAnsi="Times New Roman" w:cs="Times New Roman"/>
          <w:sz w:val="24"/>
        </w:rPr>
        <w:t xml:space="preserve">. Despite step devaluations, the exchange rate was not aligned with economic fundamentals for some years. Competitiveness </w:t>
      </w:r>
      <w:r w:rsidR="00266A80">
        <w:rPr>
          <w:rFonts w:ascii="Times New Roman" w:hAnsi="Times New Roman" w:cs="Times New Roman"/>
          <w:sz w:val="24"/>
        </w:rPr>
        <w:t>was</w:t>
      </w:r>
      <w:r w:rsidRPr="00D92A4F">
        <w:rPr>
          <w:rFonts w:ascii="Times New Roman" w:hAnsi="Times New Roman" w:cs="Times New Roman"/>
          <w:sz w:val="24"/>
        </w:rPr>
        <w:t xml:space="preserve"> undermined by expansionary fiscal and monetary policies inconsistent with the maintenance of the pegged exchange rate regime. External debt rose to unsustainable levels, complex exchange controls and restrictions were progressively introduced and foreign exchange shortages ensued. </w:t>
      </w:r>
    </w:p>
    <w:p w:rsidR="00CD651B" w:rsidRPr="0041524B" w:rsidRDefault="00CD651B" w:rsidP="0041524B">
      <w:pPr>
        <w:spacing w:before="60" w:after="120" w:line="240" w:lineRule="auto"/>
        <w:ind w:right="60"/>
        <w:jc w:val="center"/>
        <w:rPr>
          <w:rFonts w:ascii="Times New Roman" w:eastAsia="Times New Roman" w:hAnsi="Times New Roman" w:cs="Times New Roman"/>
          <w:b/>
        </w:rPr>
      </w:pPr>
      <w:r w:rsidRPr="0041524B">
        <w:rPr>
          <w:rFonts w:ascii="Times New Roman" w:eastAsia="Times New Roman" w:hAnsi="Times New Roman" w:cs="Times New Roman"/>
          <w:b/>
        </w:rPr>
        <w:t>Table 1</w:t>
      </w:r>
      <w:r w:rsidR="0041524B">
        <w:rPr>
          <w:rFonts w:ascii="Times New Roman" w:eastAsia="Times New Roman" w:hAnsi="Times New Roman" w:cs="Times New Roman"/>
          <w:b/>
        </w:rPr>
        <w:t>:</w:t>
      </w:r>
      <w:r w:rsidRPr="0041524B">
        <w:rPr>
          <w:rFonts w:ascii="Times New Roman" w:eastAsia="Times New Roman" w:hAnsi="Times New Roman" w:cs="Times New Roman"/>
          <w:b/>
        </w:rPr>
        <w:t xml:space="preserve"> Seychelles Economic Indicators</w:t>
      </w:r>
    </w:p>
    <w:tbl>
      <w:tblPr>
        <w:tblStyle w:val="TableGrid"/>
        <w:tblW w:w="9558" w:type="dxa"/>
        <w:tblLayout w:type="fixed"/>
        <w:tblLook w:val="04A0" w:firstRow="1" w:lastRow="0" w:firstColumn="1" w:lastColumn="0" w:noHBand="0" w:noVBand="1"/>
      </w:tblPr>
      <w:tblGrid>
        <w:gridCol w:w="4713"/>
        <w:gridCol w:w="1211"/>
        <w:gridCol w:w="1212"/>
        <w:gridCol w:w="1211"/>
        <w:gridCol w:w="1211"/>
      </w:tblGrid>
      <w:tr w:rsidR="009F0457" w:rsidRPr="00C530FE" w:rsidTr="0041524B">
        <w:tc>
          <w:tcPr>
            <w:tcW w:w="4713" w:type="dxa"/>
            <w:shd w:val="clear" w:color="auto" w:fill="DBE5F1" w:themeFill="accent1" w:themeFillTint="33"/>
            <w:hideMark/>
          </w:tcPr>
          <w:p w:rsidR="009F0457" w:rsidRPr="00A0070A" w:rsidRDefault="009F0457" w:rsidP="00A0070A">
            <w:pPr>
              <w:spacing w:after="45"/>
              <w:jc w:val="both"/>
              <w:rPr>
                <w:rFonts w:ascii="Times New Roman" w:eastAsia="Times New Roman" w:hAnsi="Times New Roman" w:cs="Times New Roman"/>
              </w:rPr>
            </w:pPr>
          </w:p>
        </w:tc>
        <w:tc>
          <w:tcPr>
            <w:tcW w:w="1211" w:type="dxa"/>
            <w:shd w:val="clear" w:color="auto" w:fill="DBE5F1" w:themeFill="accent1" w:themeFillTint="33"/>
            <w:hideMark/>
          </w:tcPr>
          <w:p w:rsidR="009F0457" w:rsidRPr="0041524B" w:rsidRDefault="009F0457" w:rsidP="009F0457">
            <w:pPr>
              <w:spacing w:after="45"/>
              <w:jc w:val="center"/>
              <w:rPr>
                <w:rFonts w:ascii="Times New Roman" w:eastAsia="Times New Roman" w:hAnsi="Times New Roman" w:cs="Times New Roman"/>
                <w:b/>
              </w:rPr>
            </w:pPr>
            <w:r w:rsidRPr="0041524B">
              <w:rPr>
                <w:rFonts w:ascii="Times New Roman" w:eastAsia="Times New Roman" w:hAnsi="Times New Roman" w:cs="Times New Roman"/>
                <w:b/>
              </w:rPr>
              <w:t>2005</w:t>
            </w:r>
          </w:p>
        </w:tc>
        <w:tc>
          <w:tcPr>
            <w:tcW w:w="1212" w:type="dxa"/>
            <w:shd w:val="clear" w:color="auto" w:fill="DBE5F1" w:themeFill="accent1" w:themeFillTint="33"/>
            <w:hideMark/>
          </w:tcPr>
          <w:p w:rsidR="009F0457" w:rsidRPr="0041524B" w:rsidRDefault="009F0457" w:rsidP="009F0457">
            <w:pPr>
              <w:spacing w:after="45"/>
              <w:jc w:val="center"/>
              <w:rPr>
                <w:rFonts w:ascii="Times New Roman" w:eastAsia="Times New Roman" w:hAnsi="Times New Roman" w:cs="Times New Roman"/>
                <w:b/>
              </w:rPr>
            </w:pPr>
            <w:r w:rsidRPr="0041524B">
              <w:rPr>
                <w:rFonts w:ascii="Times New Roman" w:eastAsia="Times New Roman" w:hAnsi="Times New Roman" w:cs="Times New Roman"/>
                <w:b/>
              </w:rPr>
              <w:t>2006</w:t>
            </w:r>
          </w:p>
        </w:tc>
        <w:tc>
          <w:tcPr>
            <w:tcW w:w="1211" w:type="dxa"/>
            <w:shd w:val="clear" w:color="auto" w:fill="DBE5F1" w:themeFill="accent1" w:themeFillTint="33"/>
            <w:hideMark/>
          </w:tcPr>
          <w:p w:rsidR="009F0457" w:rsidRPr="0041524B" w:rsidRDefault="009F0457" w:rsidP="009F0457">
            <w:pPr>
              <w:spacing w:after="45"/>
              <w:jc w:val="center"/>
              <w:rPr>
                <w:rFonts w:ascii="Times New Roman" w:eastAsia="Times New Roman" w:hAnsi="Times New Roman" w:cs="Times New Roman"/>
                <w:b/>
              </w:rPr>
            </w:pPr>
            <w:r w:rsidRPr="0041524B">
              <w:rPr>
                <w:rFonts w:ascii="Times New Roman" w:eastAsia="Times New Roman" w:hAnsi="Times New Roman" w:cs="Times New Roman"/>
                <w:b/>
              </w:rPr>
              <w:t>2007</w:t>
            </w:r>
          </w:p>
        </w:tc>
        <w:tc>
          <w:tcPr>
            <w:tcW w:w="1211" w:type="dxa"/>
            <w:shd w:val="clear" w:color="auto" w:fill="DBE5F1" w:themeFill="accent1" w:themeFillTint="33"/>
            <w:hideMark/>
          </w:tcPr>
          <w:p w:rsidR="009F0457" w:rsidRPr="0041524B" w:rsidRDefault="009F0457" w:rsidP="009F0457">
            <w:pPr>
              <w:spacing w:after="45"/>
              <w:jc w:val="center"/>
              <w:rPr>
                <w:rFonts w:ascii="Times New Roman" w:eastAsia="Times New Roman" w:hAnsi="Times New Roman" w:cs="Times New Roman"/>
                <w:b/>
              </w:rPr>
            </w:pPr>
            <w:r w:rsidRPr="0041524B">
              <w:rPr>
                <w:rFonts w:ascii="Times New Roman" w:eastAsia="Times New Roman" w:hAnsi="Times New Roman" w:cs="Times New Roman"/>
                <w:b/>
              </w:rPr>
              <w:t>2008</w:t>
            </w:r>
          </w:p>
        </w:tc>
      </w:tr>
      <w:tr w:rsidR="009F0457" w:rsidRPr="00C530FE" w:rsidTr="00625715">
        <w:tc>
          <w:tcPr>
            <w:tcW w:w="4713" w:type="dxa"/>
            <w:shd w:val="clear" w:color="auto" w:fill="auto"/>
            <w:hideMark/>
          </w:tcPr>
          <w:p w:rsidR="009F0457" w:rsidRPr="00A0070A" w:rsidRDefault="009F0457" w:rsidP="00A0070A">
            <w:pPr>
              <w:spacing w:after="45"/>
              <w:jc w:val="both"/>
              <w:rPr>
                <w:rFonts w:ascii="Times New Roman" w:eastAsia="Times New Roman" w:hAnsi="Times New Roman" w:cs="Times New Roman"/>
              </w:rPr>
            </w:pPr>
            <w:r w:rsidRPr="00A0070A">
              <w:rPr>
                <w:rFonts w:ascii="Times New Roman" w:eastAsia="Times New Roman" w:hAnsi="Times New Roman" w:cs="Times New Roman"/>
              </w:rPr>
              <w:t> </w:t>
            </w:r>
          </w:p>
        </w:tc>
        <w:tc>
          <w:tcPr>
            <w:tcW w:w="4845" w:type="dxa"/>
            <w:gridSpan w:val="4"/>
            <w:shd w:val="clear" w:color="auto" w:fill="auto"/>
            <w:hideMark/>
          </w:tcPr>
          <w:p w:rsidR="009F0457" w:rsidRPr="00A0070A" w:rsidRDefault="009F0457" w:rsidP="0041524B">
            <w:pPr>
              <w:spacing w:after="45"/>
              <w:jc w:val="center"/>
              <w:rPr>
                <w:rFonts w:ascii="Times New Roman" w:eastAsia="Times New Roman" w:hAnsi="Times New Roman" w:cs="Times New Roman"/>
              </w:rPr>
            </w:pPr>
            <w:r w:rsidRPr="00A0070A">
              <w:rPr>
                <w:rFonts w:ascii="Times New Roman" w:eastAsia="Times New Roman" w:hAnsi="Times New Roman" w:cs="Times New Roman"/>
              </w:rPr>
              <w:t xml:space="preserve">(Annual </w:t>
            </w:r>
            <w:r>
              <w:rPr>
                <w:rFonts w:ascii="Times New Roman" w:eastAsia="Times New Roman" w:hAnsi="Times New Roman" w:cs="Times New Roman"/>
              </w:rPr>
              <w:t>%</w:t>
            </w:r>
            <w:r w:rsidRPr="00A0070A">
              <w:rPr>
                <w:rFonts w:ascii="Times New Roman" w:eastAsia="Times New Roman" w:hAnsi="Times New Roman" w:cs="Times New Roman"/>
              </w:rPr>
              <w:t xml:space="preserve"> change, unless indicated)</w:t>
            </w:r>
          </w:p>
        </w:tc>
      </w:tr>
      <w:tr w:rsidR="009F0457" w:rsidRPr="00C530FE" w:rsidTr="0041524B">
        <w:tc>
          <w:tcPr>
            <w:tcW w:w="9558" w:type="dxa"/>
            <w:gridSpan w:val="5"/>
            <w:hideMark/>
          </w:tcPr>
          <w:p w:rsidR="009F0457" w:rsidRPr="009F0457" w:rsidRDefault="009F0457" w:rsidP="009F0457">
            <w:pPr>
              <w:spacing w:before="15" w:after="15"/>
              <w:ind w:left="15" w:right="15"/>
              <w:jc w:val="both"/>
              <w:rPr>
                <w:rFonts w:ascii="Times New Roman" w:eastAsia="Times New Roman" w:hAnsi="Times New Roman" w:cs="Times New Roman"/>
                <w:b/>
              </w:rPr>
            </w:pPr>
            <w:r w:rsidRPr="009F0457">
              <w:rPr>
                <w:rFonts w:ascii="Times New Roman" w:eastAsia="Times New Roman" w:hAnsi="Times New Roman" w:cs="Times New Roman"/>
                <w:b/>
              </w:rPr>
              <w:t>National income and prices</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Nominal GDP (in millions of Seychelles rupees)</w:t>
            </w:r>
          </w:p>
        </w:tc>
        <w:tc>
          <w:tcPr>
            <w:tcW w:w="1211" w:type="dxa"/>
            <w:vAlign w:val="center"/>
            <w:hideMark/>
          </w:tcPr>
          <w:p w:rsidR="009F0457" w:rsidRPr="00A0070A" w:rsidRDefault="009F0457" w:rsidP="0041524B">
            <w:pPr>
              <w:spacing w:after="45"/>
              <w:ind w:right="234"/>
              <w:jc w:val="right"/>
              <w:rPr>
                <w:rFonts w:ascii="Times New Roman" w:eastAsia="Times New Roman" w:hAnsi="Times New Roman" w:cs="Times New Roman"/>
              </w:rPr>
            </w:pPr>
            <w:r w:rsidRPr="00A0070A">
              <w:rPr>
                <w:rFonts w:ascii="Times New Roman" w:eastAsia="Times New Roman" w:hAnsi="Times New Roman" w:cs="Times New Roman"/>
              </w:rPr>
              <w:t>4,861</w:t>
            </w:r>
          </w:p>
        </w:tc>
        <w:tc>
          <w:tcPr>
            <w:tcW w:w="1212" w:type="dxa"/>
            <w:hideMark/>
          </w:tcPr>
          <w:p w:rsidR="009F0457" w:rsidRPr="00A0070A" w:rsidRDefault="009F0457" w:rsidP="009F0457">
            <w:pPr>
              <w:spacing w:after="45"/>
              <w:jc w:val="right"/>
              <w:rPr>
                <w:rFonts w:ascii="Times New Roman" w:eastAsia="Times New Roman" w:hAnsi="Times New Roman" w:cs="Times New Roman"/>
              </w:rPr>
            </w:pPr>
            <w:r w:rsidRPr="00A0070A">
              <w:rPr>
                <w:rFonts w:ascii="Times New Roman" w:eastAsia="Times New Roman" w:hAnsi="Times New Roman" w:cs="Times New Roman"/>
              </w:rPr>
              <w:t>5,342</w:t>
            </w:r>
          </w:p>
        </w:tc>
        <w:tc>
          <w:tcPr>
            <w:tcW w:w="1211" w:type="dxa"/>
            <w:hideMark/>
          </w:tcPr>
          <w:p w:rsidR="009F0457" w:rsidRPr="00A0070A" w:rsidRDefault="009F0457" w:rsidP="009F0457">
            <w:pPr>
              <w:spacing w:after="45"/>
              <w:jc w:val="right"/>
              <w:rPr>
                <w:rFonts w:ascii="Times New Roman" w:eastAsia="Times New Roman" w:hAnsi="Times New Roman" w:cs="Times New Roman"/>
              </w:rPr>
            </w:pPr>
            <w:r w:rsidRPr="00A0070A">
              <w:rPr>
                <w:rFonts w:ascii="Times New Roman" w:eastAsia="Times New Roman" w:hAnsi="Times New Roman" w:cs="Times New Roman"/>
              </w:rPr>
              <w:t>6,113</w:t>
            </w:r>
          </w:p>
        </w:tc>
        <w:tc>
          <w:tcPr>
            <w:tcW w:w="1211" w:type="dxa"/>
            <w:hideMark/>
          </w:tcPr>
          <w:p w:rsidR="009F0457" w:rsidRPr="00A0070A" w:rsidRDefault="009F0457" w:rsidP="009F0457">
            <w:pPr>
              <w:spacing w:after="45"/>
              <w:jc w:val="right"/>
              <w:rPr>
                <w:rFonts w:ascii="Times New Roman" w:eastAsia="Times New Roman" w:hAnsi="Times New Roman" w:cs="Times New Roman"/>
              </w:rPr>
            </w:pPr>
            <w:r w:rsidRPr="00A0070A">
              <w:rPr>
                <w:rFonts w:ascii="Times New Roman" w:eastAsia="Times New Roman" w:hAnsi="Times New Roman" w:cs="Times New Roman"/>
              </w:rPr>
              <w:t>7,878</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Real GDP</w:t>
            </w:r>
          </w:p>
        </w:tc>
        <w:tc>
          <w:tcPr>
            <w:tcW w:w="1211" w:type="dxa"/>
            <w:vAlign w:val="center"/>
            <w:hideMark/>
          </w:tcPr>
          <w:p w:rsidR="009F0457" w:rsidRPr="00A0070A" w:rsidRDefault="009F0457" w:rsidP="0041524B">
            <w:pPr>
              <w:spacing w:after="45"/>
              <w:ind w:right="234"/>
              <w:jc w:val="right"/>
              <w:rPr>
                <w:rFonts w:ascii="Times New Roman" w:eastAsia="Times New Roman" w:hAnsi="Times New Roman" w:cs="Times New Roman"/>
              </w:rPr>
            </w:pPr>
            <w:r w:rsidRPr="00A0070A">
              <w:rPr>
                <w:rFonts w:ascii="Times New Roman" w:eastAsia="Times New Roman" w:hAnsi="Times New Roman" w:cs="Times New Roman"/>
              </w:rPr>
              <w:t>7.5</w:t>
            </w:r>
          </w:p>
        </w:tc>
        <w:tc>
          <w:tcPr>
            <w:tcW w:w="1212" w:type="dxa"/>
            <w:hideMark/>
          </w:tcPr>
          <w:p w:rsidR="009F0457" w:rsidRPr="00A0070A" w:rsidRDefault="009F0457" w:rsidP="009F0457">
            <w:pPr>
              <w:spacing w:after="45"/>
              <w:jc w:val="right"/>
              <w:rPr>
                <w:rFonts w:ascii="Times New Roman" w:eastAsia="Times New Roman" w:hAnsi="Times New Roman" w:cs="Times New Roman"/>
              </w:rPr>
            </w:pPr>
            <w:r w:rsidRPr="00A0070A">
              <w:rPr>
                <w:rFonts w:ascii="Times New Roman" w:eastAsia="Times New Roman" w:hAnsi="Times New Roman" w:cs="Times New Roman"/>
              </w:rPr>
              <w:t>8.3</w:t>
            </w:r>
          </w:p>
        </w:tc>
        <w:tc>
          <w:tcPr>
            <w:tcW w:w="1211" w:type="dxa"/>
            <w:hideMark/>
          </w:tcPr>
          <w:p w:rsidR="009F0457" w:rsidRPr="00A0070A" w:rsidRDefault="009F0457" w:rsidP="009F0457">
            <w:pPr>
              <w:spacing w:after="45"/>
              <w:jc w:val="right"/>
              <w:rPr>
                <w:rFonts w:ascii="Times New Roman" w:eastAsia="Times New Roman" w:hAnsi="Times New Roman" w:cs="Times New Roman"/>
              </w:rPr>
            </w:pPr>
            <w:r w:rsidRPr="00A0070A">
              <w:rPr>
                <w:rFonts w:ascii="Times New Roman" w:eastAsia="Times New Roman" w:hAnsi="Times New Roman" w:cs="Times New Roman"/>
              </w:rPr>
              <w:t>7.3</w:t>
            </w:r>
          </w:p>
        </w:tc>
        <w:tc>
          <w:tcPr>
            <w:tcW w:w="1211" w:type="dxa"/>
            <w:hideMark/>
          </w:tcPr>
          <w:p w:rsidR="009F0457" w:rsidRPr="00A0070A" w:rsidRDefault="009F0457" w:rsidP="009F0457">
            <w:pPr>
              <w:spacing w:after="45"/>
              <w:jc w:val="right"/>
              <w:rPr>
                <w:rFonts w:ascii="Times New Roman" w:eastAsia="Times New Roman" w:hAnsi="Times New Roman" w:cs="Times New Roman"/>
              </w:rPr>
            </w:pPr>
            <w:r w:rsidRPr="00A0070A">
              <w:rPr>
                <w:rFonts w:ascii="Times New Roman" w:eastAsia="Times New Roman" w:hAnsi="Times New Roman" w:cs="Times New Roman"/>
              </w:rPr>
              <w:t>3.1</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 xml:space="preserve">Retail price index </w:t>
            </w:r>
            <w:r w:rsidRPr="00A0070A">
              <w:rPr>
                <w:rFonts w:ascii="Times New Roman" w:eastAsia="Times New Roman" w:hAnsi="Times New Roman" w:cs="Times New Roman"/>
                <w:vertAlign w:val="superscript"/>
              </w:rPr>
              <w:t>1</w:t>
            </w:r>
          </w:p>
        </w:tc>
        <w:tc>
          <w:tcPr>
            <w:tcW w:w="1211" w:type="dxa"/>
            <w:vAlign w:val="center"/>
            <w:hideMark/>
          </w:tcPr>
          <w:p w:rsidR="009F0457" w:rsidRPr="00A0070A" w:rsidRDefault="009F0457" w:rsidP="0041524B">
            <w:pPr>
              <w:spacing w:after="45"/>
              <w:ind w:right="234"/>
              <w:jc w:val="right"/>
              <w:rPr>
                <w:rFonts w:ascii="Times New Roman" w:eastAsia="Times New Roman" w:hAnsi="Times New Roman" w:cs="Times New Roman"/>
              </w:rPr>
            </w:pPr>
            <w:r w:rsidRPr="00A0070A">
              <w:rPr>
                <w:rFonts w:ascii="Times New Roman" w:eastAsia="Times New Roman" w:hAnsi="Times New Roman" w:cs="Times New Roman"/>
              </w:rPr>
              <w:t>0.8</w:t>
            </w:r>
          </w:p>
        </w:tc>
        <w:tc>
          <w:tcPr>
            <w:tcW w:w="1212" w:type="dxa"/>
            <w:hideMark/>
          </w:tcPr>
          <w:p w:rsidR="009F0457" w:rsidRPr="00A0070A" w:rsidRDefault="009F0457" w:rsidP="009F0457">
            <w:pPr>
              <w:spacing w:after="45"/>
              <w:jc w:val="right"/>
              <w:rPr>
                <w:rFonts w:ascii="Times New Roman" w:eastAsia="Times New Roman" w:hAnsi="Times New Roman" w:cs="Times New Roman"/>
              </w:rPr>
            </w:pPr>
            <w:r w:rsidRPr="00A0070A">
              <w:rPr>
                <w:rFonts w:ascii="Times New Roman" w:eastAsia="Times New Roman" w:hAnsi="Times New Roman" w:cs="Times New Roman"/>
              </w:rPr>
              <w:t>-1.4</w:t>
            </w:r>
          </w:p>
        </w:tc>
        <w:tc>
          <w:tcPr>
            <w:tcW w:w="1211" w:type="dxa"/>
            <w:hideMark/>
          </w:tcPr>
          <w:p w:rsidR="009F0457" w:rsidRPr="00A0070A" w:rsidRDefault="009F0457" w:rsidP="009F0457">
            <w:pPr>
              <w:spacing w:after="45"/>
              <w:jc w:val="right"/>
              <w:rPr>
                <w:rFonts w:ascii="Times New Roman" w:eastAsia="Times New Roman" w:hAnsi="Times New Roman" w:cs="Times New Roman"/>
              </w:rPr>
            </w:pPr>
            <w:r w:rsidRPr="00A0070A">
              <w:rPr>
                <w:rFonts w:ascii="Times New Roman" w:eastAsia="Times New Roman" w:hAnsi="Times New Roman" w:cs="Times New Roman"/>
              </w:rPr>
              <w:t>5.7</w:t>
            </w:r>
          </w:p>
        </w:tc>
        <w:tc>
          <w:tcPr>
            <w:tcW w:w="1211" w:type="dxa"/>
            <w:hideMark/>
          </w:tcPr>
          <w:p w:rsidR="009F0457" w:rsidRPr="00A0070A" w:rsidRDefault="009F0457" w:rsidP="009F0457">
            <w:pPr>
              <w:spacing w:after="45"/>
              <w:jc w:val="right"/>
              <w:rPr>
                <w:rFonts w:ascii="Times New Roman" w:eastAsia="Times New Roman" w:hAnsi="Times New Roman" w:cs="Times New Roman"/>
              </w:rPr>
            </w:pPr>
            <w:r w:rsidRPr="00A0070A">
              <w:rPr>
                <w:rFonts w:ascii="Times New Roman" w:eastAsia="Times New Roman" w:hAnsi="Times New Roman" w:cs="Times New Roman"/>
              </w:rPr>
              <w:t>32.2</w:t>
            </w:r>
          </w:p>
        </w:tc>
      </w:tr>
      <w:tr w:rsidR="009F0457" w:rsidRPr="00C530FE" w:rsidTr="0041524B">
        <w:tc>
          <w:tcPr>
            <w:tcW w:w="9558" w:type="dxa"/>
            <w:gridSpan w:val="5"/>
            <w:hideMark/>
          </w:tcPr>
          <w:p w:rsidR="009F0457" w:rsidRPr="009F0457" w:rsidRDefault="009F0457" w:rsidP="009F0457">
            <w:pPr>
              <w:spacing w:after="45"/>
              <w:rPr>
                <w:rFonts w:ascii="Times New Roman" w:eastAsia="Times New Roman" w:hAnsi="Times New Roman" w:cs="Times New Roman"/>
                <w:b/>
              </w:rPr>
            </w:pPr>
            <w:r w:rsidRPr="009F0457">
              <w:rPr>
                <w:rFonts w:ascii="Times New Roman" w:eastAsia="Times New Roman" w:hAnsi="Times New Roman" w:cs="Times New Roman"/>
                <w:b/>
              </w:rPr>
              <w:t>Government budget</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Total revenue, excluding grants</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41.1</w:t>
            </w:r>
          </w:p>
        </w:tc>
        <w:tc>
          <w:tcPr>
            <w:tcW w:w="1212"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42.0</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35.9</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35.4</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Identified expenditure and net lending</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40.4</w:t>
            </w:r>
          </w:p>
        </w:tc>
        <w:tc>
          <w:tcPr>
            <w:tcW w:w="1212"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49.6</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46.0</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37.6</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Current expenditure</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35.1</w:t>
            </w:r>
          </w:p>
        </w:tc>
        <w:tc>
          <w:tcPr>
            <w:tcW w:w="1212"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41.5</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40.8</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32.2</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Capital expenditure and net lending</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5.3</w:t>
            </w:r>
          </w:p>
        </w:tc>
        <w:tc>
          <w:tcPr>
            <w:tcW w:w="1212"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8.0</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5.1</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5.4</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Overall balance, including grants (above the line)</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1.7</w:t>
            </w:r>
          </w:p>
        </w:tc>
        <w:tc>
          <w:tcPr>
            <w:tcW w:w="1212"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-6.2</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-9.8</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-1.8</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Primary balance</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7.3</w:t>
            </w:r>
          </w:p>
        </w:tc>
        <w:tc>
          <w:tcPr>
            <w:tcW w:w="1212"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-0.6</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-2.3</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7.1</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Total public debt</w:t>
            </w:r>
            <w:r w:rsidRPr="00A0070A">
              <w:rPr>
                <w:rFonts w:ascii="Times New Roman" w:eastAsia="Times New Roman" w:hAnsi="Times New Roman" w:cs="Times New Roman"/>
                <w:vertAlign w:val="superscript"/>
              </w:rPr>
              <w:t>4</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147.1</w:t>
            </w:r>
          </w:p>
        </w:tc>
        <w:tc>
          <w:tcPr>
            <w:tcW w:w="1212"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139.5</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146.0</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151.3</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Domestic</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100.5</w:t>
            </w:r>
          </w:p>
        </w:tc>
        <w:tc>
          <w:tcPr>
            <w:tcW w:w="1212"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85.8</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74.1</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53.5</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External</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46.6</w:t>
            </w:r>
          </w:p>
        </w:tc>
        <w:tc>
          <w:tcPr>
            <w:tcW w:w="1212"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53.7</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71.9</w:t>
            </w:r>
          </w:p>
        </w:tc>
        <w:tc>
          <w:tcPr>
            <w:tcW w:w="1211" w:type="dxa"/>
            <w:vAlign w:val="center"/>
            <w:hideMark/>
          </w:tcPr>
          <w:p w:rsidR="009F0457" w:rsidRPr="00A0070A" w:rsidRDefault="009F0457" w:rsidP="0041524B">
            <w:pPr>
              <w:spacing w:after="45"/>
              <w:ind w:right="224"/>
              <w:jc w:val="right"/>
              <w:rPr>
                <w:rFonts w:ascii="Times New Roman" w:eastAsia="Times New Roman" w:hAnsi="Times New Roman" w:cs="Times New Roman"/>
              </w:rPr>
            </w:pPr>
            <w:r w:rsidRPr="00A0070A">
              <w:rPr>
                <w:rFonts w:ascii="Times New Roman" w:eastAsia="Times New Roman" w:hAnsi="Times New Roman" w:cs="Times New Roman"/>
              </w:rPr>
              <w:t>97.8</w:t>
            </w:r>
          </w:p>
        </w:tc>
      </w:tr>
      <w:tr w:rsidR="009F0457" w:rsidRPr="00C530FE" w:rsidTr="0041524B">
        <w:tc>
          <w:tcPr>
            <w:tcW w:w="9558" w:type="dxa"/>
            <w:gridSpan w:val="5"/>
            <w:hideMark/>
          </w:tcPr>
          <w:p w:rsidR="009F0457" w:rsidRPr="00A0070A" w:rsidRDefault="009F0457" w:rsidP="009F0457">
            <w:pPr>
              <w:spacing w:after="45"/>
              <w:rPr>
                <w:rFonts w:ascii="Times New Roman" w:eastAsia="Times New Roman" w:hAnsi="Times New Roman" w:cs="Times New Roman"/>
              </w:rPr>
            </w:pPr>
            <w:r w:rsidRPr="009F0457">
              <w:rPr>
                <w:rFonts w:ascii="Times New Roman" w:eastAsia="Times New Roman" w:hAnsi="Times New Roman" w:cs="Times New Roman"/>
                <w:b/>
              </w:rPr>
              <w:t>External sector</w:t>
            </w:r>
          </w:p>
        </w:tc>
      </w:tr>
      <w:tr w:rsidR="009F0457" w:rsidRPr="00C530FE" w:rsidTr="0041524B">
        <w:tc>
          <w:tcPr>
            <w:tcW w:w="4713" w:type="dxa"/>
            <w:hideMark/>
          </w:tcPr>
          <w:p w:rsidR="009F0457" w:rsidRPr="00A0070A" w:rsidRDefault="009F0457" w:rsidP="00A0070A">
            <w:pPr>
              <w:spacing w:before="15" w:after="15"/>
              <w:ind w:left="15" w:right="15"/>
              <w:jc w:val="both"/>
              <w:rPr>
                <w:rFonts w:ascii="Times New Roman" w:eastAsia="Times New Roman" w:hAnsi="Times New Roman" w:cs="Times New Roman"/>
              </w:rPr>
            </w:pPr>
            <w:r w:rsidRPr="00A0070A">
              <w:rPr>
                <w:rFonts w:ascii="Times New Roman" w:eastAsia="Times New Roman" w:hAnsi="Times New Roman" w:cs="Times New Roman"/>
              </w:rPr>
              <w:t>Current account balance after official transfers</w:t>
            </w:r>
          </w:p>
        </w:tc>
        <w:tc>
          <w:tcPr>
            <w:tcW w:w="1211" w:type="dxa"/>
            <w:hideMark/>
          </w:tcPr>
          <w:p w:rsidR="009F0457" w:rsidRPr="00A0070A" w:rsidRDefault="009F0457" w:rsidP="0041524B">
            <w:pPr>
              <w:spacing w:after="45"/>
              <w:ind w:right="218"/>
              <w:jc w:val="right"/>
              <w:rPr>
                <w:rFonts w:ascii="Times New Roman" w:eastAsia="Times New Roman" w:hAnsi="Times New Roman" w:cs="Times New Roman"/>
              </w:rPr>
            </w:pPr>
            <w:r w:rsidRPr="00A0070A">
              <w:rPr>
                <w:rFonts w:ascii="Times New Roman" w:eastAsia="Times New Roman" w:hAnsi="Times New Roman" w:cs="Times New Roman"/>
              </w:rPr>
              <w:t>-19.7</w:t>
            </w:r>
          </w:p>
        </w:tc>
        <w:tc>
          <w:tcPr>
            <w:tcW w:w="1212" w:type="dxa"/>
            <w:hideMark/>
          </w:tcPr>
          <w:p w:rsidR="009F0457" w:rsidRPr="00A0070A" w:rsidRDefault="009F0457" w:rsidP="00870D98">
            <w:pPr>
              <w:spacing w:after="45"/>
              <w:jc w:val="center"/>
              <w:rPr>
                <w:rFonts w:ascii="Times New Roman" w:eastAsia="Times New Roman" w:hAnsi="Times New Roman" w:cs="Times New Roman"/>
              </w:rPr>
            </w:pPr>
            <w:r w:rsidRPr="00A0070A">
              <w:rPr>
                <w:rFonts w:ascii="Times New Roman" w:eastAsia="Times New Roman" w:hAnsi="Times New Roman" w:cs="Times New Roman"/>
              </w:rPr>
              <w:t>-13.9</w:t>
            </w:r>
          </w:p>
        </w:tc>
        <w:tc>
          <w:tcPr>
            <w:tcW w:w="1211" w:type="dxa"/>
            <w:hideMark/>
          </w:tcPr>
          <w:p w:rsidR="009F0457" w:rsidRPr="00A0070A" w:rsidRDefault="009F0457" w:rsidP="00870D98">
            <w:pPr>
              <w:spacing w:after="45"/>
              <w:jc w:val="center"/>
              <w:rPr>
                <w:rFonts w:ascii="Times New Roman" w:eastAsia="Times New Roman" w:hAnsi="Times New Roman" w:cs="Times New Roman"/>
              </w:rPr>
            </w:pPr>
            <w:r w:rsidRPr="00A0070A">
              <w:rPr>
                <w:rFonts w:ascii="Times New Roman" w:eastAsia="Times New Roman" w:hAnsi="Times New Roman" w:cs="Times New Roman"/>
              </w:rPr>
              <w:t>-23.4</w:t>
            </w:r>
          </w:p>
        </w:tc>
        <w:tc>
          <w:tcPr>
            <w:tcW w:w="1211" w:type="dxa"/>
            <w:hideMark/>
          </w:tcPr>
          <w:p w:rsidR="009F0457" w:rsidRPr="00A0070A" w:rsidRDefault="009F0457" w:rsidP="00870D98">
            <w:pPr>
              <w:spacing w:after="45"/>
              <w:jc w:val="center"/>
              <w:rPr>
                <w:rFonts w:ascii="Times New Roman" w:eastAsia="Times New Roman" w:hAnsi="Times New Roman" w:cs="Times New Roman"/>
              </w:rPr>
            </w:pPr>
            <w:r w:rsidRPr="00A0070A">
              <w:rPr>
                <w:rFonts w:ascii="Times New Roman" w:eastAsia="Times New Roman" w:hAnsi="Times New Roman" w:cs="Times New Roman"/>
              </w:rPr>
              <w:t>-28.8</w:t>
            </w:r>
          </w:p>
        </w:tc>
      </w:tr>
      <w:tr w:rsidR="009F0457" w:rsidRPr="00C530FE" w:rsidTr="00625715">
        <w:tc>
          <w:tcPr>
            <w:tcW w:w="4713" w:type="dxa"/>
            <w:shd w:val="clear" w:color="auto" w:fill="auto"/>
            <w:hideMark/>
          </w:tcPr>
          <w:p w:rsidR="009F0457" w:rsidRPr="00A0070A" w:rsidRDefault="009F0457" w:rsidP="00A0070A">
            <w:pPr>
              <w:spacing w:after="45"/>
              <w:jc w:val="both"/>
              <w:rPr>
                <w:rFonts w:ascii="Times New Roman" w:eastAsia="Times New Roman" w:hAnsi="Times New Roman" w:cs="Times New Roman"/>
              </w:rPr>
            </w:pPr>
            <w:r w:rsidRPr="00A0070A">
              <w:rPr>
                <w:rFonts w:ascii="Times New Roman" w:eastAsia="Times New Roman" w:hAnsi="Times New Roman" w:cs="Times New Roman"/>
              </w:rPr>
              <w:t> </w:t>
            </w:r>
          </w:p>
        </w:tc>
        <w:tc>
          <w:tcPr>
            <w:tcW w:w="4845" w:type="dxa"/>
            <w:gridSpan w:val="4"/>
            <w:shd w:val="clear" w:color="auto" w:fill="auto"/>
            <w:hideMark/>
          </w:tcPr>
          <w:p w:rsidR="009F0457" w:rsidRPr="00A0070A" w:rsidRDefault="009F0457" w:rsidP="0041524B">
            <w:pPr>
              <w:spacing w:after="45"/>
              <w:jc w:val="center"/>
              <w:rPr>
                <w:rFonts w:ascii="Times New Roman" w:eastAsia="Times New Roman" w:hAnsi="Times New Roman" w:cs="Times New Roman"/>
              </w:rPr>
            </w:pPr>
            <w:r w:rsidRPr="00A0070A">
              <w:rPr>
                <w:rFonts w:ascii="Times New Roman" w:eastAsia="Times New Roman" w:hAnsi="Times New Roman" w:cs="Times New Roman"/>
              </w:rPr>
              <w:t>(US$ millions, unless otherwise indicated)</w:t>
            </w:r>
          </w:p>
        </w:tc>
      </w:tr>
      <w:tr w:rsidR="009F0457" w:rsidRPr="00C530FE" w:rsidTr="0041524B">
        <w:tc>
          <w:tcPr>
            <w:tcW w:w="4713" w:type="dxa"/>
            <w:hideMark/>
          </w:tcPr>
          <w:p w:rsidR="009F0457" w:rsidRPr="009F0457" w:rsidRDefault="009F0457" w:rsidP="00A0070A">
            <w:pPr>
              <w:spacing w:before="15" w:after="15"/>
              <w:ind w:left="15" w:right="15"/>
              <w:jc w:val="both"/>
              <w:rPr>
                <w:rFonts w:ascii="Times New Roman" w:eastAsia="Times New Roman" w:hAnsi="Times New Roman" w:cs="Times New Roman"/>
              </w:rPr>
            </w:pPr>
            <w:r w:rsidRPr="009F0457">
              <w:rPr>
                <w:rFonts w:ascii="Times New Roman" w:eastAsia="Times New Roman" w:hAnsi="Times New Roman" w:cs="Times New Roman"/>
              </w:rPr>
              <w:t>Gross official reserves (end of year)</w:t>
            </w:r>
          </w:p>
        </w:tc>
        <w:tc>
          <w:tcPr>
            <w:tcW w:w="1211" w:type="dxa"/>
            <w:hideMark/>
          </w:tcPr>
          <w:p w:rsidR="009F0457" w:rsidRPr="009F0457" w:rsidRDefault="009F0457" w:rsidP="0041524B">
            <w:pPr>
              <w:spacing w:after="45"/>
              <w:ind w:right="218"/>
              <w:jc w:val="right"/>
              <w:rPr>
                <w:rFonts w:ascii="Times New Roman" w:eastAsia="Times New Roman" w:hAnsi="Times New Roman" w:cs="Times New Roman"/>
              </w:rPr>
            </w:pPr>
            <w:r w:rsidRPr="009F0457">
              <w:rPr>
                <w:rFonts w:ascii="Times New Roman" w:eastAsia="Times New Roman" w:hAnsi="Times New Roman" w:cs="Times New Roman"/>
              </w:rPr>
              <w:t>56.1</w:t>
            </w:r>
          </w:p>
        </w:tc>
        <w:tc>
          <w:tcPr>
            <w:tcW w:w="1212" w:type="dxa"/>
            <w:hideMark/>
          </w:tcPr>
          <w:p w:rsidR="009F0457" w:rsidRPr="009F0457" w:rsidRDefault="009F0457" w:rsidP="00870D98">
            <w:pPr>
              <w:spacing w:after="45"/>
              <w:jc w:val="center"/>
              <w:rPr>
                <w:rFonts w:ascii="Times New Roman" w:eastAsia="Times New Roman" w:hAnsi="Times New Roman" w:cs="Times New Roman"/>
              </w:rPr>
            </w:pPr>
            <w:r w:rsidRPr="009F0457">
              <w:rPr>
                <w:rFonts w:ascii="Times New Roman" w:eastAsia="Times New Roman" w:hAnsi="Times New Roman" w:cs="Times New Roman"/>
              </w:rPr>
              <w:t>112.7</w:t>
            </w:r>
          </w:p>
        </w:tc>
        <w:tc>
          <w:tcPr>
            <w:tcW w:w="1211" w:type="dxa"/>
            <w:hideMark/>
          </w:tcPr>
          <w:p w:rsidR="009F0457" w:rsidRPr="009F0457" w:rsidRDefault="009F0457" w:rsidP="00870D98">
            <w:pPr>
              <w:spacing w:after="45"/>
              <w:jc w:val="center"/>
              <w:rPr>
                <w:rFonts w:ascii="Times New Roman" w:eastAsia="Times New Roman" w:hAnsi="Times New Roman" w:cs="Times New Roman"/>
              </w:rPr>
            </w:pPr>
            <w:r w:rsidRPr="009F0457">
              <w:rPr>
                <w:rFonts w:ascii="Times New Roman" w:eastAsia="Times New Roman" w:hAnsi="Times New Roman" w:cs="Times New Roman"/>
              </w:rPr>
              <w:t>9.8</w:t>
            </w:r>
          </w:p>
        </w:tc>
        <w:tc>
          <w:tcPr>
            <w:tcW w:w="1211" w:type="dxa"/>
            <w:hideMark/>
          </w:tcPr>
          <w:p w:rsidR="009F0457" w:rsidRPr="009F0457" w:rsidRDefault="009F0457" w:rsidP="00870D98">
            <w:pPr>
              <w:spacing w:after="45"/>
              <w:jc w:val="center"/>
              <w:rPr>
                <w:rFonts w:ascii="Times New Roman" w:eastAsia="Times New Roman" w:hAnsi="Times New Roman" w:cs="Times New Roman"/>
              </w:rPr>
            </w:pPr>
            <w:r w:rsidRPr="009F0457">
              <w:rPr>
                <w:rFonts w:ascii="Times New Roman" w:eastAsia="Times New Roman" w:hAnsi="Times New Roman" w:cs="Times New Roman"/>
              </w:rPr>
              <w:t>18.7</w:t>
            </w:r>
          </w:p>
        </w:tc>
      </w:tr>
      <w:tr w:rsidR="009F0457" w:rsidRPr="00C530FE" w:rsidTr="0041524B">
        <w:trPr>
          <w:trHeight w:val="143"/>
        </w:trPr>
        <w:tc>
          <w:tcPr>
            <w:tcW w:w="9558" w:type="dxa"/>
            <w:gridSpan w:val="5"/>
            <w:vAlign w:val="bottom"/>
          </w:tcPr>
          <w:p w:rsidR="009F0457" w:rsidRPr="00A0070A" w:rsidRDefault="009F0457" w:rsidP="00B43B02">
            <w:pPr>
              <w:rPr>
                <w:rFonts w:ascii="Times New Roman" w:eastAsia="Times New Roman" w:hAnsi="Times New Roman" w:cs="Times New Roman"/>
              </w:rPr>
            </w:pPr>
            <w:r w:rsidRPr="00D92A4F">
              <w:rPr>
                <w:rFonts w:ascii="Times New Roman" w:eastAsia="Times New Roman" w:hAnsi="Times New Roman" w:cs="Times New Roman"/>
                <w:b/>
                <w:sz w:val="18"/>
              </w:rPr>
              <w:t>Source: IMV Article IV. February 2009</w:t>
            </w:r>
          </w:p>
        </w:tc>
      </w:tr>
    </w:tbl>
    <w:p w:rsidR="003800CA" w:rsidRPr="00D92A4F" w:rsidRDefault="003800CA" w:rsidP="00D92A4F">
      <w:pPr>
        <w:spacing w:before="240" w:after="120" w:line="240" w:lineRule="auto"/>
        <w:jc w:val="both"/>
        <w:rPr>
          <w:rFonts w:ascii="Times New Roman" w:hAnsi="Times New Roman" w:cs="Times New Roman"/>
          <w:sz w:val="24"/>
        </w:rPr>
      </w:pPr>
      <w:r w:rsidRPr="00D92A4F">
        <w:rPr>
          <w:rFonts w:ascii="Times New Roman" w:hAnsi="Times New Roman" w:cs="Times New Roman"/>
          <w:sz w:val="24"/>
        </w:rPr>
        <w:t xml:space="preserve">Reform efforts since 2003 brought about some fiscal adjustment, trade reform and partial economic liberalization, but were insufficient to address longstanding macroeconomic imbalances and vulnerabilities. In mid-2008, facing the near exhaustion of official foreign reserves, the authorities missed a payment on a privately-placed external debt issue in July and on a Eurobond payment in </w:t>
      </w:r>
      <w:r w:rsidR="00266A80">
        <w:rPr>
          <w:rFonts w:ascii="Times New Roman" w:hAnsi="Times New Roman" w:cs="Times New Roman"/>
          <w:sz w:val="24"/>
        </w:rPr>
        <w:t>October. Standard and Poor's</w:t>
      </w:r>
      <w:r w:rsidRPr="00D92A4F">
        <w:rPr>
          <w:rFonts w:ascii="Times New Roman" w:hAnsi="Times New Roman" w:cs="Times New Roman"/>
          <w:sz w:val="24"/>
        </w:rPr>
        <w:t xml:space="preserve"> downgraded Seychelles to SD (selective default).</w:t>
      </w:r>
    </w:p>
    <w:p w:rsidR="003800CA" w:rsidRPr="00D92A4F" w:rsidRDefault="003800CA" w:rsidP="00D92A4F">
      <w:pPr>
        <w:spacing w:before="240" w:after="120" w:line="240" w:lineRule="auto"/>
        <w:jc w:val="both"/>
        <w:rPr>
          <w:rFonts w:ascii="Times New Roman" w:hAnsi="Times New Roman" w:cs="Times New Roman"/>
          <w:sz w:val="24"/>
        </w:rPr>
      </w:pPr>
      <w:r w:rsidRPr="00D92A4F">
        <w:rPr>
          <w:rFonts w:ascii="Times New Roman" w:hAnsi="Times New Roman" w:cs="Times New Roman"/>
          <w:sz w:val="24"/>
        </w:rPr>
        <w:lastRenderedPageBreak/>
        <w:t>The oil and food price shocks, together</w:t>
      </w:r>
      <w:r w:rsidR="00A0070A" w:rsidRPr="00D92A4F">
        <w:rPr>
          <w:rFonts w:ascii="Times New Roman" w:hAnsi="Times New Roman" w:cs="Times New Roman"/>
          <w:sz w:val="24"/>
        </w:rPr>
        <w:t xml:space="preserve"> with the global slowdown, </w:t>
      </w:r>
      <w:r w:rsidRPr="00D92A4F">
        <w:rPr>
          <w:rFonts w:ascii="Times New Roman" w:hAnsi="Times New Roman" w:cs="Times New Roman"/>
          <w:sz w:val="24"/>
        </w:rPr>
        <w:t xml:space="preserve">exacerbated vulnerabilities. </w:t>
      </w:r>
      <w:r w:rsidR="00A0070A" w:rsidRPr="00D92A4F">
        <w:rPr>
          <w:rFonts w:ascii="Times New Roman" w:hAnsi="Times New Roman" w:cs="Times New Roman"/>
          <w:sz w:val="24"/>
        </w:rPr>
        <w:t>Inflation had</w:t>
      </w:r>
      <w:r w:rsidRPr="00D92A4F">
        <w:rPr>
          <w:rFonts w:ascii="Times New Roman" w:hAnsi="Times New Roman" w:cs="Times New Roman"/>
          <w:sz w:val="24"/>
        </w:rPr>
        <w:t xml:space="preserve"> risen rapidly following the increase in world food and fuel prices. The external current account deficit widen due to lower growth in tourism receipts, the petroleum and food price shock, and higher costs of transportation services. </w:t>
      </w:r>
      <w:r w:rsidR="00A0070A" w:rsidRPr="00D92A4F">
        <w:rPr>
          <w:rFonts w:ascii="Times New Roman" w:hAnsi="Times New Roman" w:cs="Times New Roman"/>
          <w:sz w:val="24"/>
        </w:rPr>
        <w:t>O</w:t>
      </w:r>
      <w:r w:rsidRPr="00D92A4F">
        <w:rPr>
          <w:rFonts w:ascii="Times New Roman" w:hAnsi="Times New Roman" w:cs="Times New Roman"/>
          <w:sz w:val="24"/>
        </w:rPr>
        <w:t xml:space="preserve">fficial reserves </w:t>
      </w:r>
      <w:r w:rsidR="00A0070A" w:rsidRPr="00D92A4F">
        <w:rPr>
          <w:rFonts w:ascii="Times New Roman" w:hAnsi="Times New Roman" w:cs="Times New Roman"/>
          <w:sz w:val="24"/>
        </w:rPr>
        <w:t xml:space="preserve">fell </w:t>
      </w:r>
      <w:r w:rsidRPr="00D92A4F">
        <w:rPr>
          <w:rFonts w:ascii="Times New Roman" w:hAnsi="Times New Roman" w:cs="Times New Roman"/>
          <w:sz w:val="24"/>
        </w:rPr>
        <w:t xml:space="preserve">to very low levels and the balance of payments </w:t>
      </w:r>
      <w:r w:rsidR="00266A80">
        <w:rPr>
          <w:rFonts w:ascii="Times New Roman" w:hAnsi="Times New Roman" w:cs="Times New Roman"/>
          <w:sz w:val="24"/>
        </w:rPr>
        <w:t>deteriorated significantly</w:t>
      </w:r>
      <w:r w:rsidRPr="00D92A4F">
        <w:rPr>
          <w:rFonts w:ascii="Times New Roman" w:hAnsi="Times New Roman" w:cs="Times New Roman"/>
          <w:sz w:val="24"/>
        </w:rPr>
        <w:t xml:space="preserve">. </w:t>
      </w:r>
      <w:r w:rsidR="00A0070A" w:rsidRPr="00D92A4F">
        <w:rPr>
          <w:rFonts w:ascii="Times New Roman" w:hAnsi="Times New Roman" w:cs="Times New Roman"/>
          <w:sz w:val="24"/>
        </w:rPr>
        <w:t xml:space="preserve">At almost 151 percent of GDP, public debt was unsustainable. </w:t>
      </w:r>
      <w:r w:rsidRPr="00D92A4F">
        <w:rPr>
          <w:rFonts w:ascii="Times New Roman" w:hAnsi="Times New Roman" w:cs="Times New Roman"/>
          <w:sz w:val="24"/>
        </w:rPr>
        <w:t>In light of these developments, in 2008 the authorities began to tighten fiscal and monetary policy.</w:t>
      </w:r>
    </w:p>
    <w:p w:rsidR="003800CA" w:rsidRPr="00D92A4F" w:rsidRDefault="003800CA" w:rsidP="00D92A4F">
      <w:pPr>
        <w:spacing w:before="240" w:after="120" w:line="240" w:lineRule="auto"/>
        <w:jc w:val="both"/>
        <w:rPr>
          <w:rFonts w:ascii="Times New Roman" w:hAnsi="Times New Roman" w:cs="Times New Roman"/>
          <w:sz w:val="24"/>
        </w:rPr>
      </w:pPr>
      <w:r w:rsidRPr="00D92A4F">
        <w:rPr>
          <w:rFonts w:ascii="Times New Roman" w:hAnsi="Times New Roman" w:cs="Times New Roman"/>
          <w:sz w:val="24"/>
        </w:rPr>
        <w:t xml:space="preserve">The authorities </w:t>
      </w:r>
      <w:r w:rsidR="00A0070A" w:rsidRPr="00D92A4F">
        <w:rPr>
          <w:rFonts w:ascii="Times New Roman" w:hAnsi="Times New Roman" w:cs="Times New Roman"/>
          <w:sz w:val="24"/>
        </w:rPr>
        <w:t>initiated in 2009 a</w:t>
      </w:r>
      <w:r w:rsidRPr="00D92A4F">
        <w:rPr>
          <w:rFonts w:ascii="Times New Roman" w:hAnsi="Times New Roman" w:cs="Times New Roman"/>
          <w:sz w:val="24"/>
        </w:rPr>
        <w:t xml:space="preserve"> comprehensive reform strategy aimed at restoring internal and external balances. The reforms include</w:t>
      </w:r>
      <w:r w:rsidR="00A0070A" w:rsidRPr="00D92A4F">
        <w:rPr>
          <w:rFonts w:ascii="Times New Roman" w:hAnsi="Times New Roman" w:cs="Times New Roman"/>
          <w:sz w:val="24"/>
        </w:rPr>
        <w:t>d</w:t>
      </w:r>
      <w:r w:rsidRPr="00D92A4F">
        <w:rPr>
          <w:rFonts w:ascii="Times New Roman" w:hAnsi="Times New Roman" w:cs="Times New Roman"/>
          <w:sz w:val="24"/>
        </w:rPr>
        <w:t xml:space="preserve"> a fundamental liberalization of the exchange regime, involving the elimination of all exchange restrictions and a float of the rupee; a significant and sustained tightening of fiscal policy backed by a reduction in public employment and the replacement of indirect subsidies with a targeted social safety net; a reform of the monetary policy framework to focus on liquidity management based on indirect instruments; and a reduction in the role of the state in the economy to boost private sector development, through further privatization, enhanced fiscal governance, and a review of the tax regime.</w:t>
      </w:r>
    </w:p>
    <w:p w:rsidR="003800CA" w:rsidRPr="00D92A4F" w:rsidRDefault="00A0070A" w:rsidP="00D92A4F">
      <w:pPr>
        <w:spacing w:before="240" w:after="120" w:line="240" w:lineRule="auto"/>
        <w:jc w:val="both"/>
        <w:rPr>
          <w:rFonts w:ascii="Times New Roman" w:hAnsi="Times New Roman" w:cs="Times New Roman"/>
          <w:sz w:val="24"/>
        </w:rPr>
      </w:pPr>
      <w:r w:rsidRPr="00D92A4F">
        <w:rPr>
          <w:rFonts w:ascii="Times New Roman" w:hAnsi="Times New Roman" w:cs="Times New Roman"/>
          <w:sz w:val="24"/>
        </w:rPr>
        <w:t>As the result of the Fiscal Consolidation Program in Seychelles, the</w:t>
      </w:r>
      <w:r w:rsidR="003800CA" w:rsidRPr="00D92A4F">
        <w:rPr>
          <w:rFonts w:ascii="Times New Roman" w:hAnsi="Times New Roman" w:cs="Times New Roman"/>
          <w:sz w:val="24"/>
        </w:rPr>
        <w:t xml:space="preserve"> near-term outlook</w:t>
      </w:r>
      <w:r w:rsidRPr="00D92A4F">
        <w:rPr>
          <w:rFonts w:ascii="Times New Roman" w:hAnsi="Times New Roman" w:cs="Times New Roman"/>
          <w:sz w:val="24"/>
        </w:rPr>
        <w:t xml:space="preserve"> has increased substantially</w:t>
      </w:r>
      <w:r w:rsidR="003800CA" w:rsidRPr="00D92A4F">
        <w:rPr>
          <w:rFonts w:ascii="Times New Roman" w:hAnsi="Times New Roman" w:cs="Times New Roman"/>
          <w:sz w:val="24"/>
        </w:rPr>
        <w:t>. A robust rise in tourism earnings in 2013 supported growth, as well as a reduction in the current account deficit as a share of GDP. The exchange rate strengthened slightly, at the same time as the central bank accumulated more international reserves than expected. Inflation decelerated below 5 percent, and the governme</w:t>
      </w:r>
      <w:r w:rsidR="0092424C">
        <w:rPr>
          <w:rFonts w:ascii="Times New Roman" w:hAnsi="Times New Roman" w:cs="Times New Roman"/>
          <w:sz w:val="24"/>
        </w:rPr>
        <w:t>nt is on track to achieve its 5 </w:t>
      </w:r>
      <w:r w:rsidR="003800CA" w:rsidRPr="00D92A4F">
        <w:rPr>
          <w:rFonts w:ascii="Times New Roman" w:hAnsi="Times New Roman" w:cs="Times New Roman"/>
          <w:sz w:val="24"/>
        </w:rPr>
        <w:t xml:space="preserve">percent of GDP primary surplus target, as a shortfall in tax revenue and grants has been offset by lower-than-anticipated capital expenditure. </w:t>
      </w:r>
    </w:p>
    <w:p w:rsidR="003800CA" w:rsidRPr="00D92A4F" w:rsidRDefault="003800CA" w:rsidP="00D92A4F">
      <w:pPr>
        <w:spacing w:before="240" w:after="120" w:line="240" w:lineRule="auto"/>
        <w:jc w:val="both"/>
        <w:rPr>
          <w:rFonts w:ascii="Times New Roman" w:hAnsi="Times New Roman" w:cs="Times New Roman"/>
          <w:sz w:val="24"/>
        </w:rPr>
      </w:pPr>
      <w:r w:rsidRPr="00D92A4F">
        <w:rPr>
          <w:rFonts w:ascii="Times New Roman" w:hAnsi="Times New Roman" w:cs="Times New Roman"/>
          <w:sz w:val="24"/>
        </w:rPr>
        <w:t>The authorities’ macroeconomic policy framework for 2014 provides a solid basis to continue to reinforce external and fiscal sustainability</w:t>
      </w:r>
      <w:r w:rsidR="00266A80">
        <w:rPr>
          <w:rFonts w:ascii="Times New Roman" w:hAnsi="Times New Roman" w:cs="Times New Roman"/>
          <w:sz w:val="24"/>
        </w:rPr>
        <w:t xml:space="preserve"> (see Table 2)</w:t>
      </w:r>
      <w:r w:rsidRPr="00D92A4F">
        <w:rPr>
          <w:rFonts w:ascii="Times New Roman" w:hAnsi="Times New Roman" w:cs="Times New Roman"/>
          <w:sz w:val="24"/>
        </w:rPr>
        <w:t>. The authorities remain on track with their objective to reduce public debt below 50 percent of GDP by 2018, while increasing allocations to address social needs. Monetary policy will continue to aim to stabilize inflation at low levels and to accumulate international reserves, and the authorities and staff agreed on the need to strengthen the monetary policy framework to improve the transmission mechanism. Structural reforms aim to extend improvements in financial discipline to the broader public sector, including through rebalancing utility prices to reduce implicit subsidies and through better oversight of parastatals</w:t>
      </w:r>
      <w:r w:rsidR="00C530FE" w:rsidRPr="00D92A4F">
        <w:rPr>
          <w:rFonts w:ascii="Times New Roman" w:hAnsi="Times New Roman" w:cs="Times New Roman"/>
          <w:sz w:val="24"/>
        </w:rPr>
        <w:t>.</w:t>
      </w:r>
    </w:p>
    <w:p w:rsidR="00CD651B" w:rsidRDefault="00C530FE" w:rsidP="009F0457">
      <w:pPr>
        <w:spacing w:before="240" w:after="120" w:line="240" w:lineRule="auto"/>
        <w:jc w:val="both"/>
        <w:rPr>
          <w:rFonts w:ascii="Times New Roman" w:hAnsi="Times New Roman" w:cs="Times New Roman"/>
          <w:sz w:val="24"/>
        </w:rPr>
      </w:pPr>
      <w:r w:rsidRPr="00D92A4F">
        <w:rPr>
          <w:rFonts w:ascii="Times New Roman" w:hAnsi="Times New Roman" w:cs="Times New Roman"/>
          <w:sz w:val="24"/>
        </w:rPr>
        <w:t>Under the fiscal</w:t>
      </w:r>
      <w:r w:rsidR="003800CA" w:rsidRPr="00D92A4F">
        <w:rPr>
          <w:rFonts w:ascii="Times New Roman" w:hAnsi="Times New Roman" w:cs="Times New Roman"/>
          <w:sz w:val="24"/>
        </w:rPr>
        <w:t xml:space="preserve"> program’s key objective of placing the economy firmly on the path to external and fiscal sustainability has been achieved, based on the successful implementation of the debt restructuring, robust fiscal consolidation, and the resumption of growth. Public debt has been brought down from 124 percent of GDP at end-2009 to an estimated 71 percent at the end of 2013, reflecting an average primary surplus of over 6 percent of GDP and growth of 3½ percent. Inflation has fallen below 5 percent. External reserves, a vital buffer for such an open economy, have improved from just over 2 months of imports at the start of the program to over 3½ months at the end of 2013.</w:t>
      </w:r>
      <w:r w:rsidR="00266A80">
        <w:rPr>
          <w:rFonts w:ascii="Times New Roman" w:hAnsi="Times New Roman" w:cs="Times New Roman"/>
          <w:sz w:val="24"/>
        </w:rPr>
        <w:t xml:space="preserve"> </w:t>
      </w:r>
      <w:r w:rsidR="003800CA" w:rsidRPr="00D92A4F">
        <w:rPr>
          <w:rFonts w:ascii="Times New Roman" w:hAnsi="Times New Roman" w:cs="Times New Roman"/>
          <w:sz w:val="24"/>
        </w:rPr>
        <w:t xml:space="preserve">While substantial progress has been achieved, the economy faces continuing vulnerabilities from still high debt levels, low reserve coverage, and an unfinished reform process. </w:t>
      </w:r>
    </w:p>
    <w:p w:rsidR="00266A80" w:rsidRDefault="00266A80" w:rsidP="009F0457">
      <w:pPr>
        <w:spacing w:before="240" w:after="120" w:line="240" w:lineRule="auto"/>
        <w:jc w:val="both"/>
        <w:rPr>
          <w:rFonts w:ascii="Times New Roman" w:hAnsi="Times New Roman" w:cs="Times New Roman"/>
          <w:sz w:val="24"/>
        </w:rPr>
      </w:pPr>
    </w:p>
    <w:p w:rsidR="009F0457" w:rsidRPr="0041524B" w:rsidRDefault="007E4DCB" w:rsidP="0092424C">
      <w:pPr>
        <w:spacing w:after="40"/>
        <w:jc w:val="center"/>
        <w:rPr>
          <w:rFonts w:ascii="Times New Roman" w:hAnsi="Times New Roman" w:cs="Times New Roman"/>
          <w:b/>
        </w:rPr>
      </w:pPr>
      <w:r w:rsidRPr="0041524B">
        <w:rPr>
          <w:rFonts w:ascii="Times New Roman" w:hAnsi="Times New Roman" w:cs="Times New Roman"/>
          <w:b/>
        </w:rPr>
        <w:lastRenderedPageBreak/>
        <w:t>Table 2</w:t>
      </w:r>
      <w:r w:rsidR="0041524B">
        <w:rPr>
          <w:rFonts w:ascii="Times New Roman" w:hAnsi="Times New Roman" w:cs="Times New Roman"/>
          <w:b/>
        </w:rPr>
        <w:t>:</w:t>
      </w:r>
      <w:r w:rsidR="00C530FE" w:rsidRPr="0041524B">
        <w:rPr>
          <w:rFonts w:ascii="Times New Roman" w:hAnsi="Times New Roman" w:cs="Times New Roman"/>
          <w:b/>
        </w:rPr>
        <w:t xml:space="preserve"> Seychelles: Selected Economic and Financial Indicators, 2010–14</w:t>
      </w:r>
    </w:p>
    <w:tbl>
      <w:tblPr>
        <w:tblStyle w:val="TableGrid"/>
        <w:tblW w:w="9468" w:type="dxa"/>
        <w:tblLook w:val="04A0" w:firstRow="1" w:lastRow="0" w:firstColumn="1" w:lastColumn="0" w:noHBand="0" w:noVBand="1"/>
      </w:tblPr>
      <w:tblGrid>
        <w:gridCol w:w="4518"/>
        <w:gridCol w:w="990"/>
        <w:gridCol w:w="990"/>
        <w:gridCol w:w="990"/>
        <w:gridCol w:w="990"/>
        <w:gridCol w:w="990"/>
      </w:tblGrid>
      <w:tr w:rsidR="009F0457" w:rsidRPr="00C530FE" w:rsidTr="0092424C">
        <w:tc>
          <w:tcPr>
            <w:tcW w:w="4518" w:type="dxa"/>
            <w:shd w:val="clear" w:color="auto" w:fill="DBE5F1" w:themeFill="accent1" w:themeFillTint="33"/>
            <w:hideMark/>
          </w:tcPr>
          <w:p w:rsidR="009F0457" w:rsidRPr="0041524B" w:rsidRDefault="009F0457" w:rsidP="00B16392">
            <w:pPr>
              <w:spacing w:after="40"/>
              <w:jc w:val="both"/>
              <w:rPr>
                <w:rFonts w:ascii="Times New Roman" w:eastAsia="Times New Roman" w:hAnsi="Times New Roman" w:cs="Times New Roman"/>
                <w:b/>
              </w:rPr>
            </w:pPr>
          </w:p>
        </w:tc>
        <w:tc>
          <w:tcPr>
            <w:tcW w:w="990" w:type="dxa"/>
            <w:shd w:val="clear" w:color="auto" w:fill="DBE5F1" w:themeFill="accent1" w:themeFillTint="33"/>
          </w:tcPr>
          <w:p w:rsidR="009F0457" w:rsidRPr="0041524B" w:rsidRDefault="009F0457" w:rsidP="00B16392">
            <w:pPr>
              <w:spacing w:after="40"/>
              <w:jc w:val="center"/>
              <w:rPr>
                <w:rFonts w:ascii="Times New Roman" w:eastAsia="Times New Roman" w:hAnsi="Times New Roman" w:cs="Times New Roman"/>
                <w:b/>
              </w:rPr>
            </w:pPr>
            <w:r w:rsidRPr="0041524B">
              <w:rPr>
                <w:rFonts w:ascii="Times New Roman" w:eastAsia="Times New Roman" w:hAnsi="Times New Roman" w:cs="Times New Roman"/>
                <w:b/>
              </w:rPr>
              <w:t>2010</w:t>
            </w:r>
          </w:p>
        </w:tc>
        <w:tc>
          <w:tcPr>
            <w:tcW w:w="990" w:type="dxa"/>
            <w:shd w:val="clear" w:color="auto" w:fill="DBE5F1" w:themeFill="accent1" w:themeFillTint="33"/>
            <w:hideMark/>
          </w:tcPr>
          <w:p w:rsidR="009F0457" w:rsidRPr="0041524B" w:rsidRDefault="009F0457" w:rsidP="00B16392">
            <w:pPr>
              <w:spacing w:after="40"/>
              <w:jc w:val="center"/>
              <w:rPr>
                <w:rFonts w:ascii="Times New Roman" w:eastAsia="Times New Roman" w:hAnsi="Times New Roman" w:cs="Times New Roman"/>
                <w:b/>
              </w:rPr>
            </w:pPr>
            <w:r w:rsidRPr="0041524B">
              <w:rPr>
                <w:rFonts w:ascii="Times New Roman" w:eastAsia="Times New Roman" w:hAnsi="Times New Roman" w:cs="Times New Roman"/>
                <w:b/>
              </w:rPr>
              <w:t>2011</w:t>
            </w:r>
          </w:p>
        </w:tc>
        <w:tc>
          <w:tcPr>
            <w:tcW w:w="990" w:type="dxa"/>
            <w:shd w:val="clear" w:color="auto" w:fill="DBE5F1" w:themeFill="accent1" w:themeFillTint="33"/>
            <w:hideMark/>
          </w:tcPr>
          <w:p w:rsidR="009F0457" w:rsidRPr="0041524B" w:rsidRDefault="009F0457" w:rsidP="00B16392">
            <w:pPr>
              <w:spacing w:after="40"/>
              <w:jc w:val="center"/>
              <w:rPr>
                <w:rFonts w:ascii="Times New Roman" w:eastAsia="Times New Roman" w:hAnsi="Times New Roman" w:cs="Times New Roman"/>
                <w:b/>
              </w:rPr>
            </w:pPr>
            <w:r w:rsidRPr="0041524B">
              <w:rPr>
                <w:rFonts w:ascii="Times New Roman" w:eastAsia="Times New Roman" w:hAnsi="Times New Roman" w:cs="Times New Roman"/>
                <w:b/>
              </w:rPr>
              <w:t>2012</w:t>
            </w:r>
          </w:p>
        </w:tc>
        <w:tc>
          <w:tcPr>
            <w:tcW w:w="990" w:type="dxa"/>
            <w:shd w:val="clear" w:color="auto" w:fill="DBE5F1" w:themeFill="accent1" w:themeFillTint="33"/>
            <w:hideMark/>
          </w:tcPr>
          <w:p w:rsidR="009F0457" w:rsidRPr="0041524B" w:rsidRDefault="009F0457" w:rsidP="00B16392">
            <w:pPr>
              <w:spacing w:after="40"/>
              <w:jc w:val="center"/>
              <w:rPr>
                <w:rFonts w:ascii="Times New Roman" w:eastAsia="Times New Roman" w:hAnsi="Times New Roman" w:cs="Times New Roman"/>
                <w:b/>
              </w:rPr>
            </w:pPr>
            <w:r w:rsidRPr="0041524B">
              <w:rPr>
                <w:rFonts w:ascii="Times New Roman" w:eastAsia="Times New Roman" w:hAnsi="Times New Roman" w:cs="Times New Roman"/>
                <w:b/>
              </w:rPr>
              <w:t>2013</w:t>
            </w:r>
          </w:p>
        </w:tc>
        <w:tc>
          <w:tcPr>
            <w:tcW w:w="990" w:type="dxa"/>
            <w:shd w:val="clear" w:color="auto" w:fill="DBE5F1" w:themeFill="accent1" w:themeFillTint="33"/>
            <w:hideMark/>
          </w:tcPr>
          <w:p w:rsidR="009F0457" w:rsidRPr="0041524B" w:rsidRDefault="009F0457" w:rsidP="00B16392">
            <w:pPr>
              <w:spacing w:after="40"/>
              <w:jc w:val="center"/>
              <w:rPr>
                <w:rFonts w:ascii="Times New Roman" w:eastAsia="Times New Roman" w:hAnsi="Times New Roman" w:cs="Times New Roman"/>
                <w:b/>
              </w:rPr>
            </w:pPr>
            <w:r w:rsidRPr="0041524B">
              <w:rPr>
                <w:rFonts w:ascii="Times New Roman" w:eastAsia="Times New Roman" w:hAnsi="Times New Roman" w:cs="Times New Roman"/>
                <w:b/>
              </w:rPr>
              <w:t>2014</w:t>
            </w:r>
          </w:p>
        </w:tc>
      </w:tr>
      <w:tr w:rsidR="009F0457" w:rsidRPr="00C530FE" w:rsidTr="0092424C">
        <w:tc>
          <w:tcPr>
            <w:tcW w:w="4518" w:type="dxa"/>
            <w:hideMark/>
          </w:tcPr>
          <w:p w:rsidR="009F0457" w:rsidRPr="00A0070A" w:rsidRDefault="009F0457" w:rsidP="00B16392">
            <w:pPr>
              <w:spacing w:after="40"/>
              <w:jc w:val="both"/>
              <w:rPr>
                <w:rFonts w:ascii="Times New Roman" w:eastAsia="Times New Roman" w:hAnsi="Times New Roman" w:cs="Times New Roman"/>
              </w:rPr>
            </w:pPr>
            <w:r w:rsidRPr="00A0070A">
              <w:rPr>
                <w:rFonts w:ascii="Times New Roman" w:eastAsia="Times New Roman" w:hAnsi="Times New Roman" w:cs="Times New Roman"/>
              </w:rPr>
              <w:t> </w:t>
            </w:r>
          </w:p>
        </w:tc>
        <w:tc>
          <w:tcPr>
            <w:tcW w:w="4950" w:type="dxa"/>
            <w:gridSpan w:val="5"/>
          </w:tcPr>
          <w:p w:rsidR="009F0457" w:rsidRPr="00A922E3" w:rsidRDefault="009F0457" w:rsidP="00B16392">
            <w:pPr>
              <w:spacing w:after="40"/>
              <w:ind w:hanging="18"/>
              <w:jc w:val="center"/>
              <w:rPr>
                <w:rFonts w:ascii="Times New Roman" w:hAnsi="Times New Roman" w:cs="Times New Roman"/>
              </w:rPr>
            </w:pPr>
            <w:r w:rsidRPr="00C530FE">
              <w:rPr>
                <w:rFonts w:ascii="Times New Roman" w:hAnsi="Times New Roman" w:cs="Times New Roman"/>
              </w:rPr>
              <w:t>(Percentage change, unless otherwise indicated)</w:t>
            </w:r>
          </w:p>
        </w:tc>
      </w:tr>
      <w:tr w:rsidR="009F0457" w:rsidRPr="00C530FE" w:rsidTr="0092424C">
        <w:tc>
          <w:tcPr>
            <w:tcW w:w="4518" w:type="dxa"/>
            <w:hideMark/>
          </w:tcPr>
          <w:p w:rsidR="009F0457" w:rsidRPr="00A0070A" w:rsidRDefault="009F0457" w:rsidP="00B16392">
            <w:pPr>
              <w:spacing w:after="40"/>
              <w:ind w:left="15" w:right="15"/>
              <w:jc w:val="both"/>
              <w:rPr>
                <w:rFonts w:ascii="Times New Roman" w:eastAsia="Times New Roman" w:hAnsi="Times New Roman" w:cs="Times New Roman"/>
              </w:rPr>
            </w:pPr>
            <w:r>
              <w:rPr>
                <w:rFonts w:ascii="Times New Roman" w:hAnsi="Times New Roman" w:cs="Times New Roman"/>
              </w:rPr>
              <w:t>Nominal GDP (b</w:t>
            </w:r>
            <w:r w:rsidRPr="00C530FE">
              <w:rPr>
                <w:rFonts w:ascii="Times New Roman" w:hAnsi="Times New Roman" w:cs="Times New Roman"/>
              </w:rPr>
              <w:t>illions of Seychelles rupees)</w:t>
            </w:r>
          </w:p>
        </w:tc>
        <w:tc>
          <w:tcPr>
            <w:tcW w:w="990" w:type="dxa"/>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11.76</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13.11</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14.14</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15.29</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16.46</w:t>
            </w:r>
          </w:p>
        </w:tc>
      </w:tr>
      <w:tr w:rsidR="009F0457" w:rsidRPr="00C530FE" w:rsidTr="0092424C">
        <w:tc>
          <w:tcPr>
            <w:tcW w:w="4518" w:type="dxa"/>
            <w:hideMark/>
          </w:tcPr>
          <w:p w:rsidR="009F0457" w:rsidRPr="00A0070A" w:rsidRDefault="009F0457" w:rsidP="00B16392">
            <w:pPr>
              <w:spacing w:after="40"/>
              <w:ind w:left="15" w:right="15"/>
              <w:jc w:val="both"/>
              <w:rPr>
                <w:rFonts w:ascii="Times New Roman" w:eastAsia="Times New Roman" w:hAnsi="Times New Roman" w:cs="Times New Roman"/>
              </w:rPr>
            </w:pPr>
            <w:r w:rsidRPr="00C530FE">
              <w:rPr>
                <w:rFonts w:ascii="Times New Roman" w:hAnsi="Times New Roman" w:cs="Times New Roman"/>
              </w:rPr>
              <w:t>Real GDP</w:t>
            </w:r>
          </w:p>
        </w:tc>
        <w:tc>
          <w:tcPr>
            <w:tcW w:w="990" w:type="dxa"/>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5.6</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5.0</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2.9</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3.3</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3.9</w:t>
            </w:r>
          </w:p>
        </w:tc>
      </w:tr>
      <w:tr w:rsidR="009F0457" w:rsidRPr="00C530FE" w:rsidTr="0092424C">
        <w:tc>
          <w:tcPr>
            <w:tcW w:w="4518" w:type="dxa"/>
            <w:hideMark/>
          </w:tcPr>
          <w:p w:rsidR="009F0457" w:rsidRPr="00A0070A" w:rsidRDefault="009F0457" w:rsidP="00B16392">
            <w:pPr>
              <w:spacing w:after="40"/>
              <w:ind w:left="15" w:right="15"/>
              <w:jc w:val="both"/>
              <w:rPr>
                <w:rFonts w:ascii="Times New Roman" w:eastAsia="Times New Roman" w:hAnsi="Times New Roman" w:cs="Times New Roman"/>
              </w:rPr>
            </w:pPr>
            <w:r w:rsidRPr="00C530FE">
              <w:rPr>
                <w:rFonts w:ascii="Times New Roman" w:hAnsi="Times New Roman" w:cs="Times New Roman"/>
              </w:rPr>
              <w:t>CPI (annual average)</w:t>
            </w:r>
          </w:p>
        </w:tc>
        <w:tc>
          <w:tcPr>
            <w:tcW w:w="990" w:type="dxa"/>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2.4</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2.6</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7.1</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4.5</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3.4</w:t>
            </w:r>
          </w:p>
        </w:tc>
      </w:tr>
      <w:tr w:rsidR="009F0457" w:rsidRPr="001D0104" w:rsidTr="0092424C">
        <w:trPr>
          <w:trHeight w:val="227"/>
        </w:trPr>
        <w:tc>
          <w:tcPr>
            <w:tcW w:w="4518" w:type="dxa"/>
            <w:hideMark/>
          </w:tcPr>
          <w:p w:rsidR="009F0457" w:rsidRPr="001D0104" w:rsidRDefault="009F0457" w:rsidP="00B16392">
            <w:pPr>
              <w:spacing w:after="40"/>
              <w:jc w:val="both"/>
              <w:rPr>
                <w:rFonts w:ascii="Times New Roman" w:hAnsi="Times New Roman" w:cs="Times New Roman"/>
                <w:b/>
              </w:rPr>
            </w:pPr>
            <w:r w:rsidRPr="001D0104">
              <w:rPr>
                <w:rFonts w:ascii="Times New Roman" w:hAnsi="Times New Roman" w:cs="Times New Roman"/>
                <w:b/>
              </w:rPr>
              <w:t>Government budge</w:t>
            </w:r>
          </w:p>
        </w:tc>
        <w:tc>
          <w:tcPr>
            <w:tcW w:w="4950" w:type="dxa"/>
            <w:gridSpan w:val="5"/>
          </w:tcPr>
          <w:p w:rsidR="009F0457" w:rsidRPr="001D0104" w:rsidRDefault="009F0457" w:rsidP="00B16392">
            <w:pPr>
              <w:spacing w:after="40"/>
              <w:jc w:val="center"/>
              <w:rPr>
                <w:rFonts w:ascii="Times New Roman" w:eastAsia="Times New Roman" w:hAnsi="Times New Roman" w:cs="Times New Roman"/>
                <w:b/>
              </w:rPr>
            </w:pPr>
          </w:p>
        </w:tc>
      </w:tr>
      <w:tr w:rsidR="009F0457" w:rsidRPr="00C530FE" w:rsidTr="0092424C">
        <w:tc>
          <w:tcPr>
            <w:tcW w:w="4518" w:type="dxa"/>
            <w:hideMark/>
          </w:tcPr>
          <w:p w:rsidR="009F0457" w:rsidRPr="00A0070A" w:rsidRDefault="009F0457" w:rsidP="00B16392">
            <w:pPr>
              <w:spacing w:after="40"/>
              <w:ind w:left="15" w:right="15"/>
              <w:jc w:val="both"/>
              <w:rPr>
                <w:rFonts w:ascii="Times New Roman" w:eastAsia="Times New Roman" w:hAnsi="Times New Roman" w:cs="Times New Roman"/>
              </w:rPr>
            </w:pPr>
            <w:r w:rsidRPr="00C530FE">
              <w:rPr>
                <w:rFonts w:ascii="Times New Roman" w:hAnsi="Times New Roman" w:cs="Times New Roman"/>
              </w:rPr>
              <w:t>Total revenue, excluding grants</w:t>
            </w:r>
          </w:p>
        </w:tc>
        <w:tc>
          <w:tcPr>
            <w:tcW w:w="990" w:type="dxa"/>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34.1</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35.8</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37.6</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36.4</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35.6</w:t>
            </w:r>
          </w:p>
        </w:tc>
      </w:tr>
      <w:tr w:rsidR="009F0457" w:rsidRPr="00C530FE" w:rsidTr="0092424C">
        <w:tc>
          <w:tcPr>
            <w:tcW w:w="4518" w:type="dxa"/>
            <w:hideMark/>
          </w:tcPr>
          <w:p w:rsidR="009F0457" w:rsidRPr="00A0070A" w:rsidRDefault="009F0457" w:rsidP="00B16392">
            <w:pPr>
              <w:spacing w:after="40"/>
              <w:ind w:left="15" w:right="15"/>
              <w:jc w:val="both"/>
              <w:rPr>
                <w:rFonts w:ascii="Times New Roman" w:eastAsia="Times New Roman" w:hAnsi="Times New Roman" w:cs="Times New Roman"/>
              </w:rPr>
            </w:pPr>
            <w:r w:rsidRPr="00C530FE">
              <w:rPr>
                <w:rFonts w:ascii="Times New Roman" w:hAnsi="Times New Roman" w:cs="Times New Roman"/>
              </w:rPr>
              <w:t>Expenditure and net lending</w:t>
            </w:r>
          </w:p>
        </w:tc>
        <w:tc>
          <w:tcPr>
            <w:tcW w:w="990" w:type="dxa"/>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32.5</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35.7</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40.2</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38.5</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36.0</w:t>
            </w:r>
          </w:p>
        </w:tc>
      </w:tr>
      <w:tr w:rsidR="009F0457" w:rsidRPr="00C530FE" w:rsidTr="0092424C">
        <w:tc>
          <w:tcPr>
            <w:tcW w:w="4518" w:type="dxa"/>
            <w:hideMark/>
          </w:tcPr>
          <w:p w:rsidR="009F0457" w:rsidRPr="00A0070A" w:rsidRDefault="009F0457" w:rsidP="00B16392">
            <w:pPr>
              <w:spacing w:after="40"/>
              <w:ind w:left="15" w:right="15"/>
              <w:jc w:val="both"/>
              <w:rPr>
                <w:rFonts w:ascii="Times New Roman" w:eastAsia="Times New Roman" w:hAnsi="Times New Roman" w:cs="Times New Roman"/>
              </w:rPr>
            </w:pPr>
            <w:r w:rsidRPr="00C530FE">
              <w:rPr>
                <w:rFonts w:ascii="Times New Roman" w:hAnsi="Times New Roman" w:cs="Times New Roman"/>
              </w:rPr>
              <w:t>Current expenditure</w:t>
            </w:r>
          </w:p>
        </w:tc>
        <w:tc>
          <w:tcPr>
            <w:tcW w:w="990" w:type="dxa"/>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27.2</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27.6</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28.8</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28.8</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27.3</w:t>
            </w:r>
          </w:p>
        </w:tc>
      </w:tr>
      <w:tr w:rsidR="009F0457" w:rsidRPr="00C530FE" w:rsidTr="0092424C">
        <w:tc>
          <w:tcPr>
            <w:tcW w:w="4518" w:type="dxa"/>
            <w:hideMark/>
          </w:tcPr>
          <w:p w:rsidR="009F0457" w:rsidRPr="00A0070A" w:rsidRDefault="009F0457" w:rsidP="00B16392">
            <w:pPr>
              <w:spacing w:after="40"/>
              <w:ind w:left="15" w:right="15"/>
              <w:jc w:val="both"/>
              <w:rPr>
                <w:rFonts w:ascii="Times New Roman" w:eastAsia="Times New Roman" w:hAnsi="Times New Roman" w:cs="Times New Roman"/>
              </w:rPr>
            </w:pPr>
            <w:r w:rsidRPr="00C530FE">
              <w:rPr>
                <w:rFonts w:ascii="Times New Roman" w:hAnsi="Times New Roman" w:cs="Times New Roman"/>
              </w:rPr>
              <w:t>Capital expenditure and net lending</w:t>
            </w:r>
          </w:p>
        </w:tc>
        <w:tc>
          <w:tcPr>
            <w:tcW w:w="990" w:type="dxa"/>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5.3</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8.1</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11.4</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9.8</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8.7</w:t>
            </w:r>
          </w:p>
        </w:tc>
      </w:tr>
      <w:tr w:rsidR="009F0457" w:rsidRPr="00C530FE" w:rsidTr="0092424C">
        <w:tc>
          <w:tcPr>
            <w:tcW w:w="4518" w:type="dxa"/>
            <w:hideMark/>
          </w:tcPr>
          <w:p w:rsidR="009F0457" w:rsidRPr="00A0070A" w:rsidRDefault="009F0457" w:rsidP="00B16392">
            <w:pPr>
              <w:spacing w:after="40"/>
              <w:ind w:left="15" w:right="15"/>
              <w:jc w:val="both"/>
              <w:rPr>
                <w:rFonts w:ascii="Times New Roman" w:eastAsia="Times New Roman" w:hAnsi="Times New Roman" w:cs="Times New Roman"/>
              </w:rPr>
            </w:pPr>
            <w:r w:rsidRPr="00C530FE">
              <w:rPr>
                <w:rFonts w:ascii="Times New Roman" w:hAnsi="Times New Roman" w:cs="Times New Roman"/>
              </w:rPr>
              <w:t>Overall balance, including grants</w:t>
            </w:r>
          </w:p>
        </w:tc>
        <w:tc>
          <w:tcPr>
            <w:tcW w:w="990" w:type="dxa"/>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2.5</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2.5</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2.4</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1.8</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2.0</w:t>
            </w:r>
          </w:p>
        </w:tc>
      </w:tr>
      <w:tr w:rsidR="009F0457" w:rsidRPr="00C530FE" w:rsidTr="0092424C">
        <w:tc>
          <w:tcPr>
            <w:tcW w:w="4518" w:type="dxa"/>
            <w:hideMark/>
          </w:tcPr>
          <w:p w:rsidR="009F0457" w:rsidRPr="00A0070A" w:rsidRDefault="009F0457" w:rsidP="00B16392">
            <w:pPr>
              <w:spacing w:after="40"/>
              <w:ind w:left="15" w:right="15"/>
              <w:jc w:val="both"/>
              <w:rPr>
                <w:rFonts w:ascii="Times New Roman" w:eastAsia="Times New Roman" w:hAnsi="Times New Roman" w:cs="Times New Roman"/>
              </w:rPr>
            </w:pPr>
            <w:r w:rsidRPr="00C530FE">
              <w:rPr>
                <w:rFonts w:ascii="Times New Roman" w:hAnsi="Times New Roman" w:cs="Times New Roman"/>
              </w:rPr>
              <w:t>Primary balance</w:t>
            </w:r>
          </w:p>
        </w:tc>
        <w:tc>
          <w:tcPr>
            <w:tcW w:w="990" w:type="dxa"/>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8.6</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5.4</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6.2</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5.1</w:t>
            </w:r>
          </w:p>
        </w:tc>
        <w:tc>
          <w:tcPr>
            <w:tcW w:w="990" w:type="dxa"/>
            <w:hideMark/>
          </w:tcPr>
          <w:p w:rsidR="009F0457" w:rsidRPr="00A0070A" w:rsidRDefault="009F0457" w:rsidP="00B16392">
            <w:pPr>
              <w:spacing w:after="40"/>
              <w:jc w:val="right"/>
              <w:rPr>
                <w:rFonts w:ascii="Times New Roman" w:eastAsia="Times New Roman" w:hAnsi="Times New Roman" w:cs="Times New Roman"/>
              </w:rPr>
            </w:pPr>
            <w:r>
              <w:rPr>
                <w:rFonts w:ascii="Times New Roman" w:eastAsia="Times New Roman" w:hAnsi="Times New Roman" w:cs="Times New Roman"/>
              </w:rPr>
              <w:t>4.4</w:t>
            </w:r>
          </w:p>
        </w:tc>
      </w:tr>
      <w:tr w:rsidR="009F0457" w:rsidRPr="001D0104" w:rsidTr="0092424C">
        <w:tc>
          <w:tcPr>
            <w:tcW w:w="4518" w:type="dxa"/>
            <w:hideMark/>
          </w:tcPr>
          <w:p w:rsidR="009F0457" w:rsidRPr="001D0104" w:rsidRDefault="009F0457" w:rsidP="00B16392">
            <w:pPr>
              <w:spacing w:after="40"/>
              <w:ind w:left="15" w:right="15"/>
              <w:jc w:val="both"/>
              <w:rPr>
                <w:rFonts w:ascii="Times New Roman" w:eastAsia="Times New Roman" w:hAnsi="Times New Roman" w:cs="Times New Roman"/>
                <w:b/>
              </w:rPr>
            </w:pPr>
            <w:r w:rsidRPr="001D0104">
              <w:rPr>
                <w:rFonts w:ascii="Times New Roman" w:hAnsi="Times New Roman" w:cs="Times New Roman"/>
                <w:b/>
              </w:rPr>
              <w:t>Total public debt</w:t>
            </w:r>
          </w:p>
        </w:tc>
        <w:tc>
          <w:tcPr>
            <w:tcW w:w="990" w:type="dxa"/>
          </w:tcPr>
          <w:p w:rsidR="009F0457" w:rsidRPr="001D0104" w:rsidRDefault="009F0457" w:rsidP="00B16392">
            <w:pPr>
              <w:spacing w:after="40"/>
              <w:jc w:val="center"/>
              <w:rPr>
                <w:rFonts w:ascii="Times New Roman" w:eastAsia="Times New Roman" w:hAnsi="Times New Roman" w:cs="Times New Roman"/>
                <w:b/>
              </w:rPr>
            </w:pPr>
            <w:r w:rsidRPr="001D0104">
              <w:rPr>
                <w:rFonts w:ascii="Times New Roman" w:eastAsia="Times New Roman" w:hAnsi="Times New Roman" w:cs="Times New Roman"/>
                <w:b/>
              </w:rPr>
              <w:t>81.6</w:t>
            </w:r>
          </w:p>
        </w:tc>
        <w:tc>
          <w:tcPr>
            <w:tcW w:w="990" w:type="dxa"/>
            <w:hideMark/>
          </w:tcPr>
          <w:p w:rsidR="009F0457" w:rsidRPr="001D0104" w:rsidRDefault="009F0457" w:rsidP="00B16392">
            <w:pPr>
              <w:spacing w:after="40"/>
              <w:jc w:val="center"/>
              <w:rPr>
                <w:rFonts w:ascii="Times New Roman" w:eastAsia="Times New Roman" w:hAnsi="Times New Roman" w:cs="Times New Roman"/>
                <w:b/>
              </w:rPr>
            </w:pPr>
            <w:r w:rsidRPr="001D0104">
              <w:rPr>
                <w:rFonts w:ascii="Times New Roman" w:eastAsia="Times New Roman" w:hAnsi="Times New Roman" w:cs="Times New Roman"/>
                <w:b/>
              </w:rPr>
              <w:t>74.3</w:t>
            </w:r>
          </w:p>
        </w:tc>
        <w:tc>
          <w:tcPr>
            <w:tcW w:w="990" w:type="dxa"/>
            <w:hideMark/>
          </w:tcPr>
          <w:p w:rsidR="009F0457" w:rsidRPr="001D0104" w:rsidRDefault="009F0457" w:rsidP="00B16392">
            <w:pPr>
              <w:spacing w:after="40"/>
              <w:jc w:val="center"/>
              <w:rPr>
                <w:rFonts w:ascii="Times New Roman" w:eastAsia="Times New Roman" w:hAnsi="Times New Roman" w:cs="Times New Roman"/>
                <w:b/>
              </w:rPr>
            </w:pPr>
            <w:r w:rsidRPr="001D0104">
              <w:rPr>
                <w:rFonts w:ascii="Times New Roman" w:eastAsia="Times New Roman" w:hAnsi="Times New Roman" w:cs="Times New Roman"/>
                <w:b/>
              </w:rPr>
              <w:t>77.3</w:t>
            </w:r>
          </w:p>
        </w:tc>
        <w:tc>
          <w:tcPr>
            <w:tcW w:w="990" w:type="dxa"/>
            <w:hideMark/>
          </w:tcPr>
          <w:p w:rsidR="009F0457" w:rsidRPr="001D0104" w:rsidRDefault="009F0457" w:rsidP="00B16392">
            <w:pPr>
              <w:spacing w:after="40"/>
              <w:jc w:val="center"/>
              <w:rPr>
                <w:rFonts w:ascii="Times New Roman" w:eastAsia="Times New Roman" w:hAnsi="Times New Roman" w:cs="Times New Roman"/>
                <w:b/>
              </w:rPr>
            </w:pPr>
            <w:r w:rsidRPr="001D0104">
              <w:rPr>
                <w:rFonts w:ascii="Times New Roman" w:eastAsia="Times New Roman" w:hAnsi="Times New Roman" w:cs="Times New Roman"/>
                <w:b/>
              </w:rPr>
              <w:t>72.0</w:t>
            </w:r>
          </w:p>
        </w:tc>
        <w:tc>
          <w:tcPr>
            <w:tcW w:w="990" w:type="dxa"/>
            <w:hideMark/>
          </w:tcPr>
          <w:p w:rsidR="009F0457" w:rsidRPr="001D0104" w:rsidRDefault="009F0457" w:rsidP="00B16392">
            <w:pPr>
              <w:spacing w:after="40"/>
              <w:jc w:val="center"/>
              <w:rPr>
                <w:rFonts w:ascii="Times New Roman" w:eastAsia="Times New Roman" w:hAnsi="Times New Roman" w:cs="Times New Roman"/>
                <w:b/>
              </w:rPr>
            </w:pPr>
            <w:r w:rsidRPr="001D0104">
              <w:rPr>
                <w:rFonts w:ascii="Times New Roman" w:eastAsia="Times New Roman" w:hAnsi="Times New Roman" w:cs="Times New Roman"/>
                <w:b/>
              </w:rPr>
              <w:t>65.3</w:t>
            </w:r>
          </w:p>
        </w:tc>
      </w:tr>
    </w:tbl>
    <w:p w:rsidR="00266A80" w:rsidRPr="00266A80" w:rsidRDefault="00266A80" w:rsidP="00266A80">
      <w:pPr>
        <w:spacing w:before="360" w:after="40"/>
        <w:jc w:val="both"/>
        <w:rPr>
          <w:rFonts w:ascii="Times New Roman" w:hAnsi="Times New Roman" w:cs="Times New Roman"/>
          <w:sz w:val="24"/>
          <w:szCs w:val="24"/>
        </w:rPr>
      </w:pPr>
      <w:r>
        <w:rPr>
          <w:rFonts w:ascii="Times New Roman" w:hAnsi="Times New Roman" w:cs="Times New Roman"/>
          <w:sz w:val="24"/>
          <w:szCs w:val="24"/>
        </w:rPr>
        <w:t>Table 3 illustrates the similarities between the program followed by Seychelles and the one proposed by the Bank in Jamaica. If implemented successfully, the Bank program may follow the same path as the one in Seychelles.</w:t>
      </w:r>
    </w:p>
    <w:p w:rsidR="007E4DCB" w:rsidRPr="0041524B" w:rsidRDefault="0041524B" w:rsidP="0092424C">
      <w:pPr>
        <w:spacing w:before="360" w:after="40"/>
        <w:jc w:val="center"/>
        <w:rPr>
          <w:rFonts w:ascii="Times New Roman" w:hAnsi="Times New Roman" w:cs="Times New Roman"/>
          <w:b/>
          <w:sz w:val="24"/>
          <w:szCs w:val="24"/>
        </w:rPr>
      </w:pPr>
      <w:r>
        <w:rPr>
          <w:rFonts w:ascii="Times New Roman" w:hAnsi="Times New Roman" w:cs="Times New Roman"/>
          <w:b/>
          <w:sz w:val="24"/>
          <w:szCs w:val="24"/>
        </w:rPr>
        <w:t>Table 3:</w:t>
      </w:r>
      <w:r w:rsidR="00266A80">
        <w:rPr>
          <w:rFonts w:ascii="Times New Roman" w:hAnsi="Times New Roman" w:cs="Times New Roman"/>
          <w:b/>
          <w:sz w:val="24"/>
          <w:szCs w:val="24"/>
        </w:rPr>
        <w:t xml:space="preserve"> </w:t>
      </w:r>
      <w:r w:rsidR="00D564F1" w:rsidRPr="0041524B">
        <w:rPr>
          <w:rFonts w:ascii="Times New Roman" w:hAnsi="Times New Roman" w:cs="Times New Roman"/>
          <w:b/>
          <w:sz w:val="24"/>
          <w:szCs w:val="24"/>
        </w:rPr>
        <w:t>Program s</w:t>
      </w:r>
      <w:r w:rsidR="007E4DCB" w:rsidRPr="0041524B">
        <w:rPr>
          <w:rFonts w:ascii="Times New Roman" w:hAnsi="Times New Roman" w:cs="Times New Roman"/>
          <w:b/>
          <w:sz w:val="24"/>
          <w:szCs w:val="24"/>
        </w:rPr>
        <w:t xml:space="preserve">imilarities </w:t>
      </w:r>
      <w:r w:rsidR="00D564F1" w:rsidRPr="0041524B">
        <w:rPr>
          <w:rFonts w:ascii="Times New Roman" w:hAnsi="Times New Roman" w:cs="Times New Roman"/>
          <w:b/>
          <w:sz w:val="24"/>
          <w:szCs w:val="24"/>
        </w:rPr>
        <w:t xml:space="preserve">between </w:t>
      </w:r>
      <w:r w:rsidR="007E4DCB" w:rsidRPr="0041524B">
        <w:rPr>
          <w:rFonts w:ascii="Times New Roman" w:hAnsi="Times New Roman" w:cs="Times New Roman"/>
          <w:b/>
          <w:sz w:val="24"/>
          <w:szCs w:val="24"/>
        </w:rPr>
        <w:t>Seychelles and Jamaica</w:t>
      </w:r>
    </w:p>
    <w:tbl>
      <w:tblPr>
        <w:tblStyle w:val="TableGrid"/>
        <w:tblW w:w="0" w:type="auto"/>
        <w:tblLook w:val="04A0" w:firstRow="1" w:lastRow="0" w:firstColumn="1" w:lastColumn="0" w:noHBand="0" w:noVBand="1"/>
      </w:tblPr>
      <w:tblGrid>
        <w:gridCol w:w="2367"/>
        <w:gridCol w:w="2367"/>
        <w:gridCol w:w="2367"/>
        <w:gridCol w:w="2367"/>
      </w:tblGrid>
      <w:tr w:rsidR="0041524B" w:rsidTr="0092424C">
        <w:trPr>
          <w:tblHeader/>
        </w:trPr>
        <w:tc>
          <w:tcPr>
            <w:tcW w:w="4734" w:type="dxa"/>
            <w:gridSpan w:val="2"/>
            <w:shd w:val="clear" w:color="auto" w:fill="DBE5F1" w:themeFill="accent1" w:themeFillTint="33"/>
          </w:tcPr>
          <w:p w:rsidR="0041524B" w:rsidRPr="0092424C" w:rsidRDefault="0041524B" w:rsidP="009F0457">
            <w:pPr>
              <w:jc w:val="center"/>
              <w:rPr>
                <w:rFonts w:ascii="Times New Roman Bold" w:hAnsi="Times New Roman Bold" w:cs="Times New Roman"/>
                <w:b/>
                <w:smallCaps/>
                <w:sz w:val="24"/>
                <w:szCs w:val="24"/>
              </w:rPr>
            </w:pPr>
            <w:r w:rsidRPr="0092424C">
              <w:rPr>
                <w:rFonts w:ascii="Times New Roman Bold" w:hAnsi="Times New Roman Bold" w:cs="Times New Roman"/>
                <w:b/>
                <w:smallCaps/>
                <w:sz w:val="24"/>
                <w:szCs w:val="24"/>
              </w:rPr>
              <w:t>Seychelles</w:t>
            </w:r>
          </w:p>
        </w:tc>
        <w:tc>
          <w:tcPr>
            <w:tcW w:w="4734" w:type="dxa"/>
            <w:gridSpan w:val="2"/>
            <w:shd w:val="clear" w:color="auto" w:fill="DBE5F1" w:themeFill="accent1" w:themeFillTint="33"/>
            <w:vAlign w:val="center"/>
          </w:tcPr>
          <w:p w:rsidR="0041524B" w:rsidRPr="0092424C" w:rsidRDefault="0041524B" w:rsidP="0041524B">
            <w:pPr>
              <w:jc w:val="center"/>
              <w:rPr>
                <w:rFonts w:ascii="Times New Roman Bold" w:hAnsi="Times New Roman Bold" w:cs="Times New Roman"/>
                <w:b/>
                <w:smallCaps/>
                <w:sz w:val="24"/>
                <w:szCs w:val="24"/>
              </w:rPr>
            </w:pPr>
            <w:r w:rsidRPr="0092424C">
              <w:rPr>
                <w:rFonts w:ascii="Times New Roman Bold" w:hAnsi="Times New Roman Bold" w:cs="Times New Roman"/>
                <w:b/>
                <w:smallCaps/>
                <w:sz w:val="24"/>
                <w:szCs w:val="24"/>
              </w:rPr>
              <w:t>Jamaica</w:t>
            </w:r>
          </w:p>
        </w:tc>
      </w:tr>
      <w:tr w:rsidR="00BA623B" w:rsidTr="0092424C">
        <w:trPr>
          <w:tblHeader/>
        </w:trPr>
        <w:tc>
          <w:tcPr>
            <w:tcW w:w="2367" w:type="dxa"/>
            <w:shd w:val="clear" w:color="auto" w:fill="DBE5F1" w:themeFill="accent1" w:themeFillTint="33"/>
          </w:tcPr>
          <w:p w:rsidR="00BA623B" w:rsidRPr="0092424C" w:rsidRDefault="00BA623B" w:rsidP="009F0457">
            <w:pPr>
              <w:rPr>
                <w:rFonts w:ascii="Times New Roman" w:hAnsi="Times New Roman" w:cs="Times New Roman"/>
                <w:b/>
              </w:rPr>
            </w:pPr>
            <w:r w:rsidRPr="0092424C">
              <w:rPr>
                <w:rFonts w:ascii="Times New Roman" w:hAnsi="Times New Roman" w:cs="Times New Roman"/>
                <w:b/>
              </w:rPr>
              <w:t>Reform</w:t>
            </w:r>
          </w:p>
        </w:tc>
        <w:tc>
          <w:tcPr>
            <w:tcW w:w="2367" w:type="dxa"/>
            <w:shd w:val="clear" w:color="auto" w:fill="DBE5F1" w:themeFill="accent1" w:themeFillTint="33"/>
          </w:tcPr>
          <w:p w:rsidR="00BA623B" w:rsidRPr="0092424C" w:rsidRDefault="00BA623B" w:rsidP="009F0457">
            <w:pPr>
              <w:rPr>
                <w:rFonts w:ascii="Times New Roman" w:hAnsi="Times New Roman" w:cs="Times New Roman"/>
                <w:b/>
              </w:rPr>
            </w:pPr>
            <w:r w:rsidRPr="0092424C">
              <w:rPr>
                <w:rFonts w:ascii="Times New Roman" w:hAnsi="Times New Roman" w:cs="Times New Roman"/>
                <w:b/>
              </w:rPr>
              <w:t>Purpose of the reform</w:t>
            </w:r>
          </w:p>
        </w:tc>
        <w:tc>
          <w:tcPr>
            <w:tcW w:w="2367" w:type="dxa"/>
            <w:shd w:val="clear" w:color="auto" w:fill="DBE5F1" w:themeFill="accent1" w:themeFillTint="33"/>
          </w:tcPr>
          <w:p w:rsidR="00BA623B" w:rsidRPr="0092424C" w:rsidRDefault="00BA623B" w:rsidP="009F0457">
            <w:pPr>
              <w:rPr>
                <w:rFonts w:ascii="Times New Roman" w:hAnsi="Times New Roman" w:cs="Times New Roman"/>
                <w:b/>
              </w:rPr>
            </w:pPr>
            <w:r w:rsidRPr="0092424C">
              <w:rPr>
                <w:rFonts w:ascii="Times New Roman" w:hAnsi="Times New Roman" w:cs="Times New Roman"/>
                <w:b/>
              </w:rPr>
              <w:t>Reform</w:t>
            </w:r>
          </w:p>
        </w:tc>
        <w:tc>
          <w:tcPr>
            <w:tcW w:w="2367" w:type="dxa"/>
            <w:shd w:val="clear" w:color="auto" w:fill="DBE5F1" w:themeFill="accent1" w:themeFillTint="33"/>
          </w:tcPr>
          <w:p w:rsidR="00BA623B" w:rsidRPr="0092424C" w:rsidRDefault="00BA623B" w:rsidP="009F0457">
            <w:pPr>
              <w:rPr>
                <w:rFonts w:ascii="Times New Roman" w:hAnsi="Times New Roman" w:cs="Times New Roman"/>
                <w:b/>
              </w:rPr>
            </w:pPr>
            <w:r w:rsidRPr="0092424C">
              <w:rPr>
                <w:rFonts w:ascii="Times New Roman" w:hAnsi="Times New Roman" w:cs="Times New Roman"/>
                <w:b/>
              </w:rPr>
              <w:t>Purpose of the reform</w:t>
            </w:r>
          </w:p>
        </w:tc>
      </w:tr>
      <w:tr w:rsidR="00BA623B" w:rsidTr="0092424C">
        <w:tc>
          <w:tcPr>
            <w:tcW w:w="2367" w:type="dxa"/>
          </w:tcPr>
          <w:p w:rsidR="00BA623B" w:rsidRPr="0092424C" w:rsidRDefault="00BA623B"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t>Eliminate / reduce tax expenditures</w:t>
            </w:r>
          </w:p>
        </w:tc>
        <w:tc>
          <w:tcPr>
            <w:tcW w:w="2367" w:type="dxa"/>
          </w:tcPr>
          <w:p w:rsidR="00BA623B" w:rsidRPr="0092424C" w:rsidRDefault="00BA623B"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t>Broaden the base and level playing field for all business and individual taxpayers</w:t>
            </w:r>
          </w:p>
        </w:tc>
        <w:tc>
          <w:tcPr>
            <w:tcW w:w="2367" w:type="dxa"/>
          </w:tcPr>
          <w:p w:rsidR="00BA623B" w:rsidRPr="0092424C" w:rsidRDefault="00BA623B" w:rsidP="00266A80">
            <w:pPr>
              <w:jc w:val="both"/>
              <w:rPr>
                <w:rFonts w:ascii="Times New Roman" w:hAnsi="Times New Roman" w:cs="Times New Roman"/>
                <w:sz w:val="20"/>
                <w:szCs w:val="20"/>
              </w:rPr>
            </w:pPr>
            <w:r w:rsidRPr="0092424C">
              <w:rPr>
                <w:rFonts w:ascii="Times New Roman" w:hAnsi="Times New Roman" w:cs="Times New Roman"/>
                <w:sz w:val="20"/>
                <w:szCs w:val="20"/>
                <w:lang w:val="en-GB"/>
              </w:rPr>
              <w:t>Curtail tax expenditures by affecting the Charities Act and the FIA. New incentives will take the form of tax credits for PIT and CIT only, and will be defined as the amount credited against the CIT/PIT payable in any fiscal year.</w:t>
            </w:r>
          </w:p>
        </w:tc>
        <w:tc>
          <w:tcPr>
            <w:tcW w:w="2367" w:type="dxa"/>
          </w:tcPr>
          <w:p w:rsidR="00BA623B" w:rsidRPr="0092424C" w:rsidRDefault="00BA623B"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t>Broaden the base and level playing field for all business and individual taxpayers</w:t>
            </w:r>
          </w:p>
        </w:tc>
      </w:tr>
      <w:tr w:rsidR="00BA623B" w:rsidTr="0092424C">
        <w:tc>
          <w:tcPr>
            <w:tcW w:w="2367" w:type="dxa"/>
          </w:tcPr>
          <w:p w:rsidR="00BA623B" w:rsidRPr="0092424C" w:rsidRDefault="00BA623B"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t>Amend the Business Tax Act in</w:t>
            </w:r>
          </w:p>
          <w:p w:rsidR="00BA623B" w:rsidRPr="0092424C" w:rsidRDefault="00BA623B" w:rsidP="00266A80">
            <w:pPr>
              <w:jc w:val="both"/>
              <w:rPr>
                <w:rFonts w:ascii="Times New Roman" w:hAnsi="Times New Roman" w:cs="Times New Roman"/>
                <w:sz w:val="20"/>
                <w:szCs w:val="20"/>
              </w:rPr>
            </w:pPr>
            <w:r w:rsidRPr="0092424C">
              <w:rPr>
                <w:rFonts w:ascii="Times New Roman" w:hAnsi="Times New Roman" w:cs="Times New Roman"/>
                <w:sz w:val="20"/>
                <w:szCs w:val="20"/>
              </w:rPr>
              <w:t>line with the tax reform strategy</w:t>
            </w:r>
            <w:r w:rsidR="003E7F82" w:rsidRPr="0092424C">
              <w:rPr>
                <w:rFonts w:ascii="Times New Roman" w:hAnsi="Times New Roman" w:cs="Times New Roman"/>
                <w:sz w:val="20"/>
                <w:szCs w:val="20"/>
              </w:rPr>
              <w:t xml:space="preserve"> and</w:t>
            </w:r>
          </w:p>
          <w:p w:rsidR="003E7F82" w:rsidRPr="0092424C" w:rsidRDefault="003E7F82"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t>Reduce rates and broadening the tax base. The Goods and Services</w:t>
            </w:r>
          </w:p>
          <w:p w:rsidR="003E7F82" w:rsidRPr="0092424C" w:rsidRDefault="003E7F82"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t xml:space="preserve">Tax (GST) base was expanded, cascading effects were eliminated, and concessional rates were </w:t>
            </w:r>
          </w:p>
          <w:p w:rsidR="003E7F82" w:rsidRPr="0092424C" w:rsidRDefault="003E7F82" w:rsidP="00266A80">
            <w:pPr>
              <w:jc w:val="both"/>
              <w:rPr>
                <w:rFonts w:ascii="Times New Roman" w:hAnsi="Times New Roman" w:cs="Times New Roman"/>
                <w:sz w:val="20"/>
                <w:szCs w:val="20"/>
              </w:rPr>
            </w:pPr>
            <w:r w:rsidRPr="0092424C">
              <w:rPr>
                <w:rFonts w:ascii="Times New Roman" w:hAnsi="Times New Roman" w:cs="Times New Roman"/>
                <w:sz w:val="20"/>
                <w:szCs w:val="20"/>
              </w:rPr>
              <w:t>phased out.</w:t>
            </w:r>
          </w:p>
        </w:tc>
        <w:tc>
          <w:tcPr>
            <w:tcW w:w="2367" w:type="dxa"/>
          </w:tcPr>
          <w:p w:rsidR="00BA623B" w:rsidRPr="0092424C" w:rsidRDefault="00BA623B"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t>To broaden the tax base,</w:t>
            </w:r>
          </w:p>
          <w:p w:rsidR="00BA623B" w:rsidRPr="0092424C" w:rsidRDefault="00BA623B"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t>modernize tax policy, and</w:t>
            </w:r>
          </w:p>
          <w:p w:rsidR="00BA623B" w:rsidRPr="0092424C" w:rsidRDefault="00BA623B" w:rsidP="00266A80">
            <w:pPr>
              <w:jc w:val="both"/>
              <w:rPr>
                <w:rFonts w:ascii="Times New Roman" w:hAnsi="Times New Roman" w:cs="Times New Roman"/>
                <w:sz w:val="20"/>
                <w:szCs w:val="20"/>
              </w:rPr>
            </w:pPr>
            <w:r w:rsidRPr="0092424C">
              <w:rPr>
                <w:rFonts w:ascii="Times New Roman" w:hAnsi="Times New Roman" w:cs="Times New Roman"/>
                <w:sz w:val="20"/>
                <w:szCs w:val="20"/>
              </w:rPr>
              <w:t>remove distortions.</w:t>
            </w:r>
          </w:p>
        </w:tc>
        <w:tc>
          <w:tcPr>
            <w:tcW w:w="2367" w:type="dxa"/>
          </w:tcPr>
          <w:p w:rsidR="00BA623B" w:rsidRPr="0092424C" w:rsidRDefault="00BA623B" w:rsidP="00266A80">
            <w:pPr>
              <w:jc w:val="both"/>
              <w:rPr>
                <w:rFonts w:ascii="Times New Roman" w:hAnsi="Times New Roman" w:cs="Times New Roman"/>
                <w:sz w:val="20"/>
                <w:szCs w:val="20"/>
              </w:rPr>
            </w:pPr>
            <w:r w:rsidRPr="0092424C">
              <w:rPr>
                <w:rFonts w:ascii="Times New Roman" w:hAnsi="Times New Roman" w:cs="Times New Roman"/>
                <w:sz w:val="20"/>
                <w:szCs w:val="20"/>
              </w:rPr>
              <w:t>L</w:t>
            </w:r>
            <w:r w:rsidRPr="0092424C">
              <w:rPr>
                <w:rFonts w:ascii="Times New Roman" w:hAnsi="Times New Roman" w:cs="Times New Roman"/>
                <w:sz w:val="20"/>
                <w:szCs w:val="20"/>
                <w:lang w:val="en-GB"/>
              </w:rPr>
              <w:t>ower the CIT rate from 30% to 25% for unregulated companies; increase the Initial Capital Allowances (ICA); and allow for an Employment Tax Credit (ETC)</w:t>
            </w:r>
          </w:p>
        </w:tc>
        <w:tc>
          <w:tcPr>
            <w:tcW w:w="2367" w:type="dxa"/>
          </w:tcPr>
          <w:p w:rsidR="00BA623B" w:rsidRPr="0092424C" w:rsidRDefault="00BA623B" w:rsidP="00266A80">
            <w:pPr>
              <w:jc w:val="both"/>
              <w:rPr>
                <w:rFonts w:ascii="Times New Roman" w:hAnsi="Times New Roman" w:cs="Times New Roman"/>
                <w:sz w:val="20"/>
                <w:szCs w:val="20"/>
              </w:rPr>
            </w:pPr>
            <w:r w:rsidRPr="0092424C">
              <w:rPr>
                <w:rFonts w:ascii="Times New Roman" w:hAnsi="Times New Roman" w:cs="Times New Roman"/>
                <w:sz w:val="20"/>
                <w:szCs w:val="20"/>
                <w:lang w:val="en-GB"/>
              </w:rPr>
              <w:t>Reduce economic distortions and promote economic growth</w:t>
            </w:r>
          </w:p>
        </w:tc>
      </w:tr>
      <w:tr w:rsidR="00BA623B" w:rsidTr="0092424C">
        <w:tc>
          <w:tcPr>
            <w:tcW w:w="2367" w:type="dxa"/>
          </w:tcPr>
          <w:p w:rsidR="00BA623B" w:rsidRPr="0092424C" w:rsidRDefault="00BA623B"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t>Cabinet approval of customs</w:t>
            </w:r>
          </w:p>
          <w:p w:rsidR="00BA623B" w:rsidRPr="0092424C" w:rsidRDefault="00BA623B"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t>reform strategy and</w:t>
            </w:r>
          </w:p>
          <w:p w:rsidR="00BA623B" w:rsidRPr="0092424C" w:rsidRDefault="00BA623B"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lastRenderedPageBreak/>
              <w:t>implementation plan</w:t>
            </w:r>
          </w:p>
        </w:tc>
        <w:tc>
          <w:tcPr>
            <w:tcW w:w="2367" w:type="dxa"/>
          </w:tcPr>
          <w:p w:rsidR="00BA623B" w:rsidRPr="0092424C" w:rsidRDefault="00BA623B"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lastRenderedPageBreak/>
              <w:t>To transform customs into a</w:t>
            </w:r>
          </w:p>
          <w:p w:rsidR="00BA623B" w:rsidRPr="0092424C" w:rsidRDefault="00BA623B" w:rsidP="00266A80">
            <w:pPr>
              <w:autoSpaceDE w:val="0"/>
              <w:autoSpaceDN w:val="0"/>
              <w:adjustRightInd w:val="0"/>
              <w:jc w:val="both"/>
              <w:rPr>
                <w:rFonts w:ascii="Times New Roman" w:hAnsi="Times New Roman" w:cs="Times New Roman"/>
                <w:sz w:val="20"/>
                <w:szCs w:val="20"/>
              </w:rPr>
            </w:pPr>
            <w:r w:rsidRPr="0092424C">
              <w:rPr>
                <w:rFonts w:ascii="Times New Roman" w:hAnsi="Times New Roman" w:cs="Times New Roman"/>
                <w:sz w:val="20"/>
                <w:szCs w:val="20"/>
              </w:rPr>
              <w:t xml:space="preserve">modern and efficient </w:t>
            </w:r>
            <w:r w:rsidRPr="0092424C">
              <w:rPr>
                <w:rFonts w:ascii="Times New Roman" w:hAnsi="Times New Roman" w:cs="Times New Roman"/>
                <w:sz w:val="20"/>
                <w:szCs w:val="20"/>
              </w:rPr>
              <w:lastRenderedPageBreak/>
              <w:t>entity.</w:t>
            </w:r>
          </w:p>
        </w:tc>
        <w:tc>
          <w:tcPr>
            <w:tcW w:w="2367" w:type="dxa"/>
          </w:tcPr>
          <w:p w:rsidR="00BA623B" w:rsidRPr="0092424C" w:rsidRDefault="00BA623B" w:rsidP="00266A80">
            <w:pPr>
              <w:jc w:val="both"/>
              <w:rPr>
                <w:rFonts w:ascii="Times New Roman" w:hAnsi="Times New Roman" w:cs="Times New Roman"/>
                <w:sz w:val="20"/>
                <w:szCs w:val="20"/>
              </w:rPr>
            </w:pPr>
            <w:r w:rsidRPr="0092424C">
              <w:rPr>
                <w:rFonts w:ascii="Times New Roman" w:hAnsi="Times New Roman" w:cs="Times New Roman"/>
                <w:sz w:val="20"/>
                <w:szCs w:val="20"/>
                <w:lang w:val="en-GB"/>
              </w:rPr>
              <w:lastRenderedPageBreak/>
              <w:t>Simplify the tariff structure by reducing import tariff dispersion.</w:t>
            </w:r>
          </w:p>
        </w:tc>
        <w:tc>
          <w:tcPr>
            <w:tcW w:w="2367" w:type="dxa"/>
          </w:tcPr>
          <w:p w:rsidR="00BA623B" w:rsidRPr="0092424C" w:rsidRDefault="00BA623B" w:rsidP="00266A80">
            <w:pPr>
              <w:jc w:val="both"/>
              <w:rPr>
                <w:rFonts w:ascii="Times New Roman" w:hAnsi="Times New Roman" w:cs="Times New Roman"/>
                <w:sz w:val="20"/>
                <w:szCs w:val="20"/>
              </w:rPr>
            </w:pPr>
            <w:r w:rsidRPr="0092424C">
              <w:rPr>
                <w:rFonts w:ascii="Times New Roman" w:hAnsi="Times New Roman" w:cs="Times New Roman"/>
                <w:sz w:val="20"/>
                <w:szCs w:val="20"/>
                <w:lang w:val="en-GB"/>
              </w:rPr>
              <w:t xml:space="preserve">to reduce economic distortions and inequities resulting from the tax </w:t>
            </w:r>
            <w:r w:rsidRPr="0092424C">
              <w:rPr>
                <w:rFonts w:ascii="Times New Roman" w:hAnsi="Times New Roman" w:cs="Times New Roman"/>
                <w:sz w:val="20"/>
                <w:szCs w:val="20"/>
                <w:lang w:val="en-GB"/>
              </w:rPr>
              <w:lastRenderedPageBreak/>
              <w:t>system</w:t>
            </w:r>
          </w:p>
        </w:tc>
      </w:tr>
      <w:tr w:rsidR="00BA623B" w:rsidTr="0092424C">
        <w:tc>
          <w:tcPr>
            <w:tcW w:w="2367" w:type="dxa"/>
          </w:tcPr>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lastRenderedPageBreak/>
              <w:t>Introduce Personal Income Tax</w:t>
            </w:r>
          </w:p>
        </w:tc>
        <w:tc>
          <w:tcPr>
            <w:tcW w:w="2367" w:type="dxa"/>
          </w:tcPr>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To broader the tax base and</w:t>
            </w:r>
          </w:p>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provide for more equitable</w:t>
            </w:r>
          </w:p>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taxation</w:t>
            </w:r>
          </w:p>
        </w:tc>
        <w:tc>
          <w:tcPr>
            <w:tcW w:w="2367" w:type="dxa"/>
          </w:tcPr>
          <w:p w:rsidR="00BA623B" w:rsidRPr="0092424C" w:rsidRDefault="003E7F82" w:rsidP="00C530FE">
            <w:pPr>
              <w:jc w:val="both"/>
              <w:rPr>
                <w:rFonts w:ascii="Times New Roman" w:hAnsi="Times New Roman" w:cs="Times New Roman"/>
                <w:sz w:val="20"/>
                <w:szCs w:val="20"/>
              </w:rPr>
            </w:pPr>
            <w:r w:rsidRPr="0092424C">
              <w:rPr>
                <w:rFonts w:ascii="Times New Roman" w:hAnsi="Times New Roman" w:cs="Times New Roman"/>
                <w:sz w:val="20"/>
                <w:szCs w:val="20"/>
                <w:lang w:val="en-GB"/>
              </w:rPr>
              <w:t>Establish a Minimum Business Tax (MBT), and a cap of 50% on claims for deduction of tax losses forwarded in any year of assessment on chargeable income (CIT and PIT).</w:t>
            </w:r>
          </w:p>
        </w:tc>
        <w:tc>
          <w:tcPr>
            <w:tcW w:w="2367" w:type="dxa"/>
          </w:tcPr>
          <w:p w:rsidR="00BA623B" w:rsidRPr="0092424C" w:rsidRDefault="003E7F82" w:rsidP="00C530FE">
            <w:pPr>
              <w:jc w:val="both"/>
              <w:rPr>
                <w:rFonts w:ascii="Times New Roman" w:hAnsi="Times New Roman" w:cs="Times New Roman"/>
                <w:sz w:val="20"/>
                <w:szCs w:val="20"/>
              </w:rPr>
            </w:pPr>
            <w:r w:rsidRPr="0092424C">
              <w:rPr>
                <w:rFonts w:ascii="Times New Roman" w:hAnsi="Times New Roman" w:cs="Times New Roman"/>
                <w:sz w:val="20"/>
                <w:szCs w:val="20"/>
              </w:rPr>
              <w:t>Broaden the tax base and provide a more equitable taxation</w:t>
            </w:r>
          </w:p>
        </w:tc>
      </w:tr>
      <w:tr w:rsidR="00BA623B" w:rsidTr="0092424C">
        <w:trPr>
          <w:trHeight w:val="890"/>
        </w:trPr>
        <w:tc>
          <w:tcPr>
            <w:tcW w:w="2367" w:type="dxa"/>
          </w:tcPr>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Submit to National Assembly a</w:t>
            </w:r>
          </w:p>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new customs management act</w:t>
            </w:r>
          </w:p>
        </w:tc>
        <w:tc>
          <w:tcPr>
            <w:tcW w:w="2367" w:type="dxa"/>
          </w:tcPr>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To institutionalize best</w:t>
            </w:r>
          </w:p>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international practice and a</w:t>
            </w:r>
          </w:p>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better business climate.</w:t>
            </w:r>
          </w:p>
        </w:tc>
        <w:tc>
          <w:tcPr>
            <w:tcW w:w="2367" w:type="dxa"/>
          </w:tcPr>
          <w:p w:rsidR="00BA623B" w:rsidRPr="0092424C" w:rsidRDefault="0041524B" w:rsidP="00C530FE">
            <w:pPr>
              <w:jc w:val="both"/>
              <w:rPr>
                <w:rFonts w:ascii="Times New Roman" w:hAnsi="Times New Roman" w:cs="Times New Roman"/>
                <w:sz w:val="20"/>
                <w:szCs w:val="20"/>
              </w:rPr>
            </w:pPr>
            <w:r w:rsidRPr="0092424C">
              <w:rPr>
                <w:rFonts w:ascii="Times New Roman" w:hAnsi="Times New Roman" w:cs="Times New Roman"/>
                <w:sz w:val="20"/>
                <w:szCs w:val="20"/>
                <w:lang w:val="en-GB"/>
              </w:rPr>
              <w:t>R</w:t>
            </w:r>
            <w:r w:rsidR="003E7F82" w:rsidRPr="0092424C">
              <w:rPr>
                <w:rFonts w:ascii="Times New Roman" w:hAnsi="Times New Roman" w:cs="Times New Roman"/>
                <w:sz w:val="20"/>
                <w:szCs w:val="20"/>
                <w:lang w:val="en-GB"/>
              </w:rPr>
              <w:t>equire that all large taxpayers and all employers with more than 20 employees file their tax returns electronically; that the TAJ and JCA issue regulations to establish tax and customs duty e-Payment systems; and that the JCA implement a proprietary software package (ACCPAC) to strengthen its accounting and financial IT systems.</w:t>
            </w:r>
          </w:p>
        </w:tc>
        <w:tc>
          <w:tcPr>
            <w:tcW w:w="2367" w:type="dxa"/>
          </w:tcPr>
          <w:p w:rsidR="00BA623B" w:rsidRPr="0092424C" w:rsidRDefault="003E7F82" w:rsidP="00C530FE">
            <w:pPr>
              <w:jc w:val="both"/>
              <w:rPr>
                <w:rFonts w:ascii="Times New Roman" w:hAnsi="Times New Roman" w:cs="Times New Roman"/>
                <w:sz w:val="20"/>
                <w:szCs w:val="20"/>
              </w:rPr>
            </w:pPr>
            <w:r w:rsidRPr="0092424C">
              <w:rPr>
                <w:rFonts w:ascii="Times New Roman" w:hAnsi="Times New Roman" w:cs="Times New Roman"/>
                <w:sz w:val="20"/>
                <w:szCs w:val="20"/>
              </w:rPr>
              <w:t>Institutionalize best practices and better business climate in Tax Administration and Customs Jamaica</w:t>
            </w:r>
          </w:p>
        </w:tc>
      </w:tr>
      <w:tr w:rsidR="00BA623B" w:rsidTr="0092424C">
        <w:tc>
          <w:tcPr>
            <w:tcW w:w="2367" w:type="dxa"/>
          </w:tcPr>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Adopt Public Enterprise</w:t>
            </w:r>
          </w:p>
          <w:p w:rsidR="00BA623B" w:rsidRPr="0092424C" w:rsidRDefault="00BA623B" w:rsidP="00294A4B">
            <w:pPr>
              <w:jc w:val="both"/>
              <w:rPr>
                <w:rFonts w:ascii="Times New Roman" w:hAnsi="Times New Roman" w:cs="Times New Roman"/>
                <w:sz w:val="20"/>
                <w:szCs w:val="20"/>
              </w:rPr>
            </w:pPr>
            <w:r w:rsidRPr="0092424C">
              <w:rPr>
                <w:rFonts w:ascii="Times New Roman" w:hAnsi="Times New Roman" w:cs="Times New Roman"/>
                <w:sz w:val="20"/>
                <w:szCs w:val="20"/>
              </w:rPr>
              <w:t>Monitoring and Control act.</w:t>
            </w:r>
          </w:p>
        </w:tc>
        <w:tc>
          <w:tcPr>
            <w:tcW w:w="2367" w:type="dxa"/>
          </w:tcPr>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To improve oversight over</w:t>
            </w:r>
          </w:p>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public enterprises and reduce</w:t>
            </w:r>
          </w:p>
          <w:p w:rsidR="00BA623B" w:rsidRPr="0092424C" w:rsidRDefault="00BA623B" w:rsidP="00294A4B">
            <w:pPr>
              <w:jc w:val="both"/>
              <w:rPr>
                <w:rFonts w:ascii="Times New Roman" w:hAnsi="Times New Roman" w:cs="Times New Roman"/>
                <w:sz w:val="20"/>
                <w:szCs w:val="20"/>
              </w:rPr>
            </w:pPr>
            <w:r w:rsidRPr="0092424C">
              <w:rPr>
                <w:rFonts w:ascii="Times New Roman" w:hAnsi="Times New Roman" w:cs="Times New Roman"/>
                <w:sz w:val="20"/>
                <w:szCs w:val="20"/>
              </w:rPr>
              <w:t>quasi-fiscal risks.</w:t>
            </w:r>
          </w:p>
        </w:tc>
        <w:tc>
          <w:tcPr>
            <w:tcW w:w="2367" w:type="dxa"/>
          </w:tcPr>
          <w:p w:rsidR="00BA623B" w:rsidRPr="0092424C" w:rsidRDefault="003E7F82" w:rsidP="003E7F82">
            <w:pPr>
              <w:jc w:val="both"/>
              <w:rPr>
                <w:rFonts w:ascii="Times New Roman" w:hAnsi="Times New Roman" w:cs="Times New Roman"/>
                <w:sz w:val="20"/>
                <w:szCs w:val="20"/>
              </w:rPr>
            </w:pPr>
            <w:r w:rsidRPr="0092424C">
              <w:rPr>
                <w:rFonts w:ascii="Times New Roman" w:hAnsi="Times New Roman" w:cs="Times New Roman"/>
                <w:bCs/>
                <w:sz w:val="20"/>
                <w:szCs w:val="20"/>
              </w:rPr>
              <w:t>U</w:t>
            </w:r>
            <w:r w:rsidRPr="0092424C">
              <w:rPr>
                <w:rFonts w:ascii="Times New Roman" w:hAnsi="Times New Roman" w:cs="Times New Roman"/>
                <w:bCs/>
                <w:sz w:val="20"/>
                <w:szCs w:val="20"/>
                <w:lang w:val="en-GB"/>
              </w:rPr>
              <w:t xml:space="preserve">pdate the </w:t>
            </w:r>
            <w:r w:rsidRPr="0092424C">
              <w:rPr>
                <w:rFonts w:ascii="Times New Roman" w:hAnsi="Times New Roman" w:cs="Times New Roman"/>
                <w:sz w:val="20"/>
                <w:szCs w:val="20"/>
                <w:lang w:val="en-GB"/>
              </w:rPr>
              <w:t xml:space="preserve">2010 Master Rationalisation Plan (MRP) that calls for divestment, merger or winding up of the PBs. </w:t>
            </w:r>
          </w:p>
        </w:tc>
        <w:tc>
          <w:tcPr>
            <w:tcW w:w="2367" w:type="dxa"/>
          </w:tcPr>
          <w:p w:rsidR="00BA623B" w:rsidRPr="0092424C" w:rsidRDefault="00156A40" w:rsidP="00C530FE">
            <w:pPr>
              <w:jc w:val="both"/>
              <w:rPr>
                <w:rFonts w:ascii="Times New Roman" w:hAnsi="Times New Roman" w:cs="Times New Roman"/>
                <w:sz w:val="20"/>
                <w:szCs w:val="20"/>
              </w:rPr>
            </w:pPr>
            <w:r w:rsidRPr="0092424C">
              <w:rPr>
                <w:rFonts w:ascii="Times New Roman" w:hAnsi="Times New Roman" w:cs="Times New Roman"/>
                <w:sz w:val="20"/>
                <w:szCs w:val="20"/>
              </w:rPr>
              <w:t>To improve oversight over public enterprises</w:t>
            </w:r>
          </w:p>
        </w:tc>
      </w:tr>
      <w:tr w:rsidR="00BA623B" w:rsidTr="0092424C">
        <w:tc>
          <w:tcPr>
            <w:tcW w:w="2367" w:type="dxa"/>
          </w:tcPr>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Ministry of Finance also has submitted the</w:t>
            </w:r>
          </w:p>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financial audits of several public enterprises to the scrutiny of the Public Accounts</w:t>
            </w:r>
          </w:p>
          <w:p w:rsidR="00BA623B" w:rsidRPr="0092424C" w:rsidRDefault="00BA623B" w:rsidP="00294A4B">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Committee of the National Assembly</w:t>
            </w:r>
          </w:p>
        </w:tc>
        <w:tc>
          <w:tcPr>
            <w:tcW w:w="2367" w:type="dxa"/>
          </w:tcPr>
          <w:p w:rsidR="00BA623B" w:rsidRPr="0092424C" w:rsidRDefault="003E7F82" w:rsidP="00D564F1">
            <w:pPr>
              <w:autoSpaceDE w:val="0"/>
              <w:autoSpaceDN w:val="0"/>
              <w:adjustRightInd w:val="0"/>
              <w:rPr>
                <w:rFonts w:ascii="Times New Roman" w:hAnsi="Times New Roman" w:cs="Times New Roman"/>
                <w:sz w:val="20"/>
                <w:szCs w:val="20"/>
              </w:rPr>
            </w:pPr>
            <w:r w:rsidRPr="0092424C">
              <w:rPr>
                <w:rFonts w:ascii="Times New Roman" w:hAnsi="Times New Roman" w:cs="Times New Roman"/>
                <w:sz w:val="20"/>
                <w:szCs w:val="20"/>
              </w:rPr>
              <w:t xml:space="preserve">To improve oversight and accountability of Public </w:t>
            </w:r>
            <w:r w:rsidR="00156A40" w:rsidRPr="0092424C">
              <w:rPr>
                <w:rFonts w:ascii="Times New Roman" w:hAnsi="Times New Roman" w:cs="Times New Roman"/>
                <w:sz w:val="20"/>
                <w:szCs w:val="20"/>
              </w:rPr>
              <w:t>Enterprises</w:t>
            </w:r>
          </w:p>
        </w:tc>
        <w:tc>
          <w:tcPr>
            <w:tcW w:w="2367" w:type="dxa"/>
          </w:tcPr>
          <w:p w:rsidR="00BA623B" w:rsidRPr="0092424C" w:rsidRDefault="003E7F82" w:rsidP="003E7F82">
            <w:pPr>
              <w:jc w:val="both"/>
              <w:rPr>
                <w:rFonts w:ascii="Times New Roman" w:hAnsi="Times New Roman" w:cs="Times New Roman"/>
                <w:sz w:val="20"/>
                <w:szCs w:val="20"/>
              </w:rPr>
            </w:pPr>
            <w:r w:rsidRPr="0092424C">
              <w:rPr>
                <w:rFonts w:ascii="Times New Roman" w:hAnsi="Times New Roman" w:cs="Times New Roman"/>
                <w:sz w:val="20"/>
                <w:szCs w:val="20"/>
                <w:lang w:val="en-GB"/>
              </w:rPr>
              <w:t xml:space="preserve">The PBs are also to be held more accountable by means of requiring an increasing proportion of them to comply with a six-month deadline for filing their annual financial statements after the close of the financial year. </w:t>
            </w:r>
          </w:p>
        </w:tc>
        <w:tc>
          <w:tcPr>
            <w:tcW w:w="2367" w:type="dxa"/>
          </w:tcPr>
          <w:p w:rsidR="00BA623B" w:rsidRPr="0092424C" w:rsidRDefault="003E7F82" w:rsidP="00CD651B">
            <w:pPr>
              <w:jc w:val="both"/>
              <w:rPr>
                <w:rFonts w:ascii="Times New Roman" w:hAnsi="Times New Roman" w:cs="Times New Roman"/>
                <w:sz w:val="20"/>
                <w:szCs w:val="20"/>
              </w:rPr>
            </w:pPr>
            <w:r w:rsidRPr="0092424C">
              <w:rPr>
                <w:rFonts w:ascii="Times New Roman" w:hAnsi="Times New Roman" w:cs="Times New Roman"/>
                <w:sz w:val="20"/>
                <w:szCs w:val="20"/>
                <w:lang w:val="en-GB"/>
              </w:rPr>
              <w:t>To extend full financial oversight to the partially funded entities, the PED will be restructured and a</w:t>
            </w:r>
            <w:r w:rsidR="00CD651B" w:rsidRPr="0092424C">
              <w:rPr>
                <w:rFonts w:ascii="Times New Roman" w:hAnsi="Times New Roman" w:cs="Times New Roman"/>
                <w:sz w:val="20"/>
                <w:szCs w:val="20"/>
                <w:lang w:val="en-GB"/>
              </w:rPr>
              <w:t xml:space="preserve"> </w:t>
            </w:r>
            <w:r w:rsidRPr="0092424C">
              <w:rPr>
                <w:rFonts w:ascii="Times New Roman" w:hAnsi="Times New Roman" w:cs="Times New Roman"/>
                <w:sz w:val="20"/>
                <w:szCs w:val="20"/>
                <w:lang w:val="en-GB"/>
              </w:rPr>
              <w:t>strengthened monitoring and reporting system will be in place, with the goal of expanding its capability to examine balance sheet and P&amp;L</w:t>
            </w:r>
          </w:p>
        </w:tc>
      </w:tr>
    </w:tbl>
    <w:p w:rsidR="00BF49CD" w:rsidRPr="00C530FE" w:rsidRDefault="00BF49CD" w:rsidP="00C530FE">
      <w:pPr>
        <w:jc w:val="both"/>
        <w:rPr>
          <w:rFonts w:ascii="Times New Roman" w:hAnsi="Times New Roman" w:cs="Times New Roman"/>
        </w:rPr>
      </w:pPr>
    </w:p>
    <w:sectPr w:rsidR="00BF49CD" w:rsidRPr="00C530F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3B2" w:rsidRDefault="004F03B2" w:rsidP="00BA623B">
      <w:pPr>
        <w:spacing w:after="0" w:line="240" w:lineRule="auto"/>
      </w:pPr>
      <w:r>
        <w:separator/>
      </w:r>
    </w:p>
  </w:endnote>
  <w:endnote w:type="continuationSeparator" w:id="0">
    <w:p w:rsidR="004F03B2" w:rsidRDefault="004F03B2" w:rsidP="00BA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0F5" w:rsidRDefault="00FB00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0F5" w:rsidRDefault="00FB00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0F5" w:rsidRDefault="00FB00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3B2" w:rsidRDefault="004F03B2" w:rsidP="00BA623B">
      <w:pPr>
        <w:spacing w:after="0" w:line="240" w:lineRule="auto"/>
      </w:pPr>
      <w:r>
        <w:separator/>
      </w:r>
    </w:p>
  </w:footnote>
  <w:footnote w:type="continuationSeparator" w:id="0">
    <w:p w:rsidR="004F03B2" w:rsidRDefault="004F03B2" w:rsidP="00BA62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0F5" w:rsidRDefault="00FB00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477648756"/>
      <w:docPartObj>
        <w:docPartGallery w:val="Page Numbers (Top of Page)"/>
        <w:docPartUnique/>
      </w:docPartObj>
    </w:sdtPr>
    <w:sdtEndPr/>
    <w:sdtContent>
      <w:p w:rsidR="0041524B" w:rsidRPr="0041524B" w:rsidRDefault="0041524B">
        <w:pPr>
          <w:pStyle w:val="Header"/>
          <w:jc w:val="right"/>
          <w:rPr>
            <w:rFonts w:ascii="Times New Roman" w:hAnsi="Times New Roman" w:cs="Times New Roman"/>
            <w:b/>
            <w:sz w:val="24"/>
            <w:szCs w:val="24"/>
          </w:rPr>
        </w:pPr>
        <w:r w:rsidRPr="0041524B">
          <w:rPr>
            <w:rFonts w:ascii="Times New Roman" w:hAnsi="Times New Roman" w:cs="Times New Roman"/>
            <w:b/>
            <w:sz w:val="24"/>
            <w:szCs w:val="24"/>
          </w:rPr>
          <w:t>Op</w:t>
        </w:r>
        <w:r w:rsidR="00FB00F5">
          <w:rPr>
            <w:rFonts w:ascii="Times New Roman" w:hAnsi="Times New Roman" w:cs="Times New Roman"/>
            <w:b/>
            <w:sz w:val="24"/>
            <w:szCs w:val="24"/>
          </w:rPr>
          <w:t>tional</w:t>
        </w:r>
        <w:r w:rsidRPr="0041524B">
          <w:rPr>
            <w:rFonts w:ascii="Times New Roman" w:hAnsi="Times New Roman" w:cs="Times New Roman"/>
            <w:b/>
            <w:sz w:val="24"/>
            <w:szCs w:val="24"/>
          </w:rPr>
          <w:t xml:space="preserve"> Electronic Link</w:t>
        </w:r>
        <w:r w:rsidR="006D379F">
          <w:rPr>
            <w:rFonts w:ascii="Times New Roman" w:hAnsi="Times New Roman" w:cs="Times New Roman"/>
            <w:b/>
            <w:sz w:val="24"/>
            <w:szCs w:val="24"/>
          </w:rPr>
          <w:t># 11</w:t>
        </w:r>
        <w:bookmarkStart w:id="0" w:name="_GoBack"/>
        <w:bookmarkEnd w:id="0"/>
        <w:r w:rsidRPr="0041524B">
          <w:rPr>
            <w:rFonts w:ascii="Times New Roman" w:hAnsi="Times New Roman" w:cs="Times New Roman"/>
            <w:b/>
            <w:sz w:val="24"/>
            <w:szCs w:val="24"/>
          </w:rPr>
          <w:t xml:space="preserve">  - JA-L</w:t>
        </w:r>
        <w:r w:rsidR="00FB00F5">
          <w:rPr>
            <w:rFonts w:ascii="Times New Roman" w:hAnsi="Times New Roman" w:cs="Times New Roman"/>
            <w:b/>
            <w:sz w:val="24"/>
            <w:szCs w:val="24"/>
          </w:rPr>
          <w:t>1051</w:t>
        </w:r>
      </w:p>
      <w:p w:rsidR="0041524B" w:rsidRPr="0041524B" w:rsidRDefault="0041524B">
        <w:pPr>
          <w:pStyle w:val="Header"/>
          <w:jc w:val="right"/>
          <w:rPr>
            <w:rFonts w:ascii="Times New Roman" w:hAnsi="Times New Roman" w:cs="Times New Roman"/>
            <w:sz w:val="20"/>
            <w:szCs w:val="20"/>
          </w:rPr>
        </w:pPr>
        <w:r w:rsidRPr="0041524B">
          <w:rPr>
            <w:rFonts w:ascii="Times New Roman" w:hAnsi="Times New Roman" w:cs="Times New Roman"/>
            <w:sz w:val="20"/>
            <w:szCs w:val="20"/>
          </w:rPr>
          <w:t xml:space="preserve">Page </w:t>
        </w:r>
        <w:r w:rsidRPr="0041524B">
          <w:rPr>
            <w:rFonts w:ascii="Times New Roman" w:hAnsi="Times New Roman" w:cs="Times New Roman"/>
            <w:b/>
            <w:bCs/>
            <w:sz w:val="20"/>
            <w:szCs w:val="20"/>
          </w:rPr>
          <w:fldChar w:fldCharType="begin"/>
        </w:r>
        <w:r w:rsidRPr="0041524B">
          <w:rPr>
            <w:rFonts w:ascii="Times New Roman" w:hAnsi="Times New Roman" w:cs="Times New Roman"/>
            <w:b/>
            <w:bCs/>
            <w:sz w:val="20"/>
            <w:szCs w:val="20"/>
          </w:rPr>
          <w:instrText xml:space="preserve"> PAGE </w:instrText>
        </w:r>
        <w:r w:rsidRPr="0041524B">
          <w:rPr>
            <w:rFonts w:ascii="Times New Roman" w:hAnsi="Times New Roman" w:cs="Times New Roman"/>
            <w:b/>
            <w:bCs/>
            <w:sz w:val="20"/>
            <w:szCs w:val="20"/>
          </w:rPr>
          <w:fldChar w:fldCharType="separate"/>
        </w:r>
        <w:r w:rsidR="006D379F">
          <w:rPr>
            <w:rFonts w:ascii="Times New Roman" w:hAnsi="Times New Roman" w:cs="Times New Roman"/>
            <w:b/>
            <w:bCs/>
            <w:noProof/>
            <w:sz w:val="20"/>
            <w:szCs w:val="20"/>
          </w:rPr>
          <w:t>1</w:t>
        </w:r>
        <w:r w:rsidRPr="0041524B">
          <w:rPr>
            <w:rFonts w:ascii="Times New Roman" w:hAnsi="Times New Roman" w:cs="Times New Roman"/>
            <w:b/>
            <w:bCs/>
            <w:sz w:val="20"/>
            <w:szCs w:val="20"/>
          </w:rPr>
          <w:fldChar w:fldCharType="end"/>
        </w:r>
        <w:r w:rsidRPr="0041524B">
          <w:rPr>
            <w:rFonts w:ascii="Times New Roman" w:hAnsi="Times New Roman" w:cs="Times New Roman"/>
            <w:sz w:val="20"/>
            <w:szCs w:val="20"/>
          </w:rPr>
          <w:t xml:space="preserve"> of </w:t>
        </w:r>
        <w:r w:rsidRPr="0041524B">
          <w:rPr>
            <w:rFonts w:ascii="Times New Roman" w:hAnsi="Times New Roman" w:cs="Times New Roman"/>
            <w:b/>
            <w:bCs/>
            <w:sz w:val="20"/>
            <w:szCs w:val="20"/>
          </w:rPr>
          <w:fldChar w:fldCharType="begin"/>
        </w:r>
        <w:r w:rsidRPr="0041524B">
          <w:rPr>
            <w:rFonts w:ascii="Times New Roman" w:hAnsi="Times New Roman" w:cs="Times New Roman"/>
            <w:b/>
            <w:bCs/>
            <w:sz w:val="20"/>
            <w:szCs w:val="20"/>
          </w:rPr>
          <w:instrText xml:space="preserve"> NUMPAGES  </w:instrText>
        </w:r>
        <w:r w:rsidRPr="0041524B">
          <w:rPr>
            <w:rFonts w:ascii="Times New Roman" w:hAnsi="Times New Roman" w:cs="Times New Roman"/>
            <w:b/>
            <w:bCs/>
            <w:sz w:val="20"/>
            <w:szCs w:val="20"/>
          </w:rPr>
          <w:fldChar w:fldCharType="separate"/>
        </w:r>
        <w:r w:rsidR="006D379F">
          <w:rPr>
            <w:rFonts w:ascii="Times New Roman" w:hAnsi="Times New Roman" w:cs="Times New Roman"/>
            <w:b/>
            <w:bCs/>
            <w:noProof/>
            <w:sz w:val="20"/>
            <w:szCs w:val="20"/>
          </w:rPr>
          <w:t>4</w:t>
        </w:r>
        <w:r w:rsidRPr="0041524B">
          <w:rPr>
            <w:rFonts w:ascii="Times New Roman" w:hAnsi="Times New Roman" w:cs="Times New Roman"/>
            <w:b/>
            <w:bCs/>
            <w:sz w:val="20"/>
            <w:szCs w:val="20"/>
          </w:rPr>
          <w:fldChar w:fldCharType="end"/>
        </w:r>
      </w:p>
    </w:sdtContent>
  </w:sdt>
  <w:p w:rsidR="0041524B" w:rsidRDefault="004152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0F5" w:rsidRDefault="00FB00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85A90"/>
    <w:multiLevelType w:val="hybridMultilevel"/>
    <w:tmpl w:val="62B43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0CA"/>
    <w:rsid w:val="0003290E"/>
    <w:rsid w:val="00156A40"/>
    <w:rsid w:val="00266A80"/>
    <w:rsid w:val="003800CA"/>
    <w:rsid w:val="003A20ED"/>
    <w:rsid w:val="003C4413"/>
    <w:rsid w:val="003E7F82"/>
    <w:rsid w:val="0041524B"/>
    <w:rsid w:val="00425DDB"/>
    <w:rsid w:val="0049265C"/>
    <w:rsid w:val="004F03B2"/>
    <w:rsid w:val="005439F7"/>
    <w:rsid w:val="005F3FA7"/>
    <w:rsid w:val="00625715"/>
    <w:rsid w:val="006D379F"/>
    <w:rsid w:val="007E4DCB"/>
    <w:rsid w:val="007E7D61"/>
    <w:rsid w:val="00870D98"/>
    <w:rsid w:val="0092424C"/>
    <w:rsid w:val="009F0457"/>
    <w:rsid w:val="00A0070A"/>
    <w:rsid w:val="00AC2C9F"/>
    <w:rsid w:val="00B43B02"/>
    <w:rsid w:val="00BA623B"/>
    <w:rsid w:val="00BF49CD"/>
    <w:rsid w:val="00C530FE"/>
    <w:rsid w:val="00CD651B"/>
    <w:rsid w:val="00D564F1"/>
    <w:rsid w:val="00D92A4F"/>
    <w:rsid w:val="00E72E69"/>
    <w:rsid w:val="00FB00F5"/>
    <w:rsid w:val="00FB2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800CA"/>
    <w:rPr>
      <w:strike w:val="0"/>
      <w:dstrike w:val="0"/>
      <w:color w:val="333333"/>
      <w:u w:val="single"/>
      <w:effect w:val="none"/>
    </w:rPr>
  </w:style>
  <w:style w:type="paragraph" w:styleId="ListParagraph">
    <w:name w:val="List Paragraph"/>
    <w:basedOn w:val="Normal"/>
    <w:uiPriority w:val="34"/>
    <w:qFormat/>
    <w:rsid w:val="00C530FE"/>
    <w:pPr>
      <w:ind w:left="720"/>
      <w:contextualSpacing/>
    </w:pPr>
  </w:style>
  <w:style w:type="table" w:styleId="TableGrid">
    <w:name w:val="Table Grid"/>
    <w:basedOn w:val="TableNormal"/>
    <w:uiPriority w:val="59"/>
    <w:rsid w:val="00D56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n1,AD"/>
    <w:basedOn w:val="Normal"/>
    <w:link w:val="FootnoteTextChar"/>
    <w:qFormat/>
    <w:rsid w:val="00BA623B"/>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basedOn w:val="DefaultParagraphFont"/>
    <w:link w:val="FootnoteText"/>
    <w:rsid w:val="00BA623B"/>
    <w:rPr>
      <w:rFonts w:ascii="Times New Roman" w:eastAsia="Times New Roman" w:hAnsi="Times New Roman" w:cs="Times New Roman"/>
      <w:spacing w:val="-3"/>
      <w:sz w:val="20"/>
      <w:szCs w:val="20"/>
    </w:r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rsid w:val="00BA623B"/>
    <w:rPr>
      <w:vertAlign w:val="superscript"/>
    </w:rPr>
  </w:style>
  <w:style w:type="paragraph" w:styleId="Header">
    <w:name w:val="header"/>
    <w:basedOn w:val="Normal"/>
    <w:link w:val="HeaderChar"/>
    <w:uiPriority w:val="99"/>
    <w:unhideWhenUsed/>
    <w:rsid w:val="00415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24B"/>
  </w:style>
  <w:style w:type="paragraph" w:styleId="Footer">
    <w:name w:val="footer"/>
    <w:basedOn w:val="Normal"/>
    <w:link w:val="FooterChar"/>
    <w:uiPriority w:val="99"/>
    <w:unhideWhenUsed/>
    <w:rsid w:val="00415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2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800CA"/>
    <w:rPr>
      <w:strike w:val="0"/>
      <w:dstrike w:val="0"/>
      <w:color w:val="333333"/>
      <w:u w:val="single"/>
      <w:effect w:val="none"/>
    </w:rPr>
  </w:style>
  <w:style w:type="paragraph" w:styleId="ListParagraph">
    <w:name w:val="List Paragraph"/>
    <w:basedOn w:val="Normal"/>
    <w:uiPriority w:val="34"/>
    <w:qFormat/>
    <w:rsid w:val="00C530FE"/>
    <w:pPr>
      <w:ind w:left="720"/>
      <w:contextualSpacing/>
    </w:pPr>
  </w:style>
  <w:style w:type="table" w:styleId="TableGrid">
    <w:name w:val="Table Grid"/>
    <w:basedOn w:val="TableNormal"/>
    <w:uiPriority w:val="59"/>
    <w:rsid w:val="00D56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n1,AD"/>
    <w:basedOn w:val="Normal"/>
    <w:link w:val="FootnoteTextChar"/>
    <w:qFormat/>
    <w:rsid w:val="00BA623B"/>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basedOn w:val="DefaultParagraphFont"/>
    <w:link w:val="FootnoteText"/>
    <w:rsid w:val="00BA623B"/>
    <w:rPr>
      <w:rFonts w:ascii="Times New Roman" w:eastAsia="Times New Roman" w:hAnsi="Times New Roman" w:cs="Times New Roman"/>
      <w:spacing w:val="-3"/>
      <w:sz w:val="20"/>
      <w:szCs w:val="20"/>
    </w:r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rsid w:val="00BA623B"/>
    <w:rPr>
      <w:vertAlign w:val="superscript"/>
    </w:rPr>
  </w:style>
  <w:style w:type="paragraph" w:styleId="Header">
    <w:name w:val="header"/>
    <w:basedOn w:val="Normal"/>
    <w:link w:val="HeaderChar"/>
    <w:uiPriority w:val="99"/>
    <w:unhideWhenUsed/>
    <w:rsid w:val="00415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24B"/>
  </w:style>
  <w:style w:type="paragraph" w:styleId="Footer">
    <w:name w:val="footer"/>
    <w:basedOn w:val="Normal"/>
    <w:link w:val="FooterChar"/>
    <w:uiPriority w:val="99"/>
    <w:unhideWhenUsed/>
    <w:rsid w:val="00415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290103">
      <w:bodyDiv w:val="1"/>
      <w:marLeft w:val="0"/>
      <w:marRight w:val="0"/>
      <w:marTop w:val="0"/>
      <w:marBottom w:val="0"/>
      <w:divBdr>
        <w:top w:val="none" w:sz="0" w:space="0" w:color="auto"/>
        <w:left w:val="none" w:sz="0" w:space="0" w:color="auto"/>
        <w:bottom w:val="none" w:sz="0" w:space="0" w:color="auto"/>
        <w:right w:val="none" w:sz="0" w:space="0" w:color="auto"/>
      </w:divBdr>
      <w:divsChild>
        <w:div w:id="1470631936">
          <w:marLeft w:val="0"/>
          <w:marRight w:val="0"/>
          <w:marTop w:val="0"/>
          <w:marBottom w:val="0"/>
          <w:divBdr>
            <w:top w:val="none" w:sz="0" w:space="0" w:color="auto"/>
            <w:left w:val="none" w:sz="0" w:space="0" w:color="auto"/>
            <w:bottom w:val="none" w:sz="0" w:space="0" w:color="auto"/>
            <w:right w:val="none" w:sz="0" w:space="0" w:color="auto"/>
          </w:divBdr>
          <w:divsChild>
            <w:div w:id="45641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5813">
      <w:bodyDiv w:val="1"/>
      <w:marLeft w:val="0"/>
      <w:marRight w:val="0"/>
      <w:marTop w:val="0"/>
      <w:marBottom w:val="0"/>
      <w:divBdr>
        <w:top w:val="none" w:sz="0" w:space="0" w:color="auto"/>
        <w:left w:val="none" w:sz="0" w:space="0" w:color="auto"/>
        <w:bottom w:val="none" w:sz="0" w:space="0" w:color="auto"/>
        <w:right w:val="none" w:sz="0" w:space="0" w:color="auto"/>
      </w:divBdr>
      <w:divsChild>
        <w:div w:id="1619291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26DC4F3548CEA4EA45C5AB28D0CB0FC" ma:contentTypeVersion="423" ma:contentTypeDescription="A content type to manage public (operations) IDB documents" ma:contentTypeScope="" ma:versionID="eafd24bb2f9dc605e9493a91b4b8ebe7">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38354211</IDBDocs_x0020_Number>
    <TaxCatchAll xmlns="cdc7663a-08f0-4737-9e8c-148ce897a09c">
      <Value>25</Value>
      <Value>10</Value>
      <Value>2</Value>
    </TaxCatchAll>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 xsi:nil="true"/>
    <Document_x0020_Author xmlns="cdc7663a-08f0-4737-9e8c-148ce897a09c">Reyes-Tagle, Gerardo</Document_x0020_Author>
    <Fiscal_x0020_Year_x0020_IDB xmlns="cdc7663a-08f0-4737-9e8c-148ce897a09c">2014</Fiscal_x0020_Year_x0020_IDB>
    <Other_x0020_Author xmlns="cdc7663a-08f0-4737-9e8c-148ce897a09c" xsi:nil="true"/>
    <Project_x0020_Number xmlns="cdc7663a-08f0-4737-9e8c-148ce897a09c">JA-L1038</Project_x0020_Number>
    <Package_x0020_Code xmlns="cdc7663a-08f0-4737-9e8c-148ce897a09c" xsi:nil="true"/>
    <Key_x0020_Document xmlns="cdc7663a-08f0-4737-9e8c-148ce897a09c">false</Key_x0020_Document>
    <Migration_x0020_Info xmlns="cdc7663a-08f0-4737-9e8c-148ce897a09c">&lt;div class="ExternalClassEC57055695544BD9BA1A3827D8D47794"&gt;MS WORDLPLoan Proposal0N&lt;/div&gt;</Migration_x0020_Info>
    <Operation_x0020_Type xmlns="cdc7663a-08f0-4737-9e8c-148ce897a09c" xsi:nil="true"/>
    <Record_x0020_Number xmlns="cdc7663a-08f0-4737-9e8c-148ce897a09c">R0002761235</Record_x0020_Number>
    <Document_x0020_Language_x0020_IDB xmlns="cdc7663a-08f0-4737-9e8c-148ce897a09c">English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EZSHARE-66712852-87</_dlc_DocId>
    <Publication_x0020_Type xmlns="cdc7663a-08f0-4737-9e8c-148ce897a09c" xsi:nil="true"/>
    <Issue_x0020_Date xmlns="cdc7663a-08f0-4737-9e8c-148ce897a09c" xsi:nil="true"/>
    <KP_x0020_Topics xmlns="cdc7663a-08f0-4737-9e8c-148ce897a09c" xsi:nil="true"/>
    <Webtopic xmlns="cdc7663a-08f0-4737-9e8c-148ce897a09c">Fiscal Issues and Public Finance</Webtopic>
    <Publishing_x0020_House xmlns="cdc7663a-08f0-4737-9e8c-148ce897a09c" xsi:nil="true"/>
    <Disclosed xmlns="cdc7663a-08f0-4737-9e8c-148ce897a09c">true</Disclosed>
    <_dlc_DocIdUrl xmlns="cdc7663a-08f0-4737-9e8c-148ce897a09c">
      <Url>https://idbg.sharepoint.com/teams/EZ-JA-LON/JA-L1038/_layouts/15/DocIdRedir.aspx?ID=EZSHARE-66712852-87</Url>
      <Description>EZSHARE-66712852-87</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D567CFF-A6EF-448C-AC0A-E7656588A03B}"/>
</file>

<file path=customXml/itemProps2.xml><?xml version="1.0" encoding="utf-8"?>
<ds:datastoreItem xmlns:ds="http://schemas.openxmlformats.org/officeDocument/2006/customXml" ds:itemID="{72E6263E-100C-41D8-AD75-412877F43419}"/>
</file>

<file path=customXml/itemProps3.xml><?xml version="1.0" encoding="utf-8"?>
<ds:datastoreItem xmlns:ds="http://schemas.openxmlformats.org/officeDocument/2006/customXml" ds:itemID="{FBAF4E4A-15BE-4147-981E-B7D5ABD63EAB}"/>
</file>

<file path=customXml/itemProps4.xml><?xml version="1.0" encoding="utf-8"?>
<ds:datastoreItem xmlns:ds="http://schemas.openxmlformats.org/officeDocument/2006/customXml" ds:itemID="{7C4AF312-382B-4501-A44B-6D334948D797}"/>
</file>

<file path=customXml/itemProps5.xml><?xml version="1.0" encoding="utf-8"?>
<ds:datastoreItem xmlns:ds="http://schemas.openxmlformats.org/officeDocument/2006/customXml" ds:itemID="{7132B54C-3FE3-49AF-96CC-D83C112E4333}"/>
</file>

<file path=customXml/itemProps6.xml><?xml version="1.0" encoding="utf-8"?>
<ds:datastoreItem xmlns:ds="http://schemas.openxmlformats.org/officeDocument/2006/customXml" ds:itemID="{A8030F98-9573-4812-B645-C1FCFCDFF3F9}"/>
</file>

<file path=customXml/itemProps7.xml><?xml version="1.0" encoding="utf-8"?>
<ds:datastoreItem xmlns:ds="http://schemas.openxmlformats.org/officeDocument/2006/customXml" ds:itemID="{C89F811F-EEEE-4A59-A1E3-768BA392317E}"/>
</file>

<file path=docProps/app.xml><?xml version="1.0" encoding="utf-8"?>
<Properties xmlns="http://schemas.openxmlformats.org/officeDocument/2006/extended-properties" xmlns:vt="http://schemas.openxmlformats.org/officeDocument/2006/docPropsVTypes">
  <Template>Normal.dotm</Template>
  <TotalTime>5</TotalTime>
  <Pages>4</Pages>
  <Words>1505</Words>
  <Characters>8265</Characters>
  <Application>Microsoft Office Word</Application>
  <DocSecurity>0</DocSecurity>
  <Lines>375</Lines>
  <Paragraphs>250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 Practices for Fiscal Consolidation Program compatible with the Jamaican Case (JA-L1038)</dc:title>
  <dc:creator>Inter-American Development Bank</dc:creator>
  <cp:lastModifiedBy>Test</cp:lastModifiedBy>
  <cp:revision>4</cp:revision>
  <dcterms:created xsi:type="dcterms:W3CDTF">2014-01-09T21:42:00Z</dcterms:created>
  <dcterms:modified xsi:type="dcterms:W3CDTF">2015-02-20T20:43:00Z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0x0101001A458A224826124E8B45B1D613300CFC00E26DC4F3548CEA4EA45C5AB28D0CB0FC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8" name="Country">
    <vt:lpwstr>25;#Jamaica|284b90e7-9693-4db7-a23e-8f79c831fe9a</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3" name="Sector IDB">
    <vt:lpwstr/>
  </property>
  <property fmtid="{D5CDD505-2E9C-101B-9397-08002B2CF9AE}" pid="14" name="Function Operations IDB">
    <vt:lpwstr>2;#Project Preparation, Planning and Design|29ca0c72-1fc4-435f-a09c-28585cb5eac9</vt:lpwstr>
  </property>
  <property fmtid="{D5CDD505-2E9C-101B-9397-08002B2CF9AE}" pid="15" name="Sub-Sector">
    <vt:lpwstr/>
  </property>
  <property fmtid="{D5CDD505-2E9C-101B-9397-08002B2CF9AE}" pid="16" name="Order">
    <vt:r8>8700</vt:r8>
  </property>
  <property fmtid="{D5CDD505-2E9C-101B-9397-08002B2CF9AE}" pid="17" name="_dlc_DocIdItemGuid">
    <vt:lpwstr>b27a5fe6-8567-4132-9260-c272f300ef56</vt:lpwstr>
  </property>
</Properties>
</file>